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60D" w:rsidRDefault="00D2360D" w:rsidP="00D2360D">
      <w:pPr>
        <w:widowControl w:val="0"/>
        <w:tabs>
          <w:tab w:val="left" w:pos="567"/>
        </w:tabs>
        <w:jc w:val="center"/>
        <w:outlineLvl w:val="0"/>
        <w:rPr>
          <w:rFonts w:ascii="Times New Roman" w:eastAsia="Calibri" w:hAnsi="Times New Roman" w:cs="Times New Roman"/>
          <w:b/>
          <w:caps/>
        </w:rPr>
      </w:pPr>
      <w:r>
        <w:rPr>
          <w:rFonts w:ascii="Times New Roman" w:eastAsia="Calibri" w:hAnsi="Times New Roman" w:cs="Times New Roman"/>
          <w:b/>
          <w:caps/>
        </w:rPr>
        <w:t>P</w:t>
      </w:r>
      <w:r>
        <w:rPr>
          <w:rFonts w:ascii="Times New Roman" w:eastAsia="Calibri" w:hAnsi="Times New Roman" w:cs="Times New Roman"/>
          <w:b/>
        </w:rPr>
        <w:t>akuotės lapelis</w:t>
      </w:r>
      <w:r>
        <w:rPr>
          <w:rFonts w:ascii="Times New Roman" w:eastAsia="Calibri" w:hAnsi="Times New Roman" w:cs="Times New Roman"/>
          <w:b/>
          <w:caps/>
        </w:rPr>
        <w:t xml:space="preserve">: </w:t>
      </w:r>
      <w:r>
        <w:rPr>
          <w:rFonts w:ascii="Times New Roman" w:eastAsia="Calibri" w:hAnsi="Times New Roman" w:cs="Times New Roman"/>
          <w:b/>
        </w:rPr>
        <w:t>informacija vartotojui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jc w:val="center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Naklofen</w:t>
      </w:r>
      <w:proofErr w:type="spellEnd"/>
      <w:r>
        <w:rPr>
          <w:rFonts w:ascii="Times New Roman" w:eastAsia="Calibri" w:hAnsi="Times New Roman" w:cs="Times New Roman"/>
          <w:b/>
        </w:rPr>
        <w:t xml:space="preserve"> 11,6 mg/g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>gelis</w:t>
      </w:r>
    </w:p>
    <w:p w:rsidR="00D2360D" w:rsidRDefault="00D2360D" w:rsidP="00D2360D">
      <w:pPr>
        <w:widowControl w:val="0"/>
        <w:ind w:left="0" w:firstLine="0"/>
        <w:jc w:val="center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Diklofenako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dietilamonio</w:t>
      </w:r>
      <w:proofErr w:type="spellEnd"/>
      <w:r>
        <w:rPr>
          <w:rFonts w:ascii="Times New Roman" w:eastAsia="Calibri" w:hAnsi="Times New Roman" w:cs="Times New Roman"/>
        </w:rPr>
        <w:t xml:space="preserve"> druska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b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Atidžiai perskaitykite visą šį lapelį, prieš pradėdami vartoti šį vaistą, nes jame pateikiama Jums svarbi informacija.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Visada vartokite šį vaistą tiksliai kaip aprašyta šiame lapelyje arba kaip nurodė gydytojas.</w:t>
      </w:r>
    </w:p>
    <w:p w:rsidR="00D2360D" w:rsidRDefault="00D2360D" w:rsidP="00D2360D">
      <w:pPr>
        <w:widowControl w:val="0"/>
        <w:numPr>
          <w:ilvl w:val="0"/>
          <w:numId w:val="2"/>
        </w:numPr>
        <w:ind w:left="567" w:hanging="567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Neišmeskite šio lapelio, nes vėl gali prireikti jį perskaityti.</w:t>
      </w:r>
    </w:p>
    <w:p w:rsidR="00D2360D" w:rsidRDefault="00D2360D" w:rsidP="00D2360D">
      <w:pPr>
        <w:widowControl w:val="0"/>
        <w:numPr>
          <w:ilvl w:val="0"/>
          <w:numId w:val="2"/>
        </w:numPr>
        <w:ind w:left="567" w:hanging="567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Jeigu norite sužinoti daugiau arba pasitarti, kreipkitės į vaistininką.</w:t>
      </w:r>
    </w:p>
    <w:p w:rsidR="00D2360D" w:rsidRDefault="00D2360D" w:rsidP="00D2360D">
      <w:pPr>
        <w:widowControl w:val="0"/>
        <w:numPr>
          <w:ilvl w:val="0"/>
          <w:numId w:val="2"/>
        </w:numPr>
        <w:ind w:left="567" w:hanging="567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Jeigu pasireiškė šalutinis poveikis (net jeigu jis šiame lapelyje nenurodytas), kreipkitės į gydytoją arba vaistininką. Žr. 4 skyrių.</w:t>
      </w:r>
    </w:p>
    <w:p w:rsidR="00D2360D" w:rsidRDefault="00D2360D" w:rsidP="00D2360D">
      <w:pPr>
        <w:widowControl w:val="0"/>
        <w:numPr>
          <w:ilvl w:val="0"/>
          <w:numId w:val="2"/>
        </w:numPr>
        <w:ind w:left="567" w:hanging="567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Jeigu per 7 dienas Jūsų savijauta nepagerėjo arba net pablogėjo, kreipkitės į gydytoją.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tabs>
          <w:tab w:val="left" w:pos="720"/>
        </w:tabs>
        <w:ind w:left="0" w:firstLine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Apie ką rašoma šiame lapelyje?</w:t>
      </w:r>
    </w:p>
    <w:p w:rsidR="00D2360D" w:rsidRDefault="00D2360D" w:rsidP="00D2360D">
      <w:pPr>
        <w:widowControl w:val="0"/>
        <w:tabs>
          <w:tab w:val="left" w:pos="720"/>
        </w:tabs>
        <w:ind w:left="0" w:firstLine="0"/>
        <w:rPr>
          <w:rFonts w:ascii="Times New Roman" w:eastAsia="Calibri" w:hAnsi="Times New Roman" w:cs="Times New Roman"/>
          <w:noProof/>
        </w:rPr>
      </w:pPr>
    </w:p>
    <w:p w:rsidR="00D2360D" w:rsidRDefault="00D2360D" w:rsidP="00D2360D">
      <w:pPr>
        <w:widowControl w:val="0"/>
        <w:tabs>
          <w:tab w:val="left" w:pos="720"/>
        </w:tabs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>
        <w:rPr>
          <w:rFonts w:ascii="Times New Roman" w:eastAsia="Calibri" w:hAnsi="Times New Roman" w:cs="Times New Roman"/>
        </w:rPr>
        <w:tab/>
        <w:t xml:space="preserve">Kas yra </w:t>
      </w: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  <w:r>
        <w:rPr>
          <w:rFonts w:ascii="Times New Roman" w:eastAsia="Calibri" w:hAnsi="Times New Roman" w:cs="Times New Roman"/>
        </w:rPr>
        <w:t xml:space="preserve"> ir kam jis vartojamas</w:t>
      </w:r>
    </w:p>
    <w:p w:rsidR="00D2360D" w:rsidRDefault="00D2360D" w:rsidP="00D2360D">
      <w:pPr>
        <w:widowControl w:val="0"/>
        <w:tabs>
          <w:tab w:val="left" w:pos="720"/>
        </w:tabs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>
        <w:rPr>
          <w:rFonts w:ascii="Times New Roman" w:eastAsia="Calibri" w:hAnsi="Times New Roman" w:cs="Times New Roman"/>
        </w:rPr>
        <w:tab/>
        <w:t xml:space="preserve">Kas žinotina prieš vartojant </w:t>
      </w: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</w:p>
    <w:p w:rsidR="00D2360D" w:rsidRDefault="00D2360D" w:rsidP="00D2360D">
      <w:pPr>
        <w:widowControl w:val="0"/>
        <w:tabs>
          <w:tab w:val="left" w:pos="720"/>
        </w:tabs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</w:t>
      </w:r>
      <w:r>
        <w:rPr>
          <w:rFonts w:ascii="Times New Roman" w:eastAsia="Calibri" w:hAnsi="Times New Roman" w:cs="Times New Roman"/>
        </w:rPr>
        <w:tab/>
        <w:t xml:space="preserve">Kaip vartoti </w:t>
      </w: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</w:p>
    <w:p w:rsidR="00D2360D" w:rsidRDefault="00D2360D" w:rsidP="00D2360D">
      <w:pPr>
        <w:widowControl w:val="0"/>
        <w:tabs>
          <w:tab w:val="left" w:pos="720"/>
        </w:tabs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</w:t>
      </w:r>
      <w:r>
        <w:rPr>
          <w:rFonts w:ascii="Times New Roman" w:eastAsia="Calibri" w:hAnsi="Times New Roman" w:cs="Times New Roman"/>
        </w:rPr>
        <w:tab/>
        <w:t>Galimas šalutinis poveikis</w:t>
      </w:r>
    </w:p>
    <w:p w:rsidR="00D2360D" w:rsidRDefault="00D2360D" w:rsidP="00D2360D">
      <w:pPr>
        <w:widowControl w:val="0"/>
        <w:tabs>
          <w:tab w:val="left" w:pos="720"/>
        </w:tabs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</w:t>
      </w:r>
      <w:r>
        <w:rPr>
          <w:rFonts w:ascii="Times New Roman" w:eastAsia="Calibri" w:hAnsi="Times New Roman" w:cs="Times New Roman"/>
        </w:rPr>
        <w:tab/>
        <w:t xml:space="preserve">Kaip laikyti </w:t>
      </w: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</w:p>
    <w:p w:rsidR="00D2360D" w:rsidRDefault="00D2360D" w:rsidP="00D2360D">
      <w:pPr>
        <w:widowControl w:val="0"/>
        <w:tabs>
          <w:tab w:val="left" w:pos="720"/>
        </w:tabs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</w:t>
      </w:r>
      <w:r>
        <w:rPr>
          <w:rFonts w:ascii="Times New Roman" w:eastAsia="Calibri" w:hAnsi="Times New Roman" w:cs="Times New Roman"/>
        </w:rPr>
        <w:tab/>
        <w:t>Pakuotės turinys ir kita informacija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540" w:hanging="540"/>
        <w:outlineLvl w:val="1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1.</w:t>
      </w:r>
      <w:r>
        <w:rPr>
          <w:rFonts w:ascii="Times New Roman" w:eastAsia="Calibri" w:hAnsi="Times New Roman" w:cs="Times New Roman"/>
          <w:b/>
        </w:rPr>
        <w:tab/>
        <w:t xml:space="preserve">Kas yra </w:t>
      </w:r>
      <w:proofErr w:type="spellStart"/>
      <w:r>
        <w:rPr>
          <w:rFonts w:ascii="Times New Roman" w:eastAsia="Calibri" w:hAnsi="Times New Roman" w:cs="Times New Roman"/>
          <w:b/>
        </w:rPr>
        <w:t>Naklofen</w:t>
      </w:r>
      <w:proofErr w:type="spellEnd"/>
      <w:r>
        <w:rPr>
          <w:rFonts w:ascii="Times New Roman" w:eastAsia="Calibri" w:hAnsi="Times New Roman" w:cs="Times New Roman"/>
          <w:b/>
        </w:rPr>
        <w:t xml:space="preserve"> ir kam jis vartojamas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per 7 dienas Jūsų savijauta nepagerėjo arba net pablogėjo, kreipkitės į gydytoją.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  <w:r>
        <w:rPr>
          <w:rFonts w:ascii="Times New Roman" w:eastAsia="Calibri" w:hAnsi="Times New Roman" w:cs="Times New Roman"/>
        </w:rPr>
        <w:t xml:space="preserve"> yra išoriniam vartojimui skirtas vaistas, kuris slopina uždegimą ir malšina skausmą. Jo veiklioji medžiaga </w:t>
      </w:r>
      <w:proofErr w:type="spellStart"/>
      <w:r>
        <w:rPr>
          <w:rFonts w:ascii="Times New Roman" w:eastAsia="Calibri" w:hAnsi="Times New Roman" w:cs="Times New Roman"/>
        </w:rPr>
        <w:t>diklofenakas</w:t>
      </w:r>
      <w:proofErr w:type="spellEnd"/>
      <w:r>
        <w:rPr>
          <w:rFonts w:ascii="Times New Roman" w:eastAsia="Calibri" w:hAnsi="Times New Roman" w:cs="Times New Roman"/>
        </w:rPr>
        <w:t>, pasiekusi pažeistą vietą, mažina uždegimo sukeltą patinimą ir lengvina judesius.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Lokalus skausmo malšinimas ir uždegimo slopinimas, jei yra:</w:t>
      </w:r>
    </w:p>
    <w:p w:rsidR="00D2360D" w:rsidRDefault="00D2360D" w:rsidP="00D2360D">
      <w:pPr>
        <w:widowControl w:val="0"/>
        <w:ind w:left="540" w:hanging="5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ab/>
        <w:t xml:space="preserve">smulkiųjų ir vidutinio dydžio sąnarių </w:t>
      </w:r>
      <w:proofErr w:type="spellStart"/>
      <w:r>
        <w:rPr>
          <w:rFonts w:ascii="Times New Roman" w:eastAsia="Calibri" w:hAnsi="Times New Roman" w:cs="Times New Roman"/>
        </w:rPr>
        <w:t>osteoartrozė</w:t>
      </w:r>
      <w:proofErr w:type="spellEnd"/>
      <w:r>
        <w:rPr>
          <w:rFonts w:ascii="Times New Roman" w:eastAsia="Calibri" w:hAnsi="Times New Roman" w:cs="Times New Roman"/>
        </w:rPr>
        <w:t xml:space="preserve"> (degeneracinė sąnarių liga);</w:t>
      </w:r>
    </w:p>
    <w:p w:rsidR="00D2360D" w:rsidRDefault="00D2360D" w:rsidP="00D2360D">
      <w:pPr>
        <w:widowControl w:val="0"/>
        <w:ind w:left="540" w:hanging="5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ab/>
        <w:t xml:space="preserve">bursitas (sąnario tepalinio maišelio uždegimas), </w:t>
      </w:r>
      <w:proofErr w:type="spellStart"/>
      <w:r>
        <w:rPr>
          <w:rFonts w:ascii="Times New Roman" w:eastAsia="Calibri" w:hAnsi="Times New Roman" w:cs="Times New Roman"/>
        </w:rPr>
        <w:t>tendinitas</w:t>
      </w:r>
      <w:proofErr w:type="spellEnd"/>
      <w:r>
        <w:rPr>
          <w:rFonts w:ascii="Times New Roman" w:eastAsia="Calibri" w:hAnsi="Times New Roman" w:cs="Times New Roman"/>
        </w:rPr>
        <w:t xml:space="preserve"> (sausgyslės uždegimas), </w:t>
      </w:r>
      <w:proofErr w:type="spellStart"/>
      <w:r>
        <w:rPr>
          <w:rFonts w:ascii="Times New Roman" w:eastAsia="Calibri" w:hAnsi="Times New Roman" w:cs="Times New Roman"/>
        </w:rPr>
        <w:t>tendovaginitas</w:t>
      </w:r>
      <w:proofErr w:type="spellEnd"/>
      <w:r>
        <w:rPr>
          <w:rFonts w:ascii="Times New Roman" w:eastAsia="Calibri" w:hAnsi="Times New Roman" w:cs="Times New Roman"/>
        </w:rPr>
        <w:t xml:space="preserve"> (sausgyslės makšties uždegimas), </w:t>
      </w:r>
      <w:proofErr w:type="spellStart"/>
      <w:r>
        <w:rPr>
          <w:rFonts w:ascii="Times New Roman" w:eastAsia="Calibri" w:hAnsi="Times New Roman" w:cs="Times New Roman"/>
        </w:rPr>
        <w:t>mialgija</w:t>
      </w:r>
      <w:proofErr w:type="spellEnd"/>
      <w:r>
        <w:rPr>
          <w:rFonts w:ascii="Times New Roman" w:eastAsia="Calibri" w:hAnsi="Times New Roman" w:cs="Times New Roman"/>
        </w:rPr>
        <w:t xml:space="preserve"> (raumenų skausmas), </w:t>
      </w:r>
      <w:proofErr w:type="spellStart"/>
      <w:r>
        <w:rPr>
          <w:rFonts w:ascii="Times New Roman" w:eastAsia="Calibri" w:hAnsi="Times New Roman" w:cs="Times New Roman"/>
        </w:rPr>
        <w:t>epikondilitas</w:t>
      </w:r>
      <w:proofErr w:type="spellEnd"/>
      <w:r>
        <w:rPr>
          <w:rFonts w:ascii="Times New Roman" w:eastAsia="Calibri" w:hAnsi="Times New Roman" w:cs="Times New Roman"/>
        </w:rPr>
        <w:t xml:space="preserve"> (</w:t>
      </w:r>
      <w:proofErr w:type="spellStart"/>
      <w:r>
        <w:rPr>
          <w:rFonts w:ascii="Times New Roman" w:eastAsia="Calibri" w:hAnsi="Times New Roman" w:cs="Times New Roman"/>
        </w:rPr>
        <w:t>žąsto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antkrumplio</w:t>
      </w:r>
      <w:proofErr w:type="spellEnd"/>
      <w:r>
        <w:rPr>
          <w:rFonts w:ascii="Times New Roman" w:eastAsia="Calibri" w:hAnsi="Times New Roman" w:cs="Times New Roman"/>
        </w:rPr>
        <w:t xml:space="preserve"> uždegimas), peties sąnario skaidulinio audinio uždegimas;</w:t>
      </w:r>
    </w:p>
    <w:p w:rsidR="00D2360D" w:rsidRDefault="00D2360D" w:rsidP="00D2360D">
      <w:pPr>
        <w:widowControl w:val="0"/>
        <w:ind w:left="540" w:hanging="5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ab/>
        <w:t>strėnų gėla (</w:t>
      </w:r>
      <w:proofErr w:type="spellStart"/>
      <w:r>
        <w:rPr>
          <w:rFonts w:ascii="Times New Roman" w:eastAsia="Calibri" w:hAnsi="Times New Roman" w:cs="Times New Roman"/>
        </w:rPr>
        <w:t>lumbago</w:t>
      </w:r>
      <w:proofErr w:type="spellEnd"/>
      <w:r>
        <w:rPr>
          <w:rFonts w:ascii="Times New Roman" w:eastAsia="Calibri" w:hAnsi="Times New Roman" w:cs="Times New Roman"/>
        </w:rPr>
        <w:t>);</w:t>
      </w:r>
    </w:p>
    <w:p w:rsidR="00D2360D" w:rsidRDefault="00D2360D" w:rsidP="00D2360D">
      <w:pPr>
        <w:widowControl w:val="0"/>
        <w:ind w:left="540" w:hanging="5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ab/>
        <w:t>sąnario raiščių ir  raumenų sumušimas ar patempimas.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540" w:hanging="540"/>
        <w:outlineLvl w:val="1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2.</w:t>
      </w:r>
      <w:r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proofErr w:type="spellStart"/>
      <w:r>
        <w:rPr>
          <w:rFonts w:ascii="Times New Roman" w:eastAsia="Calibri" w:hAnsi="Times New Roman" w:cs="Times New Roman"/>
          <w:b/>
        </w:rPr>
        <w:t>Naklofen</w:t>
      </w:r>
      <w:proofErr w:type="spellEnd"/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540" w:hanging="540"/>
        <w:outlineLvl w:val="2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Naklofen</w:t>
      </w:r>
      <w:proofErr w:type="spellEnd"/>
      <w:r>
        <w:rPr>
          <w:rFonts w:ascii="Times New Roman" w:eastAsia="Calibri" w:hAnsi="Times New Roman" w:cs="Times New Roman"/>
          <w:b/>
        </w:rPr>
        <w:t xml:space="preserve"> vartoti negalima:</w:t>
      </w:r>
    </w:p>
    <w:p w:rsidR="00D2360D" w:rsidRDefault="00D2360D" w:rsidP="00D2360D">
      <w:pPr>
        <w:widowControl w:val="0"/>
        <w:numPr>
          <w:ilvl w:val="0"/>
          <w:numId w:val="3"/>
        </w:num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jeigu yra alergija </w:t>
      </w:r>
      <w:proofErr w:type="spellStart"/>
      <w:r>
        <w:rPr>
          <w:rFonts w:ascii="Times New Roman" w:eastAsia="Calibri" w:hAnsi="Times New Roman" w:cs="Times New Roman"/>
        </w:rPr>
        <w:t>diklofenakui</w:t>
      </w:r>
      <w:proofErr w:type="spellEnd"/>
      <w:r>
        <w:rPr>
          <w:rFonts w:ascii="Times New Roman" w:eastAsia="Calibri" w:hAnsi="Times New Roman" w:cs="Times New Roman"/>
        </w:rPr>
        <w:t xml:space="preserve"> arba bet kuriai pagalbinei šio vaisto medžiagai (jos išvardytos 6 skyriuje); </w:t>
      </w:r>
    </w:p>
    <w:p w:rsidR="00D2360D" w:rsidRDefault="00D2360D" w:rsidP="00D2360D">
      <w:pPr>
        <w:widowControl w:val="0"/>
        <w:numPr>
          <w:ilvl w:val="0"/>
          <w:numId w:val="3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jeigu yra </w:t>
      </w:r>
      <w:proofErr w:type="spellStart"/>
      <w:r>
        <w:rPr>
          <w:rFonts w:ascii="Times New Roman" w:eastAsia="Calibri" w:hAnsi="Times New Roman" w:cs="Times New Roman"/>
        </w:rPr>
        <w:t>acetilsalicilo</w:t>
      </w:r>
      <w:proofErr w:type="spellEnd"/>
      <w:r>
        <w:rPr>
          <w:rFonts w:ascii="Times New Roman" w:eastAsia="Calibri" w:hAnsi="Times New Roman" w:cs="Times New Roman"/>
        </w:rPr>
        <w:t xml:space="preserve"> rūgšties (</w:t>
      </w:r>
      <w:proofErr w:type="spellStart"/>
      <w:r>
        <w:rPr>
          <w:rFonts w:ascii="Times New Roman" w:eastAsia="Calibri" w:hAnsi="Times New Roman" w:cs="Times New Roman"/>
        </w:rPr>
        <w:t>salicilatų</w:t>
      </w:r>
      <w:proofErr w:type="spellEnd"/>
      <w:r>
        <w:rPr>
          <w:rFonts w:ascii="Times New Roman" w:eastAsia="Calibri" w:hAnsi="Times New Roman" w:cs="Times New Roman"/>
        </w:rPr>
        <w:t>) arba kitų nesteroidinių vaistų nuo uždegimo (NVNU) sukelta astma, ūminė sloga, alerginis pabrinkimas, dilgėlinė arba kitoks alerginis susirgimas;</w:t>
      </w:r>
    </w:p>
    <w:p w:rsidR="00D2360D" w:rsidRDefault="00D2360D" w:rsidP="00D2360D">
      <w:pPr>
        <w:widowControl w:val="0"/>
        <w:numPr>
          <w:ilvl w:val="0"/>
          <w:numId w:val="3"/>
        </w:num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paskutiniais trimis nėštumo mėnesiais ir žindymo laikotarpiu;</w:t>
      </w:r>
    </w:p>
    <w:p w:rsidR="00D2360D" w:rsidRDefault="00D2360D" w:rsidP="00D2360D">
      <w:pPr>
        <w:widowControl w:val="0"/>
        <w:numPr>
          <w:ilvl w:val="0"/>
          <w:numId w:val="3"/>
        </w:num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jaunesniems kaip 14 metų vaikams.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540" w:hanging="540"/>
        <w:outlineLvl w:val="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Įspėjimai ir atsargumo priemonės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Pasitarkite su gydytoju arba vaistininku, prieš pradėdami vartoti </w:t>
      </w: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  <w:r>
        <w:rPr>
          <w:rFonts w:ascii="Times New Roman" w:eastAsia="Calibri" w:hAnsi="Times New Roman" w:cs="Times New Roman"/>
        </w:rPr>
        <w:t>.</w:t>
      </w:r>
    </w:p>
    <w:p w:rsidR="00D2360D" w:rsidRDefault="00D2360D" w:rsidP="00D2360D">
      <w:pPr>
        <w:widowControl w:val="0"/>
        <w:numPr>
          <w:ilvl w:val="0"/>
          <w:numId w:val="4"/>
        </w:numPr>
        <w:ind w:left="567" w:hanging="567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  <w:r>
        <w:rPr>
          <w:rFonts w:ascii="Times New Roman" w:eastAsia="Calibri" w:hAnsi="Times New Roman" w:cs="Times New Roman"/>
        </w:rPr>
        <w:t xml:space="preserve"> galima tepti ant nepažeistos ir sveikos odos. Tepant ant odos didelį gelio kiekį, gali pasireikšti sisteminis nepageidaujamas poveikis.</w:t>
      </w:r>
    </w:p>
    <w:p w:rsidR="00D2360D" w:rsidRDefault="00D2360D" w:rsidP="00D2360D">
      <w:pPr>
        <w:widowControl w:val="0"/>
        <w:numPr>
          <w:ilvl w:val="0"/>
          <w:numId w:val="4"/>
        </w:numPr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Gelio neturi patekti į akis arba ant gleivinės (pvz.: burnos, nosies arba lytinių organų srityje).</w:t>
      </w:r>
    </w:p>
    <w:p w:rsidR="00D2360D" w:rsidRDefault="00D2360D" w:rsidP="00D2360D">
      <w:pPr>
        <w:widowControl w:val="0"/>
        <w:numPr>
          <w:ilvl w:val="0"/>
          <w:numId w:val="4"/>
        </w:numPr>
        <w:ind w:left="567" w:hanging="567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lastRenderedPageBreak/>
        <w:t>Naklofen</w:t>
      </w:r>
      <w:proofErr w:type="spellEnd"/>
      <w:r>
        <w:rPr>
          <w:rFonts w:ascii="Times New Roman" w:eastAsia="Calibri" w:hAnsi="Times New Roman" w:cs="Times New Roman"/>
        </w:rPr>
        <w:t xml:space="preserve"> negalima nuryti.</w:t>
      </w:r>
    </w:p>
    <w:p w:rsidR="00D2360D" w:rsidRDefault="00D2360D" w:rsidP="00D2360D">
      <w:pPr>
        <w:widowControl w:val="0"/>
        <w:numPr>
          <w:ilvl w:val="0"/>
          <w:numId w:val="4"/>
        </w:numPr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Pasitepus šio vaisto, reikia švariai nusiplauti rankas.</w:t>
      </w:r>
    </w:p>
    <w:p w:rsidR="00D2360D" w:rsidRDefault="00D2360D" w:rsidP="00D2360D">
      <w:pPr>
        <w:widowControl w:val="0"/>
        <w:numPr>
          <w:ilvl w:val="0"/>
          <w:numId w:val="4"/>
        </w:numPr>
        <w:ind w:left="567" w:hanging="567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  <w:r>
        <w:rPr>
          <w:rFonts w:ascii="Times New Roman" w:eastAsia="Calibri" w:hAnsi="Times New Roman" w:cs="Times New Roman"/>
        </w:rPr>
        <w:t xml:space="preserve"> vartojimo metu reikia vengti ilgai būti saulėje.</w:t>
      </w:r>
    </w:p>
    <w:p w:rsidR="00D2360D" w:rsidRDefault="00D2360D" w:rsidP="00D2360D">
      <w:pPr>
        <w:widowControl w:val="0"/>
        <w:numPr>
          <w:ilvl w:val="0"/>
          <w:numId w:val="4"/>
        </w:numPr>
        <w:ind w:left="567" w:hanging="567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  <w:r>
        <w:rPr>
          <w:rFonts w:ascii="Times New Roman" w:eastAsia="Calibri" w:hAnsi="Times New Roman" w:cs="Times New Roman"/>
        </w:rPr>
        <w:t xml:space="preserve"> gelio galima vartoti ant odos po drabužiais ar tvarsčiais, kurie paprastai naudojamai </w:t>
      </w:r>
      <w:proofErr w:type="spellStart"/>
      <w:r>
        <w:rPr>
          <w:rFonts w:ascii="Times New Roman" w:eastAsia="Calibri" w:hAnsi="Times New Roman" w:cs="Times New Roman"/>
        </w:rPr>
        <w:t>sužalojimams</w:t>
      </w:r>
      <w:proofErr w:type="spellEnd"/>
      <w:r>
        <w:rPr>
          <w:rFonts w:ascii="Times New Roman" w:eastAsia="Calibri" w:hAnsi="Times New Roman" w:cs="Times New Roman"/>
        </w:rPr>
        <w:t>, tokiems kaip patempimai, gydyti patempimų gydymui, tačiau negalima naudoti po orui nepralaidžiais tvarsčiais (uždarais tvarsčiais).</w:t>
      </w:r>
    </w:p>
    <w:p w:rsidR="00D2360D" w:rsidRDefault="00D2360D" w:rsidP="00D2360D">
      <w:pPr>
        <w:widowControl w:val="0"/>
        <w:numPr>
          <w:ilvl w:val="0"/>
          <w:numId w:val="4"/>
        </w:numPr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Atsiradus odos bėrimui gydymą </w:t>
      </w: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  <w:r>
        <w:rPr>
          <w:rFonts w:ascii="Times New Roman" w:eastAsia="Calibri" w:hAnsi="Times New Roman" w:cs="Times New Roman"/>
        </w:rPr>
        <w:t xml:space="preserve"> reikia nutraukti.</w:t>
      </w:r>
    </w:p>
    <w:p w:rsidR="00D2360D" w:rsidRDefault="00D2360D" w:rsidP="00D2360D">
      <w:pPr>
        <w:widowControl w:val="0"/>
        <w:tabs>
          <w:tab w:val="left" w:pos="709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ab/>
        <w:t>Ilgai naudoti didelius gelio kiekius didelėse jautrios odos srityse reikia atsargiai.</w:t>
      </w:r>
    </w:p>
    <w:p w:rsidR="00D2360D" w:rsidRDefault="00D2360D" w:rsidP="00D2360D">
      <w:pPr>
        <w:widowControl w:val="0"/>
        <w:tabs>
          <w:tab w:val="left" w:pos="709"/>
        </w:tabs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Vaikams ir paaugliams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  <w:r>
        <w:rPr>
          <w:rFonts w:ascii="Times New Roman" w:eastAsia="Calibri" w:hAnsi="Times New Roman" w:cs="Times New Roman"/>
        </w:rPr>
        <w:t xml:space="preserve"> negalima vartoti jaunesniems kaip 14 metų vaikams.</w:t>
      </w:r>
    </w:p>
    <w:p w:rsidR="00D2360D" w:rsidRDefault="00D2360D" w:rsidP="00D2360D">
      <w:pPr>
        <w:widowControl w:val="0"/>
        <w:ind w:left="540" w:hanging="540"/>
        <w:outlineLvl w:val="2"/>
        <w:rPr>
          <w:rFonts w:ascii="Times New Roman" w:eastAsia="Calibri" w:hAnsi="Times New Roman" w:cs="Times New Roman"/>
          <w:b/>
        </w:rPr>
      </w:pPr>
    </w:p>
    <w:p w:rsidR="00D2360D" w:rsidRDefault="00D2360D" w:rsidP="00D2360D">
      <w:pPr>
        <w:widowControl w:val="0"/>
        <w:ind w:left="540" w:hanging="540"/>
        <w:outlineLvl w:val="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Kiti vaistai ir </w:t>
      </w:r>
      <w:proofErr w:type="spellStart"/>
      <w:r>
        <w:rPr>
          <w:rFonts w:ascii="Times New Roman" w:eastAsia="Calibri" w:hAnsi="Times New Roman" w:cs="Times New Roman"/>
          <w:b/>
        </w:rPr>
        <w:t>Naklofen</w:t>
      </w:r>
      <w:proofErr w:type="spellEnd"/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vartojate arba neseniai vartojote kitų vaistų, įskaitant įsigytus be recepto, apie tai pasakykite gydytojui arba vaistininkui.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Kadangi veikliosios medžiagos sisteminė absorbcija iš tepamo gelio vartojimo yra labai maža, todėl sąveika su kitais vaistiniais preparatais yra labai maža.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Reikia būti atsargiems, jei jūs kartu per burną vartojate (geriamus) nesteroidinius vaistus nuo uždegimo.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Nėštumas ir žindymo laikotarpis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Prieš vartodama bet kokį vaistą, pasitarkite su gydytoju arba vaistininku.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b/>
        </w:rPr>
      </w:pPr>
    </w:p>
    <w:p w:rsidR="00D2360D" w:rsidRDefault="00D2360D" w:rsidP="00D2360D">
      <w:pPr>
        <w:widowControl w:val="0"/>
        <w:ind w:left="0" w:firstLine="0"/>
        <w:outlineLvl w:val="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Nevartokite </w:t>
      </w:r>
      <w:proofErr w:type="spellStart"/>
      <w:r>
        <w:rPr>
          <w:rFonts w:ascii="Times New Roman" w:eastAsia="Calibri" w:hAnsi="Times New Roman" w:cs="Times New Roman"/>
        </w:rPr>
        <w:t>Naklofeno</w:t>
      </w:r>
      <w:proofErr w:type="spellEnd"/>
      <w:r>
        <w:rPr>
          <w:rFonts w:ascii="Times New Roman" w:eastAsia="Calibri" w:hAnsi="Times New Roman" w:cs="Times New Roman"/>
        </w:rPr>
        <w:t>, per paskutinius 3 nėštumo mėnesius, nes tai gali pakenkti Jūsų negimusiam vaikui arba sukelti sunkumų gimdymo metu.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Naklofeną</w:t>
      </w:r>
      <w:proofErr w:type="spellEnd"/>
      <w:r>
        <w:rPr>
          <w:rFonts w:ascii="Times New Roman" w:eastAsia="Calibri" w:hAnsi="Times New Roman" w:cs="Times New Roman"/>
        </w:rPr>
        <w:t xml:space="preserve"> reikia vartoti tik gydytojo patarimu pirmaisiais 6 nėštumo mėnesiais ir dozė turėtų būti kiek įmanoma maža, o gydymo trukmė kiek įmanoma trumpesnė. Žindymo laikotarpiu </w:t>
      </w:r>
      <w:proofErr w:type="spellStart"/>
      <w:r>
        <w:rPr>
          <w:rFonts w:ascii="Times New Roman" w:eastAsia="Calibri" w:hAnsi="Times New Roman" w:cs="Times New Roman"/>
        </w:rPr>
        <w:t>Naklofeną</w:t>
      </w:r>
      <w:proofErr w:type="spellEnd"/>
      <w:r>
        <w:rPr>
          <w:rFonts w:ascii="Times New Roman" w:eastAsia="Calibri" w:hAnsi="Times New Roman" w:cs="Times New Roman"/>
        </w:rPr>
        <w:t xml:space="preserve"> reikia vartoti tik gydytojo patarimu, kadangi nedidelis </w:t>
      </w:r>
      <w:proofErr w:type="spellStart"/>
      <w:r>
        <w:rPr>
          <w:rFonts w:ascii="Times New Roman" w:eastAsia="Calibri" w:hAnsi="Times New Roman" w:cs="Times New Roman"/>
        </w:rPr>
        <w:t>diklofenako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dietaliamonio</w:t>
      </w:r>
      <w:proofErr w:type="spellEnd"/>
      <w:r>
        <w:rPr>
          <w:rFonts w:ascii="Times New Roman" w:eastAsia="Calibri" w:hAnsi="Times New Roman" w:cs="Times New Roman"/>
        </w:rPr>
        <w:t xml:space="preserve"> druska patenka į motinos pieną. Kūdikį žindančioms moterims negalima tepti vaisto ant krūtų ar kitų didelių vietų arba ilgą laiką.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540" w:hanging="540"/>
        <w:outlineLvl w:val="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Vairavimas ir mechanizmų valdymas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Diklofenako</w:t>
      </w:r>
      <w:proofErr w:type="spellEnd"/>
      <w:r>
        <w:rPr>
          <w:rFonts w:ascii="Times New Roman" w:eastAsia="Calibri" w:hAnsi="Times New Roman" w:cs="Times New Roman"/>
        </w:rPr>
        <w:t xml:space="preserve"> poveikio gebėjimui vairuoti ir valdyti mechanizmus nepastebėta.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</w:rPr>
        <w:t>Naklofen</w:t>
      </w:r>
      <w:proofErr w:type="spellEnd"/>
      <w:r>
        <w:rPr>
          <w:rFonts w:ascii="Times New Roman" w:eastAsia="Calibri" w:hAnsi="Times New Roman" w:cs="Times New Roman"/>
          <w:b/>
        </w:rPr>
        <w:t xml:space="preserve"> sudėtyje </w:t>
      </w:r>
      <w:proofErr w:type="spellStart"/>
      <w:r>
        <w:rPr>
          <w:rFonts w:ascii="Times New Roman" w:eastAsia="Calibri" w:hAnsi="Times New Roman" w:cs="Times New Roman"/>
          <w:b/>
        </w:rPr>
        <w:t>propilenglikolio</w:t>
      </w:r>
      <w:proofErr w:type="spellEnd"/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Propilenglikolis</w:t>
      </w:r>
      <w:proofErr w:type="spellEnd"/>
      <w:r>
        <w:rPr>
          <w:rFonts w:ascii="Times New Roman" w:eastAsia="Calibri" w:hAnsi="Times New Roman" w:cs="Times New Roman"/>
        </w:rPr>
        <w:t xml:space="preserve"> gali sudirginti odą.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540" w:hanging="540"/>
        <w:outlineLvl w:val="1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3.</w:t>
      </w:r>
      <w:r>
        <w:rPr>
          <w:rFonts w:ascii="Times New Roman" w:eastAsia="Calibri" w:hAnsi="Times New Roman" w:cs="Times New Roman"/>
          <w:b/>
        </w:rPr>
        <w:tab/>
        <w:t xml:space="preserve">Kaip vartoti </w:t>
      </w:r>
      <w:proofErr w:type="spellStart"/>
      <w:r>
        <w:rPr>
          <w:rFonts w:ascii="Times New Roman" w:eastAsia="Calibri" w:hAnsi="Times New Roman" w:cs="Times New Roman"/>
          <w:b/>
        </w:rPr>
        <w:t>Naklofen</w:t>
      </w:r>
      <w:proofErr w:type="spellEnd"/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Visada vartokite šį vaistą tiksliai kaip </w:t>
      </w:r>
      <w:r>
        <w:rPr>
          <w:rFonts w:ascii="Times New Roman" w:eastAsia="Calibri" w:hAnsi="Times New Roman" w:cs="Times New Roman"/>
          <w:szCs w:val="20"/>
        </w:rPr>
        <w:t xml:space="preserve">aprašyta šiame lapelyje arba kaip </w:t>
      </w:r>
      <w:r>
        <w:rPr>
          <w:rFonts w:ascii="Times New Roman" w:eastAsia="Calibri" w:hAnsi="Times New Roman" w:cs="Times New Roman"/>
        </w:rPr>
        <w:t>nurodė gydytojas arba vaistininkas. Jeigu abejojate, kreipkitės į gydytoją arba vaistininką.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i/>
          <w:iCs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  <w:iCs/>
        </w:rPr>
        <w:t>Suaugusiems ir vyresniems negu 14 metų paaugliams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  <w:r>
        <w:rPr>
          <w:rFonts w:ascii="Times New Roman" w:eastAsia="Calibri" w:hAnsi="Times New Roman" w:cs="Times New Roman"/>
        </w:rPr>
        <w:t xml:space="preserve"> reikia švelniai įtrinti į odą</w:t>
      </w:r>
      <w:r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</w:rPr>
        <w:t xml:space="preserve"> Atsižvelgiant į pažeistos vietos dydį, 3 - 4 kartus per parą reikia tepti 2-4 g gelio (apskritimo formos plotą, kurio skersmuo maždaug 2,0</w:t>
      </w:r>
      <w:r>
        <w:rPr>
          <w:rFonts w:ascii="Times New Roman" w:eastAsia="Calibri" w:hAnsi="Times New Roman" w:cs="Times New Roman"/>
        </w:rPr>
        <w:noBreakHyphen/>
        <w:t>2,5 cm)</w:t>
      </w:r>
      <w:r>
        <w:rPr>
          <w:rFonts w:ascii="Times New Roman" w:eastAsia="Calibri" w:hAnsi="Times New Roman" w:cs="Times New Roman"/>
          <w:b/>
          <w:bCs/>
        </w:rPr>
        <w:t>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Nevartokite šio vaisto ilgiau nei 7 dienas nepasitarus su gydytoju.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</w:rPr>
        <w:t>Jei per šį laiką jūsų simptomai neišnyksta arba jie blogėja, kreipkitės į gydytoją arba vaistininką.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i/>
          <w:iCs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  <w:iCs/>
        </w:rPr>
        <w:t>Senyviems pacientams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Galima vartoti įprastą suaugusių žmonių dozę.</w:t>
      </w:r>
    </w:p>
    <w:p w:rsidR="00D2360D" w:rsidRDefault="00D2360D" w:rsidP="00D2360D">
      <w:pPr>
        <w:widowControl w:val="0"/>
        <w:ind w:left="0" w:firstLine="0"/>
        <w:jc w:val="both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 per šį laiką ligos simptomai neišnyksta, reikia kreiptis į gydytoją arba vaistininką.</w:t>
      </w:r>
    </w:p>
    <w:p w:rsidR="00D2360D" w:rsidRDefault="00D2360D" w:rsidP="00D2360D">
      <w:pPr>
        <w:widowControl w:val="0"/>
        <w:ind w:left="0" w:firstLine="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  <w:r>
        <w:rPr>
          <w:rFonts w:ascii="Times New Roman" w:eastAsia="Calibri" w:hAnsi="Times New Roman" w:cs="Times New Roman"/>
        </w:rPr>
        <w:t xml:space="preserve"> galima vartoti kartu su geriamaisiais vaistais nuo uždegimo ir skausmo, tačiau atsargiai.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540" w:hanging="540"/>
        <w:outlineLvl w:val="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Ką daryti pavartojus per didelę </w:t>
      </w:r>
      <w:proofErr w:type="spellStart"/>
      <w:r>
        <w:rPr>
          <w:rFonts w:ascii="Times New Roman" w:eastAsia="Calibri" w:hAnsi="Times New Roman" w:cs="Times New Roman"/>
          <w:b/>
        </w:rPr>
        <w:t>Naklofen</w:t>
      </w:r>
      <w:proofErr w:type="spellEnd"/>
      <w:r>
        <w:rPr>
          <w:rFonts w:ascii="Times New Roman" w:eastAsia="Calibri" w:hAnsi="Times New Roman" w:cs="Times New Roman"/>
          <w:b/>
        </w:rPr>
        <w:t xml:space="preserve"> dozę?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</w:rPr>
        <w:lastRenderedPageBreak/>
        <w:t xml:space="preserve">Dėl mažos sisteminės absorbcijos </w:t>
      </w: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  <w:r>
        <w:rPr>
          <w:rFonts w:ascii="Times New Roman" w:eastAsia="Calibri" w:hAnsi="Times New Roman" w:cs="Times New Roman"/>
        </w:rPr>
        <w:t xml:space="preserve"> gelio perdozavimas yra ypač mažai tikėtinas. Tačiau jei Jūs netyčia nurijote </w:t>
      </w: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  <w:r>
        <w:rPr>
          <w:rFonts w:ascii="Times New Roman" w:eastAsia="Calibri" w:hAnsi="Times New Roman" w:cs="Times New Roman"/>
        </w:rPr>
        <w:t xml:space="preserve"> (ar jo nurijo Jūsų vaikas), nedelsiant kreipkitės į gydytoją.</w:t>
      </w:r>
      <w:r>
        <w:rPr>
          <w:rFonts w:ascii="Times New Roman" w:eastAsia="Calibri" w:hAnsi="Times New Roman" w:cs="Times New Roman"/>
          <w:szCs w:val="20"/>
        </w:rPr>
        <w:t>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540" w:hanging="540"/>
        <w:outlineLvl w:val="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Pamiršus pavartoti </w:t>
      </w:r>
      <w:proofErr w:type="spellStart"/>
      <w:r>
        <w:rPr>
          <w:rFonts w:ascii="Times New Roman" w:eastAsia="Calibri" w:hAnsi="Times New Roman" w:cs="Times New Roman"/>
          <w:b/>
        </w:rPr>
        <w:t>Naklofen</w:t>
      </w:r>
      <w:proofErr w:type="spellEnd"/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Negalima vartoti dvigubos dozės norint kompensuoti praleistą dozę.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kiltų daugiau klausimų dėl šio vaisto vartojimo, kreipkitės į gydytoją arba vaistininką.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540" w:hanging="540"/>
        <w:outlineLvl w:val="1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4.</w:t>
      </w:r>
      <w:r>
        <w:rPr>
          <w:rFonts w:ascii="Times New Roman" w:eastAsia="Calibri" w:hAnsi="Times New Roman" w:cs="Times New Roman"/>
          <w:b/>
        </w:rPr>
        <w:tab/>
        <w:t>Galimas šalutinis poveikis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numPr>
          <w:ilvl w:val="0"/>
          <w:numId w:val="5"/>
        </w:numPr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  <w:noProof/>
        </w:rPr>
        <w:t>Labai dažnas: gali pasireikšti daugiau kaip 1 iš 10 žmonių.</w:t>
      </w:r>
    </w:p>
    <w:p w:rsidR="00D2360D" w:rsidRDefault="00D2360D" w:rsidP="00D2360D">
      <w:pPr>
        <w:widowControl w:val="0"/>
        <w:numPr>
          <w:ilvl w:val="0"/>
          <w:numId w:val="5"/>
        </w:numPr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  <w:noProof/>
        </w:rPr>
        <w:t>Dažnas: gali pasireikšti ne daugiau kaip 1 iš 10 žmonių.</w:t>
      </w:r>
    </w:p>
    <w:p w:rsidR="00D2360D" w:rsidRDefault="00D2360D" w:rsidP="00D2360D">
      <w:pPr>
        <w:widowControl w:val="0"/>
        <w:numPr>
          <w:ilvl w:val="0"/>
          <w:numId w:val="5"/>
        </w:numPr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  <w:noProof/>
        </w:rPr>
        <w:t>Nedažnas: gali pasireikšti ne daugiau kaip 1 iš 100 žmonių.</w:t>
      </w:r>
    </w:p>
    <w:p w:rsidR="00D2360D" w:rsidRDefault="00D2360D" w:rsidP="00D2360D">
      <w:pPr>
        <w:widowControl w:val="0"/>
        <w:numPr>
          <w:ilvl w:val="0"/>
          <w:numId w:val="5"/>
        </w:numPr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  <w:noProof/>
        </w:rPr>
        <w:t>Retas: gali pasireikšti ne daugiau kaip 1 iš 1000 žmonių.</w:t>
      </w:r>
    </w:p>
    <w:p w:rsidR="00D2360D" w:rsidRDefault="00D2360D" w:rsidP="00D2360D">
      <w:pPr>
        <w:widowControl w:val="0"/>
        <w:numPr>
          <w:ilvl w:val="0"/>
          <w:numId w:val="5"/>
        </w:numPr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  <w:noProof/>
        </w:rPr>
        <w:t>Labai retas: gali pasireikšti ne daugiau kaip 1 iš 10000 žmonių.</w:t>
      </w:r>
    </w:p>
    <w:p w:rsidR="00D2360D" w:rsidRDefault="00D2360D" w:rsidP="00D2360D">
      <w:pPr>
        <w:widowControl w:val="0"/>
        <w:numPr>
          <w:ilvl w:val="0"/>
          <w:numId w:val="5"/>
        </w:numPr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Nežinomas: dažnis negali būti apskaičiuotas pagal turimus duomenis.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u w:val="single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Dažnas šalutinis poveikis</w:t>
      </w:r>
      <w:r>
        <w:rPr>
          <w:rFonts w:ascii="Times New Roman" w:eastAsia="Calibri" w:hAnsi="Times New Roman" w:cs="Times New Roman"/>
        </w:rPr>
        <w:t xml:space="preserve"> (gali pasireikšti ne daugiau kaip 1 iš 10 žmonių)</w:t>
      </w:r>
    </w:p>
    <w:p w:rsidR="00D2360D" w:rsidRDefault="00D2360D" w:rsidP="00D2360D">
      <w:pPr>
        <w:widowControl w:val="0"/>
        <w:tabs>
          <w:tab w:val="num" w:pos="567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t>išbėrimas, viršutinio odos sluoksnio uždegimas (egzema, eritema, kontaktinis dermatitas), niežėjimas.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tabs>
          <w:tab w:val="num" w:pos="540"/>
        </w:tabs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Retas šalutinis poveikis</w:t>
      </w:r>
      <w:r>
        <w:rPr>
          <w:rFonts w:ascii="Times New Roman" w:eastAsia="Calibri" w:hAnsi="Times New Roman" w:cs="Times New Roman"/>
        </w:rPr>
        <w:t>(gali pasireikšti ne daugiau kaip 1 iš 1000 žmonių)</w:t>
      </w:r>
    </w:p>
    <w:p w:rsidR="00D2360D" w:rsidRDefault="00D2360D" w:rsidP="00D2360D">
      <w:pPr>
        <w:widowControl w:val="0"/>
        <w:numPr>
          <w:ilvl w:val="0"/>
          <w:numId w:val="1"/>
        </w:numPr>
        <w:tabs>
          <w:tab w:val="num" w:pos="567"/>
        </w:tabs>
        <w:ind w:left="567" w:hanging="567"/>
        <w:rPr>
          <w:rFonts w:ascii="Times New Roman" w:eastAsia="Calibri" w:hAnsi="Times New Roman" w:cs="Times New Roman"/>
          <w:bCs/>
        </w:rPr>
      </w:pPr>
      <w:proofErr w:type="spellStart"/>
      <w:r>
        <w:rPr>
          <w:rFonts w:ascii="Times New Roman" w:eastAsia="Calibri" w:hAnsi="Times New Roman" w:cs="Times New Roman"/>
          <w:bCs/>
        </w:rPr>
        <w:t>pūslinis</w:t>
      </w:r>
      <w:proofErr w:type="spellEnd"/>
      <w:r>
        <w:rPr>
          <w:rFonts w:ascii="Times New Roman" w:eastAsia="Calibri" w:hAnsi="Times New Roman" w:cs="Times New Roman"/>
          <w:bCs/>
        </w:rPr>
        <w:t xml:space="preserve"> dermatitas.</w:t>
      </w:r>
    </w:p>
    <w:p w:rsidR="00D2360D" w:rsidRDefault="00D2360D" w:rsidP="00D2360D">
      <w:pPr>
        <w:widowControl w:val="0"/>
        <w:tabs>
          <w:tab w:val="num" w:pos="540"/>
        </w:tabs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tabs>
          <w:tab w:val="num" w:pos="540"/>
        </w:tabs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Labai </w:t>
      </w:r>
      <w:r>
        <w:rPr>
          <w:rFonts w:ascii="Times New Roman" w:eastAsia="Calibri" w:hAnsi="Times New Roman" w:cs="Times New Roman"/>
          <w:bCs/>
        </w:rPr>
        <w:t>retas šalutinis poveikis</w:t>
      </w:r>
      <w:r>
        <w:rPr>
          <w:rFonts w:ascii="Times New Roman" w:eastAsia="Calibri" w:hAnsi="Times New Roman" w:cs="Times New Roman"/>
        </w:rPr>
        <w:t xml:space="preserve"> (gali pasireikšti ne daugiau kaip 1 iš 10000 žmonių)</w:t>
      </w:r>
    </w:p>
    <w:p w:rsidR="00D2360D" w:rsidRDefault="00D2360D" w:rsidP="00D2360D">
      <w:pPr>
        <w:pStyle w:val="Sraopastraipa"/>
        <w:widowControl w:val="0"/>
        <w:numPr>
          <w:ilvl w:val="0"/>
          <w:numId w:val="6"/>
        </w:numPr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t>padidėjęs jautrumas (įskaitant dilgėlinę), staigus lūpų ir veido, kaklo, taip pat gali būti ir rankų bei kojų, patinimas, dusulys arba užkimimas (angioneurozinė edema);</w:t>
      </w:r>
    </w:p>
    <w:p w:rsidR="00D2360D" w:rsidRDefault="00D2360D" w:rsidP="00D2360D">
      <w:pPr>
        <w:pStyle w:val="Sraopastraipa"/>
        <w:widowControl w:val="0"/>
        <w:numPr>
          <w:ilvl w:val="0"/>
          <w:numId w:val="6"/>
        </w:numPr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t>pūlinėlinis išbėrimas;</w:t>
      </w:r>
    </w:p>
    <w:p w:rsidR="00D2360D" w:rsidRDefault="00D2360D" w:rsidP="00D2360D">
      <w:pPr>
        <w:pStyle w:val="Sraopastraipa"/>
        <w:widowControl w:val="0"/>
        <w:numPr>
          <w:ilvl w:val="0"/>
          <w:numId w:val="6"/>
        </w:numPr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t>astma;</w:t>
      </w:r>
    </w:p>
    <w:p w:rsidR="00D2360D" w:rsidRDefault="00D2360D" w:rsidP="00D2360D">
      <w:pPr>
        <w:pStyle w:val="Sraopastraipa"/>
        <w:widowControl w:val="0"/>
        <w:numPr>
          <w:ilvl w:val="0"/>
          <w:numId w:val="6"/>
        </w:numPr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t>padidėjęs jautrumas saulės šviesai.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Pranešimas apie šalutinį poveikį</w:t>
      </w:r>
    </w:p>
    <w:p w:rsidR="00D2360D" w:rsidRDefault="00D2360D" w:rsidP="00D2360D">
      <w:pPr>
        <w:ind w:left="0" w:right="-449" w:firstLine="0"/>
        <w:rPr>
          <w:rFonts w:ascii="Times New Roman" w:eastAsia="Calibri" w:hAnsi="Times New Roman" w:cs="Times New Roman"/>
          <w:noProof/>
          <w:szCs w:val="24"/>
        </w:rPr>
      </w:pPr>
      <w:r>
        <w:rPr>
          <w:rFonts w:ascii="Times New Roman" w:eastAsia="Calibri" w:hAnsi="Times New Roman" w:cs="Times New Roman"/>
          <w:szCs w:val="2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>
        <w:rPr>
          <w:rFonts w:ascii="Times New Roman" w:eastAsia="Calibri" w:hAnsi="Times New Roman" w:cs="Times New Roman"/>
          <w:szCs w:val="20"/>
          <w:lang w:eastAsia="zh-CN"/>
        </w:rPr>
        <w:t>elefonu 8 800 73568</w:t>
      </w:r>
      <w:r>
        <w:rPr>
          <w:rFonts w:ascii="Times New Roman" w:eastAsia="Calibri" w:hAnsi="Times New Roman" w:cs="Times New Roman"/>
          <w:szCs w:val="20"/>
        </w:rPr>
        <w:t xml:space="preserve"> arba užpildyti interneto svetainėje </w:t>
      </w:r>
      <w:hyperlink r:id="rId5" w:history="1">
        <w:r>
          <w:rPr>
            <w:rStyle w:val="Hipersaitas"/>
            <w:rFonts w:ascii="Times New Roman" w:eastAsia="SimSun" w:hAnsi="Times New Roman" w:cs="Times New Roman"/>
            <w:szCs w:val="20"/>
          </w:rPr>
          <w:t>www.vvkt.lt</w:t>
        </w:r>
      </w:hyperlink>
      <w:r>
        <w:rPr>
          <w:rFonts w:ascii="Times New Roman" w:eastAsia="Calibri" w:hAnsi="Times New Roman" w:cs="Times New Roman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rFonts w:ascii="Times New Roman" w:eastAsia="Calibri" w:hAnsi="Times New Roman" w:cs="Times New Roman"/>
          <w:szCs w:val="20"/>
          <w:lang w:eastAsia="zh-CN"/>
        </w:rPr>
        <w:t xml:space="preserve">nemokamu </w:t>
      </w:r>
      <w:r>
        <w:rPr>
          <w:rFonts w:ascii="Times New Roman" w:eastAsia="Calibri" w:hAnsi="Times New Roman" w:cs="Times New Roman"/>
          <w:szCs w:val="20"/>
        </w:rPr>
        <w:t>fakso numeriu 8 800 20131</w:t>
      </w:r>
      <w:r>
        <w:rPr>
          <w:rFonts w:ascii="Times New Roman" w:eastAsia="Calibri" w:hAnsi="Times New Roman" w:cs="Times New Roman"/>
          <w:szCs w:val="20"/>
          <w:lang w:eastAsia="zh-CN"/>
        </w:rPr>
        <w:t xml:space="preserve">, </w:t>
      </w:r>
      <w:r>
        <w:rPr>
          <w:rFonts w:ascii="Times New Roman" w:eastAsia="Calibri" w:hAnsi="Times New Roman" w:cs="Times New Roman"/>
          <w:szCs w:val="20"/>
        </w:rPr>
        <w:t xml:space="preserve">el. paštu </w:t>
      </w:r>
      <w:hyperlink r:id="rId6" w:history="1">
        <w:r>
          <w:rPr>
            <w:rStyle w:val="Hipersaitas"/>
            <w:rFonts w:ascii="Times New Roman" w:eastAsia="SimSun" w:hAnsi="Times New Roman" w:cs="Times New Roman"/>
            <w:szCs w:val="20"/>
          </w:rPr>
          <w:t>NepageidaujamaR@vvkt.lt</w:t>
        </w:r>
      </w:hyperlink>
      <w:r>
        <w:rPr>
          <w:rFonts w:ascii="Times New Roman" w:eastAsia="Calibri" w:hAnsi="Times New Roman" w:cs="Times New Roman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ascii="Times New Roman" w:eastAsia="SimSun" w:hAnsi="Times New Roman" w:cs="Times New Roman"/>
            <w:szCs w:val="20"/>
          </w:rPr>
          <w:t>http://www.vvkt.lt</w:t>
        </w:r>
      </w:hyperlink>
      <w:r>
        <w:rPr>
          <w:rFonts w:ascii="Times New Roman" w:eastAsia="Calibri" w:hAnsi="Times New Roman" w:cs="Times New Roman"/>
          <w:szCs w:val="20"/>
        </w:rPr>
        <w:t>). Pranešdami apie šalutinį poveikį galite mums padėti gauti daugiau informacijos apie šio vaisto saugumą.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tabs>
          <w:tab w:val="left" w:pos="567"/>
        </w:tabs>
        <w:outlineLvl w:val="1"/>
        <w:rPr>
          <w:rFonts w:ascii="Times New Roman" w:eastAsia="Calibri" w:hAnsi="Times New Roman" w:cs="Times New Roman"/>
          <w:b/>
        </w:rPr>
      </w:pPr>
      <w:bookmarkStart w:id="0" w:name="_Toc129243268"/>
      <w:bookmarkStart w:id="1" w:name="_Toc129243143"/>
      <w:r>
        <w:rPr>
          <w:rFonts w:ascii="Times New Roman" w:eastAsia="Calibri" w:hAnsi="Times New Roman" w:cs="Times New Roman"/>
          <w:b/>
        </w:rPr>
        <w:t>5.</w:t>
      </w:r>
      <w:r>
        <w:rPr>
          <w:rFonts w:ascii="Times New Roman" w:eastAsia="Calibri" w:hAnsi="Times New Roman" w:cs="Times New Roman"/>
          <w:b/>
        </w:rPr>
        <w:tab/>
        <w:t xml:space="preserve">Kaip laikyti </w:t>
      </w:r>
      <w:bookmarkEnd w:id="0"/>
      <w:bookmarkEnd w:id="1"/>
      <w:proofErr w:type="spellStart"/>
      <w:r>
        <w:rPr>
          <w:rFonts w:ascii="Times New Roman" w:eastAsia="Calibri" w:hAnsi="Times New Roman" w:cs="Times New Roman"/>
          <w:b/>
        </w:rPr>
        <w:t>Naklofen</w:t>
      </w:r>
      <w:proofErr w:type="spellEnd"/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noProof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Šį vaistą laikykite vaikams nepastebimoje ir nepasiekiamoje vietoje.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noProof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Laikyti ne aukštesnėje kaip 25 </w:t>
      </w:r>
      <w:r>
        <w:rPr>
          <w:rFonts w:ascii="Times New Roman" w:eastAsia="Calibri" w:hAnsi="Times New Roman" w:cs="Times New Roman"/>
        </w:rPr>
        <w:sym w:font="Symbol" w:char="F0B0"/>
      </w:r>
      <w:r>
        <w:rPr>
          <w:rFonts w:ascii="Times New Roman" w:eastAsia="Calibri" w:hAnsi="Times New Roman" w:cs="Times New Roman"/>
        </w:rPr>
        <w:t>C temperatūroje.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Pirmą kartą atidarius tūbelę, vaistą suvartoti per 12 mėnesių.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Ant dėžutės ir tūbelės po </w:t>
      </w:r>
      <w:r>
        <w:rPr>
          <w:rFonts w:ascii="Times New Roman" w:eastAsia="Calibri" w:hAnsi="Times New Roman" w:cs="Times New Roman"/>
          <w:highlight w:val="lightGray"/>
        </w:rPr>
        <w:t>„Tinka iki“</w:t>
      </w:r>
      <w:r>
        <w:rPr>
          <w:rFonts w:ascii="Times New Roman" w:eastAsia="Calibri" w:hAnsi="Times New Roman" w:cs="Times New Roman"/>
        </w:rPr>
        <w:t>/„EXP“ nurodytam tinkamumo laikui pasibaigus, šio vaisto vartoti negalima. Vaistas tinkamas vartoti iki paskutinės nurodyto mėnesio dienos.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Vaistų negalima išmesti į kanalizaciją arba su buitinėmis atliekomis. Kaip išmesti nereikalingus vaistus, klauskite vaistininko. Šios priemonės padės apsaugoti aplinką.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tabs>
          <w:tab w:val="left" w:pos="567"/>
        </w:tabs>
        <w:outlineLvl w:val="1"/>
        <w:rPr>
          <w:rFonts w:ascii="Times New Roman" w:eastAsia="Calibri" w:hAnsi="Times New Roman" w:cs="Times New Roman"/>
          <w:b/>
        </w:rPr>
      </w:pPr>
      <w:bookmarkStart w:id="2" w:name="_Toc129243269"/>
      <w:bookmarkStart w:id="3" w:name="_Toc129243144"/>
      <w:r>
        <w:rPr>
          <w:rFonts w:ascii="Times New Roman" w:eastAsia="Calibri" w:hAnsi="Times New Roman" w:cs="Times New Roman"/>
          <w:b/>
        </w:rPr>
        <w:t>6.</w:t>
      </w:r>
      <w:r>
        <w:rPr>
          <w:rFonts w:ascii="Times New Roman" w:eastAsia="Calibri" w:hAnsi="Times New Roman" w:cs="Times New Roman"/>
          <w:b/>
        </w:rPr>
        <w:tab/>
        <w:t>Pakuotės turinys ir kita informacija</w:t>
      </w:r>
      <w:bookmarkEnd w:id="2"/>
      <w:bookmarkEnd w:id="3"/>
    </w:p>
    <w:p w:rsidR="00D2360D" w:rsidRDefault="00D2360D" w:rsidP="00D2360D">
      <w:pPr>
        <w:widowControl w:val="0"/>
        <w:spacing w:line="220" w:lineRule="exact"/>
        <w:ind w:left="0" w:firstLine="0"/>
        <w:rPr>
          <w:rFonts w:ascii="Times New Roman" w:eastAsia="Calibri" w:hAnsi="Times New Roman" w:cs="Times New Roman"/>
          <w:b/>
          <w:bCs/>
        </w:rPr>
      </w:pPr>
    </w:p>
    <w:p w:rsidR="00D2360D" w:rsidRDefault="00D2360D" w:rsidP="00D2360D">
      <w:pPr>
        <w:widowControl w:val="0"/>
        <w:spacing w:line="220" w:lineRule="exact"/>
        <w:ind w:left="0" w:firstLine="0"/>
        <w:rPr>
          <w:rFonts w:ascii="Times New Roman" w:eastAsia="Calibri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Naklofen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sudėtis</w:t>
      </w:r>
    </w:p>
    <w:p w:rsidR="00D2360D" w:rsidRDefault="00D2360D" w:rsidP="00D2360D">
      <w:pPr>
        <w:numPr>
          <w:ilvl w:val="0"/>
          <w:numId w:val="7"/>
        </w:numPr>
        <w:ind w:left="567" w:right="-2" w:hanging="567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</w:rPr>
        <w:t xml:space="preserve">Veiklioji medžiaga yra </w:t>
      </w:r>
      <w:proofErr w:type="spellStart"/>
      <w:r>
        <w:rPr>
          <w:rFonts w:ascii="Times New Roman" w:eastAsia="Calibri" w:hAnsi="Times New Roman" w:cs="Times New Roman"/>
        </w:rPr>
        <w:t>diklofenakas</w:t>
      </w:r>
      <w:proofErr w:type="spellEnd"/>
      <w:r>
        <w:rPr>
          <w:rFonts w:ascii="Times New Roman" w:eastAsia="Calibri" w:hAnsi="Times New Roman" w:cs="Times New Roman"/>
        </w:rPr>
        <w:t xml:space="preserve">. 1 g gelio yra 11,6 mg </w:t>
      </w:r>
      <w:proofErr w:type="spellStart"/>
      <w:r>
        <w:rPr>
          <w:rFonts w:ascii="Times New Roman" w:eastAsia="Calibri" w:hAnsi="Times New Roman" w:cs="Times New Roman"/>
        </w:rPr>
        <w:t>diklofenako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dietilamonio</w:t>
      </w:r>
      <w:proofErr w:type="spellEnd"/>
      <w:r>
        <w:rPr>
          <w:rFonts w:ascii="Times New Roman" w:eastAsia="Calibri" w:hAnsi="Times New Roman" w:cs="Times New Roman"/>
        </w:rPr>
        <w:t xml:space="preserve"> druskos.</w:t>
      </w:r>
    </w:p>
    <w:p w:rsidR="00D2360D" w:rsidRDefault="00D2360D" w:rsidP="00D2360D">
      <w:pPr>
        <w:widowContro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ab/>
        <w:t xml:space="preserve">Pagalbinės medžiagos yra </w:t>
      </w:r>
      <w:proofErr w:type="spellStart"/>
      <w:r>
        <w:rPr>
          <w:rFonts w:ascii="Times New Roman" w:eastAsia="Calibri" w:hAnsi="Times New Roman" w:cs="Times New Roman"/>
        </w:rPr>
        <w:t>karbomeras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makrogolis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dietanolaminas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izopropilo</w:t>
      </w:r>
      <w:proofErr w:type="spellEnd"/>
      <w:r>
        <w:rPr>
          <w:rFonts w:ascii="Times New Roman" w:eastAsia="Calibri" w:hAnsi="Times New Roman" w:cs="Times New Roman"/>
        </w:rPr>
        <w:t xml:space="preserve"> alkoholis, </w:t>
      </w:r>
      <w:proofErr w:type="spellStart"/>
      <w:r>
        <w:rPr>
          <w:rFonts w:ascii="Times New Roman" w:eastAsia="Calibri" w:hAnsi="Times New Roman" w:cs="Times New Roman"/>
        </w:rPr>
        <w:t>propilenglikolis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cetomakrogolis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decilo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oleatas</w:t>
      </w:r>
      <w:proofErr w:type="spellEnd"/>
      <w:r>
        <w:rPr>
          <w:rFonts w:ascii="Times New Roman" w:eastAsia="Calibri" w:hAnsi="Times New Roman" w:cs="Times New Roman"/>
        </w:rPr>
        <w:t>, skystasis parafinas, išgrynintas vanduo.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spacing w:line="220" w:lineRule="exact"/>
        <w:ind w:left="0" w:firstLine="0"/>
        <w:rPr>
          <w:rFonts w:ascii="Times New Roman" w:eastAsia="Calibri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Naklofen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išvaizda ir kiekis pakuotėje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Naklofen</w:t>
      </w:r>
      <w:proofErr w:type="spellEnd"/>
      <w:r>
        <w:rPr>
          <w:rFonts w:ascii="Times New Roman" w:eastAsia="Calibri" w:hAnsi="Times New Roman" w:cs="Times New Roman"/>
        </w:rPr>
        <w:t xml:space="preserve"> yra baltas arba beveik baltas iki šviesiai gelsvos spalvos, homogeniškas gelis, be matomų dalelių ar gumulėlių, su būdingu kvapu.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Kartoninėje dėžutėje yra padengta laku aliuminio </w:t>
      </w:r>
      <w:proofErr w:type="spellStart"/>
      <w:r>
        <w:rPr>
          <w:rFonts w:ascii="Times New Roman" w:eastAsia="Calibri" w:hAnsi="Times New Roman" w:cs="Times New Roman"/>
        </w:rPr>
        <w:t>tūbelėsu</w:t>
      </w:r>
      <w:proofErr w:type="spellEnd"/>
      <w:r>
        <w:rPr>
          <w:rFonts w:ascii="Times New Roman" w:eastAsia="Calibri" w:hAnsi="Times New Roman" w:cs="Times New Roman"/>
        </w:rPr>
        <w:t xml:space="preserve"> plastikiniu uždoriu, kurioje yra 60 g arba 120 g gelio.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Gali būti tiekiamos ne visų dydžių pakuotės.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spacing w:line="220" w:lineRule="exact"/>
        <w:ind w:left="0" w:firstLine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Registruotojas ir gamintojas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Krka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d.d</w:t>
      </w:r>
      <w:proofErr w:type="spellEnd"/>
      <w:r>
        <w:rPr>
          <w:rFonts w:ascii="Times New Roman" w:eastAsia="Calibri" w:hAnsi="Times New Roman" w:cs="Times New Roman"/>
        </w:rPr>
        <w:t xml:space="preserve">., Novo mesto, </w:t>
      </w:r>
      <w:proofErr w:type="spellStart"/>
      <w:r>
        <w:rPr>
          <w:rFonts w:ascii="Times New Roman" w:eastAsia="Calibri" w:hAnsi="Times New Roman" w:cs="Times New Roman"/>
        </w:rPr>
        <w:t>Šmarješka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cesta</w:t>
      </w:r>
      <w:proofErr w:type="spellEnd"/>
      <w:r>
        <w:rPr>
          <w:rFonts w:ascii="Times New Roman" w:eastAsia="Calibri" w:hAnsi="Times New Roman" w:cs="Times New Roman"/>
        </w:rPr>
        <w:t xml:space="preserve"> 6, 8501 Novo mesto, Slovėnija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apie šį vaistą norite sužinoti daugiau, kreipkitės į vietinį registruotojo atstovą.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UAB KRKA Lietuva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Senasis Ukmergės kelias 4, 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Užubalių</w:t>
      </w:r>
      <w:proofErr w:type="spellEnd"/>
      <w:r>
        <w:rPr>
          <w:rFonts w:ascii="Times New Roman" w:eastAsia="Calibri" w:hAnsi="Times New Roman" w:cs="Times New Roman"/>
        </w:rPr>
        <w:t xml:space="preserve"> km., Vilniaus r. 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LT - 14013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Tel. + 370 5 236 27 40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b/>
        </w:rPr>
        <w:t>Šis pakuotės lapelis paskutinį kartą peržiūrėtas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>2018-11-30.</w:t>
      </w: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 xml:space="preserve">Išsami informacija apie šį vaistą pateikiama Valstybinės vaistų kontrolės tarnybos prie Lietuvos Respublikos sveikatos apsaugos ministerijos </w:t>
      </w:r>
      <w:r>
        <w:rPr>
          <w:rFonts w:ascii="Times New Roman" w:eastAsia="Calibri" w:hAnsi="Times New Roman" w:cs="Times New Roman"/>
        </w:rPr>
        <w:t>tinklalapyje</w:t>
      </w:r>
      <w:r>
        <w:rPr>
          <w:rFonts w:ascii="Times New Roman" w:eastAsia="Calibri" w:hAnsi="Times New Roman" w:cs="Times New Roman"/>
          <w:noProof/>
        </w:rPr>
        <w:t xml:space="preserve"> </w:t>
      </w:r>
      <w:hyperlink r:id="rId8" w:history="1">
        <w:r>
          <w:rPr>
            <w:rStyle w:val="Hipersaitas"/>
            <w:rFonts w:ascii="Times New Roman" w:eastAsia="Calibri" w:hAnsi="Times New Roman" w:cs="Times New Roman"/>
            <w:noProof/>
          </w:rPr>
          <w:t>http://www.vvkt.lt/</w:t>
        </w:r>
      </w:hyperlink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  <w:noProof/>
          <w:color w:val="0000FF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  <w:permStart w:id="1635456617" w:edGrp="everyone"/>
      <w:permEnd w:id="1635456617"/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:rsidR="00D2360D" w:rsidRDefault="00D2360D" w:rsidP="00D2360D">
      <w:pPr>
        <w:rPr>
          <w:rFonts w:ascii="Times New Roman" w:hAnsi="Times New Roman" w:cs="Times New Roman"/>
        </w:rPr>
      </w:pPr>
    </w:p>
    <w:p w:rsidR="00AA1D8D" w:rsidRDefault="00AA1D8D">
      <w:bookmarkStart w:id="4" w:name="_GoBack"/>
      <w:bookmarkEnd w:id="4"/>
    </w:p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567" w:hanging="567"/>
      </w:pPr>
      <w:rPr>
        <w:rFonts w:cs="Times New Roman"/>
      </w:rPr>
    </w:lvl>
  </w:abstractNum>
  <w:abstractNum w:abstractNumId="1" w15:restartNumberingAfterBreak="0">
    <w:nsid w:val="06163C4D"/>
    <w:multiLevelType w:val="hybridMultilevel"/>
    <w:tmpl w:val="3A482F08"/>
    <w:lvl w:ilvl="0" w:tplc="B14AEF66">
      <w:start w:val="1"/>
      <w:numFmt w:val="bullet"/>
      <w:lvlText w:val="-"/>
      <w:lvlJc w:val="left"/>
      <w:pPr>
        <w:ind w:left="1077" w:hanging="360"/>
      </w:pPr>
    </w:lvl>
    <w:lvl w:ilvl="1" w:tplc="042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3EC48C8"/>
    <w:multiLevelType w:val="hybridMultilevel"/>
    <w:tmpl w:val="B8148B1C"/>
    <w:lvl w:ilvl="0" w:tplc="B14AEF66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CE88F53C"/>
    <w:lvl w:ilvl="0" w:tplc="A37691A6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626C8"/>
    <w:multiLevelType w:val="hybridMultilevel"/>
    <w:tmpl w:val="19BA5566"/>
    <w:lvl w:ilvl="0" w:tplc="B14AEF66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30290"/>
    <w:multiLevelType w:val="hybridMultilevel"/>
    <w:tmpl w:val="1C346BE0"/>
    <w:lvl w:ilvl="0" w:tplc="B14AEF66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A1648"/>
    <w:multiLevelType w:val="singleLevel"/>
    <w:tmpl w:val="B14AEF6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0D"/>
    <w:rsid w:val="007D2E28"/>
    <w:rsid w:val="00AA1D8D"/>
    <w:rsid w:val="00D2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98CA8-B2F8-49AD-B3A6-0188B898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360D"/>
    <w:pPr>
      <w:spacing w:after="0" w:line="240" w:lineRule="auto"/>
      <w:ind w:left="567" w:hanging="56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360D"/>
    <w:pPr>
      <w:ind w:left="720"/>
      <w:contextualSpacing/>
    </w:pPr>
  </w:style>
  <w:style w:type="paragraph" w:customStyle="1" w:styleId="BT-EMEASMCA">
    <w:name w:val="BT- EMEA_SMCA"/>
    <w:basedOn w:val="prastasis"/>
    <w:autoRedefine/>
    <w:rsid w:val="00D2360D"/>
    <w:pPr>
      <w:numPr>
        <w:numId w:val="1"/>
      </w:numPr>
      <w:tabs>
        <w:tab w:val="num" w:pos="567"/>
      </w:tabs>
      <w:ind w:left="567" w:hanging="567"/>
    </w:pPr>
    <w:rPr>
      <w:rFonts w:ascii="Times New Roman" w:eastAsia="Calibri" w:hAnsi="Times New Roman" w:cs="Times New Roman"/>
      <w:b/>
      <w:noProof/>
    </w:rPr>
  </w:style>
  <w:style w:type="character" w:styleId="Hipersaitas">
    <w:name w:val="Hyperlink"/>
    <w:basedOn w:val="Numatytasispastraiposriftas"/>
    <w:uiPriority w:val="99"/>
    <w:semiHidden/>
    <w:unhideWhenUsed/>
    <w:rsid w:val="00D23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6136</Words>
  <Characters>3499</Characters>
  <Application>Microsoft Office Word</Application>
  <DocSecurity>0</DocSecurity>
  <Lines>29</Lines>
  <Paragraphs>19</Paragraphs>
  <ScaleCrop>false</ScaleCrop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Žentelienė</dc:creator>
  <cp:keywords/>
  <dc:description/>
  <cp:lastModifiedBy>Sigita Žentelienė</cp:lastModifiedBy>
  <cp:revision>1</cp:revision>
  <dcterms:created xsi:type="dcterms:W3CDTF">2019-05-29T08:13:00Z</dcterms:created>
  <dcterms:modified xsi:type="dcterms:W3CDTF">2019-05-29T08:13:00Z</dcterms:modified>
</cp:coreProperties>
</file>