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9E1E" w14:textId="77777777" w:rsidR="006C3C17" w:rsidRPr="006C3C17" w:rsidRDefault="006C3C17" w:rsidP="006C3C17">
      <w:pPr>
        <w:pStyle w:val="Pagrindinistekstas"/>
        <w:spacing w:after="0"/>
        <w:jc w:val="center"/>
        <w:rPr>
          <w:b/>
          <w:szCs w:val="22"/>
        </w:rPr>
      </w:pPr>
      <w:r w:rsidRPr="006C3C17">
        <w:rPr>
          <w:b/>
          <w:szCs w:val="22"/>
        </w:rPr>
        <w:t>Pakuotės lapelis: informacija vartotojui</w:t>
      </w:r>
    </w:p>
    <w:p w14:paraId="0A9DA2F1" w14:textId="77777777" w:rsidR="006C3C17" w:rsidRPr="006C3C17" w:rsidRDefault="006C3C17" w:rsidP="006C3C17">
      <w:pPr>
        <w:pStyle w:val="Pagrindinistekstas"/>
        <w:spacing w:after="0"/>
        <w:rPr>
          <w:szCs w:val="22"/>
        </w:rPr>
      </w:pPr>
    </w:p>
    <w:p w14:paraId="5C80BA4F" w14:textId="77777777" w:rsidR="006C3C17" w:rsidRPr="006C3C17" w:rsidRDefault="006C3C17" w:rsidP="006C3C17">
      <w:pPr>
        <w:numPr>
          <w:ilvl w:val="12"/>
          <w:numId w:val="0"/>
        </w:numPr>
        <w:suppressAutoHyphens/>
        <w:jc w:val="center"/>
        <w:rPr>
          <w:b/>
          <w:szCs w:val="22"/>
        </w:rPr>
      </w:pPr>
      <w:r w:rsidRPr="006C3C17">
        <w:rPr>
          <w:b/>
          <w:szCs w:val="22"/>
        </w:rPr>
        <w:t>BISEPTOL 80 mg/16 mg/ml koncentratas infuziniam tirpalui</w:t>
      </w:r>
    </w:p>
    <w:p w14:paraId="517862D5" w14:textId="77777777" w:rsidR="006C3C17" w:rsidRPr="006C3C17" w:rsidRDefault="006C3C17" w:rsidP="006C3C17">
      <w:pPr>
        <w:pStyle w:val="Pagrindinistekstas"/>
        <w:spacing w:after="0"/>
        <w:jc w:val="center"/>
        <w:rPr>
          <w:szCs w:val="22"/>
        </w:rPr>
      </w:pPr>
      <w:proofErr w:type="spellStart"/>
      <w:r w:rsidRPr="006C3C17">
        <w:rPr>
          <w:szCs w:val="22"/>
        </w:rPr>
        <w:t>sulfametoksazolas</w:t>
      </w:r>
      <w:proofErr w:type="spellEnd"/>
      <w:r w:rsidRPr="006C3C17">
        <w:rPr>
          <w:szCs w:val="22"/>
        </w:rPr>
        <w:t xml:space="preserve"> ir </w:t>
      </w:r>
      <w:proofErr w:type="spellStart"/>
      <w:r w:rsidRPr="006C3C17">
        <w:rPr>
          <w:szCs w:val="22"/>
        </w:rPr>
        <w:t>trimetoprimas</w:t>
      </w:r>
      <w:proofErr w:type="spellEnd"/>
    </w:p>
    <w:p w14:paraId="12746211" w14:textId="77777777" w:rsidR="006C3C17" w:rsidRPr="006C3C17" w:rsidRDefault="006C3C17" w:rsidP="006C3C17">
      <w:pPr>
        <w:pStyle w:val="Pagrindinistekstas"/>
        <w:spacing w:after="0"/>
        <w:rPr>
          <w:szCs w:val="22"/>
        </w:rPr>
      </w:pPr>
    </w:p>
    <w:p w14:paraId="15E2F41B" w14:textId="77777777" w:rsidR="006C3C17" w:rsidRPr="006C3C17" w:rsidRDefault="006C3C17" w:rsidP="006C3C17">
      <w:pPr>
        <w:rPr>
          <w:b/>
          <w:szCs w:val="22"/>
        </w:rPr>
      </w:pPr>
      <w:r w:rsidRPr="006C3C17">
        <w:rPr>
          <w:b/>
          <w:szCs w:val="22"/>
        </w:rPr>
        <w:t>Atidžiai perskaitykite visą šį lapelį, prieš pradėdami vartoti vaistą, nes jame pateikiama Jums svarbi informacija.</w:t>
      </w:r>
    </w:p>
    <w:p w14:paraId="3EBB5FB0" w14:textId="77777777" w:rsidR="006C3C17" w:rsidRPr="006C3C17" w:rsidRDefault="006C3C17" w:rsidP="006C3C17">
      <w:pPr>
        <w:ind w:left="567" w:hanging="567"/>
        <w:rPr>
          <w:szCs w:val="22"/>
        </w:rPr>
      </w:pPr>
      <w:r w:rsidRPr="006C3C17">
        <w:rPr>
          <w:szCs w:val="22"/>
        </w:rPr>
        <w:t>-</w:t>
      </w:r>
      <w:r w:rsidRPr="006C3C17">
        <w:rPr>
          <w:szCs w:val="22"/>
        </w:rPr>
        <w:tab/>
        <w:t>Neišmeskite šio lapelio, nes vėl gali prireikti jį perskaityti.</w:t>
      </w:r>
    </w:p>
    <w:p w14:paraId="3552BF66" w14:textId="77777777" w:rsidR="006C3C17" w:rsidRPr="006C3C17" w:rsidRDefault="006C3C17" w:rsidP="006C3C17">
      <w:pPr>
        <w:ind w:left="567" w:hanging="567"/>
        <w:rPr>
          <w:szCs w:val="22"/>
        </w:rPr>
      </w:pPr>
      <w:r w:rsidRPr="006C3C17">
        <w:rPr>
          <w:szCs w:val="22"/>
        </w:rPr>
        <w:t>-</w:t>
      </w:r>
      <w:r w:rsidRPr="006C3C17">
        <w:rPr>
          <w:szCs w:val="22"/>
        </w:rPr>
        <w:tab/>
        <w:t>Jeigu kiltų daugiau klausimų, kreipkitės į gydytoją, vaistininką arba slaugytoją.</w:t>
      </w:r>
    </w:p>
    <w:p w14:paraId="42858B70" w14:textId="77777777" w:rsidR="006C3C17" w:rsidRPr="006C3C17" w:rsidRDefault="006C3C17" w:rsidP="006C3C17">
      <w:pPr>
        <w:numPr>
          <w:ilvl w:val="0"/>
          <w:numId w:val="5"/>
        </w:numPr>
        <w:tabs>
          <w:tab w:val="left" w:pos="567"/>
        </w:tabs>
        <w:spacing w:line="260" w:lineRule="exact"/>
        <w:ind w:left="567" w:hanging="567"/>
        <w:rPr>
          <w:szCs w:val="22"/>
        </w:rPr>
      </w:pPr>
      <w:r w:rsidRPr="006C3C17">
        <w:rPr>
          <w:szCs w:val="22"/>
        </w:rPr>
        <w:t>Šis vaistas skirtas tik Jums, todėl kitiems žmonėms jo duoti negalima. Vaistas gali jiems pakenkti (net tiems, kurių ligos požymiai yra tokie patys kaip Jūsų).</w:t>
      </w:r>
    </w:p>
    <w:p w14:paraId="18432A4C" w14:textId="77777777" w:rsidR="006C3C17" w:rsidRPr="006C3C17" w:rsidRDefault="006C3C17" w:rsidP="006C3C17">
      <w:pPr>
        <w:numPr>
          <w:ilvl w:val="0"/>
          <w:numId w:val="5"/>
        </w:numPr>
        <w:tabs>
          <w:tab w:val="left" w:pos="567"/>
        </w:tabs>
        <w:spacing w:line="260" w:lineRule="exact"/>
        <w:ind w:left="567" w:hanging="567"/>
        <w:rPr>
          <w:szCs w:val="22"/>
        </w:rPr>
      </w:pPr>
      <w:r w:rsidRPr="006C3C17">
        <w:rPr>
          <w:szCs w:val="22"/>
        </w:rPr>
        <w:t xml:space="preserve">Jeigu pasireiškė šalutinis poveikis </w:t>
      </w:r>
      <w:r w:rsidRPr="006C3C17">
        <w:rPr>
          <w:noProof/>
          <w:szCs w:val="22"/>
        </w:rPr>
        <w:t>(net jeigu jis šiame lapelyje nenurodytas), kreipkitės į gydytoją, vaistininką arba slaugytoją. Žr. 4 skyrių.</w:t>
      </w:r>
    </w:p>
    <w:p w14:paraId="63BA5A95" w14:textId="77777777" w:rsidR="006C3C17" w:rsidRPr="006C3C17" w:rsidRDefault="006C3C17" w:rsidP="006C3C17">
      <w:pPr>
        <w:ind w:right="-2"/>
        <w:rPr>
          <w:szCs w:val="22"/>
        </w:rPr>
      </w:pPr>
    </w:p>
    <w:p w14:paraId="7F31F013" w14:textId="77777777" w:rsidR="006C3C17" w:rsidRPr="006C3C17" w:rsidRDefault="006C3C17" w:rsidP="006C3C17">
      <w:pPr>
        <w:pStyle w:val="Pagrindinistekstas"/>
        <w:spacing w:after="0"/>
        <w:rPr>
          <w:b/>
          <w:szCs w:val="22"/>
        </w:rPr>
      </w:pPr>
      <w:r w:rsidRPr="006C3C17">
        <w:rPr>
          <w:b/>
          <w:szCs w:val="22"/>
        </w:rPr>
        <w:t>Apie ką rašoma šiame lapelyje?</w:t>
      </w:r>
    </w:p>
    <w:p w14:paraId="39D402F6" w14:textId="77777777" w:rsidR="006C3C17" w:rsidRPr="006C3C17" w:rsidRDefault="006C3C17" w:rsidP="006C3C17">
      <w:pPr>
        <w:pStyle w:val="Pagrindinistekstas"/>
        <w:spacing w:after="0"/>
        <w:rPr>
          <w:szCs w:val="22"/>
        </w:rPr>
      </w:pPr>
    </w:p>
    <w:p w14:paraId="15826D2A" w14:textId="77777777" w:rsidR="006C3C17" w:rsidRPr="006C3C17" w:rsidRDefault="006C3C17" w:rsidP="006C3C17">
      <w:pPr>
        <w:pStyle w:val="Pagrindinistekstas"/>
        <w:tabs>
          <w:tab w:val="left" w:pos="567"/>
        </w:tabs>
        <w:spacing w:after="0"/>
        <w:rPr>
          <w:szCs w:val="22"/>
        </w:rPr>
      </w:pPr>
      <w:r w:rsidRPr="006C3C17">
        <w:rPr>
          <w:szCs w:val="22"/>
        </w:rPr>
        <w:t>1.</w:t>
      </w:r>
      <w:r w:rsidRPr="006C3C17">
        <w:rPr>
          <w:szCs w:val="22"/>
        </w:rPr>
        <w:tab/>
        <w:t>Kas yra BISEPTOL ir kam jis vartojamas</w:t>
      </w:r>
    </w:p>
    <w:p w14:paraId="47A296E9" w14:textId="77777777" w:rsidR="006C3C17" w:rsidRPr="006C3C17" w:rsidRDefault="006C3C17" w:rsidP="006C3C17">
      <w:pPr>
        <w:pStyle w:val="Pagrindinistekstas"/>
        <w:tabs>
          <w:tab w:val="left" w:pos="567"/>
        </w:tabs>
        <w:spacing w:after="0"/>
        <w:rPr>
          <w:szCs w:val="22"/>
        </w:rPr>
      </w:pPr>
      <w:r w:rsidRPr="006C3C17">
        <w:rPr>
          <w:szCs w:val="22"/>
        </w:rPr>
        <w:t>2.</w:t>
      </w:r>
      <w:r w:rsidRPr="006C3C17">
        <w:rPr>
          <w:szCs w:val="22"/>
        </w:rPr>
        <w:tab/>
        <w:t>Kas žinotina prieš vartojant BISEPTOL</w:t>
      </w:r>
    </w:p>
    <w:p w14:paraId="43843A64" w14:textId="77777777" w:rsidR="006C3C17" w:rsidRPr="006C3C17" w:rsidRDefault="006C3C17" w:rsidP="006C3C17">
      <w:pPr>
        <w:pStyle w:val="Pagrindinistekstas"/>
        <w:tabs>
          <w:tab w:val="left" w:pos="567"/>
        </w:tabs>
        <w:spacing w:after="0"/>
        <w:rPr>
          <w:szCs w:val="22"/>
        </w:rPr>
      </w:pPr>
      <w:r w:rsidRPr="006C3C17">
        <w:rPr>
          <w:szCs w:val="22"/>
        </w:rPr>
        <w:t>3.</w:t>
      </w:r>
      <w:r w:rsidRPr="006C3C17">
        <w:rPr>
          <w:szCs w:val="22"/>
        </w:rPr>
        <w:tab/>
        <w:t>Kaip vartoti BISEPTOL</w:t>
      </w:r>
    </w:p>
    <w:p w14:paraId="42C0EEB0" w14:textId="77777777" w:rsidR="006C3C17" w:rsidRPr="006C3C17" w:rsidRDefault="006C3C17" w:rsidP="006C3C17">
      <w:pPr>
        <w:pStyle w:val="Pagrindinistekstas"/>
        <w:tabs>
          <w:tab w:val="left" w:pos="567"/>
        </w:tabs>
        <w:spacing w:after="0"/>
        <w:rPr>
          <w:szCs w:val="22"/>
        </w:rPr>
      </w:pPr>
      <w:r w:rsidRPr="006C3C17">
        <w:rPr>
          <w:szCs w:val="22"/>
        </w:rPr>
        <w:t>4.</w:t>
      </w:r>
      <w:r w:rsidRPr="006C3C17">
        <w:rPr>
          <w:szCs w:val="22"/>
        </w:rPr>
        <w:tab/>
        <w:t>Galimas šalutinis poveikis</w:t>
      </w:r>
    </w:p>
    <w:p w14:paraId="7E91A00A" w14:textId="77777777" w:rsidR="006C3C17" w:rsidRPr="006C3C17" w:rsidRDefault="006C3C17" w:rsidP="006C3C17">
      <w:pPr>
        <w:pStyle w:val="Pagrindinistekstas"/>
        <w:tabs>
          <w:tab w:val="left" w:pos="567"/>
        </w:tabs>
        <w:spacing w:after="0"/>
        <w:rPr>
          <w:szCs w:val="22"/>
        </w:rPr>
      </w:pPr>
      <w:r w:rsidRPr="006C3C17">
        <w:rPr>
          <w:szCs w:val="22"/>
        </w:rPr>
        <w:t>5.</w:t>
      </w:r>
      <w:r w:rsidRPr="006C3C17">
        <w:rPr>
          <w:szCs w:val="22"/>
        </w:rPr>
        <w:tab/>
        <w:t>Kaip laikyti BISEPTOL</w:t>
      </w:r>
    </w:p>
    <w:p w14:paraId="33B59220" w14:textId="77777777" w:rsidR="006C3C17" w:rsidRPr="006C3C17" w:rsidRDefault="006C3C17" w:rsidP="006C3C17">
      <w:pPr>
        <w:pStyle w:val="Pagrindinistekstas"/>
        <w:tabs>
          <w:tab w:val="left" w:pos="567"/>
        </w:tabs>
        <w:spacing w:after="0"/>
        <w:rPr>
          <w:szCs w:val="22"/>
        </w:rPr>
      </w:pPr>
      <w:r w:rsidRPr="006C3C17">
        <w:rPr>
          <w:szCs w:val="22"/>
        </w:rPr>
        <w:t>6.</w:t>
      </w:r>
      <w:r w:rsidRPr="006C3C17">
        <w:rPr>
          <w:szCs w:val="22"/>
        </w:rPr>
        <w:tab/>
        <w:t>Pakuotės turinys ir kita informacija</w:t>
      </w:r>
    </w:p>
    <w:p w14:paraId="57B39E14" w14:textId="77777777" w:rsidR="006C3C17" w:rsidRPr="006C3C17" w:rsidRDefault="006C3C17" w:rsidP="006C3C17">
      <w:pPr>
        <w:pStyle w:val="Pagrindinistekstas"/>
        <w:spacing w:after="0"/>
        <w:rPr>
          <w:szCs w:val="22"/>
        </w:rPr>
      </w:pPr>
    </w:p>
    <w:p w14:paraId="20C457E8" w14:textId="77777777" w:rsidR="006C3C17" w:rsidRPr="006C3C17" w:rsidRDefault="006C3C17" w:rsidP="006C3C17">
      <w:pPr>
        <w:pStyle w:val="Pagrindinistekstas"/>
        <w:spacing w:after="0"/>
        <w:rPr>
          <w:szCs w:val="22"/>
        </w:rPr>
      </w:pPr>
    </w:p>
    <w:p w14:paraId="276D35AD" w14:textId="77777777" w:rsidR="006C3C17" w:rsidRPr="006C3C17" w:rsidRDefault="006C3C17" w:rsidP="006C3C17">
      <w:pPr>
        <w:pStyle w:val="Antrat2"/>
        <w:spacing w:before="0" w:after="0"/>
        <w:rPr>
          <w:rFonts w:ascii="Times New Roman" w:hAnsi="Times New Roman" w:cs="Times New Roman"/>
          <w:b/>
          <w:bCs/>
          <w:color w:val="auto"/>
          <w:sz w:val="22"/>
          <w:szCs w:val="22"/>
        </w:rPr>
      </w:pPr>
      <w:r w:rsidRPr="006C3C17">
        <w:rPr>
          <w:rFonts w:ascii="Times New Roman" w:hAnsi="Times New Roman" w:cs="Times New Roman"/>
          <w:b/>
          <w:bCs/>
          <w:color w:val="auto"/>
          <w:sz w:val="22"/>
          <w:szCs w:val="22"/>
        </w:rPr>
        <w:t>1.</w:t>
      </w:r>
      <w:r w:rsidRPr="006C3C17">
        <w:rPr>
          <w:rFonts w:ascii="Times New Roman" w:hAnsi="Times New Roman" w:cs="Times New Roman"/>
          <w:b/>
          <w:bCs/>
          <w:color w:val="auto"/>
          <w:sz w:val="22"/>
          <w:szCs w:val="22"/>
        </w:rPr>
        <w:tab/>
        <w:t>Kas yra BISEPTOL ir kam jis vartojamas</w:t>
      </w:r>
    </w:p>
    <w:p w14:paraId="23B0F1E2" w14:textId="77777777" w:rsidR="006C3C17" w:rsidRPr="006C3C17" w:rsidRDefault="006C3C17" w:rsidP="006C3C17">
      <w:pPr>
        <w:rPr>
          <w:szCs w:val="22"/>
        </w:rPr>
      </w:pPr>
    </w:p>
    <w:p w14:paraId="563C423E" w14:textId="77777777" w:rsidR="006C3C17" w:rsidRPr="006C3C17" w:rsidRDefault="006C3C17" w:rsidP="006C3C17">
      <w:pPr>
        <w:rPr>
          <w:szCs w:val="22"/>
        </w:rPr>
      </w:pPr>
      <w:r w:rsidRPr="006C3C17">
        <w:rPr>
          <w:szCs w:val="22"/>
        </w:rPr>
        <w:t xml:space="preserve">BISEPTOL yra antibakterinis vaistas, kurio veiklioji medžiaga yra </w:t>
      </w:r>
      <w:proofErr w:type="spellStart"/>
      <w:r w:rsidRPr="006C3C17">
        <w:rPr>
          <w:szCs w:val="22"/>
        </w:rPr>
        <w:t>kotrimoksazolas</w:t>
      </w:r>
      <w:proofErr w:type="spellEnd"/>
      <w:r w:rsidRPr="006C3C17">
        <w:rPr>
          <w:szCs w:val="22"/>
        </w:rPr>
        <w:t xml:space="preserve"> – </w:t>
      </w:r>
      <w:proofErr w:type="spellStart"/>
      <w:r w:rsidRPr="006C3C17">
        <w:rPr>
          <w:szCs w:val="22"/>
        </w:rPr>
        <w:t>sulfametoksazolo</w:t>
      </w:r>
      <w:proofErr w:type="spellEnd"/>
      <w:r w:rsidRPr="006C3C17">
        <w:rPr>
          <w:szCs w:val="22"/>
        </w:rPr>
        <w:t xml:space="preserve"> bei </w:t>
      </w:r>
      <w:proofErr w:type="spellStart"/>
      <w:r w:rsidRPr="006C3C17">
        <w:rPr>
          <w:szCs w:val="22"/>
        </w:rPr>
        <w:t>trimetoprimo</w:t>
      </w:r>
      <w:proofErr w:type="spellEnd"/>
      <w:r w:rsidRPr="006C3C17">
        <w:rPr>
          <w:szCs w:val="22"/>
        </w:rPr>
        <w:t xml:space="preserve"> derinys (santykis 5:1). Šių dviejų medžiagų vartojant kartu, bakterijų atsparumas atsiranda rečiau negu tokiu atveju, jei veikliosios medžiagos vartojamos atskirai.</w:t>
      </w:r>
    </w:p>
    <w:p w14:paraId="60C627E0" w14:textId="77777777" w:rsidR="006C3C17" w:rsidRPr="006C3C17" w:rsidRDefault="006C3C17" w:rsidP="006C3C17">
      <w:pPr>
        <w:suppressAutoHyphens/>
        <w:rPr>
          <w:szCs w:val="22"/>
        </w:rPr>
      </w:pPr>
      <w:r w:rsidRPr="006C3C17">
        <w:rPr>
          <w:szCs w:val="22"/>
        </w:rPr>
        <w:t xml:space="preserve">Vaisto vartojama, jei </w:t>
      </w:r>
      <w:proofErr w:type="spellStart"/>
      <w:r w:rsidRPr="006C3C17">
        <w:rPr>
          <w:szCs w:val="22"/>
        </w:rPr>
        <w:t>mikrorganizmas</w:t>
      </w:r>
      <w:proofErr w:type="spellEnd"/>
      <w:r w:rsidRPr="006C3C17">
        <w:rPr>
          <w:szCs w:val="22"/>
        </w:rPr>
        <w:t xml:space="preserve"> nejautrus atskiriems antibakteriniams vaistams ir negalima arba nerekomenduojama skirti geriamos jo formos.</w:t>
      </w:r>
    </w:p>
    <w:p w14:paraId="2CF4B709" w14:textId="77777777" w:rsidR="006C3C17" w:rsidRPr="006C3C17" w:rsidRDefault="006C3C17" w:rsidP="006C3C17">
      <w:pPr>
        <w:pStyle w:val="Pagrindinistekstas"/>
        <w:spacing w:after="0"/>
        <w:rPr>
          <w:szCs w:val="22"/>
        </w:rPr>
      </w:pPr>
    </w:p>
    <w:p w14:paraId="431E9502" w14:textId="77777777" w:rsidR="006C3C17" w:rsidRPr="006C3C17" w:rsidRDefault="006C3C17" w:rsidP="006C3C17">
      <w:pPr>
        <w:pStyle w:val="Pagrindinistekstas"/>
        <w:spacing w:after="0"/>
        <w:rPr>
          <w:szCs w:val="22"/>
        </w:rPr>
      </w:pPr>
      <w:r w:rsidRPr="006C3C17">
        <w:rPr>
          <w:szCs w:val="22"/>
        </w:rPr>
        <w:t>BISEPTOL skirtas:</w:t>
      </w:r>
    </w:p>
    <w:p w14:paraId="0747452C" w14:textId="77777777" w:rsidR="006C3C17" w:rsidRPr="006C3C17" w:rsidRDefault="006C3C17" w:rsidP="006C3C17">
      <w:pPr>
        <w:numPr>
          <w:ilvl w:val="0"/>
          <w:numId w:val="6"/>
        </w:numPr>
        <w:tabs>
          <w:tab w:val="clear" w:pos="360"/>
          <w:tab w:val="num" w:pos="567"/>
        </w:tabs>
        <w:suppressAutoHyphens/>
        <w:ind w:left="567" w:hanging="567"/>
        <w:rPr>
          <w:szCs w:val="22"/>
        </w:rPr>
      </w:pPr>
      <w:r w:rsidRPr="006C3C17">
        <w:rPr>
          <w:szCs w:val="22"/>
        </w:rPr>
        <w:t>ūminės nekomplikuotos infekcinės šlapimo takų ligos gydymui;</w:t>
      </w:r>
    </w:p>
    <w:p w14:paraId="54355B7C" w14:textId="77777777" w:rsidR="006C3C17" w:rsidRPr="006C3C17" w:rsidRDefault="006C3C17" w:rsidP="006C3C17">
      <w:pPr>
        <w:numPr>
          <w:ilvl w:val="0"/>
          <w:numId w:val="6"/>
        </w:numPr>
        <w:tabs>
          <w:tab w:val="clear" w:pos="360"/>
          <w:tab w:val="num" w:pos="567"/>
        </w:tabs>
        <w:suppressAutoHyphens/>
        <w:ind w:left="567" w:hanging="567"/>
        <w:rPr>
          <w:szCs w:val="22"/>
        </w:rPr>
      </w:pPr>
      <w:proofErr w:type="spellStart"/>
      <w:r w:rsidRPr="006C3C17">
        <w:rPr>
          <w:i/>
          <w:szCs w:val="22"/>
        </w:rPr>
        <w:t>Pneumocystis</w:t>
      </w:r>
      <w:proofErr w:type="spellEnd"/>
      <w:r w:rsidRPr="006C3C17">
        <w:rPr>
          <w:i/>
          <w:szCs w:val="22"/>
        </w:rPr>
        <w:t xml:space="preserve"> </w:t>
      </w:r>
      <w:proofErr w:type="spellStart"/>
      <w:r w:rsidRPr="006C3C17">
        <w:rPr>
          <w:i/>
          <w:szCs w:val="22"/>
        </w:rPr>
        <w:t>jiroveci</w:t>
      </w:r>
      <w:proofErr w:type="spellEnd"/>
      <w:r w:rsidRPr="006C3C17">
        <w:rPr>
          <w:i/>
          <w:szCs w:val="22"/>
        </w:rPr>
        <w:t xml:space="preserve"> </w:t>
      </w:r>
      <w:r w:rsidRPr="006C3C17">
        <w:rPr>
          <w:szCs w:val="22"/>
        </w:rPr>
        <w:t>(anksčiau vadintos</w:t>
      </w:r>
      <w:r w:rsidRPr="006C3C17">
        <w:rPr>
          <w:i/>
          <w:szCs w:val="22"/>
        </w:rPr>
        <w:t xml:space="preserve"> P. </w:t>
      </w:r>
      <w:proofErr w:type="spellStart"/>
      <w:r w:rsidRPr="006C3C17">
        <w:rPr>
          <w:i/>
          <w:szCs w:val="22"/>
        </w:rPr>
        <w:t>carinii</w:t>
      </w:r>
      <w:proofErr w:type="spellEnd"/>
      <w:r w:rsidRPr="006C3C17">
        <w:rPr>
          <w:szCs w:val="22"/>
        </w:rPr>
        <w:t>)</w:t>
      </w:r>
      <w:r w:rsidRPr="006C3C17">
        <w:rPr>
          <w:i/>
          <w:szCs w:val="22"/>
        </w:rPr>
        <w:t xml:space="preserve"> </w:t>
      </w:r>
      <w:r w:rsidRPr="006C3C17">
        <w:rPr>
          <w:szCs w:val="22"/>
        </w:rPr>
        <w:t>sukeltos pneumonijos (PJP) gydymui ir profilaktikai;</w:t>
      </w:r>
    </w:p>
    <w:p w14:paraId="1E038E39" w14:textId="77777777" w:rsidR="006C3C17" w:rsidRPr="006C3C17" w:rsidRDefault="006C3C17" w:rsidP="006C3C17">
      <w:pPr>
        <w:numPr>
          <w:ilvl w:val="0"/>
          <w:numId w:val="6"/>
        </w:numPr>
        <w:tabs>
          <w:tab w:val="clear" w:pos="360"/>
          <w:tab w:val="num" w:pos="567"/>
        </w:tabs>
        <w:suppressAutoHyphens/>
        <w:ind w:left="567" w:hanging="567"/>
        <w:rPr>
          <w:szCs w:val="22"/>
        </w:rPr>
      </w:pPr>
      <w:r w:rsidRPr="006C3C17">
        <w:rPr>
          <w:szCs w:val="22"/>
        </w:rPr>
        <w:t>toksoplazmozės gydymui ir profilaktikai (jei yra padidėjusi šios ligos rizika);</w:t>
      </w:r>
    </w:p>
    <w:p w14:paraId="0973E2F3" w14:textId="77777777" w:rsidR="006C3C17" w:rsidRPr="006C3C17" w:rsidRDefault="006C3C17" w:rsidP="006C3C17">
      <w:pPr>
        <w:numPr>
          <w:ilvl w:val="0"/>
          <w:numId w:val="6"/>
        </w:numPr>
        <w:tabs>
          <w:tab w:val="clear" w:pos="360"/>
          <w:tab w:val="num" w:pos="567"/>
        </w:tabs>
        <w:suppressAutoHyphens/>
        <w:ind w:left="567" w:hanging="567"/>
        <w:rPr>
          <w:szCs w:val="22"/>
        </w:rPr>
      </w:pPr>
      <w:proofErr w:type="spellStart"/>
      <w:r w:rsidRPr="006C3C17">
        <w:rPr>
          <w:szCs w:val="22"/>
        </w:rPr>
        <w:t>nokardiozės</w:t>
      </w:r>
      <w:proofErr w:type="spellEnd"/>
      <w:r w:rsidRPr="006C3C17">
        <w:rPr>
          <w:szCs w:val="22"/>
        </w:rPr>
        <w:t xml:space="preserve"> gydymui.</w:t>
      </w:r>
    </w:p>
    <w:p w14:paraId="3DD62745" w14:textId="77777777" w:rsidR="006C3C17" w:rsidRPr="006C3C17" w:rsidRDefault="006C3C17" w:rsidP="006C3C17">
      <w:pPr>
        <w:pStyle w:val="Pagrindinistekstas"/>
        <w:spacing w:after="0"/>
        <w:rPr>
          <w:szCs w:val="22"/>
        </w:rPr>
      </w:pPr>
    </w:p>
    <w:p w14:paraId="5BAD553C" w14:textId="77777777" w:rsidR="006C3C17" w:rsidRPr="006C3C17" w:rsidRDefault="006C3C17" w:rsidP="006C3C17">
      <w:pPr>
        <w:pStyle w:val="Pagrindinistekstas"/>
        <w:spacing w:after="0"/>
        <w:rPr>
          <w:bCs/>
          <w:szCs w:val="22"/>
        </w:rPr>
      </w:pPr>
      <w:r w:rsidRPr="006C3C17">
        <w:rPr>
          <w:szCs w:val="22"/>
          <w:lang w:eastAsia="sv-SE"/>
        </w:rPr>
        <w:t>BISEPTOL skirtas suaugusiesiems, paaugliams, vaikams ir vyresniems kaip 6 savaičių kūdikiams.</w:t>
      </w:r>
    </w:p>
    <w:p w14:paraId="23ABD077" w14:textId="77777777" w:rsidR="006C3C17" w:rsidRPr="006C3C17" w:rsidRDefault="006C3C17" w:rsidP="006C3C17">
      <w:pPr>
        <w:pStyle w:val="Pagrindinistekstas"/>
        <w:spacing w:after="0"/>
        <w:rPr>
          <w:szCs w:val="22"/>
        </w:rPr>
      </w:pPr>
    </w:p>
    <w:p w14:paraId="11692DC4" w14:textId="77777777" w:rsidR="006C3C17" w:rsidRPr="006C3C17" w:rsidRDefault="006C3C17" w:rsidP="006C3C17">
      <w:pPr>
        <w:pStyle w:val="Pagrindinistekstas"/>
        <w:spacing w:after="0"/>
        <w:rPr>
          <w:szCs w:val="22"/>
        </w:rPr>
      </w:pPr>
    </w:p>
    <w:p w14:paraId="0B0D6517" w14:textId="77777777" w:rsidR="006C3C17" w:rsidRPr="006C3C17" w:rsidRDefault="006C3C17" w:rsidP="006C3C17">
      <w:pPr>
        <w:pStyle w:val="Antrat2"/>
        <w:spacing w:before="0" w:after="0"/>
        <w:rPr>
          <w:rFonts w:ascii="Times New Roman" w:hAnsi="Times New Roman" w:cs="Times New Roman"/>
          <w:b/>
          <w:bCs/>
          <w:color w:val="auto"/>
          <w:sz w:val="22"/>
          <w:szCs w:val="22"/>
        </w:rPr>
      </w:pPr>
      <w:r w:rsidRPr="006C3C17">
        <w:rPr>
          <w:rFonts w:ascii="Times New Roman" w:hAnsi="Times New Roman" w:cs="Times New Roman"/>
          <w:b/>
          <w:bCs/>
          <w:color w:val="auto"/>
          <w:sz w:val="22"/>
          <w:szCs w:val="22"/>
        </w:rPr>
        <w:t>2.</w:t>
      </w:r>
      <w:r w:rsidRPr="006C3C17">
        <w:rPr>
          <w:rFonts w:ascii="Times New Roman" w:hAnsi="Times New Roman" w:cs="Times New Roman"/>
          <w:b/>
          <w:bCs/>
          <w:color w:val="auto"/>
          <w:sz w:val="22"/>
          <w:szCs w:val="22"/>
        </w:rPr>
        <w:tab/>
        <w:t>Kas žinotina prieš vartojant BISEPTOL</w:t>
      </w:r>
    </w:p>
    <w:p w14:paraId="1BEBCF44" w14:textId="77777777" w:rsidR="006C3C17" w:rsidRPr="006C3C17" w:rsidRDefault="006C3C17" w:rsidP="006C3C17">
      <w:pPr>
        <w:pStyle w:val="Pagrindinistekstas"/>
        <w:spacing w:after="0"/>
        <w:rPr>
          <w:szCs w:val="22"/>
        </w:rPr>
      </w:pPr>
    </w:p>
    <w:p w14:paraId="407B281D" w14:textId="77777777" w:rsidR="006C3C17" w:rsidRPr="006C3C17" w:rsidRDefault="006C3C17" w:rsidP="006C3C17">
      <w:pPr>
        <w:pStyle w:val="Antrat3"/>
        <w:spacing w:before="0" w:after="0"/>
        <w:rPr>
          <w:rFonts w:cs="Times New Roman"/>
          <w:b/>
          <w:bCs/>
          <w:color w:val="auto"/>
          <w:sz w:val="22"/>
          <w:szCs w:val="22"/>
        </w:rPr>
      </w:pPr>
      <w:r w:rsidRPr="006C3C17">
        <w:rPr>
          <w:rFonts w:cs="Times New Roman"/>
          <w:b/>
          <w:bCs/>
          <w:color w:val="auto"/>
          <w:sz w:val="22"/>
          <w:szCs w:val="22"/>
        </w:rPr>
        <w:t>BISEPTOL vartoti draudžiama:</w:t>
      </w:r>
    </w:p>
    <w:p w14:paraId="4FBEB428" w14:textId="77777777" w:rsidR="006C3C17" w:rsidRPr="006C3C17" w:rsidRDefault="006C3C17" w:rsidP="006C3C17">
      <w:pPr>
        <w:numPr>
          <w:ilvl w:val="0"/>
          <w:numId w:val="1"/>
        </w:numPr>
        <w:tabs>
          <w:tab w:val="clear" w:pos="360"/>
          <w:tab w:val="num" w:pos="567"/>
        </w:tabs>
        <w:suppressAutoHyphens/>
        <w:ind w:left="567" w:hanging="567"/>
        <w:rPr>
          <w:szCs w:val="22"/>
        </w:rPr>
      </w:pPr>
      <w:r w:rsidRPr="006C3C17">
        <w:rPr>
          <w:szCs w:val="22"/>
        </w:rPr>
        <w:t xml:space="preserve">jeigu yra alergija </w:t>
      </w:r>
      <w:proofErr w:type="spellStart"/>
      <w:r w:rsidRPr="006C3C17">
        <w:rPr>
          <w:szCs w:val="22"/>
        </w:rPr>
        <w:t>sulfonamidams</w:t>
      </w:r>
      <w:proofErr w:type="spellEnd"/>
      <w:r w:rsidRPr="006C3C17">
        <w:rPr>
          <w:szCs w:val="22"/>
        </w:rPr>
        <w:t xml:space="preserve">, </w:t>
      </w:r>
      <w:proofErr w:type="spellStart"/>
      <w:r w:rsidRPr="006C3C17">
        <w:rPr>
          <w:szCs w:val="22"/>
        </w:rPr>
        <w:t>sulfametoksazolui</w:t>
      </w:r>
      <w:proofErr w:type="spellEnd"/>
      <w:r w:rsidRPr="006C3C17">
        <w:rPr>
          <w:szCs w:val="22"/>
        </w:rPr>
        <w:t xml:space="preserve">, </w:t>
      </w:r>
      <w:proofErr w:type="spellStart"/>
      <w:r w:rsidRPr="006C3C17">
        <w:rPr>
          <w:szCs w:val="22"/>
        </w:rPr>
        <w:t>trimetoprimui</w:t>
      </w:r>
      <w:proofErr w:type="spellEnd"/>
      <w:r w:rsidRPr="006C3C17">
        <w:rPr>
          <w:szCs w:val="22"/>
        </w:rPr>
        <w:t xml:space="preserve">, </w:t>
      </w:r>
      <w:proofErr w:type="spellStart"/>
      <w:r w:rsidRPr="006C3C17">
        <w:rPr>
          <w:szCs w:val="22"/>
        </w:rPr>
        <w:t>kotrimoksazolui</w:t>
      </w:r>
      <w:proofErr w:type="spellEnd"/>
      <w:r w:rsidRPr="006C3C17">
        <w:rPr>
          <w:szCs w:val="22"/>
        </w:rPr>
        <w:t xml:space="preserve"> arba bet kuriai pagalbinei šio vaisto medžiagai (jos išvardytos 6 skyriuje);</w:t>
      </w:r>
    </w:p>
    <w:p w14:paraId="62123147" w14:textId="77777777" w:rsidR="006C3C17" w:rsidRPr="006C3C17" w:rsidRDefault="006C3C17" w:rsidP="006C3C17">
      <w:pPr>
        <w:numPr>
          <w:ilvl w:val="0"/>
          <w:numId w:val="2"/>
        </w:numPr>
        <w:tabs>
          <w:tab w:val="clear" w:pos="360"/>
          <w:tab w:val="num" w:pos="567"/>
        </w:tabs>
        <w:suppressAutoHyphens/>
        <w:ind w:left="567" w:hanging="567"/>
        <w:rPr>
          <w:szCs w:val="22"/>
        </w:rPr>
      </w:pPr>
      <w:r w:rsidRPr="006C3C17">
        <w:rPr>
          <w:szCs w:val="22"/>
        </w:rPr>
        <w:t>jeigu yra sunki kepenų liga;</w:t>
      </w:r>
    </w:p>
    <w:p w14:paraId="6EF96D52" w14:textId="77777777" w:rsidR="006C3C17" w:rsidRPr="006C3C17" w:rsidRDefault="006C3C17" w:rsidP="006C3C17">
      <w:pPr>
        <w:numPr>
          <w:ilvl w:val="0"/>
          <w:numId w:val="2"/>
        </w:numPr>
        <w:tabs>
          <w:tab w:val="clear" w:pos="360"/>
          <w:tab w:val="num" w:pos="567"/>
        </w:tabs>
        <w:suppressAutoHyphens/>
        <w:ind w:left="567" w:hanging="567"/>
        <w:rPr>
          <w:szCs w:val="22"/>
        </w:rPr>
      </w:pPr>
      <w:r w:rsidRPr="006C3C17">
        <w:rPr>
          <w:szCs w:val="22"/>
        </w:rPr>
        <w:t>jeigu yra sunkus inkstų veiklos nepakankamumas ir neįmanoma atlikti pakartotinių vaisto koncentracijos plazmoje tyrimų;</w:t>
      </w:r>
    </w:p>
    <w:p w14:paraId="71E3DEA5" w14:textId="77777777" w:rsidR="006C3C17" w:rsidRPr="006C3C17" w:rsidRDefault="006C3C17" w:rsidP="006C3C17">
      <w:pPr>
        <w:numPr>
          <w:ilvl w:val="0"/>
          <w:numId w:val="2"/>
        </w:numPr>
        <w:tabs>
          <w:tab w:val="clear" w:pos="360"/>
          <w:tab w:val="num" w:pos="567"/>
        </w:tabs>
        <w:suppressAutoHyphens/>
        <w:ind w:left="567" w:hanging="567"/>
        <w:rPr>
          <w:szCs w:val="22"/>
        </w:rPr>
      </w:pPr>
      <w:r w:rsidRPr="006C3C17">
        <w:rPr>
          <w:szCs w:val="22"/>
        </w:rPr>
        <w:t xml:space="preserve">jeigu anksčiau pasireiškė vaistų sukeltų kraujo sutrikimų, sukeliančių mėlynes ar kraujavimą (imuninė </w:t>
      </w:r>
      <w:proofErr w:type="spellStart"/>
      <w:r w:rsidRPr="006C3C17">
        <w:rPr>
          <w:szCs w:val="22"/>
        </w:rPr>
        <w:t>trombocitopenija</w:t>
      </w:r>
      <w:proofErr w:type="spellEnd"/>
      <w:r w:rsidRPr="006C3C17">
        <w:rPr>
          <w:szCs w:val="22"/>
        </w:rPr>
        <w:t>);</w:t>
      </w:r>
    </w:p>
    <w:p w14:paraId="4DE14385" w14:textId="77777777" w:rsidR="006C3C17" w:rsidRPr="006C3C17" w:rsidRDefault="006C3C17" w:rsidP="006C3C17">
      <w:pPr>
        <w:numPr>
          <w:ilvl w:val="0"/>
          <w:numId w:val="2"/>
        </w:numPr>
        <w:tabs>
          <w:tab w:val="clear" w:pos="360"/>
          <w:tab w:val="num" w:pos="567"/>
        </w:tabs>
        <w:suppressAutoHyphens/>
        <w:ind w:left="567" w:hanging="567"/>
        <w:rPr>
          <w:szCs w:val="22"/>
        </w:rPr>
      </w:pPr>
      <w:r w:rsidRPr="006C3C17">
        <w:rPr>
          <w:szCs w:val="22"/>
        </w:rPr>
        <w:t xml:space="preserve">jeigu Jums sakė, kad turite retą kraujo sutrikimą, vadinamą </w:t>
      </w:r>
      <w:proofErr w:type="spellStart"/>
      <w:r w:rsidRPr="006C3C17">
        <w:rPr>
          <w:szCs w:val="22"/>
        </w:rPr>
        <w:t>porfirija</w:t>
      </w:r>
      <w:proofErr w:type="spellEnd"/>
      <w:r w:rsidRPr="006C3C17">
        <w:rPr>
          <w:szCs w:val="22"/>
        </w:rPr>
        <w:t>, kuri gali paveikti Jūsų odą bei nervų sistemą;</w:t>
      </w:r>
    </w:p>
    <w:p w14:paraId="55E82E97" w14:textId="77777777" w:rsidR="006C3C17" w:rsidRPr="006C3C17" w:rsidRDefault="006C3C17" w:rsidP="006C3C17">
      <w:pPr>
        <w:numPr>
          <w:ilvl w:val="0"/>
          <w:numId w:val="2"/>
        </w:numPr>
        <w:tabs>
          <w:tab w:val="clear" w:pos="360"/>
          <w:tab w:val="num" w:pos="567"/>
        </w:tabs>
        <w:suppressAutoHyphens/>
        <w:ind w:left="567" w:hanging="567"/>
        <w:rPr>
          <w:szCs w:val="22"/>
        </w:rPr>
      </w:pPr>
      <w:r w:rsidRPr="006C3C17">
        <w:rPr>
          <w:szCs w:val="22"/>
        </w:rPr>
        <w:lastRenderedPageBreak/>
        <w:t>jeigu pacientas yra jaunesnis kaip 6 savaičių kūdikis.</w:t>
      </w:r>
    </w:p>
    <w:p w14:paraId="47503890" w14:textId="77777777" w:rsidR="006C3C17" w:rsidRPr="006C3C17" w:rsidRDefault="006C3C17" w:rsidP="006C3C17">
      <w:pPr>
        <w:pStyle w:val="Pagrindinistekstas"/>
        <w:spacing w:after="0"/>
        <w:rPr>
          <w:szCs w:val="22"/>
        </w:rPr>
      </w:pPr>
    </w:p>
    <w:p w14:paraId="6B96C0C1" w14:textId="77777777" w:rsidR="006C3C17" w:rsidRPr="006C3C17" w:rsidRDefault="006C3C17" w:rsidP="006C3C17">
      <w:pPr>
        <w:pStyle w:val="Antrat3"/>
        <w:spacing w:before="0" w:after="0"/>
        <w:rPr>
          <w:rFonts w:cs="Times New Roman"/>
          <w:b/>
          <w:bCs/>
          <w:color w:val="auto"/>
          <w:sz w:val="22"/>
          <w:szCs w:val="22"/>
        </w:rPr>
      </w:pPr>
      <w:r w:rsidRPr="006C3C17">
        <w:rPr>
          <w:rFonts w:cs="Times New Roman"/>
          <w:b/>
          <w:bCs/>
          <w:color w:val="auto"/>
          <w:sz w:val="22"/>
          <w:szCs w:val="22"/>
        </w:rPr>
        <w:t>Įspėjimai ir atsargumo priemonės</w:t>
      </w:r>
    </w:p>
    <w:p w14:paraId="116DA128" w14:textId="77777777" w:rsidR="006C3C17" w:rsidRPr="006C3C17" w:rsidRDefault="006C3C17" w:rsidP="006C3C17">
      <w:pPr>
        <w:pStyle w:val="Antrat3"/>
        <w:spacing w:before="0" w:after="0"/>
        <w:rPr>
          <w:rFonts w:cs="Times New Roman"/>
          <w:b/>
          <w:bCs/>
          <w:color w:val="auto"/>
          <w:sz w:val="22"/>
          <w:szCs w:val="22"/>
        </w:rPr>
      </w:pPr>
      <w:r w:rsidRPr="006C3C17">
        <w:rPr>
          <w:rFonts w:cs="Times New Roman"/>
          <w:bCs/>
          <w:color w:val="auto"/>
          <w:sz w:val="22"/>
          <w:szCs w:val="22"/>
        </w:rPr>
        <w:t>Pasitarkite su gydytoju, vaistininku arba slaugytoju, prieš pradėdami vartoti BISEPTOL:</w:t>
      </w:r>
    </w:p>
    <w:p w14:paraId="35CC2485" w14:textId="77777777" w:rsidR="006C3C17" w:rsidRPr="006C3C17" w:rsidRDefault="006C3C17" w:rsidP="006C3C17">
      <w:pPr>
        <w:numPr>
          <w:ilvl w:val="0"/>
          <w:numId w:val="7"/>
        </w:numPr>
        <w:tabs>
          <w:tab w:val="clear" w:pos="360"/>
          <w:tab w:val="num" w:pos="284"/>
        </w:tabs>
        <w:suppressAutoHyphens/>
        <w:ind w:left="284" w:hanging="284"/>
        <w:rPr>
          <w:szCs w:val="22"/>
        </w:rPr>
      </w:pPr>
      <w:r w:rsidRPr="006C3C17">
        <w:rPr>
          <w:szCs w:val="22"/>
        </w:rPr>
        <w:t>jei vartojant BISEPTOL atsiranda išbėrimas, kitokia odos reakcija, pageltimas ar neįprastas kraujavimas (žr. informaciją žemiau);</w:t>
      </w:r>
    </w:p>
    <w:p w14:paraId="73A1C380" w14:textId="77777777" w:rsidR="006C3C17" w:rsidRPr="006C3C17" w:rsidRDefault="006C3C17" w:rsidP="006C3C17">
      <w:pPr>
        <w:numPr>
          <w:ilvl w:val="0"/>
          <w:numId w:val="7"/>
        </w:numPr>
        <w:tabs>
          <w:tab w:val="clear" w:pos="360"/>
          <w:tab w:val="num" w:pos="284"/>
        </w:tabs>
        <w:suppressAutoHyphens/>
        <w:ind w:left="567" w:hanging="567"/>
        <w:rPr>
          <w:szCs w:val="22"/>
        </w:rPr>
      </w:pPr>
      <w:r w:rsidRPr="006C3C17">
        <w:rPr>
          <w:szCs w:val="22"/>
        </w:rPr>
        <w:t>jei sergate širdies ar kvėpavimo sistemos liga;</w:t>
      </w:r>
    </w:p>
    <w:p w14:paraId="1FD606C1" w14:textId="77777777" w:rsidR="006C3C17" w:rsidRPr="006C3C17" w:rsidRDefault="006C3C17" w:rsidP="006C3C17">
      <w:pPr>
        <w:numPr>
          <w:ilvl w:val="0"/>
          <w:numId w:val="7"/>
        </w:numPr>
        <w:tabs>
          <w:tab w:val="clear" w:pos="360"/>
          <w:tab w:val="num" w:pos="284"/>
        </w:tabs>
        <w:suppressAutoHyphens/>
        <w:ind w:left="284" w:hanging="284"/>
        <w:rPr>
          <w:szCs w:val="22"/>
        </w:rPr>
      </w:pPr>
      <w:r w:rsidRPr="006C3C17">
        <w:rPr>
          <w:szCs w:val="22"/>
        </w:rPr>
        <w:t>jei yra inkstų veiklos sutrikimas arba jei esate vyresnis negu 65 metų (tokiu atveju BISEPTOL būtina vartoti atsargiai);</w:t>
      </w:r>
    </w:p>
    <w:p w14:paraId="70CDDA53" w14:textId="77777777" w:rsidR="006C3C17" w:rsidRPr="006C3C17" w:rsidRDefault="006C3C17" w:rsidP="006C3C17">
      <w:pPr>
        <w:numPr>
          <w:ilvl w:val="0"/>
          <w:numId w:val="7"/>
        </w:numPr>
        <w:tabs>
          <w:tab w:val="clear" w:pos="360"/>
          <w:tab w:val="num" w:pos="284"/>
        </w:tabs>
        <w:suppressAutoHyphens/>
        <w:ind w:left="284" w:hanging="284"/>
        <w:rPr>
          <w:szCs w:val="22"/>
        </w:rPr>
      </w:pPr>
      <w:r w:rsidRPr="006C3C17">
        <w:rPr>
          <w:szCs w:val="22"/>
        </w:rPr>
        <w:t>jeigu vaisto vartojama ilgą laiką (gydytojas gali norėti reguliariai kartą per mėnesį atlikti kraujo tyrimus);</w:t>
      </w:r>
    </w:p>
    <w:p w14:paraId="243D958B" w14:textId="77777777" w:rsidR="006C3C17" w:rsidRPr="006C3C17" w:rsidRDefault="006C3C17" w:rsidP="006C3C17">
      <w:pPr>
        <w:numPr>
          <w:ilvl w:val="0"/>
          <w:numId w:val="7"/>
        </w:numPr>
        <w:tabs>
          <w:tab w:val="clear" w:pos="360"/>
          <w:tab w:val="num" w:pos="284"/>
        </w:tabs>
        <w:suppressAutoHyphens/>
        <w:ind w:left="284" w:hanging="284"/>
        <w:rPr>
          <w:szCs w:val="22"/>
        </w:rPr>
      </w:pPr>
      <w:r w:rsidRPr="006C3C17">
        <w:rPr>
          <w:szCs w:val="22"/>
        </w:rPr>
        <w:t xml:space="preserve">jeigu yra </w:t>
      </w:r>
      <w:proofErr w:type="spellStart"/>
      <w:r w:rsidRPr="006C3C17">
        <w:rPr>
          <w:szCs w:val="22"/>
        </w:rPr>
        <w:t>folio</w:t>
      </w:r>
      <w:proofErr w:type="spellEnd"/>
      <w:r w:rsidRPr="006C3C17">
        <w:rPr>
          <w:szCs w:val="22"/>
        </w:rPr>
        <w:t xml:space="preserve"> rūgšties trūkumas, pvz., piktnaudžiaujama alkoholiu, vartojama vaistų nuo traukulių ar sutrikęs pasisavinimas iš virškinimo trakto;</w:t>
      </w:r>
    </w:p>
    <w:p w14:paraId="699EC4D8" w14:textId="77777777" w:rsidR="006C3C17" w:rsidRPr="006C3C17" w:rsidRDefault="006C3C17" w:rsidP="006C3C17">
      <w:pPr>
        <w:numPr>
          <w:ilvl w:val="0"/>
          <w:numId w:val="8"/>
        </w:numPr>
        <w:tabs>
          <w:tab w:val="clear" w:pos="360"/>
          <w:tab w:val="num" w:pos="284"/>
        </w:tabs>
        <w:suppressAutoHyphens/>
        <w:ind w:left="284" w:hanging="284"/>
        <w:rPr>
          <w:szCs w:val="22"/>
        </w:rPr>
      </w:pPr>
      <w:r w:rsidRPr="006C3C17">
        <w:rPr>
          <w:szCs w:val="22"/>
        </w:rPr>
        <w:t xml:space="preserve">jeigu yra fermento gliukozėse-6-fosfato </w:t>
      </w:r>
      <w:proofErr w:type="spellStart"/>
      <w:r w:rsidRPr="006C3C17">
        <w:rPr>
          <w:szCs w:val="22"/>
        </w:rPr>
        <w:t>dehidrogenazės</w:t>
      </w:r>
      <w:proofErr w:type="spellEnd"/>
      <w:r w:rsidRPr="006C3C17">
        <w:rPr>
          <w:szCs w:val="22"/>
        </w:rPr>
        <w:t xml:space="preserve"> trūkumas;</w:t>
      </w:r>
    </w:p>
    <w:p w14:paraId="0AF27A06" w14:textId="77777777" w:rsidR="006C3C17" w:rsidRPr="006C3C17" w:rsidRDefault="006C3C17" w:rsidP="006C3C17">
      <w:pPr>
        <w:numPr>
          <w:ilvl w:val="0"/>
          <w:numId w:val="9"/>
        </w:numPr>
        <w:tabs>
          <w:tab w:val="clear" w:pos="360"/>
          <w:tab w:val="num" w:pos="284"/>
        </w:tabs>
        <w:suppressAutoHyphens/>
        <w:ind w:left="567" w:hanging="567"/>
        <w:rPr>
          <w:szCs w:val="22"/>
        </w:rPr>
      </w:pPr>
      <w:r w:rsidRPr="006C3C17">
        <w:rPr>
          <w:szCs w:val="22"/>
        </w:rPr>
        <w:t>jeigu yra sunkių alergijos simptomų;</w:t>
      </w:r>
    </w:p>
    <w:p w14:paraId="133FECB5" w14:textId="77777777" w:rsidR="006C3C17" w:rsidRPr="006C3C17" w:rsidRDefault="006C3C17" w:rsidP="006C3C17">
      <w:pPr>
        <w:pStyle w:val="Pagrindiniotekstotrauka"/>
        <w:numPr>
          <w:ilvl w:val="0"/>
          <w:numId w:val="10"/>
        </w:numPr>
        <w:tabs>
          <w:tab w:val="clear" w:pos="360"/>
          <w:tab w:val="num" w:pos="284"/>
        </w:tabs>
        <w:suppressAutoHyphens/>
        <w:spacing w:after="0"/>
        <w:ind w:left="284" w:hanging="284"/>
        <w:rPr>
          <w:szCs w:val="22"/>
        </w:rPr>
      </w:pPr>
      <w:r w:rsidRPr="006C3C17">
        <w:rPr>
          <w:szCs w:val="22"/>
        </w:rPr>
        <w:t>jei yra sumažėjęs natrio ar padidėjęs kalio kiekis kraujyje.</w:t>
      </w:r>
      <w:r w:rsidRPr="006C3C17">
        <w:rPr>
          <w:rStyle w:val="Antrat1Diagrama"/>
          <w:rFonts w:ascii="Times New Roman" w:hAnsi="Times New Roman" w:cs="Times New Roman"/>
          <w:color w:val="auto"/>
          <w:sz w:val="22"/>
          <w:szCs w:val="22"/>
        </w:rPr>
        <w:t xml:space="preserve"> </w:t>
      </w:r>
      <w:r w:rsidRPr="006C3C17">
        <w:rPr>
          <w:rStyle w:val="tlid-translation"/>
          <w:szCs w:val="22"/>
        </w:rPr>
        <w:t xml:space="preserve">Vartojant kartu su kai kuriais vaistais, papildais su kaliu ir kalio turinčiu maistu, gali pasireikšti sunki </w:t>
      </w:r>
      <w:proofErr w:type="spellStart"/>
      <w:r w:rsidRPr="006C3C17">
        <w:rPr>
          <w:rStyle w:val="tlid-translation"/>
          <w:szCs w:val="22"/>
        </w:rPr>
        <w:t>hiperkalemija</w:t>
      </w:r>
      <w:proofErr w:type="spellEnd"/>
      <w:r w:rsidRPr="006C3C17">
        <w:rPr>
          <w:rStyle w:val="tlid-translation"/>
          <w:szCs w:val="22"/>
        </w:rPr>
        <w:t xml:space="preserve"> (padidėjęs kalio kiekis kraujyje). Sunkios </w:t>
      </w:r>
      <w:proofErr w:type="spellStart"/>
      <w:r w:rsidRPr="006C3C17">
        <w:rPr>
          <w:rStyle w:val="tlid-translation"/>
          <w:szCs w:val="22"/>
        </w:rPr>
        <w:t>hiperkalemijos</w:t>
      </w:r>
      <w:proofErr w:type="spellEnd"/>
      <w:r w:rsidRPr="006C3C17">
        <w:rPr>
          <w:rStyle w:val="tlid-translation"/>
          <w:szCs w:val="22"/>
        </w:rPr>
        <w:t xml:space="preserve"> simptomai gali būti raumenų mėšlungis, nereguliarus širdies ritmas, viduriavimas, pykinimas, galvos svaigimas ar galvos skausmas;</w:t>
      </w:r>
    </w:p>
    <w:p w14:paraId="16689BE5" w14:textId="77777777" w:rsidR="006C3C17" w:rsidRPr="006C3C17" w:rsidRDefault="006C3C17" w:rsidP="006C3C17">
      <w:pPr>
        <w:pStyle w:val="Pagrindiniotekstotrauka"/>
        <w:numPr>
          <w:ilvl w:val="0"/>
          <w:numId w:val="10"/>
        </w:numPr>
        <w:tabs>
          <w:tab w:val="clear" w:pos="360"/>
          <w:tab w:val="num" w:pos="284"/>
        </w:tabs>
        <w:suppressAutoHyphens/>
        <w:spacing w:after="0"/>
        <w:ind w:left="284" w:hanging="284"/>
        <w:rPr>
          <w:rStyle w:val="tlid-translation"/>
          <w:szCs w:val="22"/>
        </w:rPr>
      </w:pPr>
      <w:r w:rsidRPr="006C3C17">
        <w:rPr>
          <w:rStyle w:val="tlid-translation"/>
          <w:szCs w:val="22"/>
        </w:rPr>
        <w:t xml:space="preserve">jei turite sergate </w:t>
      </w:r>
      <w:proofErr w:type="spellStart"/>
      <w:r w:rsidRPr="006C3C17">
        <w:rPr>
          <w:rStyle w:val="tlid-translation"/>
          <w:szCs w:val="22"/>
        </w:rPr>
        <w:t>fenilketonurija</w:t>
      </w:r>
      <w:proofErr w:type="spellEnd"/>
      <w:r w:rsidRPr="006C3C17">
        <w:rPr>
          <w:rStyle w:val="tlid-translation"/>
          <w:szCs w:val="22"/>
        </w:rPr>
        <w:t>, ir nėra specialios dietos, kuri padėtų Jūsų būklei;</w:t>
      </w:r>
    </w:p>
    <w:p w14:paraId="46316640" w14:textId="77777777" w:rsidR="006C3C17" w:rsidRPr="006C3C17" w:rsidRDefault="006C3C17" w:rsidP="006C3C17">
      <w:pPr>
        <w:pStyle w:val="Pagrindiniotekstotrauka"/>
        <w:numPr>
          <w:ilvl w:val="0"/>
          <w:numId w:val="10"/>
        </w:numPr>
        <w:tabs>
          <w:tab w:val="clear" w:pos="360"/>
          <w:tab w:val="num" w:pos="284"/>
        </w:tabs>
        <w:suppressAutoHyphens/>
        <w:spacing w:after="0"/>
        <w:ind w:left="284" w:hanging="284"/>
        <w:rPr>
          <w:szCs w:val="22"/>
        </w:rPr>
      </w:pPr>
      <w:r w:rsidRPr="006C3C17">
        <w:rPr>
          <w:rStyle w:val="tlid-translation"/>
          <w:szCs w:val="22"/>
        </w:rPr>
        <w:t>jeigu yra sunkus kraujo sutrikimas, pvz., mažas raudonųjų kraujo kūnelių skaičius (anemija), mažas baltųjų kraujo kūnelių skaičius (</w:t>
      </w:r>
      <w:proofErr w:type="spellStart"/>
      <w:r w:rsidRPr="006C3C17">
        <w:rPr>
          <w:rStyle w:val="tlid-translation"/>
          <w:szCs w:val="22"/>
        </w:rPr>
        <w:t>leukopenija</w:t>
      </w:r>
      <w:proofErr w:type="spellEnd"/>
      <w:r w:rsidRPr="006C3C17">
        <w:rPr>
          <w:rStyle w:val="tlid-translation"/>
          <w:szCs w:val="22"/>
        </w:rPr>
        <w:t>) arba mažas trombocitų skaičius, dėl kurio gali pasireikšti kraujavimas ir mėlynės (</w:t>
      </w:r>
      <w:proofErr w:type="spellStart"/>
      <w:r w:rsidRPr="006C3C17">
        <w:rPr>
          <w:rStyle w:val="tlid-translation"/>
          <w:szCs w:val="22"/>
        </w:rPr>
        <w:t>trombocitopenija</w:t>
      </w:r>
      <w:proofErr w:type="spellEnd"/>
      <w:r w:rsidRPr="006C3C17">
        <w:rPr>
          <w:rStyle w:val="tlid-translation"/>
          <w:szCs w:val="22"/>
        </w:rPr>
        <w:t>).</w:t>
      </w:r>
    </w:p>
    <w:p w14:paraId="702C78B8" w14:textId="77777777" w:rsidR="006C3C17" w:rsidRPr="006C3C17" w:rsidRDefault="006C3C17" w:rsidP="006C3C17">
      <w:pPr>
        <w:pStyle w:val="Pagrindinistekstas2"/>
        <w:spacing w:after="0" w:line="240" w:lineRule="auto"/>
        <w:rPr>
          <w:szCs w:val="22"/>
        </w:rPr>
      </w:pPr>
    </w:p>
    <w:p w14:paraId="75201204" w14:textId="77777777" w:rsidR="006C3C17" w:rsidRPr="006C3C17" w:rsidRDefault="006C3C17" w:rsidP="006C3C17">
      <w:pPr>
        <w:tabs>
          <w:tab w:val="left" w:pos="0"/>
        </w:tabs>
        <w:suppressAutoHyphens/>
        <w:rPr>
          <w:szCs w:val="22"/>
          <w:lang w:eastAsia="zh-CN"/>
        </w:rPr>
      </w:pPr>
      <w:r w:rsidRPr="006C3C17">
        <w:rPr>
          <w:szCs w:val="22"/>
          <w:lang w:eastAsia="zh-CN"/>
        </w:rPr>
        <w:t xml:space="preserve">Vartojant </w:t>
      </w:r>
      <w:proofErr w:type="spellStart"/>
      <w:r w:rsidRPr="006C3C17">
        <w:rPr>
          <w:szCs w:val="22"/>
          <w:lang w:eastAsia="zh-CN"/>
        </w:rPr>
        <w:t>kotrimoksazolo</w:t>
      </w:r>
      <w:proofErr w:type="spellEnd"/>
      <w:r w:rsidRPr="006C3C17">
        <w:rPr>
          <w:szCs w:val="22"/>
          <w:lang w:eastAsia="zh-CN"/>
        </w:rPr>
        <w:t>, yra pranešta apie galimai gyvybei pavojingas odos reakcijas (</w:t>
      </w:r>
      <w:proofErr w:type="spellStart"/>
      <w:r w:rsidRPr="006C3C17">
        <w:rPr>
          <w:szCs w:val="22"/>
          <w:lang w:eastAsia="zh-CN"/>
        </w:rPr>
        <w:t>Stivenso</w:t>
      </w:r>
      <w:proofErr w:type="spellEnd"/>
      <w:r w:rsidRPr="006C3C17">
        <w:rPr>
          <w:szCs w:val="22"/>
          <w:lang w:eastAsia="zh-CN"/>
        </w:rPr>
        <w:t xml:space="preserve">-Džonsono sindromą, toksinę epidermio </w:t>
      </w:r>
      <w:proofErr w:type="spellStart"/>
      <w:r w:rsidRPr="006C3C17">
        <w:rPr>
          <w:szCs w:val="22"/>
          <w:lang w:eastAsia="zh-CN"/>
        </w:rPr>
        <w:t>nekrolizę</w:t>
      </w:r>
      <w:proofErr w:type="spellEnd"/>
      <w:r w:rsidRPr="006C3C17">
        <w:rPr>
          <w:szCs w:val="22"/>
          <w:lang w:eastAsia="zh-CN"/>
        </w:rPr>
        <w:t xml:space="preserve">), kurios pasireiškė liemens srityje kaip raudoni, į taikinius panašūs taškai ar apvalūs </w:t>
      </w:r>
      <w:proofErr w:type="spellStart"/>
      <w:r w:rsidRPr="006C3C17">
        <w:rPr>
          <w:szCs w:val="22"/>
          <w:lang w:eastAsia="zh-CN"/>
        </w:rPr>
        <w:t>plėmai</w:t>
      </w:r>
      <w:proofErr w:type="spellEnd"/>
      <w:r w:rsidRPr="006C3C17">
        <w:rPr>
          <w:szCs w:val="22"/>
          <w:lang w:eastAsia="zh-CN"/>
        </w:rPr>
        <w:t>, dažnai su pūsle viduryje.</w:t>
      </w:r>
    </w:p>
    <w:p w14:paraId="6A60284C" w14:textId="77777777" w:rsidR="006C3C17" w:rsidRPr="006C3C17" w:rsidRDefault="006C3C17" w:rsidP="006C3C17">
      <w:pPr>
        <w:tabs>
          <w:tab w:val="left" w:pos="0"/>
        </w:tabs>
        <w:suppressAutoHyphens/>
        <w:rPr>
          <w:szCs w:val="22"/>
          <w:lang w:eastAsia="zh-CN"/>
        </w:rPr>
      </w:pPr>
      <w:r w:rsidRPr="006C3C17">
        <w:rPr>
          <w:szCs w:val="22"/>
          <w:lang w:eastAsia="zh-CN"/>
        </w:rPr>
        <w:t>Kiti požymiai, į kuriuos reikia atkreipti dėmesį, yra burnos, gerklės, nosies, genitalijų opos ir konjunktyvitas (paraudusios ir patinusios akys).</w:t>
      </w:r>
    </w:p>
    <w:p w14:paraId="05F6EDC4" w14:textId="77777777" w:rsidR="006C3C17" w:rsidRPr="006C3C17" w:rsidRDefault="006C3C17" w:rsidP="006C3C17">
      <w:pPr>
        <w:tabs>
          <w:tab w:val="left" w:pos="0"/>
        </w:tabs>
        <w:suppressAutoHyphens/>
        <w:rPr>
          <w:szCs w:val="22"/>
          <w:lang w:eastAsia="zh-CN"/>
        </w:rPr>
      </w:pPr>
      <w:r w:rsidRPr="006C3C17">
        <w:rPr>
          <w:szCs w:val="22"/>
          <w:lang w:eastAsia="zh-CN"/>
        </w:rPr>
        <w:t xml:space="preserve">Šie galimai gyvybei pavojingi odos išbėrimai dažnai pasireiškia kartu su simptomais, panašiais į gripą. Išbėrimas gali progresuoti į išplitusį </w:t>
      </w:r>
      <w:proofErr w:type="spellStart"/>
      <w:r w:rsidRPr="006C3C17">
        <w:rPr>
          <w:szCs w:val="22"/>
          <w:lang w:eastAsia="zh-CN"/>
        </w:rPr>
        <w:t>pūslėtumą</w:t>
      </w:r>
      <w:proofErr w:type="spellEnd"/>
      <w:r w:rsidRPr="006C3C17">
        <w:rPr>
          <w:szCs w:val="22"/>
          <w:lang w:eastAsia="zh-CN"/>
        </w:rPr>
        <w:t xml:space="preserve"> ar odos lupimąsi.</w:t>
      </w:r>
    </w:p>
    <w:p w14:paraId="6D0C18DF" w14:textId="77777777" w:rsidR="006C3C17" w:rsidRPr="006C3C17" w:rsidRDefault="006C3C17" w:rsidP="006C3C17">
      <w:pPr>
        <w:tabs>
          <w:tab w:val="left" w:pos="0"/>
        </w:tabs>
        <w:suppressAutoHyphens/>
        <w:rPr>
          <w:szCs w:val="22"/>
          <w:lang w:eastAsia="zh-CN"/>
        </w:rPr>
      </w:pPr>
      <w:r w:rsidRPr="006C3C17">
        <w:rPr>
          <w:szCs w:val="22"/>
          <w:lang w:eastAsia="zh-CN"/>
        </w:rPr>
        <w:t>Didžiausia sunkių odos reakcijų pasireiškimo rizika yra pirmosiomis gydymo savaitėmis.</w:t>
      </w:r>
    </w:p>
    <w:p w14:paraId="04230459" w14:textId="77777777" w:rsidR="006C3C17" w:rsidRPr="006C3C17" w:rsidRDefault="006C3C17" w:rsidP="006C3C17">
      <w:pPr>
        <w:tabs>
          <w:tab w:val="left" w:pos="0"/>
        </w:tabs>
        <w:suppressAutoHyphens/>
        <w:rPr>
          <w:szCs w:val="22"/>
          <w:lang w:eastAsia="zh-CN"/>
        </w:rPr>
      </w:pPr>
      <w:r w:rsidRPr="006C3C17">
        <w:rPr>
          <w:szCs w:val="22"/>
          <w:lang w:eastAsia="zh-CN"/>
        </w:rPr>
        <w:t xml:space="preserve">Jeigu vartojant BISEPTOL Jums pasireiškė </w:t>
      </w:r>
      <w:proofErr w:type="spellStart"/>
      <w:r w:rsidRPr="006C3C17">
        <w:rPr>
          <w:szCs w:val="22"/>
          <w:lang w:eastAsia="zh-CN"/>
        </w:rPr>
        <w:t>Stivenso</w:t>
      </w:r>
      <w:proofErr w:type="spellEnd"/>
      <w:r w:rsidRPr="006C3C17">
        <w:rPr>
          <w:szCs w:val="22"/>
          <w:lang w:eastAsia="zh-CN"/>
        </w:rPr>
        <w:t xml:space="preserve">-Džonsono sindromas ar toksinė epidermio </w:t>
      </w:r>
      <w:proofErr w:type="spellStart"/>
      <w:r w:rsidRPr="006C3C17">
        <w:rPr>
          <w:szCs w:val="22"/>
          <w:lang w:eastAsia="zh-CN"/>
        </w:rPr>
        <w:t>nekrolizė</w:t>
      </w:r>
      <w:proofErr w:type="spellEnd"/>
      <w:r w:rsidRPr="006C3C17">
        <w:rPr>
          <w:szCs w:val="22"/>
          <w:lang w:eastAsia="zh-CN"/>
        </w:rPr>
        <w:t>, daugiau niekada negalite vartoti BISEPTOL.</w:t>
      </w:r>
    </w:p>
    <w:p w14:paraId="4E6A7C02" w14:textId="77777777" w:rsidR="006C3C17" w:rsidRPr="006C3C17" w:rsidRDefault="006C3C17" w:rsidP="006C3C17">
      <w:pPr>
        <w:tabs>
          <w:tab w:val="left" w:pos="0"/>
        </w:tabs>
        <w:suppressAutoHyphens/>
        <w:rPr>
          <w:szCs w:val="22"/>
          <w:lang w:eastAsia="zh-CN"/>
        </w:rPr>
      </w:pPr>
      <w:r w:rsidRPr="006C3C17">
        <w:rPr>
          <w:szCs w:val="22"/>
          <w:lang w:eastAsia="zh-CN"/>
        </w:rPr>
        <w:t>Jeigu Jus išberia ar pasireiškia šie odos simptomai, nedelsiant kreipkitės į gydytoją ir pasakykite, kad vartojate šio vaisto.</w:t>
      </w:r>
    </w:p>
    <w:p w14:paraId="662442F9" w14:textId="77777777" w:rsidR="006C3C17" w:rsidRPr="006C3C17" w:rsidRDefault="006C3C17" w:rsidP="006C3C17">
      <w:pPr>
        <w:pStyle w:val="Pagrindinistekstas2"/>
        <w:spacing w:after="0" w:line="240" w:lineRule="auto"/>
        <w:rPr>
          <w:szCs w:val="22"/>
        </w:rPr>
      </w:pPr>
    </w:p>
    <w:p w14:paraId="182A3A07" w14:textId="77777777" w:rsidR="006C3C17" w:rsidRPr="006C3C17" w:rsidRDefault="006C3C17" w:rsidP="006C3C17">
      <w:pPr>
        <w:pStyle w:val="Pagrindinistekstas2"/>
        <w:spacing w:after="0" w:line="240" w:lineRule="auto"/>
        <w:rPr>
          <w:szCs w:val="22"/>
        </w:rPr>
      </w:pPr>
      <w:r w:rsidRPr="006C3C17">
        <w:rPr>
          <w:szCs w:val="22"/>
        </w:rPr>
        <w:t xml:space="preserve">Gydymo laikotarpiu, siekiant sumažinti šalutinio poveikio pavojų, gydytojas gali nurodyti vartoti </w:t>
      </w:r>
      <w:proofErr w:type="spellStart"/>
      <w:r w:rsidRPr="006C3C17">
        <w:rPr>
          <w:szCs w:val="22"/>
        </w:rPr>
        <w:t>folatų</w:t>
      </w:r>
      <w:proofErr w:type="spellEnd"/>
      <w:r w:rsidRPr="006C3C17">
        <w:rPr>
          <w:szCs w:val="22"/>
        </w:rPr>
        <w:t xml:space="preserve"> papildų.</w:t>
      </w:r>
    </w:p>
    <w:p w14:paraId="2700E3C7" w14:textId="77777777" w:rsidR="006C3C17" w:rsidRPr="006C3C17" w:rsidRDefault="006C3C17" w:rsidP="006C3C17">
      <w:pPr>
        <w:pStyle w:val="Pagrindinistekstas2"/>
        <w:spacing w:after="0" w:line="240" w:lineRule="auto"/>
        <w:rPr>
          <w:szCs w:val="22"/>
        </w:rPr>
      </w:pPr>
      <w:r w:rsidRPr="006C3C17">
        <w:rPr>
          <w:szCs w:val="22"/>
        </w:rPr>
        <w:t>Jei BISEPTOL vartojimo laikotarpiu sumažėja išsiskiriančio šlapimo kiekis, būtina pasakyti gydytojui.</w:t>
      </w:r>
    </w:p>
    <w:p w14:paraId="682F1CD6" w14:textId="77777777" w:rsidR="006C3C17" w:rsidRPr="006C3C17" w:rsidRDefault="006C3C17" w:rsidP="006C3C17">
      <w:pPr>
        <w:pStyle w:val="Pagrindinistekstas"/>
        <w:spacing w:after="0"/>
        <w:rPr>
          <w:szCs w:val="22"/>
        </w:rPr>
      </w:pPr>
      <w:r w:rsidRPr="006C3C17">
        <w:rPr>
          <w:szCs w:val="22"/>
        </w:rPr>
        <w:t xml:space="preserve">Nustatyta, kad </w:t>
      </w:r>
      <w:proofErr w:type="spellStart"/>
      <w:r w:rsidRPr="006C3C17">
        <w:rPr>
          <w:szCs w:val="22"/>
        </w:rPr>
        <w:t>trimetoprimas</w:t>
      </w:r>
      <w:proofErr w:type="spellEnd"/>
      <w:r w:rsidRPr="006C3C17">
        <w:rPr>
          <w:szCs w:val="22"/>
        </w:rPr>
        <w:t xml:space="preserve"> slopina </w:t>
      </w:r>
      <w:proofErr w:type="spellStart"/>
      <w:r w:rsidRPr="006C3C17">
        <w:rPr>
          <w:szCs w:val="22"/>
        </w:rPr>
        <w:t>fenilalanino</w:t>
      </w:r>
      <w:proofErr w:type="spellEnd"/>
      <w:r w:rsidRPr="006C3C17">
        <w:rPr>
          <w:szCs w:val="22"/>
        </w:rPr>
        <w:t xml:space="preserve"> metabolizmą, tačiau </w:t>
      </w:r>
      <w:proofErr w:type="spellStart"/>
      <w:r w:rsidRPr="006C3C17">
        <w:rPr>
          <w:szCs w:val="22"/>
        </w:rPr>
        <w:t>fenilketonurija</w:t>
      </w:r>
      <w:proofErr w:type="spellEnd"/>
      <w:r w:rsidRPr="006C3C17">
        <w:rPr>
          <w:szCs w:val="22"/>
        </w:rPr>
        <w:t xml:space="preserve"> sergantiems ir tinkamos dietos besilaikantiems pacientams toks poveikis nereikšmingas. Žr. aukščiau „BISEPTOL vartoti negalima“.</w:t>
      </w:r>
    </w:p>
    <w:p w14:paraId="72722BE2" w14:textId="77777777" w:rsidR="006C3C17" w:rsidRPr="006C3C17" w:rsidRDefault="006C3C17" w:rsidP="006C3C17">
      <w:pPr>
        <w:pStyle w:val="Pagrindinistekstas2"/>
        <w:spacing w:after="0" w:line="240" w:lineRule="auto"/>
        <w:rPr>
          <w:szCs w:val="22"/>
        </w:rPr>
      </w:pPr>
      <w:r w:rsidRPr="006C3C17">
        <w:rPr>
          <w:szCs w:val="22"/>
        </w:rPr>
        <w:t xml:space="preserve">Jei gydantis šiuo vaistu atsiranda viduriavimas, būtina nutraukti jo vartojimą ir kreiptis į gydytoją, kadangi viduriavimas gali būti </w:t>
      </w:r>
      <w:proofErr w:type="spellStart"/>
      <w:r w:rsidRPr="006C3C17">
        <w:rPr>
          <w:szCs w:val="22"/>
        </w:rPr>
        <w:t>pseudomembraninio</w:t>
      </w:r>
      <w:proofErr w:type="spellEnd"/>
      <w:r w:rsidRPr="006C3C17">
        <w:rPr>
          <w:szCs w:val="22"/>
        </w:rPr>
        <w:t xml:space="preserve"> kolito (storosios žarnos uždegimo) požymis. Vartoti vaistų nuo viduriavimo tokiu atveju negalima.</w:t>
      </w:r>
    </w:p>
    <w:p w14:paraId="210A7DC1" w14:textId="77777777" w:rsidR="006C3C17" w:rsidRPr="006C3C17" w:rsidRDefault="006C3C17" w:rsidP="006C3C17">
      <w:pPr>
        <w:pStyle w:val="Pagrindinistekstas"/>
        <w:spacing w:after="0"/>
        <w:rPr>
          <w:szCs w:val="22"/>
        </w:rPr>
      </w:pPr>
    </w:p>
    <w:p w14:paraId="2A872A4F" w14:textId="77777777" w:rsidR="006C3C17" w:rsidRPr="006C3C17" w:rsidRDefault="006C3C17" w:rsidP="006C3C17">
      <w:pPr>
        <w:pStyle w:val="Pagrindinistekstas"/>
        <w:spacing w:after="0"/>
        <w:rPr>
          <w:szCs w:val="22"/>
        </w:rPr>
      </w:pPr>
      <w:r w:rsidRPr="006C3C17">
        <w:rPr>
          <w:szCs w:val="22"/>
        </w:rPr>
        <w:t xml:space="preserve">BISEPTOL vartojimo laikotarpiu gali pasunkėti </w:t>
      </w:r>
      <w:proofErr w:type="spellStart"/>
      <w:r w:rsidRPr="006C3C17">
        <w:rPr>
          <w:szCs w:val="22"/>
        </w:rPr>
        <w:t>porfirija</w:t>
      </w:r>
      <w:proofErr w:type="spellEnd"/>
      <w:r w:rsidRPr="006C3C17">
        <w:rPr>
          <w:szCs w:val="22"/>
        </w:rPr>
        <w:t xml:space="preserve"> (kraujo liga). Žr. aukščiau „BISEPTOL vartoti negalima“.</w:t>
      </w:r>
    </w:p>
    <w:p w14:paraId="1E6EE055" w14:textId="77777777" w:rsidR="006C3C17" w:rsidRPr="006C3C17" w:rsidRDefault="006C3C17" w:rsidP="006C3C17">
      <w:pPr>
        <w:pStyle w:val="Pagrindinistekstas"/>
        <w:spacing w:after="0"/>
        <w:rPr>
          <w:szCs w:val="22"/>
        </w:rPr>
      </w:pPr>
    </w:p>
    <w:p w14:paraId="1EA0E93C" w14:textId="77777777" w:rsidR="006C3C17" w:rsidRPr="006C3C17" w:rsidRDefault="006C3C17" w:rsidP="006C3C17">
      <w:pPr>
        <w:rPr>
          <w:szCs w:val="22"/>
        </w:rPr>
      </w:pPr>
      <w:r w:rsidRPr="006C3C17">
        <w:rPr>
          <w:szCs w:val="22"/>
        </w:rPr>
        <w:t>Jeigu Jums netikėtai pasunkėja kosulys ir dusulys, nedelsdami praneškite savo gydytojui.</w:t>
      </w:r>
    </w:p>
    <w:p w14:paraId="1E2059CC" w14:textId="77777777" w:rsidR="006C3C17" w:rsidRPr="006C3C17" w:rsidRDefault="006C3C17" w:rsidP="006C3C17">
      <w:pPr>
        <w:rPr>
          <w:szCs w:val="22"/>
        </w:rPr>
      </w:pPr>
    </w:p>
    <w:p w14:paraId="5A21A706" w14:textId="77777777" w:rsidR="006C3C17" w:rsidRPr="006C3C17" w:rsidRDefault="006C3C17" w:rsidP="006C3C17">
      <w:pPr>
        <w:keepNext/>
        <w:autoSpaceDE w:val="0"/>
        <w:autoSpaceDN w:val="0"/>
        <w:adjustRightInd w:val="0"/>
        <w:rPr>
          <w:rFonts w:eastAsia="Calibri"/>
          <w:szCs w:val="22"/>
        </w:rPr>
      </w:pPr>
      <w:proofErr w:type="spellStart"/>
      <w:r w:rsidRPr="006C3C17">
        <w:rPr>
          <w:rFonts w:eastAsia="Calibri"/>
          <w:szCs w:val="22"/>
        </w:rPr>
        <w:lastRenderedPageBreak/>
        <w:t>Hemofagocitinė</w:t>
      </w:r>
      <w:proofErr w:type="spellEnd"/>
      <w:r w:rsidRPr="006C3C17">
        <w:rPr>
          <w:rFonts w:eastAsia="Calibri"/>
          <w:szCs w:val="22"/>
        </w:rPr>
        <w:t xml:space="preserve"> </w:t>
      </w:r>
      <w:proofErr w:type="spellStart"/>
      <w:r w:rsidRPr="006C3C17">
        <w:rPr>
          <w:rFonts w:eastAsia="Calibri"/>
          <w:szCs w:val="22"/>
        </w:rPr>
        <w:t>limfohistiocitozė</w:t>
      </w:r>
      <w:proofErr w:type="spellEnd"/>
    </w:p>
    <w:p w14:paraId="581168B2" w14:textId="77777777" w:rsidR="006C3C17" w:rsidRPr="006C3C17" w:rsidRDefault="006C3C17" w:rsidP="006C3C17">
      <w:pPr>
        <w:keepNext/>
        <w:rPr>
          <w:rStyle w:val="tlid-translation"/>
          <w:szCs w:val="22"/>
        </w:rPr>
      </w:pPr>
      <w:r w:rsidRPr="006C3C17">
        <w:rPr>
          <w:rFonts w:eastAsia="Calibri"/>
          <w:szCs w:val="22"/>
        </w:rPr>
        <w:t>Labai retai gauta pranešimų apie stiprias imuninės sistemos reakcijas, pasireiškiančias dėl netinkamai reguliuojamo baltųjų kraujo ląstelių suaktyvėjimo (</w:t>
      </w:r>
      <w:proofErr w:type="spellStart"/>
      <w:r w:rsidRPr="006C3C17">
        <w:rPr>
          <w:rFonts w:eastAsia="Calibri"/>
          <w:szCs w:val="22"/>
        </w:rPr>
        <w:t>hemofagocitinės</w:t>
      </w:r>
      <w:proofErr w:type="spellEnd"/>
      <w:r w:rsidRPr="006C3C17">
        <w:rPr>
          <w:rFonts w:eastAsia="Calibri"/>
          <w:szCs w:val="22"/>
        </w:rPr>
        <w:t xml:space="preserve"> </w:t>
      </w:r>
      <w:proofErr w:type="spellStart"/>
      <w:r w:rsidRPr="006C3C17">
        <w:rPr>
          <w:rFonts w:eastAsia="Calibri"/>
          <w:szCs w:val="22"/>
        </w:rPr>
        <w:t>limfohistiocitozės</w:t>
      </w:r>
      <w:proofErr w:type="spellEnd"/>
      <w:r w:rsidRPr="006C3C17">
        <w:rPr>
          <w:rFonts w:eastAsia="Calibri"/>
          <w:szCs w:val="22"/>
        </w:rPr>
        <w:t>), kurio nediagnozavus ir negydant ankstyvame etape gali kilti pavojus paciento gyvybei. Jeigu Jums tuo pat metu arba kiek uždelstai pasireikštų keli simptomai, pvz., karščiavimas, liaukų patinimas, silpnumas, galvos svaigimas, dusulys, kraujosruvos ar odos išbėrimas, nedelsdami kreipkitės į savo gydytoją.</w:t>
      </w:r>
    </w:p>
    <w:p w14:paraId="2EEA5480" w14:textId="77777777" w:rsidR="006C3C17" w:rsidRPr="006C3C17" w:rsidRDefault="006C3C17" w:rsidP="006C3C17">
      <w:pPr>
        <w:pStyle w:val="Pagrindinistekstas"/>
        <w:spacing w:after="0"/>
        <w:rPr>
          <w:szCs w:val="22"/>
        </w:rPr>
      </w:pPr>
    </w:p>
    <w:p w14:paraId="6EB87230" w14:textId="77777777" w:rsidR="006C3C17" w:rsidRPr="006C3C17" w:rsidRDefault="006C3C17" w:rsidP="006C3C17">
      <w:pPr>
        <w:pStyle w:val="Antrat3"/>
        <w:spacing w:before="0" w:after="0"/>
        <w:rPr>
          <w:rFonts w:cs="Times New Roman"/>
          <w:b/>
          <w:bCs/>
          <w:color w:val="auto"/>
          <w:sz w:val="22"/>
          <w:szCs w:val="22"/>
        </w:rPr>
      </w:pPr>
      <w:r w:rsidRPr="006C3C17">
        <w:rPr>
          <w:rFonts w:cs="Times New Roman"/>
          <w:b/>
          <w:bCs/>
          <w:color w:val="auto"/>
          <w:sz w:val="22"/>
          <w:szCs w:val="22"/>
        </w:rPr>
        <w:t>Kiti vaistai ir BISEPTOL</w:t>
      </w:r>
    </w:p>
    <w:p w14:paraId="3501846A" w14:textId="77777777" w:rsidR="006C3C17" w:rsidRPr="006C3C17" w:rsidRDefault="006C3C17" w:rsidP="006C3C17">
      <w:pPr>
        <w:pStyle w:val="Pagrindinistekstas"/>
        <w:spacing w:after="0"/>
        <w:rPr>
          <w:szCs w:val="22"/>
        </w:rPr>
      </w:pPr>
      <w:r w:rsidRPr="006C3C17">
        <w:rPr>
          <w:szCs w:val="22"/>
        </w:rPr>
        <w:t>Jeigu vartojate ar neseniai vartojote kitų vaistų arba dėl to nesate tikri, apie tai pasakykite gydytojui arba vaistininkui.</w:t>
      </w:r>
    </w:p>
    <w:p w14:paraId="16419C6B" w14:textId="77777777" w:rsidR="006C3C17" w:rsidRPr="006C3C17" w:rsidRDefault="006C3C17" w:rsidP="006C3C17">
      <w:pPr>
        <w:pStyle w:val="Pagrindinistekstas"/>
        <w:spacing w:after="0"/>
        <w:rPr>
          <w:szCs w:val="22"/>
        </w:rPr>
      </w:pPr>
      <w:r w:rsidRPr="006C3C17">
        <w:rPr>
          <w:szCs w:val="22"/>
        </w:rPr>
        <w:t>Ypač svarbu pasakyti gydytojui, jei vartojate:</w:t>
      </w:r>
    </w:p>
    <w:p w14:paraId="6E1A7A67" w14:textId="77777777" w:rsidR="006C3C17" w:rsidRPr="006C3C17" w:rsidRDefault="006C3C17" w:rsidP="006C3C17">
      <w:pPr>
        <w:numPr>
          <w:ilvl w:val="0"/>
          <w:numId w:val="7"/>
        </w:numPr>
        <w:tabs>
          <w:tab w:val="clear" w:pos="360"/>
        </w:tabs>
        <w:suppressAutoHyphens/>
        <w:ind w:left="426" w:hanging="426"/>
        <w:rPr>
          <w:szCs w:val="22"/>
        </w:rPr>
      </w:pPr>
      <w:r w:rsidRPr="006C3C17">
        <w:rPr>
          <w:szCs w:val="22"/>
        </w:rPr>
        <w:t>šlapimo išsiskyrimą skatinančių vaistų (diuretikų);</w:t>
      </w:r>
    </w:p>
    <w:p w14:paraId="08D6B0D7" w14:textId="77777777" w:rsidR="006C3C17" w:rsidRPr="006C3C17" w:rsidRDefault="006C3C17" w:rsidP="006C3C17">
      <w:pPr>
        <w:numPr>
          <w:ilvl w:val="0"/>
          <w:numId w:val="7"/>
        </w:numPr>
        <w:tabs>
          <w:tab w:val="clear" w:pos="360"/>
          <w:tab w:val="num" w:pos="426"/>
        </w:tabs>
        <w:suppressAutoHyphens/>
        <w:ind w:left="567" w:hanging="567"/>
        <w:rPr>
          <w:szCs w:val="22"/>
        </w:rPr>
      </w:pPr>
      <w:r w:rsidRPr="006C3C17">
        <w:rPr>
          <w:szCs w:val="22"/>
        </w:rPr>
        <w:t>vaistų nuo maliarijos (</w:t>
      </w:r>
      <w:proofErr w:type="spellStart"/>
      <w:r w:rsidRPr="006C3C17">
        <w:rPr>
          <w:szCs w:val="22"/>
        </w:rPr>
        <w:t>pirimetamino</w:t>
      </w:r>
      <w:proofErr w:type="spellEnd"/>
      <w:r w:rsidRPr="006C3C17">
        <w:rPr>
          <w:szCs w:val="22"/>
        </w:rPr>
        <w:t>);</w:t>
      </w:r>
    </w:p>
    <w:p w14:paraId="2F4ADF7B" w14:textId="77777777" w:rsidR="006C3C17" w:rsidRPr="006C3C17" w:rsidRDefault="006C3C17" w:rsidP="006C3C17">
      <w:pPr>
        <w:numPr>
          <w:ilvl w:val="0"/>
          <w:numId w:val="7"/>
        </w:numPr>
        <w:tabs>
          <w:tab w:val="clear" w:pos="360"/>
          <w:tab w:val="num" w:pos="426"/>
        </w:tabs>
        <w:suppressAutoHyphens/>
        <w:ind w:left="567" w:hanging="567"/>
        <w:rPr>
          <w:szCs w:val="22"/>
        </w:rPr>
      </w:pPr>
      <w:proofErr w:type="spellStart"/>
      <w:r w:rsidRPr="006C3C17">
        <w:rPr>
          <w:szCs w:val="22"/>
        </w:rPr>
        <w:t>zidovudino</w:t>
      </w:r>
      <w:proofErr w:type="spellEnd"/>
      <w:r w:rsidRPr="006C3C17">
        <w:rPr>
          <w:szCs w:val="22"/>
        </w:rPr>
        <w:t xml:space="preserve"> (vaisto nuo ŽIV ligos);</w:t>
      </w:r>
    </w:p>
    <w:p w14:paraId="666C2E13" w14:textId="77777777" w:rsidR="006C3C17" w:rsidRPr="006C3C17" w:rsidRDefault="006C3C17" w:rsidP="006C3C17">
      <w:pPr>
        <w:numPr>
          <w:ilvl w:val="0"/>
          <w:numId w:val="7"/>
        </w:numPr>
        <w:tabs>
          <w:tab w:val="clear" w:pos="360"/>
          <w:tab w:val="num" w:pos="426"/>
        </w:tabs>
        <w:suppressAutoHyphens/>
        <w:ind w:left="567" w:hanging="567"/>
        <w:rPr>
          <w:szCs w:val="22"/>
        </w:rPr>
      </w:pPr>
      <w:proofErr w:type="spellStart"/>
      <w:r w:rsidRPr="006C3C17">
        <w:rPr>
          <w:szCs w:val="22"/>
        </w:rPr>
        <w:t>lamivudino</w:t>
      </w:r>
      <w:proofErr w:type="spellEnd"/>
      <w:r w:rsidRPr="006C3C17">
        <w:rPr>
          <w:szCs w:val="22"/>
        </w:rPr>
        <w:t xml:space="preserve"> (vaisto nuo virusų);</w:t>
      </w:r>
    </w:p>
    <w:p w14:paraId="5F30782D" w14:textId="77777777" w:rsidR="006C3C17" w:rsidRPr="006C3C17" w:rsidRDefault="006C3C17" w:rsidP="006C3C17">
      <w:pPr>
        <w:numPr>
          <w:ilvl w:val="0"/>
          <w:numId w:val="7"/>
        </w:numPr>
        <w:tabs>
          <w:tab w:val="clear" w:pos="360"/>
          <w:tab w:val="num" w:pos="426"/>
        </w:tabs>
        <w:suppressAutoHyphens/>
        <w:ind w:left="567" w:hanging="567"/>
        <w:rPr>
          <w:szCs w:val="22"/>
        </w:rPr>
      </w:pPr>
      <w:r w:rsidRPr="006C3C17">
        <w:rPr>
          <w:szCs w:val="22"/>
        </w:rPr>
        <w:t>kraujo krešėjimą slopinančių vaistų (varfarino);</w:t>
      </w:r>
    </w:p>
    <w:p w14:paraId="617F380D" w14:textId="77777777" w:rsidR="006C3C17" w:rsidRPr="006C3C17" w:rsidRDefault="006C3C17" w:rsidP="006C3C17">
      <w:pPr>
        <w:numPr>
          <w:ilvl w:val="0"/>
          <w:numId w:val="7"/>
        </w:numPr>
        <w:tabs>
          <w:tab w:val="clear" w:pos="360"/>
          <w:tab w:val="num" w:pos="426"/>
        </w:tabs>
        <w:suppressAutoHyphens/>
        <w:ind w:left="567" w:hanging="567"/>
        <w:rPr>
          <w:szCs w:val="22"/>
        </w:rPr>
      </w:pPr>
      <w:proofErr w:type="spellStart"/>
      <w:r w:rsidRPr="006C3C17">
        <w:rPr>
          <w:szCs w:val="22"/>
        </w:rPr>
        <w:t>fenitoino</w:t>
      </w:r>
      <w:proofErr w:type="spellEnd"/>
      <w:r w:rsidRPr="006C3C17">
        <w:rPr>
          <w:szCs w:val="22"/>
        </w:rPr>
        <w:t xml:space="preserve"> (vaisto nuo epilepsijos);</w:t>
      </w:r>
    </w:p>
    <w:p w14:paraId="68964587" w14:textId="77777777" w:rsidR="006C3C17" w:rsidRPr="006C3C17" w:rsidRDefault="006C3C17" w:rsidP="006C3C17">
      <w:pPr>
        <w:numPr>
          <w:ilvl w:val="0"/>
          <w:numId w:val="7"/>
        </w:numPr>
        <w:tabs>
          <w:tab w:val="clear" w:pos="360"/>
          <w:tab w:val="num" w:pos="426"/>
        </w:tabs>
        <w:suppressAutoHyphens/>
        <w:ind w:left="426" w:hanging="426"/>
        <w:rPr>
          <w:szCs w:val="22"/>
        </w:rPr>
      </w:pPr>
      <w:r w:rsidRPr="006C3C17">
        <w:rPr>
          <w:szCs w:val="22"/>
        </w:rPr>
        <w:t>vaistų nuo cukrinio diabeto (</w:t>
      </w:r>
      <w:proofErr w:type="spellStart"/>
      <w:r w:rsidRPr="006C3C17">
        <w:rPr>
          <w:szCs w:val="22"/>
        </w:rPr>
        <w:t>glibenklamido</w:t>
      </w:r>
      <w:proofErr w:type="spellEnd"/>
      <w:r w:rsidRPr="006C3C17">
        <w:rPr>
          <w:szCs w:val="22"/>
        </w:rPr>
        <w:t xml:space="preserve">, </w:t>
      </w:r>
      <w:proofErr w:type="spellStart"/>
      <w:r w:rsidRPr="006C3C17">
        <w:rPr>
          <w:szCs w:val="22"/>
        </w:rPr>
        <w:t>glipizido</w:t>
      </w:r>
      <w:proofErr w:type="spellEnd"/>
      <w:r w:rsidRPr="006C3C17">
        <w:rPr>
          <w:szCs w:val="22"/>
        </w:rPr>
        <w:t xml:space="preserve"> ar </w:t>
      </w:r>
      <w:proofErr w:type="spellStart"/>
      <w:r w:rsidRPr="006C3C17">
        <w:rPr>
          <w:szCs w:val="22"/>
        </w:rPr>
        <w:t>tolbutamido</w:t>
      </w:r>
      <w:proofErr w:type="spellEnd"/>
      <w:r w:rsidRPr="006C3C17">
        <w:rPr>
          <w:szCs w:val="22"/>
        </w:rPr>
        <w:t xml:space="preserve"> (</w:t>
      </w:r>
      <w:proofErr w:type="spellStart"/>
      <w:r w:rsidRPr="006C3C17">
        <w:rPr>
          <w:szCs w:val="22"/>
        </w:rPr>
        <w:t>s</w:t>
      </w:r>
      <w:r w:rsidRPr="006C3C17">
        <w:rPr>
          <w:rStyle w:val="tlid-translation"/>
          <w:szCs w:val="22"/>
        </w:rPr>
        <w:t>ulfonilkarbamido</w:t>
      </w:r>
      <w:proofErr w:type="spellEnd"/>
      <w:r w:rsidRPr="006C3C17">
        <w:rPr>
          <w:rStyle w:val="tlid-translation"/>
          <w:szCs w:val="22"/>
        </w:rPr>
        <w:t xml:space="preserve">) ir </w:t>
      </w:r>
      <w:proofErr w:type="spellStart"/>
      <w:r w:rsidRPr="006C3C17">
        <w:rPr>
          <w:rStyle w:val="tlid-translation"/>
          <w:szCs w:val="22"/>
        </w:rPr>
        <w:t>repaglinido</w:t>
      </w:r>
      <w:proofErr w:type="spellEnd"/>
      <w:r w:rsidRPr="006C3C17">
        <w:rPr>
          <w:rStyle w:val="tlid-translation"/>
          <w:szCs w:val="22"/>
        </w:rPr>
        <w:t>)</w:t>
      </w:r>
      <w:r w:rsidRPr="006C3C17">
        <w:rPr>
          <w:szCs w:val="22"/>
        </w:rPr>
        <w:t>;</w:t>
      </w:r>
    </w:p>
    <w:p w14:paraId="67F64114" w14:textId="77777777" w:rsidR="006C3C17" w:rsidRPr="006C3C17" w:rsidRDefault="006C3C17" w:rsidP="006C3C17">
      <w:pPr>
        <w:numPr>
          <w:ilvl w:val="0"/>
          <w:numId w:val="7"/>
        </w:numPr>
        <w:tabs>
          <w:tab w:val="clear" w:pos="360"/>
          <w:tab w:val="num" w:pos="426"/>
        </w:tabs>
        <w:suppressAutoHyphens/>
        <w:ind w:left="567" w:hanging="567"/>
        <w:rPr>
          <w:szCs w:val="22"/>
        </w:rPr>
      </w:pPr>
      <w:proofErr w:type="spellStart"/>
      <w:r w:rsidRPr="006C3C17">
        <w:rPr>
          <w:szCs w:val="22"/>
        </w:rPr>
        <w:t>rifampicino</w:t>
      </w:r>
      <w:proofErr w:type="spellEnd"/>
      <w:r w:rsidRPr="006C3C17">
        <w:rPr>
          <w:szCs w:val="22"/>
        </w:rPr>
        <w:t xml:space="preserve"> (vaisto nuo tuberkuliozės);</w:t>
      </w:r>
    </w:p>
    <w:p w14:paraId="6D2B91D3" w14:textId="77777777" w:rsidR="006C3C17" w:rsidRPr="006C3C17" w:rsidRDefault="006C3C17" w:rsidP="006C3C17">
      <w:pPr>
        <w:numPr>
          <w:ilvl w:val="0"/>
          <w:numId w:val="7"/>
        </w:numPr>
        <w:tabs>
          <w:tab w:val="clear" w:pos="360"/>
          <w:tab w:val="num" w:pos="426"/>
        </w:tabs>
        <w:suppressAutoHyphens/>
        <w:ind w:left="567" w:hanging="567"/>
        <w:rPr>
          <w:szCs w:val="22"/>
        </w:rPr>
      </w:pPr>
      <w:proofErr w:type="spellStart"/>
      <w:r w:rsidRPr="006C3C17">
        <w:rPr>
          <w:szCs w:val="22"/>
        </w:rPr>
        <w:t>ciklosporino</w:t>
      </w:r>
      <w:proofErr w:type="spellEnd"/>
      <w:r w:rsidRPr="006C3C17">
        <w:rPr>
          <w:szCs w:val="22"/>
        </w:rPr>
        <w:t xml:space="preserve"> (vaisto, vartojamo po organų persodinimo);</w:t>
      </w:r>
    </w:p>
    <w:p w14:paraId="3B864BA1" w14:textId="77777777" w:rsidR="006C3C17" w:rsidRPr="006C3C17" w:rsidRDefault="006C3C17" w:rsidP="006C3C17">
      <w:pPr>
        <w:numPr>
          <w:ilvl w:val="0"/>
          <w:numId w:val="7"/>
        </w:numPr>
        <w:tabs>
          <w:tab w:val="clear" w:pos="360"/>
          <w:tab w:val="num" w:pos="426"/>
        </w:tabs>
        <w:suppressAutoHyphens/>
        <w:ind w:left="567" w:hanging="567"/>
        <w:rPr>
          <w:szCs w:val="22"/>
        </w:rPr>
      </w:pPr>
      <w:proofErr w:type="spellStart"/>
      <w:r w:rsidRPr="006C3C17">
        <w:rPr>
          <w:szCs w:val="22"/>
        </w:rPr>
        <w:t>azatioprino</w:t>
      </w:r>
      <w:proofErr w:type="spellEnd"/>
      <w:r w:rsidRPr="006C3C17">
        <w:rPr>
          <w:szCs w:val="22"/>
        </w:rPr>
        <w:t xml:space="preserve"> (vaisto nuo imuninės sistemos sutrikimų);</w:t>
      </w:r>
    </w:p>
    <w:p w14:paraId="2A10429F" w14:textId="77777777" w:rsidR="006C3C17" w:rsidRPr="006C3C17" w:rsidRDefault="006C3C17" w:rsidP="006C3C17">
      <w:pPr>
        <w:numPr>
          <w:ilvl w:val="0"/>
          <w:numId w:val="7"/>
        </w:numPr>
        <w:tabs>
          <w:tab w:val="clear" w:pos="360"/>
        </w:tabs>
        <w:suppressAutoHyphens/>
        <w:ind w:left="426" w:hanging="426"/>
        <w:rPr>
          <w:szCs w:val="22"/>
        </w:rPr>
      </w:pPr>
      <w:proofErr w:type="spellStart"/>
      <w:r w:rsidRPr="006C3C17">
        <w:rPr>
          <w:szCs w:val="22"/>
        </w:rPr>
        <w:t>prokainamido</w:t>
      </w:r>
      <w:proofErr w:type="spellEnd"/>
      <w:r w:rsidRPr="006C3C17">
        <w:rPr>
          <w:szCs w:val="22"/>
        </w:rPr>
        <w:t xml:space="preserve"> (vaisto nuo širdies ritmo sutrikimo) ir </w:t>
      </w:r>
      <w:proofErr w:type="spellStart"/>
      <w:r w:rsidRPr="006C3C17">
        <w:rPr>
          <w:szCs w:val="22"/>
        </w:rPr>
        <w:t>amantadino</w:t>
      </w:r>
      <w:proofErr w:type="spellEnd"/>
      <w:r w:rsidRPr="006C3C17">
        <w:rPr>
          <w:szCs w:val="22"/>
        </w:rPr>
        <w:t xml:space="preserve"> (vaisto nuo virusinių ligų bei Parkinsono ligos);</w:t>
      </w:r>
    </w:p>
    <w:p w14:paraId="4CD88D27" w14:textId="77777777" w:rsidR="006C3C17" w:rsidRPr="006C3C17" w:rsidRDefault="006C3C17" w:rsidP="006C3C17">
      <w:pPr>
        <w:numPr>
          <w:ilvl w:val="0"/>
          <w:numId w:val="7"/>
        </w:numPr>
        <w:tabs>
          <w:tab w:val="clear" w:pos="360"/>
          <w:tab w:val="num" w:pos="426"/>
        </w:tabs>
        <w:suppressAutoHyphens/>
        <w:ind w:left="567" w:hanging="567"/>
        <w:rPr>
          <w:szCs w:val="22"/>
        </w:rPr>
      </w:pPr>
      <w:proofErr w:type="spellStart"/>
      <w:r w:rsidRPr="006C3C17">
        <w:rPr>
          <w:szCs w:val="22"/>
        </w:rPr>
        <w:t>digoksino</w:t>
      </w:r>
      <w:proofErr w:type="spellEnd"/>
      <w:r w:rsidRPr="006C3C17">
        <w:rPr>
          <w:szCs w:val="22"/>
        </w:rPr>
        <w:t xml:space="preserve"> (vaisto nuo širdies ligų);</w:t>
      </w:r>
    </w:p>
    <w:p w14:paraId="2AABDE45" w14:textId="77777777" w:rsidR="006C3C17" w:rsidRPr="006C3C17" w:rsidRDefault="006C3C17" w:rsidP="006C3C17">
      <w:pPr>
        <w:numPr>
          <w:ilvl w:val="0"/>
          <w:numId w:val="7"/>
        </w:numPr>
        <w:tabs>
          <w:tab w:val="clear" w:pos="360"/>
          <w:tab w:val="num" w:pos="426"/>
        </w:tabs>
        <w:suppressAutoHyphens/>
        <w:ind w:left="567" w:hanging="567"/>
        <w:rPr>
          <w:szCs w:val="22"/>
        </w:rPr>
      </w:pPr>
      <w:proofErr w:type="spellStart"/>
      <w:r w:rsidRPr="006C3C17">
        <w:rPr>
          <w:szCs w:val="22"/>
        </w:rPr>
        <w:t>metotreksato</w:t>
      </w:r>
      <w:proofErr w:type="spellEnd"/>
      <w:r w:rsidRPr="006C3C17">
        <w:rPr>
          <w:szCs w:val="22"/>
        </w:rPr>
        <w:t xml:space="preserve"> (vaisto nuo vėžinių bei imuninės sistemos sutrikimų);</w:t>
      </w:r>
    </w:p>
    <w:p w14:paraId="1E7AD363" w14:textId="77777777" w:rsidR="006C3C17" w:rsidRPr="006C3C17" w:rsidRDefault="006C3C17" w:rsidP="006C3C17">
      <w:pPr>
        <w:numPr>
          <w:ilvl w:val="0"/>
          <w:numId w:val="7"/>
        </w:numPr>
        <w:tabs>
          <w:tab w:val="clear" w:pos="360"/>
          <w:tab w:val="num" w:pos="426"/>
        </w:tabs>
        <w:suppressAutoHyphens/>
        <w:ind w:left="426" w:hanging="426"/>
        <w:rPr>
          <w:rStyle w:val="tlid-translation"/>
          <w:szCs w:val="22"/>
        </w:rPr>
      </w:pPr>
      <w:r w:rsidRPr="006C3C17">
        <w:rPr>
          <w:rStyle w:val="tlid-translation"/>
          <w:szCs w:val="22"/>
        </w:rPr>
        <w:t>vaistų, kurie gali padidinti kalio kiekį kraujyje, pvz., diuretikų, sulaikančių kalį organizme (</w:t>
      </w:r>
      <w:proofErr w:type="spellStart"/>
      <w:r w:rsidRPr="006C3C17">
        <w:rPr>
          <w:rStyle w:val="tlid-translation"/>
          <w:szCs w:val="22"/>
        </w:rPr>
        <w:t>spironolaktonas</w:t>
      </w:r>
      <w:proofErr w:type="spellEnd"/>
      <w:r w:rsidRPr="006C3C17">
        <w:rPr>
          <w:rStyle w:val="tlid-translation"/>
          <w:szCs w:val="22"/>
        </w:rPr>
        <w:t>), vaistų kraujospūdžiui mažinti, vadinamų AKF inhibitoriais;</w:t>
      </w:r>
    </w:p>
    <w:p w14:paraId="690C3A07" w14:textId="77777777" w:rsidR="006C3C17" w:rsidRPr="006C3C17" w:rsidRDefault="006C3C17" w:rsidP="006C3C17">
      <w:pPr>
        <w:numPr>
          <w:ilvl w:val="0"/>
          <w:numId w:val="7"/>
        </w:numPr>
        <w:tabs>
          <w:tab w:val="clear" w:pos="360"/>
          <w:tab w:val="num" w:pos="426"/>
        </w:tabs>
        <w:suppressAutoHyphens/>
        <w:ind w:left="567" w:hanging="567"/>
        <w:rPr>
          <w:rStyle w:val="tlid-translation"/>
          <w:szCs w:val="22"/>
        </w:rPr>
      </w:pPr>
      <w:r w:rsidRPr="006C3C17">
        <w:rPr>
          <w:rStyle w:val="tlid-translation"/>
          <w:szCs w:val="22"/>
        </w:rPr>
        <w:t>folinę rūgštį;</w:t>
      </w:r>
    </w:p>
    <w:p w14:paraId="151B202C" w14:textId="77777777" w:rsidR="006C3C17" w:rsidRPr="006C3C17" w:rsidRDefault="006C3C17" w:rsidP="006C3C17">
      <w:pPr>
        <w:numPr>
          <w:ilvl w:val="0"/>
          <w:numId w:val="7"/>
        </w:numPr>
        <w:tabs>
          <w:tab w:val="clear" w:pos="360"/>
          <w:tab w:val="num" w:pos="426"/>
        </w:tabs>
        <w:suppressAutoHyphens/>
        <w:ind w:left="567" w:hanging="567"/>
        <w:rPr>
          <w:szCs w:val="22"/>
        </w:rPr>
      </w:pPr>
      <w:r w:rsidRPr="006C3C17">
        <w:rPr>
          <w:rStyle w:val="tlid-translation"/>
          <w:szCs w:val="22"/>
        </w:rPr>
        <w:t>kontraceptikų.</w:t>
      </w:r>
    </w:p>
    <w:p w14:paraId="4CADF49A" w14:textId="77777777" w:rsidR="006C3C17" w:rsidRPr="006C3C17" w:rsidRDefault="006C3C17" w:rsidP="006C3C17">
      <w:pPr>
        <w:suppressAutoHyphens/>
        <w:rPr>
          <w:szCs w:val="22"/>
        </w:rPr>
      </w:pPr>
    </w:p>
    <w:p w14:paraId="488D8FC3" w14:textId="77777777" w:rsidR="006C3C17" w:rsidRPr="006C3C17" w:rsidRDefault="006C3C17" w:rsidP="006C3C17">
      <w:pPr>
        <w:ind w:left="567" w:hanging="567"/>
        <w:rPr>
          <w:b/>
          <w:szCs w:val="22"/>
        </w:rPr>
      </w:pPr>
      <w:r w:rsidRPr="006C3C17">
        <w:rPr>
          <w:b/>
          <w:szCs w:val="22"/>
        </w:rPr>
        <w:t>Nėštumas ir žindymo laikotarpis</w:t>
      </w:r>
    </w:p>
    <w:p w14:paraId="79D1012E" w14:textId="77777777" w:rsidR="006C3C17" w:rsidRPr="006C3C17" w:rsidRDefault="006C3C17" w:rsidP="006C3C17">
      <w:pPr>
        <w:rPr>
          <w:szCs w:val="22"/>
        </w:rPr>
      </w:pPr>
      <w:r w:rsidRPr="006C3C17">
        <w:rPr>
          <w:szCs w:val="22"/>
        </w:rPr>
        <w:t>Jeigu esate nėščia, žindote kūdikį, manote, kad galbūt esate nėščia, arba planuojate pastoti, tai prieš vartodama šį vaistą, pasitarkite su gydytoju arba vaistininku.</w:t>
      </w:r>
    </w:p>
    <w:p w14:paraId="62273DA4" w14:textId="77777777" w:rsidR="006C3C17" w:rsidRPr="006C3C17" w:rsidRDefault="006C3C17" w:rsidP="006C3C17">
      <w:pPr>
        <w:pStyle w:val="Pagrindinistekstas"/>
        <w:spacing w:after="0"/>
        <w:rPr>
          <w:szCs w:val="22"/>
        </w:rPr>
      </w:pPr>
      <w:r w:rsidRPr="006C3C17">
        <w:rPr>
          <w:szCs w:val="22"/>
        </w:rPr>
        <w:t>BISEPTOL nėštumo ir žindymo laikotarpiu galima vartoti tik gydytojo leidimu.</w:t>
      </w:r>
    </w:p>
    <w:p w14:paraId="1674A734" w14:textId="77777777" w:rsidR="006C3C17" w:rsidRPr="006C3C17" w:rsidRDefault="006C3C17" w:rsidP="006C3C17">
      <w:pPr>
        <w:pStyle w:val="Pagrindinistekstas"/>
        <w:spacing w:after="0"/>
        <w:rPr>
          <w:szCs w:val="22"/>
        </w:rPr>
      </w:pPr>
    </w:p>
    <w:p w14:paraId="143F3B94" w14:textId="77777777" w:rsidR="006C3C17" w:rsidRPr="006C3C17" w:rsidRDefault="006C3C17" w:rsidP="006C3C17">
      <w:pPr>
        <w:pStyle w:val="Antrat3"/>
        <w:spacing w:before="0" w:after="0"/>
        <w:rPr>
          <w:rFonts w:cs="Times New Roman"/>
          <w:b/>
          <w:bCs/>
          <w:color w:val="auto"/>
          <w:sz w:val="22"/>
          <w:szCs w:val="22"/>
        </w:rPr>
      </w:pPr>
      <w:r w:rsidRPr="006C3C17">
        <w:rPr>
          <w:rFonts w:cs="Times New Roman"/>
          <w:b/>
          <w:bCs/>
          <w:color w:val="auto"/>
          <w:sz w:val="22"/>
          <w:szCs w:val="22"/>
        </w:rPr>
        <w:t>Vairavimas ir mechanizmų valdymas</w:t>
      </w:r>
    </w:p>
    <w:p w14:paraId="58DD4D65" w14:textId="77777777" w:rsidR="006C3C17" w:rsidRPr="006C3C17" w:rsidRDefault="006C3C17" w:rsidP="006C3C17">
      <w:pPr>
        <w:rPr>
          <w:szCs w:val="22"/>
        </w:rPr>
      </w:pPr>
      <w:r w:rsidRPr="006C3C17">
        <w:rPr>
          <w:rStyle w:val="tlid-translation"/>
          <w:szCs w:val="22"/>
        </w:rPr>
        <w:t>Nebuvo atlikta jokių tyrimų, vertinančių vaisto poveikį vairavimui ar gebėjimui valdyti mechanizmus, tačiau tokio poveikio atmesti negalima, todėl būtinas atsargumas.</w:t>
      </w:r>
    </w:p>
    <w:p w14:paraId="3CEEF11C" w14:textId="77777777" w:rsidR="006C3C17" w:rsidRPr="006C3C17" w:rsidRDefault="006C3C17" w:rsidP="006C3C17">
      <w:pPr>
        <w:pStyle w:val="Pagrindinistekstas"/>
        <w:spacing w:after="0"/>
        <w:rPr>
          <w:szCs w:val="22"/>
        </w:rPr>
      </w:pPr>
    </w:p>
    <w:p w14:paraId="35A49BB6" w14:textId="77777777" w:rsidR="006C3C17" w:rsidRPr="006C3C17" w:rsidRDefault="006C3C17" w:rsidP="006C3C17">
      <w:pPr>
        <w:rPr>
          <w:b/>
          <w:szCs w:val="22"/>
        </w:rPr>
      </w:pPr>
      <w:r w:rsidRPr="006C3C17">
        <w:rPr>
          <w:b/>
          <w:szCs w:val="22"/>
        </w:rPr>
        <w:t xml:space="preserve">BISEPTOL sudėtyje yra </w:t>
      </w:r>
      <w:r w:rsidRPr="006C3C17">
        <w:rPr>
          <w:b/>
          <w:bCs/>
          <w:szCs w:val="22"/>
        </w:rPr>
        <w:t>etanolio</w:t>
      </w:r>
      <w:r w:rsidRPr="006C3C17">
        <w:rPr>
          <w:b/>
          <w:szCs w:val="22"/>
        </w:rPr>
        <w:t xml:space="preserve">, natrio ir </w:t>
      </w:r>
      <w:proofErr w:type="spellStart"/>
      <w:r w:rsidRPr="006C3C17">
        <w:rPr>
          <w:b/>
          <w:szCs w:val="22"/>
        </w:rPr>
        <w:t>propilenglikolio</w:t>
      </w:r>
      <w:proofErr w:type="spellEnd"/>
      <w:r w:rsidRPr="006C3C17">
        <w:rPr>
          <w:b/>
          <w:szCs w:val="22"/>
        </w:rPr>
        <w:t xml:space="preserve"> (E1520)</w:t>
      </w:r>
    </w:p>
    <w:p w14:paraId="06F6551C" w14:textId="77777777" w:rsidR="006C3C17" w:rsidRPr="006C3C17" w:rsidRDefault="006C3C17" w:rsidP="006C3C17">
      <w:pPr>
        <w:rPr>
          <w:rFonts w:eastAsia="Calibri"/>
          <w:szCs w:val="22"/>
          <w:lang w:eastAsia="en-US"/>
        </w:rPr>
      </w:pPr>
      <w:r w:rsidRPr="006C3C17">
        <w:rPr>
          <w:rFonts w:eastAsia="Calibri"/>
          <w:szCs w:val="22"/>
          <w:lang w:eastAsia="en-US"/>
        </w:rPr>
        <w:t>Šio vaistinio preparato 5 ml tirpalo yra 500 mg alkoholio (etanolio). Toks 5 ml vaisto esantis alkoholio kiekis atitinka 11,88 ml alaus ar 4,95 ml vyno.</w:t>
      </w:r>
    </w:p>
    <w:p w14:paraId="332BCB4B" w14:textId="77777777" w:rsidR="006C3C17" w:rsidRPr="006C3C17" w:rsidRDefault="006C3C17" w:rsidP="006C3C17">
      <w:pPr>
        <w:rPr>
          <w:rFonts w:eastAsia="Calibri"/>
          <w:szCs w:val="22"/>
        </w:rPr>
      </w:pPr>
      <w:r w:rsidRPr="006C3C17">
        <w:rPr>
          <w:rFonts w:eastAsia="Calibri"/>
          <w:szCs w:val="22"/>
        </w:rPr>
        <w:t>Alkoholio kiekis, esantis šio vaisto sudėtyje, nesukelia poveikio suaugusiesiems ir paaugliams, o poveikis vaikams, tikėtina, kad bus nepastebimas.</w:t>
      </w:r>
    </w:p>
    <w:p w14:paraId="3222D7F6" w14:textId="77777777" w:rsidR="006C3C17" w:rsidRPr="006C3C17" w:rsidRDefault="006C3C17" w:rsidP="006C3C17">
      <w:pPr>
        <w:rPr>
          <w:rFonts w:eastAsia="Calibri"/>
          <w:szCs w:val="22"/>
        </w:rPr>
      </w:pPr>
      <w:r w:rsidRPr="006C3C17">
        <w:rPr>
          <w:rFonts w:eastAsia="Calibri"/>
          <w:szCs w:val="22"/>
        </w:rPr>
        <w:t>Vis dėl to, mažiems vaikams toks alkoholio kiekis gali daryti nedidelį poveikį, pavyzdžiui, sukelti mieguistumą.</w:t>
      </w:r>
    </w:p>
    <w:p w14:paraId="7DC3B86D" w14:textId="77777777" w:rsidR="006C3C17" w:rsidRPr="006C3C17" w:rsidRDefault="006C3C17" w:rsidP="006C3C17">
      <w:pPr>
        <w:rPr>
          <w:rFonts w:eastAsia="Calibri"/>
          <w:szCs w:val="22"/>
        </w:rPr>
      </w:pPr>
      <w:r w:rsidRPr="006C3C17">
        <w:rPr>
          <w:rFonts w:eastAsia="Calibri"/>
          <w:szCs w:val="22"/>
        </w:rPr>
        <w:t>Alkoholio kiekis, esantis šio vaisto sudėtyje, gali keisti kitų vaistų poveikį. Jeigu vartojate kitų vaistų, pasitarkite su gydytoju arba vaistininku.</w:t>
      </w:r>
    </w:p>
    <w:p w14:paraId="5887396A" w14:textId="77777777" w:rsidR="006C3C17" w:rsidRPr="006C3C17" w:rsidRDefault="006C3C17" w:rsidP="006C3C17">
      <w:pPr>
        <w:rPr>
          <w:rFonts w:eastAsia="Calibri"/>
          <w:szCs w:val="22"/>
        </w:rPr>
      </w:pPr>
      <w:r w:rsidRPr="006C3C17">
        <w:rPr>
          <w:rFonts w:eastAsia="Calibri"/>
          <w:szCs w:val="22"/>
        </w:rPr>
        <w:t>Jeigu esate nėščia ar žindote kūdikį, prieš vartodami šį vaistą pasitarkite su gydytoju arba vaistininku.</w:t>
      </w:r>
    </w:p>
    <w:p w14:paraId="56B26F3F" w14:textId="77777777" w:rsidR="006C3C17" w:rsidRPr="006C3C17" w:rsidRDefault="006C3C17" w:rsidP="006C3C17">
      <w:pPr>
        <w:rPr>
          <w:rFonts w:eastAsia="Calibri"/>
          <w:szCs w:val="22"/>
        </w:rPr>
      </w:pPr>
      <w:r w:rsidRPr="006C3C17">
        <w:rPr>
          <w:rFonts w:eastAsia="Calibri"/>
          <w:szCs w:val="22"/>
        </w:rPr>
        <w:t xml:space="preserve">Jei </w:t>
      </w:r>
      <w:proofErr w:type="spellStart"/>
      <w:r w:rsidRPr="006C3C17">
        <w:rPr>
          <w:rFonts w:eastAsia="Calibri"/>
          <w:szCs w:val="22"/>
        </w:rPr>
        <w:t>estate</w:t>
      </w:r>
      <w:proofErr w:type="spellEnd"/>
      <w:r w:rsidRPr="006C3C17">
        <w:rPr>
          <w:rFonts w:eastAsia="Calibri"/>
          <w:szCs w:val="22"/>
        </w:rPr>
        <w:t xml:space="preserve"> priklausomas nuo alkoholio, prieš vartodami šį vaistą pasitarkite su gydytoju arba vaistininku.</w:t>
      </w:r>
    </w:p>
    <w:p w14:paraId="1662B8A1" w14:textId="77777777" w:rsidR="006C3C17" w:rsidRPr="006C3C17" w:rsidRDefault="006C3C17" w:rsidP="006C3C17">
      <w:pPr>
        <w:rPr>
          <w:bCs/>
          <w:szCs w:val="22"/>
        </w:rPr>
      </w:pPr>
    </w:p>
    <w:p w14:paraId="6451ABD0" w14:textId="77777777" w:rsidR="006C3C17" w:rsidRPr="006C3C17" w:rsidRDefault="006C3C17" w:rsidP="006C3C17">
      <w:pPr>
        <w:autoSpaceDE w:val="0"/>
        <w:autoSpaceDN w:val="0"/>
        <w:adjustRightInd w:val="0"/>
        <w:rPr>
          <w:rFonts w:eastAsia="Calibri"/>
          <w:szCs w:val="22"/>
          <w:lang w:eastAsia="en-US"/>
        </w:rPr>
      </w:pPr>
      <w:r w:rsidRPr="006C3C17">
        <w:rPr>
          <w:rFonts w:eastAsia="Calibri"/>
          <w:szCs w:val="22"/>
          <w:lang w:eastAsia="en-US"/>
        </w:rPr>
        <w:lastRenderedPageBreak/>
        <w:t>Šio vaisto 5 ml tirpalo yra 34,5 mg natrio. Tai atitinka 1,73 % didžiausios rekomenduojamos natrio paros normos suaugusiesiems.</w:t>
      </w:r>
    </w:p>
    <w:p w14:paraId="2C3934AA" w14:textId="77777777" w:rsidR="006C3C17" w:rsidRPr="006C3C17" w:rsidRDefault="006C3C17" w:rsidP="006C3C17">
      <w:pPr>
        <w:spacing w:line="100" w:lineRule="atLeast"/>
        <w:rPr>
          <w:szCs w:val="22"/>
        </w:rPr>
      </w:pPr>
      <w:r w:rsidRPr="006C3C17">
        <w:rPr>
          <w:szCs w:val="22"/>
        </w:rPr>
        <w:t>Prieš vartojimą šį vaistą reikia praskiesti (žr. žemiau esantį skyrių: Informacija sveikatos priežiūros specialistams). Apskaičiuojant bendrą natrio kiekį paruoštame tirpale, reikia atsižvelgti į bet kokį natrio kiekį skiediklyje. Norėdami gauti išsamesnės informacijos apie natrio kiekį skiediklyje, žiūrėkite gamintojo pateiktą produkto informaciją.</w:t>
      </w:r>
    </w:p>
    <w:p w14:paraId="29A61907" w14:textId="77777777" w:rsidR="006C3C17" w:rsidRPr="006C3C17" w:rsidRDefault="006C3C17" w:rsidP="006C3C17">
      <w:pPr>
        <w:autoSpaceDE w:val="0"/>
        <w:autoSpaceDN w:val="0"/>
        <w:adjustRightInd w:val="0"/>
        <w:rPr>
          <w:rFonts w:eastAsia="Calibri"/>
          <w:szCs w:val="22"/>
          <w:lang w:eastAsia="en-US"/>
        </w:rPr>
      </w:pPr>
    </w:p>
    <w:p w14:paraId="641AEF04" w14:textId="77777777" w:rsidR="006C3C17" w:rsidRPr="006C3C17" w:rsidRDefault="006C3C17" w:rsidP="006C3C17">
      <w:pPr>
        <w:autoSpaceDE w:val="0"/>
        <w:autoSpaceDN w:val="0"/>
        <w:adjustRightInd w:val="0"/>
        <w:rPr>
          <w:rFonts w:eastAsia="Calibri"/>
          <w:szCs w:val="22"/>
          <w:lang w:eastAsia="en-US"/>
        </w:rPr>
      </w:pPr>
      <w:r w:rsidRPr="006C3C17">
        <w:rPr>
          <w:rFonts w:eastAsia="Calibri"/>
          <w:szCs w:val="22"/>
          <w:lang w:eastAsia="en-US"/>
        </w:rPr>
        <w:t xml:space="preserve">Kiekviename šio vaisto mililitre yra 420 mg </w:t>
      </w:r>
      <w:proofErr w:type="spellStart"/>
      <w:r w:rsidRPr="006C3C17">
        <w:rPr>
          <w:rFonts w:eastAsia="Calibri"/>
          <w:szCs w:val="22"/>
          <w:lang w:eastAsia="en-US"/>
        </w:rPr>
        <w:t>propilenglikolio</w:t>
      </w:r>
      <w:proofErr w:type="spellEnd"/>
      <w:r w:rsidRPr="006C3C17">
        <w:rPr>
          <w:rFonts w:eastAsia="Calibri"/>
          <w:szCs w:val="22"/>
          <w:lang w:eastAsia="en-US"/>
        </w:rPr>
        <w:t>, tai atitinka 2100 mg/5 ml.</w:t>
      </w:r>
    </w:p>
    <w:p w14:paraId="7850659C" w14:textId="77777777" w:rsidR="006C3C17" w:rsidRPr="006C3C17" w:rsidRDefault="006C3C17" w:rsidP="006C3C17">
      <w:pPr>
        <w:autoSpaceDE w:val="0"/>
        <w:autoSpaceDN w:val="0"/>
        <w:adjustRightInd w:val="0"/>
        <w:rPr>
          <w:rFonts w:eastAsia="Calibri"/>
          <w:szCs w:val="22"/>
          <w:lang w:eastAsia="en-US"/>
        </w:rPr>
      </w:pPr>
      <w:r w:rsidRPr="006C3C17">
        <w:rPr>
          <w:rFonts w:eastAsia="Calibri"/>
          <w:szCs w:val="22"/>
          <w:lang w:eastAsia="en-US"/>
        </w:rPr>
        <w:t xml:space="preserve">Jeigu Jūsų vaikas yra jaunesnis kaip 5 metų, prieš jam duodant šio vaisto pasitarkite su gydytoju ar vaistininku, ypač jeigu vaikas vartoja kito vaisto, kurio sudėtyje yra </w:t>
      </w:r>
      <w:proofErr w:type="spellStart"/>
      <w:r w:rsidRPr="006C3C17">
        <w:rPr>
          <w:rFonts w:eastAsia="Calibri"/>
          <w:szCs w:val="22"/>
          <w:lang w:eastAsia="en-US"/>
        </w:rPr>
        <w:t>propilenglikolio</w:t>
      </w:r>
      <w:proofErr w:type="spellEnd"/>
      <w:r w:rsidRPr="006C3C17">
        <w:rPr>
          <w:rFonts w:eastAsia="Calibri"/>
          <w:szCs w:val="22"/>
          <w:lang w:eastAsia="en-US"/>
        </w:rPr>
        <w:t xml:space="preserve"> ar alkoholio.</w:t>
      </w:r>
    </w:p>
    <w:p w14:paraId="3F5706DC" w14:textId="77777777" w:rsidR="006C3C17" w:rsidRPr="006C3C17" w:rsidRDefault="006C3C17" w:rsidP="006C3C17">
      <w:pPr>
        <w:autoSpaceDE w:val="0"/>
        <w:autoSpaceDN w:val="0"/>
        <w:adjustRightInd w:val="0"/>
        <w:rPr>
          <w:rFonts w:eastAsia="Calibri"/>
          <w:szCs w:val="22"/>
          <w:lang w:eastAsia="en-US"/>
        </w:rPr>
      </w:pPr>
      <w:r w:rsidRPr="006C3C17">
        <w:rPr>
          <w:rFonts w:eastAsia="Calibri"/>
          <w:szCs w:val="22"/>
          <w:lang w:eastAsia="en-US"/>
        </w:rPr>
        <w:t>Jeigu Jus kamuoja kepenų ar inkstų liga, nevartokite šio vaisto, nebent jį rekomendavo gydytojas. Vartojant šio vaisto gydytojas gali papildomai patikrinti Jūsų sveikatą.</w:t>
      </w:r>
    </w:p>
    <w:p w14:paraId="08AF0310" w14:textId="77777777" w:rsidR="006C3C17" w:rsidRPr="006C3C17" w:rsidRDefault="006C3C17" w:rsidP="006C3C17">
      <w:pPr>
        <w:autoSpaceDE w:val="0"/>
        <w:autoSpaceDN w:val="0"/>
        <w:adjustRightInd w:val="0"/>
        <w:rPr>
          <w:rFonts w:eastAsia="Calibri"/>
          <w:szCs w:val="22"/>
          <w:lang w:eastAsia="en-US"/>
        </w:rPr>
      </w:pPr>
      <w:r w:rsidRPr="006C3C17">
        <w:rPr>
          <w:rFonts w:eastAsia="Calibri"/>
          <w:szCs w:val="22"/>
          <w:lang w:eastAsia="en-US"/>
        </w:rPr>
        <w:t>Jeigu esate nėščia ar žindyvė, nevartokite šio vaisto, nebent jį rekomendavo gydytojas. Vartojant šio vaisto gydytojas gali papildomai patikrinti Jūsų sveikatą.</w:t>
      </w:r>
    </w:p>
    <w:p w14:paraId="3D1527D2" w14:textId="77777777" w:rsidR="006C3C17" w:rsidRPr="006C3C17" w:rsidRDefault="006C3C17" w:rsidP="006C3C17">
      <w:pPr>
        <w:rPr>
          <w:szCs w:val="22"/>
        </w:rPr>
      </w:pPr>
    </w:p>
    <w:p w14:paraId="6FA5872A" w14:textId="77777777" w:rsidR="006C3C17" w:rsidRPr="006C3C17" w:rsidRDefault="006C3C17" w:rsidP="006C3C17">
      <w:pPr>
        <w:pStyle w:val="Pagrindinistekstas"/>
        <w:spacing w:after="0"/>
        <w:rPr>
          <w:szCs w:val="22"/>
        </w:rPr>
      </w:pPr>
    </w:p>
    <w:p w14:paraId="3C3F5B55" w14:textId="77777777" w:rsidR="006C3C17" w:rsidRPr="006C3C17" w:rsidRDefault="006C3C17" w:rsidP="006C3C17">
      <w:pPr>
        <w:pStyle w:val="Antrat2"/>
        <w:spacing w:before="0" w:after="0"/>
        <w:rPr>
          <w:rFonts w:ascii="Times New Roman" w:hAnsi="Times New Roman" w:cs="Times New Roman"/>
          <w:b/>
          <w:bCs/>
          <w:color w:val="auto"/>
          <w:sz w:val="22"/>
          <w:szCs w:val="22"/>
        </w:rPr>
      </w:pPr>
      <w:r w:rsidRPr="006C3C17">
        <w:rPr>
          <w:rFonts w:ascii="Times New Roman" w:hAnsi="Times New Roman" w:cs="Times New Roman"/>
          <w:b/>
          <w:bCs/>
          <w:color w:val="auto"/>
          <w:sz w:val="22"/>
          <w:szCs w:val="22"/>
        </w:rPr>
        <w:t>3.</w:t>
      </w:r>
      <w:r w:rsidRPr="006C3C17">
        <w:rPr>
          <w:rFonts w:ascii="Times New Roman" w:hAnsi="Times New Roman" w:cs="Times New Roman"/>
          <w:b/>
          <w:bCs/>
          <w:color w:val="auto"/>
          <w:sz w:val="22"/>
          <w:szCs w:val="22"/>
        </w:rPr>
        <w:tab/>
        <w:t>Kaip vartoti BISEPTOL</w:t>
      </w:r>
    </w:p>
    <w:p w14:paraId="659F9622" w14:textId="77777777" w:rsidR="006C3C17" w:rsidRPr="006C3C17" w:rsidRDefault="006C3C17" w:rsidP="006C3C17">
      <w:pPr>
        <w:pStyle w:val="Pagrindinistekstas"/>
        <w:spacing w:after="0"/>
        <w:rPr>
          <w:szCs w:val="22"/>
        </w:rPr>
      </w:pPr>
    </w:p>
    <w:p w14:paraId="364F706B" w14:textId="77777777" w:rsidR="006C3C17" w:rsidRPr="006C3C17" w:rsidRDefault="006C3C17" w:rsidP="006C3C17">
      <w:pPr>
        <w:numPr>
          <w:ilvl w:val="12"/>
          <w:numId w:val="0"/>
        </w:numPr>
        <w:tabs>
          <w:tab w:val="left" w:pos="720"/>
        </w:tabs>
        <w:ind w:right="-2"/>
        <w:rPr>
          <w:szCs w:val="22"/>
        </w:rPr>
      </w:pPr>
      <w:r w:rsidRPr="006C3C17">
        <w:rPr>
          <w:noProof/>
          <w:szCs w:val="22"/>
        </w:rPr>
        <w:t>Visada vartokite šį vaistą tiksliai kaip nurodė gydytojas.</w:t>
      </w:r>
      <w:r w:rsidRPr="006C3C17">
        <w:rPr>
          <w:szCs w:val="22"/>
        </w:rPr>
        <w:t xml:space="preserve"> </w:t>
      </w:r>
      <w:r w:rsidRPr="006C3C17">
        <w:rPr>
          <w:noProof/>
          <w:szCs w:val="22"/>
        </w:rPr>
        <w:t>Jeigu abejojate, kreipkitės į gydytoją.</w:t>
      </w:r>
      <w:r w:rsidRPr="006C3C17">
        <w:rPr>
          <w:szCs w:val="22"/>
        </w:rPr>
        <w:t xml:space="preserve"> </w:t>
      </w:r>
    </w:p>
    <w:p w14:paraId="20987916" w14:textId="77777777" w:rsidR="006C3C17" w:rsidRPr="006C3C17" w:rsidRDefault="006C3C17" w:rsidP="006C3C17">
      <w:pPr>
        <w:pStyle w:val="Pagrindinistekstas"/>
        <w:spacing w:after="0"/>
        <w:rPr>
          <w:szCs w:val="22"/>
        </w:rPr>
      </w:pPr>
    </w:p>
    <w:p w14:paraId="146A0E05" w14:textId="77777777" w:rsidR="006C3C17" w:rsidRPr="006C3C17" w:rsidRDefault="006C3C17" w:rsidP="006C3C17">
      <w:pPr>
        <w:pStyle w:val="Pagrindinistekstas"/>
        <w:spacing w:after="0"/>
        <w:rPr>
          <w:szCs w:val="22"/>
        </w:rPr>
      </w:pPr>
      <w:r w:rsidRPr="006C3C17">
        <w:rPr>
          <w:szCs w:val="22"/>
        </w:rPr>
        <w:t>BISEPTOL Jums visada suleis sveikatos priežiūros specialistas.</w:t>
      </w:r>
    </w:p>
    <w:p w14:paraId="43A8A52A" w14:textId="77777777" w:rsidR="006C3C17" w:rsidRPr="006C3C17" w:rsidRDefault="006C3C17" w:rsidP="006C3C17">
      <w:pPr>
        <w:pStyle w:val="Pagrindinistekstas"/>
        <w:numPr>
          <w:ilvl w:val="0"/>
          <w:numId w:val="11"/>
        </w:numPr>
        <w:spacing w:after="0"/>
        <w:ind w:left="567" w:hanging="567"/>
        <w:rPr>
          <w:szCs w:val="22"/>
        </w:rPr>
      </w:pPr>
      <w:r w:rsidRPr="006C3C17">
        <w:rPr>
          <w:szCs w:val="22"/>
        </w:rPr>
        <w:t>Vaistas leidžiamas jį praskiedus, lėtai, intravenine infuzija (naudojant tinkamą įrangą, kontroliuojant leidimo greitį).</w:t>
      </w:r>
    </w:p>
    <w:p w14:paraId="37D523CF" w14:textId="77777777" w:rsidR="006C3C17" w:rsidRPr="006C3C17" w:rsidRDefault="006C3C17" w:rsidP="006C3C17">
      <w:pPr>
        <w:pStyle w:val="Pagrindinistekstas"/>
        <w:numPr>
          <w:ilvl w:val="0"/>
          <w:numId w:val="11"/>
        </w:numPr>
        <w:spacing w:after="0"/>
        <w:ind w:left="567" w:hanging="567"/>
        <w:rPr>
          <w:szCs w:val="22"/>
        </w:rPr>
      </w:pPr>
      <w:r w:rsidRPr="006C3C17">
        <w:rPr>
          <w:szCs w:val="22"/>
        </w:rPr>
        <w:t>Vaisto dozę nustato gydytojas. Dozė priklauso nuo gydomos ligos ir paciento amžiaus, svorio ir bendros būklės.</w:t>
      </w:r>
    </w:p>
    <w:p w14:paraId="06CB9717" w14:textId="77777777" w:rsidR="006C3C17" w:rsidRPr="006C3C17" w:rsidRDefault="006C3C17" w:rsidP="006C3C17">
      <w:pPr>
        <w:pStyle w:val="Pagrindinistekstas"/>
        <w:spacing w:after="0"/>
        <w:rPr>
          <w:rStyle w:val="tlid-translation"/>
          <w:szCs w:val="22"/>
        </w:rPr>
      </w:pPr>
      <w:r w:rsidRPr="006C3C17">
        <w:rPr>
          <w:rStyle w:val="tlid-translation"/>
          <w:szCs w:val="22"/>
        </w:rPr>
        <w:t>Tikslus dozavimas ir vartojimo metodas nurodytas pakuotės lapelio pabaigoje (,,Informacija sveikatos priežiūros specialistams”).</w:t>
      </w:r>
    </w:p>
    <w:p w14:paraId="4B700D7E" w14:textId="77777777" w:rsidR="006C3C17" w:rsidRPr="006C3C17" w:rsidRDefault="006C3C17" w:rsidP="006C3C17">
      <w:pPr>
        <w:pStyle w:val="Pagrindinistekstas"/>
        <w:spacing w:after="0"/>
        <w:rPr>
          <w:szCs w:val="22"/>
        </w:rPr>
      </w:pPr>
    </w:p>
    <w:p w14:paraId="24C28732" w14:textId="77777777" w:rsidR="006C3C17" w:rsidRPr="00D435BB" w:rsidRDefault="006C3C17" w:rsidP="006C3C17">
      <w:pPr>
        <w:pStyle w:val="Antrat3"/>
        <w:spacing w:before="0" w:after="0"/>
        <w:rPr>
          <w:rFonts w:cs="Times New Roman"/>
          <w:b/>
          <w:bCs/>
          <w:color w:val="auto"/>
          <w:sz w:val="22"/>
          <w:szCs w:val="22"/>
        </w:rPr>
      </w:pPr>
      <w:r w:rsidRPr="00D435BB">
        <w:rPr>
          <w:rFonts w:cs="Times New Roman"/>
          <w:b/>
          <w:bCs/>
          <w:color w:val="auto"/>
          <w:sz w:val="22"/>
          <w:szCs w:val="22"/>
        </w:rPr>
        <w:t>Ką daryti pavartojus per didelę BISEPTOL dozę?</w:t>
      </w:r>
    </w:p>
    <w:p w14:paraId="55C95CA2" w14:textId="77777777" w:rsidR="006C3C17" w:rsidRPr="006C3C17" w:rsidRDefault="006C3C17" w:rsidP="006C3C17">
      <w:pPr>
        <w:rPr>
          <w:szCs w:val="22"/>
        </w:rPr>
      </w:pPr>
      <w:r w:rsidRPr="006C3C17">
        <w:rPr>
          <w:szCs w:val="22"/>
        </w:rPr>
        <w:t>Pavartojus didesnę, nei rekomenduojama, dozę, gali atsirasti perdozavimo simptomų: pykinimas, vėmimas, galvos svaigimas ir sumišimas. Perdozavus reikia nedelsiant kreiptis į gydytoją.</w:t>
      </w:r>
    </w:p>
    <w:p w14:paraId="28F39A08" w14:textId="77777777" w:rsidR="006C3C17" w:rsidRPr="006C3C17" w:rsidRDefault="006C3C17" w:rsidP="006C3C17">
      <w:pPr>
        <w:pStyle w:val="Pagrindinistekstas"/>
        <w:spacing w:after="0"/>
        <w:rPr>
          <w:szCs w:val="22"/>
        </w:rPr>
      </w:pPr>
    </w:p>
    <w:p w14:paraId="2468DCF4" w14:textId="77777777" w:rsidR="006C3C17" w:rsidRPr="006C3C17" w:rsidRDefault="006C3C17" w:rsidP="006C3C17">
      <w:pPr>
        <w:pStyle w:val="Pagrindinistekstas"/>
        <w:spacing w:after="0"/>
        <w:rPr>
          <w:szCs w:val="22"/>
        </w:rPr>
      </w:pPr>
    </w:p>
    <w:p w14:paraId="65F15162" w14:textId="77777777" w:rsidR="006C3C17" w:rsidRPr="006C3C17" w:rsidRDefault="006C3C17" w:rsidP="006C3C17">
      <w:pPr>
        <w:pStyle w:val="Antrat2"/>
        <w:spacing w:before="0" w:after="0"/>
        <w:rPr>
          <w:rFonts w:ascii="Times New Roman" w:hAnsi="Times New Roman" w:cs="Times New Roman"/>
          <w:b/>
          <w:bCs/>
          <w:color w:val="auto"/>
          <w:sz w:val="22"/>
          <w:szCs w:val="22"/>
        </w:rPr>
      </w:pPr>
      <w:r w:rsidRPr="006C3C17">
        <w:rPr>
          <w:rFonts w:ascii="Times New Roman" w:hAnsi="Times New Roman" w:cs="Times New Roman"/>
          <w:b/>
          <w:bCs/>
          <w:color w:val="auto"/>
          <w:sz w:val="22"/>
          <w:szCs w:val="22"/>
        </w:rPr>
        <w:t>4.</w:t>
      </w:r>
      <w:r w:rsidRPr="006C3C17">
        <w:rPr>
          <w:rFonts w:ascii="Times New Roman" w:hAnsi="Times New Roman" w:cs="Times New Roman"/>
          <w:b/>
          <w:bCs/>
          <w:color w:val="auto"/>
          <w:sz w:val="22"/>
          <w:szCs w:val="22"/>
        </w:rPr>
        <w:tab/>
        <w:t>Galimas šalutinis poveikis</w:t>
      </w:r>
    </w:p>
    <w:p w14:paraId="75CC0726" w14:textId="77777777" w:rsidR="006C3C17" w:rsidRPr="006C3C17" w:rsidRDefault="006C3C17" w:rsidP="006C3C17">
      <w:pPr>
        <w:pStyle w:val="Pagrindinistekstas"/>
        <w:spacing w:after="0"/>
        <w:rPr>
          <w:szCs w:val="22"/>
        </w:rPr>
      </w:pPr>
    </w:p>
    <w:p w14:paraId="2F3B21E2" w14:textId="77777777" w:rsidR="006C3C17" w:rsidRPr="006C3C17" w:rsidRDefault="006C3C17" w:rsidP="006C3C17">
      <w:pPr>
        <w:pStyle w:val="Pagrindinistekstas"/>
        <w:spacing w:after="0"/>
        <w:rPr>
          <w:szCs w:val="22"/>
        </w:rPr>
      </w:pPr>
      <w:r w:rsidRPr="006C3C17">
        <w:rPr>
          <w:szCs w:val="22"/>
        </w:rPr>
        <w:t>Šis vaistas, kaip ir visi kiti, gali sukelti šalutinį poveikį, nors jis pasireiškia ne visiems žmonėms.</w:t>
      </w:r>
    </w:p>
    <w:p w14:paraId="0A8FB64B" w14:textId="77777777" w:rsidR="006C3C17" w:rsidRPr="006C3C17" w:rsidRDefault="006C3C17" w:rsidP="006C3C17">
      <w:pPr>
        <w:pStyle w:val="Pagrindinistekstas"/>
        <w:spacing w:after="0"/>
        <w:rPr>
          <w:szCs w:val="22"/>
        </w:rPr>
      </w:pPr>
    </w:p>
    <w:p w14:paraId="465110E5" w14:textId="77777777" w:rsidR="006C3C17" w:rsidRPr="006C3C17" w:rsidRDefault="006C3C17" w:rsidP="006C3C17">
      <w:pPr>
        <w:pStyle w:val="Pagrindinistekstas"/>
        <w:spacing w:after="0"/>
        <w:rPr>
          <w:b/>
          <w:bCs/>
          <w:szCs w:val="22"/>
        </w:rPr>
      </w:pPr>
      <w:r w:rsidRPr="006C3C17">
        <w:rPr>
          <w:b/>
          <w:bCs/>
          <w:szCs w:val="22"/>
        </w:rPr>
        <w:t>Sunkus šalutinis poveikis</w:t>
      </w:r>
    </w:p>
    <w:p w14:paraId="2F01FD21" w14:textId="77777777" w:rsidR="006C3C17" w:rsidRPr="006C3C17" w:rsidRDefault="006C3C17" w:rsidP="006C3C17">
      <w:pPr>
        <w:pStyle w:val="Pagrindinistekstas"/>
        <w:spacing w:after="0"/>
        <w:rPr>
          <w:szCs w:val="22"/>
        </w:rPr>
      </w:pPr>
      <w:r w:rsidRPr="006C3C17">
        <w:rPr>
          <w:szCs w:val="22"/>
        </w:rPr>
        <w:t>Nedelsiant kreipkitės skubios pagalbos, jei po šio vaisto vartojimo pasireiškia keletas simptomų, pvz., karščiavimas, labai sumažėjęs kraujospūdis arba padažnėjęs širdies plakimas, nes tai gali būti šoko požymis.</w:t>
      </w:r>
    </w:p>
    <w:p w14:paraId="7A58AFF4" w14:textId="77777777" w:rsidR="006C3C17" w:rsidRPr="006C3C17" w:rsidRDefault="006C3C17" w:rsidP="006C3C17">
      <w:pPr>
        <w:rPr>
          <w:szCs w:val="22"/>
        </w:rPr>
      </w:pPr>
      <w:r w:rsidRPr="006C3C17">
        <w:rPr>
          <w:szCs w:val="22"/>
        </w:rPr>
        <w:t>Jeigu Jums pasireiškia pirmieji alergijos simptomai (pvz., veido, lūpų, liežuvio, gerklės patinimas, sukeliantis kvėpavimo ar rijimo pasunkėjimą) ar sunkios odos reakcijos su pūslėmis ar odos lupimusi, nedelsiant pasakykite gydytojui ar slaugytojui. Suleidus vaisto šie simptomai pasireiškė labai retai.</w:t>
      </w:r>
    </w:p>
    <w:p w14:paraId="37632318" w14:textId="77777777" w:rsidR="006C3C17" w:rsidRPr="006C3C17" w:rsidRDefault="006C3C17" w:rsidP="006C3C17">
      <w:pPr>
        <w:rPr>
          <w:szCs w:val="22"/>
        </w:rPr>
      </w:pPr>
      <w:r w:rsidRPr="006C3C17">
        <w:rPr>
          <w:szCs w:val="22"/>
        </w:rPr>
        <w:t>Jūsų gydytojas nuspręs tolesnius veiksmus.</w:t>
      </w:r>
    </w:p>
    <w:p w14:paraId="71462882" w14:textId="77777777" w:rsidR="006C3C17" w:rsidRPr="006C3C17" w:rsidRDefault="006C3C17" w:rsidP="006C3C17">
      <w:pPr>
        <w:rPr>
          <w:szCs w:val="22"/>
        </w:rPr>
      </w:pPr>
    </w:p>
    <w:p w14:paraId="2B8CE66F" w14:textId="77777777" w:rsidR="006C3C17" w:rsidRPr="006C3C17" w:rsidRDefault="006C3C17" w:rsidP="006C3C17">
      <w:pPr>
        <w:pStyle w:val="prastasiniatinklio"/>
        <w:spacing w:before="0" w:beforeAutospacing="0" w:after="0" w:afterAutospacing="0"/>
        <w:rPr>
          <w:rFonts w:ascii="Times New Roman" w:hAnsi="Times New Roman"/>
          <w:i/>
          <w:sz w:val="22"/>
          <w:szCs w:val="22"/>
          <w:lang w:val="lt-LT"/>
        </w:rPr>
      </w:pPr>
      <w:r w:rsidRPr="006C3C17">
        <w:rPr>
          <w:rFonts w:ascii="Times New Roman" w:hAnsi="Times New Roman"/>
          <w:b/>
          <w:bCs/>
          <w:i/>
          <w:sz w:val="22"/>
          <w:szCs w:val="22"/>
          <w:lang w:val="lt-LT"/>
        </w:rPr>
        <w:t>Labai dažni</w:t>
      </w:r>
      <w:r w:rsidRPr="006C3C17">
        <w:rPr>
          <w:rFonts w:ascii="Times New Roman" w:hAnsi="Times New Roman"/>
          <w:i/>
          <w:sz w:val="22"/>
          <w:szCs w:val="22"/>
          <w:lang w:val="lt-LT"/>
        </w:rPr>
        <w:t xml:space="preserve"> </w:t>
      </w:r>
      <w:r w:rsidRPr="006C3C17">
        <w:rPr>
          <w:rFonts w:ascii="Times New Roman" w:hAnsi="Times New Roman"/>
          <w:b/>
          <w:bCs/>
          <w:i/>
          <w:sz w:val="22"/>
          <w:szCs w:val="22"/>
          <w:lang w:val="lt-LT" w:eastAsia="lt-LT"/>
        </w:rPr>
        <w:t>šalutinio poveikio reiškiniai (gali pasireikšti ne rečiau kaip 1 iš 10 asmenų):</w:t>
      </w:r>
    </w:p>
    <w:p w14:paraId="5770F6AE" w14:textId="77777777" w:rsidR="006C3C17" w:rsidRPr="006C3C17" w:rsidRDefault="006C3C17" w:rsidP="006C3C17">
      <w:pPr>
        <w:pStyle w:val="prastasiniatinklio"/>
        <w:numPr>
          <w:ilvl w:val="0"/>
          <w:numId w:val="12"/>
        </w:numPr>
        <w:spacing w:before="0" w:beforeAutospacing="0" w:after="0" w:afterAutospacing="0"/>
        <w:ind w:left="567" w:hanging="567"/>
        <w:rPr>
          <w:rFonts w:ascii="Times New Roman" w:hAnsi="Times New Roman"/>
          <w:sz w:val="22"/>
          <w:szCs w:val="22"/>
          <w:lang w:val="lt-LT"/>
        </w:rPr>
      </w:pPr>
      <w:proofErr w:type="spellStart"/>
      <w:r w:rsidRPr="006C3C17">
        <w:rPr>
          <w:rFonts w:ascii="Times New Roman" w:hAnsi="Times New Roman"/>
          <w:sz w:val="22"/>
          <w:szCs w:val="22"/>
          <w:lang w:val="lt-LT"/>
        </w:rPr>
        <w:t>hiperkalemija</w:t>
      </w:r>
      <w:proofErr w:type="spellEnd"/>
      <w:r w:rsidRPr="006C3C17">
        <w:rPr>
          <w:rFonts w:ascii="Times New Roman" w:hAnsi="Times New Roman"/>
          <w:sz w:val="22"/>
          <w:szCs w:val="22"/>
          <w:lang w:val="lt-LT"/>
        </w:rPr>
        <w:t xml:space="preserve"> (padidėjęs kalio kiekis kraujyje), kuri gali sukelti nenormalų širdies plakimą.</w:t>
      </w:r>
    </w:p>
    <w:p w14:paraId="23B4608E" w14:textId="77777777" w:rsidR="006C3C17" w:rsidRPr="006C3C17" w:rsidRDefault="006C3C17" w:rsidP="006C3C17">
      <w:pPr>
        <w:pStyle w:val="prastasiniatinklio"/>
        <w:spacing w:before="0" w:beforeAutospacing="0" w:after="0" w:afterAutospacing="0"/>
        <w:rPr>
          <w:rFonts w:ascii="Times New Roman" w:hAnsi="Times New Roman"/>
          <w:sz w:val="22"/>
          <w:szCs w:val="22"/>
          <w:lang w:val="lt-LT"/>
        </w:rPr>
      </w:pPr>
    </w:p>
    <w:p w14:paraId="59E8FE47" w14:textId="77777777" w:rsidR="006C3C17" w:rsidRPr="006C3C17" w:rsidRDefault="006C3C17" w:rsidP="006C3C17">
      <w:pPr>
        <w:pStyle w:val="prastasiniatinklio"/>
        <w:spacing w:before="0" w:beforeAutospacing="0" w:after="0" w:afterAutospacing="0"/>
        <w:rPr>
          <w:rFonts w:ascii="Times New Roman" w:hAnsi="Times New Roman"/>
          <w:i/>
          <w:sz w:val="22"/>
          <w:szCs w:val="22"/>
          <w:lang w:val="lt-LT"/>
        </w:rPr>
      </w:pPr>
      <w:r w:rsidRPr="006C3C17">
        <w:rPr>
          <w:rFonts w:ascii="Times New Roman" w:hAnsi="Times New Roman"/>
          <w:b/>
          <w:bCs/>
          <w:i/>
          <w:sz w:val="22"/>
          <w:szCs w:val="22"/>
          <w:lang w:val="lt-LT"/>
        </w:rPr>
        <w:t xml:space="preserve">Dažni </w:t>
      </w:r>
      <w:r w:rsidRPr="006C3C17">
        <w:rPr>
          <w:rFonts w:ascii="Times New Roman" w:hAnsi="Times New Roman"/>
          <w:b/>
          <w:bCs/>
          <w:i/>
          <w:sz w:val="22"/>
          <w:szCs w:val="22"/>
          <w:lang w:val="lt-LT" w:eastAsia="lt-LT"/>
        </w:rPr>
        <w:t>šalutinio poveikio reiškiniai (gali pasireikšti rečiau kaip 1 iš 10 asmenų)</w:t>
      </w:r>
      <w:r w:rsidRPr="006C3C17">
        <w:rPr>
          <w:rFonts w:ascii="Times New Roman" w:hAnsi="Times New Roman"/>
          <w:b/>
          <w:bCs/>
          <w:i/>
          <w:sz w:val="22"/>
          <w:szCs w:val="22"/>
          <w:lang w:val="lt-LT"/>
        </w:rPr>
        <w:t>:</w:t>
      </w:r>
    </w:p>
    <w:p w14:paraId="5A6FC9B3" w14:textId="77777777" w:rsidR="006C3C17" w:rsidRPr="006C3C17" w:rsidRDefault="006C3C17" w:rsidP="006C3C17">
      <w:pPr>
        <w:pStyle w:val="prastasiniatinklio"/>
        <w:numPr>
          <w:ilvl w:val="0"/>
          <w:numId w:val="12"/>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odos išbėrimai;</w:t>
      </w:r>
    </w:p>
    <w:p w14:paraId="0D99C50D" w14:textId="77777777" w:rsidR="006C3C17" w:rsidRPr="006C3C17" w:rsidRDefault="006C3C17" w:rsidP="006C3C17">
      <w:pPr>
        <w:pStyle w:val="prastasiniatinklio"/>
        <w:numPr>
          <w:ilvl w:val="0"/>
          <w:numId w:val="12"/>
        </w:numPr>
        <w:spacing w:before="0" w:beforeAutospacing="0" w:after="0" w:afterAutospacing="0"/>
        <w:ind w:left="567" w:hanging="567"/>
        <w:rPr>
          <w:rFonts w:ascii="Times New Roman" w:hAnsi="Times New Roman"/>
          <w:sz w:val="22"/>
          <w:szCs w:val="22"/>
          <w:lang w:val="lt-LT"/>
        </w:rPr>
      </w:pPr>
      <w:proofErr w:type="spellStart"/>
      <w:r w:rsidRPr="006C3C17">
        <w:rPr>
          <w:rFonts w:ascii="Times New Roman" w:hAnsi="Times New Roman"/>
          <w:sz w:val="22"/>
          <w:szCs w:val="22"/>
          <w:lang w:val="lt-LT"/>
        </w:rPr>
        <w:t>mieliagrybių</w:t>
      </w:r>
      <w:proofErr w:type="spellEnd"/>
      <w:r w:rsidRPr="006C3C17">
        <w:rPr>
          <w:rFonts w:ascii="Times New Roman" w:hAnsi="Times New Roman"/>
          <w:sz w:val="22"/>
          <w:szCs w:val="22"/>
          <w:lang w:val="lt-LT"/>
        </w:rPr>
        <w:t xml:space="preserve"> kiekio padidėjimas (</w:t>
      </w:r>
      <w:r w:rsidRPr="006C3C17">
        <w:rPr>
          <w:rStyle w:val="tlid-translation"/>
          <w:rFonts w:ascii="Times New Roman" w:hAnsi="Times New Roman"/>
          <w:sz w:val="22"/>
          <w:szCs w:val="22"/>
          <w:lang w:val="lt-LT"/>
        </w:rPr>
        <w:t xml:space="preserve">infekcija, vadinama </w:t>
      </w:r>
      <w:proofErr w:type="spellStart"/>
      <w:r w:rsidRPr="006C3C17">
        <w:rPr>
          <w:rStyle w:val="tlid-translation"/>
          <w:rFonts w:ascii="Times New Roman" w:hAnsi="Times New Roman"/>
          <w:sz w:val="22"/>
          <w:szCs w:val="22"/>
          <w:lang w:val="lt-LT"/>
        </w:rPr>
        <w:t>kandidoze</w:t>
      </w:r>
      <w:proofErr w:type="spellEnd"/>
      <w:r w:rsidRPr="006C3C17">
        <w:rPr>
          <w:rStyle w:val="tlid-translation"/>
          <w:rFonts w:ascii="Times New Roman" w:hAnsi="Times New Roman"/>
          <w:sz w:val="22"/>
          <w:szCs w:val="22"/>
          <w:lang w:val="lt-LT"/>
        </w:rPr>
        <w:t>, kuri gali pakenkti burnai ar makščiai);</w:t>
      </w:r>
    </w:p>
    <w:p w14:paraId="5F294236" w14:textId="77777777" w:rsidR="006C3C17" w:rsidRPr="006C3C17" w:rsidRDefault="006C3C17" w:rsidP="006C3C17">
      <w:pPr>
        <w:pStyle w:val="prastasiniatinklio"/>
        <w:numPr>
          <w:ilvl w:val="0"/>
          <w:numId w:val="12"/>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galvos skausmas;</w:t>
      </w:r>
    </w:p>
    <w:p w14:paraId="4CDDFE30" w14:textId="77777777" w:rsidR="006C3C17" w:rsidRPr="006C3C17" w:rsidRDefault="006C3C17" w:rsidP="006C3C17">
      <w:pPr>
        <w:pStyle w:val="prastasiniatinklio"/>
        <w:numPr>
          <w:ilvl w:val="0"/>
          <w:numId w:val="12"/>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pykinimas, viduriavimas.</w:t>
      </w:r>
    </w:p>
    <w:p w14:paraId="7B6D58D7" w14:textId="77777777" w:rsidR="006C3C17" w:rsidRPr="006C3C17" w:rsidRDefault="006C3C17" w:rsidP="006C3C17">
      <w:pPr>
        <w:pStyle w:val="prastasiniatinklio"/>
        <w:spacing w:before="0" w:beforeAutospacing="0" w:after="0" w:afterAutospacing="0"/>
        <w:rPr>
          <w:rFonts w:ascii="Times New Roman" w:hAnsi="Times New Roman"/>
          <w:sz w:val="22"/>
          <w:szCs w:val="22"/>
          <w:lang w:val="lt-LT"/>
        </w:rPr>
      </w:pPr>
    </w:p>
    <w:p w14:paraId="2CF63568" w14:textId="77777777" w:rsidR="006C3C17" w:rsidRPr="006C3C17" w:rsidRDefault="006C3C17" w:rsidP="006C3C17">
      <w:pPr>
        <w:pStyle w:val="prastasiniatinklio"/>
        <w:spacing w:before="0" w:beforeAutospacing="0" w:after="0" w:afterAutospacing="0"/>
        <w:rPr>
          <w:rFonts w:ascii="Times New Roman" w:hAnsi="Times New Roman"/>
          <w:sz w:val="22"/>
          <w:szCs w:val="22"/>
          <w:lang w:val="lt-LT"/>
        </w:rPr>
      </w:pPr>
      <w:r w:rsidRPr="006C3C17">
        <w:rPr>
          <w:rFonts w:ascii="Times New Roman" w:hAnsi="Times New Roman"/>
          <w:b/>
          <w:bCs/>
          <w:i/>
          <w:sz w:val="22"/>
          <w:szCs w:val="22"/>
          <w:lang w:val="lt-LT"/>
        </w:rPr>
        <w:t>Nedažni šalutinio poveikio reiškiniai (gali pasireikšti rečiau kaip 1 iš 100 asmenų):</w:t>
      </w:r>
    </w:p>
    <w:p w14:paraId="7C6B8FA6"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vėmimas.</w:t>
      </w:r>
    </w:p>
    <w:p w14:paraId="4572CE56" w14:textId="77777777" w:rsidR="006C3C17" w:rsidRPr="006C3C17" w:rsidRDefault="006C3C17" w:rsidP="006C3C17">
      <w:pPr>
        <w:pStyle w:val="prastasiniatinklio"/>
        <w:spacing w:before="0" w:beforeAutospacing="0" w:after="0" w:afterAutospacing="0"/>
        <w:rPr>
          <w:rFonts w:ascii="Times New Roman" w:hAnsi="Times New Roman"/>
          <w:sz w:val="22"/>
          <w:szCs w:val="22"/>
          <w:lang w:val="lt-LT"/>
        </w:rPr>
      </w:pPr>
    </w:p>
    <w:p w14:paraId="60629CF8" w14:textId="77777777" w:rsidR="006C3C17" w:rsidRPr="006C3C17" w:rsidRDefault="006C3C17" w:rsidP="006C3C17">
      <w:pPr>
        <w:pStyle w:val="prastasiniatinklio"/>
        <w:spacing w:before="0" w:beforeAutospacing="0" w:after="0" w:afterAutospacing="0"/>
        <w:rPr>
          <w:rFonts w:ascii="Times New Roman" w:hAnsi="Times New Roman"/>
          <w:i/>
          <w:sz w:val="22"/>
          <w:szCs w:val="22"/>
          <w:lang w:val="lt-LT"/>
        </w:rPr>
      </w:pPr>
      <w:r w:rsidRPr="006C3C17">
        <w:rPr>
          <w:rFonts w:ascii="Times New Roman" w:hAnsi="Times New Roman"/>
          <w:b/>
          <w:bCs/>
          <w:i/>
          <w:sz w:val="22"/>
          <w:szCs w:val="22"/>
          <w:lang w:val="lt-LT"/>
        </w:rPr>
        <w:t xml:space="preserve">Labai reti </w:t>
      </w:r>
      <w:r w:rsidRPr="006C3C17">
        <w:rPr>
          <w:rFonts w:ascii="Times New Roman" w:hAnsi="Times New Roman"/>
          <w:b/>
          <w:bCs/>
          <w:i/>
          <w:sz w:val="22"/>
          <w:szCs w:val="22"/>
          <w:lang w:val="lt-LT" w:eastAsia="lt-LT"/>
        </w:rPr>
        <w:t>šalutinio poveikio reiškiniai (gali pasireikšti rečiau kaip 1 iš 10 000 asmenų)</w:t>
      </w:r>
      <w:r w:rsidRPr="006C3C17">
        <w:rPr>
          <w:rFonts w:ascii="Times New Roman" w:hAnsi="Times New Roman"/>
          <w:b/>
          <w:bCs/>
          <w:i/>
          <w:sz w:val="22"/>
          <w:szCs w:val="22"/>
          <w:lang w:val="lt-LT"/>
        </w:rPr>
        <w:t>:</w:t>
      </w:r>
    </w:p>
    <w:p w14:paraId="422CCD3B"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i/>
          <w:sz w:val="22"/>
          <w:szCs w:val="22"/>
          <w:lang w:val="lt-LT"/>
        </w:rPr>
      </w:pPr>
      <w:proofErr w:type="spellStart"/>
      <w:r w:rsidRPr="006C3C17">
        <w:rPr>
          <w:rStyle w:val="tlid-translation"/>
          <w:rFonts w:ascii="Times New Roman" w:hAnsi="Times New Roman"/>
          <w:sz w:val="22"/>
          <w:szCs w:val="22"/>
          <w:lang w:val="lt-LT"/>
        </w:rPr>
        <w:t>pseudomembraninis</w:t>
      </w:r>
      <w:proofErr w:type="spellEnd"/>
      <w:r w:rsidRPr="006C3C17">
        <w:rPr>
          <w:rStyle w:val="tlid-translation"/>
          <w:rFonts w:ascii="Times New Roman" w:hAnsi="Times New Roman"/>
          <w:sz w:val="22"/>
          <w:szCs w:val="22"/>
          <w:lang w:val="lt-LT"/>
        </w:rPr>
        <w:t xml:space="preserve"> kolitas (storojo žarnyno gleivinės uždegimas, pasireiškiantis ūminiu ar nuolatiniu viduriavimu);</w:t>
      </w:r>
    </w:p>
    <w:p w14:paraId="4BCA22EE"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i/>
          <w:sz w:val="22"/>
          <w:szCs w:val="22"/>
          <w:lang w:val="lt-LT"/>
        </w:rPr>
      </w:pPr>
      <w:r w:rsidRPr="006C3C17">
        <w:rPr>
          <w:rStyle w:val="tlid-translation"/>
          <w:rFonts w:ascii="Times New Roman" w:hAnsi="Times New Roman"/>
          <w:sz w:val="22"/>
          <w:szCs w:val="22"/>
          <w:lang w:val="lt-LT"/>
        </w:rPr>
        <w:t>karščiavimas (aukšta temperatūra) arba dažnos infekcijos;</w:t>
      </w:r>
    </w:p>
    <w:p w14:paraId="24AADDC7"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 xml:space="preserve">kraujo ląstelių kiekio pokyčiai – </w:t>
      </w:r>
      <w:proofErr w:type="spellStart"/>
      <w:r w:rsidRPr="006C3C17">
        <w:rPr>
          <w:rFonts w:ascii="Times New Roman" w:hAnsi="Times New Roman"/>
          <w:sz w:val="22"/>
          <w:szCs w:val="22"/>
          <w:lang w:val="lt-LT"/>
        </w:rPr>
        <w:t>leukopenija</w:t>
      </w:r>
      <w:proofErr w:type="spellEnd"/>
      <w:r w:rsidRPr="006C3C17">
        <w:rPr>
          <w:rFonts w:ascii="Times New Roman" w:hAnsi="Times New Roman"/>
          <w:sz w:val="22"/>
          <w:szCs w:val="22"/>
          <w:lang w:val="lt-LT"/>
        </w:rPr>
        <w:t xml:space="preserve"> (baltųjų kraujo ląstelių skaičiaus sumažėjimas), </w:t>
      </w:r>
      <w:proofErr w:type="spellStart"/>
      <w:r w:rsidRPr="006C3C17">
        <w:rPr>
          <w:rFonts w:ascii="Times New Roman" w:hAnsi="Times New Roman"/>
          <w:sz w:val="22"/>
          <w:szCs w:val="22"/>
          <w:lang w:val="lt-LT"/>
        </w:rPr>
        <w:t>neutropenija</w:t>
      </w:r>
      <w:proofErr w:type="spellEnd"/>
      <w:r w:rsidRPr="006C3C17">
        <w:rPr>
          <w:rFonts w:ascii="Times New Roman" w:hAnsi="Times New Roman"/>
          <w:sz w:val="22"/>
          <w:szCs w:val="22"/>
          <w:lang w:val="lt-LT"/>
        </w:rPr>
        <w:t xml:space="preserve"> (baltųjų kraujo ląstelių, vadinamų </w:t>
      </w:r>
      <w:proofErr w:type="spellStart"/>
      <w:r w:rsidRPr="006C3C17">
        <w:rPr>
          <w:rFonts w:ascii="Times New Roman" w:hAnsi="Times New Roman"/>
          <w:sz w:val="22"/>
          <w:szCs w:val="22"/>
          <w:lang w:val="lt-LT"/>
        </w:rPr>
        <w:t>neutrofilais</w:t>
      </w:r>
      <w:proofErr w:type="spellEnd"/>
      <w:r w:rsidRPr="006C3C17">
        <w:rPr>
          <w:rFonts w:ascii="Times New Roman" w:hAnsi="Times New Roman"/>
          <w:sz w:val="22"/>
          <w:szCs w:val="22"/>
          <w:lang w:val="lt-LT"/>
        </w:rPr>
        <w:t xml:space="preserve">, skaičiaus sumažėjimas), </w:t>
      </w:r>
      <w:proofErr w:type="spellStart"/>
      <w:r w:rsidRPr="006C3C17">
        <w:rPr>
          <w:rFonts w:ascii="Times New Roman" w:hAnsi="Times New Roman"/>
          <w:sz w:val="22"/>
          <w:szCs w:val="22"/>
          <w:lang w:val="lt-LT"/>
        </w:rPr>
        <w:t>trombocitopenija</w:t>
      </w:r>
      <w:proofErr w:type="spellEnd"/>
      <w:r w:rsidRPr="006C3C17">
        <w:rPr>
          <w:rFonts w:ascii="Times New Roman" w:hAnsi="Times New Roman"/>
          <w:sz w:val="22"/>
          <w:szCs w:val="22"/>
          <w:lang w:val="lt-LT"/>
        </w:rPr>
        <w:t xml:space="preserve"> (kraujo plokštelių skaičiaus sumažėjimas kraujyje), </w:t>
      </w:r>
      <w:proofErr w:type="spellStart"/>
      <w:r w:rsidRPr="006C3C17">
        <w:rPr>
          <w:rFonts w:ascii="Times New Roman" w:hAnsi="Times New Roman"/>
          <w:sz w:val="22"/>
          <w:szCs w:val="22"/>
          <w:lang w:val="lt-LT"/>
        </w:rPr>
        <w:t>agranulocitozė</w:t>
      </w:r>
      <w:proofErr w:type="spellEnd"/>
      <w:r w:rsidRPr="006C3C17">
        <w:rPr>
          <w:rFonts w:ascii="Times New Roman" w:hAnsi="Times New Roman"/>
          <w:sz w:val="22"/>
          <w:szCs w:val="22"/>
          <w:lang w:val="lt-LT"/>
        </w:rPr>
        <w:t xml:space="preserve"> (tam tikrų baltųjų kraujo ląstelių skaičiaus sumažėjimas ar išnykimas), </w:t>
      </w:r>
      <w:proofErr w:type="spellStart"/>
      <w:r w:rsidRPr="006C3C17">
        <w:rPr>
          <w:rFonts w:ascii="Times New Roman" w:hAnsi="Times New Roman"/>
          <w:sz w:val="22"/>
          <w:szCs w:val="22"/>
          <w:lang w:val="lt-LT"/>
        </w:rPr>
        <w:t>megaloblastinė</w:t>
      </w:r>
      <w:proofErr w:type="spellEnd"/>
      <w:r w:rsidRPr="006C3C17">
        <w:rPr>
          <w:rFonts w:ascii="Times New Roman" w:hAnsi="Times New Roman"/>
          <w:sz w:val="22"/>
          <w:szCs w:val="22"/>
          <w:lang w:val="lt-LT"/>
        </w:rPr>
        <w:t xml:space="preserve"> anemija (mažakraujystė), </w:t>
      </w:r>
      <w:proofErr w:type="spellStart"/>
      <w:r w:rsidRPr="006C3C17">
        <w:rPr>
          <w:rFonts w:ascii="Times New Roman" w:hAnsi="Times New Roman"/>
          <w:sz w:val="22"/>
          <w:szCs w:val="22"/>
          <w:lang w:val="lt-LT"/>
        </w:rPr>
        <w:t>aplazinė</w:t>
      </w:r>
      <w:proofErr w:type="spellEnd"/>
      <w:r w:rsidRPr="006C3C17">
        <w:rPr>
          <w:rFonts w:ascii="Times New Roman" w:hAnsi="Times New Roman"/>
          <w:sz w:val="22"/>
          <w:szCs w:val="22"/>
          <w:lang w:val="lt-LT"/>
        </w:rPr>
        <w:t xml:space="preserve"> anemija (mažakraujystė), hemolizinė anemija (mažakraujystė), </w:t>
      </w:r>
      <w:proofErr w:type="spellStart"/>
      <w:r w:rsidRPr="006C3C17">
        <w:rPr>
          <w:rFonts w:ascii="Times New Roman" w:hAnsi="Times New Roman"/>
          <w:sz w:val="22"/>
          <w:szCs w:val="22"/>
          <w:lang w:val="lt-LT"/>
        </w:rPr>
        <w:t>methemoglobinemija</w:t>
      </w:r>
      <w:proofErr w:type="spellEnd"/>
      <w:r w:rsidRPr="006C3C17">
        <w:rPr>
          <w:rFonts w:ascii="Times New Roman" w:hAnsi="Times New Roman"/>
          <w:sz w:val="22"/>
          <w:szCs w:val="22"/>
          <w:lang w:val="lt-LT"/>
        </w:rPr>
        <w:t xml:space="preserve"> (hemoglobino kiekio kraujyje padidėjimas), </w:t>
      </w:r>
      <w:proofErr w:type="spellStart"/>
      <w:r w:rsidRPr="006C3C17">
        <w:rPr>
          <w:rFonts w:ascii="Times New Roman" w:hAnsi="Times New Roman"/>
          <w:sz w:val="22"/>
          <w:szCs w:val="22"/>
          <w:lang w:val="lt-LT"/>
        </w:rPr>
        <w:t>eozinofilija</w:t>
      </w:r>
      <w:proofErr w:type="spellEnd"/>
      <w:r w:rsidRPr="006C3C17">
        <w:rPr>
          <w:rFonts w:ascii="Times New Roman" w:hAnsi="Times New Roman"/>
          <w:sz w:val="22"/>
          <w:szCs w:val="22"/>
          <w:lang w:val="lt-LT"/>
        </w:rPr>
        <w:t xml:space="preserve"> (baltųjų kraujo ląstelių, vadinamų </w:t>
      </w:r>
      <w:proofErr w:type="spellStart"/>
      <w:r w:rsidRPr="006C3C17">
        <w:rPr>
          <w:rFonts w:ascii="Times New Roman" w:hAnsi="Times New Roman"/>
          <w:sz w:val="22"/>
          <w:szCs w:val="22"/>
          <w:lang w:val="lt-LT"/>
        </w:rPr>
        <w:t>eozinofilais</w:t>
      </w:r>
      <w:proofErr w:type="spellEnd"/>
      <w:r w:rsidRPr="006C3C17">
        <w:rPr>
          <w:rFonts w:ascii="Times New Roman" w:hAnsi="Times New Roman"/>
          <w:sz w:val="22"/>
          <w:szCs w:val="22"/>
          <w:lang w:val="lt-LT"/>
        </w:rPr>
        <w:t xml:space="preserve">, skaičiaus padidėjimas), purpura (daugybinis taškinis kraujo išsiliejimas odoje, gleivinėje ar vidaus organuose), </w:t>
      </w:r>
      <w:proofErr w:type="spellStart"/>
      <w:r w:rsidRPr="006C3C17">
        <w:rPr>
          <w:rFonts w:ascii="Times New Roman" w:hAnsi="Times New Roman"/>
          <w:sz w:val="22"/>
          <w:szCs w:val="22"/>
          <w:lang w:val="lt-LT"/>
        </w:rPr>
        <w:t>hemolizė</w:t>
      </w:r>
      <w:proofErr w:type="spellEnd"/>
      <w:r w:rsidRPr="006C3C17">
        <w:rPr>
          <w:rFonts w:ascii="Times New Roman" w:hAnsi="Times New Roman"/>
          <w:sz w:val="22"/>
          <w:szCs w:val="22"/>
          <w:lang w:val="lt-LT"/>
        </w:rPr>
        <w:t xml:space="preserve"> (raudonųjų kraujo ląstelių irimas, kartu su hemoglobino išsiskyrimu) jautriems pacientams, kurių organizme trūksta gliukozės-6-fosfatdehidrogenazės (dažniausiai praeinanti, tačiau pavieniais atvejais gali tapti pavojinga būkle, ypač senyviems pacientams, pacientams su sutrikusia kepenų ar inkstų veikla ir pacientams, kuriems yra </w:t>
      </w:r>
      <w:proofErr w:type="spellStart"/>
      <w:r w:rsidRPr="006C3C17">
        <w:rPr>
          <w:rFonts w:ascii="Times New Roman" w:hAnsi="Times New Roman"/>
          <w:sz w:val="22"/>
          <w:szCs w:val="22"/>
          <w:lang w:val="lt-LT"/>
        </w:rPr>
        <w:t>folio</w:t>
      </w:r>
      <w:proofErr w:type="spellEnd"/>
      <w:r w:rsidRPr="006C3C17">
        <w:rPr>
          <w:rFonts w:ascii="Times New Roman" w:hAnsi="Times New Roman"/>
          <w:sz w:val="22"/>
          <w:szCs w:val="22"/>
          <w:lang w:val="lt-LT"/>
        </w:rPr>
        <w:t xml:space="preserve"> rūgšties trūkumas);</w:t>
      </w:r>
    </w:p>
    <w:p w14:paraId="4A0AE28D"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sz w:val="22"/>
          <w:szCs w:val="22"/>
          <w:lang w:val="lt-LT"/>
        </w:rPr>
      </w:pPr>
      <w:proofErr w:type="spellStart"/>
      <w:r w:rsidRPr="006C3C17">
        <w:rPr>
          <w:rFonts w:ascii="Times New Roman" w:hAnsi="Times New Roman"/>
          <w:sz w:val="22"/>
          <w:szCs w:val="22"/>
          <w:lang w:val="lt-LT"/>
        </w:rPr>
        <w:t>seruminė</w:t>
      </w:r>
      <w:proofErr w:type="spellEnd"/>
      <w:r w:rsidRPr="006C3C17">
        <w:rPr>
          <w:rFonts w:ascii="Times New Roman" w:hAnsi="Times New Roman"/>
          <w:sz w:val="22"/>
          <w:szCs w:val="22"/>
          <w:lang w:val="lt-LT"/>
        </w:rPr>
        <w:t xml:space="preserve"> liga (alerginės reakcijos tipas), </w:t>
      </w:r>
      <w:proofErr w:type="spellStart"/>
      <w:r w:rsidRPr="006C3C17">
        <w:rPr>
          <w:rFonts w:ascii="Times New Roman" w:hAnsi="Times New Roman"/>
          <w:sz w:val="22"/>
          <w:szCs w:val="22"/>
          <w:lang w:val="lt-LT"/>
        </w:rPr>
        <w:t>anafilaksija</w:t>
      </w:r>
      <w:proofErr w:type="spellEnd"/>
      <w:r w:rsidRPr="006C3C17">
        <w:rPr>
          <w:rFonts w:ascii="Times New Roman" w:hAnsi="Times New Roman"/>
          <w:sz w:val="22"/>
          <w:szCs w:val="22"/>
          <w:lang w:val="lt-LT"/>
        </w:rPr>
        <w:t xml:space="preserve">, alerginis </w:t>
      </w:r>
      <w:proofErr w:type="spellStart"/>
      <w:r w:rsidRPr="006C3C17">
        <w:rPr>
          <w:rFonts w:ascii="Times New Roman" w:hAnsi="Times New Roman"/>
          <w:sz w:val="22"/>
          <w:szCs w:val="22"/>
          <w:lang w:val="lt-LT"/>
        </w:rPr>
        <w:t>miokarditas</w:t>
      </w:r>
      <w:proofErr w:type="spellEnd"/>
      <w:r w:rsidRPr="006C3C17">
        <w:rPr>
          <w:rFonts w:ascii="Times New Roman" w:hAnsi="Times New Roman"/>
          <w:sz w:val="22"/>
          <w:szCs w:val="22"/>
          <w:lang w:val="lt-LT"/>
        </w:rPr>
        <w:t xml:space="preserve"> (širdies raumens uždegimas), </w:t>
      </w:r>
      <w:proofErr w:type="spellStart"/>
      <w:r w:rsidRPr="006C3C17">
        <w:rPr>
          <w:rFonts w:ascii="Times New Roman" w:hAnsi="Times New Roman"/>
          <w:sz w:val="22"/>
          <w:szCs w:val="22"/>
          <w:lang w:val="lt-LT"/>
        </w:rPr>
        <w:t>angioneurozinė</w:t>
      </w:r>
      <w:proofErr w:type="spellEnd"/>
      <w:r w:rsidRPr="006C3C17">
        <w:rPr>
          <w:rFonts w:ascii="Times New Roman" w:hAnsi="Times New Roman"/>
          <w:sz w:val="22"/>
          <w:szCs w:val="22"/>
          <w:lang w:val="lt-LT"/>
        </w:rPr>
        <w:t xml:space="preserve"> edema (padidėjusio jautrumo reakcija, kuriai būdingas staigus lūpų, veido ir kaklo tinimas, taip pat gali tinti plaštakos ir pėdos, atsirasti dusulys, užkimti balsas), vaistų sukeltas karščiavimas, alerginis </w:t>
      </w:r>
      <w:proofErr w:type="spellStart"/>
      <w:r w:rsidRPr="006C3C17">
        <w:rPr>
          <w:rFonts w:ascii="Times New Roman" w:hAnsi="Times New Roman"/>
          <w:sz w:val="22"/>
          <w:szCs w:val="22"/>
          <w:lang w:val="lt-LT"/>
        </w:rPr>
        <w:t>vaskulitas</w:t>
      </w:r>
      <w:proofErr w:type="spellEnd"/>
      <w:r w:rsidRPr="006C3C17">
        <w:rPr>
          <w:rFonts w:ascii="Times New Roman" w:hAnsi="Times New Roman"/>
          <w:sz w:val="22"/>
          <w:szCs w:val="22"/>
          <w:lang w:val="lt-LT"/>
        </w:rPr>
        <w:t xml:space="preserve">, primenantis </w:t>
      </w:r>
      <w:proofErr w:type="spellStart"/>
      <w:r w:rsidRPr="006C3C17">
        <w:rPr>
          <w:rFonts w:ascii="Times New Roman" w:hAnsi="Times New Roman"/>
          <w:sz w:val="22"/>
          <w:szCs w:val="22"/>
          <w:lang w:val="lt-LT"/>
        </w:rPr>
        <w:t>Henoko-Šionlaino</w:t>
      </w:r>
      <w:proofErr w:type="spellEnd"/>
      <w:r w:rsidRPr="006C3C17">
        <w:rPr>
          <w:rFonts w:ascii="Times New Roman" w:hAnsi="Times New Roman"/>
          <w:sz w:val="22"/>
          <w:szCs w:val="22"/>
          <w:lang w:val="lt-LT"/>
        </w:rPr>
        <w:t xml:space="preserve"> purpurą, mazginis </w:t>
      </w:r>
      <w:proofErr w:type="spellStart"/>
      <w:r w:rsidRPr="006C3C17">
        <w:rPr>
          <w:rFonts w:ascii="Times New Roman" w:hAnsi="Times New Roman"/>
          <w:sz w:val="22"/>
          <w:szCs w:val="22"/>
          <w:lang w:val="lt-LT"/>
        </w:rPr>
        <w:t>periarteritas</w:t>
      </w:r>
      <w:proofErr w:type="spellEnd"/>
      <w:r w:rsidRPr="006C3C17">
        <w:rPr>
          <w:rFonts w:ascii="Times New Roman" w:hAnsi="Times New Roman"/>
          <w:sz w:val="22"/>
          <w:szCs w:val="22"/>
          <w:lang w:val="lt-LT"/>
        </w:rPr>
        <w:t xml:space="preserve"> (arterijų uždegimas), sisteminė raudonoji vilkligė;</w:t>
      </w:r>
    </w:p>
    <w:p w14:paraId="1EA20B19"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 xml:space="preserve">hipoglikemija (cukraus kiekio sumažėjimas kraujyje), </w:t>
      </w:r>
      <w:proofErr w:type="spellStart"/>
      <w:r w:rsidRPr="006C3C17">
        <w:rPr>
          <w:rFonts w:ascii="Times New Roman" w:hAnsi="Times New Roman"/>
          <w:sz w:val="22"/>
          <w:szCs w:val="22"/>
          <w:lang w:val="lt-LT"/>
        </w:rPr>
        <w:t>hiponatremija</w:t>
      </w:r>
      <w:proofErr w:type="spellEnd"/>
      <w:r w:rsidRPr="006C3C17">
        <w:rPr>
          <w:rFonts w:ascii="Times New Roman" w:hAnsi="Times New Roman"/>
          <w:sz w:val="22"/>
          <w:szCs w:val="22"/>
          <w:lang w:val="lt-LT"/>
        </w:rPr>
        <w:t xml:space="preserve"> (natrio kiekio sumažėjimas kraujyje), apetito sumažėjimas;</w:t>
      </w:r>
    </w:p>
    <w:p w14:paraId="499089AF"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depresija, haliucinacijos;</w:t>
      </w:r>
    </w:p>
    <w:p w14:paraId="48FEE2FA" w14:textId="77777777" w:rsidR="006C3C17" w:rsidRPr="006C3C17" w:rsidRDefault="006C3C17" w:rsidP="006C3C17">
      <w:pPr>
        <w:numPr>
          <w:ilvl w:val="0"/>
          <w:numId w:val="14"/>
        </w:numPr>
        <w:autoSpaceDE w:val="0"/>
        <w:autoSpaceDN w:val="0"/>
        <w:adjustRightInd w:val="0"/>
        <w:ind w:left="567" w:hanging="567"/>
        <w:rPr>
          <w:szCs w:val="22"/>
        </w:rPr>
      </w:pPr>
      <w:proofErr w:type="spellStart"/>
      <w:r w:rsidRPr="006C3C17">
        <w:rPr>
          <w:szCs w:val="22"/>
        </w:rPr>
        <w:t>aseptinis</w:t>
      </w:r>
      <w:proofErr w:type="spellEnd"/>
      <w:r w:rsidRPr="006C3C17">
        <w:rPr>
          <w:szCs w:val="22"/>
        </w:rPr>
        <w:t xml:space="preserve"> meningitas </w:t>
      </w:r>
      <w:r w:rsidRPr="006C3C17">
        <w:rPr>
          <w:szCs w:val="22"/>
          <w:lang w:eastAsia="en-US"/>
        </w:rPr>
        <w:t xml:space="preserve">(tai smegenų dangalų uždegimas, kurio simptomai: staigus bei stiprus galvos skausmas, </w:t>
      </w:r>
      <w:r w:rsidRPr="006C3C17">
        <w:rPr>
          <w:szCs w:val="22"/>
        </w:rPr>
        <w:t>kaklo raumenų įtempimas, lydimas didelio karščiavimo</w:t>
      </w:r>
      <w:r w:rsidRPr="006C3C17">
        <w:rPr>
          <w:szCs w:val="22"/>
          <w:lang w:eastAsia="en-US"/>
        </w:rPr>
        <w:t xml:space="preserve">, </w:t>
      </w:r>
      <w:r w:rsidRPr="006C3C17">
        <w:rPr>
          <w:szCs w:val="22"/>
        </w:rPr>
        <w:t xml:space="preserve">nutraukus vaisto vartojimą išnyksta), traukuliai, periferinis neuritas (periferinio nervo pažaida, kurios simptomai: </w:t>
      </w:r>
      <w:r w:rsidRPr="006C3C17">
        <w:rPr>
          <w:rStyle w:val="hps"/>
          <w:szCs w:val="22"/>
        </w:rPr>
        <w:t>silpnumas,</w:t>
      </w:r>
      <w:r w:rsidRPr="006C3C17">
        <w:rPr>
          <w:szCs w:val="22"/>
        </w:rPr>
        <w:t xml:space="preserve"> </w:t>
      </w:r>
      <w:r w:rsidRPr="006C3C17">
        <w:rPr>
          <w:rStyle w:val="hps"/>
          <w:szCs w:val="22"/>
        </w:rPr>
        <w:t>tirpimas</w:t>
      </w:r>
      <w:r w:rsidRPr="006C3C17">
        <w:rPr>
          <w:szCs w:val="22"/>
        </w:rPr>
        <w:t xml:space="preserve">, skausmas, paprastai </w:t>
      </w:r>
      <w:r w:rsidRPr="006C3C17">
        <w:rPr>
          <w:rStyle w:val="hps"/>
          <w:szCs w:val="22"/>
        </w:rPr>
        <w:t>rankose ir kojose</w:t>
      </w:r>
      <w:r w:rsidRPr="006C3C17">
        <w:rPr>
          <w:szCs w:val="22"/>
        </w:rPr>
        <w:t xml:space="preserve">), </w:t>
      </w:r>
      <w:proofErr w:type="spellStart"/>
      <w:r w:rsidRPr="006C3C17">
        <w:rPr>
          <w:szCs w:val="22"/>
        </w:rPr>
        <w:t>ataksija</w:t>
      </w:r>
      <w:proofErr w:type="spellEnd"/>
      <w:r w:rsidRPr="006C3C17">
        <w:rPr>
          <w:szCs w:val="22"/>
        </w:rPr>
        <w:t xml:space="preserve"> (judesių koordinacijos sutrikimas), galvos sukimasis, spengimas ausyse, galvos svaigimas;</w:t>
      </w:r>
    </w:p>
    <w:p w14:paraId="755679F1" w14:textId="77777777" w:rsidR="006C3C17" w:rsidRPr="006C3C17" w:rsidRDefault="006C3C17" w:rsidP="006C3C17">
      <w:pPr>
        <w:pStyle w:val="ColorfulList-Accent11"/>
        <w:numPr>
          <w:ilvl w:val="0"/>
          <w:numId w:val="13"/>
        </w:numPr>
        <w:ind w:left="567" w:hanging="567"/>
        <w:rPr>
          <w:szCs w:val="22"/>
        </w:rPr>
      </w:pPr>
      <w:r w:rsidRPr="006C3C17">
        <w:rPr>
          <w:szCs w:val="22"/>
        </w:rPr>
        <w:t xml:space="preserve">kosulys, dusulys, </w:t>
      </w:r>
      <w:proofErr w:type="spellStart"/>
      <w:r w:rsidRPr="006C3C17">
        <w:rPr>
          <w:szCs w:val="22"/>
        </w:rPr>
        <w:t>infiltratai</w:t>
      </w:r>
      <w:proofErr w:type="spellEnd"/>
      <w:r w:rsidRPr="006C3C17">
        <w:rPr>
          <w:szCs w:val="22"/>
        </w:rPr>
        <w:t xml:space="preserve"> plaučiuose (patologinė uždegiminių ląstelių, ypač įvairaus tipo baltųjų kraujo ląstelių ir </w:t>
      </w:r>
      <w:proofErr w:type="spellStart"/>
      <w:r w:rsidRPr="006C3C17">
        <w:rPr>
          <w:szCs w:val="22"/>
        </w:rPr>
        <w:t>susidarusių</w:t>
      </w:r>
      <w:proofErr w:type="spellEnd"/>
      <w:r w:rsidRPr="006C3C17">
        <w:rPr>
          <w:szCs w:val="22"/>
        </w:rPr>
        <w:t xml:space="preserve"> skysčių ir audinių ląstelių, sankaupa);</w:t>
      </w:r>
    </w:p>
    <w:p w14:paraId="11910CB0" w14:textId="77777777" w:rsidR="006C3C17" w:rsidRPr="006C3C17" w:rsidRDefault="006C3C17" w:rsidP="006C3C17">
      <w:pPr>
        <w:pStyle w:val="ColorfulList-Accent11"/>
        <w:numPr>
          <w:ilvl w:val="0"/>
          <w:numId w:val="13"/>
        </w:numPr>
        <w:ind w:left="567" w:hanging="567"/>
        <w:rPr>
          <w:szCs w:val="22"/>
        </w:rPr>
      </w:pPr>
      <w:r w:rsidRPr="006C3C17">
        <w:rPr>
          <w:szCs w:val="22"/>
        </w:rPr>
        <w:t>stomatitas (burnos ir lūpų gleivinės uždegimas);</w:t>
      </w:r>
    </w:p>
    <w:p w14:paraId="04A0726A" w14:textId="77777777" w:rsidR="006C3C17" w:rsidRPr="006C3C17" w:rsidRDefault="006C3C17" w:rsidP="006C3C17">
      <w:pPr>
        <w:pStyle w:val="ColorfulList-Accent11"/>
        <w:numPr>
          <w:ilvl w:val="0"/>
          <w:numId w:val="13"/>
        </w:numPr>
        <w:ind w:left="567" w:hanging="567"/>
        <w:rPr>
          <w:szCs w:val="22"/>
        </w:rPr>
      </w:pPr>
      <w:r w:rsidRPr="006C3C17">
        <w:rPr>
          <w:szCs w:val="22"/>
        </w:rPr>
        <w:t xml:space="preserve">glositas (liežuvio uždegimas), pankreatitas (kasos uždegimas, kurio simptomai: </w:t>
      </w:r>
      <w:r w:rsidRPr="006C3C17">
        <w:rPr>
          <w:rStyle w:val="hps"/>
          <w:szCs w:val="22"/>
        </w:rPr>
        <w:t>skausmas viršutinėje pilvo dalyje</w:t>
      </w:r>
      <w:r w:rsidRPr="006C3C17">
        <w:rPr>
          <w:szCs w:val="22"/>
        </w:rPr>
        <w:t xml:space="preserve">, plintantis į </w:t>
      </w:r>
      <w:r w:rsidRPr="006C3C17">
        <w:rPr>
          <w:rStyle w:val="hps"/>
          <w:szCs w:val="22"/>
        </w:rPr>
        <w:t>nugarą</w:t>
      </w:r>
      <w:r w:rsidRPr="006C3C17">
        <w:rPr>
          <w:szCs w:val="22"/>
        </w:rPr>
        <w:t>, pykinimas, vėmimas);</w:t>
      </w:r>
    </w:p>
    <w:p w14:paraId="1A520202"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sz w:val="22"/>
          <w:szCs w:val="22"/>
          <w:u w:val="single"/>
          <w:lang w:val="lt-LT"/>
        </w:rPr>
      </w:pPr>
      <w:proofErr w:type="spellStart"/>
      <w:r w:rsidRPr="006C3C17">
        <w:rPr>
          <w:rFonts w:ascii="Times New Roman" w:hAnsi="Times New Roman"/>
          <w:sz w:val="22"/>
          <w:szCs w:val="22"/>
          <w:lang w:val="lt-LT"/>
        </w:rPr>
        <w:t>transaminazių</w:t>
      </w:r>
      <w:proofErr w:type="spellEnd"/>
      <w:r w:rsidRPr="006C3C17">
        <w:rPr>
          <w:rFonts w:ascii="Times New Roman" w:hAnsi="Times New Roman"/>
          <w:sz w:val="22"/>
          <w:szCs w:val="22"/>
          <w:lang w:val="lt-LT"/>
        </w:rPr>
        <w:t xml:space="preserve"> (kepenų fermentų) kiekio serume padidėjimas, </w:t>
      </w:r>
      <w:proofErr w:type="spellStart"/>
      <w:r w:rsidRPr="006C3C17">
        <w:rPr>
          <w:rFonts w:ascii="Times New Roman" w:hAnsi="Times New Roman"/>
          <w:sz w:val="22"/>
          <w:szCs w:val="22"/>
          <w:lang w:val="lt-LT"/>
        </w:rPr>
        <w:t>bilirubino</w:t>
      </w:r>
      <w:proofErr w:type="spellEnd"/>
      <w:r w:rsidRPr="006C3C17">
        <w:rPr>
          <w:rFonts w:ascii="Times New Roman" w:hAnsi="Times New Roman"/>
          <w:sz w:val="22"/>
          <w:szCs w:val="22"/>
          <w:lang w:val="lt-LT"/>
        </w:rPr>
        <w:t xml:space="preserve"> koncentracijos serume padidėjimas, </w:t>
      </w:r>
      <w:proofErr w:type="spellStart"/>
      <w:r w:rsidRPr="006C3C17">
        <w:rPr>
          <w:rFonts w:ascii="Times New Roman" w:hAnsi="Times New Roman"/>
          <w:sz w:val="22"/>
          <w:szCs w:val="22"/>
          <w:lang w:val="lt-LT"/>
        </w:rPr>
        <w:t>cholestazinė</w:t>
      </w:r>
      <w:proofErr w:type="spellEnd"/>
      <w:r w:rsidRPr="006C3C17">
        <w:rPr>
          <w:rFonts w:ascii="Times New Roman" w:hAnsi="Times New Roman"/>
          <w:sz w:val="22"/>
          <w:szCs w:val="22"/>
          <w:lang w:val="lt-LT"/>
        </w:rPr>
        <w:t xml:space="preserve"> gelta (obstrukcinė gelta), kepenų nekrozė (kepenų audinio irimas);</w:t>
      </w:r>
    </w:p>
    <w:p w14:paraId="5723D4BA"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 xml:space="preserve">padidėjęs jautrumas šviesai, </w:t>
      </w:r>
      <w:proofErr w:type="spellStart"/>
      <w:r w:rsidRPr="006C3C17">
        <w:rPr>
          <w:rFonts w:ascii="Times New Roman" w:hAnsi="Times New Roman"/>
          <w:sz w:val="22"/>
          <w:szCs w:val="22"/>
          <w:lang w:val="lt-LT"/>
        </w:rPr>
        <w:t>eksfoliacinis</w:t>
      </w:r>
      <w:proofErr w:type="spellEnd"/>
      <w:r w:rsidRPr="006C3C17">
        <w:rPr>
          <w:rFonts w:ascii="Times New Roman" w:hAnsi="Times New Roman"/>
          <w:sz w:val="22"/>
          <w:szCs w:val="22"/>
          <w:lang w:val="lt-LT"/>
        </w:rPr>
        <w:t xml:space="preserve"> dermatitas („žvynelių“ formavimasis ant odos), nekintantis vaisto sukeltas išbėrimas (neišnykstantis vaisto sukeltas išbėrimas), daugiaformė </w:t>
      </w:r>
      <w:proofErr w:type="spellStart"/>
      <w:r w:rsidRPr="006C3C17">
        <w:rPr>
          <w:rFonts w:ascii="Times New Roman" w:hAnsi="Times New Roman"/>
          <w:sz w:val="22"/>
          <w:szCs w:val="22"/>
          <w:lang w:val="lt-LT"/>
        </w:rPr>
        <w:t>eritema</w:t>
      </w:r>
      <w:proofErr w:type="spellEnd"/>
      <w:r w:rsidRPr="006C3C17">
        <w:rPr>
          <w:rFonts w:ascii="Times New Roman" w:hAnsi="Times New Roman"/>
          <w:sz w:val="22"/>
          <w:szCs w:val="22"/>
          <w:lang w:val="lt-LT"/>
        </w:rPr>
        <w:t xml:space="preserve"> (ūminė </w:t>
      </w:r>
      <w:proofErr w:type="spellStart"/>
      <w:r w:rsidRPr="006C3C17">
        <w:rPr>
          <w:rFonts w:ascii="Times New Roman" w:hAnsi="Times New Roman"/>
          <w:sz w:val="22"/>
          <w:szCs w:val="22"/>
          <w:lang w:val="lt-LT"/>
        </w:rPr>
        <w:t>pūslinė</w:t>
      </w:r>
      <w:proofErr w:type="spellEnd"/>
      <w:r w:rsidRPr="006C3C17">
        <w:rPr>
          <w:rFonts w:ascii="Times New Roman" w:hAnsi="Times New Roman"/>
          <w:sz w:val="22"/>
          <w:szCs w:val="22"/>
          <w:lang w:val="lt-LT"/>
        </w:rPr>
        <w:t xml:space="preserve"> odos ir gleivinių liga);</w:t>
      </w:r>
    </w:p>
    <w:p w14:paraId="14A4C0C9"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galimai gyvybei pavojingi odos išbėrimai (</w:t>
      </w:r>
      <w:proofErr w:type="spellStart"/>
      <w:r w:rsidRPr="006C3C17">
        <w:rPr>
          <w:rFonts w:ascii="Times New Roman" w:hAnsi="Times New Roman"/>
          <w:sz w:val="22"/>
          <w:szCs w:val="22"/>
          <w:lang w:val="lt-LT"/>
        </w:rPr>
        <w:t>Stivenso</w:t>
      </w:r>
      <w:proofErr w:type="spellEnd"/>
      <w:r w:rsidRPr="006C3C17">
        <w:rPr>
          <w:rFonts w:ascii="Times New Roman" w:hAnsi="Times New Roman"/>
          <w:sz w:val="22"/>
          <w:szCs w:val="22"/>
          <w:lang w:val="lt-LT"/>
        </w:rPr>
        <w:t xml:space="preserve">-Džonsono sindromas, toksinė epidermio </w:t>
      </w:r>
      <w:proofErr w:type="spellStart"/>
      <w:r w:rsidRPr="006C3C17">
        <w:rPr>
          <w:rFonts w:ascii="Times New Roman" w:hAnsi="Times New Roman"/>
          <w:sz w:val="22"/>
          <w:szCs w:val="22"/>
          <w:lang w:val="lt-LT"/>
        </w:rPr>
        <w:t>nekrolizė</w:t>
      </w:r>
      <w:proofErr w:type="spellEnd"/>
      <w:r w:rsidRPr="006C3C17">
        <w:rPr>
          <w:rFonts w:ascii="Times New Roman" w:hAnsi="Times New Roman"/>
          <w:sz w:val="22"/>
          <w:szCs w:val="22"/>
          <w:lang w:val="lt-LT"/>
        </w:rPr>
        <w:t>) (žr. 2 skyrių ir simptomus, aprašytus šio skyriaus pradžioje);</w:t>
      </w:r>
    </w:p>
    <w:p w14:paraId="0F849100" w14:textId="77777777" w:rsidR="006C3C17" w:rsidRPr="006C3C17" w:rsidRDefault="006C3C17" w:rsidP="006C3C17">
      <w:pPr>
        <w:pStyle w:val="prastasiniatinklio"/>
        <w:numPr>
          <w:ilvl w:val="0"/>
          <w:numId w:val="13"/>
        </w:numPr>
        <w:spacing w:before="0" w:beforeAutospacing="0" w:after="0" w:afterAutospacing="0"/>
        <w:ind w:left="567" w:hanging="567"/>
        <w:rPr>
          <w:rFonts w:ascii="Times New Roman" w:hAnsi="Times New Roman"/>
          <w:sz w:val="22"/>
          <w:szCs w:val="22"/>
          <w:lang w:val="lt-LT"/>
        </w:rPr>
      </w:pPr>
      <w:r w:rsidRPr="006C3C17">
        <w:rPr>
          <w:rFonts w:ascii="Times New Roman" w:hAnsi="Times New Roman"/>
          <w:sz w:val="22"/>
          <w:szCs w:val="22"/>
          <w:lang w:val="lt-LT"/>
        </w:rPr>
        <w:t>sąnarių skausmas, raumenų skausmas;</w:t>
      </w:r>
    </w:p>
    <w:p w14:paraId="6BBB6665" w14:textId="77777777" w:rsidR="006C3C17" w:rsidRPr="006C3C17" w:rsidRDefault="006C3C17" w:rsidP="006C3C17">
      <w:pPr>
        <w:pStyle w:val="ColorfulList-Accent11"/>
        <w:numPr>
          <w:ilvl w:val="0"/>
          <w:numId w:val="13"/>
        </w:numPr>
        <w:ind w:left="567" w:hanging="567"/>
        <w:rPr>
          <w:szCs w:val="22"/>
        </w:rPr>
      </w:pPr>
      <w:r w:rsidRPr="006C3C17">
        <w:rPr>
          <w:szCs w:val="22"/>
        </w:rPr>
        <w:t xml:space="preserve">inkstų funkcijos sutrikimas, </w:t>
      </w:r>
      <w:proofErr w:type="spellStart"/>
      <w:r w:rsidRPr="006C3C17">
        <w:rPr>
          <w:szCs w:val="22"/>
        </w:rPr>
        <w:t>intersticinis</w:t>
      </w:r>
      <w:proofErr w:type="spellEnd"/>
      <w:r w:rsidRPr="006C3C17">
        <w:rPr>
          <w:szCs w:val="22"/>
        </w:rPr>
        <w:t xml:space="preserve"> nefritas (inkstų liga, pasižyminti </w:t>
      </w:r>
      <w:r w:rsidRPr="006C3C17">
        <w:rPr>
          <w:rStyle w:val="st1"/>
          <w:szCs w:val="22"/>
        </w:rPr>
        <w:t>inkstų kanalėlių ir audinio tarp kanalėlių uždegimu);</w:t>
      </w:r>
    </w:p>
    <w:p w14:paraId="0F540FC7" w14:textId="77777777" w:rsidR="006C3C17" w:rsidRPr="006C3C17" w:rsidRDefault="006C3C17" w:rsidP="006C3C17">
      <w:pPr>
        <w:pStyle w:val="ColorfulList-Accent11"/>
        <w:numPr>
          <w:ilvl w:val="0"/>
          <w:numId w:val="13"/>
        </w:numPr>
        <w:ind w:left="567" w:hanging="567"/>
        <w:rPr>
          <w:szCs w:val="22"/>
        </w:rPr>
      </w:pPr>
      <w:proofErr w:type="spellStart"/>
      <w:r w:rsidRPr="006C3C17">
        <w:rPr>
          <w:szCs w:val="22"/>
        </w:rPr>
        <w:t>uveitas</w:t>
      </w:r>
      <w:proofErr w:type="spellEnd"/>
      <w:r w:rsidRPr="006C3C17">
        <w:rPr>
          <w:szCs w:val="22"/>
        </w:rPr>
        <w:t xml:space="preserve"> (akies dalies - obuolio, kraujagyslinio dangalo uždegimas);</w:t>
      </w:r>
    </w:p>
    <w:p w14:paraId="26EE0C1A" w14:textId="77777777" w:rsidR="006C3C17" w:rsidRPr="006C3C17" w:rsidRDefault="006C3C17" w:rsidP="006C3C17">
      <w:pPr>
        <w:pStyle w:val="ColorfulList-Accent11"/>
        <w:numPr>
          <w:ilvl w:val="0"/>
          <w:numId w:val="13"/>
        </w:numPr>
        <w:ind w:left="567" w:hanging="567"/>
        <w:rPr>
          <w:szCs w:val="22"/>
        </w:rPr>
      </w:pPr>
      <w:r w:rsidRPr="006C3C17">
        <w:rPr>
          <w:szCs w:val="22"/>
        </w:rPr>
        <w:t>gydant pneumoniją gali pasireikšti raumenų irimas (</w:t>
      </w:r>
      <w:proofErr w:type="spellStart"/>
      <w:r w:rsidRPr="006C3C17">
        <w:rPr>
          <w:szCs w:val="22"/>
        </w:rPr>
        <w:t>rabdomiolizė</w:t>
      </w:r>
      <w:proofErr w:type="spellEnd"/>
      <w:r w:rsidRPr="006C3C17">
        <w:rPr>
          <w:szCs w:val="22"/>
        </w:rPr>
        <w:t>, kuri pasireiškia labai stipriu raumenų skausmu, sutrikusia inkstų veikla).</w:t>
      </w:r>
    </w:p>
    <w:p w14:paraId="15530DE0" w14:textId="77777777" w:rsidR="006C3C17" w:rsidRPr="006C3C17" w:rsidRDefault="006C3C17" w:rsidP="006C3C17">
      <w:pPr>
        <w:pStyle w:val="ColorfulList-Accent11"/>
        <w:ind w:left="0"/>
        <w:rPr>
          <w:szCs w:val="22"/>
        </w:rPr>
      </w:pPr>
    </w:p>
    <w:p w14:paraId="2E480858" w14:textId="77777777" w:rsidR="006C3C17" w:rsidRPr="006C3C17" w:rsidRDefault="006C3C17" w:rsidP="006C3C17">
      <w:pPr>
        <w:pStyle w:val="ColorfulList-Accent11"/>
        <w:ind w:left="0"/>
        <w:rPr>
          <w:i/>
          <w:iCs/>
          <w:szCs w:val="22"/>
        </w:rPr>
      </w:pPr>
      <w:r w:rsidRPr="006C3C17">
        <w:rPr>
          <w:b/>
          <w:bCs/>
          <w:i/>
          <w:iCs/>
          <w:noProof/>
          <w:szCs w:val="22"/>
        </w:rPr>
        <w:t>Šalutinio poveikio reiškiniai, kurių dažnis nežinomas (negali būti apskaičiuotas pagal turimus duomenis)</w:t>
      </w:r>
      <w:r w:rsidRPr="006C3C17">
        <w:rPr>
          <w:b/>
          <w:bCs/>
          <w:i/>
          <w:iCs/>
          <w:szCs w:val="22"/>
        </w:rPr>
        <w:t>:</w:t>
      </w:r>
    </w:p>
    <w:p w14:paraId="1C74D3C4" w14:textId="77777777" w:rsidR="006C3C17" w:rsidRPr="006C3C17" w:rsidRDefault="006C3C17" w:rsidP="006C3C17">
      <w:pPr>
        <w:pStyle w:val="ColorfulList-Accent11"/>
        <w:ind w:left="567" w:hanging="567"/>
        <w:rPr>
          <w:szCs w:val="22"/>
        </w:rPr>
      </w:pPr>
      <w:r w:rsidRPr="006C3C17">
        <w:rPr>
          <w:szCs w:val="22"/>
        </w:rPr>
        <w:t>-</w:t>
      </w:r>
      <w:r w:rsidRPr="006C3C17">
        <w:rPr>
          <w:szCs w:val="22"/>
        </w:rPr>
        <w:tab/>
      </w:r>
      <w:proofErr w:type="spellStart"/>
      <w:r w:rsidRPr="006C3C17">
        <w:rPr>
          <w:szCs w:val="22"/>
        </w:rPr>
        <w:t>psichozinis</w:t>
      </w:r>
      <w:proofErr w:type="spellEnd"/>
      <w:r w:rsidRPr="006C3C17">
        <w:rPr>
          <w:szCs w:val="22"/>
        </w:rPr>
        <w:t xml:space="preserve"> sutrikimas;</w:t>
      </w:r>
    </w:p>
    <w:p w14:paraId="48ECB7BB" w14:textId="77777777" w:rsidR="006C3C17" w:rsidRPr="006C3C17" w:rsidRDefault="006C3C17" w:rsidP="006C3C17">
      <w:pPr>
        <w:tabs>
          <w:tab w:val="left" w:pos="567"/>
        </w:tabs>
        <w:ind w:left="567" w:hanging="567"/>
        <w:rPr>
          <w:szCs w:val="22"/>
        </w:rPr>
      </w:pPr>
      <w:r w:rsidRPr="006C3C17">
        <w:rPr>
          <w:szCs w:val="22"/>
        </w:rPr>
        <w:lastRenderedPageBreak/>
        <w:t>-</w:t>
      </w:r>
      <w:r w:rsidRPr="006C3C17">
        <w:rPr>
          <w:szCs w:val="22"/>
        </w:rPr>
        <w:tab/>
        <w:t>violetinės spalvos iškilios skausmingos žaizdos ant galūnių ir kai kuriais atvejais ant veido ir kaklo kartu su karščiavimu (</w:t>
      </w:r>
      <w:proofErr w:type="spellStart"/>
      <w:r w:rsidRPr="006C3C17">
        <w:rPr>
          <w:szCs w:val="22"/>
        </w:rPr>
        <w:t>Svyto</w:t>
      </w:r>
      <w:proofErr w:type="spellEnd"/>
      <w:r w:rsidRPr="006C3C17">
        <w:rPr>
          <w:szCs w:val="22"/>
        </w:rPr>
        <w:t xml:space="preserve"> (</w:t>
      </w:r>
      <w:proofErr w:type="spellStart"/>
      <w:r w:rsidRPr="006C3C17">
        <w:rPr>
          <w:i/>
          <w:iCs/>
          <w:szCs w:val="22"/>
        </w:rPr>
        <w:t>Sweet</w:t>
      </w:r>
      <w:proofErr w:type="spellEnd"/>
      <w:r w:rsidRPr="006C3C17">
        <w:rPr>
          <w:szCs w:val="22"/>
        </w:rPr>
        <w:t>) sindromas)).</w:t>
      </w:r>
    </w:p>
    <w:p w14:paraId="3C515D3F" w14:textId="77777777" w:rsidR="006C3C17" w:rsidRPr="006C3C17" w:rsidRDefault="006C3C17" w:rsidP="006C3C17">
      <w:pPr>
        <w:rPr>
          <w:szCs w:val="22"/>
        </w:rPr>
      </w:pPr>
    </w:p>
    <w:p w14:paraId="18730B56" w14:textId="77777777" w:rsidR="006C3C17" w:rsidRPr="006C3C17" w:rsidRDefault="006C3C17" w:rsidP="006C3C17">
      <w:pPr>
        <w:tabs>
          <w:tab w:val="left" w:pos="567"/>
        </w:tabs>
        <w:rPr>
          <w:b/>
          <w:snapToGrid w:val="0"/>
          <w:szCs w:val="22"/>
          <w:lang w:eastAsia="en-US"/>
        </w:rPr>
      </w:pPr>
      <w:r w:rsidRPr="006C3C17">
        <w:rPr>
          <w:b/>
          <w:snapToGrid w:val="0"/>
          <w:szCs w:val="22"/>
          <w:lang w:eastAsia="en-US"/>
        </w:rPr>
        <w:t>Pranešimas apie šalutinį poveikį</w:t>
      </w:r>
    </w:p>
    <w:p w14:paraId="1086A6BB" w14:textId="77777777" w:rsidR="006C3C17" w:rsidRPr="006C3C17" w:rsidRDefault="006C3C17" w:rsidP="006C3C17">
      <w:pPr>
        <w:tabs>
          <w:tab w:val="left" w:pos="567"/>
        </w:tabs>
        <w:spacing w:line="260" w:lineRule="exact"/>
        <w:ind w:right="-449"/>
        <w:rPr>
          <w:snapToGrid w:val="0"/>
          <w:szCs w:val="22"/>
        </w:rPr>
      </w:pPr>
      <w:r w:rsidRPr="006C3C17">
        <w:rPr>
          <w:snapToGrid w:val="0"/>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6C3C17">
          <w:rPr>
            <w:rStyle w:val="Hipersaitas"/>
            <w:rFonts w:eastAsiaTheme="majorEastAsia"/>
            <w:color w:val="auto"/>
            <w:szCs w:val="22"/>
          </w:rPr>
          <w:t>https://vvkt.lrv.lt/lt/</w:t>
        </w:r>
      </w:hyperlink>
      <w:r w:rsidRPr="006C3C17">
        <w:rPr>
          <w:szCs w:val="22"/>
        </w:rPr>
        <w:t xml:space="preserve"> </w:t>
      </w:r>
      <w:r w:rsidRPr="006C3C17">
        <w:rPr>
          <w:snapToGrid w:val="0"/>
          <w:szCs w:val="22"/>
        </w:rPr>
        <w:t>nurodytais būdais arba paskambinti nemokamu telefonu +370 800 73 568. Pranešdami apie šalutinį poveikį galite mums padėti gauti daugiau informacijos apie šio vaisto saugumą.</w:t>
      </w:r>
    </w:p>
    <w:p w14:paraId="18B70829" w14:textId="77777777" w:rsidR="006C3C17" w:rsidRPr="006C3C17" w:rsidRDefault="006C3C17" w:rsidP="006C3C17">
      <w:pPr>
        <w:tabs>
          <w:tab w:val="left" w:pos="567"/>
        </w:tabs>
        <w:spacing w:line="260" w:lineRule="exact"/>
        <w:ind w:right="-449"/>
        <w:rPr>
          <w:szCs w:val="22"/>
        </w:rPr>
      </w:pPr>
    </w:p>
    <w:p w14:paraId="40C0D786" w14:textId="77777777" w:rsidR="006C3C17" w:rsidRPr="006C3C17" w:rsidRDefault="006C3C17" w:rsidP="006C3C17">
      <w:pPr>
        <w:tabs>
          <w:tab w:val="left" w:pos="567"/>
        </w:tabs>
        <w:spacing w:line="260" w:lineRule="exact"/>
        <w:ind w:right="-449"/>
        <w:rPr>
          <w:szCs w:val="22"/>
        </w:rPr>
      </w:pPr>
    </w:p>
    <w:p w14:paraId="41190639" w14:textId="77777777" w:rsidR="006C3C17" w:rsidRPr="006C3C17" w:rsidRDefault="006C3C17" w:rsidP="006C3C17">
      <w:pPr>
        <w:pStyle w:val="Antrat2"/>
        <w:keepNext w:val="0"/>
        <w:spacing w:before="0" w:after="0"/>
        <w:rPr>
          <w:rFonts w:ascii="Times New Roman" w:hAnsi="Times New Roman" w:cs="Times New Roman"/>
          <w:b/>
          <w:bCs/>
          <w:color w:val="auto"/>
          <w:sz w:val="22"/>
          <w:szCs w:val="22"/>
        </w:rPr>
      </w:pPr>
      <w:r w:rsidRPr="006C3C17">
        <w:rPr>
          <w:rFonts w:ascii="Times New Roman" w:hAnsi="Times New Roman" w:cs="Times New Roman"/>
          <w:b/>
          <w:bCs/>
          <w:color w:val="auto"/>
          <w:sz w:val="22"/>
          <w:szCs w:val="22"/>
        </w:rPr>
        <w:t>5.</w:t>
      </w:r>
      <w:r w:rsidRPr="006C3C17">
        <w:rPr>
          <w:rFonts w:ascii="Times New Roman" w:hAnsi="Times New Roman" w:cs="Times New Roman"/>
          <w:b/>
          <w:bCs/>
          <w:color w:val="auto"/>
          <w:sz w:val="22"/>
          <w:szCs w:val="22"/>
        </w:rPr>
        <w:tab/>
        <w:t>Kaip laikyti BISEPTOL</w:t>
      </w:r>
    </w:p>
    <w:p w14:paraId="78108AAD" w14:textId="77777777" w:rsidR="006C3C17" w:rsidRPr="006C3C17" w:rsidRDefault="006C3C17" w:rsidP="006C3C17">
      <w:pPr>
        <w:pStyle w:val="Pagrindinistekstas"/>
        <w:spacing w:after="0"/>
        <w:rPr>
          <w:szCs w:val="22"/>
        </w:rPr>
      </w:pPr>
    </w:p>
    <w:p w14:paraId="2DA5041D" w14:textId="77777777" w:rsidR="006C3C17" w:rsidRPr="006C3C17" w:rsidRDefault="006C3C17" w:rsidP="006C3C17">
      <w:pPr>
        <w:pStyle w:val="Pagrindinistekstas"/>
        <w:spacing w:after="0"/>
        <w:rPr>
          <w:szCs w:val="22"/>
        </w:rPr>
      </w:pPr>
      <w:r w:rsidRPr="006C3C17">
        <w:rPr>
          <w:szCs w:val="22"/>
        </w:rPr>
        <w:t>Šį vaistą laikykite vaikams nepastebimoje ir nepasiekiamoje vietoje.</w:t>
      </w:r>
    </w:p>
    <w:p w14:paraId="2E9B8A5A" w14:textId="77777777" w:rsidR="006C3C17" w:rsidRPr="006C3C17" w:rsidRDefault="006C3C17" w:rsidP="006C3C17">
      <w:pPr>
        <w:pStyle w:val="Pagrindinistekstas"/>
        <w:spacing w:after="0"/>
        <w:rPr>
          <w:szCs w:val="22"/>
        </w:rPr>
      </w:pPr>
      <w:r w:rsidRPr="006C3C17">
        <w:rPr>
          <w:szCs w:val="22"/>
        </w:rPr>
        <w:t xml:space="preserve">Laikyti ne aukštesnėje kaip 25 </w:t>
      </w:r>
      <w:r w:rsidRPr="006C3C17">
        <w:rPr>
          <w:szCs w:val="22"/>
        </w:rPr>
        <w:sym w:font="Symbol" w:char="F0B0"/>
      </w:r>
      <w:r w:rsidRPr="006C3C17">
        <w:rPr>
          <w:szCs w:val="22"/>
        </w:rPr>
        <w:t>C temperatūroje.</w:t>
      </w:r>
    </w:p>
    <w:p w14:paraId="201772EB" w14:textId="77777777" w:rsidR="006C3C17" w:rsidRPr="006C3C17" w:rsidRDefault="006C3C17" w:rsidP="006C3C17">
      <w:pPr>
        <w:rPr>
          <w:szCs w:val="22"/>
        </w:rPr>
      </w:pPr>
      <w:r w:rsidRPr="006C3C17">
        <w:rPr>
          <w:szCs w:val="22"/>
        </w:rPr>
        <w:t>Ampules laikyti išorinėje dėžutėje, kad vaistas būtų apsaugotas nuo šviesos.</w:t>
      </w:r>
    </w:p>
    <w:p w14:paraId="3EA05B24" w14:textId="77777777" w:rsidR="006C3C17" w:rsidRPr="006C3C17" w:rsidRDefault="006C3C17" w:rsidP="006C3C17">
      <w:pPr>
        <w:pStyle w:val="Pagrindinistekstas"/>
        <w:spacing w:after="0"/>
        <w:rPr>
          <w:szCs w:val="22"/>
        </w:rPr>
      </w:pPr>
    </w:p>
    <w:p w14:paraId="28D54FA4" w14:textId="77777777" w:rsidR="006C3C17" w:rsidRPr="006C3C17" w:rsidRDefault="006C3C17" w:rsidP="006C3C17">
      <w:pPr>
        <w:pStyle w:val="Pagrindinistekstas"/>
        <w:spacing w:after="0"/>
        <w:rPr>
          <w:szCs w:val="22"/>
        </w:rPr>
      </w:pPr>
      <w:r w:rsidRPr="006C3C17">
        <w:rPr>
          <w:szCs w:val="22"/>
        </w:rPr>
        <w:t>Ant dėžutės ir ant ampulės po „EXP“ nurodytam tinkamumo laikui pasibaigus, šio vaisto vartoti negalima. Vaistas tinkamas vartoti iki paskutinės nurodyto mėnesio dienos.</w:t>
      </w:r>
    </w:p>
    <w:p w14:paraId="1A5D1F12" w14:textId="77777777" w:rsidR="006C3C17" w:rsidRPr="006C3C17" w:rsidRDefault="006C3C17" w:rsidP="006C3C17">
      <w:pPr>
        <w:numPr>
          <w:ilvl w:val="12"/>
          <w:numId w:val="0"/>
        </w:numPr>
        <w:ind w:right="-2"/>
        <w:rPr>
          <w:noProof/>
          <w:szCs w:val="22"/>
        </w:rPr>
      </w:pPr>
    </w:p>
    <w:p w14:paraId="017DBCE0" w14:textId="77777777" w:rsidR="006C3C17" w:rsidRPr="006C3C17" w:rsidRDefault="006C3C17" w:rsidP="006C3C17">
      <w:pPr>
        <w:numPr>
          <w:ilvl w:val="12"/>
          <w:numId w:val="0"/>
        </w:numPr>
        <w:ind w:right="-2"/>
        <w:rPr>
          <w:noProof/>
          <w:szCs w:val="22"/>
        </w:rPr>
      </w:pPr>
      <w:r w:rsidRPr="006C3C17">
        <w:rPr>
          <w:noProof/>
          <w:szCs w:val="22"/>
        </w:rPr>
        <w:t>Vaistų negalima išmesti į kanalizaciją arba su buitinėmis atliekomis. Kaip išmesti nereikalingus vaistus, klauskite vaistininko. Šios priemonės padės apsaugoti aplinką.</w:t>
      </w:r>
    </w:p>
    <w:p w14:paraId="4FC38DDA" w14:textId="77777777" w:rsidR="006C3C17" w:rsidRPr="006C3C17" w:rsidRDefault="006C3C17" w:rsidP="006C3C17">
      <w:pPr>
        <w:pStyle w:val="Pagrindinistekstas"/>
        <w:spacing w:after="0"/>
        <w:rPr>
          <w:szCs w:val="22"/>
        </w:rPr>
      </w:pPr>
    </w:p>
    <w:p w14:paraId="1C25D20B" w14:textId="77777777" w:rsidR="006C3C17" w:rsidRPr="006C3C17" w:rsidRDefault="006C3C17" w:rsidP="006C3C17">
      <w:pPr>
        <w:pStyle w:val="Pagrindinistekstas"/>
        <w:spacing w:after="0"/>
        <w:rPr>
          <w:szCs w:val="22"/>
        </w:rPr>
      </w:pPr>
    </w:p>
    <w:p w14:paraId="71F7B9DF" w14:textId="77777777" w:rsidR="006C3C17" w:rsidRPr="006C3C17" w:rsidRDefault="006C3C17" w:rsidP="006C3C17">
      <w:pPr>
        <w:pStyle w:val="Antrat2"/>
        <w:spacing w:before="0" w:after="0"/>
        <w:rPr>
          <w:rFonts w:ascii="Times New Roman" w:hAnsi="Times New Roman" w:cs="Times New Roman"/>
          <w:b/>
          <w:bCs/>
          <w:color w:val="auto"/>
          <w:sz w:val="22"/>
          <w:szCs w:val="22"/>
        </w:rPr>
      </w:pPr>
      <w:r w:rsidRPr="006C3C17">
        <w:rPr>
          <w:rFonts w:ascii="Times New Roman" w:hAnsi="Times New Roman" w:cs="Times New Roman"/>
          <w:b/>
          <w:bCs/>
          <w:color w:val="auto"/>
          <w:sz w:val="22"/>
          <w:szCs w:val="22"/>
        </w:rPr>
        <w:t>6.</w:t>
      </w:r>
      <w:r w:rsidRPr="006C3C17">
        <w:rPr>
          <w:rFonts w:ascii="Times New Roman" w:hAnsi="Times New Roman" w:cs="Times New Roman"/>
          <w:b/>
          <w:bCs/>
          <w:color w:val="auto"/>
          <w:sz w:val="22"/>
          <w:szCs w:val="22"/>
        </w:rPr>
        <w:tab/>
        <w:t>Pakuotės turinys ir kita informacija</w:t>
      </w:r>
    </w:p>
    <w:p w14:paraId="47A2A3F6" w14:textId="77777777" w:rsidR="006C3C17" w:rsidRPr="006C3C17" w:rsidRDefault="006C3C17" w:rsidP="006C3C17">
      <w:pPr>
        <w:pStyle w:val="Pagrindinistekstas"/>
        <w:spacing w:after="0"/>
        <w:rPr>
          <w:szCs w:val="22"/>
        </w:rPr>
      </w:pPr>
    </w:p>
    <w:p w14:paraId="4578E943" w14:textId="77777777" w:rsidR="006C3C17" w:rsidRPr="006C3C17" w:rsidRDefault="006C3C17" w:rsidP="006C3C17">
      <w:pPr>
        <w:numPr>
          <w:ilvl w:val="12"/>
          <w:numId w:val="0"/>
        </w:numPr>
        <w:ind w:right="-2"/>
        <w:rPr>
          <w:noProof/>
          <w:szCs w:val="22"/>
          <w:u w:val="single"/>
        </w:rPr>
      </w:pPr>
      <w:r w:rsidRPr="006C3C17">
        <w:rPr>
          <w:b/>
          <w:bCs/>
          <w:noProof/>
          <w:szCs w:val="22"/>
        </w:rPr>
        <w:t xml:space="preserve">BISEPTOL sudėtis </w:t>
      </w:r>
    </w:p>
    <w:p w14:paraId="4A998176" w14:textId="77777777" w:rsidR="006C3C17" w:rsidRPr="006C3C17" w:rsidRDefault="006C3C17" w:rsidP="006C3C17">
      <w:pPr>
        <w:pStyle w:val="Pagrindinistekstas"/>
        <w:numPr>
          <w:ilvl w:val="0"/>
          <w:numId w:val="15"/>
        </w:numPr>
        <w:spacing w:after="0"/>
        <w:ind w:left="567" w:hanging="567"/>
        <w:rPr>
          <w:szCs w:val="22"/>
        </w:rPr>
      </w:pPr>
      <w:r w:rsidRPr="006C3C17">
        <w:rPr>
          <w:szCs w:val="22"/>
        </w:rPr>
        <w:t xml:space="preserve">Veikliosios medžiagos yra </w:t>
      </w:r>
      <w:proofErr w:type="spellStart"/>
      <w:r w:rsidRPr="006C3C17">
        <w:rPr>
          <w:szCs w:val="22"/>
        </w:rPr>
        <w:t>sulfametoksazolas</w:t>
      </w:r>
      <w:proofErr w:type="spellEnd"/>
      <w:r w:rsidRPr="006C3C17">
        <w:rPr>
          <w:szCs w:val="22"/>
        </w:rPr>
        <w:t xml:space="preserve"> ir </w:t>
      </w:r>
      <w:proofErr w:type="spellStart"/>
      <w:r w:rsidRPr="006C3C17">
        <w:rPr>
          <w:szCs w:val="22"/>
        </w:rPr>
        <w:t>trimetoprimas</w:t>
      </w:r>
      <w:proofErr w:type="spellEnd"/>
      <w:r w:rsidRPr="006C3C17">
        <w:rPr>
          <w:szCs w:val="22"/>
        </w:rPr>
        <w:t xml:space="preserve">. Kiekviename mililitre sterilaus koncentrato yra 80 mg </w:t>
      </w:r>
      <w:proofErr w:type="spellStart"/>
      <w:r w:rsidRPr="006C3C17">
        <w:rPr>
          <w:szCs w:val="22"/>
        </w:rPr>
        <w:t>sulfametoksazolo</w:t>
      </w:r>
      <w:proofErr w:type="spellEnd"/>
      <w:r w:rsidRPr="006C3C17">
        <w:rPr>
          <w:szCs w:val="22"/>
        </w:rPr>
        <w:t xml:space="preserve"> ir 16 mg </w:t>
      </w:r>
      <w:proofErr w:type="spellStart"/>
      <w:r w:rsidRPr="006C3C17">
        <w:rPr>
          <w:szCs w:val="22"/>
        </w:rPr>
        <w:t>trimetoprimo</w:t>
      </w:r>
      <w:proofErr w:type="spellEnd"/>
      <w:r w:rsidRPr="006C3C17">
        <w:rPr>
          <w:szCs w:val="22"/>
        </w:rPr>
        <w:t>.</w:t>
      </w:r>
    </w:p>
    <w:p w14:paraId="7E0868B3" w14:textId="77777777" w:rsidR="006C3C17" w:rsidRPr="006C3C17" w:rsidRDefault="006C3C17" w:rsidP="006C3C17">
      <w:pPr>
        <w:numPr>
          <w:ilvl w:val="0"/>
          <w:numId w:val="15"/>
        </w:numPr>
        <w:suppressAutoHyphens/>
        <w:ind w:left="567" w:hanging="425"/>
        <w:rPr>
          <w:i/>
          <w:iCs/>
          <w:noProof/>
          <w:szCs w:val="22"/>
        </w:rPr>
      </w:pPr>
      <w:r w:rsidRPr="006C3C17">
        <w:rPr>
          <w:szCs w:val="22"/>
        </w:rPr>
        <w:t xml:space="preserve">Pagalbinės medžiagos yra </w:t>
      </w:r>
      <w:proofErr w:type="spellStart"/>
      <w:r w:rsidRPr="006C3C17">
        <w:rPr>
          <w:szCs w:val="22"/>
        </w:rPr>
        <w:t>propilenglikolis</w:t>
      </w:r>
      <w:proofErr w:type="spellEnd"/>
      <w:r w:rsidRPr="006C3C17">
        <w:rPr>
          <w:szCs w:val="22"/>
        </w:rPr>
        <w:t xml:space="preserve"> (E1520), etanolis 96 %, natrio hidroksidas, </w:t>
      </w:r>
      <w:proofErr w:type="spellStart"/>
      <w:r w:rsidRPr="006C3C17">
        <w:rPr>
          <w:szCs w:val="22"/>
        </w:rPr>
        <w:t>etanolaminas</w:t>
      </w:r>
      <w:proofErr w:type="spellEnd"/>
      <w:r w:rsidRPr="006C3C17">
        <w:rPr>
          <w:szCs w:val="22"/>
        </w:rPr>
        <w:t>, injekcinis vanduo.</w:t>
      </w:r>
    </w:p>
    <w:p w14:paraId="23A59D41" w14:textId="77777777" w:rsidR="006C3C17" w:rsidRPr="006C3C17" w:rsidRDefault="006C3C17" w:rsidP="006C3C17">
      <w:pPr>
        <w:pStyle w:val="Pagrindinistekstas"/>
        <w:spacing w:after="0"/>
        <w:rPr>
          <w:szCs w:val="22"/>
        </w:rPr>
      </w:pPr>
    </w:p>
    <w:p w14:paraId="238E94C4" w14:textId="77777777" w:rsidR="006C3C17" w:rsidRPr="006C3C17" w:rsidRDefault="006C3C17" w:rsidP="006C3C17">
      <w:pPr>
        <w:numPr>
          <w:ilvl w:val="12"/>
          <w:numId w:val="0"/>
        </w:numPr>
        <w:ind w:right="-2"/>
        <w:rPr>
          <w:b/>
          <w:bCs/>
          <w:noProof/>
          <w:szCs w:val="22"/>
        </w:rPr>
      </w:pPr>
      <w:r w:rsidRPr="006C3C17">
        <w:rPr>
          <w:b/>
          <w:bCs/>
          <w:noProof/>
          <w:szCs w:val="22"/>
        </w:rPr>
        <w:t>BISEPTOL išvaizda ir kiekis pakuotėje</w:t>
      </w:r>
    </w:p>
    <w:p w14:paraId="2FEDE7FD" w14:textId="77777777" w:rsidR="006C3C17" w:rsidRPr="006C3C17" w:rsidRDefault="006C3C17" w:rsidP="006C3C17">
      <w:pPr>
        <w:pStyle w:val="Pagrindinistekstas"/>
        <w:spacing w:after="0"/>
        <w:rPr>
          <w:szCs w:val="22"/>
        </w:rPr>
      </w:pPr>
      <w:r w:rsidRPr="006C3C17">
        <w:rPr>
          <w:szCs w:val="22"/>
        </w:rPr>
        <w:t>BISEPTOL yra bespalvis ar gelsvas skystis.</w:t>
      </w:r>
    </w:p>
    <w:p w14:paraId="54E9A502" w14:textId="77777777" w:rsidR="006C3C17" w:rsidRPr="006C3C17" w:rsidRDefault="006C3C17" w:rsidP="006C3C17">
      <w:pPr>
        <w:pStyle w:val="Pagrindinistekstas"/>
        <w:spacing w:after="0"/>
        <w:rPr>
          <w:szCs w:val="22"/>
        </w:rPr>
      </w:pPr>
      <w:r w:rsidRPr="006C3C17">
        <w:rPr>
          <w:szCs w:val="22"/>
        </w:rPr>
        <w:t>Kartono dėžutėje yra 10 stiklo ampulių po 5 ml.</w:t>
      </w:r>
    </w:p>
    <w:p w14:paraId="226C1E3D" w14:textId="77777777" w:rsidR="006C3C17" w:rsidRPr="006C3C17" w:rsidRDefault="006C3C17" w:rsidP="006C3C17">
      <w:pPr>
        <w:pStyle w:val="Pagrindinistekstas"/>
        <w:spacing w:after="0"/>
        <w:rPr>
          <w:szCs w:val="22"/>
        </w:rPr>
      </w:pPr>
    </w:p>
    <w:p w14:paraId="28D0BBD7" w14:textId="77777777" w:rsidR="006C3C17" w:rsidRPr="006C3C17" w:rsidRDefault="006C3C17" w:rsidP="006C3C17">
      <w:pPr>
        <w:numPr>
          <w:ilvl w:val="12"/>
          <w:numId w:val="0"/>
        </w:numPr>
        <w:ind w:right="-2"/>
        <w:rPr>
          <w:b/>
          <w:bCs/>
          <w:szCs w:val="22"/>
        </w:rPr>
      </w:pPr>
      <w:r w:rsidRPr="006C3C17">
        <w:rPr>
          <w:b/>
          <w:bCs/>
          <w:szCs w:val="22"/>
        </w:rPr>
        <w:t>Registruotojas ir gamintojas</w:t>
      </w:r>
    </w:p>
    <w:p w14:paraId="6AC2EAFD" w14:textId="77777777" w:rsidR="006C3C17" w:rsidRPr="00F03D48" w:rsidRDefault="006C3C17" w:rsidP="006C3C17">
      <w:pPr>
        <w:rPr>
          <w:b/>
          <w:spacing w:val="4"/>
          <w:szCs w:val="22"/>
        </w:rPr>
      </w:pPr>
      <w:r w:rsidRPr="00F03D48">
        <w:rPr>
          <w:b/>
          <w:szCs w:val="22"/>
        </w:rPr>
        <w:t>Registruotojas</w:t>
      </w:r>
      <w:r w:rsidRPr="00F03D48">
        <w:rPr>
          <w:b/>
          <w:spacing w:val="4"/>
          <w:szCs w:val="22"/>
        </w:rPr>
        <w:t xml:space="preserve"> </w:t>
      </w:r>
    </w:p>
    <w:p w14:paraId="52BDDB7A" w14:textId="77777777" w:rsidR="006C3C17" w:rsidRPr="006C3C17" w:rsidRDefault="006C3C17" w:rsidP="006C3C17">
      <w:pPr>
        <w:rPr>
          <w:rFonts w:eastAsia="Calibri"/>
          <w:szCs w:val="22"/>
          <w:lang w:eastAsia="pl-PL"/>
        </w:rPr>
      </w:pPr>
      <w:proofErr w:type="spellStart"/>
      <w:r w:rsidRPr="006C3C17">
        <w:rPr>
          <w:rFonts w:eastAsia="Calibri"/>
          <w:szCs w:val="22"/>
          <w:lang w:eastAsia="pl-PL"/>
        </w:rPr>
        <w:t>Zakłady</w:t>
      </w:r>
      <w:proofErr w:type="spellEnd"/>
      <w:r w:rsidRPr="006C3C17">
        <w:rPr>
          <w:rFonts w:eastAsia="Calibri"/>
          <w:szCs w:val="22"/>
          <w:lang w:eastAsia="pl-PL"/>
        </w:rPr>
        <w:t xml:space="preserve"> </w:t>
      </w:r>
      <w:proofErr w:type="spellStart"/>
      <w:r w:rsidRPr="006C3C17">
        <w:rPr>
          <w:rFonts w:eastAsia="Calibri"/>
          <w:szCs w:val="22"/>
          <w:lang w:eastAsia="pl-PL"/>
        </w:rPr>
        <w:t>Farmaceutyczne</w:t>
      </w:r>
      <w:proofErr w:type="spellEnd"/>
      <w:r w:rsidRPr="006C3C17">
        <w:rPr>
          <w:rFonts w:eastAsia="Calibri"/>
          <w:szCs w:val="22"/>
          <w:lang w:eastAsia="pl-PL"/>
        </w:rPr>
        <w:t xml:space="preserve"> POLPHARMA S.A.</w:t>
      </w:r>
    </w:p>
    <w:p w14:paraId="5899C2EB" w14:textId="77777777" w:rsidR="006C3C17" w:rsidRPr="006C3C17" w:rsidRDefault="006C3C17" w:rsidP="006C3C17">
      <w:pPr>
        <w:rPr>
          <w:rFonts w:eastAsia="Calibri"/>
          <w:szCs w:val="22"/>
          <w:lang w:eastAsia="pl-PL"/>
        </w:rPr>
      </w:pPr>
      <w:proofErr w:type="spellStart"/>
      <w:r w:rsidRPr="006C3C17">
        <w:rPr>
          <w:rFonts w:eastAsia="Calibri"/>
          <w:szCs w:val="22"/>
          <w:lang w:eastAsia="pl-PL"/>
        </w:rPr>
        <w:t>ul</w:t>
      </w:r>
      <w:proofErr w:type="spellEnd"/>
      <w:r w:rsidRPr="006C3C17">
        <w:rPr>
          <w:rFonts w:eastAsia="Calibri"/>
          <w:szCs w:val="22"/>
          <w:lang w:eastAsia="pl-PL"/>
        </w:rPr>
        <w:t xml:space="preserve">. </w:t>
      </w:r>
      <w:proofErr w:type="spellStart"/>
      <w:r w:rsidRPr="006C3C17">
        <w:rPr>
          <w:rFonts w:eastAsia="Calibri"/>
          <w:szCs w:val="22"/>
          <w:lang w:eastAsia="pl-PL"/>
        </w:rPr>
        <w:t>Pelplińska</w:t>
      </w:r>
      <w:proofErr w:type="spellEnd"/>
      <w:r w:rsidRPr="006C3C17">
        <w:rPr>
          <w:rFonts w:eastAsia="Calibri"/>
          <w:szCs w:val="22"/>
          <w:lang w:eastAsia="pl-PL"/>
        </w:rPr>
        <w:t xml:space="preserve"> 19, 83-200 </w:t>
      </w:r>
      <w:proofErr w:type="spellStart"/>
      <w:r w:rsidRPr="006C3C17">
        <w:rPr>
          <w:rFonts w:eastAsia="Calibri"/>
          <w:szCs w:val="22"/>
          <w:lang w:eastAsia="pl-PL"/>
        </w:rPr>
        <w:t>Starogard</w:t>
      </w:r>
      <w:proofErr w:type="spellEnd"/>
      <w:r w:rsidRPr="006C3C17">
        <w:rPr>
          <w:rFonts w:eastAsia="Calibri"/>
          <w:szCs w:val="22"/>
          <w:lang w:eastAsia="pl-PL"/>
        </w:rPr>
        <w:t xml:space="preserve"> </w:t>
      </w:r>
      <w:proofErr w:type="spellStart"/>
      <w:r w:rsidRPr="006C3C17">
        <w:rPr>
          <w:rFonts w:eastAsia="Calibri"/>
          <w:szCs w:val="22"/>
          <w:lang w:eastAsia="pl-PL"/>
        </w:rPr>
        <w:t>Gdański</w:t>
      </w:r>
      <w:proofErr w:type="spellEnd"/>
      <w:r w:rsidRPr="006C3C17">
        <w:rPr>
          <w:szCs w:val="22"/>
        </w:rPr>
        <w:t>, Lenkija</w:t>
      </w:r>
    </w:p>
    <w:p w14:paraId="1DD784EB" w14:textId="77777777" w:rsidR="006C3C17" w:rsidRPr="006C3C17" w:rsidRDefault="006C3C17" w:rsidP="006C3C17">
      <w:pPr>
        <w:pStyle w:val="Pagrindinistekstas"/>
        <w:spacing w:after="0"/>
        <w:rPr>
          <w:szCs w:val="22"/>
        </w:rPr>
      </w:pPr>
    </w:p>
    <w:p w14:paraId="7012F326" w14:textId="77777777" w:rsidR="006C3C17" w:rsidRPr="006C3C17" w:rsidRDefault="006C3C17" w:rsidP="006C3C17">
      <w:pPr>
        <w:numPr>
          <w:ilvl w:val="12"/>
          <w:numId w:val="0"/>
        </w:numPr>
        <w:ind w:right="-2"/>
        <w:rPr>
          <w:b/>
          <w:szCs w:val="22"/>
        </w:rPr>
      </w:pPr>
      <w:r w:rsidRPr="006C3C17">
        <w:rPr>
          <w:b/>
          <w:szCs w:val="22"/>
        </w:rPr>
        <w:t>Gamintojas</w:t>
      </w:r>
    </w:p>
    <w:p w14:paraId="2206F975" w14:textId="77777777" w:rsidR="006C3C17" w:rsidRPr="006C3C17" w:rsidRDefault="006C3C17" w:rsidP="006C3C17">
      <w:pPr>
        <w:rPr>
          <w:spacing w:val="4"/>
          <w:szCs w:val="22"/>
        </w:rPr>
      </w:pPr>
      <w:proofErr w:type="spellStart"/>
      <w:r w:rsidRPr="006C3C17">
        <w:rPr>
          <w:spacing w:val="4"/>
          <w:szCs w:val="22"/>
        </w:rPr>
        <w:t>Warszawskie</w:t>
      </w:r>
      <w:proofErr w:type="spellEnd"/>
      <w:r w:rsidRPr="006C3C17">
        <w:rPr>
          <w:spacing w:val="4"/>
          <w:szCs w:val="22"/>
        </w:rPr>
        <w:t xml:space="preserve"> </w:t>
      </w:r>
      <w:proofErr w:type="spellStart"/>
      <w:r w:rsidRPr="006C3C17">
        <w:rPr>
          <w:spacing w:val="4"/>
          <w:szCs w:val="22"/>
        </w:rPr>
        <w:t>Zakłady</w:t>
      </w:r>
      <w:proofErr w:type="spellEnd"/>
      <w:r w:rsidRPr="006C3C17">
        <w:rPr>
          <w:spacing w:val="4"/>
          <w:szCs w:val="22"/>
        </w:rPr>
        <w:t xml:space="preserve"> </w:t>
      </w:r>
      <w:proofErr w:type="spellStart"/>
      <w:r w:rsidRPr="006C3C17">
        <w:rPr>
          <w:spacing w:val="4"/>
          <w:szCs w:val="22"/>
        </w:rPr>
        <w:t>Farmaceutyczne</w:t>
      </w:r>
      <w:proofErr w:type="spellEnd"/>
      <w:r w:rsidRPr="006C3C17">
        <w:rPr>
          <w:spacing w:val="4"/>
          <w:szCs w:val="22"/>
        </w:rPr>
        <w:t xml:space="preserve"> </w:t>
      </w:r>
      <w:proofErr w:type="spellStart"/>
      <w:r w:rsidRPr="006C3C17">
        <w:rPr>
          <w:spacing w:val="4"/>
          <w:szCs w:val="22"/>
        </w:rPr>
        <w:t>Polfa</w:t>
      </w:r>
      <w:proofErr w:type="spellEnd"/>
      <w:r w:rsidRPr="006C3C17">
        <w:rPr>
          <w:spacing w:val="4"/>
          <w:szCs w:val="22"/>
        </w:rPr>
        <w:t xml:space="preserve"> S.A.</w:t>
      </w:r>
    </w:p>
    <w:p w14:paraId="009CD2B4" w14:textId="77777777" w:rsidR="006C3C17" w:rsidRPr="006C3C17" w:rsidRDefault="006C3C17" w:rsidP="006C3C17">
      <w:pPr>
        <w:pStyle w:val="Pagrindinistekstas"/>
        <w:spacing w:after="0"/>
        <w:rPr>
          <w:spacing w:val="4"/>
          <w:szCs w:val="22"/>
        </w:rPr>
      </w:pPr>
      <w:proofErr w:type="spellStart"/>
      <w:r w:rsidRPr="006C3C17">
        <w:rPr>
          <w:spacing w:val="4"/>
          <w:szCs w:val="22"/>
        </w:rPr>
        <w:t>ul</w:t>
      </w:r>
      <w:proofErr w:type="spellEnd"/>
      <w:r w:rsidRPr="006C3C17">
        <w:rPr>
          <w:spacing w:val="4"/>
          <w:szCs w:val="22"/>
        </w:rPr>
        <w:t xml:space="preserve">. </w:t>
      </w:r>
      <w:proofErr w:type="spellStart"/>
      <w:r w:rsidRPr="006C3C17">
        <w:rPr>
          <w:spacing w:val="4"/>
          <w:szCs w:val="22"/>
        </w:rPr>
        <w:t>Karolkowa</w:t>
      </w:r>
      <w:proofErr w:type="spellEnd"/>
      <w:r w:rsidRPr="006C3C17">
        <w:rPr>
          <w:spacing w:val="4"/>
          <w:szCs w:val="22"/>
        </w:rPr>
        <w:t xml:space="preserve"> 22/24; 01-207 </w:t>
      </w:r>
      <w:proofErr w:type="spellStart"/>
      <w:r w:rsidRPr="006C3C17">
        <w:rPr>
          <w:spacing w:val="4"/>
          <w:szCs w:val="22"/>
        </w:rPr>
        <w:t>Warszawa</w:t>
      </w:r>
      <w:proofErr w:type="spellEnd"/>
      <w:r w:rsidRPr="006C3C17">
        <w:rPr>
          <w:spacing w:val="4"/>
          <w:szCs w:val="22"/>
        </w:rPr>
        <w:t>, Lenkija</w:t>
      </w:r>
    </w:p>
    <w:p w14:paraId="1B4BE4A9" w14:textId="77777777" w:rsidR="006C3C17" w:rsidRPr="006C3C17" w:rsidRDefault="006C3C17" w:rsidP="006C3C17">
      <w:pPr>
        <w:pStyle w:val="Pagrindinistekstas"/>
        <w:spacing w:after="0"/>
        <w:rPr>
          <w:spacing w:val="4"/>
          <w:szCs w:val="22"/>
        </w:rPr>
      </w:pPr>
    </w:p>
    <w:p w14:paraId="498FF3BF" w14:textId="77777777" w:rsidR="006C3C17" w:rsidRPr="006C3C17" w:rsidRDefault="006C3C17" w:rsidP="006C3C17">
      <w:pPr>
        <w:outlineLvl w:val="0"/>
        <w:rPr>
          <w:szCs w:val="22"/>
          <w:highlight w:val="lightGray"/>
        </w:rPr>
      </w:pPr>
      <w:proofErr w:type="spellStart"/>
      <w:r w:rsidRPr="006C3C17">
        <w:rPr>
          <w:szCs w:val="22"/>
          <w:highlight w:val="lightGray"/>
        </w:rPr>
        <w:t>Pharmaceutical</w:t>
      </w:r>
      <w:proofErr w:type="spellEnd"/>
      <w:r w:rsidRPr="006C3C17">
        <w:rPr>
          <w:szCs w:val="22"/>
          <w:highlight w:val="lightGray"/>
        </w:rPr>
        <w:t xml:space="preserve"> Works POLPHARMA SA</w:t>
      </w:r>
    </w:p>
    <w:p w14:paraId="3286CF40" w14:textId="77777777" w:rsidR="006C3C17" w:rsidRPr="006C3C17" w:rsidRDefault="006C3C17" w:rsidP="006C3C17">
      <w:pPr>
        <w:rPr>
          <w:szCs w:val="22"/>
        </w:rPr>
      </w:pPr>
      <w:r w:rsidRPr="006C3C17">
        <w:rPr>
          <w:szCs w:val="22"/>
          <w:highlight w:val="lightGray"/>
        </w:rPr>
        <w:t xml:space="preserve">19, </w:t>
      </w:r>
      <w:proofErr w:type="spellStart"/>
      <w:r w:rsidRPr="006C3C17">
        <w:rPr>
          <w:szCs w:val="22"/>
          <w:highlight w:val="lightGray"/>
        </w:rPr>
        <w:t>Pelplińska</w:t>
      </w:r>
      <w:proofErr w:type="spellEnd"/>
      <w:r w:rsidRPr="006C3C17">
        <w:rPr>
          <w:szCs w:val="22"/>
          <w:highlight w:val="lightGray"/>
        </w:rPr>
        <w:t xml:space="preserve"> </w:t>
      </w:r>
      <w:proofErr w:type="spellStart"/>
      <w:r w:rsidRPr="006C3C17">
        <w:rPr>
          <w:szCs w:val="22"/>
          <w:highlight w:val="lightGray"/>
        </w:rPr>
        <w:t>Street</w:t>
      </w:r>
      <w:proofErr w:type="spellEnd"/>
      <w:r w:rsidRPr="006C3C17">
        <w:rPr>
          <w:szCs w:val="22"/>
          <w:highlight w:val="lightGray"/>
        </w:rPr>
        <w:t xml:space="preserve">, 83-200 </w:t>
      </w:r>
      <w:proofErr w:type="spellStart"/>
      <w:r w:rsidRPr="006C3C17">
        <w:rPr>
          <w:szCs w:val="22"/>
          <w:highlight w:val="lightGray"/>
        </w:rPr>
        <w:t>Starogard</w:t>
      </w:r>
      <w:proofErr w:type="spellEnd"/>
      <w:r w:rsidRPr="006C3C17">
        <w:rPr>
          <w:szCs w:val="22"/>
          <w:highlight w:val="lightGray"/>
        </w:rPr>
        <w:t xml:space="preserve"> </w:t>
      </w:r>
      <w:proofErr w:type="spellStart"/>
      <w:r w:rsidRPr="006C3C17">
        <w:rPr>
          <w:szCs w:val="22"/>
          <w:highlight w:val="lightGray"/>
        </w:rPr>
        <w:t>Gdański</w:t>
      </w:r>
      <w:proofErr w:type="spellEnd"/>
      <w:r w:rsidRPr="006C3C17">
        <w:rPr>
          <w:szCs w:val="22"/>
          <w:highlight w:val="lightGray"/>
        </w:rPr>
        <w:t>, Lenkija</w:t>
      </w:r>
    </w:p>
    <w:p w14:paraId="78C998C6" w14:textId="77777777" w:rsidR="006C3C17" w:rsidRPr="006C3C17" w:rsidRDefault="006C3C17" w:rsidP="006C3C17">
      <w:pPr>
        <w:pStyle w:val="Pagrindinistekstas"/>
        <w:spacing w:after="0"/>
        <w:rPr>
          <w:szCs w:val="22"/>
        </w:rPr>
      </w:pPr>
    </w:p>
    <w:p w14:paraId="68F6CB8E" w14:textId="77777777" w:rsidR="006C3C17" w:rsidRPr="006C3C17" w:rsidRDefault="006C3C17" w:rsidP="006C3C17">
      <w:pPr>
        <w:pStyle w:val="Pagrindinistekstas"/>
        <w:spacing w:after="0"/>
        <w:rPr>
          <w:szCs w:val="22"/>
        </w:rPr>
      </w:pPr>
      <w:r w:rsidRPr="006C3C17">
        <w:rPr>
          <w:szCs w:val="22"/>
        </w:rPr>
        <w:t>Jeigu apie šį vaistą norite sužinoti daugiau, kreipkitės į vietinį registruotojo atstovą.</w:t>
      </w:r>
    </w:p>
    <w:p w14:paraId="5EEBE884" w14:textId="77777777" w:rsidR="006C3C17" w:rsidRPr="006C3C17" w:rsidRDefault="006C3C17" w:rsidP="006C3C17">
      <w:pPr>
        <w:rPr>
          <w:szCs w:val="22"/>
        </w:rPr>
      </w:pPr>
    </w:p>
    <w:p w14:paraId="1B43F94E" w14:textId="77777777" w:rsidR="006C3C17" w:rsidRPr="006C3C17" w:rsidRDefault="006C3C17" w:rsidP="006C3C17">
      <w:pPr>
        <w:rPr>
          <w:szCs w:val="22"/>
        </w:rPr>
      </w:pPr>
      <w:r w:rsidRPr="006C3C17">
        <w:rPr>
          <w:szCs w:val="22"/>
        </w:rPr>
        <w:t>POLPHARMA S.A. atstovybė</w:t>
      </w:r>
    </w:p>
    <w:p w14:paraId="19BFE7A6" w14:textId="77777777" w:rsidR="006C3C17" w:rsidRPr="006C3C17" w:rsidRDefault="006C3C17" w:rsidP="006C3C17">
      <w:pPr>
        <w:rPr>
          <w:szCs w:val="22"/>
        </w:rPr>
      </w:pPr>
      <w:r w:rsidRPr="006C3C17">
        <w:rPr>
          <w:szCs w:val="22"/>
        </w:rPr>
        <w:t>E. Ožeškienės g. 18A</w:t>
      </w:r>
    </w:p>
    <w:p w14:paraId="72269BA0" w14:textId="77777777" w:rsidR="006C3C17" w:rsidRPr="006C3C17" w:rsidRDefault="006C3C17" w:rsidP="006C3C17">
      <w:pPr>
        <w:rPr>
          <w:szCs w:val="22"/>
        </w:rPr>
      </w:pPr>
      <w:r w:rsidRPr="006C3C17">
        <w:rPr>
          <w:szCs w:val="22"/>
        </w:rPr>
        <w:t>LT-44254 Kaunas</w:t>
      </w:r>
    </w:p>
    <w:p w14:paraId="4E2D3E89" w14:textId="77777777" w:rsidR="006C3C17" w:rsidRPr="006C3C17" w:rsidRDefault="006C3C17" w:rsidP="006C3C17">
      <w:pPr>
        <w:rPr>
          <w:szCs w:val="22"/>
        </w:rPr>
      </w:pPr>
      <w:r w:rsidRPr="006C3C17">
        <w:rPr>
          <w:szCs w:val="22"/>
        </w:rPr>
        <w:t>Tel. +370 37 325131</w:t>
      </w:r>
    </w:p>
    <w:p w14:paraId="38C4FFE3" w14:textId="77777777" w:rsidR="006C3C17" w:rsidRPr="006C3C17" w:rsidRDefault="006C3C17" w:rsidP="006C3C17">
      <w:pPr>
        <w:pStyle w:val="Pagrindinistekstas"/>
        <w:spacing w:after="0"/>
        <w:rPr>
          <w:szCs w:val="22"/>
        </w:rPr>
      </w:pPr>
    </w:p>
    <w:p w14:paraId="78997370" w14:textId="77777777" w:rsidR="006C3C17" w:rsidRPr="006C3C17" w:rsidRDefault="006C3C17" w:rsidP="006C3C17">
      <w:pPr>
        <w:numPr>
          <w:ilvl w:val="12"/>
          <w:numId w:val="0"/>
        </w:numPr>
        <w:ind w:right="-2"/>
        <w:outlineLvl w:val="0"/>
        <w:rPr>
          <w:b/>
          <w:szCs w:val="22"/>
        </w:rPr>
      </w:pPr>
      <w:r w:rsidRPr="006C3C17">
        <w:rPr>
          <w:b/>
          <w:bCs/>
          <w:szCs w:val="22"/>
        </w:rPr>
        <w:lastRenderedPageBreak/>
        <w:t xml:space="preserve">Šis pakuotės </w:t>
      </w:r>
      <w:r w:rsidRPr="006C3C17">
        <w:rPr>
          <w:b/>
          <w:szCs w:val="22"/>
        </w:rPr>
        <w:t>lapelis paskutinį kartą peržiūrėtas 2025-11-26.</w:t>
      </w:r>
    </w:p>
    <w:p w14:paraId="31EE96EF" w14:textId="77777777" w:rsidR="006C3C17" w:rsidRPr="006C3C17" w:rsidRDefault="006C3C17" w:rsidP="006C3C17">
      <w:pPr>
        <w:numPr>
          <w:ilvl w:val="12"/>
          <w:numId w:val="0"/>
        </w:numPr>
        <w:ind w:right="-2"/>
        <w:outlineLvl w:val="0"/>
        <w:rPr>
          <w:szCs w:val="22"/>
        </w:rPr>
      </w:pPr>
    </w:p>
    <w:p w14:paraId="2921236C" w14:textId="77777777" w:rsidR="006C3C17" w:rsidRPr="006C3C17" w:rsidRDefault="006C3C17" w:rsidP="006C3C17">
      <w:pPr>
        <w:spacing w:line="100" w:lineRule="atLeast"/>
        <w:ind w:right="-2"/>
        <w:rPr>
          <w:szCs w:val="22"/>
        </w:rPr>
      </w:pPr>
      <w:r w:rsidRPr="006C3C17">
        <w:rPr>
          <w:szCs w:val="22"/>
        </w:rPr>
        <w:t>Išsami informacija apie šį vaistą pateikiama Valstybinės vaistų kontrolės tarnybos prie Lietuvos Respublikos sveikatos apsaugos ministerijos tinklalapyje</w:t>
      </w:r>
      <w:r w:rsidRPr="006C3C17">
        <w:rPr>
          <w:i/>
          <w:szCs w:val="22"/>
        </w:rPr>
        <w:t xml:space="preserve"> </w:t>
      </w:r>
      <w:hyperlink r:id="rId8" w:history="1">
        <w:r w:rsidRPr="006C3C17">
          <w:rPr>
            <w:rStyle w:val="Hipersaitas"/>
            <w:rFonts w:eastAsiaTheme="majorEastAsia"/>
            <w:color w:val="auto"/>
            <w:szCs w:val="22"/>
          </w:rPr>
          <w:t>https://vvkt.lrv.lt/lt/</w:t>
        </w:r>
      </w:hyperlink>
      <w:r w:rsidRPr="006C3C17">
        <w:rPr>
          <w:szCs w:val="22"/>
        </w:rPr>
        <w:t>.</w:t>
      </w:r>
    </w:p>
    <w:p w14:paraId="77589C7B" w14:textId="77777777" w:rsidR="006C3C17" w:rsidRPr="006C3C17" w:rsidRDefault="006C3C17" w:rsidP="006C3C17">
      <w:pPr>
        <w:spacing w:line="100" w:lineRule="atLeast"/>
        <w:ind w:right="-2"/>
        <w:rPr>
          <w:szCs w:val="22"/>
        </w:rPr>
      </w:pPr>
    </w:p>
    <w:p w14:paraId="1D780802" w14:textId="77777777" w:rsidR="006C3C17" w:rsidRPr="006C3C17" w:rsidRDefault="006C3C17" w:rsidP="006C3C17">
      <w:pPr>
        <w:numPr>
          <w:ilvl w:val="12"/>
          <w:numId w:val="0"/>
        </w:numPr>
        <w:ind w:right="-2"/>
        <w:rPr>
          <w:szCs w:val="22"/>
        </w:rPr>
      </w:pPr>
      <w:r w:rsidRPr="006C3C17">
        <w:rPr>
          <w:szCs w:val="22"/>
        </w:rPr>
        <w:t>---------------------------------------------------------------------------------------------------------------------------</w:t>
      </w:r>
    </w:p>
    <w:p w14:paraId="20D7E8CE" w14:textId="77777777" w:rsidR="006C3C17" w:rsidRPr="006C3C17" w:rsidRDefault="006C3C17" w:rsidP="006C3C17">
      <w:pPr>
        <w:numPr>
          <w:ilvl w:val="12"/>
          <w:numId w:val="0"/>
        </w:numPr>
        <w:tabs>
          <w:tab w:val="left" w:pos="2657"/>
        </w:tabs>
        <w:ind w:right="-28"/>
        <w:rPr>
          <w:szCs w:val="22"/>
        </w:rPr>
      </w:pPr>
    </w:p>
    <w:p w14:paraId="160AE388" w14:textId="77777777" w:rsidR="006C3C17" w:rsidRPr="006C3C17" w:rsidRDefault="006C3C17" w:rsidP="006C3C17">
      <w:pPr>
        <w:keepNext/>
        <w:numPr>
          <w:ilvl w:val="12"/>
          <w:numId w:val="0"/>
        </w:numPr>
        <w:tabs>
          <w:tab w:val="left" w:pos="2657"/>
        </w:tabs>
        <w:ind w:left="-37" w:right="-28"/>
        <w:rPr>
          <w:szCs w:val="22"/>
        </w:rPr>
      </w:pPr>
      <w:r w:rsidRPr="006C3C17">
        <w:rPr>
          <w:szCs w:val="22"/>
        </w:rPr>
        <w:t>Toliau pateikta informacija skirta tik sveikatos priežiūros specialistams.</w:t>
      </w:r>
    </w:p>
    <w:p w14:paraId="3AC790D4" w14:textId="77777777" w:rsidR="006C3C17" w:rsidRPr="006C3C17" w:rsidRDefault="006C3C17" w:rsidP="006C3C17">
      <w:pPr>
        <w:pStyle w:val="BTEMEASMCA"/>
        <w:keepNext/>
      </w:pPr>
    </w:p>
    <w:p w14:paraId="150BE63E" w14:textId="77777777" w:rsidR="006C3C17" w:rsidRPr="006C3C17" w:rsidRDefault="006C3C17" w:rsidP="006C3C17">
      <w:pPr>
        <w:pStyle w:val="BTEMEASMCA"/>
        <w:keepNext/>
      </w:pPr>
    </w:p>
    <w:p w14:paraId="048C881B" w14:textId="77777777" w:rsidR="006C3C17" w:rsidRPr="006C3C17" w:rsidRDefault="006C3C17" w:rsidP="006C3C17">
      <w:pPr>
        <w:keepNext/>
        <w:numPr>
          <w:ilvl w:val="12"/>
          <w:numId w:val="0"/>
        </w:numPr>
        <w:suppressAutoHyphens/>
        <w:jc w:val="center"/>
        <w:rPr>
          <w:b/>
          <w:szCs w:val="22"/>
        </w:rPr>
      </w:pPr>
      <w:r w:rsidRPr="006C3C17">
        <w:rPr>
          <w:b/>
          <w:szCs w:val="22"/>
        </w:rPr>
        <w:t>BISEPTOL 80 mg/16 mg/ml koncentratas infuziniam tirpalui</w:t>
      </w:r>
    </w:p>
    <w:p w14:paraId="1E4E3466" w14:textId="77777777" w:rsidR="006C3C17" w:rsidRPr="006C3C17" w:rsidRDefault="006C3C17" w:rsidP="006C3C17">
      <w:pPr>
        <w:pStyle w:val="BTEMEASMCA"/>
        <w:keepNext/>
      </w:pPr>
      <w:r w:rsidRPr="006C3C17">
        <w:t>sulfametoksazolas ir trimetoprimas</w:t>
      </w:r>
    </w:p>
    <w:p w14:paraId="393CF68F" w14:textId="77777777" w:rsidR="006C3C17" w:rsidRPr="006C3C17" w:rsidRDefault="006C3C17" w:rsidP="006C3C17">
      <w:pPr>
        <w:pStyle w:val="BTEMEASMCA"/>
        <w:keepNext/>
      </w:pPr>
    </w:p>
    <w:p w14:paraId="72CBAD0E" w14:textId="77777777" w:rsidR="006C3C17" w:rsidRPr="006C3C17" w:rsidRDefault="006C3C17" w:rsidP="006C3C17">
      <w:pPr>
        <w:pStyle w:val="BTEMEASMCA"/>
        <w:keepNext/>
      </w:pPr>
    </w:p>
    <w:p w14:paraId="0ABADB83" w14:textId="77777777" w:rsidR="006C3C17" w:rsidRPr="006C3C17" w:rsidRDefault="006C3C17" w:rsidP="006C3C17">
      <w:pPr>
        <w:rPr>
          <w:szCs w:val="22"/>
          <w:u w:val="single"/>
        </w:rPr>
      </w:pPr>
      <w:r w:rsidRPr="006C3C17">
        <w:rPr>
          <w:szCs w:val="22"/>
          <w:u w:val="single"/>
        </w:rPr>
        <w:t>Vartojimo metodas</w:t>
      </w:r>
    </w:p>
    <w:p w14:paraId="3D83F9F2" w14:textId="77777777" w:rsidR="006C3C17" w:rsidRPr="006C3C17" w:rsidRDefault="006C3C17" w:rsidP="006C3C17">
      <w:pPr>
        <w:pStyle w:val="Pagrindiniotekstotrauka"/>
        <w:widowControl w:val="0"/>
        <w:suppressAutoHyphens/>
        <w:spacing w:after="0"/>
        <w:ind w:left="0"/>
        <w:rPr>
          <w:szCs w:val="22"/>
        </w:rPr>
      </w:pPr>
    </w:p>
    <w:p w14:paraId="0B188C17" w14:textId="77777777" w:rsidR="006C3C17" w:rsidRPr="006C3C17" w:rsidRDefault="006C3C17" w:rsidP="006C3C17">
      <w:pPr>
        <w:pStyle w:val="Pagrindiniotekstotrauka"/>
        <w:widowControl w:val="0"/>
        <w:suppressAutoHyphens/>
        <w:spacing w:after="0"/>
        <w:ind w:left="0"/>
        <w:rPr>
          <w:szCs w:val="22"/>
        </w:rPr>
      </w:pPr>
      <w:r w:rsidRPr="006C3C17">
        <w:rPr>
          <w:szCs w:val="22"/>
        </w:rPr>
        <w:t>BISEPTOL skirtas leisti tik į veną ir prieš leidžiant jį būtina atskiesti.</w:t>
      </w:r>
    </w:p>
    <w:p w14:paraId="47C2F34C" w14:textId="77777777" w:rsidR="006C3C17" w:rsidRPr="006C3C17" w:rsidRDefault="006C3C17" w:rsidP="006C3C17">
      <w:pPr>
        <w:pStyle w:val="Pagrindiniotekstotrauka"/>
        <w:widowControl w:val="0"/>
        <w:suppressAutoHyphens/>
        <w:spacing w:after="0"/>
        <w:ind w:left="0"/>
        <w:rPr>
          <w:szCs w:val="22"/>
        </w:rPr>
      </w:pPr>
    </w:p>
    <w:p w14:paraId="1CFC7324" w14:textId="77777777" w:rsidR="006C3C17" w:rsidRPr="006C3C17" w:rsidRDefault="006C3C17" w:rsidP="006C3C17">
      <w:pPr>
        <w:pStyle w:val="Pagrindiniotekstotrauka"/>
        <w:widowControl w:val="0"/>
        <w:suppressAutoHyphens/>
        <w:spacing w:after="0"/>
        <w:ind w:left="0"/>
        <w:rPr>
          <w:szCs w:val="22"/>
        </w:rPr>
      </w:pPr>
      <w:r w:rsidRPr="006C3C17">
        <w:rPr>
          <w:szCs w:val="22"/>
        </w:rPr>
        <w:t>BISEPTOL koncentratas infuziniam tirpalui turi būti vartojamas tik kol pacientas negali vartoti geriamosios formos vaistinio preparato, kai gydymą reikia pradėti skubiai ar šią formą skirti patogu dėl to, kad pacientui jau leidžiami intraveniniai skysčiai. Nors BISEPTOL yra naudingas kritinės būklės pacientams, tačiau greičiausiai neturi terapinio pranašumo, lyginant su geriamosios formos vaistiniu preparatu.</w:t>
      </w:r>
    </w:p>
    <w:p w14:paraId="1BD9FF53" w14:textId="77777777" w:rsidR="006C3C17" w:rsidRPr="006C3C17" w:rsidRDefault="006C3C17" w:rsidP="006C3C17">
      <w:pPr>
        <w:pStyle w:val="Pagrindiniotekstotrauka"/>
        <w:widowControl w:val="0"/>
        <w:suppressAutoHyphens/>
        <w:spacing w:after="0"/>
        <w:ind w:left="0"/>
        <w:rPr>
          <w:szCs w:val="22"/>
        </w:rPr>
      </w:pPr>
    </w:p>
    <w:p w14:paraId="1524E56D" w14:textId="77777777" w:rsidR="006C3C17" w:rsidRPr="006C3C17" w:rsidRDefault="006C3C17" w:rsidP="006C3C17">
      <w:pPr>
        <w:rPr>
          <w:szCs w:val="22"/>
        </w:rPr>
      </w:pPr>
      <w:r w:rsidRPr="006C3C17">
        <w:rPr>
          <w:szCs w:val="22"/>
        </w:rPr>
        <w:t xml:space="preserve">Šį vaistinį preparatą reikia atskiesti prieš pat vartojimą. Paruoštą infuzinį tirpalą būtina gerai sumaišyti ir skirti nedelsiant. Jei bet kuriuo infuzijos metu infuzinis tirpalas tampa drumstas ar jame atsiranda kristalų, infuzinį tirpalą reikia išmesti. </w:t>
      </w:r>
    </w:p>
    <w:p w14:paraId="43824B02" w14:textId="77777777" w:rsidR="006C3C17" w:rsidRPr="006C3C17" w:rsidRDefault="006C3C17" w:rsidP="006C3C17">
      <w:pPr>
        <w:rPr>
          <w:szCs w:val="22"/>
        </w:rPr>
      </w:pPr>
      <w:r w:rsidRPr="006C3C17">
        <w:rPr>
          <w:szCs w:val="22"/>
        </w:rPr>
        <w:t>Sterilus koncentratas skiedžiamas tokiu skiediklio kiekiu:</w:t>
      </w:r>
    </w:p>
    <w:p w14:paraId="78845F58" w14:textId="77777777" w:rsidR="006C3C17" w:rsidRPr="006C3C17" w:rsidRDefault="006C3C17" w:rsidP="006C3C17">
      <w:pPr>
        <w:numPr>
          <w:ilvl w:val="0"/>
          <w:numId w:val="3"/>
        </w:numPr>
        <w:ind w:left="567" w:hanging="567"/>
        <w:rPr>
          <w:szCs w:val="22"/>
        </w:rPr>
      </w:pPr>
      <w:r w:rsidRPr="006C3C17">
        <w:rPr>
          <w:szCs w:val="22"/>
        </w:rPr>
        <w:t>1 ampulė (5 ml) – 125 ml skiediklio;</w:t>
      </w:r>
    </w:p>
    <w:p w14:paraId="094AA816" w14:textId="77777777" w:rsidR="006C3C17" w:rsidRPr="006C3C17" w:rsidRDefault="006C3C17" w:rsidP="006C3C17">
      <w:pPr>
        <w:numPr>
          <w:ilvl w:val="0"/>
          <w:numId w:val="3"/>
        </w:numPr>
        <w:ind w:left="567" w:hanging="567"/>
        <w:rPr>
          <w:szCs w:val="22"/>
        </w:rPr>
      </w:pPr>
      <w:r w:rsidRPr="006C3C17">
        <w:rPr>
          <w:szCs w:val="22"/>
        </w:rPr>
        <w:t>2 ampulės (10 ml) – 250 ml skiediklio;</w:t>
      </w:r>
    </w:p>
    <w:p w14:paraId="101F03E0" w14:textId="77777777" w:rsidR="006C3C17" w:rsidRPr="006C3C17" w:rsidRDefault="006C3C17" w:rsidP="006C3C17">
      <w:pPr>
        <w:numPr>
          <w:ilvl w:val="0"/>
          <w:numId w:val="3"/>
        </w:numPr>
        <w:ind w:left="567" w:hanging="567"/>
        <w:rPr>
          <w:szCs w:val="22"/>
        </w:rPr>
      </w:pPr>
      <w:r w:rsidRPr="006C3C17">
        <w:rPr>
          <w:szCs w:val="22"/>
        </w:rPr>
        <w:t>3 ampulės (15 ml) – 500 ml skiediklio.</w:t>
      </w:r>
    </w:p>
    <w:p w14:paraId="10E45E7A" w14:textId="77777777" w:rsidR="006C3C17" w:rsidRPr="006C3C17" w:rsidRDefault="006C3C17" w:rsidP="006C3C17">
      <w:pPr>
        <w:rPr>
          <w:szCs w:val="22"/>
        </w:rPr>
      </w:pPr>
    </w:p>
    <w:p w14:paraId="24092758" w14:textId="77777777" w:rsidR="006C3C17" w:rsidRPr="006C3C17" w:rsidRDefault="006C3C17" w:rsidP="006C3C17">
      <w:pPr>
        <w:rPr>
          <w:szCs w:val="22"/>
        </w:rPr>
      </w:pPr>
      <w:r w:rsidRPr="006C3C17">
        <w:rPr>
          <w:szCs w:val="22"/>
        </w:rPr>
        <w:t>Jei naudojama anksčiau nurodyta skiedimo schema, BISEPTOL yra suderinamas su:</w:t>
      </w:r>
    </w:p>
    <w:p w14:paraId="0E371737" w14:textId="77777777" w:rsidR="006C3C17" w:rsidRPr="006C3C17" w:rsidRDefault="006C3C17" w:rsidP="006C3C17">
      <w:pPr>
        <w:numPr>
          <w:ilvl w:val="0"/>
          <w:numId w:val="4"/>
        </w:numPr>
        <w:ind w:left="567" w:hanging="567"/>
        <w:rPr>
          <w:szCs w:val="22"/>
        </w:rPr>
      </w:pPr>
      <w:r w:rsidRPr="006C3C17">
        <w:rPr>
          <w:szCs w:val="22"/>
        </w:rPr>
        <w:t>5 % bei 10 % gliukozės tirpalu;</w:t>
      </w:r>
    </w:p>
    <w:p w14:paraId="72824DF4" w14:textId="77777777" w:rsidR="006C3C17" w:rsidRPr="006C3C17" w:rsidRDefault="006C3C17" w:rsidP="006C3C17">
      <w:pPr>
        <w:numPr>
          <w:ilvl w:val="0"/>
          <w:numId w:val="4"/>
        </w:numPr>
        <w:ind w:left="567" w:hanging="567"/>
        <w:rPr>
          <w:szCs w:val="22"/>
        </w:rPr>
      </w:pPr>
      <w:r w:rsidRPr="006C3C17">
        <w:rPr>
          <w:szCs w:val="22"/>
        </w:rPr>
        <w:t>0,9 % natrio chlorido tirpalu;</w:t>
      </w:r>
    </w:p>
    <w:p w14:paraId="0BF57398" w14:textId="77777777" w:rsidR="006C3C17" w:rsidRPr="006C3C17" w:rsidRDefault="006C3C17" w:rsidP="006C3C17">
      <w:pPr>
        <w:numPr>
          <w:ilvl w:val="0"/>
          <w:numId w:val="4"/>
        </w:numPr>
        <w:ind w:left="567" w:hanging="567"/>
        <w:rPr>
          <w:szCs w:val="22"/>
        </w:rPr>
      </w:pPr>
      <w:proofErr w:type="spellStart"/>
      <w:r w:rsidRPr="006C3C17">
        <w:rPr>
          <w:szCs w:val="22"/>
        </w:rPr>
        <w:t>Ringerio</w:t>
      </w:r>
      <w:proofErr w:type="spellEnd"/>
      <w:r w:rsidRPr="006C3C17">
        <w:rPr>
          <w:szCs w:val="22"/>
        </w:rPr>
        <w:t xml:space="preserve"> tirpalu;</w:t>
      </w:r>
    </w:p>
    <w:p w14:paraId="62603BB3" w14:textId="77777777" w:rsidR="006C3C17" w:rsidRPr="006C3C17" w:rsidRDefault="006C3C17" w:rsidP="006C3C17">
      <w:pPr>
        <w:numPr>
          <w:ilvl w:val="0"/>
          <w:numId w:val="4"/>
        </w:numPr>
        <w:ind w:left="567" w:hanging="567"/>
        <w:rPr>
          <w:szCs w:val="22"/>
        </w:rPr>
      </w:pPr>
      <w:r w:rsidRPr="006C3C17">
        <w:rPr>
          <w:szCs w:val="22"/>
        </w:rPr>
        <w:t>0,45 % natrio chlorido ir 2,5 % gliukozės tirpalu.</w:t>
      </w:r>
    </w:p>
    <w:p w14:paraId="20DF25AF" w14:textId="77777777" w:rsidR="006C3C17" w:rsidRPr="006C3C17" w:rsidRDefault="006C3C17" w:rsidP="006C3C17">
      <w:pPr>
        <w:rPr>
          <w:szCs w:val="22"/>
        </w:rPr>
      </w:pPr>
      <w:r w:rsidRPr="006C3C17">
        <w:rPr>
          <w:szCs w:val="22"/>
        </w:rPr>
        <w:t>Kitokio skiediklio vartoti negalima. BISEPTOL negalima maišyti su kitomis medžiagomis.</w:t>
      </w:r>
    </w:p>
    <w:p w14:paraId="2BB57461" w14:textId="77777777" w:rsidR="006C3C17" w:rsidRPr="006C3C17" w:rsidRDefault="006C3C17" w:rsidP="006C3C17">
      <w:pPr>
        <w:tabs>
          <w:tab w:val="left" w:pos="567"/>
        </w:tabs>
        <w:rPr>
          <w:szCs w:val="22"/>
        </w:rPr>
      </w:pPr>
      <w:r w:rsidRPr="006C3C17">
        <w:rPr>
          <w:szCs w:val="22"/>
        </w:rPr>
        <w:t xml:space="preserve">Tinkamumo laikas po praskiedimo: cheminis ir fizinis tirpalo stabilumas po praskiedimo 25 °C temperatūroje išlieka 6 valandas. </w:t>
      </w:r>
      <w:r w:rsidRPr="006C3C17">
        <w:rPr>
          <w:snapToGrid w:val="0"/>
          <w:szCs w:val="22"/>
        </w:rPr>
        <w:t xml:space="preserve">Mikrobiologiniu požiūriu, vaistinis preparatas turi būti suvartotas nedelsiant. </w:t>
      </w:r>
      <w:r w:rsidRPr="006C3C17">
        <w:rPr>
          <w:szCs w:val="22"/>
        </w:rPr>
        <w:t>Jeigu jis tuoj pat nevartojamas, už laikymo sąlygas ir trukmę prieš vartojimą yra atsakingas vartotojas.</w:t>
      </w:r>
    </w:p>
    <w:p w14:paraId="6B3E83DA" w14:textId="77777777" w:rsidR="006C3C17" w:rsidRPr="006C3C17" w:rsidRDefault="006C3C17" w:rsidP="006C3C17">
      <w:pPr>
        <w:tabs>
          <w:tab w:val="left" w:pos="567"/>
        </w:tabs>
        <w:rPr>
          <w:szCs w:val="22"/>
        </w:rPr>
      </w:pPr>
      <w:r w:rsidRPr="006C3C17">
        <w:rPr>
          <w:szCs w:val="22"/>
        </w:rPr>
        <w:t>Infuzijos trukmė yra apytiksliai nuo pusės iki vienos valandos, tačiau reikia atkreipti dėmesį į individualų paciento skysčių poreikį.</w:t>
      </w:r>
    </w:p>
    <w:p w14:paraId="5855417F" w14:textId="77777777" w:rsidR="006C3C17" w:rsidRPr="006C3C17" w:rsidRDefault="006C3C17" w:rsidP="006C3C17">
      <w:pPr>
        <w:rPr>
          <w:szCs w:val="22"/>
        </w:rPr>
      </w:pPr>
      <w:r w:rsidRPr="006C3C17">
        <w:rPr>
          <w:szCs w:val="22"/>
        </w:rPr>
        <w:t xml:space="preserve">Jei pacientas negali vartoti daug skysčių, tinka ir didesnės koncentracijos </w:t>
      </w:r>
      <w:proofErr w:type="spellStart"/>
      <w:r w:rsidRPr="006C3C17">
        <w:rPr>
          <w:szCs w:val="22"/>
        </w:rPr>
        <w:t>kotrimoksazolas</w:t>
      </w:r>
      <w:proofErr w:type="spellEnd"/>
      <w:r w:rsidRPr="006C3C17">
        <w:rPr>
          <w:szCs w:val="22"/>
        </w:rPr>
        <w:t>. Tokiu atveju 5 ml sterilaus koncentrato skiedžiami 75 ml 5 % gliukozės tirpalo.</w:t>
      </w:r>
    </w:p>
    <w:p w14:paraId="59BE965A" w14:textId="77777777" w:rsidR="006C3C17" w:rsidRPr="006C3C17" w:rsidRDefault="006C3C17" w:rsidP="006C3C17">
      <w:pPr>
        <w:rPr>
          <w:szCs w:val="22"/>
        </w:rPr>
      </w:pPr>
      <w:r w:rsidRPr="006C3C17">
        <w:rPr>
          <w:szCs w:val="22"/>
        </w:rPr>
        <w:t>Nesuvartotą vaistinį preparatą reikia išmesti.</w:t>
      </w:r>
    </w:p>
    <w:p w14:paraId="7F9AE624" w14:textId="77777777" w:rsidR="006C3C17" w:rsidRPr="006C3C17" w:rsidRDefault="006C3C17" w:rsidP="006C3C17">
      <w:pPr>
        <w:rPr>
          <w:szCs w:val="22"/>
        </w:rPr>
      </w:pPr>
      <w:r w:rsidRPr="006C3C17">
        <w:rPr>
          <w:szCs w:val="22"/>
        </w:rPr>
        <w:t>Šį vaistinį preparatą greitai leisti į veną draudžiama.</w:t>
      </w:r>
    </w:p>
    <w:p w14:paraId="747BDF0C" w14:textId="77777777" w:rsidR="006C3C17" w:rsidRPr="006C3C17" w:rsidRDefault="006C3C17" w:rsidP="006C3C17">
      <w:pPr>
        <w:pStyle w:val="Pagrindiniotekstotrauka"/>
        <w:widowControl w:val="0"/>
        <w:suppressAutoHyphens/>
        <w:spacing w:after="0"/>
        <w:ind w:left="0"/>
        <w:rPr>
          <w:szCs w:val="22"/>
        </w:rPr>
      </w:pPr>
    </w:p>
    <w:p w14:paraId="4F28C5D2" w14:textId="77777777" w:rsidR="006C3C17" w:rsidRPr="006C3C17" w:rsidRDefault="006C3C17" w:rsidP="006C3C17">
      <w:pPr>
        <w:rPr>
          <w:szCs w:val="22"/>
        </w:rPr>
      </w:pPr>
      <w:r w:rsidRPr="006C3C17">
        <w:rPr>
          <w:szCs w:val="22"/>
          <w:u w:val="single"/>
        </w:rPr>
        <w:t>Dozavimas</w:t>
      </w:r>
    </w:p>
    <w:p w14:paraId="6A39E9DF" w14:textId="77777777" w:rsidR="006C3C17" w:rsidRPr="006C3C17" w:rsidRDefault="006C3C17" w:rsidP="006C3C17">
      <w:pPr>
        <w:rPr>
          <w:szCs w:val="22"/>
          <w:u w:val="single"/>
        </w:rPr>
      </w:pPr>
    </w:p>
    <w:p w14:paraId="4ACDEF05" w14:textId="77777777" w:rsidR="006C3C17" w:rsidRPr="006C3C17" w:rsidRDefault="006C3C17" w:rsidP="006C3C17">
      <w:pPr>
        <w:rPr>
          <w:szCs w:val="22"/>
          <w:u w:val="single"/>
        </w:rPr>
      </w:pPr>
      <w:r w:rsidRPr="006C3C17">
        <w:rPr>
          <w:szCs w:val="22"/>
          <w:u w:val="single"/>
        </w:rPr>
        <w:t>Įprastinės dozavimo rekomendacijos ūminių infekcinių ligų gydymui</w:t>
      </w:r>
    </w:p>
    <w:p w14:paraId="595778F1" w14:textId="77777777" w:rsidR="006C3C17" w:rsidRPr="006C3C17" w:rsidRDefault="006C3C17" w:rsidP="006C3C17">
      <w:pPr>
        <w:widowControl w:val="0"/>
        <w:numPr>
          <w:ilvl w:val="12"/>
          <w:numId w:val="0"/>
        </w:numPr>
        <w:suppressAutoHyphens/>
        <w:rPr>
          <w:i/>
          <w:szCs w:val="22"/>
        </w:rPr>
      </w:pPr>
    </w:p>
    <w:p w14:paraId="0BC7A57F" w14:textId="77777777" w:rsidR="006C3C17" w:rsidRPr="006C3C17" w:rsidRDefault="006C3C17" w:rsidP="006C3C17">
      <w:pPr>
        <w:widowControl w:val="0"/>
        <w:numPr>
          <w:ilvl w:val="12"/>
          <w:numId w:val="0"/>
        </w:numPr>
        <w:suppressAutoHyphens/>
        <w:rPr>
          <w:i/>
          <w:szCs w:val="22"/>
        </w:rPr>
      </w:pPr>
      <w:r w:rsidRPr="006C3C17">
        <w:rPr>
          <w:i/>
          <w:szCs w:val="22"/>
        </w:rPr>
        <w:t>Suaugusiesiems bei vyresniems kaip 12 metų vaikams</w:t>
      </w:r>
    </w:p>
    <w:p w14:paraId="0524BADA" w14:textId="77777777" w:rsidR="006C3C17" w:rsidRPr="006C3C17" w:rsidRDefault="006C3C17" w:rsidP="006C3C17">
      <w:pPr>
        <w:widowControl w:val="0"/>
        <w:numPr>
          <w:ilvl w:val="12"/>
          <w:numId w:val="0"/>
        </w:numPr>
        <w:suppressAutoHyphens/>
        <w:ind w:left="142" w:hanging="142"/>
        <w:rPr>
          <w:szCs w:val="22"/>
        </w:rPr>
      </w:pPr>
      <w:r w:rsidRPr="006C3C17">
        <w:rPr>
          <w:szCs w:val="22"/>
        </w:rPr>
        <w:lastRenderedPageBreak/>
        <w:t xml:space="preserve">2 ampulės (10 ml) (t. y. 960 mg </w:t>
      </w:r>
      <w:proofErr w:type="spellStart"/>
      <w:r w:rsidRPr="006C3C17">
        <w:rPr>
          <w:szCs w:val="22"/>
        </w:rPr>
        <w:t>kotrimoksazolo</w:t>
      </w:r>
      <w:proofErr w:type="spellEnd"/>
      <w:r w:rsidRPr="006C3C17">
        <w:rPr>
          <w:szCs w:val="22"/>
        </w:rPr>
        <w:t>) kas 12 valandų.</w:t>
      </w:r>
    </w:p>
    <w:p w14:paraId="6D20FC22" w14:textId="77777777" w:rsidR="006C3C17" w:rsidRPr="006C3C17" w:rsidRDefault="006C3C17" w:rsidP="006C3C17">
      <w:pPr>
        <w:widowControl w:val="0"/>
        <w:numPr>
          <w:ilvl w:val="12"/>
          <w:numId w:val="0"/>
        </w:numPr>
        <w:suppressAutoHyphens/>
        <w:ind w:left="142" w:hanging="142"/>
        <w:rPr>
          <w:szCs w:val="22"/>
        </w:rPr>
      </w:pPr>
    </w:p>
    <w:p w14:paraId="2575945F" w14:textId="77777777" w:rsidR="006C3C17" w:rsidRPr="006C3C17" w:rsidRDefault="006C3C17" w:rsidP="006C3C17">
      <w:pPr>
        <w:widowControl w:val="0"/>
        <w:numPr>
          <w:ilvl w:val="12"/>
          <w:numId w:val="0"/>
        </w:numPr>
        <w:suppressAutoHyphens/>
        <w:rPr>
          <w:szCs w:val="22"/>
        </w:rPr>
      </w:pPr>
      <w:r w:rsidRPr="006C3C17">
        <w:rPr>
          <w:i/>
          <w:szCs w:val="22"/>
        </w:rPr>
        <w:t>Jaunesniems kaip 12 metų vaikams</w:t>
      </w:r>
    </w:p>
    <w:p w14:paraId="2AC9C945" w14:textId="77777777" w:rsidR="006C3C17" w:rsidRPr="006C3C17" w:rsidRDefault="006C3C17" w:rsidP="006C3C17">
      <w:pPr>
        <w:widowControl w:val="0"/>
        <w:numPr>
          <w:ilvl w:val="12"/>
          <w:numId w:val="0"/>
        </w:numPr>
        <w:suppressAutoHyphens/>
        <w:rPr>
          <w:szCs w:val="22"/>
        </w:rPr>
      </w:pPr>
      <w:r w:rsidRPr="006C3C17">
        <w:rPr>
          <w:szCs w:val="22"/>
        </w:rPr>
        <w:t xml:space="preserve">Rekomenduojama dozė yra apytiksliai 30 mg/kg </w:t>
      </w:r>
      <w:proofErr w:type="spellStart"/>
      <w:r w:rsidRPr="006C3C17">
        <w:rPr>
          <w:szCs w:val="22"/>
        </w:rPr>
        <w:t>sulfametoksazolo</w:t>
      </w:r>
      <w:proofErr w:type="spellEnd"/>
      <w:r w:rsidRPr="006C3C17">
        <w:rPr>
          <w:szCs w:val="22"/>
        </w:rPr>
        <w:t xml:space="preserve"> bei 6 mg/kg kūno svorio </w:t>
      </w:r>
      <w:proofErr w:type="spellStart"/>
      <w:r w:rsidRPr="006C3C17">
        <w:rPr>
          <w:szCs w:val="22"/>
        </w:rPr>
        <w:t>trimetoprimo</w:t>
      </w:r>
      <w:proofErr w:type="spellEnd"/>
      <w:r w:rsidRPr="006C3C17">
        <w:rPr>
          <w:szCs w:val="22"/>
        </w:rPr>
        <w:t xml:space="preserve"> per 24 valandas, padalinta į 2 lygias dozes. Galima remtis žemiau nurodytu dozavimo grafiku ir skiedimo nurodymais.</w:t>
      </w:r>
    </w:p>
    <w:p w14:paraId="1A3B1DDB" w14:textId="77777777" w:rsidR="006C3C17" w:rsidRPr="006C3C17" w:rsidRDefault="006C3C17" w:rsidP="006C3C17">
      <w:pPr>
        <w:widowControl w:val="0"/>
        <w:numPr>
          <w:ilvl w:val="12"/>
          <w:numId w:val="0"/>
        </w:numPr>
        <w:suppressAutoHyphens/>
        <w:ind w:left="142" w:hanging="142"/>
        <w:rPr>
          <w:szCs w:val="22"/>
        </w:rPr>
      </w:pPr>
    </w:p>
    <w:p w14:paraId="68F52077" w14:textId="77777777" w:rsidR="006C3C17" w:rsidRPr="006C3C17" w:rsidRDefault="006C3C17" w:rsidP="006C3C17">
      <w:pPr>
        <w:widowControl w:val="0"/>
        <w:numPr>
          <w:ilvl w:val="12"/>
          <w:numId w:val="0"/>
        </w:numPr>
        <w:suppressAutoHyphens/>
        <w:ind w:left="142" w:hanging="142"/>
        <w:rPr>
          <w:szCs w:val="22"/>
        </w:rPr>
      </w:pPr>
      <w:r w:rsidRPr="006C3C17">
        <w:rPr>
          <w:szCs w:val="22"/>
        </w:rPr>
        <w:t>6 sav. – 5 mėnesių vaikai: 1,25 ml kas 12 valandų.</w:t>
      </w:r>
    </w:p>
    <w:p w14:paraId="1EEB6121" w14:textId="77777777" w:rsidR="006C3C17" w:rsidRPr="006C3C17" w:rsidRDefault="006C3C17" w:rsidP="006C3C17">
      <w:pPr>
        <w:widowControl w:val="0"/>
        <w:numPr>
          <w:ilvl w:val="12"/>
          <w:numId w:val="0"/>
        </w:numPr>
        <w:suppressAutoHyphens/>
        <w:ind w:left="142" w:hanging="142"/>
        <w:rPr>
          <w:szCs w:val="22"/>
        </w:rPr>
      </w:pPr>
      <w:r w:rsidRPr="006C3C17">
        <w:rPr>
          <w:szCs w:val="22"/>
        </w:rPr>
        <w:t>6 mėnesių – 5 metų vaikai: 2,5 ml kas 12 valandų.</w:t>
      </w:r>
    </w:p>
    <w:p w14:paraId="46F9F80B" w14:textId="77777777" w:rsidR="006C3C17" w:rsidRPr="006C3C17" w:rsidRDefault="006C3C17" w:rsidP="006C3C17">
      <w:pPr>
        <w:widowControl w:val="0"/>
        <w:numPr>
          <w:ilvl w:val="12"/>
          <w:numId w:val="0"/>
        </w:numPr>
        <w:suppressAutoHyphens/>
        <w:ind w:left="142" w:hanging="142"/>
        <w:rPr>
          <w:szCs w:val="22"/>
        </w:rPr>
      </w:pPr>
      <w:r w:rsidRPr="006C3C17">
        <w:rPr>
          <w:szCs w:val="22"/>
        </w:rPr>
        <w:t>6 – 12 metų vaikai: 5 ml kas 12 valandų.</w:t>
      </w:r>
    </w:p>
    <w:p w14:paraId="7EAD9BA7" w14:textId="77777777" w:rsidR="006C3C17" w:rsidRPr="006C3C17" w:rsidRDefault="006C3C17" w:rsidP="006C3C17">
      <w:pPr>
        <w:widowControl w:val="0"/>
        <w:numPr>
          <w:ilvl w:val="12"/>
          <w:numId w:val="0"/>
        </w:numPr>
        <w:suppressAutoHyphens/>
        <w:rPr>
          <w:szCs w:val="22"/>
        </w:rPr>
      </w:pPr>
      <w:r w:rsidRPr="006C3C17">
        <w:rPr>
          <w:szCs w:val="22"/>
        </w:rPr>
        <w:t>Jeigu infekcinė liga sunki, dozę galima didinti maždaug 50 %.</w:t>
      </w:r>
    </w:p>
    <w:p w14:paraId="653957D1" w14:textId="77777777" w:rsidR="006C3C17" w:rsidRPr="006C3C17" w:rsidRDefault="006C3C17" w:rsidP="006C3C17">
      <w:pPr>
        <w:widowControl w:val="0"/>
        <w:numPr>
          <w:ilvl w:val="12"/>
          <w:numId w:val="0"/>
        </w:numPr>
        <w:suppressAutoHyphens/>
        <w:rPr>
          <w:szCs w:val="22"/>
        </w:rPr>
      </w:pPr>
      <w:r w:rsidRPr="006C3C17">
        <w:rPr>
          <w:szCs w:val="22"/>
        </w:rPr>
        <w:t>Gydymą reikia tęsti tol, kol simptomai pacientui nebepasireiškia dvi paras. Dažniausiai gydymo trukmė yra bent 5 paros.</w:t>
      </w:r>
    </w:p>
    <w:p w14:paraId="63EADA65" w14:textId="77777777" w:rsidR="006C3C17" w:rsidRPr="006C3C17" w:rsidRDefault="006C3C17" w:rsidP="006C3C17">
      <w:pPr>
        <w:widowControl w:val="0"/>
        <w:numPr>
          <w:ilvl w:val="12"/>
          <w:numId w:val="0"/>
        </w:numPr>
        <w:suppressAutoHyphens/>
        <w:rPr>
          <w:szCs w:val="22"/>
        </w:rPr>
      </w:pPr>
    </w:p>
    <w:p w14:paraId="43C93CFE" w14:textId="77777777" w:rsidR="006C3C17" w:rsidRPr="006C3C17" w:rsidRDefault="006C3C17" w:rsidP="006C3C17">
      <w:pPr>
        <w:widowControl w:val="0"/>
        <w:numPr>
          <w:ilvl w:val="12"/>
          <w:numId w:val="0"/>
        </w:numPr>
        <w:suppressAutoHyphens/>
        <w:rPr>
          <w:i/>
          <w:szCs w:val="22"/>
        </w:rPr>
      </w:pPr>
      <w:r w:rsidRPr="006C3C17">
        <w:rPr>
          <w:i/>
          <w:szCs w:val="22"/>
        </w:rPr>
        <w:t>Senyviems pacientams</w:t>
      </w:r>
    </w:p>
    <w:p w14:paraId="1A35B01F" w14:textId="77777777" w:rsidR="006C3C17" w:rsidRPr="006C3C17" w:rsidRDefault="006C3C17" w:rsidP="006C3C17">
      <w:pPr>
        <w:pStyle w:val="Pagrindinistekstas"/>
        <w:spacing w:after="0"/>
        <w:rPr>
          <w:szCs w:val="22"/>
        </w:rPr>
      </w:pPr>
      <w:r w:rsidRPr="006C3C17">
        <w:rPr>
          <w:szCs w:val="22"/>
        </w:rPr>
        <w:t>Senyviems pacientams rekomenduojama kas mėnesį tirti kraujo ląstelių skaičių. Taip pat šiems pacientams reikia atsargumo, nes jie yra jautresni nepageidaujamoms reakcijoms ir jų pasireiškimo rizika yra didesnė, ypač jei sergama kitomis ligomis, pvz., inkstų arba kepenų, arba vartojama kitokių vaistinių preparatų.</w:t>
      </w:r>
    </w:p>
    <w:p w14:paraId="18B2528E" w14:textId="77777777" w:rsidR="006C3C17" w:rsidRPr="006C3C17" w:rsidRDefault="006C3C17" w:rsidP="006C3C17">
      <w:pPr>
        <w:widowControl w:val="0"/>
        <w:numPr>
          <w:ilvl w:val="12"/>
          <w:numId w:val="0"/>
        </w:numPr>
        <w:suppressAutoHyphens/>
        <w:rPr>
          <w:szCs w:val="22"/>
        </w:rPr>
      </w:pPr>
    </w:p>
    <w:p w14:paraId="0C15DB65" w14:textId="77777777" w:rsidR="006C3C17" w:rsidRPr="006C3C17" w:rsidRDefault="006C3C17" w:rsidP="006C3C17">
      <w:pPr>
        <w:widowControl w:val="0"/>
        <w:numPr>
          <w:ilvl w:val="12"/>
          <w:numId w:val="0"/>
        </w:numPr>
        <w:suppressAutoHyphens/>
        <w:rPr>
          <w:i/>
          <w:szCs w:val="22"/>
        </w:rPr>
      </w:pPr>
      <w:r w:rsidRPr="006C3C17">
        <w:rPr>
          <w:i/>
          <w:szCs w:val="22"/>
        </w:rPr>
        <w:t>Pacientams, kurių kepenų funkcija sutrikusi</w:t>
      </w:r>
    </w:p>
    <w:p w14:paraId="3D8E61F2" w14:textId="77777777" w:rsidR="006C3C17" w:rsidRPr="006C3C17" w:rsidRDefault="006C3C17" w:rsidP="006C3C17">
      <w:pPr>
        <w:widowControl w:val="0"/>
        <w:numPr>
          <w:ilvl w:val="12"/>
          <w:numId w:val="0"/>
        </w:numPr>
        <w:suppressAutoHyphens/>
        <w:rPr>
          <w:szCs w:val="22"/>
        </w:rPr>
      </w:pPr>
      <w:r w:rsidRPr="006C3C17">
        <w:rPr>
          <w:szCs w:val="22"/>
        </w:rPr>
        <w:t>Duomenų apie dozavimą pacientams, kurių kepenų funkcija sutrikusi, nėra.</w:t>
      </w:r>
    </w:p>
    <w:p w14:paraId="1A5059DB" w14:textId="77777777" w:rsidR="006C3C17" w:rsidRPr="006C3C17" w:rsidRDefault="006C3C17" w:rsidP="006C3C17">
      <w:pPr>
        <w:widowControl w:val="0"/>
        <w:numPr>
          <w:ilvl w:val="12"/>
          <w:numId w:val="0"/>
        </w:numPr>
        <w:suppressAutoHyphens/>
        <w:rPr>
          <w:szCs w:val="22"/>
        </w:rPr>
      </w:pPr>
    </w:p>
    <w:p w14:paraId="1793F157" w14:textId="77777777" w:rsidR="006C3C17" w:rsidRPr="006C3C17" w:rsidRDefault="006C3C17" w:rsidP="006C3C17">
      <w:pPr>
        <w:widowControl w:val="0"/>
        <w:numPr>
          <w:ilvl w:val="12"/>
          <w:numId w:val="0"/>
        </w:numPr>
        <w:suppressAutoHyphens/>
        <w:rPr>
          <w:i/>
          <w:szCs w:val="22"/>
        </w:rPr>
      </w:pPr>
      <w:r w:rsidRPr="006C3C17">
        <w:rPr>
          <w:i/>
          <w:szCs w:val="22"/>
        </w:rPr>
        <w:t>Pacientams, kurių inkstų funkcija sutrikusi</w:t>
      </w:r>
    </w:p>
    <w:p w14:paraId="219E54B9" w14:textId="77777777" w:rsidR="006C3C17" w:rsidRPr="006C3C17" w:rsidRDefault="006C3C17" w:rsidP="006C3C17">
      <w:pPr>
        <w:widowControl w:val="0"/>
        <w:suppressAutoHyphens/>
        <w:rPr>
          <w:szCs w:val="22"/>
        </w:rPr>
      </w:pPr>
      <w:r w:rsidRPr="006C3C17">
        <w:rPr>
          <w:szCs w:val="22"/>
        </w:rPr>
        <w:t>Suaugusiems žmonėms bei vyresniems kaip 12 metų vaikams (duomenų apie jaunesnius kaip 12 metų vaikus nėra)</w:t>
      </w:r>
    </w:p>
    <w:p w14:paraId="522506F0" w14:textId="77777777" w:rsidR="006C3C17" w:rsidRPr="006C3C17" w:rsidRDefault="006C3C17" w:rsidP="006C3C17">
      <w:pPr>
        <w:widowControl w:val="0"/>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606"/>
      </w:tblGrid>
      <w:tr w:rsidR="006C3C17" w:rsidRPr="006C3C17" w14:paraId="34B4B364" w14:textId="77777777" w:rsidTr="00FF1FC0">
        <w:tc>
          <w:tcPr>
            <w:tcW w:w="4606" w:type="dxa"/>
            <w:tcBorders>
              <w:top w:val="single" w:sz="4" w:space="0" w:color="auto"/>
              <w:left w:val="single" w:sz="4" w:space="0" w:color="auto"/>
              <w:bottom w:val="single" w:sz="4" w:space="0" w:color="auto"/>
              <w:right w:val="single" w:sz="4" w:space="0" w:color="auto"/>
            </w:tcBorders>
            <w:hideMark/>
          </w:tcPr>
          <w:p w14:paraId="7187F4D5" w14:textId="77777777" w:rsidR="006C3C17" w:rsidRPr="006C3C17" w:rsidRDefault="006C3C17" w:rsidP="006C3C17">
            <w:pPr>
              <w:widowControl w:val="0"/>
              <w:suppressAutoHyphens/>
              <w:spacing w:line="276" w:lineRule="auto"/>
              <w:rPr>
                <w:i/>
                <w:szCs w:val="22"/>
              </w:rPr>
            </w:pPr>
            <w:r w:rsidRPr="006C3C17">
              <w:rPr>
                <w:i/>
                <w:szCs w:val="22"/>
              </w:rPr>
              <w:t>Kreatinino klirensas (ml/min.)</w:t>
            </w:r>
          </w:p>
        </w:tc>
        <w:tc>
          <w:tcPr>
            <w:tcW w:w="4606" w:type="dxa"/>
            <w:tcBorders>
              <w:top w:val="single" w:sz="4" w:space="0" w:color="auto"/>
              <w:left w:val="single" w:sz="4" w:space="0" w:color="auto"/>
              <w:bottom w:val="single" w:sz="4" w:space="0" w:color="auto"/>
              <w:right w:val="single" w:sz="4" w:space="0" w:color="auto"/>
            </w:tcBorders>
            <w:hideMark/>
          </w:tcPr>
          <w:p w14:paraId="07C892CF" w14:textId="77777777" w:rsidR="006C3C17" w:rsidRPr="006C3C17" w:rsidRDefault="006C3C17" w:rsidP="006C3C17">
            <w:pPr>
              <w:pStyle w:val="Antrat7"/>
              <w:widowControl w:val="0"/>
              <w:suppressAutoHyphens/>
              <w:spacing w:before="0" w:line="276" w:lineRule="auto"/>
              <w:rPr>
                <w:rFonts w:cs="Times New Roman"/>
                <w:i/>
                <w:color w:val="auto"/>
                <w:szCs w:val="22"/>
              </w:rPr>
            </w:pPr>
            <w:r w:rsidRPr="006C3C17">
              <w:rPr>
                <w:rFonts w:cs="Times New Roman"/>
                <w:i/>
                <w:color w:val="auto"/>
                <w:szCs w:val="22"/>
              </w:rPr>
              <w:t>Rekomenduojamos dozės</w:t>
            </w:r>
          </w:p>
        </w:tc>
      </w:tr>
      <w:tr w:rsidR="006C3C17" w:rsidRPr="006C3C17" w14:paraId="74C3EA3F" w14:textId="77777777" w:rsidTr="00FF1FC0">
        <w:tc>
          <w:tcPr>
            <w:tcW w:w="4606" w:type="dxa"/>
            <w:tcBorders>
              <w:top w:val="single" w:sz="4" w:space="0" w:color="auto"/>
              <w:left w:val="single" w:sz="4" w:space="0" w:color="auto"/>
              <w:bottom w:val="single" w:sz="4" w:space="0" w:color="auto"/>
              <w:right w:val="single" w:sz="4" w:space="0" w:color="auto"/>
            </w:tcBorders>
          </w:tcPr>
          <w:p w14:paraId="1352D2E8" w14:textId="77777777" w:rsidR="006C3C17" w:rsidRPr="006C3C17" w:rsidRDefault="006C3C17" w:rsidP="006C3C17">
            <w:pPr>
              <w:widowControl w:val="0"/>
              <w:suppressAutoHyphens/>
              <w:spacing w:line="276" w:lineRule="auto"/>
              <w:rPr>
                <w:szCs w:val="22"/>
              </w:rPr>
            </w:pPr>
          </w:p>
          <w:p w14:paraId="6B71BE02" w14:textId="77777777" w:rsidR="006C3C17" w:rsidRPr="006C3C17" w:rsidRDefault="006C3C17" w:rsidP="006C3C17">
            <w:pPr>
              <w:widowControl w:val="0"/>
              <w:suppressAutoHyphens/>
              <w:spacing w:line="276" w:lineRule="auto"/>
              <w:rPr>
                <w:szCs w:val="22"/>
              </w:rPr>
            </w:pPr>
            <w:r w:rsidRPr="006C3C17">
              <w:rPr>
                <w:szCs w:val="22"/>
              </w:rPr>
              <w:t>Daugiau kaip 30 ml/min.</w:t>
            </w:r>
          </w:p>
        </w:tc>
        <w:tc>
          <w:tcPr>
            <w:tcW w:w="4606" w:type="dxa"/>
            <w:tcBorders>
              <w:top w:val="single" w:sz="4" w:space="0" w:color="auto"/>
              <w:left w:val="single" w:sz="4" w:space="0" w:color="auto"/>
              <w:bottom w:val="single" w:sz="4" w:space="0" w:color="auto"/>
              <w:right w:val="single" w:sz="4" w:space="0" w:color="auto"/>
            </w:tcBorders>
          </w:tcPr>
          <w:p w14:paraId="0593479E" w14:textId="77777777" w:rsidR="006C3C17" w:rsidRPr="006C3C17" w:rsidRDefault="006C3C17" w:rsidP="006C3C17">
            <w:pPr>
              <w:widowControl w:val="0"/>
              <w:suppressAutoHyphens/>
              <w:spacing w:line="276" w:lineRule="auto"/>
              <w:rPr>
                <w:szCs w:val="22"/>
              </w:rPr>
            </w:pPr>
          </w:p>
          <w:p w14:paraId="7E2F39A8" w14:textId="77777777" w:rsidR="006C3C17" w:rsidRPr="006C3C17" w:rsidRDefault="006C3C17" w:rsidP="006C3C17">
            <w:pPr>
              <w:pStyle w:val="Antrat8"/>
              <w:widowControl w:val="0"/>
              <w:suppressAutoHyphens/>
              <w:spacing w:line="276" w:lineRule="auto"/>
              <w:rPr>
                <w:rFonts w:cs="Times New Roman"/>
                <w:i w:val="0"/>
                <w:color w:val="auto"/>
                <w:szCs w:val="22"/>
              </w:rPr>
            </w:pPr>
            <w:r w:rsidRPr="006C3C17">
              <w:rPr>
                <w:rFonts w:cs="Times New Roman"/>
                <w:i w:val="0"/>
                <w:color w:val="auto"/>
                <w:szCs w:val="22"/>
              </w:rPr>
              <w:t xml:space="preserve">Įprastinė dozė </w:t>
            </w:r>
          </w:p>
        </w:tc>
      </w:tr>
      <w:tr w:rsidR="006C3C17" w:rsidRPr="006C3C17" w14:paraId="24EC6C7C" w14:textId="77777777" w:rsidTr="00FF1FC0">
        <w:tc>
          <w:tcPr>
            <w:tcW w:w="4606" w:type="dxa"/>
            <w:tcBorders>
              <w:top w:val="single" w:sz="4" w:space="0" w:color="auto"/>
              <w:left w:val="single" w:sz="4" w:space="0" w:color="auto"/>
              <w:bottom w:val="single" w:sz="4" w:space="0" w:color="auto"/>
              <w:right w:val="single" w:sz="4" w:space="0" w:color="auto"/>
            </w:tcBorders>
          </w:tcPr>
          <w:p w14:paraId="1AFE7BC9" w14:textId="77777777" w:rsidR="006C3C17" w:rsidRPr="006C3C17" w:rsidRDefault="006C3C17" w:rsidP="006C3C17">
            <w:pPr>
              <w:widowControl w:val="0"/>
              <w:suppressAutoHyphens/>
              <w:spacing w:line="276" w:lineRule="auto"/>
              <w:rPr>
                <w:szCs w:val="22"/>
              </w:rPr>
            </w:pPr>
          </w:p>
          <w:p w14:paraId="2FDF7C1A" w14:textId="77777777" w:rsidR="006C3C17" w:rsidRPr="006C3C17" w:rsidRDefault="006C3C17" w:rsidP="006C3C17">
            <w:pPr>
              <w:widowControl w:val="0"/>
              <w:suppressAutoHyphens/>
              <w:spacing w:line="276" w:lineRule="auto"/>
              <w:rPr>
                <w:szCs w:val="22"/>
              </w:rPr>
            </w:pPr>
            <w:r w:rsidRPr="006C3C17">
              <w:rPr>
                <w:szCs w:val="22"/>
              </w:rPr>
              <w:t>15 </w:t>
            </w:r>
            <w:r w:rsidRPr="006C3C17">
              <w:rPr>
                <w:szCs w:val="22"/>
              </w:rPr>
              <w:noBreakHyphen/>
              <w:t> 30 ml/min.</w:t>
            </w:r>
          </w:p>
        </w:tc>
        <w:tc>
          <w:tcPr>
            <w:tcW w:w="4606" w:type="dxa"/>
            <w:tcBorders>
              <w:top w:val="single" w:sz="4" w:space="0" w:color="auto"/>
              <w:left w:val="single" w:sz="4" w:space="0" w:color="auto"/>
              <w:bottom w:val="single" w:sz="4" w:space="0" w:color="auto"/>
              <w:right w:val="single" w:sz="4" w:space="0" w:color="auto"/>
            </w:tcBorders>
          </w:tcPr>
          <w:p w14:paraId="2BA8C01F" w14:textId="77777777" w:rsidR="006C3C17" w:rsidRPr="006C3C17" w:rsidRDefault="006C3C17" w:rsidP="006C3C17">
            <w:pPr>
              <w:widowControl w:val="0"/>
              <w:suppressAutoHyphens/>
              <w:spacing w:line="276" w:lineRule="auto"/>
              <w:rPr>
                <w:szCs w:val="22"/>
              </w:rPr>
            </w:pPr>
          </w:p>
          <w:p w14:paraId="03DF3477" w14:textId="77777777" w:rsidR="006C3C17" w:rsidRPr="006C3C17" w:rsidRDefault="006C3C17" w:rsidP="006C3C17">
            <w:pPr>
              <w:widowControl w:val="0"/>
              <w:suppressAutoHyphens/>
              <w:spacing w:line="276" w:lineRule="auto"/>
              <w:rPr>
                <w:szCs w:val="22"/>
              </w:rPr>
            </w:pPr>
            <w:r w:rsidRPr="006C3C17">
              <w:rPr>
                <w:szCs w:val="22"/>
              </w:rPr>
              <w:t>Pusė įprastinės dozės</w:t>
            </w:r>
          </w:p>
        </w:tc>
      </w:tr>
      <w:tr w:rsidR="006C3C17" w:rsidRPr="006C3C17" w14:paraId="2AE4BBDA" w14:textId="77777777" w:rsidTr="00FF1FC0">
        <w:tc>
          <w:tcPr>
            <w:tcW w:w="4606" w:type="dxa"/>
            <w:tcBorders>
              <w:top w:val="single" w:sz="4" w:space="0" w:color="auto"/>
              <w:left w:val="single" w:sz="4" w:space="0" w:color="auto"/>
              <w:bottom w:val="single" w:sz="4" w:space="0" w:color="auto"/>
              <w:right w:val="single" w:sz="4" w:space="0" w:color="auto"/>
            </w:tcBorders>
          </w:tcPr>
          <w:p w14:paraId="1D0A8DD1" w14:textId="77777777" w:rsidR="006C3C17" w:rsidRPr="006C3C17" w:rsidRDefault="006C3C17" w:rsidP="006C3C17">
            <w:pPr>
              <w:widowControl w:val="0"/>
              <w:suppressAutoHyphens/>
              <w:spacing w:line="276" w:lineRule="auto"/>
              <w:rPr>
                <w:szCs w:val="22"/>
              </w:rPr>
            </w:pPr>
          </w:p>
          <w:p w14:paraId="38EF4A51" w14:textId="77777777" w:rsidR="006C3C17" w:rsidRPr="006C3C17" w:rsidRDefault="006C3C17" w:rsidP="006C3C17">
            <w:pPr>
              <w:widowControl w:val="0"/>
              <w:suppressAutoHyphens/>
              <w:spacing w:line="276" w:lineRule="auto"/>
              <w:rPr>
                <w:szCs w:val="22"/>
              </w:rPr>
            </w:pPr>
            <w:r w:rsidRPr="006C3C17">
              <w:rPr>
                <w:szCs w:val="22"/>
              </w:rPr>
              <w:t>Mažiau kaip 15 ml/min.</w:t>
            </w:r>
          </w:p>
        </w:tc>
        <w:tc>
          <w:tcPr>
            <w:tcW w:w="4606" w:type="dxa"/>
            <w:tcBorders>
              <w:top w:val="single" w:sz="4" w:space="0" w:color="auto"/>
              <w:left w:val="single" w:sz="4" w:space="0" w:color="auto"/>
              <w:bottom w:val="single" w:sz="4" w:space="0" w:color="auto"/>
              <w:right w:val="single" w:sz="4" w:space="0" w:color="auto"/>
            </w:tcBorders>
          </w:tcPr>
          <w:p w14:paraId="4F02D287" w14:textId="77777777" w:rsidR="006C3C17" w:rsidRPr="006C3C17" w:rsidRDefault="006C3C17" w:rsidP="006C3C17">
            <w:pPr>
              <w:widowControl w:val="0"/>
              <w:suppressAutoHyphens/>
              <w:spacing w:line="276" w:lineRule="auto"/>
              <w:rPr>
                <w:szCs w:val="22"/>
              </w:rPr>
            </w:pPr>
          </w:p>
          <w:p w14:paraId="3A535B5C" w14:textId="77777777" w:rsidR="006C3C17" w:rsidRPr="006C3C17" w:rsidRDefault="006C3C17" w:rsidP="006C3C17">
            <w:pPr>
              <w:pStyle w:val="Antrat8"/>
              <w:widowControl w:val="0"/>
              <w:suppressAutoHyphens/>
              <w:spacing w:line="276" w:lineRule="auto"/>
              <w:rPr>
                <w:rFonts w:cs="Times New Roman"/>
                <w:i w:val="0"/>
                <w:color w:val="auto"/>
                <w:szCs w:val="22"/>
              </w:rPr>
            </w:pPr>
            <w:r w:rsidRPr="006C3C17">
              <w:rPr>
                <w:rFonts w:cs="Times New Roman"/>
                <w:i w:val="0"/>
                <w:color w:val="auto"/>
                <w:szCs w:val="22"/>
              </w:rPr>
              <w:t>Vaistinio preparato vartoti nerekomenduojama</w:t>
            </w:r>
          </w:p>
        </w:tc>
      </w:tr>
    </w:tbl>
    <w:p w14:paraId="24077576" w14:textId="77777777" w:rsidR="006C3C17" w:rsidRPr="006C3C17" w:rsidRDefault="006C3C17" w:rsidP="006C3C17">
      <w:pPr>
        <w:widowControl w:val="0"/>
        <w:suppressAutoHyphens/>
        <w:rPr>
          <w:b/>
          <w:szCs w:val="22"/>
        </w:rPr>
      </w:pPr>
    </w:p>
    <w:p w14:paraId="4D31EC7C" w14:textId="77777777" w:rsidR="006C3C17" w:rsidRPr="006C3C17" w:rsidRDefault="006C3C17" w:rsidP="006C3C17">
      <w:pPr>
        <w:widowControl w:val="0"/>
        <w:suppressAutoHyphens/>
        <w:rPr>
          <w:szCs w:val="22"/>
        </w:rPr>
      </w:pPr>
      <w:r w:rsidRPr="006C3C17">
        <w:rPr>
          <w:szCs w:val="22"/>
        </w:rPr>
        <w:t>Kas 2</w:t>
      </w:r>
      <w:r w:rsidRPr="006C3C17">
        <w:rPr>
          <w:szCs w:val="22"/>
        </w:rPr>
        <w:noBreakHyphen/>
        <w:t xml:space="preserve">3 paras rekomenduojama tirti </w:t>
      </w:r>
      <w:proofErr w:type="spellStart"/>
      <w:r w:rsidRPr="006C3C17">
        <w:rPr>
          <w:szCs w:val="22"/>
        </w:rPr>
        <w:t>sulfametoksazolo</w:t>
      </w:r>
      <w:proofErr w:type="spellEnd"/>
      <w:r w:rsidRPr="006C3C17">
        <w:rPr>
          <w:szCs w:val="22"/>
        </w:rPr>
        <w:t xml:space="preserve"> koncentraciją plazmoje, kraujo mėginį imant praėjus 12 valandų po BISEPTOL vartojimo. Jei bendroji </w:t>
      </w:r>
      <w:proofErr w:type="spellStart"/>
      <w:r w:rsidRPr="006C3C17">
        <w:rPr>
          <w:szCs w:val="22"/>
        </w:rPr>
        <w:t>sulfametoksazolo</w:t>
      </w:r>
      <w:proofErr w:type="spellEnd"/>
      <w:r w:rsidRPr="006C3C17">
        <w:rPr>
          <w:szCs w:val="22"/>
        </w:rPr>
        <w:t xml:space="preserve"> koncentracija būna didesnė kaip 150 </w:t>
      </w:r>
      <w:proofErr w:type="spellStart"/>
      <w:r w:rsidRPr="006C3C17">
        <w:rPr>
          <w:szCs w:val="22"/>
        </w:rPr>
        <w:t>mikrogramų</w:t>
      </w:r>
      <w:proofErr w:type="spellEnd"/>
      <w:r w:rsidRPr="006C3C17">
        <w:rPr>
          <w:szCs w:val="22"/>
        </w:rPr>
        <w:t xml:space="preserve">/ml, gydymą reikia sustabdyti ir neatnaujinti tol, kol ši koncentracija netaps mažesnė kaip 120 </w:t>
      </w:r>
      <w:proofErr w:type="spellStart"/>
      <w:r w:rsidRPr="006C3C17">
        <w:rPr>
          <w:szCs w:val="22"/>
        </w:rPr>
        <w:t>mikrogramų</w:t>
      </w:r>
      <w:proofErr w:type="spellEnd"/>
      <w:r w:rsidRPr="006C3C17">
        <w:rPr>
          <w:szCs w:val="22"/>
        </w:rPr>
        <w:t>/ml.</w:t>
      </w:r>
    </w:p>
    <w:p w14:paraId="0F4A28DE" w14:textId="77777777" w:rsidR="006C3C17" w:rsidRPr="006C3C17" w:rsidRDefault="006C3C17" w:rsidP="006C3C17">
      <w:pPr>
        <w:widowControl w:val="0"/>
        <w:suppressAutoHyphens/>
        <w:rPr>
          <w:szCs w:val="22"/>
        </w:rPr>
      </w:pPr>
    </w:p>
    <w:p w14:paraId="2B0E7BA1" w14:textId="77777777" w:rsidR="006C3C17" w:rsidRPr="006C3C17" w:rsidRDefault="006C3C17" w:rsidP="006C3C17">
      <w:pPr>
        <w:widowControl w:val="0"/>
        <w:suppressAutoHyphens/>
        <w:rPr>
          <w:i/>
          <w:szCs w:val="22"/>
          <w:u w:val="single"/>
        </w:rPr>
      </w:pPr>
      <w:proofErr w:type="spellStart"/>
      <w:r w:rsidRPr="006C3C17">
        <w:rPr>
          <w:i/>
          <w:iCs/>
          <w:szCs w:val="22"/>
          <w:u w:val="single"/>
        </w:rPr>
        <w:t>Pneumocystis</w:t>
      </w:r>
      <w:proofErr w:type="spellEnd"/>
      <w:r w:rsidRPr="006C3C17">
        <w:rPr>
          <w:i/>
          <w:iCs/>
          <w:szCs w:val="22"/>
          <w:u w:val="single"/>
        </w:rPr>
        <w:t xml:space="preserve"> </w:t>
      </w:r>
      <w:proofErr w:type="spellStart"/>
      <w:r w:rsidRPr="006C3C17">
        <w:rPr>
          <w:i/>
          <w:iCs/>
          <w:szCs w:val="22"/>
          <w:u w:val="single"/>
        </w:rPr>
        <w:t>jiroveci</w:t>
      </w:r>
      <w:proofErr w:type="spellEnd"/>
      <w:r w:rsidRPr="006C3C17">
        <w:rPr>
          <w:i/>
          <w:iCs/>
          <w:szCs w:val="22"/>
          <w:u w:val="single"/>
        </w:rPr>
        <w:t xml:space="preserve"> </w:t>
      </w:r>
      <w:r w:rsidRPr="006C3C17">
        <w:rPr>
          <w:szCs w:val="22"/>
          <w:u w:val="single"/>
        </w:rPr>
        <w:t>sukelta pneumonija (PJP)</w:t>
      </w:r>
    </w:p>
    <w:p w14:paraId="65A9A50E" w14:textId="77777777" w:rsidR="006C3C17" w:rsidRPr="006C3C17" w:rsidRDefault="006C3C17" w:rsidP="006C3C17">
      <w:pPr>
        <w:widowControl w:val="0"/>
        <w:suppressAutoHyphens/>
        <w:rPr>
          <w:szCs w:val="22"/>
        </w:rPr>
      </w:pPr>
      <w:r w:rsidRPr="006C3C17">
        <w:rPr>
          <w:szCs w:val="22"/>
        </w:rPr>
        <w:t>Gydymas</w:t>
      </w:r>
    </w:p>
    <w:p w14:paraId="382DF48F" w14:textId="77777777" w:rsidR="006C3C17" w:rsidRPr="006C3C17" w:rsidRDefault="006C3C17" w:rsidP="006C3C17">
      <w:pPr>
        <w:widowControl w:val="0"/>
        <w:suppressAutoHyphens/>
        <w:rPr>
          <w:szCs w:val="22"/>
        </w:rPr>
      </w:pPr>
      <w:r w:rsidRPr="006C3C17">
        <w:rPr>
          <w:szCs w:val="22"/>
        </w:rPr>
        <w:t xml:space="preserve">100 mg/kg kūno svorio </w:t>
      </w:r>
      <w:proofErr w:type="spellStart"/>
      <w:r w:rsidRPr="006C3C17">
        <w:rPr>
          <w:szCs w:val="22"/>
        </w:rPr>
        <w:t>sulfametoksazolo</w:t>
      </w:r>
      <w:proofErr w:type="spellEnd"/>
      <w:r w:rsidRPr="006C3C17">
        <w:rPr>
          <w:szCs w:val="22"/>
        </w:rPr>
        <w:t xml:space="preserve"> bei 20 mg/kg kūno svorio </w:t>
      </w:r>
      <w:proofErr w:type="spellStart"/>
      <w:r w:rsidRPr="006C3C17">
        <w:rPr>
          <w:szCs w:val="22"/>
        </w:rPr>
        <w:t>trimetoprimo</w:t>
      </w:r>
      <w:proofErr w:type="spellEnd"/>
      <w:r w:rsidRPr="006C3C17">
        <w:rPr>
          <w:szCs w:val="22"/>
        </w:rPr>
        <w:t xml:space="preserve"> paros dozė suvartojama per 2 ar daugiau kartų. Gydymą reikia kuo greičiau pakeisti geriamąja vaistinio preparato forma ir tęsti iš viso 2 savaites. Reikia siekti, kad </w:t>
      </w:r>
      <w:proofErr w:type="spellStart"/>
      <w:r w:rsidRPr="006C3C17">
        <w:rPr>
          <w:szCs w:val="22"/>
        </w:rPr>
        <w:t>trimetoprimo</w:t>
      </w:r>
      <w:proofErr w:type="spellEnd"/>
      <w:r w:rsidRPr="006C3C17">
        <w:rPr>
          <w:szCs w:val="22"/>
        </w:rPr>
        <w:t xml:space="preserve"> koncentracija plazmoje arba serume būtų 5 </w:t>
      </w:r>
      <w:proofErr w:type="spellStart"/>
      <w:r w:rsidRPr="006C3C17">
        <w:rPr>
          <w:szCs w:val="22"/>
        </w:rPr>
        <w:t>mikrogramai</w:t>
      </w:r>
      <w:proofErr w:type="spellEnd"/>
      <w:r w:rsidRPr="006C3C17">
        <w:rPr>
          <w:szCs w:val="22"/>
        </w:rPr>
        <w:t>/ml arba didesnė (tai nustatyta tiriant pacientus, kuriems BISEPTOL infuzija į veną truko valandą).</w:t>
      </w:r>
    </w:p>
    <w:p w14:paraId="560BF00F" w14:textId="77777777" w:rsidR="006C3C17" w:rsidRPr="006C3C17" w:rsidRDefault="006C3C17" w:rsidP="006C3C17">
      <w:pPr>
        <w:pStyle w:val="Pagrindinistekstas"/>
        <w:widowControl w:val="0"/>
        <w:suppressAutoHyphens/>
        <w:spacing w:after="0"/>
        <w:rPr>
          <w:szCs w:val="22"/>
        </w:rPr>
      </w:pPr>
    </w:p>
    <w:p w14:paraId="23054EAF" w14:textId="77777777" w:rsidR="006C3C17" w:rsidRPr="006C3C17" w:rsidRDefault="006C3C17" w:rsidP="006C3C17">
      <w:pPr>
        <w:pStyle w:val="prastasiniatinklio"/>
        <w:spacing w:before="0" w:beforeAutospacing="0" w:after="0" w:afterAutospacing="0"/>
        <w:rPr>
          <w:rFonts w:ascii="Times New Roman" w:hAnsi="Times New Roman"/>
          <w:sz w:val="22"/>
          <w:szCs w:val="22"/>
          <w:lang w:val="lt-LT" w:eastAsia="lt-LT"/>
        </w:rPr>
      </w:pPr>
      <w:r w:rsidRPr="006C3C17">
        <w:rPr>
          <w:rFonts w:ascii="Times New Roman" w:hAnsi="Times New Roman"/>
          <w:sz w:val="22"/>
          <w:szCs w:val="22"/>
          <w:lang w:val="lt-LT" w:eastAsia="lt-LT"/>
        </w:rPr>
        <w:t>Profilaktika</w:t>
      </w:r>
    </w:p>
    <w:p w14:paraId="1DA8643F" w14:textId="77777777" w:rsidR="006C3C17" w:rsidRPr="006C3C17" w:rsidRDefault="006C3C17" w:rsidP="006C3C17">
      <w:pPr>
        <w:rPr>
          <w:szCs w:val="22"/>
        </w:rPr>
      </w:pPr>
      <w:r w:rsidRPr="006C3C17">
        <w:rPr>
          <w:szCs w:val="22"/>
        </w:rPr>
        <w:t>Tol, kol išlieka rizika, reikia vartoti įprastinę dozę.</w:t>
      </w:r>
    </w:p>
    <w:p w14:paraId="601A821A" w14:textId="77777777" w:rsidR="006C3C17" w:rsidRPr="006C3C17" w:rsidRDefault="006C3C17" w:rsidP="006C3C17">
      <w:pPr>
        <w:rPr>
          <w:szCs w:val="22"/>
        </w:rPr>
      </w:pPr>
    </w:p>
    <w:p w14:paraId="73FE08A4" w14:textId="77777777" w:rsidR="006C3C17" w:rsidRPr="006C3C17" w:rsidRDefault="006C3C17" w:rsidP="006C3C17">
      <w:pPr>
        <w:rPr>
          <w:i/>
          <w:szCs w:val="22"/>
        </w:rPr>
      </w:pPr>
      <w:r w:rsidRPr="006C3C17">
        <w:rPr>
          <w:i/>
          <w:szCs w:val="22"/>
        </w:rPr>
        <w:t>Toksoplazmozė</w:t>
      </w:r>
    </w:p>
    <w:p w14:paraId="739E7CAD" w14:textId="77777777" w:rsidR="006C3C17" w:rsidRPr="006C3C17" w:rsidRDefault="006C3C17" w:rsidP="006C3C17">
      <w:pPr>
        <w:rPr>
          <w:szCs w:val="22"/>
        </w:rPr>
      </w:pPr>
      <w:r w:rsidRPr="006C3C17">
        <w:rPr>
          <w:szCs w:val="22"/>
        </w:rPr>
        <w:t xml:space="preserve">Vieningos nuomonės apie tinkamą dozavimą, kai šio vaistinio preparato vartojama toksoplazmozės gydymui ar profilaktikai, nėra. Dozė parenkama remiantis klinikine patirtimi. Jei vaistinio preparato </w:t>
      </w:r>
      <w:r w:rsidRPr="006C3C17">
        <w:rPr>
          <w:szCs w:val="22"/>
        </w:rPr>
        <w:lastRenderedPageBreak/>
        <w:t xml:space="preserve">vartojama profilaktikai, gali tikti </w:t>
      </w:r>
      <w:proofErr w:type="spellStart"/>
      <w:r w:rsidRPr="006C3C17">
        <w:rPr>
          <w:i/>
          <w:iCs/>
          <w:szCs w:val="22"/>
        </w:rPr>
        <w:t>Pneumocystis</w:t>
      </w:r>
      <w:proofErr w:type="spellEnd"/>
      <w:r w:rsidRPr="006C3C17">
        <w:rPr>
          <w:i/>
          <w:iCs/>
          <w:szCs w:val="22"/>
        </w:rPr>
        <w:t xml:space="preserve"> </w:t>
      </w:r>
      <w:proofErr w:type="spellStart"/>
      <w:r w:rsidRPr="006C3C17">
        <w:rPr>
          <w:i/>
          <w:iCs/>
          <w:szCs w:val="22"/>
        </w:rPr>
        <w:t>jiroveci</w:t>
      </w:r>
      <w:proofErr w:type="spellEnd"/>
      <w:r w:rsidRPr="006C3C17">
        <w:rPr>
          <w:szCs w:val="22"/>
        </w:rPr>
        <w:t xml:space="preserve"> sukeltos pneumonijos profilaktikai vartojamos dozės.</w:t>
      </w:r>
    </w:p>
    <w:p w14:paraId="2221F7DA" w14:textId="77777777" w:rsidR="006C3C17" w:rsidRPr="006C3C17" w:rsidRDefault="006C3C17" w:rsidP="006C3C17">
      <w:pPr>
        <w:pStyle w:val="prastasiniatinklio"/>
        <w:spacing w:before="0" w:beforeAutospacing="0" w:after="0" w:afterAutospacing="0"/>
        <w:rPr>
          <w:rFonts w:ascii="Times New Roman" w:hAnsi="Times New Roman"/>
          <w:sz w:val="22"/>
          <w:szCs w:val="22"/>
          <w:lang w:val="lt-LT" w:eastAsia="lt-LT"/>
        </w:rPr>
      </w:pPr>
    </w:p>
    <w:p w14:paraId="0C2E3B8B" w14:textId="77777777" w:rsidR="006C3C17" w:rsidRPr="006C3C17" w:rsidRDefault="006C3C17" w:rsidP="006C3C17">
      <w:pPr>
        <w:pStyle w:val="prastasiniatinklio"/>
        <w:spacing w:before="0" w:beforeAutospacing="0" w:after="0" w:afterAutospacing="0"/>
        <w:rPr>
          <w:rFonts w:ascii="Times New Roman" w:hAnsi="Times New Roman"/>
          <w:i/>
          <w:sz w:val="22"/>
          <w:szCs w:val="22"/>
          <w:lang w:val="lt-LT" w:eastAsia="lt-LT"/>
        </w:rPr>
      </w:pPr>
      <w:proofErr w:type="spellStart"/>
      <w:r w:rsidRPr="006C3C17">
        <w:rPr>
          <w:rFonts w:ascii="Times New Roman" w:hAnsi="Times New Roman"/>
          <w:i/>
          <w:sz w:val="22"/>
          <w:szCs w:val="22"/>
          <w:lang w:val="lt-LT" w:eastAsia="lt-LT"/>
        </w:rPr>
        <w:t>Nokardiozė</w:t>
      </w:r>
      <w:proofErr w:type="spellEnd"/>
    </w:p>
    <w:p w14:paraId="64AEF2B3" w14:textId="77777777" w:rsidR="006C3C17" w:rsidRPr="006C3C17" w:rsidRDefault="006C3C17" w:rsidP="006C3C17">
      <w:pPr>
        <w:rPr>
          <w:szCs w:val="22"/>
        </w:rPr>
      </w:pPr>
      <w:r w:rsidRPr="006C3C17">
        <w:rPr>
          <w:szCs w:val="22"/>
        </w:rPr>
        <w:t xml:space="preserve">Vieningos nuomonės apie tinkamą dozavimą nėra. Suaugusiesiems buvo skiriamos 6-8 tabletės per parą iki 3 mėnesių (vienoje tabletėje yra 400 mg </w:t>
      </w:r>
      <w:proofErr w:type="spellStart"/>
      <w:r w:rsidRPr="006C3C17">
        <w:rPr>
          <w:szCs w:val="22"/>
        </w:rPr>
        <w:t>sulfametoksazolo</w:t>
      </w:r>
      <w:proofErr w:type="spellEnd"/>
      <w:r w:rsidRPr="006C3C17">
        <w:rPr>
          <w:szCs w:val="22"/>
        </w:rPr>
        <w:t xml:space="preserve"> ir 80 mg </w:t>
      </w:r>
      <w:proofErr w:type="spellStart"/>
      <w:r w:rsidRPr="006C3C17">
        <w:rPr>
          <w:szCs w:val="22"/>
        </w:rPr>
        <w:t>trimetoprimo</w:t>
      </w:r>
      <w:proofErr w:type="spellEnd"/>
      <w:r w:rsidRPr="006C3C17">
        <w:rPr>
          <w:szCs w:val="22"/>
        </w:rPr>
        <w:t>).</w:t>
      </w:r>
    </w:p>
    <w:p w14:paraId="26A1A781" w14:textId="77777777" w:rsidR="006C3C17" w:rsidRPr="006C3C17" w:rsidRDefault="006C3C17" w:rsidP="006C3C17">
      <w:pPr>
        <w:rPr>
          <w:szCs w:val="22"/>
        </w:rPr>
      </w:pPr>
    </w:p>
    <w:p w14:paraId="436B2DCD" w14:textId="77777777" w:rsidR="00222FED" w:rsidRPr="006C3C17" w:rsidRDefault="00222FED" w:rsidP="006C3C17">
      <w:pPr>
        <w:rPr>
          <w:szCs w:val="22"/>
        </w:rPr>
      </w:pPr>
    </w:p>
    <w:sectPr w:rsidR="00222FED" w:rsidRPr="006C3C17" w:rsidSect="006C3C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C524" w14:textId="77777777" w:rsidR="00D435BB" w:rsidRDefault="00D435BB">
      <w:r>
        <w:separator/>
      </w:r>
    </w:p>
  </w:endnote>
  <w:endnote w:type="continuationSeparator" w:id="0">
    <w:p w14:paraId="04485683" w14:textId="77777777" w:rsidR="00D435BB" w:rsidRDefault="00D4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B79D" w14:textId="77777777" w:rsidR="006C3C17" w:rsidRDefault="006C3C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E4A7" w14:textId="77777777" w:rsidR="00D435BB" w:rsidRDefault="00D435BB">
      <w:r>
        <w:separator/>
      </w:r>
    </w:p>
  </w:footnote>
  <w:footnote w:type="continuationSeparator" w:id="0">
    <w:p w14:paraId="2295E57F" w14:textId="77777777" w:rsidR="00D435BB" w:rsidRDefault="00D43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9D0F45"/>
    <w:multiLevelType w:val="hybridMultilevel"/>
    <w:tmpl w:val="0CFA2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03673"/>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2BF0523D"/>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2C865513"/>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33B43EAF"/>
    <w:multiLevelType w:val="hybridMultilevel"/>
    <w:tmpl w:val="2F60C996"/>
    <w:lvl w:ilvl="0" w:tplc="182A717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9A34F82"/>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7" w15:restartNumberingAfterBreak="0">
    <w:nsid w:val="3B5737A6"/>
    <w:multiLevelType w:val="hybridMultilevel"/>
    <w:tmpl w:val="57FCC4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DB21C41"/>
    <w:multiLevelType w:val="hybridMultilevel"/>
    <w:tmpl w:val="1DBE5B66"/>
    <w:lvl w:ilvl="0" w:tplc="FFFFFFFF">
      <w:start w:val="1"/>
      <w:numFmt w:val="bullet"/>
      <w:lvlText w:val="-"/>
      <w:legacy w:legacy="1" w:legacySpace="0" w:legacyIndent="360"/>
      <w:lvlJc w:val="left"/>
      <w:pPr>
        <w:ind w:left="1656" w:hanging="360"/>
      </w:p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45A17B1D"/>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53466232"/>
    <w:multiLevelType w:val="hybridMultilevel"/>
    <w:tmpl w:val="98CA03FE"/>
    <w:lvl w:ilvl="0" w:tplc="182A717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AD41D91"/>
    <w:multiLevelType w:val="hybridMultilevel"/>
    <w:tmpl w:val="E2A216C4"/>
    <w:lvl w:ilvl="0" w:tplc="182A717E">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6D703031"/>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728C3C46"/>
    <w:multiLevelType w:val="hybridMultilevel"/>
    <w:tmpl w:val="177A0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C53DB"/>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num w:numId="1" w16cid:durableId="1198589135">
    <w:abstractNumId w:val="4"/>
  </w:num>
  <w:num w:numId="2" w16cid:durableId="1386297377">
    <w:abstractNumId w:val="14"/>
  </w:num>
  <w:num w:numId="3" w16cid:durableId="251013693">
    <w:abstractNumId w:val="13"/>
  </w:num>
  <w:num w:numId="4" w16cid:durableId="35594055">
    <w:abstractNumId w:val="1"/>
  </w:num>
  <w:num w:numId="5" w16cid:durableId="413019545">
    <w:abstractNumId w:val="0"/>
    <w:lvlOverride w:ilvl="0">
      <w:lvl w:ilvl="0">
        <w:numFmt w:val="bullet"/>
        <w:lvlText w:val="-"/>
        <w:legacy w:legacy="1" w:legacySpace="0" w:legacyIndent="360"/>
        <w:lvlJc w:val="left"/>
        <w:pPr>
          <w:ind w:left="360" w:hanging="360"/>
        </w:pPr>
      </w:lvl>
    </w:lvlOverride>
  </w:num>
  <w:num w:numId="6" w16cid:durableId="1728914335">
    <w:abstractNumId w:val="9"/>
  </w:num>
  <w:num w:numId="7" w16cid:durableId="1889220472">
    <w:abstractNumId w:val="12"/>
  </w:num>
  <w:num w:numId="8" w16cid:durableId="1602958049">
    <w:abstractNumId w:val="6"/>
  </w:num>
  <w:num w:numId="9" w16cid:durableId="1835486367">
    <w:abstractNumId w:val="3"/>
  </w:num>
  <w:num w:numId="10" w16cid:durableId="235670763">
    <w:abstractNumId w:val="2"/>
  </w:num>
  <w:num w:numId="11" w16cid:durableId="1118648590">
    <w:abstractNumId w:val="11"/>
  </w:num>
  <w:num w:numId="12" w16cid:durableId="1452623983">
    <w:abstractNumId w:val="5"/>
  </w:num>
  <w:num w:numId="13" w16cid:durableId="1559051023">
    <w:abstractNumId w:val="10"/>
  </w:num>
  <w:num w:numId="14" w16cid:durableId="1008950477">
    <w:abstractNumId w:val="7"/>
  </w:num>
  <w:num w:numId="15" w16cid:durableId="221065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17"/>
    <w:rsid w:val="00222FED"/>
    <w:rsid w:val="005F173E"/>
    <w:rsid w:val="006C3C17"/>
    <w:rsid w:val="008B3AD4"/>
    <w:rsid w:val="00984A0A"/>
    <w:rsid w:val="00D047C4"/>
    <w:rsid w:val="00D435BB"/>
    <w:rsid w:val="00EC0D97"/>
    <w:rsid w:val="00F03D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1C8D"/>
  <w15:chartTrackingRefBased/>
  <w15:docId w15:val="{B04F6A0A-92FB-4DCF-BCF1-F9BDD66A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C17"/>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qFormat/>
    <w:rsid w:val="006C3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C3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C3C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C3C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C3C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C3C1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C3C1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C3C1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3C1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3C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C3C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6C3C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C3C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C3C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C3C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6C3C17"/>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6C3C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3C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3C1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3C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3C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3C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3C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3C17"/>
    <w:rPr>
      <w:i/>
      <w:iCs/>
      <w:color w:val="404040" w:themeColor="text1" w:themeTint="BF"/>
    </w:rPr>
  </w:style>
  <w:style w:type="paragraph" w:styleId="Sraopastraipa">
    <w:name w:val="List Paragraph"/>
    <w:basedOn w:val="prastasis"/>
    <w:uiPriority w:val="34"/>
    <w:qFormat/>
    <w:rsid w:val="006C3C17"/>
    <w:pPr>
      <w:ind w:left="720"/>
      <w:contextualSpacing/>
    </w:pPr>
  </w:style>
  <w:style w:type="character" w:styleId="Rykuspabraukimas">
    <w:name w:val="Intense Emphasis"/>
    <w:basedOn w:val="Numatytasispastraiposriftas"/>
    <w:uiPriority w:val="21"/>
    <w:qFormat/>
    <w:rsid w:val="006C3C17"/>
    <w:rPr>
      <w:i/>
      <w:iCs/>
      <w:color w:val="0F4761" w:themeColor="accent1" w:themeShade="BF"/>
    </w:rPr>
  </w:style>
  <w:style w:type="paragraph" w:styleId="Iskirtacitata">
    <w:name w:val="Intense Quote"/>
    <w:basedOn w:val="prastasis"/>
    <w:next w:val="prastasis"/>
    <w:link w:val="IskirtacitataDiagrama"/>
    <w:uiPriority w:val="30"/>
    <w:qFormat/>
    <w:rsid w:val="006C3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C3C17"/>
    <w:rPr>
      <w:i/>
      <w:iCs/>
      <w:color w:val="0F4761" w:themeColor="accent1" w:themeShade="BF"/>
    </w:rPr>
  </w:style>
  <w:style w:type="character" w:styleId="Rykinuoroda">
    <w:name w:val="Intense Reference"/>
    <w:basedOn w:val="Numatytasispastraiposriftas"/>
    <w:uiPriority w:val="32"/>
    <w:qFormat/>
    <w:rsid w:val="006C3C17"/>
    <w:rPr>
      <w:b/>
      <w:bCs/>
      <w:smallCaps/>
      <w:color w:val="0F4761" w:themeColor="accent1" w:themeShade="BF"/>
      <w:spacing w:val="5"/>
    </w:rPr>
  </w:style>
  <w:style w:type="character" w:styleId="Hipersaitas">
    <w:name w:val="Hyperlink"/>
    <w:unhideWhenUsed/>
    <w:rsid w:val="006C3C17"/>
    <w:rPr>
      <w:color w:val="0000FF"/>
      <w:u w:val="single"/>
    </w:rPr>
  </w:style>
  <w:style w:type="paragraph" w:styleId="prastasiniatinklio">
    <w:name w:val="Normal (Web)"/>
    <w:basedOn w:val="prastasis"/>
    <w:uiPriority w:val="99"/>
    <w:semiHidden/>
    <w:unhideWhenUsed/>
    <w:rsid w:val="006C3C17"/>
    <w:pPr>
      <w:spacing w:before="100" w:beforeAutospacing="1" w:after="100" w:afterAutospacing="1"/>
    </w:pPr>
    <w:rPr>
      <w:rFonts w:ascii="Arial Unicode MS" w:hAnsi="Arial Unicode MS"/>
      <w:sz w:val="24"/>
      <w:szCs w:val="24"/>
      <w:lang w:val="en-US" w:eastAsia="en-US"/>
    </w:rPr>
  </w:style>
  <w:style w:type="paragraph" w:styleId="Porat">
    <w:name w:val="footer"/>
    <w:basedOn w:val="prastasis"/>
    <w:link w:val="PoratDiagrama"/>
    <w:unhideWhenUsed/>
    <w:rsid w:val="006C3C17"/>
    <w:pPr>
      <w:tabs>
        <w:tab w:val="center" w:pos="4153"/>
        <w:tab w:val="right" w:pos="8306"/>
      </w:tabs>
    </w:pPr>
  </w:style>
  <w:style w:type="character" w:customStyle="1" w:styleId="PoratDiagrama">
    <w:name w:val="Poraštė Diagrama"/>
    <w:basedOn w:val="Numatytasispastraiposriftas"/>
    <w:link w:val="Porat"/>
    <w:rsid w:val="006C3C17"/>
    <w:rPr>
      <w:rFonts w:ascii="Times New Roman" w:eastAsia="Times New Roman" w:hAnsi="Times New Roman" w:cs="Times New Roman"/>
      <w:kern w:val="0"/>
      <w:sz w:val="22"/>
      <w:szCs w:val="20"/>
      <w:lang w:eastAsia="lt-LT"/>
      <w14:ligatures w14:val="none"/>
    </w:rPr>
  </w:style>
  <w:style w:type="paragraph" w:styleId="Pagrindinistekstas">
    <w:name w:val="Body Text"/>
    <w:basedOn w:val="prastasis"/>
    <w:link w:val="PagrindinistekstasDiagrama"/>
    <w:unhideWhenUsed/>
    <w:rsid w:val="006C3C17"/>
    <w:pPr>
      <w:spacing w:after="120"/>
    </w:pPr>
  </w:style>
  <w:style w:type="character" w:customStyle="1" w:styleId="PagrindinistekstasDiagrama">
    <w:name w:val="Pagrindinis tekstas Diagrama"/>
    <w:basedOn w:val="Numatytasispastraiposriftas"/>
    <w:link w:val="Pagrindinistekstas"/>
    <w:rsid w:val="006C3C17"/>
    <w:rPr>
      <w:rFonts w:ascii="Times New Roman" w:eastAsia="Times New Roman" w:hAnsi="Times New Roman" w:cs="Times New Roman"/>
      <w:kern w:val="0"/>
      <w:sz w:val="22"/>
      <w:szCs w:val="20"/>
      <w:lang w:eastAsia="lt-LT"/>
      <w14:ligatures w14:val="none"/>
    </w:rPr>
  </w:style>
  <w:style w:type="paragraph" w:styleId="Pagrindiniotekstotrauka">
    <w:name w:val="Body Text Indent"/>
    <w:basedOn w:val="prastasis"/>
    <w:link w:val="PagrindiniotekstotraukaDiagrama"/>
    <w:semiHidden/>
    <w:unhideWhenUsed/>
    <w:rsid w:val="006C3C17"/>
    <w:pPr>
      <w:spacing w:after="120"/>
      <w:ind w:left="283"/>
    </w:pPr>
  </w:style>
  <w:style w:type="character" w:customStyle="1" w:styleId="PagrindiniotekstotraukaDiagrama">
    <w:name w:val="Pagrindinio teksto įtrauka Diagrama"/>
    <w:basedOn w:val="Numatytasispastraiposriftas"/>
    <w:link w:val="Pagrindiniotekstotrauka"/>
    <w:semiHidden/>
    <w:rsid w:val="006C3C17"/>
    <w:rPr>
      <w:rFonts w:ascii="Times New Roman" w:eastAsia="Times New Roman" w:hAnsi="Times New Roman" w:cs="Times New Roman"/>
      <w:kern w:val="0"/>
      <w:sz w:val="22"/>
      <w:szCs w:val="20"/>
      <w:lang w:eastAsia="lt-LT"/>
      <w14:ligatures w14:val="none"/>
    </w:rPr>
  </w:style>
  <w:style w:type="paragraph" w:styleId="Pagrindinistekstas2">
    <w:name w:val="Body Text 2"/>
    <w:basedOn w:val="prastasis"/>
    <w:link w:val="Pagrindinistekstas2Diagrama"/>
    <w:semiHidden/>
    <w:unhideWhenUsed/>
    <w:rsid w:val="006C3C17"/>
    <w:pPr>
      <w:spacing w:after="120" w:line="480" w:lineRule="auto"/>
    </w:pPr>
  </w:style>
  <w:style w:type="character" w:customStyle="1" w:styleId="Pagrindinistekstas2Diagrama">
    <w:name w:val="Pagrindinis tekstas 2 Diagrama"/>
    <w:basedOn w:val="Numatytasispastraiposriftas"/>
    <w:link w:val="Pagrindinistekstas2"/>
    <w:semiHidden/>
    <w:rsid w:val="006C3C17"/>
    <w:rPr>
      <w:rFonts w:ascii="Times New Roman" w:eastAsia="Times New Roman" w:hAnsi="Times New Roman" w:cs="Times New Roman"/>
      <w:kern w:val="0"/>
      <w:sz w:val="22"/>
      <w:szCs w:val="20"/>
      <w:lang w:eastAsia="lt-LT"/>
      <w14:ligatures w14:val="none"/>
    </w:rPr>
  </w:style>
  <w:style w:type="paragraph" w:customStyle="1" w:styleId="ColorfulList-Accent11">
    <w:name w:val="Colorful List - Accent 11"/>
    <w:basedOn w:val="prastasis"/>
    <w:uiPriority w:val="34"/>
    <w:qFormat/>
    <w:rsid w:val="006C3C17"/>
    <w:pPr>
      <w:ind w:left="720"/>
      <w:contextualSpacing/>
    </w:pPr>
  </w:style>
  <w:style w:type="paragraph" w:customStyle="1" w:styleId="BTEMEASMCA">
    <w:name w:val="BT EMEA_SMCA"/>
    <w:basedOn w:val="prastasis"/>
    <w:link w:val="BTEMEASMCAChar"/>
    <w:autoRedefine/>
    <w:rsid w:val="006C3C17"/>
    <w:pPr>
      <w:tabs>
        <w:tab w:val="left" w:pos="0"/>
      </w:tabs>
      <w:jc w:val="center"/>
    </w:pPr>
    <w:rPr>
      <w:noProof/>
      <w:szCs w:val="22"/>
      <w:lang w:eastAsia="en-US"/>
    </w:rPr>
  </w:style>
  <w:style w:type="character" w:customStyle="1" w:styleId="hps">
    <w:name w:val="hps"/>
    <w:basedOn w:val="Numatytasispastraiposriftas"/>
    <w:rsid w:val="006C3C17"/>
  </w:style>
  <w:style w:type="character" w:customStyle="1" w:styleId="st1">
    <w:name w:val="st1"/>
    <w:basedOn w:val="Numatytasispastraiposriftas"/>
    <w:rsid w:val="006C3C17"/>
  </w:style>
  <w:style w:type="character" w:customStyle="1" w:styleId="tlid-translation">
    <w:name w:val="tlid-translation"/>
    <w:basedOn w:val="Numatytasispastraiposriftas"/>
    <w:rsid w:val="006C3C17"/>
  </w:style>
  <w:style w:type="character" w:customStyle="1" w:styleId="BTEMEASMCAChar">
    <w:name w:val="BT EMEA_SMCA Char"/>
    <w:link w:val="BTEMEASMCA"/>
    <w:locked/>
    <w:rsid w:val="006C3C17"/>
    <w:rPr>
      <w:rFonts w:ascii="Times New Roman" w:eastAsia="Times New Roman" w:hAnsi="Times New Roman" w:cs="Times New Roman"/>
      <w:noProof/>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 TargetMode="External"/><Relationship Id="rId3" Type="http://schemas.openxmlformats.org/officeDocument/2006/relationships/settings" Target="settings.xml"/><Relationship Id="rId7" Type="http://schemas.openxmlformats.org/officeDocument/2006/relationships/hyperlink" Target="https://vvk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14956</Words>
  <Characters>8526</Characters>
  <Application>Microsoft Office Word</Application>
  <DocSecurity>0</DocSecurity>
  <Lines>71</Lines>
  <Paragraphs>46</Paragraphs>
  <ScaleCrop>false</ScaleCrop>
  <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2025-11-26T08:26:00Z</dcterms:created>
  <dcterms:modified xsi:type="dcterms:W3CDTF">2025-11-26T08:32:00Z</dcterms:modified>
</cp:coreProperties>
</file>