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1A5" w:rsidRDefault="005001A5" w:rsidP="005001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Pakuotės lapelis: informacija vartotojui</w:t>
      </w:r>
    </w:p>
    <w:p w:rsidR="005001A5" w:rsidRDefault="005001A5" w:rsidP="005001A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lang w:eastAsia="lt-LT"/>
        </w:rPr>
      </w:pPr>
    </w:p>
    <w:p w:rsidR="005001A5" w:rsidRDefault="005001A5" w:rsidP="005001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lt-LT"/>
        </w:rPr>
        <w:t xml:space="preserve">PPH </w:t>
      </w:r>
      <w:r>
        <w:rPr>
          <w:rFonts w:ascii="Times New Roman" w:eastAsia="Times New Roman" w:hAnsi="Times New Roman" w:cs="Times New Roman"/>
          <w:b/>
          <w:lang w:eastAsia="lt-LT"/>
        </w:rPr>
        <w:t>40 mg/ml koncentratas infuziniam tirpalui</w:t>
      </w:r>
    </w:p>
    <w:p w:rsidR="005001A5" w:rsidRDefault="005001A5" w:rsidP="005001A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hidrochloridas</w:t>
      </w:r>
    </w:p>
    <w:p w:rsidR="005001A5" w:rsidRDefault="005001A5" w:rsidP="005001A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Atidžiai perskaitykite visą šį lapelį, prieš pradėdami vartoti vaistą, nes jame pateikiama Jums svarbi informacija.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Neišmeskite šio lapelio, nes vėl gali prireikti jį perskaityti.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kiltų daugiau klausimų, kreipkitės į gydytoją arba vaistininką.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Šis vaistas skirtas tik Jums, todėl kitiems žmonėms jo duoti negalima. Vaistas gali jiems pakenkti (net tiems, kurių ligos požymiai yra tokie patys kaip Jūsų).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(net jeigu jis šiame lapelyje nenurodytas), kreipkitės į gydytoją, vaistininką arba slaugytoją. Žr. 4 skyrių.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Apie ką rašoma šiame lapelyje?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1.</w:t>
      </w:r>
      <w:r>
        <w:rPr>
          <w:rFonts w:ascii="Times New Roman" w:eastAsia="Times New Roman" w:hAnsi="Times New Roman" w:cs="Times New Roman"/>
          <w:lang w:eastAsia="lt-LT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 ir kam jis vartojamas</w:t>
      </w: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2.</w:t>
      </w:r>
      <w:r>
        <w:rPr>
          <w:rFonts w:ascii="Times New Roman" w:eastAsia="Times New Roman" w:hAnsi="Times New Roman" w:cs="Times New Roman"/>
          <w:lang w:eastAsia="lt-LT"/>
        </w:rPr>
        <w:tab/>
        <w:t>Kas žinotina prieš vartojant</w:t>
      </w:r>
      <w:r w:rsidRPr="001A576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</w:t>
      </w: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3.</w:t>
      </w:r>
      <w:r>
        <w:rPr>
          <w:rFonts w:ascii="Times New Roman" w:eastAsia="Times New Roman" w:hAnsi="Times New Roman" w:cs="Times New Roman"/>
          <w:lang w:eastAsia="lt-LT"/>
        </w:rPr>
        <w:tab/>
        <w:t>Kaip vartoti</w:t>
      </w:r>
      <w:r w:rsidRPr="001A576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</w:t>
      </w: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4.</w:t>
      </w:r>
      <w:r>
        <w:rPr>
          <w:rFonts w:ascii="Times New Roman" w:eastAsia="Times New Roman" w:hAnsi="Times New Roman" w:cs="Times New Roman"/>
          <w:lang w:eastAsia="lt-LT"/>
        </w:rPr>
        <w:tab/>
        <w:t>Galimas šalutinis poveikis</w:t>
      </w: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5.</w:t>
      </w:r>
      <w:r>
        <w:rPr>
          <w:rFonts w:ascii="Times New Roman" w:eastAsia="Times New Roman" w:hAnsi="Times New Roman" w:cs="Times New Roman"/>
          <w:lang w:eastAsia="lt-LT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</w:t>
      </w:r>
    </w:p>
    <w:p w:rsidR="005001A5" w:rsidRDefault="005001A5" w:rsidP="005001A5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6.</w:t>
      </w:r>
      <w:r>
        <w:rPr>
          <w:rFonts w:ascii="Times New Roman" w:eastAsia="Times New Roman" w:hAnsi="Times New Roman" w:cs="Times New Roman"/>
          <w:lang w:eastAsia="lt-LT"/>
        </w:rPr>
        <w:tab/>
        <w:t>Pakuotės turinys ir kita informacija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1.</w:t>
      </w:r>
      <w:r>
        <w:rPr>
          <w:rFonts w:ascii="Times New Roman" w:eastAsia="Times New Roman" w:hAnsi="Times New Roman" w:cs="Times New Roman"/>
          <w:b/>
          <w:lang w:eastAsia="lt-LT"/>
        </w:rPr>
        <w:tab/>
        <w:t xml:space="preserve">Kas yra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 ir kam jis vartojamas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Dopaminas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yra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katecholaminas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veikiantis ir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adrenerginius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ir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dopaminerginius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receptorius. Jis plečia inkstų, vidaus organų, vainikines bei kaukolės viduje esančias kraujagysles, stimuliuoja širdyje esančius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adrenoreceptorius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Šiuo vaistu gydomas kraujotakos sutrikimas, pasireiškęs miokardo infarktui, sepsiui ar širdies operacijai sukėlus šoką.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2.</w:t>
      </w:r>
      <w:r>
        <w:rPr>
          <w:rFonts w:ascii="Times New Roman" w:eastAsia="Times New Roman" w:hAnsi="Times New Roman" w:cs="Times New Roman"/>
          <w:b/>
          <w:lang w:eastAsia="lt-LT"/>
        </w:rPr>
        <w:tab/>
        <w:t xml:space="preserve">Kas žinotina prieš vartojant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 vartoti draudžiama: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yra alergija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hidrochloridui arba bet kuriai pagalbinei šio vaisto medžiagai (jos išvardytos 6 skyriuje);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yra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feochromocitoma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yra sunkus širdies ritmo sutrikimas: skilvelių plazdėjimas ar ritmo sutrikimas, kai labai padidėja širdies susitraukimų dažnis;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yra uždaro kampo glaukoma;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yra prostatos adenoma tokiu atveju, jei šlapimo pūslėje yra liekamojo šlapimo;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 yra sustiprėjusi skydliaukės veikla (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hipertiroidizmas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).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Įspėjimai ir atsargumo priemonės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Pasitarkite su gydytoju, prieš pradėdami vartoti</w:t>
      </w:r>
      <w:r>
        <w:rPr>
          <w:rFonts w:ascii="Times New Roman" w:eastAsia="Times New Roman" w:hAnsi="Times New Roman" w:cs="Times New Roman"/>
          <w:szCs w:val="20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u w:val="single"/>
          <w:lang w:eastAsia="lt-LT"/>
        </w:rPr>
      </w:pPr>
      <w:r>
        <w:rPr>
          <w:rFonts w:ascii="Times New Roman" w:eastAsia="Times New Roman" w:hAnsi="Times New Roman" w:cs="Times New Roman"/>
          <w:u w:val="single"/>
          <w:lang w:eastAsia="lt-LT"/>
        </w:rPr>
        <w:t>Specialių atsargumo priemonių reikia: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yra kraujagyslių liga, pvz., aterosklerozė, Reino liga, arterinė embolija, kraujagyslių vidinio sluoksnio uždegimas sergant diabetu ar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obliteracinis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trombangitas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yra buvusi alergija (vaisto sudėtyje yra natrio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metabisulfito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, galinčio sukelti sunkių padidėjusio jautrumo reakcijų ir bronchų spazmą);</w:t>
      </w:r>
    </w:p>
    <w:p w:rsidR="005001A5" w:rsidRDefault="005001A5" w:rsidP="005001A5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Jums yra kepenų ar inkstų nepakankamumas, gydytojas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skirs atsargiai.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lastRenderedPageBreak/>
        <w:t>Vaistas vartojamas atskiestas. Jo lašinama į didelę veną, kad adata neišlystų iš venos ir vaisto nepatektų tiesiai į audinius.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Jeigu padidėja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diastolinis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kraujo spaudimas ir suretėja širdies susitraukimai, reikia mažinti dozę.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infuzijos negalima nutraukti staiga.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Vaikams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Ar vaisto vaikams vartoti saugu, nenustatyta.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 xml:space="preserve">Kiti vaistai ir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vartojate ar neseniai vartojote kitų vaistų arba dėl to nesate tikri, apie tai pasakykite gydytojui arba vaistininkui.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Monoaminooksidazės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(MAO) inhibitorių vartojant kartu su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dopaminu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sustiprėja pastarojo vaisto poveikis. Jei paskutines 2 – 3 savaites vartota MAO inhibitorių, reikia skirti ne didesnę dozę nei 10% įprastai vartojamos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dozės.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Kartu vartojant kai kurių anestetikų, įskaitant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ciklopropaną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bei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halotaną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gali sutrikti skilvelių ritmas.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poveikį slopina beta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adrenoblokatoriai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pvz.,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propranololis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metoprololis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draudžiama vartoti kartu su skalsių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alkaloidais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kadangi gali susiaurėti kraujagyslės.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Tricikliai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antidepresantai bei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guanitidinas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gali stiprinti kraujo spaudimą didinantį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poveikį.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Pacientams, vartojusiems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fenitoino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bei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sumažėjo kraujo spaudimas bei suretėjo širdies susitraukimai.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gali stiprinti šlapimo išsiskyrimą skatinančių vaistų poveikį.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vartojama kartu su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dobutaminu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, labiau padidėja kraujo spaudimas, tačiau skilvelių prisipildymo spaudimas sumažėja arba nekinta.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Nėštumas ir žindymo laikotarpis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Jeigu esate nėščia, žindote kūdikį, manote, kad galbūt esate nėščia, arba planuojate pastoti, tai prieš vartodama šį vaistą, pasitarkite su gydytoju.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>
        <w:rPr>
          <w:rFonts w:ascii="Times New Roman" w:eastAsia="Times New Roman" w:hAnsi="Times New Roman" w:cs="Times New Roman"/>
          <w:i/>
          <w:lang w:eastAsia="lt-LT"/>
        </w:rPr>
        <w:t xml:space="preserve">Nėštumas 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Nėščioms moterims šio vaisto galima vartoti tik tada, jei gydytojas mano, kad nauda motinai viršys galimą žalą vaisiui.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>
        <w:rPr>
          <w:rFonts w:ascii="Times New Roman" w:eastAsia="Times New Roman" w:hAnsi="Times New Roman" w:cs="Times New Roman"/>
          <w:i/>
          <w:lang w:eastAsia="lt-LT"/>
        </w:rPr>
        <w:t>Žindymo laikotarpis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Duomenys neaktualūs (vaisto vartojama, jei yra tiesiogiai gyvybei pavojinga būklė).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Vairavimas ir mechanizmų valdymas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Duomenys neaktualūs (vaisto vartojama esant tiesiogiai gyvybei pavojingoms būklėms).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PPH sudėtyje yra natrio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metabisulfito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(E223) ir natrio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Retais atvejais gali sukelti sunkių padidėjusio jautrumo reakcijų ir bronchų spazmą.</w:t>
      </w:r>
    </w:p>
    <w:p w:rsidR="005001A5" w:rsidRDefault="005001A5" w:rsidP="005001A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0137E4">
        <w:rPr>
          <w:rFonts w:ascii="Times New Roman" w:eastAsia="Calibri" w:hAnsi="Times New Roman" w:cs="Times New Roman"/>
          <w:color w:val="000000"/>
        </w:rPr>
        <w:t>Šio vaistinio preparato 5 ml tirpalo yra 12,25 mg natrio</w:t>
      </w:r>
      <w:r>
        <w:rPr>
          <w:rFonts w:ascii="Times New Roman" w:eastAsia="Calibri" w:hAnsi="Times New Roman" w:cs="Times New Roman"/>
          <w:color w:val="000000"/>
        </w:rPr>
        <w:t xml:space="preserve"> (pagrindinės valgomosios druskos sudedamosios dalies)</w:t>
      </w:r>
      <w:r w:rsidRPr="000137E4">
        <w:rPr>
          <w:rFonts w:ascii="Times New Roman" w:eastAsia="Calibri" w:hAnsi="Times New Roman" w:cs="Times New Roman"/>
          <w:color w:val="000000"/>
        </w:rPr>
        <w:t>, tai atitinka 0,61</w:t>
      </w:r>
      <w:r>
        <w:rPr>
          <w:rFonts w:ascii="Times New Roman" w:eastAsia="Calibri" w:hAnsi="Times New Roman" w:cs="Times New Roman"/>
          <w:color w:val="000000"/>
        </w:rPr>
        <w:t> </w:t>
      </w:r>
      <w:r w:rsidRPr="000137E4">
        <w:rPr>
          <w:rFonts w:ascii="Times New Roman" w:eastAsia="Calibri" w:hAnsi="Times New Roman" w:cs="Times New Roman"/>
          <w:color w:val="000000"/>
        </w:rPr>
        <w:t>% didžiausios PSO rekomenduojamos paros normos suaugusiesiems</w:t>
      </w:r>
      <w:r>
        <w:rPr>
          <w:rFonts w:ascii="Times New Roman" w:eastAsia="Calibri" w:hAnsi="Times New Roman" w:cs="Times New Roman"/>
          <w:color w:val="000000"/>
        </w:rPr>
        <w:t>.</w:t>
      </w:r>
    </w:p>
    <w:p w:rsidR="005001A5" w:rsidRPr="000137E4" w:rsidRDefault="005001A5" w:rsidP="005001A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0137E4">
        <w:rPr>
          <w:rFonts w:ascii="Times New Roman" w:eastAsia="Calibri" w:hAnsi="Times New Roman" w:cs="Times New Roman"/>
          <w:color w:val="000000"/>
        </w:rPr>
        <w:t xml:space="preserve">Prieš vartojimą vaistinį preparatą reikia praskiesti (žr. </w:t>
      </w:r>
      <w:r>
        <w:rPr>
          <w:rFonts w:ascii="Times New Roman" w:eastAsia="Calibri" w:hAnsi="Times New Roman" w:cs="Times New Roman"/>
          <w:color w:val="000000"/>
        </w:rPr>
        <w:t>3</w:t>
      </w:r>
      <w:r w:rsidRPr="000137E4">
        <w:rPr>
          <w:rFonts w:ascii="Times New Roman" w:eastAsia="Calibri" w:hAnsi="Times New Roman" w:cs="Times New Roman"/>
          <w:color w:val="000000"/>
        </w:rPr>
        <w:t xml:space="preserve"> skyrių).</w:t>
      </w:r>
    </w:p>
    <w:p w:rsidR="005001A5" w:rsidRPr="00B045FE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137E4">
        <w:rPr>
          <w:rFonts w:ascii="Times New Roman" w:eastAsia="Calibri" w:hAnsi="Times New Roman" w:cs="Times New Roman"/>
          <w:color w:val="000000"/>
        </w:rPr>
        <w:t>Apskaičiuojant bendrą natrio kiekį praskiestame tirpale, turėtų būti atsižvelgta į bet kokį natrio kiekį skiediklyje. Išsami informacija apie natrio kiekį skiediklyje pateikta gamintojo pateiktoje produkto informacijoje</w:t>
      </w:r>
      <w:r>
        <w:rPr>
          <w:rFonts w:ascii="Times New Roman" w:eastAsia="Calibri" w:hAnsi="Times New Roman" w:cs="Times New Roman"/>
          <w:color w:val="000000"/>
        </w:rPr>
        <w:t>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3.</w:t>
      </w:r>
      <w:r>
        <w:rPr>
          <w:rFonts w:ascii="Times New Roman" w:eastAsia="Times New Roman" w:hAnsi="Times New Roman" w:cs="Times New Roman"/>
          <w:b/>
          <w:lang w:eastAsia="lt-LT"/>
        </w:rPr>
        <w:tab/>
        <w:t>Kaip vartoti</w:t>
      </w:r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 dozavimą nurodo gydytojas.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lt-LT"/>
        </w:rPr>
      </w:pPr>
      <w:r>
        <w:rPr>
          <w:rFonts w:ascii="Times New Roman" w:eastAsia="Times New Roman" w:hAnsi="Times New Roman" w:cs="Times New Roman"/>
          <w:u w:val="single"/>
          <w:lang w:eastAsia="lt-LT"/>
        </w:rPr>
        <w:t>Prieš vartojant vaistą būtina atskiesti.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Dopamine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PPH galima skiesti 5 % gliukozės infuziniu tirpalu arba 0,9 % natrio chlorido infuziniu tirpalu. Skiedimą galima atlikti stiklinėje, polietileninėje (MTPE) ar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polipropileninėje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(PP)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talpyklėje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Norint paruošti infuzinį tirpalą, reikia 100 mg – 800 mg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praskiesti skiedikliu (5 % gliukozės infuzinio tirpalo arba 0,9 % natrio chlorido infuzinio tirpalo) iki galutinio 250 ml tūrio. 1 ml tirpalo bus atitinkamai 400 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mikrogramų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– 3200 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mikrogramų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hidrochlorido. 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Vaisto skiedimas turi būti atliekamas kontroliuojamomis ir patvirtintomis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aseptinėmis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sąlygomis.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Paruošto vartoti tirpalo vartojimo laikas nurodytas pakuotės lapelio 5 skyriuje.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Dozavimas individualus. Jis priklauso nuo sveikatos būklės sunkumo ir organizmo reakcijos į gydymą. </w:t>
      </w:r>
    </w:p>
    <w:p w:rsidR="005001A5" w:rsidRDefault="005001A5" w:rsidP="005001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Pradžioje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infuzuojama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1–5 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 xml:space="preserve">g/kg kūno svorio per minutę. Vėliau kas 10 – 30 minučių dozę galima didinti 1 – 4 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 xml:space="preserve">g/kg kūno svorio per minutę. Didžiausia dozė yra 20–50 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>g/kg kūno svorio per minutę. Pageidaujamai būklei palaikyti daugumai pacientų pakanka mažesnės negu 20 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>g/kg kūno svorio/min. dozės.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Didesnės nei 50 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>g/kg kūno svorio per minutę dozės vartojamos tik tuo atveju, jei kraujotakos sutrikimas yra labai progresavęs.</w:t>
      </w:r>
    </w:p>
    <w:p w:rsidR="005001A5" w:rsidRDefault="005001A5" w:rsidP="005001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Infuzijos greitį būtina koreguoti taip, kad reakcija į gydymą taptų optimali. Pageidaujamai būklei palaikyti daugumai pacientų pakanka mažesnės negu 20 </w:t>
      </w:r>
      <w:r>
        <w:rPr>
          <w:rFonts w:ascii="Times New Roman" w:eastAsia="Times New Roman" w:hAnsi="Times New Roman" w:cs="Times New Roman"/>
          <w:lang w:eastAsia="lt-LT"/>
        </w:rPr>
        <w:sym w:font="Symbol" w:char="F06D"/>
      </w:r>
      <w:r>
        <w:rPr>
          <w:rFonts w:ascii="Times New Roman" w:eastAsia="Times New Roman" w:hAnsi="Times New Roman" w:cs="Times New Roman"/>
          <w:lang w:eastAsia="lt-LT"/>
        </w:rPr>
        <w:t>g/kg kūno svorio/min. dozės.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>
        <w:rPr>
          <w:rFonts w:ascii="Times New Roman" w:eastAsia="Times New Roman" w:hAnsi="Times New Roman" w:cs="Times New Roman"/>
          <w:i/>
          <w:lang w:eastAsia="lt-LT"/>
        </w:rPr>
        <w:t>Kepenų ir inkstų funkcijos sutrikimas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Rekomenduojama vartoti mažiausią veiksmingą dozę ir stebėti paciento būklę.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>
        <w:rPr>
          <w:rFonts w:ascii="Times New Roman" w:eastAsia="Times New Roman" w:hAnsi="Times New Roman" w:cs="Times New Roman"/>
          <w:i/>
          <w:lang w:eastAsia="lt-LT"/>
        </w:rPr>
        <w:t>Senyvi žmonės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Specifinių dozavimo rekomendacijų nėra, tačiau rekomenduojamas atidus paciento būklės stebėjimas.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Vartojimas vaikams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Duomenų apie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infuzijos saugumą ir veiksmingumą jaunesniems kaip 12 metų vaikams nėra.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 xml:space="preserve">Ką daryti pavartojus per didelę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 dozę?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Gali padidėti kraujo spaudimas. Kol paciento būklė nestabili, reikia arba vartoti mažesnę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dozę, arba jo vartojimą laikinai nutraukti. Kadangi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poveikis trumpas, paprastai papildomų priemonių imtis nereikia. Jei paciento būklė negerėja, rekomenduojama pavartoti trumpai veikiančių beta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adrenoblokatorių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pvz.,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fentolamino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4.</w:t>
      </w:r>
      <w:r>
        <w:rPr>
          <w:rFonts w:ascii="Times New Roman" w:eastAsia="Times New Roman" w:hAnsi="Times New Roman" w:cs="Times New Roman"/>
          <w:b/>
          <w:lang w:eastAsia="lt-LT"/>
        </w:rPr>
        <w:tab/>
        <w:t>Galimas šalutinis poveikis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Šis vaistas, kaip ir visi kiti, gali sukelti šalutinį poveikį, nors jis pasireiškia ne visiems žmonėms.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</w:p>
    <w:p w:rsidR="005001A5" w:rsidRPr="00065703" w:rsidRDefault="005001A5" w:rsidP="005001A5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065703">
        <w:rPr>
          <w:rFonts w:ascii="Times New Roman" w:eastAsia="Calibri" w:hAnsi="Times New Roman" w:cs="Times New Roman"/>
          <w:b/>
          <w:bCs/>
        </w:rPr>
        <w:t>Šalutinio poveikio reiškiniai, kurių dažnis nežinomas (negali būti apskaičiuotas pagal turimus duomenis)</w:t>
      </w:r>
      <w:r>
        <w:rPr>
          <w:rFonts w:ascii="Times New Roman" w:eastAsia="Calibri" w:hAnsi="Times New Roman" w:cs="Times New Roman"/>
          <w:b/>
          <w:bCs/>
        </w:rPr>
        <w:t>: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Neramumas, baimė.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Galvos skausmas, pirštų drebėjimas.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i/>
          <w:noProof/>
          <w:kern w:val="28"/>
          <w:lang w:val="fi-FI"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Vyzdžių išsiplėtimas.</w:t>
      </w:r>
      <w:r>
        <w:rPr>
          <w:rFonts w:ascii="Times New Roman" w:eastAsia="Times New Roman" w:hAnsi="Times New Roman" w:cs="Times New Roman"/>
          <w:i/>
          <w:noProof/>
          <w:kern w:val="28"/>
          <w:lang w:val="fi-FI" w:eastAsia="lt-LT"/>
        </w:rPr>
        <w:t xml:space="preserve"> 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kern w:val="28"/>
          <w:lang w:eastAsia="lt-LT"/>
        </w:rPr>
        <w:t>Ektopinis</w:t>
      </w:r>
      <w:proofErr w:type="spellEnd"/>
      <w:r>
        <w:rPr>
          <w:rFonts w:ascii="Times New Roman" w:eastAsia="Times New Roman" w:hAnsi="Times New Roman" w:cs="Times New Roman"/>
          <w:kern w:val="28"/>
          <w:lang w:eastAsia="lt-LT"/>
        </w:rPr>
        <w:t xml:space="preserve"> širdies ritmas (netikėti širdies susitraukimai), širdies plakimo padažnėjimas, krūtinės angina, stiprus širdies plakimas, laidumo sutrikimas skilveliuose, retas širdies plakimas, elektrokardiogramos pokytis (QRS komplekso pailgėjimas), širdies raumens kraujotakos sutrikimas, </w:t>
      </w:r>
      <w:proofErr w:type="spellStart"/>
      <w:r>
        <w:rPr>
          <w:rFonts w:ascii="Times New Roman" w:eastAsia="Times New Roman" w:hAnsi="Times New Roman" w:cs="Times New Roman"/>
          <w:kern w:val="28"/>
          <w:lang w:eastAsia="lt-LT"/>
        </w:rPr>
        <w:t>krauspūdžio</w:t>
      </w:r>
      <w:proofErr w:type="spellEnd"/>
      <w:r>
        <w:rPr>
          <w:rFonts w:ascii="Times New Roman" w:eastAsia="Times New Roman" w:hAnsi="Times New Roman" w:cs="Times New Roman"/>
          <w:kern w:val="28"/>
          <w:lang w:eastAsia="lt-LT"/>
        </w:rPr>
        <w:t xml:space="preserve"> padidėjimas kairiajame skilvelyje širdies raumens atsipalaidavimo pabaigoje. Buvo pavienių labai sunkaus skilvelių ritmo sutrikimo atvejų.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Kraujospūdžio padidėjimas (kartais – sumažėjimas), kraujagyslių susiaurėjimas, gangrena pacientams, kuriems jau buvo kraujagyslių liga.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Dusulys.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i/>
          <w:noProof/>
          <w:kern w:val="28"/>
          <w:lang w:val="pt-PT"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Pykinimas, vėmimas.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noProof/>
          <w:kern w:val="28"/>
          <w:lang w:val="pt-PT" w:eastAsia="lt-LT"/>
        </w:rPr>
      </w:pPr>
      <w:r>
        <w:rPr>
          <w:rFonts w:ascii="Times New Roman" w:eastAsia="Times New Roman" w:hAnsi="Times New Roman" w:cs="Times New Roman"/>
          <w:noProof/>
          <w:kern w:val="28"/>
          <w:lang w:val="pt-PT" w:eastAsia="lt-LT"/>
        </w:rPr>
        <w:t>Didelis išskiriamo šlapimo kiekis.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Odos plaukų pasišiaušimas,</w:t>
      </w:r>
      <w:r>
        <w:rPr>
          <w:rFonts w:ascii="Times New Roman" w:eastAsia="Times New Roman" w:hAnsi="Times New Roman" w:cs="Times New Roman"/>
          <w:i/>
          <w:noProof/>
          <w:kern w:val="28"/>
          <w:lang w:val="pt-PT" w:eastAsia="lt-LT"/>
        </w:rPr>
        <w:t xml:space="preserve"> </w:t>
      </w:r>
      <w:r>
        <w:rPr>
          <w:rFonts w:ascii="Times New Roman" w:eastAsia="Times New Roman" w:hAnsi="Times New Roman" w:cs="Times New Roman"/>
          <w:kern w:val="28"/>
          <w:lang w:eastAsia="lt-LT"/>
        </w:rPr>
        <w:t>audinių nekrozė vaistui patekus šalia venos.</w:t>
      </w:r>
    </w:p>
    <w:p w:rsidR="005001A5" w:rsidRDefault="005001A5" w:rsidP="005001A5">
      <w:pPr>
        <w:numPr>
          <w:ilvl w:val="0"/>
          <w:numId w:val="2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28"/>
          <w:lang w:eastAsia="lt-LT"/>
        </w:rPr>
      </w:pPr>
      <w:r>
        <w:rPr>
          <w:rFonts w:ascii="Times New Roman" w:eastAsia="Times New Roman" w:hAnsi="Times New Roman" w:cs="Times New Roman"/>
          <w:kern w:val="28"/>
          <w:lang w:eastAsia="lt-LT"/>
        </w:rPr>
        <w:t>Azoto kiekio kraujyje padidėjimas.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noProof/>
          <w:szCs w:val="24"/>
          <w:lang w:eastAsia="lt-LT"/>
        </w:rPr>
        <w:t>Pranešimas apie šalutinį poveikį</w:t>
      </w:r>
    </w:p>
    <w:p w:rsidR="005001A5" w:rsidRPr="00A835A4" w:rsidRDefault="005001A5" w:rsidP="005001A5">
      <w:pPr>
        <w:tabs>
          <w:tab w:val="left" w:pos="567"/>
        </w:tabs>
        <w:spacing w:line="260" w:lineRule="exact"/>
        <w:ind w:right="-1"/>
        <w:rPr>
          <w:rFonts w:ascii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zCs w:val="24"/>
          <w:lang w:eastAsia="lt-LT"/>
        </w:rPr>
        <w:t>Jeigu pasireiškė šalutinis poveikis, įskaitant šiame lapelyje nenurodytą, pasakykite gydytojui arba vaistininkui</w:t>
      </w:r>
      <w:r>
        <w:rPr>
          <w:rFonts w:ascii="Times New Roman" w:eastAsia="Times New Roman" w:hAnsi="Times New Roman" w:cs="Times New Roman"/>
          <w:lang w:eastAsia="lt-LT"/>
        </w:rPr>
        <w:t>.</w:t>
      </w:r>
      <w:r>
        <w:rPr>
          <w:rFonts w:ascii="Times New Roman" w:eastAsia="Times New Roman" w:hAnsi="Times New Roman" w:cs="Times New Roman"/>
          <w:noProof/>
          <w:szCs w:val="24"/>
          <w:lang w:eastAsia="lt-LT"/>
        </w:rPr>
        <w:t xml:space="preserve"> </w:t>
      </w:r>
      <w:r w:rsidRPr="00065703">
        <w:rPr>
          <w:rFonts w:ascii="Times New Roman" w:hAnsi="Times New Roman" w:cs="Times New Roman"/>
          <w:snapToGrid w:val="0"/>
        </w:rPr>
        <w:t xml:space="preserve"> Pranešimą apie šalutinį poveikį galite pateikti šiais būdais: tiesiogiai užpildant formą </w:t>
      </w:r>
      <w:r w:rsidRPr="00A835A4">
        <w:rPr>
          <w:rFonts w:ascii="Times New Roman" w:hAnsi="Times New Roman" w:cs="Times New Roman"/>
          <w:snapToGrid w:val="0"/>
        </w:rPr>
        <w:t xml:space="preserve">internetu Valstybinės vaistų kontrolės tarnybos prie Lietuvos Respublikos sveikatos apsaugos ministerijos Vaistinių preparatų informacinėje sistemoje </w:t>
      </w:r>
      <w:hyperlink r:id="rId5" w:history="1">
        <w:r w:rsidRPr="00A835A4">
          <w:rPr>
            <w:rFonts w:ascii="Times New Roman" w:hAnsi="Times New Roman" w:cs="Times New Roman"/>
            <w:snapToGrid w:val="0"/>
            <w:u w:val="single"/>
          </w:rPr>
          <w:t>https://vapris.vvkt.lt/vvkt-web/public/nrv</w:t>
        </w:r>
      </w:hyperlink>
      <w:r w:rsidRPr="00A835A4">
        <w:rPr>
          <w:rFonts w:ascii="Times New Roman" w:hAnsi="Times New Roman" w:cs="Times New Roman"/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A835A4">
          <w:rPr>
            <w:rFonts w:ascii="Times New Roman" w:hAnsi="Times New Roman" w:cs="Times New Roman"/>
            <w:snapToGrid w:val="0"/>
            <w:u w:val="single"/>
          </w:rPr>
          <w:t>https://www.vvkt.lt/index.php?4004286486</w:t>
        </w:r>
      </w:hyperlink>
      <w:r w:rsidRPr="00A835A4">
        <w:rPr>
          <w:rFonts w:ascii="Times New Roman" w:hAnsi="Times New Roman" w:cs="Times New Roman"/>
          <w:snapToGrid w:val="0"/>
        </w:rPr>
        <w:t xml:space="preserve">, ir atsiunčiant elektroniniu paštu (adresu </w:t>
      </w:r>
      <w:hyperlink r:id="rId7" w:history="1">
        <w:r w:rsidRPr="00A835A4">
          <w:rPr>
            <w:rFonts w:ascii="Times New Roman" w:hAnsi="Times New Roman" w:cs="Times New Roman"/>
            <w:snapToGrid w:val="0"/>
            <w:u w:val="single"/>
          </w:rPr>
          <w:t>NepageidaujamaR@vvkt.lt</w:t>
        </w:r>
      </w:hyperlink>
      <w:r w:rsidRPr="00A835A4">
        <w:rPr>
          <w:rFonts w:ascii="Times New Roman" w:hAnsi="Times New Roman" w:cs="Times New Roman"/>
          <w:snapToGrid w:val="0"/>
        </w:rPr>
        <w:t>) arba nemokamu telefonu 8 800 73 568. Pranešdami apie šalutinį poveikį galite mums padėti gauti daugiau informacijos apie šio vaisto saugumą.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5.</w:t>
      </w:r>
      <w:r>
        <w:rPr>
          <w:rFonts w:ascii="Times New Roman" w:eastAsia="Times New Roman" w:hAnsi="Times New Roman" w:cs="Times New Roman"/>
          <w:b/>
          <w:lang w:eastAsia="lt-LT"/>
        </w:rPr>
        <w:tab/>
        <w:t>Kaip laikyti</w:t>
      </w:r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PPH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Laikyti ne aukštesnėje kaip 25 </w:t>
      </w:r>
      <w:r>
        <w:rPr>
          <w:rFonts w:ascii="Times New Roman" w:eastAsia="Times New Roman" w:hAnsi="Times New Roman" w:cs="Times New Roman"/>
          <w:lang w:eastAsia="lt-LT"/>
        </w:rPr>
        <w:sym w:font="Symbol" w:char="F0B0"/>
      </w:r>
      <w:r>
        <w:rPr>
          <w:rFonts w:ascii="Times New Roman" w:eastAsia="Times New Roman" w:hAnsi="Times New Roman" w:cs="Times New Roman"/>
          <w:lang w:eastAsia="lt-LT"/>
        </w:rPr>
        <w:t>C temperatūroje.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Ampules laikyti išorinėje dėžutėje, kad vaistas būtų apsaugotas nuo šviesos.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zCs w:val="24"/>
          <w:lang w:eastAsia="lt-LT"/>
        </w:rPr>
      </w:pPr>
      <w:r>
        <w:rPr>
          <w:rFonts w:ascii="Times New Roman" w:eastAsia="Times New Roman" w:hAnsi="Times New Roman" w:cs="Times New Roman"/>
          <w:noProof/>
          <w:szCs w:val="24"/>
          <w:lang w:eastAsia="lt-LT"/>
        </w:rPr>
        <w:t>Šį vaistą laikykite vaikams nepastebimoje ir nepasiekiamoje vietoje.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Ant ampulės ir dėžutės po „EXP“ nurodytam tinkamumo laikui pasibaigus, šio vaisto vartoti negalima. Vaistas tinkamas vartoti iki paskutinės nurodyto mėnesio dienos.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Paruošto tirpalo tinkamumo laikas: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Cheminiu ir fiziniu atžvilgiu vartojimui paruoštas vaistas lieka stabilus 24 val. 25 °C temperatūroje.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Mikrobiologiniu požiūriu, praskiedus vaistą reikia vartoti nedelsiant. Jei jis tuoj pat nesuvartojamas, už tolesnį jo tinkamumo laiką ir laikymo iki vartojimo sąlygas atsako vartotojas.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Jei reikia, paruoštą tirpalą galima laikyti ne ilgiau nei 24 valandas 25 °C temperatūroje tuo atveju, jeigu skiedimas buvo atliktas kontroliuojamomis ir patvirtintomis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aseptinėmis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sąlygomis. Bet koks nesuvartotas tirpalo kiekis po 24 valandų turi būti sunaikintas. Praskiesto tirpalo nuo šviesos saugoti nereikia.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6.</w:t>
      </w:r>
      <w:r>
        <w:rPr>
          <w:rFonts w:ascii="Times New Roman" w:eastAsia="Times New Roman" w:hAnsi="Times New Roman" w:cs="Times New Roman"/>
          <w:b/>
          <w:lang w:eastAsia="lt-LT"/>
        </w:rPr>
        <w:tab/>
        <w:t>Pakuotės turinys ir kita informacija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PPH sudėtis</w:t>
      </w:r>
    </w:p>
    <w:p w:rsidR="005001A5" w:rsidRDefault="005001A5" w:rsidP="005001A5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-</w:t>
      </w:r>
      <w:r>
        <w:rPr>
          <w:rFonts w:ascii="Times New Roman" w:eastAsia="Times New Roman" w:hAnsi="Times New Roman" w:cs="Times New Roman"/>
          <w:lang w:eastAsia="lt-LT"/>
        </w:rPr>
        <w:tab/>
        <w:t xml:space="preserve">Veiklioji medžiaga yra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hidrochloridas. Kiekviename ml yra 40 mg; kiekvienoje ampulėje – 200 mg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dopamino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hidrochlorido.</w:t>
      </w:r>
    </w:p>
    <w:p w:rsidR="005001A5" w:rsidRDefault="005001A5" w:rsidP="005001A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-</w:t>
      </w:r>
      <w:r>
        <w:rPr>
          <w:rFonts w:ascii="Times New Roman" w:eastAsia="Times New Roman" w:hAnsi="Times New Roman" w:cs="Times New Roman"/>
          <w:lang w:eastAsia="lt-LT"/>
        </w:rPr>
        <w:tab/>
        <w:t xml:space="preserve">Pagalbinės medžiagos yra natrio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metabisulfitas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(E223),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dinatrio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edetatas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, injekcinis vanduo.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proofErr w:type="spellStart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>Dopamine</w:t>
      </w:r>
      <w:proofErr w:type="spellEnd"/>
      <w:r w:rsidRPr="001A576E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PPH išvaizda ir kiekis pakuotėje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Koncentratas infuziniam tirpalui yra bespalvis ar gelsvas, skaidrus.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Kartono dėžutėje yra 10 bespalvio stiklo ampulių po 5 ml sterilaus koncentrato.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</w:p>
    <w:p w:rsidR="005001A5" w:rsidRDefault="005001A5" w:rsidP="005001A5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Registruotojas ir gamintojas</w:t>
      </w:r>
    </w:p>
    <w:p w:rsidR="005001A5" w:rsidRPr="002E65E1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r w:rsidRPr="002E65E1">
        <w:rPr>
          <w:rFonts w:ascii="Times New Roman" w:eastAsia="Times New Roman" w:hAnsi="Times New Roman" w:cs="Times New Roman"/>
          <w:bCs/>
        </w:rPr>
        <w:t>Registruotojas</w:t>
      </w:r>
    </w:p>
    <w:p w:rsidR="005001A5" w:rsidRPr="007C3E7D" w:rsidRDefault="005001A5" w:rsidP="005001A5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proofErr w:type="spellStart"/>
      <w:r w:rsidRPr="007C3E7D">
        <w:rPr>
          <w:rFonts w:ascii="Times New Roman" w:eastAsia="Calibri" w:hAnsi="Times New Roman" w:cs="Times New Roman"/>
          <w:lang w:eastAsia="pl-PL"/>
        </w:rPr>
        <w:t>Zakłady</w:t>
      </w:r>
      <w:proofErr w:type="spellEnd"/>
      <w:r w:rsidRPr="007C3E7D">
        <w:rPr>
          <w:rFonts w:ascii="Times New Roman" w:eastAsia="Calibri" w:hAnsi="Times New Roman" w:cs="Times New Roman"/>
          <w:lang w:eastAsia="pl-PL"/>
        </w:rPr>
        <w:t xml:space="preserve"> </w:t>
      </w:r>
      <w:proofErr w:type="spellStart"/>
      <w:r w:rsidRPr="007C3E7D">
        <w:rPr>
          <w:rFonts w:ascii="Times New Roman" w:eastAsia="Calibri" w:hAnsi="Times New Roman" w:cs="Times New Roman"/>
          <w:lang w:eastAsia="pl-PL"/>
        </w:rPr>
        <w:t>Farmaceutyczne</w:t>
      </w:r>
      <w:proofErr w:type="spellEnd"/>
      <w:r w:rsidRPr="007C3E7D">
        <w:rPr>
          <w:rFonts w:ascii="Times New Roman" w:eastAsia="Calibri" w:hAnsi="Times New Roman" w:cs="Times New Roman"/>
          <w:lang w:eastAsia="pl-PL"/>
        </w:rPr>
        <w:t xml:space="preserve"> POLPHARMA S.A.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proofErr w:type="spellStart"/>
      <w:r w:rsidRPr="007C3E7D">
        <w:rPr>
          <w:rFonts w:ascii="Times New Roman" w:eastAsia="Calibri" w:hAnsi="Times New Roman" w:cs="Times New Roman"/>
          <w:lang w:eastAsia="pl-PL"/>
        </w:rPr>
        <w:t>ul</w:t>
      </w:r>
      <w:proofErr w:type="spellEnd"/>
      <w:r w:rsidRPr="007C3E7D">
        <w:rPr>
          <w:rFonts w:ascii="Times New Roman" w:eastAsia="Calibri" w:hAnsi="Times New Roman" w:cs="Times New Roman"/>
          <w:lang w:eastAsia="pl-PL"/>
        </w:rPr>
        <w:t xml:space="preserve">. </w:t>
      </w:r>
      <w:proofErr w:type="spellStart"/>
      <w:r w:rsidRPr="007C3E7D">
        <w:rPr>
          <w:rFonts w:ascii="Times New Roman" w:eastAsia="Calibri" w:hAnsi="Times New Roman" w:cs="Times New Roman"/>
          <w:lang w:eastAsia="pl-PL"/>
        </w:rPr>
        <w:t>Pelplińska</w:t>
      </w:r>
      <w:proofErr w:type="spellEnd"/>
      <w:r w:rsidRPr="007C3E7D">
        <w:rPr>
          <w:rFonts w:ascii="Times New Roman" w:eastAsia="Calibri" w:hAnsi="Times New Roman" w:cs="Times New Roman"/>
          <w:lang w:eastAsia="pl-PL"/>
        </w:rPr>
        <w:t xml:space="preserve"> 19</w:t>
      </w:r>
      <w:r>
        <w:rPr>
          <w:rFonts w:ascii="Times New Roman" w:eastAsia="Calibri" w:hAnsi="Times New Roman" w:cs="Times New Roman"/>
          <w:lang w:eastAsia="pl-PL"/>
        </w:rPr>
        <w:t>;</w:t>
      </w:r>
    </w:p>
    <w:p w:rsidR="005001A5" w:rsidRPr="00AB4E2D" w:rsidRDefault="005001A5" w:rsidP="005001A5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C3E7D">
        <w:rPr>
          <w:rFonts w:ascii="Times New Roman" w:eastAsia="Calibri" w:hAnsi="Times New Roman" w:cs="Times New Roman"/>
          <w:lang w:eastAsia="pl-PL"/>
        </w:rPr>
        <w:t xml:space="preserve">83-200 </w:t>
      </w:r>
      <w:proofErr w:type="spellStart"/>
      <w:r w:rsidRPr="007C3E7D">
        <w:rPr>
          <w:rFonts w:ascii="Times New Roman" w:eastAsia="Calibri" w:hAnsi="Times New Roman" w:cs="Times New Roman"/>
          <w:lang w:eastAsia="pl-PL"/>
        </w:rPr>
        <w:t>Starogard</w:t>
      </w:r>
      <w:proofErr w:type="spellEnd"/>
      <w:r w:rsidRPr="007C3E7D">
        <w:rPr>
          <w:rFonts w:ascii="Times New Roman" w:eastAsia="Calibri" w:hAnsi="Times New Roman" w:cs="Times New Roman"/>
          <w:lang w:eastAsia="pl-PL"/>
        </w:rPr>
        <w:t xml:space="preserve"> </w:t>
      </w:r>
      <w:proofErr w:type="spellStart"/>
      <w:r w:rsidRPr="007C3E7D">
        <w:rPr>
          <w:rFonts w:ascii="Times New Roman" w:eastAsia="Calibri" w:hAnsi="Times New Roman" w:cs="Times New Roman"/>
          <w:lang w:eastAsia="pl-PL"/>
        </w:rPr>
        <w:t>Gdański</w:t>
      </w:r>
      <w:proofErr w:type="spellEnd"/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r>
        <w:rPr>
          <w:rFonts w:ascii="Times New Roman" w:eastAsia="Times New Roman" w:hAnsi="Times New Roman" w:cs="Times New Roman"/>
          <w:spacing w:val="4"/>
          <w:lang w:eastAsia="lt-LT"/>
        </w:rPr>
        <w:t>Lenkija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Pr="002E65E1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E65E1">
        <w:rPr>
          <w:rFonts w:ascii="Times New Roman" w:eastAsia="Times New Roman" w:hAnsi="Times New Roman" w:cs="Times New Roman"/>
          <w:bCs/>
        </w:rPr>
        <w:t>Gamintojas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Warszawskie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Zakłady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Farmaceutyczne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Polfa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 S.A.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ul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Karolkowa</w:t>
      </w:r>
      <w:proofErr w:type="spellEnd"/>
      <w:r>
        <w:rPr>
          <w:rFonts w:ascii="Times New Roman" w:eastAsia="Times New Roman" w:hAnsi="Times New Roman" w:cs="Times New Roman"/>
          <w:spacing w:val="4"/>
          <w:lang w:eastAsia="lt-LT"/>
        </w:rPr>
        <w:t xml:space="preserve"> 22/24;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r>
        <w:rPr>
          <w:rFonts w:ascii="Times New Roman" w:eastAsia="Times New Roman" w:hAnsi="Times New Roman" w:cs="Times New Roman"/>
          <w:spacing w:val="4"/>
          <w:lang w:eastAsia="lt-LT"/>
        </w:rPr>
        <w:t xml:space="preserve">01-207 </w:t>
      </w:r>
      <w:proofErr w:type="spellStart"/>
      <w:r>
        <w:rPr>
          <w:rFonts w:ascii="Times New Roman" w:eastAsia="Times New Roman" w:hAnsi="Times New Roman" w:cs="Times New Roman"/>
          <w:spacing w:val="4"/>
          <w:lang w:eastAsia="lt-LT"/>
        </w:rPr>
        <w:t>Warszawa</w:t>
      </w:r>
      <w:proofErr w:type="spellEnd"/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r>
        <w:rPr>
          <w:rFonts w:ascii="Times New Roman" w:eastAsia="Times New Roman" w:hAnsi="Times New Roman" w:cs="Times New Roman"/>
          <w:spacing w:val="4"/>
          <w:lang w:eastAsia="lt-LT"/>
        </w:rPr>
        <w:t>Lenkija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Pr="00262EED" w:rsidRDefault="005001A5" w:rsidP="005001A5">
      <w:pPr>
        <w:spacing w:after="0" w:line="240" w:lineRule="auto"/>
        <w:rPr>
          <w:rFonts w:ascii="Times New Roman" w:hAnsi="Times New Roman" w:cs="Times New Roman"/>
          <w:highlight w:val="lightGray"/>
        </w:rPr>
      </w:pPr>
      <w:proofErr w:type="spellStart"/>
      <w:r w:rsidRPr="00262EED">
        <w:rPr>
          <w:rFonts w:ascii="Times New Roman" w:hAnsi="Times New Roman" w:cs="Times New Roman"/>
          <w:highlight w:val="lightGray"/>
        </w:rPr>
        <w:t>Zakłady</w:t>
      </w:r>
      <w:proofErr w:type="spellEnd"/>
      <w:r w:rsidRPr="00262EED">
        <w:rPr>
          <w:rFonts w:ascii="Times New Roman" w:hAnsi="Times New Roman" w:cs="Times New Roman"/>
          <w:highlight w:val="lightGray"/>
        </w:rPr>
        <w:t xml:space="preserve"> </w:t>
      </w:r>
      <w:proofErr w:type="spellStart"/>
      <w:r w:rsidRPr="00262EED">
        <w:rPr>
          <w:rFonts w:ascii="Times New Roman" w:hAnsi="Times New Roman" w:cs="Times New Roman"/>
          <w:highlight w:val="lightGray"/>
        </w:rPr>
        <w:t>Farmaceutyczne</w:t>
      </w:r>
      <w:proofErr w:type="spellEnd"/>
      <w:r w:rsidRPr="00262EED">
        <w:rPr>
          <w:rFonts w:ascii="Times New Roman" w:hAnsi="Times New Roman" w:cs="Times New Roman"/>
          <w:highlight w:val="lightGray"/>
        </w:rPr>
        <w:t xml:space="preserve"> POLPHARMA S</w:t>
      </w:r>
      <w:r>
        <w:rPr>
          <w:rFonts w:ascii="Times New Roman" w:hAnsi="Times New Roman" w:cs="Times New Roman"/>
          <w:highlight w:val="lightGray"/>
        </w:rPr>
        <w:t>.</w:t>
      </w:r>
      <w:r w:rsidRPr="00262EED">
        <w:rPr>
          <w:rFonts w:ascii="Times New Roman" w:hAnsi="Times New Roman" w:cs="Times New Roman"/>
          <w:highlight w:val="lightGray"/>
        </w:rPr>
        <w:t>A</w:t>
      </w:r>
      <w:r>
        <w:rPr>
          <w:rFonts w:ascii="Times New Roman" w:hAnsi="Times New Roman" w:cs="Times New Roman"/>
          <w:highlight w:val="lightGray"/>
        </w:rPr>
        <w:t>.</w:t>
      </w:r>
    </w:p>
    <w:p w:rsidR="005001A5" w:rsidRPr="00262EED" w:rsidRDefault="005001A5" w:rsidP="005001A5">
      <w:pPr>
        <w:numPr>
          <w:ilvl w:val="12"/>
          <w:numId w:val="0"/>
        </w:numPr>
        <w:spacing w:after="0" w:line="240" w:lineRule="auto"/>
        <w:rPr>
          <w:rFonts w:ascii="Times New Roman" w:hAnsi="Times New Roman" w:cs="Times New Roman"/>
          <w:highlight w:val="lightGray"/>
        </w:rPr>
      </w:pPr>
      <w:proofErr w:type="spellStart"/>
      <w:r w:rsidRPr="00262EED">
        <w:rPr>
          <w:rFonts w:ascii="Times New Roman" w:hAnsi="Times New Roman" w:cs="Times New Roman"/>
          <w:highlight w:val="lightGray"/>
        </w:rPr>
        <w:t>ul</w:t>
      </w:r>
      <w:proofErr w:type="spellEnd"/>
      <w:r w:rsidRPr="00262EED">
        <w:rPr>
          <w:rFonts w:ascii="Times New Roman" w:hAnsi="Times New Roman" w:cs="Times New Roman"/>
          <w:highlight w:val="lightGray"/>
        </w:rPr>
        <w:t xml:space="preserve">. </w:t>
      </w:r>
      <w:proofErr w:type="spellStart"/>
      <w:r w:rsidRPr="00262EED">
        <w:rPr>
          <w:rFonts w:ascii="Times New Roman" w:hAnsi="Times New Roman" w:cs="Times New Roman"/>
          <w:highlight w:val="lightGray"/>
        </w:rPr>
        <w:t>Pelplińska</w:t>
      </w:r>
      <w:proofErr w:type="spellEnd"/>
      <w:r w:rsidRPr="00262EED">
        <w:rPr>
          <w:rFonts w:ascii="Times New Roman" w:hAnsi="Times New Roman" w:cs="Times New Roman"/>
          <w:highlight w:val="lightGray"/>
        </w:rPr>
        <w:t xml:space="preserve"> 19;</w:t>
      </w:r>
    </w:p>
    <w:p w:rsidR="005001A5" w:rsidRPr="00262EED" w:rsidRDefault="005001A5" w:rsidP="005001A5">
      <w:pPr>
        <w:numPr>
          <w:ilvl w:val="12"/>
          <w:numId w:val="0"/>
        </w:numPr>
        <w:spacing w:after="0" w:line="240" w:lineRule="auto"/>
        <w:rPr>
          <w:rFonts w:ascii="Times New Roman" w:hAnsi="Times New Roman" w:cs="Times New Roman"/>
          <w:highlight w:val="lightGray"/>
        </w:rPr>
      </w:pPr>
      <w:r w:rsidRPr="00262EED">
        <w:rPr>
          <w:rFonts w:ascii="Times New Roman" w:hAnsi="Times New Roman" w:cs="Times New Roman"/>
          <w:highlight w:val="lightGray"/>
        </w:rPr>
        <w:t xml:space="preserve">83-200 </w:t>
      </w:r>
      <w:proofErr w:type="spellStart"/>
      <w:r w:rsidRPr="00262EED">
        <w:rPr>
          <w:rFonts w:ascii="Times New Roman" w:hAnsi="Times New Roman" w:cs="Times New Roman"/>
          <w:highlight w:val="lightGray"/>
        </w:rPr>
        <w:t>Starogard</w:t>
      </w:r>
      <w:proofErr w:type="spellEnd"/>
      <w:r w:rsidRPr="00262EED">
        <w:rPr>
          <w:rFonts w:ascii="Times New Roman" w:hAnsi="Times New Roman" w:cs="Times New Roman"/>
          <w:highlight w:val="lightGray"/>
        </w:rPr>
        <w:t xml:space="preserve"> </w:t>
      </w:r>
      <w:proofErr w:type="spellStart"/>
      <w:r w:rsidRPr="00262EED">
        <w:rPr>
          <w:rFonts w:ascii="Times New Roman" w:hAnsi="Times New Roman" w:cs="Times New Roman"/>
          <w:highlight w:val="lightGray"/>
        </w:rPr>
        <w:t>Gdański</w:t>
      </w:r>
      <w:proofErr w:type="spellEnd"/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pacing w:val="4"/>
          <w:lang w:eastAsia="lt-LT"/>
        </w:rPr>
      </w:pPr>
      <w:r w:rsidRPr="00262EED">
        <w:rPr>
          <w:rFonts w:ascii="Times New Roman" w:eastAsia="Times New Roman" w:hAnsi="Times New Roman" w:cs="Times New Roman"/>
          <w:spacing w:val="4"/>
          <w:highlight w:val="lightGray"/>
          <w:lang w:eastAsia="lt-LT"/>
        </w:rPr>
        <w:t>Lenkija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Jeigu apie šį vaistą norite sužinoti daugiau, kreipkitės į vietinį registruotojo atstovą.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POLPHARMA S.A. atstovybė 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E. Ožeškienės g. 18A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LT-44254 Kaunas</w:t>
      </w:r>
    </w:p>
    <w:p w:rsidR="005001A5" w:rsidRDefault="005001A5" w:rsidP="005001A5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Tel. +370 37 325131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 xml:space="preserve">Šis pakuotės lapelis paskutinį kartą </w:t>
      </w:r>
      <w:r>
        <w:rPr>
          <w:rFonts w:ascii="Times New Roman" w:eastAsia="Times New Roman" w:hAnsi="Times New Roman" w:cs="Times New Roman"/>
          <w:b/>
          <w:szCs w:val="20"/>
          <w:lang w:eastAsia="lt-LT"/>
        </w:rPr>
        <w:t>peržiūrėtas 2024-03-01.</w:t>
      </w: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:rsidR="005001A5" w:rsidRDefault="005001A5" w:rsidP="005001A5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lt-LT"/>
        </w:rPr>
      </w:pPr>
      <w:r>
        <w:rPr>
          <w:rFonts w:ascii="Times New Roman" w:eastAsia="Times New Roman" w:hAnsi="Times New Roman" w:cs="Times New Roman"/>
          <w:szCs w:val="20"/>
          <w:lang w:eastAsia="lt-LT"/>
        </w:rPr>
        <w:t xml:space="preserve">Išsami informacija apie šį </w:t>
      </w:r>
      <w:r>
        <w:rPr>
          <w:rFonts w:ascii="Times New Roman" w:eastAsia="Times New Roman" w:hAnsi="Times New Roman" w:cs="Times New Roman"/>
          <w:szCs w:val="24"/>
          <w:lang w:eastAsia="lt-LT"/>
        </w:rPr>
        <w:t>vaistą</w:t>
      </w:r>
      <w:r>
        <w:rPr>
          <w:rFonts w:ascii="Times New Roman" w:eastAsia="Times New Roman" w:hAnsi="Times New Roman" w:cs="Times New Roman"/>
          <w:szCs w:val="20"/>
          <w:lang w:eastAsia="lt-LT"/>
        </w:rPr>
        <w:t xml:space="preserve"> pateikiama Valstybinės vaistų kontrolės tarnybos prie Lietuvos Respublikos sveikatos apsaugos ministerijos tinklalapyje</w:t>
      </w:r>
      <w:r>
        <w:rPr>
          <w:rFonts w:ascii="Times New Roman" w:eastAsia="Times New Roman" w:hAnsi="Times New Roman" w:cs="Times New Roman"/>
          <w:i/>
          <w:szCs w:val="24"/>
          <w:lang w:eastAsia="lt-LT"/>
        </w:rPr>
        <w:t xml:space="preserve"> </w:t>
      </w:r>
      <w:hyperlink r:id="rId8" w:history="1">
        <w:r>
          <w:rPr>
            <w:rStyle w:val="Hipersaitas"/>
            <w:rFonts w:ascii="Times New Roman" w:eastAsia="SimSun" w:hAnsi="Times New Roman" w:cs="Times New Roman"/>
            <w:color w:val="0000FF"/>
            <w:szCs w:val="20"/>
            <w:lang w:eastAsia="lt-LT"/>
          </w:rPr>
          <w:t>http://www.vvkt.lt/</w:t>
        </w:r>
      </w:hyperlink>
      <w:r>
        <w:rPr>
          <w:rFonts w:ascii="Times New Roman" w:eastAsia="Times New Roman" w:hAnsi="Times New Roman" w:cs="Times New Roman"/>
          <w:szCs w:val="20"/>
          <w:lang w:eastAsia="lt-LT"/>
        </w:rPr>
        <w:t>.</w:t>
      </w:r>
    </w:p>
    <w:p w:rsidR="00BA6577" w:rsidRDefault="00BA6577">
      <w:bookmarkStart w:id="0" w:name="_GoBack"/>
      <w:bookmarkEnd w:id="0"/>
    </w:p>
    <w:sectPr w:rsidR="00BA6577" w:rsidSect="00181364">
      <w:pgSz w:w="11910" w:h="16840"/>
      <w:pgMar w:top="1134" w:right="1418" w:bottom="1134" w:left="1418" w:header="567" w:footer="567" w:gutter="0"/>
      <w:cols w:space="1296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726EF"/>
    <w:multiLevelType w:val="hybridMultilevel"/>
    <w:tmpl w:val="A95EF0AA"/>
    <w:lvl w:ilvl="0" w:tplc="CA20CF3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D4C16"/>
    <w:multiLevelType w:val="hybridMultilevel"/>
    <w:tmpl w:val="45ECF16E"/>
    <w:lvl w:ilvl="0" w:tplc="00000002">
      <w:numFmt w:val="bullet"/>
      <w:lvlText w:val="-"/>
      <w:lvlJc w:val="left"/>
      <w:pPr>
        <w:ind w:left="720" w:hanging="360"/>
      </w:pPr>
      <w:rPr>
        <w:rFonts w:ascii="Liberation Serif" w:hAnsi="Liberation Serif" w:cs="Liberation Serif" w:hint="default"/>
        <w:szCs w:val="22"/>
        <w:lang w:val="lt-LT" w:eastAsia="lt-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1A5"/>
    <w:rsid w:val="00181364"/>
    <w:rsid w:val="003362C6"/>
    <w:rsid w:val="005001A5"/>
    <w:rsid w:val="00BA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270AD-87E2-41B3-AA3B-26BFC91B4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001A5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5001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7457</Words>
  <Characters>4252</Characters>
  <Application>Microsoft Office Word</Application>
  <DocSecurity>0</DocSecurity>
  <Lines>35</Lines>
  <Paragraphs>23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21</vt:i4>
      </vt:variant>
    </vt:vector>
  </HeadingPairs>
  <TitlesOfParts>
    <vt:vector size="22" baseType="lpstr">
      <vt:lpstr/>
      <vt:lpstr>    1.	Kas yra Dopamine PPH ir kam jis vartojamas</vt:lpstr>
      <vt:lpstr>    2.	Kas žinotina prieš vartojant Dopamine PPH</vt:lpstr>
      <vt:lpstr>        Dopamine PPH vartoti draudžiama:</vt:lpstr>
      <vt:lpstr>        Specialių atsargumo priemonių reikia:</vt:lpstr>
      <vt:lpstr>        Kiti vaistai ir Dopamine PPH</vt:lpstr>
      <vt:lpstr>        Nėštumas ir žindymo laikotarpis</vt:lpstr>
      <vt:lpstr>        Vairavimas ir mechanizmų valdymas</vt:lpstr>
      <vt:lpstr>    3.	Kaip vartoti Dopamine PPH</vt:lpstr>
      <vt:lpstr>        Ką daryti pavartojus per didelę Dopamine PPH dozę?</vt:lpstr>
      <vt:lpstr>    4.	Galimas šalutinis poveikis</vt:lpstr>
      <vt:lpstr>Galvos skausmas, pirštų drebėjimas.</vt:lpstr>
      <vt:lpstr>Vyzdžių išsiplėtimas. </vt:lpstr>
      <vt:lpstr>Ektopinis širdies ritmas (netikėti širdies susitraukimai), širdies plakimo padaž</vt:lpstr>
      <vt:lpstr>Kraujospūdžio padidėjimas (kartais – sumažėjimas), kraujagyslių susiaurėjimas, g</vt:lpstr>
      <vt:lpstr>Dusulys.</vt:lpstr>
      <vt:lpstr>Pykinimas, vėmimas.</vt:lpstr>
      <vt:lpstr>Didelis išskiriamo šlapimo kiekis.</vt:lpstr>
      <vt:lpstr>Odos plaukų pasišiaušimas, audinių nekrozė vaistui patekus šalia venos.</vt:lpstr>
      <vt:lpstr>Azoto kiekio kraujyje padidėjimas.</vt:lpstr>
      <vt:lpstr>    5.	Kaip laikyti Dopamine PPH</vt:lpstr>
      <vt:lpstr>    6.	Pakuotės turinys ir kita informacija</vt:lpstr>
    </vt:vector>
  </TitlesOfParts>
  <Company/>
  <LinksUpToDate>false</LinksUpToDate>
  <CharactersWithSpaces>11686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2024-02-28T14:18:00Z</dcterms:created>
  <dcterms:modified xsi:type="dcterms:W3CDTF">2024-02-28T14:19:00Z</dcterms:modified>
</cp:coreProperties>
</file>