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9AF02" w14:textId="77777777" w:rsidR="007E7678" w:rsidRPr="00156F90" w:rsidRDefault="007E7678" w:rsidP="007E7678">
      <w:pPr>
        <w:pStyle w:val="TTEMEASMCA"/>
        <w:rPr>
          <w:lang w:val="lt-LT"/>
        </w:rPr>
      </w:pPr>
      <w:bookmarkStart w:id="0" w:name="_Toc129243138"/>
      <w:bookmarkStart w:id="1" w:name="_Toc129243263"/>
      <w:r w:rsidRPr="00156F90">
        <w:rPr>
          <w:caps w:val="0"/>
          <w:lang w:val="lt-LT"/>
        </w:rPr>
        <w:t>Pakuotės lapelis</w:t>
      </w:r>
      <w:r w:rsidRPr="00156F90">
        <w:rPr>
          <w:lang w:val="lt-LT"/>
        </w:rPr>
        <w:t xml:space="preserve">: </w:t>
      </w:r>
      <w:bookmarkEnd w:id="0"/>
      <w:bookmarkEnd w:id="1"/>
      <w:r w:rsidRPr="00156F90">
        <w:rPr>
          <w:caps w:val="0"/>
          <w:lang w:val="lt-LT"/>
        </w:rPr>
        <w:t>informacija vartotojui</w:t>
      </w:r>
    </w:p>
    <w:p w14:paraId="167BAF3A" w14:textId="77777777" w:rsidR="007E7678" w:rsidRPr="00156F90" w:rsidRDefault="007E7678" w:rsidP="007E7678">
      <w:pPr>
        <w:pStyle w:val="BTEMEASMCA"/>
        <w:rPr>
          <w:noProof w:val="0"/>
        </w:rPr>
      </w:pPr>
    </w:p>
    <w:p w14:paraId="21FE1332" w14:textId="77777777" w:rsidR="007E7678" w:rsidRPr="00156F90" w:rsidRDefault="007E7678" w:rsidP="007E7678">
      <w:pPr>
        <w:pStyle w:val="BTbeEMEASMCA"/>
        <w:rPr>
          <w:b/>
          <w:bCs/>
        </w:rPr>
      </w:pPr>
      <w:r w:rsidRPr="00156F90">
        <w:rPr>
          <w:b/>
          <w:bCs/>
        </w:rPr>
        <w:t>Stoptussin 4 mg/100 mg tabletės</w:t>
      </w:r>
    </w:p>
    <w:p w14:paraId="2B3337D0" w14:textId="77777777" w:rsidR="007E7678" w:rsidRPr="00156F90" w:rsidRDefault="007E7678" w:rsidP="007E7678">
      <w:pPr>
        <w:pStyle w:val="BTbeEMEASMCA"/>
        <w:rPr>
          <w:b/>
        </w:rPr>
      </w:pPr>
      <w:r w:rsidRPr="00156F90">
        <w:t>Butamirato divandenilio citratas/Gvajfenezinas</w:t>
      </w:r>
    </w:p>
    <w:p w14:paraId="66F0E773" w14:textId="77777777" w:rsidR="007E7678" w:rsidRPr="00156F90" w:rsidRDefault="007E7678" w:rsidP="007E7678">
      <w:pPr>
        <w:pStyle w:val="BTEMEASMCA"/>
        <w:rPr>
          <w:noProof w:val="0"/>
        </w:rPr>
      </w:pPr>
    </w:p>
    <w:p w14:paraId="42EC0C28" w14:textId="77777777" w:rsidR="007E7678" w:rsidRPr="00156F90" w:rsidRDefault="007E7678" w:rsidP="007E7678">
      <w:pPr>
        <w:pStyle w:val="BTbEMEASMCA"/>
        <w:rPr>
          <w:noProof w:val="0"/>
        </w:rPr>
      </w:pPr>
      <w:r w:rsidRPr="00156F90">
        <w:rPr>
          <w:noProof w:val="0"/>
        </w:rPr>
        <w:t xml:space="preserve">Atidžiai perskaitykite visą šį lapelį, </w:t>
      </w:r>
      <w:r w:rsidRPr="00156F90">
        <w:t>prieš pradėdami vartoti šį vaistą,</w:t>
      </w:r>
      <w:r w:rsidRPr="00156F90">
        <w:rPr>
          <w:b w:val="0"/>
        </w:rPr>
        <w:t xml:space="preserve"> </w:t>
      </w:r>
      <w:r w:rsidRPr="00156F90">
        <w:rPr>
          <w:noProof w:val="0"/>
        </w:rPr>
        <w:t>nes jame pateikiama Jums svarbi informacija.</w:t>
      </w:r>
    </w:p>
    <w:p w14:paraId="749B2B27" w14:textId="77777777" w:rsidR="007E7678" w:rsidRPr="00156F90" w:rsidRDefault="007E7678" w:rsidP="007E7678">
      <w:pPr>
        <w:pStyle w:val="BTEMEASMCA"/>
        <w:rPr>
          <w:noProof w:val="0"/>
        </w:rPr>
      </w:pPr>
      <w:r w:rsidRPr="00156F90">
        <w:t>Visada vartokite šį vaistą tiksliai kaip aprašyta šiame lapelyje arba kaip nurodė gydytojas arba vaistininkas.</w:t>
      </w:r>
    </w:p>
    <w:p w14:paraId="7FD36216" w14:textId="77777777" w:rsidR="007E7678" w:rsidRPr="00156F90" w:rsidRDefault="007E7678" w:rsidP="007E7678">
      <w:pPr>
        <w:pStyle w:val="BT-EMEASMCA"/>
        <w:tabs>
          <w:tab w:val="clear" w:pos="720"/>
        </w:tabs>
        <w:ind w:left="567" w:hanging="567"/>
      </w:pPr>
      <w:r w:rsidRPr="00156F90">
        <w:t>Neišmeskite šio lapelio, nes vėl gali prireikti jį perskaityti.</w:t>
      </w:r>
    </w:p>
    <w:p w14:paraId="6B66EDFC" w14:textId="77777777" w:rsidR="007E7678" w:rsidRPr="00156F90" w:rsidRDefault="007E7678" w:rsidP="007E7678">
      <w:pPr>
        <w:pStyle w:val="BT-EMEASMCA"/>
        <w:tabs>
          <w:tab w:val="clear" w:pos="720"/>
        </w:tabs>
        <w:ind w:left="567" w:hanging="567"/>
      </w:pPr>
      <w:r w:rsidRPr="00156F90">
        <w:t>Jeigu norite sužinoti daugiau arba pasitarti, kreipkitės į vaistininką.</w:t>
      </w:r>
    </w:p>
    <w:p w14:paraId="66C4D075" w14:textId="77777777" w:rsidR="007E7678" w:rsidRPr="00156F90" w:rsidRDefault="007E7678" w:rsidP="007E7678">
      <w:pPr>
        <w:pStyle w:val="BT-EMEASMCA"/>
        <w:tabs>
          <w:tab w:val="clear" w:pos="720"/>
        </w:tabs>
        <w:ind w:left="567" w:hanging="567"/>
      </w:pPr>
      <w:r w:rsidRPr="00156F90">
        <w:t>Jeigu pasireiškė šalutinis poveikis (net jeigu jis šiame lapelyje nenurodytas), kreipkitės į gydytoją arba vaistininką. Žr. 4 skyrių.</w:t>
      </w:r>
    </w:p>
    <w:p w14:paraId="277E18B5" w14:textId="77777777" w:rsidR="007E7678" w:rsidRPr="00156F90" w:rsidRDefault="007E7678" w:rsidP="007E7678">
      <w:pPr>
        <w:pStyle w:val="BT-EMEASMCA"/>
        <w:tabs>
          <w:tab w:val="clear" w:pos="720"/>
        </w:tabs>
        <w:ind w:left="567" w:hanging="567"/>
      </w:pPr>
      <w:r w:rsidRPr="00156F90">
        <w:t>Jeigu per 3 dienas Jūsų savijauta nepagerėjo arba net pablogėjo, kreipkitės į gydytoją.</w:t>
      </w:r>
    </w:p>
    <w:p w14:paraId="2B86A96D" w14:textId="77777777" w:rsidR="007E7678" w:rsidRPr="00156F90" w:rsidRDefault="007E7678" w:rsidP="007E7678">
      <w:pPr>
        <w:pStyle w:val="BTEMEASMCA"/>
        <w:rPr>
          <w:noProof w:val="0"/>
        </w:rPr>
      </w:pPr>
    </w:p>
    <w:p w14:paraId="681E93FC" w14:textId="77777777" w:rsidR="007E7678" w:rsidRPr="00156F90" w:rsidRDefault="007E7678" w:rsidP="007E7678">
      <w:pPr>
        <w:pStyle w:val="BTEMEASMCA"/>
        <w:rPr>
          <w:noProof w:val="0"/>
        </w:rPr>
      </w:pPr>
    </w:p>
    <w:p w14:paraId="78201F22" w14:textId="77777777" w:rsidR="007E7678" w:rsidRPr="00156F90" w:rsidRDefault="007E7678" w:rsidP="007E7678">
      <w:pPr>
        <w:pStyle w:val="BTbEMEASMCA"/>
        <w:rPr>
          <w:noProof w:val="0"/>
        </w:rPr>
      </w:pPr>
      <w:r w:rsidRPr="00156F90">
        <w:rPr>
          <w:noProof w:val="0"/>
        </w:rPr>
        <w:t>Apie ką rašoma šiame lapelyje?</w:t>
      </w:r>
    </w:p>
    <w:p w14:paraId="03574D79" w14:textId="77777777" w:rsidR="007E7678" w:rsidRPr="00156F90" w:rsidRDefault="007E7678" w:rsidP="007E7678">
      <w:pPr>
        <w:pStyle w:val="BTEMEASMCA"/>
        <w:tabs>
          <w:tab w:val="left" w:pos="720"/>
        </w:tabs>
        <w:rPr>
          <w:noProof w:val="0"/>
        </w:rPr>
      </w:pPr>
      <w:r w:rsidRPr="00156F90">
        <w:rPr>
          <w:noProof w:val="0"/>
        </w:rPr>
        <w:t>1.</w:t>
      </w:r>
      <w:r w:rsidRPr="00156F90">
        <w:rPr>
          <w:noProof w:val="0"/>
        </w:rPr>
        <w:tab/>
        <w:t xml:space="preserve">Kas yra </w:t>
      </w:r>
      <w:r w:rsidRPr="00156F90">
        <w:rPr>
          <w:bCs/>
        </w:rPr>
        <w:t>Stoptussin</w:t>
      </w:r>
      <w:r w:rsidRPr="00156F90">
        <w:rPr>
          <w:noProof w:val="0"/>
        </w:rPr>
        <w:t xml:space="preserve"> ir kam jis vartojamas</w:t>
      </w:r>
    </w:p>
    <w:p w14:paraId="4743C0A5" w14:textId="77777777" w:rsidR="007E7678" w:rsidRPr="00156F90" w:rsidRDefault="007E7678" w:rsidP="007E7678">
      <w:pPr>
        <w:pStyle w:val="BTEMEASMCA"/>
        <w:tabs>
          <w:tab w:val="left" w:pos="720"/>
        </w:tabs>
        <w:rPr>
          <w:noProof w:val="0"/>
        </w:rPr>
      </w:pPr>
      <w:r w:rsidRPr="00156F90">
        <w:rPr>
          <w:noProof w:val="0"/>
        </w:rPr>
        <w:t>2.</w:t>
      </w:r>
      <w:r w:rsidRPr="00156F90">
        <w:rPr>
          <w:noProof w:val="0"/>
        </w:rPr>
        <w:tab/>
        <w:t xml:space="preserve">Kas žinotina prieš vartojant </w:t>
      </w:r>
      <w:r w:rsidRPr="00156F90">
        <w:rPr>
          <w:bCs/>
        </w:rPr>
        <w:t>Stoptussin</w:t>
      </w:r>
    </w:p>
    <w:p w14:paraId="0D4261CC" w14:textId="77777777" w:rsidR="007E7678" w:rsidRPr="00156F90" w:rsidRDefault="007E7678" w:rsidP="007E7678">
      <w:pPr>
        <w:pStyle w:val="BTEMEASMCA"/>
        <w:tabs>
          <w:tab w:val="left" w:pos="720"/>
        </w:tabs>
        <w:rPr>
          <w:noProof w:val="0"/>
        </w:rPr>
      </w:pPr>
      <w:r w:rsidRPr="00156F90">
        <w:rPr>
          <w:noProof w:val="0"/>
        </w:rPr>
        <w:t>3.</w:t>
      </w:r>
      <w:r w:rsidRPr="00156F90">
        <w:rPr>
          <w:noProof w:val="0"/>
        </w:rPr>
        <w:tab/>
        <w:t xml:space="preserve">Kaip vartoti </w:t>
      </w:r>
      <w:r w:rsidRPr="00156F90">
        <w:rPr>
          <w:bCs/>
        </w:rPr>
        <w:t>Stoptussin</w:t>
      </w:r>
    </w:p>
    <w:p w14:paraId="46AE7925" w14:textId="77777777" w:rsidR="007E7678" w:rsidRPr="00156F90" w:rsidRDefault="007E7678" w:rsidP="007E7678">
      <w:pPr>
        <w:pStyle w:val="BTEMEASMCA"/>
        <w:tabs>
          <w:tab w:val="left" w:pos="720"/>
        </w:tabs>
        <w:rPr>
          <w:noProof w:val="0"/>
        </w:rPr>
      </w:pPr>
      <w:r w:rsidRPr="00156F90">
        <w:rPr>
          <w:noProof w:val="0"/>
        </w:rPr>
        <w:t>4.</w:t>
      </w:r>
      <w:r w:rsidRPr="00156F90">
        <w:rPr>
          <w:noProof w:val="0"/>
        </w:rPr>
        <w:tab/>
        <w:t>Galimas šalutinis poveikis</w:t>
      </w:r>
    </w:p>
    <w:p w14:paraId="2E6A5676" w14:textId="77777777" w:rsidR="007E7678" w:rsidRPr="00156F90" w:rsidRDefault="007E7678" w:rsidP="007E7678">
      <w:pPr>
        <w:pStyle w:val="BTEMEASMCA"/>
        <w:tabs>
          <w:tab w:val="left" w:pos="720"/>
        </w:tabs>
        <w:rPr>
          <w:noProof w:val="0"/>
        </w:rPr>
      </w:pPr>
      <w:r w:rsidRPr="00156F90">
        <w:rPr>
          <w:noProof w:val="0"/>
        </w:rPr>
        <w:t>5.</w:t>
      </w:r>
      <w:r w:rsidRPr="00156F90">
        <w:rPr>
          <w:noProof w:val="0"/>
        </w:rPr>
        <w:tab/>
        <w:t xml:space="preserve">Kaip laikyti </w:t>
      </w:r>
      <w:r w:rsidRPr="00156F90">
        <w:rPr>
          <w:bCs/>
        </w:rPr>
        <w:t>Stoptussin</w:t>
      </w:r>
    </w:p>
    <w:p w14:paraId="4083B46D" w14:textId="77777777" w:rsidR="007E7678" w:rsidRPr="00156F90" w:rsidRDefault="007E7678" w:rsidP="007E7678">
      <w:pPr>
        <w:pStyle w:val="BTEMEASMCA"/>
        <w:tabs>
          <w:tab w:val="left" w:pos="720"/>
        </w:tabs>
        <w:rPr>
          <w:noProof w:val="0"/>
        </w:rPr>
      </w:pPr>
      <w:r w:rsidRPr="00156F90">
        <w:rPr>
          <w:noProof w:val="0"/>
        </w:rPr>
        <w:t>6.</w:t>
      </w:r>
      <w:r w:rsidRPr="00156F90">
        <w:rPr>
          <w:noProof w:val="0"/>
        </w:rPr>
        <w:tab/>
        <w:t>Pakuotės turinys ir kita informacija</w:t>
      </w:r>
    </w:p>
    <w:p w14:paraId="17AD7EFC" w14:textId="77777777" w:rsidR="007E7678" w:rsidRPr="00156F90" w:rsidRDefault="007E7678" w:rsidP="007E7678">
      <w:pPr>
        <w:pStyle w:val="BTEMEASMCA"/>
        <w:rPr>
          <w:noProof w:val="0"/>
        </w:rPr>
      </w:pPr>
    </w:p>
    <w:p w14:paraId="75ED44AA" w14:textId="77777777" w:rsidR="007E7678" w:rsidRPr="00156F90" w:rsidRDefault="007E7678" w:rsidP="007E7678">
      <w:pPr>
        <w:pStyle w:val="BTEMEASMCA"/>
        <w:rPr>
          <w:noProof w:val="0"/>
        </w:rPr>
      </w:pPr>
    </w:p>
    <w:p w14:paraId="2A7013A9" w14:textId="77777777" w:rsidR="007E7678" w:rsidRPr="00156F90" w:rsidRDefault="007E7678" w:rsidP="007E7678">
      <w:pPr>
        <w:pStyle w:val="PI-1EMEASMCA"/>
      </w:pPr>
      <w:bookmarkStart w:id="2" w:name="_Toc129243139"/>
      <w:bookmarkStart w:id="3" w:name="_Toc129243264"/>
      <w:r w:rsidRPr="00156F90">
        <w:t>1.</w:t>
      </w:r>
      <w:r w:rsidRPr="00156F90">
        <w:tab/>
      </w:r>
      <w:bookmarkEnd w:id="2"/>
      <w:bookmarkEnd w:id="3"/>
      <w:r w:rsidRPr="00156F90">
        <w:t xml:space="preserve">Kas </w:t>
      </w:r>
      <w:proofErr w:type="spellStart"/>
      <w:r w:rsidRPr="00156F90">
        <w:t>yra</w:t>
      </w:r>
      <w:proofErr w:type="spellEnd"/>
      <w:r w:rsidRPr="00156F90">
        <w:t xml:space="preserve"> </w:t>
      </w:r>
      <w:proofErr w:type="spellStart"/>
      <w:r w:rsidRPr="00156F90">
        <w:t>Stoptussin</w:t>
      </w:r>
      <w:proofErr w:type="spellEnd"/>
      <w:r w:rsidRPr="00156F90">
        <w:t xml:space="preserve"> </w:t>
      </w:r>
      <w:proofErr w:type="spellStart"/>
      <w:r w:rsidRPr="00156F90">
        <w:t>ir</w:t>
      </w:r>
      <w:proofErr w:type="spellEnd"/>
      <w:r w:rsidRPr="00156F90">
        <w:t xml:space="preserve"> </w:t>
      </w:r>
      <w:proofErr w:type="spellStart"/>
      <w:r w:rsidRPr="00156F90">
        <w:t>kam</w:t>
      </w:r>
      <w:proofErr w:type="spellEnd"/>
      <w:r w:rsidRPr="00156F90">
        <w:t xml:space="preserve"> </w:t>
      </w:r>
      <w:proofErr w:type="spellStart"/>
      <w:r w:rsidRPr="00156F90">
        <w:t>jis</w:t>
      </w:r>
      <w:proofErr w:type="spellEnd"/>
      <w:r w:rsidRPr="00156F90">
        <w:t xml:space="preserve"> </w:t>
      </w:r>
      <w:proofErr w:type="spellStart"/>
      <w:r w:rsidRPr="00156F90">
        <w:t>vartojamas</w:t>
      </w:r>
      <w:proofErr w:type="spellEnd"/>
    </w:p>
    <w:p w14:paraId="28AF156F" w14:textId="77777777" w:rsidR="007E7678" w:rsidRPr="00156F90" w:rsidRDefault="007E7678" w:rsidP="007E7678">
      <w:pPr>
        <w:pStyle w:val="BTEMEASMCA"/>
        <w:rPr>
          <w:noProof w:val="0"/>
        </w:rPr>
      </w:pPr>
    </w:p>
    <w:p w14:paraId="5FD61166" w14:textId="77777777" w:rsidR="007E7678" w:rsidRPr="00156F90" w:rsidRDefault="007E7678" w:rsidP="007E7678">
      <w:pPr>
        <w:rPr>
          <w:sz w:val="22"/>
          <w:szCs w:val="22"/>
          <w:lang w:val="lt-LT"/>
        </w:rPr>
      </w:pPr>
      <w:proofErr w:type="spellStart"/>
      <w:r w:rsidRPr="00156F90">
        <w:rPr>
          <w:sz w:val="22"/>
          <w:szCs w:val="22"/>
          <w:lang w:val="lt-LT"/>
        </w:rPr>
        <w:t>Stoptussin</w:t>
      </w:r>
      <w:proofErr w:type="spellEnd"/>
      <w:r w:rsidRPr="00156F90">
        <w:rPr>
          <w:sz w:val="22"/>
          <w:szCs w:val="22"/>
          <w:lang w:val="lt-LT"/>
        </w:rPr>
        <w:t xml:space="preserve"> slopina sausą, dirginantį kosulį.</w:t>
      </w:r>
    </w:p>
    <w:p w14:paraId="32665A3C" w14:textId="77777777" w:rsidR="007E7678" w:rsidRPr="00156F90" w:rsidRDefault="007E7678" w:rsidP="007E7678">
      <w:pPr>
        <w:pStyle w:val="BTEMEASMCA"/>
        <w:rPr>
          <w:noProof w:val="0"/>
        </w:rPr>
      </w:pPr>
      <w:r w:rsidRPr="00156F90">
        <w:t>Stoptussin gydomi vyresni kaip 12 metų paaugliai ir suaugusieji.</w:t>
      </w:r>
    </w:p>
    <w:p w14:paraId="1BA08405" w14:textId="77777777" w:rsidR="007E7678" w:rsidRPr="00156F90" w:rsidRDefault="007E7678" w:rsidP="007E7678">
      <w:pPr>
        <w:pStyle w:val="BTEMEASMCA"/>
        <w:rPr>
          <w:noProof w:val="0"/>
        </w:rPr>
      </w:pPr>
    </w:p>
    <w:p w14:paraId="77F56D95" w14:textId="77777777" w:rsidR="007E7678" w:rsidRPr="00156F90" w:rsidRDefault="007E7678" w:rsidP="007E7678">
      <w:pPr>
        <w:pStyle w:val="BTEMEASMCA"/>
        <w:rPr>
          <w:noProof w:val="0"/>
        </w:rPr>
      </w:pPr>
    </w:p>
    <w:p w14:paraId="1D79EF0F" w14:textId="77777777" w:rsidR="007E7678" w:rsidRPr="00156F90" w:rsidRDefault="007E7678" w:rsidP="007E7678">
      <w:pPr>
        <w:pStyle w:val="PI-1EMEASMCA"/>
      </w:pPr>
      <w:bookmarkStart w:id="4" w:name="_Toc129243140"/>
      <w:bookmarkStart w:id="5" w:name="_Toc129243265"/>
      <w:r w:rsidRPr="00156F90">
        <w:t>2.</w:t>
      </w:r>
      <w:r w:rsidRPr="00156F90">
        <w:tab/>
      </w:r>
      <w:bookmarkEnd w:id="4"/>
      <w:bookmarkEnd w:id="5"/>
      <w:r w:rsidRPr="00156F90">
        <w:t xml:space="preserve">Kas </w:t>
      </w:r>
      <w:proofErr w:type="spellStart"/>
      <w:r w:rsidRPr="00156F90">
        <w:t>žinotina</w:t>
      </w:r>
      <w:proofErr w:type="spellEnd"/>
      <w:r w:rsidRPr="00156F90">
        <w:t xml:space="preserve"> </w:t>
      </w:r>
      <w:proofErr w:type="spellStart"/>
      <w:r w:rsidRPr="00156F90">
        <w:t>prieš</w:t>
      </w:r>
      <w:proofErr w:type="spellEnd"/>
      <w:r w:rsidRPr="00156F90">
        <w:t xml:space="preserve"> </w:t>
      </w:r>
      <w:proofErr w:type="spellStart"/>
      <w:r w:rsidRPr="00156F90">
        <w:t>vartojant</w:t>
      </w:r>
      <w:proofErr w:type="spellEnd"/>
      <w:r w:rsidRPr="00156F90">
        <w:t xml:space="preserve"> </w:t>
      </w:r>
      <w:proofErr w:type="spellStart"/>
      <w:r w:rsidRPr="00156F90">
        <w:t>Stoptussin</w:t>
      </w:r>
      <w:proofErr w:type="spellEnd"/>
    </w:p>
    <w:p w14:paraId="69D4C4B9" w14:textId="77777777" w:rsidR="007E7678" w:rsidRPr="00156F90" w:rsidRDefault="007E7678" w:rsidP="007E7678">
      <w:pPr>
        <w:pStyle w:val="BTEMEASMCA"/>
        <w:rPr>
          <w:noProof w:val="0"/>
        </w:rPr>
      </w:pPr>
    </w:p>
    <w:p w14:paraId="228BE8D7" w14:textId="77777777" w:rsidR="007E7678" w:rsidRPr="00156F90" w:rsidRDefault="007E7678" w:rsidP="007E7678">
      <w:pPr>
        <w:pStyle w:val="PI-3EMEASMCA"/>
      </w:pPr>
      <w:proofErr w:type="spellStart"/>
      <w:r w:rsidRPr="00156F90">
        <w:t>Stoptussin</w:t>
      </w:r>
      <w:proofErr w:type="spellEnd"/>
      <w:r w:rsidRPr="00156F90">
        <w:t xml:space="preserve"> vartoti negalima:</w:t>
      </w:r>
    </w:p>
    <w:p w14:paraId="6C704EB4" w14:textId="77777777" w:rsidR="007E7678" w:rsidRPr="00156F90" w:rsidRDefault="007E7678" w:rsidP="007E7678">
      <w:pPr>
        <w:pStyle w:val="BT-EMEASMCA"/>
      </w:pPr>
      <w:r w:rsidRPr="00156F90">
        <w:t>jeigu yra alergija gvajfenezinui, butamirato citratui arba bet kuriai pagalbinei šio vaisto medžiagai  (jos išvardytos 6 skyriuje);</w:t>
      </w:r>
    </w:p>
    <w:p w14:paraId="2B883DFD" w14:textId="77777777" w:rsidR="007E7678" w:rsidRPr="00156F90" w:rsidRDefault="007E7678" w:rsidP="007E7678">
      <w:pPr>
        <w:pStyle w:val="BT-EMEASMCA"/>
        <w:rPr>
          <w:noProof w:val="0"/>
        </w:rPr>
      </w:pPr>
      <w:r w:rsidRPr="00156F90">
        <w:t>jeigu yra raumenų silpnumas (sergate sunkiąja miastenija);</w:t>
      </w:r>
    </w:p>
    <w:p w14:paraId="24BECA49" w14:textId="77777777" w:rsidR="007E7678" w:rsidRPr="00156F90" w:rsidRDefault="007E7678" w:rsidP="007E7678">
      <w:pPr>
        <w:pStyle w:val="BT-EMEASMCA"/>
        <w:rPr>
          <w:noProof w:val="0"/>
        </w:rPr>
      </w:pPr>
      <w:r w:rsidRPr="00156F90">
        <w:t>nėštumo laikotarpiu.</w:t>
      </w:r>
    </w:p>
    <w:p w14:paraId="46630EE9" w14:textId="77777777" w:rsidR="007E7678" w:rsidRPr="00156F90" w:rsidRDefault="007E7678" w:rsidP="007E7678">
      <w:pPr>
        <w:pStyle w:val="BTEMEASMCA"/>
        <w:rPr>
          <w:noProof w:val="0"/>
        </w:rPr>
      </w:pPr>
    </w:p>
    <w:p w14:paraId="613FE9EB" w14:textId="77777777" w:rsidR="007E7678" w:rsidRPr="00156F90" w:rsidRDefault="007E7678" w:rsidP="007E7678">
      <w:pPr>
        <w:rPr>
          <w:b/>
          <w:sz w:val="22"/>
          <w:szCs w:val="22"/>
          <w:lang w:val="lt-LT"/>
        </w:rPr>
      </w:pPr>
      <w:r w:rsidRPr="00156F90">
        <w:rPr>
          <w:b/>
          <w:sz w:val="22"/>
          <w:szCs w:val="22"/>
          <w:lang w:val="lt-LT"/>
        </w:rPr>
        <w:t>Įspėjimai ir atsargumo priemonės</w:t>
      </w:r>
    </w:p>
    <w:p w14:paraId="6BFDBE13" w14:textId="77777777" w:rsidR="007E7678" w:rsidRPr="00156F90" w:rsidRDefault="007E7678" w:rsidP="007E7678">
      <w:pPr>
        <w:rPr>
          <w:sz w:val="22"/>
          <w:szCs w:val="22"/>
          <w:lang w:val="lt-LT"/>
        </w:rPr>
      </w:pPr>
      <w:r w:rsidRPr="00156F90">
        <w:rPr>
          <w:sz w:val="22"/>
          <w:szCs w:val="22"/>
          <w:lang w:val="lt-LT"/>
        </w:rPr>
        <w:t xml:space="preserve">Pasitarkite su gydytoju arba vaistininku, prieš pradėdami vartoti </w:t>
      </w:r>
      <w:proofErr w:type="spellStart"/>
      <w:r w:rsidRPr="00156F90">
        <w:rPr>
          <w:sz w:val="22"/>
          <w:szCs w:val="22"/>
          <w:lang w:val="lt-LT"/>
        </w:rPr>
        <w:t>Stoptussin</w:t>
      </w:r>
      <w:proofErr w:type="spellEnd"/>
      <w:r w:rsidRPr="00156F90">
        <w:rPr>
          <w:sz w:val="22"/>
          <w:szCs w:val="22"/>
          <w:lang w:val="lt-LT"/>
        </w:rPr>
        <w:t>.</w:t>
      </w:r>
    </w:p>
    <w:p w14:paraId="0071D9B7" w14:textId="77777777" w:rsidR="007E7678" w:rsidRPr="00156F90" w:rsidRDefault="007E7678" w:rsidP="007E7678">
      <w:pPr>
        <w:rPr>
          <w:sz w:val="22"/>
          <w:szCs w:val="22"/>
          <w:lang w:val="lt-LT"/>
        </w:rPr>
      </w:pPr>
      <w:r w:rsidRPr="00156F90">
        <w:rPr>
          <w:bCs/>
          <w:sz w:val="22"/>
          <w:szCs w:val="22"/>
          <w:lang w:val="lt-LT"/>
        </w:rPr>
        <w:t xml:space="preserve">Pacientai, kuriems yra produktyvus ir (arba) pastovus ar lėtinis kosulys, sukeltas rūkymo, astmos, lėtinio bronchito ar tam tikros plaučių ligos, vadinamos </w:t>
      </w:r>
      <w:proofErr w:type="spellStart"/>
      <w:r w:rsidRPr="00156F90">
        <w:rPr>
          <w:bCs/>
          <w:sz w:val="22"/>
          <w:szCs w:val="22"/>
          <w:lang w:val="lt-LT"/>
        </w:rPr>
        <w:t>emfizema</w:t>
      </w:r>
      <w:proofErr w:type="spellEnd"/>
      <w:r w:rsidRPr="00156F90">
        <w:rPr>
          <w:bCs/>
          <w:sz w:val="22"/>
          <w:szCs w:val="22"/>
          <w:lang w:val="lt-LT"/>
        </w:rPr>
        <w:t>, šiuo vaistu neturėtų būti gydomi</w:t>
      </w:r>
      <w:r w:rsidRPr="00156F90">
        <w:rPr>
          <w:sz w:val="22"/>
          <w:szCs w:val="22"/>
          <w:lang w:val="lt-LT"/>
        </w:rPr>
        <w:t>.</w:t>
      </w:r>
    </w:p>
    <w:p w14:paraId="2AB9E9DE" w14:textId="77777777" w:rsidR="007E7678" w:rsidRPr="00156F90" w:rsidRDefault="007E7678" w:rsidP="007E7678">
      <w:pPr>
        <w:pStyle w:val="BTEMEASMCA"/>
        <w:rPr>
          <w:noProof w:val="0"/>
        </w:rPr>
      </w:pPr>
      <w:r w:rsidRPr="00156F90">
        <w:t>Jei simptomai išlieka ar būklė blogėja, gydymas turėtų būti peržiūrėtas.</w:t>
      </w:r>
    </w:p>
    <w:p w14:paraId="394DBFD1" w14:textId="77777777" w:rsidR="007E7678" w:rsidRPr="00156F90" w:rsidRDefault="007E7678" w:rsidP="007E7678">
      <w:pPr>
        <w:pStyle w:val="BTEMEASMCA"/>
        <w:rPr>
          <w:noProof w:val="0"/>
        </w:rPr>
      </w:pPr>
    </w:p>
    <w:p w14:paraId="76C495EB" w14:textId="77777777" w:rsidR="007E7678" w:rsidRPr="00156F90" w:rsidRDefault="007E7678" w:rsidP="007E7678">
      <w:pPr>
        <w:pStyle w:val="PI-3EMEASMCA"/>
      </w:pPr>
      <w:r w:rsidRPr="00156F90">
        <w:t xml:space="preserve">Kiti vaistai  ir </w:t>
      </w:r>
      <w:proofErr w:type="spellStart"/>
      <w:r w:rsidRPr="00156F90">
        <w:t>Stoptussin</w:t>
      </w:r>
      <w:proofErr w:type="spellEnd"/>
      <w:r w:rsidRPr="00156F90">
        <w:t xml:space="preserve"> </w:t>
      </w:r>
    </w:p>
    <w:p w14:paraId="6EB84A8F" w14:textId="77777777" w:rsidR="007E7678" w:rsidRPr="00156F90" w:rsidRDefault="007E7678" w:rsidP="007E7678">
      <w:pPr>
        <w:pStyle w:val="BTEMEASMCA"/>
        <w:rPr>
          <w:noProof w:val="0"/>
        </w:rPr>
      </w:pPr>
      <w:r w:rsidRPr="00156F90">
        <w:rPr>
          <w:noProof w:val="0"/>
        </w:rPr>
        <w:t>Jeigu vartojate arba neseniai vartojote kitų vaistų</w:t>
      </w:r>
      <w:r w:rsidRPr="00156F90">
        <w:t xml:space="preserve"> arba dėl to nesate tikri</w:t>
      </w:r>
      <w:r w:rsidRPr="00156F90">
        <w:rPr>
          <w:noProof w:val="0"/>
        </w:rPr>
        <w:t>, apie tai  pasakykite gydytojui arba vaistininkui.</w:t>
      </w:r>
    </w:p>
    <w:p w14:paraId="2F114942" w14:textId="77777777" w:rsidR="007E7678" w:rsidRPr="00156F90" w:rsidRDefault="007E7678" w:rsidP="007E7678">
      <w:pPr>
        <w:pStyle w:val="BTEMEASMCA"/>
        <w:rPr>
          <w:noProof w:val="0"/>
        </w:rPr>
      </w:pPr>
      <w:r w:rsidRPr="00156F90">
        <w:t>Stoptussin sustiprina vaistų nuo peršalimo bei skausmą malšinančių vaistų, kuriuose yra paracetamolio ir acetilsalicilo rūgšties, taip pat vaistų, kurie slopina centrinę nervų sistemą (pvz., raminamųjų, migdomųjų), alkoholio bei skeleto raumenis atpalaiduojančių vaistų poveikį.</w:t>
      </w:r>
    </w:p>
    <w:p w14:paraId="453445D0" w14:textId="77777777" w:rsidR="007E7678" w:rsidRPr="00156F90" w:rsidRDefault="007E7678" w:rsidP="007E7678">
      <w:pPr>
        <w:rPr>
          <w:sz w:val="22"/>
          <w:szCs w:val="22"/>
          <w:lang w:val="lt-LT"/>
        </w:rPr>
      </w:pPr>
      <w:r w:rsidRPr="00156F90">
        <w:rPr>
          <w:sz w:val="22"/>
          <w:szCs w:val="22"/>
          <w:lang w:val="lt-LT"/>
        </w:rPr>
        <w:t xml:space="preserve">Vartojant </w:t>
      </w:r>
      <w:proofErr w:type="spellStart"/>
      <w:r w:rsidRPr="00156F90">
        <w:rPr>
          <w:sz w:val="22"/>
          <w:szCs w:val="22"/>
          <w:lang w:val="lt-LT"/>
        </w:rPr>
        <w:t>gvajfenezino</w:t>
      </w:r>
      <w:proofErr w:type="spellEnd"/>
      <w:r w:rsidRPr="00156F90">
        <w:rPr>
          <w:sz w:val="22"/>
          <w:szCs w:val="22"/>
          <w:lang w:val="lt-LT"/>
        </w:rPr>
        <w:t xml:space="preserve">, tariamai gali padaugėti </w:t>
      </w:r>
      <w:proofErr w:type="spellStart"/>
      <w:r w:rsidRPr="00156F90">
        <w:rPr>
          <w:sz w:val="22"/>
          <w:szCs w:val="22"/>
          <w:lang w:val="lt-LT"/>
        </w:rPr>
        <w:t>vanilmigdolų</w:t>
      </w:r>
      <w:proofErr w:type="spellEnd"/>
      <w:r w:rsidRPr="00156F90">
        <w:rPr>
          <w:sz w:val="22"/>
          <w:szCs w:val="22"/>
          <w:lang w:val="lt-LT"/>
        </w:rPr>
        <w:t xml:space="preserve"> ir 5-hidroksiindolacto rūgšties kiekis šlapime, kai vartojamas reagentas </w:t>
      </w:r>
      <w:proofErr w:type="spellStart"/>
      <w:r w:rsidRPr="00156F90">
        <w:rPr>
          <w:sz w:val="22"/>
          <w:szCs w:val="22"/>
          <w:lang w:val="lt-LT"/>
        </w:rPr>
        <w:t>nitrozonaftolis</w:t>
      </w:r>
      <w:proofErr w:type="spellEnd"/>
      <w:r w:rsidRPr="00156F90">
        <w:rPr>
          <w:sz w:val="22"/>
          <w:szCs w:val="22"/>
          <w:lang w:val="lt-LT"/>
        </w:rPr>
        <w:t>. Dėl šios priežasties šio vaisto vartojimą reikia nutraukti 48 valandos prieš šlapimo paėmimą minėtam tyrimui.</w:t>
      </w:r>
    </w:p>
    <w:p w14:paraId="0167186E" w14:textId="77777777" w:rsidR="007E7678" w:rsidRPr="00156F90" w:rsidRDefault="007E7678" w:rsidP="007E7678">
      <w:pPr>
        <w:pStyle w:val="BTEMEASMCA"/>
        <w:rPr>
          <w:noProof w:val="0"/>
        </w:rPr>
      </w:pPr>
    </w:p>
    <w:p w14:paraId="6B20DB98" w14:textId="77777777" w:rsidR="007E7678" w:rsidRPr="00156F90" w:rsidRDefault="007E7678" w:rsidP="007E7678">
      <w:pPr>
        <w:pStyle w:val="PI-3EMEASMCA"/>
      </w:pPr>
      <w:proofErr w:type="spellStart"/>
      <w:r w:rsidRPr="00156F90">
        <w:t>Stoptussin</w:t>
      </w:r>
      <w:proofErr w:type="spellEnd"/>
      <w:r w:rsidRPr="00156F90">
        <w:t xml:space="preserve"> vartojimas su maistu ir gėrimais</w:t>
      </w:r>
    </w:p>
    <w:p w14:paraId="669559CB" w14:textId="77777777" w:rsidR="007E7678" w:rsidRPr="00156F90" w:rsidRDefault="007E7678" w:rsidP="007E7678">
      <w:pPr>
        <w:pStyle w:val="BTEMEASMCA"/>
      </w:pPr>
      <w:r w:rsidRPr="00156F90">
        <w:lastRenderedPageBreak/>
        <w:t>Vaistas geriamas po valgio. Tabletės nuryjamos (jeigu būtina, galima dalinti į dvi dalis), užsigeriant pakankamu skysčio kiekiu (vandens, arbatos, sulčių ir pan.).</w:t>
      </w:r>
    </w:p>
    <w:p w14:paraId="0AA2A4A1" w14:textId="77777777" w:rsidR="007E7678" w:rsidRPr="00156F90" w:rsidRDefault="007E7678" w:rsidP="007E7678">
      <w:pPr>
        <w:pStyle w:val="BTEMEASMCA"/>
        <w:rPr>
          <w:noProof w:val="0"/>
        </w:rPr>
      </w:pPr>
    </w:p>
    <w:p w14:paraId="1C926CD6" w14:textId="77777777" w:rsidR="007E7678" w:rsidRPr="00156F90" w:rsidRDefault="007E7678" w:rsidP="007E7678">
      <w:pPr>
        <w:pStyle w:val="PI-3EMEASMCA"/>
      </w:pPr>
      <w:r w:rsidRPr="00156F90">
        <w:t>Nėštumas ir žindymo laikotarpis</w:t>
      </w:r>
    </w:p>
    <w:p w14:paraId="386617FF" w14:textId="77777777" w:rsidR="007E7678" w:rsidRPr="00156F90" w:rsidRDefault="007E7678" w:rsidP="007E7678">
      <w:pPr>
        <w:pStyle w:val="BTEMEASMCA"/>
        <w:rPr>
          <w:noProof w:val="0"/>
        </w:rPr>
      </w:pPr>
      <w:r w:rsidRPr="00156F90">
        <w:t>Jeigu esate nėščia, žindote kūdikį, manote, kad galbūt esate nėščia arba planuojate pastoti, tai prieš vartodama šį vaistą pasitarkite su gydytoju arba vaistininku.</w:t>
      </w:r>
    </w:p>
    <w:p w14:paraId="3FB36BB3" w14:textId="77777777" w:rsidR="007E7678" w:rsidRPr="00156F90" w:rsidRDefault="007E7678" w:rsidP="007E7678">
      <w:pPr>
        <w:pStyle w:val="BTEMEASMCA"/>
        <w:rPr>
          <w:bCs/>
        </w:rPr>
      </w:pPr>
      <w:r w:rsidRPr="00156F90">
        <w:rPr>
          <w:bCs/>
        </w:rPr>
        <w:t xml:space="preserve">Stoptussin vartoti </w:t>
      </w:r>
      <w:r w:rsidRPr="00156F90">
        <w:t>nėštumo metu negalima</w:t>
      </w:r>
      <w:r w:rsidRPr="00156F90">
        <w:rPr>
          <w:bCs/>
        </w:rPr>
        <w:t>.</w:t>
      </w:r>
    </w:p>
    <w:p w14:paraId="6137989A" w14:textId="77777777" w:rsidR="007E7678" w:rsidRPr="00156F90" w:rsidRDefault="007E7678" w:rsidP="007E7678">
      <w:pPr>
        <w:pStyle w:val="BTEMEASMCA"/>
      </w:pPr>
    </w:p>
    <w:p w14:paraId="2CE63F56" w14:textId="77777777" w:rsidR="007E7678" w:rsidRPr="00156F90" w:rsidRDefault="007E7678" w:rsidP="007E7678">
      <w:pPr>
        <w:pStyle w:val="BTEMEASMCA"/>
      </w:pPr>
      <w:r w:rsidRPr="00156F90">
        <w:t xml:space="preserve">Ar butamirato divandenilio citrato ir gvajfenezino prasiskverbia į motinos pieną, nežinoma. Šio </w:t>
      </w:r>
      <w:r>
        <w:t>vaisto</w:t>
      </w:r>
      <w:r w:rsidRPr="00156F90">
        <w:t xml:space="preserve"> vartojimo žindyvėms duomenų sukaupta per mažai, todėl žindymo laikotarpiu Stoptussin vartoti nerekomenduojama.</w:t>
      </w:r>
    </w:p>
    <w:p w14:paraId="18189598" w14:textId="77777777" w:rsidR="007E7678" w:rsidRPr="00156F90" w:rsidRDefault="007E7678" w:rsidP="007E7678">
      <w:pPr>
        <w:pStyle w:val="BTEMEASMCA"/>
        <w:rPr>
          <w:noProof w:val="0"/>
        </w:rPr>
      </w:pPr>
    </w:p>
    <w:p w14:paraId="022FA969" w14:textId="77777777" w:rsidR="007E7678" w:rsidRPr="00156F90" w:rsidRDefault="007E7678" w:rsidP="007E7678">
      <w:pPr>
        <w:pStyle w:val="PI-3EMEASMCA"/>
      </w:pPr>
      <w:r w:rsidRPr="00156F90">
        <w:t>Vairavimas ir mechanizmų valdymas</w:t>
      </w:r>
    </w:p>
    <w:p w14:paraId="7982D5AB" w14:textId="77777777" w:rsidR="007E7678" w:rsidRPr="00156F90" w:rsidRDefault="007E7678" w:rsidP="007E7678">
      <w:pPr>
        <w:pStyle w:val="BTEMEASMCA"/>
        <w:rPr>
          <w:noProof w:val="0"/>
        </w:rPr>
      </w:pPr>
      <w:r w:rsidRPr="00156F90">
        <w:t>Stoptussin gebėjimo vairuoti ir valdyti mechanizmus neveikia.</w:t>
      </w:r>
    </w:p>
    <w:p w14:paraId="2B4BE7A0" w14:textId="77777777" w:rsidR="007E7678" w:rsidRPr="00156F90" w:rsidRDefault="007E7678" w:rsidP="007E7678">
      <w:pPr>
        <w:pStyle w:val="BTEMEASMCA"/>
        <w:rPr>
          <w:noProof w:val="0"/>
        </w:rPr>
      </w:pPr>
    </w:p>
    <w:p w14:paraId="1A01C243" w14:textId="77777777" w:rsidR="007E7678" w:rsidRPr="00156F90" w:rsidRDefault="007E7678" w:rsidP="007E7678">
      <w:pPr>
        <w:pStyle w:val="PI-3EMEASMCA"/>
      </w:pPr>
    </w:p>
    <w:p w14:paraId="508655B6" w14:textId="77777777" w:rsidR="007E7678" w:rsidRPr="00156F90" w:rsidRDefault="007E7678" w:rsidP="007E7678">
      <w:pPr>
        <w:pStyle w:val="PI-1EMEASMCA"/>
      </w:pPr>
      <w:bookmarkStart w:id="6" w:name="_Toc129243141"/>
      <w:bookmarkStart w:id="7" w:name="_Toc129243266"/>
      <w:r w:rsidRPr="00156F90">
        <w:t>3.</w:t>
      </w:r>
      <w:r w:rsidRPr="00156F90">
        <w:tab/>
      </w:r>
      <w:bookmarkEnd w:id="6"/>
      <w:bookmarkEnd w:id="7"/>
      <w:r w:rsidRPr="00156F90">
        <w:t xml:space="preserve">Kaip </w:t>
      </w:r>
      <w:proofErr w:type="spellStart"/>
      <w:r w:rsidRPr="00156F90">
        <w:t>vartoti</w:t>
      </w:r>
      <w:proofErr w:type="spellEnd"/>
      <w:r w:rsidRPr="00156F90">
        <w:t xml:space="preserve"> </w:t>
      </w:r>
      <w:proofErr w:type="spellStart"/>
      <w:r w:rsidRPr="00156F90">
        <w:t>Stoptussin</w:t>
      </w:r>
      <w:proofErr w:type="spellEnd"/>
    </w:p>
    <w:p w14:paraId="4C930AFF" w14:textId="77777777" w:rsidR="007E7678" w:rsidRPr="00156F90" w:rsidRDefault="007E7678" w:rsidP="007E7678">
      <w:pPr>
        <w:pStyle w:val="BTEMEASMCA"/>
        <w:rPr>
          <w:noProof w:val="0"/>
        </w:rPr>
      </w:pPr>
    </w:p>
    <w:p w14:paraId="4019B759" w14:textId="77777777" w:rsidR="007E7678" w:rsidRPr="00156F90" w:rsidRDefault="007E7678" w:rsidP="007E7678">
      <w:pPr>
        <w:rPr>
          <w:sz w:val="22"/>
          <w:szCs w:val="22"/>
          <w:lang w:val="lt-LT"/>
        </w:rPr>
      </w:pPr>
      <w:r w:rsidRPr="00156F90">
        <w:rPr>
          <w:sz w:val="22"/>
          <w:szCs w:val="22"/>
          <w:lang w:val="lt-LT"/>
        </w:rPr>
        <w:t>Jeigu gydytojas nepaskyrė kitaip, dozę reikia apskaičiuoti pagal kūno svorį.</w:t>
      </w:r>
    </w:p>
    <w:p w14:paraId="359B9B96" w14:textId="77777777" w:rsidR="007E7678" w:rsidRPr="00156F90" w:rsidRDefault="007E7678" w:rsidP="007E7678">
      <w:pPr>
        <w:jc w:val="both"/>
        <w:rPr>
          <w:sz w:val="22"/>
          <w:szCs w:val="22"/>
          <w:lang w:val="lt-LT"/>
        </w:rPr>
      </w:pPr>
    </w:p>
    <w:tbl>
      <w:tblPr>
        <w:tblW w:w="0" w:type="auto"/>
        <w:tblInd w:w="-34" w:type="dxa"/>
        <w:tblLayout w:type="fixed"/>
        <w:tblLook w:val="0000" w:firstRow="0" w:lastRow="0" w:firstColumn="0" w:lastColumn="0" w:noHBand="0" w:noVBand="0"/>
      </w:tblPr>
      <w:tblGrid>
        <w:gridCol w:w="2836"/>
        <w:gridCol w:w="2835"/>
        <w:gridCol w:w="3219"/>
      </w:tblGrid>
      <w:tr w:rsidR="007E7678" w:rsidRPr="00156F90" w14:paraId="3F1AC4DE" w14:textId="77777777" w:rsidTr="00364525">
        <w:trPr>
          <w:cantSplit/>
        </w:trPr>
        <w:tc>
          <w:tcPr>
            <w:tcW w:w="2836" w:type="dxa"/>
          </w:tcPr>
          <w:p w14:paraId="2DACA38F" w14:textId="77777777" w:rsidR="007E7678" w:rsidRPr="00156F90" w:rsidRDefault="007E7678" w:rsidP="00364525">
            <w:pPr>
              <w:jc w:val="both"/>
              <w:rPr>
                <w:sz w:val="22"/>
                <w:szCs w:val="22"/>
                <w:lang w:val="lt-LT"/>
              </w:rPr>
            </w:pPr>
            <w:r w:rsidRPr="00156F90">
              <w:rPr>
                <w:sz w:val="22"/>
                <w:szCs w:val="22"/>
                <w:lang w:val="lt-LT"/>
              </w:rPr>
              <w:t>Kūno svoris</w:t>
            </w:r>
          </w:p>
        </w:tc>
        <w:tc>
          <w:tcPr>
            <w:tcW w:w="2835" w:type="dxa"/>
          </w:tcPr>
          <w:p w14:paraId="530B6529" w14:textId="77777777" w:rsidR="007E7678" w:rsidRPr="00156F90" w:rsidRDefault="007E7678" w:rsidP="00364525">
            <w:pPr>
              <w:jc w:val="center"/>
              <w:rPr>
                <w:sz w:val="22"/>
                <w:szCs w:val="22"/>
                <w:lang w:val="lt-LT"/>
              </w:rPr>
            </w:pPr>
            <w:r w:rsidRPr="00156F90">
              <w:rPr>
                <w:sz w:val="22"/>
                <w:szCs w:val="22"/>
                <w:lang w:val="lt-LT"/>
              </w:rPr>
              <w:t>Tablečių kiekis</w:t>
            </w:r>
          </w:p>
        </w:tc>
        <w:tc>
          <w:tcPr>
            <w:tcW w:w="3219" w:type="dxa"/>
          </w:tcPr>
          <w:p w14:paraId="7734C948" w14:textId="77777777" w:rsidR="007E7678" w:rsidRPr="00156F90" w:rsidRDefault="007E7678" w:rsidP="00364525">
            <w:pPr>
              <w:jc w:val="center"/>
              <w:rPr>
                <w:sz w:val="22"/>
                <w:szCs w:val="22"/>
                <w:lang w:val="lt-LT"/>
              </w:rPr>
            </w:pPr>
            <w:r w:rsidRPr="00156F90">
              <w:rPr>
                <w:sz w:val="22"/>
                <w:szCs w:val="22"/>
                <w:lang w:val="lt-LT"/>
              </w:rPr>
              <w:t>Vartojimo dažnumas</w:t>
            </w:r>
          </w:p>
        </w:tc>
      </w:tr>
      <w:tr w:rsidR="007E7678" w:rsidRPr="00156F90" w14:paraId="0B7C30D1" w14:textId="77777777" w:rsidTr="00364525">
        <w:trPr>
          <w:cantSplit/>
        </w:trPr>
        <w:tc>
          <w:tcPr>
            <w:tcW w:w="2836" w:type="dxa"/>
          </w:tcPr>
          <w:p w14:paraId="00FF6047" w14:textId="77777777" w:rsidR="007E7678" w:rsidRPr="00156F90" w:rsidRDefault="007E7678" w:rsidP="00364525">
            <w:pPr>
              <w:jc w:val="both"/>
              <w:rPr>
                <w:sz w:val="22"/>
                <w:szCs w:val="22"/>
                <w:lang w:val="lt-LT"/>
              </w:rPr>
            </w:pPr>
            <w:r w:rsidRPr="00156F90">
              <w:rPr>
                <w:sz w:val="22"/>
                <w:szCs w:val="22"/>
                <w:lang w:val="lt-LT"/>
              </w:rPr>
              <w:t>Mažesnis negu 50 kg</w:t>
            </w:r>
          </w:p>
        </w:tc>
        <w:tc>
          <w:tcPr>
            <w:tcW w:w="2835" w:type="dxa"/>
          </w:tcPr>
          <w:p w14:paraId="601D3F49" w14:textId="77777777" w:rsidR="007E7678" w:rsidRPr="00156F90" w:rsidRDefault="007E7678" w:rsidP="00364525">
            <w:pPr>
              <w:jc w:val="center"/>
              <w:rPr>
                <w:sz w:val="22"/>
                <w:szCs w:val="22"/>
                <w:lang w:val="lt-LT"/>
              </w:rPr>
            </w:pPr>
            <w:r w:rsidRPr="00156F90">
              <w:rPr>
                <w:sz w:val="22"/>
                <w:szCs w:val="22"/>
                <w:lang w:val="lt-LT"/>
              </w:rPr>
              <w:t>½ tabletės</w:t>
            </w:r>
          </w:p>
        </w:tc>
        <w:tc>
          <w:tcPr>
            <w:tcW w:w="3219" w:type="dxa"/>
          </w:tcPr>
          <w:p w14:paraId="5D11B5E6" w14:textId="77777777" w:rsidR="007E7678" w:rsidRPr="00156F90" w:rsidRDefault="007E7678" w:rsidP="00364525">
            <w:pPr>
              <w:jc w:val="center"/>
              <w:rPr>
                <w:sz w:val="22"/>
                <w:szCs w:val="22"/>
                <w:lang w:val="lt-LT"/>
              </w:rPr>
            </w:pPr>
            <w:r w:rsidRPr="00156F90">
              <w:rPr>
                <w:sz w:val="22"/>
                <w:szCs w:val="22"/>
                <w:lang w:val="lt-LT"/>
              </w:rPr>
              <w:t>4 kartus per parą</w:t>
            </w:r>
          </w:p>
        </w:tc>
      </w:tr>
      <w:tr w:rsidR="007E7678" w:rsidRPr="00156F90" w14:paraId="663B85F7" w14:textId="77777777" w:rsidTr="00364525">
        <w:trPr>
          <w:cantSplit/>
        </w:trPr>
        <w:tc>
          <w:tcPr>
            <w:tcW w:w="2836" w:type="dxa"/>
          </w:tcPr>
          <w:p w14:paraId="366989DC" w14:textId="77777777" w:rsidR="007E7678" w:rsidRPr="00156F90" w:rsidRDefault="007E7678" w:rsidP="00364525">
            <w:pPr>
              <w:jc w:val="both"/>
              <w:rPr>
                <w:sz w:val="22"/>
                <w:szCs w:val="22"/>
                <w:lang w:val="lt-LT"/>
              </w:rPr>
            </w:pPr>
            <w:r w:rsidRPr="00156F90">
              <w:rPr>
                <w:sz w:val="22"/>
                <w:szCs w:val="22"/>
                <w:lang w:val="lt-LT"/>
              </w:rPr>
              <w:t>50</w:t>
            </w:r>
            <w:r w:rsidRPr="00156F90">
              <w:rPr>
                <w:sz w:val="22"/>
                <w:szCs w:val="22"/>
                <w:lang w:val="lt-LT"/>
              </w:rPr>
              <w:noBreakHyphen/>
              <w:t>70 kg</w:t>
            </w:r>
          </w:p>
        </w:tc>
        <w:tc>
          <w:tcPr>
            <w:tcW w:w="2835" w:type="dxa"/>
          </w:tcPr>
          <w:p w14:paraId="09DA7ECA" w14:textId="77777777" w:rsidR="007E7678" w:rsidRPr="00156F90" w:rsidRDefault="007E7678" w:rsidP="00364525">
            <w:pPr>
              <w:jc w:val="center"/>
              <w:rPr>
                <w:sz w:val="22"/>
                <w:szCs w:val="22"/>
                <w:lang w:val="lt-LT"/>
              </w:rPr>
            </w:pPr>
            <w:r w:rsidRPr="00156F90">
              <w:rPr>
                <w:sz w:val="22"/>
                <w:szCs w:val="22"/>
                <w:lang w:val="lt-LT"/>
              </w:rPr>
              <w:t>1 tabletė</w:t>
            </w:r>
          </w:p>
        </w:tc>
        <w:tc>
          <w:tcPr>
            <w:tcW w:w="3219" w:type="dxa"/>
          </w:tcPr>
          <w:p w14:paraId="1E3EB1E6" w14:textId="77777777" w:rsidR="007E7678" w:rsidRPr="00156F90" w:rsidRDefault="007E7678" w:rsidP="00364525">
            <w:pPr>
              <w:jc w:val="center"/>
              <w:rPr>
                <w:sz w:val="22"/>
                <w:szCs w:val="22"/>
                <w:lang w:val="lt-LT"/>
              </w:rPr>
            </w:pPr>
            <w:r w:rsidRPr="00156F90">
              <w:rPr>
                <w:sz w:val="22"/>
                <w:szCs w:val="22"/>
                <w:lang w:val="lt-LT"/>
              </w:rPr>
              <w:t>3 kartus per parą</w:t>
            </w:r>
          </w:p>
        </w:tc>
      </w:tr>
      <w:tr w:rsidR="007E7678" w:rsidRPr="00156F90" w14:paraId="1A08FFDD" w14:textId="77777777" w:rsidTr="00364525">
        <w:trPr>
          <w:cantSplit/>
        </w:trPr>
        <w:tc>
          <w:tcPr>
            <w:tcW w:w="2836" w:type="dxa"/>
          </w:tcPr>
          <w:p w14:paraId="148F4487" w14:textId="77777777" w:rsidR="007E7678" w:rsidRPr="00156F90" w:rsidRDefault="007E7678" w:rsidP="00364525">
            <w:pPr>
              <w:jc w:val="both"/>
              <w:rPr>
                <w:sz w:val="22"/>
                <w:szCs w:val="22"/>
                <w:lang w:val="lt-LT"/>
              </w:rPr>
            </w:pPr>
            <w:r w:rsidRPr="00156F90">
              <w:rPr>
                <w:sz w:val="22"/>
                <w:szCs w:val="22"/>
                <w:lang w:val="lt-LT"/>
              </w:rPr>
              <w:t>70</w:t>
            </w:r>
            <w:r w:rsidRPr="00156F90">
              <w:rPr>
                <w:sz w:val="22"/>
                <w:szCs w:val="22"/>
                <w:lang w:val="lt-LT"/>
              </w:rPr>
              <w:noBreakHyphen/>
              <w:t>90 kg</w:t>
            </w:r>
          </w:p>
        </w:tc>
        <w:tc>
          <w:tcPr>
            <w:tcW w:w="2835" w:type="dxa"/>
          </w:tcPr>
          <w:p w14:paraId="5744A2D1" w14:textId="77777777" w:rsidR="007E7678" w:rsidRPr="00156F90" w:rsidRDefault="007E7678" w:rsidP="00364525">
            <w:pPr>
              <w:jc w:val="center"/>
              <w:rPr>
                <w:sz w:val="22"/>
                <w:szCs w:val="22"/>
                <w:lang w:val="lt-LT"/>
              </w:rPr>
            </w:pPr>
            <w:r w:rsidRPr="00156F90">
              <w:rPr>
                <w:sz w:val="22"/>
                <w:szCs w:val="22"/>
                <w:lang w:val="lt-LT"/>
              </w:rPr>
              <w:t>1 ir ½ tabletės</w:t>
            </w:r>
          </w:p>
        </w:tc>
        <w:tc>
          <w:tcPr>
            <w:tcW w:w="3219" w:type="dxa"/>
          </w:tcPr>
          <w:p w14:paraId="7F271978" w14:textId="77777777" w:rsidR="007E7678" w:rsidRPr="00156F90" w:rsidRDefault="007E7678" w:rsidP="00364525">
            <w:pPr>
              <w:jc w:val="center"/>
              <w:rPr>
                <w:sz w:val="22"/>
                <w:szCs w:val="22"/>
                <w:lang w:val="lt-LT"/>
              </w:rPr>
            </w:pPr>
            <w:r w:rsidRPr="00156F90">
              <w:rPr>
                <w:sz w:val="22"/>
                <w:szCs w:val="22"/>
                <w:lang w:val="lt-LT"/>
              </w:rPr>
              <w:t>3 kartus per parą</w:t>
            </w:r>
          </w:p>
        </w:tc>
      </w:tr>
      <w:tr w:rsidR="007E7678" w:rsidRPr="00156F90" w14:paraId="504B480E" w14:textId="77777777" w:rsidTr="00364525">
        <w:trPr>
          <w:cantSplit/>
        </w:trPr>
        <w:tc>
          <w:tcPr>
            <w:tcW w:w="2836" w:type="dxa"/>
          </w:tcPr>
          <w:p w14:paraId="664C9115" w14:textId="77777777" w:rsidR="007E7678" w:rsidRPr="00156F90" w:rsidRDefault="007E7678" w:rsidP="00364525">
            <w:pPr>
              <w:jc w:val="both"/>
              <w:rPr>
                <w:sz w:val="22"/>
                <w:szCs w:val="22"/>
                <w:lang w:val="lt-LT"/>
              </w:rPr>
            </w:pPr>
            <w:r w:rsidRPr="00156F90">
              <w:rPr>
                <w:sz w:val="22"/>
                <w:szCs w:val="22"/>
                <w:lang w:val="lt-LT"/>
              </w:rPr>
              <w:t>Didesnis negu 90 kg</w:t>
            </w:r>
          </w:p>
        </w:tc>
        <w:tc>
          <w:tcPr>
            <w:tcW w:w="2835" w:type="dxa"/>
          </w:tcPr>
          <w:p w14:paraId="2266BDA1" w14:textId="77777777" w:rsidR="007E7678" w:rsidRPr="00156F90" w:rsidRDefault="007E7678" w:rsidP="00364525">
            <w:pPr>
              <w:jc w:val="center"/>
              <w:rPr>
                <w:sz w:val="22"/>
                <w:szCs w:val="22"/>
                <w:lang w:val="lt-LT"/>
              </w:rPr>
            </w:pPr>
            <w:r w:rsidRPr="00156F90">
              <w:rPr>
                <w:sz w:val="22"/>
                <w:szCs w:val="22"/>
                <w:lang w:val="lt-LT"/>
              </w:rPr>
              <w:t>1 ir ½ tabletės</w:t>
            </w:r>
          </w:p>
        </w:tc>
        <w:tc>
          <w:tcPr>
            <w:tcW w:w="3219" w:type="dxa"/>
          </w:tcPr>
          <w:p w14:paraId="5A858BA6" w14:textId="77777777" w:rsidR="007E7678" w:rsidRPr="00156F90" w:rsidRDefault="007E7678" w:rsidP="00364525">
            <w:pPr>
              <w:jc w:val="center"/>
              <w:rPr>
                <w:sz w:val="22"/>
                <w:szCs w:val="22"/>
                <w:lang w:val="lt-LT"/>
              </w:rPr>
            </w:pPr>
            <w:r w:rsidRPr="00156F90">
              <w:rPr>
                <w:sz w:val="22"/>
                <w:szCs w:val="22"/>
                <w:lang w:val="lt-LT"/>
              </w:rPr>
              <w:t>4 kartus per parą</w:t>
            </w:r>
          </w:p>
        </w:tc>
      </w:tr>
    </w:tbl>
    <w:p w14:paraId="73181860" w14:textId="77777777" w:rsidR="007E7678" w:rsidRPr="00156F90" w:rsidRDefault="007E7678" w:rsidP="007E7678">
      <w:pPr>
        <w:jc w:val="both"/>
        <w:rPr>
          <w:sz w:val="22"/>
          <w:szCs w:val="22"/>
          <w:lang w:val="lt-LT"/>
        </w:rPr>
      </w:pPr>
    </w:p>
    <w:p w14:paraId="7E6C0C2A" w14:textId="77777777" w:rsidR="007E7678" w:rsidRPr="00156F90" w:rsidRDefault="007E7678" w:rsidP="007E7678">
      <w:pPr>
        <w:rPr>
          <w:sz w:val="22"/>
          <w:szCs w:val="22"/>
          <w:lang w:val="lt-LT"/>
        </w:rPr>
      </w:pPr>
      <w:r w:rsidRPr="00156F90">
        <w:rPr>
          <w:sz w:val="22"/>
          <w:szCs w:val="22"/>
          <w:lang w:val="lt-LT"/>
        </w:rPr>
        <w:t>Tarp dozių būtina daryti 4</w:t>
      </w:r>
      <w:r w:rsidRPr="00156F90">
        <w:rPr>
          <w:sz w:val="22"/>
          <w:szCs w:val="22"/>
          <w:lang w:val="lt-LT"/>
        </w:rPr>
        <w:noBreakHyphen/>
        <w:t>6 valandų pertrauką.</w:t>
      </w:r>
    </w:p>
    <w:p w14:paraId="121B99AD" w14:textId="77777777" w:rsidR="007E7678" w:rsidRPr="00156F90" w:rsidRDefault="007E7678" w:rsidP="007E7678">
      <w:pPr>
        <w:rPr>
          <w:sz w:val="22"/>
          <w:szCs w:val="22"/>
          <w:lang w:val="lt-LT"/>
        </w:rPr>
      </w:pPr>
      <w:proofErr w:type="spellStart"/>
      <w:r w:rsidRPr="00156F90">
        <w:rPr>
          <w:sz w:val="22"/>
          <w:szCs w:val="22"/>
          <w:lang w:val="lt-LT"/>
        </w:rPr>
        <w:t>Stoptussin</w:t>
      </w:r>
      <w:proofErr w:type="spellEnd"/>
      <w:r w:rsidRPr="00156F90">
        <w:rPr>
          <w:sz w:val="22"/>
          <w:szCs w:val="22"/>
          <w:lang w:val="lt-LT"/>
        </w:rPr>
        <w:t xml:space="preserve"> vartoti ilgiau kaip 3 paras, nepasitarus su gydytoju, negalima.</w:t>
      </w:r>
    </w:p>
    <w:p w14:paraId="47E34369" w14:textId="77777777" w:rsidR="007E7678" w:rsidRPr="00156F90" w:rsidRDefault="007E7678" w:rsidP="007E7678">
      <w:pPr>
        <w:rPr>
          <w:sz w:val="22"/>
          <w:szCs w:val="22"/>
          <w:lang w:val="lt-LT"/>
        </w:rPr>
      </w:pPr>
      <w:r w:rsidRPr="00156F90">
        <w:rPr>
          <w:sz w:val="22"/>
          <w:szCs w:val="22"/>
          <w:lang w:val="lt-LT"/>
        </w:rPr>
        <w:t>Jeigu kiltų daugiau klausimų dėl šio vaisto vartojimo, kreipkitės į gydytoją arba vaistininką.</w:t>
      </w:r>
    </w:p>
    <w:p w14:paraId="749DEA82" w14:textId="77777777" w:rsidR="007E7678" w:rsidRPr="00156F90" w:rsidRDefault="007E7678" w:rsidP="007E7678">
      <w:pPr>
        <w:pStyle w:val="BTEMEASMCA"/>
      </w:pPr>
      <w:r w:rsidRPr="00156F90">
        <w:t>Jeigu manote, kad Stoptussin veikia per stipriai arba per silpnai, kreipkitės į gydytoją arba vaistininką.</w:t>
      </w:r>
    </w:p>
    <w:p w14:paraId="693A757C" w14:textId="77777777" w:rsidR="007E7678" w:rsidRPr="00156F90" w:rsidRDefault="007E7678" w:rsidP="007E7678">
      <w:pPr>
        <w:rPr>
          <w:sz w:val="22"/>
          <w:szCs w:val="22"/>
          <w:lang w:val="lt-LT"/>
        </w:rPr>
      </w:pPr>
    </w:p>
    <w:p w14:paraId="02BA046C" w14:textId="77777777" w:rsidR="007E7678" w:rsidRPr="00156F90" w:rsidRDefault="007E7678" w:rsidP="007E7678">
      <w:pPr>
        <w:rPr>
          <w:b/>
          <w:sz w:val="22"/>
          <w:szCs w:val="22"/>
          <w:lang w:val="lt-LT"/>
        </w:rPr>
      </w:pPr>
      <w:r w:rsidRPr="00156F90">
        <w:rPr>
          <w:b/>
          <w:sz w:val="22"/>
          <w:szCs w:val="22"/>
          <w:lang w:val="lt-LT"/>
        </w:rPr>
        <w:t>Vartojimas vaikams ir paaugliams</w:t>
      </w:r>
    </w:p>
    <w:p w14:paraId="354845B4" w14:textId="77777777" w:rsidR="007E7678" w:rsidRPr="00156F90" w:rsidRDefault="007E7678" w:rsidP="007E7678">
      <w:pPr>
        <w:rPr>
          <w:sz w:val="22"/>
          <w:szCs w:val="22"/>
          <w:lang w:val="lt-LT"/>
        </w:rPr>
      </w:pPr>
      <w:proofErr w:type="spellStart"/>
      <w:r w:rsidRPr="00156F90">
        <w:rPr>
          <w:sz w:val="22"/>
          <w:szCs w:val="22"/>
          <w:lang w:val="lt-LT"/>
        </w:rPr>
        <w:t>Stoptussin</w:t>
      </w:r>
      <w:proofErr w:type="spellEnd"/>
      <w:r w:rsidRPr="00156F90">
        <w:rPr>
          <w:sz w:val="22"/>
          <w:szCs w:val="22"/>
          <w:lang w:val="lt-LT"/>
        </w:rPr>
        <w:t xml:space="preserve"> nerekomenduojama vartoti jaunesniems kaip 12 metų vaikams, nes duomenų apie saugumą ir veiksmingumą nėra.</w:t>
      </w:r>
    </w:p>
    <w:p w14:paraId="30A6D326" w14:textId="77777777" w:rsidR="007E7678" w:rsidRPr="00156F90" w:rsidRDefault="007E7678" w:rsidP="007E7678">
      <w:pPr>
        <w:pStyle w:val="BTEMEASMCA"/>
        <w:rPr>
          <w:noProof w:val="0"/>
        </w:rPr>
      </w:pPr>
    </w:p>
    <w:p w14:paraId="0AFF3199" w14:textId="77777777" w:rsidR="007E7678" w:rsidRPr="00156F90" w:rsidRDefault="007E7678" w:rsidP="007E7678">
      <w:pPr>
        <w:pStyle w:val="PI-3EMEASMCA"/>
      </w:pPr>
      <w:r w:rsidRPr="00156F90">
        <w:t xml:space="preserve">Ką daryti pavartojus per didelę </w:t>
      </w:r>
      <w:proofErr w:type="spellStart"/>
      <w:r w:rsidRPr="00156F90">
        <w:t>Stoptussin</w:t>
      </w:r>
      <w:proofErr w:type="spellEnd"/>
      <w:r w:rsidRPr="00156F90">
        <w:t xml:space="preserve"> dozę?</w:t>
      </w:r>
    </w:p>
    <w:p w14:paraId="7B1E776C" w14:textId="77777777" w:rsidR="007E7678" w:rsidRPr="00156F90" w:rsidRDefault="007E7678" w:rsidP="007E7678">
      <w:pPr>
        <w:pStyle w:val="BTEMEASMCA"/>
        <w:rPr>
          <w:b/>
          <w:noProof w:val="0"/>
        </w:rPr>
      </w:pPr>
      <w:r w:rsidRPr="00156F90">
        <w:t>Jeigu išgėrėte per daug Stoptussin, nedelsdamas kreipkitės į gydytoją arba vaistininką.</w:t>
      </w:r>
    </w:p>
    <w:p w14:paraId="5AD856F4" w14:textId="77777777" w:rsidR="007E7678" w:rsidRPr="00156F90" w:rsidRDefault="007E7678" w:rsidP="007E7678">
      <w:pPr>
        <w:pStyle w:val="BTEMEASMCA"/>
        <w:rPr>
          <w:b/>
          <w:noProof w:val="0"/>
        </w:rPr>
      </w:pPr>
    </w:p>
    <w:p w14:paraId="388CBE0F" w14:textId="77777777" w:rsidR="007E7678" w:rsidRPr="00156F90" w:rsidRDefault="007E7678" w:rsidP="007E7678">
      <w:pPr>
        <w:pStyle w:val="PI-3EMEASMCA"/>
      </w:pPr>
      <w:r w:rsidRPr="00156F90">
        <w:t xml:space="preserve">Pamiršus pavartoti </w:t>
      </w:r>
      <w:proofErr w:type="spellStart"/>
      <w:r w:rsidRPr="00156F90">
        <w:t>Stoptussin</w:t>
      </w:r>
      <w:proofErr w:type="spellEnd"/>
    </w:p>
    <w:p w14:paraId="0A64231D" w14:textId="77777777" w:rsidR="007E7678" w:rsidRPr="00156F90" w:rsidRDefault="007E7678" w:rsidP="007E7678">
      <w:pPr>
        <w:pStyle w:val="BTEMEASMCA"/>
        <w:rPr>
          <w:noProof w:val="0"/>
        </w:rPr>
      </w:pPr>
      <w:r w:rsidRPr="00156F90">
        <w:rPr>
          <w:noProof w:val="0"/>
        </w:rPr>
        <w:t>Negalima vartoti dvigubos dozės norint kompensuoti praleistą tabletę.</w:t>
      </w:r>
    </w:p>
    <w:p w14:paraId="3EA3C4F6" w14:textId="77777777" w:rsidR="007E7678" w:rsidRPr="00156F90" w:rsidRDefault="007E7678" w:rsidP="007E7678">
      <w:pPr>
        <w:pStyle w:val="BTEMEASMCA"/>
        <w:rPr>
          <w:noProof w:val="0"/>
        </w:rPr>
      </w:pPr>
    </w:p>
    <w:p w14:paraId="2BC7D867" w14:textId="77777777" w:rsidR="007E7678" w:rsidRPr="00156F90" w:rsidRDefault="007E7678" w:rsidP="007E7678">
      <w:pPr>
        <w:pStyle w:val="BTEMEASMCA"/>
      </w:pPr>
      <w:bookmarkStart w:id="8" w:name="_Toc129243142"/>
      <w:bookmarkStart w:id="9" w:name="_Toc129243267"/>
    </w:p>
    <w:p w14:paraId="2CC5A263" w14:textId="77777777" w:rsidR="007E7678" w:rsidRPr="00156F90" w:rsidRDefault="007E7678" w:rsidP="007E7678">
      <w:pPr>
        <w:pStyle w:val="BTEMEASMCA"/>
        <w:rPr>
          <w:b/>
          <w:bCs/>
        </w:rPr>
      </w:pPr>
      <w:r w:rsidRPr="00156F90">
        <w:rPr>
          <w:b/>
          <w:bCs/>
        </w:rPr>
        <w:t>4.</w:t>
      </w:r>
      <w:r w:rsidRPr="00156F90">
        <w:rPr>
          <w:b/>
          <w:bCs/>
        </w:rPr>
        <w:tab/>
      </w:r>
      <w:bookmarkEnd w:id="8"/>
      <w:bookmarkEnd w:id="9"/>
      <w:r w:rsidRPr="00156F90">
        <w:rPr>
          <w:b/>
          <w:bCs/>
        </w:rPr>
        <w:t>Galimas šalutinis poveikis</w:t>
      </w:r>
    </w:p>
    <w:p w14:paraId="34F387EF" w14:textId="77777777" w:rsidR="007E7678" w:rsidRPr="00156F90" w:rsidRDefault="007E7678" w:rsidP="007E7678">
      <w:pPr>
        <w:pStyle w:val="BTEMEASMCA"/>
        <w:rPr>
          <w:noProof w:val="0"/>
        </w:rPr>
      </w:pPr>
    </w:p>
    <w:p w14:paraId="7DB298BD" w14:textId="77777777" w:rsidR="007E7678" w:rsidRPr="00156F90" w:rsidRDefault="007E7678" w:rsidP="007E7678">
      <w:pPr>
        <w:pStyle w:val="BTEMEASMCA"/>
        <w:rPr>
          <w:noProof w:val="0"/>
        </w:rPr>
      </w:pPr>
      <w:r w:rsidRPr="00156F90">
        <w:rPr>
          <w:noProof w:val="0"/>
        </w:rPr>
        <w:t>Šis vaistas, kaip ir visi kiti, gali sukelti šalutinį poveikį, nors jis pasireiškia ne visiems žmonėms.</w:t>
      </w:r>
    </w:p>
    <w:p w14:paraId="479A7E59" w14:textId="77777777" w:rsidR="007E7678" w:rsidRPr="00156F90" w:rsidRDefault="007E7678" w:rsidP="007E7678">
      <w:pPr>
        <w:pStyle w:val="BTEMEASMCA"/>
        <w:rPr>
          <w:noProof w:val="0"/>
        </w:rPr>
      </w:pPr>
    </w:p>
    <w:p w14:paraId="0CEE078F" w14:textId="77777777" w:rsidR="007E7678" w:rsidRPr="00156F90" w:rsidRDefault="007E7678" w:rsidP="007E7678">
      <w:pPr>
        <w:rPr>
          <w:sz w:val="22"/>
          <w:szCs w:val="22"/>
          <w:lang w:val="lt-LT"/>
        </w:rPr>
      </w:pPr>
      <w:r w:rsidRPr="00156F90">
        <w:rPr>
          <w:sz w:val="22"/>
          <w:szCs w:val="22"/>
          <w:lang w:val="lt-LT"/>
        </w:rPr>
        <w:t>Dažniausiai nustatytas nepageidaujamas poveikis: virškinimo trakto sutrikimai (pykinimas, anoreksija, pilvo skausmas, vėmimas, viduriavimas), galvos skausmas ir galvos svaigimas. Toks poveikis pasireiškė 1 % ligonių ir išnyko, sumažinus dozę. Be to, galimi alerginiai odos simptomai.</w:t>
      </w:r>
    </w:p>
    <w:p w14:paraId="22A4A9A8" w14:textId="77777777" w:rsidR="007E7678" w:rsidRPr="00156F90" w:rsidRDefault="007E7678" w:rsidP="007E7678">
      <w:pPr>
        <w:jc w:val="both"/>
        <w:rPr>
          <w:sz w:val="22"/>
          <w:szCs w:val="22"/>
          <w:lang w:val="lt-LT"/>
        </w:rPr>
      </w:pPr>
    </w:p>
    <w:p w14:paraId="220D480F" w14:textId="77777777" w:rsidR="007E7678" w:rsidRPr="00156F90" w:rsidRDefault="007E7678" w:rsidP="007E7678">
      <w:pPr>
        <w:jc w:val="both"/>
        <w:rPr>
          <w:sz w:val="22"/>
          <w:szCs w:val="22"/>
          <w:lang w:val="lt-LT"/>
        </w:rPr>
      </w:pPr>
      <w:r w:rsidRPr="00156F90">
        <w:rPr>
          <w:sz w:val="22"/>
          <w:szCs w:val="22"/>
          <w:lang w:val="lt-LT"/>
        </w:rPr>
        <w:t>Nepageidaujamos reakcijos išvardytos pagal organų sistemų klases. Nepageidaujamo poveikio dažnis apibūdinamas taip: labai dažnas (≥ 1/10), dažnas (nuo ≥ 1/100 iki &lt; 1/10), nedažnas (nuo ≥ 1/1000 iki &lt; 1/100), retas (nuo ≥ 1/10000 iki &lt; 1/1000), labai retas (&lt; 1/10000) ir nežinomas (negali būti apskaičiuotas pagal turimus duomenis).</w:t>
      </w:r>
    </w:p>
    <w:p w14:paraId="72921980" w14:textId="77777777" w:rsidR="007E7678" w:rsidRPr="00156F90" w:rsidRDefault="007E7678" w:rsidP="007E7678">
      <w:pPr>
        <w:jc w:val="both"/>
        <w:rPr>
          <w:sz w:val="22"/>
          <w:szCs w:val="22"/>
          <w:lang w:val="lt-LT"/>
        </w:rPr>
      </w:pPr>
    </w:p>
    <w:p w14:paraId="69E92A39" w14:textId="77777777" w:rsidR="007E7678" w:rsidRPr="00156F90" w:rsidRDefault="007E7678" w:rsidP="007E7678">
      <w:pPr>
        <w:jc w:val="both"/>
        <w:rPr>
          <w:sz w:val="22"/>
          <w:szCs w:val="22"/>
          <w:u w:val="single"/>
          <w:lang w:val="lt-LT"/>
        </w:rPr>
      </w:pPr>
      <w:r w:rsidRPr="00156F90">
        <w:rPr>
          <w:sz w:val="22"/>
          <w:szCs w:val="22"/>
          <w:u w:val="single"/>
          <w:lang w:val="lt-LT"/>
        </w:rPr>
        <w:t>Odos ir poodinio audinio sutrikimai</w:t>
      </w:r>
    </w:p>
    <w:p w14:paraId="3105CE1C" w14:textId="77777777" w:rsidR="007E7678" w:rsidRPr="00156F90" w:rsidRDefault="007E7678" w:rsidP="007E7678">
      <w:pPr>
        <w:rPr>
          <w:sz w:val="22"/>
          <w:szCs w:val="22"/>
          <w:lang w:val="lt-LT"/>
        </w:rPr>
      </w:pPr>
      <w:r w:rsidRPr="00156F90">
        <w:rPr>
          <w:sz w:val="22"/>
          <w:szCs w:val="22"/>
          <w:lang w:val="lt-LT"/>
        </w:rPr>
        <w:t>Nedažn</w:t>
      </w:r>
      <w:r>
        <w:rPr>
          <w:sz w:val="22"/>
          <w:szCs w:val="22"/>
          <w:lang w:val="lt-LT"/>
        </w:rPr>
        <w:t>as</w:t>
      </w:r>
      <w:r w:rsidRPr="00156F90">
        <w:rPr>
          <w:sz w:val="22"/>
          <w:szCs w:val="22"/>
          <w:lang w:val="lt-LT"/>
        </w:rPr>
        <w:t xml:space="preserve"> ( nuo ≥ 1/1 000 iki &lt; 1/100): išbėrimas, dilgėlinė, niežulys.</w:t>
      </w:r>
    </w:p>
    <w:p w14:paraId="46C0D63F" w14:textId="77777777" w:rsidR="007E7678" w:rsidRPr="00156F90" w:rsidRDefault="007E7678" w:rsidP="007E7678">
      <w:pPr>
        <w:rPr>
          <w:sz w:val="22"/>
          <w:szCs w:val="22"/>
          <w:lang w:val="lt-LT"/>
        </w:rPr>
      </w:pPr>
    </w:p>
    <w:p w14:paraId="6EE81310" w14:textId="77777777" w:rsidR="007E7678" w:rsidRPr="00156F90" w:rsidRDefault="007E7678" w:rsidP="007E7678">
      <w:pPr>
        <w:rPr>
          <w:sz w:val="22"/>
          <w:szCs w:val="22"/>
          <w:u w:val="single"/>
          <w:lang w:val="lt-LT"/>
        </w:rPr>
      </w:pPr>
      <w:r w:rsidRPr="00156F90">
        <w:rPr>
          <w:sz w:val="22"/>
          <w:szCs w:val="22"/>
          <w:u w:val="single"/>
          <w:lang w:val="lt-LT"/>
        </w:rPr>
        <w:lastRenderedPageBreak/>
        <w:t>Nervų sistemos sutrikimai</w:t>
      </w:r>
    </w:p>
    <w:p w14:paraId="58304765" w14:textId="77777777" w:rsidR="007E7678" w:rsidRPr="00156F90" w:rsidRDefault="007E7678" w:rsidP="007E7678">
      <w:pPr>
        <w:rPr>
          <w:sz w:val="22"/>
          <w:szCs w:val="22"/>
          <w:lang w:val="lt-LT"/>
        </w:rPr>
      </w:pPr>
      <w:r w:rsidRPr="00156F90">
        <w:rPr>
          <w:sz w:val="22"/>
          <w:szCs w:val="22"/>
          <w:lang w:val="lt-LT"/>
        </w:rPr>
        <w:t>Dažn</w:t>
      </w:r>
      <w:r>
        <w:rPr>
          <w:sz w:val="22"/>
          <w:szCs w:val="22"/>
          <w:lang w:val="lt-LT"/>
        </w:rPr>
        <w:t>as</w:t>
      </w:r>
      <w:r w:rsidRPr="00156F90">
        <w:rPr>
          <w:sz w:val="22"/>
          <w:szCs w:val="22"/>
          <w:lang w:val="lt-LT"/>
        </w:rPr>
        <w:t xml:space="preserve"> ( nuo ≥ 1/100 iki &lt; 1/10): galvos skausmas, galvos sukimasis.</w:t>
      </w:r>
    </w:p>
    <w:p w14:paraId="4F2FCDD3" w14:textId="77777777" w:rsidR="007E7678" w:rsidRPr="00156F90" w:rsidRDefault="007E7678" w:rsidP="007E7678">
      <w:pPr>
        <w:rPr>
          <w:sz w:val="22"/>
          <w:szCs w:val="22"/>
          <w:lang w:val="lt-LT"/>
        </w:rPr>
      </w:pPr>
    </w:p>
    <w:p w14:paraId="77F7F336" w14:textId="77777777" w:rsidR="007E7678" w:rsidRPr="00156F90" w:rsidRDefault="007E7678" w:rsidP="007E7678">
      <w:pPr>
        <w:rPr>
          <w:sz w:val="22"/>
          <w:szCs w:val="22"/>
          <w:u w:val="single"/>
          <w:lang w:val="lt-LT"/>
        </w:rPr>
      </w:pPr>
      <w:r w:rsidRPr="00156F90">
        <w:rPr>
          <w:sz w:val="22"/>
          <w:szCs w:val="22"/>
          <w:u w:val="single"/>
          <w:lang w:val="lt-LT"/>
        </w:rPr>
        <w:t>Virškinimo sutrikimai</w:t>
      </w:r>
    </w:p>
    <w:p w14:paraId="7E3A5D78" w14:textId="77777777" w:rsidR="007E7678" w:rsidRPr="00156F90" w:rsidRDefault="007E7678" w:rsidP="007E7678">
      <w:pPr>
        <w:pStyle w:val="BTEMEASMCA"/>
        <w:rPr>
          <w:noProof w:val="0"/>
        </w:rPr>
      </w:pPr>
      <w:r w:rsidRPr="00156F90">
        <w:t>Dažn</w:t>
      </w:r>
      <w:r>
        <w:t>as</w:t>
      </w:r>
      <w:r w:rsidRPr="00156F90">
        <w:t xml:space="preserve"> ( nuo ≥ 1/100 iki &lt; 1/10): pykinimas, anoreksija, pilvo skausmas, vėmimas, viduriavimas.</w:t>
      </w:r>
    </w:p>
    <w:p w14:paraId="2020B25E" w14:textId="77777777" w:rsidR="007E7678" w:rsidRPr="00156F90" w:rsidRDefault="007E7678" w:rsidP="007E7678">
      <w:pPr>
        <w:pStyle w:val="BTEMEASMCA"/>
        <w:rPr>
          <w:noProof w:val="0"/>
        </w:rPr>
      </w:pPr>
    </w:p>
    <w:p w14:paraId="216777AC" w14:textId="77777777" w:rsidR="007E7678" w:rsidRPr="00156F90" w:rsidRDefault="007E7678" w:rsidP="007E7678">
      <w:pPr>
        <w:rPr>
          <w:sz w:val="22"/>
          <w:szCs w:val="22"/>
          <w:u w:val="single"/>
          <w:lang w:val="lt-LT"/>
        </w:rPr>
      </w:pPr>
      <w:r w:rsidRPr="00156F90">
        <w:rPr>
          <w:sz w:val="22"/>
          <w:szCs w:val="22"/>
          <w:u w:val="single"/>
          <w:lang w:val="lt-LT"/>
        </w:rPr>
        <w:t>Ausies ir labirinto sutrikimai</w:t>
      </w:r>
    </w:p>
    <w:p w14:paraId="1966CBD1" w14:textId="77777777" w:rsidR="007E7678" w:rsidRPr="00156F90" w:rsidRDefault="007E7678" w:rsidP="007E7678">
      <w:pPr>
        <w:rPr>
          <w:sz w:val="22"/>
          <w:szCs w:val="22"/>
          <w:lang w:val="lt-LT"/>
        </w:rPr>
      </w:pPr>
      <w:r w:rsidRPr="00156F90">
        <w:rPr>
          <w:sz w:val="22"/>
          <w:szCs w:val="22"/>
          <w:lang w:val="lt-LT"/>
        </w:rPr>
        <w:t>Dažnas ( nuo ≥ 1/100 iki &lt; 1/10): galvos svaigimas.</w:t>
      </w:r>
    </w:p>
    <w:p w14:paraId="17A5CB99" w14:textId="77777777" w:rsidR="007E7678" w:rsidRPr="00156F90" w:rsidRDefault="007E7678" w:rsidP="007E7678">
      <w:pPr>
        <w:rPr>
          <w:sz w:val="22"/>
          <w:szCs w:val="22"/>
          <w:lang w:val="lt-LT"/>
        </w:rPr>
      </w:pPr>
    </w:p>
    <w:p w14:paraId="4E8068AD" w14:textId="77777777" w:rsidR="007E7678" w:rsidRPr="00156F90" w:rsidRDefault="007E7678" w:rsidP="007E7678">
      <w:pPr>
        <w:rPr>
          <w:sz w:val="22"/>
          <w:szCs w:val="22"/>
          <w:u w:val="single"/>
          <w:lang w:val="lt-LT"/>
        </w:rPr>
      </w:pPr>
      <w:r w:rsidRPr="00156F90">
        <w:rPr>
          <w:sz w:val="22"/>
          <w:szCs w:val="22"/>
          <w:u w:val="single"/>
          <w:lang w:val="lt-LT"/>
        </w:rPr>
        <w:t>Metabolizmo ir mitybos sutrikimai</w:t>
      </w:r>
    </w:p>
    <w:p w14:paraId="2F3C8240" w14:textId="77777777" w:rsidR="007E7678" w:rsidRPr="00156F90" w:rsidRDefault="007E7678" w:rsidP="007E7678">
      <w:pPr>
        <w:pStyle w:val="BTEMEASMCA"/>
      </w:pPr>
      <w:r w:rsidRPr="00156F90">
        <w:t>Dažnas ( nuo ≥ 1/100 iki &lt; 1/10): anoreksija.</w:t>
      </w:r>
    </w:p>
    <w:p w14:paraId="3F5D9D14" w14:textId="77777777" w:rsidR="007E7678" w:rsidRPr="00156F90" w:rsidRDefault="007E7678" w:rsidP="007E7678">
      <w:pPr>
        <w:pStyle w:val="BTEMEASMCA"/>
        <w:rPr>
          <w:noProof w:val="0"/>
        </w:rPr>
      </w:pPr>
    </w:p>
    <w:p w14:paraId="055FDB37" w14:textId="77777777" w:rsidR="007E7678" w:rsidRPr="00156F90" w:rsidRDefault="007E7678" w:rsidP="007E7678">
      <w:pPr>
        <w:tabs>
          <w:tab w:val="left" w:pos="567"/>
        </w:tabs>
        <w:rPr>
          <w:rFonts w:eastAsia="Times New Roman"/>
          <w:b/>
          <w:snapToGrid w:val="0"/>
          <w:sz w:val="22"/>
          <w:szCs w:val="22"/>
          <w:lang w:val="lt-LT"/>
        </w:rPr>
      </w:pPr>
      <w:r w:rsidRPr="00156F90">
        <w:rPr>
          <w:rFonts w:eastAsia="Times New Roman"/>
          <w:b/>
          <w:noProof/>
          <w:snapToGrid w:val="0"/>
          <w:sz w:val="22"/>
          <w:szCs w:val="22"/>
          <w:lang w:val="lt-LT"/>
        </w:rPr>
        <w:t>Pranešimas apie šalutinį poveikį</w:t>
      </w:r>
    </w:p>
    <w:p w14:paraId="49698361" w14:textId="77777777" w:rsidR="007E7678" w:rsidRPr="00156F90" w:rsidRDefault="007E7678" w:rsidP="007E7678">
      <w:pPr>
        <w:pStyle w:val="BTEMEASMCA"/>
        <w:rPr>
          <w:noProof w:val="0"/>
        </w:rPr>
      </w:pPr>
      <w:r w:rsidRPr="00156F90">
        <w:rPr>
          <w:rFonts w:eastAsia="Times New Roman"/>
          <w:noProof w:val="0"/>
          <w:snapToGrid w:val="0"/>
        </w:rPr>
        <w:t xml:space="preserve">Jeigu pasireiškė šalutinis poveikis, įskaitant šiame lapelyje nenurodytą, pasakykite gydytojui arba vaistininkui arba slaugytojui. </w:t>
      </w:r>
      <w:r w:rsidRPr="002410CF">
        <w:rPr>
          <w:lang w:eastAsia="lt-LT"/>
        </w:rPr>
        <w:t xml:space="preserve">Pranešimą apie šalutinį poveikį galite užpildyti ir pateikti Valstybinės vaistų kontrolės tarnybos prie Lietuvos Respublikos sveikatos apsaugos ministerijos tinklalapyje </w:t>
      </w:r>
      <w:r w:rsidRPr="002410CF">
        <w:rPr>
          <w:color w:val="0000EE"/>
          <w:u w:val="single"/>
          <w:lang w:eastAsia="lt-LT"/>
        </w:rPr>
        <w:t>https://vvkt.lrv.lt/lt/</w:t>
      </w:r>
      <w:r w:rsidRPr="002410CF">
        <w:rPr>
          <w:lang w:eastAsia="lt-LT"/>
        </w:rPr>
        <w:t xml:space="preserve"> nurodytais būdais arba paskambinti nemokamu telefonu </w:t>
      </w:r>
      <w:r>
        <w:rPr>
          <w:lang w:eastAsia="lt-LT"/>
        </w:rPr>
        <w:t>+370</w:t>
      </w:r>
      <w:r w:rsidRPr="002410CF">
        <w:rPr>
          <w:lang w:eastAsia="lt-LT"/>
        </w:rPr>
        <w:t xml:space="preserve"> 800 73 568</w:t>
      </w:r>
      <w:r w:rsidRPr="00156F90">
        <w:rPr>
          <w:rFonts w:eastAsia="Times New Roman"/>
          <w:noProof w:val="0"/>
          <w:snapToGrid w:val="0"/>
        </w:rPr>
        <w:t>. Pranešdami apie šalutinį poveikį galite mums padėti gauti daugiau informacijos apie šio vaisto saugumą.</w:t>
      </w:r>
    </w:p>
    <w:p w14:paraId="6FE1F521" w14:textId="77777777" w:rsidR="007E7678" w:rsidRPr="00156F90" w:rsidRDefault="007E7678" w:rsidP="007E7678">
      <w:pPr>
        <w:pStyle w:val="BTEMEASMCA"/>
        <w:rPr>
          <w:noProof w:val="0"/>
        </w:rPr>
      </w:pPr>
    </w:p>
    <w:p w14:paraId="4A85EB79" w14:textId="77777777" w:rsidR="007E7678" w:rsidRPr="00156F90" w:rsidRDefault="007E7678" w:rsidP="007E7678">
      <w:pPr>
        <w:pStyle w:val="BTEMEASMCA"/>
        <w:rPr>
          <w:noProof w:val="0"/>
        </w:rPr>
      </w:pPr>
    </w:p>
    <w:p w14:paraId="0EA75DCC" w14:textId="77777777" w:rsidR="007E7678" w:rsidRPr="00156F90" w:rsidRDefault="007E7678" w:rsidP="007E7678">
      <w:pPr>
        <w:pStyle w:val="PI-1EMEASMCA"/>
      </w:pPr>
      <w:bookmarkStart w:id="10" w:name="_Toc129243143"/>
      <w:bookmarkStart w:id="11" w:name="_Toc129243268"/>
      <w:r w:rsidRPr="00156F90">
        <w:t>5.</w:t>
      </w:r>
      <w:r w:rsidRPr="00156F90">
        <w:tab/>
      </w:r>
      <w:bookmarkEnd w:id="10"/>
      <w:bookmarkEnd w:id="11"/>
      <w:r w:rsidRPr="00156F90">
        <w:t xml:space="preserve">Kaip </w:t>
      </w:r>
      <w:proofErr w:type="spellStart"/>
      <w:r w:rsidRPr="00156F90">
        <w:t>laikyti</w:t>
      </w:r>
      <w:proofErr w:type="spellEnd"/>
      <w:r w:rsidRPr="00156F90">
        <w:t xml:space="preserve"> </w:t>
      </w:r>
      <w:proofErr w:type="spellStart"/>
      <w:r w:rsidRPr="00156F90">
        <w:t>Stoptussin</w:t>
      </w:r>
      <w:proofErr w:type="spellEnd"/>
    </w:p>
    <w:p w14:paraId="45C6109C" w14:textId="77777777" w:rsidR="007E7678" w:rsidRPr="00156F90" w:rsidRDefault="007E7678" w:rsidP="007E7678">
      <w:pPr>
        <w:pStyle w:val="BTEMEASMCA"/>
        <w:rPr>
          <w:noProof w:val="0"/>
        </w:rPr>
      </w:pPr>
    </w:p>
    <w:p w14:paraId="5A77FEAC" w14:textId="77777777" w:rsidR="007E7678" w:rsidRPr="00156F90" w:rsidRDefault="007E7678" w:rsidP="007E7678">
      <w:pPr>
        <w:pStyle w:val="BTEMEASMCA"/>
        <w:rPr>
          <w:noProof w:val="0"/>
        </w:rPr>
      </w:pPr>
      <w:r w:rsidRPr="00156F90">
        <w:rPr>
          <w:noProof w:val="0"/>
        </w:rPr>
        <w:t>Šį vaistą laikykite vaikams nepastebimoje ir nepasiekiamoje vietoje.</w:t>
      </w:r>
    </w:p>
    <w:p w14:paraId="4871E9B2" w14:textId="77777777" w:rsidR="007E7678" w:rsidRPr="00156F90" w:rsidRDefault="007E7678" w:rsidP="007E7678">
      <w:pPr>
        <w:rPr>
          <w:noProof/>
          <w:sz w:val="22"/>
          <w:szCs w:val="22"/>
          <w:lang w:val="lt-LT"/>
        </w:rPr>
      </w:pPr>
      <w:r w:rsidRPr="00156F90">
        <w:rPr>
          <w:sz w:val="22"/>
          <w:szCs w:val="22"/>
          <w:lang w:val="lt-LT"/>
        </w:rPr>
        <w:t>Laikyti ne aukštesnėje kaip 25 ºC temperatūroje. Laikyti</w:t>
      </w:r>
      <w:r w:rsidRPr="00156F90">
        <w:rPr>
          <w:noProof/>
          <w:sz w:val="22"/>
          <w:szCs w:val="22"/>
          <w:lang w:val="lt-LT"/>
        </w:rPr>
        <w:t xml:space="preserve"> gamintojo pakuotėje</w:t>
      </w:r>
      <w:r w:rsidRPr="00156F90">
        <w:rPr>
          <w:sz w:val="22"/>
          <w:szCs w:val="22"/>
          <w:lang w:val="lt-LT"/>
        </w:rPr>
        <w:t xml:space="preserve">, </w:t>
      </w:r>
      <w:r w:rsidRPr="00156F90">
        <w:rPr>
          <w:noProof/>
          <w:sz w:val="22"/>
          <w:szCs w:val="22"/>
          <w:lang w:val="lt-LT"/>
        </w:rPr>
        <w:t xml:space="preserve">kad </w:t>
      </w:r>
      <w:r>
        <w:rPr>
          <w:noProof/>
          <w:sz w:val="22"/>
          <w:szCs w:val="22"/>
          <w:lang w:val="lt-LT"/>
        </w:rPr>
        <w:t>vaistas</w:t>
      </w:r>
      <w:r w:rsidRPr="00156F90">
        <w:rPr>
          <w:noProof/>
          <w:sz w:val="22"/>
          <w:szCs w:val="22"/>
          <w:lang w:val="lt-LT"/>
        </w:rPr>
        <w:t xml:space="preserve"> būtų apsaugotas nuo drėgmės.</w:t>
      </w:r>
    </w:p>
    <w:p w14:paraId="551F2A01" w14:textId="77777777" w:rsidR="007E7678" w:rsidRPr="00156F90" w:rsidRDefault="007E7678" w:rsidP="007E7678">
      <w:pPr>
        <w:pStyle w:val="BTEMEASMCA"/>
        <w:rPr>
          <w:noProof w:val="0"/>
        </w:rPr>
      </w:pPr>
    </w:p>
    <w:p w14:paraId="279B4820" w14:textId="77777777" w:rsidR="007E7678" w:rsidRPr="00156F90" w:rsidRDefault="007E7678" w:rsidP="007E7678">
      <w:pPr>
        <w:pStyle w:val="BTEMEASMCA"/>
        <w:jc w:val="both"/>
        <w:rPr>
          <w:noProof w:val="0"/>
        </w:rPr>
      </w:pPr>
      <w:r w:rsidRPr="00156F90">
        <w:rPr>
          <w:noProof w:val="0"/>
        </w:rPr>
        <w:t>Ant dėžutės po „Tinka iki“ ir lizdinės plokštelės nurodytam tinkamumo laikui pasibaigus, šio vaisto vartoti negalima. Vaistas tinkamas vartoti iki paskutinės nurodyto mėnesio dienos.</w:t>
      </w:r>
    </w:p>
    <w:p w14:paraId="0B2AAC59" w14:textId="77777777" w:rsidR="007E7678" w:rsidRPr="00156F90" w:rsidRDefault="007E7678" w:rsidP="007E7678">
      <w:pPr>
        <w:pStyle w:val="BTEMEASMCA"/>
        <w:rPr>
          <w:noProof w:val="0"/>
        </w:rPr>
      </w:pPr>
    </w:p>
    <w:p w14:paraId="7F229910" w14:textId="77777777" w:rsidR="007E7678" w:rsidRPr="00156F90" w:rsidRDefault="007E7678" w:rsidP="007E7678">
      <w:pPr>
        <w:pStyle w:val="BTEMEASMCA"/>
        <w:rPr>
          <w:noProof w:val="0"/>
        </w:rPr>
      </w:pPr>
      <w:r w:rsidRPr="00156F90">
        <w:rPr>
          <w:noProof w:val="0"/>
        </w:rPr>
        <w:t>Vaistų negalima išmesti į kanalizaciją arba su buitinėmis atliekomis. Kaip išmesti nereikalingus vaistus, klauskite vaistininko. Šios priemonės padės apsaugoti aplinką.</w:t>
      </w:r>
    </w:p>
    <w:p w14:paraId="6D56E6A2" w14:textId="77777777" w:rsidR="007E7678" w:rsidRPr="00156F90" w:rsidRDefault="007E7678" w:rsidP="007E7678">
      <w:pPr>
        <w:pStyle w:val="BTEMEASMCA"/>
        <w:rPr>
          <w:noProof w:val="0"/>
        </w:rPr>
      </w:pPr>
    </w:p>
    <w:p w14:paraId="39DABD61" w14:textId="77777777" w:rsidR="007E7678" w:rsidRPr="00156F90" w:rsidRDefault="007E7678" w:rsidP="007E7678">
      <w:pPr>
        <w:pStyle w:val="BTEMEASMCA"/>
        <w:rPr>
          <w:noProof w:val="0"/>
        </w:rPr>
      </w:pPr>
    </w:p>
    <w:p w14:paraId="179FF4B4" w14:textId="77777777" w:rsidR="007E7678" w:rsidRPr="00156F90" w:rsidRDefault="007E7678" w:rsidP="007E7678">
      <w:pPr>
        <w:pStyle w:val="PI-1EMEASMCA"/>
      </w:pPr>
      <w:bookmarkStart w:id="12" w:name="_Toc129243144"/>
      <w:bookmarkStart w:id="13" w:name="_Toc129243269"/>
      <w:r w:rsidRPr="00156F90">
        <w:t>6.</w:t>
      </w:r>
      <w:r w:rsidRPr="00156F90">
        <w:tab/>
      </w:r>
      <w:proofErr w:type="spellStart"/>
      <w:r w:rsidRPr="00156F90">
        <w:t>Pakuotės</w:t>
      </w:r>
      <w:proofErr w:type="spellEnd"/>
      <w:r w:rsidRPr="00156F90">
        <w:t xml:space="preserve"> </w:t>
      </w:r>
      <w:proofErr w:type="spellStart"/>
      <w:r w:rsidRPr="00156F90">
        <w:t>turinys</w:t>
      </w:r>
      <w:proofErr w:type="spellEnd"/>
      <w:r w:rsidRPr="00156F90">
        <w:t xml:space="preserve"> </w:t>
      </w:r>
      <w:proofErr w:type="spellStart"/>
      <w:r w:rsidRPr="00156F90">
        <w:t>ir</w:t>
      </w:r>
      <w:proofErr w:type="spellEnd"/>
      <w:r w:rsidRPr="00156F90">
        <w:t xml:space="preserve"> </w:t>
      </w:r>
      <w:proofErr w:type="spellStart"/>
      <w:r w:rsidRPr="00156F90">
        <w:t>kita</w:t>
      </w:r>
      <w:proofErr w:type="spellEnd"/>
      <w:r w:rsidRPr="00156F90">
        <w:t xml:space="preserve"> </w:t>
      </w:r>
      <w:proofErr w:type="spellStart"/>
      <w:r w:rsidRPr="00156F90">
        <w:t>informacija</w:t>
      </w:r>
      <w:bookmarkEnd w:id="12"/>
      <w:bookmarkEnd w:id="13"/>
      <w:proofErr w:type="spellEnd"/>
    </w:p>
    <w:p w14:paraId="6E7B5549" w14:textId="77777777" w:rsidR="007E7678" w:rsidRPr="00156F90" w:rsidRDefault="007E7678" w:rsidP="007E7678">
      <w:pPr>
        <w:pStyle w:val="BTEMEASMCA"/>
        <w:rPr>
          <w:noProof w:val="0"/>
        </w:rPr>
      </w:pPr>
    </w:p>
    <w:p w14:paraId="0C83BEB2" w14:textId="77777777" w:rsidR="007E7678" w:rsidRPr="00156F90" w:rsidRDefault="007E7678" w:rsidP="007E7678">
      <w:pPr>
        <w:pStyle w:val="PI-3EMEASMCA"/>
        <w:rPr>
          <w:u w:val="single"/>
        </w:rPr>
      </w:pPr>
      <w:proofErr w:type="spellStart"/>
      <w:r w:rsidRPr="00156F90">
        <w:t>Stoptussin</w:t>
      </w:r>
      <w:proofErr w:type="spellEnd"/>
      <w:r w:rsidRPr="00156F90">
        <w:t xml:space="preserve"> sudėtis</w:t>
      </w:r>
    </w:p>
    <w:p w14:paraId="353758CE" w14:textId="77777777" w:rsidR="007E7678" w:rsidRPr="00156F90" w:rsidRDefault="007E7678" w:rsidP="007E7678">
      <w:pPr>
        <w:pStyle w:val="BT-EMEASMCA"/>
        <w:tabs>
          <w:tab w:val="clear" w:pos="720"/>
        </w:tabs>
        <w:ind w:left="567" w:hanging="567"/>
      </w:pPr>
      <w:r w:rsidRPr="00156F90">
        <w:t>Veikliosios medžiagos yra butamirato divandenilio citratas ir gvajfenezinas. Kiekvienoje tabletėje yra 4 mg butamirato divandenilio citrato ir 100 mg gvajfenezino.</w:t>
      </w:r>
    </w:p>
    <w:p w14:paraId="27569BC6" w14:textId="77777777" w:rsidR="007E7678" w:rsidRPr="00156F90" w:rsidRDefault="007E7678" w:rsidP="007E7678">
      <w:pPr>
        <w:pStyle w:val="BT-EMEASMCA"/>
        <w:tabs>
          <w:tab w:val="clear" w:pos="720"/>
        </w:tabs>
        <w:ind w:left="567" w:hanging="567"/>
      </w:pPr>
      <w:r w:rsidRPr="00156F90">
        <w:t xml:space="preserve">Pagalbinės medžiagos yra silicio dioksidas, manitolis (E421), mikrokristalinė celiuliozė, glicerino </w:t>
      </w:r>
      <w:r>
        <w:t>di</w:t>
      </w:r>
      <w:r w:rsidRPr="00156F90">
        <w:t>behenatas, magnio stearatas.</w:t>
      </w:r>
    </w:p>
    <w:p w14:paraId="40A2B29A" w14:textId="77777777" w:rsidR="007E7678" w:rsidRPr="00156F90" w:rsidRDefault="007E7678" w:rsidP="007E7678">
      <w:pPr>
        <w:pStyle w:val="BTEMEASMCA"/>
        <w:rPr>
          <w:noProof w:val="0"/>
        </w:rPr>
      </w:pPr>
    </w:p>
    <w:p w14:paraId="3CAA9636" w14:textId="77777777" w:rsidR="007E7678" w:rsidRPr="00156F90" w:rsidRDefault="007E7678" w:rsidP="007E7678">
      <w:pPr>
        <w:pStyle w:val="PI-3EMEASMCA"/>
      </w:pPr>
      <w:proofErr w:type="spellStart"/>
      <w:r w:rsidRPr="00156F90">
        <w:t>Stoptussin</w:t>
      </w:r>
      <w:proofErr w:type="spellEnd"/>
      <w:r w:rsidRPr="00156F90">
        <w:t xml:space="preserve"> išvaizda ir kiekis pakuotėje</w:t>
      </w:r>
    </w:p>
    <w:p w14:paraId="77516E67" w14:textId="77777777" w:rsidR="007E7678" w:rsidRPr="00156F90" w:rsidRDefault="007E7678" w:rsidP="007E7678">
      <w:pPr>
        <w:pStyle w:val="BTEMEASMCA"/>
      </w:pPr>
      <w:r w:rsidRPr="00156F90">
        <w:t>Stoptussin yra apvalios, baltos tabletės su laužimo vagele. Tabletę galima padalyti į  lygias dozes.</w:t>
      </w:r>
    </w:p>
    <w:p w14:paraId="0A056EFD" w14:textId="77777777" w:rsidR="007E7678" w:rsidRPr="00156F90" w:rsidRDefault="007E7678" w:rsidP="007E7678">
      <w:pPr>
        <w:pStyle w:val="BTEMEASMCA"/>
        <w:rPr>
          <w:noProof w:val="0"/>
          <w:u w:val="single"/>
        </w:rPr>
      </w:pPr>
      <w:r w:rsidRPr="00156F90">
        <w:t>Kartono dėžutėje yra 20 tablečių lizdinėse plokštelėse.</w:t>
      </w:r>
    </w:p>
    <w:p w14:paraId="0D7FA645" w14:textId="77777777" w:rsidR="007E7678" w:rsidRPr="00156F90" w:rsidRDefault="007E7678" w:rsidP="007E7678">
      <w:pPr>
        <w:pStyle w:val="BTEMEASMCA"/>
        <w:rPr>
          <w:noProof w:val="0"/>
        </w:rPr>
      </w:pPr>
    </w:p>
    <w:p w14:paraId="751A6E0B" w14:textId="77777777" w:rsidR="007E7678" w:rsidRPr="00156F90" w:rsidRDefault="007E7678" w:rsidP="007E7678">
      <w:pPr>
        <w:pStyle w:val="PI-3EMEASMCA"/>
      </w:pPr>
      <w:r w:rsidRPr="00156F90">
        <w:t xml:space="preserve">Registruotojas ir gamintojas </w:t>
      </w:r>
    </w:p>
    <w:p w14:paraId="11FC990E" w14:textId="77777777" w:rsidR="007E7678" w:rsidRPr="00156F90" w:rsidRDefault="007E7678" w:rsidP="007E7678">
      <w:pPr>
        <w:tabs>
          <w:tab w:val="left" w:pos="1605"/>
        </w:tabs>
        <w:rPr>
          <w:sz w:val="22"/>
          <w:szCs w:val="22"/>
          <w:lang w:val="lt-LT"/>
        </w:rPr>
      </w:pPr>
      <w:r w:rsidRPr="00156F90">
        <w:rPr>
          <w:sz w:val="22"/>
          <w:szCs w:val="22"/>
          <w:lang w:val="lt-LT"/>
        </w:rPr>
        <w:tab/>
      </w:r>
    </w:p>
    <w:p w14:paraId="228867B5" w14:textId="77777777" w:rsidR="007E7678" w:rsidRPr="00156F90" w:rsidRDefault="007E7678" w:rsidP="007E7678">
      <w:pPr>
        <w:rPr>
          <w:i/>
          <w:sz w:val="22"/>
          <w:szCs w:val="22"/>
          <w:lang w:val="lt-LT"/>
        </w:rPr>
      </w:pPr>
      <w:r w:rsidRPr="00156F90">
        <w:rPr>
          <w:i/>
          <w:sz w:val="22"/>
          <w:szCs w:val="22"/>
          <w:lang w:val="lt-LT"/>
        </w:rPr>
        <w:t>Registruotojas</w:t>
      </w:r>
    </w:p>
    <w:p w14:paraId="65FF5861" w14:textId="77777777" w:rsidR="007E7678" w:rsidRPr="0047125A" w:rsidRDefault="007E7678" w:rsidP="007E7678">
      <w:pPr>
        <w:shd w:val="clear" w:color="auto" w:fill="FFFFFF"/>
        <w:rPr>
          <w:rFonts w:eastAsia="Times New Roman"/>
          <w:color w:val="222222"/>
          <w:sz w:val="22"/>
          <w:szCs w:val="22"/>
          <w:lang w:val="lt-LT"/>
        </w:rPr>
      </w:pPr>
      <w:proofErr w:type="spellStart"/>
      <w:r w:rsidRPr="0047125A">
        <w:rPr>
          <w:rFonts w:eastAsia="Times New Roman"/>
          <w:bCs/>
          <w:color w:val="000000"/>
          <w:sz w:val="22"/>
          <w:szCs w:val="22"/>
          <w:lang w:val="lt-LT"/>
        </w:rPr>
        <w:t>Teva</w:t>
      </w:r>
      <w:proofErr w:type="spellEnd"/>
      <w:r w:rsidRPr="0047125A">
        <w:rPr>
          <w:rFonts w:eastAsia="Times New Roman"/>
          <w:bCs/>
          <w:color w:val="000000"/>
          <w:sz w:val="22"/>
          <w:szCs w:val="22"/>
          <w:lang w:val="lt-LT"/>
        </w:rPr>
        <w:t xml:space="preserve"> B.V.</w:t>
      </w:r>
    </w:p>
    <w:p w14:paraId="0FEE61F9" w14:textId="77777777" w:rsidR="007E7678" w:rsidRPr="0047125A" w:rsidRDefault="007E7678" w:rsidP="007E7678">
      <w:pPr>
        <w:shd w:val="clear" w:color="auto" w:fill="FFFFFF"/>
        <w:rPr>
          <w:rFonts w:eastAsia="Times New Roman"/>
          <w:color w:val="222222"/>
          <w:sz w:val="22"/>
          <w:szCs w:val="22"/>
          <w:lang w:val="lt-LT"/>
        </w:rPr>
      </w:pPr>
      <w:proofErr w:type="spellStart"/>
      <w:r w:rsidRPr="0047125A">
        <w:rPr>
          <w:rFonts w:eastAsia="Times New Roman"/>
          <w:bCs/>
          <w:color w:val="000000"/>
          <w:sz w:val="22"/>
          <w:szCs w:val="22"/>
          <w:lang w:val="lt-LT"/>
        </w:rPr>
        <w:t>Swensweg</w:t>
      </w:r>
      <w:proofErr w:type="spellEnd"/>
      <w:r w:rsidRPr="0047125A">
        <w:rPr>
          <w:rFonts w:eastAsia="Times New Roman"/>
          <w:bCs/>
          <w:color w:val="000000"/>
          <w:sz w:val="22"/>
          <w:szCs w:val="22"/>
          <w:lang w:val="lt-LT"/>
        </w:rPr>
        <w:t xml:space="preserve"> 5,</w:t>
      </w:r>
    </w:p>
    <w:p w14:paraId="4731540A" w14:textId="77777777" w:rsidR="007E7678" w:rsidRPr="0047125A" w:rsidRDefault="007E7678" w:rsidP="007E7678">
      <w:pPr>
        <w:shd w:val="clear" w:color="auto" w:fill="FFFFFF"/>
        <w:rPr>
          <w:rFonts w:eastAsia="Times New Roman"/>
          <w:color w:val="222222"/>
          <w:sz w:val="22"/>
          <w:szCs w:val="22"/>
          <w:lang w:val="lt-LT"/>
        </w:rPr>
      </w:pPr>
      <w:r w:rsidRPr="0047125A">
        <w:rPr>
          <w:rFonts w:eastAsia="Times New Roman"/>
          <w:bCs/>
          <w:color w:val="000000"/>
          <w:sz w:val="22"/>
          <w:szCs w:val="22"/>
          <w:lang w:val="lt-LT"/>
        </w:rPr>
        <w:t xml:space="preserve">2031 GA </w:t>
      </w:r>
      <w:proofErr w:type="spellStart"/>
      <w:r w:rsidRPr="0047125A">
        <w:rPr>
          <w:rFonts w:eastAsia="Times New Roman"/>
          <w:bCs/>
          <w:color w:val="000000"/>
          <w:sz w:val="22"/>
          <w:szCs w:val="22"/>
          <w:lang w:val="lt-LT"/>
        </w:rPr>
        <w:t>Haarlem</w:t>
      </w:r>
      <w:proofErr w:type="spellEnd"/>
      <w:r w:rsidRPr="0047125A">
        <w:rPr>
          <w:rFonts w:eastAsia="Times New Roman"/>
          <w:bCs/>
          <w:color w:val="000000"/>
          <w:sz w:val="22"/>
          <w:szCs w:val="22"/>
          <w:lang w:val="lt-LT"/>
        </w:rPr>
        <w:t>,</w:t>
      </w:r>
    </w:p>
    <w:p w14:paraId="4A71E185" w14:textId="77777777" w:rsidR="007E7678" w:rsidRPr="00156F90" w:rsidRDefault="007E7678" w:rsidP="007E7678">
      <w:pPr>
        <w:rPr>
          <w:sz w:val="22"/>
          <w:szCs w:val="22"/>
          <w:lang w:val="lt-LT"/>
        </w:rPr>
      </w:pPr>
      <w:r w:rsidRPr="0047125A">
        <w:rPr>
          <w:rFonts w:eastAsia="Times New Roman"/>
          <w:bCs/>
          <w:color w:val="000000"/>
          <w:sz w:val="22"/>
          <w:szCs w:val="22"/>
          <w:lang w:val="lt-LT"/>
        </w:rPr>
        <w:t>Nyderlandai</w:t>
      </w:r>
    </w:p>
    <w:p w14:paraId="0DE575A6" w14:textId="77777777" w:rsidR="007E7678" w:rsidRPr="00156F90" w:rsidRDefault="007E7678" w:rsidP="007E7678">
      <w:pPr>
        <w:rPr>
          <w:sz w:val="22"/>
          <w:szCs w:val="22"/>
          <w:lang w:val="lt-LT"/>
        </w:rPr>
      </w:pPr>
    </w:p>
    <w:p w14:paraId="36DF1BF9" w14:textId="77777777" w:rsidR="007E7678" w:rsidRPr="00156F90" w:rsidRDefault="007E7678" w:rsidP="007E7678">
      <w:pPr>
        <w:rPr>
          <w:i/>
          <w:noProof/>
          <w:sz w:val="22"/>
          <w:szCs w:val="22"/>
          <w:lang w:val="lt-LT"/>
        </w:rPr>
      </w:pPr>
      <w:r w:rsidRPr="004B1113">
        <w:rPr>
          <w:i/>
          <w:sz w:val="22"/>
          <w:szCs w:val="22"/>
          <w:lang w:val="lt-LT"/>
        </w:rPr>
        <w:t>Gamintojas</w:t>
      </w:r>
    </w:p>
    <w:p w14:paraId="284101EA" w14:textId="77777777" w:rsidR="007E7678" w:rsidRPr="00156F90" w:rsidRDefault="007E7678" w:rsidP="007E7678">
      <w:pPr>
        <w:rPr>
          <w:sz w:val="22"/>
          <w:szCs w:val="22"/>
          <w:lang w:val="lt-LT"/>
        </w:rPr>
      </w:pPr>
      <w:r w:rsidRPr="00156F90">
        <w:rPr>
          <w:sz w:val="22"/>
          <w:szCs w:val="22"/>
          <w:lang w:val="lt-LT"/>
        </w:rPr>
        <w:t xml:space="preserve">TEVA </w:t>
      </w:r>
      <w:proofErr w:type="spellStart"/>
      <w:r w:rsidRPr="00156F90">
        <w:rPr>
          <w:sz w:val="22"/>
          <w:szCs w:val="22"/>
          <w:lang w:val="lt-LT"/>
        </w:rPr>
        <w:t>Czech</w:t>
      </w:r>
      <w:proofErr w:type="spellEnd"/>
      <w:r w:rsidRPr="00156F90">
        <w:rPr>
          <w:sz w:val="22"/>
          <w:szCs w:val="22"/>
          <w:lang w:val="lt-LT"/>
        </w:rPr>
        <w:t xml:space="preserve"> </w:t>
      </w:r>
      <w:proofErr w:type="spellStart"/>
      <w:r w:rsidRPr="00156F90">
        <w:rPr>
          <w:sz w:val="22"/>
          <w:szCs w:val="22"/>
          <w:lang w:val="lt-LT"/>
        </w:rPr>
        <w:t>Industries</w:t>
      </w:r>
      <w:proofErr w:type="spellEnd"/>
      <w:r w:rsidRPr="00156F90">
        <w:rPr>
          <w:sz w:val="22"/>
          <w:szCs w:val="22"/>
          <w:lang w:val="lt-LT"/>
        </w:rPr>
        <w:t xml:space="preserve"> </w:t>
      </w:r>
      <w:proofErr w:type="spellStart"/>
      <w:r w:rsidRPr="00156F90">
        <w:rPr>
          <w:sz w:val="22"/>
          <w:szCs w:val="22"/>
          <w:lang w:val="lt-LT"/>
        </w:rPr>
        <w:t>s.r.o</w:t>
      </w:r>
      <w:proofErr w:type="spellEnd"/>
      <w:r w:rsidRPr="00156F90">
        <w:rPr>
          <w:sz w:val="22"/>
          <w:szCs w:val="22"/>
          <w:lang w:val="lt-LT"/>
        </w:rPr>
        <w:t xml:space="preserve">. </w:t>
      </w:r>
    </w:p>
    <w:p w14:paraId="60F33B68" w14:textId="77777777" w:rsidR="007E7678" w:rsidRPr="00156F90" w:rsidRDefault="007E7678" w:rsidP="007E7678">
      <w:pPr>
        <w:rPr>
          <w:sz w:val="22"/>
          <w:szCs w:val="22"/>
          <w:lang w:val="lt-LT"/>
        </w:rPr>
      </w:pPr>
      <w:proofErr w:type="spellStart"/>
      <w:r w:rsidRPr="00156F90">
        <w:rPr>
          <w:sz w:val="22"/>
          <w:szCs w:val="22"/>
          <w:lang w:val="lt-LT"/>
        </w:rPr>
        <w:t>Ostravska</w:t>
      </w:r>
      <w:proofErr w:type="spellEnd"/>
      <w:r w:rsidRPr="00156F90">
        <w:rPr>
          <w:sz w:val="22"/>
          <w:szCs w:val="22"/>
          <w:lang w:val="lt-LT"/>
        </w:rPr>
        <w:t xml:space="preserve"> 29</w:t>
      </w:r>
    </w:p>
    <w:p w14:paraId="6E3AF6F8" w14:textId="77777777" w:rsidR="007E7678" w:rsidRPr="00156F90" w:rsidRDefault="007E7678" w:rsidP="007E7678">
      <w:pPr>
        <w:rPr>
          <w:sz w:val="22"/>
          <w:szCs w:val="22"/>
          <w:lang w:val="lt-LT"/>
        </w:rPr>
      </w:pPr>
      <w:r w:rsidRPr="00156F90">
        <w:rPr>
          <w:sz w:val="22"/>
          <w:szCs w:val="22"/>
          <w:lang w:val="lt-LT"/>
        </w:rPr>
        <w:lastRenderedPageBreak/>
        <w:t xml:space="preserve">747 70 </w:t>
      </w:r>
      <w:proofErr w:type="spellStart"/>
      <w:r w:rsidRPr="00156F90">
        <w:rPr>
          <w:sz w:val="22"/>
          <w:szCs w:val="22"/>
          <w:lang w:val="lt-LT"/>
        </w:rPr>
        <w:t>Opava-Komarov</w:t>
      </w:r>
      <w:proofErr w:type="spellEnd"/>
      <w:r w:rsidRPr="00156F90">
        <w:rPr>
          <w:sz w:val="22"/>
          <w:szCs w:val="22"/>
          <w:lang w:val="lt-LT"/>
        </w:rPr>
        <w:t xml:space="preserve"> </w:t>
      </w:r>
    </w:p>
    <w:p w14:paraId="67218167" w14:textId="77777777" w:rsidR="007E7678" w:rsidRPr="00156F90" w:rsidRDefault="007E7678" w:rsidP="007E7678">
      <w:pPr>
        <w:pStyle w:val="BTEMEASMCA"/>
        <w:rPr>
          <w:noProof w:val="0"/>
        </w:rPr>
      </w:pPr>
      <w:r w:rsidRPr="00156F90">
        <w:t>Čekijos Respublika</w:t>
      </w:r>
    </w:p>
    <w:p w14:paraId="0B6E2942" w14:textId="77777777" w:rsidR="007E7678" w:rsidRPr="00156F90" w:rsidRDefault="007E7678" w:rsidP="007E7678">
      <w:pPr>
        <w:pStyle w:val="BTEMEASMCA"/>
        <w:rPr>
          <w:noProof w:val="0"/>
        </w:rPr>
      </w:pPr>
    </w:p>
    <w:p w14:paraId="1C317E7A" w14:textId="77777777" w:rsidR="007E7678" w:rsidRPr="00156F90" w:rsidRDefault="007E7678" w:rsidP="007E7678">
      <w:pPr>
        <w:pStyle w:val="BTEMEASMCA"/>
        <w:rPr>
          <w:noProof w:val="0"/>
        </w:rPr>
      </w:pPr>
      <w:r w:rsidRPr="00156F90">
        <w:rPr>
          <w:noProof w:val="0"/>
        </w:rPr>
        <w:t>arba</w:t>
      </w:r>
    </w:p>
    <w:p w14:paraId="31CDDC52" w14:textId="77777777" w:rsidR="007E7678" w:rsidRPr="00156F90" w:rsidRDefault="007E7678" w:rsidP="007E7678">
      <w:pPr>
        <w:rPr>
          <w:sz w:val="22"/>
          <w:szCs w:val="22"/>
          <w:lang w:val="de-DE"/>
        </w:rPr>
      </w:pPr>
    </w:p>
    <w:p w14:paraId="418A1300" w14:textId="77777777" w:rsidR="007E7678" w:rsidRPr="00156F90" w:rsidRDefault="007E7678" w:rsidP="007E7678">
      <w:pPr>
        <w:rPr>
          <w:sz w:val="22"/>
          <w:szCs w:val="22"/>
        </w:rPr>
      </w:pPr>
      <w:r w:rsidRPr="00156F90">
        <w:rPr>
          <w:sz w:val="22"/>
          <w:szCs w:val="22"/>
        </w:rPr>
        <w:t xml:space="preserve">Teva Operations Poland Sp. z </w:t>
      </w:r>
      <w:proofErr w:type="spellStart"/>
      <w:r w:rsidRPr="00156F90">
        <w:rPr>
          <w:sz w:val="22"/>
          <w:szCs w:val="22"/>
        </w:rPr>
        <w:t>o.o.</w:t>
      </w:r>
      <w:proofErr w:type="spellEnd"/>
    </w:p>
    <w:p w14:paraId="6907BF57" w14:textId="77777777" w:rsidR="007E7678" w:rsidRPr="00156F90" w:rsidRDefault="007E7678" w:rsidP="007E7678">
      <w:pPr>
        <w:pStyle w:val="BTEMEASMCA"/>
      </w:pPr>
      <w:r w:rsidRPr="00156F90">
        <w:t xml:space="preserve">80 Mogilska ul. </w:t>
      </w:r>
    </w:p>
    <w:p w14:paraId="69444C5D" w14:textId="77777777" w:rsidR="007E7678" w:rsidRPr="00156F90" w:rsidRDefault="007E7678" w:rsidP="007E7678">
      <w:pPr>
        <w:pStyle w:val="BTEMEASMCA"/>
      </w:pPr>
      <w:r w:rsidRPr="00156F90">
        <w:t xml:space="preserve">31-546 Krakow </w:t>
      </w:r>
    </w:p>
    <w:p w14:paraId="7C326ADE" w14:textId="77777777" w:rsidR="007E7678" w:rsidRPr="00156F90" w:rsidRDefault="007E7678" w:rsidP="007E7678">
      <w:pPr>
        <w:pStyle w:val="BTEMEASMCA"/>
        <w:rPr>
          <w:noProof w:val="0"/>
          <w:highlight w:val="yellow"/>
        </w:rPr>
      </w:pPr>
      <w:r w:rsidRPr="00156F90">
        <w:t>Lenkija</w:t>
      </w:r>
    </w:p>
    <w:p w14:paraId="353AB3BF" w14:textId="77777777" w:rsidR="007E7678" w:rsidRPr="00156F90" w:rsidRDefault="007E7678" w:rsidP="007E7678">
      <w:pPr>
        <w:pStyle w:val="BTEMEASMCA"/>
        <w:rPr>
          <w:noProof w:val="0"/>
        </w:rPr>
      </w:pPr>
    </w:p>
    <w:p w14:paraId="280E6BD9" w14:textId="77777777" w:rsidR="007E7678" w:rsidRPr="00156F90" w:rsidRDefault="007E7678" w:rsidP="007E7678">
      <w:pPr>
        <w:pStyle w:val="BTEMEASMCA"/>
        <w:rPr>
          <w:noProof w:val="0"/>
        </w:rPr>
      </w:pPr>
      <w:r w:rsidRPr="00156F90">
        <w:rPr>
          <w:noProof w:val="0"/>
        </w:rPr>
        <w:t>Jeigu apie šį vaistą norite sužinoti daugiau, kreipkitės į vietinį registruotojo atstovą.</w:t>
      </w:r>
    </w:p>
    <w:p w14:paraId="4C4C25EB" w14:textId="77777777" w:rsidR="007E7678" w:rsidRPr="00156F90" w:rsidRDefault="007E7678" w:rsidP="007E7678">
      <w:pPr>
        <w:rPr>
          <w:sz w:val="22"/>
          <w:szCs w:val="22"/>
          <w:lang w:val="lt-LT"/>
        </w:rPr>
      </w:pPr>
    </w:p>
    <w:tbl>
      <w:tblPr>
        <w:tblW w:w="4678" w:type="dxa"/>
        <w:tblInd w:w="-34" w:type="dxa"/>
        <w:tblLayout w:type="fixed"/>
        <w:tblLook w:val="0000" w:firstRow="0" w:lastRow="0" w:firstColumn="0" w:lastColumn="0" w:noHBand="0" w:noVBand="0"/>
      </w:tblPr>
      <w:tblGrid>
        <w:gridCol w:w="4678"/>
      </w:tblGrid>
      <w:tr w:rsidR="007E7678" w:rsidRPr="00156F90" w14:paraId="6D8283E5" w14:textId="77777777" w:rsidTr="00364525">
        <w:tc>
          <w:tcPr>
            <w:tcW w:w="4678" w:type="dxa"/>
          </w:tcPr>
          <w:p w14:paraId="20578A28" w14:textId="77777777" w:rsidR="007E7678" w:rsidRPr="00156F90" w:rsidRDefault="007E7678" w:rsidP="00364525">
            <w:pPr>
              <w:rPr>
                <w:noProof/>
                <w:sz w:val="22"/>
                <w:szCs w:val="22"/>
                <w:lang w:val="lt-LT"/>
              </w:rPr>
            </w:pPr>
            <w:r w:rsidRPr="00156F90">
              <w:rPr>
                <w:noProof/>
                <w:sz w:val="22"/>
                <w:szCs w:val="22"/>
                <w:lang w:val="lt-LT"/>
              </w:rPr>
              <w:t xml:space="preserve">UAB </w:t>
            </w:r>
            <w:r>
              <w:rPr>
                <w:noProof/>
                <w:sz w:val="22"/>
                <w:szCs w:val="22"/>
                <w:lang w:val="lt-LT"/>
              </w:rPr>
              <w:t>Teva Baltics</w:t>
            </w:r>
            <w:r w:rsidRPr="00156F90">
              <w:rPr>
                <w:noProof/>
                <w:sz w:val="22"/>
                <w:szCs w:val="22"/>
                <w:lang w:val="lt-LT"/>
              </w:rPr>
              <w:t xml:space="preserve"> </w:t>
            </w:r>
          </w:p>
          <w:p w14:paraId="595BD594" w14:textId="77777777" w:rsidR="007E7678" w:rsidRPr="00156F90" w:rsidRDefault="007E7678" w:rsidP="00364525">
            <w:pPr>
              <w:rPr>
                <w:noProof/>
                <w:sz w:val="22"/>
                <w:szCs w:val="22"/>
                <w:lang w:val="lt-LT"/>
              </w:rPr>
            </w:pPr>
            <w:r w:rsidRPr="00156F90">
              <w:rPr>
                <w:noProof/>
                <w:sz w:val="22"/>
                <w:szCs w:val="22"/>
                <w:lang w:val="lt-LT"/>
              </w:rPr>
              <w:t xml:space="preserve">Molėtų pl. 5 </w:t>
            </w:r>
          </w:p>
          <w:p w14:paraId="331D7FAF" w14:textId="77777777" w:rsidR="007E7678" w:rsidRPr="00156F90" w:rsidRDefault="007E7678" w:rsidP="00364525">
            <w:pPr>
              <w:rPr>
                <w:noProof/>
                <w:sz w:val="22"/>
                <w:szCs w:val="22"/>
                <w:lang w:val="lt-LT"/>
              </w:rPr>
            </w:pPr>
            <w:r w:rsidRPr="00156F90">
              <w:rPr>
                <w:noProof/>
                <w:sz w:val="22"/>
                <w:szCs w:val="22"/>
                <w:lang w:val="lt-LT"/>
              </w:rPr>
              <w:t>LT-08409 Vilnius</w:t>
            </w:r>
          </w:p>
          <w:p w14:paraId="0DB82C27" w14:textId="77777777" w:rsidR="007E7678" w:rsidRPr="00156F90" w:rsidRDefault="007E7678" w:rsidP="00364525">
            <w:pPr>
              <w:tabs>
                <w:tab w:val="left" w:pos="-720"/>
              </w:tabs>
              <w:suppressAutoHyphens/>
              <w:rPr>
                <w:sz w:val="22"/>
                <w:szCs w:val="22"/>
                <w:lang w:val="lt-LT"/>
              </w:rPr>
            </w:pPr>
            <w:r w:rsidRPr="00156F90">
              <w:rPr>
                <w:noProof/>
                <w:sz w:val="22"/>
                <w:szCs w:val="22"/>
              </w:rPr>
              <w:t>Tel.: +370 5 266 02 03</w:t>
            </w:r>
          </w:p>
        </w:tc>
      </w:tr>
    </w:tbl>
    <w:p w14:paraId="430ADD14" w14:textId="77777777" w:rsidR="007E7678" w:rsidRPr="00156F90" w:rsidRDefault="007E7678" w:rsidP="007E7678">
      <w:pPr>
        <w:pStyle w:val="BTEMEASMCA"/>
        <w:rPr>
          <w:noProof w:val="0"/>
        </w:rPr>
      </w:pPr>
    </w:p>
    <w:p w14:paraId="12D02FE5" w14:textId="77777777" w:rsidR="007E7678" w:rsidRPr="00156F90" w:rsidRDefault="007E7678" w:rsidP="007E7678">
      <w:pPr>
        <w:pStyle w:val="BTEMEASMCA"/>
        <w:rPr>
          <w:noProof w:val="0"/>
        </w:rPr>
      </w:pPr>
    </w:p>
    <w:p w14:paraId="57CA1FAF" w14:textId="77777777" w:rsidR="007E7678" w:rsidRPr="00156F90" w:rsidRDefault="007E7678" w:rsidP="007E7678">
      <w:pPr>
        <w:pStyle w:val="BTbEMEASMCA"/>
        <w:rPr>
          <w:noProof w:val="0"/>
        </w:rPr>
      </w:pPr>
      <w:r w:rsidRPr="00156F90">
        <w:rPr>
          <w:bCs/>
          <w:noProof w:val="0"/>
        </w:rPr>
        <w:t>Šis pakuotės lapelis</w:t>
      </w:r>
      <w:r w:rsidRPr="00156F90">
        <w:rPr>
          <w:noProof w:val="0"/>
        </w:rPr>
        <w:t xml:space="preserve"> paskutinį kartą peržiūrėtas</w:t>
      </w:r>
      <w:r>
        <w:rPr>
          <w:noProof w:val="0"/>
        </w:rPr>
        <w:t xml:space="preserve"> 2026-01-02.</w:t>
      </w:r>
    </w:p>
    <w:p w14:paraId="002E5EF6" w14:textId="77777777" w:rsidR="007E7678" w:rsidRPr="00156F90" w:rsidRDefault="007E7678" w:rsidP="007E7678">
      <w:pPr>
        <w:rPr>
          <w:sz w:val="22"/>
          <w:szCs w:val="22"/>
          <w:lang w:val="lt-LT"/>
        </w:rPr>
      </w:pPr>
    </w:p>
    <w:p w14:paraId="0DFDA371" w14:textId="77777777" w:rsidR="007E7678" w:rsidRPr="00156F90" w:rsidRDefault="007E7678" w:rsidP="007E7678">
      <w:pPr>
        <w:rPr>
          <w:sz w:val="22"/>
          <w:szCs w:val="22"/>
          <w:lang w:val="lt-LT"/>
        </w:rPr>
      </w:pPr>
    </w:p>
    <w:p w14:paraId="5673CFA3" w14:textId="77777777" w:rsidR="007E7678" w:rsidRDefault="007E7678" w:rsidP="007E7678">
      <w:pPr>
        <w:rPr>
          <w:sz w:val="22"/>
          <w:szCs w:val="22"/>
          <w:lang w:val="lt-LT"/>
        </w:rPr>
      </w:pPr>
      <w:r w:rsidRPr="00156F90">
        <w:rPr>
          <w:sz w:val="22"/>
          <w:szCs w:val="22"/>
          <w:lang w:val="lt-LT"/>
        </w:rPr>
        <w:t>Išsami informacija apie šį vaistą pateikiama Valstybinės vaistų kontrolės tarnybos prie Lietuvos Respublikos sveikatos apsaugos ministerijos tinklalapyje</w:t>
      </w:r>
      <w:r w:rsidRPr="00156F90">
        <w:rPr>
          <w:i/>
          <w:sz w:val="22"/>
          <w:szCs w:val="22"/>
          <w:lang w:val="lt-LT"/>
        </w:rPr>
        <w:t xml:space="preserve"> </w:t>
      </w:r>
      <w:hyperlink r:id="rId5" w:history="1">
        <w:r w:rsidRPr="004B1113">
          <w:rPr>
            <w:rStyle w:val="Hipersaitas"/>
            <w:sz w:val="22"/>
            <w:szCs w:val="22"/>
            <w:lang w:val="lt-LT" w:eastAsia="lt-LT"/>
          </w:rPr>
          <w:t>https://vvkt.lrv.lt/lt/</w:t>
        </w:r>
      </w:hyperlink>
      <w:r w:rsidRPr="00156F90">
        <w:rPr>
          <w:sz w:val="22"/>
          <w:szCs w:val="22"/>
          <w:lang w:val="lt-LT"/>
        </w:rPr>
        <w:t>.</w:t>
      </w:r>
    </w:p>
    <w:p w14:paraId="33F18128" w14:textId="77777777" w:rsidR="007E7678" w:rsidRDefault="007E7678" w:rsidP="007E7678">
      <w:pPr>
        <w:rPr>
          <w:sz w:val="22"/>
          <w:szCs w:val="22"/>
          <w:lang w:val="lt-LT"/>
        </w:rPr>
      </w:pPr>
    </w:p>
    <w:p w14:paraId="3BBD5261" w14:textId="77777777" w:rsidR="00222FED" w:rsidRDefault="00222FED"/>
    <w:sectPr w:rsidR="00222FED" w:rsidSect="007E7678">
      <w:footerReference w:type="even"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49886" w14:textId="77777777" w:rsidR="007E7678" w:rsidRDefault="007E7678" w:rsidP="00FE7DB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C8C20FA" w14:textId="77777777" w:rsidR="007E7678" w:rsidRDefault="007E7678" w:rsidP="00FE7DB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F6065" w14:textId="77777777" w:rsidR="007E7678" w:rsidRPr="00636570" w:rsidRDefault="007E7678" w:rsidP="00FE7DB3">
    <w:pPr>
      <w:pStyle w:val="Porat"/>
      <w:framePr w:wrap="around" w:vAnchor="text" w:hAnchor="margin" w:xAlign="right" w:y="1"/>
      <w:rPr>
        <w:rStyle w:val="Puslapionumeris"/>
        <w:sz w:val="22"/>
        <w:szCs w:val="22"/>
      </w:rPr>
    </w:pPr>
    <w:r w:rsidRPr="00636570">
      <w:rPr>
        <w:rStyle w:val="Puslapionumeris"/>
        <w:sz w:val="22"/>
        <w:szCs w:val="22"/>
      </w:rPr>
      <w:fldChar w:fldCharType="begin"/>
    </w:r>
    <w:r w:rsidRPr="00636570">
      <w:rPr>
        <w:rStyle w:val="Puslapionumeris"/>
        <w:sz w:val="22"/>
        <w:szCs w:val="22"/>
      </w:rPr>
      <w:instrText xml:space="preserve">PAGE  </w:instrText>
    </w:r>
    <w:r w:rsidRPr="00636570">
      <w:rPr>
        <w:rStyle w:val="Puslapionumeris"/>
        <w:sz w:val="22"/>
        <w:szCs w:val="22"/>
      </w:rPr>
      <w:fldChar w:fldCharType="separate"/>
    </w:r>
    <w:r>
      <w:rPr>
        <w:rStyle w:val="Puslapionumeris"/>
        <w:noProof/>
        <w:sz w:val="22"/>
        <w:szCs w:val="22"/>
      </w:rPr>
      <w:t>1</w:t>
    </w:r>
    <w:r w:rsidRPr="00636570">
      <w:rPr>
        <w:rStyle w:val="Puslapionumeris"/>
        <w:sz w:val="22"/>
        <w:szCs w:val="22"/>
      </w:rPr>
      <w:fldChar w:fldCharType="end"/>
    </w:r>
  </w:p>
  <w:p w14:paraId="1A91B545" w14:textId="77777777" w:rsidR="007E7678" w:rsidRDefault="007E7678" w:rsidP="00FE7DB3">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02CEA"/>
    <w:multiLevelType w:val="hybridMultilevel"/>
    <w:tmpl w:val="189A2876"/>
    <w:lvl w:ilvl="0" w:tplc="B93243B8">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767771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678"/>
    <w:rsid w:val="00076FA8"/>
    <w:rsid w:val="00222FED"/>
    <w:rsid w:val="005F173E"/>
    <w:rsid w:val="007E7678"/>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C09E0"/>
  <w15:chartTrackingRefBased/>
  <w15:docId w15:val="{60E95456-8349-4D54-AFF1-5DBFB523C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7678"/>
    <w:pPr>
      <w:spacing w:after="0" w:line="240" w:lineRule="auto"/>
    </w:pPr>
    <w:rPr>
      <w:rFonts w:eastAsia="Calibri"/>
      <w:kern w:val="0"/>
      <w:sz w:val="24"/>
      <w:szCs w:val="24"/>
      <w:lang w:val="en-US"/>
      <w14:ligatures w14:val="none"/>
    </w:rPr>
  </w:style>
  <w:style w:type="paragraph" w:styleId="Antrat1">
    <w:name w:val="heading 1"/>
    <w:basedOn w:val="prastasis"/>
    <w:next w:val="prastasis"/>
    <w:link w:val="Antrat1Diagrama"/>
    <w:uiPriority w:val="9"/>
    <w:qFormat/>
    <w:rsid w:val="007E76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E76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E767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E767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E7678"/>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7E7678"/>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E7678"/>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E7678"/>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E7678"/>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E767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E767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E7678"/>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E7678"/>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E7678"/>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7E767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E767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E767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E767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E767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E76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E767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E767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E767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E7678"/>
    <w:rPr>
      <w:i/>
      <w:iCs/>
      <w:color w:val="404040" w:themeColor="text1" w:themeTint="BF"/>
    </w:rPr>
  </w:style>
  <w:style w:type="paragraph" w:styleId="Sraopastraipa">
    <w:name w:val="List Paragraph"/>
    <w:basedOn w:val="prastasis"/>
    <w:uiPriority w:val="34"/>
    <w:qFormat/>
    <w:rsid w:val="007E7678"/>
    <w:pPr>
      <w:ind w:left="720"/>
      <w:contextualSpacing/>
    </w:pPr>
  </w:style>
  <w:style w:type="character" w:styleId="Rykuspabraukimas">
    <w:name w:val="Intense Emphasis"/>
    <w:basedOn w:val="Numatytasispastraiposriftas"/>
    <w:uiPriority w:val="21"/>
    <w:qFormat/>
    <w:rsid w:val="007E7678"/>
    <w:rPr>
      <w:i/>
      <w:iCs/>
      <w:color w:val="0F4761" w:themeColor="accent1" w:themeShade="BF"/>
    </w:rPr>
  </w:style>
  <w:style w:type="paragraph" w:styleId="Iskirtacitata">
    <w:name w:val="Intense Quote"/>
    <w:basedOn w:val="prastasis"/>
    <w:next w:val="prastasis"/>
    <w:link w:val="IskirtacitataDiagrama"/>
    <w:uiPriority w:val="30"/>
    <w:qFormat/>
    <w:rsid w:val="007E76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E7678"/>
    <w:rPr>
      <w:i/>
      <w:iCs/>
      <w:color w:val="0F4761" w:themeColor="accent1" w:themeShade="BF"/>
    </w:rPr>
  </w:style>
  <w:style w:type="character" w:styleId="Rykinuoroda">
    <w:name w:val="Intense Reference"/>
    <w:basedOn w:val="Numatytasispastraiposriftas"/>
    <w:uiPriority w:val="32"/>
    <w:qFormat/>
    <w:rsid w:val="007E7678"/>
    <w:rPr>
      <w:b/>
      <w:bCs/>
      <w:smallCaps/>
      <w:color w:val="0F4761" w:themeColor="accent1" w:themeShade="BF"/>
      <w:spacing w:val="5"/>
    </w:rPr>
  </w:style>
  <w:style w:type="paragraph" w:customStyle="1" w:styleId="BT-EMEASMCA">
    <w:name w:val="BT- EMEA_SMCA"/>
    <w:basedOn w:val="BTEMEASMCA"/>
    <w:autoRedefine/>
    <w:rsid w:val="007E7678"/>
    <w:pPr>
      <w:numPr>
        <w:numId w:val="1"/>
      </w:numPr>
    </w:pPr>
  </w:style>
  <w:style w:type="paragraph" w:customStyle="1" w:styleId="BTEMEASMCA">
    <w:name w:val="BT EMEA_SMCA"/>
    <w:basedOn w:val="prastasis"/>
    <w:autoRedefine/>
    <w:rsid w:val="007E7678"/>
    <w:rPr>
      <w:noProof/>
      <w:sz w:val="22"/>
      <w:szCs w:val="22"/>
      <w:lang w:val="lt-LT"/>
    </w:rPr>
  </w:style>
  <w:style w:type="paragraph" w:customStyle="1" w:styleId="TTEMEASMCA">
    <w:name w:val="TT EMEA_SMCA"/>
    <w:basedOn w:val="Antrat1"/>
    <w:autoRedefine/>
    <w:rsid w:val="007E7678"/>
    <w:pPr>
      <w:keepNext w:val="0"/>
      <w:keepLines w:val="0"/>
      <w:tabs>
        <w:tab w:val="left" w:pos="567"/>
      </w:tabs>
      <w:spacing w:before="0" w:after="0"/>
      <w:ind w:left="567" w:hanging="567"/>
      <w:jc w:val="center"/>
    </w:pPr>
    <w:rPr>
      <w:rFonts w:ascii="Times New Roman" w:eastAsia="Calibri" w:hAnsi="Times New Roman" w:cs="Times New Roman"/>
      <w:b/>
      <w:caps/>
      <w:color w:val="auto"/>
      <w:sz w:val="22"/>
      <w:szCs w:val="22"/>
      <w:lang w:val="x-none" w:eastAsia="x-none"/>
    </w:rPr>
  </w:style>
  <w:style w:type="paragraph" w:customStyle="1" w:styleId="PI-1EMEASMCA">
    <w:name w:val="PI-1 EMEA_SMCA"/>
    <w:basedOn w:val="Antrat2"/>
    <w:autoRedefine/>
    <w:rsid w:val="007E7678"/>
    <w:pPr>
      <w:keepLines w:val="0"/>
      <w:tabs>
        <w:tab w:val="left" w:pos="567"/>
      </w:tabs>
      <w:spacing w:before="0" w:after="0"/>
      <w:ind w:left="567" w:hanging="567"/>
    </w:pPr>
    <w:rPr>
      <w:rFonts w:ascii="Times New Roman" w:eastAsia="Calibri" w:hAnsi="Times New Roman" w:cs="Times New Roman"/>
      <w:b/>
      <w:color w:val="auto"/>
      <w:sz w:val="22"/>
      <w:szCs w:val="22"/>
      <w:lang w:eastAsia="x-none"/>
    </w:rPr>
  </w:style>
  <w:style w:type="character" w:styleId="Hipersaitas">
    <w:name w:val="Hyperlink"/>
    <w:rsid w:val="007E7678"/>
    <w:rPr>
      <w:rFonts w:cs="Times New Roman"/>
      <w:color w:val="0000FF"/>
      <w:u w:val="single"/>
    </w:rPr>
  </w:style>
  <w:style w:type="paragraph" w:customStyle="1" w:styleId="BTbeEMEASMCA">
    <w:name w:val="BT(be) EMEA_SMCA"/>
    <w:basedOn w:val="BTEMEASMCA"/>
    <w:autoRedefine/>
    <w:rsid w:val="007E7678"/>
    <w:pPr>
      <w:jc w:val="center"/>
    </w:pPr>
  </w:style>
  <w:style w:type="paragraph" w:customStyle="1" w:styleId="BTbEMEASMCA">
    <w:name w:val="BT(b) EMEA_SMCA"/>
    <w:basedOn w:val="BTEMEASMCA"/>
    <w:autoRedefine/>
    <w:rsid w:val="007E7678"/>
    <w:rPr>
      <w:b/>
    </w:rPr>
  </w:style>
  <w:style w:type="paragraph" w:customStyle="1" w:styleId="PI-3EMEASMCA">
    <w:name w:val="PI-3 EMEA_SMCA"/>
    <w:basedOn w:val="prastasis"/>
    <w:autoRedefine/>
    <w:rsid w:val="007E7678"/>
    <w:pPr>
      <w:spacing w:line="220" w:lineRule="exact"/>
    </w:pPr>
    <w:rPr>
      <w:b/>
      <w:bCs/>
      <w:sz w:val="22"/>
      <w:szCs w:val="22"/>
      <w:lang w:val="lt-LT"/>
    </w:rPr>
  </w:style>
  <w:style w:type="paragraph" w:styleId="Porat">
    <w:name w:val="footer"/>
    <w:basedOn w:val="prastasis"/>
    <w:link w:val="PoratDiagrama"/>
    <w:rsid w:val="007E7678"/>
    <w:pPr>
      <w:tabs>
        <w:tab w:val="center" w:pos="4819"/>
        <w:tab w:val="right" w:pos="9638"/>
      </w:tabs>
    </w:pPr>
    <w:rPr>
      <w:sz w:val="20"/>
      <w:szCs w:val="20"/>
      <w:lang w:val="x-none" w:eastAsia="x-none"/>
    </w:rPr>
  </w:style>
  <w:style w:type="character" w:customStyle="1" w:styleId="PoratDiagrama">
    <w:name w:val="Poraštė Diagrama"/>
    <w:basedOn w:val="Numatytasispastraiposriftas"/>
    <w:link w:val="Porat"/>
    <w:rsid w:val="007E7678"/>
    <w:rPr>
      <w:rFonts w:eastAsia="Calibri"/>
      <w:kern w:val="0"/>
      <w:sz w:val="20"/>
      <w:szCs w:val="20"/>
      <w:lang w:val="x-none" w:eastAsia="x-none"/>
      <w14:ligatures w14:val="none"/>
    </w:rPr>
  </w:style>
  <w:style w:type="character" w:styleId="Puslapionumeris">
    <w:name w:val="page number"/>
    <w:rsid w:val="007E767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5052</Words>
  <Characters>2880</Characters>
  <Application>Microsoft Office Word</Application>
  <DocSecurity>0</DocSecurity>
  <Lines>24</Lines>
  <Paragraphs>15</Paragraphs>
  <ScaleCrop>false</ScaleCrop>
  <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2026-01-05T07:57:00Z</dcterms:created>
  <dcterms:modified xsi:type="dcterms:W3CDTF">2026-01-05T07:58:00Z</dcterms:modified>
</cp:coreProperties>
</file>