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84" w:rsidRPr="00D85645" w:rsidRDefault="00487C84" w:rsidP="00487C84">
      <w:pPr>
        <w:widowControl w:val="0"/>
        <w:ind w:left="567" w:hanging="567"/>
        <w:jc w:val="center"/>
        <w:outlineLvl w:val="0"/>
        <w:rPr>
          <w:rFonts w:eastAsia="Calibri"/>
          <w:b/>
          <w:caps/>
          <w:szCs w:val="22"/>
          <w:lang w:val="lt-LT"/>
        </w:rPr>
      </w:pPr>
      <w:bookmarkStart w:id="0" w:name="_Toc129243138"/>
      <w:bookmarkStart w:id="1" w:name="_Toc129243263"/>
      <w:r w:rsidRPr="00D85645">
        <w:rPr>
          <w:rFonts w:eastAsia="Calibri"/>
          <w:b/>
          <w:caps/>
          <w:szCs w:val="22"/>
          <w:lang w:val="lt-LT"/>
        </w:rPr>
        <w:t>P</w:t>
      </w:r>
      <w:r w:rsidRPr="00D85645">
        <w:rPr>
          <w:rFonts w:eastAsia="Calibri"/>
          <w:b/>
          <w:szCs w:val="22"/>
          <w:lang w:val="lt-LT"/>
        </w:rPr>
        <w:t>akuotės lapelis</w:t>
      </w:r>
      <w:r w:rsidRPr="00D85645">
        <w:rPr>
          <w:rFonts w:eastAsia="Calibri"/>
          <w:b/>
          <w:caps/>
          <w:szCs w:val="22"/>
          <w:lang w:val="lt-LT"/>
        </w:rPr>
        <w:t xml:space="preserve">: </w:t>
      </w:r>
      <w:r w:rsidRPr="00D85645">
        <w:rPr>
          <w:rFonts w:eastAsia="Calibri"/>
          <w:b/>
          <w:szCs w:val="22"/>
          <w:lang w:val="lt-LT"/>
        </w:rPr>
        <w:t>informacija vartotojui</w:t>
      </w:r>
      <w:bookmarkEnd w:id="0"/>
      <w:bookmarkEnd w:id="1"/>
    </w:p>
    <w:p w:rsidR="00487C84" w:rsidRPr="00D85645" w:rsidRDefault="00487C84" w:rsidP="00487C84">
      <w:pPr>
        <w:widowControl w:val="0"/>
        <w:jc w:val="center"/>
        <w:rPr>
          <w:rFonts w:eastAsia="Calibri"/>
          <w:b/>
          <w:szCs w:val="22"/>
          <w:lang w:val="lt-LT" w:eastAsia="lt-LT"/>
        </w:rPr>
      </w:pPr>
    </w:p>
    <w:p w:rsidR="00487C84" w:rsidRPr="00D85645" w:rsidRDefault="00487C84" w:rsidP="00487C84">
      <w:pPr>
        <w:widowControl w:val="0"/>
        <w:jc w:val="center"/>
        <w:rPr>
          <w:rFonts w:eastAsia="Calibri"/>
          <w:b/>
          <w:szCs w:val="22"/>
          <w:lang w:val="lt-LT" w:eastAsia="lt-LT"/>
        </w:rPr>
      </w:pPr>
      <w:r w:rsidRPr="00D85645">
        <w:rPr>
          <w:rFonts w:eastAsia="Calibri"/>
          <w:b/>
          <w:szCs w:val="22"/>
          <w:lang w:val="lt-LT" w:eastAsia="lt-LT"/>
        </w:rPr>
        <w:t>Zomiren 0,25</w:t>
      </w:r>
      <w:r>
        <w:rPr>
          <w:b/>
          <w:szCs w:val="22"/>
          <w:lang w:val="lt-LT"/>
        </w:rPr>
        <w:t> </w:t>
      </w:r>
      <w:r w:rsidRPr="00D85645">
        <w:rPr>
          <w:rFonts w:eastAsia="Calibri"/>
          <w:b/>
          <w:szCs w:val="22"/>
          <w:lang w:val="lt-LT" w:eastAsia="lt-LT"/>
        </w:rPr>
        <w:t>mg tabletės</w:t>
      </w:r>
    </w:p>
    <w:p w:rsidR="00487C84" w:rsidRPr="00D85645" w:rsidRDefault="00487C84" w:rsidP="00487C84">
      <w:pPr>
        <w:widowControl w:val="0"/>
        <w:jc w:val="center"/>
        <w:rPr>
          <w:rFonts w:eastAsia="Calibri"/>
          <w:b/>
          <w:szCs w:val="22"/>
          <w:lang w:val="lt-LT" w:eastAsia="lt-LT"/>
        </w:rPr>
      </w:pPr>
      <w:r w:rsidRPr="00D85645">
        <w:rPr>
          <w:rFonts w:eastAsia="Calibri"/>
          <w:b/>
          <w:szCs w:val="22"/>
          <w:lang w:val="lt-LT" w:eastAsia="lt-LT"/>
        </w:rPr>
        <w:t>Zomiren 0,5</w:t>
      </w:r>
      <w:r>
        <w:rPr>
          <w:b/>
          <w:szCs w:val="22"/>
          <w:lang w:val="lt-LT"/>
        </w:rPr>
        <w:t> </w:t>
      </w:r>
      <w:r w:rsidRPr="00D85645">
        <w:rPr>
          <w:rFonts w:eastAsia="Calibri"/>
          <w:b/>
          <w:szCs w:val="22"/>
          <w:lang w:val="lt-LT" w:eastAsia="lt-LT"/>
        </w:rPr>
        <w:t>mg tabletės</w:t>
      </w:r>
    </w:p>
    <w:p w:rsidR="00487C84" w:rsidRPr="00D85645" w:rsidRDefault="00487C84" w:rsidP="00487C84">
      <w:pPr>
        <w:widowControl w:val="0"/>
        <w:jc w:val="center"/>
        <w:rPr>
          <w:rFonts w:eastAsia="Calibri"/>
          <w:szCs w:val="22"/>
          <w:lang w:val="lt-LT" w:eastAsia="lt-LT"/>
        </w:rPr>
      </w:pPr>
      <w:r w:rsidRPr="00D85645">
        <w:rPr>
          <w:rFonts w:eastAsia="Calibri"/>
          <w:b/>
          <w:szCs w:val="22"/>
          <w:lang w:val="lt-LT" w:eastAsia="lt-LT"/>
        </w:rPr>
        <w:t>Zomiren 1 mg tabletės</w:t>
      </w:r>
    </w:p>
    <w:p w:rsidR="00487C84" w:rsidRPr="00D85645" w:rsidRDefault="00487C84" w:rsidP="00487C84">
      <w:pPr>
        <w:widowControl w:val="0"/>
        <w:jc w:val="center"/>
        <w:rPr>
          <w:rFonts w:eastAsia="Calibri"/>
          <w:szCs w:val="22"/>
          <w:lang w:val="lt-LT" w:eastAsia="lt-LT"/>
        </w:rPr>
      </w:pPr>
      <w:r w:rsidRPr="00D85645">
        <w:rPr>
          <w:rFonts w:eastAsia="Calibri"/>
          <w:szCs w:val="22"/>
          <w:lang w:val="lt-LT" w:eastAsia="lt-LT"/>
        </w:rPr>
        <w:t>alprazolamas</w:t>
      </w:r>
    </w:p>
    <w:p w:rsidR="00487C84" w:rsidRPr="00D85645" w:rsidRDefault="00487C84" w:rsidP="00487C84">
      <w:pPr>
        <w:widowControl w:val="0"/>
        <w:jc w:val="center"/>
        <w:rPr>
          <w:rFonts w:eastAsia="Calibri"/>
          <w:szCs w:val="22"/>
          <w:lang w:val="lt-LT" w:eastAsia="lt-LT"/>
        </w:rPr>
      </w:pPr>
    </w:p>
    <w:p w:rsidR="00487C84" w:rsidRPr="00D85645" w:rsidRDefault="00487C84" w:rsidP="00487C84">
      <w:pPr>
        <w:widowControl w:val="0"/>
        <w:rPr>
          <w:rFonts w:eastAsia="Calibri"/>
          <w:b/>
          <w:noProof/>
          <w:szCs w:val="22"/>
          <w:lang w:val="lt-LT"/>
        </w:rPr>
      </w:pPr>
      <w:r w:rsidRPr="00D85645">
        <w:rPr>
          <w:rFonts w:eastAsia="Calibri"/>
          <w:b/>
          <w:noProof/>
          <w:szCs w:val="22"/>
          <w:lang w:val="lt-LT"/>
        </w:rPr>
        <w:t>Atidžiai perskaitykite visą šį lapelį, prieš pradėdami vartoti vaistą, nes jame pateikiama Jums svarbi informacija.</w:t>
      </w:r>
    </w:p>
    <w:p w:rsidR="00487C84" w:rsidRPr="00D85645" w:rsidRDefault="00487C84" w:rsidP="00487C84">
      <w:pPr>
        <w:widowControl w:val="0"/>
        <w:numPr>
          <w:ilvl w:val="0"/>
          <w:numId w:val="1"/>
        </w:numPr>
        <w:tabs>
          <w:tab w:val="clear" w:pos="567"/>
        </w:tabs>
        <w:spacing w:line="240" w:lineRule="auto"/>
        <w:ind w:left="567" w:hanging="567"/>
        <w:rPr>
          <w:rFonts w:eastAsia="Calibri"/>
          <w:noProof/>
          <w:szCs w:val="22"/>
          <w:lang w:val="lt-LT"/>
        </w:rPr>
      </w:pPr>
      <w:r w:rsidRPr="00D85645">
        <w:rPr>
          <w:rFonts w:eastAsia="Calibri"/>
          <w:noProof/>
          <w:szCs w:val="22"/>
          <w:lang w:val="lt-LT"/>
        </w:rPr>
        <w:t>Neišmeskite šio lapelio, nes vėl gali prireikti jį perskaityti.</w:t>
      </w:r>
    </w:p>
    <w:p w:rsidR="00487C84" w:rsidRPr="00D85645" w:rsidRDefault="00487C84" w:rsidP="00487C84">
      <w:pPr>
        <w:widowControl w:val="0"/>
        <w:numPr>
          <w:ilvl w:val="0"/>
          <w:numId w:val="1"/>
        </w:numPr>
        <w:tabs>
          <w:tab w:val="clear" w:pos="567"/>
        </w:tabs>
        <w:spacing w:line="240" w:lineRule="auto"/>
        <w:ind w:left="567" w:hanging="567"/>
        <w:rPr>
          <w:rFonts w:eastAsia="Calibri"/>
          <w:noProof/>
          <w:szCs w:val="22"/>
          <w:lang w:val="lt-LT"/>
        </w:rPr>
      </w:pPr>
      <w:r w:rsidRPr="00D85645">
        <w:rPr>
          <w:rFonts w:eastAsia="Calibri"/>
          <w:noProof/>
          <w:szCs w:val="22"/>
          <w:lang w:val="lt-LT"/>
        </w:rPr>
        <w:t>Jeigu kiltų daugiau klausimų, kreipkitės į gydytoją arba vaistininką.</w:t>
      </w:r>
    </w:p>
    <w:p w:rsidR="00487C84" w:rsidRPr="00D85645" w:rsidRDefault="00487C84" w:rsidP="00487C84">
      <w:pPr>
        <w:widowControl w:val="0"/>
        <w:numPr>
          <w:ilvl w:val="0"/>
          <w:numId w:val="1"/>
        </w:numPr>
        <w:tabs>
          <w:tab w:val="clear" w:pos="567"/>
        </w:tabs>
        <w:spacing w:line="240" w:lineRule="auto"/>
        <w:ind w:left="567" w:hanging="567"/>
        <w:rPr>
          <w:rFonts w:eastAsia="Calibri"/>
          <w:noProof/>
          <w:szCs w:val="22"/>
          <w:lang w:val="lt-LT"/>
        </w:rPr>
      </w:pPr>
      <w:r w:rsidRPr="00D85645">
        <w:rPr>
          <w:rFonts w:eastAsia="Calibri"/>
          <w:noProof/>
          <w:szCs w:val="22"/>
          <w:lang w:val="lt-LT"/>
        </w:rPr>
        <w:t>Šis vaistas skirtas tik Jums, todėl kitiems žmonėms jo duoti negalima. Vaistas gali jiems pakenkti (net tiems, kurių ligos požymiai yra tokie patys kaip Jūsų).</w:t>
      </w:r>
    </w:p>
    <w:p w:rsidR="00487C84" w:rsidRPr="00D85645" w:rsidRDefault="00487C84" w:rsidP="00487C84">
      <w:pPr>
        <w:widowControl w:val="0"/>
        <w:numPr>
          <w:ilvl w:val="0"/>
          <w:numId w:val="1"/>
        </w:numPr>
        <w:tabs>
          <w:tab w:val="clear" w:pos="567"/>
        </w:tabs>
        <w:spacing w:line="240" w:lineRule="auto"/>
        <w:ind w:left="567" w:hanging="567"/>
        <w:rPr>
          <w:rFonts w:eastAsia="Calibri"/>
          <w:noProof/>
          <w:szCs w:val="22"/>
          <w:lang w:val="lt-LT"/>
        </w:rPr>
      </w:pPr>
      <w:r w:rsidRPr="00D85645">
        <w:rPr>
          <w:rFonts w:eastAsia="Calibri"/>
          <w:noProof/>
          <w:szCs w:val="22"/>
          <w:lang w:val="lt-LT"/>
        </w:rPr>
        <w:t>Jeigu pasireiškė šalutinis poveikis (net jeigu jis šiame lapelyje nenurodytas), kreipkitės į gydytoją arba vaistininką. Žr. 4</w:t>
      </w:r>
      <w:r>
        <w:rPr>
          <w:rFonts w:eastAsia="Calibri"/>
          <w:noProof/>
          <w:szCs w:val="22"/>
          <w:lang w:val="lt-LT"/>
        </w:rPr>
        <w:t> </w:t>
      </w:r>
      <w:r w:rsidRPr="00D85645">
        <w:rPr>
          <w:rFonts w:eastAsia="Calibri"/>
          <w:noProof/>
          <w:szCs w:val="22"/>
          <w:lang w:val="lt-LT"/>
        </w:rPr>
        <w:t>skyrių.</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noProof/>
          <w:szCs w:val="22"/>
          <w:lang w:val="lt-LT"/>
        </w:rPr>
      </w:pPr>
      <w:r w:rsidRPr="00D85645">
        <w:rPr>
          <w:rFonts w:eastAsia="Calibri"/>
          <w:b/>
          <w:noProof/>
          <w:szCs w:val="22"/>
          <w:lang w:val="lt-LT"/>
        </w:rPr>
        <w:t>Apie ką rašoma šiame lapelyje?</w:t>
      </w:r>
    </w:p>
    <w:p w:rsidR="00487C84" w:rsidRPr="00D85645" w:rsidRDefault="00487C84" w:rsidP="00487C84">
      <w:pPr>
        <w:widowControl w:val="0"/>
        <w:rPr>
          <w:rFonts w:eastAsia="Calibri"/>
          <w:b/>
          <w:noProof/>
          <w:szCs w:val="22"/>
          <w:lang w:val="lt-LT"/>
        </w:rPr>
      </w:pPr>
    </w:p>
    <w:p w:rsidR="00487C84" w:rsidRPr="00D85645" w:rsidRDefault="00487C84" w:rsidP="00487C84">
      <w:pPr>
        <w:widowControl w:val="0"/>
        <w:ind w:left="540" w:hanging="540"/>
        <w:rPr>
          <w:rFonts w:eastAsia="Calibri"/>
          <w:noProof/>
          <w:szCs w:val="22"/>
          <w:lang w:val="lt-LT"/>
        </w:rPr>
      </w:pPr>
      <w:r w:rsidRPr="00D85645">
        <w:rPr>
          <w:rFonts w:eastAsia="Calibri"/>
          <w:noProof/>
          <w:szCs w:val="22"/>
          <w:lang w:val="lt-LT"/>
        </w:rPr>
        <w:t>1.</w:t>
      </w:r>
      <w:r w:rsidRPr="00D85645">
        <w:rPr>
          <w:rFonts w:eastAsia="Calibri"/>
          <w:noProof/>
          <w:szCs w:val="22"/>
          <w:lang w:val="lt-LT"/>
        </w:rPr>
        <w:tab/>
        <w:t>Kas yra Zomiren ir kam jis vartojamas</w:t>
      </w:r>
    </w:p>
    <w:p w:rsidR="00487C84" w:rsidRPr="00D85645" w:rsidRDefault="00487C84" w:rsidP="00487C84">
      <w:pPr>
        <w:widowControl w:val="0"/>
        <w:ind w:left="540" w:hanging="540"/>
        <w:rPr>
          <w:rFonts w:eastAsia="Calibri"/>
          <w:noProof/>
          <w:szCs w:val="22"/>
          <w:lang w:val="lt-LT"/>
        </w:rPr>
      </w:pPr>
      <w:r w:rsidRPr="00D85645">
        <w:rPr>
          <w:rFonts w:eastAsia="Calibri"/>
          <w:noProof/>
          <w:szCs w:val="22"/>
          <w:lang w:val="lt-LT"/>
        </w:rPr>
        <w:t>2.</w:t>
      </w:r>
      <w:r w:rsidRPr="00D85645">
        <w:rPr>
          <w:rFonts w:eastAsia="Calibri"/>
          <w:noProof/>
          <w:szCs w:val="22"/>
          <w:lang w:val="lt-LT"/>
        </w:rPr>
        <w:tab/>
        <w:t>Kas žinotina prieš vartojant Zomiren</w:t>
      </w:r>
    </w:p>
    <w:p w:rsidR="00487C84" w:rsidRPr="00D85645" w:rsidRDefault="00487C84" w:rsidP="00487C84">
      <w:pPr>
        <w:widowControl w:val="0"/>
        <w:ind w:left="540" w:hanging="540"/>
        <w:rPr>
          <w:rFonts w:eastAsia="Calibri"/>
          <w:noProof/>
          <w:szCs w:val="22"/>
          <w:lang w:val="lt-LT"/>
        </w:rPr>
      </w:pPr>
      <w:r w:rsidRPr="00D85645">
        <w:rPr>
          <w:rFonts w:eastAsia="Calibri"/>
          <w:noProof/>
          <w:szCs w:val="22"/>
          <w:lang w:val="lt-LT"/>
        </w:rPr>
        <w:t>3.</w:t>
      </w:r>
      <w:r w:rsidRPr="00D85645">
        <w:rPr>
          <w:rFonts w:eastAsia="Calibri"/>
          <w:noProof/>
          <w:szCs w:val="22"/>
          <w:lang w:val="lt-LT"/>
        </w:rPr>
        <w:tab/>
        <w:t>Kaip vartoti Zomiren</w:t>
      </w:r>
    </w:p>
    <w:p w:rsidR="00487C84" w:rsidRPr="00D85645" w:rsidRDefault="00487C84" w:rsidP="00487C84">
      <w:pPr>
        <w:widowControl w:val="0"/>
        <w:ind w:left="540" w:hanging="540"/>
        <w:rPr>
          <w:rFonts w:eastAsia="Calibri"/>
          <w:noProof/>
          <w:szCs w:val="22"/>
          <w:lang w:val="lt-LT"/>
        </w:rPr>
      </w:pPr>
      <w:r w:rsidRPr="00D85645">
        <w:rPr>
          <w:rFonts w:eastAsia="Calibri"/>
          <w:noProof/>
          <w:szCs w:val="22"/>
          <w:lang w:val="lt-LT"/>
        </w:rPr>
        <w:t>4.</w:t>
      </w:r>
      <w:r w:rsidRPr="00D85645">
        <w:rPr>
          <w:rFonts w:eastAsia="Calibri"/>
          <w:noProof/>
          <w:szCs w:val="22"/>
          <w:lang w:val="lt-LT"/>
        </w:rPr>
        <w:tab/>
        <w:t>Galimas šalutinis poveikis</w:t>
      </w:r>
    </w:p>
    <w:p w:rsidR="00487C84" w:rsidRPr="00D85645" w:rsidRDefault="00487C84" w:rsidP="00487C84">
      <w:pPr>
        <w:widowControl w:val="0"/>
        <w:ind w:left="540" w:hanging="540"/>
        <w:rPr>
          <w:rFonts w:eastAsia="Calibri"/>
          <w:noProof/>
          <w:szCs w:val="22"/>
          <w:lang w:val="lt-LT"/>
        </w:rPr>
      </w:pPr>
      <w:r w:rsidRPr="00D85645">
        <w:rPr>
          <w:rFonts w:eastAsia="Calibri"/>
          <w:noProof/>
          <w:szCs w:val="22"/>
          <w:lang w:val="lt-LT"/>
        </w:rPr>
        <w:t>5.</w:t>
      </w:r>
      <w:r w:rsidRPr="00D85645">
        <w:rPr>
          <w:rFonts w:eastAsia="Calibri"/>
          <w:noProof/>
          <w:szCs w:val="22"/>
          <w:lang w:val="lt-LT"/>
        </w:rPr>
        <w:tab/>
        <w:t>Kaip laikyti Zomiren</w:t>
      </w:r>
    </w:p>
    <w:p w:rsidR="00487C84" w:rsidRPr="00D85645" w:rsidRDefault="00487C84" w:rsidP="00487C84">
      <w:pPr>
        <w:widowControl w:val="0"/>
        <w:ind w:left="540" w:hanging="540"/>
        <w:rPr>
          <w:rFonts w:eastAsia="Calibri"/>
          <w:noProof/>
          <w:szCs w:val="22"/>
          <w:lang w:val="lt-LT"/>
        </w:rPr>
      </w:pPr>
      <w:r w:rsidRPr="00D85645">
        <w:rPr>
          <w:rFonts w:eastAsia="Calibri"/>
          <w:noProof/>
          <w:szCs w:val="22"/>
          <w:lang w:val="lt-LT"/>
        </w:rPr>
        <w:t>6.</w:t>
      </w:r>
      <w:r w:rsidRPr="00D85645">
        <w:rPr>
          <w:rFonts w:eastAsia="Calibri"/>
          <w:noProof/>
          <w:szCs w:val="22"/>
          <w:lang w:val="lt-LT"/>
        </w:rPr>
        <w:tab/>
        <w:t>Pakuotės turinys ir kita informacija</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outlineLvl w:val="0"/>
        <w:rPr>
          <w:rFonts w:eastAsia="Calibri"/>
          <w:szCs w:val="22"/>
          <w:lang w:val="lt-LT" w:eastAsia="lt-LT"/>
        </w:rPr>
      </w:pPr>
    </w:p>
    <w:p w:rsidR="00487C84" w:rsidRPr="00D85645" w:rsidRDefault="00487C84" w:rsidP="00487C84">
      <w:pPr>
        <w:widowControl w:val="0"/>
        <w:ind w:left="567" w:hanging="567"/>
        <w:outlineLvl w:val="1"/>
        <w:rPr>
          <w:rFonts w:eastAsia="Calibri"/>
          <w:b/>
          <w:szCs w:val="22"/>
          <w:lang w:val="lt-LT"/>
        </w:rPr>
      </w:pPr>
      <w:bookmarkStart w:id="2" w:name="_Toc129243139"/>
      <w:bookmarkStart w:id="3" w:name="_Toc129243264"/>
      <w:r w:rsidRPr="00D85645">
        <w:rPr>
          <w:rFonts w:eastAsia="Calibri"/>
          <w:b/>
          <w:szCs w:val="22"/>
          <w:lang w:val="lt-LT"/>
        </w:rPr>
        <w:t>1.</w:t>
      </w:r>
      <w:r w:rsidRPr="00D85645">
        <w:rPr>
          <w:rFonts w:eastAsia="Calibri"/>
          <w:b/>
          <w:szCs w:val="22"/>
          <w:lang w:val="lt-LT"/>
        </w:rPr>
        <w:tab/>
        <w:t>Kas yra Zomiren ir kam jis vartojamas</w:t>
      </w:r>
      <w:bookmarkEnd w:id="2"/>
      <w:bookmarkEnd w:id="3"/>
    </w:p>
    <w:p w:rsidR="00487C84" w:rsidRPr="00D85645" w:rsidRDefault="00487C84" w:rsidP="00487C84">
      <w:pPr>
        <w:widowControl w:val="0"/>
        <w:outlineLvl w:val="0"/>
        <w:rPr>
          <w:rFonts w:eastAsia="Calibri"/>
          <w:b/>
          <w:szCs w:val="22"/>
          <w:lang w:val="lt-LT" w:eastAsia="lt-LT"/>
        </w:rPr>
      </w:pPr>
    </w:p>
    <w:p w:rsidR="00487C84" w:rsidRPr="00D85645" w:rsidRDefault="00487C84" w:rsidP="00487C84">
      <w:pPr>
        <w:widowControl w:val="0"/>
        <w:tabs>
          <w:tab w:val="num" w:pos="540"/>
        </w:tabs>
        <w:rPr>
          <w:rFonts w:eastAsia="Calibri"/>
          <w:szCs w:val="22"/>
          <w:lang w:val="lt-LT" w:eastAsia="lt-LT"/>
        </w:rPr>
      </w:pPr>
      <w:r w:rsidRPr="00D85645">
        <w:rPr>
          <w:rFonts w:eastAsia="Calibri"/>
          <w:szCs w:val="22"/>
          <w:lang w:val="lt-LT" w:eastAsia="lt-LT"/>
        </w:rPr>
        <w:t xml:space="preserve">Zomiren </w:t>
      </w:r>
      <w:r w:rsidRPr="00080C5C">
        <w:rPr>
          <w:rFonts w:eastAsia="Calibri"/>
          <w:szCs w:val="22"/>
          <w:lang w:val="lt-LT" w:eastAsia="lt-LT"/>
        </w:rPr>
        <w:t>sudėtyje yra veikliosios medžiagos alprazolamo. Jis priklauso vaistų, vadinamų benzodiazepinais (neri</w:t>
      </w:r>
      <w:r>
        <w:rPr>
          <w:rFonts w:eastAsia="Calibri"/>
          <w:szCs w:val="22"/>
          <w:lang w:val="lt-LT" w:eastAsia="lt-LT"/>
        </w:rPr>
        <w:t>mą malšinančių vaistų), grupei.</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 xml:space="preserve">Zomiren </w:t>
      </w:r>
      <w:r w:rsidRPr="00080C5C">
        <w:rPr>
          <w:rFonts w:eastAsia="Calibri"/>
          <w:szCs w:val="22"/>
          <w:lang w:val="lt-LT" w:eastAsia="lt-LT"/>
        </w:rPr>
        <w:t>vartojamas simptominiam nerimo gydymui suaugusiesiems, kai sutrikimai yra sunkūs, riboja paciento veiklą ir labai vargina. Šis vaistas skirtas tik trumpalaikiam vartojamui.</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ind w:left="567" w:hanging="567"/>
        <w:outlineLvl w:val="1"/>
        <w:rPr>
          <w:rFonts w:eastAsia="Calibri"/>
          <w:b/>
          <w:szCs w:val="22"/>
          <w:lang w:val="lt-LT"/>
        </w:rPr>
      </w:pPr>
      <w:bookmarkStart w:id="4" w:name="_Toc129243140"/>
      <w:bookmarkStart w:id="5" w:name="_Toc129243265"/>
      <w:r w:rsidRPr="00D85645">
        <w:rPr>
          <w:rFonts w:eastAsia="Calibri"/>
          <w:b/>
          <w:szCs w:val="22"/>
          <w:lang w:val="lt-LT"/>
        </w:rPr>
        <w:t>2.</w:t>
      </w:r>
      <w:r w:rsidRPr="00D85645">
        <w:rPr>
          <w:rFonts w:eastAsia="Calibri"/>
          <w:b/>
          <w:szCs w:val="22"/>
          <w:lang w:val="lt-LT"/>
        </w:rPr>
        <w:tab/>
        <w:t xml:space="preserve">Kas žinotina prieš vartojant </w:t>
      </w:r>
      <w:bookmarkEnd w:id="4"/>
      <w:bookmarkEnd w:id="5"/>
      <w:r w:rsidRPr="00D85645">
        <w:rPr>
          <w:rFonts w:eastAsia="Calibri"/>
          <w:b/>
          <w:szCs w:val="22"/>
          <w:lang w:val="lt-LT"/>
        </w:rPr>
        <w:t>Zomiren</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 xml:space="preserve">Zomiren vartoti </w:t>
      </w:r>
      <w:r>
        <w:rPr>
          <w:rFonts w:eastAsia="Calibri"/>
          <w:b/>
          <w:bCs/>
          <w:szCs w:val="22"/>
          <w:lang w:val="lt-LT"/>
        </w:rPr>
        <w:t>draudžiama</w:t>
      </w:r>
      <w:r w:rsidRPr="00D85645">
        <w:rPr>
          <w:rFonts w:eastAsia="Calibri"/>
          <w:b/>
          <w:bCs/>
          <w:szCs w:val="22"/>
          <w:lang w:val="lt-LT"/>
        </w:rPr>
        <w:t>:</w:t>
      </w:r>
    </w:p>
    <w:p w:rsidR="00487C84" w:rsidRPr="00D85645" w:rsidRDefault="00487C84" w:rsidP="00487C84">
      <w:pPr>
        <w:widowControl w:val="0"/>
        <w:numPr>
          <w:ilvl w:val="0"/>
          <w:numId w:val="2"/>
        </w:numPr>
        <w:tabs>
          <w:tab w:val="clear" w:pos="567"/>
        </w:tabs>
        <w:spacing w:line="240" w:lineRule="auto"/>
        <w:ind w:left="567" w:hanging="567"/>
        <w:rPr>
          <w:rFonts w:eastAsia="Calibri"/>
          <w:noProof/>
          <w:szCs w:val="22"/>
          <w:lang w:val="lt-LT"/>
        </w:rPr>
      </w:pPr>
      <w:r w:rsidRPr="00D85645">
        <w:rPr>
          <w:rFonts w:eastAsia="Calibri"/>
          <w:noProof/>
          <w:szCs w:val="22"/>
          <w:lang w:val="lt-LT"/>
        </w:rPr>
        <w:t>jeigu yra alergija alprazolamui, kitiems benzodiazepinams arba bet kuriai pagalbinei šio vaisto medžiagai (jos išvardytos</w:t>
      </w:r>
      <w:r>
        <w:rPr>
          <w:rFonts w:eastAsia="Calibri"/>
          <w:noProof/>
          <w:szCs w:val="22"/>
          <w:lang w:val="lt-LT"/>
        </w:rPr>
        <w:t> </w:t>
      </w:r>
      <w:r w:rsidRPr="00D85645">
        <w:rPr>
          <w:rFonts w:eastAsia="Calibri"/>
          <w:noProof/>
          <w:szCs w:val="22"/>
          <w:lang w:val="lt-LT"/>
        </w:rPr>
        <w:t>6</w:t>
      </w:r>
      <w:r>
        <w:rPr>
          <w:rFonts w:eastAsia="Calibri"/>
          <w:noProof/>
          <w:szCs w:val="22"/>
          <w:lang w:val="lt-LT"/>
        </w:rPr>
        <w:t> </w:t>
      </w:r>
      <w:r w:rsidRPr="00D85645">
        <w:rPr>
          <w:rFonts w:eastAsia="Calibri"/>
          <w:noProof/>
          <w:szCs w:val="22"/>
          <w:lang w:val="lt-LT"/>
        </w:rPr>
        <w:t>skyriuje);</w:t>
      </w:r>
    </w:p>
    <w:p w:rsidR="00487C84" w:rsidRPr="00D85645" w:rsidRDefault="00487C84" w:rsidP="00487C84">
      <w:pPr>
        <w:widowControl w:val="0"/>
        <w:numPr>
          <w:ilvl w:val="0"/>
          <w:numId w:val="2"/>
        </w:numPr>
        <w:tabs>
          <w:tab w:val="clear" w:pos="567"/>
        </w:tabs>
        <w:spacing w:line="240" w:lineRule="auto"/>
        <w:ind w:left="567" w:hanging="567"/>
        <w:rPr>
          <w:rFonts w:eastAsia="Calibri"/>
          <w:noProof/>
          <w:szCs w:val="22"/>
          <w:lang w:val="lt-LT"/>
        </w:rPr>
      </w:pPr>
      <w:r w:rsidRPr="00D85645">
        <w:rPr>
          <w:rFonts w:eastAsia="Calibri"/>
          <w:noProof/>
          <w:szCs w:val="22"/>
          <w:lang w:val="lt-LT"/>
        </w:rPr>
        <w:t>jei sergate sunkiu kvėpavimo funkcijos nepakankamumu;</w:t>
      </w:r>
    </w:p>
    <w:p w:rsidR="00487C84" w:rsidRPr="00D85645" w:rsidRDefault="00487C84" w:rsidP="00487C84">
      <w:pPr>
        <w:widowControl w:val="0"/>
        <w:numPr>
          <w:ilvl w:val="0"/>
          <w:numId w:val="2"/>
        </w:numPr>
        <w:tabs>
          <w:tab w:val="clear" w:pos="567"/>
        </w:tabs>
        <w:spacing w:line="240" w:lineRule="auto"/>
        <w:ind w:left="567" w:hanging="567"/>
        <w:rPr>
          <w:rFonts w:eastAsia="Calibri"/>
          <w:noProof/>
          <w:szCs w:val="22"/>
          <w:lang w:val="lt-LT"/>
        </w:rPr>
      </w:pPr>
      <w:r w:rsidRPr="00D85645">
        <w:rPr>
          <w:rFonts w:eastAsia="Calibri"/>
          <w:noProof/>
          <w:szCs w:val="22"/>
          <w:lang w:val="lt-LT"/>
        </w:rPr>
        <w:t>jeigu Jums yra diagnozuotas raumenų silpnumas (sunkioji miastenija);</w:t>
      </w:r>
    </w:p>
    <w:p w:rsidR="00487C84" w:rsidRPr="00D85645" w:rsidRDefault="00487C84" w:rsidP="00487C84">
      <w:pPr>
        <w:widowControl w:val="0"/>
        <w:numPr>
          <w:ilvl w:val="0"/>
          <w:numId w:val="2"/>
        </w:numPr>
        <w:tabs>
          <w:tab w:val="clear" w:pos="567"/>
        </w:tabs>
        <w:spacing w:line="240" w:lineRule="auto"/>
        <w:ind w:left="567" w:hanging="567"/>
        <w:rPr>
          <w:rFonts w:eastAsia="Calibri"/>
          <w:noProof/>
          <w:szCs w:val="22"/>
          <w:lang w:val="lt-LT"/>
        </w:rPr>
      </w:pPr>
      <w:r w:rsidRPr="00D85645">
        <w:rPr>
          <w:rFonts w:eastAsia="Calibri"/>
          <w:noProof/>
          <w:szCs w:val="22"/>
          <w:lang w:val="lt-LT"/>
        </w:rPr>
        <w:t>jei miego metu būna kvėpavimo nutrūkimo epizodų (pasireiškia vadinamasis apnėjos sindromas);</w:t>
      </w:r>
    </w:p>
    <w:p w:rsidR="00487C84" w:rsidRPr="00D85645" w:rsidRDefault="00487C84" w:rsidP="00487C84">
      <w:pPr>
        <w:widowControl w:val="0"/>
        <w:numPr>
          <w:ilvl w:val="0"/>
          <w:numId w:val="2"/>
        </w:numPr>
        <w:tabs>
          <w:tab w:val="clear" w:pos="567"/>
        </w:tabs>
        <w:spacing w:line="240" w:lineRule="auto"/>
        <w:ind w:left="567" w:hanging="567"/>
        <w:rPr>
          <w:rFonts w:eastAsia="Calibri"/>
          <w:noProof/>
          <w:szCs w:val="22"/>
          <w:lang w:val="lt-LT"/>
        </w:rPr>
      </w:pPr>
      <w:r w:rsidRPr="00D85645">
        <w:rPr>
          <w:rFonts w:eastAsia="Calibri"/>
          <w:noProof/>
          <w:szCs w:val="22"/>
          <w:lang w:val="lt-LT"/>
        </w:rPr>
        <w:t>jeigu sergate sunkiu kepenų funkcijos nepakankamumu.</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Įspėjimai ir atsargumo priemonės</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Pasitarkite su gydytoju arba vaistininku, prieš pradėdami vartoti Zomiren.</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 xml:space="preserve">Pacientams, kurių inkstų funkcija sutrikusi arba kuriems yra lengvas arba vidutinio sunkumo kepenų funkcijos nepakankamumas, sergantiems sunkiu kvėpavimo funkcijos nepakankamumu arba miego apnėja, Zomiren </w:t>
      </w:r>
      <w:r w:rsidRPr="00D85645">
        <w:rPr>
          <w:szCs w:val="22"/>
          <w:lang w:val="lt-LT"/>
        </w:rPr>
        <w:t>vartojamas</w:t>
      </w:r>
      <w:r w:rsidRPr="00D85645">
        <w:rPr>
          <w:rFonts w:eastAsia="Calibri"/>
          <w:noProof/>
          <w:szCs w:val="22"/>
          <w:lang w:val="lt-LT"/>
        </w:rPr>
        <w:t xml:space="preserve"> atsargiai</w:t>
      </w:r>
      <w:r w:rsidRPr="00D85645">
        <w:rPr>
          <w:szCs w:val="22"/>
          <w:lang w:val="lt-LT"/>
        </w:rPr>
        <w:t xml:space="preserve"> ir tik paskyrus gydytojui</w:t>
      </w:r>
      <w:r w:rsidRPr="00D85645">
        <w:rPr>
          <w:rFonts w:eastAsia="Calibri"/>
          <w:noProof/>
          <w:szCs w:val="22"/>
          <w:lang w:val="lt-LT"/>
        </w:rPr>
        <w:t>.</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Atsargiai šio vaisto būtina vartoti pacientams, vartojantiems alkoholį arba kitus raminamuosius vaistus bei pacientams, anksčiau piktnaudžiavusiems alkoholiu, vaistais ar narkotikais.</w:t>
      </w:r>
    </w:p>
    <w:p w:rsidR="00487C84" w:rsidRPr="00D85645" w:rsidRDefault="00487C84" w:rsidP="00487C84">
      <w:pPr>
        <w:widowControl w:val="0"/>
        <w:rPr>
          <w:rFonts w:eastAsia="Calibri"/>
          <w:szCs w:val="22"/>
          <w:lang w:val="lt-LT" w:eastAsia="lt-LT"/>
        </w:rPr>
      </w:pPr>
    </w:p>
    <w:p w:rsidR="00487C84" w:rsidRDefault="00487C84" w:rsidP="00487C84">
      <w:pPr>
        <w:widowControl w:val="0"/>
        <w:rPr>
          <w:rFonts w:eastAsia="Calibri"/>
          <w:noProof/>
          <w:szCs w:val="22"/>
          <w:lang w:val="lt-LT"/>
        </w:rPr>
      </w:pPr>
      <w:r w:rsidRPr="00D85645">
        <w:rPr>
          <w:rFonts w:eastAsia="Calibri"/>
          <w:noProof/>
          <w:szCs w:val="22"/>
          <w:lang w:val="lt-LT"/>
        </w:rPr>
        <w:lastRenderedPageBreak/>
        <w:t>Ilgai vartojami benzodiazepinai, įskaitant Zomiren,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p>
    <w:p w:rsidR="00487C84" w:rsidRPr="00D85645" w:rsidRDefault="00487C84" w:rsidP="00487C84">
      <w:pPr>
        <w:widowControl w:val="0"/>
        <w:rPr>
          <w:rFonts w:eastAsia="Calibri"/>
          <w:noProof/>
          <w:szCs w:val="22"/>
          <w:lang w:val="lt-LT"/>
        </w:rPr>
      </w:pPr>
    </w:p>
    <w:p w:rsidR="00487C84" w:rsidRDefault="00487C84" w:rsidP="00487C84">
      <w:pPr>
        <w:widowControl w:val="0"/>
        <w:rPr>
          <w:iCs/>
          <w:szCs w:val="22"/>
          <w:lang w:val="lt-LT" w:eastAsia="x-none"/>
        </w:rPr>
      </w:pPr>
      <w:r w:rsidRPr="00D85645">
        <w:rPr>
          <w:iCs/>
          <w:szCs w:val="22"/>
          <w:lang w:val="lt-LT" w:eastAsia="x-none"/>
        </w:rPr>
        <w:t>Pik</w:t>
      </w:r>
      <w:r>
        <w:rPr>
          <w:iCs/>
          <w:szCs w:val="22"/>
          <w:lang w:val="lt-LT" w:eastAsia="x-none"/>
        </w:rPr>
        <w:t>t</w:t>
      </w:r>
      <w:r w:rsidRPr="00D85645">
        <w:rPr>
          <w:iCs/>
          <w:szCs w:val="22"/>
          <w:lang w:val="lt-LT" w:eastAsia="x-none"/>
        </w:rPr>
        <w:t>naudžiavimas vaistais – žinoma alprazolamo ir kitų benzodiazepinų rizika. Gauta pranešimų apie su perdozavimu susijusias mirtis dėl piktnaudžiavimo alprazolamu kartu su kitomis centrinę nervų sistemą slopinančiomis medžiagomis, įskaitant opioidus, kitus benzodiazepinus ir alkoholį.</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D85645">
        <w:rPr>
          <w:rFonts w:eastAsia="Calibri"/>
          <w:bCs/>
          <w:noProof/>
          <w:szCs w:val="22"/>
          <w:lang w:val="lt-LT"/>
        </w:rPr>
        <w:t xml:space="preserve">Zomiren </w:t>
      </w:r>
      <w:r w:rsidRPr="00D85645">
        <w:rPr>
          <w:rFonts w:eastAsia="Calibri"/>
          <w:noProof/>
          <w:szCs w:val="22"/>
          <w:lang w:val="lt-LT"/>
        </w:rPr>
        <w:t>vartojimą.</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Visi benzodiazepinai, įskaitant Zomiren, gali laikinai sutrikdyti atmintį (sukelti amneziją). Toks poveikis dažniausiai pasireiškia po vaisto suvartojimo praėjus kelioms valandoms.</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487C84" w:rsidRPr="00D85645" w:rsidRDefault="00487C84" w:rsidP="00487C84">
      <w:pPr>
        <w:widowControl w:val="0"/>
        <w:rPr>
          <w:rFonts w:eastAsia="Calibri"/>
          <w:noProof/>
          <w:szCs w:val="22"/>
          <w:u w:val="single"/>
          <w:lang w:val="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color w:val="000000"/>
          <w:szCs w:val="22"/>
          <w:lang w:val="lt-LT"/>
        </w:rPr>
      </w:pPr>
      <w:r w:rsidRPr="00D85645">
        <w:rPr>
          <w:color w:val="000000"/>
          <w:szCs w:val="22"/>
          <w:lang w:val="lt-LT"/>
        </w:rPr>
        <w:t>Benzodiazepinai ir panašūs vaistai senyviems pacientams turi būti vartojami atsargiai dėl slopinimo ir (arba) raumenų ir skeleto silpnumo rizikos, kuri gali sukelti griuvimus, dažniausiai turinčius sunkius padarinius tokiems pacientams.</w:t>
      </w:r>
    </w:p>
    <w:p w:rsidR="00487C84" w:rsidRPr="00D85645" w:rsidRDefault="00487C84" w:rsidP="00487C84">
      <w:pPr>
        <w:widowControl w:val="0"/>
        <w:rPr>
          <w:szCs w:val="22"/>
          <w:lang w:val="lt-LT"/>
        </w:rPr>
      </w:pPr>
    </w:p>
    <w:p w:rsidR="00487C84" w:rsidRPr="00D85645" w:rsidRDefault="00487C84" w:rsidP="00487C84">
      <w:pPr>
        <w:widowControl w:val="0"/>
        <w:rPr>
          <w:rFonts w:eastAsia="Calibri"/>
          <w:b/>
          <w:bCs/>
          <w:szCs w:val="22"/>
          <w:lang w:val="lt-LT" w:eastAsia="lt-LT"/>
        </w:rPr>
      </w:pPr>
      <w:r w:rsidRPr="00D85645">
        <w:rPr>
          <w:rFonts w:eastAsia="Calibri"/>
          <w:b/>
          <w:bCs/>
          <w:szCs w:val="22"/>
          <w:lang w:val="lt-LT" w:eastAsia="lt-LT"/>
        </w:rPr>
        <w:t>Vaikams ir paaugliams</w:t>
      </w:r>
    </w:p>
    <w:p w:rsidR="00487C84" w:rsidRPr="00D85645" w:rsidRDefault="00487C84" w:rsidP="00487C84">
      <w:pPr>
        <w:widowControl w:val="0"/>
        <w:rPr>
          <w:rFonts w:eastAsia="Calibri"/>
          <w:noProof/>
          <w:szCs w:val="22"/>
          <w:lang w:val="lt-LT"/>
        </w:rPr>
      </w:pPr>
      <w:r w:rsidRPr="00D85645">
        <w:rPr>
          <w:rFonts w:eastAsia="Calibri"/>
          <w:noProof/>
          <w:szCs w:val="22"/>
          <w:lang w:val="lt-LT"/>
        </w:rPr>
        <w:t>Duomenų apie šio vaisto saugumą ir veiksmingumą jaunesniems kaip 18 metų vaikams nepakanka, todėl. Zomiren vartoti nerekomenduojama.</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Kiti vaistai ir Zomiren</w:t>
      </w:r>
    </w:p>
    <w:p w:rsidR="00487C84" w:rsidRPr="00D85645" w:rsidRDefault="00487C84" w:rsidP="00487C84">
      <w:pPr>
        <w:widowControl w:val="0"/>
        <w:rPr>
          <w:rFonts w:eastAsia="Calibri"/>
          <w:noProof/>
          <w:szCs w:val="22"/>
          <w:lang w:val="lt-LT"/>
        </w:rPr>
      </w:pPr>
      <w:r w:rsidRPr="00D85645">
        <w:rPr>
          <w:rFonts w:eastAsia="Calibri"/>
          <w:noProof/>
          <w:szCs w:val="22"/>
          <w:lang w:val="lt-LT"/>
        </w:rPr>
        <w:t>Jeigu vartojate arba neseniai vartojote kitų vaistų arba dėl to nesate tikri, apie tai pasakykite gydytojui arba vaistininkui.</w:t>
      </w:r>
    </w:p>
    <w:p w:rsidR="00487C84" w:rsidRPr="00D85645" w:rsidRDefault="00487C84" w:rsidP="00487C84">
      <w:pPr>
        <w:widowControl w:val="0"/>
        <w:rPr>
          <w:rFonts w:eastAsia="Calibri"/>
          <w:szCs w:val="22"/>
          <w:lang w:val="lt-LT"/>
        </w:rPr>
      </w:pPr>
    </w:p>
    <w:p w:rsidR="00487C84" w:rsidRPr="00D85645" w:rsidRDefault="00487C84" w:rsidP="00487C84">
      <w:pPr>
        <w:widowControl w:val="0"/>
        <w:rPr>
          <w:rFonts w:eastAsia="Calibri"/>
          <w:szCs w:val="22"/>
          <w:lang w:val="lt-LT"/>
        </w:rPr>
      </w:pPr>
      <w:r w:rsidRPr="00D85645">
        <w:rPr>
          <w:rFonts w:eastAsia="Calibri"/>
          <w:szCs w:val="22"/>
          <w:lang w:val="lt-LT"/>
        </w:rPr>
        <w:t>Kai kurie vaistai</w:t>
      </w:r>
      <w:r w:rsidRPr="00D85645">
        <w:rPr>
          <w:szCs w:val="22"/>
          <w:lang w:val="lt-LT"/>
        </w:rPr>
        <w:t>,</w:t>
      </w:r>
      <w:r w:rsidRPr="00D85645">
        <w:rPr>
          <w:rFonts w:eastAsia="Calibri"/>
          <w:szCs w:val="22"/>
          <w:lang w:val="lt-LT"/>
        </w:rPr>
        <w:t xml:space="preserve"> vartojami kartu su alprazolamu</w:t>
      </w:r>
      <w:r w:rsidRPr="00D85645">
        <w:rPr>
          <w:szCs w:val="22"/>
          <w:lang w:val="lt-LT"/>
        </w:rPr>
        <w:t>,</w:t>
      </w:r>
      <w:r w:rsidRPr="00D85645">
        <w:rPr>
          <w:rFonts w:eastAsia="Calibri"/>
          <w:szCs w:val="22"/>
          <w:lang w:val="lt-LT"/>
        </w:rPr>
        <w:t xml:space="preserve"> gali sukelti šalutinį poveikį. Tam tikrų vaistų vartojimas kartu su alprazolamu gali turėti įtakos gydymo veiksmingumui. Tokiu atveju gydytojas turi paskirti atitinkamą vaistą arba keisti vartojamų vaistų dozes.</w:t>
      </w:r>
    </w:p>
    <w:p w:rsidR="00487C84" w:rsidRPr="00D85645" w:rsidRDefault="00487C84" w:rsidP="00487C84">
      <w:pPr>
        <w:rPr>
          <w:szCs w:val="22"/>
          <w:lang w:val="lt-LT" w:eastAsia="x-none"/>
        </w:rPr>
      </w:pPr>
    </w:p>
    <w:p w:rsidR="00487C84" w:rsidRPr="00D85645" w:rsidRDefault="00487C84" w:rsidP="00487C84">
      <w:pPr>
        <w:rPr>
          <w:szCs w:val="22"/>
          <w:lang w:val="lt-LT" w:eastAsia="x-none"/>
        </w:rPr>
      </w:pPr>
      <w:r w:rsidRPr="00D85645">
        <w:rPr>
          <w:szCs w:val="22"/>
          <w:lang w:val="lt-LT" w:eastAsia="x-none"/>
        </w:rPr>
        <w:t>Zomiren nerekomenduojama skirti kartu su vaistais nuo grybelių sukeltų ligų (pvz., ketokonazolo,, itrakonazolo ir kitų azolų grupės vaistų).</w:t>
      </w:r>
    </w:p>
    <w:p w:rsidR="00487C84" w:rsidRPr="00D85645" w:rsidRDefault="00487C84" w:rsidP="00487C84">
      <w:pPr>
        <w:ind w:left="567"/>
        <w:rPr>
          <w:szCs w:val="22"/>
          <w:lang w:val="lt-LT" w:eastAsia="x-none"/>
        </w:rPr>
      </w:pPr>
    </w:p>
    <w:p w:rsidR="00487C84" w:rsidRPr="00D6247A" w:rsidRDefault="00487C84" w:rsidP="00487C84">
      <w:pPr>
        <w:rPr>
          <w:szCs w:val="22"/>
          <w:lang w:val="lt-LT" w:eastAsia="x-none"/>
        </w:rPr>
      </w:pPr>
      <w:r w:rsidRPr="00D85645">
        <w:rPr>
          <w:szCs w:val="22"/>
          <w:lang w:val="lt-LT" w:eastAsia="x-none"/>
        </w:rPr>
        <w:t>Zomiren rekomenduojama skirti atsargiai kartu su:</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nefazodon</w:t>
      </w:r>
      <w:r>
        <w:rPr>
          <w:rFonts w:eastAsia="Calibri"/>
          <w:szCs w:val="22"/>
          <w:lang w:val="lt-LT"/>
        </w:rPr>
        <w:t>u</w:t>
      </w:r>
      <w:r w:rsidRPr="00D85645">
        <w:rPr>
          <w:rFonts w:eastAsia="Calibri"/>
          <w:szCs w:val="22"/>
          <w:lang w:val="lt-LT"/>
        </w:rPr>
        <w:t>, fluvoksamin</w:t>
      </w:r>
      <w:r>
        <w:rPr>
          <w:rFonts w:eastAsia="Calibri"/>
          <w:szCs w:val="22"/>
          <w:lang w:val="lt-LT"/>
        </w:rPr>
        <w:t>u</w:t>
      </w:r>
      <w:r w:rsidRPr="00D85645">
        <w:rPr>
          <w:rFonts w:eastAsia="Calibri"/>
          <w:szCs w:val="22"/>
          <w:lang w:val="lt-LT"/>
        </w:rPr>
        <w:t>, fluoksetin</w:t>
      </w:r>
      <w:r>
        <w:rPr>
          <w:rFonts w:eastAsia="Calibri"/>
          <w:szCs w:val="22"/>
          <w:lang w:val="lt-LT"/>
        </w:rPr>
        <w:t>u</w:t>
      </w:r>
      <w:r w:rsidRPr="00D85645">
        <w:rPr>
          <w:rFonts w:eastAsia="Calibri"/>
          <w:szCs w:val="22"/>
          <w:lang w:val="lt-LT"/>
        </w:rPr>
        <w:t>, sertralin</w:t>
      </w:r>
      <w:r>
        <w:rPr>
          <w:rFonts w:eastAsia="Calibri"/>
          <w:szCs w:val="22"/>
          <w:lang w:val="lt-LT"/>
        </w:rPr>
        <w:t>u</w:t>
      </w:r>
      <w:r w:rsidRPr="00D85645">
        <w:rPr>
          <w:rFonts w:eastAsia="Calibri"/>
          <w:szCs w:val="22"/>
          <w:lang w:val="lt-LT"/>
        </w:rPr>
        <w:t xml:space="preserve"> (sunkios depresijos gydymui);</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cimetidin</w:t>
      </w:r>
      <w:r>
        <w:rPr>
          <w:rFonts w:eastAsia="Calibri"/>
          <w:szCs w:val="22"/>
          <w:lang w:val="lt-LT"/>
        </w:rPr>
        <w:t>u</w:t>
      </w:r>
      <w:r w:rsidRPr="00D85645">
        <w:rPr>
          <w:rFonts w:eastAsia="Calibri"/>
          <w:szCs w:val="22"/>
          <w:lang w:val="lt-LT"/>
        </w:rPr>
        <w:t xml:space="preserve"> (skrandžio sutrikimų gydymui);</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vaistai</w:t>
      </w:r>
      <w:r>
        <w:rPr>
          <w:rFonts w:eastAsia="Calibri"/>
          <w:szCs w:val="22"/>
          <w:lang w:val="lt-LT"/>
        </w:rPr>
        <w:t>s</w:t>
      </w:r>
      <w:r w:rsidRPr="00D85645">
        <w:rPr>
          <w:rFonts w:eastAsia="Calibri"/>
          <w:szCs w:val="22"/>
          <w:lang w:val="lt-LT"/>
        </w:rPr>
        <w:t xml:space="preserve"> ŽIV infekcijos gydymui (pvz., ritonavir</w:t>
      </w:r>
      <w:r>
        <w:rPr>
          <w:rFonts w:eastAsia="Calibri"/>
          <w:szCs w:val="22"/>
          <w:lang w:val="lt-LT"/>
        </w:rPr>
        <w:t>u</w:t>
      </w:r>
      <w:r w:rsidRPr="00D85645">
        <w:rPr>
          <w:rFonts w:eastAsia="Calibri"/>
          <w:szCs w:val="22"/>
          <w:lang w:val="lt-LT"/>
        </w:rPr>
        <w:t>);</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dekstropropoksifen</w:t>
      </w:r>
      <w:r>
        <w:rPr>
          <w:rFonts w:eastAsia="Calibri"/>
          <w:szCs w:val="22"/>
          <w:lang w:val="lt-LT"/>
        </w:rPr>
        <w:t>u</w:t>
      </w:r>
      <w:r w:rsidRPr="00D85645">
        <w:rPr>
          <w:rFonts w:eastAsia="Calibri"/>
          <w:szCs w:val="22"/>
          <w:lang w:val="lt-LT"/>
        </w:rPr>
        <w:t>;</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geriam</w:t>
      </w:r>
      <w:r>
        <w:rPr>
          <w:rFonts w:eastAsia="Calibri"/>
          <w:szCs w:val="22"/>
          <w:lang w:val="lt-LT"/>
        </w:rPr>
        <w:t>aisiais</w:t>
      </w:r>
      <w:r w:rsidRPr="00D85645">
        <w:rPr>
          <w:rFonts w:eastAsia="Calibri"/>
          <w:szCs w:val="22"/>
          <w:lang w:val="lt-LT"/>
        </w:rPr>
        <w:t xml:space="preserve"> kontraceptikai</w:t>
      </w:r>
      <w:r>
        <w:rPr>
          <w:rFonts w:eastAsia="Calibri"/>
          <w:szCs w:val="22"/>
          <w:lang w:val="lt-LT"/>
        </w:rPr>
        <w:t>s</w:t>
      </w:r>
      <w:r w:rsidRPr="00D85645">
        <w:rPr>
          <w:rFonts w:eastAsia="Calibri"/>
          <w:szCs w:val="22"/>
          <w:lang w:val="lt-LT"/>
        </w:rPr>
        <w:t>;</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diltiazem</w:t>
      </w:r>
      <w:r>
        <w:rPr>
          <w:rFonts w:eastAsia="Calibri"/>
          <w:szCs w:val="22"/>
          <w:lang w:val="lt-LT"/>
        </w:rPr>
        <w:t>u</w:t>
      </w:r>
      <w:r w:rsidRPr="00D85645">
        <w:rPr>
          <w:rFonts w:eastAsia="Calibri"/>
          <w:szCs w:val="22"/>
          <w:lang w:val="lt-LT"/>
        </w:rPr>
        <w:t xml:space="preserve"> (vaist</w:t>
      </w:r>
      <w:r>
        <w:rPr>
          <w:rFonts w:eastAsia="Calibri"/>
          <w:szCs w:val="22"/>
          <w:lang w:val="lt-LT"/>
        </w:rPr>
        <w:t>u</w:t>
      </w:r>
      <w:r w:rsidRPr="00D85645">
        <w:rPr>
          <w:rFonts w:eastAsia="Calibri"/>
          <w:szCs w:val="22"/>
          <w:lang w:val="lt-LT"/>
        </w:rPr>
        <w:t xml:space="preserve"> nuo širdies ir kraujospūdžio sutrikimų);</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szCs w:val="22"/>
          <w:lang w:val="lt-LT"/>
        </w:rPr>
      </w:pPr>
      <w:r w:rsidRPr="00D85645">
        <w:rPr>
          <w:szCs w:val="22"/>
          <w:lang w:val="lt-LT" w:eastAsia="lt-LT"/>
        </w:rPr>
        <w:t>digoksin</w:t>
      </w:r>
      <w:r>
        <w:rPr>
          <w:szCs w:val="22"/>
          <w:lang w:val="lt-LT" w:eastAsia="lt-LT"/>
        </w:rPr>
        <w:t>u</w:t>
      </w:r>
      <w:r w:rsidRPr="00D85645">
        <w:rPr>
          <w:szCs w:val="22"/>
          <w:lang w:val="lt-LT" w:eastAsia="lt-LT"/>
        </w:rPr>
        <w:t xml:space="preserve"> (vaist</w:t>
      </w:r>
      <w:r>
        <w:rPr>
          <w:szCs w:val="22"/>
          <w:lang w:val="lt-LT" w:eastAsia="lt-LT"/>
        </w:rPr>
        <w:t>u</w:t>
      </w:r>
      <w:r w:rsidRPr="00D85645">
        <w:rPr>
          <w:szCs w:val="22"/>
          <w:lang w:val="lt-LT" w:eastAsia="lt-LT"/>
        </w:rPr>
        <w:t xml:space="preserve"> nuo širdies ligų);</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noProof/>
          <w:szCs w:val="22"/>
          <w:lang w:val="lt-LT"/>
        </w:rPr>
      </w:pPr>
      <w:r w:rsidRPr="00D85645">
        <w:rPr>
          <w:rFonts w:eastAsia="Calibri"/>
          <w:noProof/>
          <w:szCs w:val="22"/>
          <w:lang w:val="lt-LT"/>
        </w:rPr>
        <w:t>tam tikr</w:t>
      </w:r>
      <w:r>
        <w:rPr>
          <w:rFonts w:eastAsia="Calibri"/>
          <w:noProof/>
          <w:szCs w:val="22"/>
          <w:lang w:val="lt-LT"/>
        </w:rPr>
        <w:t>ais</w:t>
      </w:r>
      <w:r w:rsidRPr="00D85645">
        <w:rPr>
          <w:rFonts w:eastAsia="Calibri"/>
          <w:noProof/>
          <w:szCs w:val="22"/>
          <w:lang w:val="lt-LT"/>
        </w:rPr>
        <w:t xml:space="preserve"> antibiotikai</w:t>
      </w:r>
      <w:r>
        <w:rPr>
          <w:rFonts w:eastAsia="Calibri"/>
          <w:noProof/>
          <w:szCs w:val="22"/>
          <w:lang w:val="lt-LT"/>
        </w:rPr>
        <w:t>s</w:t>
      </w:r>
      <w:r w:rsidRPr="00D85645">
        <w:rPr>
          <w:rFonts w:eastAsia="Calibri"/>
          <w:noProof/>
          <w:szCs w:val="22"/>
          <w:lang w:val="lt-LT"/>
        </w:rPr>
        <w:t xml:space="preserve"> (pvz., eritromicin</w:t>
      </w:r>
      <w:r>
        <w:rPr>
          <w:rFonts w:eastAsia="Calibri"/>
          <w:noProof/>
          <w:szCs w:val="22"/>
          <w:lang w:val="lt-LT"/>
        </w:rPr>
        <w:t>u</w:t>
      </w:r>
      <w:r w:rsidRPr="00D85645">
        <w:rPr>
          <w:rFonts w:eastAsia="Calibri"/>
          <w:noProof/>
          <w:szCs w:val="22"/>
          <w:lang w:val="lt-LT"/>
        </w:rPr>
        <w:t>, klaritromicin</w:t>
      </w:r>
      <w:r>
        <w:rPr>
          <w:rFonts w:eastAsia="Calibri"/>
          <w:noProof/>
          <w:szCs w:val="22"/>
          <w:lang w:val="lt-LT"/>
        </w:rPr>
        <w:t>u</w:t>
      </w:r>
      <w:r w:rsidRPr="00D85645">
        <w:rPr>
          <w:rFonts w:eastAsia="Calibri"/>
          <w:noProof/>
          <w:szCs w:val="22"/>
          <w:lang w:val="lt-LT"/>
        </w:rPr>
        <w:t>, telitromicin</w:t>
      </w:r>
      <w:r>
        <w:rPr>
          <w:rFonts w:eastAsia="Calibri"/>
          <w:noProof/>
          <w:szCs w:val="22"/>
          <w:lang w:val="lt-LT"/>
        </w:rPr>
        <w:t>u</w:t>
      </w:r>
      <w:r w:rsidRPr="00D85645">
        <w:rPr>
          <w:rFonts w:eastAsia="Calibri"/>
          <w:noProof/>
          <w:szCs w:val="22"/>
          <w:lang w:val="lt-LT"/>
        </w:rPr>
        <w:t xml:space="preserve"> ir troleandromicin</w:t>
      </w:r>
      <w:r>
        <w:rPr>
          <w:rFonts w:eastAsia="Calibri"/>
          <w:noProof/>
          <w:szCs w:val="22"/>
          <w:lang w:val="lt-LT"/>
        </w:rPr>
        <w:t>u</w:t>
      </w:r>
      <w:r w:rsidRPr="00D85645">
        <w:rPr>
          <w:rFonts w:eastAsia="Calibri"/>
          <w:noProof/>
          <w:szCs w:val="22"/>
          <w:lang w:val="lt-LT"/>
        </w:rPr>
        <w:t>);</w:t>
      </w:r>
    </w:p>
    <w:p w:rsidR="00487C84" w:rsidRPr="00D6247A" w:rsidRDefault="00487C84" w:rsidP="00487C84">
      <w:pPr>
        <w:numPr>
          <w:ilvl w:val="0"/>
          <w:numId w:val="3"/>
        </w:numPr>
        <w:tabs>
          <w:tab w:val="clear" w:pos="720"/>
          <w:tab w:val="num" w:pos="567"/>
        </w:tabs>
        <w:spacing w:line="240" w:lineRule="auto"/>
        <w:ind w:left="567" w:hanging="567"/>
        <w:rPr>
          <w:szCs w:val="22"/>
          <w:lang w:val="lt-LT"/>
        </w:rPr>
      </w:pPr>
      <w:r w:rsidRPr="00D6247A">
        <w:rPr>
          <w:szCs w:val="22"/>
          <w:lang w:val="lt-LT"/>
        </w:rPr>
        <w:lastRenderedPageBreak/>
        <w:t>vaistais nuo psichikos sutrikimų (neuroleptikais);</w:t>
      </w:r>
    </w:p>
    <w:p w:rsidR="00487C84" w:rsidRPr="00D6247A" w:rsidRDefault="00487C84" w:rsidP="00487C84">
      <w:pPr>
        <w:numPr>
          <w:ilvl w:val="0"/>
          <w:numId w:val="3"/>
        </w:numPr>
        <w:tabs>
          <w:tab w:val="clear" w:pos="720"/>
          <w:tab w:val="num" w:pos="567"/>
        </w:tabs>
        <w:spacing w:line="240" w:lineRule="auto"/>
        <w:ind w:left="567" w:hanging="567"/>
        <w:rPr>
          <w:szCs w:val="22"/>
          <w:lang w:val="lt-LT"/>
        </w:rPr>
      </w:pPr>
      <w:r w:rsidRPr="00D6247A">
        <w:rPr>
          <w:szCs w:val="22"/>
          <w:lang w:val="lt-LT"/>
        </w:rPr>
        <w:t>migdomaisiais, nerimą šalinančiais ir raminamąjį poveikį sukeliančiais vaistais;</w:t>
      </w:r>
    </w:p>
    <w:p w:rsidR="00487C84" w:rsidRPr="00D6247A" w:rsidRDefault="00487C84" w:rsidP="00487C84">
      <w:pPr>
        <w:numPr>
          <w:ilvl w:val="0"/>
          <w:numId w:val="3"/>
        </w:numPr>
        <w:tabs>
          <w:tab w:val="clear" w:pos="720"/>
          <w:tab w:val="num" w:pos="567"/>
        </w:tabs>
        <w:spacing w:line="240" w:lineRule="auto"/>
        <w:ind w:left="567" w:hanging="567"/>
        <w:rPr>
          <w:szCs w:val="22"/>
          <w:lang w:val="lt-LT"/>
        </w:rPr>
      </w:pPr>
      <w:r w:rsidRPr="00D6247A">
        <w:rPr>
          <w:szCs w:val="22"/>
          <w:lang w:val="lt-LT"/>
        </w:rPr>
        <w:t>anestezijai sukelti vartojamais vaistais;</w:t>
      </w:r>
    </w:p>
    <w:p w:rsidR="00487C84" w:rsidRPr="00D85645" w:rsidRDefault="00487C84" w:rsidP="00487C84">
      <w:pPr>
        <w:widowControl w:val="0"/>
        <w:numPr>
          <w:ilvl w:val="0"/>
          <w:numId w:val="3"/>
        </w:numPr>
        <w:tabs>
          <w:tab w:val="clear" w:pos="567"/>
          <w:tab w:val="clear" w:pos="720"/>
        </w:tabs>
        <w:spacing w:line="240" w:lineRule="auto"/>
        <w:ind w:left="567" w:hanging="567"/>
        <w:contextualSpacing/>
        <w:rPr>
          <w:rFonts w:eastAsia="Calibri"/>
          <w:noProof/>
          <w:szCs w:val="22"/>
          <w:lang w:val="lt-LT"/>
        </w:rPr>
      </w:pPr>
      <w:r w:rsidRPr="00D6247A">
        <w:rPr>
          <w:szCs w:val="22"/>
          <w:lang w:val="lt-LT"/>
        </w:rPr>
        <w:t>antihistamininiais vaistais (jų vartojama pasireiškus alergijai</w:t>
      </w:r>
      <w:r w:rsidRPr="00D85645">
        <w:rPr>
          <w:szCs w:val="22"/>
          <w:lang w:val="lt-LT"/>
        </w:rPr>
        <w:t>.</w:t>
      </w:r>
    </w:p>
    <w:p w:rsidR="00487C84" w:rsidRPr="00D85645" w:rsidRDefault="00487C84" w:rsidP="00487C84">
      <w:pPr>
        <w:widowControl w:val="0"/>
        <w:rPr>
          <w:szCs w:val="22"/>
          <w:lang w:val="lt-LT" w:eastAsia="lt-LT"/>
        </w:rPr>
      </w:pPr>
    </w:p>
    <w:p w:rsidR="00487C84" w:rsidRPr="00D85645" w:rsidRDefault="00487C84" w:rsidP="00487C84">
      <w:pPr>
        <w:widowControl w:val="0"/>
        <w:rPr>
          <w:szCs w:val="22"/>
          <w:lang w:val="lt-LT" w:eastAsia="lt-LT"/>
        </w:rPr>
      </w:pPr>
      <w:r w:rsidRPr="00D85645">
        <w:rPr>
          <w:szCs w:val="22"/>
          <w:lang w:val="lt-LT" w:eastAsia="lt-LT"/>
        </w:rPr>
        <w:t>Kartu vartojant Zomiren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487C84" w:rsidRPr="00D85645" w:rsidRDefault="00487C84" w:rsidP="00487C84">
      <w:pPr>
        <w:widowControl w:val="0"/>
        <w:rPr>
          <w:szCs w:val="22"/>
          <w:lang w:val="lt-LT" w:eastAsia="lt-LT"/>
        </w:rPr>
      </w:pPr>
      <w:r w:rsidRPr="00D85645">
        <w:rPr>
          <w:szCs w:val="22"/>
          <w:lang w:val="lt-LT" w:eastAsia="lt-LT"/>
        </w:rPr>
        <w:t>Tačiau, jei gydytojas paskiria Zomiren kartu su opioidais, gydytojas turi apriboti vartojamą dozę ir gydymo trukmę.</w:t>
      </w:r>
    </w:p>
    <w:p w:rsidR="00487C84" w:rsidRPr="00D85645" w:rsidRDefault="00487C84" w:rsidP="00487C84">
      <w:pPr>
        <w:widowControl w:val="0"/>
        <w:rPr>
          <w:szCs w:val="22"/>
          <w:lang w:val="lt-LT" w:eastAsia="lt-LT"/>
        </w:rPr>
      </w:pPr>
      <w:r w:rsidRPr="00D85645">
        <w:rPr>
          <w:szCs w:val="22"/>
          <w:lang w:val="lt-LT" w:eastAsia="lt-LT"/>
        </w:rPr>
        <w:t xml:space="preserve">Pasakykite gydytojui apie visus opioidinius vaistinius preparatus, kuriuos vartojate, ir atidžiai sekite gydytojo rekomenduojamą dozę. Gali būti naudinga informuoti draugus ar gimines, kad jie žinotų apie </w:t>
      </w:r>
      <w:r>
        <w:rPr>
          <w:szCs w:val="22"/>
          <w:lang w:val="lt-LT" w:eastAsia="lt-LT"/>
        </w:rPr>
        <w:t>anksčiau</w:t>
      </w:r>
      <w:r w:rsidRPr="00D85645">
        <w:rPr>
          <w:szCs w:val="22"/>
          <w:lang w:val="lt-LT" w:eastAsia="lt-LT"/>
        </w:rPr>
        <w:t xml:space="preserve"> nurodytus požymius ir simptomus. Atsiradus tokiems simptomams, kreipkitės į gydytoją.</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Zomiren vartojimas su maistu, gėrimais ir alkoholiu</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Vartojant Zomiren, alkoholio gerti negalima.</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Nėštumas ir žindymo laikotarpis</w:t>
      </w:r>
    </w:p>
    <w:p w:rsidR="00487C84" w:rsidRPr="00D85645" w:rsidRDefault="00487C84" w:rsidP="00487C84">
      <w:pPr>
        <w:widowControl w:val="0"/>
        <w:rPr>
          <w:rFonts w:eastAsia="Calibri"/>
          <w:noProof/>
          <w:szCs w:val="22"/>
          <w:lang w:val="lt-LT"/>
        </w:rPr>
      </w:pPr>
      <w:r w:rsidRPr="00D85645">
        <w:rPr>
          <w:rFonts w:eastAsia="Calibri"/>
          <w:noProof/>
          <w:szCs w:val="22"/>
          <w:lang w:val="lt-LT"/>
        </w:rPr>
        <w:t>Jeigu esate nėščia, žindote kūdikį, manote, kad galbūt esate nėščia arba planuojate pastoti, tai prieš vartodama šį vaistą pasitarkite su gydytoju arba vaistininku.</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Zomiren nėštumo metu vartoti negalima, išskyrus atvejus, kai gydytojas nusprendžia, kad toks motinos gydymas neabejotinai būtinas. Jeigu vartojate Zomiren iki gimdymo, apie tai pasakykite gydytojui, nes gimusiam naujagimiui gali pasireikšti nutraukimo simptomai.</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Benzodiazepinų (įskaitant alprazolamą) išsiskiria į motinos pieną. Zomiren žindymo laikotarpiu vartoti negalima.</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Vairavimas ir mechanizmų valdymas</w:t>
      </w:r>
    </w:p>
    <w:p w:rsidR="00487C84" w:rsidRPr="00D85645" w:rsidRDefault="00487C84" w:rsidP="00487C84">
      <w:pPr>
        <w:widowControl w:val="0"/>
        <w:rPr>
          <w:rFonts w:eastAsia="Calibri"/>
          <w:noProof/>
          <w:szCs w:val="22"/>
          <w:lang w:val="lt-LT"/>
        </w:rPr>
      </w:pPr>
      <w:r w:rsidRPr="00D85645">
        <w:rPr>
          <w:rFonts w:eastAsia="Calibri"/>
          <w:noProof/>
          <w:szCs w:val="22"/>
          <w:lang w:val="lt-LT"/>
        </w:rPr>
        <w:t>Raminamasis poveikis, atminties sutrikimas, sumažėjusi dėmesio koncentracija bei pablogėjusi raumenų veikla (ypač gydymo pradžioje ir esant miego tr</w:t>
      </w:r>
      <w:r w:rsidRPr="00D85645">
        <w:rPr>
          <w:szCs w:val="22"/>
          <w:lang w:val="lt-LT"/>
        </w:rPr>
        <w:t>ū</w:t>
      </w:r>
      <w:r w:rsidRPr="00D85645">
        <w:rPr>
          <w:rFonts w:eastAsia="Calibri"/>
          <w:noProof/>
          <w:szCs w:val="22"/>
          <w:lang w:val="lt-LT"/>
        </w:rPr>
        <w:t>kumui) gali bloginti gebėjimą vairuoti automobilį ir valdyti mechanizmus.</w:t>
      </w:r>
    </w:p>
    <w:p w:rsidR="00487C84" w:rsidRPr="00D85645" w:rsidRDefault="00487C84" w:rsidP="00487C84">
      <w:pPr>
        <w:widowControl w:val="0"/>
        <w:rPr>
          <w:rFonts w:eastAsia="Calibri"/>
          <w:b/>
          <w:bCs/>
          <w:szCs w:val="22"/>
          <w:lang w:val="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Zomiren sudėtyje yra laktozės</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Jeigu gydytojas Jums yra sakęs, kad netoleruojate kokių nors angliavandenių, kreipkitės į jį prieš pradėdami vartoti šį vaistą.</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ind w:left="567" w:hanging="567"/>
        <w:outlineLvl w:val="1"/>
        <w:rPr>
          <w:rFonts w:eastAsia="Calibri"/>
          <w:b/>
          <w:szCs w:val="22"/>
          <w:lang w:val="lt-LT"/>
        </w:rPr>
      </w:pPr>
      <w:bookmarkStart w:id="6" w:name="_Toc129243141"/>
      <w:bookmarkStart w:id="7" w:name="_Toc129243266"/>
      <w:r w:rsidRPr="00D85645">
        <w:rPr>
          <w:rFonts w:eastAsia="Calibri"/>
          <w:b/>
          <w:szCs w:val="22"/>
          <w:lang w:val="lt-LT"/>
        </w:rPr>
        <w:t>3.</w:t>
      </w:r>
      <w:r w:rsidRPr="00D85645">
        <w:rPr>
          <w:rFonts w:eastAsia="Calibri"/>
          <w:b/>
          <w:szCs w:val="22"/>
          <w:lang w:val="lt-LT"/>
        </w:rPr>
        <w:tab/>
        <w:t xml:space="preserve">Kaip vartoti </w:t>
      </w:r>
      <w:bookmarkEnd w:id="6"/>
      <w:bookmarkEnd w:id="7"/>
      <w:r w:rsidRPr="00D85645">
        <w:rPr>
          <w:rFonts w:eastAsia="Calibri"/>
          <w:b/>
          <w:szCs w:val="22"/>
          <w:lang w:val="lt-LT"/>
        </w:rPr>
        <w:t>Zomiren</w:t>
      </w:r>
    </w:p>
    <w:p w:rsidR="00487C84" w:rsidRPr="00D85645" w:rsidRDefault="00487C84" w:rsidP="00487C84">
      <w:pPr>
        <w:widowControl w:val="0"/>
        <w:rPr>
          <w:rFonts w:eastAsia="Calibri"/>
          <w:b/>
          <w:szCs w:val="22"/>
          <w:lang w:val="lt-LT" w:eastAsia="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Visada vartokite šį vaistą tiksliai kaip nurodė gydytojas. Jeigu abejojate, kreipkitės į gydytoją arba vaistininką.</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Lentelėje nurodytas dozavimas, kuris tinka daugumai pacientų. Tabletę</w:t>
      </w:r>
      <w:r w:rsidRPr="00D85645">
        <w:rPr>
          <w:szCs w:val="22"/>
          <w:lang w:val="lt-LT"/>
        </w:rPr>
        <w:t xml:space="preserve"> nurykite</w:t>
      </w:r>
      <w:r w:rsidRPr="00D85645">
        <w:rPr>
          <w:rFonts w:eastAsia="Calibri"/>
          <w:szCs w:val="22"/>
          <w:lang w:val="lt-LT" w:eastAsia="lt-LT"/>
        </w:rPr>
        <w:t>, užgeriant skysčiu.</w:t>
      </w:r>
    </w:p>
    <w:p w:rsidR="00487C84" w:rsidRPr="00D85645" w:rsidRDefault="00487C84" w:rsidP="00487C84">
      <w:pPr>
        <w:widowControl w:val="0"/>
        <w:rPr>
          <w:rFonts w:eastAsia="Calibri"/>
          <w:szCs w:val="22"/>
          <w:lang w:val="lt-LT" w:eastAsia="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970"/>
        <w:gridCol w:w="3118"/>
      </w:tblGrid>
      <w:tr w:rsidR="00487C84" w:rsidRPr="00D85645" w:rsidTr="006C3C25">
        <w:tc>
          <w:tcPr>
            <w:tcW w:w="2126" w:type="dxa"/>
            <w:tcBorders>
              <w:bottom w:val="nil"/>
            </w:tcBorders>
          </w:tcPr>
          <w:p w:rsidR="00487C84" w:rsidRPr="00D85645" w:rsidRDefault="00487C84" w:rsidP="006C3C25">
            <w:pPr>
              <w:widowControl w:val="0"/>
              <w:rPr>
                <w:rFonts w:eastAsia="Calibri"/>
                <w:b/>
                <w:szCs w:val="22"/>
                <w:lang w:val="lt-LT" w:eastAsia="lt-LT"/>
              </w:rPr>
            </w:pPr>
            <w:r w:rsidRPr="00D85645">
              <w:rPr>
                <w:rFonts w:eastAsia="Calibri"/>
                <w:b/>
                <w:szCs w:val="22"/>
                <w:lang w:val="lt-LT" w:eastAsia="lt-LT"/>
              </w:rPr>
              <w:t>Indikacija</w:t>
            </w:r>
          </w:p>
        </w:tc>
        <w:tc>
          <w:tcPr>
            <w:tcW w:w="3970" w:type="dxa"/>
            <w:tcBorders>
              <w:bottom w:val="nil"/>
            </w:tcBorders>
          </w:tcPr>
          <w:p w:rsidR="00487C84" w:rsidRPr="00D85645" w:rsidRDefault="00487C84" w:rsidP="006C3C25">
            <w:pPr>
              <w:widowControl w:val="0"/>
              <w:rPr>
                <w:rFonts w:eastAsia="Calibri"/>
                <w:b/>
                <w:szCs w:val="22"/>
                <w:lang w:val="lt-LT" w:eastAsia="lt-LT"/>
              </w:rPr>
            </w:pPr>
            <w:r w:rsidRPr="00D85645">
              <w:rPr>
                <w:rFonts w:eastAsia="Calibri"/>
                <w:b/>
                <w:szCs w:val="22"/>
                <w:lang w:val="lt-LT" w:eastAsia="lt-LT"/>
              </w:rPr>
              <w:t>Pradinė dozė</w:t>
            </w:r>
          </w:p>
        </w:tc>
        <w:tc>
          <w:tcPr>
            <w:tcW w:w="3118" w:type="dxa"/>
            <w:tcBorders>
              <w:bottom w:val="nil"/>
            </w:tcBorders>
          </w:tcPr>
          <w:p w:rsidR="00487C84" w:rsidRPr="00D85645" w:rsidRDefault="00487C84" w:rsidP="006C3C25">
            <w:pPr>
              <w:widowControl w:val="0"/>
              <w:rPr>
                <w:rFonts w:eastAsia="Calibri"/>
                <w:b/>
                <w:szCs w:val="22"/>
                <w:lang w:val="lt-LT" w:eastAsia="lt-LT"/>
              </w:rPr>
            </w:pPr>
            <w:r w:rsidRPr="00D85645">
              <w:rPr>
                <w:rFonts w:eastAsia="Calibri"/>
                <w:b/>
                <w:szCs w:val="22"/>
                <w:lang w:val="lt-LT" w:eastAsia="lt-LT"/>
              </w:rPr>
              <w:t>Palaikomoji dozė</w:t>
            </w:r>
          </w:p>
        </w:tc>
      </w:tr>
      <w:tr w:rsidR="00487C84" w:rsidRPr="00D85645" w:rsidTr="006C3C25">
        <w:trPr>
          <w:cantSplit/>
        </w:trPr>
        <w:tc>
          <w:tcPr>
            <w:tcW w:w="2126" w:type="dxa"/>
            <w:vMerge w:val="restart"/>
            <w:tcBorders>
              <w:bottom w:val="nil"/>
            </w:tcBorders>
          </w:tcPr>
          <w:p w:rsidR="00487C84" w:rsidRPr="00D85645" w:rsidRDefault="00487C84" w:rsidP="006C3C25">
            <w:pPr>
              <w:widowControl w:val="0"/>
              <w:rPr>
                <w:rFonts w:eastAsia="Calibri"/>
                <w:szCs w:val="22"/>
                <w:lang w:val="lt-LT" w:eastAsia="lt-LT"/>
              </w:rPr>
            </w:pPr>
            <w:r w:rsidRPr="00D85645">
              <w:rPr>
                <w:rFonts w:eastAsia="Calibri"/>
                <w:szCs w:val="22"/>
                <w:lang w:val="lt-LT" w:eastAsia="lt-LT"/>
              </w:rPr>
              <w:t>Nerimas</w:t>
            </w:r>
          </w:p>
        </w:tc>
        <w:tc>
          <w:tcPr>
            <w:tcW w:w="3970" w:type="dxa"/>
            <w:tcBorders>
              <w:bottom w:val="nil"/>
            </w:tcBorders>
          </w:tcPr>
          <w:p w:rsidR="00487C84" w:rsidRPr="00D85645" w:rsidRDefault="00487C84" w:rsidP="006C3C25">
            <w:pPr>
              <w:widowControl w:val="0"/>
              <w:rPr>
                <w:rFonts w:eastAsia="Calibri"/>
                <w:szCs w:val="22"/>
                <w:lang w:val="lt-LT" w:eastAsia="lt-LT"/>
              </w:rPr>
            </w:pPr>
            <w:r w:rsidRPr="00D85645">
              <w:rPr>
                <w:rFonts w:eastAsia="Calibri"/>
                <w:szCs w:val="22"/>
                <w:lang w:val="lt-LT" w:eastAsia="lt-LT"/>
              </w:rPr>
              <w:t>suaugusiems – po 0,25-0,5 mg 3 kartus per parą,</w:t>
            </w:r>
          </w:p>
        </w:tc>
        <w:tc>
          <w:tcPr>
            <w:tcW w:w="3118" w:type="dxa"/>
            <w:tcBorders>
              <w:bottom w:val="nil"/>
            </w:tcBorders>
          </w:tcPr>
          <w:p w:rsidR="00487C84" w:rsidRPr="00D85645" w:rsidRDefault="00487C84" w:rsidP="006C3C25">
            <w:pPr>
              <w:widowControl w:val="0"/>
              <w:rPr>
                <w:rFonts w:eastAsia="Calibri"/>
                <w:szCs w:val="22"/>
                <w:lang w:val="lt-LT" w:eastAsia="lt-LT"/>
              </w:rPr>
            </w:pPr>
            <w:r w:rsidRPr="00D85645">
              <w:rPr>
                <w:rFonts w:eastAsia="Calibri"/>
                <w:szCs w:val="22"/>
                <w:lang w:val="lt-LT" w:eastAsia="lt-LT"/>
              </w:rPr>
              <w:t>suaugusiems – 0,5-4 mg per parą (per 2-3 kartus),</w:t>
            </w:r>
          </w:p>
        </w:tc>
      </w:tr>
      <w:tr w:rsidR="00487C84" w:rsidRPr="00D85645" w:rsidTr="006C3C25">
        <w:trPr>
          <w:cantSplit/>
        </w:trPr>
        <w:tc>
          <w:tcPr>
            <w:tcW w:w="2126" w:type="dxa"/>
            <w:vMerge/>
            <w:tcBorders>
              <w:top w:val="nil"/>
            </w:tcBorders>
          </w:tcPr>
          <w:p w:rsidR="00487C84" w:rsidRPr="00D85645" w:rsidRDefault="00487C84" w:rsidP="006C3C25">
            <w:pPr>
              <w:widowControl w:val="0"/>
              <w:rPr>
                <w:rFonts w:eastAsia="Calibri"/>
                <w:szCs w:val="22"/>
                <w:lang w:val="lt-LT" w:eastAsia="lt-LT"/>
              </w:rPr>
            </w:pPr>
          </w:p>
        </w:tc>
        <w:tc>
          <w:tcPr>
            <w:tcW w:w="3970" w:type="dxa"/>
            <w:tcBorders>
              <w:top w:val="nil"/>
            </w:tcBorders>
          </w:tcPr>
          <w:p w:rsidR="00487C84" w:rsidRPr="00D85645" w:rsidRDefault="00487C84" w:rsidP="006C3C25">
            <w:pPr>
              <w:widowControl w:val="0"/>
              <w:rPr>
                <w:rFonts w:eastAsia="Calibri"/>
                <w:szCs w:val="22"/>
                <w:lang w:val="lt-LT" w:eastAsia="lt-LT"/>
              </w:rPr>
            </w:pPr>
            <w:r w:rsidRPr="00D85645">
              <w:rPr>
                <w:rFonts w:eastAsia="Calibri"/>
                <w:szCs w:val="22"/>
                <w:lang w:val="lt-LT" w:eastAsia="lt-LT"/>
              </w:rPr>
              <w:t>senyviems – po 0,25 mg 2-3 kartus per parą</w:t>
            </w:r>
          </w:p>
        </w:tc>
        <w:tc>
          <w:tcPr>
            <w:tcW w:w="3118" w:type="dxa"/>
            <w:tcBorders>
              <w:top w:val="nil"/>
            </w:tcBorders>
          </w:tcPr>
          <w:p w:rsidR="00487C84" w:rsidRPr="00D85645" w:rsidRDefault="00487C84" w:rsidP="006C3C25">
            <w:pPr>
              <w:widowControl w:val="0"/>
              <w:rPr>
                <w:rFonts w:eastAsia="Calibri"/>
                <w:szCs w:val="22"/>
                <w:lang w:val="lt-LT" w:eastAsia="lt-LT"/>
              </w:rPr>
            </w:pPr>
            <w:r w:rsidRPr="00D85645">
              <w:rPr>
                <w:rFonts w:eastAsia="Calibri"/>
                <w:szCs w:val="22"/>
                <w:lang w:val="lt-LT" w:eastAsia="lt-LT"/>
              </w:rPr>
              <w:t>senyviems – 0,5-0,75 mg per parą (per 2-3 kartus)</w:t>
            </w:r>
          </w:p>
        </w:tc>
      </w:tr>
    </w:tbl>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szCs w:val="22"/>
          <w:lang w:val="lt-LT"/>
        </w:rPr>
      </w:pPr>
      <w:r w:rsidRPr="00D85645">
        <w:rPr>
          <w:rFonts w:eastAsia="Calibri"/>
          <w:szCs w:val="22"/>
          <w:lang w:val="lt-LT" w:eastAsia="lt-LT"/>
        </w:rPr>
        <w:t xml:space="preserve">Prireikus dozė didinama </w:t>
      </w:r>
      <w:r w:rsidRPr="00D85645">
        <w:rPr>
          <w:szCs w:val="22"/>
          <w:lang w:val="lt-LT"/>
        </w:rPr>
        <w:t>palaipsniui</w:t>
      </w:r>
      <w:r w:rsidRPr="00D85645">
        <w:rPr>
          <w:rFonts w:eastAsia="Calibri"/>
          <w:szCs w:val="22"/>
          <w:lang w:val="lt-LT" w:eastAsia="lt-LT"/>
        </w:rPr>
        <w:t>, kad nepasireikštų šalutinis poveikis. Iš pradžių didinama vakarinė dozė, vėliau – dieninė</w:t>
      </w:r>
      <w:r w:rsidRPr="00D85645">
        <w:rPr>
          <w:szCs w:val="22"/>
          <w:lang w:val="lt-LT"/>
        </w:rPr>
        <w:t xml:space="preserve"> dozė.</w:t>
      </w:r>
    </w:p>
    <w:p w:rsidR="00487C84" w:rsidRDefault="00487C84" w:rsidP="00487C84">
      <w:pPr>
        <w:widowControl w:val="0"/>
        <w:rPr>
          <w:rFonts w:eastAsia="Calibri"/>
          <w:szCs w:val="22"/>
          <w:lang w:val="lt-LT" w:eastAsia="lt-LT"/>
        </w:rPr>
      </w:pPr>
    </w:p>
    <w:p w:rsidR="00487C84" w:rsidRDefault="00487C84" w:rsidP="00487C84">
      <w:pPr>
        <w:widowControl w:val="0"/>
        <w:rPr>
          <w:rFonts w:eastAsia="Calibri"/>
          <w:i/>
          <w:szCs w:val="22"/>
          <w:lang w:val="lt-LT" w:eastAsia="lt-LT"/>
        </w:rPr>
      </w:pPr>
      <w:r w:rsidRPr="00D85645">
        <w:rPr>
          <w:rFonts w:eastAsia="Calibri"/>
          <w:i/>
          <w:szCs w:val="22"/>
          <w:lang w:val="lt-LT" w:eastAsia="lt-LT"/>
        </w:rPr>
        <w:t>Gydymo trukmė</w:t>
      </w:r>
    </w:p>
    <w:p w:rsidR="00487C84" w:rsidRPr="00C538C2" w:rsidRDefault="00487C84" w:rsidP="00487C84">
      <w:pPr>
        <w:widowControl w:val="0"/>
        <w:rPr>
          <w:szCs w:val="22"/>
          <w:lang w:val="lt-LT"/>
        </w:rPr>
      </w:pPr>
      <w:r w:rsidRPr="00C538C2">
        <w:rPr>
          <w:szCs w:val="22"/>
          <w:lang w:val="lt-LT"/>
        </w:rPr>
        <w:lastRenderedPageBreak/>
        <w:t xml:space="preserve">Priklausomybės ir piktnaudžiavimo rizika gali didėti, tiesiogiai proporcingai dozei ir gydymo trukmei, todėl gydytojas skirs kiek galima mažesnę veiksmingą dozę ir kuo trumpesnį laiką. Taip pat dažnai tikrins dėl </w:t>
      </w:r>
      <w:r>
        <w:rPr>
          <w:szCs w:val="22"/>
          <w:lang w:val="lt-LT"/>
        </w:rPr>
        <w:t>tęstinio gydymo poreikio (žr. 2 </w:t>
      </w:r>
      <w:r w:rsidRPr="00C538C2">
        <w:rPr>
          <w:szCs w:val="22"/>
          <w:lang w:val="lt-LT"/>
        </w:rPr>
        <w:t>skyrių „Įspėjimai ir atsargumo priemonės“).</w:t>
      </w:r>
    </w:p>
    <w:p w:rsidR="00487C84" w:rsidRPr="00C538C2" w:rsidRDefault="00487C84" w:rsidP="00487C84">
      <w:pPr>
        <w:widowControl w:val="0"/>
        <w:rPr>
          <w:szCs w:val="22"/>
          <w:lang w:val="lt-LT"/>
        </w:rPr>
      </w:pPr>
    </w:p>
    <w:p w:rsidR="00487C84" w:rsidRPr="00D85645" w:rsidRDefault="00487C84" w:rsidP="00487C84">
      <w:pPr>
        <w:widowControl w:val="0"/>
        <w:rPr>
          <w:rFonts w:eastAsia="Calibri"/>
          <w:i/>
          <w:szCs w:val="22"/>
          <w:lang w:val="lt-LT" w:eastAsia="lt-LT"/>
        </w:rPr>
      </w:pPr>
      <w:r w:rsidRPr="00C538C2">
        <w:rPr>
          <w:szCs w:val="22"/>
          <w:lang w:val="lt-LT"/>
        </w:rPr>
        <w:t>Maksimali gydymo trukmė neturi viršyti 2-4 savaičių. Ilgalaikis gydymas nerekomenduojamas.</w:t>
      </w:r>
      <w:r>
        <w:rPr>
          <w:szCs w:val="22"/>
          <w:lang w:val="lt-LT"/>
        </w:rPr>
        <w:t xml:space="preserve"> </w:t>
      </w:r>
      <w:r w:rsidRPr="00C538C2">
        <w:rPr>
          <w:szCs w:val="22"/>
          <w:lang w:val="lt-LT"/>
        </w:rPr>
        <w:t>Vartojant ilgiau nei kelias savaites, gali susilpnėti vaisto poveikis</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i/>
          <w:iCs/>
          <w:szCs w:val="22"/>
          <w:lang w:val="lt-LT" w:eastAsia="lt-LT"/>
        </w:rPr>
      </w:pPr>
      <w:r w:rsidRPr="00D85645">
        <w:rPr>
          <w:rFonts w:eastAsia="Calibri"/>
          <w:i/>
          <w:iCs/>
          <w:szCs w:val="22"/>
          <w:lang w:val="lt-LT" w:eastAsia="lt-LT"/>
        </w:rPr>
        <w:t xml:space="preserve">Senyviems pacientams ir </w:t>
      </w:r>
      <w:r>
        <w:rPr>
          <w:rFonts w:eastAsia="Calibri"/>
          <w:i/>
          <w:iCs/>
          <w:szCs w:val="22"/>
          <w:lang w:val="lt-LT" w:eastAsia="lt-LT"/>
        </w:rPr>
        <w:t>pacientams</w:t>
      </w:r>
      <w:r w:rsidRPr="00D85645">
        <w:rPr>
          <w:rFonts w:eastAsia="Calibri"/>
          <w:i/>
          <w:iCs/>
          <w:szCs w:val="22"/>
          <w:lang w:val="lt-LT" w:eastAsia="lt-LT"/>
        </w:rPr>
        <w:t>, kurių būklė sunki</w:t>
      </w:r>
    </w:p>
    <w:p w:rsidR="00487C84" w:rsidRPr="00D85645" w:rsidRDefault="00487C84" w:rsidP="00487C84">
      <w:pPr>
        <w:widowControl w:val="0"/>
        <w:rPr>
          <w:rFonts w:eastAsia="Calibri"/>
          <w:szCs w:val="22"/>
          <w:lang w:val="lt-LT" w:eastAsia="lt-LT"/>
        </w:rPr>
      </w:pPr>
      <w:r w:rsidRPr="00D85645">
        <w:rPr>
          <w:szCs w:val="22"/>
          <w:lang w:val="lt-LT"/>
        </w:rPr>
        <w:t>Senyviems</w:t>
      </w:r>
      <w:r w:rsidRPr="00D85645">
        <w:rPr>
          <w:rFonts w:eastAsia="Calibri"/>
          <w:szCs w:val="22"/>
          <w:lang w:val="lt-LT" w:eastAsia="lt-LT"/>
        </w:rPr>
        <w:t xml:space="preserve"> </w:t>
      </w:r>
      <w:r>
        <w:rPr>
          <w:rFonts w:eastAsia="Calibri"/>
          <w:szCs w:val="22"/>
          <w:lang w:val="lt-LT" w:eastAsia="lt-LT"/>
        </w:rPr>
        <w:t>pacientams</w:t>
      </w:r>
      <w:r w:rsidRPr="00D85645">
        <w:rPr>
          <w:rFonts w:eastAsia="Calibri"/>
          <w:szCs w:val="22"/>
          <w:lang w:val="lt-LT" w:eastAsia="lt-LT"/>
        </w:rPr>
        <w:t xml:space="preserve"> bei pacientams, kurių būklė sunki, būtina vartoti mažiausią veiksmingą dozę, kad </w:t>
      </w:r>
      <w:r w:rsidRPr="00D85645">
        <w:rPr>
          <w:szCs w:val="22"/>
          <w:lang w:val="lt-LT"/>
        </w:rPr>
        <w:t>išvengti šalutinio poveikio (</w:t>
      </w:r>
      <w:r w:rsidRPr="00D85645">
        <w:rPr>
          <w:rFonts w:eastAsia="Calibri"/>
          <w:szCs w:val="22"/>
          <w:lang w:val="lt-LT" w:eastAsia="lt-LT"/>
        </w:rPr>
        <w:t xml:space="preserve">judesių koordinacijos sutrikimo ir stipraus raminamojo poveikio. Rekomenduojamos dozės </w:t>
      </w:r>
      <w:r w:rsidRPr="00D85645">
        <w:rPr>
          <w:szCs w:val="22"/>
          <w:lang w:val="lt-LT"/>
        </w:rPr>
        <w:t xml:space="preserve">nurodytos lentelėje </w:t>
      </w:r>
      <w:r w:rsidRPr="00D85645">
        <w:rPr>
          <w:rFonts w:eastAsia="Calibri"/>
          <w:szCs w:val="22"/>
          <w:lang w:val="lt-LT" w:eastAsia="lt-LT"/>
        </w:rPr>
        <w:t>(žr. lentelėje aukščiau</w:t>
      </w:r>
      <w:r w:rsidRPr="00D85645">
        <w:rPr>
          <w:szCs w:val="22"/>
          <w:lang w:val="lt-LT"/>
        </w:rPr>
        <w:t>).</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Ką daryti pavartojus per didelę Zomiren dozę</w:t>
      </w:r>
    </w:p>
    <w:p w:rsidR="00487C84" w:rsidRPr="00D85645" w:rsidRDefault="00487C84" w:rsidP="00487C84">
      <w:pPr>
        <w:widowControl w:val="0"/>
        <w:rPr>
          <w:rFonts w:eastAsia="Calibri"/>
          <w:szCs w:val="22"/>
          <w:lang w:val="lt-LT"/>
        </w:rPr>
      </w:pPr>
      <w:r w:rsidRPr="00D85645">
        <w:rPr>
          <w:rFonts w:eastAsia="Calibri"/>
          <w:szCs w:val="22"/>
          <w:lang w:val="lt-LT"/>
        </w:rPr>
        <w:t>Išgėrus didesnę dozę, nei skirta, būtina nedelsiant kreiptis į gydytoją arba gydymo įstaigą.</w:t>
      </w:r>
    </w:p>
    <w:p w:rsidR="00487C84" w:rsidRPr="00D85645" w:rsidRDefault="00487C84" w:rsidP="00487C84">
      <w:pPr>
        <w:widowControl w:val="0"/>
        <w:rPr>
          <w:rFonts w:eastAsia="Calibri"/>
          <w:szCs w:val="22"/>
          <w:lang w:val="lt-LT"/>
        </w:rPr>
      </w:pPr>
      <w:r w:rsidRPr="00D85645">
        <w:rPr>
          <w:rFonts w:eastAsia="Calibri"/>
          <w:szCs w:val="22"/>
          <w:lang w:val="lt-LT"/>
        </w:rPr>
        <w:t>Perdozavus alprazolamo gali pasireikšti tokie simptomai: sunkus nuovargis, ataksija (koordinacijos sutrikimas), sąmonės pritemimas, kiti galimi simptomai yra kraujospūdžio sumažėjimas, sąmonės netekimas, kvėpavimo slopinimas. Alkoholis ir kiti centrinę nervų sistemą veikiantys vaistai padidina minėtų simptomų atsiradimo riziką.</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Pamiršus pavartoti Zomiren</w:t>
      </w:r>
    </w:p>
    <w:p w:rsidR="00487C84" w:rsidRPr="00D85645" w:rsidRDefault="00487C84" w:rsidP="00487C84">
      <w:pPr>
        <w:widowControl w:val="0"/>
        <w:rPr>
          <w:rFonts w:eastAsia="Calibri"/>
          <w:noProof/>
          <w:szCs w:val="22"/>
          <w:lang w:val="lt-LT"/>
        </w:rPr>
      </w:pPr>
      <w:r w:rsidRPr="00D85645">
        <w:rPr>
          <w:rFonts w:eastAsia="Calibri"/>
          <w:noProof/>
          <w:szCs w:val="22"/>
          <w:lang w:val="lt-LT"/>
        </w:rPr>
        <w:t>Praleistą dozę išgerkite iškart prisiminę. Negalima vartoti dvigubos dozės norint kompensuoti praleistą dozę. Kitą dozę vartokite įprastu laiku.</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Nustojus vartoti Zomiren</w:t>
      </w:r>
    </w:p>
    <w:p w:rsidR="00487C84" w:rsidRPr="00D85645" w:rsidRDefault="00487C84" w:rsidP="00487C84">
      <w:pPr>
        <w:widowControl w:val="0"/>
        <w:rPr>
          <w:rFonts w:eastAsia="Calibri"/>
          <w:noProof/>
          <w:szCs w:val="22"/>
          <w:lang w:val="lt-LT"/>
        </w:rPr>
      </w:pPr>
      <w:r w:rsidRPr="00D85645">
        <w:rPr>
          <w:rFonts w:eastAsia="Calibri"/>
          <w:noProof/>
          <w:szCs w:val="22"/>
          <w:lang w:val="lt-LT"/>
        </w:rPr>
        <w:t>Staigus Zomiren vartojimo nutraukimas gali sukelti nutraukimo simptomus (pvz.</w:t>
      </w:r>
      <w:r>
        <w:rPr>
          <w:rFonts w:eastAsia="Calibri"/>
          <w:noProof/>
          <w:szCs w:val="22"/>
          <w:lang w:val="lt-LT"/>
        </w:rPr>
        <w:t>,</w:t>
      </w:r>
      <w:r w:rsidRPr="00D85645">
        <w:rPr>
          <w:rFonts w:eastAsia="Calibri"/>
          <w:noProof/>
          <w:szCs w:val="22"/>
          <w:lang w:val="lt-LT"/>
        </w:rPr>
        <w:t xml:space="preserve"> galvos skausmą, raumenų skausmą, stiprų nerimą, įtampą, sumišimą, irzlumą ir sunkiais atvejais psichinį sutrikimą, kuriam būdinga savo asmenybės realumo, identiškumo nesuvokimas arba tikrovės nesuvokimas, klausos paaštrėjimą, sustingimą, dilgsėjimo pojūtį galūnėse, padidėjusį jautrumą šviesai, triukšmui ir lytėjimui, haliucinacijas ir traukulius). Nutraukimo sindromai gali atsirasti po kelių dienų nuo vaisto vartojimo nutraukimo.</w:t>
      </w:r>
    </w:p>
    <w:p w:rsidR="00487C84" w:rsidRPr="00D85645" w:rsidRDefault="00487C84" w:rsidP="00487C84">
      <w:pPr>
        <w:widowControl w:val="0"/>
        <w:rPr>
          <w:rFonts w:eastAsia="Calibri"/>
          <w:noProof/>
          <w:szCs w:val="22"/>
          <w:lang w:val="lt-LT"/>
        </w:rPr>
      </w:pPr>
      <w:r w:rsidRPr="00D85645">
        <w:rPr>
          <w:rFonts w:eastAsia="Calibri"/>
          <w:noProof/>
          <w:szCs w:val="22"/>
          <w:lang w:val="lt-LT"/>
        </w:rPr>
        <w:t xml:space="preserve">Todėl staiga Zomiren vartojimo nutraukti negalima. Vartojimą reikia nutraukti palaipsniui, </w:t>
      </w:r>
      <w:r w:rsidRPr="00D85645">
        <w:rPr>
          <w:iCs/>
          <w:szCs w:val="22"/>
          <w:lang w:val="lt-LT" w:eastAsia="x-none"/>
        </w:rPr>
        <w:t xml:space="preserve">paros dozę patartina mažinti </w:t>
      </w:r>
      <w:r w:rsidRPr="00D85645">
        <w:rPr>
          <w:rFonts w:eastAsia="Calibri"/>
          <w:noProof/>
          <w:szCs w:val="22"/>
          <w:lang w:val="lt-LT"/>
        </w:rPr>
        <w:t>atsižvelgiant į gydytojo rekomendacijas.</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Jeigu kiltų daugiau klausimų dėl šio vaisto vartojimo, kreipkitės į gydytoją arba vaistininką.</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outlineLvl w:val="0"/>
        <w:rPr>
          <w:rFonts w:eastAsia="Calibri"/>
          <w:b/>
          <w:szCs w:val="22"/>
          <w:lang w:val="lt-LT" w:eastAsia="lt-LT"/>
        </w:rPr>
      </w:pPr>
      <w:r w:rsidRPr="00D85645">
        <w:rPr>
          <w:rFonts w:eastAsia="Calibri"/>
          <w:b/>
          <w:szCs w:val="22"/>
          <w:lang w:val="lt-LT" w:eastAsia="lt-LT"/>
        </w:rPr>
        <w:t>4.</w:t>
      </w:r>
      <w:r w:rsidRPr="00D85645">
        <w:rPr>
          <w:b/>
          <w:szCs w:val="22"/>
          <w:lang w:val="lt-LT"/>
        </w:rPr>
        <w:tab/>
      </w:r>
      <w:r w:rsidRPr="00D85645">
        <w:rPr>
          <w:rFonts w:eastAsia="Calibri"/>
          <w:b/>
          <w:szCs w:val="22"/>
          <w:lang w:val="lt-LT" w:eastAsia="lt-LT"/>
        </w:rPr>
        <w:t>Galimas šalutinis poveikis</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Šis vaistas, kaip ir visi kiti, gali sukelti šalutinį poveikį, nors jis pasireiškia ne visiems žmonėms.</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szCs w:val="22"/>
          <w:lang w:val="lt-LT" w:eastAsia="lt-LT"/>
        </w:rPr>
      </w:pPr>
      <w:r w:rsidRPr="00771E36">
        <w:rPr>
          <w:rFonts w:eastAsia="Calibri"/>
          <w:b/>
          <w:szCs w:val="22"/>
          <w:lang w:val="lt-LT" w:eastAsia="lt-LT"/>
        </w:rPr>
        <w:t>Labai dažni šalutinio poveikio reiškiniai (gali pasireikšti ne rečiau kaip 1 iš 10 asmenų):</w:t>
      </w:r>
    </w:p>
    <w:p w:rsidR="00487C84" w:rsidRPr="00D6247A" w:rsidRDefault="00487C84" w:rsidP="00487C84">
      <w:pPr>
        <w:widowControl w:val="0"/>
        <w:numPr>
          <w:ilvl w:val="0"/>
          <w:numId w:val="4"/>
        </w:numPr>
        <w:tabs>
          <w:tab w:val="clear" w:pos="567"/>
          <w:tab w:val="clear" w:pos="720"/>
        </w:tabs>
        <w:spacing w:line="240" w:lineRule="auto"/>
        <w:ind w:left="567" w:hanging="567"/>
        <w:contextualSpacing/>
        <w:rPr>
          <w:rFonts w:eastAsia="Calibri"/>
          <w:szCs w:val="22"/>
          <w:lang w:val="lt-LT" w:eastAsia="lt-LT"/>
        </w:rPr>
      </w:pPr>
      <w:r w:rsidRPr="00D85645">
        <w:rPr>
          <w:rFonts w:eastAsia="Calibri"/>
          <w:szCs w:val="22"/>
          <w:lang w:val="lt-LT" w:eastAsia="lt-LT"/>
        </w:rPr>
        <w:t>depresija;</w:t>
      </w:r>
    </w:p>
    <w:p w:rsidR="00487C84" w:rsidRPr="007255B8" w:rsidRDefault="00487C84" w:rsidP="00487C84">
      <w:pPr>
        <w:widowControl w:val="0"/>
        <w:numPr>
          <w:ilvl w:val="0"/>
          <w:numId w:val="4"/>
        </w:numPr>
        <w:tabs>
          <w:tab w:val="clear" w:pos="567"/>
          <w:tab w:val="clear" w:pos="720"/>
        </w:tabs>
        <w:spacing w:line="240" w:lineRule="auto"/>
        <w:ind w:left="567" w:hanging="567"/>
        <w:contextualSpacing/>
        <w:rPr>
          <w:szCs w:val="22"/>
          <w:lang w:val="lt-LT" w:eastAsia="lt-LT"/>
        </w:rPr>
      </w:pPr>
      <w:r w:rsidRPr="007255B8">
        <w:rPr>
          <w:rFonts w:eastAsia="Calibri"/>
          <w:szCs w:val="22"/>
          <w:lang w:val="lt-LT" w:eastAsia="lt-LT"/>
        </w:rPr>
        <w:t xml:space="preserve">mieguistumas, apsnūdimas, </w:t>
      </w:r>
      <w:r w:rsidRPr="007255B8">
        <w:rPr>
          <w:szCs w:val="22"/>
          <w:lang w:val="lt-LT" w:eastAsia="lt-LT"/>
        </w:rPr>
        <w:t>ataksija (judesių koordinacijos nebuvimas), atminties pablogėjimas, kalbos sutrikimas, galvos svaigimas;</w:t>
      </w:r>
    </w:p>
    <w:p w:rsidR="00487C84" w:rsidRPr="00D85645" w:rsidRDefault="00487C84" w:rsidP="00487C84">
      <w:pPr>
        <w:numPr>
          <w:ilvl w:val="0"/>
          <w:numId w:val="5"/>
        </w:numPr>
        <w:tabs>
          <w:tab w:val="clear" w:pos="567"/>
        </w:tabs>
        <w:spacing w:line="240" w:lineRule="auto"/>
        <w:ind w:left="567" w:hanging="567"/>
        <w:contextualSpacing/>
        <w:rPr>
          <w:szCs w:val="22"/>
          <w:lang w:val="lt-LT" w:eastAsia="lt-LT"/>
        </w:rPr>
      </w:pPr>
      <w:r w:rsidRPr="00D85645">
        <w:rPr>
          <w:szCs w:val="22"/>
          <w:lang w:val="lt-LT" w:eastAsia="lt-LT"/>
        </w:rPr>
        <w:t>vidurių užkietėjimas, burnos džiūvimas;</w:t>
      </w:r>
    </w:p>
    <w:p w:rsidR="00487C84" w:rsidRPr="00D6247A" w:rsidRDefault="00487C84" w:rsidP="00487C84">
      <w:pPr>
        <w:numPr>
          <w:ilvl w:val="0"/>
          <w:numId w:val="5"/>
        </w:numPr>
        <w:tabs>
          <w:tab w:val="clear" w:pos="567"/>
        </w:tabs>
        <w:spacing w:line="240" w:lineRule="auto"/>
        <w:ind w:left="567" w:hanging="567"/>
        <w:contextualSpacing/>
        <w:rPr>
          <w:szCs w:val="22"/>
          <w:lang w:val="lt-LT" w:eastAsia="lt-LT"/>
        </w:rPr>
      </w:pPr>
      <w:r w:rsidRPr="00D85645">
        <w:rPr>
          <w:szCs w:val="22"/>
          <w:lang w:val="lt-LT" w:eastAsia="lt-LT"/>
        </w:rPr>
        <w:t>nuovargis, irzlumas.</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szCs w:val="22"/>
          <w:lang w:val="lt-LT" w:eastAsia="lt-LT"/>
        </w:rPr>
      </w:pPr>
      <w:r w:rsidRPr="00771E36">
        <w:rPr>
          <w:rFonts w:eastAsia="Calibri"/>
          <w:b/>
          <w:szCs w:val="22"/>
          <w:lang w:val="lt-LT" w:eastAsia="lt-LT"/>
        </w:rPr>
        <w:t>Dažni šalutinio poveikio reiškiniai (gali pasireikšti rečiau kaip 1 iš 10 asmenų):</w:t>
      </w:r>
    </w:p>
    <w:p w:rsidR="00487C84" w:rsidRPr="00D85645" w:rsidRDefault="00487C84" w:rsidP="00487C84">
      <w:pPr>
        <w:widowControl w:val="0"/>
        <w:numPr>
          <w:ilvl w:val="0"/>
          <w:numId w:val="4"/>
        </w:numPr>
        <w:tabs>
          <w:tab w:val="clear" w:pos="567"/>
          <w:tab w:val="clear" w:pos="720"/>
        </w:tabs>
        <w:spacing w:line="240" w:lineRule="auto"/>
        <w:ind w:left="567" w:hanging="567"/>
        <w:contextualSpacing/>
        <w:rPr>
          <w:rFonts w:eastAsia="Calibri"/>
          <w:szCs w:val="22"/>
          <w:lang w:val="lt-LT" w:eastAsia="lt-LT"/>
        </w:rPr>
      </w:pPr>
      <w:r w:rsidRPr="00D85645">
        <w:rPr>
          <w:rFonts w:eastAsia="Calibri"/>
          <w:szCs w:val="22"/>
          <w:lang w:val="lt-LT" w:eastAsia="lt-LT"/>
        </w:rPr>
        <w:t>apetito sumažėjimas;</w:t>
      </w:r>
    </w:p>
    <w:p w:rsidR="00487C84" w:rsidRPr="00D85645" w:rsidRDefault="00487C84" w:rsidP="00487C84">
      <w:pPr>
        <w:numPr>
          <w:ilvl w:val="0"/>
          <w:numId w:val="6"/>
        </w:numPr>
        <w:tabs>
          <w:tab w:val="clear" w:pos="567"/>
        </w:tabs>
        <w:spacing w:line="240" w:lineRule="auto"/>
        <w:ind w:left="567" w:hanging="567"/>
        <w:contextualSpacing/>
        <w:rPr>
          <w:szCs w:val="22"/>
          <w:lang w:val="lt-LT"/>
        </w:rPr>
      </w:pPr>
      <w:r w:rsidRPr="00D85645">
        <w:rPr>
          <w:szCs w:val="22"/>
          <w:lang w:val="lt-LT"/>
        </w:rPr>
        <w:t>sumišimas, orientacijos sutrikimas, lytinio potraukio sutrikimai (padidėjimas arba sumažėjimas), nerimas, nemiga, nervingumas;</w:t>
      </w:r>
    </w:p>
    <w:p w:rsidR="00487C84" w:rsidRPr="00D85645" w:rsidRDefault="00487C84" w:rsidP="00487C84">
      <w:pPr>
        <w:numPr>
          <w:ilvl w:val="0"/>
          <w:numId w:val="6"/>
        </w:numPr>
        <w:tabs>
          <w:tab w:val="clear" w:pos="567"/>
        </w:tabs>
        <w:spacing w:line="240" w:lineRule="auto"/>
        <w:ind w:left="567" w:hanging="567"/>
        <w:contextualSpacing/>
        <w:rPr>
          <w:szCs w:val="22"/>
          <w:lang w:val="lt-LT"/>
        </w:rPr>
      </w:pPr>
      <w:r w:rsidRPr="00D85645">
        <w:rPr>
          <w:szCs w:val="22"/>
          <w:lang w:val="lt-LT"/>
        </w:rPr>
        <w:t xml:space="preserve">pusiausvyros sutrikimai, judesių koordinavimo sutrikimai, dėmesio sutrikimas, pernelyg didelis mieguistumas, letargija, </w:t>
      </w:r>
      <w:r>
        <w:rPr>
          <w:szCs w:val="22"/>
          <w:lang w:val="lt-LT"/>
        </w:rPr>
        <w:t>drebėjimas</w:t>
      </w:r>
      <w:r w:rsidRPr="00D85645">
        <w:rPr>
          <w:szCs w:val="22"/>
          <w:lang w:val="lt-LT"/>
        </w:rPr>
        <w:t xml:space="preserve"> (tremoras);</w:t>
      </w:r>
    </w:p>
    <w:p w:rsidR="00487C84" w:rsidRPr="00D85645" w:rsidRDefault="00487C84" w:rsidP="00487C84">
      <w:pPr>
        <w:numPr>
          <w:ilvl w:val="0"/>
          <w:numId w:val="6"/>
        </w:numPr>
        <w:tabs>
          <w:tab w:val="clear" w:pos="567"/>
        </w:tabs>
        <w:spacing w:line="240" w:lineRule="auto"/>
        <w:ind w:left="567" w:hanging="567"/>
        <w:contextualSpacing/>
        <w:rPr>
          <w:szCs w:val="22"/>
          <w:lang w:val="lt-LT"/>
        </w:rPr>
      </w:pPr>
      <w:r w:rsidRPr="00D85645">
        <w:rPr>
          <w:rFonts w:eastAsia="Calibri"/>
          <w:szCs w:val="22"/>
          <w:lang w:val="lt-LT" w:eastAsia="lt-LT"/>
        </w:rPr>
        <w:t>neryškus mat</w:t>
      </w:r>
      <w:r>
        <w:rPr>
          <w:rFonts w:eastAsia="Calibri"/>
          <w:szCs w:val="22"/>
          <w:lang w:val="lt-LT" w:eastAsia="lt-LT"/>
        </w:rPr>
        <w:t>ymas</w:t>
      </w:r>
      <w:r w:rsidRPr="00D85645">
        <w:rPr>
          <w:rFonts w:eastAsia="Calibri"/>
          <w:szCs w:val="22"/>
          <w:lang w:val="lt-LT" w:eastAsia="lt-LT"/>
        </w:rPr>
        <w:t>;</w:t>
      </w:r>
    </w:p>
    <w:p w:rsidR="00487C84" w:rsidRPr="00D85645" w:rsidRDefault="00487C84" w:rsidP="00487C84">
      <w:pPr>
        <w:numPr>
          <w:ilvl w:val="0"/>
          <w:numId w:val="6"/>
        </w:numPr>
        <w:tabs>
          <w:tab w:val="clear" w:pos="567"/>
        </w:tabs>
        <w:spacing w:line="240" w:lineRule="auto"/>
        <w:ind w:left="567" w:hanging="567"/>
        <w:contextualSpacing/>
        <w:rPr>
          <w:szCs w:val="22"/>
          <w:lang w:val="lt-LT"/>
        </w:rPr>
      </w:pPr>
      <w:r w:rsidRPr="00D85645">
        <w:rPr>
          <w:szCs w:val="22"/>
          <w:lang w:val="lt-LT"/>
        </w:rPr>
        <w:t>pykinimas;</w:t>
      </w:r>
    </w:p>
    <w:p w:rsidR="00487C84" w:rsidRPr="00D85645" w:rsidRDefault="00487C84" w:rsidP="00487C84">
      <w:pPr>
        <w:numPr>
          <w:ilvl w:val="0"/>
          <w:numId w:val="6"/>
        </w:numPr>
        <w:tabs>
          <w:tab w:val="clear" w:pos="567"/>
        </w:tabs>
        <w:spacing w:line="240" w:lineRule="auto"/>
        <w:ind w:left="567" w:hanging="567"/>
        <w:contextualSpacing/>
        <w:rPr>
          <w:szCs w:val="22"/>
          <w:lang w:val="lt-LT"/>
        </w:rPr>
      </w:pPr>
      <w:r w:rsidRPr="00D85645">
        <w:rPr>
          <w:szCs w:val="22"/>
          <w:lang w:val="lt-LT"/>
        </w:rPr>
        <w:t>odos uždegimas;</w:t>
      </w:r>
    </w:p>
    <w:p w:rsidR="00487C84" w:rsidRPr="00D85645" w:rsidRDefault="00487C84" w:rsidP="00487C84">
      <w:pPr>
        <w:numPr>
          <w:ilvl w:val="0"/>
          <w:numId w:val="6"/>
        </w:numPr>
        <w:tabs>
          <w:tab w:val="clear" w:pos="567"/>
        </w:tabs>
        <w:spacing w:line="240" w:lineRule="auto"/>
        <w:ind w:left="567" w:hanging="567"/>
        <w:contextualSpacing/>
        <w:rPr>
          <w:szCs w:val="22"/>
          <w:lang w:val="lt-LT"/>
        </w:rPr>
      </w:pPr>
      <w:r w:rsidRPr="00D85645">
        <w:rPr>
          <w:szCs w:val="22"/>
          <w:lang w:val="lt-LT"/>
        </w:rPr>
        <w:lastRenderedPageBreak/>
        <w:t>lytinės veiklos sutrikimas;</w:t>
      </w:r>
    </w:p>
    <w:p w:rsidR="00487C84" w:rsidRPr="00D85645" w:rsidRDefault="00487C84" w:rsidP="00487C84">
      <w:pPr>
        <w:numPr>
          <w:ilvl w:val="0"/>
          <w:numId w:val="6"/>
        </w:numPr>
        <w:tabs>
          <w:tab w:val="clear" w:pos="567"/>
        </w:tabs>
        <w:spacing w:line="240" w:lineRule="auto"/>
        <w:ind w:left="567" w:hanging="567"/>
        <w:contextualSpacing/>
        <w:rPr>
          <w:szCs w:val="22"/>
          <w:lang w:val="lt-LT"/>
        </w:rPr>
      </w:pPr>
      <w:r w:rsidRPr="00D85645">
        <w:rPr>
          <w:szCs w:val="22"/>
          <w:lang w:val="lt-LT"/>
        </w:rPr>
        <w:t>kūno svorio pasikeitimas.</w:t>
      </w:r>
    </w:p>
    <w:p w:rsidR="00487C84" w:rsidRPr="00D85645" w:rsidRDefault="00487C84" w:rsidP="00487C84">
      <w:pPr>
        <w:widowControl w:val="0"/>
        <w:contextualSpacing/>
        <w:rPr>
          <w:rFonts w:eastAsia="Calibri"/>
          <w:szCs w:val="22"/>
          <w:lang w:val="lt-LT"/>
        </w:rPr>
      </w:pPr>
    </w:p>
    <w:p w:rsidR="00487C84" w:rsidRPr="00D85645" w:rsidRDefault="00487C84" w:rsidP="00487C84">
      <w:pPr>
        <w:widowControl w:val="0"/>
        <w:rPr>
          <w:rFonts w:eastAsia="Calibri"/>
          <w:b/>
          <w:szCs w:val="22"/>
          <w:lang w:val="lt-LT" w:eastAsia="lt-LT"/>
        </w:rPr>
      </w:pPr>
      <w:r w:rsidRPr="00771E36">
        <w:rPr>
          <w:rFonts w:eastAsia="Calibri"/>
          <w:b/>
          <w:szCs w:val="22"/>
          <w:lang w:val="lt-LT" w:eastAsia="lt-LT"/>
        </w:rPr>
        <w:t>Nedažni šalutinio poveikio reiškiniai (gali pasireikšti rečiau kaip 1 iš 100 asmenų):</w:t>
      </w:r>
    </w:p>
    <w:p w:rsidR="00487C84" w:rsidRPr="00D85645" w:rsidRDefault="00487C84" w:rsidP="00487C84">
      <w:pPr>
        <w:numPr>
          <w:ilvl w:val="0"/>
          <w:numId w:val="7"/>
        </w:numPr>
        <w:tabs>
          <w:tab w:val="clear" w:pos="567"/>
        </w:tabs>
        <w:spacing w:line="240" w:lineRule="auto"/>
        <w:ind w:left="567" w:hanging="567"/>
        <w:contextualSpacing/>
        <w:rPr>
          <w:lang w:val="lt-LT" w:eastAsia="lt-LT"/>
        </w:rPr>
      </w:pPr>
      <w:r w:rsidRPr="00D85645">
        <w:rPr>
          <w:lang w:val="lt-LT" w:eastAsia="lt-LT"/>
        </w:rPr>
        <w:t>manija;</w:t>
      </w:r>
    </w:p>
    <w:p w:rsidR="00487C84" w:rsidRPr="00D85645" w:rsidRDefault="00487C84" w:rsidP="00487C84">
      <w:pPr>
        <w:numPr>
          <w:ilvl w:val="0"/>
          <w:numId w:val="7"/>
        </w:numPr>
        <w:tabs>
          <w:tab w:val="clear" w:pos="567"/>
        </w:tabs>
        <w:spacing w:line="240" w:lineRule="auto"/>
        <w:ind w:left="567" w:hanging="567"/>
        <w:contextualSpacing/>
        <w:rPr>
          <w:lang w:val="lt-LT" w:eastAsia="lt-LT"/>
        </w:rPr>
      </w:pPr>
      <w:r w:rsidRPr="00D85645">
        <w:rPr>
          <w:lang w:val="lt-LT" w:eastAsia="lt-LT"/>
        </w:rPr>
        <w:t>haliucinacijos, pyktis, susijaudinimas (ažitacija), priklausomybė nuo vaisto;</w:t>
      </w:r>
    </w:p>
    <w:p w:rsidR="00487C84" w:rsidRPr="00D85645" w:rsidRDefault="00487C84" w:rsidP="00487C84">
      <w:pPr>
        <w:numPr>
          <w:ilvl w:val="0"/>
          <w:numId w:val="7"/>
        </w:numPr>
        <w:tabs>
          <w:tab w:val="clear" w:pos="567"/>
        </w:tabs>
        <w:spacing w:line="240" w:lineRule="auto"/>
        <w:ind w:left="567" w:hanging="567"/>
        <w:contextualSpacing/>
        <w:rPr>
          <w:lang w:val="lt-LT" w:eastAsia="lt-LT"/>
        </w:rPr>
      </w:pPr>
      <w:r w:rsidRPr="00D85645">
        <w:rPr>
          <w:lang w:val="lt-LT" w:eastAsia="lt-LT"/>
        </w:rPr>
        <w:t>atminties netekimas (amnezija);</w:t>
      </w:r>
    </w:p>
    <w:p w:rsidR="00487C84" w:rsidRPr="00D85645" w:rsidRDefault="00487C84" w:rsidP="00487C84">
      <w:pPr>
        <w:numPr>
          <w:ilvl w:val="0"/>
          <w:numId w:val="7"/>
        </w:numPr>
        <w:tabs>
          <w:tab w:val="clear" w:pos="567"/>
        </w:tabs>
        <w:spacing w:line="240" w:lineRule="auto"/>
        <w:ind w:left="567" w:hanging="567"/>
        <w:contextualSpacing/>
        <w:rPr>
          <w:lang w:val="lt-LT" w:eastAsia="lt-LT"/>
        </w:rPr>
      </w:pPr>
      <w:r w:rsidRPr="00D85645">
        <w:rPr>
          <w:lang w:val="lt-LT" w:eastAsia="lt-LT"/>
        </w:rPr>
        <w:t>raumenų silpnumas;</w:t>
      </w:r>
    </w:p>
    <w:p w:rsidR="00487C84" w:rsidRPr="00D85645" w:rsidRDefault="00487C84" w:rsidP="00487C84">
      <w:pPr>
        <w:numPr>
          <w:ilvl w:val="0"/>
          <w:numId w:val="7"/>
        </w:numPr>
        <w:tabs>
          <w:tab w:val="clear" w:pos="567"/>
        </w:tabs>
        <w:spacing w:line="240" w:lineRule="auto"/>
        <w:ind w:left="567" w:hanging="567"/>
        <w:contextualSpacing/>
        <w:rPr>
          <w:lang w:val="lt-LT" w:eastAsia="lt-LT"/>
        </w:rPr>
      </w:pPr>
      <w:r w:rsidRPr="00D85645">
        <w:rPr>
          <w:lang w:val="lt-LT" w:eastAsia="lt-LT"/>
        </w:rPr>
        <w:t>šlapimo nelaikymas;</w:t>
      </w:r>
    </w:p>
    <w:p w:rsidR="00487C84" w:rsidRPr="00D85645" w:rsidRDefault="00487C84" w:rsidP="00487C84">
      <w:pPr>
        <w:numPr>
          <w:ilvl w:val="0"/>
          <w:numId w:val="7"/>
        </w:numPr>
        <w:tabs>
          <w:tab w:val="clear" w:pos="567"/>
        </w:tabs>
        <w:spacing w:line="240" w:lineRule="auto"/>
        <w:ind w:left="567" w:hanging="567"/>
        <w:contextualSpacing/>
        <w:rPr>
          <w:lang w:val="lt-LT" w:eastAsia="lt-LT"/>
        </w:rPr>
      </w:pPr>
      <w:r w:rsidRPr="00D85645">
        <w:rPr>
          <w:lang w:val="lt-LT" w:eastAsia="lt-LT"/>
        </w:rPr>
        <w:t>nereguliarios mėnesinės.</w:t>
      </w:r>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b/>
          <w:szCs w:val="22"/>
          <w:lang w:val="lt-LT" w:eastAsia="lt-LT"/>
        </w:rPr>
      </w:pPr>
      <w:r w:rsidRPr="00771E36">
        <w:rPr>
          <w:rFonts w:eastAsia="Calibri"/>
          <w:b/>
          <w:szCs w:val="22"/>
          <w:lang w:val="lt-LT" w:eastAsia="lt-LT"/>
        </w:rPr>
        <w:t>Šalutini</w:t>
      </w:r>
      <w:r>
        <w:rPr>
          <w:rFonts w:eastAsia="Calibri"/>
          <w:b/>
          <w:szCs w:val="22"/>
          <w:lang w:val="lt-LT" w:eastAsia="lt-LT"/>
        </w:rPr>
        <w:t xml:space="preserve">o poveikio reiškiniai, kurių </w:t>
      </w:r>
      <w:r w:rsidRPr="00771E36">
        <w:rPr>
          <w:rFonts w:eastAsia="Calibri"/>
          <w:b/>
          <w:szCs w:val="22"/>
          <w:lang w:val="lt-LT" w:eastAsia="lt-LT"/>
        </w:rPr>
        <w:t>dažnis nežinomas (negali būti apskaičiuotas pagal turimus duomenis):</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padidėjusi prolaktino koncentracija kraujyje;</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lengva manija, agresyvumas, priešiškumas, mąstymo sutrikimai, nenustygstamumas, piktnaudžiavimas vaistu;</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autonominės nervų sistemos pusiausvyros sutrikimas, raumenų tonuso sutrikimai;</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rPr>
        <w:t>virškinimo trakto sutrikimai;</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kepenų uždegimas, kepenų veiklos sutrikimai, gelta;</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alerginis pabrinkimas, kuris apima staigų veido, lūpų, liežuvio ir gerklės patinimą, padidėjusio jautrumo šviesai reakcija;</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rankų ar kojų patinimas;</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šlapimo susilaikymas;</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akies vidaus spaudimo padidėjimas;</w:t>
      </w:r>
    </w:p>
    <w:p w:rsidR="00487C84" w:rsidRPr="00D85645" w:rsidRDefault="00487C84" w:rsidP="00487C84">
      <w:pPr>
        <w:numPr>
          <w:ilvl w:val="0"/>
          <w:numId w:val="8"/>
        </w:numPr>
        <w:tabs>
          <w:tab w:val="clear" w:pos="567"/>
        </w:tabs>
        <w:spacing w:line="240" w:lineRule="auto"/>
        <w:ind w:left="567" w:hanging="567"/>
        <w:contextualSpacing/>
        <w:rPr>
          <w:lang w:val="lt-LT" w:eastAsia="lt-LT"/>
        </w:rPr>
      </w:pPr>
      <w:r w:rsidRPr="00D85645">
        <w:rPr>
          <w:lang w:val="lt-LT" w:eastAsia="lt-LT"/>
        </w:rPr>
        <w:t>vaistų vartojimo nutraukimo sindromas.</w:t>
      </w:r>
    </w:p>
    <w:p w:rsidR="00487C84" w:rsidRPr="00D85645" w:rsidRDefault="00487C84" w:rsidP="00487C84">
      <w:pPr>
        <w:widowControl w:val="0"/>
        <w:rPr>
          <w:rFonts w:eastAsia="Calibri"/>
          <w:color w:val="000000"/>
          <w:szCs w:val="22"/>
          <w:lang w:val="lt-LT" w:eastAsia="lt-LT"/>
        </w:rPr>
      </w:pPr>
    </w:p>
    <w:p w:rsidR="00487C84" w:rsidRPr="00D85645" w:rsidRDefault="00487C84" w:rsidP="00487C84">
      <w:pPr>
        <w:widowControl w:val="0"/>
        <w:rPr>
          <w:rFonts w:eastAsia="Calibri"/>
          <w:color w:val="000000"/>
          <w:szCs w:val="22"/>
          <w:lang w:val="lt-LT" w:eastAsia="lt-LT"/>
        </w:rPr>
      </w:pPr>
      <w:r w:rsidRPr="00D85645">
        <w:rPr>
          <w:rFonts w:eastAsia="Calibri"/>
          <w:color w:val="000000"/>
          <w:szCs w:val="22"/>
          <w:lang w:val="lt-LT" w:eastAsia="lt-LT"/>
        </w:rPr>
        <w:t>Alprazolamo vartojimas gali sukelti fizinę ir psichinę priklausomybę (žr. 2</w:t>
      </w:r>
      <w:r>
        <w:rPr>
          <w:rFonts w:eastAsia="Calibri"/>
          <w:color w:val="000000"/>
          <w:szCs w:val="22"/>
          <w:lang w:val="lt-LT" w:eastAsia="lt-LT"/>
        </w:rPr>
        <w:t> </w:t>
      </w:r>
      <w:r w:rsidRPr="00D85645">
        <w:rPr>
          <w:rFonts w:eastAsia="Calibri"/>
          <w:color w:val="000000"/>
          <w:szCs w:val="22"/>
          <w:lang w:val="lt-LT" w:eastAsia="lt-LT"/>
        </w:rPr>
        <w:t>skyriaus poskyrį „Specialių atsargumo priemonių reikia“).</w:t>
      </w:r>
    </w:p>
    <w:p w:rsidR="00487C84" w:rsidRPr="00D85645" w:rsidRDefault="00487C84" w:rsidP="00487C84">
      <w:pPr>
        <w:widowControl w:val="0"/>
        <w:rPr>
          <w:rFonts w:eastAsia="Calibri"/>
          <w:color w:val="000000"/>
          <w:szCs w:val="22"/>
          <w:lang w:val="lt-LT" w:eastAsia="lt-LT"/>
        </w:rPr>
      </w:pPr>
    </w:p>
    <w:p w:rsidR="00487C84" w:rsidRPr="00D85645" w:rsidRDefault="00487C84" w:rsidP="00487C84">
      <w:pPr>
        <w:widowControl w:val="0"/>
        <w:rPr>
          <w:rFonts w:eastAsia="Calibri"/>
          <w:color w:val="000000"/>
          <w:szCs w:val="22"/>
          <w:lang w:val="lt-LT" w:eastAsia="lt-LT"/>
        </w:rPr>
      </w:pPr>
      <w:r w:rsidRPr="00D85645">
        <w:rPr>
          <w:rFonts w:eastAsia="Calibri"/>
          <w:color w:val="000000"/>
          <w:szCs w:val="22"/>
          <w:lang w:val="lt-LT" w:eastAsia="lt-LT"/>
        </w:rPr>
        <w:t>Staigus Zomiren vartojimo nutraukimas gali sukelti nutraukimo simptomus.</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szCs w:val="22"/>
          <w:lang w:val="lt-LT" w:eastAsia="lt-LT"/>
        </w:rPr>
      </w:pPr>
      <w:r w:rsidRPr="00D85645">
        <w:rPr>
          <w:rFonts w:eastAsia="Calibri"/>
          <w:b/>
          <w:noProof/>
          <w:szCs w:val="22"/>
          <w:lang w:val="lt-LT" w:eastAsia="lt-LT"/>
        </w:rPr>
        <w:t>Pranešimas apie šalutinį poveikį</w:t>
      </w:r>
    </w:p>
    <w:p w:rsidR="00487C84" w:rsidRPr="00771E36" w:rsidRDefault="00487C84" w:rsidP="00487C84">
      <w:pPr>
        <w:ind w:right="-1"/>
        <w:rPr>
          <w:snapToGrid w:val="0"/>
          <w:lang w:val="lt-LT"/>
        </w:rPr>
      </w:pPr>
      <w:r w:rsidRPr="00D85645">
        <w:rPr>
          <w:rFonts w:eastAsia="Calibri"/>
          <w:szCs w:val="22"/>
          <w:lang w:val="lt-LT" w:eastAsia="lt-LT"/>
        </w:rPr>
        <w:t>Jeigu pasireiškė šalutinis poveikis, įskaitant šiame lapelyje nenurodytą, pasakykite gydytojui arba vaistininkui.</w:t>
      </w:r>
      <w:r w:rsidRPr="00D85645">
        <w:rPr>
          <w:rFonts w:eastAsia="Calibri"/>
          <w:noProof/>
          <w:szCs w:val="22"/>
          <w:lang w:val="lt-LT" w:eastAsia="lt-LT"/>
        </w:rPr>
        <w:t xml:space="preserve"> </w:t>
      </w:r>
      <w:r w:rsidRPr="00771E36">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71E36">
          <w:rPr>
            <w:snapToGrid w:val="0"/>
            <w:color w:val="0000FF"/>
            <w:u w:val="single"/>
            <w:lang w:val="lt-LT"/>
          </w:rPr>
          <w:t>https://vapris.vvkt.lt/vvkt-web/public/nrv</w:t>
        </w:r>
      </w:hyperlink>
      <w:r w:rsidRPr="00771E36">
        <w:rPr>
          <w:snapToGrid w:val="0"/>
          <w:lang w:val="lt-LT"/>
        </w:rPr>
        <w:t xml:space="preserve"> arba užpildant Paciento pranešimo apie įtariamą nepageidaujamą reakciją (ĮNR) formą, kuri skelbiama </w:t>
      </w:r>
      <w:hyperlink r:id="rId6" w:history="1">
        <w:r w:rsidRPr="00771E36">
          <w:rPr>
            <w:snapToGrid w:val="0"/>
            <w:color w:val="0000FF"/>
            <w:u w:val="single"/>
            <w:lang w:val="lt-LT"/>
          </w:rPr>
          <w:t>https://www.vvkt.lt/index.php?4004286486</w:t>
        </w:r>
      </w:hyperlink>
      <w:r w:rsidRPr="00771E36">
        <w:rPr>
          <w:snapToGrid w:val="0"/>
          <w:lang w:val="lt-LT"/>
        </w:rPr>
        <w:t xml:space="preserve">, ir atsiunčiant elektroniniu paštu (adresu </w:t>
      </w:r>
      <w:hyperlink r:id="rId7" w:history="1">
        <w:r w:rsidRPr="00771E36">
          <w:rPr>
            <w:snapToGrid w:val="0"/>
            <w:color w:val="0000FF"/>
            <w:u w:val="single"/>
            <w:lang w:val="lt-LT"/>
          </w:rPr>
          <w:t>NepageidaujamaR@vvkt.lt</w:t>
        </w:r>
      </w:hyperlink>
      <w:r w:rsidRPr="00771E36">
        <w:rPr>
          <w:snapToGrid w:val="0"/>
          <w:lang w:val="lt-LT"/>
        </w:rPr>
        <w:t>) arba nemokamu telefonu 8 800 73 568. Pranešdami apie šalutinį poveikį galite mums padėti gauti daugiau informacijos apie šio vaisto saugumą.</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ind w:left="567" w:hanging="567"/>
        <w:outlineLvl w:val="1"/>
        <w:rPr>
          <w:rFonts w:eastAsia="Calibri"/>
          <w:b/>
          <w:szCs w:val="22"/>
          <w:lang w:val="lt-LT"/>
        </w:rPr>
      </w:pPr>
      <w:bookmarkStart w:id="8" w:name="_Toc129243143"/>
      <w:bookmarkStart w:id="9" w:name="_Toc129243268"/>
      <w:r w:rsidRPr="00D85645">
        <w:rPr>
          <w:rFonts w:eastAsia="Calibri"/>
          <w:b/>
          <w:szCs w:val="22"/>
          <w:lang w:val="lt-LT"/>
        </w:rPr>
        <w:t>5.</w:t>
      </w:r>
      <w:r w:rsidRPr="00D85645">
        <w:rPr>
          <w:rFonts w:eastAsia="Calibri"/>
          <w:b/>
          <w:szCs w:val="22"/>
          <w:lang w:val="lt-LT"/>
        </w:rPr>
        <w:tab/>
        <w:t>Kaip laikyti Zomiren</w:t>
      </w:r>
      <w:bookmarkEnd w:id="8"/>
      <w:bookmarkEnd w:id="9"/>
    </w:p>
    <w:p w:rsidR="00487C84" w:rsidRPr="00D85645" w:rsidRDefault="00487C84" w:rsidP="00487C84">
      <w:pPr>
        <w:widowControl w:val="0"/>
        <w:rPr>
          <w:rFonts w:eastAsia="Calibri"/>
          <w:b/>
          <w:szCs w:val="22"/>
          <w:lang w:val="lt-LT" w:eastAsia="lt-LT"/>
        </w:rPr>
      </w:pPr>
    </w:p>
    <w:p w:rsidR="00487C84" w:rsidRDefault="00487C84" w:rsidP="00487C84">
      <w:pPr>
        <w:widowControl w:val="0"/>
        <w:rPr>
          <w:rFonts w:eastAsia="Calibri"/>
          <w:szCs w:val="22"/>
          <w:lang w:val="lt-LT" w:eastAsia="lt-LT"/>
        </w:rPr>
      </w:pPr>
      <w:r w:rsidRPr="00D85645">
        <w:rPr>
          <w:rFonts w:eastAsia="Calibri"/>
          <w:szCs w:val="22"/>
          <w:lang w:val="lt-LT" w:eastAsia="lt-LT"/>
        </w:rPr>
        <w:t>Šį vaistą laikykite vaikams nepastebimoje ir nepasiekiamoje vietoje.</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 xml:space="preserve">Laikyti gamintojo pakuotėje, kad </w:t>
      </w:r>
      <w:r w:rsidRPr="00D85645">
        <w:rPr>
          <w:szCs w:val="22"/>
          <w:lang w:val="lt-LT"/>
        </w:rPr>
        <w:t>vaistas</w:t>
      </w:r>
      <w:r w:rsidRPr="00D85645">
        <w:rPr>
          <w:rFonts w:eastAsia="Calibri"/>
          <w:szCs w:val="22"/>
          <w:lang w:val="lt-LT" w:eastAsia="lt-LT"/>
        </w:rPr>
        <w:t xml:space="preserve"> būtų apsaugotas nuo drėgmės.</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 xml:space="preserve">Laikyti ne aukštesnėje kaip 25 </w:t>
      </w:r>
      <w:r w:rsidRPr="00D85645">
        <w:rPr>
          <w:rFonts w:eastAsia="Calibri"/>
          <w:szCs w:val="22"/>
          <w:lang w:val="lt-LT" w:eastAsia="lt-LT"/>
        </w:rPr>
        <w:sym w:font="Symbol" w:char="F0B0"/>
      </w:r>
      <w:r w:rsidRPr="00D85645">
        <w:rPr>
          <w:rFonts w:eastAsia="Calibri"/>
          <w:szCs w:val="22"/>
          <w:lang w:val="lt-LT" w:eastAsia="lt-LT"/>
        </w:rPr>
        <w:t>C temperatūroje.</w:t>
      </w:r>
    </w:p>
    <w:p w:rsidR="00487C84" w:rsidRPr="00D85645" w:rsidDel="00770DD4" w:rsidRDefault="00487C84" w:rsidP="00487C84">
      <w:pPr>
        <w:widowControl w:val="0"/>
        <w:rPr>
          <w:rFonts w:eastAsia="Calibri"/>
          <w:szCs w:val="22"/>
          <w:lang w:val="lt-LT" w:eastAsia="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Ant dėžutės ir lizdinės plokštelės po „</w:t>
      </w:r>
      <w:r w:rsidRPr="00D6247A">
        <w:rPr>
          <w:rFonts w:eastAsia="Calibri"/>
          <w:noProof/>
          <w:szCs w:val="22"/>
          <w:highlight w:val="lightGray"/>
          <w:lang w:val="lt-LT"/>
        </w:rPr>
        <w:t>Tinka iki/</w:t>
      </w:r>
      <w:r w:rsidRPr="00D85645">
        <w:rPr>
          <w:rFonts w:eastAsia="Calibri"/>
          <w:noProof/>
          <w:szCs w:val="22"/>
          <w:lang w:val="lt-LT"/>
        </w:rPr>
        <w:t>EXP“ nurodytam tinkamumo laikui pasibaigus, šio vaisto vartoti negalima. Vaistas tinkamas vartoti iki paskutinės nurodyto mėnesio dienos.</w:t>
      </w:r>
    </w:p>
    <w:p w:rsidR="00487C84" w:rsidRPr="00D85645" w:rsidRDefault="00487C84" w:rsidP="00487C84">
      <w:pPr>
        <w:widowControl w:val="0"/>
        <w:ind w:left="357" w:hanging="357"/>
        <w:rPr>
          <w:rFonts w:eastAsia="Calibri"/>
          <w:noProof/>
          <w:szCs w:val="22"/>
          <w:lang w:val="lt-LT"/>
        </w:rPr>
      </w:pPr>
    </w:p>
    <w:p w:rsidR="00487C84" w:rsidRPr="00D85645" w:rsidRDefault="00487C84" w:rsidP="00487C84">
      <w:pPr>
        <w:widowControl w:val="0"/>
        <w:rPr>
          <w:rFonts w:eastAsia="Calibri"/>
          <w:noProof/>
          <w:szCs w:val="22"/>
          <w:lang w:val="lt-LT"/>
        </w:rPr>
      </w:pPr>
      <w:r w:rsidRPr="00D85645">
        <w:rPr>
          <w:rFonts w:eastAsia="Calibri"/>
          <w:noProof/>
          <w:szCs w:val="22"/>
          <w:lang w:val="lt-LT"/>
        </w:rPr>
        <w:t>Vaistų negalima išmesti į kanalizaciją arba su buitinėmis atliekomis. Kaip išmesti nereikalingus vaistus, klauskite vaistininko. Šios priemonės padės apsaugoti aplinką.</w:t>
      </w:r>
    </w:p>
    <w:p w:rsidR="00487C84" w:rsidRPr="00D85645" w:rsidRDefault="00487C84" w:rsidP="00487C84">
      <w:pPr>
        <w:widowControl w:val="0"/>
        <w:ind w:left="540" w:hanging="540"/>
        <w:outlineLvl w:val="1"/>
        <w:rPr>
          <w:rFonts w:eastAsia="Calibri"/>
          <w:szCs w:val="22"/>
          <w:lang w:val="lt-LT" w:eastAsia="lt-LT"/>
        </w:rPr>
      </w:pP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ind w:left="567" w:hanging="567"/>
        <w:outlineLvl w:val="1"/>
        <w:rPr>
          <w:rFonts w:eastAsia="Calibri"/>
          <w:b/>
          <w:szCs w:val="22"/>
          <w:lang w:val="lt-LT"/>
        </w:rPr>
      </w:pPr>
      <w:bookmarkStart w:id="10" w:name="_Toc129243144"/>
      <w:bookmarkStart w:id="11" w:name="_Toc129243269"/>
      <w:r w:rsidRPr="00D85645">
        <w:rPr>
          <w:rFonts w:eastAsia="Calibri"/>
          <w:b/>
          <w:szCs w:val="22"/>
          <w:lang w:val="lt-LT"/>
        </w:rPr>
        <w:lastRenderedPageBreak/>
        <w:t>6.</w:t>
      </w:r>
      <w:r w:rsidRPr="00D85645">
        <w:rPr>
          <w:rFonts w:eastAsia="Calibri"/>
          <w:b/>
          <w:szCs w:val="22"/>
          <w:lang w:val="lt-LT"/>
        </w:rPr>
        <w:tab/>
        <w:t>Pakuotės turinys ir kita informacija</w:t>
      </w:r>
      <w:bookmarkEnd w:id="10"/>
      <w:bookmarkEnd w:id="11"/>
    </w:p>
    <w:p w:rsidR="00487C84" w:rsidRPr="00D85645" w:rsidRDefault="00487C84" w:rsidP="00487C84">
      <w:pPr>
        <w:widowControl w:val="0"/>
        <w:rPr>
          <w:rFonts w:eastAsia="Calibri"/>
          <w:noProof/>
          <w:szCs w:val="22"/>
          <w:lang w:val="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Zomiren sudėtis</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i/>
          <w:szCs w:val="22"/>
          <w:lang w:val="lt-LT" w:eastAsia="lt-LT"/>
        </w:rPr>
      </w:pPr>
      <w:r w:rsidRPr="00D85645">
        <w:rPr>
          <w:rFonts w:eastAsia="Calibri"/>
          <w:i/>
          <w:szCs w:val="22"/>
          <w:lang w:val="lt-LT" w:eastAsia="lt-LT"/>
        </w:rPr>
        <w:t>Zomiren 0,25</w:t>
      </w:r>
      <w:r>
        <w:rPr>
          <w:i/>
          <w:szCs w:val="22"/>
          <w:lang w:val="lt-LT"/>
        </w:rPr>
        <w:t> </w:t>
      </w:r>
      <w:r w:rsidRPr="00D85645">
        <w:rPr>
          <w:rFonts w:eastAsia="Calibri"/>
          <w:i/>
          <w:szCs w:val="22"/>
          <w:lang w:val="lt-LT" w:eastAsia="lt-LT"/>
        </w:rPr>
        <w:t>mg tabletės</w:t>
      </w:r>
    </w:p>
    <w:p w:rsidR="00487C84" w:rsidRPr="00D85645" w:rsidRDefault="00487C84" w:rsidP="00487C84">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Veiklioji medžiaga yra alprazolamas. Vienoje tabletėje yra 0,25</w:t>
      </w:r>
      <w:r>
        <w:rPr>
          <w:szCs w:val="22"/>
          <w:lang w:val="lt-LT"/>
        </w:rPr>
        <w:t> </w:t>
      </w:r>
      <w:r w:rsidRPr="00D85645">
        <w:rPr>
          <w:rFonts w:eastAsia="Calibri"/>
          <w:szCs w:val="22"/>
          <w:lang w:val="lt-LT" w:eastAsia="lt-LT"/>
        </w:rPr>
        <w:t>mg alprazolamo.</w:t>
      </w:r>
    </w:p>
    <w:p w:rsidR="00487C84" w:rsidRPr="00D85645" w:rsidRDefault="00487C84" w:rsidP="00487C84">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Pagalbinės medžiagos yra laktozė monohidratas, polisorbatas 80, povidonas, krospovidonas, kukurūzų krakmolas, magnio stearatas.</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i/>
          <w:szCs w:val="22"/>
          <w:lang w:val="lt-LT" w:eastAsia="lt-LT"/>
        </w:rPr>
      </w:pPr>
      <w:r w:rsidRPr="00D85645">
        <w:rPr>
          <w:rFonts w:eastAsia="Calibri"/>
          <w:i/>
          <w:szCs w:val="22"/>
          <w:lang w:val="lt-LT" w:eastAsia="lt-LT"/>
        </w:rPr>
        <w:t>Zomiren 0,5</w:t>
      </w:r>
      <w:r>
        <w:rPr>
          <w:i/>
          <w:szCs w:val="22"/>
          <w:lang w:val="lt-LT"/>
        </w:rPr>
        <w:t> </w:t>
      </w:r>
      <w:r w:rsidRPr="00D85645">
        <w:rPr>
          <w:rFonts w:eastAsia="Calibri"/>
          <w:i/>
          <w:szCs w:val="22"/>
          <w:lang w:val="lt-LT" w:eastAsia="lt-LT"/>
        </w:rPr>
        <w:t>mg tabletės</w:t>
      </w:r>
    </w:p>
    <w:p w:rsidR="00487C84" w:rsidRPr="00D85645" w:rsidRDefault="00487C84" w:rsidP="00487C84">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Veiklioji medžiaga yra alprazolamas. Vienoje tabletėje yra 0,5</w:t>
      </w:r>
      <w:r>
        <w:rPr>
          <w:szCs w:val="22"/>
          <w:lang w:val="lt-LT"/>
        </w:rPr>
        <w:t> </w:t>
      </w:r>
      <w:r w:rsidRPr="00D85645">
        <w:rPr>
          <w:rFonts w:eastAsia="Calibri"/>
          <w:szCs w:val="22"/>
          <w:lang w:val="lt-LT" w:eastAsia="lt-LT"/>
        </w:rPr>
        <w:t>mg alprazolamo.</w:t>
      </w:r>
    </w:p>
    <w:p w:rsidR="00487C84" w:rsidRPr="00D85645" w:rsidRDefault="00487C84" w:rsidP="00487C84">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Pagalbinės medžiagos yra laktozė monohidratas, polisorbatas 80, karminas (E120), povidonas, krospovidonas, kukurūzų krakmolas, magnio stearatas</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i/>
          <w:szCs w:val="22"/>
          <w:lang w:val="lt-LT" w:eastAsia="lt-LT"/>
        </w:rPr>
      </w:pPr>
      <w:r w:rsidRPr="00D85645">
        <w:rPr>
          <w:rFonts w:eastAsia="Calibri"/>
          <w:i/>
          <w:szCs w:val="22"/>
          <w:lang w:val="lt-LT" w:eastAsia="lt-LT"/>
        </w:rPr>
        <w:t>Zomiren 1</w:t>
      </w:r>
      <w:r>
        <w:rPr>
          <w:i/>
          <w:szCs w:val="22"/>
          <w:lang w:val="lt-LT"/>
        </w:rPr>
        <w:t> </w:t>
      </w:r>
      <w:r w:rsidRPr="00D85645">
        <w:rPr>
          <w:rFonts w:eastAsia="Calibri"/>
          <w:i/>
          <w:szCs w:val="22"/>
          <w:lang w:val="lt-LT" w:eastAsia="lt-LT"/>
        </w:rPr>
        <w:t>mg tabletės</w:t>
      </w:r>
    </w:p>
    <w:p w:rsidR="00487C84" w:rsidRPr="00D85645" w:rsidRDefault="00487C84" w:rsidP="00487C84">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Veiklioji medžiaga yra alprazolamas. Vienoje tabletėje yra 1 mg alprazolamo.</w:t>
      </w:r>
    </w:p>
    <w:p w:rsidR="00487C84" w:rsidRPr="00D85645" w:rsidRDefault="00487C84" w:rsidP="00487C84">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Pagalbinės medžiagos yra laktozė monohidratas, polisorbatas 80, povidonas, krospovidonas, kukurūzų krakmolas, magnio stearatas, Patent mėlynasis V (E131).</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b/>
          <w:bCs/>
          <w:szCs w:val="22"/>
          <w:lang w:val="lt-LT"/>
        </w:rPr>
      </w:pPr>
      <w:r w:rsidRPr="00D85645">
        <w:rPr>
          <w:rFonts w:eastAsia="Calibri"/>
          <w:b/>
          <w:bCs/>
          <w:szCs w:val="22"/>
          <w:lang w:val="lt-LT"/>
        </w:rPr>
        <w:t>Zomiren išvaizda ir kiekis pakuotėje</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0,25</w:t>
      </w:r>
      <w:r>
        <w:rPr>
          <w:szCs w:val="22"/>
          <w:lang w:val="lt-LT"/>
        </w:rPr>
        <w:t> </w:t>
      </w:r>
      <w:r w:rsidRPr="00D85645">
        <w:rPr>
          <w:rFonts w:eastAsia="Calibri"/>
          <w:szCs w:val="22"/>
          <w:lang w:val="lt-LT" w:eastAsia="lt-LT"/>
        </w:rPr>
        <w:t>mg tabletė</w:t>
      </w:r>
      <w:r w:rsidRPr="00D85645">
        <w:rPr>
          <w:szCs w:val="22"/>
          <w:lang w:val="lt-LT"/>
        </w:rPr>
        <w:t>s: balta arba beveik balta,apvalios, abipus</w:t>
      </w:r>
      <w:r w:rsidRPr="00D85645">
        <w:rPr>
          <w:rFonts w:eastAsia="Calibri"/>
          <w:szCs w:val="22"/>
          <w:lang w:val="lt-LT" w:eastAsia="lt-LT"/>
        </w:rPr>
        <w:t xml:space="preserve"> išgaubt</w:t>
      </w:r>
      <w:r w:rsidRPr="00D85645">
        <w:rPr>
          <w:szCs w:val="22"/>
          <w:lang w:val="lt-LT"/>
        </w:rPr>
        <w:t>a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w:t>
      </w:r>
      <w:r w:rsidRPr="00D85645">
        <w:rPr>
          <w:rFonts w:eastAsia="Calibri"/>
          <w:szCs w:val="22"/>
          <w:lang w:val="lt-LT" w:eastAsia="lt-LT"/>
        </w:rPr>
        <w:t xml:space="preserve"> 0</w:t>
      </w:r>
      <w:r w:rsidRPr="00D85645">
        <w:rPr>
          <w:szCs w:val="22"/>
          <w:lang w:val="lt-LT"/>
        </w:rPr>
        <w:t>.25.</w:t>
      </w:r>
    </w:p>
    <w:p w:rsidR="00487C84" w:rsidRPr="00D85645" w:rsidRDefault="00487C84" w:rsidP="00487C84">
      <w:pPr>
        <w:widowControl w:val="0"/>
        <w:numPr>
          <w:ilvl w:val="12"/>
          <w:numId w:val="0"/>
        </w:numPr>
        <w:tabs>
          <w:tab w:val="left" w:pos="8505"/>
        </w:tabs>
        <w:ind w:right="-2"/>
        <w:rPr>
          <w:szCs w:val="22"/>
          <w:lang w:val="lt-LT"/>
        </w:rPr>
      </w:pPr>
      <w:r w:rsidRPr="00D85645">
        <w:rPr>
          <w:szCs w:val="22"/>
          <w:lang w:val="lt-LT"/>
        </w:rPr>
        <w:t>Vagelė skirta tik tabletei perlaužti, kad būtų lengviau nuryti, bet ne jai padalyti į lygias dozes. Tabletės skersmuo: 7 mm.</w:t>
      </w:r>
    </w:p>
    <w:p w:rsidR="00487C84" w:rsidRPr="00D85645" w:rsidRDefault="00487C84" w:rsidP="00487C84">
      <w:pPr>
        <w:widowControl w:val="0"/>
        <w:rPr>
          <w:rFonts w:eastAsia="Calibri"/>
          <w:szCs w:val="22"/>
          <w:lang w:val="lt-LT" w:eastAsia="lt-LT"/>
        </w:rPr>
      </w:pPr>
      <w:r w:rsidRPr="00D85645">
        <w:rPr>
          <w:szCs w:val="22"/>
          <w:lang w:val="lt-LT"/>
        </w:rPr>
        <w:t>0</w:t>
      </w:r>
      <w:r w:rsidRPr="00D85645">
        <w:rPr>
          <w:rFonts w:eastAsia="Calibri"/>
          <w:szCs w:val="22"/>
          <w:lang w:val="lt-LT" w:eastAsia="lt-LT"/>
        </w:rPr>
        <w:t>,5</w:t>
      </w:r>
      <w:r>
        <w:t> </w:t>
      </w:r>
      <w:r w:rsidRPr="00D85645">
        <w:rPr>
          <w:rFonts w:eastAsia="Calibri"/>
          <w:szCs w:val="22"/>
          <w:lang w:val="lt-LT" w:eastAsia="lt-LT"/>
        </w:rPr>
        <w:t>mg tabletė</w:t>
      </w:r>
      <w:r w:rsidRPr="00D85645">
        <w:rPr>
          <w:szCs w:val="22"/>
          <w:lang w:val="lt-LT"/>
        </w:rPr>
        <w:t xml:space="preserve">s: šviesiai rožinė, marmurinė,apvali, abipus </w:t>
      </w:r>
      <w:r w:rsidRPr="00D85645">
        <w:rPr>
          <w:rFonts w:eastAsia="Calibri"/>
          <w:szCs w:val="22"/>
          <w:lang w:val="lt-LT" w:eastAsia="lt-LT"/>
        </w:rPr>
        <w:t>išgaubt</w:t>
      </w:r>
      <w:r w:rsidRPr="00D85645">
        <w:rPr>
          <w:szCs w:val="22"/>
          <w:lang w:val="lt-LT"/>
        </w:rPr>
        <w:t>a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 0.5.</w:t>
      </w:r>
    </w:p>
    <w:p w:rsidR="00487C84" w:rsidRPr="00D85645" w:rsidRDefault="00487C84" w:rsidP="00487C84">
      <w:pPr>
        <w:widowControl w:val="0"/>
        <w:numPr>
          <w:ilvl w:val="12"/>
          <w:numId w:val="0"/>
        </w:numPr>
        <w:tabs>
          <w:tab w:val="left" w:pos="8505"/>
        </w:tabs>
        <w:ind w:right="-2"/>
        <w:rPr>
          <w:szCs w:val="22"/>
          <w:lang w:val="lt-LT"/>
        </w:rPr>
      </w:pPr>
      <w:r w:rsidRPr="00D85645">
        <w:rPr>
          <w:szCs w:val="22"/>
          <w:lang w:val="lt-LT"/>
        </w:rPr>
        <w:t>Vagelė skirta tik tabletei perlaužti, kad būtų lengviau nuryti, bet ne jai padalyti į lygias dozes. Tabletės skersmuo: 7 mm</w:t>
      </w:r>
    </w:p>
    <w:p w:rsidR="00487C84" w:rsidRPr="00D85645" w:rsidRDefault="00487C84" w:rsidP="00487C84">
      <w:pPr>
        <w:widowControl w:val="0"/>
        <w:outlineLvl w:val="0"/>
        <w:rPr>
          <w:rFonts w:eastAsia="Calibri"/>
          <w:b/>
          <w:szCs w:val="22"/>
          <w:lang w:val="lt-LT" w:eastAsia="lt-LT"/>
        </w:rPr>
      </w:pPr>
      <w:r w:rsidRPr="00D85645">
        <w:rPr>
          <w:rFonts w:eastAsia="Calibri"/>
          <w:szCs w:val="22"/>
          <w:lang w:val="lt-LT" w:eastAsia="lt-LT"/>
        </w:rPr>
        <w:t xml:space="preserve">1 mg </w:t>
      </w:r>
      <w:r w:rsidRPr="00D85645">
        <w:rPr>
          <w:szCs w:val="22"/>
          <w:lang w:val="lt-LT"/>
        </w:rPr>
        <w:t>tabletės:</w:t>
      </w:r>
      <w:r w:rsidRPr="00D85645">
        <w:rPr>
          <w:rFonts w:eastAsia="Calibri"/>
          <w:szCs w:val="22"/>
          <w:lang w:val="lt-LT" w:eastAsia="lt-LT"/>
        </w:rPr>
        <w:t xml:space="preserve">šviesiai </w:t>
      </w:r>
      <w:r w:rsidRPr="00D85645">
        <w:rPr>
          <w:szCs w:val="22"/>
          <w:lang w:val="lt-LT"/>
        </w:rPr>
        <w:t xml:space="preserve">žalsvai </w:t>
      </w:r>
      <w:r w:rsidRPr="00D85645">
        <w:rPr>
          <w:rFonts w:eastAsia="Calibri"/>
          <w:szCs w:val="22"/>
          <w:lang w:val="lt-LT" w:eastAsia="lt-LT"/>
        </w:rPr>
        <w:t>mėlyn</w:t>
      </w:r>
      <w:r w:rsidRPr="00D85645">
        <w:rPr>
          <w:szCs w:val="22"/>
          <w:lang w:val="lt-LT"/>
        </w:rPr>
        <w:t>os</w:t>
      </w:r>
      <w:r w:rsidRPr="00D85645">
        <w:rPr>
          <w:rFonts w:eastAsia="Calibri"/>
          <w:szCs w:val="22"/>
          <w:lang w:val="lt-LT" w:eastAsia="lt-LT"/>
        </w:rPr>
        <w:t xml:space="preserve"> </w:t>
      </w:r>
      <w:r w:rsidRPr="00D85645">
        <w:rPr>
          <w:szCs w:val="22"/>
          <w:lang w:val="lt-LT"/>
        </w:rPr>
        <w:t>arba šviesiai mėlynos spalvos, marmurinė, apvali, abipus išgaubta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 1. Vagelė skirta tik tabletei perlaužti, kad būtų lengviau nuryti, bet ne jai padalyti į lygias dozes. Tabletės skersmuo: 7 mm.</w:t>
      </w:r>
    </w:p>
    <w:p w:rsidR="00487C84" w:rsidRDefault="00487C84" w:rsidP="00487C84">
      <w:pPr>
        <w:widowControl w:val="0"/>
        <w:outlineLvl w:val="0"/>
        <w:rPr>
          <w:rFonts w:eastAsia="Calibri"/>
          <w:b/>
          <w:szCs w:val="22"/>
          <w:lang w:val="lt-LT" w:eastAsia="lt-LT"/>
        </w:rPr>
      </w:pPr>
    </w:p>
    <w:p w:rsidR="00487C84" w:rsidRPr="00D85645" w:rsidRDefault="00487C84" w:rsidP="00487C84">
      <w:pPr>
        <w:widowControl w:val="0"/>
        <w:outlineLvl w:val="0"/>
        <w:rPr>
          <w:rFonts w:eastAsia="Calibri"/>
          <w:b/>
          <w:szCs w:val="22"/>
          <w:lang w:val="lt-LT" w:eastAsia="lt-LT"/>
        </w:rPr>
      </w:pPr>
      <w:r w:rsidRPr="00D85645">
        <w:rPr>
          <w:rFonts w:eastAsia="Calibri"/>
          <w:b/>
          <w:szCs w:val="22"/>
          <w:lang w:val="lt-LT" w:eastAsia="lt-LT"/>
        </w:rPr>
        <w:t>Pakuotė</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Tabletės tiekiamos lizdinėse plokštelėse. Kartono dėžutėje yra 30 tablečių.</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b/>
          <w:bCs/>
          <w:szCs w:val="22"/>
          <w:lang w:val="lt-LT"/>
        </w:rPr>
      </w:pPr>
      <w:r w:rsidRPr="00D85645">
        <w:rPr>
          <w:b/>
          <w:bCs/>
          <w:szCs w:val="22"/>
          <w:lang w:val="lt-LT"/>
        </w:rPr>
        <w:t>Registruotojas</w:t>
      </w:r>
    </w:p>
    <w:p w:rsidR="00487C84" w:rsidRPr="00D85645" w:rsidRDefault="00487C84" w:rsidP="00487C84">
      <w:pPr>
        <w:widowControl w:val="0"/>
        <w:rPr>
          <w:rFonts w:eastAsia="Calibri"/>
          <w:b/>
          <w:bCs/>
          <w:szCs w:val="22"/>
          <w:lang w:val="lt-LT"/>
        </w:rPr>
      </w:pPr>
      <w:r w:rsidRPr="00D85645">
        <w:rPr>
          <w:szCs w:val="22"/>
          <w:lang w:val="lt-LT"/>
        </w:rPr>
        <w:t>KRKA, d.d., Novo mesto, Šmarješka cesta 6, 8501 Novo mesto, Slovėnija</w:t>
      </w:r>
    </w:p>
    <w:p w:rsidR="00487C84" w:rsidRPr="00D85645" w:rsidRDefault="00487C84" w:rsidP="00487C84">
      <w:pPr>
        <w:widowControl w:val="0"/>
        <w:rPr>
          <w:rFonts w:eastAsia="Calibri"/>
          <w:b/>
          <w:bCs/>
          <w:szCs w:val="22"/>
          <w:lang w:val="lt-LT"/>
        </w:rPr>
      </w:pPr>
    </w:p>
    <w:p w:rsidR="00487C84" w:rsidRPr="00D85645" w:rsidRDefault="00487C84" w:rsidP="00487C84">
      <w:pPr>
        <w:widowControl w:val="0"/>
        <w:rPr>
          <w:rFonts w:eastAsia="Calibri"/>
          <w:b/>
          <w:bCs/>
          <w:szCs w:val="22"/>
          <w:lang w:val="lt-LT" w:eastAsia="lt-LT"/>
        </w:rPr>
      </w:pPr>
      <w:r w:rsidRPr="00D85645">
        <w:rPr>
          <w:rFonts w:eastAsia="Calibri"/>
          <w:b/>
          <w:bCs/>
          <w:szCs w:val="22"/>
          <w:lang w:val="lt-LT" w:eastAsia="lt-LT"/>
        </w:rPr>
        <w:t>Gamintojas</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KRKA, d.d., Novo mesto, Šmarješka cesta 6, 8501 Novo mesto, Slovėnija</w:t>
      </w:r>
    </w:p>
    <w:p w:rsidR="00487C84" w:rsidRPr="00D85645" w:rsidRDefault="00487C84" w:rsidP="00487C84">
      <w:pPr>
        <w:widowControl w:val="0"/>
        <w:rPr>
          <w:lang w:val="lt-LT"/>
        </w:rPr>
      </w:pPr>
      <w:r w:rsidRPr="00D85645">
        <w:rPr>
          <w:lang w:val="lt-LT"/>
        </w:rPr>
        <w:t>KRKA</w:t>
      </w:r>
      <w:r w:rsidRPr="00D85645">
        <w:rPr>
          <w:szCs w:val="22"/>
          <w:lang w:val="lt-LT"/>
        </w:rPr>
        <w:t xml:space="preserve"> – </w:t>
      </w:r>
      <w:r w:rsidRPr="00D85645">
        <w:rPr>
          <w:lang w:val="lt-LT"/>
        </w:rPr>
        <w:t>FARMA d.o.o</w:t>
      </w:r>
      <w:r w:rsidRPr="00D85645">
        <w:rPr>
          <w:szCs w:val="22"/>
          <w:lang w:val="lt-LT"/>
        </w:rPr>
        <w:t>., V. Holjevca 20/E, 10 450</w:t>
      </w:r>
      <w:r w:rsidRPr="00D85645">
        <w:rPr>
          <w:lang w:val="lt-LT"/>
        </w:rPr>
        <w:t xml:space="preserve"> Jastrebarsko, Kroatija.</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szCs w:val="22"/>
          <w:lang w:val="lt-LT" w:eastAsia="lt-LT"/>
        </w:rPr>
      </w:pPr>
      <w:r w:rsidRPr="00D85645">
        <w:rPr>
          <w:rFonts w:eastAsia="Calibri"/>
          <w:noProof/>
          <w:szCs w:val="22"/>
          <w:lang w:val="lt-LT"/>
        </w:rPr>
        <w:t xml:space="preserve">Jeigu apie šį vaistą norite sužinoti daugiau, kreipkitės į vietinį </w:t>
      </w:r>
      <w:r w:rsidRPr="00D85645">
        <w:rPr>
          <w:szCs w:val="22"/>
          <w:lang w:val="lt-LT"/>
        </w:rPr>
        <w:t>registruotojo</w:t>
      </w:r>
      <w:r w:rsidRPr="00D85645">
        <w:rPr>
          <w:rFonts w:eastAsia="Calibri"/>
          <w:noProof/>
          <w:szCs w:val="22"/>
          <w:lang w:val="lt-LT"/>
        </w:rPr>
        <w:t xml:space="preserve"> atstovą.</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UAB KRKA Lietuva</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Senasis Ukmergės kelias 4,</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Užubalių km.,Vilniaus r.</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LT - 14013</w:t>
      </w:r>
    </w:p>
    <w:p w:rsidR="00487C84" w:rsidRPr="00D85645" w:rsidRDefault="00487C84" w:rsidP="00487C84">
      <w:pPr>
        <w:widowControl w:val="0"/>
        <w:rPr>
          <w:rFonts w:eastAsia="Calibri"/>
          <w:szCs w:val="22"/>
          <w:lang w:val="lt-LT" w:eastAsia="lt-LT"/>
        </w:rPr>
      </w:pPr>
      <w:r w:rsidRPr="00D85645">
        <w:rPr>
          <w:rFonts w:eastAsia="Calibri"/>
          <w:szCs w:val="22"/>
          <w:lang w:val="lt-LT" w:eastAsia="lt-LT"/>
        </w:rPr>
        <w:t>Tel. + 370 5 236 27 40</w:t>
      </w:r>
    </w:p>
    <w:p w:rsidR="00487C84" w:rsidRPr="00D85645" w:rsidRDefault="00487C84" w:rsidP="00487C84">
      <w:pPr>
        <w:widowControl w:val="0"/>
        <w:rPr>
          <w:rFonts w:eastAsia="Calibri"/>
          <w:szCs w:val="22"/>
          <w:lang w:val="lt-LT" w:eastAsia="lt-LT"/>
        </w:rPr>
      </w:pPr>
    </w:p>
    <w:p w:rsidR="00487C84" w:rsidRPr="00D85645" w:rsidRDefault="00487C84" w:rsidP="00487C84">
      <w:pPr>
        <w:widowControl w:val="0"/>
        <w:rPr>
          <w:rFonts w:eastAsia="Calibri"/>
          <w:szCs w:val="22"/>
          <w:lang w:val="lt-LT" w:eastAsia="lt-LT"/>
        </w:rPr>
      </w:pPr>
      <w:r w:rsidRPr="00D85645">
        <w:rPr>
          <w:rFonts w:eastAsia="Calibri"/>
          <w:b/>
          <w:bCs/>
          <w:noProof/>
          <w:szCs w:val="22"/>
          <w:lang w:val="lt-LT"/>
        </w:rPr>
        <w:t>Šis pakuotės lapelis</w:t>
      </w:r>
      <w:r w:rsidRPr="00D85645">
        <w:rPr>
          <w:rFonts w:eastAsia="Calibri"/>
          <w:b/>
          <w:noProof/>
          <w:szCs w:val="22"/>
          <w:lang w:val="lt-LT"/>
        </w:rPr>
        <w:t xml:space="preserve"> paskutinį kartą peržiūrėtas</w:t>
      </w:r>
      <w:r>
        <w:rPr>
          <w:rFonts w:eastAsia="Calibri"/>
          <w:b/>
          <w:noProof/>
          <w:szCs w:val="22"/>
          <w:lang w:val="lt-LT"/>
        </w:rPr>
        <w:t xml:space="preserve"> 2022-09-30</w:t>
      </w:r>
      <w:r w:rsidRPr="00D85645">
        <w:rPr>
          <w:rFonts w:eastAsia="Calibri"/>
          <w:b/>
          <w:noProof/>
          <w:szCs w:val="22"/>
          <w:lang w:val="lt-LT"/>
        </w:rPr>
        <w:t>.</w:t>
      </w:r>
    </w:p>
    <w:p w:rsidR="00487C84" w:rsidRPr="00D85645" w:rsidRDefault="00487C84" w:rsidP="00487C84">
      <w:pPr>
        <w:widowControl w:val="0"/>
        <w:rPr>
          <w:szCs w:val="22"/>
          <w:lang w:val="lt-LT"/>
        </w:rPr>
      </w:pPr>
    </w:p>
    <w:p w:rsidR="00487C84" w:rsidRDefault="00487C84" w:rsidP="00487C84">
      <w:pPr>
        <w:widowControl w:val="0"/>
        <w:rPr>
          <w:b/>
          <w:noProof/>
          <w:snapToGrid w:val="0"/>
          <w:szCs w:val="24"/>
        </w:rPr>
      </w:pPr>
      <w:r w:rsidRPr="005D554B">
        <w:rPr>
          <w:b/>
          <w:noProof/>
          <w:snapToGrid w:val="0"/>
          <w:szCs w:val="24"/>
        </w:rPr>
        <w:t>Kiti informacijos šaltiniai</w:t>
      </w:r>
    </w:p>
    <w:p w:rsidR="00487C84" w:rsidRDefault="00487C84" w:rsidP="00487C84">
      <w:pPr>
        <w:widowControl w:val="0"/>
        <w:rPr>
          <w:rFonts w:eastAsia="Calibri"/>
          <w:noProof/>
          <w:szCs w:val="22"/>
          <w:lang w:val="lt-LT"/>
        </w:rPr>
      </w:pPr>
    </w:p>
    <w:p w:rsidR="009041DB" w:rsidRDefault="00487C84" w:rsidP="00487C84">
      <w:pPr>
        <w:widowControl w:val="0"/>
      </w:pPr>
      <w:r w:rsidRPr="00D85645">
        <w:rPr>
          <w:rFonts w:eastAsia="Calibri"/>
          <w:noProof/>
          <w:szCs w:val="22"/>
          <w:lang w:val="lt-LT"/>
        </w:rPr>
        <w:t xml:space="preserve">Išsami informacija apie šį vaistą pateikiama Valstybinės vaistų kontrolės tarnybos prie Lietuvos Respublikos sveikatos apsaugos ministerijos tinklalapyje </w:t>
      </w:r>
      <w:hyperlink r:id="rId8" w:history="1">
        <w:r w:rsidRPr="00D85645">
          <w:rPr>
            <w:rFonts w:eastAsia="Calibri"/>
            <w:noProof/>
            <w:color w:val="0000FF"/>
            <w:szCs w:val="22"/>
            <w:u w:val="single"/>
            <w:lang w:val="lt-LT"/>
          </w:rPr>
          <w:t>http://www.vvkt.lt/</w:t>
        </w:r>
      </w:hyperlink>
      <w:r>
        <w:rPr>
          <w:rFonts w:eastAsia="Calibri"/>
          <w:noProof/>
          <w:color w:val="0000FF"/>
          <w:szCs w:val="22"/>
          <w:u w:val="single"/>
          <w:lang w:val="lt-LT"/>
        </w:rPr>
        <w:t xml:space="preserve">        </w:t>
      </w:r>
      <w:bookmarkStart w:id="12" w:name="_GoBack"/>
      <w:bookmarkEnd w:id="12"/>
    </w:p>
    <w:sectPr w:rsidR="009041DB" w:rsidSect="001374C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Default="00487C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Default="00487C84">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6</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Pr="006C3553" w:rsidRDefault="00487C84"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Default="00487C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Default="00487C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Pr="004E5A77" w:rsidRDefault="00487C84">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5C3A84"/>
    <w:multiLevelType w:val="hybridMultilevel"/>
    <w:tmpl w:val="4C048A7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85683"/>
    <w:multiLevelType w:val="hybridMultilevel"/>
    <w:tmpl w:val="5C04800A"/>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305D31"/>
    <w:multiLevelType w:val="hybridMultilevel"/>
    <w:tmpl w:val="F15ACE2E"/>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0890994"/>
    <w:multiLevelType w:val="hybridMultilevel"/>
    <w:tmpl w:val="3AD8CF7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84"/>
    <w:rsid w:val="00234094"/>
    <w:rsid w:val="002A211A"/>
    <w:rsid w:val="00344695"/>
    <w:rsid w:val="00487C8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2F44"/>
  <w15:chartTrackingRefBased/>
  <w15:docId w15:val="{4E22D006-CAB7-4013-841F-79548F8D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C84"/>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87C84"/>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487C84"/>
    <w:rPr>
      <w:rFonts w:ascii="Arial" w:hAnsi="Arial" w:cs="Times New Roman"/>
      <w:noProof/>
      <w:sz w:val="16"/>
      <w:szCs w:val="20"/>
      <w:lang w:val="en-GB"/>
    </w:rPr>
  </w:style>
  <w:style w:type="paragraph" w:styleId="Antrats">
    <w:name w:val="header"/>
    <w:basedOn w:val="prastasis"/>
    <w:link w:val="AntratsDiagrama"/>
    <w:rsid w:val="00487C84"/>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487C84"/>
    <w:rPr>
      <w:rFonts w:ascii="Arial" w:hAnsi="Arial" w:cs="Times New Roman"/>
      <w:sz w:val="20"/>
      <w:szCs w:val="20"/>
      <w:lang w:val="en-GB"/>
    </w:rPr>
  </w:style>
  <w:style w:type="character" w:styleId="Puslapionumeris">
    <w:name w:val="page number"/>
    <w:basedOn w:val="Numatytasispastraiposriftas"/>
    <w:rsid w:val="00487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10710</Words>
  <Characters>6105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2022-09-30T08:11:00Z</dcterms:created>
  <dcterms:modified xsi:type="dcterms:W3CDTF">2022-09-30T08:12:00Z</dcterms:modified>
</cp:coreProperties>
</file>