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17" w:rsidRPr="00BA4D9B" w:rsidRDefault="00F44017" w:rsidP="00F44017">
      <w:pPr>
        <w:jc w:val="center"/>
        <w:rPr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Pakuotės lapelis: informacija vartotojui</w:t>
      </w:r>
    </w:p>
    <w:p w:rsidR="00F44017" w:rsidRPr="00BA4D9B" w:rsidRDefault="00F44017" w:rsidP="00F44017">
      <w:pPr>
        <w:pStyle w:val="BTEMEASMCA"/>
      </w:pPr>
    </w:p>
    <w:p w:rsidR="00F44017" w:rsidRPr="00BA4D9B" w:rsidRDefault="00F44017" w:rsidP="00F44017">
      <w:pPr>
        <w:pStyle w:val="Pagrindinistekstas"/>
        <w:jc w:val="center"/>
        <w:rPr>
          <w:b/>
          <w:bCs/>
          <w:sz w:val="22"/>
          <w:szCs w:val="22"/>
        </w:rPr>
      </w:pPr>
      <w:proofErr w:type="spellStart"/>
      <w:r w:rsidRPr="00BA4D9B">
        <w:rPr>
          <w:b/>
          <w:bCs/>
          <w:sz w:val="22"/>
          <w:szCs w:val="22"/>
        </w:rPr>
        <w:t>Tracrium</w:t>
      </w:r>
      <w:proofErr w:type="spellEnd"/>
      <w:r w:rsidRPr="00BA4D9B">
        <w:rPr>
          <w:b/>
          <w:bCs/>
          <w:sz w:val="22"/>
          <w:szCs w:val="22"/>
        </w:rPr>
        <w:t xml:space="preserve"> 10 mg/ml injekcinis ar infuzinis tirpalas</w:t>
      </w:r>
    </w:p>
    <w:p w:rsidR="00F44017" w:rsidRPr="00BA4D9B" w:rsidRDefault="00F44017" w:rsidP="00F44017">
      <w:pPr>
        <w:pStyle w:val="Pagrindinistekstas"/>
        <w:jc w:val="center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besilatas</w:t>
      </w:r>
      <w:proofErr w:type="spellEnd"/>
    </w:p>
    <w:p w:rsidR="00F44017" w:rsidRPr="00BA4D9B" w:rsidRDefault="00F44017" w:rsidP="00F44017">
      <w:pPr>
        <w:pStyle w:val="BTEMEASMCA"/>
      </w:pPr>
    </w:p>
    <w:p w:rsidR="00F44017" w:rsidRPr="00BA4D9B" w:rsidRDefault="00F44017" w:rsidP="00F44017">
      <w:pPr>
        <w:pStyle w:val="BTbEMEASMCA"/>
      </w:pPr>
      <w:r w:rsidRPr="00BA4D9B">
        <w:t>Atidžiai perskaitykite visą šį lapelį, prieš pradėdami vartoti vaistą, nes jame pateikiama Jums svarbi informacija.</w:t>
      </w:r>
    </w:p>
    <w:p w:rsidR="00F44017" w:rsidRPr="00BA4D9B" w:rsidRDefault="00F44017" w:rsidP="00F44017">
      <w:pPr>
        <w:pStyle w:val="BT-EMEASMCA"/>
        <w:tabs>
          <w:tab w:val="clear" w:pos="360"/>
        </w:tabs>
        <w:ind w:left="567" w:hanging="567"/>
      </w:pPr>
      <w:r w:rsidRPr="00BA4D9B">
        <w:t>Neišmeskite šio lapelio, nes vėl gali prireikti jį perskaityti.</w:t>
      </w:r>
    </w:p>
    <w:p w:rsidR="00F44017" w:rsidRPr="00BA4D9B" w:rsidRDefault="00F44017" w:rsidP="00F44017">
      <w:pPr>
        <w:pStyle w:val="BT-EMEASMCA"/>
        <w:tabs>
          <w:tab w:val="clear" w:pos="360"/>
        </w:tabs>
        <w:ind w:left="567" w:hanging="567"/>
      </w:pPr>
      <w:r w:rsidRPr="00BA4D9B">
        <w:t>Jeigu kiltų daugiau klausimų, kreipkitės į gydytoją arba vaistininką.</w:t>
      </w:r>
    </w:p>
    <w:p w:rsidR="00F44017" w:rsidRPr="00BA4D9B" w:rsidRDefault="00F44017" w:rsidP="00F44017">
      <w:pPr>
        <w:pStyle w:val="BT-EMEASMCA"/>
        <w:tabs>
          <w:tab w:val="clear" w:pos="360"/>
        </w:tabs>
        <w:ind w:left="567" w:hanging="567"/>
      </w:pPr>
      <w:r w:rsidRPr="00BA4D9B">
        <w:t>Šis vaistas skirtas tik</w:t>
      </w:r>
      <w:r w:rsidRPr="00BA4D9B">
        <w:rPr>
          <w:b/>
        </w:rPr>
        <w:t xml:space="preserve"> </w:t>
      </w:r>
      <w:r w:rsidRPr="00BA4D9B">
        <w:t>Jums, todėl kitiems žmonėms jo duoti negalima. Vaistas gali jiems pakenkti (net tiems, kurių ligos požymiai yra tokie patys kaip Jūsų).</w:t>
      </w:r>
    </w:p>
    <w:p w:rsidR="00F44017" w:rsidRPr="00BA4D9B" w:rsidRDefault="00F44017" w:rsidP="00F44017">
      <w:pPr>
        <w:pStyle w:val="BT-EMEASMCA"/>
        <w:tabs>
          <w:tab w:val="clear" w:pos="360"/>
        </w:tabs>
        <w:ind w:left="567" w:hanging="567"/>
      </w:pPr>
      <w:r w:rsidRPr="00BA4D9B">
        <w:t>Jeigu pasireiškė šalutinis poveikis (net jeigu jis šiame lapelyje nenurodytas), kreipkitės į gydytoją arba vaistininką. Žr. 4 skyrių.</w:t>
      </w:r>
    </w:p>
    <w:p w:rsidR="00F44017" w:rsidRPr="00BA4D9B" w:rsidRDefault="00F44017" w:rsidP="00F44017">
      <w:pPr>
        <w:pStyle w:val="Pagrindinistekstas"/>
        <w:jc w:val="left"/>
        <w:rPr>
          <w:b/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b/>
          <w:sz w:val="22"/>
          <w:szCs w:val="22"/>
        </w:rPr>
      </w:pPr>
      <w:r w:rsidRPr="00BA4D9B">
        <w:rPr>
          <w:b/>
          <w:sz w:val="22"/>
          <w:szCs w:val="22"/>
        </w:rPr>
        <w:t>Apie ką rašoma šiame lapelyje?</w:t>
      </w:r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1.</w:t>
      </w:r>
      <w:r w:rsidRPr="00BA4D9B">
        <w:rPr>
          <w:sz w:val="22"/>
          <w:szCs w:val="22"/>
        </w:rPr>
        <w:tab/>
        <w:t xml:space="preserve">Kas yra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ir kam jis vartojamas</w:t>
      </w:r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2.</w:t>
      </w:r>
      <w:r w:rsidRPr="00BA4D9B">
        <w:rPr>
          <w:sz w:val="22"/>
          <w:szCs w:val="22"/>
        </w:rPr>
        <w:tab/>
        <w:t xml:space="preserve">Kas žinotina prieš vartojant </w:t>
      </w:r>
      <w:proofErr w:type="spellStart"/>
      <w:r w:rsidRPr="00BA4D9B">
        <w:rPr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3.</w:t>
      </w:r>
      <w:r w:rsidRPr="00BA4D9B">
        <w:rPr>
          <w:sz w:val="22"/>
          <w:szCs w:val="22"/>
        </w:rPr>
        <w:tab/>
        <w:t xml:space="preserve">Kaip vartoti </w:t>
      </w:r>
      <w:proofErr w:type="spellStart"/>
      <w:r w:rsidRPr="00BA4D9B">
        <w:rPr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4.</w:t>
      </w:r>
      <w:r w:rsidRPr="00BA4D9B">
        <w:rPr>
          <w:sz w:val="22"/>
          <w:szCs w:val="22"/>
        </w:rPr>
        <w:tab/>
        <w:t>Galimas šalutinis poveikis</w:t>
      </w:r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5.</w:t>
      </w:r>
      <w:r w:rsidRPr="00BA4D9B">
        <w:rPr>
          <w:sz w:val="22"/>
          <w:szCs w:val="22"/>
        </w:rPr>
        <w:tab/>
        <w:t xml:space="preserve">Kaip laikyti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</w:t>
      </w:r>
    </w:p>
    <w:p w:rsidR="00F44017" w:rsidRPr="00BA4D9B" w:rsidRDefault="00F44017" w:rsidP="00F44017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6.</w:t>
      </w:r>
      <w:r w:rsidRPr="00BA4D9B">
        <w:rPr>
          <w:sz w:val="22"/>
          <w:szCs w:val="22"/>
        </w:rPr>
        <w:tab/>
        <w:t>Pakuotės turinys ir kita informacija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ind w:left="567" w:hanging="567"/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1.</w:t>
      </w:r>
      <w:r w:rsidRPr="00BA4D9B"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 w:rsidRPr="00BA4D9B">
        <w:rPr>
          <w:b/>
          <w:bCs/>
          <w:sz w:val="22"/>
          <w:szCs w:val="22"/>
          <w:lang w:val="lt-LT"/>
        </w:rPr>
        <w:t>Tracrium</w:t>
      </w:r>
      <w:proofErr w:type="spellEnd"/>
      <w:r w:rsidRPr="00BA4D9B">
        <w:rPr>
          <w:b/>
          <w:bCs/>
          <w:sz w:val="22"/>
          <w:szCs w:val="22"/>
          <w:lang w:val="lt-LT"/>
        </w:rPr>
        <w:t xml:space="preserve"> ir kam jis vartojamas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priklauso vaistų, vadinamų raumenų </w:t>
      </w:r>
      <w:proofErr w:type="spellStart"/>
      <w:r w:rsidRPr="00BA4D9B">
        <w:rPr>
          <w:sz w:val="22"/>
          <w:szCs w:val="22"/>
          <w:lang w:val="lt-LT"/>
        </w:rPr>
        <w:t>relaksantais</w:t>
      </w:r>
      <w:proofErr w:type="spellEnd"/>
      <w:r w:rsidRPr="00BA4D9B">
        <w:rPr>
          <w:sz w:val="22"/>
          <w:szCs w:val="22"/>
          <w:lang w:val="lt-LT"/>
        </w:rPr>
        <w:t>, grupei. Medikamentas vartojamas raumenims atpalaiduoti įvairių chirurginių operacijų ir intensyviosios terapijos metu. Jį galima vartoti kišant vamzdelį į trachėją, jeigu kvėpuojant reikalinga mechaninė pagalba.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2.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Kas žinotina prieš vartojant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3"/>
        <w:rPr>
          <w:b/>
          <w:bCs/>
          <w:i w:val="0"/>
          <w:iCs w:val="0"/>
          <w:sz w:val="22"/>
          <w:szCs w:val="22"/>
        </w:rPr>
      </w:pP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  <w:r w:rsidRPr="00BA4D9B">
        <w:rPr>
          <w:b/>
          <w:bCs/>
          <w:i w:val="0"/>
          <w:iCs w:val="0"/>
          <w:sz w:val="22"/>
          <w:szCs w:val="22"/>
        </w:rPr>
        <w:t xml:space="preserve"> vartoti </w:t>
      </w:r>
      <w:r>
        <w:rPr>
          <w:b/>
          <w:bCs/>
          <w:i w:val="0"/>
          <w:iCs w:val="0"/>
          <w:sz w:val="22"/>
          <w:szCs w:val="22"/>
        </w:rPr>
        <w:t>draudžia</w:t>
      </w:r>
      <w:r w:rsidRPr="00BA4D9B">
        <w:rPr>
          <w:b/>
          <w:bCs/>
          <w:i w:val="0"/>
          <w:iCs w:val="0"/>
          <w:sz w:val="22"/>
          <w:szCs w:val="22"/>
        </w:rPr>
        <w:t>ma:</w:t>
      </w:r>
    </w:p>
    <w:p w:rsidR="00F44017" w:rsidRPr="00BA4D9B" w:rsidRDefault="00F44017" w:rsidP="00F44017">
      <w:pPr>
        <w:pStyle w:val="Pagrindinistekstas"/>
        <w:ind w:left="540" w:hanging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jeigu yra alergija </w:t>
      </w:r>
      <w:proofErr w:type="spellStart"/>
      <w:r w:rsidRPr="00BA4D9B">
        <w:rPr>
          <w:sz w:val="22"/>
          <w:szCs w:val="22"/>
        </w:rPr>
        <w:t>atrakuriui</w:t>
      </w:r>
      <w:proofErr w:type="spellEnd"/>
      <w:r w:rsidRPr="00BA4D9B">
        <w:rPr>
          <w:sz w:val="22"/>
          <w:szCs w:val="22"/>
        </w:rPr>
        <w:t xml:space="preserve">, </w:t>
      </w:r>
      <w:proofErr w:type="spellStart"/>
      <w:r w:rsidRPr="00BA4D9B">
        <w:rPr>
          <w:sz w:val="22"/>
          <w:szCs w:val="22"/>
        </w:rPr>
        <w:t>cisatrakuriui</w:t>
      </w:r>
      <w:proofErr w:type="spellEnd"/>
      <w:r w:rsidRPr="00BA4D9B">
        <w:rPr>
          <w:sz w:val="22"/>
          <w:szCs w:val="22"/>
        </w:rPr>
        <w:t xml:space="preserve"> arba </w:t>
      </w:r>
      <w:proofErr w:type="spellStart"/>
      <w:r w:rsidRPr="00BA4D9B">
        <w:rPr>
          <w:sz w:val="22"/>
          <w:szCs w:val="22"/>
        </w:rPr>
        <w:t>benzensulfonrūgščiai</w:t>
      </w:r>
      <w:proofErr w:type="spellEnd"/>
      <w:r w:rsidRPr="00BA4D9B">
        <w:rPr>
          <w:sz w:val="22"/>
          <w:szCs w:val="22"/>
        </w:rPr>
        <w:t>;</w:t>
      </w:r>
    </w:p>
    <w:p w:rsidR="00F44017" w:rsidRPr="00BA4D9B" w:rsidRDefault="00F44017" w:rsidP="00F44017">
      <w:pPr>
        <w:pStyle w:val="Pagrindinistekstas"/>
        <w:ind w:left="540" w:hanging="540"/>
        <w:jc w:val="left"/>
        <w:rPr>
          <w:sz w:val="22"/>
          <w:szCs w:val="22"/>
        </w:rPr>
      </w:pPr>
    </w:p>
    <w:p w:rsidR="00F44017" w:rsidRPr="00BA4D9B" w:rsidRDefault="00F44017" w:rsidP="00F44017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Įspėjimai ir atsargumo priemonės:</w:t>
      </w:r>
    </w:p>
    <w:p w:rsidR="00F44017" w:rsidRPr="00BA4D9B" w:rsidRDefault="00F44017" w:rsidP="00F44017">
      <w:pPr>
        <w:pStyle w:val="Pagrindinistekstas"/>
        <w:ind w:left="540" w:hanging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>jeigu Jums arba Jūsų šeimos nariams anestetikai yra sukėlę nepageidaujamą poveikį (pvz., ilgą veikimą). Jeigu Jūs arba Jūsų giminaičiai turi kortelę, kurioje būtų parašyta, kad tai yra atsitikę praeityje;</w:t>
      </w:r>
    </w:p>
    <w:p w:rsidR="00F44017" w:rsidRPr="00BA4D9B" w:rsidRDefault="00F44017" w:rsidP="00F44017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jeigu esate nėščia arba maitinanti krūtimi;</w:t>
      </w:r>
    </w:p>
    <w:p w:rsidR="00F44017" w:rsidRPr="00BA4D9B" w:rsidRDefault="00F44017" w:rsidP="00F44017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jeigu Jums arba bet kuriam iš Jūsų šeimos narių yra sutrikusi plazmos </w:t>
      </w:r>
      <w:proofErr w:type="spellStart"/>
      <w:r w:rsidRPr="00BA4D9B">
        <w:rPr>
          <w:sz w:val="22"/>
          <w:szCs w:val="22"/>
        </w:rPr>
        <w:t>cholinesterazės</w:t>
      </w:r>
      <w:proofErr w:type="spellEnd"/>
      <w:r w:rsidRPr="00BA4D9B">
        <w:rPr>
          <w:sz w:val="22"/>
          <w:szCs w:val="22"/>
        </w:rPr>
        <w:t xml:space="preserve"> (organizmo cheminės medžiagos kraujyje) veikla;</w:t>
      </w:r>
    </w:p>
    <w:p w:rsidR="00F44017" w:rsidRPr="00BA4D9B" w:rsidRDefault="00F44017" w:rsidP="00F44017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 jaučiate raumenų silpnumą, nuovargį arba Jums yra sunki judesių koordinacija (</w:t>
      </w:r>
      <w:proofErr w:type="spellStart"/>
      <w:r w:rsidRPr="00BA4D9B">
        <w:rPr>
          <w:sz w:val="22"/>
          <w:szCs w:val="22"/>
        </w:rPr>
        <w:t>generalizuota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miastenija</w:t>
      </w:r>
      <w:proofErr w:type="spellEnd"/>
      <w:r w:rsidRPr="00BA4D9B">
        <w:rPr>
          <w:sz w:val="22"/>
          <w:szCs w:val="22"/>
        </w:rPr>
        <w:t>);</w:t>
      </w:r>
    </w:p>
    <w:p w:rsidR="00F44017" w:rsidRPr="00BA4D9B" w:rsidRDefault="00F44017" w:rsidP="00F44017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jei sirgote arba sergate širdies liga arba Jums yra mažas kraujospūdis, sergate astma, šienlige ar alergija, nuo kurios atsiranda odos išbėrimas, niežulys ar dusulys, raumenis sekinančia liga, paralyžiumi, </w:t>
      </w:r>
      <w:proofErr w:type="spellStart"/>
      <w:r w:rsidRPr="00BA4D9B">
        <w:rPr>
          <w:sz w:val="22"/>
          <w:szCs w:val="22"/>
        </w:rPr>
        <w:t>motoneuronų</w:t>
      </w:r>
      <w:proofErr w:type="spellEnd"/>
      <w:r w:rsidRPr="00BA4D9B">
        <w:rPr>
          <w:sz w:val="22"/>
          <w:szCs w:val="22"/>
        </w:rPr>
        <w:t xml:space="preserve"> (motorinių neuronų) liga ar cerebriniu paralyžiumi, elektrolitų pusiausvyros sutrikimu (tam tikrų kraujo cheminių medžiagų kiekio pakitimu);</w:t>
      </w:r>
    </w:p>
    <w:p w:rsidR="00F44017" w:rsidRPr="00BA4D9B" w:rsidRDefault="00F44017" w:rsidP="00F44017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 per paskutinius du ar tris mėnesius patyrėte stiprų nudegimą, kuriam gydyti reikėjo medicinos pagalbos.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galima vartoti rūpestingai kontroliuojamomis sąlygomis (dažnai skubiais atvejais), prižiūrint patyrusiam gydytojui.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Nėštumas, žindymo laikotarpis ir vaisingumas</w:t>
      </w:r>
    </w:p>
    <w:p w:rsidR="00F44017" w:rsidRPr="00BA4D9B" w:rsidRDefault="00F44017" w:rsidP="00F44017">
      <w:pPr>
        <w:rPr>
          <w:i/>
          <w:iCs/>
          <w:sz w:val="22"/>
          <w:szCs w:val="22"/>
          <w:lang w:val="lt-LT"/>
        </w:rPr>
      </w:pPr>
      <w:r w:rsidRPr="00BA4D9B">
        <w:rPr>
          <w:iCs/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 xml:space="preserve">Kiti vaistai ir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u w:val="single"/>
          <w:lang w:val="lt-LT"/>
        </w:rPr>
        <w:t>Tracrium</w:t>
      </w:r>
      <w:proofErr w:type="spellEnd"/>
      <w:r w:rsidRPr="00BA4D9B">
        <w:rPr>
          <w:sz w:val="22"/>
          <w:szCs w:val="22"/>
          <w:u w:val="single"/>
          <w:lang w:val="lt-LT"/>
        </w:rPr>
        <w:t xml:space="preserve"> gali sąveikauti su kitais </w:t>
      </w:r>
      <w:r>
        <w:rPr>
          <w:sz w:val="22"/>
          <w:szCs w:val="22"/>
          <w:u w:val="single"/>
          <w:lang w:val="lt-LT"/>
        </w:rPr>
        <w:t>vaistais</w:t>
      </w:r>
      <w:r w:rsidRPr="00BA4D9B">
        <w:rPr>
          <w:sz w:val="22"/>
          <w:szCs w:val="22"/>
          <w:u w:val="single"/>
          <w:lang w:val="lt-LT"/>
        </w:rPr>
        <w:t>.</w:t>
      </w:r>
      <w:r w:rsidRPr="00BA4D9B">
        <w:rPr>
          <w:sz w:val="22"/>
          <w:szCs w:val="22"/>
          <w:lang w:val="lt-LT"/>
        </w:rPr>
        <w:t xml:space="preserve"> Prieš injekciją gydytojui turite pasakyti, jei vartojate kurį nors iš šių </w:t>
      </w:r>
      <w:r>
        <w:rPr>
          <w:sz w:val="22"/>
          <w:szCs w:val="22"/>
          <w:lang w:val="lt-LT"/>
        </w:rPr>
        <w:t>vaistų</w:t>
      </w:r>
      <w:r w:rsidRPr="00BA4D9B">
        <w:rPr>
          <w:sz w:val="22"/>
          <w:szCs w:val="22"/>
          <w:lang w:val="lt-LT"/>
        </w:rPr>
        <w:t xml:space="preserve"> (jeigu abejojate, pasitarkite su gydytoju):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antibiotikų;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 nuo širdies ritmo sutrikimo;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</w:t>
      </w:r>
      <w:r w:rsidRPr="00BA4D9B">
        <w:rPr>
          <w:sz w:val="22"/>
          <w:szCs w:val="22"/>
          <w:lang w:val="lt-LT"/>
        </w:rPr>
        <w:t xml:space="preserve"> nuo didelio kraujospūdžio;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vaistų, skatinančių skysčių išsiskyrimą (diuretikų);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kitų raumenų </w:t>
      </w:r>
      <w:proofErr w:type="spellStart"/>
      <w:r w:rsidRPr="00BA4D9B">
        <w:rPr>
          <w:sz w:val="22"/>
          <w:szCs w:val="22"/>
          <w:lang w:val="lt-LT"/>
        </w:rPr>
        <w:t>relaksantų</w:t>
      </w:r>
      <w:proofErr w:type="spellEnd"/>
      <w:r w:rsidRPr="00BA4D9B">
        <w:rPr>
          <w:sz w:val="22"/>
          <w:szCs w:val="22"/>
          <w:lang w:val="lt-LT"/>
        </w:rPr>
        <w:t xml:space="preserve">, pvz., </w:t>
      </w:r>
      <w:proofErr w:type="spellStart"/>
      <w:r w:rsidRPr="00BA4D9B">
        <w:rPr>
          <w:sz w:val="22"/>
          <w:szCs w:val="22"/>
          <w:lang w:val="lt-LT"/>
        </w:rPr>
        <w:t>pankuronio</w:t>
      </w:r>
      <w:proofErr w:type="spellEnd"/>
      <w:r w:rsidRPr="00BA4D9B">
        <w:rPr>
          <w:sz w:val="22"/>
          <w:szCs w:val="22"/>
          <w:lang w:val="lt-LT"/>
        </w:rPr>
        <w:t xml:space="preserve"> ir </w:t>
      </w:r>
      <w:proofErr w:type="spellStart"/>
      <w:r w:rsidRPr="00BA4D9B">
        <w:rPr>
          <w:sz w:val="22"/>
          <w:szCs w:val="22"/>
          <w:lang w:val="lt-LT"/>
        </w:rPr>
        <w:t>suksametonio</w:t>
      </w:r>
      <w:proofErr w:type="spellEnd"/>
      <w:r w:rsidRPr="00BA4D9B">
        <w:rPr>
          <w:sz w:val="22"/>
          <w:szCs w:val="22"/>
          <w:lang w:val="lt-LT"/>
        </w:rPr>
        <w:t>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vaistų nuo artrito ir </w:t>
      </w:r>
      <w:proofErr w:type="spellStart"/>
      <w:r w:rsidRPr="00BA4D9B">
        <w:rPr>
          <w:sz w:val="22"/>
          <w:szCs w:val="22"/>
          <w:lang w:val="lt-LT"/>
        </w:rPr>
        <w:t>generalizuotos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miastenijos</w:t>
      </w:r>
      <w:proofErr w:type="spellEnd"/>
      <w:r w:rsidRPr="00BA4D9B">
        <w:rPr>
          <w:sz w:val="22"/>
          <w:szCs w:val="22"/>
          <w:lang w:val="lt-LT"/>
        </w:rPr>
        <w:t>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steroidų;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chlorpromazino</w:t>
      </w:r>
      <w:proofErr w:type="spellEnd"/>
      <w:r w:rsidRPr="00BA4D9B">
        <w:rPr>
          <w:sz w:val="22"/>
          <w:szCs w:val="22"/>
          <w:lang w:val="lt-LT"/>
        </w:rPr>
        <w:t>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ličio ir preparatų, kuriuose yra ličio druskų;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vaistų, kuriuose yra magnio (skrandžio veiklos sutrikimams ir rėmeniui gydyti);</w:t>
      </w:r>
    </w:p>
    <w:p w:rsidR="00F44017" w:rsidRPr="00BA4D9B" w:rsidRDefault="00F44017" w:rsidP="00F4401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fenitoino</w:t>
      </w:r>
      <w:proofErr w:type="spellEnd"/>
      <w:r w:rsidRPr="00BA4D9B">
        <w:rPr>
          <w:sz w:val="22"/>
          <w:szCs w:val="22"/>
          <w:lang w:val="lt-LT"/>
        </w:rPr>
        <w:t xml:space="preserve"> (vaisto nuo epilepsijos);</w:t>
      </w:r>
    </w:p>
    <w:p w:rsidR="00F44017" w:rsidRPr="00BA4D9B" w:rsidRDefault="00F44017" w:rsidP="00F44017">
      <w:pPr>
        <w:pStyle w:val="Pagrindinistekstas"/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A4D9B">
        <w:rPr>
          <w:sz w:val="22"/>
          <w:szCs w:val="22"/>
        </w:rPr>
        <w:t>inhaliacinių bendrųjų anestetikų.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Gydymas </w:t>
      </w:r>
      <w:proofErr w:type="spellStart"/>
      <w:r w:rsidRPr="00BA4D9B">
        <w:rPr>
          <w:sz w:val="22"/>
          <w:szCs w:val="22"/>
          <w:lang w:val="lt-LT"/>
        </w:rPr>
        <w:t>anticholinesteraziniais</w:t>
      </w:r>
      <w:proofErr w:type="spellEnd"/>
      <w:r w:rsidRPr="00BA4D9B">
        <w:rPr>
          <w:sz w:val="22"/>
          <w:szCs w:val="22"/>
          <w:lang w:val="lt-LT"/>
        </w:rPr>
        <w:t xml:space="preserve"> vaistiniais preparatais, kuriais dažnai gydoma Alzheimerio liga (pvz., </w:t>
      </w:r>
      <w:proofErr w:type="spellStart"/>
      <w:r w:rsidRPr="00BA4D9B">
        <w:rPr>
          <w:sz w:val="22"/>
          <w:szCs w:val="22"/>
          <w:lang w:val="lt-LT"/>
        </w:rPr>
        <w:t>donepezilu</w:t>
      </w:r>
      <w:proofErr w:type="spellEnd"/>
      <w:r w:rsidRPr="00BA4D9B">
        <w:rPr>
          <w:sz w:val="22"/>
          <w:szCs w:val="22"/>
          <w:lang w:val="lt-LT"/>
        </w:rPr>
        <w:t xml:space="preserve">), gali trumpinti ir silpninti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sukeltą nervo raumens jungties blokadą.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b/>
          <w:sz w:val="22"/>
          <w:szCs w:val="22"/>
        </w:rPr>
      </w:pPr>
      <w:r w:rsidRPr="00BA4D9B">
        <w:rPr>
          <w:b/>
          <w:sz w:val="22"/>
          <w:szCs w:val="22"/>
        </w:rPr>
        <w:t>Vairavimas ir mechanizmų valdymas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Toks perspėjimas nėra aktualus vartojant </w:t>
      </w:r>
      <w:proofErr w:type="spellStart"/>
      <w:r w:rsidRPr="00BA4D9B">
        <w:rPr>
          <w:sz w:val="22"/>
          <w:szCs w:val="22"/>
          <w:lang w:val="lt-LT"/>
        </w:rPr>
        <w:t>atrakurį</w:t>
      </w:r>
      <w:proofErr w:type="spellEnd"/>
      <w:r w:rsidRPr="00BA4D9B">
        <w:rPr>
          <w:sz w:val="22"/>
          <w:szCs w:val="22"/>
          <w:lang w:val="lt-LT"/>
        </w:rPr>
        <w:t xml:space="preserve">.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visada vartojamas kartu su bendraisiais </w:t>
      </w:r>
      <w:proofErr w:type="spellStart"/>
      <w:r w:rsidRPr="00BA4D9B">
        <w:rPr>
          <w:sz w:val="22"/>
          <w:szCs w:val="22"/>
          <w:lang w:val="lt-LT"/>
        </w:rPr>
        <w:t>atestetikais</w:t>
      </w:r>
      <w:proofErr w:type="spellEnd"/>
      <w:r w:rsidRPr="00BA4D9B">
        <w:rPr>
          <w:sz w:val="22"/>
          <w:szCs w:val="22"/>
          <w:lang w:val="lt-LT"/>
        </w:rPr>
        <w:t>, todėl reikia laikytis visų su veikla susijusių atsargumo priemonių, kurios įprastai taikomos po bendrosios anestezijos.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3.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Kaip vartoti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galima leisti tik gerai kontroliuojamomis sąlygomis, prižiūrint patyrusiam gydytojui, gerai žinančiam, kaip vartoti raumenų </w:t>
      </w:r>
      <w:proofErr w:type="spellStart"/>
      <w:r w:rsidRPr="00BA4D9B">
        <w:rPr>
          <w:sz w:val="22"/>
          <w:szCs w:val="22"/>
        </w:rPr>
        <w:t>relaksantų</w:t>
      </w:r>
      <w:proofErr w:type="spellEnd"/>
      <w:r w:rsidRPr="00BA4D9B">
        <w:rPr>
          <w:sz w:val="22"/>
          <w:szCs w:val="22"/>
        </w:rPr>
        <w:t xml:space="preserve"> ir kaip jie veikia.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Tik gydytojas gali spręsti, kokią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dozę ir kiek laiko skirti Jūsų operacijos metu. Dozė priklauso nuo Jūsų kūno svorio, reikiamo raumenų atpalaidavimo ir trukmės, tikėtinos Jūsų reakcijos į vaistą ir jo vartojimo būdo (injekcija ar infuzija). Raumenų atpalaidavimo metu gydytojas stebės Jūsų nervo-raumens jungties funkciją, kad Jums būtų skiriama tinkama dozė.</w:t>
      </w:r>
    </w:p>
    <w:p w:rsidR="00F44017" w:rsidRPr="00BA4D9B" w:rsidRDefault="00F44017" w:rsidP="00F44017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F44017" w:rsidRPr="007A728D" w:rsidRDefault="00F44017" w:rsidP="00F44017">
      <w:pPr>
        <w:rPr>
          <w:b/>
          <w:sz w:val="22"/>
          <w:szCs w:val="22"/>
          <w:lang w:val="lt-LT"/>
        </w:rPr>
      </w:pPr>
      <w:r w:rsidRPr="007A728D">
        <w:rPr>
          <w:b/>
          <w:iCs/>
          <w:sz w:val="22"/>
          <w:szCs w:val="22"/>
          <w:lang w:val="lt-LT"/>
        </w:rPr>
        <w:t>Vartojimas vaikams</w:t>
      </w:r>
      <w:r w:rsidRPr="007A728D">
        <w:rPr>
          <w:b/>
          <w:sz w:val="22"/>
          <w:szCs w:val="22"/>
          <w:lang w:val="lt-LT"/>
        </w:rPr>
        <w:t xml:space="preserve"> 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Vyresniems kaip 1 mėn. vaikams dozuojama taip kaip suaugusiems žmonėms, atsižvelgiant į jų svorį.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7A728D" w:rsidRDefault="00F44017" w:rsidP="00F44017">
      <w:pPr>
        <w:rPr>
          <w:b/>
          <w:sz w:val="22"/>
          <w:szCs w:val="22"/>
          <w:lang w:val="lt-LT"/>
        </w:rPr>
      </w:pPr>
      <w:r w:rsidRPr="007A728D">
        <w:rPr>
          <w:b/>
          <w:sz w:val="22"/>
          <w:szCs w:val="22"/>
          <w:lang w:val="lt-LT"/>
        </w:rPr>
        <w:t>Vartojimas naujagimiams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nerekomenduojama skirti naujagimiams.</w:t>
      </w:r>
    </w:p>
    <w:p w:rsidR="00F44017" w:rsidRPr="00BA4D9B" w:rsidRDefault="00F44017" w:rsidP="00F44017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likučius būtina sunaikinti.</w:t>
      </w:r>
    </w:p>
    <w:p w:rsidR="00F44017" w:rsidRPr="00BA4D9B" w:rsidRDefault="00F44017" w:rsidP="00F44017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F44017" w:rsidRPr="00BA4D9B" w:rsidRDefault="00F44017" w:rsidP="00F44017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 xml:space="preserve">Ką daryti pavartojus per didelę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  <w:r w:rsidRPr="00BA4D9B">
        <w:rPr>
          <w:b/>
          <w:bCs/>
          <w:i w:val="0"/>
          <w:iCs w:val="0"/>
          <w:sz w:val="22"/>
          <w:szCs w:val="22"/>
        </w:rPr>
        <w:t xml:space="preserve"> dozę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injekcijos poveikis yra rūpestingai stebimas operacijos metu, o nenumatytu atveju, jeigu vaisto į Jūsų organizmą patektų per daug, nedelsiant būtų imamasi tinkamų priemonių.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4.</w:t>
      </w:r>
      <w:r w:rsidRPr="00BA4D9B">
        <w:rPr>
          <w:b/>
          <w:bCs/>
          <w:i w:val="0"/>
          <w:iCs w:val="0"/>
          <w:sz w:val="22"/>
          <w:szCs w:val="22"/>
        </w:rPr>
        <w:tab/>
        <w:t>Galimas šalutinis poveikis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Šis vaistas, kaip ir visi kiti, gali sukelti šalutinį poveikį, nors jis pasireiškia ne visiems žmonėms.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keepNext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 xml:space="preserve">Dažni šalutinio poveikio reiškiniai </w:t>
      </w:r>
      <w:r w:rsidRPr="00BA4D9B">
        <w:rPr>
          <w:sz w:val="22"/>
          <w:szCs w:val="22"/>
          <w:lang w:val="lt-LT"/>
        </w:rPr>
        <w:t xml:space="preserve">(gali pasireikšti </w:t>
      </w:r>
      <w:r w:rsidRPr="00BA4D9B">
        <w:rPr>
          <w:b/>
          <w:sz w:val="22"/>
          <w:szCs w:val="22"/>
          <w:lang w:val="lt-LT"/>
        </w:rPr>
        <w:t>rečiau kaip 1 iš 10</w:t>
      </w:r>
      <w:r w:rsidRPr="00BA4D9B">
        <w:rPr>
          <w:sz w:val="22"/>
          <w:szCs w:val="22"/>
          <w:lang w:val="lt-LT"/>
        </w:rPr>
        <w:t xml:space="preserve"> asmenų):</w:t>
      </w:r>
    </w:p>
    <w:p w:rsidR="00F44017" w:rsidRPr="00BA4D9B" w:rsidRDefault="00F44017" w:rsidP="00F44017">
      <w:pPr>
        <w:keepNext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sumažėjęs kraujospūdis ir odos paraudimas. 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Nedažni</w:t>
      </w:r>
      <w:r w:rsidRPr="00BA4D9B">
        <w:rPr>
          <w:sz w:val="22"/>
          <w:szCs w:val="22"/>
          <w:lang w:val="lt-LT"/>
        </w:rPr>
        <w:t xml:space="preserve"> </w:t>
      </w:r>
      <w:r w:rsidRPr="00BA4D9B">
        <w:rPr>
          <w:b/>
          <w:sz w:val="22"/>
          <w:szCs w:val="22"/>
          <w:lang w:val="lt-LT"/>
        </w:rPr>
        <w:t xml:space="preserve">šalutinio poveikio reiškiniai </w:t>
      </w:r>
      <w:r w:rsidRPr="00BA4D9B">
        <w:rPr>
          <w:sz w:val="22"/>
          <w:szCs w:val="22"/>
          <w:lang w:val="lt-LT"/>
        </w:rPr>
        <w:t xml:space="preserve">(gali pasireikšti </w:t>
      </w:r>
      <w:r w:rsidRPr="00BA4D9B">
        <w:rPr>
          <w:b/>
          <w:sz w:val="22"/>
          <w:szCs w:val="22"/>
          <w:lang w:val="lt-LT"/>
        </w:rPr>
        <w:t>rečiau kaip 1 iš 100</w:t>
      </w:r>
      <w:r w:rsidRPr="00BA4D9B">
        <w:rPr>
          <w:sz w:val="22"/>
          <w:szCs w:val="22"/>
          <w:lang w:val="lt-LT"/>
        </w:rPr>
        <w:t xml:space="preserve"> asmenų):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bronchų spazmas.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 xml:space="preserve">Reti šalutinio poveikio reiškiniai </w:t>
      </w:r>
      <w:r w:rsidRPr="00BA4D9B">
        <w:rPr>
          <w:sz w:val="22"/>
          <w:szCs w:val="22"/>
          <w:lang w:val="lt-LT"/>
        </w:rPr>
        <w:t xml:space="preserve">(gali pasireikšti </w:t>
      </w:r>
      <w:r w:rsidRPr="00BA4D9B">
        <w:rPr>
          <w:b/>
          <w:sz w:val="22"/>
          <w:szCs w:val="22"/>
          <w:lang w:val="lt-LT"/>
        </w:rPr>
        <w:t>rečiau kaip 1 iš 1 000</w:t>
      </w:r>
      <w:r w:rsidRPr="00BA4D9B">
        <w:rPr>
          <w:sz w:val="22"/>
          <w:szCs w:val="22"/>
          <w:lang w:val="lt-LT"/>
        </w:rPr>
        <w:t xml:space="preserve"> asmenų):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dilgėlinė.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 xml:space="preserve">Labai reti šalutinio poveikio reiškiniai </w:t>
      </w:r>
      <w:r w:rsidRPr="00BA4D9B">
        <w:rPr>
          <w:sz w:val="22"/>
          <w:szCs w:val="22"/>
          <w:lang w:val="lt-LT"/>
        </w:rPr>
        <w:t xml:space="preserve">(gali pasireikšti </w:t>
      </w:r>
      <w:r w:rsidRPr="00BA4D9B">
        <w:rPr>
          <w:b/>
          <w:sz w:val="22"/>
          <w:szCs w:val="22"/>
          <w:lang w:val="lt-LT"/>
        </w:rPr>
        <w:t>rečiau kaip 1 iš 10 000</w:t>
      </w:r>
      <w:r w:rsidRPr="00BA4D9B">
        <w:rPr>
          <w:sz w:val="22"/>
          <w:szCs w:val="22"/>
          <w:lang w:val="lt-LT"/>
        </w:rPr>
        <w:t xml:space="preserve"> asmenų): anafilaksinė reakcija, </w:t>
      </w:r>
      <w:proofErr w:type="spellStart"/>
      <w:r w:rsidRPr="00BA4D9B">
        <w:rPr>
          <w:sz w:val="22"/>
          <w:szCs w:val="22"/>
          <w:lang w:val="lt-LT"/>
        </w:rPr>
        <w:t>anafilaktoidinė</w:t>
      </w:r>
      <w:proofErr w:type="spellEnd"/>
      <w:r w:rsidRPr="00BA4D9B">
        <w:rPr>
          <w:sz w:val="22"/>
          <w:szCs w:val="22"/>
          <w:lang w:val="lt-LT"/>
        </w:rPr>
        <w:t xml:space="preserve"> reakcija, įskaitant anafilaksinį šoką, kraujotakos nepakankamumas ir širdies sustojimas. Pacientams, kuriems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buvo vartotas kartu su vienu ar daugiau anestetikų, labai retais atvejais pasireiškė sunkios </w:t>
      </w:r>
      <w:proofErr w:type="spellStart"/>
      <w:r w:rsidRPr="00BA4D9B">
        <w:rPr>
          <w:sz w:val="22"/>
          <w:szCs w:val="22"/>
          <w:lang w:val="lt-LT"/>
        </w:rPr>
        <w:t>anafilaktoidinės</w:t>
      </w:r>
      <w:proofErr w:type="spellEnd"/>
      <w:r w:rsidRPr="00BA4D9B">
        <w:rPr>
          <w:sz w:val="22"/>
          <w:szCs w:val="22"/>
          <w:lang w:val="lt-LT"/>
        </w:rPr>
        <w:t xml:space="preserve"> ar anafilaksinės reakcijos</w:t>
      </w:r>
      <w:r>
        <w:rPr>
          <w:sz w:val="22"/>
          <w:szCs w:val="22"/>
          <w:lang w:val="lt-LT"/>
        </w:rPr>
        <w:t>,</w:t>
      </w:r>
      <w:r w:rsidRPr="00BA4D9B">
        <w:rPr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įskaitant anafilaksinį šoką.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 xml:space="preserve">Kitas šalutinis poveikis </w:t>
      </w:r>
      <w:r w:rsidRPr="00BA4D9B">
        <w:rPr>
          <w:sz w:val="22"/>
          <w:szCs w:val="22"/>
          <w:lang w:val="lt-LT"/>
        </w:rPr>
        <w:t xml:space="preserve">(mažai daliai žmonių pasireiškė kitas šalutinis poveikis, bet tikslus tokio poveikio dažnis nežinomas): </w:t>
      </w:r>
      <w:proofErr w:type="spellStart"/>
      <w:r w:rsidRPr="00BA4D9B">
        <w:rPr>
          <w:sz w:val="22"/>
          <w:szCs w:val="22"/>
          <w:lang w:val="lt-LT"/>
        </w:rPr>
        <w:t>miopatija</w:t>
      </w:r>
      <w:proofErr w:type="spellEnd"/>
      <w:r w:rsidRPr="00BA4D9B">
        <w:rPr>
          <w:sz w:val="22"/>
          <w:szCs w:val="22"/>
          <w:lang w:val="lt-LT"/>
        </w:rPr>
        <w:t xml:space="preserve">, raumenų silpnumas. 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Gauta pranešimų apie raumenų silpnumą ir (arba) </w:t>
      </w:r>
      <w:proofErr w:type="spellStart"/>
      <w:r w:rsidRPr="00BA4D9B">
        <w:rPr>
          <w:sz w:val="22"/>
          <w:szCs w:val="22"/>
          <w:lang w:val="lt-LT"/>
        </w:rPr>
        <w:t>miopatiją</w:t>
      </w:r>
      <w:proofErr w:type="spellEnd"/>
      <w:r w:rsidRPr="00BA4D9B">
        <w:rPr>
          <w:sz w:val="22"/>
          <w:szCs w:val="22"/>
          <w:lang w:val="lt-LT"/>
        </w:rPr>
        <w:t xml:space="preserve"> po ilgalaikio raumenis atpalaiduojančių vaistinių preparatų vartojimo įvairiomis ligomis sergantiems pacientams, gydytiems intensyvios terapijos skyriuje. Daugumai pacientų kartu buvo vartoti kortikosteroidai. Šie reiškiniai vartojant </w:t>
      </w:r>
      <w:proofErr w:type="spellStart"/>
      <w:r w:rsidRPr="00BA4D9B">
        <w:rPr>
          <w:sz w:val="22"/>
          <w:szCs w:val="22"/>
          <w:lang w:val="lt-LT"/>
        </w:rPr>
        <w:t>atrakurį</w:t>
      </w:r>
      <w:proofErr w:type="spellEnd"/>
      <w:r w:rsidRPr="00BA4D9B">
        <w:rPr>
          <w:sz w:val="22"/>
          <w:szCs w:val="22"/>
          <w:lang w:val="lt-LT"/>
        </w:rPr>
        <w:t xml:space="preserve"> pasireiškė nedažnai ir priežastinis ryšys nenustatytas.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Gauta pranešimų apie priepuolius intensyvios terapijos skyriuje gydytiems pacientams, kuriems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buvo </w:t>
      </w:r>
      <w:r>
        <w:rPr>
          <w:sz w:val="22"/>
          <w:szCs w:val="22"/>
          <w:lang w:val="lt-LT"/>
        </w:rPr>
        <w:t>skiriamas</w:t>
      </w:r>
      <w:r w:rsidRPr="00BA4D9B">
        <w:rPr>
          <w:sz w:val="22"/>
          <w:szCs w:val="22"/>
          <w:lang w:val="lt-LT"/>
        </w:rPr>
        <w:t xml:space="preserve"> kartu su įvairiais kitais vaistiniais preparatais. Šiems pacientams paprastai buvo viena arba keletas kitų medicininių būklių, skatinančių priepuolių atsiradimą (pvz.: galvos trauma, smegenų edema (pabrinkimas), virusinis encefalitas (smegenų uždegimas), </w:t>
      </w:r>
      <w:proofErr w:type="spellStart"/>
      <w:r w:rsidRPr="00BA4D9B">
        <w:rPr>
          <w:sz w:val="22"/>
          <w:szCs w:val="22"/>
          <w:lang w:val="lt-LT"/>
        </w:rPr>
        <w:t>hipoksinė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encefalopatija</w:t>
      </w:r>
      <w:proofErr w:type="spellEnd"/>
      <w:r w:rsidRPr="00BA4D9B">
        <w:rPr>
          <w:sz w:val="22"/>
          <w:szCs w:val="22"/>
          <w:lang w:val="lt-LT"/>
        </w:rPr>
        <w:t xml:space="preserve">, uremija (pernelyg padidėjęs šlapalo kiekis kraujyje)). Priežastinis ryšys su </w:t>
      </w:r>
      <w:proofErr w:type="spellStart"/>
      <w:r w:rsidRPr="00BA4D9B">
        <w:rPr>
          <w:sz w:val="22"/>
          <w:szCs w:val="22"/>
          <w:lang w:val="lt-LT"/>
        </w:rPr>
        <w:t>laudanozinu</w:t>
      </w:r>
      <w:proofErr w:type="spellEnd"/>
      <w:r w:rsidRPr="00BA4D9B">
        <w:rPr>
          <w:sz w:val="22"/>
          <w:szCs w:val="22"/>
          <w:lang w:val="lt-LT"/>
        </w:rPr>
        <w:t xml:space="preserve"> nenustatytas. Klinikinių tyrimų duomenimis, </w:t>
      </w:r>
      <w:proofErr w:type="spellStart"/>
      <w:r w:rsidRPr="00BA4D9B">
        <w:rPr>
          <w:sz w:val="22"/>
          <w:szCs w:val="22"/>
          <w:lang w:val="lt-LT"/>
        </w:rPr>
        <w:t>laudanozino</w:t>
      </w:r>
      <w:proofErr w:type="spellEnd"/>
      <w:r w:rsidRPr="00BA4D9B">
        <w:rPr>
          <w:sz w:val="22"/>
          <w:szCs w:val="22"/>
          <w:lang w:val="lt-LT"/>
        </w:rPr>
        <w:t xml:space="preserve"> koncentracijos plazmoje ryšys su priepuoliais nenustatytas.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r w:rsidRPr="00BA4D9B">
        <w:rPr>
          <w:b/>
          <w:sz w:val="22"/>
          <w:szCs w:val="22"/>
        </w:rPr>
        <w:t>Pranešimas apie šalutinį poveikį</w:t>
      </w:r>
    </w:p>
    <w:p w:rsidR="00F44017" w:rsidRPr="00BA4D9B" w:rsidRDefault="00F44017" w:rsidP="00F44017">
      <w:pPr>
        <w:ind w:right="-2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BA4D9B">
        <w:rPr>
          <w:sz w:val="22"/>
          <w:szCs w:val="22"/>
          <w:lang w:val="lt-LT"/>
        </w:rPr>
        <w:t>NepageidaujamaR@vvkt.lt</w:t>
      </w:r>
      <w:proofErr w:type="spellEnd"/>
      <w:r w:rsidRPr="00BA4D9B">
        <w:rPr>
          <w:sz w:val="22"/>
          <w:szCs w:val="22"/>
          <w:lang w:val="lt-LT"/>
        </w:rPr>
        <w:t xml:space="preserve">) arba nemokamu telefonu 8 800 73 568. Pranešdami apie šalutinį poveikį galite mums padėti gauti daugiau informacijos apie šio vaisto saugumą. 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5.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Kaip laikyti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Šį vaistą laikykite vaikams nepastebimoje ir nepasiekiamoje vietoje.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Laikyti 2 </w:t>
      </w:r>
      <w:r w:rsidRPr="00BA4D9B">
        <w:rPr>
          <w:sz w:val="22"/>
          <w:szCs w:val="22"/>
        </w:rPr>
        <w:sym w:font="Symbol" w:char="F0B0"/>
      </w:r>
      <w:r w:rsidRPr="00BA4D9B">
        <w:rPr>
          <w:sz w:val="22"/>
          <w:szCs w:val="22"/>
        </w:rPr>
        <w:t>C – 8 </w:t>
      </w:r>
      <w:r w:rsidRPr="00BA4D9B">
        <w:rPr>
          <w:sz w:val="22"/>
          <w:szCs w:val="22"/>
        </w:rPr>
        <w:sym w:font="Symbol" w:char="F0B0"/>
      </w:r>
      <w:r w:rsidRPr="00BA4D9B">
        <w:rPr>
          <w:sz w:val="22"/>
          <w:szCs w:val="22"/>
        </w:rPr>
        <w:t>C temperatūroje (šaldytuve). Negalima užšaldyti.</w:t>
      </w:r>
    </w:p>
    <w:p w:rsidR="00F44017" w:rsidRPr="00BA4D9B" w:rsidRDefault="00F44017" w:rsidP="00F44017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Laikyti gamintojo pakuotėje, kad vaistas būtų apsaugotas nuo šviesos.</w:t>
      </w:r>
    </w:p>
    <w:p w:rsidR="00F44017" w:rsidRPr="00BA4D9B" w:rsidRDefault="00F44017" w:rsidP="00F44017">
      <w:pPr>
        <w:jc w:val="both"/>
        <w:rPr>
          <w:sz w:val="22"/>
          <w:szCs w:val="22"/>
          <w:lang w:val="lt-LT"/>
        </w:rPr>
      </w:pPr>
    </w:p>
    <w:p w:rsidR="00F44017" w:rsidRPr="00BA4D9B" w:rsidRDefault="00F44017" w:rsidP="00F44017">
      <w:pPr>
        <w:tabs>
          <w:tab w:val="left" w:pos="567"/>
        </w:tabs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Atskiestas tirpalas: mikrobiologiniu požiūriu, ištirpinus ir praskiedus, tirpalą reikia vartoti nedelsiant. Jeigu jis tuoj pat nevartojamas, už laikymo sąlygas ir trukmę prieš vartojimą yra atsakingas vartotojas. 2 °C </w:t>
      </w:r>
      <w:r>
        <w:rPr>
          <w:sz w:val="22"/>
          <w:szCs w:val="22"/>
          <w:lang w:val="lt-LT"/>
        </w:rPr>
        <w:t>–</w:t>
      </w:r>
      <w:r w:rsidRPr="00BA4D9B">
        <w:rPr>
          <w:sz w:val="22"/>
          <w:szCs w:val="22"/>
          <w:lang w:val="lt-LT"/>
        </w:rPr>
        <w:t xml:space="preserve"> 8 °C) temperatūroje paruoštą tirpalą galima laikyti ne ilgiau kaip 24 valandas, išskyrus atvejus, jeigu tirpinimas (ir skiedimas, jei reikia) buvo atliktas kontroliuojamomis ir </w:t>
      </w:r>
      <w:proofErr w:type="spellStart"/>
      <w:r w:rsidRPr="00BA4D9B">
        <w:rPr>
          <w:sz w:val="22"/>
          <w:szCs w:val="22"/>
          <w:lang w:val="lt-LT"/>
        </w:rPr>
        <w:t>validuotomis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aseptinėmis</w:t>
      </w:r>
      <w:proofErr w:type="spellEnd"/>
      <w:r w:rsidRPr="00BA4D9B">
        <w:rPr>
          <w:sz w:val="22"/>
          <w:szCs w:val="22"/>
          <w:lang w:val="lt-LT"/>
        </w:rPr>
        <w:t xml:space="preserve"> sąlygomis.</w:t>
      </w: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Ant dėžutės ir ampulės etiketės po „EXP“ nurodytam tinkamumo laikui pasibaigus, šio vaisto vartoti negalima.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Vaistų negalima išmesti į kanalizaciją arba su buitinėmis atliekomis. 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Kaip išmesti nereikalingus vaistus, klauskite vaistininko. Šios priemonės padės apsaugoti aplinką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6.</w:t>
      </w:r>
      <w:r w:rsidRPr="00BA4D9B">
        <w:rPr>
          <w:b/>
          <w:bCs/>
          <w:i w:val="0"/>
          <w:iCs w:val="0"/>
          <w:sz w:val="22"/>
          <w:szCs w:val="22"/>
        </w:rPr>
        <w:tab/>
        <w:t>Pakuotės turinys ir kita informacija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</w:p>
    <w:p w:rsidR="00F44017" w:rsidRPr="00BA4D9B" w:rsidRDefault="00F44017" w:rsidP="00F44017">
      <w:pPr>
        <w:pStyle w:val="Pagrindinistekstas"/>
        <w:rPr>
          <w:sz w:val="22"/>
          <w:szCs w:val="22"/>
        </w:rPr>
      </w:pPr>
      <w:proofErr w:type="spellStart"/>
      <w:r w:rsidRPr="00BA4D9B">
        <w:rPr>
          <w:b/>
          <w:sz w:val="22"/>
          <w:szCs w:val="22"/>
        </w:rPr>
        <w:t>Tracrium</w:t>
      </w:r>
      <w:proofErr w:type="spellEnd"/>
      <w:r w:rsidRPr="00BA4D9B">
        <w:rPr>
          <w:b/>
          <w:sz w:val="22"/>
          <w:szCs w:val="22"/>
        </w:rPr>
        <w:t xml:space="preserve"> sudėtis</w:t>
      </w:r>
    </w:p>
    <w:p w:rsidR="00F44017" w:rsidRPr="00BA4D9B" w:rsidRDefault="00F44017" w:rsidP="00F44017">
      <w:pPr>
        <w:pStyle w:val="Pagrindinistekstas"/>
        <w:tabs>
          <w:tab w:val="left" w:pos="567"/>
        </w:tabs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Veiklioji medžiaga yra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besilatas</w:t>
      </w:r>
      <w:proofErr w:type="spellEnd"/>
      <w:r w:rsidRPr="00BA4D9B">
        <w:rPr>
          <w:sz w:val="22"/>
          <w:szCs w:val="22"/>
        </w:rPr>
        <w:t xml:space="preserve">. Viename ml yra 10 mg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besilato</w:t>
      </w:r>
      <w:proofErr w:type="spellEnd"/>
      <w:r w:rsidRPr="00BA4D9B">
        <w:rPr>
          <w:sz w:val="22"/>
          <w:szCs w:val="22"/>
        </w:rPr>
        <w:t>.</w:t>
      </w:r>
    </w:p>
    <w:p w:rsidR="00F44017" w:rsidRPr="00BA4D9B" w:rsidRDefault="00F44017" w:rsidP="00F44017">
      <w:pPr>
        <w:pStyle w:val="Pagrindinistekstas"/>
        <w:tabs>
          <w:tab w:val="left" w:pos="567"/>
        </w:tabs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Pagalbinės medžiagos yra </w:t>
      </w:r>
      <w:proofErr w:type="spellStart"/>
      <w:r w:rsidRPr="00BA4D9B">
        <w:rPr>
          <w:sz w:val="22"/>
          <w:szCs w:val="22"/>
        </w:rPr>
        <w:t>benzensulfonrūgštis</w:t>
      </w:r>
      <w:proofErr w:type="spellEnd"/>
      <w:r w:rsidRPr="00BA4D9B">
        <w:rPr>
          <w:sz w:val="22"/>
          <w:szCs w:val="22"/>
        </w:rPr>
        <w:t xml:space="preserve"> ir injekcinis vanduo.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b/>
          <w:sz w:val="22"/>
          <w:szCs w:val="22"/>
          <w:lang w:val="lt-LT"/>
        </w:rPr>
        <w:t>Tracrium</w:t>
      </w:r>
      <w:proofErr w:type="spellEnd"/>
      <w:r w:rsidRPr="00BA4D9B">
        <w:rPr>
          <w:b/>
          <w:sz w:val="22"/>
          <w:szCs w:val="22"/>
          <w:lang w:val="lt-LT"/>
        </w:rPr>
        <w:t xml:space="preserve"> išvaizda ir kiekis pakuotėje 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513ECF">
        <w:rPr>
          <w:sz w:val="22"/>
          <w:szCs w:val="22"/>
          <w:lang w:val="lt-LT"/>
        </w:rPr>
        <w:t xml:space="preserve">Skaidrus, bespalvis ar šiek tiek gelsvas tirpalas, kuriame praktiškai nėra dalelių. </w:t>
      </w:r>
      <w:r w:rsidRPr="00BA4D9B">
        <w:rPr>
          <w:sz w:val="22"/>
          <w:szCs w:val="22"/>
          <w:lang w:val="lt-LT"/>
        </w:rPr>
        <w:t>Pakuotėje yra penkios 2,5 ml ampulės arba penkios 5 ml ampulės.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Gali būti tiekiamos ne visų dydžių pakuotės.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Registruotojas ir gamintojas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Registruotojas</w:t>
      </w:r>
    </w:p>
    <w:p w:rsidR="00F44017" w:rsidRPr="00BA4D9B" w:rsidRDefault="00F44017" w:rsidP="00F44017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Aspen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Pharma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Trading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Limited</w:t>
      </w:r>
      <w:proofErr w:type="spellEnd"/>
    </w:p>
    <w:p w:rsidR="00F44017" w:rsidRPr="00BA4D9B" w:rsidRDefault="00F44017" w:rsidP="00F44017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3016 Lake </w:t>
      </w:r>
      <w:proofErr w:type="spellStart"/>
      <w:r w:rsidRPr="00BA4D9B">
        <w:rPr>
          <w:sz w:val="22"/>
          <w:szCs w:val="22"/>
          <w:lang w:val="lt-LT"/>
        </w:rPr>
        <w:t>Drive</w:t>
      </w:r>
      <w:proofErr w:type="spellEnd"/>
    </w:p>
    <w:p w:rsidR="00F44017" w:rsidRPr="00BA4D9B" w:rsidRDefault="00F44017" w:rsidP="00F44017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Citywest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Business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Campus</w:t>
      </w:r>
      <w:proofErr w:type="spellEnd"/>
    </w:p>
    <w:p w:rsidR="00F44017" w:rsidRPr="00BA4D9B" w:rsidRDefault="00F44017" w:rsidP="00F44017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Dublin 24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Airija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Tel. +370 5 214 0291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Gamintojas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GlaxoSmithKline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Manufacturing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S.p.A</w:t>
      </w:r>
      <w:proofErr w:type="spellEnd"/>
      <w:r w:rsidRPr="00BA4D9B">
        <w:rPr>
          <w:sz w:val="22"/>
          <w:szCs w:val="22"/>
          <w:lang w:val="lt-LT"/>
        </w:rPr>
        <w:t>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Strada</w:t>
      </w:r>
      <w:proofErr w:type="spellEnd"/>
      <w:r w:rsidRPr="00BA4D9B">
        <w:rPr>
          <w:sz w:val="22"/>
          <w:szCs w:val="22"/>
          <w:lang w:val="lt-LT"/>
        </w:rPr>
        <w:t xml:space="preserve"> Provinciale </w:t>
      </w:r>
      <w:proofErr w:type="spellStart"/>
      <w:r w:rsidRPr="00BA4D9B">
        <w:rPr>
          <w:sz w:val="22"/>
          <w:szCs w:val="22"/>
          <w:lang w:val="lt-LT"/>
        </w:rPr>
        <w:t>Asolana</w:t>
      </w:r>
      <w:proofErr w:type="spellEnd"/>
      <w:r w:rsidRPr="00BA4D9B">
        <w:rPr>
          <w:sz w:val="22"/>
          <w:szCs w:val="22"/>
          <w:lang w:val="lt-LT"/>
        </w:rPr>
        <w:t>, 90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43056 San Polo di </w:t>
      </w:r>
      <w:proofErr w:type="spellStart"/>
      <w:r w:rsidRPr="00BA4D9B">
        <w:rPr>
          <w:sz w:val="22"/>
          <w:szCs w:val="22"/>
          <w:lang w:val="lt-LT"/>
        </w:rPr>
        <w:t>Torrile</w:t>
      </w:r>
      <w:proofErr w:type="spellEnd"/>
    </w:p>
    <w:p w:rsidR="00F44017" w:rsidRPr="00BA4D9B" w:rsidRDefault="00F44017" w:rsidP="00F44017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Parma, Italija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</w:p>
    <w:p w:rsidR="00F44017" w:rsidRPr="007A728D" w:rsidRDefault="00F44017" w:rsidP="00F44017">
      <w:pPr>
        <w:rPr>
          <w:sz w:val="22"/>
          <w:szCs w:val="22"/>
          <w:highlight w:val="lightGray"/>
          <w:lang w:val="lt-LT"/>
        </w:rPr>
      </w:pPr>
      <w:r w:rsidRPr="007A728D">
        <w:rPr>
          <w:sz w:val="22"/>
          <w:szCs w:val="22"/>
          <w:highlight w:val="lightGray"/>
          <w:lang w:val="lt-LT"/>
        </w:rPr>
        <w:t>arba</w:t>
      </w:r>
    </w:p>
    <w:p w:rsidR="00F44017" w:rsidRPr="007A728D" w:rsidRDefault="00F44017" w:rsidP="00F44017">
      <w:pPr>
        <w:rPr>
          <w:sz w:val="22"/>
          <w:szCs w:val="22"/>
          <w:highlight w:val="lightGray"/>
          <w:lang w:val="lt-LT"/>
        </w:rPr>
      </w:pPr>
    </w:p>
    <w:p w:rsidR="00F44017" w:rsidRPr="007A728D" w:rsidRDefault="00F44017" w:rsidP="00F44017">
      <w:pPr>
        <w:pStyle w:val="BTEMEASMCA"/>
        <w:rPr>
          <w:highlight w:val="lightGray"/>
        </w:rPr>
      </w:pPr>
      <w:proofErr w:type="spellStart"/>
      <w:r w:rsidRPr="007A728D">
        <w:rPr>
          <w:highlight w:val="lightGray"/>
        </w:rPr>
        <w:t>Aspen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Pharma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Ireland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Limited</w:t>
      </w:r>
      <w:proofErr w:type="spellEnd"/>
    </w:p>
    <w:p w:rsidR="00F44017" w:rsidRPr="007A728D" w:rsidRDefault="00F44017" w:rsidP="00F44017">
      <w:pPr>
        <w:pStyle w:val="BTEMEASMCA"/>
        <w:rPr>
          <w:highlight w:val="lightGray"/>
        </w:rPr>
      </w:pPr>
      <w:r w:rsidRPr="007A728D">
        <w:rPr>
          <w:highlight w:val="lightGray"/>
        </w:rPr>
        <w:t xml:space="preserve">3016 Lake </w:t>
      </w:r>
      <w:proofErr w:type="spellStart"/>
      <w:r w:rsidRPr="007A728D">
        <w:rPr>
          <w:highlight w:val="lightGray"/>
        </w:rPr>
        <w:t>Drive</w:t>
      </w:r>
      <w:proofErr w:type="spellEnd"/>
      <w:r w:rsidRPr="007A728D">
        <w:rPr>
          <w:highlight w:val="lightGray"/>
        </w:rPr>
        <w:t xml:space="preserve">, </w:t>
      </w:r>
      <w:proofErr w:type="spellStart"/>
      <w:r w:rsidRPr="007A728D">
        <w:rPr>
          <w:highlight w:val="lightGray"/>
        </w:rPr>
        <w:t>Citywest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Business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Campus</w:t>
      </w:r>
      <w:proofErr w:type="spellEnd"/>
    </w:p>
    <w:p w:rsidR="00F44017" w:rsidRPr="007A728D" w:rsidRDefault="00F44017" w:rsidP="00F44017">
      <w:pPr>
        <w:pStyle w:val="BTEMEASMCA"/>
        <w:rPr>
          <w:highlight w:val="lightGray"/>
        </w:rPr>
      </w:pPr>
      <w:r w:rsidRPr="007A728D">
        <w:rPr>
          <w:highlight w:val="lightGray"/>
        </w:rPr>
        <w:t>Dublin 24</w:t>
      </w:r>
    </w:p>
    <w:p w:rsidR="00F44017" w:rsidRPr="007A728D" w:rsidRDefault="00F44017" w:rsidP="00F44017">
      <w:pPr>
        <w:pStyle w:val="BTEMEASMCA"/>
        <w:rPr>
          <w:highlight w:val="lightGray"/>
        </w:rPr>
      </w:pPr>
      <w:r w:rsidRPr="007A728D">
        <w:rPr>
          <w:highlight w:val="lightGray"/>
        </w:rPr>
        <w:t>Airija</w:t>
      </w:r>
    </w:p>
    <w:p w:rsidR="00F44017" w:rsidRPr="007A728D" w:rsidRDefault="00F44017" w:rsidP="00F44017">
      <w:pPr>
        <w:pStyle w:val="Pagrindinistekstas"/>
        <w:jc w:val="left"/>
        <w:rPr>
          <w:sz w:val="22"/>
          <w:szCs w:val="22"/>
          <w:highlight w:val="lightGray"/>
        </w:rPr>
      </w:pPr>
    </w:p>
    <w:p w:rsidR="00F44017" w:rsidRPr="007A728D" w:rsidRDefault="00F44017" w:rsidP="00F44017">
      <w:pPr>
        <w:pStyle w:val="Pagrindinistekstas"/>
        <w:jc w:val="left"/>
        <w:rPr>
          <w:sz w:val="22"/>
          <w:szCs w:val="22"/>
          <w:highlight w:val="lightGray"/>
        </w:rPr>
      </w:pPr>
      <w:r w:rsidRPr="007A728D">
        <w:rPr>
          <w:sz w:val="22"/>
          <w:szCs w:val="22"/>
          <w:highlight w:val="lightGray"/>
        </w:rPr>
        <w:t>arba</w:t>
      </w:r>
    </w:p>
    <w:p w:rsidR="00F44017" w:rsidRPr="007A728D" w:rsidRDefault="00F44017" w:rsidP="00F44017">
      <w:pPr>
        <w:pStyle w:val="Pagrindinistekstas"/>
        <w:jc w:val="left"/>
        <w:rPr>
          <w:sz w:val="22"/>
          <w:szCs w:val="22"/>
          <w:highlight w:val="lightGray"/>
        </w:rPr>
      </w:pPr>
    </w:p>
    <w:p w:rsidR="00F44017" w:rsidRPr="007A728D" w:rsidRDefault="00F44017" w:rsidP="00F44017">
      <w:pPr>
        <w:pStyle w:val="Pagrindinistekstas"/>
        <w:rPr>
          <w:sz w:val="22"/>
          <w:szCs w:val="22"/>
          <w:highlight w:val="lightGray"/>
        </w:rPr>
      </w:pPr>
      <w:proofErr w:type="spellStart"/>
      <w:r w:rsidRPr="007A728D">
        <w:rPr>
          <w:sz w:val="22"/>
          <w:szCs w:val="22"/>
          <w:highlight w:val="lightGray"/>
        </w:rPr>
        <w:t>Aspen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Bad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Oldesloe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GmbH</w:t>
      </w:r>
      <w:proofErr w:type="spellEnd"/>
      <w:r w:rsidRPr="007A728D">
        <w:rPr>
          <w:sz w:val="22"/>
          <w:szCs w:val="22"/>
          <w:highlight w:val="lightGray"/>
        </w:rPr>
        <w:t>,</w:t>
      </w:r>
    </w:p>
    <w:p w:rsidR="00F44017" w:rsidRPr="007A728D" w:rsidRDefault="00F44017" w:rsidP="00F44017">
      <w:pPr>
        <w:pStyle w:val="Pagrindinistekstas"/>
        <w:rPr>
          <w:sz w:val="22"/>
          <w:szCs w:val="22"/>
          <w:highlight w:val="lightGray"/>
        </w:rPr>
      </w:pPr>
      <w:proofErr w:type="spellStart"/>
      <w:r w:rsidRPr="007A728D">
        <w:rPr>
          <w:sz w:val="22"/>
          <w:szCs w:val="22"/>
          <w:highlight w:val="lightGray"/>
        </w:rPr>
        <w:t>Industriestrasse</w:t>
      </w:r>
      <w:proofErr w:type="spellEnd"/>
      <w:r w:rsidRPr="007A728D">
        <w:rPr>
          <w:sz w:val="22"/>
          <w:szCs w:val="22"/>
          <w:highlight w:val="lightGray"/>
        </w:rPr>
        <w:t xml:space="preserve"> 32-36,</w:t>
      </w:r>
    </w:p>
    <w:p w:rsidR="00F44017" w:rsidRPr="007A728D" w:rsidRDefault="00F44017" w:rsidP="00F44017">
      <w:pPr>
        <w:pStyle w:val="Pagrindinistekstas"/>
        <w:rPr>
          <w:sz w:val="22"/>
          <w:szCs w:val="22"/>
          <w:highlight w:val="lightGray"/>
        </w:rPr>
      </w:pPr>
      <w:r w:rsidRPr="007A728D">
        <w:rPr>
          <w:sz w:val="22"/>
          <w:szCs w:val="22"/>
          <w:highlight w:val="lightGray"/>
        </w:rPr>
        <w:t xml:space="preserve">23843 </w:t>
      </w:r>
      <w:proofErr w:type="spellStart"/>
      <w:r w:rsidRPr="007A728D">
        <w:rPr>
          <w:sz w:val="22"/>
          <w:szCs w:val="22"/>
          <w:highlight w:val="lightGray"/>
        </w:rPr>
        <w:t>Bad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Oldesloe</w:t>
      </w:r>
      <w:proofErr w:type="spellEnd"/>
      <w:r w:rsidRPr="007A728D">
        <w:rPr>
          <w:sz w:val="22"/>
          <w:szCs w:val="22"/>
          <w:highlight w:val="lightGray"/>
        </w:rPr>
        <w:t>,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  <w:r w:rsidRPr="007A728D">
        <w:rPr>
          <w:sz w:val="22"/>
          <w:szCs w:val="22"/>
          <w:highlight w:val="lightGray"/>
        </w:rPr>
        <w:t>Vokietija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</w:p>
    <w:p w:rsidR="00F44017" w:rsidRPr="00BA4D9B" w:rsidRDefault="00F44017" w:rsidP="00F44017">
      <w:pPr>
        <w:pStyle w:val="BTbEMEASMCA"/>
      </w:pPr>
      <w:r w:rsidRPr="00BA4D9B">
        <w:rPr>
          <w:bCs/>
        </w:rPr>
        <w:t>Šis pakuotės lapelis</w:t>
      </w:r>
      <w:r w:rsidRPr="00BA4D9B">
        <w:t xml:space="preserve"> paskutinį kartą peržiūrėtas </w:t>
      </w:r>
      <w:r>
        <w:t>2023-11-22.</w:t>
      </w: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A4D9B">
        <w:rPr>
          <w:i/>
          <w:sz w:val="22"/>
          <w:szCs w:val="22"/>
          <w:lang w:val="lt-LT"/>
        </w:rPr>
        <w:t xml:space="preserve"> </w:t>
      </w:r>
      <w:hyperlink r:id="rId5" w:history="1">
        <w:r w:rsidRPr="00BA4D9B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BA4D9B">
        <w:rPr>
          <w:sz w:val="22"/>
          <w:szCs w:val="22"/>
          <w:lang w:val="lt-LT"/>
        </w:rPr>
        <w:t>.</w:t>
      </w:r>
    </w:p>
    <w:p w:rsidR="00F44017" w:rsidRPr="00BA4D9B" w:rsidRDefault="00F44017" w:rsidP="00F44017">
      <w:pPr>
        <w:pStyle w:val="Pagrindinistekstas"/>
        <w:jc w:val="left"/>
        <w:rPr>
          <w:sz w:val="22"/>
          <w:szCs w:val="22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jc w:val="both"/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F44017" w:rsidRPr="00BA4D9B" w:rsidRDefault="00F44017" w:rsidP="00F44017">
      <w:pPr>
        <w:rPr>
          <w:sz w:val="22"/>
          <w:szCs w:val="22"/>
          <w:lang w:val="lt-LT"/>
        </w:rPr>
      </w:pPr>
    </w:p>
    <w:p w:rsidR="009041DB" w:rsidRDefault="009041DB">
      <w:bookmarkStart w:id="0" w:name="_GoBack"/>
      <w:bookmarkEnd w:id="0"/>
    </w:p>
    <w:sectPr w:rsidR="009041DB" w:rsidSect="00AC23C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EE1"/>
    <w:multiLevelType w:val="hybridMultilevel"/>
    <w:tmpl w:val="F1C0D52E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72B31"/>
    <w:multiLevelType w:val="hybridMultilevel"/>
    <w:tmpl w:val="840EA5F4"/>
    <w:lvl w:ilvl="0" w:tplc="D4A6696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17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D71372"/>
    <w:rsid w:val="00D9054B"/>
    <w:rsid w:val="00D95EFF"/>
    <w:rsid w:val="00EE3634"/>
    <w:rsid w:val="00F4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8987-22A4-4DF5-B9E6-2F63953C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017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F44017"/>
    <w:pPr>
      <w:keepNext/>
      <w:outlineLvl w:val="1"/>
    </w:pPr>
    <w:rPr>
      <w:i/>
      <w:i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F44017"/>
    <w:pPr>
      <w:keepNext/>
      <w:ind w:left="567" w:hanging="567"/>
      <w:outlineLvl w:val="2"/>
    </w:pPr>
    <w:rPr>
      <w:i/>
      <w:i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44017"/>
    <w:rPr>
      <w:rFonts w:ascii="Times New Roman" w:hAnsi="Times New Roman" w:cs="Times New Roman"/>
      <w:i/>
      <w:i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F44017"/>
    <w:rPr>
      <w:rFonts w:ascii="Times New Roman" w:hAnsi="Times New Roman" w:cs="Times New Roman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F44017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44017"/>
    <w:rPr>
      <w:rFonts w:ascii="Times New Roman" w:hAnsi="Times New Roman" w:cs="Times New Roman"/>
      <w:sz w:val="24"/>
      <w:szCs w:val="24"/>
    </w:rPr>
  </w:style>
  <w:style w:type="paragraph" w:customStyle="1" w:styleId="BTEMEASMCA">
    <w:name w:val="BT EMEA_SMCA"/>
    <w:basedOn w:val="prastasis"/>
    <w:autoRedefine/>
    <w:rsid w:val="00F44017"/>
    <w:rPr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F44017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F44017"/>
    <w:rPr>
      <w:b/>
    </w:rPr>
  </w:style>
  <w:style w:type="character" w:styleId="Hipersaitas">
    <w:name w:val="Hyperlink"/>
    <w:uiPriority w:val="99"/>
    <w:rsid w:val="00F44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6312</Words>
  <Characters>3598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</vt:i4>
      </vt:variant>
    </vt:vector>
  </HeadingPairs>
  <TitlesOfParts>
    <vt:vector size="11" baseType="lpstr">
      <vt:lpstr/>
      <vt:lpstr>    2.	Kas žinotina prieš vartojant Tracrium</vt:lpstr>
      <vt:lpstr>        Tracrium vartoti draudžiama:</vt:lpstr>
      <vt:lpstr>        Įspėjimai ir atsargumo priemonės:</vt:lpstr>
      <vt:lpstr>        Nėštumas, žindymo laikotarpis ir vaisingumas</vt:lpstr>
      <vt:lpstr>        Kiti vaistai ir Tracrium</vt:lpstr>
      <vt:lpstr>    3.	Kaip vartoti Tracrium</vt:lpstr>
      <vt:lpstr>        Ką daryti pavartojus per didelę Tracrium dozę</vt:lpstr>
      <vt:lpstr>    4.	Galimas šalutinis poveikis</vt:lpstr>
      <vt:lpstr>    5.	Kaip laikyti Tracrium</vt:lpstr>
      <vt:lpstr>    6.	Pakuotės turinys ir kita informacija</vt:lpstr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2023-11-22T13:31:00Z</dcterms:created>
  <dcterms:modified xsi:type="dcterms:W3CDTF">2023-11-22T13:32:00Z</dcterms:modified>
</cp:coreProperties>
</file>