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612F5" w14:textId="77777777" w:rsidR="000C6DE6" w:rsidRPr="007B7B59" w:rsidRDefault="000C6DE6" w:rsidP="000C6DE6">
      <w:pPr>
        <w:ind w:left="567" w:hanging="567"/>
        <w:rPr>
          <w:szCs w:val="22"/>
        </w:rPr>
      </w:pPr>
    </w:p>
    <w:p w14:paraId="13321261" w14:textId="77777777" w:rsidR="000C6DE6" w:rsidRPr="007B7B59" w:rsidRDefault="000C6DE6" w:rsidP="000C6DE6">
      <w:pPr>
        <w:ind w:left="567" w:hanging="567"/>
        <w:rPr>
          <w:szCs w:val="22"/>
        </w:rPr>
      </w:pPr>
    </w:p>
    <w:p w14:paraId="02F7D0C2" w14:textId="77777777" w:rsidR="000C6DE6" w:rsidRPr="007B7B59" w:rsidRDefault="000C6DE6" w:rsidP="000C6DE6">
      <w:pPr>
        <w:ind w:left="567" w:hanging="567"/>
        <w:rPr>
          <w:szCs w:val="22"/>
        </w:rPr>
      </w:pPr>
    </w:p>
    <w:p w14:paraId="78105AD2" w14:textId="77777777" w:rsidR="000C6DE6" w:rsidRPr="007B7B59" w:rsidRDefault="000C6DE6" w:rsidP="000C6DE6">
      <w:pPr>
        <w:ind w:left="567" w:hanging="567"/>
        <w:rPr>
          <w:szCs w:val="22"/>
        </w:rPr>
      </w:pPr>
    </w:p>
    <w:p w14:paraId="26791AE9" w14:textId="77777777" w:rsidR="000C6DE6" w:rsidRPr="007B7B59" w:rsidRDefault="000C6DE6" w:rsidP="000C6DE6">
      <w:pPr>
        <w:ind w:left="567" w:hanging="567"/>
        <w:rPr>
          <w:szCs w:val="22"/>
        </w:rPr>
      </w:pPr>
    </w:p>
    <w:p w14:paraId="0F0A275A" w14:textId="77777777" w:rsidR="000C6DE6" w:rsidRPr="007B7B59" w:rsidRDefault="000C6DE6" w:rsidP="000C6DE6">
      <w:pPr>
        <w:ind w:left="567" w:hanging="567"/>
        <w:rPr>
          <w:szCs w:val="22"/>
        </w:rPr>
      </w:pPr>
    </w:p>
    <w:p w14:paraId="13945ED8" w14:textId="77777777" w:rsidR="000C6DE6" w:rsidRPr="007B7B59" w:rsidRDefault="000C6DE6" w:rsidP="000C6DE6">
      <w:pPr>
        <w:ind w:left="567" w:hanging="567"/>
        <w:rPr>
          <w:szCs w:val="22"/>
        </w:rPr>
      </w:pPr>
    </w:p>
    <w:p w14:paraId="3E075252" w14:textId="77777777" w:rsidR="000C6DE6" w:rsidRPr="007B7B59" w:rsidRDefault="000C6DE6" w:rsidP="000C6DE6">
      <w:pPr>
        <w:ind w:left="567" w:hanging="567"/>
        <w:rPr>
          <w:szCs w:val="22"/>
        </w:rPr>
      </w:pPr>
    </w:p>
    <w:p w14:paraId="39EDE310" w14:textId="77777777" w:rsidR="000C6DE6" w:rsidRPr="007B7B59" w:rsidRDefault="000C6DE6" w:rsidP="000C6DE6">
      <w:pPr>
        <w:ind w:left="567" w:hanging="567"/>
        <w:rPr>
          <w:szCs w:val="22"/>
        </w:rPr>
      </w:pPr>
    </w:p>
    <w:p w14:paraId="762CBD64" w14:textId="77777777" w:rsidR="000C6DE6" w:rsidRPr="007B7B59" w:rsidRDefault="000C6DE6" w:rsidP="000C6DE6">
      <w:pPr>
        <w:ind w:left="567" w:hanging="567"/>
        <w:rPr>
          <w:szCs w:val="22"/>
        </w:rPr>
      </w:pPr>
    </w:p>
    <w:p w14:paraId="2D6AAAB4" w14:textId="77777777" w:rsidR="000C6DE6" w:rsidRPr="007B7B59" w:rsidRDefault="000C6DE6" w:rsidP="000C6DE6">
      <w:pPr>
        <w:ind w:left="567" w:hanging="567"/>
        <w:rPr>
          <w:szCs w:val="22"/>
        </w:rPr>
      </w:pPr>
    </w:p>
    <w:p w14:paraId="70237B27" w14:textId="77777777" w:rsidR="000C6DE6" w:rsidRPr="007B7B59" w:rsidRDefault="000C6DE6" w:rsidP="000C6DE6">
      <w:pPr>
        <w:ind w:left="567" w:hanging="567"/>
        <w:rPr>
          <w:szCs w:val="22"/>
        </w:rPr>
      </w:pPr>
    </w:p>
    <w:p w14:paraId="1C38771D" w14:textId="77777777" w:rsidR="000C6DE6" w:rsidRPr="007B7B59" w:rsidRDefault="000C6DE6" w:rsidP="000C6DE6">
      <w:pPr>
        <w:ind w:left="567" w:hanging="567"/>
        <w:rPr>
          <w:szCs w:val="22"/>
        </w:rPr>
      </w:pPr>
    </w:p>
    <w:p w14:paraId="3D3E5566" w14:textId="77777777" w:rsidR="000C6DE6" w:rsidRPr="007B7B59" w:rsidRDefault="000C6DE6" w:rsidP="000C6DE6">
      <w:pPr>
        <w:ind w:left="567" w:hanging="567"/>
        <w:rPr>
          <w:szCs w:val="22"/>
        </w:rPr>
      </w:pPr>
    </w:p>
    <w:p w14:paraId="1B5EF6EF" w14:textId="77777777" w:rsidR="000C6DE6" w:rsidRPr="007B7B59" w:rsidRDefault="000C6DE6" w:rsidP="000C6DE6">
      <w:pPr>
        <w:ind w:left="567" w:hanging="567"/>
        <w:rPr>
          <w:szCs w:val="22"/>
        </w:rPr>
      </w:pPr>
    </w:p>
    <w:p w14:paraId="2533F03D" w14:textId="77777777" w:rsidR="000C6DE6" w:rsidRPr="007B7B59" w:rsidRDefault="000C6DE6" w:rsidP="000C6DE6">
      <w:pPr>
        <w:ind w:left="567" w:hanging="567"/>
        <w:rPr>
          <w:szCs w:val="22"/>
        </w:rPr>
      </w:pPr>
    </w:p>
    <w:p w14:paraId="54941D97" w14:textId="77777777" w:rsidR="000C6DE6" w:rsidRPr="007B7B59" w:rsidRDefault="000C6DE6" w:rsidP="000C6DE6">
      <w:pPr>
        <w:ind w:left="567" w:hanging="567"/>
        <w:rPr>
          <w:szCs w:val="22"/>
        </w:rPr>
      </w:pPr>
    </w:p>
    <w:p w14:paraId="514003FE" w14:textId="77777777" w:rsidR="000C6DE6" w:rsidRPr="007B7B59" w:rsidRDefault="000C6DE6" w:rsidP="000C6DE6">
      <w:pPr>
        <w:ind w:left="567" w:hanging="567"/>
        <w:rPr>
          <w:szCs w:val="22"/>
        </w:rPr>
      </w:pPr>
    </w:p>
    <w:p w14:paraId="1FE614D2" w14:textId="77777777" w:rsidR="000C6DE6" w:rsidRPr="007B7B59" w:rsidRDefault="000C6DE6" w:rsidP="000C6DE6">
      <w:pPr>
        <w:ind w:left="567" w:hanging="567"/>
        <w:rPr>
          <w:szCs w:val="22"/>
        </w:rPr>
      </w:pPr>
    </w:p>
    <w:p w14:paraId="58B98531" w14:textId="77777777" w:rsidR="000C6DE6" w:rsidRPr="007B7B59" w:rsidRDefault="000C6DE6" w:rsidP="000C6DE6">
      <w:pPr>
        <w:ind w:left="567" w:hanging="567"/>
        <w:rPr>
          <w:szCs w:val="22"/>
        </w:rPr>
      </w:pPr>
    </w:p>
    <w:p w14:paraId="60379EE3" w14:textId="77777777" w:rsidR="000C6DE6" w:rsidRPr="007B7B59" w:rsidRDefault="000C6DE6" w:rsidP="000C6DE6">
      <w:pPr>
        <w:ind w:left="567" w:hanging="567"/>
        <w:rPr>
          <w:szCs w:val="22"/>
        </w:rPr>
      </w:pPr>
    </w:p>
    <w:p w14:paraId="50D74E7E" w14:textId="77777777" w:rsidR="000C6DE6" w:rsidRPr="007B7B59" w:rsidRDefault="000C6DE6" w:rsidP="000C6DE6">
      <w:pPr>
        <w:ind w:left="567" w:hanging="567"/>
        <w:rPr>
          <w:szCs w:val="22"/>
        </w:rPr>
      </w:pPr>
    </w:p>
    <w:p w14:paraId="6EEB246B" w14:textId="77777777" w:rsidR="000C6DE6" w:rsidRPr="007B7B59" w:rsidRDefault="000C6DE6" w:rsidP="000C6DE6">
      <w:pPr>
        <w:ind w:left="567" w:hanging="567"/>
        <w:rPr>
          <w:szCs w:val="22"/>
        </w:rPr>
      </w:pPr>
    </w:p>
    <w:p w14:paraId="4DE1053F" w14:textId="77777777" w:rsidR="000C6DE6" w:rsidRPr="007B7B59" w:rsidRDefault="000C6DE6" w:rsidP="000C6DE6">
      <w:pPr>
        <w:ind w:left="567" w:hanging="567"/>
        <w:jc w:val="center"/>
        <w:rPr>
          <w:szCs w:val="22"/>
        </w:rPr>
      </w:pPr>
      <w:r w:rsidRPr="007B7B59">
        <w:rPr>
          <w:b/>
          <w:szCs w:val="22"/>
        </w:rPr>
        <w:t>I PRIEDAS</w:t>
      </w:r>
    </w:p>
    <w:p w14:paraId="4C931CC6" w14:textId="77777777" w:rsidR="000C6DE6" w:rsidRPr="007B7B59" w:rsidRDefault="000C6DE6" w:rsidP="000C6DE6">
      <w:pPr>
        <w:ind w:left="567" w:hanging="567"/>
        <w:jc w:val="center"/>
        <w:rPr>
          <w:b/>
          <w:szCs w:val="22"/>
        </w:rPr>
      </w:pPr>
    </w:p>
    <w:p w14:paraId="42C3BE6F" w14:textId="77777777" w:rsidR="000C6DE6" w:rsidRPr="007B7B59" w:rsidRDefault="000C6DE6" w:rsidP="000C6DE6">
      <w:pPr>
        <w:ind w:left="567" w:hanging="567"/>
        <w:jc w:val="center"/>
        <w:rPr>
          <w:b/>
          <w:szCs w:val="22"/>
        </w:rPr>
      </w:pPr>
      <w:r w:rsidRPr="007B7B59">
        <w:rPr>
          <w:b/>
          <w:szCs w:val="22"/>
        </w:rPr>
        <w:t>PREPARATO CHARAKTERISTIKŲ SANTRAUKA</w:t>
      </w:r>
    </w:p>
    <w:p w14:paraId="6A6D6E61" w14:textId="77777777" w:rsidR="000C6DE6" w:rsidRPr="007B7B59" w:rsidRDefault="000C6DE6" w:rsidP="000C6DE6">
      <w:pPr>
        <w:ind w:left="567" w:hanging="567"/>
        <w:jc w:val="center"/>
        <w:rPr>
          <w:b/>
          <w:szCs w:val="22"/>
        </w:rPr>
      </w:pPr>
    </w:p>
    <w:p w14:paraId="03307913" w14:textId="77777777" w:rsidR="000C6DE6" w:rsidRPr="007B7B59" w:rsidRDefault="000C6DE6" w:rsidP="000C6DE6">
      <w:pPr>
        <w:ind w:left="567" w:hanging="567"/>
        <w:rPr>
          <w:szCs w:val="22"/>
        </w:rPr>
      </w:pPr>
      <w:r w:rsidRPr="007B7B59">
        <w:rPr>
          <w:szCs w:val="22"/>
        </w:rPr>
        <w:br w:type="page"/>
      </w:r>
      <w:r w:rsidRPr="007B7B59">
        <w:rPr>
          <w:b/>
          <w:szCs w:val="22"/>
        </w:rPr>
        <w:lastRenderedPageBreak/>
        <w:t>1.</w:t>
      </w:r>
      <w:r w:rsidRPr="007B7B59">
        <w:rPr>
          <w:b/>
          <w:szCs w:val="22"/>
        </w:rPr>
        <w:tab/>
        <w:t>VAISTINIO PREPARATO PAVADINIMAS</w:t>
      </w:r>
    </w:p>
    <w:p w14:paraId="75A18EB6" w14:textId="77777777" w:rsidR="000C6DE6" w:rsidRPr="007B7B59" w:rsidRDefault="000C6DE6" w:rsidP="000C6DE6">
      <w:pPr>
        <w:rPr>
          <w:szCs w:val="22"/>
        </w:rPr>
      </w:pPr>
    </w:p>
    <w:p w14:paraId="51ECE0E4" w14:textId="77777777" w:rsidR="000C6DE6" w:rsidRPr="007B7B59" w:rsidRDefault="000C6DE6" w:rsidP="000C6DE6">
      <w:pPr>
        <w:rPr>
          <w:szCs w:val="22"/>
        </w:rPr>
      </w:pPr>
      <w:r w:rsidRPr="007B7B59">
        <w:rPr>
          <w:szCs w:val="22"/>
        </w:rPr>
        <w:t>AROMASIN 25 mg dengtos tabletės</w:t>
      </w:r>
    </w:p>
    <w:p w14:paraId="077C76A7" w14:textId="77777777" w:rsidR="000C6DE6" w:rsidRPr="007B7B59" w:rsidRDefault="000C6DE6" w:rsidP="000C6DE6">
      <w:pPr>
        <w:rPr>
          <w:szCs w:val="22"/>
        </w:rPr>
      </w:pPr>
    </w:p>
    <w:p w14:paraId="4CE0A6C1" w14:textId="77777777" w:rsidR="000C6DE6" w:rsidRPr="007B7B59" w:rsidRDefault="000C6DE6" w:rsidP="000C6DE6">
      <w:pPr>
        <w:rPr>
          <w:szCs w:val="22"/>
        </w:rPr>
      </w:pPr>
    </w:p>
    <w:p w14:paraId="616A1BE5" w14:textId="77777777" w:rsidR="000C6DE6" w:rsidRPr="007B7B59" w:rsidRDefault="000C6DE6" w:rsidP="000C6DE6">
      <w:pPr>
        <w:ind w:left="567" w:hanging="567"/>
        <w:rPr>
          <w:szCs w:val="22"/>
        </w:rPr>
      </w:pPr>
      <w:r w:rsidRPr="007B7B59">
        <w:rPr>
          <w:b/>
          <w:szCs w:val="22"/>
        </w:rPr>
        <w:t>2.</w:t>
      </w:r>
      <w:r w:rsidRPr="007B7B59">
        <w:rPr>
          <w:b/>
          <w:szCs w:val="22"/>
        </w:rPr>
        <w:tab/>
        <w:t>KOKYBINĖ IR KIEKYBINĖ SUDĖTIS</w:t>
      </w:r>
    </w:p>
    <w:p w14:paraId="3EBCFB9B" w14:textId="77777777" w:rsidR="000C6DE6" w:rsidRPr="007B7B59" w:rsidRDefault="000C6DE6" w:rsidP="000C6DE6">
      <w:pPr>
        <w:rPr>
          <w:szCs w:val="22"/>
        </w:rPr>
      </w:pPr>
    </w:p>
    <w:p w14:paraId="730D33DC" w14:textId="77777777" w:rsidR="000C6DE6" w:rsidRPr="007B7B59" w:rsidRDefault="00FE7895" w:rsidP="000C6DE6">
      <w:pPr>
        <w:rPr>
          <w:szCs w:val="22"/>
        </w:rPr>
      </w:pPr>
      <w:r>
        <w:rPr>
          <w:szCs w:val="22"/>
        </w:rPr>
        <w:t>Kiekv</w:t>
      </w:r>
      <w:r w:rsidR="000C6DE6" w:rsidRPr="007B7B59">
        <w:rPr>
          <w:szCs w:val="22"/>
        </w:rPr>
        <w:t xml:space="preserve">ienoje dengtoje tabletėje yra 25 mg </w:t>
      </w:r>
      <w:proofErr w:type="spellStart"/>
      <w:r w:rsidR="000C6DE6" w:rsidRPr="007B7B59">
        <w:rPr>
          <w:szCs w:val="22"/>
        </w:rPr>
        <w:t>eksemestano</w:t>
      </w:r>
      <w:proofErr w:type="spellEnd"/>
      <w:r w:rsidR="00043768" w:rsidRPr="007B7B59">
        <w:rPr>
          <w:szCs w:val="22"/>
        </w:rPr>
        <w:t>.</w:t>
      </w:r>
    </w:p>
    <w:p w14:paraId="5C8B74DC" w14:textId="77777777" w:rsidR="000C6DE6" w:rsidRPr="007B7B59" w:rsidRDefault="000C6DE6" w:rsidP="000C6DE6">
      <w:pPr>
        <w:ind w:left="567" w:hanging="567"/>
        <w:rPr>
          <w:szCs w:val="22"/>
        </w:rPr>
      </w:pPr>
    </w:p>
    <w:p w14:paraId="6D0EF229" w14:textId="77777777" w:rsidR="002E543E" w:rsidRPr="007B7B59" w:rsidRDefault="000C6DE6" w:rsidP="002E543E">
      <w:pPr>
        <w:ind w:left="567" w:hanging="567"/>
        <w:rPr>
          <w:szCs w:val="22"/>
          <w:u w:val="single"/>
        </w:rPr>
      </w:pPr>
      <w:r w:rsidRPr="007B7B59">
        <w:rPr>
          <w:szCs w:val="22"/>
          <w:u w:val="single"/>
        </w:rPr>
        <w:t>Pagalbinės medžiagos</w:t>
      </w:r>
      <w:r w:rsidR="00043768" w:rsidRPr="007B7B59">
        <w:rPr>
          <w:szCs w:val="22"/>
          <w:u w:val="single"/>
        </w:rPr>
        <w:t>, kurių poveikis žinomas</w:t>
      </w:r>
      <w:r w:rsidR="00D62E7A" w:rsidRPr="007B7B59">
        <w:rPr>
          <w:szCs w:val="22"/>
          <w:u w:val="single"/>
        </w:rPr>
        <w:t>:</w:t>
      </w:r>
    </w:p>
    <w:p w14:paraId="716D11B7" w14:textId="77777777" w:rsidR="00D62E7A" w:rsidRPr="007B7B59" w:rsidRDefault="00236597" w:rsidP="002E543E">
      <w:pPr>
        <w:ind w:left="567" w:hanging="567"/>
        <w:rPr>
          <w:szCs w:val="22"/>
        </w:rPr>
      </w:pPr>
      <w:r>
        <w:rPr>
          <w:szCs w:val="22"/>
        </w:rPr>
        <w:t>Kiekv</w:t>
      </w:r>
      <w:r w:rsidR="00D62E7A" w:rsidRPr="007B7B59">
        <w:rPr>
          <w:szCs w:val="22"/>
        </w:rPr>
        <w:t xml:space="preserve">ienoje </w:t>
      </w:r>
      <w:r w:rsidR="002E543E" w:rsidRPr="007B7B59">
        <w:rPr>
          <w:szCs w:val="22"/>
        </w:rPr>
        <w:t xml:space="preserve">dengtoje tabletėje yra 30,19 mg </w:t>
      </w:r>
      <w:r w:rsidR="00D62E7A" w:rsidRPr="007B7B59">
        <w:rPr>
          <w:szCs w:val="22"/>
        </w:rPr>
        <w:t xml:space="preserve">sacharozės, metilo </w:t>
      </w:r>
      <w:proofErr w:type="spellStart"/>
      <w:r w:rsidR="00D62E7A" w:rsidRPr="007B7B59">
        <w:rPr>
          <w:szCs w:val="22"/>
        </w:rPr>
        <w:t>parahidroksibenzoato</w:t>
      </w:r>
      <w:proofErr w:type="spellEnd"/>
      <w:r w:rsidR="00D62E7A" w:rsidRPr="007B7B59">
        <w:rPr>
          <w:szCs w:val="22"/>
        </w:rPr>
        <w:t xml:space="preserve"> (E218).</w:t>
      </w:r>
    </w:p>
    <w:p w14:paraId="004D9F62" w14:textId="77777777" w:rsidR="002E543E" w:rsidRPr="007B7B59" w:rsidRDefault="002E543E" w:rsidP="002E543E">
      <w:pPr>
        <w:ind w:left="567" w:hanging="567"/>
        <w:rPr>
          <w:szCs w:val="22"/>
        </w:rPr>
      </w:pPr>
    </w:p>
    <w:p w14:paraId="3CE8167E" w14:textId="77777777" w:rsidR="000C6DE6" w:rsidRPr="007B7B59" w:rsidRDefault="000C6DE6" w:rsidP="000C6DE6">
      <w:pPr>
        <w:ind w:left="567" w:hanging="567"/>
        <w:rPr>
          <w:szCs w:val="22"/>
        </w:rPr>
      </w:pPr>
      <w:r w:rsidRPr="007B7B59">
        <w:rPr>
          <w:szCs w:val="22"/>
        </w:rPr>
        <w:t>Visos pagalbinės medžiagos išvardytos 6.1 skyriuje.</w:t>
      </w:r>
    </w:p>
    <w:p w14:paraId="2EB3B9D7" w14:textId="77777777" w:rsidR="000C6DE6" w:rsidRPr="007B7B59" w:rsidRDefault="000C6DE6" w:rsidP="000C6DE6">
      <w:pPr>
        <w:ind w:left="567" w:hanging="567"/>
        <w:rPr>
          <w:szCs w:val="22"/>
        </w:rPr>
      </w:pPr>
    </w:p>
    <w:p w14:paraId="3FED3BB5" w14:textId="77777777" w:rsidR="000C6DE6" w:rsidRPr="007B7B59" w:rsidRDefault="000C6DE6" w:rsidP="000C6DE6">
      <w:pPr>
        <w:rPr>
          <w:szCs w:val="22"/>
        </w:rPr>
      </w:pPr>
    </w:p>
    <w:p w14:paraId="0B1856FD" w14:textId="77777777" w:rsidR="000C6DE6" w:rsidRPr="007B7B59" w:rsidRDefault="000C6DE6" w:rsidP="000C6DE6">
      <w:pPr>
        <w:ind w:left="567" w:hanging="567"/>
        <w:rPr>
          <w:szCs w:val="22"/>
        </w:rPr>
      </w:pPr>
      <w:r w:rsidRPr="007B7B59">
        <w:rPr>
          <w:b/>
          <w:szCs w:val="22"/>
        </w:rPr>
        <w:t>3.</w:t>
      </w:r>
      <w:r w:rsidRPr="007B7B59">
        <w:rPr>
          <w:szCs w:val="22"/>
        </w:rPr>
        <w:tab/>
      </w:r>
      <w:r w:rsidRPr="007B7B59">
        <w:rPr>
          <w:b/>
          <w:szCs w:val="22"/>
        </w:rPr>
        <w:t>FARMACINĖ FORMA</w:t>
      </w:r>
    </w:p>
    <w:p w14:paraId="3FCDDF48" w14:textId="77777777" w:rsidR="000C6DE6" w:rsidRPr="007B7B59" w:rsidRDefault="000C6DE6" w:rsidP="000C6DE6">
      <w:pPr>
        <w:rPr>
          <w:szCs w:val="22"/>
        </w:rPr>
      </w:pPr>
    </w:p>
    <w:p w14:paraId="57FBAFE9" w14:textId="77777777" w:rsidR="000C6DE6" w:rsidRPr="007B7B59" w:rsidRDefault="000C6DE6" w:rsidP="000C6DE6">
      <w:pPr>
        <w:rPr>
          <w:szCs w:val="22"/>
        </w:rPr>
      </w:pPr>
      <w:r w:rsidRPr="007B7B59">
        <w:rPr>
          <w:szCs w:val="22"/>
        </w:rPr>
        <w:t>Dengta tabletė</w:t>
      </w:r>
    </w:p>
    <w:p w14:paraId="6D9866EB" w14:textId="77777777" w:rsidR="000C6DE6" w:rsidRPr="007B7B59" w:rsidRDefault="000C6DE6" w:rsidP="000C6DE6">
      <w:pPr>
        <w:rPr>
          <w:szCs w:val="22"/>
        </w:rPr>
      </w:pPr>
    </w:p>
    <w:p w14:paraId="0AB12715" w14:textId="77777777" w:rsidR="000C6DE6" w:rsidRPr="007B7B59" w:rsidRDefault="000C6DE6" w:rsidP="000C6DE6">
      <w:pPr>
        <w:rPr>
          <w:szCs w:val="22"/>
        </w:rPr>
      </w:pPr>
      <w:r w:rsidRPr="007B7B59">
        <w:rPr>
          <w:szCs w:val="22"/>
        </w:rPr>
        <w:t xml:space="preserve">Apvali, abipus išgaubta, balta, dengta tabletė, jos vienoje pusėje užrašyti skaičiai </w:t>
      </w:r>
      <w:r w:rsidR="00561D11" w:rsidRPr="007B7B59">
        <w:rPr>
          <w:szCs w:val="22"/>
        </w:rPr>
        <w:t>„</w:t>
      </w:r>
      <w:r w:rsidRPr="007B7B59">
        <w:rPr>
          <w:szCs w:val="22"/>
        </w:rPr>
        <w:t>7663“.</w:t>
      </w:r>
    </w:p>
    <w:p w14:paraId="4934FEB6" w14:textId="77777777" w:rsidR="000C6DE6" w:rsidRPr="007B7B59" w:rsidRDefault="000C6DE6" w:rsidP="000C6DE6">
      <w:pPr>
        <w:rPr>
          <w:szCs w:val="22"/>
        </w:rPr>
      </w:pPr>
    </w:p>
    <w:p w14:paraId="111C5ACC" w14:textId="77777777" w:rsidR="000C6DE6" w:rsidRPr="007B7B59" w:rsidRDefault="000C6DE6" w:rsidP="000C6DE6">
      <w:pPr>
        <w:rPr>
          <w:szCs w:val="22"/>
        </w:rPr>
      </w:pPr>
    </w:p>
    <w:p w14:paraId="07D3ECF3" w14:textId="77777777" w:rsidR="000C6DE6" w:rsidRPr="007B7B59" w:rsidRDefault="000C6DE6" w:rsidP="000C6DE6">
      <w:pPr>
        <w:ind w:left="567" w:hanging="567"/>
        <w:rPr>
          <w:szCs w:val="22"/>
        </w:rPr>
      </w:pPr>
      <w:r w:rsidRPr="007B7B59">
        <w:rPr>
          <w:b/>
          <w:szCs w:val="22"/>
        </w:rPr>
        <w:t>4.</w:t>
      </w:r>
      <w:r w:rsidRPr="007B7B59">
        <w:rPr>
          <w:b/>
          <w:szCs w:val="22"/>
        </w:rPr>
        <w:tab/>
        <w:t>KLINIKINĖ INFORMACIJA</w:t>
      </w:r>
    </w:p>
    <w:p w14:paraId="6835D987" w14:textId="77777777" w:rsidR="000C6DE6" w:rsidRPr="007B7B59" w:rsidRDefault="000C6DE6" w:rsidP="000C6DE6">
      <w:pPr>
        <w:rPr>
          <w:szCs w:val="22"/>
        </w:rPr>
      </w:pPr>
    </w:p>
    <w:p w14:paraId="74E6F32C" w14:textId="77777777" w:rsidR="000C6DE6" w:rsidRPr="007B7B59" w:rsidRDefault="000C6DE6" w:rsidP="000C6DE6">
      <w:pPr>
        <w:ind w:left="567" w:hanging="567"/>
        <w:rPr>
          <w:b/>
          <w:szCs w:val="22"/>
        </w:rPr>
      </w:pPr>
      <w:r w:rsidRPr="007B7B59">
        <w:rPr>
          <w:b/>
          <w:szCs w:val="22"/>
        </w:rPr>
        <w:t>4.1</w:t>
      </w:r>
      <w:r w:rsidRPr="007B7B59">
        <w:rPr>
          <w:b/>
          <w:szCs w:val="22"/>
        </w:rPr>
        <w:tab/>
        <w:t>Terapinės indikacijos</w:t>
      </w:r>
    </w:p>
    <w:p w14:paraId="5B0BC4BC" w14:textId="77777777" w:rsidR="000C6DE6" w:rsidRPr="007B7B59" w:rsidRDefault="000C6DE6" w:rsidP="000C6DE6">
      <w:pPr>
        <w:rPr>
          <w:szCs w:val="22"/>
        </w:rPr>
      </w:pPr>
    </w:p>
    <w:p w14:paraId="6D8753E9" w14:textId="77777777" w:rsidR="000C6DE6" w:rsidRPr="007B7B59" w:rsidRDefault="000C6DE6" w:rsidP="000C6DE6">
      <w:pPr>
        <w:pStyle w:val="Pagrindinistekstas2"/>
        <w:ind w:left="0" w:firstLine="0"/>
        <w:rPr>
          <w:b w:val="0"/>
          <w:bCs/>
          <w:sz w:val="22"/>
          <w:szCs w:val="22"/>
          <w:lang w:val="lt-LT"/>
        </w:rPr>
      </w:pPr>
      <w:r w:rsidRPr="007B7B59">
        <w:rPr>
          <w:b w:val="0"/>
          <w:bCs/>
          <w:sz w:val="22"/>
          <w:szCs w:val="22"/>
          <w:lang w:val="lt-LT"/>
        </w:rPr>
        <w:t xml:space="preserve">AROMASIN vartojamas kaip pagalbinis gydymas ankstyvai krūties vėžio stadijai </w:t>
      </w:r>
      <w:proofErr w:type="spellStart"/>
      <w:r w:rsidRPr="007B7B59">
        <w:rPr>
          <w:b w:val="0"/>
          <w:bCs/>
          <w:sz w:val="22"/>
          <w:szCs w:val="22"/>
          <w:lang w:val="lt-LT"/>
        </w:rPr>
        <w:t>pomenopauzinės</w:t>
      </w:r>
      <w:proofErr w:type="spellEnd"/>
      <w:r w:rsidRPr="007B7B59">
        <w:rPr>
          <w:b w:val="0"/>
          <w:bCs/>
          <w:sz w:val="22"/>
          <w:szCs w:val="22"/>
          <w:lang w:val="lt-LT"/>
        </w:rPr>
        <w:t xml:space="preserve"> būklės moterims, kurioms nustatomi estrogenų receptoriai krūties vėžio ląstelėse, kai pradinis pagalbinis gydymas </w:t>
      </w:r>
      <w:proofErr w:type="spellStart"/>
      <w:r w:rsidRPr="007B7B59">
        <w:rPr>
          <w:b w:val="0"/>
          <w:bCs/>
          <w:sz w:val="22"/>
          <w:szCs w:val="22"/>
          <w:lang w:val="lt-LT"/>
        </w:rPr>
        <w:t>tamoksifenu</w:t>
      </w:r>
      <w:proofErr w:type="spellEnd"/>
      <w:r w:rsidRPr="007B7B59">
        <w:rPr>
          <w:b w:val="0"/>
          <w:bCs/>
          <w:sz w:val="22"/>
          <w:szCs w:val="22"/>
          <w:lang w:val="lt-LT"/>
        </w:rPr>
        <w:t xml:space="preserve"> truko 2</w:t>
      </w:r>
      <w:r w:rsidR="00043768" w:rsidRPr="007B7B59">
        <w:rPr>
          <w:b w:val="0"/>
          <w:bCs/>
          <w:sz w:val="22"/>
          <w:szCs w:val="22"/>
          <w:lang w:val="lt-LT"/>
        </w:rPr>
        <w:t>–</w:t>
      </w:r>
      <w:r w:rsidRPr="007B7B59">
        <w:rPr>
          <w:b w:val="0"/>
          <w:bCs/>
          <w:sz w:val="22"/>
          <w:szCs w:val="22"/>
          <w:lang w:val="lt-LT"/>
        </w:rPr>
        <w:t>3 metus.</w:t>
      </w:r>
    </w:p>
    <w:p w14:paraId="7BAAF5E5" w14:textId="77777777" w:rsidR="000C6DE6" w:rsidRPr="007B7B59" w:rsidRDefault="000C6DE6" w:rsidP="000C6DE6">
      <w:pPr>
        <w:rPr>
          <w:szCs w:val="22"/>
        </w:rPr>
      </w:pPr>
    </w:p>
    <w:p w14:paraId="68A853E4" w14:textId="77777777" w:rsidR="000C6DE6" w:rsidRPr="007B7B59" w:rsidRDefault="000C6DE6" w:rsidP="000C6DE6">
      <w:pPr>
        <w:rPr>
          <w:szCs w:val="22"/>
        </w:rPr>
      </w:pPr>
      <w:r w:rsidRPr="007B7B59">
        <w:rPr>
          <w:szCs w:val="22"/>
        </w:rPr>
        <w:t xml:space="preserve">AROMASIN vartojamas vėlyvosioms krūties vėžio stadijoms gydyti moterims, kurioms yra natūrali ar dirbtinai sukelta </w:t>
      </w:r>
      <w:proofErr w:type="spellStart"/>
      <w:r w:rsidRPr="007B7B59">
        <w:rPr>
          <w:szCs w:val="22"/>
        </w:rPr>
        <w:t>pomenopauzinė</w:t>
      </w:r>
      <w:proofErr w:type="spellEnd"/>
      <w:r w:rsidRPr="007B7B59">
        <w:rPr>
          <w:szCs w:val="22"/>
        </w:rPr>
        <w:t xml:space="preserve"> būklė, jei po gydymo </w:t>
      </w:r>
      <w:proofErr w:type="spellStart"/>
      <w:r w:rsidRPr="007B7B59">
        <w:rPr>
          <w:szCs w:val="22"/>
        </w:rPr>
        <w:t>antiestrogenais</w:t>
      </w:r>
      <w:proofErr w:type="spellEnd"/>
      <w:r w:rsidRPr="007B7B59">
        <w:rPr>
          <w:szCs w:val="22"/>
        </w:rPr>
        <w:t xml:space="preserve"> liga progresavo. Vaistinio preparato veiksmingumas nenustatytas pacientėms, kurioms estrogenų receptoriai krūties vėžio ląstelėse nerasti.</w:t>
      </w:r>
    </w:p>
    <w:p w14:paraId="1CA73BDB" w14:textId="77777777" w:rsidR="000C6DE6" w:rsidRPr="007B7B59" w:rsidRDefault="000C6DE6" w:rsidP="000C6DE6">
      <w:pPr>
        <w:rPr>
          <w:szCs w:val="22"/>
        </w:rPr>
      </w:pPr>
    </w:p>
    <w:p w14:paraId="56AFF4DC" w14:textId="77777777" w:rsidR="000C6DE6" w:rsidRPr="007B7B59" w:rsidRDefault="000C6DE6" w:rsidP="000C6DE6">
      <w:pPr>
        <w:rPr>
          <w:bCs/>
          <w:iCs/>
          <w:szCs w:val="22"/>
        </w:rPr>
      </w:pPr>
      <w:r w:rsidRPr="007B7B59">
        <w:rPr>
          <w:bCs/>
          <w:iCs/>
          <w:szCs w:val="22"/>
        </w:rPr>
        <w:t xml:space="preserve">Be to, AROMASIN vartojamas vėlyvosioms krūties vėžio stadijoms gydyti (trečios eilės hormoninis gydymas) moterims, kurioms yra natūrali ar dirbtinai sukelta </w:t>
      </w:r>
      <w:proofErr w:type="spellStart"/>
      <w:r w:rsidRPr="007B7B59">
        <w:rPr>
          <w:bCs/>
          <w:iCs/>
          <w:szCs w:val="22"/>
        </w:rPr>
        <w:t>pomenopauzinė</w:t>
      </w:r>
      <w:proofErr w:type="spellEnd"/>
      <w:r w:rsidRPr="007B7B59">
        <w:rPr>
          <w:bCs/>
          <w:iCs/>
          <w:szCs w:val="22"/>
        </w:rPr>
        <w:t xml:space="preserve"> būklė, jei po gydymo </w:t>
      </w:r>
      <w:proofErr w:type="spellStart"/>
      <w:r w:rsidRPr="007B7B59">
        <w:rPr>
          <w:bCs/>
          <w:iCs/>
          <w:szCs w:val="22"/>
        </w:rPr>
        <w:t>antiestrogenais</w:t>
      </w:r>
      <w:proofErr w:type="spellEnd"/>
      <w:r w:rsidRPr="007B7B59">
        <w:rPr>
          <w:bCs/>
          <w:iCs/>
          <w:szCs w:val="22"/>
        </w:rPr>
        <w:t xml:space="preserve"> ir nesteroidiniais </w:t>
      </w:r>
      <w:proofErr w:type="spellStart"/>
      <w:r w:rsidRPr="007B7B59">
        <w:rPr>
          <w:bCs/>
          <w:iCs/>
          <w:szCs w:val="22"/>
        </w:rPr>
        <w:t>aromatazės</w:t>
      </w:r>
      <w:proofErr w:type="spellEnd"/>
      <w:r w:rsidRPr="007B7B59">
        <w:rPr>
          <w:bCs/>
          <w:iCs/>
          <w:szCs w:val="22"/>
        </w:rPr>
        <w:t xml:space="preserve"> inhibitoriais ar </w:t>
      </w:r>
      <w:proofErr w:type="spellStart"/>
      <w:r w:rsidRPr="007B7B59">
        <w:rPr>
          <w:bCs/>
          <w:iCs/>
          <w:szCs w:val="22"/>
        </w:rPr>
        <w:t>progestinais</w:t>
      </w:r>
      <w:proofErr w:type="spellEnd"/>
      <w:r w:rsidRPr="007B7B59">
        <w:rPr>
          <w:bCs/>
          <w:iCs/>
          <w:szCs w:val="22"/>
        </w:rPr>
        <w:t xml:space="preserve"> liga progresavo.</w:t>
      </w:r>
    </w:p>
    <w:p w14:paraId="37516D85" w14:textId="77777777" w:rsidR="000C6DE6" w:rsidRPr="007B7B59" w:rsidRDefault="000C6DE6" w:rsidP="000C6DE6">
      <w:pPr>
        <w:rPr>
          <w:szCs w:val="22"/>
        </w:rPr>
      </w:pPr>
    </w:p>
    <w:p w14:paraId="49E359BD" w14:textId="77777777" w:rsidR="000C6DE6" w:rsidRPr="007B7B59" w:rsidRDefault="000C6DE6" w:rsidP="000C6DE6">
      <w:pPr>
        <w:ind w:left="567" w:hanging="567"/>
        <w:rPr>
          <w:b/>
          <w:szCs w:val="22"/>
        </w:rPr>
      </w:pPr>
      <w:r w:rsidRPr="007B7B59">
        <w:rPr>
          <w:b/>
          <w:szCs w:val="22"/>
        </w:rPr>
        <w:t>4.2</w:t>
      </w:r>
      <w:r w:rsidRPr="007B7B59">
        <w:rPr>
          <w:b/>
          <w:szCs w:val="22"/>
        </w:rPr>
        <w:tab/>
        <w:t>Dozavimas ir vartojimo metodas</w:t>
      </w:r>
    </w:p>
    <w:p w14:paraId="31F67A02" w14:textId="77777777" w:rsidR="000C6DE6" w:rsidRPr="007B7B59" w:rsidRDefault="000C6DE6" w:rsidP="000C6DE6">
      <w:pPr>
        <w:rPr>
          <w:szCs w:val="22"/>
        </w:rPr>
      </w:pPr>
    </w:p>
    <w:p w14:paraId="57B36A1A" w14:textId="77777777" w:rsidR="00C563E8" w:rsidRDefault="00C563E8" w:rsidP="000C6DE6">
      <w:pPr>
        <w:rPr>
          <w:szCs w:val="22"/>
          <w:u w:val="single"/>
        </w:rPr>
      </w:pPr>
      <w:r w:rsidRPr="00C563E8">
        <w:rPr>
          <w:szCs w:val="22"/>
          <w:u w:val="single"/>
        </w:rPr>
        <w:t>Dozavimas</w:t>
      </w:r>
    </w:p>
    <w:p w14:paraId="18FA5D4F" w14:textId="77777777" w:rsidR="00C563E8" w:rsidRPr="00C563E8" w:rsidRDefault="00C563E8" w:rsidP="000C6DE6">
      <w:pPr>
        <w:rPr>
          <w:szCs w:val="22"/>
          <w:u w:val="single"/>
        </w:rPr>
      </w:pPr>
    </w:p>
    <w:p w14:paraId="57DA6ED3" w14:textId="77777777" w:rsidR="000C6DE6" w:rsidRPr="007B7B59" w:rsidRDefault="000C6DE6" w:rsidP="000C6DE6">
      <w:pPr>
        <w:rPr>
          <w:szCs w:val="22"/>
        </w:rPr>
      </w:pPr>
      <w:r w:rsidRPr="00341B9D">
        <w:rPr>
          <w:i/>
          <w:szCs w:val="22"/>
        </w:rPr>
        <w:t>Suaugusio</w:t>
      </w:r>
      <w:r w:rsidR="00BD4D76">
        <w:rPr>
          <w:i/>
          <w:szCs w:val="22"/>
        </w:rPr>
        <w:t>ms</w:t>
      </w:r>
      <w:r w:rsidRPr="00341B9D">
        <w:rPr>
          <w:i/>
          <w:szCs w:val="22"/>
        </w:rPr>
        <w:t xml:space="preserve"> ir senyvo</w:t>
      </w:r>
      <w:r w:rsidR="00BD4D76">
        <w:rPr>
          <w:i/>
          <w:szCs w:val="22"/>
        </w:rPr>
        <w:t>m</w:t>
      </w:r>
      <w:r w:rsidRPr="00341B9D">
        <w:rPr>
          <w:i/>
          <w:szCs w:val="22"/>
        </w:rPr>
        <w:t>s pacientė</w:t>
      </w:r>
      <w:r w:rsidR="00BD4D76">
        <w:rPr>
          <w:i/>
          <w:szCs w:val="22"/>
        </w:rPr>
        <w:t>m</w:t>
      </w:r>
      <w:r w:rsidRPr="00341B9D">
        <w:rPr>
          <w:i/>
          <w:szCs w:val="22"/>
        </w:rPr>
        <w:t>s</w:t>
      </w:r>
    </w:p>
    <w:p w14:paraId="71DA674C" w14:textId="77777777" w:rsidR="000C6DE6" w:rsidRPr="007B7B59" w:rsidRDefault="000C6DE6" w:rsidP="000C6DE6">
      <w:pPr>
        <w:rPr>
          <w:szCs w:val="22"/>
        </w:rPr>
      </w:pPr>
      <w:r w:rsidRPr="007B7B59">
        <w:rPr>
          <w:szCs w:val="22"/>
        </w:rPr>
        <w:t xml:space="preserve">Rekomenduojama AROMASIN dozė – 25 mg vieną kartą per parą. </w:t>
      </w:r>
    </w:p>
    <w:p w14:paraId="62B9B5DC" w14:textId="77777777" w:rsidR="000C6DE6" w:rsidRPr="007B7B59" w:rsidRDefault="000C6DE6" w:rsidP="000C6DE6">
      <w:pPr>
        <w:rPr>
          <w:szCs w:val="22"/>
        </w:rPr>
      </w:pPr>
    </w:p>
    <w:p w14:paraId="09829E74" w14:textId="77777777" w:rsidR="000C6DE6" w:rsidRPr="007B7B59" w:rsidRDefault="000C6DE6" w:rsidP="000C6DE6">
      <w:pPr>
        <w:pStyle w:val="Pagrindinistekstas2"/>
        <w:ind w:left="0" w:firstLine="0"/>
        <w:rPr>
          <w:b w:val="0"/>
          <w:bCs/>
          <w:sz w:val="22"/>
          <w:szCs w:val="22"/>
          <w:lang w:val="lt-LT"/>
        </w:rPr>
      </w:pPr>
      <w:r w:rsidRPr="007B7B59">
        <w:rPr>
          <w:b w:val="0"/>
          <w:bCs/>
          <w:sz w:val="22"/>
          <w:szCs w:val="22"/>
          <w:lang w:val="lt-LT"/>
        </w:rPr>
        <w:t xml:space="preserve">Pacientėms, kurioms diagnozuota ankstyva krūties vėžio stadija, AROMASIN turi būti vartojamas iki penkerių metų, kol užbaigiamas kombinuotas nuoseklus pagalbinis hormoninis gydymas (po gydymo </w:t>
      </w:r>
      <w:proofErr w:type="spellStart"/>
      <w:r w:rsidRPr="007B7B59">
        <w:rPr>
          <w:b w:val="0"/>
          <w:bCs/>
          <w:sz w:val="22"/>
          <w:szCs w:val="22"/>
          <w:lang w:val="lt-LT"/>
        </w:rPr>
        <w:t>tamoksifenu</w:t>
      </w:r>
      <w:proofErr w:type="spellEnd"/>
      <w:r w:rsidRPr="007B7B59">
        <w:rPr>
          <w:b w:val="0"/>
          <w:bCs/>
          <w:sz w:val="22"/>
          <w:szCs w:val="22"/>
          <w:lang w:val="lt-LT"/>
        </w:rPr>
        <w:t xml:space="preserve"> taikant gydymą AROMASIN), arba trumpiau, jeigu atsiranda naviko recidyvas.</w:t>
      </w:r>
    </w:p>
    <w:p w14:paraId="73058056" w14:textId="77777777" w:rsidR="000C6DE6" w:rsidRPr="007B7B59" w:rsidRDefault="000C6DE6" w:rsidP="000C6DE6">
      <w:pPr>
        <w:rPr>
          <w:szCs w:val="22"/>
        </w:rPr>
      </w:pPr>
    </w:p>
    <w:p w14:paraId="351945EC" w14:textId="77777777" w:rsidR="000C6DE6" w:rsidRPr="007B7B59" w:rsidRDefault="000C6DE6" w:rsidP="000C6DE6">
      <w:pPr>
        <w:rPr>
          <w:szCs w:val="22"/>
        </w:rPr>
      </w:pPr>
      <w:r w:rsidRPr="007B7B59">
        <w:rPr>
          <w:szCs w:val="22"/>
        </w:rPr>
        <w:t xml:space="preserve">Pacientėms, </w:t>
      </w:r>
      <w:r w:rsidRPr="007B7B59">
        <w:rPr>
          <w:bCs/>
          <w:szCs w:val="22"/>
        </w:rPr>
        <w:t>kurioms diagnozuotas</w:t>
      </w:r>
      <w:r w:rsidRPr="007B7B59">
        <w:rPr>
          <w:szCs w:val="22"/>
        </w:rPr>
        <w:t xml:space="preserve"> išplitęs krūties vėžys, gydymas AROMASIN turi būti tęsiamas iki tol, kol pasireiškia naviko progresavimas.</w:t>
      </w:r>
    </w:p>
    <w:p w14:paraId="259C511E" w14:textId="77777777" w:rsidR="000C6DE6" w:rsidRDefault="000C6DE6" w:rsidP="000C6DE6">
      <w:pPr>
        <w:rPr>
          <w:szCs w:val="22"/>
        </w:rPr>
      </w:pPr>
    </w:p>
    <w:p w14:paraId="78E0B254" w14:textId="77777777" w:rsidR="007B07F1" w:rsidRPr="00341B9D" w:rsidRDefault="007B07F1" w:rsidP="000C6DE6">
      <w:pPr>
        <w:rPr>
          <w:i/>
          <w:szCs w:val="22"/>
        </w:rPr>
      </w:pPr>
      <w:r w:rsidRPr="00341B9D">
        <w:rPr>
          <w:i/>
          <w:szCs w:val="22"/>
        </w:rPr>
        <w:t>Pacientėms, kurių inkstų ar kepenų funkcija sutrikusi</w:t>
      </w:r>
    </w:p>
    <w:p w14:paraId="5F2636D3" w14:textId="77777777" w:rsidR="000C6DE6" w:rsidRPr="007B7B59" w:rsidRDefault="000C6DE6" w:rsidP="000C6DE6">
      <w:pPr>
        <w:rPr>
          <w:szCs w:val="22"/>
        </w:rPr>
      </w:pPr>
      <w:r w:rsidRPr="007B7B59">
        <w:rPr>
          <w:szCs w:val="22"/>
        </w:rPr>
        <w:t>Pacientėms, sergančioms kepenų ar inkstų nepakankamumu, dozės koreguoti nereikia (žr. 5.2 skyrių).</w:t>
      </w:r>
    </w:p>
    <w:p w14:paraId="581235A9" w14:textId="77777777" w:rsidR="000C6DE6" w:rsidRPr="007B7B59" w:rsidRDefault="000C6DE6" w:rsidP="000C6DE6">
      <w:pPr>
        <w:rPr>
          <w:szCs w:val="22"/>
        </w:rPr>
      </w:pPr>
    </w:p>
    <w:p w14:paraId="4DA17BA5" w14:textId="77777777" w:rsidR="000C6DE6" w:rsidRPr="007B7B59" w:rsidRDefault="000C6DE6" w:rsidP="000C6DE6">
      <w:pPr>
        <w:rPr>
          <w:szCs w:val="22"/>
        </w:rPr>
      </w:pPr>
      <w:r w:rsidRPr="00341B9D">
        <w:rPr>
          <w:i/>
          <w:szCs w:val="22"/>
        </w:rPr>
        <w:t>Vaik</w:t>
      </w:r>
      <w:r w:rsidR="00043768" w:rsidRPr="00341B9D">
        <w:rPr>
          <w:i/>
          <w:szCs w:val="22"/>
        </w:rPr>
        <w:t>ų populiacija</w:t>
      </w:r>
    </w:p>
    <w:p w14:paraId="47114E52" w14:textId="77777777" w:rsidR="000C6DE6" w:rsidRDefault="000C6DE6" w:rsidP="000C6DE6">
      <w:pPr>
        <w:rPr>
          <w:szCs w:val="22"/>
        </w:rPr>
      </w:pPr>
      <w:r w:rsidRPr="007B7B59">
        <w:rPr>
          <w:szCs w:val="22"/>
        </w:rPr>
        <w:lastRenderedPageBreak/>
        <w:t>Vaikams šio vaistinio preparato vartoti nerekomenduojama.</w:t>
      </w:r>
    </w:p>
    <w:p w14:paraId="7DF67069" w14:textId="77777777" w:rsidR="006864D5" w:rsidRDefault="006864D5" w:rsidP="000C6DE6">
      <w:pPr>
        <w:rPr>
          <w:szCs w:val="22"/>
        </w:rPr>
      </w:pPr>
    </w:p>
    <w:p w14:paraId="72435711" w14:textId="77777777" w:rsidR="008D167B" w:rsidRDefault="006864D5" w:rsidP="000C6DE6">
      <w:pPr>
        <w:rPr>
          <w:szCs w:val="22"/>
        </w:rPr>
      </w:pPr>
      <w:r w:rsidRPr="00341B9D">
        <w:rPr>
          <w:szCs w:val="22"/>
          <w:u w:val="single"/>
        </w:rPr>
        <w:t>Vartojimo metodas</w:t>
      </w:r>
    </w:p>
    <w:p w14:paraId="1C7008CF" w14:textId="77777777" w:rsidR="000C6DE6" w:rsidRDefault="004578E1" w:rsidP="000C6DE6">
      <w:pPr>
        <w:rPr>
          <w:szCs w:val="22"/>
        </w:rPr>
      </w:pPr>
      <w:r>
        <w:rPr>
          <w:szCs w:val="22"/>
        </w:rPr>
        <w:t>Vartoti per burną</w:t>
      </w:r>
      <w:r w:rsidR="00385569">
        <w:rPr>
          <w:szCs w:val="22"/>
        </w:rPr>
        <w:t>, geriausia</w:t>
      </w:r>
      <w:r w:rsidR="0058587E">
        <w:rPr>
          <w:szCs w:val="22"/>
        </w:rPr>
        <w:t>i</w:t>
      </w:r>
      <w:r w:rsidR="00385569">
        <w:rPr>
          <w:szCs w:val="22"/>
        </w:rPr>
        <w:t xml:space="preserve"> po valgio.</w:t>
      </w:r>
    </w:p>
    <w:p w14:paraId="110EBAC1" w14:textId="77777777" w:rsidR="00385569" w:rsidRPr="007B7B59" w:rsidRDefault="00385569" w:rsidP="000C6DE6">
      <w:pPr>
        <w:rPr>
          <w:szCs w:val="22"/>
        </w:rPr>
      </w:pPr>
    </w:p>
    <w:p w14:paraId="7D1F3183" w14:textId="77777777" w:rsidR="000C6DE6" w:rsidRPr="007B7B59" w:rsidRDefault="000C6DE6" w:rsidP="000C6DE6">
      <w:pPr>
        <w:ind w:left="567" w:hanging="567"/>
        <w:rPr>
          <w:b/>
          <w:szCs w:val="22"/>
        </w:rPr>
      </w:pPr>
      <w:r w:rsidRPr="007B7B59">
        <w:rPr>
          <w:b/>
          <w:szCs w:val="22"/>
        </w:rPr>
        <w:t>4.3</w:t>
      </w:r>
      <w:r w:rsidRPr="007B7B59">
        <w:rPr>
          <w:b/>
          <w:szCs w:val="22"/>
        </w:rPr>
        <w:tab/>
        <w:t>Kontraindikacijos</w:t>
      </w:r>
    </w:p>
    <w:p w14:paraId="30BB5FA8" w14:textId="77777777" w:rsidR="000C6DE6" w:rsidRPr="007B7B59" w:rsidRDefault="000C6DE6" w:rsidP="000C6DE6">
      <w:pPr>
        <w:rPr>
          <w:szCs w:val="22"/>
        </w:rPr>
      </w:pPr>
    </w:p>
    <w:p w14:paraId="1F518D9E" w14:textId="77777777" w:rsidR="00F17E42" w:rsidRDefault="00F17E42" w:rsidP="000C6DE6">
      <w:pPr>
        <w:rPr>
          <w:szCs w:val="22"/>
        </w:rPr>
      </w:pPr>
      <w:r>
        <w:rPr>
          <w:szCs w:val="22"/>
        </w:rPr>
        <w:t>P</w:t>
      </w:r>
      <w:r w:rsidR="000C6DE6" w:rsidRPr="007B7B59">
        <w:rPr>
          <w:szCs w:val="22"/>
        </w:rPr>
        <w:t xml:space="preserve">adidėjęs jautrumas veikliajai arba bet kuriai </w:t>
      </w:r>
      <w:r w:rsidR="00E12788" w:rsidRPr="007B7B59">
        <w:rPr>
          <w:szCs w:val="22"/>
        </w:rPr>
        <w:t xml:space="preserve">6.1 skyriuje nurodytai </w:t>
      </w:r>
      <w:r w:rsidR="000C6DE6" w:rsidRPr="007B7B59">
        <w:rPr>
          <w:szCs w:val="22"/>
        </w:rPr>
        <w:t>pagalbinei medžiagai</w:t>
      </w:r>
      <w:r>
        <w:rPr>
          <w:szCs w:val="22"/>
        </w:rPr>
        <w:t>.</w:t>
      </w:r>
      <w:r w:rsidR="000C6DE6" w:rsidRPr="007B7B59">
        <w:rPr>
          <w:szCs w:val="22"/>
        </w:rPr>
        <w:t xml:space="preserve"> </w:t>
      </w:r>
    </w:p>
    <w:p w14:paraId="16B2BB38" w14:textId="77777777" w:rsidR="000C6DE6" w:rsidRPr="007B7B59" w:rsidRDefault="00F17E42" w:rsidP="000C6DE6">
      <w:pPr>
        <w:rPr>
          <w:szCs w:val="22"/>
        </w:rPr>
      </w:pPr>
      <w:r>
        <w:rPr>
          <w:szCs w:val="22"/>
        </w:rPr>
        <w:t>Negalima vartoti m</w:t>
      </w:r>
      <w:r w:rsidR="000C6DE6" w:rsidRPr="007B7B59">
        <w:rPr>
          <w:szCs w:val="22"/>
        </w:rPr>
        <w:t xml:space="preserve">oterims prieš menopauzę, nėščiosioms </w:t>
      </w:r>
      <w:r>
        <w:rPr>
          <w:szCs w:val="22"/>
        </w:rPr>
        <w:t>ir</w:t>
      </w:r>
      <w:r w:rsidRPr="007B7B59">
        <w:rPr>
          <w:szCs w:val="22"/>
        </w:rPr>
        <w:t xml:space="preserve"> </w:t>
      </w:r>
      <w:r w:rsidR="000C6DE6" w:rsidRPr="007B7B59">
        <w:rPr>
          <w:szCs w:val="22"/>
        </w:rPr>
        <w:t>žindyvėms.</w:t>
      </w:r>
    </w:p>
    <w:p w14:paraId="61C51E7F" w14:textId="77777777" w:rsidR="000C6DE6" w:rsidRPr="007B7B59" w:rsidRDefault="000C6DE6" w:rsidP="000C6DE6">
      <w:pPr>
        <w:rPr>
          <w:szCs w:val="22"/>
        </w:rPr>
      </w:pPr>
    </w:p>
    <w:p w14:paraId="622FCF18" w14:textId="77777777" w:rsidR="000C6DE6" w:rsidRPr="007B7B59" w:rsidRDefault="000C6DE6" w:rsidP="000C6DE6">
      <w:pPr>
        <w:ind w:left="567" w:hanging="567"/>
        <w:rPr>
          <w:b/>
          <w:szCs w:val="22"/>
        </w:rPr>
      </w:pPr>
      <w:r w:rsidRPr="007B7B59">
        <w:rPr>
          <w:b/>
          <w:szCs w:val="22"/>
        </w:rPr>
        <w:t>4.4</w:t>
      </w:r>
      <w:r w:rsidRPr="007B7B59">
        <w:rPr>
          <w:b/>
          <w:szCs w:val="22"/>
        </w:rPr>
        <w:tab/>
        <w:t>Specialūs įspėjimai ir atsargumo priemonės</w:t>
      </w:r>
    </w:p>
    <w:p w14:paraId="5F28A734" w14:textId="77777777" w:rsidR="000C6DE6" w:rsidRPr="007B7B59" w:rsidRDefault="000C6DE6" w:rsidP="000C6DE6">
      <w:pPr>
        <w:rPr>
          <w:szCs w:val="22"/>
        </w:rPr>
      </w:pPr>
    </w:p>
    <w:p w14:paraId="35A36DC7" w14:textId="77777777" w:rsidR="000C6DE6" w:rsidRPr="007B7B59" w:rsidRDefault="000C6DE6" w:rsidP="000C6DE6">
      <w:pPr>
        <w:rPr>
          <w:szCs w:val="22"/>
        </w:rPr>
      </w:pPr>
      <w:r w:rsidRPr="007B7B59">
        <w:rPr>
          <w:szCs w:val="22"/>
        </w:rPr>
        <w:t xml:space="preserve">AROMASIN neskirti moterims, kurių endokrininės sistemos būklė yra prieš menopauzę. Jei pagal klinikinę būklę tikslinga, reikia ištirti LH, FSH ir </w:t>
      </w:r>
      <w:proofErr w:type="spellStart"/>
      <w:r w:rsidRPr="007B7B59">
        <w:rPr>
          <w:szCs w:val="22"/>
        </w:rPr>
        <w:t>estradiolio</w:t>
      </w:r>
      <w:proofErr w:type="spellEnd"/>
      <w:r w:rsidRPr="007B7B59">
        <w:rPr>
          <w:szCs w:val="22"/>
        </w:rPr>
        <w:t xml:space="preserve"> koncentracijas ir įsitikinti, ar endokrininės sistemos būklė yra po menopauzės.</w:t>
      </w:r>
    </w:p>
    <w:p w14:paraId="59B736BF" w14:textId="77777777" w:rsidR="000C6DE6" w:rsidRPr="007B7B59" w:rsidRDefault="000C6DE6" w:rsidP="000C6DE6">
      <w:pPr>
        <w:rPr>
          <w:szCs w:val="22"/>
        </w:rPr>
      </w:pPr>
    </w:p>
    <w:p w14:paraId="64BC13DA" w14:textId="77777777" w:rsidR="000C6DE6" w:rsidRPr="007B7B59" w:rsidRDefault="000C6DE6" w:rsidP="000C6DE6">
      <w:pPr>
        <w:rPr>
          <w:szCs w:val="22"/>
        </w:rPr>
      </w:pPr>
      <w:r w:rsidRPr="00B40036">
        <w:rPr>
          <w:szCs w:val="22"/>
        </w:rPr>
        <w:t>AROMASIN reikia atsargiai skirti pacientėms, kurių kepenų arba inkstų veikla sutrikusi.</w:t>
      </w:r>
    </w:p>
    <w:p w14:paraId="1E528390" w14:textId="77777777" w:rsidR="000C6DE6" w:rsidRPr="007B7B59" w:rsidRDefault="000C6DE6" w:rsidP="000C6DE6">
      <w:pPr>
        <w:rPr>
          <w:szCs w:val="22"/>
        </w:rPr>
      </w:pPr>
    </w:p>
    <w:p w14:paraId="5E8DFE55" w14:textId="77777777" w:rsidR="00837865" w:rsidRPr="007B7B59" w:rsidRDefault="000C6DE6" w:rsidP="00837865">
      <w:pPr>
        <w:tabs>
          <w:tab w:val="left" w:pos="3960"/>
        </w:tabs>
        <w:rPr>
          <w:szCs w:val="22"/>
        </w:rPr>
      </w:pPr>
      <w:r w:rsidRPr="007B7B59">
        <w:rPr>
          <w:szCs w:val="22"/>
        </w:rPr>
        <w:t xml:space="preserve">AROMASIN labai sumažina estrogenų kiekį ir, manoma, gali mažinti kaulų mineralinį tankį. AROMASIN įtaka ilgalaikei kaulų lūžių rizikai išlieka nenustatyta. </w:t>
      </w:r>
      <w:r w:rsidR="00A238BE" w:rsidRPr="007B7B59">
        <w:rPr>
          <w:szCs w:val="22"/>
        </w:rPr>
        <w:t xml:space="preserve">Pagalbinio gydymo </w:t>
      </w:r>
      <w:r w:rsidRPr="007B7B59">
        <w:rPr>
          <w:szCs w:val="22"/>
        </w:rPr>
        <w:t xml:space="preserve">AROMASIN </w:t>
      </w:r>
      <w:r w:rsidR="00A238BE" w:rsidRPr="007B7B59">
        <w:rPr>
          <w:szCs w:val="22"/>
        </w:rPr>
        <w:t>pradžioje</w:t>
      </w:r>
      <w:r w:rsidRPr="007B7B59">
        <w:rPr>
          <w:szCs w:val="22"/>
        </w:rPr>
        <w:t xml:space="preserve"> moterims, sergančiomis osteoporoze ar turinčiomis jai polinkį, reikia įvertinti pacienčių kaulų mineralinį tankį</w:t>
      </w:r>
      <w:r w:rsidR="00A238BE" w:rsidRPr="007B7B59">
        <w:rPr>
          <w:szCs w:val="22"/>
        </w:rPr>
        <w:t xml:space="preserve"> pagal esamas klinikines rekomendacijas ir praktiką. Pacientėms, kurių liga pažengusi, </w:t>
      </w:r>
      <w:r w:rsidRPr="007B7B59">
        <w:rPr>
          <w:szCs w:val="22"/>
        </w:rPr>
        <w:t xml:space="preserve">kaulų </w:t>
      </w:r>
      <w:r w:rsidR="00A238BE" w:rsidRPr="007B7B59">
        <w:rPr>
          <w:szCs w:val="22"/>
        </w:rPr>
        <w:t xml:space="preserve">mineralinis tankis (KMT) turi būti vertinamas </w:t>
      </w:r>
      <w:r w:rsidR="004D1941" w:rsidRPr="007B7B59">
        <w:rPr>
          <w:szCs w:val="22"/>
        </w:rPr>
        <w:t>kiekvienu atveju individualiai.</w:t>
      </w:r>
      <w:r w:rsidRPr="007B7B59">
        <w:rPr>
          <w:szCs w:val="22"/>
        </w:rPr>
        <w:t xml:space="preserve"> Nors reikiamų duomenų, rodančių, kokią įtaką gydymas AROMASIN daro kaulų mineraliniam tankiui, negauta, </w:t>
      </w:r>
      <w:r w:rsidR="00A238BE" w:rsidRPr="007B7B59">
        <w:rPr>
          <w:szCs w:val="22"/>
        </w:rPr>
        <w:t xml:space="preserve">AROMASIN gydomos pacientės turi </w:t>
      </w:r>
      <w:r w:rsidR="00837865" w:rsidRPr="007B7B59">
        <w:rPr>
          <w:szCs w:val="22"/>
        </w:rPr>
        <w:t xml:space="preserve">būti atidžiai stebimos ir </w:t>
      </w:r>
      <w:r w:rsidRPr="007B7B59">
        <w:rPr>
          <w:szCs w:val="22"/>
        </w:rPr>
        <w:t xml:space="preserve">turi būti pradėtas tinkamas osteoporozės </w:t>
      </w:r>
      <w:r w:rsidR="00837865" w:rsidRPr="007B7B59">
        <w:rPr>
          <w:szCs w:val="22"/>
        </w:rPr>
        <w:t xml:space="preserve">profilaktinis </w:t>
      </w:r>
      <w:r w:rsidRPr="007B7B59">
        <w:rPr>
          <w:szCs w:val="22"/>
        </w:rPr>
        <w:t xml:space="preserve">gydymas. </w:t>
      </w:r>
    </w:p>
    <w:p w14:paraId="0862E69D" w14:textId="77777777" w:rsidR="00837865" w:rsidRPr="007B7B59" w:rsidRDefault="00837865" w:rsidP="00837865">
      <w:pPr>
        <w:tabs>
          <w:tab w:val="left" w:pos="3960"/>
        </w:tabs>
        <w:rPr>
          <w:szCs w:val="22"/>
        </w:rPr>
      </w:pPr>
    </w:p>
    <w:p w14:paraId="5535BF72" w14:textId="77777777" w:rsidR="000C6DE6" w:rsidRDefault="00837865" w:rsidP="00837865">
      <w:pPr>
        <w:tabs>
          <w:tab w:val="left" w:pos="3960"/>
        </w:tabs>
        <w:rPr>
          <w:szCs w:val="22"/>
        </w:rPr>
      </w:pPr>
      <w:r w:rsidRPr="007B7B59">
        <w:rPr>
          <w:szCs w:val="22"/>
        </w:rPr>
        <w:t>Reik</w:t>
      </w:r>
      <w:r w:rsidR="004D1941" w:rsidRPr="007B7B59">
        <w:rPr>
          <w:szCs w:val="22"/>
        </w:rPr>
        <w:t>ia</w:t>
      </w:r>
      <w:r w:rsidRPr="007B7B59">
        <w:rPr>
          <w:szCs w:val="22"/>
        </w:rPr>
        <w:t xml:space="preserve"> apsvarstyti įprastą 25</w:t>
      </w:r>
      <w:r w:rsidR="004D1941" w:rsidRPr="007B7B59">
        <w:rPr>
          <w:szCs w:val="22"/>
        </w:rPr>
        <w:t>-</w:t>
      </w:r>
      <w:r w:rsidRPr="007B7B59">
        <w:rPr>
          <w:szCs w:val="22"/>
        </w:rPr>
        <w:t>hidroksi</w:t>
      </w:r>
      <w:r w:rsidR="004F5F2F" w:rsidRPr="007B7B59">
        <w:rPr>
          <w:szCs w:val="22"/>
        </w:rPr>
        <w:t>kalciferolio (</w:t>
      </w:r>
      <w:r w:rsidRPr="007B7B59">
        <w:rPr>
          <w:szCs w:val="22"/>
        </w:rPr>
        <w:t>vitamino D</w:t>
      </w:r>
      <w:r w:rsidR="004F5F2F" w:rsidRPr="007B7B59">
        <w:rPr>
          <w:szCs w:val="22"/>
        </w:rPr>
        <w:t>)</w:t>
      </w:r>
      <w:r w:rsidRPr="007B7B59">
        <w:rPr>
          <w:szCs w:val="22"/>
        </w:rPr>
        <w:t xml:space="preserve"> kiekio nustatymą prieš pradedant gydyti </w:t>
      </w:r>
      <w:proofErr w:type="spellStart"/>
      <w:r w:rsidRPr="007B7B59">
        <w:rPr>
          <w:szCs w:val="22"/>
        </w:rPr>
        <w:t>aromatazės</w:t>
      </w:r>
      <w:proofErr w:type="spellEnd"/>
      <w:r w:rsidRPr="007B7B59">
        <w:rPr>
          <w:szCs w:val="22"/>
        </w:rPr>
        <w:t xml:space="preserve"> inhibitorium</w:t>
      </w:r>
      <w:r w:rsidR="00817DB3" w:rsidRPr="007B7B59">
        <w:rPr>
          <w:szCs w:val="22"/>
        </w:rPr>
        <w:t>i</w:t>
      </w:r>
      <w:r w:rsidRPr="007B7B59">
        <w:rPr>
          <w:szCs w:val="22"/>
        </w:rPr>
        <w:t xml:space="preserve">, nes moterims, sergančioms ankstyvosios stadijos krūties vėžiu, dažnai pasitaiko jo didelis nepakankamumas. Moterys, kurioms trūksta </w:t>
      </w:r>
      <w:r w:rsidR="007B726E" w:rsidRPr="007B7B59">
        <w:rPr>
          <w:szCs w:val="22"/>
        </w:rPr>
        <w:t xml:space="preserve">vitamino </w:t>
      </w:r>
      <w:r w:rsidRPr="007B7B59">
        <w:rPr>
          <w:szCs w:val="22"/>
        </w:rPr>
        <w:t>D, tur</w:t>
      </w:r>
      <w:r w:rsidR="004D1941" w:rsidRPr="007B7B59">
        <w:rPr>
          <w:szCs w:val="22"/>
        </w:rPr>
        <w:t>i</w:t>
      </w:r>
      <w:r w:rsidRPr="007B7B59">
        <w:rPr>
          <w:szCs w:val="22"/>
        </w:rPr>
        <w:t xml:space="preserve"> papildomai vartoti vitamino D.</w:t>
      </w:r>
    </w:p>
    <w:p w14:paraId="09FE4AEA" w14:textId="77777777" w:rsidR="00F02FB1" w:rsidRDefault="00F02FB1" w:rsidP="00837865">
      <w:pPr>
        <w:tabs>
          <w:tab w:val="left" w:pos="3960"/>
        </w:tabs>
        <w:rPr>
          <w:szCs w:val="22"/>
        </w:rPr>
      </w:pPr>
    </w:p>
    <w:p w14:paraId="5DC7959F" w14:textId="2F7466FB" w:rsidR="00F02FB1" w:rsidRPr="007B7B59" w:rsidRDefault="00F02FB1" w:rsidP="00F02FB1">
      <w:pPr>
        <w:autoSpaceDE w:val="0"/>
        <w:autoSpaceDN w:val="0"/>
        <w:adjustRightInd w:val="0"/>
        <w:rPr>
          <w:szCs w:val="22"/>
        </w:rPr>
      </w:pPr>
      <w:r w:rsidRPr="007B7B59">
        <w:rPr>
          <w:szCs w:val="22"/>
        </w:rPr>
        <w:t xml:space="preserve">AROMASIN tabletėse yra sacharozės, todėl </w:t>
      </w:r>
      <w:r w:rsidR="00481165">
        <w:rPr>
          <w:szCs w:val="22"/>
        </w:rPr>
        <w:t>šio vaistinio preparato</w:t>
      </w:r>
      <w:r w:rsidRPr="007B7B59">
        <w:rPr>
          <w:szCs w:val="22"/>
        </w:rPr>
        <w:t xml:space="preserve"> negalima </w:t>
      </w:r>
      <w:r w:rsidR="00481165">
        <w:rPr>
          <w:szCs w:val="22"/>
        </w:rPr>
        <w:t>vartoti</w:t>
      </w:r>
      <w:r w:rsidRPr="007B7B59">
        <w:rPr>
          <w:szCs w:val="22"/>
        </w:rPr>
        <w:t xml:space="preserve"> pacientams, </w:t>
      </w:r>
      <w:r w:rsidRPr="007B7B59">
        <w:rPr>
          <w:szCs w:val="22"/>
          <w:lang w:eastAsia="lt-LT"/>
        </w:rPr>
        <w:t>kuriems</w:t>
      </w:r>
      <w:r w:rsidR="00481165">
        <w:rPr>
          <w:szCs w:val="22"/>
          <w:lang w:eastAsia="lt-LT"/>
        </w:rPr>
        <w:t xml:space="preserve"> </w:t>
      </w:r>
      <w:r w:rsidRPr="007B7B59">
        <w:rPr>
          <w:szCs w:val="22"/>
          <w:lang w:eastAsia="lt-LT"/>
        </w:rPr>
        <w:t xml:space="preserve">nustatytas retas paveldimas sutrikimas – fruktozės </w:t>
      </w:r>
      <w:proofErr w:type="spellStart"/>
      <w:r w:rsidRPr="007B7B59">
        <w:rPr>
          <w:szCs w:val="22"/>
          <w:lang w:eastAsia="lt-LT"/>
        </w:rPr>
        <w:t>netoleravimas</w:t>
      </w:r>
      <w:proofErr w:type="spellEnd"/>
      <w:r w:rsidRPr="007B7B59">
        <w:rPr>
          <w:szCs w:val="22"/>
          <w:lang w:eastAsia="lt-LT"/>
        </w:rPr>
        <w:t xml:space="preserve">, gliukozės ir </w:t>
      </w:r>
      <w:proofErr w:type="spellStart"/>
      <w:r w:rsidRPr="007B7B59">
        <w:rPr>
          <w:szCs w:val="22"/>
          <w:lang w:eastAsia="lt-LT"/>
        </w:rPr>
        <w:t>galaktozės</w:t>
      </w:r>
      <w:proofErr w:type="spellEnd"/>
      <w:r w:rsidRPr="007B7B59">
        <w:rPr>
          <w:szCs w:val="22"/>
          <w:lang w:eastAsia="lt-LT"/>
        </w:rPr>
        <w:t xml:space="preserve"> </w:t>
      </w:r>
      <w:proofErr w:type="spellStart"/>
      <w:r w:rsidRPr="007B7B59">
        <w:rPr>
          <w:szCs w:val="22"/>
          <w:lang w:eastAsia="lt-LT"/>
        </w:rPr>
        <w:t>malabsorbcija</w:t>
      </w:r>
      <w:proofErr w:type="spellEnd"/>
      <w:r w:rsidRPr="007B7B59">
        <w:rPr>
          <w:szCs w:val="22"/>
          <w:lang w:eastAsia="lt-LT"/>
        </w:rPr>
        <w:t xml:space="preserve"> arba </w:t>
      </w:r>
      <w:proofErr w:type="spellStart"/>
      <w:r w:rsidRPr="007B7B59">
        <w:rPr>
          <w:szCs w:val="22"/>
          <w:lang w:eastAsia="lt-LT"/>
        </w:rPr>
        <w:t>sacharazės</w:t>
      </w:r>
      <w:proofErr w:type="spellEnd"/>
      <w:r w:rsidRPr="007B7B59">
        <w:rPr>
          <w:szCs w:val="22"/>
          <w:lang w:eastAsia="lt-LT"/>
        </w:rPr>
        <w:t xml:space="preserve"> ir </w:t>
      </w:r>
      <w:proofErr w:type="spellStart"/>
      <w:r w:rsidRPr="007B7B59">
        <w:rPr>
          <w:szCs w:val="22"/>
          <w:lang w:eastAsia="lt-LT"/>
        </w:rPr>
        <w:t>izomaltazės</w:t>
      </w:r>
      <w:proofErr w:type="spellEnd"/>
      <w:r w:rsidRPr="007B7B59">
        <w:rPr>
          <w:szCs w:val="22"/>
          <w:lang w:eastAsia="lt-LT"/>
        </w:rPr>
        <w:t xml:space="preserve"> stygius</w:t>
      </w:r>
      <w:r w:rsidRPr="007B7B59">
        <w:rPr>
          <w:szCs w:val="22"/>
        </w:rPr>
        <w:t>.</w:t>
      </w:r>
    </w:p>
    <w:p w14:paraId="4CC3EB13" w14:textId="77777777" w:rsidR="00F02FB1" w:rsidRPr="007B7B59" w:rsidRDefault="00F02FB1" w:rsidP="00F02FB1">
      <w:pPr>
        <w:rPr>
          <w:szCs w:val="22"/>
        </w:rPr>
      </w:pPr>
    </w:p>
    <w:p w14:paraId="131E0A7A" w14:textId="42946D52" w:rsidR="00F02FB1" w:rsidRDefault="00F02FB1" w:rsidP="00E129E5">
      <w:pPr>
        <w:rPr>
          <w:szCs w:val="22"/>
        </w:rPr>
      </w:pPr>
      <w:r w:rsidRPr="007B7B59">
        <w:rPr>
          <w:szCs w:val="22"/>
        </w:rPr>
        <w:t xml:space="preserve">AROMASIN tabletėse yra metilo </w:t>
      </w:r>
      <w:proofErr w:type="spellStart"/>
      <w:r w:rsidRPr="007B7B59">
        <w:rPr>
          <w:szCs w:val="22"/>
        </w:rPr>
        <w:t>parahidroksibenzoato</w:t>
      </w:r>
      <w:proofErr w:type="spellEnd"/>
      <w:r w:rsidRPr="007B7B59">
        <w:rPr>
          <w:szCs w:val="22"/>
        </w:rPr>
        <w:t>, kuris gali sukelti alerginių reakcijų</w:t>
      </w:r>
      <w:r w:rsidR="00481165">
        <w:rPr>
          <w:szCs w:val="22"/>
        </w:rPr>
        <w:t>,</w:t>
      </w:r>
      <w:r w:rsidR="00481165" w:rsidRPr="00481165">
        <w:rPr>
          <w:szCs w:val="22"/>
        </w:rPr>
        <w:t xml:space="preserve"> </w:t>
      </w:r>
      <w:r w:rsidR="00481165">
        <w:rPr>
          <w:szCs w:val="22"/>
        </w:rPr>
        <w:t>kurios gali būti uždelstos.</w:t>
      </w:r>
    </w:p>
    <w:p w14:paraId="449A12E1" w14:textId="65D31282" w:rsidR="00481165" w:rsidRDefault="00481165" w:rsidP="00E129E5">
      <w:pPr>
        <w:rPr>
          <w:szCs w:val="22"/>
        </w:rPr>
      </w:pPr>
    </w:p>
    <w:p w14:paraId="2C4092F4" w14:textId="77777777" w:rsidR="00481165" w:rsidRPr="0062154D" w:rsidRDefault="00481165" w:rsidP="00481165">
      <w:pPr>
        <w:pStyle w:val="BTEMEASMCA"/>
        <w:rPr>
          <w:sz w:val="22"/>
          <w:szCs w:val="22"/>
        </w:rPr>
      </w:pPr>
      <w:r w:rsidRPr="0062154D">
        <w:rPr>
          <w:sz w:val="22"/>
          <w:szCs w:val="22"/>
        </w:rPr>
        <w:t>Šio vaistinio preparato tabletėje yra mažiau kaip 1 mmol (23 mg) natrio, t.y. jis beveik neturi reikšmės.</w:t>
      </w:r>
    </w:p>
    <w:p w14:paraId="0284A43E" w14:textId="77777777" w:rsidR="00837865" w:rsidRPr="007B7B59" w:rsidRDefault="00837865" w:rsidP="00837865">
      <w:pPr>
        <w:tabs>
          <w:tab w:val="left" w:pos="3960"/>
        </w:tabs>
        <w:rPr>
          <w:szCs w:val="22"/>
        </w:rPr>
      </w:pPr>
    </w:p>
    <w:p w14:paraId="359DA1A9" w14:textId="77777777" w:rsidR="000C6DE6" w:rsidRPr="007B7B59" w:rsidRDefault="000C6DE6" w:rsidP="000C6DE6">
      <w:pPr>
        <w:ind w:left="567" w:hanging="567"/>
        <w:rPr>
          <w:szCs w:val="22"/>
        </w:rPr>
      </w:pPr>
      <w:r w:rsidRPr="007B7B59">
        <w:rPr>
          <w:b/>
          <w:szCs w:val="22"/>
        </w:rPr>
        <w:t>4.5</w:t>
      </w:r>
      <w:r w:rsidRPr="007B7B59">
        <w:rPr>
          <w:b/>
          <w:szCs w:val="22"/>
        </w:rPr>
        <w:tab/>
        <w:t>Sąveika su kitais vaistiniais preparatais ir kitokia sąveika</w:t>
      </w:r>
    </w:p>
    <w:p w14:paraId="7B4FA0A4" w14:textId="77777777" w:rsidR="000C6DE6" w:rsidRPr="007B7B59" w:rsidRDefault="000C6DE6" w:rsidP="000C6DE6">
      <w:pPr>
        <w:rPr>
          <w:szCs w:val="22"/>
        </w:rPr>
      </w:pPr>
    </w:p>
    <w:p w14:paraId="38D2B907" w14:textId="77777777" w:rsidR="000C6DE6" w:rsidRPr="007B7B59" w:rsidRDefault="000C6DE6" w:rsidP="000C6DE6">
      <w:pPr>
        <w:rPr>
          <w:szCs w:val="22"/>
        </w:rPr>
      </w:pPr>
      <w:proofErr w:type="spellStart"/>
      <w:r w:rsidRPr="007B7B59">
        <w:rPr>
          <w:i/>
          <w:szCs w:val="22"/>
        </w:rPr>
        <w:t>In</w:t>
      </w:r>
      <w:proofErr w:type="spellEnd"/>
      <w:r w:rsidRPr="007B7B59">
        <w:rPr>
          <w:i/>
          <w:szCs w:val="22"/>
        </w:rPr>
        <w:t xml:space="preserve"> </w:t>
      </w:r>
      <w:proofErr w:type="spellStart"/>
      <w:r w:rsidRPr="007B7B59">
        <w:rPr>
          <w:i/>
          <w:szCs w:val="22"/>
        </w:rPr>
        <w:t>vitro</w:t>
      </w:r>
      <w:proofErr w:type="spellEnd"/>
      <w:r w:rsidRPr="007B7B59">
        <w:rPr>
          <w:szCs w:val="22"/>
        </w:rPr>
        <w:t xml:space="preserve"> atliktų tyrimų duomenimis šis vaistinis preparatas </w:t>
      </w:r>
      <w:proofErr w:type="spellStart"/>
      <w:r w:rsidRPr="007B7B59">
        <w:rPr>
          <w:szCs w:val="22"/>
        </w:rPr>
        <w:t>metabolizuojamas</w:t>
      </w:r>
      <w:proofErr w:type="spellEnd"/>
      <w:r w:rsidRPr="007B7B59">
        <w:rPr>
          <w:szCs w:val="22"/>
        </w:rPr>
        <w:t xml:space="preserve"> </w:t>
      </w:r>
      <w:proofErr w:type="spellStart"/>
      <w:r w:rsidRPr="007B7B59">
        <w:rPr>
          <w:szCs w:val="22"/>
        </w:rPr>
        <w:t>citochromo</w:t>
      </w:r>
      <w:proofErr w:type="spellEnd"/>
      <w:r w:rsidRPr="007B7B59">
        <w:rPr>
          <w:szCs w:val="22"/>
        </w:rPr>
        <w:t xml:space="preserve"> P450 (CYP 3A4) ir </w:t>
      </w:r>
      <w:proofErr w:type="spellStart"/>
      <w:r w:rsidRPr="007B7B59">
        <w:rPr>
          <w:szCs w:val="22"/>
        </w:rPr>
        <w:t>aldoketoreduktazės</w:t>
      </w:r>
      <w:proofErr w:type="spellEnd"/>
      <w:r w:rsidRPr="007B7B59">
        <w:rPr>
          <w:szCs w:val="22"/>
        </w:rPr>
        <w:t xml:space="preserve"> (žr. 5.2 skyriuje), o pagrindinių CYP fermentų šis vaistinis preparatas neslopina. Atliekant klinikinės </w:t>
      </w:r>
      <w:proofErr w:type="spellStart"/>
      <w:r w:rsidRPr="007B7B59">
        <w:rPr>
          <w:szCs w:val="22"/>
        </w:rPr>
        <w:t>farmakokinetikos</w:t>
      </w:r>
      <w:proofErr w:type="spellEnd"/>
      <w:r w:rsidRPr="007B7B59">
        <w:rPr>
          <w:szCs w:val="22"/>
        </w:rPr>
        <w:t xml:space="preserve"> tyrimą, </w:t>
      </w:r>
      <w:proofErr w:type="spellStart"/>
      <w:r w:rsidRPr="007B7B59">
        <w:rPr>
          <w:szCs w:val="22"/>
        </w:rPr>
        <w:t>ketokonazoliu</w:t>
      </w:r>
      <w:proofErr w:type="spellEnd"/>
      <w:r w:rsidRPr="007B7B59">
        <w:rPr>
          <w:szCs w:val="22"/>
        </w:rPr>
        <w:t xml:space="preserve"> specifiškai nuslopinus CYP 3A4 aktyvumą, </w:t>
      </w:r>
      <w:proofErr w:type="spellStart"/>
      <w:r w:rsidRPr="007B7B59">
        <w:rPr>
          <w:szCs w:val="22"/>
        </w:rPr>
        <w:t>eksemestano</w:t>
      </w:r>
      <w:proofErr w:type="spellEnd"/>
      <w:r w:rsidRPr="007B7B59">
        <w:rPr>
          <w:szCs w:val="22"/>
        </w:rPr>
        <w:t xml:space="preserve"> </w:t>
      </w:r>
      <w:proofErr w:type="spellStart"/>
      <w:r w:rsidRPr="007B7B59">
        <w:rPr>
          <w:szCs w:val="22"/>
        </w:rPr>
        <w:t>farmakokinetika</w:t>
      </w:r>
      <w:proofErr w:type="spellEnd"/>
      <w:r w:rsidRPr="007B7B59">
        <w:rPr>
          <w:szCs w:val="22"/>
        </w:rPr>
        <w:t xml:space="preserve"> reikšmingai nepakito.</w:t>
      </w:r>
    </w:p>
    <w:p w14:paraId="0711085B" w14:textId="77777777" w:rsidR="000C6DE6" w:rsidRPr="007B7B59" w:rsidRDefault="000C6DE6" w:rsidP="000C6DE6">
      <w:pPr>
        <w:rPr>
          <w:szCs w:val="22"/>
        </w:rPr>
      </w:pPr>
    </w:p>
    <w:p w14:paraId="337A3120" w14:textId="77777777" w:rsidR="000C6DE6" w:rsidRPr="007B7B59" w:rsidRDefault="000C6DE6" w:rsidP="000C6DE6">
      <w:pPr>
        <w:rPr>
          <w:szCs w:val="22"/>
        </w:rPr>
      </w:pPr>
      <w:r w:rsidRPr="007B7B59">
        <w:rPr>
          <w:szCs w:val="22"/>
        </w:rPr>
        <w:t xml:space="preserve">Tarpusavio sąveikos tyrimo duomenimis, kartu su </w:t>
      </w:r>
      <w:proofErr w:type="spellStart"/>
      <w:r w:rsidRPr="007B7B59">
        <w:rPr>
          <w:szCs w:val="22"/>
        </w:rPr>
        <w:t>rifampicino</w:t>
      </w:r>
      <w:proofErr w:type="spellEnd"/>
      <w:r w:rsidRPr="007B7B59">
        <w:rPr>
          <w:szCs w:val="22"/>
        </w:rPr>
        <w:t xml:space="preserve"> 600 mg paros doze pavartojus </w:t>
      </w:r>
      <w:proofErr w:type="spellStart"/>
      <w:r w:rsidRPr="007B7B59">
        <w:rPr>
          <w:szCs w:val="22"/>
        </w:rPr>
        <w:t>eksemestano</w:t>
      </w:r>
      <w:proofErr w:type="spellEnd"/>
      <w:r w:rsidRPr="007B7B59">
        <w:rPr>
          <w:szCs w:val="22"/>
        </w:rPr>
        <w:t xml:space="preserve"> vienkartinę 25 mg dozę, </w:t>
      </w:r>
      <w:proofErr w:type="spellStart"/>
      <w:r w:rsidRPr="007B7B59">
        <w:rPr>
          <w:szCs w:val="22"/>
        </w:rPr>
        <w:t>eksemestano</w:t>
      </w:r>
      <w:proofErr w:type="spellEnd"/>
      <w:r w:rsidRPr="007B7B59">
        <w:rPr>
          <w:szCs w:val="22"/>
        </w:rPr>
        <w:t xml:space="preserve"> AUC sumažėjo 54 % ir </w:t>
      </w:r>
      <w:proofErr w:type="spellStart"/>
      <w:r w:rsidRPr="007B7B59">
        <w:rPr>
          <w:szCs w:val="22"/>
        </w:rPr>
        <w:t>Cmax</w:t>
      </w:r>
      <w:proofErr w:type="spellEnd"/>
      <w:r w:rsidRPr="007B7B59">
        <w:rPr>
          <w:szCs w:val="22"/>
        </w:rPr>
        <w:t xml:space="preserve"> – 41 %. Nors šios sąveikos reikšmė klinikai neįvertinta, kartu vartojami vaistiniai preparatai, pavyzdžiui, </w:t>
      </w:r>
      <w:proofErr w:type="spellStart"/>
      <w:r w:rsidRPr="007B7B59">
        <w:rPr>
          <w:szCs w:val="22"/>
        </w:rPr>
        <w:t>rifampicinas</w:t>
      </w:r>
      <w:proofErr w:type="spellEnd"/>
      <w:r w:rsidRPr="007B7B59">
        <w:rPr>
          <w:szCs w:val="22"/>
        </w:rPr>
        <w:t xml:space="preserve">, vaistiniai preparatai nuo traukulių (pvz., </w:t>
      </w:r>
      <w:proofErr w:type="spellStart"/>
      <w:r w:rsidRPr="007B7B59">
        <w:rPr>
          <w:szCs w:val="22"/>
        </w:rPr>
        <w:t>fenitoinas</w:t>
      </w:r>
      <w:proofErr w:type="spellEnd"/>
      <w:r w:rsidRPr="007B7B59">
        <w:rPr>
          <w:szCs w:val="22"/>
        </w:rPr>
        <w:t xml:space="preserve"> ir </w:t>
      </w:r>
      <w:proofErr w:type="spellStart"/>
      <w:r w:rsidRPr="007B7B59">
        <w:rPr>
          <w:szCs w:val="22"/>
        </w:rPr>
        <w:t>karbamazepinas</w:t>
      </w:r>
      <w:proofErr w:type="spellEnd"/>
      <w:r w:rsidRPr="007B7B59">
        <w:rPr>
          <w:szCs w:val="22"/>
        </w:rPr>
        <w:t>) ir augaliniai vaistiniai preparatai, kurių sudėtyje yra jonažolės (</w:t>
      </w:r>
      <w:proofErr w:type="spellStart"/>
      <w:r w:rsidRPr="007B7B59">
        <w:rPr>
          <w:i/>
          <w:szCs w:val="22"/>
        </w:rPr>
        <w:t>Hypericum</w:t>
      </w:r>
      <w:proofErr w:type="spellEnd"/>
      <w:r w:rsidRPr="007B7B59">
        <w:rPr>
          <w:i/>
          <w:szCs w:val="22"/>
        </w:rPr>
        <w:t xml:space="preserve"> </w:t>
      </w:r>
      <w:proofErr w:type="spellStart"/>
      <w:r w:rsidRPr="007B7B59">
        <w:rPr>
          <w:i/>
          <w:szCs w:val="22"/>
        </w:rPr>
        <w:t>perforatum</w:t>
      </w:r>
      <w:proofErr w:type="spellEnd"/>
      <w:r w:rsidRPr="007B7B59">
        <w:rPr>
          <w:szCs w:val="22"/>
        </w:rPr>
        <w:t>), kurie sužadina CYP3A4, gali mažinti AROMASIN efektyvumą.</w:t>
      </w:r>
    </w:p>
    <w:p w14:paraId="71BB5697" w14:textId="77777777" w:rsidR="000C6DE6" w:rsidRPr="007B7B59" w:rsidRDefault="000C6DE6" w:rsidP="000C6DE6">
      <w:pPr>
        <w:rPr>
          <w:szCs w:val="22"/>
        </w:rPr>
      </w:pPr>
    </w:p>
    <w:p w14:paraId="3AF5C103" w14:textId="77777777" w:rsidR="000C6DE6" w:rsidRPr="007B7B59" w:rsidRDefault="000C6DE6" w:rsidP="000C6DE6">
      <w:pPr>
        <w:rPr>
          <w:szCs w:val="22"/>
        </w:rPr>
      </w:pPr>
      <w:r w:rsidRPr="007B7B59">
        <w:rPr>
          <w:szCs w:val="22"/>
        </w:rPr>
        <w:lastRenderedPageBreak/>
        <w:t xml:space="preserve">AROMASIN kartu su vaistiniais preparatais, kurie </w:t>
      </w:r>
      <w:proofErr w:type="spellStart"/>
      <w:r w:rsidRPr="007B7B59">
        <w:rPr>
          <w:szCs w:val="22"/>
        </w:rPr>
        <w:t>metabolizuojami</w:t>
      </w:r>
      <w:proofErr w:type="spellEnd"/>
      <w:r w:rsidRPr="007B7B59">
        <w:rPr>
          <w:szCs w:val="22"/>
        </w:rPr>
        <w:t xml:space="preserve"> dalyvaujant CYP 3A4, ir kurių yra siauras terapinis spektras, reikia vartoti atsargiai. Klinikinės AROMASIN vartojimo kartu su kitais priešvėžiniais vaistiniais preparatais patirties nėra. </w:t>
      </w:r>
    </w:p>
    <w:p w14:paraId="00FA6822" w14:textId="77777777" w:rsidR="000C6DE6" w:rsidRPr="007B7B59" w:rsidRDefault="000C6DE6" w:rsidP="000C6DE6">
      <w:pPr>
        <w:rPr>
          <w:szCs w:val="22"/>
        </w:rPr>
      </w:pPr>
    </w:p>
    <w:p w14:paraId="2179A43D" w14:textId="77777777" w:rsidR="000C6DE6" w:rsidRPr="007B7B59" w:rsidRDefault="000C6DE6" w:rsidP="000C6DE6">
      <w:pPr>
        <w:rPr>
          <w:szCs w:val="22"/>
        </w:rPr>
      </w:pPr>
      <w:r w:rsidRPr="007B7B59">
        <w:rPr>
          <w:szCs w:val="22"/>
        </w:rPr>
        <w:t xml:space="preserve">AROMASIN neskirti kartu su vaistiniais preparatais, kurių sudėtyje yra estrogenų, kadangi šie gali </w:t>
      </w:r>
      <w:proofErr w:type="spellStart"/>
      <w:r w:rsidRPr="007B7B59">
        <w:rPr>
          <w:szCs w:val="22"/>
        </w:rPr>
        <w:t>susilpninti</w:t>
      </w:r>
      <w:proofErr w:type="spellEnd"/>
      <w:r w:rsidRPr="007B7B59">
        <w:rPr>
          <w:szCs w:val="22"/>
        </w:rPr>
        <w:t xml:space="preserve"> jo farmakologinį poveikį.</w:t>
      </w:r>
    </w:p>
    <w:p w14:paraId="529E815E" w14:textId="77777777" w:rsidR="000C6DE6" w:rsidRPr="007B7B59" w:rsidRDefault="000C6DE6" w:rsidP="000C6DE6">
      <w:pPr>
        <w:rPr>
          <w:szCs w:val="22"/>
        </w:rPr>
      </w:pPr>
    </w:p>
    <w:p w14:paraId="25D5C3E3" w14:textId="77777777" w:rsidR="000C6DE6" w:rsidRPr="007B7B59" w:rsidRDefault="000C6DE6" w:rsidP="000C6DE6">
      <w:pPr>
        <w:ind w:left="567" w:hanging="567"/>
        <w:rPr>
          <w:b/>
          <w:szCs w:val="22"/>
        </w:rPr>
      </w:pPr>
      <w:r w:rsidRPr="007B7B59">
        <w:rPr>
          <w:b/>
          <w:szCs w:val="22"/>
        </w:rPr>
        <w:t>4.6</w:t>
      </w:r>
      <w:r w:rsidRPr="007B7B59">
        <w:rPr>
          <w:b/>
          <w:szCs w:val="22"/>
        </w:rPr>
        <w:tab/>
      </w:r>
      <w:r w:rsidR="00837865" w:rsidRPr="007B7B59">
        <w:rPr>
          <w:b/>
          <w:szCs w:val="22"/>
        </w:rPr>
        <w:t>Vaisingumas, n</w:t>
      </w:r>
      <w:r w:rsidRPr="007B7B59">
        <w:rPr>
          <w:b/>
          <w:szCs w:val="22"/>
        </w:rPr>
        <w:t>ėštum</w:t>
      </w:r>
      <w:r w:rsidR="00CF72E9" w:rsidRPr="007B7B59">
        <w:rPr>
          <w:b/>
          <w:szCs w:val="22"/>
        </w:rPr>
        <w:t>o</w:t>
      </w:r>
      <w:r w:rsidRPr="007B7B59">
        <w:rPr>
          <w:b/>
          <w:szCs w:val="22"/>
        </w:rPr>
        <w:t xml:space="preserve"> ir </w:t>
      </w:r>
      <w:r w:rsidRPr="007B7B59">
        <w:rPr>
          <w:b/>
          <w:bCs/>
          <w:szCs w:val="22"/>
        </w:rPr>
        <w:t>žindymo laikotarpis</w:t>
      </w:r>
    </w:p>
    <w:p w14:paraId="14C89743" w14:textId="77777777" w:rsidR="000C6DE6" w:rsidRPr="007B7B59" w:rsidRDefault="000C6DE6" w:rsidP="000C6DE6">
      <w:pPr>
        <w:rPr>
          <w:szCs w:val="22"/>
        </w:rPr>
      </w:pPr>
    </w:p>
    <w:p w14:paraId="6E5F96DD" w14:textId="77777777" w:rsidR="00F25204" w:rsidRPr="00341B9D" w:rsidRDefault="00F25204" w:rsidP="000C6DE6">
      <w:pPr>
        <w:rPr>
          <w:szCs w:val="22"/>
          <w:u w:val="single"/>
        </w:rPr>
      </w:pPr>
      <w:r w:rsidRPr="00341B9D">
        <w:rPr>
          <w:szCs w:val="22"/>
          <w:u w:val="single"/>
        </w:rPr>
        <w:t>Nėštumas</w:t>
      </w:r>
    </w:p>
    <w:p w14:paraId="642B9EF5" w14:textId="77777777" w:rsidR="00F25204" w:rsidRPr="007B7B59" w:rsidRDefault="000C6DE6" w:rsidP="000C6DE6">
      <w:pPr>
        <w:rPr>
          <w:szCs w:val="22"/>
        </w:rPr>
      </w:pPr>
      <w:r w:rsidRPr="007B7B59">
        <w:rPr>
          <w:szCs w:val="22"/>
        </w:rPr>
        <w:t xml:space="preserve">Reikiamų duomenų apie </w:t>
      </w:r>
      <w:proofErr w:type="spellStart"/>
      <w:r w:rsidRPr="007B7B59">
        <w:rPr>
          <w:szCs w:val="22"/>
        </w:rPr>
        <w:t>eksemestano</w:t>
      </w:r>
      <w:proofErr w:type="spellEnd"/>
      <w:r w:rsidRPr="007B7B59">
        <w:rPr>
          <w:szCs w:val="22"/>
        </w:rPr>
        <w:t xml:space="preserve"> vartojimą nėštumo metu nėra. Su gyvūnais atlikti tyrimai parodė toksinį poveikį reprodukcijai (žr. 5.3 skyrių). Galimas pavojus žmogui nežinomas. Todėl nėščioms moterims vartoti š</w:t>
      </w:r>
      <w:r w:rsidR="00DB7487">
        <w:rPr>
          <w:szCs w:val="22"/>
        </w:rPr>
        <w:t>io</w:t>
      </w:r>
      <w:r w:rsidRPr="007B7B59">
        <w:rPr>
          <w:szCs w:val="22"/>
        </w:rPr>
        <w:t xml:space="preserve"> vaistin</w:t>
      </w:r>
      <w:r w:rsidR="00DB7487">
        <w:rPr>
          <w:szCs w:val="22"/>
        </w:rPr>
        <w:t>io</w:t>
      </w:r>
      <w:r w:rsidRPr="007B7B59">
        <w:rPr>
          <w:szCs w:val="22"/>
        </w:rPr>
        <w:t xml:space="preserve"> preparat</w:t>
      </w:r>
      <w:r w:rsidR="00DB7487">
        <w:rPr>
          <w:szCs w:val="22"/>
        </w:rPr>
        <w:t>o</w:t>
      </w:r>
      <w:r w:rsidRPr="007B7B59">
        <w:rPr>
          <w:szCs w:val="22"/>
        </w:rPr>
        <w:t xml:space="preserve"> negalima</w:t>
      </w:r>
      <w:r w:rsidR="00DB7487">
        <w:rPr>
          <w:szCs w:val="22"/>
        </w:rPr>
        <w:t xml:space="preserve"> (žr. 4.3 sk.)</w:t>
      </w:r>
      <w:r w:rsidRPr="007B7B59">
        <w:rPr>
          <w:szCs w:val="22"/>
        </w:rPr>
        <w:t xml:space="preserve">. </w:t>
      </w:r>
    </w:p>
    <w:p w14:paraId="787E14D0" w14:textId="77777777" w:rsidR="00F25204" w:rsidRPr="007B7B59" w:rsidRDefault="00F25204" w:rsidP="000C6DE6">
      <w:pPr>
        <w:rPr>
          <w:szCs w:val="22"/>
        </w:rPr>
      </w:pPr>
    </w:p>
    <w:p w14:paraId="17F15A6A" w14:textId="77777777" w:rsidR="00F25204" w:rsidRPr="00341B9D" w:rsidRDefault="00F25204" w:rsidP="000C6DE6">
      <w:pPr>
        <w:rPr>
          <w:szCs w:val="22"/>
          <w:u w:val="single"/>
        </w:rPr>
      </w:pPr>
      <w:r w:rsidRPr="00341B9D">
        <w:rPr>
          <w:szCs w:val="22"/>
          <w:u w:val="single"/>
        </w:rPr>
        <w:t>Žindymas</w:t>
      </w:r>
    </w:p>
    <w:p w14:paraId="212648E3" w14:textId="77777777" w:rsidR="000C6DE6" w:rsidRPr="007B7B59" w:rsidRDefault="000C6DE6" w:rsidP="000C6DE6">
      <w:pPr>
        <w:rPr>
          <w:szCs w:val="22"/>
        </w:rPr>
      </w:pPr>
      <w:r w:rsidRPr="007B7B59">
        <w:rPr>
          <w:szCs w:val="22"/>
        </w:rPr>
        <w:t xml:space="preserve">Nežinoma, ar </w:t>
      </w:r>
      <w:proofErr w:type="spellStart"/>
      <w:r w:rsidRPr="007B7B59">
        <w:rPr>
          <w:szCs w:val="22"/>
        </w:rPr>
        <w:t>eksemestano</w:t>
      </w:r>
      <w:proofErr w:type="spellEnd"/>
      <w:r w:rsidRPr="007B7B59">
        <w:rPr>
          <w:szCs w:val="22"/>
        </w:rPr>
        <w:t xml:space="preserve"> išsiskiria su motinos pienu. Žindyvėms skirti AROMASIN negalima</w:t>
      </w:r>
      <w:r w:rsidR="00027B43">
        <w:rPr>
          <w:szCs w:val="22"/>
        </w:rPr>
        <w:t xml:space="preserve"> (žr. 4.3 sk.)</w:t>
      </w:r>
      <w:r w:rsidRPr="007B7B59">
        <w:rPr>
          <w:szCs w:val="22"/>
        </w:rPr>
        <w:t>.</w:t>
      </w:r>
    </w:p>
    <w:p w14:paraId="54C6DEAA" w14:textId="77777777" w:rsidR="00F25204" w:rsidRPr="007B7B59" w:rsidRDefault="00F25204" w:rsidP="000C6DE6">
      <w:pPr>
        <w:rPr>
          <w:szCs w:val="22"/>
        </w:rPr>
      </w:pPr>
    </w:p>
    <w:p w14:paraId="6C59146B" w14:textId="77777777" w:rsidR="00F25204" w:rsidRPr="00341B9D" w:rsidRDefault="00F25204" w:rsidP="000C6DE6">
      <w:pPr>
        <w:rPr>
          <w:szCs w:val="22"/>
          <w:u w:val="single"/>
        </w:rPr>
      </w:pPr>
      <w:r w:rsidRPr="00341B9D">
        <w:rPr>
          <w:szCs w:val="22"/>
          <w:u w:val="single"/>
        </w:rPr>
        <w:t xml:space="preserve">Moterys, kurioms yra </w:t>
      </w:r>
      <w:proofErr w:type="spellStart"/>
      <w:r w:rsidRPr="00341B9D">
        <w:rPr>
          <w:szCs w:val="22"/>
          <w:u w:val="single"/>
        </w:rPr>
        <w:t>perimenopauzė</w:t>
      </w:r>
      <w:proofErr w:type="spellEnd"/>
      <w:r w:rsidRPr="00341B9D">
        <w:rPr>
          <w:szCs w:val="22"/>
          <w:u w:val="single"/>
        </w:rPr>
        <w:t xml:space="preserve"> arba tikimybė pastoti</w:t>
      </w:r>
    </w:p>
    <w:p w14:paraId="307145F5" w14:textId="77777777" w:rsidR="00F25204" w:rsidRPr="007B7B59" w:rsidRDefault="00F25204" w:rsidP="000C6DE6">
      <w:pPr>
        <w:rPr>
          <w:szCs w:val="22"/>
        </w:rPr>
      </w:pPr>
      <w:r w:rsidRPr="007B7B59">
        <w:rPr>
          <w:szCs w:val="22"/>
        </w:rPr>
        <w:t xml:space="preserve">Gydytojas turi aptarti tinkamos kontracepcijos būtinybę su pacientėmis, kurios gali pastoti, įskaitant moteris, kurioms yra </w:t>
      </w:r>
      <w:proofErr w:type="spellStart"/>
      <w:r w:rsidRPr="007B7B59">
        <w:rPr>
          <w:szCs w:val="22"/>
        </w:rPr>
        <w:t>perimenopauzė</w:t>
      </w:r>
      <w:proofErr w:type="spellEnd"/>
      <w:r w:rsidR="00E3165B" w:rsidRPr="007B7B59">
        <w:rPr>
          <w:szCs w:val="22"/>
        </w:rPr>
        <w:t xml:space="preserve"> ar kurios neseniai tapo </w:t>
      </w:r>
      <w:proofErr w:type="spellStart"/>
      <w:r w:rsidR="00E3165B" w:rsidRPr="007B7B59">
        <w:rPr>
          <w:szCs w:val="22"/>
        </w:rPr>
        <w:t>pomenopauzinės</w:t>
      </w:r>
      <w:proofErr w:type="spellEnd"/>
      <w:r w:rsidR="00E3165B" w:rsidRPr="007B7B59">
        <w:rPr>
          <w:szCs w:val="22"/>
        </w:rPr>
        <w:t xml:space="preserve"> būklės. Kontracepcija būtina, kol pilnai nustatoma </w:t>
      </w:r>
      <w:proofErr w:type="spellStart"/>
      <w:r w:rsidR="00E3165B" w:rsidRPr="007B7B59">
        <w:rPr>
          <w:szCs w:val="22"/>
        </w:rPr>
        <w:t>pomenopauzinė</w:t>
      </w:r>
      <w:proofErr w:type="spellEnd"/>
      <w:r w:rsidR="00E3165B" w:rsidRPr="007B7B59">
        <w:rPr>
          <w:szCs w:val="22"/>
        </w:rPr>
        <w:t xml:space="preserve"> būklė (žr. </w:t>
      </w:r>
      <w:r w:rsidR="008307BA" w:rsidRPr="007B7B59">
        <w:rPr>
          <w:szCs w:val="22"/>
        </w:rPr>
        <w:t>4.3 ir 4.4 skyrius)</w:t>
      </w:r>
      <w:r w:rsidR="00E3165B" w:rsidRPr="007B7B59">
        <w:rPr>
          <w:szCs w:val="22"/>
        </w:rPr>
        <w:t xml:space="preserve">. </w:t>
      </w:r>
    </w:p>
    <w:p w14:paraId="04958FDD" w14:textId="77777777" w:rsidR="000C6DE6" w:rsidRPr="007B7B59" w:rsidRDefault="000C6DE6" w:rsidP="000C6DE6">
      <w:pPr>
        <w:rPr>
          <w:szCs w:val="22"/>
        </w:rPr>
      </w:pPr>
    </w:p>
    <w:p w14:paraId="78BCCC2D" w14:textId="77777777" w:rsidR="000C6DE6" w:rsidRPr="007B7B59" w:rsidRDefault="000C6DE6" w:rsidP="000C6DE6">
      <w:pPr>
        <w:ind w:left="567" w:hanging="567"/>
        <w:rPr>
          <w:b/>
          <w:szCs w:val="22"/>
        </w:rPr>
      </w:pPr>
      <w:r w:rsidRPr="007B7B59">
        <w:rPr>
          <w:b/>
          <w:szCs w:val="22"/>
        </w:rPr>
        <w:t>4.7</w:t>
      </w:r>
      <w:r w:rsidRPr="007B7B59">
        <w:rPr>
          <w:b/>
          <w:szCs w:val="22"/>
        </w:rPr>
        <w:tab/>
        <w:t>Poveikis gebėjimui vairuoti ir valdyti mechanizmus</w:t>
      </w:r>
    </w:p>
    <w:p w14:paraId="7DF1D1B4" w14:textId="77777777" w:rsidR="000C6DE6" w:rsidRPr="007B7B59" w:rsidRDefault="000C6DE6" w:rsidP="000C6DE6">
      <w:pPr>
        <w:rPr>
          <w:szCs w:val="22"/>
        </w:rPr>
      </w:pPr>
    </w:p>
    <w:p w14:paraId="4106F43B" w14:textId="77777777" w:rsidR="000C6DE6" w:rsidRPr="007B7B59" w:rsidRDefault="000C6DE6" w:rsidP="000C6DE6">
      <w:pPr>
        <w:rPr>
          <w:szCs w:val="22"/>
        </w:rPr>
      </w:pPr>
      <w:r w:rsidRPr="007B7B59">
        <w:rPr>
          <w:szCs w:val="22"/>
        </w:rPr>
        <w:t xml:space="preserve">Vartojant šį vaistinį preparatą, pasireiškė mieguistumas, </w:t>
      </w:r>
      <w:proofErr w:type="spellStart"/>
      <w:r w:rsidRPr="007B7B59">
        <w:rPr>
          <w:szCs w:val="22"/>
        </w:rPr>
        <w:t>somnolencija</w:t>
      </w:r>
      <w:proofErr w:type="spellEnd"/>
      <w:r w:rsidRPr="007B7B59">
        <w:rPr>
          <w:szCs w:val="22"/>
        </w:rPr>
        <w:t xml:space="preserve">, </w:t>
      </w:r>
      <w:proofErr w:type="spellStart"/>
      <w:r w:rsidRPr="007B7B59">
        <w:rPr>
          <w:szCs w:val="22"/>
        </w:rPr>
        <w:t>astenija</w:t>
      </w:r>
      <w:proofErr w:type="spellEnd"/>
      <w:r w:rsidRPr="007B7B59">
        <w:rPr>
          <w:szCs w:val="22"/>
        </w:rPr>
        <w:t xml:space="preserve"> ir galvos svaigimas. Reikia perspėti pacientę, kad atsiradus tokiems poveikiams, fizinis ir (ar) protinis gebėjimas vairuoti ar valdyti mechanizmus gali sutrik</w:t>
      </w:r>
      <w:r w:rsidR="00490A1D">
        <w:rPr>
          <w:szCs w:val="22"/>
        </w:rPr>
        <w:t>ti</w:t>
      </w:r>
      <w:r w:rsidRPr="007B7B59">
        <w:rPr>
          <w:szCs w:val="22"/>
        </w:rPr>
        <w:t>.</w:t>
      </w:r>
    </w:p>
    <w:p w14:paraId="42D44F6E" w14:textId="77777777" w:rsidR="000C6DE6" w:rsidRPr="007B7B59" w:rsidRDefault="000C6DE6" w:rsidP="000C6DE6">
      <w:pPr>
        <w:rPr>
          <w:szCs w:val="22"/>
        </w:rPr>
      </w:pPr>
    </w:p>
    <w:p w14:paraId="65F7FA30" w14:textId="77777777" w:rsidR="000C6DE6" w:rsidRPr="007B7B59" w:rsidRDefault="000C6DE6" w:rsidP="000C6DE6">
      <w:pPr>
        <w:ind w:left="567" w:hanging="567"/>
        <w:rPr>
          <w:b/>
          <w:szCs w:val="22"/>
        </w:rPr>
      </w:pPr>
      <w:r w:rsidRPr="007B7B59">
        <w:rPr>
          <w:b/>
          <w:szCs w:val="22"/>
        </w:rPr>
        <w:t>4.8</w:t>
      </w:r>
      <w:r w:rsidRPr="007B7B59">
        <w:rPr>
          <w:b/>
          <w:szCs w:val="22"/>
        </w:rPr>
        <w:tab/>
        <w:t>Nepageidaujamas poveikis</w:t>
      </w:r>
    </w:p>
    <w:p w14:paraId="7545EB5C" w14:textId="77777777" w:rsidR="000C6DE6" w:rsidRPr="007B7B59" w:rsidRDefault="000C6DE6" w:rsidP="000C6DE6">
      <w:pPr>
        <w:rPr>
          <w:szCs w:val="22"/>
        </w:rPr>
      </w:pPr>
    </w:p>
    <w:p w14:paraId="16632628" w14:textId="77777777" w:rsidR="000C6DE6" w:rsidRPr="007B7B59" w:rsidRDefault="000C6DE6" w:rsidP="000C6DE6">
      <w:pPr>
        <w:rPr>
          <w:szCs w:val="22"/>
        </w:rPr>
      </w:pPr>
      <w:r w:rsidRPr="007B7B59">
        <w:rPr>
          <w:szCs w:val="22"/>
        </w:rPr>
        <w:t xml:space="preserve">Visų tyrimų metu įprastinė 25 mg per parą AROMASIN dozė dažniausiai buvo gerai toleruojama, o klinikinių tyrimų metu pasireiškęs AROMASIN sukeltas nepageidaujamas poveikis paprastai buvo lengvas arba vidutinio sunkumo. </w:t>
      </w:r>
    </w:p>
    <w:p w14:paraId="74BB7836" w14:textId="77777777" w:rsidR="000C6DE6" w:rsidRPr="007B7B59" w:rsidRDefault="000C6DE6" w:rsidP="000C6DE6">
      <w:pPr>
        <w:rPr>
          <w:szCs w:val="22"/>
        </w:rPr>
      </w:pPr>
    </w:p>
    <w:p w14:paraId="56FFABD9" w14:textId="77777777" w:rsidR="000C6DE6" w:rsidRPr="007B7B59" w:rsidRDefault="000C6DE6" w:rsidP="000C6DE6">
      <w:pPr>
        <w:rPr>
          <w:szCs w:val="22"/>
        </w:rPr>
      </w:pPr>
      <w:r w:rsidRPr="007B7B59">
        <w:rPr>
          <w:szCs w:val="22"/>
        </w:rPr>
        <w:t>Dėl nepageidaujamų reiškinių tyrimo metu šio vaistinio preparato vartojimą nutraukė 7,4 </w:t>
      </w:r>
      <w:r w:rsidRPr="007B7B59">
        <w:rPr>
          <w:szCs w:val="22"/>
        </w:rPr>
        <w:sym w:font="Symbol" w:char="0025"/>
      </w:r>
      <w:r w:rsidRPr="007B7B59">
        <w:rPr>
          <w:szCs w:val="22"/>
        </w:rPr>
        <w:t xml:space="preserve"> pacienčių, kai AROMASIN buvo vartojamas kaip pagalbinis gydymas ankstyvojoje krūties vėžio stadijoje po pradinio pagalbinio gydymo </w:t>
      </w:r>
      <w:proofErr w:type="spellStart"/>
      <w:r w:rsidRPr="007B7B59">
        <w:rPr>
          <w:szCs w:val="22"/>
        </w:rPr>
        <w:t>tamoksifenu</w:t>
      </w:r>
      <w:proofErr w:type="spellEnd"/>
      <w:r w:rsidRPr="007B7B59">
        <w:rPr>
          <w:szCs w:val="22"/>
        </w:rPr>
        <w:t xml:space="preserve">. </w:t>
      </w:r>
    </w:p>
    <w:p w14:paraId="297083F7" w14:textId="77777777" w:rsidR="000C6DE6" w:rsidRPr="007B7B59" w:rsidRDefault="000C6DE6" w:rsidP="000C6DE6">
      <w:pPr>
        <w:rPr>
          <w:szCs w:val="22"/>
        </w:rPr>
      </w:pPr>
    </w:p>
    <w:p w14:paraId="5C83764B" w14:textId="77777777" w:rsidR="000C6DE6" w:rsidRPr="007B7B59" w:rsidRDefault="000C6DE6" w:rsidP="000C6DE6">
      <w:pPr>
        <w:rPr>
          <w:szCs w:val="22"/>
        </w:rPr>
      </w:pPr>
      <w:r w:rsidRPr="007B7B59">
        <w:rPr>
          <w:szCs w:val="22"/>
        </w:rPr>
        <w:t>Pacientėms su ankstyvos krūties vėžio stadijos diagnoze dažniausios nepageidaujamos reakcijos buvo kraujo priplūdimas į veidą ir kaklą (22 </w:t>
      </w:r>
      <w:r w:rsidRPr="007B7B59">
        <w:rPr>
          <w:szCs w:val="22"/>
        </w:rPr>
        <w:sym w:font="Symbol" w:char="0025"/>
      </w:r>
      <w:r w:rsidRPr="007B7B59">
        <w:rPr>
          <w:szCs w:val="22"/>
        </w:rPr>
        <w:t xml:space="preserve">), </w:t>
      </w:r>
      <w:proofErr w:type="spellStart"/>
      <w:r w:rsidRPr="007B7B59">
        <w:rPr>
          <w:szCs w:val="22"/>
        </w:rPr>
        <w:t>artralgija</w:t>
      </w:r>
      <w:proofErr w:type="spellEnd"/>
      <w:r w:rsidRPr="007B7B59">
        <w:rPr>
          <w:szCs w:val="22"/>
        </w:rPr>
        <w:t xml:space="preserve"> (18 %) ir nuovargio pojūtis (16 </w:t>
      </w:r>
      <w:r w:rsidRPr="007B7B59">
        <w:rPr>
          <w:szCs w:val="22"/>
        </w:rPr>
        <w:sym w:font="Symbol" w:char="0025"/>
      </w:r>
      <w:r w:rsidRPr="007B7B59">
        <w:rPr>
          <w:szCs w:val="22"/>
        </w:rPr>
        <w:t xml:space="preserve">). </w:t>
      </w:r>
    </w:p>
    <w:p w14:paraId="3A5DF3BD" w14:textId="77777777" w:rsidR="000C6DE6" w:rsidRPr="007B7B59" w:rsidRDefault="000C6DE6" w:rsidP="000C6DE6">
      <w:pPr>
        <w:rPr>
          <w:szCs w:val="22"/>
        </w:rPr>
      </w:pPr>
    </w:p>
    <w:p w14:paraId="415C60FE" w14:textId="77777777" w:rsidR="000C6DE6" w:rsidRPr="007B7B59" w:rsidRDefault="000C6DE6" w:rsidP="000C6DE6">
      <w:pPr>
        <w:rPr>
          <w:szCs w:val="22"/>
        </w:rPr>
      </w:pPr>
      <w:r w:rsidRPr="007B7B59">
        <w:rPr>
          <w:szCs w:val="22"/>
        </w:rPr>
        <w:t>Dėl nepageidaujamų reiškinių tyrimo metu šio vaistinio preparato vartojimą nutraukė 2,8 % bendros populiacijos pacienčių, sergančių išplitusiu krūties vėžiu.</w:t>
      </w:r>
    </w:p>
    <w:p w14:paraId="1001C71E" w14:textId="77777777" w:rsidR="000C6DE6" w:rsidRPr="007B7B59" w:rsidRDefault="000C6DE6" w:rsidP="000C6DE6">
      <w:pPr>
        <w:rPr>
          <w:szCs w:val="22"/>
        </w:rPr>
      </w:pPr>
    </w:p>
    <w:p w14:paraId="2F409162" w14:textId="77777777" w:rsidR="000C6DE6" w:rsidRPr="007B7B59" w:rsidRDefault="000C6DE6" w:rsidP="000C6DE6">
      <w:pPr>
        <w:rPr>
          <w:szCs w:val="22"/>
        </w:rPr>
      </w:pPr>
      <w:r w:rsidRPr="007B7B59">
        <w:rPr>
          <w:szCs w:val="22"/>
        </w:rPr>
        <w:t>Pacientėms su vėlyvos krūties vėžio stadijos diagnoze dažniausios nepageidaujamos reakcijos buvo karščio jutimas (14 %) ir pykinimas (12 %).</w:t>
      </w:r>
    </w:p>
    <w:p w14:paraId="5B161B04" w14:textId="77777777" w:rsidR="000C6DE6" w:rsidRPr="007B7B59" w:rsidRDefault="000C6DE6" w:rsidP="000C6DE6">
      <w:pPr>
        <w:rPr>
          <w:szCs w:val="22"/>
        </w:rPr>
      </w:pPr>
      <w:r w:rsidRPr="007B7B59">
        <w:rPr>
          <w:szCs w:val="22"/>
        </w:rPr>
        <w:t>Dauguma nepageidaujamų reakcijų gali būti paaiškinamos kaip estrogenų netekimas dėl natūralaus farmakologinio poveikio (pav.</w:t>
      </w:r>
      <w:r w:rsidR="00FC5792">
        <w:rPr>
          <w:szCs w:val="22"/>
        </w:rPr>
        <w:t>,</w:t>
      </w:r>
      <w:r w:rsidRPr="007B7B59">
        <w:rPr>
          <w:szCs w:val="22"/>
        </w:rPr>
        <w:t xml:space="preserve"> karščio jutimas). </w:t>
      </w:r>
    </w:p>
    <w:p w14:paraId="7A174E0D" w14:textId="77777777" w:rsidR="00837865" w:rsidRPr="007B7B59" w:rsidRDefault="00837865" w:rsidP="000C6DE6">
      <w:pPr>
        <w:rPr>
          <w:szCs w:val="22"/>
        </w:rPr>
      </w:pPr>
    </w:p>
    <w:p w14:paraId="6B1A549D" w14:textId="77777777" w:rsidR="00DC6FF6" w:rsidRPr="007B7B59" w:rsidRDefault="004F5F2F" w:rsidP="00E6738B">
      <w:pPr>
        <w:widowControl w:val="0"/>
        <w:rPr>
          <w:szCs w:val="22"/>
        </w:rPr>
      </w:pPr>
      <w:r w:rsidRPr="007B7B59">
        <w:rPr>
          <w:szCs w:val="22"/>
        </w:rPr>
        <w:t>K</w:t>
      </w:r>
      <w:r w:rsidR="006042CB" w:rsidRPr="007B7B59">
        <w:rPr>
          <w:szCs w:val="22"/>
        </w:rPr>
        <w:t xml:space="preserve">linikinių tyrimų </w:t>
      </w:r>
      <w:r w:rsidRPr="007B7B59">
        <w:rPr>
          <w:szCs w:val="22"/>
        </w:rPr>
        <w:t xml:space="preserve">metu </w:t>
      </w:r>
      <w:r w:rsidR="006042CB" w:rsidRPr="007B7B59">
        <w:rPr>
          <w:szCs w:val="22"/>
        </w:rPr>
        <w:t>ir</w:t>
      </w:r>
      <w:r w:rsidR="00DC6FF6" w:rsidRPr="007B7B59">
        <w:rPr>
          <w:szCs w:val="22"/>
        </w:rPr>
        <w:t xml:space="preserve"> </w:t>
      </w:r>
      <w:r w:rsidR="00BD1987" w:rsidRPr="007B7B59">
        <w:rPr>
          <w:szCs w:val="22"/>
          <w:lang w:eastAsia="zh-CN"/>
        </w:rPr>
        <w:t xml:space="preserve">po </w:t>
      </w:r>
      <w:r w:rsidR="007860FC">
        <w:rPr>
          <w:szCs w:val="22"/>
          <w:lang w:eastAsia="zh-CN"/>
        </w:rPr>
        <w:t xml:space="preserve">vaistinio </w:t>
      </w:r>
      <w:r w:rsidR="00BD1987" w:rsidRPr="007B7B59">
        <w:rPr>
          <w:szCs w:val="22"/>
          <w:lang w:eastAsia="zh-CN"/>
        </w:rPr>
        <w:t xml:space="preserve">preparato patekimo į rinką </w:t>
      </w:r>
      <w:r w:rsidRPr="007B7B59">
        <w:rPr>
          <w:szCs w:val="22"/>
          <w:lang w:eastAsia="zh-CN"/>
        </w:rPr>
        <w:t>n</w:t>
      </w:r>
      <w:r w:rsidRPr="007B7B59">
        <w:rPr>
          <w:szCs w:val="22"/>
        </w:rPr>
        <w:t xml:space="preserve">ustatytos nepageidaujamos reakcijos </w:t>
      </w:r>
      <w:r w:rsidR="00BD1987" w:rsidRPr="007B7B59">
        <w:rPr>
          <w:szCs w:val="22"/>
          <w:lang w:eastAsia="zh-CN"/>
        </w:rPr>
        <w:t>yra</w:t>
      </w:r>
      <w:r w:rsidR="00DC6FF6" w:rsidRPr="007B7B59">
        <w:rPr>
          <w:szCs w:val="22"/>
          <w:lang w:eastAsia="zh-CN"/>
        </w:rPr>
        <w:t xml:space="preserve"> </w:t>
      </w:r>
      <w:r w:rsidR="006042CB" w:rsidRPr="007B7B59">
        <w:rPr>
          <w:szCs w:val="22"/>
        </w:rPr>
        <w:t xml:space="preserve">išvardytos </w:t>
      </w:r>
      <w:r w:rsidR="003859FA" w:rsidRPr="007B7B59">
        <w:rPr>
          <w:szCs w:val="22"/>
        </w:rPr>
        <w:t>toliau</w:t>
      </w:r>
      <w:r w:rsidR="006042CB" w:rsidRPr="007B7B59">
        <w:rPr>
          <w:szCs w:val="22"/>
        </w:rPr>
        <w:t xml:space="preserve"> pagal organų sistemų klases ir pasireiškimo dažnį</w:t>
      </w:r>
      <w:r w:rsidR="00DC6FF6" w:rsidRPr="007B7B59">
        <w:rPr>
          <w:szCs w:val="22"/>
        </w:rPr>
        <w:t>.</w:t>
      </w:r>
    </w:p>
    <w:p w14:paraId="6C2CE9AB" w14:textId="77777777" w:rsidR="00DC6FF6" w:rsidRPr="007B7B59" w:rsidRDefault="00DC6FF6" w:rsidP="004F5F2F">
      <w:pPr>
        <w:widowControl w:val="0"/>
        <w:rPr>
          <w:szCs w:val="22"/>
        </w:rPr>
      </w:pPr>
    </w:p>
    <w:p w14:paraId="120D2ED9" w14:textId="651F59FE" w:rsidR="00043768" w:rsidRPr="007B7B59" w:rsidRDefault="00043768" w:rsidP="000C6DE6">
      <w:pPr>
        <w:rPr>
          <w:szCs w:val="22"/>
        </w:rPr>
      </w:pPr>
      <w:r w:rsidRPr="007B7B59">
        <w:rPr>
          <w:szCs w:val="22"/>
        </w:rPr>
        <w:t>Nepageidaujamo poveikio dažnis apibūdinamas taip: labai dažnas (≥ 1/10), dažnas (nuo ≥ 1/100 iki &lt; 1/10), nedažnas (nuo ≥ 1/1 000 iki &lt; 1/100), retas (nuo ≥ 1/10 000 iki &lt; 1/1</w:t>
      </w:r>
      <w:r w:rsidR="00EB5106">
        <w:rPr>
          <w:szCs w:val="22"/>
        </w:rPr>
        <w:t> </w:t>
      </w:r>
      <w:r w:rsidRPr="007B7B59">
        <w:rPr>
          <w:szCs w:val="22"/>
        </w:rPr>
        <w:t>000), labai retas (&lt; 1/10 000) ir nežinomas (negali būti apskaičiuotas pagal turimus duomenis).</w:t>
      </w:r>
    </w:p>
    <w:p w14:paraId="1ECAF9B3" w14:textId="77777777" w:rsidR="000C6DE6" w:rsidRPr="007B7B59" w:rsidRDefault="000C6DE6" w:rsidP="000C6DE6">
      <w:pPr>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4558"/>
      </w:tblGrid>
      <w:tr w:rsidR="00BD1987" w:rsidRPr="00086106" w14:paraId="26D9DB49" w14:textId="77777777" w:rsidTr="001B17AA">
        <w:trPr>
          <w:trHeight w:val="109"/>
        </w:trPr>
        <w:tc>
          <w:tcPr>
            <w:tcW w:w="9061" w:type="dxa"/>
            <w:gridSpan w:val="2"/>
          </w:tcPr>
          <w:p w14:paraId="6BDA0AB6" w14:textId="77777777" w:rsidR="00BD1987" w:rsidRPr="00086106" w:rsidRDefault="00BD1987" w:rsidP="00BD1987">
            <w:pPr>
              <w:ind w:left="108" w:hanging="108"/>
              <w:rPr>
                <w:bCs/>
                <w:szCs w:val="22"/>
              </w:rPr>
            </w:pPr>
            <w:r w:rsidRPr="00341B9D">
              <w:rPr>
                <w:i/>
                <w:szCs w:val="22"/>
              </w:rPr>
              <w:lastRenderedPageBreak/>
              <w:t>Kraujo ir limfinės sistemos sutrikimai</w:t>
            </w:r>
          </w:p>
        </w:tc>
      </w:tr>
      <w:tr w:rsidR="00BD1987" w:rsidRPr="007B7B59" w14:paraId="59ECBBCF" w14:textId="77777777" w:rsidTr="001B17AA">
        <w:trPr>
          <w:trHeight w:val="109"/>
        </w:trPr>
        <w:tc>
          <w:tcPr>
            <w:tcW w:w="4503" w:type="dxa"/>
          </w:tcPr>
          <w:p w14:paraId="0EBE3A0B" w14:textId="5332C76B" w:rsidR="00BD1987" w:rsidRPr="00341B9D" w:rsidRDefault="003663E2" w:rsidP="00BD1987">
            <w:pPr>
              <w:ind w:left="108" w:hanging="108"/>
              <w:rPr>
                <w:bCs/>
                <w:szCs w:val="22"/>
              </w:rPr>
            </w:pPr>
            <w:r>
              <w:rPr>
                <w:bCs/>
                <w:szCs w:val="22"/>
              </w:rPr>
              <w:t xml:space="preserve">Labai </w:t>
            </w:r>
            <w:r w:rsidR="00BD1987" w:rsidRPr="00341B9D">
              <w:rPr>
                <w:bCs/>
                <w:szCs w:val="22"/>
              </w:rPr>
              <w:t>dažni</w:t>
            </w:r>
          </w:p>
        </w:tc>
        <w:tc>
          <w:tcPr>
            <w:tcW w:w="4558" w:type="dxa"/>
          </w:tcPr>
          <w:p w14:paraId="32C56627" w14:textId="77777777" w:rsidR="00BD1987" w:rsidRPr="007B7B59" w:rsidRDefault="00BD1987" w:rsidP="00341B9D">
            <w:pPr>
              <w:rPr>
                <w:bCs/>
                <w:szCs w:val="22"/>
              </w:rPr>
            </w:pPr>
            <w:proofErr w:type="spellStart"/>
            <w:r w:rsidRPr="007B7B59">
              <w:rPr>
                <w:bCs/>
                <w:szCs w:val="22"/>
              </w:rPr>
              <w:t>Leukopenija</w:t>
            </w:r>
            <w:proofErr w:type="spellEnd"/>
            <w:r w:rsidRPr="007B7B59">
              <w:rPr>
                <w:bCs/>
                <w:szCs w:val="22"/>
              </w:rPr>
              <w:t xml:space="preserve"> (**)</w:t>
            </w:r>
          </w:p>
        </w:tc>
      </w:tr>
      <w:tr w:rsidR="00BD1987" w:rsidRPr="007B7B59" w14:paraId="2EC30049" w14:textId="77777777" w:rsidTr="001B17AA">
        <w:trPr>
          <w:trHeight w:val="109"/>
        </w:trPr>
        <w:tc>
          <w:tcPr>
            <w:tcW w:w="4503" w:type="dxa"/>
          </w:tcPr>
          <w:p w14:paraId="69EDE5A3" w14:textId="5E192B89" w:rsidR="00BD1987" w:rsidRPr="003663E2" w:rsidRDefault="003663E2" w:rsidP="00BD1987">
            <w:pPr>
              <w:ind w:left="108" w:hanging="108"/>
              <w:rPr>
                <w:bCs/>
                <w:szCs w:val="22"/>
              </w:rPr>
            </w:pPr>
            <w:r>
              <w:rPr>
                <w:bCs/>
                <w:szCs w:val="22"/>
              </w:rPr>
              <w:t>Dažni</w:t>
            </w:r>
          </w:p>
        </w:tc>
        <w:tc>
          <w:tcPr>
            <w:tcW w:w="4558" w:type="dxa"/>
          </w:tcPr>
          <w:p w14:paraId="668F9E91" w14:textId="77777777" w:rsidR="00BD1987" w:rsidRPr="007B7B59" w:rsidRDefault="00BD1987" w:rsidP="00341B9D">
            <w:pPr>
              <w:rPr>
                <w:bCs/>
                <w:szCs w:val="22"/>
              </w:rPr>
            </w:pPr>
            <w:proofErr w:type="spellStart"/>
            <w:r w:rsidRPr="007B7B59">
              <w:rPr>
                <w:szCs w:val="22"/>
                <w:lang w:eastAsia="zh-CN"/>
              </w:rPr>
              <w:t>Trombocitopenija</w:t>
            </w:r>
            <w:proofErr w:type="spellEnd"/>
            <w:r w:rsidRPr="007B7B59">
              <w:rPr>
                <w:szCs w:val="22"/>
                <w:lang w:eastAsia="zh-CN"/>
              </w:rPr>
              <w:t xml:space="preserve"> (**)</w:t>
            </w:r>
          </w:p>
        </w:tc>
      </w:tr>
      <w:tr w:rsidR="00BD1987" w:rsidRPr="007B7B59" w14:paraId="3C735FCB" w14:textId="77777777" w:rsidTr="001B17AA">
        <w:trPr>
          <w:trHeight w:val="132"/>
        </w:trPr>
        <w:tc>
          <w:tcPr>
            <w:tcW w:w="4503" w:type="dxa"/>
          </w:tcPr>
          <w:p w14:paraId="09EEC1AC" w14:textId="77777777" w:rsidR="00BD1987" w:rsidRPr="00341B9D" w:rsidRDefault="00D8299D" w:rsidP="00BD1987">
            <w:pPr>
              <w:ind w:left="108" w:hanging="108"/>
              <w:rPr>
                <w:bCs/>
                <w:szCs w:val="22"/>
              </w:rPr>
            </w:pPr>
            <w:r w:rsidRPr="00341B9D">
              <w:rPr>
                <w:bCs/>
                <w:szCs w:val="22"/>
              </w:rPr>
              <w:t>Dažnis nežinomas</w:t>
            </w:r>
          </w:p>
        </w:tc>
        <w:tc>
          <w:tcPr>
            <w:tcW w:w="4558" w:type="dxa"/>
          </w:tcPr>
          <w:p w14:paraId="27888C19" w14:textId="77777777" w:rsidR="00BD1987" w:rsidRPr="007B7B59" w:rsidRDefault="00BD1987" w:rsidP="00341B9D">
            <w:pPr>
              <w:rPr>
                <w:bCs/>
                <w:szCs w:val="22"/>
              </w:rPr>
            </w:pPr>
            <w:r w:rsidRPr="007B7B59">
              <w:rPr>
                <w:bCs/>
                <w:szCs w:val="22"/>
              </w:rPr>
              <w:t>Sumažėjęs limfocitų skaičius (**)</w:t>
            </w:r>
          </w:p>
        </w:tc>
      </w:tr>
      <w:tr w:rsidR="00BD1987" w:rsidRPr="007B7B59" w14:paraId="043A8B09" w14:textId="77777777" w:rsidTr="001B17AA">
        <w:trPr>
          <w:trHeight w:val="144"/>
        </w:trPr>
        <w:tc>
          <w:tcPr>
            <w:tcW w:w="4503" w:type="dxa"/>
          </w:tcPr>
          <w:p w14:paraId="312EB7E1" w14:textId="77777777" w:rsidR="00BD1987" w:rsidRPr="007B7B59" w:rsidRDefault="00BD1987" w:rsidP="00BD1987">
            <w:pPr>
              <w:ind w:left="108" w:hanging="108"/>
              <w:rPr>
                <w:bCs/>
                <w:szCs w:val="22"/>
              </w:rPr>
            </w:pPr>
          </w:p>
        </w:tc>
        <w:tc>
          <w:tcPr>
            <w:tcW w:w="4558" w:type="dxa"/>
          </w:tcPr>
          <w:p w14:paraId="6850F100" w14:textId="77777777" w:rsidR="00BD1987" w:rsidRPr="007B7B59" w:rsidRDefault="00BD1987" w:rsidP="00BD1987">
            <w:pPr>
              <w:ind w:left="108"/>
              <w:rPr>
                <w:bCs/>
                <w:szCs w:val="22"/>
              </w:rPr>
            </w:pPr>
          </w:p>
        </w:tc>
      </w:tr>
      <w:tr w:rsidR="00B4212F" w:rsidRPr="00086106" w14:paraId="41DECFDF" w14:textId="77777777" w:rsidTr="001B17AA">
        <w:trPr>
          <w:trHeight w:val="144"/>
        </w:trPr>
        <w:tc>
          <w:tcPr>
            <w:tcW w:w="9061" w:type="dxa"/>
            <w:gridSpan w:val="2"/>
          </w:tcPr>
          <w:p w14:paraId="54F47950" w14:textId="77777777" w:rsidR="00B4212F" w:rsidRPr="00086106" w:rsidRDefault="00B4212F" w:rsidP="00341B9D">
            <w:pPr>
              <w:rPr>
                <w:bCs/>
                <w:szCs w:val="22"/>
              </w:rPr>
            </w:pPr>
            <w:r w:rsidRPr="00341B9D">
              <w:rPr>
                <w:bCs/>
                <w:i/>
                <w:szCs w:val="22"/>
              </w:rPr>
              <w:t>Imuninės sistemos sutrikimai</w:t>
            </w:r>
          </w:p>
        </w:tc>
      </w:tr>
      <w:tr w:rsidR="00BD1987" w:rsidRPr="007B7B59" w14:paraId="410549DC" w14:textId="77777777" w:rsidTr="001B17AA">
        <w:trPr>
          <w:trHeight w:val="144"/>
        </w:trPr>
        <w:tc>
          <w:tcPr>
            <w:tcW w:w="4503" w:type="dxa"/>
          </w:tcPr>
          <w:p w14:paraId="1BD987BD" w14:textId="77777777" w:rsidR="00BD1987" w:rsidRPr="00341B9D" w:rsidRDefault="00BD1987" w:rsidP="00B4212F">
            <w:pPr>
              <w:ind w:left="108" w:hanging="108"/>
              <w:rPr>
                <w:bCs/>
                <w:szCs w:val="22"/>
              </w:rPr>
            </w:pPr>
            <w:r w:rsidRPr="00341B9D">
              <w:rPr>
                <w:bCs/>
                <w:szCs w:val="22"/>
              </w:rPr>
              <w:t>Nedažni</w:t>
            </w:r>
          </w:p>
        </w:tc>
        <w:tc>
          <w:tcPr>
            <w:tcW w:w="4558" w:type="dxa"/>
          </w:tcPr>
          <w:p w14:paraId="03391C74" w14:textId="77777777" w:rsidR="00BD1987" w:rsidRPr="007B7B59" w:rsidRDefault="00B76FDB" w:rsidP="00341B9D">
            <w:pPr>
              <w:rPr>
                <w:bCs/>
                <w:szCs w:val="22"/>
              </w:rPr>
            </w:pPr>
            <w:r w:rsidRPr="007B7B59">
              <w:rPr>
                <w:bCs/>
                <w:szCs w:val="22"/>
              </w:rPr>
              <w:t>Padidėjęs jautrumas</w:t>
            </w:r>
          </w:p>
        </w:tc>
      </w:tr>
      <w:tr w:rsidR="00BD1987" w:rsidRPr="007B7B59" w14:paraId="2201E24B" w14:textId="77777777" w:rsidTr="001B17AA">
        <w:trPr>
          <w:trHeight w:val="144"/>
        </w:trPr>
        <w:tc>
          <w:tcPr>
            <w:tcW w:w="4503" w:type="dxa"/>
          </w:tcPr>
          <w:p w14:paraId="02EF4DDA" w14:textId="77777777" w:rsidR="00BD1987" w:rsidRPr="007B7B59" w:rsidRDefault="00BD1987" w:rsidP="00BD1987">
            <w:pPr>
              <w:ind w:left="108"/>
              <w:rPr>
                <w:bCs/>
                <w:i/>
                <w:szCs w:val="22"/>
              </w:rPr>
            </w:pPr>
          </w:p>
        </w:tc>
        <w:tc>
          <w:tcPr>
            <w:tcW w:w="4558" w:type="dxa"/>
          </w:tcPr>
          <w:p w14:paraId="318A4EE8" w14:textId="77777777" w:rsidR="00BD1987" w:rsidRPr="007B7B59" w:rsidRDefault="00BD1987" w:rsidP="00BD1987">
            <w:pPr>
              <w:ind w:left="108"/>
              <w:rPr>
                <w:bCs/>
                <w:szCs w:val="22"/>
              </w:rPr>
            </w:pPr>
          </w:p>
        </w:tc>
      </w:tr>
      <w:tr w:rsidR="000C6DE6" w:rsidRPr="00086106" w14:paraId="36B52289" w14:textId="77777777" w:rsidTr="001B17AA">
        <w:tblPrEx>
          <w:tblLook w:val="01E0" w:firstRow="1" w:lastRow="1" w:firstColumn="1" w:lastColumn="1" w:noHBand="0" w:noVBand="0"/>
        </w:tblPrEx>
        <w:tc>
          <w:tcPr>
            <w:tcW w:w="9061" w:type="dxa"/>
            <w:gridSpan w:val="2"/>
            <w:tcBorders>
              <w:top w:val="single" w:sz="4" w:space="0" w:color="auto"/>
              <w:left w:val="single" w:sz="4" w:space="0" w:color="auto"/>
              <w:bottom w:val="single" w:sz="4" w:space="0" w:color="auto"/>
              <w:right w:val="single" w:sz="4" w:space="0" w:color="auto"/>
            </w:tcBorders>
          </w:tcPr>
          <w:p w14:paraId="3D5310B7" w14:textId="77777777" w:rsidR="000C6DE6" w:rsidRPr="00341B9D" w:rsidRDefault="000C6DE6" w:rsidP="00C80E4A">
            <w:pPr>
              <w:rPr>
                <w:bCs/>
                <w:i/>
                <w:szCs w:val="22"/>
              </w:rPr>
            </w:pPr>
            <w:r w:rsidRPr="00341B9D">
              <w:rPr>
                <w:bCs/>
                <w:i/>
                <w:szCs w:val="22"/>
              </w:rPr>
              <w:t>Metabolizmo ir mitybos sutrikimai</w:t>
            </w:r>
          </w:p>
        </w:tc>
      </w:tr>
      <w:tr w:rsidR="000C6DE6" w:rsidRPr="007B7B59" w14:paraId="3853CC41" w14:textId="77777777" w:rsidTr="001B17AA">
        <w:tblPrEx>
          <w:tblLook w:val="01E0" w:firstRow="1" w:lastRow="1" w:firstColumn="1" w:lastColumn="1" w:noHBand="0" w:noVBand="0"/>
        </w:tblPrEx>
        <w:tc>
          <w:tcPr>
            <w:tcW w:w="4503" w:type="dxa"/>
            <w:tcBorders>
              <w:top w:val="single" w:sz="4" w:space="0" w:color="auto"/>
              <w:left w:val="single" w:sz="4" w:space="0" w:color="auto"/>
              <w:bottom w:val="single" w:sz="4" w:space="0" w:color="auto"/>
              <w:right w:val="single" w:sz="4" w:space="0" w:color="auto"/>
            </w:tcBorders>
          </w:tcPr>
          <w:p w14:paraId="5DFAA461" w14:textId="77777777" w:rsidR="000C6DE6" w:rsidRPr="00341B9D" w:rsidRDefault="000C6DE6" w:rsidP="00C80E4A">
            <w:pPr>
              <w:rPr>
                <w:bCs/>
                <w:szCs w:val="22"/>
              </w:rPr>
            </w:pPr>
            <w:r w:rsidRPr="00341B9D">
              <w:rPr>
                <w:bCs/>
                <w:szCs w:val="22"/>
              </w:rPr>
              <w:t>Dažni</w:t>
            </w:r>
          </w:p>
        </w:tc>
        <w:tc>
          <w:tcPr>
            <w:tcW w:w="4558" w:type="dxa"/>
            <w:tcBorders>
              <w:top w:val="single" w:sz="4" w:space="0" w:color="auto"/>
              <w:left w:val="single" w:sz="4" w:space="0" w:color="auto"/>
              <w:bottom w:val="single" w:sz="4" w:space="0" w:color="auto"/>
              <w:right w:val="single" w:sz="4" w:space="0" w:color="auto"/>
            </w:tcBorders>
          </w:tcPr>
          <w:p w14:paraId="7381096F" w14:textId="77777777" w:rsidR="000C6DE6" w:rsidRPr="007B7B59" w:rsidRDefault="000C6DE6" w:rsidP="00C80E4A">
            <w:pPr>
              <w:rPr>
                <w:bCs/>
                <w:szCs w:val="22"/>
              </w:rPr>
            </w:pPr>
            <w:r w:rsidRPr="007B7B59">
              <w:rPr>
                <w:bCs/>
                <w:szCs w:val="22"/>
              </w:rPr>
              <w:t>Anoreksija</w:t>
            </w:r>
          </w:p>
        </w:tc>
      </w:tr>
      <w:tr w:rsidR="000C6DE6" w:rsidRPr="007B7B59" w14:paraId="62BB9952" w14:textId="77777777" w:rsidTr="001B17AA">
        <w:tblPrEx>
          <w:tblLook w:val="01E0" w:firstRow="1" w:lastRow="1" w:firstColumn="1" w:lastColumn="1" w:noHBand="0" w:noVBand="0"/>
        </w:tblPrEx>
        <w:tc>
          <w:tcPr>
            <w:tcW w:w="4503" w:type="dxa"/>
            <w:tcBorders>
              <w:top w:val="single" w:sz="4" w:space="0" w:color="auto"/>
              <w:left w:val="single" w:sz="4" w:space="0" w:color="auto"/>
              <w:bottom w:val="single" w:sz="4" w:space="0" w:color="auto"/>
              <w:right w:val="single" w:sz="4" w:space="0" w:color="auto"/>
            </w:tcBorders>
          </w:tcPr>
          <w:p w14:paraId="01CFA6DE" w14:textId="77777777" w:rsidR="000C6DE6" w:rsidRPr="007B7B59" w:rsidRDefault="000C6DE6" w:rsidP="00C80E4A">
            <w:pPr>
              <w:rPr>
                <w:bCs/>
                <w:szCs w:val="22"/>
              </w:rPr>
            </w:pPr>
          </w:p>
        </w:tc>
        <w:tc>
          <w:tcPr>
            <w:tcW w:w="4558" w:type="dxa"/>
            <w:tcBorders>
              <w:top w:val="single" w:sz="4" w:space="0" w:color="auto"/>
              <w:left w:val="single" w:sz="4" w:space="0" w:color="auto"/>
              <w:bottom w:val="single" w:sz="4" w:space="0" w:color="auto"/>
              <w:right w:val="single" w:sz="4" w:space="0" w:color="auto"/>
            </w:tcBorders>
          </w:tcPr>
          <w:p w14:paraId="1641508B" w14:textId="77777777" w:rsidR="000C6DE6" w:rsidRPr="007B7B59" w:rsidRDefault="000C6DE6" w:rsidP="00C80E4A">
            <w:pPr>
              <w:rPr>
                <w:bCs/>
                <w:szCs w:val="22"/>
              </w:rPr>
            </w:pPr>
          </w:p>
        </w:tc>
      </w:tr>
      <w:tr w:rsidR="000C6DE6" w:rsidRPr="005561AB" w14:paraId="5E7E9EB5" w14:textId="77777777" w:rsidTr="001B17AA">
        <w:tblPrEx>
          <w:tblLook w:val="01E0" w:firstRow="1" w:lastRow="1" w:firstColumn="1" w:lastColumn="1" w:noHBand="0" w:noVBand="0"/>
        </w:tblPrEx>
        <w:tc>
          <w:tcPr>
            <w:tcW w:w="9061" w:type="dxa"/>
            <w:gridSpan w:val="2"/>
            <w:tcBorders>
              <w:top w:val="single" w:sz="4" w:space="0" w:color="auto"/>
              <w:left w:val="single" w:sz="4" w:space="0" w:color="auto"/>
              <w:bottom w:val="single" w:sz="4" w:space="0" w:color="auto"/>
              <w:right w:val="single" w:sz="4" w:space="0" w:color="auto"/>
            </w:tcBorders>
          </w:tcPr>
          <w:p w14:paraId="51F5D1CE" w14:textId="77777777" w:rsidR="000C6DE6" w:rsidRPr="00341B9D" w:rsidRDefault="000C6DE6" w:rsidP="00C80E4A">
            <w:pPr>
              <w:rPr>
                <w:bCs/>
                <w:i/>
                <w:szCs w:val="22"/>
              </w:rPr>
            </w:pPr>
            <w:r w:rsidRPr="00341B9D">
              <w:rPr>
                <w:bCs/>
                <w:i/>
                <w:szCs w:val="22"/>
              </w:rPr>
              <w:t>Psichikos sutrikimai</w:t>
            </w:r>
          </w:p>
        </w:tc>
      </w:tr>
      <w:tr w:rsidR="000C6DE6" w:rsidRPr="007B7B59" w14:paraId="16F37D20" w14:textId="77777777" w:rsidTr="001B17AA">
        <w:tblPrEx>
          <w:tblLook w:val="01E0" w:firstRow="1" w:lastRow="1" w:firstColumn="1" w:lastColumn="1" w:noHBand="0" w:noVBand="0"/>
        </w:tblPrEx>
        <w:tc>
          <w:tcPr>
            <w:tcW w:w="4503" w:type="dxa"/>
            <w:tcBorders>
              <w:top w:val="single" w:sz="4" w:space="0" w:color="auto"/>
              <w:left w:val="single" w:sz="4" w:space="0" w:color="auto"/>
              <w:bottom w:val="single" w:sz="4" w:space="0" w:color="auto"/>
              <w:right w:val="single" w:sz="4" w:space="0" w:color="auto"/>
            </w:tcBorders>
          </w:tcPr>
          <w:p w14:paraId="3A9B5B8C" w14:textId="77777777" w:rsidR="000C6DE6" w:rsidRPr="00341B9D" w:rsidRDefault="000C6DE6" w:rsidP="00C80E4A">
            <w:pPr>
              <w:rPr>
                <w:bCs/>
                <w:iCs/>
                <w:szCs w:val="22"/>
              </w:rPr>
            </w:pPr>
            <w:r w:rsidRPr="00341B9D">
              <w:rPr>
                <w:bCs/>
                <w:iCs/>
                <w:szCs w:val="22"/>
              </w:rPr>
              <w:t>Labai dažni</w:t>
            </w:r>
          </w:p>
        </w:tc>
        <w:tc>
          <w:tcPr>
            <w:tcW w:w="4558" w:type="dxa"/>
            <w:tcBorders>
              <w:top w:val="single" w:sz="4" w:space="0" w:color="auto"/>
              <w:left w:val="single" w:sz="4" w:space="0" w:color="auto"/>
              <w:bottom w:val="single" w:sz="4" w:space="0" w:color="auto"/>
              <w:right w:val="single" w:sz="4" w:space="0" w:color="auto"/>
            </w:tcBorders>
          </w:tcPr>
          <w:p w14:paraId="7513E2DF" w14:textId="77777777" w:rsidR="000C6DE6" w:rsidRPr="007B7B59" w:rsidRDefault="00CF72E9" w:rsidP="00C80E4A">
            <w:pPr>
              <w:rPr>
                <w:bCs/>
                <w:szCs w:val="22"/>
              </w:rPr>
            </w:pPr>
            <w:r w:rsidRPr="007B7B59">
              <w:rPr>
                <w:bCs/>
                <w:szCs w:val="22"/>
              </w:rPr>
              <w:t>Depresija, n</w:t>
            </w:r>
            <w:r w:rsidR="000C6DE6" w:rsidRPr="007B7B59">
              <w:rPr>
                <w:bCs/>
                <w:szCs w:val="22"/>
              </w:rPr>
              <w:t>emiga</w:t>
            </w:r>
          </w:p>
        </w:tc>
      </w:tr>
      <w:tr w:rsidR="000C6DE6" w:rsidRPr="007B7B59" w14:paraId="736B61AA" w14:textId="77777777" w:rsidTr="001B17AA">
        <w:tblPrEx>
          <w:tblLook w:val="01E0" w:firstRow="1" w:lastRow="1" w:firstColumn="1" w:lastColumn="1" w:noHBand="0" w:noVBand="0"/>
        </w:tblPrEx>
        <w:tc>
          <w:tcPr>
            <w:tcW w:w="4503" w:type="dxa"/>
            <w:tcBorders>
              <w:top w:val="single" w:sz="4" w:space="0" w:color="auto"/>
              <w:left w:val="single" w:sz="4" w:space="0" w:color="auto"/>
              <w:bottom w:val="single" w:sz="4" w:space="0" w:color="auto"/>
              <w:right w:val="single" w:sz="4" w:space="0" w:color="auto"/>
            </w:tcBorders>
          </w:tcPr>
          <w:p w14:paraId="1613EEB3" w14:textId="77777777" w:rsidR="000C6DE6" w:rsidRPr="007B7B59" w:rsidRDefault="000C6DE6" w:rsidP="00C80E4A">
            <w:pPr>
              <w:rPr>
                <w:bCs/>
                <w:szCs w:val="22"/>
              </w:rPr>
            </w:pPr>
          </w:p>
        </w:tc>
        <w:tc>
          <w:tcPr>
            <w:tcW w:w="4558" w:type="dxa"/>
            <w:tcBorders>
              <w:top w:val="single" w:sz="4" w:space="0" w:color="auto"/>
              <w:left w:val="single" w:sz="4" w:space="0" w:color="auto"/>
              <w:bottom w:val="single" w:sz="4" w:space="0" w:color="auto"/>
              <w:right w:val="single" w:sz="4" w:space="0" w:color="auto"/>
            </w:tcBorders>
          </w:tcPr>
          <w:p w14:paraId="15B8F3BD" w14:textId="77777777" w:rsidR="000C6DE6" w:rsidRPr="007B7B59" w:rsidRDefault="000C6DE6" w:rsidP="00C80E4A">
            <w:pPr>
              <w:rPr>
                <w:bCs/>
                <w:szCs w:val="22"/>
              </w:rPr>
            </w:pPr>
          </w:p>
        </w:tc>
      </w:tr>
      <w:tr w:rsidR="000C6DE6" w:rsidRPr="005561AB" w14:paraId="70814A65" w14:textId="77777777" w:rsidTr="001B17AA">
        <w:tblPrEx>
          <w:tblLook w:val="01E0" w:firstRow="1" w:lastRow="1" w:firstColumn="1" w:lastColumn="1" w:noHBand="0" w:noVBand="0"/>
        </w:tblPrEx>
        <w:tc>
          <w:tcPr>
            <w:tcW w:w="9061" w:type="dxa"/>
            <w:gridSpan w:val="2"/>
            <w:tcBorders>
              <w:top w:val="single" w:sz="4" w:space="0" w:color="auto"/>
              <w:left w:val="single" w:sz="4" w:space="0" w:color="auto"/>
              <w:bottom w:val="single" w:sz="4" w:space="0" w:color="auto"/>
              <w:right w:val="single" w:sz="4" w:space="0" w:color="auto"/>
            </w:tcBorders>
          </w:tcPr>
          <w:p w14:paraId="798EA5F3" w14:textId="77777777" w:rsidR="000C6DE6" w:rsidRPr="00341B9D" w:rsidRDefault="000C6DE6" w:rsidP="00C80E4A">
            <w:pPr>
              <w:rPr>
                <w:bCs/>
                <w:i/>
                <w:szCs w:val="22"/>
              </w:rPr>
            </w:pPr>
            <w:r w:rsidRPr="00341B9D">
              <w:rPr>
                <w:bCs/>
                <w:i/>
                <w:szCs w:val="22"/>
              </w:rPr>
              <w:t>Nervų sistemos sutrikimai</w:t>
            </w:r>
          </w:p>
        </w:tc>
      </w:tr>
      <w:tr w:rsidR="000C6DE6" w:rsidRPr="007B7B59" w14:paraId="40DEF889" w14:textId="77777777" w:rsidTr="001B17AA">
        <w:tblPrEx>
          <w:tblLook w:val="01E0" w:firstRow="1" w:lastRow="1" w:firstColumn="1" w:lastColumn="1" w:noHBand="0" w:noVBand="0"/>
        </w:tblPrEx>
        <w:tc>
          <w:tcPr>
            <w:tcW w:w="4503" w:type="dxa"/>
            <w:tcBorders>
              <w:top w:val="single" w:sz="4" w:space="0" w:color="auto"/>
              <w:left w:val="single" w:sz="4" w:space="0" w:color="auto"/>
              <w:bottom w:val="single" w:sz="4" w:space="0" w:color="auto"/>
              <w:right w:val="single" w:sz="4" w:space="0" w:color="auto"/>
            </w:tcBorders>
          </w:tcPr>
          <w:p w14:paraId="2B0FECEB" w14:textId="77777777" w:rsidR="000C6DE6" w:rsidRPr="00650AB4" w:rsidRDefault="000C6DE6" w:rsidP="00C80E4A">
            <w:pPr>
              <w:rPr>
                <w:bCs/>
                <w:szCs w:val="22"/>
              </w:rPr>
            </w:pPr>
            <w:r w:rsidRPr="00341B9D">
              <w:rPr>
                <w:bCs/>
                <w:iCs/>
                <w:szCs w:val="22"/>
              </w:rPr>
              <w:t>Labai dažni</w:t>
            </w:r>
          </w:p>
        </w:tc>
        <w:tc>
          <w:tcPr>
            <w:tcW w:w="4558" w:type="dxa"/>
            <w:tcBorders>
              <w:top w:val="single" w:sz="4" w:space="0" w:color="auto"/>
              <w:left w:val="single" w:sz="4" w:space="0" w:color="auto"/>
              <w:bottom w:val="single" w:sz="4" w:space="0" w:color="auto"/>
              <w:right w:val="single" w:sz="4" w:space="0" w:color="auto"/>
            </w:tcBorders>
          </w:tcPr>
          <w:p w14:paraId="1D00C053" w14:textId="77777777" w:rsidR="000C6DE6" w:rsidRPr="007B7B59" w:rsidRDefault="000C6DE6" w:rsidP="004F5F2F">
            <w:pPr>
              <w:rPr>
                <w:bCs/>
                <w:szCs w:val="22"/>
              </w:rPr>
            </w:pPr>
            <w:r w:rsidRPr="007B7B59">
              <w:rPr>
                <w:bCs/>
                <w:szCs w:val="22"/>
              </w:rPr>
              <w:t>Galvos skausmas</w:t>
            </w:r>
            <w:r w:rsidR="00CF72E9" w:rsidRPr="007B7B59">
              <w:rPr>
                <w:bCs/>
                <w:szCs w:val="22"/>
              </w:rPr>
              <w:t xml:space="preserve">, </w:t>
            </w:r>
            <w:r w:rsidR="004F5F2F" w:rsidRPr="007B7B59">
              <w:rPr>
                <w:bCs/>
                <w:szCs w:val="22"/>
              </w:rPr>
              <w:t>svaigulys</w:t>
            </w:r>
          </w:p>
        </w:tc>
      </w:tr>
      <w:tr w:rsidR="000C6DE6" w:rsidRPr="007B7B59" w14:paraId="7E3BDE50" w14:textId="77777777" w:rsidTr="001B17AA">
        <w:tblPrEx>
          <w:tblLook w:val="01E0" w:firstRow="1" w:lastRow="1" w:firstColumn="1" w:lastColumn="1" w:noHBand="0" w:noVBand="0"/>
        </w:tblPrEx>
        <w:tc>
          <w:tcPr>
            <w:tcW w:w="4503" w:type="dxa"/>
            <w:tcBorders>
              <w:top w:val="single" w:sz="4" w:space="0" w:color="auto"/>
              <w:left w:val="single" w:sz="4" w:space="0" w:color="auto"/>
              <w:bottom w:val="single" w:sz="4" w:space="0" w:color="auto"/>
              <w:right w:val="single" w:sz="4" w:space="0" w:color="auto"/>
            </w:tcBorders>
          </w:tcPr>
          <w:p w14:paraId="44F16514" w14:textId="77777777" w:rsidR="000C6DE6" w:rsidRPr="00650AB4" w:rsidRDefault="000C6DE6" w:rsidP="00C80E4A">
            <w:pPr>
              <w:rPr>
                <w:bCs/>
                <w:szCs w:val="22"/>
              </w:rPr>
            </w:pPr>
            <w:r w:rsidRPr="00341B9D">
              <w:rPr>
                <w:bCs/>
                <w:szCs w:val="22"/>
              </w:rPr>
              <w:t>Dažni</w:t>
            </w:r>
          </w:p>
        </w:tc>
        <w:tc>
          <w:tcPr>
            <w:tcW w:w="4558" w:type="dxa"/>
            <w:tcBorders>
              <w:top w:val="single" w:sz="4" w:space="0" w:color="auto"/>
              <w:left w:val="single" w:sz="4" w:space="0" w:color="auto"/>
              <w:bottom w:val="single" w:sz="4" w:space="0" w:color="auto"/>
              <w:right w:val="single" w:sz="4" w:space="0" w:color="auto"/>
            </w:tcBorders>
          </w:tcPr>
          <w:p w14:paraId="7BBF8AC7" w14:textId="77777777" w:rsidR="000C6DE6" w:rsidRPr="007B7B59" w:rsidRDefault="00CF72E9" w:rsidP="00C80E4A">
            <w:pPr>
              <w:rPr>
                <w:bCs/>
                <w:szCs w:val="22"/>
              </w:rPr>
            </w:pPr>
            <w:r w:rsidRPr="007B7B59">
              <w:rPr>
                <w:bCs/>
                <w:szCs w:val="22"/>
              </w:rPr>
              <w:t>R</w:t>
            </w:r>
            <w:r w:rsidR="000C6DE6" w:rsidRPr="007B7B59">
              <w:rPr>
                <w:bCs/>
                <w:szCs w:val="22"/>
              </w:rPr>
              <w:t>iešo tunelio sindromas</w:t>
            </w:r>
            <w:r w:rsidR="00BD1987" w:rsidRPr="007B7B59">
              <w:rPr>
                <w:bCs/>
                <w:szCs w:val="22"/>
              </w:rPr>
              <w:t xml:space="preserve">, </w:t>
            </w:r>
            <w:proofErr w:type="spellStart"/>
            <w:r w:rsidR="00BD1987" w:rsidRPr="007B7B59">
              <w:rPr>
                <w:bCs/>
                <w:szCs w:val="22"/>
              </w:rPr>
              <w:t>parestezija</w:t>
            </w:r>
            <w:proofErr w:type="spellEnd"/>
          </w:p>
        </w:tc>
      </w:tr>
      <w:tr w:rsidR="000C6DE6" w:rsidRPr="007B7B59" w14:paraId="3B15C7D3" w14:textId="77777777" w:rsidTr="001B17AA">
        <w:tblPrEx>
          <w:tblLook w:val="01E0" w:firstRow="1" w:lastRow="1" w:firstColumn="1" w:lastColumn="1" w:noHBand="0" w:noVBand="0"/>
        </w:tblPrEx>
        <w:tc>
          <w:tcPr>
            <w:tcW w:w="4503" w:type="dxa"/>
            <w:tcBorders>
              <w:top w:val="single" w:sz="4" w:space="0" w:color="auto"/>
              <w:left w:val="single" w:sz="4" w:space="0" w:color="auto"/>
              <w:bottom w:val="single" w:sz="4" w:space="0" w:color="auto"/>
              <w:right w:val="single" w:sz="4" w:space="0" w:color="auto"/>
            </w:tcBorders>
          </w:tcPr>
          <w:p w14:paraId="59CCA42A" w14:textId="06A8148B" w:rsidR="000C6DE6" w:rsidRPr="00341B9D" w:rsidRDefault="003663E2" w:rsidP="00C80E4A">
            <w:pPr>
              <w:rPr>
                <w:bCs/>
                <w:szCs w:val="22"/>
              </w:rPr>
            </w:pPr>
            <w:r>
              <w:rPr>
                <w:bCs/>
                <w:szCs w:val="22"/>
              </w:rPr>
              <w:t>Reti</w:t>
            </w:r>
          </w:p>
        </w:tc>
        <w:tc>
          <w:tcPr>
            <w:tcW w:w="4558" w:type="dxa"/>
            <w:tcBorders>
              <w:top w:val="single" w:sz="4" w:space="0" w:color="auto"/>
              <w:left w:val="single" w:sz="4" w:space="0" w:color="auto"/>
              <w:bottom w:val="single" w:sz="4" w:space="0" w:color="auto"/>
              <w:right w:val="single" w:sz="4" w:space="0" w:color="auto"/>
            </w:tcBorders>
          </w:tcPr>
          <w:p w14:paraId="1AC2B7E7" w14:textId="77777777" w:rsidR="000C6DE6" w:rsidRPr="007B7B59" w:rsidRDefault="000C6DE6" w:rsidP="00C80E4A">
            <w:pPr>
              <w:rPr>
                <w:bCs/>
                <w:szCs w:val="22"/>
              </w:rPr>
            </w:pPr>
            <w:proofErr w:type="spellStart"/>
            <w:r w:rsidRPr="007B7B59">
              <w:rPr>
                <w:bCs/>
                <w:szCs w:val="22"/>
              </w:rPr>
              <w:t>Somnolencija</w:t>
            </w:r>
            <w:proofErr w:type="spellEnd"/>
          </w:p>
        </w:tc>
      </w:tr>
      <w:tr w:rsidR="000C6DE6" w:rsidRPr="007B7B59" w14:paraId="6F590534" w14:textId="77777777" w:rsidTr="001B17AA">
        <w:tblPrEx>
          <w:tblLook w:val="01E0" w:firstRow="1" w:lastRow="1" w:firstColumn="1" w:lastColumn="1" w:noHBand="0" w:noVBand="0"/>
        </w:tblPrEx>
        <w:tc>
          <w:tcPr>
            <w:tcW w:w="4503" w:type="dxa"/>
            <w:tcBorders>
              <w:top w:val="single" w:sz="4" w:space="0" w:color="auto"/>
              <w:left w:val="single" w:sz="4" w:space="0" w:color="auto"/>
              <w:bottom w:val="single" w:sz="4" w:space="0" w:color="auto"/>
              <w:right w:val="single" w:sz="4" w:space="0" w:color="auto"/>
            </w:tcBorders>
          </w:tcPr>
          <w:p w14:paraId="4D9FB840" w14:textId="77777777" w:rsidR="000C6DE6" w:rsidRPr="007B7B59" w:rsidRDefault="000C6DE6" w:rsidP="00C80E4A">
            <w:pPr>
              <w:rPr>
                <w:bCs/>
                <w:szCs w:val="22"/>
              </w:rPr>
            </w:pPr>
          </w:p>
        </w:tc>
        <w:tc>
          <w:tcPr>
            <w:tcW w:w="4558" w:type="dxa"/>
            <w:tcBorders>
              <w:top w:val="single" w:sz="4" w:space="0" w:color="auto"/>
              <w:left w:val="single" w:sz="4" w:space="0" w:color="auto"/>
              <w:bottom w:val="single" w:sz="4" w:space="0" w:color="auto"/>
              <w:right w:val="single" w:sz="4" w:space="0" w:color="auto"/>
            </w:tcBorders>
          </w:tcPr>
          <w:p w14:paraId="036C5DD9" w14:textId="77777777" w:rsidR="000C6DE6" w:rsidRPr="007B7B59" w:rsidRDefault="000C6DE6" w:rsidP="00C80E4A">
            <w:pPr>
              <w:rPr>
                <w:bCs/>
                <w:szCs w:val="22"/>
              </w:rPr>
            </w:pPr>
          </w:p>
        </w:tc>
      </w:tr>
      <w:tr w:rsidR="000C6DE6" w:rsidRPr="005561AB" w14:paraId="63EC695D" w14:textId="77777777" w:rsidTr="001B17AA">
        <w:tblPrEx>
          <w:tblLook w:val="01E0" w:firstRow="1" w:lastRow="1" w:firstColumn="1" w:lastColumn="1" w:noHBand="0" w:noVBand="0"/>
        </w:tblPrEx>
        <w:tc>
          <w:tcPr>
            <w:tcW w:w="9061" w:type="dxa"/>
            <w:gridSpan w:val="2"/>
            <w:tcBorders>
              <w:top w:val="single" w:sz="4" w:space="0" w:color="auto"/>
              <w:left w:val="single" w:sz="4" w:space="0" w:color="auto"/>
              <w:bottom w:val="single" w:sz="4" w:space="0" w:color="auto"/>
              <w:right w:val="single" w:sz="4" w:space="0" w:color="auto"/>
            </w:tcBorders>
          </w:tcPr>
          <w:p w14:paraId="45297EA5" w14:textId="77777777" w:rsidR="000C6DE6" w:rsidRPr="005561AB" w:rsidRDefault="000C6DE6" w:rsidP="00C80E4A">
            <w:pPr>
              <w:rPr>
                <w:bCs/>
                <w:szCs w:val="22"/>
              </w:rPr>
            </w:pPr>
            <w:r w:rsidRPr="00341B9D">
              <w:rPr>
                <w:bCs/>
                <w:i/>
                <w:szCs w:val="22"/>
              </w:rPr>
              <w:t>Kraujagyslių sutrikimai</w:t>
            </w:r>
          </w:p>
        </w:tc>
      </w:tr>
      <w:tr w:rsidR="000C6DE6" w:rsidRPr="007B7B59" w14:paraId="7DC866C1" w14:textId="77777777" w:rsidTr="001B17AA">
        <w:tblPrEx>
          <w:tblLook w:val="01E0" w:firstRow="1" w:lastRow="1" w:firstColumn="1" w:lastColumn="1" w:noHBand="0" w:noVBand="0"/>
        </w:tblPrEx>
        <w:tc>
          <w:tcPr>
            <w:tcW w:w="4503" w:type="dxa"/>
            <w:tcBorders>
              <w:top w:val="single" w:sz="4" w:space="0" w:color="auto"/>
              <w:left w:val="single" w:sz="4" w:space="0" w:color="auto"/>
              <w:bottom w:val="single" w:sz="4" w:space="0" w:color="auto"/>
              <w:right w:val="single" w:sz="4" w:space="0" w:color="auto"/>
            </w:tcBorders>
          </w:tcPr>
          <w:p w14:paraId="7F93046D" w14:textId="77777777" w:rsidR="000C6DE6" w:rsidRPr="00341B9D" w:rsidRDefault="000C6DE6" w:rsidP="00C80E4A">
            <w:pPr>
              <w:rPr>
                <w:bCs/>
                <w:szCs w:val="22"/>
              </w:rPr>
            </w:pPr>
            <w:r w:rsidRPr="00341B9D">
              <w:rPr>
                <w:bCs/>
                <w:szCs w:val="22"/>
              </w:rPr>
              <w:t>Labai dažni</w:t>
            </w:r>
          </w:p>
        </w:tc>
        <w:tc>
          <w:tcPr>
            <w:tcW w:w="4558" w:type="dxa"/>
            <w:tcBorders>
              <w:top w:val="single" w:sz="4" w:space="0" w:color="auto"/>
              <w:left w:val="single" w:sz="4" w:space="0" w:color="auto"/>
              <w:bottom w:val="single" w:sz="4" w:space="0" w:color="auto"/>
              <w:right w:val="single" w:sz="4" w:space="0" w:color="auto"/>
            </w:tcBorders>
          </w:tcPr>
          <w:p w14:paraId="461DBC2A" w14:textId="77777777" w:rsidR="000C6DE6" w:rsidRPr="007B7B59" w:rsidRDefault="000C6DE6" w:rsidP="00C80E4A">
            <w:pPr>
              <w:rPr>
                <w:bCs/>
                <w:szCs w:val="22"/>
              </w:rPr>
            </w:pPr>
            <w:r w:rsidRPr="007B7B59">
              <w:rPr>
                <w:szCs w:val="22"/>
              </w:rPr>
              <w:t>Kraujo priplūdimas į veidą ir kaklą</w:t>
            </w:r>
          </w:p>
        </w:tc>
      </w:tr>
      <w:tr w:rsidR="000C6DE6" w:rsidRPr="007B7B59" w14:paraId="7FEABD1A" w14:textId="77777777" w:rsidTr="001B17AA">
        <w:tblPrEx>
          <w:tblLook w:val="01E0" w:firstRow="1" w:lastRow="1" w:firstColumn="1" w:lastColumn="1" w:noHBand="0" w:noVBand="0"/>
        </w:tblPrEx>
        <w:tc>
          <w:tcPr>
            <w:tcW w:w="4503" w:type="dxa"/>
            <w:tcBorders>
              <w:top w:val="single" w:sz="4" w:space="0" w:color="auto"/>
              <w:left w:val="single" w:sz="4" w:space="0" w:color="auto"/>
              <w:bottom w:val="single" w:sz="4" w:space="0" w:color="auto"/>
              <w:right w:val="single" w:sz="4" w:space="0" w:color="auto"/>
            </w:tcBorders>
          </w:tcPr>
          <w:p w14:paraId="0C1AEF9B" w14:textId="77777777" w:rsidR="000C6DE6" w:rsidRPr="007B7B59" w:rsidRDefault="000C6DE6" w:rsidP="00C80E4A">
            <w:pPr>
              <w:rPr>
                <w:bCs/>
                <w:szCs w:val="22"/>
              </w:rPr>
            </w:pPr>
          </w:p>
        </w:tc>
        <w:tc>
          <w:tcPr>
            <w:tcW w:w="4558" w:type="dxa"/>
            <w:tcBorders>
              <w:top w:val="single" w:sz="4" w:space="0" w:color="auto"/>
              <w:left w:val="single" w:sz="4" w:space="0" w:color="auto"/>
              <w:bottom w:val="single" w:sz="4" w:space="0" w:color="auto"/>
              <w:right w:val="single" w:sz="4" w:space="0" w:color="auto"/>
            </w:tcBorders>
          </w:tcPr>
          <w:p w14:paraId="0066B998" w14:textId="77777777" w:rsidR="000C6DE6" w:rsidRPr="007B7B59" w:rsidRDefault="000C6DE6" w:rsidP="00C80E4A">
            <w:pPr>
              <w:rPr>
                <w:bCs/>
                <w:szCs w:val="22"/>
              </w:rPr>
            </w:pPr>
          </w:p>
        </w:tc>
      </w:tr>
      <w:tr w:rsidR="000C6DE6" w:rsidRPr="005561AB" w14:paraId="33D90286" w14:textId="77777777" w:rsidTr="001B17AA">
        <w:tblPrEx>
          <w:tblLook w:val="01E0" w:firstRow="1" w:lastRow="1" w:firstColumn="1" w:lastColumn="1" w:noHBand="0" w:noVBand="0"/>
        </w:tblPrEx>
        <w:tc>
          <w:tcPr>
            <w:tcW w:w="9061" w:type="dxa"/>
            <w:gridSpan w:val="2"/>
            <w:tcBorders>
              <w:top w:val="single" w:sz="4" w:space="0" w:color="auto"/>
              <w:left w:val="single" w:sz="4" w:space="0" w:color="auto"/>
              <w:bottom w:val="single" w:sz="4" w:space="0" w:color="auto"/>
              <w:right w:val="single" w:sz="4" w:space="0" w:color="auto"/>
            </w:tcBorders>
          </w:tcPr>
          <w:p w14:paraId="6B659A30" w14:textId="77777777" w:rsidR="000C6DE6" w:rsidRPr="00341B9D" w:rsidRDefault="000C6DE6" w:rsidP="00C80E4A">
            <w:pPr>
              <w:rPr>
                <w:bCs/>
                <w:i/>
                <w:szCs w:val="22"/>
              </w:rPr>
            </w:pPr>
            <w:r w:rsidRPr="00341B9D">
              <w:rPr>
                <w:bCs/>
                <w:i/>
                <w:szCs w:val="22"/>
              </w:rPr>
              <w:t>Virškinimo trakto sutrikimai</w:t>
            </w:r>
          </w:p>
        </w:tc>
      </w:tr>
      <w:tr w:rsidR="000C6DE6" w:rsidRPr="007B7B59" w14:paraId="49F2FE12" w14:textId="77777777" w:rsidTr="001B17AA">
        <w:tblPrEx>
          <w:tblLook w:val="01E0" w:firstRow="1" w:lastRow="1" w:firstColumn="1" w:lastColumn="1" w:noHBand="0" w:noVBand="0"/>
        </w:tblPrEx>
        <w:tc>
          <w:tcPr>
            <w:tcW w:w="4503" w:type="dxa"/>
            <w:tcBorders>
              <w:top w:val="single" w:sz="4" w:space="0" w:color="auto"/>
              <w:left w:val="single" w:sz="4" w:space="0" w:color="auto"/>
              <w:bottom w:val="single" w:sz="4" w:space="0" w:color="auto"/>
              <w:right w:val="single" w:sz="4" w:space="0" w:color="auto"/>
            </w:tcBorders>
          </w:tcPr>
          <w:p w14:paraId="2742957D" w14:textId="77777777" w:rsidR="000C6DE6" w:rsidRPr="00650AB4" w:rsidRDefault="000C6DE6" w:rsidP="00C80E4A">
            <w:pPr>
              <w:rPr>
                <w:bCs/>
                <w:szCs w:val="22"/>
              </w:rPr>
            </w:pPr>
            <w:r w:rsidRPr="00341B9D">
              <w:rPr>
                <w:bCs/>
                <w:szCs w:val="22"/>
              </w:rPr>
              <w:t>Labai dažni</w:t>
            </w:r>
          </w:p>
        </w:tc>
        <w:tc>
          <w:tcPr>
            <w:tcW w:w="4558" w:type="dxa"/>
            <w:tcBorders>
              <w:top w:val="single" w:sz="4" w:space="0" w:color="auto"/>
              <w:left w:val="single" w:sz="4" w:space="0" w:color="auto"/>
              <w:bottom w:val="single" w:sz="4" w:space="0" w:color="auto"/>
              <w:right w:val="single" w:sz="4" w:space="0" w:color="auto"/>
            </w:tcBorders>
          </w:tcPr>
          <w:p w14:paraId="406DA8D6" w14:textId="77777777" w:rsidR="000C6DE6" w:rsidRPr="007B7B59" w:rsidRDefault="00CF72E9" w:rsidP="00C80E4A">
            <w:pPr>
              <w:rPr>
                <w:bCs/>
                <w:szCs w:val="22"/>
              </w:rPr>
            </w:pPr>
            <w:r w:rsidRPr="007B7B59">
              <w:rPr>
                <w:bCs/>
                <w:szCs w:val="22"/>
              </w:rPr>
              <w:t>Pilvo skausmas, p</w:t>
            </w:r>
            <w:r w:rsidR="000C6DE6" w:rsidRPr="007B7B59">
              <w:rPr>
                <w:bCs/>
                <w:szCs w:val="22"/>
              </w:rPr>
              <w:t>ykinimas</w:t>
            </w:r>
          </w:p>
        </w:tc>
      </w:tr>
      <w:tr w:rsidR="000C6DE6" w:rsidRPr="007B7B59" w14:paraId="23C341E6" w14:textId="77777777" w:rsidTr="001B17AA">
        <w:tblPrEx>
          <w:tblLook w:val="01E0" w:firstRow="1" w:lastRow="1" w:firstColumn="1" w:lastColumn="1" w:noHBand="0" w:noVBand="0"/>
        </w:tblPrEx>
        <w:tc>
          <w:tcPr>
            <w:tcW w:w="4503" w:type="dxa"/>
            <w:tcBorders>
              <w:top w:val="single" w:sz="4" w:space="0" w:color="auto"/>
              <w:left w:val="single" w:sz="4" w:space="0" w:color="auto"/>
              <w:bottom w:val="single" w:sz="4" w:space="0" w:color="auto"/>
              <w:right w:val="single" w:sz="4" w:space="0" w:color="auto"/>
            </w:tcBorders>
          </w:tcPr>
          <w:p w14:paraId="0A09DAB3" w14:textId="77777777" w:rsidR="000C6DE6" w:rsidRPr="00341B9D" w:rsidRDefault="000C6DE6" w:rsidP="00C80E4A">
            <w:pPr>
              <w:rPr>
                <w:bCs/>
                <w:szCs w:val="22"/>
              </w:rPr>
            </w:pPr>
            <w:r w:rsidRPr="00341B9D">
              <w:rPr>
                <w:bCs/>
                <w:szCs w:val="22"/>
              </w:rPr>
              <w:t>Dažni</w:t>
            </w:r>
          </w:p>
        </w:tc>
        <w:tc>
          <w:tcPr>
            <w:tcW w:w="4558" w:type="dxa"/>
            <w:tcBorders>
              <w:top w:val="single" w:sz="4" w:space="0" w:color="auto"/>
              <w:left w:val="single" w:sz="4" w:space="0" w:color="auto"/>
              <w:bottom w:val="single" w:sz="4" w:space="0" w:color="auto"/>
              <w:right w:val="single" w:sz="4" w:space="0" w:color="auto"/>
            </w:tcBorders>
          </w:tcPr>
          <w:p w14:paraId="3717B68E" w14:textId="77777777" w:rsidR="000C6DE6" w:rsidRPr="007B7B59" w:rsidRDefault="00CF72E9" w:rsidP="00C80E4A">
            <w:pPr>
              <w:rPr>
                <w:bCs/>
                <w:szCs w:val="22"/>
              </w:rPr>
            </w:pPr>
            <w:r w:rsidRPr="007B7B59">
              <w:rPr>
                <w:bCs/>
                <w:szCs w:val="22"/>
              </w:rPr>
              <w:t>V</w:t>
            </w:r>
            <w:r w:rsidR="000C6DE6" w:rsidRPr="007B7B59">
              <w:rPr>
                <w:bCs/>
                <w:szCs w:val="22"/>
              </w:rPr>
              <w:t xml:space="preserve">ėmimas, </w:t>
            </w:r>
            <w:r w:rsidRPr="007B7B59">
              <w:rPr>
                <w:bCs/>
                <w:szCs w:val="22"/>
              </w:rPr>
              <w:t xml:space="preserve">viduriavimas, </w:t>
            </w:r>
            <w:r w:rsidR="000C6DE6" w:rsidRPr="007B7B59">
              <w:rPr>
                <w:bCs/>
                <w:szCs w:val="22"/>
              </w:rPr>
              <w:t xml:space="preserve">vidurių užkietėjimas, virškinimo sutrikimas </w:t>
            </w:r>
          </w:p>
        </w:tc>
      </w:tr>
      <w:tr w:rsidR="000C6DE6" w:rsidRPr="007B7B59" w14:paraId="6237F76B" w14:textId="77777777" w:rsidTr="001B17AA">
        <w:tblPrEx>
          <w:tblLook w:val="01E0" w:firstRow="1" w:lastRow="1" w:firstColumn="1" w:lastColumn="1" w:noHBand="0" w:noVBand="0"/>
        </w:tblPrEx>
        <w:tc>
          <w:tcPr>
            <w:tcW w:w="4503" w:type="dxa"/>
            <w:tcBorders>
              <w:top w:val="single" w:sz="4" w:space="0" w:color="auto"/>
              <w:left w:val="single" w:sz="4" w:space="0" w:color="auto"/>
              <w:bottom w:val="single" w:sz="4" w:space="0" w:color="auto"/>
              <w:right w:val="single" w:sz="4" w:space="0" w:color="auto"/>
            </w:tcBorders>
          </w:tcPr>
          <w:p w14:paraId="14C3E601" w14:textId="77777777" w:rsidR="000C6DE6" w:rsidRPr="007B7B59" w:rsidRDefault="000C6DE6" w:rsidP="00C80E4A">
            <w:pPr>
              <w:rPr>
                <w:bCs/>
                <w:szCs w:val="22"/>
              </w:rPr>
            </w:pPr>
          </w:p>
        </w:tc>
        <w:tc>
          <w:tcPr>
            <w:tcW w:w="4558" w:type="dxa"/>
            <w:tcBorders>
              <w:top w:val="single" w:sz="4" w:space="0" w:color="auto"/>
              <w:left w:val="single" w:sz="4" w:space="0" w:color="auto"/>
              <w:bottom w:val="single" w:sz="4" w:space="0" w:color="auto"/>
              <w:right w:val="single" w:sz="4" w:space="0" w:color="auto"/>
            </w:tcBorders>
          </w:tcPr>
          <w:p w14:paraId="3A5B78D9" w14:textId="77777777" w:rsidR="000C6DE6" w:rsidRPr="007B7B59" w:rsidRDefault="000C6DE6" w:rsidP="00C80E4A">
            <w:pPr>
              <w:rPr>
                <w:bCs/>
                <w:szCs w:val="22"/>
              </w:rPr>
            </w:pPr>
          </w:p>
        </w:tc>
      </w:tr>
      <w:tr w:rsidR="00E77D3A" w:rsidRPr="005561AB" w14:paraId="79F658D3" w14:textId="77777777" w:rsidTr="001B17AA">
        <w:tblPrEx>
          <w:tblLook w:val="01E0" w:firstRow="1" w:lastRow="1" w:firstColumn="1" w:lastColumn="1" w:noHBand="0" w:noVBand="0"/>
        </w:tblPrEx>
        <w:tc>
          <w:tcPr>
            <w:tcW w:w="9061" w:type="dxa"/>
            <w:gridSpan w:val="2"/>
            <w:tcBorders>
              <w:top w:val="single" w:sz="4" w:space="0" w:color="auto"/>
              <w:left w:val="single" w:sz="4" w:space="0" w:color="auto"/>
              <w:bottom w:val="single" w:sz="4" w:space="0" w:color="auto"/>
              <w:right w:val="single" w:sz="4" w:space="0" w:color="auto"/>
            </w:tcBorders>
          </w:tcPr>
          <w:p w14:paraId="181BB4DE" w14:textId="77777777" w:rsidR="00E77D3A" w:rsidRPr="005561AB" w:rsidRDefault="00E77D3A" w:rsidP="000A3B6A">
            <w:pPr>
              <w:rPr>
                <w:bCs/>
                <w:szCs w:val="22"/>
              </w:rPr>
            </w:pPr>
            <w:r w:rsidRPr="00341B9D">
              <w:rPr>
                <w:i/>
                <w:szCs w:val="22"/>
              </w:rPr>
              <w:t>K</w:t>
            </w:r>
            <w:r w:rsidR="000A3B6A" w:rsidRPr="00341B9D">
              <w:rPr>
                <w:i/>
                <w:szCs w:val="22"/>
              </w:rPr>
              <w:t>epenų, tulžies pūslės ir latakų</w:t>
            </w:r>
            <w:r w:rsidRPr="00341B9D">
              <w:rPr>
                <w:i/>
                <w:szCs w:val="22"/>
              </w:rPr>
              <w:t xml:space="preserve"> sutrikimai</w:t>
            </w:r>
          </w:p>
        </w:tc>
      </w:tr>
      <w:tr w:rsidR="00E77D3A" w:rsidRPr="007B7B59" w14:paraId="0558FF85" w14:textId="77777777" w:rsidTr="001B17AA">
        <w:tblPrEx>
          <w:tblLook w:val="01E0" w:firstRow="1" w:lastRow="1" w:firstColumn="1" w:lastColumn="1" w:noHBand="0" w:noVBand="0"/>
        </w:tblPrEx>
        <w:tc>
          <w:tcPr>
            <w:tcW w:w="4503" w:type="dxa"/>
            <w:tcBorders>
              <w:top w:val="single" w:sz="4" w:space="0" w:color="auto"/>
              <w:left w:val="single" w:sz="4" w:space="0" w:color="auto"/>
              <w:bottom w:val="single" w:sz="4" w:space="0" w:color="auto"/>
              <w:right w:val="single" w:sz="4" w:space="0" w:color="auto"/>
            </w:tcBorders>
          </w:tcPr>
          <w:p w14:paraId="1E71143E" w14:textId="77777777" w:rsidR="00E77D3A" w:rsidRPr="00341B9D" w:rsidRDefault="006F2975" w:rsidP="00C80E4A">
            <w:pPr>
              <w:rPr>
                <w:bCs/>
                <w:szCs w:val="22"/>
              </w:rPr>
            </w:pPr>
            <w:r w:rsidRPr="00341B9D">
              <w:rPr>
                <w:bCs/>
                <w:szCs w:val="22"/>
              </w:rPr>
              <w:t>Reti</w:t>
            </w:r>
          </w:p>
        </w:tc>
        <w:tc>
          <w:tcPr>
            <w:tcW w:w="4558" w:type="dxa"/>
            <w:tcBorders>
              <w:top w:val="single" w:sz="4" w:space="0" w:color="auto"/>
              <w:left w:val="single" w:sz="4" w:space="0" w:color="auto"/>
              <w:bottom w:val="single" w:sz="4" w:space="0" w:color="auto"/>
              <w:right w:val="single" w:sz="4" w:space="0" w:color="auto"/>
            </w:tcBorders>
          </w:tcPr>
          <w:p w14:paraId="7322490A" w14:textId="17686225" w:rsidR="00E77D3A" w:rsidRPr="007B7B59" w:rsidRDefault="00E77D3A" w:rsidP="00CF72E9">
            <w:pPr>
              <w:rPr>
                <w:bCs/>
                <w:szCs w:val="22"/>
              </w:rPr>
            </w:pPr>
            <w:r w:rsidRPr="007B7B59">
              <w:rPr>
                <w:szCs w:val="22"/>
              </w:rPr>
              <w:t>Hepatitas</w:t>
            </w:r>
            <w:r w:rsidR="003663E2" w:rsidRPr="0071429D">
              <w:rPr>
                <w:szCs w:val="22"/>
                <w:vertAlign w:val="superscript"/>
              </w:rPr>
              <w:t>(†)</w:t>
            </w:r>
            <w:r w:rsidRPr="007B7B59">
              <w:rPr>
                <w:szCs w:val="22"/>
              </w:rPr>
              <w:t xml:space="preserve">, </w:t>
            </w:r>
            <w:proofErr w:type="spellStart"/>
            <w:r w:rsidRPr="007B7B59">
              <w:rPr>
                <w:szCs w:val="22"/>
              </w:rPr>
              <w:t>cho</w:t>
            </w:r>
            <w:r w:rsidR="00E135B0" w:rsidRPr="007B7B59">
              <w:rPr>
                <w:szCs w:val="22"/>
              </w:rPr>
              <w:t>lestazinis</w:t>
            </w:r>
            <w:proofErr w:type="spellEnd"/>
            <w:r w:rsidRPr="007B7B59">
              <w:rPr>
                <w:szCs w:val="22"/>
              </w:rPr>
              <w:t xml:space="preserve"> hepatitas</w:t>
            </w:r>
            <w:r w:rsidR="003663E2" w:rsidRPr="0071429D">
              <w:rPr>
                <w:szCs w:val="22"/>
                <w:vertAlign w:val="superscript"/>
              </w:rPr>
              <w:t>(†)</w:t>
            </w:r>
          </w:p>
        </w:tc>
      </w:tr>
      <w:tr w:rsidR="00E77D3A" w:rsidRPr="007B7B59" w14:paraId="16E94563" w14:textId="77777777" w:rsidTr="001B17AA">
        <w:tblPrEx>
          <w:tblLook w:val="01E0" w:firstRow="1" w:lastRow="1" w:firstColumn="1" w:lastColumn="1" w:noHBand="0" w:noVBand="0"/>
        </w:tblPrEx>
        <w:tc>
          <w:tcPr>
            <w:tcW w:w="4503" w:type="dxa"/>
            <w:tcBorders>
              <w:top w:val="single" w:sz="4" w:space="0" w:color="auto"/>
              <w:left w:val="single" w:sz="4" w:space="0" w:color="auto"/>
              <w:bottom w:val="single" w:sz="4" w:space="0" w:color="auto"/>
              <w:right w:val="single" w:sz="4" w:space="0" w:color="auto"/>
            </w:tcBorders>
          </w:tcPr>
          <w:p w14:paraId="424F4099" w14:textId="77777777" w:rsidR="00E77D3A" w:rsidRPr="007B7B59" w:rsidRDefault="00E77D3A" w:rsidP="00C80E4A">
            <w:pPr>
              <w:rPr>
                <w:bCs/>
                <w:szCs w:val="22"/>
              </w:rPr>
            </w:pPr>
          </w:p>
        </w:tc>
        <w:tc>
          <w:tcPr>
            <w:tcW w:w="4558" w:type="dxa"/>
            <w:tcBorders>
              <w:top w:val="single" w:sz="4" w:space="0" w:color="auto"/>
              <w:left w:val="single" w:sz="4" w:space="0" w:color="auto"/>
              <w:bottom w:val="single" w:sz="4" w:space="0" w:color="auto"/>
              <w:right w:val="single" w:sz="4" w:space="0" w:color="auto"/>
            </w:tcBorders>
          </w:tcPr>
          <w:p w14:paraId="756DF8A8" w14:textId="77777777" w:rsidR="00E77D3A" w:rsidRPr="007B7B59" w:rsidRDefault="00E77D3A" w:rsidP="00C80E4A">
            <w:pPr>
              <w:rPr>
                <w:bCs/>
                <w:szCs w:val="22"/>
              </w:rPr>
            </w:pPr>
          </w:p>
        </w:tc>
      </w:tr>
      <w:tr w:rsidR="00E77D3A" w:rsidRPr="005561AB" w14:paraId="3B6CE8A3" w14:textId="77777777" w:rsidTr="001B17AA">
        <w:tblPrEx>
          <w:tblLook w:val="01E0" w:firstRow="1" w:lastRow="1" w:firstColumn="1" w:lastColumn="1" w:noHBand="0" w:noVBand="0"/>
        </w:tblPrEx>
        <w:tc>
          <w:tcPr>
            <w:tcW w:w="9061" w:type="dxa"/>
            <w:gridSpan w:val="2"/>
            <w:tcBorders>
              <w:top w:val="single" w:sz="4" w:space="0" w:color="auto"/>
              <w:left w:val="single" w:sz="4" w:space="0" w:color="auto"/>
              <w:bottom w:val="single" w:sz="4" w:space="0" w:color="auto"/>
              <w:right w:val="single" w:sz="4" w:space="0" w:color="auto"/>
            </w:tcBorders>
          </w:tcPr>
          <w:p w14:paraId="0E17A04A" w14:textId="77777777" w:rsidR="00E77D3A" w:rsidRPr="00341B9D" w:rsidRDefault="00E77D3A" w:rsidP="00C80E4A">
            <w:pPr>
              <w:keepNext/>
              <w:tabs>
                <w:tab w:val="left" w:pos="567"/>
              </w:tabs>
              <w:rPr>
                <w:bCs/>
                <w:i/>
                <w:szCs w:val="22"/>
              </w:rPr>
            </w:pPr>
            <w:r w:rsidRPr="00341B9D">
              <w:rPr>
                <w:i/>
                <w:szCs w:val="22"/>
              </w:rPr>
              <w:t>Odos ir poodinio audinio sutrikimai</w:t>
            </w:r>
          </w:p>
        </w:tc>
      </w:tr>
      <w:tr w:rsidR="00E77D3A" w:rsidRPr="007B7B59" w14:paraId="445E7ABC" w14:textId="77777777" w:rsidTr="001B17AA">
        <w:tblPrEx>
          <w:tblLook w:val="01E0" w:firstRow="1" w:lastRow="1" w:firstColumn="1" w:lastColumn="1" w:noHBand="0" w:noVBand="0"/>
        </w:tblPrEx>
        <w:tc>
          <w:tcPr>
            <w:tcW w:w="4503" w:type="dxa"/>
            <w:tcBorders>
              <w:top w:val="single" w:sz="4" w:space="0" w:color="auto"/>
              <w:left w:val="single" w:sz="4" w:space="0" w:color="auto"/>
              <w:bottom w:val="single" w:sz="4" w:space="0" w:color="auto"/>
              <w:right w:val="single" w:sz="4" w:space="0" w:color="auto"/>
            </w:tcBorders>
          </w:tcPr>
          <w:p w14:paraId="5C258011" w14:textId="77777777" w:rsidR="00E77D3A" w:rsidRPr="00650AB4" w:rsidRDefault="00E77D3A" w:rsidP="00C80E4A">
            <w:pPr>
              <w:rPr>
                <w:bCs/>
                <w:szCs w:val="22"/>
              </w:rPr>
            </w:pPr>
            <w:r w:rsidRPr="00341B9D">
              <w:rPr>
                <w:bCs/>
                <w:iCs/>
                <w:szCs w:val="22"/>
              </w:rPr>
              <w:t>Labai dažni</w:t>
            </w:r>
          </w:p>
        </w:tc>
        <w:tc>
          <w:tcPr>
            <w:tcW w:w="4558" w:type="dxa"/>
            <w:tcBorders>
              <w:top w:val="single" w:sz="4" w:space="0" w:color="auto"/>
              <w:left w:val="single" w:sz="4" w:space="0" w:color="auto"/>
              <w:bottom w:val="single" w:sz="4" w:space="0" w:color="auto"/>
              <w:right w:val="single" w:sz="4" w:space="0" w:color="auto"/>
            </w:tcBorders>
          </w:tcPr>
          <w:p w14:paraId="25AEF7A0" w14:textId="7928CFF1" w:rsidR="00E77D3A" w:rsidRPr="007B7B59" w:rsidRDefault="003663E2" w:rsidP="00C80E4A">
            <w:pPr>
              <w:rPr>
                <w:bCs/>
                <w:szCs w:val="22"/>
              </w:rPr>
            </w:pPr>
            <w:proofErr w:type="spellStart"/>
            <w:r>
              <w:rPr>
                <w:bCs/>
                <w:szCs w:val="22"/>
              </w:rPr>
              <w:t>Hiperhidrozė</w:t>
            </w:r>
            <w:proofErr w:type="spellEnd"/>
          </w:p>
        </w:tc>
      </w:tr>
      <w:tr w:rsidR="00E77D3A" w:rsidRPr="007B7B59" w14:paraId="7ACF67C0" w14:textId="77777777" w:rsidTr="001B17AA">
        <w:tblPrEx>
          <w:tblLook w:val="01E0" w:firstRow="1" w:lastRow="1" w:firstColumn="1" w:lastColumn="1" w:noHBand="0" w:noVBand="0"/>
        </w:tblPrEx>
        <w:tc>
          <w:tcPr>
            <w:tcW w:w="4503" w:type="dxa"/>
            <w:tcBorders>
              <w:top w:val="single" w:sz="4" w:space="0" w:color="auto"/>
              <w:left w:val="single" w:sz="4" w:space="0" w:color="auto"/>
              <w:bottom w:val="single" w:sz="4" w:space="0" w:color="auto"/>
              <w:right w:val="single" w:sz="4" w:space="0" w:color="auto"/>
            </w:tcBorders>
          </w:tcPr>
          <w:p w14:paraId="77974E51" w14:textId="77777777" w:rsidR="00E77D3A" w:rsidRPr="00650AB4" w:rsidRDefault="00E77D3A" w:rsidP="00C80E4A">
            <w:pPr>
              <w:rPr>
                <w:bCs/>
                <w:szCs w:val="22"/>
              </w:rPr>
            </w:pPr>
            <w:r w:rsidRPr="00341B9D">
              <w:rPr>
                <w:bCs/>
                <w:szCs w:val="22"/>
              </w:rPr>
              <w:t>Dažni</w:t>
            </w:r>
          </w:p>
        </w:tc>
        <w:tc>
          <w:tcPr>
            <w:tcW w:w="4558" w:type="dxa"/>
            <w:tcBorders>
              <w:top w:val="single" w:sz="4" w:space="0" w:color="auto"/>
              <w:left w:val="single" w:sz="4" w:space="0" w:color="auto"/>
              <w:bottom w:val="single" w:sz="4" w:space="0" w:color="auto"/>
              <w:right w:val="single" w:sz="4" w:space="0" w:color="auto"/>
            </w:tcBorders>
          </w:tcPr>
          <w:p w14:paraId="02A47955" w14:textId="77777777" w:rsidR="00E77D3A" w:rsidRPr="007B7B59" w:rsidRDefault="00AA791B" w:rsidP="003543D5">
            <w:pPr>
              <w:rPr>
                <w:bCs/>
                <w:szCs w:val="22"/>
              </w:rPr>
            </w:pPr>
            <w:proofErr w:type="spellStart"/>
            <w:r w:rsidRPr="007B7B59">
              <w:rPr>
                <w:bCs/>
                <w:szCs w:val="22"/>
              </w:rPr>
              <w:t>A</w:t>
            </w:r>
            <w:r w:rsidR="00E77D3A" w:rsidRPr="007B7B59">
              <w:rPr>
                <w:bCs/>
                <w:szCs w:val="22"/>
              </w:rPr>
              <w:t>lopecija</w:t>
            </w:r>
            <w:proofErr w:type="spellEnd"/>
            <w:r w:rsidR="00E77D3A" w:rsidRPr="007B7B59">
              <w:rPr>
                <w:bCs/>
                <w:szCs w:val="22"/>
              </w:rPr>
              <w:t>,</w:t>
            </w:r>
            <w:r w:rsidRPr="007B7B59">
              <w:rPr>
                <w:bCs/>
                <w:szCs w:val="22"/>
              </w:rPr>
              <w:t xml:space="preserve"> išbėrimas,</w:t>
            </w:r>
            <w:r w:rsidR="00E77D3A" w:rsidRPr="007B7B59">
              <w:rPr>
                <w:bCs/>
                <w:szCs w:val="22"/>
              </w:rPr>
              <w:t xml:space="preserve"> </w:t>
            </w:r>
            <w:proofErr w:type="spellStart"/>
            <w:r w:rsidR="00E77D3A" w:rsidRPr="007B7B59">
              <w:rPr>
                <w:bCs/>
                <w:szCs w:val="22"/>
              </w:rPr>
              <w:t>urtikarija</w:t>
            </w:r>
            <w:proofErr w:type="spellEnd"/>
            <w:r w:rsidR="00E77D3A" w:rsidRPr="007B7B59">
              <w:rPr>
                <w:bCs/>
                <w:szCs w:val="22"/>
              </w:rPr>
              <w:t>, niež</w:t>
            </w:r>
            <w:r w:rsidR="007707BC">
              <w:rPr>
                <w:bCs/>
                <w:szCs w:val="22"/>
              </w:rPr>
              <w:t>uly</w:t>
            </w:r>
            <w:r w:rsidR="003543D5" w:rsidRPr="007B7B59">
              <w:rPr>
                <w:bCs/>
                <w:szCs w:val="22"/>
              </w:rPr>
              <w:t>s</w:t>
            </w:r>
          </w:p>
        </w:tc>
      </w:tr>
      <w:tr w:rsidR="00E77D3A" w:rsidRPr="007B7B59" w14:paraId="7E69AD08" w14:textId="77777777" w:rsidTr="001B17AA">
        <w:tblPrEx>
          <w:tblLook w:val="01E0" w:firstRow="1" w:lastRow="1" w:firstColumn="1" w:lastColumn="1" w:noHBand="0" w:noVBand="0"/>
        </w:tblPrEx>
        <w:tc>
          <w:tcPr>
            <w:tcW w:w="4503" w:type="dxa"/>
            <w:tcBorders>
              <w:top w:val="single" w:sz="4" w:space="0" w:color="auto"/>
              <w:left w:val="single" w:sz="4" w:space="0" w:color="auto"/>
              <w:bottom w:val="single" w:sz="4" w:space="0" w:color="auto"/>
              <w:right w:val="single" w:sz="4" w:space="0" w:color="auto"/>
            </w:tcBorders>
          </w:tcPr>
          <w:p w14:paraId="01CC2199" w14:textId="77777777" w:rsidR="00E77D3A" w:rsidRPr="00341B9D" w:rsidRDefault="00AA791B" w:rsidP="00C80E4A">
            <w:pPr>
              <w:rPr>
                <w:bCs/>
                <w:szCs w:val="22"/>
              </w:rPr>
            </w:pPr>
            <w:r w:rsidRPr="00341B9D">
              <w:rPr>
                <w:bCs/>
                <w:szCs w:val="22"/>
              </w:rPr>
              <w:t>Reti</w:t>
            </w:r>
          </w:p>
        </w:tc>
        <w:tc>
          <w:tcPr>
            <w:tcW w:w="4558" w:type="dxa"/>
            <w:tcBorders>
              <w:top w:val="single" w:sz="4" w:space="0" w:color="auto"/>
              <w:left w:val="single" w:sz="4" w:space="0" w:color="auto"/>
              <w:bottom w:val="single" w:sz="4" w:space="0" w:color="auto"/>
              <w:right w:val="single" w:sz="4" w:space="0" w:color="auto"/>
            </w:tcBorders>
          </w:tcPr>
          <w:p w14:paraId="0F31A3E8" w14:textId="2DBE3A47" w:rsidR="00E77D3A" w:rsidRPr="007B7B59" w:rsidRDefault="00E77D3A" w:rsidP="00927D38">
            <w:pPr>
              <w:rPr>
                <w:bCs/>
                <w:szCs w:val="22"/>
              </w:rPr>
            </w:pPr>
            <w:r w:rsidRPr="007B7B59">
              <w:rPr>
                <w:szCs w:val="22"/>
              </w:rPr>
              <w:t>Ūmi</w:t>
            </w:r>
            <w:r w:rsidR="003543D5" w:rsidRPr="007B7B59">
              <w:rPr>
                <w:szCs w:val="22"/>
              </w:rPr>
              <w:t>nė</w:t>
            </w:r>
            <w:r w:rsidRPr="007B7B59">
              <w:rPr>
                <w:szCs w:val="22"/>
              </w:rPr>
              <w:t xml:space="preserve"> </w:t>
            </w:r>
            <w:proofErr w:type="spellStart"/>
            <w:r w:rsidRPr="007B7B59">
              <w:rPr>
                <w:szCs w:val="22"/>
              </w:rPr>
              <w:t>generalizuota</w:t>
            </w:r>
            <w:proofErr w:type="spellEnd"/>
            <w:r w:rsidRPr="007B7B59">
              <w:rPr>
                <w:szCs w:val="22"/>
              </w:rPr>
              <w:t xml:space="preserve"> </w:t>
            </w:r>
            <w:proofErr w:type="spellStart"/>
            <w:r w:rsidRPr="007B7B59">
              <w:rPr>
                <w:szCs w:val="22"/>
              </w:rPr>
              <w:t>egzanteminė</w:t>
            </w:r>
            <w:proofErr w:type="spellEnd"/>
            <w:r w:rsidRPr="007B7B59">
              <w:rPr>
                <w:szCs w:val="22"/>
              </w:rPr>
              <w:t xml:space="preserve"> </w:t>
            </w:r>
            <w:proofErr w:type="spellStart"/>
            <w:r w:rsidRPr="007B7B59">
              <w:rPr>
                <w:szCs w:val="22"/>
              </w:rPr>
              <w:t>pustuliozė</w:t>
            </w:r>
            <w:proofErr w:type="spellEnd"/>
            <w:r w:rsidR="003663E2" w:rsidRPr="0071429D">
              <w:rPr>
                <w:szCs w:val="22"/>
                <w:vertAlign w:val="superscript"/>
              </w:rPr>
              <w:t>(†)</w:t>
            </w:r>
          </w:p>
        </w:tc>
      </w:tr>
      <w:tr w:rsidR="00E77D3A" w:rsidRPr="007B7B59" w14:paraId="7346BCE6" w14:textId="77777777" w:rsidTr="001B17AA">
        <w:tblPrEx>
          <w:tblLook w:val="01E0" w:firstRow="1" w:lastRow="1" w:firstColumn="1" w:lastColumn="1" w:noHBand="0" w:noVBand="0"/>
        </w:tblPrEx>
        <w:tc>
          <w:tcPr>
            <w:tcW w:w="4503" w:type="dxa"/>
            <w:tcBorders>
              <w:top w:val="single" w:sz="4" w:space="0" w:color="auto"/>
              <w:left w:val="single" w:sz="4" w:space="0" w:color="auto"/>
              <w:bottom w:val="single" w:sz="4" w:space="0" w:color="auto"/>
              <w:right w:val="single" w:sz="4" w:space="0" w:color="auto"/>
            </w:tcBorders>
          </w:tcPr>
          <w:p w14:paraId="37201420" w14:textId="77777777" w:rsidR="00E77D3A" w:rsidRPr="007B7B59" w:rsidRDefault="00E77D3A" w:rsidP="00C80E4A">
            <w:pPr>
              <w:rPr>
                <w:bCs/>
                <w:szCs w:val="22"/>
              </w:rPr>
            </w:pPr>
          </w:p>
        </w:tc>
        <w:tc>
          <w:tcPr>
            <w:tcW w:w="4558" w:type="dxa"/>
            <w:tcBorders>
              <w:top w:val="single" w:sz="4" w:space="0" w:color="auto"/>
              <w:left w:val="single" w:sz="4" w:space="0" w:color="auto"/>
              <w:bottom w:val="single" w:sz="4" w:space="0" w:color="auto"/>
              <w:right w:val="single" w:sz="4" w:space="0" w:color="auto"/>
            </w:tcBorders>
          </w:tcPr>
          <w:p w14:paraId="64B0F227" w14:textId="77777777" w:rsidR="00E77D3A" w:rsidRPr="007B7B59" w:rsidRDefault="00E77D3A" w:rsidP="00C80E4A">
            <w:pPr>
              <w:rPr>
                <w:bCs/>
                <w:szCs w:val="22"/>
              </w:rPr>
            </w:pPr>
          </w:p>
        </w:tc>
      </w:tr>
      <w:tr w:rsidR="00E77D3A" w:rsidRPr="005561AB" w14:paraId="03B01A86" w14:textId="77777777" w:rsidTr="001B17AA">
        <w:tblPrEx>
          <w:tblLook w:val="01E0" w:firstRow="1" w:lastRow="1" w:firstColumn="1" w:lastColumn="1" w:noHBand="0" w:noVBand="0"/>
        </w:tblPrEx>
        <w:tc>
          <w:tcPr>
            <w:tcW w:w="9061" w:type="dxa"/>
            <w:gridSpan w:val="2"/>
            <w:tcBorders>
              <w:top w:val="single" w:sz="4" w:space="0" w:color="auto"/>
              <w:left w:val="single" w:sz="4" w:space="0" w:color="auto"/>
              <w:bottom w:val="single" w:sz="4" w:space="0" w:color="auto"/>
              <w:right w:val="single" w:sz="4" w:space="0" w:color="auto"/>
            </w:tcBorders>
          </w:tcPr>
          <w:p w14:paraId="7BC9B19F" w14:textId="77777777" w:rsidR="00E77D3A" w:rsidRPr="00341B9D" w:rsidRDefault="00E77D3A" w:rsidP="00C80E4A">
            <w:pPr>
              <w:rPr>
                <w:bCs/>
                <w:i/>
                <w:szCs w:val="22"/>
              </w:rPr>
            </w:pPr>
            <w:r w:rsidRPr="00341B9D">
              <w:rPr>
                <w:i/>
                <w:szCs w:val="22"/>
              </w:rPr>
              <w:t>Skeleto, raumenų ir jungiamojo audinio sutrikimai</w:t>
            </w:r>
          </w:p>
        </w:tc>
      </w:tr>
      <w:tr w:rsidR="00E77D3A" w:rsidRPr="007B7B59" w14:paraId="149750E1" w14:textId="77777777" w:rsidTr="001B17AA">
        <w:tblPrEx>
          <w:tblLook w:val="01E0" w:firstRow="1" w:lastRow="1" w:firstColumn="1" w:lastColumn="1" w:noHBand="0" w:noVBand="0"/>
        </w:tblPrEx>
        <w:trPr>
          <w:cantSplit/>
        </w:trPr>
        <w:tc>
          <w:tcPr>
            <w:tcW w:w="4503" w:type="dxa"/>
            <w:tcBorders>
              <w:top w:val="single" w:sz="4" w:space="0" w:color="auto"/>
              <w:left w:val="single" w:sz="4" w:space="0" w:color="auto"/>
              <w:bottom w:val="single" w:sz="4" w:space="0" w:color="auto"/>
              <w:right w:val="single" w:sz="4" w:space="0" w:color="auto"/>
            </w:tcBorders>
          </w:tcPr>
          <w:p w14:paraId="15F6409A" w14:textId="77777777" w:rsidR="00E77D3A" w:rsidRPr="00341B9D" w:rsidRDefault="00E77D3A" w:rsidP="00C80E4A">
            <w:pPr>
              <w:rPr>
                <w:b/>
                <w:szCs w:val="22"/>
              </w:rPr>
            </w:pPr>
            <w:r w:rsidRPr="00341B9D">
              <w:rPr>
                <w:bCs/>
                <w:iCs/>
                <w:szCs w:val="22"/>
              </w:rPr>
              <w:t>Labai dažni</w:t>
            </w:r>
          </w:p>
        </w:tc>
        <w:tc>
          <w:tcPr>
            <w:tcW w:w="4558" w:type="dxa"/>
            <w:tcBorders>
              <w:top w:val="single" w:sz="4" w:space="0" w:color="auto"/>
              <w:left w:val="single" w:sz="4" w:space="0" w:color="auto"/>
              <w:bottom w:val="single" w:sz="4" w:space="0" w:color="auto"/>
              <w:right w:val="single" w:sz="4" w:space="0" w:color="auto"/>
            </w:tcBorders>
          </w:tcPr>
          <w:p w14:paraId="23191715" w14:textId="77777777" w:rsidR="00E77D3A" w:rsidRPr="007B7B59" w:rsidRDefault="00E77D3A" w:rsidP="00C80E4A">
            <w:pPr>
              <w:rPr>
                <w:iCs/>
                <w:szCs w:val="22"/>
              </w:rPr>
            </w:pPr>
            <w:r w:rsidRPr="007B7B59">
              <w:rPr>
                <w:iCs/>
                <w:szCs w:val="22"/>
              </w:rPr>
              <w:t>Skausmas sąnariuose, kauluose ir raumenyse</w:t>
            </w:r>
            <w:r w:rsidR="001165B6" w:rsidRPr="007B7B59">
              <w:rPr>
                <w:szCs w:val="22"/>
                <w:vertAlign w:val="superscript"/>
              </w:rPr>
              <w:t>(*)</w:t>
            </w:r>
            <w:r w:rsidRPr="007B7B59">
              <w:rPr>
                <w:iCs/>
                <w:szCs w:val="22"/>
              </w:rPr>
              <w:t xml:space="preserve"> </w:t>
            </w:r>
          </w:p>
        </w:tc>
      </w:tr>
      <w:tr w:rsidR="00E77D3A" w:rsidRPr="007B7B59" w14:paraId="068FA5FE" w14:textId="77777777" w:rsidTr="001B17AA">
        <w:tblPrEx>
          <w:tblLook w:val="01E0" w:firstRow="1" w:lastRow="1" w:firstColumn="1" w:lastColumn="1" w:noHBand="0" w:noVBand="0"/>
        </w:tblPrEx>
        <w:trPr>
          <w:cantSplit/>
        </w:trPr>
        <w:tc>
          <w:tcPr>
            <w:tcW w:w="4503" w:type="dxa"/>
            <w:tcBorders>
              <w:top w:val="single" w:sz="4" w:space="0" w:color="auto"/>
              <w:left w:val="single" w:sz="4" w:space="0" w:color="auto"/>
              <w:bottom w:val="single" w:sz="4" w:space="0" w:color="auto"/>
              <w:right w:val="single" w:sz="4" w:space="0" w:color="auto"/>
            </w:tcBorders>
          </w:tcPr>
          <w:p w14:paraId="0C068FD3" w14:textId="77777777" w:rsidR="00E77D3A" w:rsidRPr="00341B9D" w:rsidRDefault="00E77D3A" w:rsidP="00C80E4A">
            <w:pPr>
              <w:rPr>
                <w:b/>
                <w:bCs/>
                <w:szCs w:val="22"/>
              </w:rPr>
            </w:pPr>
            <w:r w:rsidRPr="00341B9D">
              <w:rPr>
                <w:bCs/>
                <w:iCs/>
                <w:szCs w:val="22"/>
              </w:rPr>
              <w:t>Dažni</w:t>
            </w:r>
          </w:p>
        </w:tc>
        <w:tc>
          <w:tcPr>
            <w:tcW w:w="4558" w:type="dxa"/>
            <w:tcBorders>
              <w:top w:val="single" w:sz="4" w:space="0" w:color="auto"/>
              <w:left w:val="single" w:sz="4" w:space="0" w:color="auto"/>
              <w:bottom w:val="single" w:sz="4" w:space="0" w:color="auto"/>
              <w:right w:val="single" w:sz="4" w:space="0" w:color="auto"/>
            </w:tcBorders>
          </w:tcPr>
          <w:p w14:paraId="72C83B16" w14:textId="77777777" w:rsidR="00E77D3A" w:rsidRPr="007B7B59" w:rsidRDefault="00AA791B" w:rsidP="00C80E4A">
            <w:pPr>
              <w:rPr>
                <w:b/>
                <w:bCs/>
                <w:i/>
                <w:szCs w:val="22"/>
              </w:rPr>
            </w:pPr>
            <w:r w:rsidRPr="007B7B59">
              <w:rPr>
                <w:iCs/>
                <w:szCs w:val="22"/>
              </w:rPr>
              <w:t>L</w:t>
            </w:r>
            <w:r w:rsidR="00E77D3A" w:rsidRPr="007B7B59">
              <w:rPr>
                <w:iCs/>
                <w:szCs w:val="22"/>
              </w:rPr>
              <w:t>ūžiai</w:t>
            </w:r>
            <w:r w:rsidRPr="007B7B59">
              <w:rPr>
                <w:iCs/>
                <w:szCs w:val="22"/>
              </w:rPr>
              <w:t>, osteoporozė</w:t>
            </w:r>
          </w:p>
        </w:tc>
      </w:tr>
      <w:tr w:rsidR="00E77D3A" w:rsidRPr="007B7B59" w14:paraId="3E144A32" w14:textId="77777777" w:rsidTr="001B17AA">
        <w:tblPrEx>
          <w:tblLook w:val="01E0" w:firstRow="1" w:lastRow="1" w:firstColumn="1" w:lastColumn="1" w:noHBand="0" w:noVBand="0"/>
        </w:tblPrEx>
        <w:trPr>
          <w:cantSplit/>
        </w:trPr>
        <w:tc>
          <w:tcPr>
            <w:tcW w:w="4503" w:type="dxa"/>
            <w:tcBorders>
              <w:top w:val="single" w:sz="4" w:space="0" w:color="auto"/>
              <w:left w:val="single" w:sz="4" w:space="0" w:color="auto"/>
              <w:bottom w:val="single" w:sz="4" w:space="0" w:color="auto"/>
              <w:right w:val="single" w:sz="4" w:space="0" w:color="auto"/>
            </w:tcBorders>
          </w:tcPr>
          <w:p w14:paraId="4FDFC36F" w14:textId="77777777" w:rsidR="00E77D3A" w:rsidRPr="007B7B59" w:rsidRDefault="00E77D3A" w:rsidP="00C80E4A">
            <w:pPr>
              <w:rPr>
                <w:b/>
                <w:bCs/>
                <w:i/>
                <w:szCs w:val="22"/>
              </w:rPr>
            </w:pPr>
          </w:p>
        </w:tc>
        <w:tc>
          <w:tcPr>
            <w:tcW w:w="4558" w:type="dxa"/>
            <w:tcBorders>
              <w:top w:val="single" w:sz="4" w:space="0" w:color="auto"/>
              <w:left w:val="single" w:sz="4" w:space="0" w:color="auto"/>
              <w:bottom w:val="single" w:sz="4" w:space="0" w:color="auto"/>
              <w:right w:val="single" w:sz="4" w:space="0" w:color="auto"/>
            </w:tcBorders>
          </w:tcPr>
          <w:p w14:paraId="56596213" w14:textId="77777777" w:rsidR="00E77D3A" w:rsidRPr="007B7B59" w:rsidRDefault="00E77D3A" w:rsidP="00C80E4A">
            <w:pPr>
              <w:rPr>
                <w:b/>
                <w:bCs/>
                <w:i/>
                <w:szCs w:val="22"/>
              </w:rPr>
            </w:pPr>
          </w:p>
        </w:tc>
      </w:tr>
      <w:tr w:rsidR="00E77D3A" w:rsidRPr="005561AB" w14:paraId="62D503C5" w14:textId="77777777" w:rsidTr="001B17AA">
        <w:tblPrEx>
          <w:tblLook w:val="01E0" w:firstRow="1" w:lastRow="1" w:firstColumn="1" w:lastColumn="1" w:noHBand="0" w:noVBand="0"/>
        </w:tblPrEx>
        <w:tc>
          <w:tcPr>
            <w:tcW w:w="9061" w:type="dxa"/>
            <w:gridSpan w:val="2"/>
            <w:tcBorders>
              <w:top w:val="single" w:sz="4" w:space="0" w:color="auto"/>
              <w:left w:val="single" w:sz="4" w:space="0" w:color="auto"/>
              <w:bottom w:val="single" w:sz="4" w:space="0" w:color="auto"/>
              <w:right w:val="single" w:sz="4" w:space="0" w:color="auto"/>
            </w:tcBorders>
          </w:tcPr>
          <w:p w14:paraId="2B6F2B18" w14:textId="77777777" w:rsidR="00E77D3A" w:rsidRPr="00341B9D" w:rsidRDefault="00E77D3A" w:rsidP="00C80E4A">
            <w:pPr>
              <w:rPr>
                <w:i/>
                <w:szCs w:val="22"/>
              </w:rPr>
            </w:pPr>
            <w:r w:rsidRPr="00341B9D">
              <w:rPr>
                <w:i/>
                <w:szCs w:val="22"/>
              </w:rPr>
              <w:t>Bendri</w:t>
            </w:r>
            <w:r w:rsidR="006F2975" w:rsidRPr="00341B9D">
              <w:rPr>
                <w:i/>
                <w:szCs w:val="22"/>
              </w:rPr>
              <w:t>eji</w:t>
            </w:r>
            <w:r w:rsidRPr="00341B9D">
              <w:rPr>
                <w:i/>
                <w:szCs w:val="22"/>
              </w:rPr>
              <w:t xml:space="preserve"> sutrikimai ir vartojimo vietos pažeidimai</w:t>
            </w:r>
          </w:p>
        </w:tc>
      </w:tr>
      <w:tr w:rsidR="00E77D3A" w:rsidRPr="007B7B59" w14:paraId="0811A616" w14:textId="77777777" w:rsidTr="001B17AA">
        <w:tblPrEx>
          <w:tblLook w:val="01E0" w:firstRow="1" w:lastRow="1" w:firstColumn="1" w:lastColumn="1" w:noHBand="0" w:noVBand="0"/>
        </w:tblPrEx>
        <w:tc>
          <w:tcPr>
            <w:tcW w:w="4503" w:type="dxa"/>
            <w:tcBorders>
              <w:top w:val="single" w:sz="4" w:space="0" w:color="auto"/>
              <w:left w:val="single" w:sz="4" w:space="0" w:color="auto"/>
              <w:bottom w:val="single" w:sz="4" w:space="0" w:color="auto"/>
              <w:right w:val="single" w:sz="4" w:space="0" w:color="auto"/>
            </w:tcBorders>
          </w:tcPr>
          <w:p w14:paraId="20FE846B" w14:textId="77777777" w:rsidR="00E77D3A" w:rsidRPr="005F0A55" w:rsidRDefault="00E77D3A" w:rsidP="00C80E4A">
            <w:pPr>
              <w:rPr>
                <w:bCs/>
                <w:szCs w:val="22"/>
              </w:rPr>
            </w:pPr>
            <w:r w:rsidRPr="00341B9D">
              <w:rPr>
                <w:bCs/>
                <w:iCs/>
                <w:szCs w:val="22"/>
              </w:rPr>
              <w:t>Labai dažni</w:t>
            </w:r>
          </w:p>
        </w:tc>
        <w:tc>
          <w:tcPr>
            <w:tcW w:w="4558" w:type="dxa"/>
            <w:tcBorders>
              <w:top w:val="single" w:sz="4" w:space="0" w:color="auto"/>
              <w:left w:val="single" w:sz="4" w:space="0" w:color="auto"/>
              <w:bottom w:val="single" w:sz="4" w:space="0" w:color="auto"/>
              <w:right w:val="single" w:sz="4" w:space="0" w:color="auto"/>
            </w:tcBorders>
          </w:tcPr>
          <w:p w14:paraId="5F2ACD44" w14:textId="77777777" w:rsidR="00E77D3A" w:rsidRPr="007B7B59" w:rsidRDefault="001165B6" w:rsidP="00C80E4A">
            <w:pPr>
              <w:rPr>
                <w:bCs/>
                <w:szCs w:val="22"/>
              </w:rPr>
            </w:pPr>
            <w:r w:rsidRPr="007B7B59">
              <w:rPr>
                <w:bCs/>
                <w:szCs w:val="22"/>
              </w:rPr>
              <w:t xml:space="preserve">Skausmas, </w:t>
            </w:r>
            <w:r w:rsidR="00807F21">
              <w:rPr>
                <w:bCs/>
                <w:szCs w:val="22"/>
              </w:rPr>
              <w:t>n</w:t>
            </w:r>
            <w:r w:rsidR="00E77D3A" w:rsidRPr="007B7B59">
              <w:rPr>
                <w:bCs/>
                <w:szCs w:val="22"/>
              </w:rPr>
              <w:t>uovargis</w:t>
            </w:r>
          </w:p>
        </w:tc>
      </w:tr>
      <w:tr w:rsidR="00E77D3A" w:rsidRPr="007B7B59" w14:paraId="0D46D2CB" w14:textId="77777777" w:rsidTr="001B17AA">
        <w:tblPrEx>
          <w:tblLook w:val="01E0" w:firstRow="1" w:lastRow="1" w:firstColumn="1" w:lastColumn="1" w:noHBand="0" w:noVBand="0"/>
        </w:tblPrEx>
        <w:tc>
          <w:tcPr>
            <w:tcW w:w="4503" w:type="dxa"/>
            <w:tcBorders>
              <w:top w:val="single" w:sz="4" w:space="0" w:color="auto"/>
              <w:left w:val="single" w:sz="4" w:space="0" w:color="auto"/>
              <w:bottom w:val="single" w:sz="4" w:space="0" w:color="auto"/>
              <w:right w:val="single" w:sz="4" w:space="0" w:color="auto"/>
            </w:tcBorders>
          </w:tcPr>
          <w:p w14:paraId="281D618D" w14:textId="77777777" w:rsidR="00E77D3A" w:rsidRPr="005F0A55" w:rsidRDefault="00E77D3A" w:rsidP="00C80E4A">
            <w:pPr>
              <w:rPr>
                <w:bCs/>
                <w:szCs w:val="22"/>
              </w:rPr>
            </w:pPr>
            <w:r w:rsidRPr="00341B9D">
              <w:rPr>
                <w:bCs/>
                <w:szCs w:val="22"/>
              </w:rPr>
              <w:t>Dažni</w:t>
            </w:r>
          </w:p>
        </w:tc>
        <w:tc>
          <w:tcPr>
            <w:tcW w:w="4558" w:type="dxa"/>
            <w:tcBorders>
              <w:top w:val="single" w:sz="4" w:space="0" w:color="auto"/>
              <w:left w:val="single" w:sz="4" w:space="0" w:color="auto"/>
              <w:bottom w:val="single" w:sz="4" w:space="0" w:color="auto"/>
              <w:right w:val="single" w:sz="4" w:space="0" w:color="auto"/>
            </w:tcBorders>
          </w:tcPr>
          <w:p w14:paraId="0A34239C" w14:textId="6E8ABF6E" w:rsidR="00E77D3A" w:rsidRPr="007B7B59" w:rsidRDefault="001165B6" w:rsidP="00C80E4A">
            <w:pPr>
              <w:rPr>
                <w:bCs/>
                <w:szCs w:val="22"/>
              </w:rPr>
            </w:pPr>
            <w:r w:rsidRPr="007B7B59">
              <w:rPr>
                <w:bCs/>
                <w:szCs w:val="22"/>
              </w:rPr>
              <w:t>P</w:t>
            </w:r>
            <w:r w:rsidR="00E77D3A" w:rsidRPr="007B7B59">
              <w:rPr>
                <w:bCs/>
                <w:szCs w:val="22"/>
              </w:rPr>
              <w:t>eriferinė edema</w:t>
            </w:r>
            <w:r w:rsidR="007B1CBF">
              <w:rPr>
                <w:bCs/>
                <w:szCs w:val="22"/>
              </w:rPr>
              <w:t xml:space="preserve">, </w:t>
            </w:r>
            <w:proofErr w:type="spellStart"/>
            <w:r w:rsidR="007B1CBF">
              <w:rPr>
                <w:bCs/>
                <w:szCs w:val="22"/>
              </w:rPr>
              <w:t>astenija</w:t>
            </w:r>
            <w:proofErr w:type="spellEnd"/>
          </w:p>
        </w:tc>
      </w:tr>
      <w:tr w:rsidR="00D3360D" w:rsidRPr="007B7B59" w14:paraId="48ECA492" w14:textId="77777777" w:rsidTr="00A17A39">
        <w:tblPrEx>
          <w:tblLook w:val="01E0" w:firstRow="1" w:lastRow="1" w:firstColumn="1" w:lastColumn="1" w:noHBand="0" w:noVBand="0"/>
        </w:tblPrEx>
        <w:tc>
          <w:tcPr>
            <w:tcW w:w="4503" w:type="dxa"/>
            <w:tcBorders>
              <w:top w:val="single" w:sz="4" w:space="0" w:color="auto"/>
              <w:left w:val="single" w:sz="4" w:space="0" w:color="auto"/>
              <w:bottom w:val="single" w:sz="4" w:space="0" w:color="auto"/>
              <w:right w:val="single" w:sz="4" w:space="0" w:color="auto"/>
            </w:tcBorders>
          </w:tcPr>
          <w:p w14:paraId="03955B2C" w14:textId="77777777" w:rsidR="00D3360D" w:rsidRPr="00341B9D" w:rsidRDefault="00D3360D" w:rsidP="00C80E4A">
            <w:pPr>
              <w:rPr>
                <w:bCs/>
                <w:szCs w:val="22"/>
              </w:rPr>
            </w:pPr>
          </w:p>
        </w:tc>
        <w:tc>
          <w:tcPr>
            <w:tcW w:w="4558" w:type="dxa"/>
            <w:tcBorders>
              <w:top w:val="single" w:sz="4" w:space="0" w:color="auto"/>
              <w:left w:val="single" w:sz="4" w:space="0" w:color="auto"/>
              <w:bottom w:val="single" w:sz="4" w:space="0" w:color="auto"/>
              <w:right w:val="single" w:sz="4" w:space="0" w:color="auto"/>
            </w:tcBorders>
          </w:tcPr>
          <w:p w14:paraId="13D7628E" w14:textId="77777777" w:rsidR="00D3360D" w:rsidRPr="007B7B59" w:rsidRDefault="00D3360D" w:rsidP="00C80E4A">
            <w:pPr>
              <w:rPr>
                <w:bCs/>
                <w:szCs w:val="22"/>
              </w:rPr>
            </w:pPr>
          </w:p>
        </w:tc>
      </w:tr>
      <w:tr w:rsidR="009063B7" w:rsidRPr="007B7B59" w:rsidDel="007B1CBF" w14:paraId="1F2EE49D" w14:textId="77777777" w:rsidTr="001B17AA">
        <w:tblPrEx>
          <w:tblLook w:val="01E0" w:firstRow="1" w:lastRow="1" w:firstColumn="1" w:lastColumn="1" w:noHBand="0" w:noVBand="0"/>
        </w:tblPrEx>
        <w:tc>
          <w:tcPr>
            <w:tcW w:w="9061" w:type="dxa"/>
            <w:gridSpan w:val="2"/>
            <w:tcBorders>
              <w:top w:val="single" w:sz="4" w:space="0" w:color="auto"/>
              <w:left w:val="single" w:sz="4" w:space="0" w:color="auto"/>
              <w:bottom w:val="single" w:sz="4" w:space="0" w:color="auto"/>
              <w:right w:val="single" w:sz="4" w:space="0" w:color="auto"/>
            </w:tcBorders>
          </w:tcPr>
          <w:p w14:paraId="3BF0C7D4" w14:textId="632AA93E" w:rsidR="009063B7" w:rsidRPr="001B17AA" w:rsidDel="007B1CBF" w:rsidRDefault="009063B7" w:rsidP="00C80E4A">
            <w:pPr>
              <w:rPr>
                <w:bCs/>
                <w:i/>
                <w:iCs/>
                <w:szCs w:val="22"/>
              </w:rPr>
            </w:pPr>
            <w:r w:rsidRPr="001B17AA">
              <w:rPr>
                <w:bCs/>
                <w:i/>
                <w:iCs/>
                <w:szCs w:val="22"/>
              </w:rPr>
              <w:t>Tyrimai</w:t>
            </w:r>
          </w:p>
        </w:tc>
      </w:tr>
      <w:tr w:rsidR="007B1CBF" w:rsidRPr="007B7B59" w:rsidDel="007B1CBF" w14:paraId="716AFD4C" w14:textId="77777777" w:rsidTr="001B17AA">
        <w:tblPrEx>
          <w:tblLook w:val="01E0" w:firstRow="1" w:lastRow="1" w:firstColumn="1" w:lastColumn="1" w:noHBand="0" w:noVBand="0"/>
        </w:tblPrEx>
        <w:tc>
          <w:tcPr>
            <w:tcW w:w="4503" w:type="dxa"/>
            <w:tcBorders>
              <w:top w:val="single" w:sz="4" w:space="0" w:color="auto"/>
              <w:left w:val="single" w:sz="4" w:space="0" w:color="auto"/>
              <w:bottom w:val="single" w:sz="4" w:space="0" w:color="auto"/>
              <w:right w:val="single" w:sz="4" w:space="0" w:color="auto"/>
            </w:tcBorders>
          </w:tcPr>
          <w:p w14:paraId="356DF6AF" w14:textId="571F566D" w:rsidR="007B1CBF" w:rsidRPr="00341B9D" w:rsidDel="007B1CBF" w:rsidRDefault="007B1CBF" w:rsidP="00C80E4A">
            <w:pPr>
              <w:rPr>
                <w:bCs/>
                <w:szCs w:val="22"/>
              </w:rPr>
            </w:pPr>
            <w:r>
              <w:rPr>
                <w:bCs/>
                <w:szCs w:val="22"/>
              </w:rPr>
              <w:t>Labai dažni</w:t>
            </w:r>
          </w:p>
        </w:tc>
        <w:tc>
          <w:tcPr>
            <w:tcW w:w="4558" w:type="dxa"/>
            <w:tcBorders>
              <w:top w:val="single" w:sz="4" w:space="0" w:color="auto"/>
              <w:left w:val="single" w:sz="4" w:space="0" w:color="auto"/>
              <w:bottom w:val="single" w:sz="4" w:space="0" w:color="auto"/>
              <w:right w:val="single" w:sz="4" w:space="0" w:color="auto"/>
            </w:tcBorders>
          </w:tcPr>
          <w:p w14:paraId="569D73A9" w14:textId="3CC317B0" w:rsidR="007B1CBF" w:rsidRPr="007B7B59" w:rsidDel="007B1CBF" w:rsidRDefault="007B1CBF" w:rsidP="00C80E4A">
            <w:pPr>
              <w:rPr>
                <w:bCs/>
                <w:szCs w:val="22"/>
              </w:rPr>
            </w:pPr>
            <w:r w:rsidRPr="007B1CBF">
              <w:rPr>
                <w:bCs/>
                <w:szCs w:val="22"/>
              </w:rPr>
              <w:t xml:space="preserve">Padidėjęs kepenų fermentų </w:t>
            </w:r>
            <w:r>
              <w:rPr>
                <w:bCs/>
                <w:szCs w:val="22"/>
              </w:rPr>
              <w:t>aktyvumas</w:t>
            </w:r>
            <w:r w:rsidRPr="007B1CBF">
              <w:rPr>
                <w:bCs/>
                <w:szCs w:val="22"/>
              </w:rPr>
              <w:t xml:space="preserve">, padidėjęs </w:t>
            </w:r>
            <w:proofErr w:type="spellStart"/>
            <w:r w:rsidRPr="007B1CBF">
              <w:rPr>
                <w:bCs/>
                <w:szCs w:val="22"/>
              </w:rPr>
              <w:t>bilirubino</w:t>
            </w:r>
            <w:proofErr w:type="spellEnd"/>
            <w:r w:rsidRPr="007B1CBF">
              <w:rPr>
                <w:bCs/>
                <w:szCs w:val="22"/>
              </w:rPr>
              <w:t xml:space="preserve"> kiekis kraujyje, padidėjęs šarminės </w:t>
            </w:r>
            <w:proofErr w:type="spellStart"/>
            <w:r w:rsidRPr="007B1CBF">
              <w:rPr>
                <w:bCs/>
                <w:szCs w:val="22"/>
              </w:rPr>
              <w:t>fosfatazės</w:t>
            </w:r>
            <w:proofErr w:type="spellEnd"/>
            <w:r w:rsidRPr="007B1CBF">
              <w:rPr>
                <w:bCs/>
                <w:szCs w:val="22"/>
              </w:rPr>
              <w:t xml:space="preserve"> kiekis kraujyje</w:t>
            </w:r>
          </w:p>
        </w:tc>
      </w:tr>
    </w:tbl>
    <w:p w14:paraId="1EB5223B" w14:textId="77777777" w:rsidR="000C6DE6" w:rsidRPr="007B7B59" w:rsidRDefault="000C6DE6" w:rsidP="000C6DE6">
      <w:pPr>
        <w:rPr>
          <w:bCs/>
          <w:szCs w:val="22"/>
        </w:rPr>
      </w:pPr>
    </w:p>
    <w:p w14:paraId="25EF01AF" w14:textId="77777777" w:rsidR="0055242F" w:rsidRPr="007B7B59" w:rsidRDefault="0055242F" w:rsidP="0055242F">
      <w:pPr>
        <w:ind w:left="567"/>
        <w:rPr>
          <w:szCs w:val="22"/>
        </w:rPr>
      </w:pPr>
      <w:r w:rsidRPr="007B7B59">
        <w:rPr>
          <w:szCs w:val="22"/>
          <w:vertAlign w:val="superscript"/>
        </w:rPr>
        <w:t xml:space="preserve">(*) </w:t>
      </w:r>
      <w:r w:rsidRPr="007B7B59">
        <w:rPr>
          <w:szCs w:val="22"/>
        </w:rPr>
        <w:t xml:space="preserve">Įskaitant: </w:t>
      </w:r>
      <w:proofErr w:type="spellStart"/>
      <w:r w:rsidRPr="007B7B59">
        <w:rPr>
          <w:szCs w:val="22"/>
        </w:rPr>
        <w:t>artralgi</w:t>
      </w:r>
      <w:r w:rsidR="000D3457" w:rsidRPr="007B7B59">
        <w:rPr>
          <w:szCs w:val="22"/>
        </w:rPr>
        <w:t>ją</w:t>
      </w:r>
      <w:proofErr w:type="spellEnd"/>
      <w:r w:rsidRPr="007B7B59">
        <w:rPr>
          <w:szCs w:val="22"/>
        </w:rPr>
        <w:t xml:space="preserve"> ir</w:t>
      </w:r>
      <w:r w:rsidR="00B40B2C">
        <w:rPr>
          <w:szCs w:val="22"/>
        </w:rPr>
        <w:t>,</w:t>
      </w:r>
      <w:r w:rsidRPr="007B7B59">
        <w:rPr>
          <w:szCs w:val="22"/>
        </w:rPr>
        <w:t xml:space="preserve"> rečiau</w:t>
      </w:r>
      <w:r w:rsidR="00B40B2C">
        <w:rPr>
          <w:szCs w:val="22"/>
        </w:rPr>
        <w:t>,</w:t>
      </w:r>
      <w:r w:rsidRPr="007B7B59">
        <w:rPr>
          <w:szCs w:val="22"/>
        </w:rPr>
        <w:t xml:space="preserve"> galūnių skausmą,</w:t>
      </w:r>
      <w:r w:rsidR="000D3457" w:rsidRPr="007B7B59">
        <w:rPr>
          <w:szCs w:val="22"/>
        </w:rPr>
        <w:t xml:space="preserve"> </w:t>
      </w:r>
      <w:proofErr w:type="spellStart"/>
      <w:r w:rsidR="000D3457" w:rsidRPr="007B7B59">
        <w:rPr>
          <w:szCs w:val="22"/>
        </w:rPr>
        <w:t>oste</w:t>
      </w:r>
      <w:r w:rsidR="00B40B2C">
        <w:rPr>
          <w:szCs w:val="22"/>
        </w:rPr>
        <w:t>o</w:t>
      </w:r>
      <w:r w:rsidR="000D3457" w:rsidRPr="007B7B59">
        <w:rPr>
          <w:szCs w:val="22"/>
        </w:rPr>
        <w:t>artritą</w:t>
      </w:r>
      <w:proofErr w:type="spellEnd"/>
      <w:r w:rsidRPr="007B7B59">
        <w:rPr>
          <w:szCs w:val="22"/>
        </w:rPr>
        <w:t>, nugaros skausmą, artritą</w:t>
      </w:r>
      <w:r w:rsidR="000D3457" w:rsidRPr="007B7B59">
        <w:rPr>
          <w:szCs w:val="22"/>
        </w:rPr>
        <w:t xml:space="preserve">, </w:t>
      </w:r>
      <w:proofErr w:type="spellStart"/>
      <w:r w:rsidR="000D3457" w:rsidRPr="007B7B59">
        <w:rPr>
          <w:szCs w:val="22"/>
        </w:rPr>
        <w:t>mialgiją</w:t>
      </w:r>
      <w:proofErr w:type="spellEnd"/>
      <w:r w:rsidRPr="007B7B59">
        <w:rPr>
          <w:szCs w:val="22"/>
        </w:rPr>
        <w:t xml:space="preserve"> ir sąnarių </w:t>
      </w:r>
      <w:r w:rsidR="000D3457" w:rsidRPr="007B7B59">
        <w:rPr>
          <w:szCs w:val="22"/>
        </w:rPr>
        <w:t>sustingimą</w:t>
      </w:r>
    </w:p>
    <w:p w14:paraId="5D205EA7" w14:textId="77777777" w:rsidR="0055242F" w:rsidRPr="007B7B59" w:rsidRDefault="0055242F" w:rsidP="0055242F">
      <w:pPr>
        <w:ind w:left="567"/>
        <w:rPr>
          <w:szCs w:val="22"/>
        </w:rPr>
      </w:pPr>
    </w:p>
    <w:p w14:paraId="3DDC22D5" w14:textId="05205006" w:rsidR="0055242F" w:rsidRDefault="0055242F" w:rsidP="0055242F">
      <w:pPr>
        <w:ind w:left="567"/>
        <w:rPr>
          <w:szCs w:val="22"/>
        </w:rPr>
      </w:pPr>
      <w:r w:rsidRPr="007B7B59">
        <w:rPr>
          <w:szCs w:val="22"/>
          <w:vertAlign w:val="superscript"/>
        </w:rPr>
        <w:t>(**)</w:t>
      </w:r>
      <w:r w:rsidRPr="007B7B59">
        <w:rPr>
          <w:szCs w:val="22"/>
        </w:rPr>
        <w:t xml:space="preserve"> </w:t>
      </w:r>
      <w:r w:rsidR="00817DB3" w:rsidRPr="007B7B59">
        <w:rPr>
          <w:szCs w:val="22"/>
        </w:rPr>
        <w:t>Tarp pacienčių</w:t>
      </w:r>
      <w:r w:rsidR="003859FA" w:rsidRPr="007B7B59">
        <w:rPr>
          <w:szCs w:val="22"/>
        </w:rPr>
        <w:t>,</w:t>
      </w:r>
      <w:r w:rsidR="00817DB3" w:rsidRPr="007B7B59">
        <w:rPr>
          <w:szCs w:val="22"/>
        </w:rPr>
        <w:t xml:space="preserve"> s</w:t>
      </w:r>
      <w:r w:rsidR="003859FA" w:rsidRPr="007B7B59">
        <w:rPr>
          <w:szCs w:val="22"/>
        </w:rPr>
        <w:t>ergančių</w:t>
      </w:r>
      <w:r w:rsidR="00817DB3" w:rsidRPr="007B7B59">
        <w:rPr>
          <w:szCs w:val="22"/>
        </w:rPr>
        <w:t xml:space="preserve"> vėlyva</w:t>
      </w:r>
      <w:r w:rsidRPr="007B7B59">
        <w:rPr>
          <w:szCs w:val="22"/>
        </w:rPr>
        <w:t xml:space="preserve"> krūties vėžio stadij</w:t>
      </w:r>
      <w:r w:rsidR="00817DB3" w:rsidRPr="007B7B59">
        <w:rPr>
          <w:szCs w:val="22"/>
        </w:rPr>
        <w:t>a</w:t>
      </w:r>
      <w:r w:rsidR="003859FA" w:rsidRPr="007B7B59">
        <w:rPr>
          <w:szCs w:val="22"/>
        </w:rPr>
        <w:t>,</w:t>
      </w:r>
      <w:r w:rsidR="007B726E" w:rsidRPr="007B7B59">
        <w:rPr>
          <w:szCs w:val="22"/>
        </w:rPr>
        <w:t xml:space="preserve"> </w:t>
      </w:r>
      <w:r w:rsidRPr="007B7B59">
        <w:rPr>
          <w:szCs w:val="22"/>
        </w:rPr>
        <w:t xml:space="preserve">retai pasireiškė </w:t>
      </w:r>
      <w:proofErr w:type="spellStart"/>
      <w:r w:rsidRPr="007B7B59">
        <w:rPr>
          <w:szCs w:val="22"/>
        </w:rPr>
        <w:t>trombocitopenija</w:t>
      </w:r>
      <w:proofErr w:type="spellEnd"/>
      <w:r w:rsidRPr="007B7B59">
        <w:rPr>
          <w:szCs w:val="22"/>
        </w:rPr>
        <w:t xml:space="preserve"> ir </w:t>
      </w:r>
      <w:proofErr w:type="spellStart"/>
      <w:r w:rsidRPr="007B7B59">
        <w:rPr>
          <w:szCs w:val="22"/>
        </w:rPr>
        <w:t>leukopenija</w:t>
      </w:r>
      <w:proofErr w:type="spellEnd"/>
      <w:r w:rsidRPr="007B7B59">
        <w:rPr>
          <w:szCs w:val="22"/>
        </w:rPr>
        <w:t xml:space="preserve">. Maždaug 20 % AROMASIN vartojusių pacienčių kartais sumažėjo limfocitų skaičius (ypač toms, kurioms </w:t>
      </w:r>
      <w:proofErr w:type="spellStart"/>
      <w:r w:rsidRPr="007B7B59">
        <w:rPr>
          <w:szCs w:val="22"/>
        </w:rPr>
        <w:t>limfopenija</w:t>
      </w:r>
      <w:proofErr w:type="spellEnd"/>
      <w:r w:rsidRPr="007B7B59">
        <w:rPr>
          <w:szCs w:val="22"/>
        </w:rPr>
        <w:t xml:space="preserve"> buvo dar iki gydymo)</w:t>
      </w:r>
      <w:r w:rsidR="00A706A3">
        <w:rPr>
          <w:szCs w:val="22"/>
        </w:rPr>
        <w:t>.</w:t>
      </w:r>
      <w:r w:rsidRPr="007B7B59">
        <w:rPr>
          <w:szCs w:val="22"/>
        </w:rPr>
        <w:t xml:space="preserve"> </w:t>
      </w:r>
      <w:r w:rsidR="00A706A3">
        <w:rPr>
          <w:szCs w:val="22"/>
        </w:rPr>
        <w:t>V</w:t>
      </w:r>
      <w:r w:rsidRPr="007B7B59">
        <w:rPr>
          <w:szCs w:val="22"/>
        </w:rPr>
        <w:t xml:space="preserve">is dėlto vidutinis limfocitų skaičius per ilgesnį laikotarpį šioms pacientėms reikšmingai nepakito, atitinkamo virusinių </w:t>
      </w:r>
      <w:r w:rsidRPr="007B7B59">
        <w:rPr>
          <w:szCs w:val="22"/>
        </w:rPr>
        <w:lastRenderedPageBreak/>
        <w:t xml:space="preserve">infekcijų dažnio padidėjimo nenustatyta. Toks </w:t>
      </w:r>
      <w:r w:rsidR="00D246D8" w:rsidRPr="007B7B59">
        <w:rPr>
          <w:szCs w:val="22"/>
        </w:rPr>
        <w:t xml:space="preserve">poveikis </w:t>
      </w:r>
      <w:r w:rsidRPr="007B7B59">
        <w:rPr>
          <w:szCs w:val="22"/>
        </w:rPr>
        <w:t xml:space="preserve">nebuvo </w:t>
      </w:r>
      <w:r w:rsidR="00FC7616" w:rsidRPr="007B7B59">
        <w:rPr>
          <w:szCs w:val="22"/>
        </w:rPr>
        <w:t>būdingas</w:t>
      </w:r>
      <w:r w:rsidRPr="007B7B59">
        <w:rPr>
          <w:szCs w:val="22"/>
        </w:rPr>
        <w:t xml:space="preserve"> pacien</w:t>
      </w:r>
      <w:r w:rsidR="00FC7616" w:rsidRPr="007B7B59">
        <w:rPr>
          <w:szCs w:val="22"/>
        </w:rPr>
        <w:t>tėms,</w:t>
      </w:r>
      <w:r w:rsidR="00817DB3" w:rsidRPr="007B7B59">
        <w:rPr>
          <w:szCs w:val="22"/>
        </w:rPr>
        <w:t xml:space="preserve"> </w:t>
      </w:r>
      <w:r w:rsidR="00FC7616" w:rsidRPr="007B7B59">
        <w:rPr>
          <w:szCs w:val="22"/>
        </w:rPr>
        <w:t xml:space="preserve">sergančioms </w:t>
      </w:r>
      <w:r w:rsidRPr="007B7B59">
        <w:rPr>
          <w:szCs w:val="22"/>
        </w:rPr>
        <w:t>ankstyva krūties vėžio stadij</w:t>
      </w:r>
      <w:r w:rsidR="0077363F" w:rsidRPr="007B7B59">
        <w:rPr>
          <w:szCs w:val="22"/>
        </w:rPr>
        <w:t>a</w:t>
      </w:r>
      <w:r w:rsidRPr="007B7B59">
        <w:rPr>
          <w:szCs w:val="22"/>
        </w:rPr>
        <w:t xml:space="preserve">. </w:t>
      </w:r>
    </w:p>
    <w:p w14:paraId="7916596B" w14:textId="488BDF79" w:rsidR="00F47535" w:rsidRPr="00FB53AE" w:rsidRDefault="00F47535" w:rsidP="00C00F01">
      <w:pPr>
        <w:ind w:left="567"/>
        <w:rPr>
          <w:szCs w:val="22"/>
          <w:u w:val="single"/>
          <w:lang w:val="fr-CH"/>
        </w:rPr>
      </w:pPr>
      <w:r w:rsidRPr="00FB53AE">
        <w:rPr>
          <w:szCs w:val="22"/>
          <w:vertAlign w:val="superscript"/>
          <w:lang w:val="fr-CH"/>
        </w:rPr>
        <w:t xml:space="preserve">(†) </w:t>
      </w:r>
      <w:proofErr w:type="spellStart"/>
      <w:r w:rsidRPr="00FB53AE">
        <w:rPr>
          <w:szCs w:val="22"/>
          <w:lang w:val="fr-CH"/>
        </w:rPr>
        <w:t>Dažnis</w:t>
      </w:r>
      <w:proofErr w:type="spellEnd"/>
      <w:r w:rsidRPr="00FB53AE">
        <w:rPr>
          <w:szCs w:val="22"/>
          <w:lang w:val="fr-CH"/>
        </w:rPr>
        <w:t xml:space="preserve"> </w:t>
      </w:r>
      <w:proofErr w:type="spellStart"/>
      <w:r w:rsidRPr="00FB53AE">
        <w:rPr>
          <w:szCs w:val="22"/>
          <w:lang w:val="fr-CH"/>
        </w:rPr>
        <w:t>apskaičiuotas</w:t>
      </w:r>
      <w:proofErr w:type="spellEnd"/>
      <w:r w:rsidRPr="00FB53AE">
        <w:rPr>
          <w:szCs w:val="22"/>
          <w:lang w:val="fr-CH"/>
        </w:rPr>
        <w:t xml:space="preserve"> </w:t>
      </w:r>
      <w:proofErr w:type="spellStart"/>
      <w:r w:rsidRPr="00FB53AE">
        <w:rPr>
          <w:szCs w:val="22"/>
          <w:lang w:val="fr-CH"/>
        </w:rPr>
        <w:t>pagal</w:t>
      </w:r>
      <w:proofErr w:type="spellEnd"/>
      <w:r w:rsidRPr="00FB53AE">
        <w:rPr>
          <w:szCs w:val="22"/>
          <w:lang w:val="fr-CH"/>
        </w:rPr>
        <w:t xml:space="preserve"> 3/X </w:t>
      </w:r>
      <w:proofErr w:type="spellStart"/>
      <w:r w:rsidRPr="00FB53AE">
        <w:rPr>
          <w:szCs w:val="22"/>
          <w:lang w:val="fr-CH"/>
        </w:rPr>
        <w:t>taisyklę</w:t>
      </w:r>
      <w:proofErr w:type="spellEnd"/>
      <w:r w:rsidRPr="00FB53AE">
        <w:rPr>
          <w:szCs w:val="22"/>
          <w:lang w:val="fr-CH"/>
        </w:rPr>
        <w:t>.</w:t>
      </w:r>
    </w:p>
    <w:p w14:paraId="43AAABC1" w14:textId="77777777" w:rsidR="00F47535" w:rsidRPr="007B7B59" w:rsidRDefault="00F47535" w:rsidP="001B17AA">
      <w:pPr>
        <w:rPr>
          <w:szCs w:val="22"/>
        </w:rPr>
      </w:pPr>
    </w:p>
    <w:p w14:paraId="1159FD9E" w14:textId="77777777" w:rsidR="000C6DE6" w:rsidRPr="007B7B59" w:rsidRDefault="000C6DE6" w:rsidP="000C6DE6">
      <w:pPr>
        <w:rPr>
          <w:szCs w:val="22"/>
        </w:rPr>
      </w:pPr>
      <w:r w:rsidRPr="007B7B59">
        <w:rPr>
          <w:szCs w:val="22"/>
        </w:rPr>
        <w:t xml:space="preserve">Toliau esančioje lentelėje pateikiamas iš anksto numatytų nepageidaujamų reiškinių ir sutrikimų, kurie, neatsižvelgiant į priežastis, nustatyti ankstyvojo krūties vėžio gydymo </w:t>
      </w:r>
      <w:proofErr w:type="spellStart"/>
      <w:r w:rsidRPr="007B7B59">
        <w:rPr>
          <w:szCs w:val="22"/>
        </w:rPr>
        <w:t>eksemestanu</w:t>
      </w:r>
      <w:proofErr w:type="spellEnd"/>
      <w:r w:rsidRPr="007B7B59">
        <w:rPr>
          <w:szCs w:val="22"/>
        </w:rPr>
        <w:t xml:space="preserve"> grupėse tyrimo (angl., </w:t>
      </w:r>
      <w:proofErr w:type="spellStart"/>
      <w:r w:rsidRPr="007B7B59">
        <w:rPr>
          <w:i/>
          <w:iCs/>
          <w:szCs w:val="22"/>
        </w:rPr>
        <w:t>the</w:t>
      </w:r>
      <w:proofErr w:type="spellEnd"/>
      <w:r w:rsidRPr="007B7B59">
        <w:rPr>
          <w:i/>
          <w:iCs/>
          <w:szCs w:val="22"/>
        </w:rPr>
        <w:t xml:space="preserve"> </w:t>
      </w:r>
      <w:proofErr w:type="spellStart"/>
      <w:r w:rsidRPr="007B7B59">
        <w:rPr>
          <w:i/>
          <w:iCs/>
          <w:szCs w:val="22"/>
        </w:rPr>
        <w:t>Intergroup</w:t>
      </w:r>
      <w:proofErr w:type="spellEnd"/>
      <w:r w:rsidRPr="007B7B59">
        <w:rPr>
          <w:i/>
          <w:iCs/>
          <w:szCs w:val="22"/>
        </w:rPr>
        <w:t xml:space="preserve"> </w:t>
      </w:r>
      <w:proofErr w:type="spellStart"/>
      <w:r w:rsidRPr="007B7B59">
        <w:rPr>
          <w:i/>
          <w:iCs/>
          <w:szCs w:val="22"/>
        </w:rPr>
        <w:t>Exemestane</w:t>
      </w:r>
      <w:proofErr w:type="spellEnd"/>
      <w:r w:rsidRPr="007B7B59">
        <w:rPr>
          <w:i/>
          <w:iCs/>
          <w:szCs w:val="22"/>
        </w:rPr>
        <w:t xml:space="preserve"> </w:t>
      </w:r>
      <w:proofErr w:type="spellStart"/>
      <w:r w:rsidRPr="007B7B59">
        <w:rPr>
          <w:i/>
          <w:iCs/>
          <w:szCs w:val="22"/>
        </w:rPr>
        <w:t>study</w:t>
      </w:r>
      <w:proofErr w:type="spellEnd"/>
      <w:r w:rsidRPr="007B7B59">
        <w:rPr>
          <w:i/>
          <w:iCs/>
          <w:szCs w:val="22"/>
        </w:rPr>
        <w:t>, IES</w:t>
      </w:r>
      <w:r w:rsidRPr="007B7B59">
        <w:rPr>
          <w:szCs w:val="22"/>
        </w:rPr>
        <w:t>) metu pacientėms, vartojant tiriamąjį vaistinį preparatą ir per 30 dienų po gydymo pabaigos, dažnis.</w:t>
      </w:r>
    </w:p>
    <w:p w14:paraId="446358C9" w14:textId="77777777" w:rsidR="000C6DE6" w:rsidRPr="007B7B59" w:rsidRDefault="000C6DE6" w:rsidP="000C6DE6">
      <w:pPr>
        <w:rPr>
          <w:szCs w:val="22"/>
        </w:rPr>
      </w:pPr>
    </w:p>
    <w:tbl>
      <w:tblPr>
        <w:tblW w:w="0" w:type="auto"/>
        <w:tblLook w:val="01E0" w:firstRow="1" w:lastRow="1" w:firstColumn="1" w:lastColumn="1" w:noHBand="0" w:noVBand="0"/>
      </w:tblPr>
      <w:tblGrid>
        <w:gridCol w:w="3023"/>
        <w:gridCol w:w="3019"/>
        <w:gridCol w:w="3019"/>
      </w:tblGrid>
      <w:tr w:rsidR="000C6DE6" w:rsidRPr="007B7B59" w14:paraId="140C9DDC" w14:textId="77777777">
        <w:tc>
          <w:tcPr>
            <w:tcW w:w="3051" w:type="dxa"/>
            <w:tcBorders>
              <w:top w:val="single" w:sz="4" w:space="0" w:color="auto"/>
              <w:left w:val="single" w:sz="4" w:space="0" w:color="auto"/>
              <w:bottom w:val="single" w:sz="4" w:space="0" w:color="auto"/>
              <w:right w:val="single" w:sz="4" w:space="0" w:color="auto"/>
            </w:tcBorders>
          </w:tcPr>
          <w:p w14:paraId="3251EE50" w14:textId="77777777" w:rsidR="000C6DE6" w:rsidRPr="007B7B59" w:rsidRDefault="000C6DE6" w:rsidP="00C80E4A">
            <w:pPr>
              <w:rPr>
                <w:szCs w:val="22"/>
              </w:rPr>
            </w:pPr>
            <w:r w:rsidRPr="007B7B59">
              <w:rPr>
                <w:szCs w:val="22"/>
              </w:rPr>
              <w:t>Nepageidaujami reiškiniai ir sutrikimai</w:t>
            </w:r>
          </w:p>
        </w:tc>
        <w:tc>
          <w:tcPr>
            <w:tcW w:w="3052" w:type="dxa"/>
            <w:tcBorders>
              <w:top w:val="single" w:sz="4" w:space="0" w:color="auto"/>
              <w:left w:val="single" w:sz="4" w:space="0" w:color="auto"/>
              <w:bottom w:val="single" w:sz="4" w:space="0" w:color="auto"/>
              <w:right w:val="single" w:sz="4" w:space="0" w:color="auto"/>
            </w:tcBorders>
          </w:tcPr>
          <w:p w14:paraId="0C303DFF" w14:textId="77777777" w:rsidR="000C6DE6" w:rsidRPr="007B7B59" w:rsidRDefault="000C6DE6" w:rsidP="00C80E4A">
            <w:pPr>
              <w:rPr>
                <w:szCs w:val="22"/>
              </w:rPr>
            </w:pPr>
            <w:proofErr w:type="spellStart"/>
            <w:r w:rsidRPr="007B7B59">
              <w:rPr>
                <w:szCs w:val="22"/>
              </w:rPr>
              <w:t>Eksemestanas</w:t>
            </w:r>
            <w:proofErr w:type="spellEnd"/>
          </w:p>
          <w:p w14:paraId="31C70554" w14:textId="77777777" w:rsidR="000C6DE6" w:rsidRPr="007B7B59" w:rsidRDefault="000C6DE6" w:rsidP="00C80E4A">
            <w:pPr>
              <w:rPr>
                <w:szCs w:val="22"/>
              </w:rPr>
            </w:pPr>
            <w:r w:rsidRPr="007B7B59">
              <w:rPr>
                <w:szCs w:val="22"/>
              </w:rPr>
              <w:t>(n = 2249)</w:t>
            </w:r>
          </w:p>
        </w:tc>
        <w:tc>
          <w:tcPr>
            <w:tcW w:w="3052" w:type="dxa"/>
            <w:tcBorders>
              <w:top w:val="single" w:sz="4" w:space="0" w:color="auto"/>
              <w:left w:val="single" w:sz="4" w:space="0" w:color="auto"/>
              <w:bottom w:val="single" w:sz="4" w:space="0" w:color="auto"/>
              <w:right w:val="single" w:sz="4" w:space="0" w:color="auto"/>
            </w:tcBorders>
          </w:tcPr>
          <w:p w14:paraId="3B242901" w14:textId="77777777" w:rsidR="000C6DE6" w:rsidRPr="007B7B59" w:rsidRDefault="000C6DE6" w:rsidP="00C80E4A">
            <w:pPr>
              <w:rPr>
                <w:szCs w:val="22"/>
              </w:rPr>
            </w:pPr>
            <w:proofErr w:type="spellStart"/>
            <w:r w:rsidRPr="007B7B59">
              <w:rPr>
                <w:szCs w:val="22"/>
              </w:rPr>
              <w:t>Tamoksifenas</w:t>
            </w:r>
            <w:proofErr w:type="spellEnd"/>
          </w:p>
          <w:p w14:paraId="7545DBC2" w14:textId="77777777" w:rsidR="000C6DE6" w:rsidRPr="007B7B59" w:rsidRDefault="000C6DE6" w:rsidP="00C80E4A">
            <w:pPr>
              <w:rPr>
                <w:szCs w:val="22"/>
              </w:rPr>
            </w:pPr>
            <w:r w:rsidRPr="007B7B59">
              <w:rPr>
                <w:szCs w:val="22"/>
              </w:rPr>
              <w:t>(n = 2279)</w:t>
            </w:r>
          </w:p>
        </w:tc>
      </w:tr>
      <w:tr w:rsidR="000C6DE6" w:rsidRPr="007B7B59" w14:paraId="1E666803" w14:textId="77777777">
        <w:tc>
          <w:tcPr>
            <w:tcW w:w="3051" w:type="dxa"/>
            <w:tcBorders>
              <w:top w:val="single" w:sz="4" w:space="0" w:color="auto"/>
              <w:left w:val="single" w:sz="4" w:space="0" w:color="auto"/>
              <w:bottom w:val="single" w:sz="4" w:space="0" w:color="auto"/>
              <w:right w:val="single" w:sz="4" w:space="0" w:color="auto"/>
            </w:tcBorders>
          </w:tcPr>
          <w:p w14:paraId="4310C87B" w14:textId="77777777" w:rsidR="000C6DE6" w:rsidRPr="007B7B59" w:rsidRDefault="000C6DE6" w:rsidP="00C80E4A">
            <w:pPr>
              <w:rPr>
                <w:szCs w:val="22"/>
              </w:rPr>
            </w:pPr>
            <w:r w:rsidRPr="007B7B59">
              <w:rPr>
                <w:szCs w:val="22"/>
              </w:rPr>
              <w:t>Kraujo priplūdimas į veidą ir kaklą</w:t>
            </w:r>
          </w:p>
        </w:tc>
        <w:tc>
          <w:tcPr>
            <w:tcW w:w="3052" w:type="dxa"/>
            <w:tcBorders>
              <w:top w:val="single" w:sz="4" w:space="0" w:color="auto"/>
              <w:left w:val="single" w:sz="4" w:space="0" w:color="auto"/>
              <w:bottom w:val="single" w:sz="4" w:space="0" w:color="auto"/>
              <w:right w:val="single" w:sz="4" w:space="0" w:color="auto"/>
            </w:tcBorders>
          </w:tcPr>
          <w:p w14:paraId="75E7DC10" w14:textId="77777777" w:rsidR="000C6DE6" w:rsidRPr="007B7B59" w:rsidRDefault="000C6DE6" w:rsidP="00C80E4A">
            <w:pPr>
              <w:rPr>
                <w:szCs w:val="22"/>
              </w:rPr>
            </w:pPr>
            <w:r w:rsidRPr="007B7B59">
              <w:rPr>
                <w:szCs w:val="22"/>
              </w:rPr>
              <w:t>491 (21,85 %)</w:t>
            </w:r>
          </w:p>
        </w:tc>
        <w:tc>
          <w:tcPr>
            <w:tcW w:w="3052" w:type="dxa"/>
            <w:tcBorders>
              <w:top w:val="single" w:sz="4" w:space="0" w:color="auto"/>
              <w:left w:val="single" w:sz="4" w:space="0" w:color="auto"/>
              <w:bottom w:val="single" w:sz="4" w:space="0" w:color="auto"/>
              <w:right w:val="single" w:sz="4" w:space="0" w:color="auto"/>
            </w:tcBorders>
          </w:tcPr>
          <w:p w14:paraId="5AF259A8" w14:textId="77777777" w:rsidR="000C6DE6" w:rsidRPr="007B7B59" w:rsidRDefault="000C6DE6" w:rsidP="00C80E4A">
            <w:pPr>
              <w:rPr>
                <w:szCs w:val="22"/>
              </w:rPr>
            </w:pPr>
            <w:r w:rsidRPr="007B7B59">
              <w:rPr>
                <w:szCs w:val="22"/>
              </w:rPr>
              <w:t>457 (20,1 %)</w:t>
            </w:r>
          </w:p>
        </w:tc>
      </w:tr>
      <w:tr w:rsidR="000C6DE6" w:rsidRPr="007B7B59" w14:paraId="260452AF" w14:textId="77777777">
        <w:tc>
          <w:tcPr>
            <w:tcW w:w="3051" w:type="dxa"/>
            <w:tcBorders>
              <w:top w:val="single" w:sz="4" w:space="0" w:color="auto"/>
              <w:left w:val="single" w:sz="4" w:space="0" w:color="auto"/>
              <w:bottom w:val="single" w:sz="4" w:space="0" w:color="auto"/>
              <w:right w:val="single" w:sz="4" w:space="0" w:color="auto"/>
            </w:tcBorders>
          </w:tcPr>
          <w:p w14:paraId="59B0F6BB" w14:textId="77777777" w:rsidR="000C6DE6" w:rsidRPr="007B7B59" w:rsidRDefault="000C6DE6" w:rsidP="00C80E4A">
            <w:pPr>
              <w:rPr>
                <w:szCs w:val="22"/>
              </w:rPr>
            </w:pPr>
            <w:r w:rsidRPr="007B7B59">
              <w:rPr>
                <w:szCs w:val="22"/>
              </w:rPr>
              <w:t>Nuovargis</w:t>
            </w:r>
          </w:p>
        </w:tc>
        <w:tc>
          <w:tcPr>
            <w:tcW w:w="3052" w:type="dxa"/>
            <w:tcBorders>
              <w:top w:val="single" w:sz="4" w:space="0" w:color="auto"/>
              <w:left w:val="single" w:sz="4" w:space="0" w:color="auto"/>
              <w:bottom w:val="single" w:sz="4" w:space="0" w:color="auto"/>
              <w:right w:val="single" w:sz="4" w:space="0" w:color="auto"/>
            </w:tcBorders>
          </w:tcPr>
          <w:p w14:paraId="74F65440" w14:textId="77777777" w:rsidR="000C6DE6" w:rsidRPr="007B7B59" w:rsidRDefault="000C6DE6" w:rsidP="00C80E4A">
            <w:pPr>
              <w:rPr>
                <w:szCs w:val="22"/>
              </w:rPr>
            </w:pPr>
            <w:r w:rsidRPr="007B7B59">
              <w:rPr>
                <w:szCs w:val="22"/>
              </w:rPr>
              <w:t>367 (16,3 %)</w:t>
            </w:r>
          </w:p>
        </w:tc>
        <w:tc>
          <w:tcPr>
            <w:tcW w:w="3052" w:type="dxa"/>
            <w:tcBorders>
              <w:top w:val="single" w:sz="4" w:space="0" w:color="auto"/>
              <w:left w:val="single" w:sz="4" w:space="0" w:color="auto"/>
              <w:bottom w:val="single" w:sz="4" w:space="0" w:color="auto"/>
              <w:right w:val="single" w:sz="4" w:space="0" w:color="auto"/>
            </w:tcBorders>
          </w:tcPr>
          <w:p w14:paraId="290AFFCE" w14:textId="77777777" w:rsidR="000C6DE6" w:rsidRPr="007B7B59" w:rsidRDefault="000C6DE6" w:rsidP="00C80E4A">
            <w:pPr>
              <w:rPr>
                <w:szCs w:val="22"/>
              </w:rPr>
            </w:pPr>
            <w:r w:rsidRPr="007B7B59">
              <w:rPr>
                <w:szCs w:val="22"/>
              </w:rPr>
              <w:t>344 (15,1 %)</w:t>
            </w:r>
          </w:p>
        </w:tc>
      </w:tr>
      <w:tr w:rsidR="000C6DE6" w:rsidRPr="007B7B59" w14:paraId="5380CDA8" w14:textId="77777777">
        <w:tc>
          <w:tcPr>
            <w:tcW w:w="3051" w:type="dxa"/>
            <w:tcBorders>
              <w:top w:val="single" w:sz="4" w:space="0" w:color="auto"/>
              <w:left w:val="single" w:sz="4" w:space="0" w:color="auto"/>
              <w:bottom w:val="single" w:sz="4" w:space="0" w:color="auto"/>
              <w:right w:val="single" w:sz="4" w:space="0" w:color="auto"/>
            </w:tcBorders>
          </w:tcPr>
          <w:p w14:paraId="0EE4DD0B" w14:textId="77777777" w:rsidR="000C6DE6" w:rsidRPr="007B7B59" w:rsidRDefault="000C6DE6" w:rsidP="00C80E4A">
            <w:pPr>
              <w:rPr>
                <w:szCs w:val="22"/>
              </w:rPr>
            </w:pPr>
            <w:r w:rsidRPr="007B7B59">
              <w:rPr>
                <w:szCs w:val="22"/>
              </w:rPr>
              <w:t>Galvos skausmas</w:t>
            </w:r>
          </w:p>
        </w:tc>
        <w:tc>
          <w:tcPr>
            <w:tcW w:w="3052" w:type="dxa"/>
            <w:tcBorders>
              <w:top w:val="single" w:sz="4" w:space="0" w:color="auto"/>
              <w:left w:val="single" w:sz="4" w:space="0" w:color="auto"/>
              <w:bottom w:val="single" w:sz="4" w:space="0" w:color="auto"/>
              <w:right w:val="single" w:sz="4" w:space="0" w:color="auto"/>
            </w:tcBorders>
          </w:tcPr>
          <w:p w14:paraId="7D009DD3" w14:textId="77777777" w:rsidR="000C6DE6" w:rsidRPr="007B7B59" w:rsidRDefault="000C6DE6" w:rsidP="00C80E4A">
            <w:pPr>
              <w:rPr>
                <w:szCs w:val="22"/>
              </w:rPr>
            </w:pPr>
            <w:r w:rsidRPr="007B7B59">
              <w:rPr>
                <w:szCs w:val="22"/>
              </w:rPr>
              <w:t>305 (13,6 %)</w:t>
            </w:r>
          </w:p>
        </w:tc>
        <w:tc>
          <w:tcPr>
            <w:tcW w:w="3052" w:type="dxa"/>
            <w:tcBorders>
              <w:top w:val="single" w:sz="4" w:space="0" w:color="auto"/>
              <w:left w:val="single" w:sz="4" w:space="0" w:color="auto"/>
              <w:bottom w:val="single" w:sz="4" w:space="0" w:color="auto"/>
              <w:right w:val="single" w:sz="4" w:space="0" w:color="auto"/>
            </w:tcBorders>
          </w:tcPr>
          <w:p w14:paraId="1BB395A6" w14:textId="77777777" w:rsidR="000C6DE6" w:rsidRPr="007B7B59" w:rsidRDefault="000C6DE6" w:rsidP="00C80E4A">
            <w:pPr>
              <w:rPr>
                <w:szCs w:val="22"/>
              </w:rPr>
            </w:pPr>
            <w:r w:rsidRPr="007B7B59">
              <w:rPr>
                <w:szCs w:val="22"/>
              </w:rPr>
              <w:t>255 (11,2 %)</w:t>
            </w:r>
          </w:p>
        </w:tc>
      </w:tr>
      <w:tr w:rsidR="000C6DE6" w:rsidRPr="007B7B59" w14:paraId="6ABBAC7C" w14:textId="77777777">
        <w:tc>
          <w:tcPr>
            <w:tcW w:w="3051" w:type="dxa"/>
            <w:tcBorders>
              <w:top w:val="single" w:sz="4" w:space="0" w:color="auto"/>
              <w:left w:val="single" w:sz="4" w:space="0" w:color="auto"/>
              <w:bottom w:val="single" w:sz="4" w:space="0" w:color="auto"/>
              <w:right w:val="single" w:sz="4" w:space="0" w:color="auto"/>
            </w:tcBorders>
          </w:tcPr>
          <w:p w14:paraId="0F5E8365" w14:textId="77777777" w:rsidR="000C6DE6" w:rsidRPr="007B7B59" w:rsidRDefault="000C6DE6" w:rsidP="00C80E4A">
            <w:pPr>
              <w:rPr>
                <w:szCs w:val="22"/>
              </w:rPr>
            </w:pPr>
            <w:r w:rsidRPr="007B7B59">
              <w:rPr>
                <w:szCs w:val="22"/>
              </w:rPr>
              <w:t>Nemiga</w:t>
            </w:r>
          </w:p>
        </w:tc>
        <w:tc>
          <w:tcPr>
            <w:tcW w:w="3052" w:type="dxa"/>
            <w:tcBorders>
              <w:top w:val="single" w:sz="4" w:space="0" w:color="auto"/>
              <w:left w:val="single" w:sz="4" w:space="0" w:color="auto"/>
              <w:bottom w:val="single" w:sz="4" w:space="0" w:color="auto"/>
              <w:right w:val="single" w:sz="4" w:space="0" w:color="auto"/>
            </w:tcBorders>
          </w:tcPr>
          <w:p w14:paraId="37E3799B" w14:textId="77777777" w:rsidR="000C6DE6" w:rsidRPr="007B7B59" w:rsidRDefault="000C6DE6" w:rsidP="00C80E4A">
            <w:pPr>
              <w:rPr>
                <w:szCs w:val="22"/>
              </w:rPr>
            </w:pPr>
            <w:r w:rsidRPr="007B7B59">
              <w:rPr>
                <w:szCs w:val="22"/>
              </w:rPr>
              <w:t>290 (12,9 %)</w:t>
            </w:r>
          </w:p>
        </w:tc>
        <w:tc>
          <w:tcPr>
            <w:tcW w:w="3052" w:type="dxa"/>
            <w:tcBorders>
              <w:top w:val="single" w:sz="4" w:space="0" w:color="auto"/>
              <w:left w:val="single" w:sz="4" w:space="0" w:color="auto"/>
              <w:bottom w:val="single" w:sz="4" w:space="0" w:color="auto"/>
              <w:right w:val="single" w:sz="4" w:space="0" w:color="auto"/>
            </w:tcBorders>
          </w:tcPr>
          <w:p w14:paraId="2CBD06D4" w14:textId="77777777" w:rsidR="000C6DE6" w:rsidRPr="007B7B59" w:rsidRDefault="000C6DE6" w:rsidP="00C80E4A">
            <w:pPr>
              <w:rPr>
                <w:szCs w:val="22"/>
              </w:rPr>
            </w:pPr>
            <w:r w:rsidRPr="007B7B59">
              <w:rPr>
                <w:szCs w:val="22"/>
              </w:rPr>
              <w:t>204 (9,0 %)</w:t>
            </w:r>
          </w:p>
        </w:tc>
      </w:tr>
      <w:tr w:rsidR="000C6DE6" w:rsidRPr="007B7B59" w14:paraId="34873B16" w14:textId="77777777">
        <w:tc>
          <w:tcPr>
            <w:tcW w:w="3051" w:type="dxa"/>
            <w:tcBorders>
              <w:top w:val="single" w:sz="4" w:space="0" w:color="auto"/>
              <w:left w:val="single" w:sz="4" w:space="0" w:color="auto"/>
              <w:bottom w:val="single" w:sz="4" w:space="0" w:color="auto"/>
              <w:right w:val="single" w:sz="4" w:space="0" w:color="auto"/>
            </w:tcBorders>
          </w:tcPr>
          <w:p w14:paraId="3CD4F71A" w14:textId="77777777" w:rsidR="000C6DE6" w:rsidRPr="007B7B59" w:rsidRDefault="000C6DE6" w:rsidP="00C80E4A">
            <w:pPr>
              <w:rPr>
                <w:szCs w:val="22"/>
              </w:rPr>
            </w:pPr>
            <w:r w:rsidRPr="007B7B59">
              <w:rPr>
                <w:szCs w:val="22"/>
              </w:rPr>
              <w:t xml:space="preserve">Sustiprėjęs prakaitavimas </w:t>
            </w:r>
          </w:p>
        </w:tc>
        <w:tc>
          <w:tcPr>
            <w:tcW w:w="3052" w:type="dxa"/>
            <w:tcBorders>
              <w:top w:val="single" w:sz="4" w:space="0" w:color="auto"/>
              <w:left w:val="single" w:sz="4" w:space="0" w:color="auto"/>
              <w:bottom w:val="single" w:sz="4" w:space="0" w:color="auto"/>
              <w:right w:val="single" w:sz="4" w:space="0" w:color="auto"/>
            </w:tcBorders>
          </w:tcPr>
          <w:p w14:paraId="5118630E" w14:textId="77777777" w:rsidR="000C6DE6" w:rsidRPr="007B7B59" w:rsidRDefault="000C6DE6" w:rsidP="00C80E4A">
            <w:pPr>
              <w:rPr>
                <w:szCs w:val="22"/>
              </w:rPr>
            </w:pPr>
            <w:r w:rsidRPr="007B7B59">
              <w:rPr>
                <w:szCs w:val="22"/>
              </w:rPr>
              <w:t>270 (12,0 %)</w:t>
            </w:r>
          </w:p>
        </w:tc>
        <w:tc>
          <w:tcPr>
            <w:tcW w:w="3052" w:type="dxa"/>
            <w:tcBorders>
              <w:top w:val="single" w:sz="4" w:space="0" w:color="auto"/>
              <w:left w:val="single" w:sz="4" w:space="0" w:color="auto"/>
              <w:bottom w:val="single" w:sz="4" w:space="0" w:color="auto"/>
              <w:right w:val="single" w:sz="4" w:space="0" w:color="auto"/>
            </w:tcBorders>
          </w:tcPr>
          <w:p w14:paraId="2F9CFC49" w14:textId="77777777" w:rsidR="000C6DE6" w:rsidRPr="007B7B59" w:rsidRDefault="000C6DE6" w:rsidP="00C80E4A">
            <w:pPr>
              <w:rPr>
                <w:szCs w:val="22"/>
              </w:rPr>
            </w:pPr>
            <w:r w:rsidRPr="007B7B59">
              <w:rPr>
                <w:szCs w:val="22"/>
              </w:rPr>
              <w:t>242 (10,6 %)</w:t>
            </w:r>
          </w:p>
        </w:tc>
      </w:tr>
      <w:tr w:rsidR="000C6DE6" w:rsidRPr="007B7B59" w14:paraId="235E997F" w14:textId="77777777">
        <w:tc>
          <w:tcPr>
            <w:tcW w:w="3051" w:type="dxa"/>
            <w:tcBorders>
              <w:top w:val="single" w:sz="4" w:space="0" w:color="auto"/>
              <w:left w:val="single" w:sz="4" w:space="0" w:color="auto"/>
              <w:bottom w:val="single" w:sz="4" w:space="0" w:color="auto"/>
              <w:right w:val="single" w:sz="4" w:space="0" w:color="auto"/>
            </w:tcBorders>
          </w:tcPr>
          <w:p w14:paraId="42F2882B" w14:textId="77777777" w:rsidR="000C6DE6" w:rsidRPr="007B7B59" w:rsidRDefault="000C6DE6" w:rsidP="00C80E4A">
            <w:pPr>
              <w:rPr>
                <w:szCs w:val="22"/>
              </w:rPr>
            </w:pPr>
            <w:r w:rsidRPr="007B7B59">
              <w:rPr>
                <w:szCs w:val="22"/>
              </w:rPr>
              <w:t>Ginekologiniai sutrikimai</w:t>
            </w:r>
          </w:p>
        </w:tc>
        <w:tc>
          <w:tcPr>
            <w:tcW w:w="3052" w:type="dxa"/>
            <w:tcBorders>
              <w:top w:val="single" w:sz="4" w:space="0" w:color="auto"/>
              <w:left w:val="single" w:sz="4" w:space="0" w:color="auto"/>
              <w:bottom w:val="single" w:sz="4" w:space="0" w:color="auto"/>
              <w:right w:val="single" w:sz="4" w:space="0" w:color="auto"/>
            </w:tcBorders>
          </w:tcPr>
          <w:p w14:paraId="6D5EB6E8" w14:textId="77777777" w:rsidR="000C6DE6" w:rsidRPr="007B7B59" w:rsidRDefault="000C6DE6" w:rsidP="00C80E4A">
            <w:pPr>
              <w:rPr>
                <w:szCs w:val="22"/>
              </w:rPr>
            </w:pPr>
            <w:r w:rsidRPr="007B7B59">
              <w:rPr>
                <w:szCs w:val="22"/>
              </w:rPr>
              <w:t>235 (10,5 %)</w:t>
            </w:r>
          </w:p>
        </w:tc>
        <w:tc>
          <w:tcPr>
            <w:tcW w:w="3052" w:type="dxa"/>
            <w:tcBorders>
              <w:top w:val="single" w:sz="4" w:space="0" w:color="auto"/>
              <w:left w:val="single" w:sz="4" w:space="0" w:color="auto"/>
              <w:bottom w:val="single" w:sz="4" w:space="0" w:color="auto"/>
              <w:right w:val="single" w:sz="4" w:space="0" w:color="auto"/>
            </w:tcBorders>
          </w:tcPr>
          <w:p w14:paraId="659BC197" w14:textId="77777777" w:rsidR="000C6DE6" w:rsidRPr="007B7B59" w:rsidRDefault="000C6DE6" w:rsidP="00C80E4A">
            <w:pPr>
              <w:rPr>
                <w:szCs w:val="22"/>
              </w:rPr>
            </w:pPr>
            <w:r w:rsidRPr="007B7B59">
              <w:rPr>
                <w:szCs w:val="22"/>
              </w:rPr>
              <w:t>340 (14,9 %)</w:t>
            </w:r>
          </w:p>
        </w:tc>
      </w:tr>
      <w:tr w:rsidR="000C6DE6" w:rsidRPr="007B7B59" w14:paraId="2DEDD5D2" w14:textId="77777777">
        <w:tc>
          <w:tcPr>
            <w:tcW w:w="3051" w:type="dxa"/>
            <w:tcBorders>
              <w:top w:val="single" w:sz="4" w:space="0" w:color="auto"/>
              <w:left w:val="single" w:sz="4" w:space="0" w:color="auto"/>
              <w:bottom w:val="single" w:sz="4" w:space="0" w:color="auto"/>
              <w:right w:val="single" w:sz="4" w:space="0" w:color="auto"/>
            </w:tcBorders>
          </w:tcPr>
          <w:p w14:paraId="7F33563B" w14:textId="77777777" w:rsidR="000C6DE6" w:rsidRPr="007B7B59" w:rsidRDefault="000C6DE6" w:rsidP="00C80E4A">
            <w:pPr>
              <w:rPr>
                <w:szCs w:val="22"/>
              </w:rPr>
            </w:pPr>
            <w:r w:rsidRPr="007B7B59">
              <w:rPr>
                <w:szCs w:val="22"/>
              </w:rPr>
              <w:t>Galvos svaigimas</w:t>
            </w:r>
          </w:p>
        </w:tc>
        <w:tc>
          <w:tcPr>
            <w:tcW w:w="3052" w:type="dxa"/>
            <w:tcBorders>
              <w:top w:val="single" w:sz="4" w:space="0" w:color="auto"/>
              <w:left w:val="single" w:sz="4" w:space="0" w:color="auto"/>
              <w:bottom w:val="single" w:sz="4" w:space="0" w:color="auto"/>
              <w:right w:val="single" w:sz="4" w:space="0" w:color="auto"/>
            </w:tcBorders>
          </w:tcPr>
          <w:p w14:paraId="6F7FFF01" w14:textId="77777777" w:rsidR="000C6DE6" w:rsidRPr="007B7B59" w:rsidRDefault="000C6DE6" w:rsidP="00C80E4A">
            <w:pPr>
              <w:rPr>
                <w:szCs w:val="22"/>
              </w:rPr>
            </w:pPr>
            <w:r w:rsidRPr="007B7B59">
              <w:rPr>
                <w:szCs w:val="22"/>
              </w:rPr>
              <w:t>224 (10,0 %)</w:t>
            </w:r>
          </w:p>
        </w:tc>
        <w:tc>
          <w:tcPr>
            <w:tcW w:w="3052" w:type="dxa"/>
            <w:tcBorders>
              <w:top w:val="single" w:sz="4" w:space="0" w:color="auto"/>
              <w:left w:val="single" w:sz="4" w:space="0" w:color="auto"/>
              <w:bottom w:val="single" w:sz="4" w:space="0" w:color="auto"/>
              <w:right w:val="single" w:sz="4" w:space="0" w:color="auto"/>
            </w:tcBorders>
          </w:tcPr>
          <w:p w14:paraId="1C66C705" w14:textId="77777777" w:rsidR="000C6DE6" w:rsidRPr="007B7B59" w:rsidRDefault="000C6DE6" w:rsidP="00C80E4A">
            <w:pPr>
              <w:rPr>
                <w:szCs w:val="22"/>
              </w:rPr>
            </w:pPr>
            <w:r w:rsidRPr="007B7B59">
              <w:rPr>
                <w:szCs w:val="22"/>
              </w:rPr>
              <w:t>200 (8,8 %)</w:t>
            </w:r>
          </w:p>
        </w:tc>
      </w:tr>
      <w:tr w:rsidR="000C6DE6" w:rsidRPr="007B7B59" w14:paraId="5F2500CB" w14:textId="77777777">
        <w:tc>
          <w:tcPr>
            <w:tcW w:w="3051" w:type="dxa"/>
            <w:tcBorders>
              <w:top w:val="single" w:sz="4" w:space="0" w:color="auto"/>
              <w:left w:val="single" w:sz="4" w:space="0" w:color="auto"/>
              <w:bottom w:val="single" w:sz="4" w:space="0" w:color="auto"/>
              <w:right w:val="single" w:sz="4" w:space="0" w:color="auto"/>
            </w:tcBorders>
          </w:tcPr>
          <w:p w14:paraId="1830AC50" w14:textId="77777777" w:rsidR="000C6DE6" w:rsidRPr="007B7B59" w:rsidRDefault="000C6DE6" w:rsidP="00C80E4A">
            <w:pPr>
              <w:rPr>
                <w:szCs w:val="22"/>
              </w:rPr>
            </w:pPr>
            <w:r w:rsidRPr="007B7B59">
              <w:rPr>
                <w:szCs w:val="22"/>
              </w:rPr>
              <w:t>Pykinimas</w:t>
            </w:r>
          </w:p>
        </w:tc>
        <w:tc>
          <w:tcPr>
            <w:tcW w:w="3052" w:type="dxa"/>
            <w:tcBorders>
              <w:top w:val="single" w:sz="4" w:space="0" w:color="auto"/>
              <w:left w:val="single" w:sz="4" w:space="0" w:color="auto"/>
              <w:bottom w:val="single" w:sz="4" w:space="0" w:color="auto"/>
              <w:right w:val="single" w:sz="4" w:space="0" w:color="auto"/>
            </w:tcBorders>
          </w:tcPr>
          <w:p w14:paraId="1E4F366E" w14:textId="77777777" w:rsidR="000C6DE6" w:rsidRPr="007B7B59" w:rsidRDefault="000C6DE6" w:rsidP="00C80E4A">
            <w:pPr>
              <w:rPr>
                <w:szCs w:val="22"/>
              </w:rPr>
            </w:pPr>
            <w:r w:rsidRPr="007B7B59">
              <w:rPr>
                <w:szCs w:val="22"/>
              </w:rPr>
              <w:t>200 (8,9 %)</w:t>
            </w:r>
          </w:p>
        </w:tc>
        <w:tc>
          <w:tcPr>
            <w:tcW w:w="3052" w:type="dxa"/>
            <w:tcBorders>
              <w:top w:val="single" w:sz="4" w:space="0" w:color="auto"/>
              <w:left w:val="single" w:sz="4" w:space="0" w:color="auto"/>
              <w:bottom w:val="single" w:sz="4" w:space="0" w:color="auto"/>
              <w:right w:val="single" w:sz="4" w:space="0" w:color="auto"/>
            </w:tcBorders>
          </w:tcPr>
          <w:p w14:paraId="5FE7EABB" w14:textId="77777777" w:rsidR="000C6DE6" w:rsidRPr="007B7B59" w:rsidRDefault="000C6DE6" w:rsidP="00C80E4A">
            <w:pPr>
              <w:rPr>
                <w:szCs w:val="22"/>
              </w:rPr>
            </w:pPr>
            <w:r w:rsidRPr="007B7B59">
              <w:rPr>
                <w:szCs w:val="22"/>
              </w:rPr>
              <w:t>208 (9,1 %)</w:t>
            </w:r>
          </w:p>
        </w:tc>
      </w:tr>
      <w:tr w:rsidR="000C6DE6" w:rsidRPr="007B7B59" w14:paraId="08239644" w14:textId="77777777">
        <w:tc>
          <w:tcPr>
            <w:tcW w:w="3051" w:type="dxa"/>
            <w:tcBorders>
              <w:top w:val="single" w:sz="4" w:space="0" w:color="auto"/>
              <w:left w:val="single" w:sz="4" w:space="0" w:color="auto"/>
              <w:bottom w:val="single" w:sz="4" w:space="0" w:color="auto"/>
              <w:right w:val="single" w:sz="4" w:space="0" w:color="auto"/>
            </w:tcBorders>
          </w:tcPr>
          <w:p w14:paraId="299C4510" w14:textId="77777777" w:rsidR="000C6DE6" w:rsidRPr="007B7B59" w:rsidRDefault="000C6DE6" w:rsidP="00C80E4A">
            <w:pPr>
              <w:rPr>
                <w:szCs w:val="22"/>
              </w:rPr>
            </w:pPr>
            <w:r w:rsidRPr="007B7B59">
              <w:rPr>
                <w:szCs w:val="22"/>
              </w:rPr>
              <w:t>Osteoporozė</w:t>
            </w:r>
          </w:p>
        </w:tc>
        <w:tc>
          <w:tcPr>
            <w:tcW w:w="3052" w:type="dxa"/>
            <w:tcBorders>
              <w:top w:val="single" w:sz="4" w:space="0" w:color="auto"/>
              <w:left w:val="single" w:sz="4" w:space="0" w:color="auto"/>
              <w:bottom w:val="single" w:sz="4" w:space="0" w:color="auto"/>
              <w:right w:val="single" w:sz="4" w:space="0" w:color="auto"/>
            </w:tcBorders>
          </w:tcPr>
          <w:p w14:paraId="6B123E11" w14:textId="77777777" w:rsidR="000C6DE6" w:rsidRPr="007B7B59" w:rsidRDefault="000C6DE6" w:rsidP="00C80E4A">
            <w:pPr>
              <w:rPr>
                <w:szCs w:val="22"/>
              </w:rPr>
            </w:pPr>
            <w:r w:rsidRPr="007B7B59">
              <w:rPr>
                <w:szCs w:val="22"/>
              </w:rPr>
              <w:t>116 (5,2 %)</w:t>
            </w:r>
          </w:p>
        </w:tc>
        <w:tc>
          <w:tcPr>
            <w:tcW w:w="3052" w:type="dxa"/>
            <w:tcBorders>
              <w:top w:val="single" w:sz="4" w:space="0" w:color="auto"/>
              <w:left w:val="single" w:sz="4" w:space="0" w:color="auto"/>
              <w:bottom w:val="single" w:sz="4" w:space="0" w:color="auto"/>
              <w:right w:val="single" w:sz="4" w:space="0" w:color="auto"/>
            </w:tcBorders>
          </w:tcPr>
          <w:p w14:paraId="35E4086A" w14:textId="77777777" w:rsidR="000C6DE6" w:rsidRPr="007B7B59" w:rsidRDefault="000C6DE6" w:rsidP="00C80E4A">
            <w:pPr>
              <w:rPr>
                <w:szCs w:val="22"/>
              </w:rPr>
            </w:pPr>
            <w:r w:rsidRPr="007B7B59">
              <w:rPr>
                <w:szCs w:val="22"/>
              </w:rPr>
              <w:t>66 (2,9 %)</w:t>
            </w:r>
          </w:p>
        </w:tc>
      </w:tr>
      <w:tr w:rsidR="000C6DE6" w:rsidRPr="007B7B59" w14:paraId="4E0F20FC" w14:textId="77777777">
        <w:tc>
          <w:tcPr>
            <w:tcW w:w="3051" w:type="dxa"/>
            <w:tcBorders>
              <w:top w:val="single" w:sz="4" w:space="0" w:color="auto"/>
              <w:left w:val="single" w:sz="4" w:space="0" w:color="auto"/>
              <w:bottom w:val="single" w:sz="4" w:space="0" w:color="auto"/>
              <w:right w:val="single" w:sz="4" w:space="0" w:color="auto"/>
            </w:tcBorders>
          </w:tcPr>
          <w:p w14:paraId="58485451" w14:textId="77777777" w:rsidR="000C6DE6" w:rsidRPr="007B7B59" w:rsidRDefault="000C6DE6" w:rsidP="00C80E4A">
            <w:pPr>
              <w:rPr>
                <w:szCs w:val="22"/>
              </w:rPr>
            </w:pPr>
            <w:r w:rsidRPr="007B7B59">
              <w:rPr>
                <w:szCs w:val="22"/>
              </w:rPr>
              <w:t>Kraujavimas iš makšties</w:t>
            </w:r>
          </w:p>
        </w:tc>
        <w:tc>
          <w:tcPr>
            <w:tcW w:w="3052" w:type="dxa"/>
            <w:tcBorders>
              <w:top w:val="single" w:sz="4" w:space="0" w:color="auto"/>
              <w:left w:val="single" w:sz="4" w:space="0" w:color="auto"/>
              <w:bottom w:val="single" w:sz="4" w:space="0" w:color="auto"/>
              <w:right w:val="single" w:sz="4" w:space="0" w:color="auto"/>
            </w:tcBorders>
          </w:tcPr>
          <w:p w14:paraId="69D7884E" w14:textId="77777777" w:rsidR="000C6DE6" w:rsidRPr="007B7B59" w:rsidRDefault="000C6DE6" w:rsidP="00C80E4A">
            <w:pPr>
              <w:rPr>
                <w:szCs w:val="22"/>
              </w:rPr>
            </w:pPr>
            <w:r w:rsidRPr="007B7B59">
              <w:rPr>
                <w:szCs w:val="22"/>
              </w:rPr>
              <w:t>90 (4,0 %)</w:t>
            </w:r>
          </w:p>
        </w:tc>
        <w:tc>
          <w:tcPr>
            <w:tcW w:w="3052" w:type="dxa"/>
            <w:tcBorders>
              <w:top w:val="single" w:sz="4" w:space="0" w:color="auto"/>
              <w:left w:val="single" w:sz="4" w:space="0" w:color="auto"/>
              <w:bottom w:val="single" w:sz="4" w:space="0" w:color="auto"/>
              <w:right w:val="single" w:sz="4" w:space="0" w:color="auto"/>
            </w:tcBorders>
          </w:tcPr>
          <w:p w14:paraId="0C951339" w14:textId="77777777" w:rsidR="000C6DE6" w:rsidRPr="007B7B59" w:rsidRDefault="000C6DE6" w:rsidP="00C80E4A">
            <w:pPr>
              <w:rPr>
                <w:szCs w:val="22"/>
              </w:rPr>
            </w:pPr>
            <w:r w:rsidRPr="007B7B59">
              <w:rPr>
                <w:szCs w:val="22"/>
              </w:rPr>
              <w:t>121 (5,3 %)</w:t>
            </w:r>
          </w:p>
        </w:tc>
      </w:tr>
      <w:tr w:rsidR="000C6DE6" w:rsidRPr="007B7B59" w14:paraId="24D87668" w14:textId="77777777">
        <w:tc>
          <w:tcPr>
            <w:tcW w:w="3051" w:type="dxa"/>
            <w:tcBorders>
              <w:top w:val="single" w:sz="4" w:space="0" w:color="auto"/>
              <w:left w:val="single" w:sz="4" w:space="0" w:color="auto"/>
              <w:bottom w:val="single" w:sz="4" w:space="0" w:color="auto"/>
              <w:right w:val="single" w:sz="4" w:space="0" w:color="auto"/>
            </w:tcBorders>
          </w:tcPr>
          <w:p w14:paraId="357154FD" w14:textId="77777777" w:rsidR="000C6DE6" w:rsidRPr="007B7B59" w:rsidRDefault="000C6DE6" w:rsidP="00C80E4A">
            <w:pPr>
              <w:rPr>
                <w:szCs w:val="22"/>
              </w:rPr>
            </w:pPr>
            <w:r w:rsidRPr="007B7B59">
              <w:rPr>
                <w:szCs w:val="22"/>
              </w:rPr>
              <w:t>Kitas pirminis vėžys</w:t>
            </w:r>
          </w:p>
        </w:tc>
        <w:tc>
          <w:tcPr>
            <w:tcW w:w="3052" w:type="dxa"/>
            <w:tcBorders>
              <w:top w:val="single" w:sz="4" w:space="0" w:color="auto"/>
              <w:left w:val="single" w:sz="4" w:space="0" w:color="auto"/>
              <w:bottom w:val="single" w:sz="4" w:space="0" w:color="auto"/>
              <w:right w:val="single" w:sz="4" w:space="0" w:color="auto"/>
            </w:tcBorders>
          </w:tcPr>
          <w:p w14:paraId="57D647E6" w14:textId="77777777" w:rsidR="000C6DE6" w:rsidRPr="007B7B59" w:rsidRDefault="000C6DE6" w:rsidP="00C80E4A">
            <w:pPr>
              <w:rPr>
                <w:szCs w:val="22"/>
              </w:rPr>
            </w:pPr>
            <w:r w:rsidRPr="007B7B59">
              <w:rPr>
                <w:szCs w:val="22"/>
              </w:rPr>
              <w:t>84 (3,6 %)</w:t>
            </w:r>
          </w:p>
        </w:tc>
        <w:tc>
          <w:tcPr>
            <w:tcW w:w="3052" w:type="dxa"/>
            <w:tcBorders>
              <w:top w:val="single" w:sz="4" w:space="0" w:color="auto"/>
              <w:left w:val="single" w:sz="4" w:space="0" w:color="auto"/>
              <w:bottom w:val="single" w:sz="4" w:space="0" w:color="auto"/>
              <w:right w:val="single" w:sz="4" w:space="0" w:color="auto"/>
            </w:tcBorders>
          </w:tcPr>
          <w:p w14:paraId="5291222A" w14:textId="77777777" w:rsidR="000C6DE6" w:rsidRPr="007B7B59" w:rsidRDefault="000C6DE6" w:rsidP="00C80E4A">
            <w:pPr>
              <w:rPr>
                <w:szCs w:val="22"/>
              </w:rPr>
            </w:pPr>
            <w:r w:rsidRPr="007B7B59">
              <w:rPr>
                <w:szCs w:val="22"/>
              </w:rPr>
              <w:t>125 (5,3 %)</w:t>
            </w:r>
          </w:p>
        </w:tc>
      </w:tr>
      <w:tr w:rsidR="000C6DE6" w:rsidRPr="007B7B59" w14:paraId="16F58A4F" w14:textId="77777777">
        <w:tc>
          <w:tcPr>
            <w:tcW w:w="3051" w:type="dxa"/>
            <w:tcBorders>
              <w:top w:val="single" w:sz="4" w:space="0" w:color="auto"/>
              <w:left w:val="single" w:sz="4" w:space="0" w:color="auto"/>
              <w:bottom w:val="single" w:sz="4" w:space="0" w:color="auto"/>
              <w:right w:val="single" w:sz="4" w:space="0" w:color="auto"/>
            </w:tcBorders>
          </w:tcPr>
          <w:p w14:paraId="1F4342C2" w14:textId="77777777" w:rsidR="000C6DE6" w:rsidRPr="007B7B59" w:rsidRDefault="000C6DE6" w:rsidP="00C80E4A">
            <w:pPr>
              <w:rPr>
                <w:szCs w:val="22"/>
              </w:rPr>
            </w:pPr>
            <w:r w:rsidRPr="007B7B59">
              <w:rPr>
                <w:szCs w:val="22"/>
              </w:rPr>
              <w:t>Vėmimas</w:t>
            </w:r>
          </w:p>
        </w:tc>
        <w:tc>
          <w:tcPr>
            <w:tcW w:w="3052" w:type="dxa"/>
            <w:tcBorders>
              <w:top w:val="single" w:sz="4" w:space="0" w:color="auto"/>
              <w:left w:val="single" w:sz="4" w:space="0" w:color="auto"/>
              <w:bottom w:val="single" w:sz="4" w:space="0" w:color="auto"/>
              <w:right w:val="single" w:sz="4" w:space="0" w:color="auto"/>
            </w:tcBorders>
          </w:tcPr>
          <w:p w14:paraId="7264D12F" w14:textId="77777777" w:rsidR="000C6DE6" w:rsidRPr="007B7B59" w:rsidRDefault="000C6DE6" w:rsidP="00C80E4A">
            <w:pPr>
              <w:rPr>
                <w:szCs w:val="22"/>
              </w:rPr>
            </w:pPr>
            <w:r w:rsidRPr="007B7B59">
              <w:rPr>
                <w:szCs w:val="22"/>
              </w:rPr>
              <w:t>50 (2,2 %)</w:t>
            </w:r>
          </w:p>
        </w:tc>
        <w:tc>
          <w:tcPr>
            <w:tcW w:w="3052" w:type="dxa"/>
            <w:tcBorders>
              <w:top w:val="single" w:sz="4" w:space="0" w:color="auto"/>
              <w:left w:val="single" w:sz="4" w:space="0" w:color="auto"/>
              <w:bottom w:val="single" w:sz="4" w:space="0" w:color="auto"/>
              <w:right w:val="single" w:sz="4" w:space="0" w:color="auto"/>
            </w:tcBorders>
          </w:tcPr>
          <w:p w14:paraId="20B9E792" w14:textId="77777777" w:rsidR="000C6DE6" w:rsidRPr="007B7B59" w:rsidRDefault="000C6DE6" w:rsidP="00C80E4A">
            <w:pPr>
              <w:rPr>
                <w:szCs w:val="22"/>
              </w:rPr>
            </w:pPr>
            <w:r w:rsidRPr="007B7B59">
              <w:rPr>
                <w:szCs w:val="22"/>
              </w:rPr>
              <w:t>54 (2,4 %)</w:t>
            </w:r>
          </w:p>
        </w:tc>
      </w:tr>
      <w:tr w:rsidR="000C6DE6" w:rsidRPr="007B7B59" w14:paraId="7208AA99" w14:textId="77777777">
        <w:tc>
          <w:tcPr>
            <w:tcW w:w="3051" w:type="dxa"/>
            <w:tcBorders>
              <w:top w:val="single" w:sz="4" w:space="0" w:color="auto"/>
              <w:left w:val="single" w:sz="4" w:space="0" w:color="auto"/>
              <w:bottom w:val="single" w:sz="4" w:space="0" w:color="auto"/>
              <w:right w:val="single" w:sz="4" w:space="0" w:color="auto"/>
            </w:tcBorders>
          </w:tcPr>
          <w:p w14:paraId="64C7AA00" w14:textId="77777777" w:rsidR="000C6DE6" w:rsidRPr="007B7B59" w:rsidRDefault="000C6DE6" w:rsidP="00C80E4A">
            <w:pPr>
              <w:rPr>
                <w:szCs w:val="22"/>
              </w:rPr>
            </w:pPr>
            <w:r w:rsidRPr="007B7B59">
              <w:rPr>
                <w:szCs w:val="22"/>
              </w:rPr>
              <w:t>Regos sutrikimai</w:t>
            </w:r>
          </w:p>
        </w:tc>
        <w:tc>
          <w:tcPr>
            <w:tcW w:w="3052" w:type="dxa"/>
            <w:tcBorders>
              <w:top w:val="single" w:sz="4" w:space="0" w:color="auto"/>
              <w:left w:val="single" w:sz="4" w:space="0" w:color="auto"/>
              <w:bottom w:val="single" w:sz="4" w:space="0" w:color="auto"/>
              <w:right w:val="single" w:sz="4" w:space="0" w:color="auto"/>
            </w:tcBorders>
          </w:tcPr>
          <w:p w14:paraId="5AD1AFC5" w14:textId="77777777" w:rsidR="000C6DE6" w:rsidRPr="007B7B59" w:rsidRDefault="000C6DE6" w:rsidP="00C80E4A">
            <w:pPr>
              <w:rPr>
                <w:szCs w:val="22"/>
              </w:rPr>
            </w:pPr>
            <w:r w:rsidRPr="007B7B59">
              <w:rPr>
                <w:szCs w:val="22"/>
              </w:rPr>
              <w:t>45 (2,0 %)</w:t>
            </w:r>
          </w:p>
        </w:tc>
        <w:tc>
          <w:tcPr>
            <w:tcW w:w="3052" w:type="dxa"/>
            <w:tcBorders>
              <w:top w:val="single" w:sz="4" w:space="0" w:color="auto"/>
              <w:left w:val="single" w:sz="4" w:space="0" w:color="auto"/>
              <w:bottom w:val="single" w:sz="4" w:space="0" w:color="auto"/>
              <w:right w:val="single" w:sz="4" w:space="0" w:color="auto"/>
            </w:tcBorders>
          </w:tcPr>
          <w:p w14:paraId="3950F661" w14:textId="77777777" w:rsidR="000C6DE6" w:rsidRPr="007B7B59" w:rsidRDefault="000C6DE6" w:rsidP="00C80E4A">
            <w:pPr>
              <w:rPr>
                <w:szCs w:val="22"/>
              </w:rPr>
            </w:pPr>
            <w:r w:rsidRPr="007B7B59">
              <w:rPr>
                <w:szCs w:val="22"/>
              </w:rPr>
              <w:t>53 (2,3 %)</w:t>
            </w:r>
          </w:p>
        </w:tc>
      </w:tr>
      <w:tr w:rsidR="000C6DE6" w:rsidRPr="007B7B59" w14:paraId="63B96D1B" w14:textId="77777777">
        <w:tc>
          <w:tcPr>
            <w:tcW w:w="3051" w:type="dxa"/>
            <w:tcBorders>
              <w:top w:val="single" w:sz="4" w:space="0" w:color="auto"/>
              <w:left w:val="single" w:sz="4" w:space="0" w:color="auto"/>
              <w:bottom w:val="single" w:sz="4" w:space="0" w:color="auto"/>
              <w:right w:val="single" w:sz="4" w:space="0" w:color="auto"/>
            </w:tcBorders>
          </w:tcPr>
          <w:p w14:paraId="518594BC" w14:textId="77777777" w:rsidR="000C6DE6" w:rsidRPr="007B7B59" w:rsidRDefault="000C6DE6" w:rsidP="00C80E4A">
            <w:pPr>
              <w:rPr>
                <w:szCs w:val="22"/>
              </w:rPr>
            </w:pPr>
            <w:proofErr w:type="spellStart"/>
            <w:r w:rsidRPr="007B7B59">
              <w:rPr>
                <w:szCs w:val="22"/>
              </w:rPr>
              <w:t>Tromboembolija</w:t>
            </w:r>
            <w:proofErr w:type="spellEnd"/>
          </w:p>
        </w:tc>
        <w:tc>
          <w:tcPr>
            <w:tcW w:w="3052" w:type="dxa"/>
            <w:tcBorders>
              <w:top w:val="single" w:sz="4" w:space="0" w:color="auto"/>
              <w:left w:val="single" w:sz="4" w:space="0" w:color="auto"/>
              <w:bottom w:val="single" w:sz="4" w:space="0" w:color="auto"/>
              <w:right w:val="single" w:sz="4" w:space="0" w:color="auto"/>
            </w:tcBorders>
          </w:tcPr>
          <w:p w14:paraId="0CA7D288" w14:textId="77777777" w:rsidR="000C6DE6" w:rsidRPr="007B7B59" w:rsidRDefault="000C6DE6" w:rsidP="00C80E4A">
            <w:pPr>
              <w:rPr>
                <w:szCs w:val="22"/>
              </w:rPr>
            </w:pPr>
            <w:r w:rsidRPr="007B7B59">
              <w:rPr>
                <w:szCs w:val="22"/>
              </w:rPr>
              <w:t>16 (0,7 %)</w:t>
            </w:r>
          </w:p>
        </w:tc>
        <w:tc>
          <w:tcPr>
            <w:tcW w:w="3052" w:type="dxa"/>
            <w:tcBorders>
              <w:top w:val="single" w:sz="4" w:space="0" w:color="auto"/>
              <w:left w:val="single" w:sz="4" w:space="0" w:color="auto"/>
              <w:bottom w:val="single" w:sz="4" w:space="0" w:color="auto"/>
              <w:right w:val="single" w:sz="4" w:space="0" w:color="auto"/>
            </w:tcBorders>
          </w:tcPr>
          <w:p w14:paraId="1D4463E8" w14:textId="77777777" w:rsidR="000C6DE6" w:rsidRPr="007B7B59" w:rsidRDefault="000C6DE6" w:rsidP="00C80E4A">
            <w:pPr>
              <w:rPr>
                <w:szCs w:val="22"/>
              </w:rPr>
            </w:pPr>
            <w:r w:rsidRPr="007B7B59">
              <w:rPr>
                <w:szCs w:val="22"/>
              </w:rPr>
              <w:t>42 (1,8 %)</w:t>
            </w:r>
          </w:p>
        </w:tc>
      </w:tr>
      <w:tr w:rsidR="000C6DE6" w:rsidRPr="007B7B59" w14:paraId="7DB5471C" w14:textId="77777777">
        <w:tc>
          <w:tcPr>
            <w:tcW w:w="3051" w:type="dxa"/>
            <w:tcBorders>
              <w:top w:val="single" w:sz="4" w:space="0" w:color="auto"/>
              <w:left w:val="single" w:sz="4" w:space="0" w:color="auto"/>
              <w:bottom w:val="single" w:sz="4" w:space="0" w:color="auto"/>
              <w:right w:val="single" w:sz="4" w:space="0" w:color="auto"/>
            </w:tcBorders>
          </w:tcPr>
          <w:p w14:paraId="5B9B9CFE" w14:textId="77777777" w:rsidR="000C6DE6" w:rsidRPr="007B7B59" w:rsidRDefault="000C6DE6" w:rsidP="00C80E4A">
            <w:pPr>
              <w:rPr>
                <w:szCs w:val="22"/>
              </w:rPr>
            </w:pPr>
            <w:r w:rsidRPr="007B7B59">
              <w:rPr>
                <w:szCs w:val="22"/>
              </w:rPr>
              <w:t>Lūžis dėl osteoporozės</w:t>
            </w:r>
          </w:p>
        </w:tc>
        <w:tc>
          <w:tcPr>
            <w:tcW w:w="3052" w:type="dxa"/>
            <w:tcBorders>
              <w:top w:val="single" w:sz="4" w:space="0" w:color="auto"/>
              <w:left w:val="single" w:sz="4" w:space="0" w:color="auto"/>
              <w:bottom w:val="single" w:sz="4" w:space="0" w:color="auto"/>
              <w:right w:val="single" w:sz="4" w:space="0" w:color="auto"/>
            </w:tcBorders>
          </w:tcPr>
          <w:p w14:paraId="7BE2A399" w14:textId="77777777" w:rsidR="000C6DE6" w:rsidRPr="007B7B59" w:rsidRDefault="000C6DE6" w:rsidP="00C80E4A">
            <w:pPr>
              <w:rPr>
                <w:szCs w:val="22"/>
              </w:rPr>
            </w:pPr>
            <w:r w:rsidRPr="007B7B59">
              <w:rPr>
                <w:szCs w:val="22"/>
              </w:rPr>
              <w:t>14 (0,6 %)</w:t>
            </w:r>
          </w:p>
        </w:tc>
        <w:tc>
          <w:tcPr>
            <w:tcW w:w="3052" w:type="dxa"/>
            <w:tcBorders>
              <w:top w:val="single" w:sz="4" w:space="0" w:color="auto"/>
              <w:left w:val="single" w:sz="4" w:space="0" w:color="auto"/>
              <w:bottom w:val="single" w:sz="4" w:space="0" w:color="auto"/>
              <w:right w:val="single" w:sz="4" w:space="0" w:color="auto"/>
            </w:tcBorders>
          </w:tcPr>
          <w:p w14:paraId="40AB10EE" w14:textId="77777777" w:rsidR="000C6DE6" w:rsidRPr="007B7B59" w:rsidRDefault="000C6DE6" w:rsidP="00C80E4A">
            <w:pPr>
              <w:rPr>
                <w:szCs w:val="22"/>
              </w:rPr>
            </w:pPr>
            <w:r w:rsidRPr="007B7B59">
              <w:rPr>
                <w:szCs w:val="22"/>
              </w:rPr>
              <w:t>12 (0,5 %)</w:t>
            </w:r>
          </w:p>
        </w:tc>
      </w:tr>
      <w:tr w:rsidR="000C6DE6" w:rsidRPr="007B7B59" w14:paraId="6C61DF8C" w14:textId="77777777">
        <w:tc>
          <w:tcPr>
            <w:tcW w:w="3051" w:type="dxa"/>
            <w:tcBorders>
              <w:top w:val="single" w:sz="4" w:space="0" w:color="auto"/>
              <w:left w:val="single" w:sz="4" w:space="0" w:color="auto"/>
              <w:bottom w:val="single" w:sz="4" w:space="0" w:color="auto"/>
              <w:right w:val="single" w:sz="4" w:space="0" w:color="auto"/>
            </w:tcBorders>
          </w:tcPr>
          <w:p w14:paraId="2E75F668" w14:textId="77777777" w:rsidR="000C6DE6" w:rsidRPr="007B7B59" w:rsidRDefault="000C6DE6" w:rsidP="00C80E4A">
            <w:pPr>
              <w:rPr>
                <w:szCs w:val="22"/>
              </w:rPr>
            </w:pPr>
            <w:r w:rsidRPr="007B7B59">
              <w:rPr>
                <w:szCs w:val="22"/>
              </w:rPr>
              <w:t>Miokardo infarktas</w:t>
            </w:r>
          </w:p>
        </w:tc>
        <w:tc>
          <w:tcPr>
            <w:tcW w:w="3052" w:type="dxa"/>
            <w:tcBorders>
              <w:top w:val="single" w:sz="4" w:space="0" w:color="auto"/>
              <w:left w:val="single" w:sz="4" w:space="0" w:color="auto"/>
              <w:bottom w:val="single" w:sz="4" w:space="0" w:color="auto"/>
              <w:right w:val="single" w:sz="4" w:space="0" w:color="auto"/>
            </w:tcBorders>
          </w:tcPr>
          <w:p w14:paraId="7E7AC9B8" w14:textId="77777777" w:rsidR="000C6DE6" w:rsidRPr="007B7B59" w:rsidRDefault="000C6DE6" w:rsidP="00C80E4A">
            <w:pPr>
              <w:rPr>
                <w:szCs w:val="22"/>
              </w:rPr>
            </w:pPr>
            <w:r w:rsidRPr="007B7B59">
              <w:rPr>
                <w:szCs w:val="22"/>
              </w:rPr>
              <w:t>13 (0,6 %)</w:t>
            </w:r>
          </w:p>
        </w:tc>
        <w:tc>
          <w:tcPr>
            <w:tcW w:w="3052" w:type="dxa"/>
            <w:tcBorders>
              <w:top w:val="single" w:sz="4" w:space="0" w:color="auto"/>
              <w:left w:val="single" w:sz="4" w:space="0" w:color="auto"/>
              <w:bottom w:val="single" w:sz="4" w:space="0" w:color="auto"/>
              <w:right w:val="single" w:sz="4" w:space="0" w:color="auto"/>
            </w:tcBorders>
          </w:tcPr>
          <w:p w14:paraId="4799A529" w14:textId="77777777" w:rsidR="000C6DE6" w:rsidRPr="007B7B59" w:rsidRDefault="000C6DE6" w:rsidP="00C80E4A">
            <w:pPr>
              <w:rPr>
                <w:szCs w:val="22"/>
              </w:rPr>
            </w:pPr>
            <w:r w:rsidRPr="007B7B59">
              <w:rPr>
                <w:szCs w:val="22"/>
              </w:rPr>
              <w:t>4 (0,2 %)</w:t>
            </w:r>
          </w:p>
        </w:tc>
      </w:tr>
    </w:tbl>
    <w:p w14:paraId="01C9ECE8" w14:textId="77777777" w:rsidR="000C6DE6" w:rsidRPr="007B7B59" w:rsidRDefault="000C6DE6" w:rsidP="000C6DE6">
      <w:pPr>
        <w:rPr>
          <w:szCs w:val="22"/>
        </w:rPr>
      </w:pPr>
    </w:p>
    <w:p w14:paraId="3A923B40" w14:textId="77777777" w:rsidR="000C6DE6" w:rsidRPr="007B7B59" w:rsidRDefault="000C6DE6" w:rsidP="000C6DE6">
      <w:pPr>
        <w:rPr>
          <w:szCs w:val="22"/>
        </w:rPr>
      </w:pPr>
      <w:r w:rsidRPr="007B7B59">
        <w:rPr>
          <w:i/>
          <w:iCs/>
          <w:szCs w:val="22"/>
        </w:rPr>
        <w:t>IES</w:t>
      </w:r>
      <w:r w:rsidRPr="007B7B59">
        <w:rPr>
          <w:szCs w:val="22"/>
        </w:rPr>
        <w:t xml:space="preserve"> tyrimo duomenimis, išeminių širdies sutrikimų dažnis buvo 4,5 % </w:t>
      </w:r>
      <w:proofErr w:type="spellStart"/>
      <w:r w:rsidRPr="007B7B59">
        <w:rPr>
          <w:szCs w:val="22"/>
        </w:rPr>
        <w:t>eksemestano</w:t>
      </w:r>
      <w:proofErr w:type="spellEnd"/>
      <w:r w:rsidRPr="007B7B59">
        <w:rPr>
          <w:szCs w:val="22"/>
        </w:rPr>
        <w:t xml:space="preserve"> grupėje, palyginti su 4,2 % - </w:t>
      </w:r>
      <w:proofErr w:type="spellStart"/>
      <w:r w:rsidRPr="007B7B59">
        <w:rPr>
          <w:szCs w:val="22"/>
        </w:rPr>
        <w:t>tamoksifeno</w:t>
      </w:r>
      <w:proofErr w:type="spellEnd"/>
      <w:r w:rsidRPr="007B7B59">
        <w:rPr>
          <w:szCs w:val="22"/>
        </w:rPr>
        <w:t>. Kardiovaskulinių reiškinių, įskaitant hipertenzijos (9,9 %, palyginti su 8,4 %), miokardo infarkto (0,6 %, palyginti su 0,2 %) ir širdies nepakankamumo (1,1 %, palyginti su 0,7 %), dažnio didelių skirtumų tarp grupių nebuvo.</w:t>
      </w:r>
    </w:p>
    <w:p w14:paraId="16F7DE39" w14:textId="77777777" w:rsidR="007F34EF" w:rsidRPr="007B7B59" w:rsidRDefault="007F34EF" w:rsidP="000C6DE6">
      <w:pPr>
        <w:rPr>
          <w:szCs w:val="22"/>
        </w:rPr>
      </w:pPr>
    </w:p>
    <w:p w14:paraId="3E14DE44" w14:textId="77777777" w:rsidR="007F34EF" w:rsidRPr="007B7B59" w:rsidRDefault="007F34EF" w:rsidP="000C6DE6">
      <w:pPr>
        <w:rPr>
          <w:szCs w:val="22"/>
        </w:rPr>
      </w:pPr>
      <w:r w:rsidRPr="007B7B59">
        <w:rPr>
          <w:i/>
          <w:iCs/>
          <w:szCs w:val="22"/>
        </w:rPr>
        <w:t>IES</w:t>
      </w:r>
      <w:r w:rsidRPr="007B7B59">
        <w:rPr>
          <w:szCs w:val="22"/>
        </w:rPr>
        <w:t xml:space="preserve"> tyrimo duomenimis, </w:t>
      </w:r>
      <w:proofErr w:type="spellStart"/>
      <w:r w:rsidRPr="007B7B59">
        <w:rPr>
          <w:szCs w:val="22"/>
        </w:rPr>
        <w:t>eksemestanas</w:t>
      </w:r>
      <w:proofErr w:type="spellEnd"/>
      <w:r w:rsidRPr="007B7B59">
        <w:rPr>
          <w:szCs w:val="22"/>
        </w:rPr>
        <w:t xml:space="preserve"> buvo siejamas su </w:t>
      </w:r>
      <w:r w:rsidR="001A2722" w:rsidRPr="007B7B59">
        <w:rPr>
          <w:szCs w:val="22"/>
        </w:rPr>
        <w:t xml:space="preserve">dažniau pasireiškiančia </w:t>
      </w:r>
      <w:proofErr w:type="spellStart"/>
      <w:r w:rsidRPr="007B7B59">
        <w:rPr>
          <w:szCs w:val="22"/>
        </w:rPr>
        <w:t>hipercholester</w:t>
      </w:r>
      <w:r w:rsidR="00D246D8" w:rsidRPr="007B7B59">
        <w:rPr>
          <w:szCs w:val="22"/>
        </w:rPr>
        <w:t>ol</w:t>
      </w:r>
      <w:r w:rsidR="001A2722" w:rsidRPr="007B7B59">
        <w:rPr>
          <w:szCs w:val="22"/>
        </w:rPr>
        <w:t>emija</w:t>
      </w:r>
      <w:proofErr w:type="spellEnd"/>
      <w:r w:rsidR="001A2722" w:rsidRPr="007B7B59">
        <w:rPr>
          <w:szCs w:val="22"/>
        </w:rPr>
        <w:t xml:space="preserve">, palyginti su </w:t>
      </w:r>
      <w:proofErr w:type="spellStart"/>
      <w:r w:rsidR="001A2722" w:rsidRPr="007B7B59">
        <w:rPr>
          <w:szCs w:val="22"/>
        </w:rPr>
        <w:t>tamoksifenu</w:t>
      </w:r>
      <w:proofErr w:type="spellEnd"/>
      <w:r w:rsidR="001A2722" w:rsidRPr="007B7B59">
        <w:rPr>
          <w:szCs w:val="22"/>
        </w:rPr>
        <w:t xml:space="preserve"> (3,7 %, palyginti su 2,1%).</w:t>
      </w:r>
    </w:p>
    <w:p w14:paraId="419F9AF7" w14:textId="77777777" w:rsidR="001A2722" w:rsidRPr="007B7B59" w:rsidRDefault="001A2722" w:rsidP="000C6DE6">
      <w:pPr>
        <w:rPr>
          <w:szCs w:val="22"/>
        </w:rPr>
      </w:pPr>
    </w:p>
    <w:p w14:paraId="2308BB6A" w14:textId="77777777" w:rsidR="001A2722" w:rsidRPr="007B7B59" w:rsidRDefault="001A2722" w:rsidP="00E0198E">
      <w:pPr>
        <w:rPr>
          <w:szCs w:val="22"/>
        </w:rPr>
      </w:pPr>
      <w:r w:rsidRPr="007B7B59">
        <w:rPr>
          <w:szCs w:val="22"/>
        </w:rPr>
        <w:t>Atskiro dvigubai aklo atsitiktini</w:t>
      </w:r>
      <w:r w:rsidR="00D246D8" w:rsidRPr="007B7B59">
        <w:rPr>
          <w:szCs w:val="22"/>
        </w:rPr>
        <w:t>ų imčių</w:t>
      </w:r>
      <w:r w:rsidRPr="007B7B59">
        <w:rPr>
          <w:szCs w:val="22"/>
        </w:rPr>
        <w:t xml:space="preserve"> tyrimo </w:t>
      </w:r>
      <w:r w:rsidR="00934A0C" w:rsidRPr="007B7B59">
        <w:rPr>
          <w:szCs w:val="22"/>
        </w:rPr>
        <w:t xml:space="preserve">duomenimis (tyrimas atliktas </w:t>
      </w:r>
      <w:r w:rsidRPr="007B7B59">
        <w:rPr>
          <w:szCs w:val="22"/>
        </w:rPr>
        <w:t xml:space="preserve">su </w:t>
      </w:r>
      <w:proofErr w:type="spellStart"/>
      <w:r w:rsidRPr="007B7B59">
        <w:rPr>
          <w:szCs w:val="22"/>
        </w:rPr>
        <w:t>pomenopauzinės</w:t>
      </w:r>
      <w:proofErr w:type="spellEnd"/>
      <w:r w:rsidRPr="007B7B59">
        <w:rPr>
          <w:szCs w:val="22"/>
        </w:rPr>
        <w:t xml:space="preserve"> būklės moterimis, sergančiomis ankstyv</w:t>
      </w:r>
      <w:r w:rsidR="00934A0C" w:rsidRPr="007B7B59">
        <w:rPr>
          <w:szCs w:val="22"/>
        </w:rPr>
        <w:t>u krūties vėžiu (mažos rizikos grupė)</w:t>
      </w:r>
      <w:r w:rsidRPr="007B7B59">
        <w:rPr>
          <w:szCs w:val="22"/>
        </w:rPr>
        <w:t xml:space="preserve"> </w:t>
      </w:r>
      <w:r w:rsidR="00934A0C" w:rsidRPr="007B7B59">
        <w:rPr>
          <w:szCs w:val="22"/>
        </w:rPr>
        <w:t xml:space="preserve">ir gydytomis </w:t>
      </w:r>
      <w:proofErr w:type="spellStart"/>
      <w:r w:rsidR="00934A0C" w:rsidRPr="007B7B59">
        <w:rPr>
          <w:szCs w:val="22"/>
        </w:rPr>
        <w:t>eksemestanu</w:t>
      </w:r>
      <w:proofErr w:type="spellEnd"/>
      <w:r w:rsidR="00934A0C" w:rsidRPr="007B7B59">
        <w:rPr>
          <w:szCs w:val="22"/>
        </w:rPr>
        <w:t xml:space="preserve"> (N=73) arba </w:t>
      </w:r>
      <w:proofErr w:type="spellStart"/>
      <w:r w:rsidR="00934A0C" w:rsidRPr="007B7B59">
        <w:rPr>
          <w:szCs w:val="22"/>
        </w:rPr>
        <w:t>placeb</w:t>
      </w:r>
      <w:r w:rsidR="00D246D8" w:rsidRPr="007B7B59">
        <w:rPr>
          <w:szCs w:val="22"/>
        </w:rPr>
        <w:t>u</w:t>
      </w:r>
      <w:proofErr w:type="spellEnd"/>
      <w:r w:rsidR="00934A0C" w:rsidRPr="007B7B59">
        <w:rPr>
          <w:szCs w:val="22"/>
        </w:rPr>
        <w:t xml:space="preserve"> (N=73) 24 mėnesius)</w:t>
      </w:r>
      <w:r w:rsidRPr="007B7B59">
        <w:rPr>
          <w:szCs w:val="22"/>
        </w:rPr>
        <w:t xml:space="preserve">, </w:t>
      </w:r>
      <w:proofErr w:type="spellStart"/>
      <w:r w:rsidR="00934A0C" w:rsidRPr="007B7B59">
        <w:rPr>
          <w:szCs w:val="22"/>
        </w:rPr>
        <w:t>eksemestanas</w:t>
      </w:r>
      <w:proofErr w:type="spellEnd"/>
      <w:r w:rsidR="00934A0C" w:rsidRPr="007B7B59">
        <w:rPr>
          <w:szCs w:val="22"/>
        </w:rPr>
        <w:t xml:space="preserve"> buvo siejamas su </w:t>
      </w:r>
      <w:r w:rsidR="00E0198E" w:rsidRPr="007B7B59">
        <w:rPr>
          <w:szCs w:val="22"/>
        </w:rPr>
        <w:t>vidutiniškai 7-9</w:t>
      </w:r>
      <w:r w:rsidR="005E3F38">
        <w:rPr>
          <w:szCs w:val="22"/>
        </w:rPr>
        <w:t xml:space="preserve"> </w:t>
      </w:r>
      <w:r w:rsidR="00E0198E" w:rsidRPr="007B7B59">
        <w:rPr>
          <w:szCs w:val="22"/>
        </w:rPr>
        <w:t>% DTL cholesterolio sumažėjimu plazmoje, palyginus su 1</w:t>
      </w:r>
      <w:r w:rsidR="005E3F38">
        <w:rPr>
          <w:szCs w:val="22"/>
        </w:rPr>
        <w:t xml:space="preserve"> </w:t>
      </w:r>
      <w:r w:rsidR="00E0198E" w:rsidRPr="007B7B59">
        <w:rPr>
          <w:szCs w:val="22"/>
        </w:rPr>
        <w:t xml:space="preserve">% padidėjimu vartojant </w:t>
      </w:r>
      <w:proofErr w:type="spellStart"/>
      <w:r w:rsidR="00E0198E" w:rsidRPr="007B7B59">
        <w:rPr>
          <w:szCs w:val="22"/>
        </w:rPr>
        <w:t>placebo</w:t>
      </w:r>
      <w:proofErr w:type="spellEnd"/>
      <w:r w:rsidR="00E0198E" w:rsidRPr="007B7B59">
        <w:rPr>
          <w:szCs w:val="22"/>
        </w:rPr>
        <w:t>. Taip pat buvo stebėtas 5-6</w:t>
      </w:r>
      <w:r w:rsidR="005E3F38">
        <w:rPr>
          <w:szCs w:val="22"/>
        </w:rPr>
        <w:t xml:space="preserve"> </w:t>
      </w:r>
      <w:r w:rsidR="00E0198E" w:rsidRPr="007B7B59">
        <w:rPr>
          <w:szCs w:val="22"/>
        </w:rPr>
        <w:t xml:space="preserve">% </w:t>
      </w:r>
      <w:proofErr w:type="spellStart"/>
      <w:r w:rsidR="00E0198E" w:rsidRPr="007B7B59">
        <w:rPr>
          <w:szCs w:val="22"/>
        </w:rPr>
        <w:t>apolipoproteino</w:t>
      </w:r>
      <w:proofErr w:type="spellEnd"/>
      <w:r w:rsidR="00E0198E" w:rsidRPr="007B7B59">
        <w:rPr>
          <w:szCs w:val="22"/>
        </w:rPr>
        <w:t xml:space="preserve"> A1 sumažėjimas </w:t>
      </w:r>
      <w:proofErr w:type="spellStart"/>
      <w:r w:rsidR="00E0198E" w:rsidRPr="007B7B59">
        <w:rPr>
          <w:szCs w:val="22"/>
        </w:rPr>
        <w:t>eksemestano</w:t>
      </w:r>
      <w:proofErr w:type="spellEnd"/>
      <w:r w:rsidR="00E0198E" w:rsidRPr="007B7B59">
        <w:rPr>
          <w:szCs w:val="22"/>
        </w:rPr>
        <w:t xml:space="preserve"> grupėje, palyginti su 0-2 % </w:t>
      </w:r>
      <w:proofErr w:type="spellStart"/>
      <w:r w:rsidR="00E0198E" w:rsidRPr="007B7B59">
        <w:rPr>
          <w:szCs w:val="22"/>
        </w:rPr>
        <w:t>placebo</w:t>
      </w:r>
      <w:proofErr w:type="spellEnd"/>
      <w:r w:rsidR="00E0198E" w:rsidRPr="007B7B59">
        <w:rPr>
          <w:szCs w:val="22"/>
        </w:rPr>
        <w:t xml:space="preserve"> grupe. Poveikis kitiems tikrintiems lipidų parametrams (bendra</w:t>
      </w:r>
      <w:r w:rsidR="00D246D8" w:rsidRPr="007B7B59">
        <w:rPr>
          <w:szCs w:val="22"/>
        </w:rPr>
        <w:t>jam</w:t>
      </w:r>
      <w:r w:rsidR="00E0198E" w:rsidRPr="007B7B59">
        <w:rPr>
          <w:szCs w:val="22"/>
        </w:rPr>
        <w:t xml:space="preserve"> cholesteroli</w:t>
      </w:r>
      <w:r w:rsidR="00D246D8" w:rsidRPr="007B7B59">
        <w:rPr>
          <w:szCs w:val="22"/>
        </w:rPr>
        <w:t>ui</w:t>
      </w:r>
      <w:r w:rsidR="00E0198E" w:rsidRPr="007B7B59">
        <w:rPr>
          <w:szCs w:val="22"/>
        </w:rPr>
        <w:t>, MTL cholesteroli</w:t>
      </w:r>
      <w:r w:rsidR="00D246D8" w:rsidRPr="007B7B59">
        <w:rPr>
          <w:szCs w:val="22"/>
        </w:rPr>
        <w:t>ui</w:t>
      </w:r>
      <w:r w:rsidR="00E0198E" w:rsidRPr="007B7B59">
        <w:rPr>
          <w:szCs w:val="22"/>
        </w:rPr>
        <w:t xml:space="preserve">, </w:t>
      </w:r>
      <w:proofErr w:type="spellStart"/>
      <w:r w:rsidR="00E0198E" w:rsidRPr="007B7B59">
        <w:rPr>
          <w:szCs w:val="22"/>
        </w:rPr>
        <w:t>triglicerid</w:t>
      </w:r>
      <w:r w:rsidR="00D246D8" w:rsidRPr="007B7B59">
        <w:rPr>
          <w:szCs w:val="22"/>
        </w:rPr>
        <w:t>ams</w:t>
      </w:r>
      <w:proofErr w:type="spellEnd"/>
      <w:r w:rsidR="00E0198E" w:rsidRPr="007B7B59">
        <w:rPr>
          <w:szCs w:val="22"/>
        </w:rPr>
        <w:t xml:space="preserve">, </w:t>
      </w:r>
      <w:proofErr w:type="spellStart"/>
      <w:r w:rsidR="00E0198E" w:rsidRPr="007B7B59">
        <w:rPr>
          <w:szCs w:val="22"/>
        </w:rPr>
        <w:t>apolipoprotein</w:t>
      </w:r>
      <w:r w:rsidR="00D246D8" w:rsidRPr="007B7B59">
        <w:rPr>
          <w:szCs w:val="22"/>
        </w:rPr>
        <w:t>ui</w:t>
      </w:r>
      <w:proofErr w:type="spellEnd"/>
      <w:r w:rsidR="00E0198E" w:rsidRPr="007B7B59">
        <w:rPr>
          <w:szCs w:val="22"/>
        </w:rPr>
        <w:t xml:space="preserve"> B, lipoprotein</w:t>
      </w:r>
      <w:r w:rsidR="00D246D8" w:rsidRPr="007B7B59">
        <w:rPr>
          <w:szCs w:val="22"/>
        </w:rPr>
        <w:t>ui</w:t>
      </w:r>
      <w:r w:rsidR="00E0198E" w:rsidRPr="007B7B59">
        <w:rPr>
          <w:szCs w:val="22"/>
        </w:rPr>
        <w:t xml:space="preserve"> a) </w:t>
      </w:r>
      <w:r w:rsidR="00C63196" w:rsidRPr="007B7B59">
        <w:rPr>
          <w:szCs w:val="22"/>
        </w:rPr>
        <w:t>buvo labai panašus abiejose grupėse. Klinikinė šių rezultatų reikšmė neaiški.</w:t>
      </w:r>
    </w:p>
    <w:p w14:paraId="210AA880" w14:textId="77777777" w:rsidR="000C6DE6" w:rsidRPr="007B7B59" w:rsidRDefault="000C6DE6" w:rsidP="000C6DE6">
      <w:pPr>
        <w:rPr>
          <w:szCs w:val="22"/>
        </w:rPr>
      </w:pPr>
    </w:p>
    <w:p w14:paraId="30EF0BEB" w14:textId="77777777" w:rsidR="000C6DE6" w:rsidRPr="007B7B59" w:rsidRDefault="000C6DE6" w:rsidP="000C6DE6">
      <w:pPr>
        <w:rPr>
          <w:szCs w:val="22"/>
        </w:rPr>
      </w:pPr>
      <w:r w:rsidRPr="007B7B59">
        <w:rPr>
          <w:i/>
          <w:iCs/>
          <w:szCs w:val="22"/>
        </w:rPr>
        <w:t>IES</w:t>
      </w:r>
      <w:r w:rsidRPr="007B7B59">
        <w:rPr>
          <w:szCs w:val="22"/>
        </w:rPr>
        <w:t xml:space="preserve"> tyrimo duomenimis, skrandžio opų šiek tiek dažniau atsirado </w:t>
      </w:r>
      <w:proofErr w:type="spellStart"/>
      <w:r w:rsidRPr="007B7B59">
        <w:rPr>
          <w:szCs w:val="22"/>
        </w:rPr>
        <w:t>eksemestano</w:t>
      </w:r>
      <w:proofErr w:type="spellEnd"/>
      <w:r w:rsidRPr="007B7B59">
        <w:rPr>
          <w:szCs w:val="22"/>
        </w:rPr>
        <w:t xml:space="preserve">, palyginti su </w:t>
      </w:r>
      <w:proofErr w:type="spellStart"/>
      <w:r w:rsidRPr="007B7B59">
        <w:rPr>
          <w:szCs w:val="22"/>
        </w:rPr>
        <w:t>tamoksifenu</w:t>
      </w:r>
      <w:proofErr w:type="spellEnd"/>
      <w:r w:rsidRPr="007B7B59">
        <w:rPr>
          <w:szCs w:val="22"/>
        </w:rPr>
        <w:t xml:space="preserve">, grupėje (0,7 %, palyginti su &lt; 0,1 %). Daugelis pacienčių, kurioms atsirado skrandžio opa, </w:t>
      </w:r>
      <w:proofErr w:type="spellStart"/>
      <w:r w:rsidRPr="007B7B59">
        <w:rPr>
          <w:szCs w:val="22"/>
        </w:rPr>
        <w:t>eksemestaną</w:t>
      </w:r>
      <w:proofErr w:type="spellEnd"/>
      <w:r w:rsidRPr="007B7B59">
        <w:rPr>
          <w:szCs w:val="22"/>
        </w:rPr>
        <w:t xml:space="preserve"> vartojo kartu su kitais vaistiniais preparatais (pvz., nesteroidiniais vaist</w:t>
      </w:r>
      <w:r w:rsidR="00D33A65">
        <w:rPr>
          <w:szCs w:val="22"/>
        </w:rPr>
        <w:t>ini</w:t>
      </w:r>
      <w:r w:rsidRPr="007B7B59">
        <w:rPr>
          <w:szCs w:val="22"/>
        </w:rPr>
        <w:t>ais</w:t>
      </w:r>
      <w:r w:rsidR="00D33A65">
        <w:rPr>
          <w:szCs w:val="22"/>
        </w:rPr>
        <w:t xml:space="preserve"> preparatais</w:t>
      </w:r>
      <w:r w:rsidRPr="007B7B59">
        <w:rPr>
          <w:szCs w:val="22"/>
        </w:rPr>
        <w:t xml:space="preserve"> nuo uždegimo) ir (arba) anksčiau buvo sirgusios skrandžio opa.</w:t>
      </w:r>
    </w:p>
    <w:p w14:paraId="5DA912E8" w14:textId="77777777" w:rsidR="000C6DE6" w:rsidRPr="007B7B59" w:rsidRDefault="000C6DE6" w:rsidP="000C6DE6">
      <w:pPr>
        <w:rPr>
          <w:szCs w:val="22"/>
        </w:rPr>
      </w:pPr>
    </w:p>
    <w:p w14:paraId="3A4734A2" w14:textId="77777777" w:rsidR="00043768" w:rsidRPr="007B7B59" w:rsidRDefault="00043768" w:rsidP="00043768">
      <w:pPr>
        <w:tabs>
          <w:tab w:val="left" w:pos="567"/>
        </w:tabs>
        <w:autoSpaceDE w:val="0"/>
        <w:autoSpaceDN w:val="0"/>
        <w:adjustRightInd w:val="0"/>
        <w:spacing w:line="260" w:lineRule="exact"/>
        <w:jc w:val="both"/>
        <w:rPr>
          <w:snapToGrid w:val="0"/>
          <w:szCs w:val="22"/>
          <w:u w:val="single"/>
        </w:rPr>
      </w:pPr>
      <w:r w:rsidRPr="007B7B59">
        <w:rPr>
          <w:snapToGrid w:val="0"/>
          <w:szCs w:val="22"/>
          <w:u w:val="single"/>
        </w:rPr>
        <w:t>Pranešimas apie įtariamas nepageidaujamas reakcijas</w:t>
      </w:r>
    </w:p>
    <w:p w14:paraId="54D193CE" w14:textId="77777777" w:rsidR="00C31485" w:rsidRDefault="00C31485" w:rsidP="00C31485">
      <w:pPr>
        <w:tabs>
          <w:tab w:val="left" w:pos="567"/>
        </w:tabs>
        <w:autoSpaceDE w:val="0"/>
        <w:autoSpaceDN w:val="0"/>
        <w:adjustRightInd w:val="0"/>
        <w:spacing w:line="260" w:lineRule="exact"/>
        <w:jc w:val="both"/>
        <w:rPr>
          <w:noProof/>
          <w:snapToGrid w:val="0"/>
        </w:rPr>
      </w:pPr>
      <w:r>
        <w:rPr>
          <w:noProof/>
          <w:snapToGrid w:val="0"/>
        </w:rPr>
        <w:t>Svarbu pranešti apie įtariamas nepageidaujamas reakcijas, pastebėtas po vaistinio preparato registracijos, nes tai leidžia nuolat stebėti vaistinio preparato naudos ir rizikos santykį.</w:t>
      </w:r>
      <w:r>
        <w:rPr>
          <w:snapToGrid w:val="0"/>
        </w:rPr>
        <w:t xml:space="preserve"> </w:t>
      </w:r>
      <w:r>
        <w:rPr>
          <w:noProof/>
          <w:snapToGrid w:val="0"/>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Pr>
            <w:rStyle w:val="Hipersaitas"/>
            <w:noProof/>
            <w:snapToGrid w:val="0"/>
          </w:rPr>
          <w:t>https://vapris.vvkt.lt/vvkt-web/public/nrvSpecialist</w:t>
        </w:r>
      </w:hyperlink>
      <w:r>
        <w:rPr>
          <w:noProof/>
          <w:snapToGrid w:val="0"/>
        </w:rPr>
        <w:t xml:space="preserve"> arba užpildę Sveikatos priežiūros ar farmacijos specialisto pranešimo apie įtariamą nepageidaujamą reakciją (ĮNR) formą, kuri skelbiama </w:t>
      </w:r>
      <w:hyperlink r:id="rId12" w:history="1">
        <w:r>
          <w:rPr>
            <w:rStyle w:val="Hipersaitas"/>
            <w:noProof/>
            <w:snapToGrid w:val="0"/>
          </w:rPr>
          <w:t>https://www.vvkt.lt/index.php?1399030386</w:t>
        </w:r>
      </w:hyperlink>
      <w:r>
        <w:rPr>
          <w:noProof/>
          <w:snapToGrid w:val="0"/>
        </w:rPr>
        <w:t>, ir atsiųsti elektroniniu paštu (adresu NepageidaujamaR@vvkt.lt).</w:t>
      </w:r>
    </w:p>
    <w:p w14:paraId="7EF5664F" w14:textId="77777777" w:rsidR="00C31485" w:rsidRPr="006C6CDE" w:rsidRDefault="00C31485" w:rsidP="00333BA2">
      <w:pPr>
        <w:autoSpaceDE w:val="0"/>
        <w:autoSpaceDN w:val="0"/>
        <w:adjustRightInd w:val="0"/>
        <w:jc w:val="both"/>
        <w:rPr>
          <w:noProof/>
        </w:rPr>
      </w:pPr>
    </w:p>
    <w:p w14:paraId="3D3E8E11" w14:textId="77777777" w:rsidR="000C6DE6" w:rsidRPr="007B7B59" w:rsidRDefault="000C6DE6" w:rsidP="000C6DE6">
      <w:pPr>
        <w:ind w:left="567" w:hanging="567"/>
        <w:rPr>
          <w:b/>
          <w:szCs w:val="22"/>
        </w:rPr>
      </w:pPr>
      <w:r w:rsidRPr="007B7B59">
        <w:rPr>
          <w:b/>
          <w:szCs w:val="22"/>
        </w:rPr>
        <w:t>4.9</w:t>
      </w:r>
      <w:r w:rsidRPr="007B7B59">
        <w:rPr>
          <w:b/>
          <w:szCs w:val="22"/>
        </w:rPr>
        <w:tab/>
        <w:t>Perdozavimas</w:t>
      </w:r>
    </w:p>
    <w:p w14:paraId="23DD07A1" w14:textId="77777777" w:rsidR="000C6DE6" w:rsidRPr="007B7B59" w:rsidRDefault="000C6DE6" w:rsidP="000C6DE6">
      <w:pPr>
        <w:rPr>
          <w:szCs w:val="22"/>
        </w:rPr>
      </w:pPr>
    </w:p>
    <w:p w14:paraId="717A8314" w14:textId="77777777" w:rsidR="000C6DE6" w:rsidRPr="007B7B59" w:rsidRDefault="000C6DE6" w:rsidP="000C6DE6">
      <w:pPr>
        <w:rPr>
          <w:szCs w:val="22"/>
        </w:rPr>
      </w:pPr>
      <w:r w:rsidRPr="007B7B59">
        <w:rPr>
          <w:szCs w:val="22"/>
        </w:rPr>
        <w:t xml:space="preserve">Klinikinių tyrimų metu buvo skiriama iki 800 mg vienkartinė AROMASIN dozė sveikoms moterims savanorėms ir iki 600 mg per parą moterims po menopauzės, sergančioms vėlyvosiomis krūties vėžio stadijomis. Šias dozes savanorės ir </w:t>
      </w:r>
      <w:r w:rsidR="005E072A">
        <w:rPr>
          <w:szCs w:val="22"/>
        </w:rPr>
        <w:t>pacientės</w:t>
      </w:r>
      <w:r w:rsidR="005E072A" w:rsidRPr="007B7B59">
        <w:rPr>
          <w:szCs w:val="22"/>
        </w:rPr>
        <w:t xml:space="preserve"> </w:t>
      </w:r>
      <w:r w:rsidRPr="007B7B59">
        <w:rPr>
          <w:szCs w:val="22"/>
        </w:rPr>
        <w:t>toleravo gerai. Vienkartinė AROMASIN dozė, galinti sukelti gyvybei pavojingų simptomų, nežinoma. Žiurkėms mirtina vienkartinė vaistinio preparato dozė buvo 2000 kartų didesnė, o šunims 4000 kartų didesnė už rekomenduojamą dozę žmogui (mg/m</w:t>
      </w:r>
      <w:r w:rsidRPr="007B7B59">
        <w:rPr>
          <w:szCs w:val="22"/>
          <w:vertAlign w:val="superscript"/>
        </w:rPr>
        <w:t>2</w:t>
      </w:r>
      <w:r w:rsidRPr="007B7B59">
        <w:rPr>
          <w:szCs w:val="22"/>
        </w:rPr>
        <w:t>). Specifinio priešnuodžio, perdozavus AROMASIN, nėra, todėl gydoma simptomiškai. Reikia taikyti bendrąsias palaikomąsias priemones, dažnai tikrinti gyvyb</w:t>
      </w:r>
      <w:r w:rsidR="005E072A">
        <w:rPr>
          <w:szCs w:val="22"/>
        </w:rPr>
        <w:t>inius</w:t>
      </w:r>
      <w:r w:rsidRPr="007B7B59">
        <w:rPr>
          <w:szCs w:val="22"/>
        </w:rPr>
        <w:t xml:space="preserve"> požymius ir atidžiai stebėti pacientę.</w:t>
      </w:r>
    </w:p>
    <w:p w14:paraId="04037D12" w14:textId="77777777" w:rsidR="000C6DE6" w:rsidRPr="007B7B59" w:rsidRDefault="000C6DE6" w:rsidP="000C6DE6">
      <w:pPr>
        <w:rPr>
          <w:szCs w:val="22"/>
        </w:rPr>
      </w:pPr>
    </w:p>
    <w:p w14:paraId="14E1D71C" w14:textId="77777777" w:rsidR="000C6DE6" w:rsidRPr="007B7B59" w:rsidRDefault="000C6DE6" w:rsidP="000C6DE6">
      <w:pPr>
        <w:rPr>
          <w:szCs w:val="22"/>
        </w:rPr>
      </w:pPr>
    </w:p>
    <w:p w14:paraId="37061029" w14:textId="77777777" w:rsidR="000C6DE6" w:rsidRPr="007B7B59" w:rsidRDefault="000C6DE6" w:rsidP="000C6DE6">
      <w:pPr>
        <w:ind w:left="567" w:hanging="567"/>
        <w:rPr>
          <w:b/>
          <w:szCs w:val="22"/>
        </w:rPr>
      </w:pPr>
      <w:r w:rsidRPr="007B7B59">
        <w:rPr>
          <w:b/>
          <w:szCs w:val="22"/>
        </w:rPr>
        <w:t>5.</w:t>
      </w:r>
      <w:r w:rsidRPr="007B7B59">
        <w:rPr>
          <w:b/>
          <w:szCs w:val="22"/>
        </w:rPr>
        <w:tab/>
        <w:t>FARMAKOLOGINĖS SAVYBĖS</w:t>
      </w:r>
    </w:p>
    <w:p w14:paraId="7EA6B734" w14:textId="77777777" w:rsidR="000C6DE6" w:rsidRPr="007B7B59" w:rsidRDefault="000C6DE6" w:rsidP="000C6DE6">
      <w:pPr>
        <w:ind w:left="567" w:hanging="567"/>
        <w:rPr>
          <w:b/>
          <w:szCs w:val="22"/>
        </w:rPr>
      </w:pPr>
    </w:p>
    <w:p w14:paraId="5CCF3C93" w14:textId="77777777" w:rsidR="000C6DE6" w:rsidRPr="007B7B59" w:rsidRDefault="000C6DE6" w:rsidP="000C6DE6">
      <w:pPr>
        <w:ind w:left="567" w:hanging="567"/>
        <w:rPr>
          <w:b/>
          <w:szCs w:val="22"/>
        </w:rPr>
      </w:pPr>
      <w:r w:rsidRPr="007B7B59">
        <w:rPr>
          <w:b/>
          <w:szCs w:val="22"/>
        </w:rPr>
        <w:t>5.1</w:t>
      </w:r>
      <w:r w:rsidRPr="007B7B59">
        <w:rPr>
          <w:b/>
          <w:szCs w:val="22"/>
        </w:rPr>
        <w:tab/>
      </w:r>
      <w:proofErr w:type="spellStart"/>
      <w:r w:rsidRPr="007B7B59">
        <w:rPr>
          <w:b/>
          <w:szCs w:val="22"/>
        </w:rPr>
        <w:t>Farmakodinaminės</w:t>
      </w:r>
      <w:proofErr w:type="spellEnd"/>
      <w:r w:rsidRPr="007B7B59">
        <w:rPr>
          <w:b/>
          <w:szCs w:val="22"/>
        </w:rPr>
        <w:t xml:space="preserve"> savybės</w:t>
      </w:r>
    </w:p>
    <w:p w14:paraId="1553C8D1" w14:textId="77777777" w:rsidR="000C6DE6" w:rsidRPr="007B7B59" w:rsidRDefault="000C6DE6" w:rsidP="000C6DE6">
      <w:pPr>
        <w:rPr>
          <w:szCs w:val="22"/>
        </w:rPr>
      </w:pPr>
    </w:p>
    <w:p w14:paraId="4A4BC59A" w14:textId="77777777" w:rsidR="000C6DE6" w:rsidRPr="007B7B59" w:rsidRDefault="000C6DE6" w:rsidP="000C6DE6">
      <w:pPr>
        <w:ind w:left="567" w:hanging="567"/>
        <w:rPr>
          <w:szCs w:val="22"/>
        </w:rPr>
      </w:pPr>
      <w:proofErr w:type="spellStart"/>
      <w:r w:rsidRPr="007B7B59">
        <w:rPr>
          <w:szCs w:val="22"/>
        </w:rPr>
        <w:t>Farmakoterapinė</w:t>
      </w:r>
      <w:proofErr w:type="spellEnd"/>
      <w:r w:rsidRPr="007B7B59">
        <w:rPr>
          <w:szCs w:val="22"/>
        </w:rPr>
        <w:t xml:space="preserve"> grupė – steroidų </w:t>
      </w:r>
      <w:proofErr w:type="spellStart"/>
      <w:r w:rsidRPr="007B7B59">
        <w:rPr>
          <w:szCs w:val="22"/>
        </w:rPr>
        <w:t>aromatazės</w:t>
      </w:r>
      <w:proofErr w:type="spellEnd"/>
      <w:r w:rsidRPr="007B7B59">
        <w:rPr>
          <w:szCs w:val="22"/>
        </w:rPr>
        <w:t xml:space="preserve"> inhibitorius, vaist</w:t>
      </w:r>
      <w:r w:rsidR="00C0326E">
        <w:rPr>
          <w:szCs w:val="22"/>
        </w:rPr>
        <w:t>inis preparat</w:t>
      </w:r>
      <w:r w:rsidRPr="007B7B59">
        <w:rPr>
          <w:szCs w:val="22"/>
        </w:rPr>
        <w:t>as nuo vėžio</w:t>
      </w:r>
    </w:p>
    <w:p w14:paraId="57E89051" w14:textId="77777777" w:rsidR="000C6DE6" w:rsidRPr="007B7B59" w:rsidRDefault="000C6DE6" w:rsidP="000C6DE6">
      <w:pPr>
        <w:ind w:left="567" w:hanging="567"/>
        <w:rPr>
          <w:szCs w:val="22"/>
        </w:rPr>
      </w:pPr>
      <w:r w:rsidRPr="007B7B59">
        <w:rPr>
          <w:szCs w:val="22"/>
        </w:rPr>
        <w:t>ATC kodas – L02BG06</w:t>
      </w:r>
      <w:r w:rsidR="0010393B">
        <w:rPr>
          <w:szCs w:val="22"/>
        </w:rPr>
        <w:t>.</w:t>
      </w:r>
    </w:p>
    <w:p w14:paraId="0FF5586F" w14:textId="77777777" w:rsidR="000C6DE6" w:rsidRPr="007B7B59" w:rsidRDefault="000C6DE6" w:rsidP="000C6DE6">
      <w:pPr>
        <w:rPr>
          <w:szCs w:val="22"/>
        </w:rPr>
      </w:pPr>
    </w:p>
    <w:p w14:paraId="524E481B" w14:textId="77777777" w:rsidR="000C6DE6" w:rsidRPr="007B7B59" w:rsidRDefault="000C6DE6" w:rsidP="000C6DE6">
      <w:pPr>
        <w:rPr>
          <w:szCs w:val="22"/>
        </w:rPr>
      </w:pPr>
      <w:proofErr w:type="spellStart"/>
      <w:r w:rsidRPr="007B7B59">
        <w:rPr>
          <w:szCs w:val="22"/>
        </w:rPr>
        <w:t>Eksemestanas</w:t>
      </w:r>
      <w:proofErr w:type="spellEnd"/>
      <w:r w:rsidRPr="007B7B59">
        <w:rPr>
          <w:szCs w:val="22"/>
        </w:rPr>
        <w:t xml:space="preserve"> yra negrįžtamasis steroidų </w:t>
      </w:r>
      <w:proofErr w:type="spellStart"/>
      <w:r w:rsidRPr="007B7B59">
        <w:rPr>
          <w:szCs w:val="22"/>
        </w:rPr>
        <w:t>aromatazės</w:t>
      </w:r>
      <w:proofErr w:type="spellEnd"/>
      <w:r w:rsidRPr="007B7B59">
        <w:rPr>
          <w:szCs w:val="22"/>
        </w:rPr>
        <w:t xml:space="preserve"> inhibitorius, kurio struktūra yra susijusi su natūraliu </w:t>
      </w:r>
      <w:proofErr w:type="spellStart"/>
      <w:r w:rsidRPr="007B7B59">
        <w:rPr>
          <w:szCs w:val="22"/>
        </w:rPr>
        <w:t>androstenedionu</w:t>
      </w:r>
      <w:proofErr w:type="spellEnd"/>
      <w:r w:rsidRPr="007B7B59">
        <w:rPr>
          <w:szCs w:val="22"/>
        </w:rPr>
        <w:t xml:space="preserve">. Po menopauzės moters organizme daugiausia estrogenų susidaro periferiniuose audiniuose iš androgenų </w:t>
      </w:r>
      <w:proofErr w:type="spellStart"/>
      <w:r w:rsidRPr="007B7B59">
        <w:rPr>
          <w:szCs w:val="22"/>
        </w:rPr>
        <w:t>katalizuojant</w:t>
      </w:r>
      <w:proofErr w:type="spellEnd"/>
      <w:r w:rsidRPr="007B7B59">
        <w:rPr>
          <w:szCs w:val="22"/>
        </w:rPr>
        <w:t xml:space="preserve"> fermentui </w:t>
      </w:r>
      <w:proofErr w:type="spellStart"/>
      <w:r w:rsidRPr="007B7B59">
        <w:rPr>
          <w:szCs w:val="22"/>
        </w:rPr>
        <w:t>aromatazei</w:t>
      </w:r>
      <w:proofErr w:type="spellEnd"/>
      <w:r w:rsidRPr="007B7B59">
        <w:rPr>
          <w:szCs w:val="22"/>
        </w:rPr>
        <w:t xml:space="preserve">. Nuslopinus </w:t>
      </w:r>
      <w:proofErr w:type="spellStart"/>
      <w:r w:rsidRPr="007B7B59">
        <w:rPr>
          <w:szCs w:val="22"/>
        </w:rPr>
        <w:t>aromatazės</w:t>
      </w:r>
      <w:proofErr w:type="spellEnd"/>
      <w:r w:rsidRPr="007B7B59">
        <w:rPr>
          <w:szCs w:val="22"/>
        </w:rPr>
        <w:t xml:space="preserve"> aktyvumą, labai sumažėja estrogenų kiekis – tai veiksmingas ir selektyvus nuo hormonų priklausomo krūties vėžio gydymas moterims po menopauzės. Moterims po menopauzės AROMASIN 5 mg ar didesnės paros dozės gerokai sumažina estrogenų koncentraciją serume. Didžiausias (&gt; 90 %) sumažėjimas nustatytas vartojant 10</w:t>
      </w:r>
      <w:r w:rsidRPr="007B7B59">
        <w:rPr>
          <w:szCs w:val="22"/>
        </w:rPr>
        <w:noBreakHyphen/>
        <w:t xml:space="preserve">25 mg dozes. Pacientėms po menopauzės, gydomoms 25 mg paros dozėmis, bendrasis </w:t>
      </w:r>
      <w:proofErr w:type="spellStart"/>
      <w:r w:rsidRPr="007B7B59">
        <w:rPr>
          <w:szCs w:val="22"/>
        </w:rPr>
        <w:t>aromatazių</w:t>
      </w:r>
      <w:proofErr w:type="spellEnd"/>
      <w:r w:rsidRPr="007B7B59">
        <w:rPr>
          <w:szCs w:val="22"/>
        </w:rPr>
        <w:t xml:space="preserve"> aktyvumas organizme sumažėja 98 %.</w:t>
      </w:r>
    </w:p>
    <w:p w14:paraId="20310CFA" w14:textId="77777777" w:rsidR="000C6DE6" w:rsidRPr="007B7B59" w:rsidRDefault="000C6DE6" w:rsidP="000C6DE6">
      <w:pPr>
        <w:rPr>
          <w:szCs w:val="22"/>
        </w:rPr>
      </w:pPr>
    </w:p>
    <w:p w14:paraId="14CB8C25" w14:textId="77777777" w:rsidR="000C6DE6" w:rsidRPr="007B7B59" w:rsidRDefault="000C6DE6" w:rsidP="000C6DE6">
      <w:pPr>
        <w:rPr>
          <w:szCs w:val="22"/>
        </w:rPr>
      </w:pPr>
      <w:proofErr w:type="spellStart"/>
      <w:r w:rsidRPr="007B7B59">
        <w:rPr>
          <w:szCs w:val="22"/>
        </w:rPr>
        <w:t>Progestageninio</w:t>
      </w:r>
      <w:proofErr w:type="spellEnd"/>
      <w:r w:rsidRPr="007B7B59">
        <w:rPr>
          <w:szCs w:val="22"/>
        </w:rPr>
        <w:t xml:space="preserve"> ar </w:t>
      </w:r>
      <w:proofErr w:type="spellStart"/>
      <w:r w:rsidRPr="007B7B59">
        <w:rPr>
          <w:szCs w:val="22"/>
        </w:rPr>
        <w:t>estrogeninio</w:t>
      </w:r>
      <w:proofErr w:type="spellEnd"/>
      <w:r w:rsidRPr="007B7B59">
        <w:rPr>
          <w:szCs w:val="22"/>
        </w:rPr>
        <w:t xml:space="preserve"> poveikio </w:t>
      </w:r>
      <w:proofErr w:type="spellStart"/>
      <w:r w:rsidRPr="007B7B59">
        <w:rPr>
          <w:szCs w:val="22"/>
        </w:rPr>
        <w:t>eksemestanas</w:t>
      </w:r>
      <w:proofErr w:type="spellEnd"/>
      <w:r w:rsidRPr="007B7B59">
        <w:rPr>
          <w:szCs w:val="22"/>
        </w:rPr>
        <w:t xml:space="preserve"> neturi. Nustatytas nedidelis </w:t>
      </w:r>
      <w:proofErr w:type="spellStart"/>
      <w:r w:rsidRPr="007B7B59">
        <w:rPr>
          <w:szCs w:val="22"/>
        </w:rPr>
        <w:t>androgeninis</w:t>
      </w:r>
      <w:proofErr w:type="spellEnd"/>
      <w:r w:rsidRPr="007B7B59">
        <w:rPr>
          <w:szCs w:val="22"/>
        </w:rPr>
        <w:t xml:space="preserve"> poveikis (paprastai tada, kai dozės didelės) tikriausiai priklauso nuo 17</w:t>
      </w:r>
      <w:r w:rsidRPr="007B7B59">
        <w:rPr>
          <w:szCs w:val="22"/>
        </w:rPr>
        <w:noBreakHyphen/>
        <w:t xml:space="preserve">hidro darinio. Daugkartinių paros dozių tyrimų metu, AROMASIN įtakos kortizolio ar </w:t>
      </w:r>
      <w:proofErr w:type="spellStart"/>
      <w:r w:rsidRPr="007B7B59">
        <w:rPr>
          <w:szCs w:val="22"/>
        </w:rPr>
        <w:t>aldosterono</w:t>
      </w:r>
      <w:proofErr w:type="spellEnd"/>
      <w:r w:rsidRPr="007B7B59">
        <w:rPr>
          <w:szCs w:val="22"/>
        </w:rPr>
        <w:t xml:space="preserve"> sintezei antinksčiuose nenustatyta (šių steroidų kiekis buvo tiriamas iki stimuliacijos AKTH ir po jos). Tai rodo </w:t>
      </w:r>
      <w:proofErr w:type="spellStart"/>
      <w:r w:rsidRPr="007B7B59">
        <w:rPr>
          <w:szCs w:val="22"/>
        </w:rPr>
        <w:t>eksemestano</w:t>
      </w:r>
      <w:proofErr w:type="spellEnd"/>
      <w:r w:rsidRPr="007B7B59">
        <w:rPr>
          <w:szCs w:val="22"/>
        </w:rPr>
        <w:t xml:space="preserve"> </w:t>
      </w:r>
      <w:proofErr w:type="spellStart"/>
      <w:r w:rsidRPr="007B7B59">
        <w:rPr>
          <w:szCs w:val="22"/>
        </w:rPr>
        <w:t>selektyvumą</w:t>
      </w:r>
      <w:proofErr w:type="spellEnd"/>
      <w:r w:rsidRPr="007B7B59">
        <w:rPr>
          <w:szCs w:val="22"/>
        </w:rPr>
        <w:t xml:space="preserve"> kitiems steroidų sintezėje dalyvaujantiems fermentams.</w:t>
      </w:r>
    </w:p>
    <w:p w14:paraId="5FCC1931" w14:textId="77777777" w:rsidR="000C6DE6" w:rsidRPr="007B7B59" w:rsidRDefault="000C6DE6" w:rsidP="000C6DE6">
      <w:pPr>
        <w:rPr>
          <w:szCs w:val="22"/>
        </w:rPr>
      </w:pPr>
    </w:p>
    <w:p w14:paraId="33EF5E05" w14:textId="77777777" w:rsidR="000C6DE6" w:rsidRPr="007B7B59" w:rsidRDefault="000C6DE6" w:rsidP="000C6DE6">
      <w:pPr>
        <w:rPr>
          <w:szCs w:val="22"/>
        </w:rPr>
      </w:pPr>
      <w:r w:rsidRPr="007B7B59">
        <w:rPr>
          <w:szCs w:val="22"/>
        </w:rPr>
        <w:t xml:space="preserve">Atsižvelgiant į tai, vartojant AROMASIN, pakeičiamojo gydymo </w:t>
      </w:r>
      <w:proofErr w:type="spellStart"/>
      <w:r w:rsidRPr="007B7B59">
        <w:rPr>
          <w:szCs w:val="22"/>
        </w:rPr>
        <w:t>mineralkortikoidais</w:t>
      </w:r>
      <w:proofErr w:type="spellEnd"/>
      <w:r w:rsidRPr="007B7B59">
        <w:rPr>
          <w:szCs w:val="22"/>
        </w:rPr>
        <w:t xml:space="preserve"> ar </w:t>
      </w:r>
      <w:proofErr w:type="spellStart"/>
      <w:r w:rsidRPr="007B7B59">
        <w:rPr>
          <w:szCs w:val="22"/>
        </w:rPr>
        <w:t>gliukokortikoidais</w:t>
      </w:r>
      <w:proofErr w:type="spellEnd"/>
      <w:r w:rsidRPr="007B7B59">
        <w:rPr>
          <w:szCs w:val="22"/>
        </w:rPr>
        <w:t xml:space="preserve"> nereikia. Nuo dozės nepriklausomas nedidelis LH ir FSH koncentracijų serume padidėjimas nustatytas net skiriant šio vaistinio preparato mažomis dozėmis. Tačiau tokio šios farmakologinės grupės vaistinių preparatų poveikio ir reikėtų tikėtis. Tikriausiai jis priklauso nuo atgalinio poveikio </w:t>
      </w:r>
      <w:proofErr w:type="spellStart"/>
      <w:r w:rsidRPr="007B7B59">
        <w:rPr>
          <w:szCs w:val="22"/>
        </w:rPr>
        <w:t>hipofizei</w:t>
      </w:r>
      <w:proofErr w:type="spellEnd"/>
      <w:r w:rsidRPr="007B7B59">
        <w:rPr>
          <w:szCs w:val="22"/>
        </w:rPr>
        <w:t xml:space="preserve">, kai, sumažėjus estrogenų kiekiui, stimuliuojama </w:t>
      </w:r>
      <w:proofErr w:type="spellStart"/>
      <w:r w:rsidRPr="007B7B59">
        <w:rPr>
          <w:szCs w:val="22"/>
        </w:rPr>
        <w:t>gonadotropinų</w:t>
      </w:r>
      <w:proofErr w:type="spellEnd"/>
      <w:r w:rsidRPr="007B7B59">
        <w:rPr>
          <w:szCs w:val="22"/>
        </w:rPr>
        <w:t xml:space="preserve"> sekrecija (toks poveikis pasireiškia ir moterims po menopauzės). </w:t>
      </w:r>
    </w:p>
    <w:p w14:paraId="00F6AAE8" w14:textId="77777777" w:rsidR="000C6DE6" w:rsidRPr="007B7B59" w:rsidRDefault="000C6DE6" w:rsidP="000C6DE6">
      <w:pPr>
        <w:rPr>
          <w:szCs w:val="22"/>
        </w:rPr>
      </w:pPr>
    </w:p>
    <w:p w14:paraId="12072588" w14:textId="77777777" w:rsidR="000C6DE6" w:rsidRPr="007B7B59" w:rsidRDefault="000C6DE6" w:rsidP="000C6DE6">
      <w:pPr>
        <w:rPr>
          <w:iCs/>
          <w:szCs w:val="22"/>
          <w:u w:val="single"/>
        </w:rPr>
      </w:pPr>
      <w:r w:rsidRPr="007B7B59">
        <w:rPr>
          <w:iCs/>
          <w:szCs w:val="22"/>
          <w:u w:val="single"/>
        </w:rPr>
        <w:t>Pagalbinis ankstyvos krūties vėžio stadijos gydymas</w:t>
      </w:r>
    </w:p>
    <w:p w14:paraId="37377C12" w14:textId="77777777" w:rsidR="000C6DE6" w:rsidRPr="007B7B59" w:rsidRDefault="000C6DE6" w:rsidP="000C6DE6">
      <w:pPr>
        <w:rPr>
          <w:iCs/>
          <w:szCs w:val="22"/>
          <w:u w:val="single"/>
        </w:rPr>
      </w:pPr>
    </w:p>
    <w:p w14:paraId="669F7D37" w14:textId="77777777" w:rsidR="000C6DE6" w:rsidRPr="007B7B59" w:rsidRDefault="000C6DE6" w:rsidP="000C6DE6">
      <w:pPr>
        <w:rPr>
          <w:szCs w:val="22"/>
        </w:rPr>
      </w:pPr>
      <w:r w:rsidRPr="007B7B59">
        <w:rPr>
          <w:szCs w:val="22"/>
        </w:rPr>
        <w:t>Atsitiktinai parenkant pacientus, dvigubai aklas ir įvairiapusis (</w:t>
      </w:r>
      <w:r w:rsidRPr="007B7B59">
        <w:rPr>
          <w:i/>
          <w:iCs/>
          <w:szCs w:val="22"/>
        </w:rPr>
        <w:t>IES</w:t>
      </w:r>
      <w:r w:rsidRPr="007B7B59">
        <w:rPr>
          <w:szCs w:val="22"/>
        </w:rPr>
        <w:t>) tyrimas buvo atliekamas tarp 4724 </w:t>
      </w:r>
      <w:proofErr w:type="spellStart"/>
      <w:r w:rsidRPr="007B7B59">
        <w:rPr>
          <w:szCs w:val="22"/>
        </w:rPr>
        <w:t>pomenopauzinės</w:t>
      </w:r>
      <w:proofErr w:type="spellEnd"/>
      <w:r w:rsidRPr="007B7B59">
        <w:rPr>
          <w:szCs w:val="22"/>
        </w:rPr>
        <w:t xml:space="preserve"> būklės moterų: pacienčių su teigiamu estrogenų receptorių rezultatu ar nenustatytu ankstyvos stadijos krūties vėžiu, pacienčių po pirminio pagalbinio 2-3 metų gydymo </w:t>
      </w:r>
      <w:proofErr w:type="spellStart"/>
      <w:r w:rsidRPr="007B7B59">
        <w:rPr>
          <w:szCs w:val="22"/>
        </w:rPr>
        <w:t>tamoksifenu</w:t>
      </w:r>
      <w:proofErr w:type="spellEnd"/>
      <w:r w:rsidRPr="007B7B59">
        <w:rPr>
          <w:szCs w:val="22"/>
        </w:rPr>
        <w:t xml:space="preserve">, po kurio neliko ligos požymių. Šios pacientės atsitiktinio parinkimo tvarka 3-2 metus toliau vartodavo AROMASIN (25 mg/parai) arba </w:t>
      </w:r>
      <w:proofErr w:type="spellStart"/>
      <w:r w:rsidRPr="007B7B59">
        <w:rPr>
          <w:szCs w:val="22"/>
        </w:rPr>
        <w:t>tamoksifeną</w:t>
      </w:r>
      <w:proofErr w:type="spellEnd"/>
      <w:r w:rsidRPr="007B7B59">
        <w:rPr>
          <w:szCs w:val="22"/>
        </w:rPr>
        <w:t xml:space="preserve"> (20 arba 30 mg/parai) iki buvo pabaigtas 5 metus trunkantis gydymas hormoniniais vaistiniais preparatais.</w:t>
      </w:r>
    </w:p>
    <w:p w14:paraId="0F9391D5" w14:textId="77777777" w:rsidR="000C6DE6" w:rsidRPr="007B7B59" w:rsidRDefault="000C6DE6" w:rsidP="000C6DE6">
      <w:pPr>
        <w:pStyle w:val="Dokumentoinaostekstas"/>
        <w:tabs>
          <w:tab w:val="clear" w:pos="567"/>
          <w:tab w:val="left" w:pos="720"/>
        </w:tabs>
        <w:rPr>
          <w:sz w:val="22"/>
          <w:szCs w:val="22"/>
          <w:lang w:val="lt-LT"/>
        </w:rPr>
      </w:pPr>
    </w:p>
    <w:p w14:paraId="2B4E4C9B" w14:textId="77777777" w:rsidR="000C6DE6" w:rsidRPr="007B7B59" w:rsidRDefault="000C6DE6" w:rsidP="000C6DE6">
      <w:pPr>
        <w:rPr>
          <w:iCs/>
          <w:szCs w:val="22"/>
          <w:u w:val="single"/>
        </w:rPr>
      </w:pPr>
      <w:r w:rsidRPr="007B7B59">
        <w:rPr>
          <w:iCs/>
          <w:szCs w:val="22"/>
          <w:u w:val="single"/>
        </w:rPr>
        <w:t xml:space="preserve">Vidutiniškai 52 mėnesių stebėjimas </w:t>
      </w:r>
      <w:r w:rsidRPr="007B7B59">
        <w:rPr>
          <w:i/>
          <w:szCs w:val="22"/>
          <w:u w:val="single"/>
        </w:rPr>
        <w:t>IES</w:t>
      </w:r>
      <w:r w:rsidRPr="007B7B59">
        <w:rPr>
          <w:iCs/>
          <w:szCs w:val="22"/>
          <w:u w:val="single"/>
        </w:rPr>
        <w:t xml:space="preserve"> tyrimo metu</w:t>
      </w:r>
    </w:p>
    <w:p w14:paraId="75DDA0EF" w14:textId="77777777" w:rsidR="000C6DE6" w:rsidRPr="007B7B59" w:rsidRDefault="000C6DE6" w:rsidP="000C6DE6">
      <w:pPr>
        <w:rPr>
          <w:iCs/>
          <w:szCs w:val="22"/>
          <w:u w:val="single"/>
        </w:rPr>
      </w:pPr>
    </w:p>
    <w:p w14:paraId="5273EDBB" w14:textId="77777777" w:rsidR="000C6DE6" w:rsidRPr="007B7B59" w:rsidRDefault="000C6DE6" w:rsidP="000C6DE6">
      <w:pPr>
        <w:rPr>
          <w:szCs w:val="22"/>
        </w:rPr>
      </w:pPr>
      <w:r w:rsidRPr="007B7B59">
        <w:rPr>
          <w:szCs w:val="22"/>
        </w:rPr>
        <w:lastRenderedPageBreak/>
        <w:t>Po vidutiniškai 30 mėnesių trukusio gydymo ir tolimesnio vidutiniškai 52 mėnesius trukusio tyrimo gauti rezultatai parodė, kad po pradinio pagalbinio 2</w:t>
      </w:r>
      <w:r w:rsidRPr="007B7B59">
        <w:rPr>
          <w:szCs w:val="22"/>
        </w:rPr>
        <w:noBreakHyphen/>
        <w:t xml:space="preserve">3 metų gydymo </w:t>
      </w:r>
      <w:proofErr w:type="spellStart"/>
      <w:r w:rsidRPr="007B7B59">
        <w:rPr>
          <w:szCs w:val="22"/>
        </w:rPr>
        <w:t>tamoksifenu</w:t>
      </w:r>
      <w:proofErr w:type="spellEnd"/>
      <w:r w:rsidRPr="007B7B59">
        <w:rPr>
          <w:szCs w:val="22"/>
        </w:rPr>
        <w:t xml:space="preserve"> toliau taikant gydymą AROMASIN kliniškai ir statistiškai reikšmingai </w:t>
      </w:r>
      <w:r w:rsidR="00F50875">
        <w:t xml:space="preserve">pagerėja </w:t>
      </w:r>
      <w:proofErr w:type="spellStart"/>
      <w:r w:rsidR="00F50875">
        <w:t>išgyvenamumas</w:t>
      </w:r>
      <w:proofErr w:type="spellEnd"/>
      <w:r w:rsidR="00F50875">
        <w:t xml:space="preserve"> be ligos (</w:t>
      </w:r>
      <w:r w:rsidR="00F95190" w:rsidRPr="00A052B0">
        <w:t>angl.</w:t>
      </w:r>
      <w:r w:rsidR="0047338E">
        <w:t>,</w:t>
      </w:r>
      <w:r w:rsidR="00F95190" w:rsidRPr="00F95190">
        <w:rPr>
          <w:i/>
        </w:rPr>
        <w:t xml:space="preserve"> </w:t>
      </w:r>
      <w:proofErr w:type="spellStart"/>
      <w:r w:rsidR="00F95190" w:rsidRPr="00F95190">
        <w:rPr>
          <w:i/>
        </w:rPr>
        <w:t>disease-</w:t>
      </w:r>
      <w:r w:rsidR="00F50875" w:rsidRPr="00F95190">
        <w:rPr>
          <w:i/>
        </w:rPr>
        <w:t>free</w:t>
      </w:r>
      <w:proofErr w:type="spellEnd"/>
      <w:r w:rsidR="00F50875" w:rsidRPr="00F95190">
        <w:rPr>
          <w:i/>
        </w:rPr>
        <w:t xml:space="preserve"> </w:t>
      </w:r>
      <w:proofErr w:type="spellStart"/>
      <w:r w:rsidR="00F50875" w:rsidRPr="00F95190">
        <w:rPr>
          <w:i/>
        </w:rPr>
        <w:t>survival</w:t>
      </w:r>
      <w:proofErr w:type="spellEnd"/>
      <w:r w:rsidR="00F95190" w:rsidRPr="00F95190">
        <w:rPr>
          <w:i/>
        </w:rPr>
        <w:t>,</w:t>
      </w:r>
      <w:r w:rsidR="00F50875" w:rsidRPr="00F95190">
        <w:rPr>
          <w:i/>
        </w:rPr>
        <w:t xml:space="preserve"> DFS</w:t>
      </w:r>
      <w:r w:rsidR="00F50875">
        <w:t>)</w:t>
      </w:r>
      <w:r w:rsidRPr="007B7B59">
        <w:rPr>
          <w:szCs w:val="22"/>
        </w:rPr>
        <w:t>, lyginant su tęs</w:t>
      </w:r>
      <w:r w:rsidR="00F50875">
        <w:rPr>
          <w:szCs w:val="22"/>
        </w:rPr>
        <w:t>iamu</w:t>
      </w:r>
      <w:r w:rsidRPr="007B7B59">
        <w:rPr>
          <w:szCs w:val="22"/>
        </w:rPr>
        <w:t xml:space="preserve"> gydym</w:t>
      </w:r>
      <w:r w:rsidR="00F50875">
        <w:rPr>
          <w:szCs w:val="22"/>
        </w:rPr>
        <w:t>u</w:t>
      </w:r>
      <w:r w:rsidRPr="007B7B59">
        <w:rPr>
          <w:szCs w:val="22"/>
        </w:rPr>
        <w:t xml:space="preserve"> </w:t>
      </w:r>
      <w:proofErr w:type="spellStart"/>
      <w:r w:rsidRPr="007B7B59">
        <w:rPr>
          <w:szCs w:val="22"/>
        </w:rPr>
        <w:t>tamoksifenu</w:t>
      </w:r>
      <w:proofErr w:type="spellEnd"/>
      <w:r w:rsidRPr="007B7B59">
        <w:rPr>
          <w:szCs w:val="22"/>
        </w:rPr>
        <w:t>. Analizuojant tyrimo duomenis buvo nustatyta, kad AROMASIN</w:t>
      </w:r>
      <w:r w:rsidR="00003DE5">
        <w:rPr>
          <w:szCs w:val="22"/>
        </w:rPr>
        <w:t>,</w:t>
      </w:r>
      <w:r w:rsidRPr="007B7B59">
        <w:rPr>
          <w:szCs w:val="22"/>
        </w:rPr>
        <w:t xml:space="preserve"> lyginant su </w:t>
      </w:r>
      <w:proofErr w:type="spellStart"/>
      <w:r w:rsidRPr="007B7B59">
        <w:rPr>
          <w:szCs w:val="22"/>
        </w:rPr>
        <w:t>tamoksifenu</w:t>
      </w:r>
      <w:proofErr w:type="spellEnd"/>
      <w:r w:rsidR="00003DE5">
        <w:rPr>
          <w:szCs w:val="22"/>
        </w:rPr>
        <w:t>,</w:t>
      </w:r>
      <w:r w:rsidRPr="007B7B59">
        <w:rPr>
          <w:szCs w:val="22"/>
        </w:rPr>
        <w:t xml:space="preserve"> sumažina riziką pakartotinai susirgti krūties vėžiu 24 </w:t>
      </w:r>
      <w:r w:rsidRPr="007B7B59">
        <w:rPr>
          <w:szCs w:val="22"/>
        </w:rPr>
        <w:sym w:font="Symbol" w:char="0025"/>
      </w:r>
      <w:r w:rsidRPr="007B7B59">
        <w:rPr>
          <w:szCs w:val="22"/>
        </w:rPr>
        <w:t xml:space="preserve"> (rizikos santykis 0,76; p = 0,00015). Didesnis gydomasis AROMASIN </w:t>
      </w:r>
      <w:r w:rsidR="00003DE5">
        <w:rPr>
          <w:szCs w:val="22"/>
        </w:rPr>
        <w:t>poveikis,</w:t>
      </w:r>
      <w:r w:rsidR="00003DE5" w:rsidRPr="007B7B59">
        <w:rPr>
          <w:szCs w:val="22"/>
        </w:rPr>
        <w:t xml:space="preserve"> </w:t>
      </w:r>
      <w:r w:rsidRPr="007B7B59">
        <w:rPr>
          <w:szCs w:val="22"/>
        </w:rPr>
        <w:t xml:space="preserve">lyginant su </w:t>
      </w:r>
      <w:proofErr w:type="spellStart"/>
      <w:r w:rsidRPr="007B7B59">
        <w:rPr>
          <w:szCs w:val="22"/>
        </w:rPr>
        <w:t>tamoksifenu</w:t>
      </w:r>
      <w:proofErr w:type="spellEnd"/>
      <w:r w:rsidR="00003DE5">
        <w:rPr>
          <w:szCs w:val="22"/>
        </w:rPr>
        <w:t>,</w:t>
      </w:r>
      <w:r w:rsidRPr="007B7B59">
        <w:rPr>
          <w:szCs w:val="22"/>
        </w:rPr>
        <w:t xml:space="preserve"> yra akivaizdus, nepriklausomai nuo </w:t>
      </w:r>
      <w:r w:rsidR="00AD6D67">
        <w:rPr>
          <w:szCs w:val="22"/>
        </w:rPr>
        <w:t>limfmazgių</w:t>
      </w:r>
      <w:r w:rsidRPr="007B7B59">
        <w:rPr>
          <w:szCs w:val="22"/>
        </w:rPr>
        <w:t xml:space="preserve"> būklės ar </w:t>
      </w:r>
      <w:r w:rsidR="00003DE5">
        <w:rPr>
          <w:szCs w:val="22"/>
        </w:rPr>
        <w:t>skirtos</w:t>
      </w:r>
      <w:r w:rsidR="00003DE5" w:rsidRPr="007B7B59">
        <w:rPr>
          <w:szCs w:val="22"/>
        </w:rPr>
        <w:t xml:space="preserve"> </w:t>
      </w:r>
      <w:r w:rsidRPr="007B7B59">
        <w:rPr>
          <w:szCs w:val="22"/>
        </w:rPr>
        <w:t xml:space="preserve">chemoterapijos. </w:t>
      </w:r>
    </w:p>
    <w:p w14:paraId="4473F0FB" w14:textId="77777777" w:rsidR="000C6DE6" w:rsidRPr="007B7B59" w:rsidRDefault="000C6DE6" w:rsidP="000C6DE6">
      <w:pPr>
        <w:rPr>
          <w:szCs w:val="22"/>
        </w:rPr>
      </w:pPr>
    </w:p>
    <w:p w14:paraId="2EF0A30E" w14:textId="77777777" w:rsidR="000C6DE6" w:rsidRPr="007B7B59" w:rsidRDefault="000C6DE6" w:rsidP="000C6DE6">
      <w:pPr>
        <w:rPr>
          <w:szCs w:val="22"/>
        </w:rPr>
      </w:pPr>
      <w:r w:rsidRPr="007B7B59">
        <w:rPr>
          <w:szCs w:val="22"/>
        </w:rPr>
        <w:t>Taip pat AROMASIN reikšmingai sumažina kitos krūties vėžio riziką (rizikos santykis 0,57; p = 0,04158).</w:t>
      </w:r>
    </w:p>
    <w:p w14:paraId="60AC09B4" w14:textId="77777777" w:rsidR="000C6DE6" w:rsidRPr="007B7B59" w:rsidRDefault="000C6DE6" w:rsidP="000C6DE6">
      <w:pPr>
        <w:rPr>
          <w:szCs w:val="22"/>
        </w:rPr>
      </w:pPr>
    </w:p>
    <w:p w14:paraId="42FD3261" w14:textId="77777777" w:rsidR="000C6DE6" w:rsidRPr="007B7B59" w:rsidRDefault="000C6DE6" w:rsidP="000C6DE6">
      <w:pPr>
        <w:rPr>
          <w:szCs w:val="22"/>
        </w:rPr>
      </w:pPr>
      <w:r w:rsidRPr="007B7B59">
        <w:rPr>
          <w:szCs w:val="22"/>
        </w:rPr>
        <w:t xml:space="preserve">Visos tiriamosios populiacijos duomenimis, geresnio </w:t>
      </w:r>
      <w:proofErr w:type="spellStart"/>
      <w:r w:rsidRPr="007B7B59">
        <w:rPr>
          <w:szCs w:val="22"/>
        </w:rPr>
        <w:t>išgyvenamumo</w:t>
      </w:r>
      <w:proofErr w:type="spellEnd"/>
      <w:r w:rsidRPr="007B7B59">
        <w:rPr>
          <w:szCs w:val="22"/>
        </w:rPr>
        <w:t xml:space="preserve"> tendencijos nustatytos </w:t>
      </w:r>
      <w:proofErr w:type="spellStart"/>
      <w:r w:rsidRPr="007B7B59">
        <w:rPr>
          <w:szCs w:val="22"/>
        </w:rPr>
        <w:t>eksemestano</w:t>
      </w:r>
      <w:proofErr w:type="spellEnd"/>
      <w:r w:rsidRPr="007B7B59">
        <w:rPr>
          <w:szCs w:val="22"/>
        </w:rPr>
        <w:t xml:space="preserve"> grupėje (222 mirtys), palyginti su </w:t>
      </w:r>
      <w:proofErr w:type="spellStart"/>
      <w:r w:rsidRPr="007B7B59">
        <w:rPr>
          <w:szCs w:val="22"/>
        </w:rPr>
        <w:t>tamoksifenu</w:t>
      </w:r>
      <w:proofErr w:type="spellEnd"/>
      <w:r w:rsidRPr="007B7B59">
        <w:rPr>
          <w:szCs w:val="22"/>
        </w:rPr>
        <w:t xml:space="preserve"> (262 mirtys), kai rizikos santykis 0,85 (</w:t>
      </w:r>
      <w:proofErr w:type="spellStart"/>
      <w:r w:rsidRPr="007B7B59">
        <w:rPr>
          <w:i/>
          <w:szCs w:val="22"/>
        </w:rPr>
        <w:t>log-rank</w:t>
      </w:r>
      <w:proofErr w:type="spellEnd"/>
      <w:r w:rsidRPr="007B7B59">
        <w:rPr>
          <w:szCs w:val="22"/>
        </w:rPr>
        <w:t xml:space="preserve"> testas: p = 0,07362), kas reiškia </w:t>
      </w:r>
      <w:proofErr w:type="spellStart"/>
      <w:r w:rsidRPr="007B7B59">
        <w:rPr>
          <w:szCs w:val="22"/>
        </w:rPr>
        <w:t>eksemestanui</w:t>
      </w:r>
      <w:proofErr w:type="spellEnd"/>
      <w:r w:rsidRPr="007B7B59">
        <w:rPr>
          <w:szCs w:val="22"/>
        </w:rPr>
        <w:t xml:space="preserve"> palankų mirties rizikos sumažėjimą 15 %. Nustatytas statistiškai reikšmingas 23 % mirties rizikos sumažėjimas (bendro </w:t>
      </w:r>
      <w:proofErr w:type="spellStart"/>
      <w:r w:rsidRPr="007B7B59">
        <w:rPr>
          <w:szCs w:val="22"/>
        </w:rPr>
        <w:t>išgyvenamumo</w:t>
      </w:r>
      <w:proofErr w:type="spellEnd"/>
      <w:r w:rsidRPr="007B7B59">
        <w:rPr>
          <w:szCs w:val="22"/>
        </w:rPr>
        <w:t xml:space="preserve"> rizikos santykis 0,77; </w:t>
      </w:r>
      <w:proofErr w:type="spellStart"/>
      <w:r w:rsidRPr="007B7B59">
        <w:rPr>
          <w:szCs w:val="22"/>
        </w:rPr>
        <w:t>chi</w:t>
      </w:r>
      <w:proofErr w:type="spellEnd"/>
      <w:r w:rsidRPr="007B7B59">
        <w:rPr>
          <w:szCs w:val="22"/>
        </w:rPr>
        <w:t xml:space="preserve"> kvadratu kriterijus: p= 0,0069), gydantis </w:t>
      </w:r>
      <w:proofErr w:type="spellStart"/>
      <w:r w:rsidRPr="007B7B59">
        <w:rPr>
          <w:szCs w:val="22"/>
        </w:rPr>
        <w:t>eksemestanu</w:t>
      </w:r>
      <w:proofErr w:type="spellEnd"/>
      <w:r w:rsidRPr="007B7B59">
        <w:rPr>
          <w:szCs w:val="22"/>
        </w:rPr>
        <w:t xml:space="preserve">, palyginti su </w:t>
      </w:r>
      <w:proofErr w:type="spellStart"/>
      <w:r w:rsidRPr="007B7B59">
        <w:rPr>
          <w:szCs w:val="22"/>
        </w:rPr>
        <w:t>tamoksifenu</w:t>
      </w:r>
      <w:proofErr w:type="spellEnd"/>
      <w:r w:rsidRPr="007B7B59">
        <w:rPr>
          <w:szCs w:val="22"/>
        </w:rPr>
        <w:t xml:space="preserve">, pagal iš anksto numatytus prognostinius veiksnius (pvz., estrogenų receptorių būklę, limfmazgių būklę, anksčiau taikytą chemoterapiją, taikomą pakeičiamąją hormonų terapiją ir </w:t>
      </w:r>
      <w:proofErr w:type="spellStart"/>
      <w:r w:rsidRPr="007B7B59">
        <w:rPr>
          <w:szCs w:val="22"/>
        </w:rPr>
        <w:t>bisfosfonatų</w:t>
      </w:r>
      <w:proofErr w:type="spellEnd"/>
      <w:r w:rsidRPr="007B7B59">
        <w:rPr>
          <w:szCs w:val="22"/>
        </w:rPr>
        <w:t xml:space="preserve"> vartojimą).</w:t>
      </w:r>
    </w:p>
    <w:p w14:paraId="068293F9" w14:textId="77777777" w:rsidR="000C6DE6" w:rsidRPr="007B7B59" w:rsidRDefault="000C6DE6" w:rsidP="000C6DE6">
      <w:pPr>
        <w:rPr>
          <w:szCs w:val="22"/>
        </w:rPr>
      </w:pPr>
    </w:p>
    <w:p w14:paraId="5A737E0A" w14:textId="77777777" w:rsidR="000C6DE6" w:rsidRPr="00341B9D" w:rsidRDefault="000C6DE6" w:rsidP="000C6DE6">
      <w:pPr>
        <w:rPr>
          <w:bCs/>
          <w:szCs w:val="22"/>
        </w:rPr>
      </w:pPr>
      <w:r w:rsidRPr="00341B9D">
        <w:rPr>
          <w:bCs/>
          <w:szCs w:val="22"/>
        </w:rPr>
        <w:t>Pagrindiniai 52 mėnesių visų pacienčių (kurias buvo numatoma gydyti) ir pacienčių, kurioms nustatyti teigiami estrogenų receptoriai, gydymo veiksmingumo duomenys</w:t>
      </w:r>
    </w:p>
    <w:p w14:paraId="1BB72385" w14:textId="77777777" w:rsidR="000C6DE6" w:rsidRPr="007B7B59" w:rsidRDefault="000C6DE6" w:rsidP="000C6DE6">
      <w:pPr>
        <w:rPr>
          <w:szCs w:val="22"/>
        </w:rPr>
      </w:pPr>
    </w:p>
    <w:tbl>
      <w:tblPr>
        <w:tblW w:w="9322" w:type="dxa"/>
        <w:tblLayout w:type="fixed"/>
        <w:tblLook w:val="01E0" w:firstRow="1" w:lastRow="1" w:firstColumn="1" w:lastColumn="1" w:noHBand="0" w:noVBand="0"/>
      </w:tblPr>
      <w:tblGrid>
        <w:gridCol w:w="2235"/>
        <w:gridCol w:w="1984"/>
        <w:gridCol w:w="2126"/>
        <w:gridCol w:w="1843"/>
        <w:gridCol w:w="1134"/>
      </w:tblGrid>
      <w:tr w:rsidR="000C6DE6" w:rsidRPr="007B7B59" w14:paraId="014BD4CD" w14:textId="77777777" w:rsidTr="00687293">
        <w:tc>
          <w:tcPr>
            <w:tcW w:w="2235" w:type="dxa"/>
            <w:tcBorders>
              <w:top w:val="single" w:sz="4" w:space="0" w:color="auto"/>
              <w:left w:val="single" w:sz="4" w:space="0" w:color="auto"/>
              <w:bottom w:val="single" w:sz="4" w:space="0" w:color="auto"/>
              <w:right w:val="single" w:sz="4" w:space="0" w:color="auto"/>
            </w:tcBorders>
          </w:tcPr>
          <w:p w14:paraId="5BDA6FA5" w14:textId="77777777" w:rsidR="000C6DE6" w:rsidRPr="007B7B59" w:rsidRDefault="000C6DE6" w:rsidP="00C80E4A">
            <w:pPr>
              <w:rPr>
                <w:b/>
                <w:bCs/>
                <w:szCs w:val="22"/>
              </w:rPr>
            </w:pPr>
            <w:r w:rsidRPr="007B7B59">
              <w:rPr>
                <w:b/>
                <w:bCs/>
                <w:szCs w:val="22"/>
              </w:rPr>
              <w:t xml:space="preserve">Vertinamoji baigtis </w:t>
            </w:r>
          </w:p>
          <w:p w14:paraId="65F9EDF9" w14:textId="77777777" w:rsidR="000C6DE6" w:rsidRPr="007B7B59" w:rsidRDefault="000C6DE6" w:rsidP="00D246D8">
            <w:pPr>
              <w:ind w:left="851" w:hanging="284"/>
              <w:rPr>
                <w:b/>
                <w:bCs/>
                <w:szCs w:val="22"/>
              </w:rPr>
            </w:pPr>
            <w:r w:rsidRPr="007B7B59">
              <w:rPr>
                <w:b/>
                <w:bCs/>
                <w:szCs w:val="22"/>
              </w:rPr>
              <w:t>Populiacija</w:t>
            </w:r>
          </w:p>
        </w:tc>
        <w:tc>
          <w:tcPr>
            <w:tcW w:w="1984" w:type="dxa"/>
            <w:tcBorders>
              <w:top w:val="single" w:sz="4" w:space="0" w:color="auto"/>
              <w:left w:val="single" w:sz="4" w:space="0" w:color="auto"/>
              <w:bottom w:val="single" w:sz="4" w:space="0" w:color="auto"/>
              <w:right w:val="single" w:sz="4" w:space="0" w:color="auto"/>
            </w:tcBorders>
          </w:tcPr>
          <w:p w14:paraId="402B4BEA" w14:textId="77777777" w:rsidR="000C6DE6" w:rsidRPr="007B7B59" w:rsidRDefault="000C6DE6" w:rsidP="00C80E4A">
            <w:pPr>
              <w:rPr>
                <w:b/>
                <w:bCs/>
                <w:szCs w:val="22"/>
              </w:rPr>
            </w:pPr>
            <w:proofErr w:type="spellStart"/>
            <w:r w:rsidRPr="007B7B59">
              <w:rPr>
                <w:b/>
                <w:bCs/>
                <w:szCs w:val="22"/>
              </w:rPr>
              <w:t>Eksemestanas</w:t>
            </w:r>
            <w:proofErr w:type="spellEnd"/>
          </w:p>
          <w:p w14:paraId="580C1D68" w14:textId="77777777" w:rsidR="000C6DE6" w:rsidRPr="007B7B59" w:rsidRDefault="000C6DE6" w:rsidP="00C80E4A">
            <w:pPr>
              <w:rPr>
                <w:b/>
                <w:bCs/>
                <w:szCs w:val="22"/>
              </w:rPr>
            </w:pPr>
            <w:r w:rsidRPr="007B7B59">
              <w:rPr>
                <w:b/>
                <w:bCs/>
                <w:szCs w:val="22"/>
              </w:rPr>
              <w:t>Reiškiniai / n (%)</w:t>
            </w:r>
          </w:p>
        </w:tc>
        <w:tc>
          <w:tcPr>
            <w:tcW w:w="2126" w:type="dxa"/>
            <w:tcBorders>
              <w:top w:val="single" w:sz="4" w:space="0" w:color="auto"/>
              <w:left w:val="single" w:sz="4" w:space="0" w:color="auto"/>
              <w:bottom w:val="single" w:sz="4" w:space="0" w:color="auto"/>
              <w:right w:val="single" w:sz="4" w:space="0" w:color="auto"/>
            </w:tcBorders>
          </w:tcPr>
          <w:p w14:paraId="63D110F8" w14:textId="77777777" w:rsidR="000C6DE6" w:rsidRPr="007B7B59" w:rsidRDefault="000C6DE6" w:rsidP="00C80E4A">
            <w:pPr>
              <w:rPr>
                <w:b/>
                <w:bCs/>
                <w:szCs w:val="22"/>
              </w:rPr>
            </w:pPr>
            <w:proofErr w:type="spellStart"/>
            <w:r w:rsidRPr="007B7B59">
              <w:rPr>
                <w:b/>
                <w:bCs/>
                <w:szCs w:val="22"/>
              </w:rPr>
              <w:t>Tamoksifenas</w:t>
            </w:r>
            <w:proofErr w:type="spellEnd"/>
          </w:p>
          <w:p w14:paraId="6684F367" w14:textId="77777777" w:rsidR="000C6DE6" w:rsidRPr="007B7B59" w:rsidRDefault="000C6DE6" w:rsidP="00C80E4A">
            <w:pPr>
              <w:rPr>
                <w:b/>
                <w:bCs/>
                <w:szCs w:val="22"/>
              </w:rPr>
            </w:pPr>
            <w:r w:rsidRPr="007B7B59">
              <w:rPr>
                <w:b/>
                <w:bCs/>
                <w:szCs w:val="22"/>
              </w:rPr>
              <w:t>Reiškiniai / n (%)</w:t>
            </w:r>
          </w:p>
        </w:tc>
        <w:tc>
          <w:tcPr>
            <w:tcW w:w="1843" w:type="dxa"/>
            <w:tcBorders>
              <w:top w:val="single" w:sz="4" w:space="0" w:color="auto"/>
              <w:left w:val="single" w:sz="4" w:space="0" w:color="auto"/>
              <w:bottom w:val="single" w:sz="4" w:space="0" w:color="auto"/>
              <w:right w:val="single" w:sz="4" w:space="0" w:color="auto"/>
            </w:tcBorders>
          </w:tcPr>
          <w:p w14:paraId="157A932F" w14:textId="77777777" w:rsidR="000C6DE6" w:rsidRPr="007B7B59" w:rsidRDefault="000C6DE6" w:rsidP="00C80E4A">
            <w:pPr>
              <w:rPr>
                <w:b/>
                <w:bCs/>
                <w:szCs w:val="22"/>
              </w:rPr>
            </w:pPr>
            <w:r w:rsidRPr="007B7B59">
              <w:rPr>
                <w:b/>
                <w:bCs/>
                <w:szCs w:val="22"/>
              </w:rPr>
              <w:t>Rizikos santykis</w:t>
            </w:r>
          </w:p>
          <w:p w14:paraId="1A6D209B" w14:textId="77777777" w:rsidR="000C6DE6" w:rsidRPr="007B7B59" w:rsidRDefault="000C6DE6" w:rsidP="00C80E4A">
            <w:pPr>
              <w:rPr>
                <w:b/>
                <w:bCs/>
                <w:szCs w:val="22"/>
              </w:rPr>
            </w:pPr>
            <w:r w:rsidRPr="007B7B59">
              <w:rPr>
                <w:b/>
                <w:bCs/>
                <w:szCs w:val="22"/>
              </w:rPr>
              <w:t>(95 % PI)</w:t>
            </w:r>
          </w:p>
        </w:tc>
        <w:tc>
          <w:tcPr>
            <w:tcW w:w="1134" w:type="dxa"/>
            <w:tcBorders>
              <w:top w:val="single" w:sz="4" w:space="0" w:color="auto"/>
              <w:left w:val="single" w:sz="4" w:space="0" w:color="auto"/>
              <w:bottom w:val="single" w:sz="4" w:space="0" w:color="auto"/>
              <w:right w:val="single" w:sz="4" w:space="0" w:color="auto"/>
            </w:tcBorders>
          </w:tcPr>
          <w:p w14:paraId="6788AC6E" w14:textId="77777777" w:rsidR="000C6DE6" w:rsidRPr="007B7B59" w:rsidRDefault="000C6DE6" w:rsidP="00C80E4A">
            <w:pPr>
              <w:rPr>
                <w:b/>
                <w:bCs/>
                <w:szCs w:val="22"/>
              </w:rPr>
            </w:pPr>
            <w:r w:rsidRPr="007B7B59">
              <w:rPr>
                <w:b/>
                <w:bCs/>
                <w:szCs w:val="22"/>
              </w:rPr>
              <w:t>p-vertė*</w:t>
            </w:r>
          </w:p>
        </w:tc>
      </w:tr>
      <w:tr w:rsidR="000C6DE6" w:rsidRPr="007B7B59" w14:paraId="1189838A" w14:textId="77777777" w:rsidTr="00687293">
        <w:tc>
          <w:tcPr>
            <w:tcW w:w="2235" w:type="dxa"/>
            <w:tcBorders>
              <w:top w:val="single" w:sz="4" w:space="0" w:color="auto"/>
              <w:left w:val="single" w:sz="4" w:space="0" w:color="auto"/>
              <w:bottom w:val="single" w:sz="4" w:space="0" w:color="auto"/>
              <w:right w:val="single" w:sz="4" w:space="0" w:color="auto"/>
            </w:tcBorders>
          </w:tcPr>
          <w:p w14:paraId="552F71F8" w14:textId="77777777" w:rsidR="000C6DE6" w:rsidRPr="007B7B59" w:rsidRDefault="000C6DE6" w:rsidP="00C80E4A">
            <w:pPr>
              <w:rPr>
                <w:b/>
                <w:bCs/>
                <w:szCs w:val="22"/>
                <w:vertAlign w:val="superscript"/>
              </w:rPr>
            </w:pPr>
            <w:proofErr w:type="spellStart"/>
            <w:r w:rsidRPr="007B7B59">
              <w:rPr>
                <w:b/>
                <w:bCs/>
                <w:szCs w:val="22"/>
              </w:rPr>
              <w:t>Išgyvenamumas</w:t>
            </w:r>
            <w:proofErr w:type="spellEnd"/>
            <w:r w:rsidRPr="007B7B59">
              <w:rPr>
                <w:b/>
                <w:bCs/>
                <w:szCs w:val="22"/>
              </w:rPr>
              <w:t xml:space="preserve"> be ligos </w:t>
            </w:r>
            <w:r w:rsidRPr="007B7B59">
              <w:rPr>
                <w:b/>
                <w:bCs/>
                <w:szCs w:val="22"/>
                <w:vertAlign w:val="superscript"/>
              </w:rPr>
              <w:t>a</w:t>
            </w:r>
          </w:p>
          <w:p w14:paraId="18342B76" w14:textId="77777777" w:rsidR="000C6DE6" w:rsidRPr="007B7B59" w:rsidRDefault="000C6DE6" w:rsidP="00C80E4A">
            <w:pPr>
              <w:rPr>
                <w:szCs w:val="22"/>
              </w:rPr>
            </w:pPr>
            <w:r w:rsidRPr="007B7B59">
              <w:rPr>
                <w:szCs w:val="22"/>
              </w:rPr>
              <w:t>Visų pacienčių</w:t>
            </w:r>
          </w:p>
          <w:p w14:paraId="2474102E" w14:textId="77777777" w:rsidR="000C6DE6" w:rsidRPr="007B7B59" w:rsidRDefault="000C6DE6" w:rsidP="00C80E4A">
            <w:pPr>
              <w:rPr>
                <w:szCs w:val="22"/>
              </w:rPr>
            </w:pPr>
            <w:r w:rsidRPr="007B7B59">
              <w:rPr>
                <w:szCs w:val="22"/>
              </w:rPr>
              <w:t>ER+ pacienčių</w:t>
            </w:r>
          </w:p>
        </w:tc>
        <w:tc>
          <w:tcPr>
            <w:tcW w:w="1984" w:type="dxa"/>
            <w:tcBorders>
              <w:top w:val="single" w:sz="4" w:space="0" w:color="auto"/>
              <w:left w:val="single" w:sz="4" w:space="0" w:color="auto"/>
              <w:bottom w:val="single" w:sz="4" w:space="0" w:color="auto"/>
              <w:right w:val="single" w:sz="4" w:space="0" w:color="auto"/>
            </w:tcBorders>
          </w:tcPr>
          <w:p w14:paraId="139D8509" w14:textId="77777777" w:rsidR="000C6DE6" w:rsidRPr="007B7B59" w:rsidRDefault="000C6DE6" w:rsidP="00C80E4A">
            <w:pPr>
              <w:rPr>
                <w:szCs w:val="22"/>
              </w:rPr>
            </w:pPr>
          </w:p>
          <w:p w14:paraId="1D057952" w14:textId="77777777" w:rsidR="000C6DE6" w:rsidRPr="007B7B59" w:rsidRDefault="000C6DE6" w:rsidP="00C80E4A">
            <w:pPr>
              <w:rPr>
                <w:szCs w:val="22"/>
              </w:rPr>
            </w:pPr>
          </w:p>
          <w:p w14:paraId="760C0A77" w14:textId="77777777" w:rsidR="000C6DE6" w:rsidRPr="007B7B59" w:rsidRDefault="000C6DE6" w:rsidP="00C80E4A">
            <w:pPr>
              <w:rPr>
                <w:szCs w:val="22"/>
              </w:rPr>
            </w:pPr>
            <w:r w:rsidRPr="007B7B59">
              <w:rPr>
                <w:bCs/>
                <w:szCs w:val="22"/>
              </w:rPr>
              <w:t>354</w:t>
            </w:r>
            <w:r w:rsidRPr="007B7B59">
              <w:rPr>
                <w:szCs w:val="22"/>
              </w:rPr>
              <w:t xml:space="preserve"> / 2352 (15 %)</w:t>
            </w:r>
          </w:p>
          <w:p w14:paraId="46FA629A" w14:textId="77777777" w:rsidR="000C6DE6" w:rsidRPr="007B7B59" w:rsidRDefault="000C6DE6" w:rsidP="00C80E4A">
            <w:pPr>
              <w:rPr>
                <w:szCs w:val="22"/>
              </w:rPr>
            </w:pPr>
            <w:r w:rsidRPr="007B7B59">
              <w:rPr>
                <w:bCs/>
                <w:szCs w:val="22"/>
              </w:rPr>
              <w:t xml:space="preserve">289 </w:t>
            </w:r>
            <w:r w:rsidRPr="007B7B59">
              <w:rPr>
                <w:szCs w:val="22"/>
              </w:rPr>
              <w:t>/ 2023 (14,3 %)</w:t>
            </w:r>
          </w:p>
        </w:tc>
        <w:tc>
          <w:tcPr>
            <w:tcW w:w="2126" w:type="dxa"/>
            <w:tcBorders>
              <w:top w:val="single" w:sz="4" w:space="0" w:color="auto"/>
              <w:left w:val="single" w:sz="4" w:space="0" w:color="auto"/>
              <w:bottom w:val="single" w:sz="4" w:space="0" w:color="auto"/>
              <w:right w:val="single" w:sz="4" w:space="0" w:color="auto"/>
            </w:tcBorders>
          </w:tcPr>
          <w:p w14:paraId="0EA59307" w14:textId="77777777" w:rsidR="000C6DE6" w:rsidRPr="007B7B59" w:rsidRDefault="000C6DE6" w:rsidP="00C80E4A">
            <w:pPr>
              <w:rPr>
                <w:szCs w:val="22"/>
              </w:rPr>
            </w:pPr>
          </w:p>
          <w:p w14:paraId="0106284C" w14:textId="77777777" w:rsidR="000C6DE6" w:rsidRPr="007B7B59" w:rsidRDefault="000C6DE6" w:rsidP="00C80E4A">
            <w:pPr>
              <w:rPr>
                <w:szCs w:val="22"/>
              </w:rPr>
            </w:pPr>
          </w:p>
          <w:p w14:paraId="64449A4A" w14:textId="77777777" w:rsidR="000C6DE6" w:rsidRPr="007B7B59" w:rsidRDefault="000C6DE6" w:rsidP="00C80E4A">
            <w:pPr>
              <w:rPr>
                <w:szCs w:val="22"/>
              </w:rPr>
            </w:pPr>
            <w:r w:rsidRPr="007B7B59">
              <w:rPr>
                <w:bCs/>
                <w:szCs w:val="22"/>
              </w:rPr>
              <w:t>453</w:t>
            </w:r>
            <w:r w:rsidRPr="007B7B59">
              <w:rPr>
                <w:szCs w:val="22"/>
              </w:rPr>
              <w:t xml:space="preserve"> / 2372 (19,1 %)</w:t>
            </w:r>
          </w:p>
          <w:p w14:paraId="36DFE8F1" w14:textId="77777777" w:rsidR="000C6DE6" w:rsidRPr="007B7B59" w:rsidRDefault="000C6DE6" w:rsidP="00C80E4A">
            <w:pPr>
              <w:rPr>
                <w:szCs w:val="22"/>
              </w:rPr>
            </w:pPr>
            <w:r w:rsidRPr="007B7B59">
              <w:rPr>
                <w:bCs/>
                <w:szCs w:val="22"/>
              </w:rPr>
              <w:t>370</w:t>
            </w:r>
            <w:r w:rsidRPr="007B7B59">
              <w:rPr>
                <w:szCs w:val="22"/>
              </w:rPr>
              <w:t xml:space="preserve"> / 2021 (18,3 %)</w:t>
            </w:r>
          </w:p>
        </w:tc>
        <w:tc>
          <w:tcPr>
            <w:tcW w:w="1843" w:type="dxa"/>
            <w:tcBorders>
              <w:top w:val="single" w:sz="4" w:space="0" w:color="auto"/>
              <w:left w:val="single" w:sz="4" w:space="0" w:color="auto"/>
              <w:bottom w:val="single" w:sz="4" w:space="0" w:color="auto"/>
              <w:right w:val="single" w:sz="4" w:space="0" w:color="auto"/>
            </w:tcBorders>
          </w:tcPr>
          <w:p w14:paraId="46F8459C" w14:textId="77777777" w:rsidR="000C6DE6" w:rsidRPr="007B7B59" w:rsidRDefault="000C6DE6" w:rsidP="00C80E4A">
            <w:pPr>
              <w:rPr>
                <w:szCs w:val="22"/>
              </w:rPr>
            </w:pPr>
          </w:p>
          <w:p w14:paraId="3D934644" w14:textId="77777777" w:rsidR="000C6DE6" w:rsidRPr="007B7B59" w:rsidRDefault="000C6DE6" w:rsidP="00C80E4A">
            <w:pPr>
              <w:rPr>
                <w:szCs w:val="22"/>
              </w:rPr>
            </w:pPr>
          </w:p>
          <w:p w14:paraId="55FB7B50" w14:textId="77777777" w:rsidR="000C6DE6" w:rsidRPr="007B7B59" w:rsidRDefault="000C6DE6" w:rsidP="00C80E4A">
            <w:pPr>
              <w:rPr>
                <w:szCs w:val="22"/>
              </w:rPr>
            </w:pPr>
            <w:r w:rsidRPr="007B7B59">
              <w:rPr>
                <w:szCs w:val="22"/>
              </w:rPr>
              <w:t>0,76 (0,67</w:t>
            </w:r>
            <w:r w:rsidRPr="007B7B59">
              <w:rPr>
                <w:szCs w:val="22"/>
              </w:rPr>
              <w:noBreakHyphen/>
              <w:t>0,88)</w:t>
            </w:r>
          </w:p>
          <w:p w14:paraId="2BB69962" w14:textId="77777777" w:rsidR="000C6DE6" w:rsidRPr="007B7B59" w:rsidRDefault="000C6DE6" w:rsidP="00C80E4A">
            <w:pPr>
              <w:rPr>
                <w:szCs w:val="22"/>
              </w:rPr>
            </w:pPr>
            <w:r w:rsidRPr="007B7B59">
              <w:rPr>
                <w:szCs w:val="22"/>
              </w:rPr>
              <w:t>0,75 (0,65</w:t>
            </w:r>
            <w:r w:rsidRPr="007B7B59">
              <w:rPr>
                <w:szCs w:val="22"/>
              </w:rPr>
              <w:noBreakHyphen/>
              <w:t>0,88)</w:t>
            </w:r>
          </w:p>
        </w:tc>
        <w:tc>
          <w:tcPr>
            <w:tcW w:w="1134" w:type="dxa"/>
            <w:tcBorders>
              <w:top w:val="single" w:sz="4" w:space="0" w:color="auto"/>
              <w:left w:val="single" w:sz="4" w:space="0" w:color="auto"/>
              <w:bottom w:val="single" w:sz="4" w:space="0" w:color="auto"/>
              <w:right w:val="single" w:sz="4" w:space="0" w:color="auto"/>
            </w:tcBorders>
          </w:tcPr>
          <w:p w14:paraId="17271EF8" w14:textId="77777777" w:rsidR="000C6DE6" w:rsidRPr="007B7B59" w:rsidRDefault="000C6DE6" w:rsidP="00C80E4A">
            <w:pPr>
              <w:rPr>
                <w:szCs w:val="22"/>
              </w:rPr>
            </w:pPr>
          </w:p>
          <w:p w14:paraId="52DBC5D1" w14:textId="77777777" w:rsidR="000C6DE6" w:rsidRPr="007B7B59" w:rsidRDefault="000C6DE6" w:rsidP="00C80E4A">
            <w:pPr>
              <w:rPr>
                <w:szCs w:val="22"/>
              </w:rPr>
            </w:pPr>
          </w:p>
          <w:p w14:paraId="5440C5D5" w14:textId="77777777" w:rsidR="000C6DE6" w:rsidRPr="007B7B59" w:rsidRDefault="000C6DE6" w:rsidP="00C80E4A">
            <w:pPr>
              <w:rPr>
                <w:szCs w:val="22"/>
              </w:rPr>
            </w:pPr>
            <w:r w:rsidRPr="007B7B59">
              <w:rPr>
                <w:szCs w:val="22"/>
              </w:rPr>
              <w:t>0,00015</w:t>
            </w:r>
          </w:p>
          <w:p w14:paraId="53F24D3A" w14:textId="77777777" w:rsidR="000C6DE6" w:rsidRPr="007B7B59" w:rsidRDefault="000C6DE6" w:rsidP="00C80E4A">
            <w:pPr>
              <w:rPr>
                <w:szCs w:val="22"/>
              </w:rPr>
            </w:pPr>
            <w:r w:rsidRPr="007B7B59">
              <w:rPr>
                <w:szCs w:val="22"/>
              </w:rPr>
              <w:t>0,00030</w:t>
            </w:r>
          </w:p>
        </w:tc>
      </w:tr>
      <w:tr w:rsidR="000C6DE6" w:rsidRPr="007B7B59" w14:paraId="51CF1F03" w14:textId="77777777" w:rsidTr="00687293">
        <w:tc>
          <w:tcPr>
            <w:tcW w:w="2235" w:type="dxa"/>
            <w:tcBorders>
              <w:top w:val="single" w:sz="4" w:space="0" w:color="auto"/>
              <w:left w:val="single" w:sz="4" w:space="0" w:color="auto"/>
              <w:bottom w:val="single" w:sz="4" w:space="0" w:color="auto"/>
              <w:right w:val="single" w:sz="4" w:space="0" w:color="auto"/>
            </w:tcBorders>
          </w:tcPr>
          <w:p w14:paraId="6387F3F6" w14:textId="77777777" w:rsidR="000C6DE6" w:rsidRPr="007B7B59" w:rsidRDefault="000C6DE6" w:rsidP="00C80E4A">
            <w:pPr>
              <w:rPr>
                <w:b/>
                <w:bCs/>
                <w:szCs w:val="22"/>
              </w:rPr>
            </w:pPr>
            <w:r w:rsidRPr="007B7B59">
              <w:rPr>
                <w:b/>
                <w:bCs/>
                <w:szCs w:val="22"/>
              </w:rPr>
              <w:t>Kitos krūties vėžys</w:t>
            </w:r>
          </w:p>
          <w:p w14:paraId="71A7125C" w14:textId="77777777" w:rsidR="000C6DE6" w:rsidRPr="007B7B59" w:rsidRDefault="000C6DE6" w:rsidP="00C80E4A">
            <w:pPr>
              <w:rPr>
                <w:szCs w:val="22"/>
              </w:rPr>
            </w:pPr>
            <w:r w:rsidRPr="007B7B59">
              <w:rPr>
                <w:szCs w:val="22"/>
              </w:rPr>
              <w:t>Visų pacienčių</w:t>
            </w:r>
          </w:p>
          <w:p w14:paraId="31784623" w14:textId="77777777" w:rsidR="000C6DE6" w:rsidRPr="007B7B59" w:rsidRDefault="000C6DE6" w:rsidP="00C80E4A">
            <w:pPr>
              <w:rPr>
                <w:szCs w:val="22"/>
              </w:rPr>
            </w:pPr>
            <w:r w:rsidRPr="007B7B59">
              <w:rPr>
                <w:szCs w:val="22"/>
              </w:rPr>
              <w:t>ER+ pacienčių</w:t>
            </w:r>
          </w:p>
        </w:tc>
        <w:tc>
          <w:tcPr>
            <w:tcW w:w="1984" w:type="dxa"/>
            <w:tcBorders>
              <w:top w:val="single" w:sz="4" w:space="0" w:color="auto"/>
              <w:left w:val="single" w:sz="4" w:space="0" w:color="auto"/>
              <w:bottom w:val="single" w:sz="4" w:space="0" w:color="auto"/>
              <w:right w:val="single" w:sz="4" w:space="0" w:color="auto"/>
            </w:tcBorders>
          </w:tcPr>
          <w:p w14:paraId="6E278A26" w14:textId="77777777" w:rsidR="000C6DE6" w:rsidRPr="007B7B59" w:rsidRDefault="000C6DE6" w:rsidP="00C80E4A">
            <w:pPr>
              <w:rPr>
                <w:szCs w:val="22"/>
              </w:rPr>
            </w:pPr>
          </w:p>
          <w:p w14:paraId="7DEBC10C" w14:textId="77777777" w:rsidR="000C6DE6" w:rsidRPr="007B7B59" w:rsidRDefault="000C6DE6" w:rsidP="00C80E4A">
            <w:pPr>
              <w:rPr>
                <w:szCs w:val="22"/>
              </w:rPr>
            </w:pPr>
            <w:r w:rsidRPr="007B7B59">
              <w:rPr>
                <w:bCs/>
                <w:szCs w:val="22"/>
              </w:rPr>
              <w:t>20</w:t>
            </w:r>
            <w:r w:rsidRPr="007B7B59">
              <w:rPr>
                <w:szCs w:val="22"/>
              </w:rPr>
              <w:t xml:space="preserve"> / 2352 (0,9 %)</w:t>
            </w:r>
          </w:p>
          <w:p w14:paraId="5859E344" w14:textId="77777777" w:rsidR="000C6DE6" w:rsidRPr="007B7B59" w:rsidRDefault="000C6DE6" w:rsidP="00C80E4A">
            <w:pPr>
              <w:rPr>
                <w:szCs w:val="22"/>
              </w:rPr>
            </w:pPr>
            <w:r w:rsidRPr="007B7B59">
              <w:rPr>
                <w:bCs/>
                <w:szCs w:val="22"/>
              </w:rPr>
              <w:t>18</w:t>
            </w:r>
            <w:r w:rsidRPr="007B7B59">
              <w:rPr>
                <w:szCs w:val="22"/>
              </w:rPr>
              <w:t xml:space="preserve"> / 2023 (0,9 %)</w:t>
            </w:r>
          </w:p>
        </w:tc>
        <w:tc>
          <w:tcPr>
            <w:tcW w:w="2126" w:type="dxa"/>
            <w:tcBorders>
              <w:top w:val="single" w:sz="4" w:space="0" w:color="auto"/>
              <w:left w:val="single" w:sz="4" w:space="0" w:color="auto"/>
              <w:bottom w:val="single" w:sz="4" w:space="0" w:color="auto"/>
              <w:right w:val="single" w:sz="4" w:space="0" w:color="auto"/>
            </w:tcBorders>
          </w:tcPr>
          <w:p w14:paraId="0B7095ED" w14:textId="77777777" w:rsidR="000C6DE6" w:rsidRPr="007B7B59" w:rsidRDefault="000C6DE6" w:rsidP="00C80E4A">
            <w:pPr>
              <w:rPr>
                <w:szCs w:val="22"/>
              </w:rPr>
            </w:pPr>
          </w:p>
          <w:p w14:paraId="79345FFD" w14:textId="77777777" w:rsidR="000C6DE6" w:rsidRPr="007B7B59" w:rsidRDefault="000C6DE6" w:rsidP="00C80E4A">
            <w:pPr>
              <w:rPr>
                <w:szCs w:val="22"/>
              </w:rPr>
            </w:pPr>
            <w:r w:rsidRPr="007B7B59">
              <w:rPr>
                <w:bCs/>
                <w:szCs w:val="22"/>
              </w:rPr>
              <w:t xml:space="preserve">35 </w:t>
            </w:r>
            <w:r w:rsidRPr="007B7B59">
              <w:rPr>
                <w:szCs w:val="22"/>
              </w:rPr>
              <w:t>/ 2372 (1,5 %)</w:t>
            </w:r>
          </w:p>
          <w:p w14:paraId="69536445" w14:textId="77777777" w:rsidR="000C6DE6" w:rsidRPr="007B7B59" w:rsidRDefault="000C6DE6" w:rsidP="00C80E4A">
            <w:pPr>
              <w:rPr>
                <w:szCs w:val="22"/>
              </w:rPr>
            </w:pPr>
            <w:r w:rsidRPr="007B7B59">
              <w:rPr>
                <w:bCs/>
                <w:szCs w:val="22"/>
              </w:rPr>
              <w:t>33</w:t>
            </w:r>
            <w:r w:rsidRPr="007B7B59">
              <w:rPr>
                <w:szCs w:val="22"/>
              </w:rPr>
              <w:t xml:space="preserve"> / 2021 (1,6 %)</w:t>
            </w:r>
          </w:p>
        </w:tc>
        <w:tc>
          <w:tcPr>
            <w:tcW w:w="1843" w:type="dxa"/>
            <w:tcBorders>
              <w:top w:val="single" w:sz="4" w:space="0" w:color="auto"/>
              <w:left w:val="single" w:sz="4" w:space="0" w:color="auto"/>
              <w:bottom w:val="single" w:sz="4" w:space="0" w:color="auto"/>
              <w:right w:val="single" w:sz="4" w:space="0" w:color="auto"/>
            </w:tcBorders>
          </w:tcPr>
          <w:p w14:paraId="3F3A928B" w14:textId="77777777" w:rsidR="000C6DE6" w:rsidRPr="007B7B59" w:rsidRDefault="000C6DE6" w:rsidP="00C80E4A">
            <w:pPr>
              <w:rPr>
                <w:szCs w:val="22"/>
              </w:rPr>
            </w:pPr>
          </w:p>
          <w:p w14:paraId="4514B26A" w14:textId="77777777" w:rsidR="000C6DE6" w:rsidRPr="007B7B59" w:rsidRDefault="000C6DE6" w:rsidP="00C80E4A">
            <w:pPr>
              <w:rPr>
                <w:szCs w:val="22"/>
              </w:rPr>
            </w:pPr>
            <w:r w:rsidRPr="007B7B59">
              <w:rPr>
                <w:szCs w:val="22"/>
              </w:rPr>
              <w:t>0,57 (0,33</w:t>
            </w:r>
            <w:r w:rsidRPr="007B7B59">
              <w:rPr>
                <w:szCs w:val="22"/>
              </w:rPr>
              <w:noBreakHyphen/>
              <w:t>0,99)</w:t>
            </w:r>
          </w:p>
          <w:p w14:paraId="460D7721" w14:textId="77777777" w:rsidR="000C6DE6" w:rsidRPr="007B7B59" w:rsidRDefault="000C6DE6" w:rsidP="00C80E4A">
            <w:pPr>
              <w:rPr>
                <w:szCs w:val="22"/>
              </w:rPr>
            </w:pPr>
            <w:r w:rsidRPr="007B7B59">
              <w:rPr>
                <w:szCs w:val="22"/>
              </w:rPr>
              <w:t>0,54 (0,30</w:t>
            </w:r>
            <w:r w:rsidRPr="007B7B59">
              <w:rPr>
                <w:szCs w:val="22"/>
              </w:rPr>
              <w:noBreakHyphen/>
              <w:t>0,95)</w:t>
            </w:r>
          </w:p>
        </w:tc>
        <w:tc>
          <w:tcPr>
            <w:tcW w:w="1134" w:type="dxa"/>
            <w:tcBorders>
              <w:top w:val="single" w:sz="4" w:space="0" w:color="auto"/>
              <w:left w:val="single" w:sz="4" w:space="0" w:color="auto"/>
              <w:bottom w:val="single" w:sz="4" w:space="0" w:color="auto"/>
              <w:right w:val="single" w:sz="4" w:space="0" w:color="auto"/>
            </w:tcBorders>
          </w:tcPr>
          <w:p w14:paraId="0DA0190A" w14:textId="77777777" w:rsidR="000C6DE6" w:rsidRPr="007B7B59" w:rsidRDefault="000C6DE6" w:rsidP="00C80E4A">
            <w:pPr>
              <w:rPr>
                <w:szCs w:val="22"/>
              </w:rPr>
            </w:pPr>
          </w:p>
          <w:p w14:paraId="51ED4543" w14:textId="77777777" w:rsidR="000C6DE6" w:rsidRPr="007B7B59" w:rsidRDefault="000C6DE6" w:rsidP="00C80E4A">
            <w:pPr>
              <w:rPr>
                <w:szCs w:val="22"/>
              </w:rPr>
            </w:pPr>
            <w:r w:rsidRPr="007B7B59">
              <w:rPr>
                <w:szCs w:val="22"/>
              </w:rPr>
              <w:t>0,04158</w:t>
            </w:r>
          </w:p>
          <w:p w14:paraId="1686F0C3" w14:textId="77777777" w:rsidR="000C6DE6" w:rsidRPr="007B7B59" w:rsidRDefault="000C6DE6" w:rsidP="00C80E4A">
            <w:pPr>
              <w:rPr>
                <w:szCs w:val="22"/>
              </w:rPr>
            </w:pPr>
            <w:r w:rsidRPr="007B7B59">
              <w:rPr>
                <w:szCs w:val="22"/>
              </w:rPr>
              <w:t>0,030048</w:t>
            </w:r>
          </w:p>
        </w:tc>
      </w:tr>
      <w:tr w:rsidR="000C6DE6" w:rsidRPr="007B7B59" w14:paraId="313D9DF1" w14:textId="77777777" w:rsidTr="00687293">
        <w:tc>
          <w:tcPr>
            <w:tcW w:w="2235" w:type="dxa"/>
            <w:tcBorders>
              <w:top w:val="single" w:sz="4" w:space="0" w:color="auto"/>
              <w:left w:val="single" w:sz="4" w:space="0" w:color="auto"/>
              <w:bottom w:val="single" w:sz="4" w:space="0" w:color="auto"/>
              <w:right w:val="single" w:sz="4" w:space="0" w:color="auto"/>
            </w:tcBorders>
          </w:tcPr>
          <w:p w14:paraId="11E59C72" w14:textId="77777777" w:rsidR="000C6DE6" w:rsidRPr="007B7B59" w:rsidRDefault="000C6DE6" w:rsidP="00C80E4A">
            <w:pPr>
              <w:rPr>
                <w:b/>
                <w:bCs/>
                <w:szCs w:val="22"/>
              </w:rPr>
            </w:pPr>
            <w:proofErr w:type="spellStart"/>
            <w:r w:rsidRPr="007B7B59">
              <w:rPr>
                <w:b/>
                <w:bCs/>
                <w:szCs w:val="22"/>
              </w:rPr>
              <w:t>Išgyvenamumas</w:t>
            </w:r>
            <w:proofErr w:type="spellEnd"/>
            <w:r w:rsidRPr="007B7B59">
              <w:rPr>
                <w:b/>
                <w:bCs/>
                <w:szCs w:val="22"/>
              </w:rPr>
              <w:t xml:space="preserve"> be krūties vėžio </w:t>
            </w:r>
            <w:r w:rsidRPr="007B7B59">
              <w:rPr>
                <w:b/>
                <w:bCs/>
                <w:szCs w:val="22"/>
                <w:vertAlign w:val="superscript"/>
              </w:rPr>
              <w:t>b</w:t>
            </w:r>
          </w:p>
          <w:p w14:paraId="30AF7989" w14:textId="77777777" w:rsidR="000C6DE6" w:rsidRPr="007B7B59" w:rsidRDefault="000C6DE6" w:rsidP="00C80E4A">
            <w:pPr>
              <w:rPr>
                <w:szCs w:val="22"/>
              </w:rPr>
            </w:pPr>
            <w:r w:rsidRPr="007B7B59">
              <w:rPr>
                <w:szCs w:val="22"/>
              </w:rPr>
              <w:t>Visų pacienčių</w:t>
            </w:r>
          </w:p>
          <w:p w14:paraId="56D6587B" w14:textId="77777777" w:rsidR="000C6DE6" w:rsidRPr="007B7B59" w:rsidRDefault="000C6DE6" w:rsidP="00C80E4A">
            <w:pPr>
              <w:rPr>
                <w:szCs w:val="22"/>
              </w:rPr>
            </w:pPr>
            <w:r w:rsidRPr="007B7B59">
              <w:rPr>
                <w:szCs w:val="22"/>
              </w:rPr>
              <w:t>ER+ pacienčių</w:t>
            </w:r>
          </w:p>
        </w:tc>
        <w:tc>
          <w:tcPr>
            <w:tcW w:w="1984" w:type="dxa"/>
            <w:tcBorders>
              <w:top w:val="single" w:sz="4" w:space="0" w:color="auto"/>
              <w:left w:val="single" w:sz="4" w:space="0" w:color="auto"/>
              <w:bottom w:val="single" w:sz="4" w:space="0" w:color="auto"/>
              <w:right w:val="single" w:sz="4" w:space="0" w:color="auto"/>
            </w:tcBorders>
          </w:tcPr>
          <w:p w14:paraId="780D4D1C" w14:textId="77777777" w:rsidR="000C6DE6" w:rsidRPr="007B7B59" w:rsidRDefault="000C6DE6" w:rsidP="00C80E4A">
            <w:pPr>
              <w:rPr>
                <w:szCs w:val="22"/>
              </w:rPr>
            </w:pPr>
          </w:p>
          <w:p w14:paraId="315410A0" w14:textId="77777777" w:rsidR="000C6DE6" w:rsidRPr="007B7B59" w:rsidRDefault="000C6DE6" w:rsidP="00C80E4A">
            <w:pPr>
              <w:rPr>
                <w:szCs w:val="22"/>
              </w:rPr>
            </w:pPr>
          </w:p>
          <w:p w14:paraId="010EA1DF" w14:textId="77777777" w:rsidR="000C6DE6" w:rsidRPr="007B7B59" w:rsidRDefault="000C6DE6" w:rsidP="00C80E4A">
            <w:pPr>
              <w:rPr>
                <w:szCs w:val="22"/>
              </w:rPr>
            </w:pPr>
            <w:r w:rsidRPr="007B7B59">
              <w:rPr>
                <w:bCs/>
                <w:szCs w:val="22"/>
              </w:rPr>
              <w:t xml:space="preserve">289 </w:t>
            </w:r>
            <w:r w:rsidRPr="007B7B59">
              <w:rPr>
                <w:szCs w:val="22"/>
              </w:rPr>
              <w:t>/ 2352 (12,3 %)</w:t>
            </w:r>
          </w:p>
          <w:p w14:paraId="29649006" w14:textId="77777777" w:rsidR="000C6DE6" w:rsidRPr="007B7B59" w:rsidRDefault="000C6DE6" w:rsidP="00C80E4A">
            <w:pPr>
              <w:rPr>
                <w:szCs w:val="22"/>
              </w:rPr>
            </w:pPr>
            <w:r w:rsidRPr="007B7B59">
              <w:rPr>
                <w:bCs/>
                <w:szCs w:val="22"/>
              </w:rPr>
              <w:t>232</w:t>
            </w:r>
            <w:r w:rsidRPr="007B7B59">
              <w:rPr>
                <w:szCs w:val="22"/>
              </w:rPr>
              <w:t xml:space="preserve"> / 2023 (11,5 %)</w:t>
            </w:r>
          </w:p>
        </w:tc>
        <w:tc>
          <w:tcPr>
            <w:tcW w:w="2126" w:type="dxa"/>
            <w:tcBorders>
              <w:top w:val="single" w:sz="4" w:space="0" w:color="auto"/>
              <w:left w:val="single" w:sz="4" w:space="0" w:color="auto"/>
              <w:bottom w:val="single" w:sz="4" w:space="0" w:color="auto"/>
              <w:right w:val="single" w:sz="4" w:space="0" w:color="auto"/>
            </w:tcBorders>
          </w:tcPr>
          <w:p w14:paraId="11F60FE0" w14:textId="77777777" w:rsidR="000C6DE6" w:rsidRPr="007B7B59" w:rsidRDefault="000C6DE6" w:rsidP="00C80E4A">
            <w:pPr>
              <w:rPr>
                <w:szCs w:val="22"/>
              </w:rPr>
            </w:pPr>
          </w:p>
          <w:p w14:paraId="27CBAD40" w14:textId="77777777" w:rsidR="000C6DE6" w:rsidRPr="007B7B59" w:rsidRDefault="000C6DE6" w:rsidP="00C80E4A">
            <w:pPr>
              <w:rPr>
                <w:szCs w:val="22"/>
              </w:rPr>
            </w:pPr>
          </w:p>
          <w:p w14:paraId="4BC23A2B" w14:textId="77777777" w:rsidR="000C6DE6" w:rsidRPr="007B7B59" w:rsidRDefault="000C6DE6" w:rsidP="00C80E4A">
            <w:pPr>
              <w:rPr>
                <w:szCs w:val="22"/>
              </w:rPr>
            </w:pPr>
            <w:r w:rsidRPr="007B7B59">
              <w:rPr>
                <w:bCs/>
                <w:szCs w:val="22"/>
              </w:rPr>
              <w:t>373</w:t>
            </w:r>
            <w:r w:rsidRPr="007B7B59">
              <w:rPr>
                <w:szCs w:val="22"/>
              </w:rPr>
              <w:t xml:space="preserve"> / 2372 (15,7 %)</w:t>
            </w:r>
          </w:p>
          <w:p w14:paraId="753E5182" w14:textId="77777777" w:rsidR="000C6DE6" w:rsidRPr="007B7B59" w:rsidRDefault="000C6DE6" w:rsidP="00C80E4A">
            <w:pPr>
              <w:rPr>
                <w:szCs w:val="22"/>
              </w:rPr>
            </w:pPr>
            <w:r w:rsidRPr="007B7B59">
              <w:rPr>
                <w:bCs/>
                <w:szCs w:val="22"/>
              </w:rPr>
              <w:t>305</w:t>
            </w:r>
            <w:r w:rsidRPr="007B7B59">
              <w:rPr>
                <w:szCs w:val="22"/>
              </w:rPr>
              <w:t xml:space="preserve"> / 2021 (15,1 %)</w:t>
            </w:r>
          </w:p>
        </w:tc>
        <w:tc>
          <w:tcPr>
            <w:tcW w:w="1843" w:type="dxa"/>
            <w:tcBorders>
              <w:top w:val="single" w:sz="4" w:space="0" w:color="auto"/>
              <w:left w:val="single" w:sz="4" w:space="0" w:color="auto"/>
              <w:bottom w:val="single" w:sz="4" w:space="0" w:color="auto"/>
              <w:right w:val="single" w:sz="4" w:space="0" w:color="auto"/>
            </w:tcBorders>
          </w:tcPr>
          <w:p w14:paraId="72C9CE20" w14:textId="77777777" w:rsidR="000C6DE6" w:rsidRPr="007B7B59" w:rsidRDefault="000C6DE6" w:rsidP="00C80E4A">
            <w:pPr>
              <w:rPr>
                <w:szCs w:val="22"/>
              </w:rPr>
            </w:pPr>
          </w:p>
          <w:p w14:paraId="42F5A307" w14:textId="77777777" w:rsidR="000C6DE6" w:rsidRPr="007B7B59" w:rsidRDefault="000C6DE6" w:rsidP="00C80E4A">
            <w:pPr>
              <w:rPr>
                <w:szCs w:val="22"/>
              </w:rPr>
            </w:pPr>
          </w:p>
          <w:p w14:paraId="647C11B1" w14:textId="77777777" w:rsidR="000C6DE6" w:rsidRPr="007B7B59" w:rsidRDefault="000C6DE6" w:rsidP="00C80E4A">
            <w:pPr>
              <w:rPr>
                <w:szCs w:val="22"/>
              </w:rPr>
            </w:pPr>
            <w:r w:rsidRPr="007B7B59">
              <w:rPr>
                <w:szCs w:val="22"/>
              </w:rPr>
              <w:t>0,76 (0,65</w:t>
            </w:r>
            <w:r w:rsidRPr="007B7B59">
              <w:rPr>
                <w:szCs w:val="22"/>
              </w:rPr>
              <w:noBreakHyphen/>
              <w:t>0,98)</w:t>
            </w:r>
          </w:p>
          <w:p w14:paraId="06BF9E74" w14:textId="77777777" w:rsidR="000C6DE6" w:rsidRPr="007B7B59" w:rsidRDefault="000C6DE6" w:rsidP="00C80E4A">
            <w:pPr>
              <w:rPr>
                <w:szCs w:val="22"/>
              </w:rPr>
            </w:pPr>
            <w:r w:rsidRPr="007B7B59">
              <w:rPr>
                <w:szCs w:val="22"/>
              </w:rPr>
              <w:t>0,73 (0,62</w:t>
            </w:r>
            <w:r w:rsidRPr="007B7B59">
              <w:rPr>
                <w:szCs w:val="22"/>
              </w:rPr>
              <w:noBreakHyphen/>
              <w:t>0,87)</w:t>
            </w:r>
          </w:p>
        </w:tc>
        <w:tc>
          <w:tcPr>
            <w:tcW w:w="1134" w:type="dxa"/>
            <w:tcBorders>
              <w:top w:val="single" w:sz="4" w:space="0" w:color="auto"/>
              <w:left w:val="single" w:sz="4" w:space="0" w:color="auto"/>
              <w:bottom w:val="single" w:sz="4" w:space="0" w:color="auto"/>
              <w:right w:val="single" w:sz="4" w:space="0" w:color="auto"/>
            </w:tcBorders>
          </w:tcPr>
          <w:p w14:paraId="002E71E1" w14:textId="77777777" w:rsidR="000C6DE6" w:rsidRPr="007B7B59" w:rsidRDefault="000C6DE6" w:rsidP="00C80E4A">
            <w:pPr>
              <w:rPr>
                <w:szCs w:val="22"/>
              </w:rPr>
            </w:pPr>
          </w:p>
          <w:p w14:paraId="10D37EE3" w14:textId="77777777" w:rsidR="000C6DE6" w:rsidRPr="007B7B59" w:rsidRDefault="000C6DE6" w:rsidP="00C80E4A">
            <w:pPr>
              <w:rPr>
                <w:szCs w:val="22"/>
              </w:rPr>
            </w:pPr>
          </w:p>
          <w:p w14:paraId="1CB77C25" w14:textId="77777777" w:rsidR="000C6DE6" w:rsidRPr="007B7B59" w:rsidRDefault="000C6DE6" w:rsidP="00C80E4A">
            <w:pPr>
              <w:rPr>
                <w:szCs w:val="22"/>
              </w:rPr>
            </w:pPr>
            <w:r w:rsidRPr="007B7B59">
              <w:rPr>
                <w:szCs w:val="22"/>
              </w:rPr>
              <w:t>0,00041</w:t>
            </w:r>
          </w:p>
          <w:p w14:paraId="462269B2" w14:textId="77777777" w:rsidR="000C6DE6" w:rsidRPr="007B7B59" w:rsidRDefault="000C6DE6" w:rsidP="00C80E4A">
            <w:pPr>
              <w:rPr>
                <w:szCs w:val="22"/>
              </w:rPr>
            </w:pPr>
            <w:r w:rsidRPr="007B7B59">
              <w:rPr>
                <w:szCs w:val="22"/>
              </w:rPr>
              <w:t>0,00038</w:t>
            </w:r>
          </w:p>
        </w:tc>
      </w:tr>
      <w:tr w:rsidR="000C6DE6" w:rsidRPr="007B7B59" w14:paraId="6D626ABD" w14:textId="77777777" w:rsidTr="00687293">
        <w:tc>
          <w:tcPr>
            <w:tcW w:w="2235" w:type="dxa"/>
            <w:tcBorders>
              <w:top w:val="single" w:sz="4" w:space="0" w:color="auto"/>
              <w:left w:val="single" w:sz="4" w:space="0" w:color="auto"/>
              <w:bottom w:val="single" w:sz="4" w:space="0" w:color="auto"/>
              <w:right w:val="single" w:sz="4" w:space="0" w:color="auto"/>
            </w:tcBorders>
          </w:tcPr>
          <w:p w14:paraId="23E0FCF2" w14:textId="77777777" w:rsidR="000C6DE6" w:rsidRPr="007B7B59" w:rsidRDefault="000C6DE6" w:rsidP="00C80E4A">
            <w:pPr>
              <w:rPr>
                <w:b/>
                <w:bCs/>
                <w:szCs w:val="22"/>
              </w:rPr>
            </w:pPr>
            <w:proofErr w:type="spellStart"/>
            <w:r w:rsidRPr="007B7B59">
              <w:rPr>
                <w:b/>
                <w:bCs/>
                <w:szCs w:val="22"/>
              </w:rPr>
              <w:t>Išgyvenamumas</w:t>
            </w:r>
            <w:proofErr w:type="spellEnd"/>
            <w:r w:rsidRPr="007B7B59">
              <w:rPr>
                <w:b/>
                <w:bCs/>
                <w:szCs w:val="22"/>
              </w:rPr>
              <w:t xml:space="preserve"> be atokaus ligos pasikartojimo </w:t>
            </w:r>
            <w:r w:rsidRPr="007B7B59">
              <w:rPr>
                <w:b/>
                <w:bCs/>
                <w:szCs w:val="22"/>
                <w:vertAlign w:val="superscript"/>
              </w:rPr>
              <w:t>c</w:t>
            </w:r>
          </w:p>
          <w:p w14:paraId="095493F4" w14:textId="77777777" w:rsidR="000C6DE6" w:rsidRPr="007B7B59" w:rsidRDefault="000C6DE6" w:rsidP="00C80E4A">
            <w:pPr>
              <w:rPr>
                <w:szCs w:val="22"/>
              </w:rPr>
            </w:pPr>
            <w:r w:rsidRPr="007B7B59">
              <w:rPr>
                <w:szCs w:val="22"/>
              </w:rPr>
              <w:t>Visų pacienčių</w:t>
            </w:r>
          </w:p>
          <w:p w14:paraId="0CBCA86C" w14:textId="77777777" w:rsidR="000C6DE6" w:rsidRPr="007B7B59" w:rsidRDefault="000C6DE6" w:rsidP="00C80E4A">
            <w:pPr>
              <w:rPr>
                <w:szCs w:val="22"/>
              </w:rPr>
            </w:pPr>
            <w:r w:rsidRPr="007B7B59">
              <w:rPr>
                <w:szCs w:val="22"/>
              </w:rPr>
              <w:t>ER+ pacienčių</w:t>
            </w:r>
          </w:p>
        </w:tc>
        <w:tc>
          <w:tcPr>
            <w:tcW w:w="1984" w:type="dxa"/>
            <w:tcBorders>
              <w:top w:val="single" w:sz="4" w:space="0" w:color="auto"/>
              <w:left w:val="single" w:sz="4" w:space="0" w:color="auto"/>
              <w:bottom w:val="single" w:sz="4" w:space="0" w:color="auto"/>
              <w:right w:val="single" w:sz="4" w:space="0" w:color="auto"/>
            </w:tcBorders>
          </w:tcPr>
          <w:p w14:paraId="3C95F43A" w14:textId="77777777" w:rsidR="000C6DE6" w:rsidRPr="007B7B59" w:rsidRDefault="000C6DE6" w:rsidP="00C80E4A">
            <w:pPr>
              <w:rPr>
                <w:szCs w:val="22"/>
              </w:rPr>
            </w:pPr>
          </w:p>
          <w:p w14:paraId="5FC7295D" w14:textId="77777777" w:rsidR="000C6DE6" w:rsidRPr="007B7B59" w:rsidRDefault="000C6DE6" w:rsidP="00C80E4A">
            <w:pPr>
              <w:rPr>
                <w:szCs w:val="22"/>
              </w:rPr>
            </w:pPr>
          </w:p>
          <w:p w14:paraId="768ABBE2" w14:textId="77777777" w:rsidR="000C6DE6" w:rsidRPr="007B7B59" w:rsidRDefault="000C6DE6" w:rsidP="00C80E4A">
            <w:pPr>
              <w:rPr>
                <w:szCs w:val="22"/>
              </w:rPr>
            </w:pPr>
          </w:p>
          <w:p w14:paraId="4356CAE8" w14:textId="77777777" w:rsidR="000C6DE6" w:rsidRPr="007B7B59" w:rsidRDefault="000C6DE6" w:rsidP="00C80E4A">
            <w:pPr>
              <w:rPr>
                <w:szCs w:val="22"/>
              </w:rPr>
            </w:pPr>
            <w:r w:rsidRPr="007B7B59">
              <w:rPr>
                <w:bCs/>
                <w:szCs w:val="22"/>
              </w:rPr>
              <w:t>248</w:t>
            </w:r>
            <w:r w:rsidRPr="007B7B59">
              <w:rPr>
                <w:szCs w:val="22"/>
              </w:rPr>
              <w:t xml:space="preserve"> / 2352 (10,5 %)</w:t>
            </w:r>
          </w:p>
          <w:p w14:paraId="73B2FF38" w14:textId="77777777" w:rsidR="000C6DE6" w:rsidRPr="007B7B59" w:rsidRDefault="000C6DE6" w:rsidP="00C80E4A">
            <w:pPr>
              <w:rPr>
                <w:szCs w:val="22"/>
              </w:rPr>
            </w:pPr>
            <w:r w:rsidRPr="007B7B59">
              <w:rPr>
                <w:bCs/>
                <w:szCs w:val="22"/>
              </w:rPr>
              <w:t>194</w:t>
            </w:r>
            <w:r w:rsidRPr="007B7B59">
              <w:rPr>
                <w:szCs w:val="22"/>
              </w:rPr>
              <w:t xml:space="preserve"> / 2023 (9,6 %)</w:t>
            </w:r>
          </w:p>
        </w:tc>
        <w:tc>
          <w:tcPr>
            <w:tcW w:w="2126" w:type="dxa"/>
            <w:tcBorders>
              <w:top w:val="single" w:sz="4" w:space="0" w:color="auto"/>
              <w:left w:val="single" w:sz="4" w:space="0" w:color="auto"/>
              <w:bottom w:val="single" w:sz="4" w:space="0" w:color="auto"/>
              <w:right w:val="single" w:sz="4" w:space="0" w:color="auto"/>
            </w:tcBorders>
          </w:tcPr>
          <w:p w14:paraId="34F5F87D" w14:textId="77777777" w:rsidR="000C6DE6" w:rsidRPr="007B7B59" w:rsidRDefault="000C6DE6" w:rsidP="00C80E4A">
            <w:pPr>
              <w:rPr>
                <w:szCs w:val="22"/>
              </w:rPr>
            </w:pPr>
          </w:p>
          <w:p w14:paraId="5B4A91AD" w14:textId="77777777" w:rsidR="000C6DE6" w:rsidRPr="007B7B59" w:rsidRDefault="000C6DE6" w:rsidP="00C80E4A">
            <w:pPr>
              <w:rPr>
                <w:szCs w:val="22"/>
              </w:rPr>
            </w:pPr>
          </w:p>
          <w:p w14:paraId="56C37183" w14:textId="77777777" w:rsidR="000C6DE6" w:rsidRPr="007B7B59" w:rsidRDefault="000C6DE6" w:rsidP="00C80E4A">
            <w:pPr>
              <w:rPr>
                <w:szCs w:val="22"/>
              </w:rPr>
            </w:pPr>
          </w:p>
          <w:p w14:paraId="22E69C5D" w14:textId="77777777" w:rsidR="000C6DE6" w:rsidRPr="007B7B59" w:rsidRDefault="000C6DE6" w:rsidP="00C80E4A">
            <w:pPr>
              <w:rPr>
                <w:szCs w:val="22"/>
              </w:rPr>
            </w:pPr>
            <w:r w:rsidRPr="007B7B59">
              <w:rPr>
                <w:bCs/>
                <w:szCs w:val="22"/>
              </w:rPr>
              <w:t>297</w:t>
            </w:r>
            <w:r w:rsidRPr="007B7B59">
              <w:rPr>
                <w:szCs w:val="22"/>
              </w:rPr>
              <w:t xml:space="preserve"> / 2372 (12,5 %)</w:t>
            </w:r>
          </w:p>
          <w:p w14:paraId="0409533C" w14:textId="77777777" w:rsidR="000C6DE6" w:rsidRPr="007B7B59" w:rsidRDefault="000C6DE6" w:rsidP="00C80E4A">
            <w:pPr>
              <w:rPr>
                <w:szCs w:val="22"/>
              </w:rPr>
            </w:pPr>
            <w:r w:rsidRPr="007B7B59">
              <w:rPr>
                <w:bCs/>
                <w:szCs w:val="22"/>
              </w:rPr>
              <w:t>242</w:t>
            </w:r>
            <w:r w:rsidRPr="007B7B59">
              <w:rPr>
                <w:szCs w:val="22"/>
              </w:rPr>
              <w:t xml:space="preserve"> / 2021 (12,0 %)</w:t>
            </w:r>
          </w:p>
        </w:tc>
        <w:tc>
          <w:tcPr>
            <w:tcW w:w="1843" w:type="dxa"/>
            <w:tcBorders>
              <w:top w:val="single" w:sz="4" w:space="0" w:color="auto"/>
              <w:left w:val="single" w:sz="4" w:space="0" w:color="auto"/>
              <w:bottom w:val="single" w:sz="4" w:space="0" w:color="auto"/>
              <w:right w:val="single" w:sz="4" w:space="0" w:color="auto"/>
            </w:tcBorders>
          </w:tcPr>
          <w:p w14:paraId="74CAE828" w14:textId="77777777" w:rsidR="000C6DE6" w:rsidRPr="007B7B59" w:rsidRDefault="000C6DE6" w:rsidP="00C80E4A">
            <w:pPr>
              <w:rPr>
                <w:szCs w:val="22"/>
              </w:rPr>
            </w:pPr>
          </w:p>
          <w:p w14:paraId="27392BB0" w14:textId="77777777" w:rsidR="000C6DE6" w:rsidRPr="007B7B59" w:rsidRDefault="000C6DE6" w:rsidP="00C80E4A">
            <w:pPr>
              <w:rPr>
                <w:szCs w:val="22"/>
              </w:rPr>
            </w:pPr>
          </w:p>
          <w:p w14:paraId="574DBACE" w14:textId="77777777" w:rsidR="000C6DE6" w:rsidRPr="007B7B59" w:rsidRDefault="000C6DE6" w:rsidP="00C80E4A">
            <w:pPr>
              <w:rPr>
                <w:szCs w:val="22"/>
              </w:rPr>
            </w:pPr>
          </w:p>
          <w:p w14:paraId="5C044FB2" w14:textId="77777777" w:rsidR="000C6DE6" w:rsidRPr="007B7B59" w:rsidRDefault="000C6DE6" w:rsidP="00C80E4A">
            <w:pPr>
              <w:rPr>
                <w:szCs w:val="22"/>
              </w:rPr>
            </w:pPr>
            <w:r w:rsidRPr="007B7B59">
              <w:rPr>
                <w:szCs w:val="22"/>
              </w:rPr>
              <w:t>0,83 (0,70</w:t>
            </w:r>
            <w:r w:rsidRPr="007B7B59">
              <w:rPr>
                <w:szCs w:val="22"/>
              </w:rPr>
              <w:noBreakHyphen/>
              <w:t>0,98)</w:t>
            </w:r>
          </w:p>
          <w:p w14:paraId="2C7237DB" w14:textId="77777777" w:rsidR="000C6DE6" w:rsidRPr="007B7B59" w:rsidRDefault="000C6DE6" w:rsidP="00C80E4A">
            <w:pPr>
              <w:rPr>
                <w:szCs w:val="22"/>
              </w:rPr>
            </w:pPr>
            <w:r w:rsidRPr="007B7B59">
              <w:rPr>
                <w:szCs w:val="22"/>
              </w:rPr>
              <w:t>0,78 (0,65</w:t>
            </w:r>
            <w:r w:rsidRPr="007B7B59">
              <w:rPr>
                <w:szCs w:val="22"/>
              </w:rPr>
              <w:noBreakHyphen/>
              <w:t>0,95)</w:t>
            </w:r>
          </w:p>
        </w:tc>
        <w:tc>
          <w:tcPr>
            <w:tcW w:w="1134" w:type="dxa"/>
            <w:tcBorders>
              <w:top w:val="single" w:sz="4" w:space="0" w:color="auto"/>
              <w:left w:val="single" w:sz="4" w:space="0" w:color="auto"/>
              <w:bottom w:val="single" w:sz="4" w:space="0" w:color="auto"/>
              <w:right w:val="single" w:sz="4" w:space="0" w:color="auto"/>
            </w:tcBorders>
          </w:tcPr>
          <w:p w14:paraId="34D59E62" w14:textId="77777777" w:rsidR="000C6DE6" w:rsidRPr="007B7B59" w:rsidRDefault="000C6DE6" w:rsidP="00C80E4A">
            <w:pPr>
              <w:rPr>
                <w:szCs w:val="22"/>
              </w:rPr>
            </w:pPr>
          </w:p>
          <w:p w14:paraId="0229D692" w14:textId="77777777" w:rsidR="000C6DE6" w:rsidRPr="007B7B59" w:rsidRDefault="000C6DE6" w:rsidP="00C80E4A">
            <w:pPr>
              <w:rPr>
                <w:szCs w:val="22"/>
              </w:rPr>
            </w:pPr>
          </w:p>
          <w:p w14:paraId="1A193EA9" w14:textId="77777777" w:rsidR="000C6DE6" w:rsidRPr="007B7B59" w:rsidRDefault="000C6DE6" w:rsidP="00C80E4A">
            <w:pPr>
              <w:rPr>
                <w:szCs w:val="22"/>
              </w:rPr>
            </w:pPr>
          </w:p>
          <w:p w14:paraId="5585A5E6" w14:textId="77777777" w:rsidR="000C6DE6" w:rsidRPr="007B7B59" w:rsidRDefault="000C6DE6" w:rsidP="00C80E4A">
            <w:pPr>
              <w:rPr>
                <w:szCs w:val="22"/>
              </w:rPr>
            </w:pPr>
            <w:r w:rsidRPr="007B7B59">
              <w:rPr>
                <w:szCs w:val="22"/>
              </w:rPr>
              <w:t>0,02621</w:t>
            </w:r>
          </w:p>
          <w:p w14:paraId="033A447F" w14:textId="77777777" w:rsidR="000C6DE6" w:rsidRPr="007B7B59" w:rsidRDefault="000C6DE6" w:rsidP="00C80E4A">
            <w:pPr>
              <w:rPr>
                <w:szCs w:val="22"/>
              </w:rPr>
            </w:pPr>
            <w:r w:rsidRPr="007B7B59">
              <w:rPr>
                <w:szCs w:val="22"/>
              </w:rPr>
              <w:t>0,01123</w:t>
            </w:r>
          </w:p>
        </w:tc>
      </w:tr>
      <w:tr w:rsidR="000C6DE6" w:rsidRPr="007B7B59" w14:paraId="7CA69117" w14:textId="77777777" w:rsidTr="00687293">
        <w:tc>
          <w:tcPr>
            <w:tcW w:w="2235" w:type="dxa"/>
            <w:tcBorders>
              <w:top w:val="single" w:sz="4" w:space="0" w:color="auto"/>
              <w:left w:val="single" w:sz="4" w:space="0" w:color="auto"/>
              <w:bottom w:val="single" w:sz="4" w:space="0" w:color="auto"/>
              <w:right w:val="single" w:sz="4" w:space="0" w:color="auto"/>
            </w:tcBorders>
          </w:tcPr>
          <w:p w14:paraId="73A5D41D" w14:textId="77777777" w:rsidR="000C6DE6" w:rsidRPr="007B7B59" w:rsidRDefault="000C6DE6" w:rsidP="00C80E4A">
            <w:pPr>
              <w:rPr>
                <w:b/>
                <w:bCs/>
                <w:szCs w:val="22"/>
              </w:rPr>
            </w:pPr>
            <w:r w:rsidRPr="007B7B59">
              <w:rPr>
                <w:b/>
                <w:bCs/>
                <w:szCs w:val="22"/>
              </w:rPr>
              <w:t xml:space="preserve">Bendrasis </w:t>
            </w:r>
            <w:proofErr w:type="spellStart"/>
            <w:r w:rsidRPr="007B7B59">
              <w:rPr>
                <w:b/>
                <w:bCs/>
                <w:szCs w:val="22"/>
              </w:rPr>
              <w:t>išgyvenamumas</w:t>
            </w:r>
            <w:proofErr w:type="spellEnd"/>
            <w:r w:rsidRPr="007B7B59">
              <w:rPr>
                <w:b/>
                <w:bCs/>
                <w:szCs w:val="22"/>
              </w:rPr>
              <w:t xml:space="preserve"> </w:t>
            </w:r>
            <w:r w:rsidRPr="007B7B59">
              <w:rPr>
                <w:b/>
                <w:bCs/>
                <w:szCs w:val="22"/>
                <w:vertAlign w:val="superscript"/>
              </w:rPr>
              <w:t>d</w:t>
            </w:r>
          </w:p>
          <w:p w14:paraId="3BC74C41" w14:textId="77777777" w:rsidR="000C6DE6" w:rsidRPr="007B7B59" w:rsidRDefault="000C6DE6" w:rsidP="00C80E4A">
            <w:pPr>
              <w:rPr>
                <w:szCs w:val="22"/>
              </w:rPr>
            </w:pPr>
            <w:r w:rsidRPr="007B7B59">
              <w:rPr>
                <w:szCs w:val="22"/>
              </w:rPr>
              <w:t>Visų pacienčių</w:t>
            </w:r>
          </w:p>
          <w:p w14:paraId="67C52CDB" w14:textId="77777777" w:rsidR="000C6DE6" w:rsidRPr="007B7B59" w:rsidRDefault="000C6DE6" w:rsidP="00C80E4A">
            <w:pPr>
              <w:rPr>
                <w:szCs w:val="22"/>
              </w:rPr>
            </w:pPr>
            <w:r w:rsidRPr="007B7B59">
              <w:rPr>
                <w:szCs w:val="22"/>
              </w:rPr>
              <w:t>ER+ pacienčių</w:t>
            </w:r>
          </w:p>
        </w:tc>
        <w:tc>
          <w:tcPr>
            <w:tcW w:w="1984" w:type="dxa"/>
            <w:tcBorders>
              <w:top w:val="single" w:sz="4" w:space="0" w:color="auto"/>
              <w:left w:val="single" w:sz="4" w:space="0" w:color="auto"/>
              <w:bottom w:val="single" w:sz="4" w:space="0" w:color="auto"/>
              <w:right w:val="single" w:sz="4" w:space="0" w:color="auto"/>
            </w:tcBorders>
          </w:tcPr>
          <w:p w14:paraId="1256C632" w14:textId="77777777" w:rsidR="000C6DE6" w:rsidRPr="007B7B59" w:rsidRDefault="000C6DE6" w:rsidP="00C80E4A">
            <w:pPr>
              <w:rPr>
                <w:szCs w:val="22"/>
              </w:rPr>
            </w:pPr>
          </w:p>
          <w:p w14:paraId="25FE3093" w14:textId="77777777" w:rsidR="000C6DE6" w:rsidRPr="007B7B59" w:rsidRDefault="000C6DE6" w:rsidP="00C80E4A">
            <w:pPr>
              <w:rPr>
                <w:szCs w:val="22"/>
              </w:rPr>
            </w:pPr>
          </w:p>
          <w:p w14:paraId="239A4B06" w14:textId="77777777" w:rsidR="000C6DE6" w:rsidRPr="007B7B59" w:rsidRDefault="000C6DE6" w:rsidP="00C80E4A">
            <w:pPr>
              <w:rPr>
                <w:szCs w:val="22"/>
              </w:rPr>
            </w:pPr>
            <w:r w:rsidRPr="007B7B59">
              <w:rPr>
                <w:bCs/>
                <w:szCs w:val="22"/>
              </w:rPr>
              <w:t xml:space="preserve">222 </w:t>
            </w:r>
            <w:r w:rsidRPr="007B7B59">
              <w:rPr>
                <w:szCs w:val="22"/>
              </w:rPr>
              <w:t>/ 2352 (9,4 %)</w:t>
            </w:r>
          </w:p>
          <w:p w14:paraId="713CF3ED" w14:textId="77777777" w:rsidR="000C6DE6" w:rsidRPr="007B7B59" w:rsidRDefault="000C6DE6" w:rsidP="00C80E4A">
            <w:pPr>
              <w:rPr>
                <w:szCs w:val="22"/>
              </w:rPr>
            </w:pPr>
            <w:r w:rsidRPr="007B7B59">
              <w:rPr>
                <w:bCs/>
                <w:szCs w:val="22"/>
              </w:rPr>
              <w:t>178</w:t>
            </w:r>
            <w:r w:rsidRPr="007B7B59">
              <w:rPr>
                <w:szCs w:val="22"/>
              </w:rPr>
              <w:t xml:space="preserve"> / 2023 (8,8 %)</w:t>
            </w:r>
          </w:p>
        </w:tc>
        <w:tc>
          <w:tcPr>
            <w:tcW w:w="2126" w:type="dxa"/>
            <w:tcBorders>
              <w:top w:val="single" w:sz="4" w:space="0" w:color="auto"/>
              <w:left w:val="single" w:sz="4" w:space="0" w:color="auto"/>
              <w:bottom w:val="single" w:sz="4" w:space="0" w:color="auto"/>
              <w:right w:val="single" w:sz="4" w:space="0" w:color="auto"/>
            </w:tcBorders>
          </w:tcPr>
          <w:p w14:paraId="4A66C7A1" w14:textId="77777777" w:rsidR="000C6DE6" w:rsidRPr="007B7B59" w:rsidRDefault="000C6DE6" w:rsidP="00C80E4A">
            <w:pPr>
              <w:rPr>
                <w:szCs w:val="22"/>
              </w:rPr>
            </w:pPr>
          </w:p>
          <w:p w14:paraId="64054121" w14:textId="77777777" w:rsidR="000C6DE6" w:rsidRPr="007B7B59" w:rsidRDefault="000C6DE6" w:rsidP="00C80E4A">
            <w:pPr>
              <w:rPr>
                <w:szCs w:val="22"/>
              </w:rPr>
            </w:pPr>
          </w:p>
          <w:p w14:paraId="38A0806E" w14:textId="77777777" w:rsidR="000C6DE6" w:rsidRPr="007B7B59" w:rsidRDefault="000C6DE6" w:rsidP="00C80E4A">
            <w:pPr>
              <w:rPr>
                <w:szCs w:val="22"/>
              </w:rPr>
            </w:pPr>
            <w:r w:rsidRPr="007B7B59">
              <w:rPr>
                <w:bCs/>
                <w:szCs w:val="22"/>
              </w:rPr>
              <w:t>262</w:t>
            </w:r>
            <w:r w:rsidRPr="007B7B59">
              <w:rPr>
                <w:szCs w:val="22"/>
              </w:rPr>
              <w:t xml:space="preserve"> / 2372 (11,0 %)</w:t>
            </w:r>
          </w:p>
          <w:p w14:paraId="006BD5F4" w14:textId="77777777" w:rsidR="000C6DE6" w:rsidRPr="007B7B59" w:rsidRDefault="000C6DE6" w:rsidP="00C80E4A">
            <w:pPr>
              <w:rPr>
                <w:szCs w:val="22"/>
              </w:rPr>
            </w:pPr>
            <w:r w:rsidRPr="007B7B59">
              <w:rPr>
                <w:bCs/>
                <w:szCs w:val="22"/>
              </w:rPr>
              <w:t>211</w:t>
            </w:r>
            <w:r w:rsidRPr="007B7B59">
              <w:rPr>
                <w:szCs w:val="22"/>
              </w:rPr>
              <w:t xml:space="preserve"> / 2021 (10,4 %)</w:t>
            </w:r>
          </w:p>
        </w:tc>
        <w:tc>
          <w:tcPr>
            <w:tcW w:w="1843" w:type="dxa"/>
            <w:tcBorders>
              <w:top w:val="single" w:sz="4" w:space="0" w:color="auto"/>
              <w:left w:val="single" w:sz="4" w:space="0" w:color="auto"/>
              <w:bottom w:val="single" w:sz="4" w:space="0" w:color="auto"/>
              <w:right w:val="single" w:sz="4" w:space="0" w:color="auto"/>
            </w:tcBorders>
          </w:tcPr>
          <w:p w14:paraId="43FBAAE3" w14:textId="77777777" w:rsidR="000C6DE6" w:rsidRPr="007B7B59" w:rsidRDefault="000C6DE6" w:rsidP="00C80E4A">
            <w:pPr>
              <w:rPr>
                <w:szCs w:val="22"/>
              </w:rPr>
            </w:pPr>
          </w:p>
          <w:p w14:paraId="28D7979D" w14:textId="77777777" w:rsidR="000C6DE6" w:rsidRPr="007B7B59" w:rsidRDefault="000C6DE6" w:rsidP="00C80E4A">
            <w:pPr>
              <w:rPr>
                <w:szCs w:val="22"/>
              </w:rPr>
            </w:pPr>
          </w:p>
          <w:p w14:paraId="71E03C79" w14:textId="77777777" w:rsidR="000C6DE6" w:rsidRPr="007B7B59" w:rsidRDefault="000C6DE6" w:rsidP="00C80E4A">
            <w:pPr>
              <w:rPr>
                <w:szCs w:val="22"/>
              </w:rPr>
            </w:pPr>
            <w:r w:rsidRPr="007B7B59">
              <w:rPr>
                <w:szCs w:val="22"/>
              </w:rPr>
              <w:t>0,85 (0,71</w:t>
            </w:r>
            <w:r w:rsidRPr="007B7B59">
              <w:rPr>
                <w:szCs w:val="22"/>
              </w:rPr>
              <w:noBreakHyphen/>
              <w:t>1,02)</w:t>
            </w:r>
          </w:p>
          <w:p w14:paraId="427CD103" w14:textId="77777777" w:rsidR="000C6DE6" w:rsidRPr="007B7B59" w:rsidRDefault="000C6DE6" w:rsidP="00C80E4A">
            <w:pPr>
              <w:rPr>
                <w:szCs w:val="22"/>
              </w:rPr>
            </w:pPr>
            <w:r w:rsidRPr="007B7B59">
              <w:rPr>
                <w:szCs w:val="22"/>
              </w:rPr>
              <w:t>0,84 (0,68</w:t>
            </w:r>
            <w:r w:rsidRPr="007B7B59">
              <w:rPr>
                <w:szCs w:val="22"/>
              </w:rPr>
              <w:noBreakHyphen/>
              <w:t>1,02)</w:t>
            </w:r>
          </w:p>
        </w:tc>
        <w:tc>
          <w:tcPr>
            <w:tcW w:w="1134" w:type="dxa"/>
            <w:tcBorders>
              <w:top w:val="single" w:sz="4" w:space="0" w:color="auto"/>
              <w:left w:val="single" w:sz="4" w:space="0" w:color="auto"/>
              <w:bottom w:val="single" w:sz="4" w:space="0" w:color="auto"/>
              <w:right w:val="single" w:sz="4" w:space="0" w:color="auto"/>
            </w:tcBorders>
          </w:tcPr>
          <w:p w14:paraId="496B3F06" w14:textId="77777777" w:rsidR="000C6DE6" w:rsidRPr="007B7B59" w:rsidRDefault="000C6DE6" w:rsidP="00C80E4A">
            <w:pPr>
              <w:rPr>
                <w:szCs w:val="22"/>
              </w:rPr>
            </w:pPr>
          </w:p>
          <w:p w14:paraId="325DA857" w14:textId="77777777" w:rsidR="000C6DE6" w:rsidRPr="007B7B59" w:rsidRDefault="000C6DE6" w:rsidP="00C80E4A">
            <w:pPr>
              <w:rPr>
                <w:szCs w:val="22"/>
              </w:rPr>
            </w:pPr>
          </w:p>
          <w:p w14:paraId="4E0FDF4E" w14:textId="77777777" w:rsidR="000C6DE6" w:rsidRPr="007B7B59" w:rsidRDefault="000C6DE6" w:rsidP="00C80E4A">
            <w:pPr>
              <w:rPr>
                <w:szCs w:val="22"/>
              </w:rPr>
            </w:pPr>
            <w:r w:rsidRPr="007B7B59">
              <w:rPr>
                <w:szCs w:val="22"/>
              </w:rPr>
              <w:t>0,07362</w:t>
            </w:r>
          </w:p>
          <w:p w14:paraId="51F69B09" w14:textId="77777777" w:rsidR="000C6DE6" w:rsidRPr="007B7B59" w:rsidRDefault="000C6DE6" w:rsidP="00C80E4A">
            <w:pPr>
              <w:rPr>
                <w:szCs w:val="22"/>
              </w:rPr>
            </w:pPr>
            <w:r w:rsidRPr="007B7B59">
              <w:rPr>
                <w:szCs w:val="22"/>
              </w:rPr>
              <w:t>0,07569</w:t>
            </w:r>
          </w:p>
        </w:tc>
      </w:tr>
    </w:tbl>
    <w:p w14:paraId="1D1923FB" w14:textId="77777777" w:rsidR="000C6DE6" w:rsidRPr="007B7B59" w:rsidRDefault="000C6DE6" w:rsidP="000C6DE6">
      <w:pPr>
        <w:rPr>
          <w:szCs w:val="22"/>
        </w:rPr>
      </w:pPr>
    </w:p>
    <w:p w14:paraId="68861B23" w14:textId="77777777" w:rsidR="000C6DE6" w:rsidRPr="007B7B59" w:rsidRDefault="000C6DE6" w:rsidP="000C6DE6">
      <w:pPr>
        <w:rPr>
          <w:szCs w:val="22"/>
        </w:rPr>
      </w:pPr>
      <w:r w:rsidRPr="007B7B59">
        <w:rPr>
          <w:szCs w:val="22"/>
        </w:rPr>
        <w:t xml:space="preserve">* </w:t>
      </w:r>
      <w:proofErr w:type="spellStart"/>
      <w:r w:rsidRPr="007B7B59">
        <w:rPr>
          <w:i/>
          <w:szCs w:val="22"/>
        </w:rPr>
        <w:t>Log-rank</w:t>
      </w:r>
      <w:proofErr w:type="spellEnd"/>
      <w:r w:rsidRPr="007B7B59">
        <w:rPr>
          <w:i/>
          <w:szCs w:val="22"/>
        </w:rPr>
        <w:t xml:space="preserve"> </w:t>
      </w:r>
      <w:r w:rsidRPr="007B7B59">
        <w:rPr>
          <w:szCs w:val="22"/>
        </w:rPr>
        <w:t>testas; ER+ pacientės = pacientės, kurioms nustatyti teigiami estrogenų receptoriai.</w:t>
      </w:r>
    </w:p>
    <w:p w14:paraId="7BCC0E70" w14:textId="77777777" w:rsidR="000C6DE6" w:rsidRPr="007B7B59" w:rsidRDefault="000C6DE6" w:rsidP="000C6DE6">
      <w:pPr>
        <w:rPr>
          <w:szCs w:val="22"/>
        </w:rPr>
      </w:pPr>
      <w:r w:rsidRPr="007B7B59">
        <w:rPr>
          <w:szCs w:val="22"/>
        </w:rPr>
        <w:t xml:space="preserve">a </w:t>
      </w:r>
      <w:proofErr w:type="spellStart"/>
      <w:r w:rsidRPr="007B7B59">
        <w:rPr>
          <w:szCs w:val="22"/>
        </w:rPr>
        <w:t>Išgyvenamumas</w:t>
      </w:r>
      <w:proofErr w:type="spellEnd"/>
      <w:r w:rsidRPr="007B7B59">
        <w:rPr>
          <w:szCs w:val="22"/>
        </w:rPr>
        <w:t xml:space="preserve"> be ligos – tai laikotarpis, per kurį įvyksta lokalus ar atokus ligos pasikartojimas, kitos krūties vėžys arba pacientės mirtis dėl bet kurios priežasties.</w:t>
      </w:r>
    </w:p>
    <w:p w14:paraId="5E52E123" w14:textId="77777777" w:rsidR="000C6DE6" w:rsidRPr="007B7B59" w:rsidRDefault="000C6DE6" w:rsidP="000C6DE6">
      <w:pPr>
        <w:rPr>
          <w:szCs w:val="22"/>
        </w:rPr>
      </w:pPr>
      <w:r w:rsidRPr="007B7B59">
        <w:rPr>
          <w:szCs w:val="22"/>
        </w:rPr>
        <w:t xml:space="preserve">b </w:t>
      </w:r>
      <w:proofErr w:type="spellStart"/>
      <w:r w:rsidRPr="007B7B59">
        <w:rPr>
          <w:szCs w:val="22"/>
        </w:rPr>
        <w:t>Išgyvenamumas</w:t>
      </w:r>
      <w:proofErr w:type="spellEnd"/>
      <w:r w:rsidRPr="007B7B59">
        <w:rPr>
          <w:szCs w:val="22"/>
        </w:rPr>
        <w:t xml:space="preserve"> be krūties vėžio – tai laikotarpis, per kurį įvyksta lokalus ar atokus ligos pasikartojimas, kitos krūties vėžys arba pacientės mirtis dėl krūties vėžio.</w:t>
      </w:r>
    </w:p>
    <w:p w14:paraId="2C93DEB2" w14:textId="77777777" w:rsidR="000C6DE6" w:rsidRPr="007B7B59" w:rsidRDefault="000C6DE6" w:rsidP="000C6DE6">
      <w:pPr>
        <w:rPr>
          <w:szCs w:val="22"/>
        </w:rPr>
      </w:pPr>
      <w:r w:rsidRPr="007B7B59">
        <w:rPr>
          <w:szCs w:val="22"/>
        </w:rPr>
        <w:t xml:space="preserve">c </w:t>
      </w:r>
      <w:proofErr w:type="spellStart"/>
      <w:r w:rsidRPr="007B7B59">
        <w:rPr>
          <w:szCs w:val="22"/>
        </w:rPr>
        <w:t>Išgyvenamumas</w:t>
      </w:r>
      <w:proofErr w:type="spellEnd"/>
      <w:r w:rsidRPr="007B7B59">
        <w:rPr>
          <w:szCs w:val="22"/>
        </w:rPr>
        <w:t xml:space="preserve"> be atokaus ligos pasikartojimo – tai laikotarpis, per kurį įvyksta atokus ligos pasikartojimas arba pacientės mirtis dėl krūties vėžio.</w:t>
      </w:r>
    </w:p>
    <w:p w14:paraId="3FD32A7B" w14:textId="77777777" w:rsidR="000C6DE6" w:rsidRPr="007B7B59" w:rsidRDefault="000C6DE6" w:rsidP="000C6DE6">
      <w:pPr>
        <w:rPr>
          <w:szCs w:val="22"/>
        </w:rPr>
      </w:pPr>
      <w:r w:rsidRPr="007B7B59">
        <w:rPr>
          <w:szCs w:val="22"/>
        </w:rPr>
        <w:t xml:space="preserve">d Bendrasis </w:t>
      </w:r>
      <w:proofErr w:type="spellStart"/>
      <w:r w:rsidRPr="007B7B59">
        <w:rPr>
          <w:szCs w:val="22"/>
        </w:rPr>
        <w:t>išgyvenamumas</w:t>
      </w:r>
      <w:proofErr w:type="spellEnd"/>
      <w:r w:rsidRPr="007B7B59">
        <w:rPr>
          <w:szCs w:val="22"/>
        </w:rPr>
        <w:t xml:space="preserve"> – tai laikotarpis, per kurį įvyksta pacientės mirtis dėl bet kurios priežasties.</w:t>
      </w:r>
    </w:p>
    <w:p w14:paraId="23118607" w14:textId="77777777" w:rsidR="000C6DE6" w:rsidRPr="007B7B59" w:rsidRDefault="000C6DE6" w:rsidP="000C6DE6">
      <w:pPr>
        <w:rPr>
          <w:szCs w:val="22"/>
        </w:rPr>
      </w:pPr>
    </w:p>
    <w:p w14:paraId="724F901C" w14:textId="77777777" w:rsidR="000C6DE6" w:rsidRPr="007B7B59" w:rsidRDefault="000C6DE6" w:rsidP="000C6DE6">
      <w:pPr>
        <w:rPr>
          <w:szCs w:val="22"/>
        </w:rPr>
      </w:pPr>
      <w:r w:rsidRPr="007B7B59">
        <w:rPr>
          <w:szCs w:val="22"/>
        </w:rPr>
        <w:lastRenderedPageBreak/>
        <w:t xml:space="preserve">Papildomos pacienčių, kurioms nustatyti teigiami </w:t>
      </w:r>
      <w:r w:rsidRPr="00341B9D">
        <w:rPr>
          <w:bCs/>
          <w:szCs w:val="22"/>
        </w:rPr>
        <w:t>estrogenų</w:t>
      </w:r>
      <w:r w:rsidRPr="007B7B59">
        <w:rPr>
          <w:szCs w:val="22"/>
        </w:rPr>
        <w:t xml:space="preserve"> receptoriai, ar kurių estrogenų receptorių būklė nežinoma, poaibio analizės duomenimis, nekoreguoto bendrojo </w:t>
      </w:r>
      <w:proofErr w:type="spellStart"/>
      <w:r w:rsidRPr="007B7B59">
        <w:rPr>
          <w:szCs w:val="22"/>
        </w:rPr>
        <w:t>išgyvenamumo</w:t>
      </w:r>
      <w:proofErr w:type="spellEnd"/>
      <w:r w:rsidRPr="007B7B59">
        <w:rPr>
          <w:szCs w:val="22"/>
        </w:rPr>
        <w:t xml:space="preserve"> rizikos santykis buvo 0,83 (</w:t>
      </w:r>
      <w:proofErr w:type="spellStart"/>
      <w:r w:rsidRPr="007B7B59">
        <w:rPr>
          <w:i/>
          <w:szCs w:val="22"/>
        </w:rPr>
        <w:t>log-rank</w:t>
      </w:r>
      <w:proofErr w:type="spellEnd"/>
      <w:r w:rsidRPr="007B7B59">
        <w:rPr>
          <w:i/>
          <w:szCs w:val="22"/>
        </w:rPr>
        <w:t xml:space="preserve"> </w:t>
      </w:r>
      <w:r w:rsidRPr="007B7B59">
        <w:rPr>
          <w:szCs w:val="22"/>
        </w:rPr>
        <w:t>testas: p = 0,04250), pasireiškiantis kliniškai ir statistiškai reikšmingu mirtingumo sumažėjimu 17 %.</w:t>
      </w:r>
    </w:p>
    <w:p w14:paraId="71586CA4" w14:textId="77777777" w:rsidR="000C6DE6" w:rsidRPr="007B7B59" w:rsidRDefault="000C6DE6" w:rsidP="000C6DE6">
      <w:pPr>
        <w:rPr>
          <w:szCs w:val="22"/>
        </w:rPr>
      </w:pPr>
    </w:p>
    <w:p w14:paraId="684CD420" w14:textId="77777777" w:rsidR="000C6DE6" w:rsidRPr="007B7B59" w:rsidRDefault="000C6DE6" w:rsidP="000C6DE6">
      <w:pPr>
        <w:rPr>
          <w:szCs w:val="22"/>
        </w:rPr>
      </w:pPr>
      <w:r w:rsidRPr="007B7B59">
        <w:rPr>
          <w:szCs w:val="22"/>
        </w:rPr>
        <w:t xml:space="preserve">Kaulų struktūros pokyčių </w:t>
      </w:r>
      <w:r w:rsidRPr="007B7B59">
        <w:rPr>
          <w:i/>
          <w:iCs/>
          <w:szCs w:val="22"/>
        </w:rPr>
        <w:t xml:space="preserve">IES </w:t>
      </w:r>
      <w:r w:rsidRPr="007B7B59">
        <w:rPr>
          <w:szCs w:val="22"/>
        </w:rPr>
        <w:t>tyrimo rezultatai parodė, kad gydant moteris AROMASIN po 2</w:t>
      </w:r>
      <w:r w:rsidRPr="007B7B59">
        <w:rPr>
          <w:szCs w:val="22"/>
        </w:rPr>
        <w:noBreakHyphen/>
        <w:t xml:space="preserve">3 metų gydymo </w:t>
      </w:r>
      <w:proofErr w:type="spellStart"/>
      <w:r w:rsidRPr="007B7B59">
        <w:rPr>
          <w:szCs w:val="22"/>
        </w:rPr>
        <w:t>tamoksifenu</w:t>
      </w:r>
      <w:proofErr w:type="spellEnd"/>
      <w:r w:rsidRPr="007B7B59">
        <w:rPr>
          <w:szCs w:val="22"/>
        </w:rPr>
        <w:t xml:space="preserve"> vidutiniškai padidina kaulų retėjimą. Lūžių atvejai tarp pacienčių, 30 mėnesių gydytų AROMASIN, buvo dažnesni, palyginti su gydytomis </w:t>
      </w:r>
      <w:proofErr w:type="spellStart"/>
      <w:r w:rsidRPr="007B7B59">
        <w:rPr>
          <w:szCs w:val="22"/>
        </w:rPr>
        <w:t>tamoksifenu</w:t>
      </w:r>
      <w:proofErr w:type="spellEnd"/>
      <w:r w:rsidRPr="007B7B59">
        <w:rPr>
          <w:szCs w:val="22"/>
        </w:rPr>
        <w:t xml:space="preserve"> (atitinkamai 4,5 </w:t>
      </w:r>
      <w:r w:rsidRPr="007B7B59">
        <w:rPr>
          <w:szCs w:val="22"/>
        </w:rPr>
        <w:sym w:font="Symbol" w:char="0025"/>
      </w:r>
      <w:r w:rsidRPr="007B7B59">
        <w:rPr>
          <w:szCs w:val="22"/>
        </w:rPr>
        <w:t xml:space="preserve"> ir 3,3 </w:t>
      </w:r>
      <w:r w:rsidRPr="007B7B59">
        <w:rPr>
          <w:szCs w:val="22"/>
        </w:rPr>
        <w:sym w:font="Symbol" w:char="0025"/>
      </w:r>
      <w:r w:rsidRPr="007B7B59">
        <w:rPr>
          <w:szCs w:val="22"/>
        </w:rPr>
        <w:t>, p = 0,038).</w:t>
      </w:r>
    </w:p>
    <w:p w14:paraId="6672B5E6" w14:textId="77777777" w:rsidR="000C6DE6" w:rsidRPr="007B7B59" w:rsidRDefault="000C6DE6" w:rsidP="000C6DE6">
      <w:pPr>
        <w:rPr>
          <w:szCs w:val="22"/>
        </w:rPr>
      </w:pPr>
    </w:p>
    <w:p w14:paraId="59B9366F" w14:textId="77777777" w:rsidR="000C6DE6" w:rsidRPr="007B7B59" w:rsidRDefault="000C6DE6" w:rsidP="000C6DE6">
      <w:pPr>
        <w:rPr>
          <w:szCs w:val="22"/>
        </w:rPr>
      </w:pPr>
      <w:r w:rsidRPr="007B7B59">
        <w:rPr>
          <w:szCs w:val="22"/>
        </w:rPr>
        <w:t xml:space="preserve">Gimdos gleivinės </w:t>
      </w:r>
      <w:r w:rsidRPr="007B7B59">
        <w:rPr>
          <w:i/>
          <w:iCs/>
          <w:szCs w:val="22"/>
        </w:rPr>
        <w:t xml:space="preserve">IES </w:t>
      </w:r>
      <w:r w:rsidRPr="007B7B59">
        <w:rPr>
          <w:szCs w:val="22"/>
        </w:rPr>
        <w:t>tyrimų rezultatai parodė, kad 2 metus gydant AROMASIN, vidutiniškai 33 </w:t>
      </w:r>
      <w:r w:rsidRPr="007B7B59">
        <w:rPr>
          <w:szCs w:val="22"/>
        </w:rPr>
        <w:sym w:font="Symbol" w:char="0025"/>
      </w:r>
      <w:r w:rsidRPr="007B7B59">
        <w:rPr>
          <w:szCs w:val="22"/>
        </w:rPr>
        <w:t xml:space="preserve"> sumažėjo gimdos gleivinės storis, palyginti su nestebimu pokyčiu, gydant pacientes </w:t>
      </w:r>
      <w:proofErr w:type="spellStart"/>
      <w:r w:rsidRPr="007B7B59">
        <w:rPr>
          <w:szCs w:val="22"/>
        </w:rPr>
        <w:t>tamoksifenu</w:t>
      </w:r>
      <w:proofErr w:type="spellEnd"/>
      <w:r w:rsidRPr="007B7B59">
        <w:rPr>
          <w:szCs w:val="22"/>
        </w:rPr>
        <w:t xml:space="preserve">. Gydymo pradžioje atsiradęs gimdos gleivinės išvešėjimas 54 </w:t>
      </w:r>
      <w:r w:rsidRPr="007B7B59">
        <w:rPr>
          <w:szCs w:val="22"/>
        </w:rPr>
        <w:sym w:font="Symbol" w:char="0025"/>
      </w:r>
      <w:r w:rsidRPr="007B7B59">
        <w:rPr>
          <w:szCs w:val="22"/>
        </w:rPr>
        <w:t xml:space="preserve"> pacienčių, gydytų AROMASIN, vėliau normalizuojasi (&lt; 5 mm). </w:t>
      </w:r>
    </w:p>
    <w:p w14:paraId="316A2029" w14:textId="77777777" w:rsidR="000C6DE6" w:rsidRPr="007B7B59" w:rsidRDefault="000C6DE6" w:rsidP="000C6DE6">
      <w:pPr>
        <w:rPr>
          <w:szCs w:val="22"/>
        </w:rPr>
      </w:pPr>
    </w:p>
    <w:p w14:paraId="4F608495" w14:textId="77777777" w:rsidR="000C6DE6" w:rsidRPr="007B7B59" w:rsidRDefault="000C6DE6" w:rsidP="000C6DE6">
      <w:pPr>
        <w:rPr>
          <w:iCs/>
          <w:szCs w:val="22"/>
          <w:u w:val="single"/>
        </w:rPr>
      </w:pPr>
      <w:r w:rsidRPr="007B7B59">
        <w:rPr>
          <w:iCs/>
          <w:szCs w:val="22"/>
          <w:u w:val="single"/>
        </w:rPr>
        <w:t xml:space="preserve">Vidutiniškai 87 mėnesių stebėjimas </w:t>
      </w:r>
      <w:r w:rsidRPr="007B7B59">
        <w:rPr>
          <w:i/>
          <w:szCs w:val="22"/>
          <w:u w:val="single"/>
        </w:rPr>
        <w:t>IES</w:t>
      </w:r>
      <w:r w:rsidRPr="007B7B59">
        <w:rPr>
          <w:iCs/>
          <w:szCs w:val="22"/>
          <w:u w:val="single"/>
        </w:rPr>
        <w:t xml:space="preserve"> tyrimo metu</w:t>
      </w:r>
    </w:p>
    <w:p w14:paraId="44CB311A" w14:textId="77777777" w:rsidR="000C6DE6" w:rsidRPr="007B7B59" w:rsidRDefault="000C6DE6" w:rsidP="000C6DE6">
      <w:pPr>
        <w:rPr>
          <w:szCs w:val="22"/>
        </w:rPr>
      </w:pPr>
    </w:p>
    <w:p w14:paraId="42279EA4" w14:textId="77777777" w:rsidR="000C6DE6" w:rsidRPr="007B7B59" w:rsidRDefault="000C6DE6" w:rsidP="000C6DE6">
      <w:pPr>
        <w:rPr>
          <w:szCs w:val="22"/>
        </w:rPr>
      </w:pPr>
      <w:r w:rsidRPr="007B7B59">
        <w:rPr>
          <w:szCs w:val="22"/>
        </w:rPr>
        <w:t xml:space="preserve">Ši atnaujinta analizė po 87 mėnesių stebėjimo, kuria remiantis, reikšmingai pagerėjo pacienčių </w:t>
      </w:r>
      <w:proofErr w:type="spellStart"/>
      <w:r w:rsidRPr="007B7B59">
        <w:rPr>
          <w:szCs w:val="22"/>
        </w:rPr>
        <w:t>išgyvenamumas</w:t>
      </w:r>
      <w:proofErr w:type="spellEnd"/>
      <w:r w:rsidRPr="007B7B59">
        <w:rPr>
          <w:szCs w:val="22"/>
        </w:rPr>
        <w:t xml:space="preserve"> be ligos vartojant </w:t>
      </w:r>
      <w:proofErr w:type="spellStart"/>
      <w:r w:rsidRPr="007B7B59">
        <w:rPr>
          <w:szCs w:val="22"/>
        </w:rPr>
        <w:t>eksemestaną</w:t>
      </w:r>
      <w:proofErr w:type="spellEnd"/>
      <w:r w:rsidRPr="007B7B59">
        <w:rPr>
          <w:szCs w:val="22"/>
        </w:rPr>
        <w:t xml:space="preserve">, patvirtino ankstesnės analizės duomenis. Stebėjimo laikotarpio rezultatai parodė, kad </w:t>
      </w:r>
      <w:proofErr w:type="spellStart"/>
      <w:r w:rsidRPr="007B7B59">
        <w:rPr>
          <w:szCs w:val="22"/>
        </w:rPr>
        <w:t>eksemestanas</w:t>
      </w:r>
      <w:proofErr w:type="spellEnd"/>
      <w:r w:rsidRPr="007B7B59">
        <w:rPr>
          <w:szCs w:val="22"/>
        </w:rPr>
        <w:t xml:space="preserve">, palyginti su </w:t>
      </w:r>
      <w:proofErr w:type="spellStart"/>
      <w:r w:rsidRPr="007B7B59">
        <w:rPr>
          <w:szCs w:val="22"/>
        </w:rPr>
        <w:t>tamoksifenu</w:t>
      </w:r>
      <w:proofErr w:type="spellEnd"/>
      <w:r w:rsidRPr="007B7B59">
        <w:rPr>
          <w:szCs w:val="22"/>
        </w:rPr>
        <w:t>, reikšmingai sumažino krūties vėžio recidyvo riziką 16 % (rizikos santykis 0,84; p = 0,002).</w:t>
      </w:r>
    </w:p>
    <w:p w14:paraId="04FDDE83" w14:textId="77777777" w:rsidR="000C6DE6" w:rsidRPr="007B7B59" w:rsidRDefault="000C6DE6" w:rsidP="000C6DE6">
      <w:pPr>
        <w:rPr>
          <w:szCs w:val="22"/>
        </w:rPr>
      </w:pPr>
      <w:r w:rsidRPr="007B7B59">
        <w:rPr>
          <w:szCs w:val="22"/>
        </w:rPr>
        <w:t xml:space="preserve">Atsižvelgiant į </w:t>
      </w:r>
      <w:proofErr w:type="spellStart"/>
      <w:r w:rsidRPr="007B7B59">
        <w:rPr>
          <w:szCs w:val="22"/>
        </w:rPr>
        <w:t>išgyvenamumą</w:t>
      </w:r>
      <w:proofErr w:type="spellEnd"/>
      <w:r w:rsidRPr="007B7B59">
        <w:rPr>
          <w:szCs w:val="22"/>
        </w:rPr>
        <w:t xml:space="preserve"> be ligos, buvo akivaizdus naudingas </w:t>
      </w:r>
      <w:proofErr w:type="spellStart"/>
      <w:r w:rsidRPr="007B7B59">
        <w:rPr>
          <w:szCs w:val="22"/>
        </w:rPr>
        <w:t>eksemestano</w:t>
      </w:r>
      <w:proofErr w:type="spellEnd"/>
      <w:r w:rsidRPr="007B7B59">
        <w:rPr>
          <w:szCs w:val="22"/>
        </w:rPr>
        <w:t xml:space="preserve"> poveikis, palyginti su </w:t>
      </w:r>
      <w:proofErr w:type="spellStart"/>
      <w:r w:rsidRPr="007B7B59">
        <w:rPr>
          <w:szCs w:val="22"/>
        </w:rPr>
        <w:t>tamoksifenu</w:t>
      </w:r>
      <w:proofErr w:type="spellEnd"/>
      <w:r w:rsidRPr="007B7B59">
        <w:rPr>
          <w:szCs w:val="22"/>
        </w:rPr>
        <w:t xml:space="preserve">, nepriklausomai nuo naviko būklės arba anksčiau taikytos chemoterapijos ar hormoninio gydymo. </w:t>
      </w:r>
    </w:p>
    <w:p w14:paraId="1A4DEE68" w14:textId="77777777" w:rsidR="000C6DE6" w:rsidRPr="007B7B59" w:rsidRDefault="000C6DE6" w:rsidP="000C6DE6">
      <w:pPr>
        <w:rPr>
          <w:szCs w:val="22"/>
        </w:rPr>
      </w:pPr>
    </w:p>
    <w:p w14:paraId="3ABFC2B4" w14:textId="77777777" w:rsidR="000C6DE6" w:rsidRPr="007B7B59" w:rsidRDefault="000C6DE6" w:rsidP="000C6DE6">
      <w:pPr>
        <w:rPr>
          <w:szCs w:val="22"/>
        </w:rPr>
      </w:pPr>
      <w:r w:rsidRPr="007B7B59">
        <w:rPr>
          <w:szCs w:val="22"/>
        </w:rPr>
        <w:t xml:space="preserve">Be to, </w:t>
      </w:r>
      <w:proofErr w:type="spellStart"/>
      <w:r w:rsidRPr="007B7B59">
        <w:rPr>
          <w:szCs w:val="22"/>
        </w:rPr>
        <w:t>eksemestanas</w:t>
      </w:r>
      <w:proofErr w:type="spellEnd"/>
      <w:r w:rsidRPr="007B7B59">
        <w:rPr>
          <w:szCs w:val="22"/>
        </w:rPr>
        <w:t xml:space="preserve"> taip pat reikšmingai pailgino </w:t>
      </w:r>
      <w:proofErr w:type="spellStart"/>
      <w:r w:rsidRPr="007B7B59">
        <w:rPr>
          <w:szCs w:val="22"/>
        </w:rPr>
        <w:t>išgyvenamumą</w:t>
      </w:r>
      <w:proofErr w:type="spellEnd"/>
      <w:r w:rsidRPr="007B7B59">
        <w:rPr>
          <w:szCs w:val="22"/>
        </w:rPr>
        <w:t xml:space="preserve"> be krūties vėžio (rizikos santykis 0,82, p = 0,00263) ir </w:t>
      </w:r>
      <w:proofErr w:type="spellStart"/>
      <w:r w:rsidRPr="007B7B59">
        <w:rPr>
          <w:szCs w:val="22"/>
        </w:rPr>
        <w:t>išgyvenamumą</w:t>
      </w:r>
      <w:proofErr w:type="spellEnd"/>
      <w:r w:rsidRPr="007B7B59">
        <w:rPr>
          <w:szCs w:val="22"/>
        </w:rPr>
        <w:t xml:space="preserve"> be atokaus ligos pasikartojimo (rizikos santykis 0,85, p = 0,02425).</w:t>
      </w:r>
    </w:p>
    <w:p w14:paraId="699D52B2" w14:textId="77777777" w:rsidR="000C6DE6" w:rsidRPr="007B7B59" w:rsidRDefault="000C6DE6" w:rsidP="000C6DE6">
      <w:pPr>
        <w:rPr>
          <w:szCs w:val="22"/>
        </w:rPr>
      </w:pPr>
    </w:p>
    <w:p w14:paraId="537A78AA" w14:textId="77777777" w:rsidR="000C6DE6" w:rsidRPr="007B7B59" w:rsidRDefault="000C6DE6" w:rsidP="000C6DE6">
      <w:pPr>
        <w:rPr>
          <w:szCs w:val="22"/>
        </w:rPr>
      </w:pPr>
      <w:proofErr w:type="spellStart"/>
      <w:r w:rsidRPr="007B7B59">
        <w:rPr>
          <w:szCs w:val="22"/>
        </w:rPr>
        <w:t>Eksemestanas</w:t>
      </w:r>
      <w:proofErr w:type="spellEnd"/>
      <w:r w:rsidRPr="007B7B59">
        <w:rPr>
          <w:szCs w:val="22"/>
        </w:rPr>
        <w:t xml:space="preserve"> taip pat sumažino kitos krūties vėžio riziką, nors poveikis jau nebuvo statistiškai reikšmingas šiuo stebėjimo laikotarpiu (rizikos santykis 0,74, p = 0,12983).</w:t>
      </w:r>
    </w:p>
    <w:p w14:paraId="1C73F138" w14:textId="77777777" w:rsidR="000C6DE6" w:rsidRPr="007B7B59" w:rsidRDefault="000C6DE6" w:rsidP="000C6DE6">
      <w:pPr>
        <w:rPr>
          <w:szCs w:val="22"/>
        </w:rPr>
      </w:pPr>
    </w:p>
    <w:p w14:paraId="26F9B48E" w14:textId="77777777" w:rsidR="000C6DE6" w:rsidRPr="007B7B59" w:rsidRDefault="000C6DE6" w:rsidP="000C6DE6">
      <w:pPr>
        <w:rPr>
          <w:szCs w:val="22"/>
        </w:rPr>
      </w:pPr>
      <w:r w:rsidRPr="007B7B59">
        <w:rPr>
          <w:szCs w:val="22"/>
        </w:rPr>
        <w:t xml:space="preserve">Vartojant </w:t>
      </w:r>
      <w:proofErr w:type="spellStart"/>
      <w:r w:rsidRPr="007B7B59">
        <w:rPr>
          <w:szCs w:val="22"/>
        </w:rPr>
        <w:t>eksemestaną</w:t>
      </w:r>
      <w:proofErr w:type="spellEnd"/>
      <w:r w:rsidRPr="007B7B59">
        <w:rPr>
          <w:szCs w:val="22"/>
        </w:rPr>
        <w:t xml:space="preserve">, palyginti su </w:t>
      </w:r>
      <w:proofErr w:type="spellStart"/>
      <w:r w:rsidRPr="007B7B59">
        <w:rPr>
          <w:szCs w:val="22"/>
        </w:rPr>
        <w:t>tamoksifenu</w:t>
      </w:r>
      <w:proofErr w:type="spellEnd"/>
      <w:r w:rsidRPr="007B7B59">
        <w:rPr>
          <w:szCs w:val="22"/>
        </w:rPr>
        <w:t xml:space="preserve">, patikslinus pagal iš anksto numatytus prognostinius veiksnius (pvz., estrogenų receptorių būklę, limfmazgių būklę, anksčiau taikytą chemoterapiją, PHT ir </w:t>
      </w:r>
      <w:proofErr w:type="spellStart"/>
      <w:r w:rsidRPr="007B7B59">
        <w:rPr>
          <w:szCs w:val="22"/>
        </w:rPr>
        <w:t>bisfosfonatų</w:t>
      </w:r>
      <w:proofErr w:type="spellEnd"/>
      <w:r w:rsidRPr="007B7B59">
        <w:rPr>
          <w:szCs w:val="22"/>
        </w:rPr>
        <w:t xml:space="preserve"> vartojimą), stebėtas statistiškai reikšmingas mirtingumo sumažėjimas 18 % (bendrojo </w:t>
      </w:r>
      <w:proofErr w:type="spellStart"/>
      <w:r w:rsidRPr="007B7B59">
        <w:rPr>
          <w:szCs w:val="22"/>
        </w:rPr>
        <w:t>išgyvenamumo</w:t>
      </w:r>
      <w:proofErr w:type="spellEnd"/>
      <w:r w:rsidRPr="007B7B59">
        <w:rPr>
          <w:szCs w:val="22"/>
        </w:rPr>
        <w:t xml:space="preserve"> rizikos santykis 0,82; </w:t>
      </w:r>
      <w:proofErr w:type="spellStart"/>
      <w:r w:rsidRPr="007B7B59">
        <w:rPr>
          <w:szCs w:val="22"/>
        </w:rPr>
        <w:t>Wald</w:t>
      </w:r>
      <w:proofErr w:type="spellEnd"/>
      <w:r w:rsidRPr="007B7B59">
        <w:rPr>
          <w:szCs w:val="22"/>
        </w:rPr>
        <w:t xml:space="preserve"> </w:t>
      </w:r>
      <w:proofErr w:type="spellStart"/>
      <w:r w:rsidRPr="007B7B59">
        <w:rPr>
          <w:szCs w:val="22"/>
        </w:rPr>
        <w:t>chi</w:t>
      </w:r>
      <w:proofErr w:type="spellEnd"/>
      <w:r w:rsidRPr="007B7B59">
        <w:rPr>
          <w:szCs w:val="22"/>
        </w:rPr>
        <w:t xml:space="preserve"> kvadrato kriterijus: p = 0,0082).</w:t>
      </w:r>
    </w:p>
    <w:p w14:paraId="549082CD" w14:textId="77777777" w:rsidR="000C6DE6" w:rsidRPr="007B7B59" w:rsidRDefault="000C6DE6" w:rsidP="000C6DE6">
      <w:pPr>
        <w:rPr>
          <w:szCs w:val="22"/>
        </w:rPr>
      </w:pPr>
    </w:p>
    <w:p w14:paraId="46F6DCCC" w14:textId="77777777" w:rsidR="000C6DE6" w:rsidRPr="007B7B59" w:rsidRDefault="000C6DE6" w:rsidP="000C6DE6">
      <w:pPr>
        <w:rPr>
          <w:szCs w:val="22"/>
        </w:rPr>
      </w:pPr>
      <w:r w:rsidRPr="007B7B59">
        <w:rPr>
          <w:szCs w:val="22"/>
        </w:rPr>
        <w:t xml:space="preserve">Klinikinio tyrimo 87 mėnesių duomenų ataskaitoje nebuvo pranešimų apie papildomus mirties atvejus per 30 parų po paskutiniosios tiriamojo vaistinio preparato dozės suvartojimo. Taikant gydymą, nebuvo pastebėta mirties atvejų skaičiaus skirtumų </w:t>
      </w:r>
      <w:proofErr w:type="spellStart"/>
      <w:r w:rsidRPr="007B7B59">
        <w:rPr>
          <w:szCs w:val="22"/>
        </w:rPr>
        <w:t>eksemestano</w:t>
      </w:r>
      <w:proofErr w:type="spellEnd"/>
      <w:r w:rsidRPr="007B7B59">
        <w:rPr>
          <w:szCs w:val="22"/>
        </w:rPr>
        <w:t xml:space="preserve"> ir </w:t>
      </w:r>
      <w:proofErr w:type="spellStart"/>
      <w:r w:rsidRPr="007B7B59">
        <w:rPr>
          <w:szCs w:val="22"/>
        </w:rPr>
        <w:t>tamoksifeno</w:t>
      </w:r>
      <w:proofErr w:type="spellEnd"/>
      <w:r w:rsidRPr="007B7B59">
        <w:rPr>
          <w:szCs w:val="22"/>
        </w:rPr>
        <w:t xml:space="preserve"> grupėse: taikant gydymą (arba per 30 parų po gydymo nutraukimo), mirė iš viso 69 pacientės, 35 iš 2 320 (1,5 %) </w:t>
      </w:r>
      <w:proofErr w:type="spellStart"/>
      <w:r w:rsidRPr="007B7B59">
        <w:rPr>
          <w:szCs w:val="22"/>
        </w:rPr>
        <w:t>eksemestano</w:t>
      </w:r>
      <w:proofErr w:type="spellEnd"/>
      <w:r w:rsidRPr="007B7B59">
        <w:rPr>
          <w:szCs w:val="22"/>
        </w:rPr>
        <w:t xml:space="preserve"> grupėje ir 34 iš 2 338 (1,5 %) </w:t>
      </w:r>
      <w:proofErr w:type="spellStart"/>
      <w:r w:rsidRPr="007B7B59">
        <w:rPr>
          <w:szCs w:val="22"/>
        </w:rPr>
        <w:t>tamoksifeno</w:t>
      </w:r>
      <w:proofErr w:type="spellEnd"/>
      <w:r w:rsidRPr="007B7B59">
        <w:rPr>
          <w:szCs w:val="22"/>
        </w:rPr>
        <w:t xml:space="preserve"> grupėje.</w:t>
      </w:r>
    </w:p>
    <w:p w14:paraId="07814E49" w14:textId="77777777" w:rsidR="000C6DE6" w:rsidRPr="007B7B59" w:rsidRDefault="000C6DE6" w:rsidP="000C6DE6">
      <w:pPr>
        <w:rPr>
          <w:szCs w:val="22"/>
        </w:rPr>
      </w:pPr>
    </w:p>
    <w:p w14:paraId="06A507A3" w14:textId="77777777" w:rsidR="000C6DE6" w:rsidRPr="00341B9D" w:rsidRDefault="000C6DE6" w:rsidP="000C6DE6">
      <w:pPr>
        <w:keepNext/>
        <w:tabs>
          <w:tab w:val="left" w:pos="567"/>
        </w:tabs>
        <w:rPr>
          <w:bCs/>
          <w:szCs w:val="22"/>
        </w:rPr>
      </w:pPr>
      <w:r w:rsidRPr="00341B9D">
        <w:rPr>
          <w:bCs/>
          <w:szCs w:val="22"/>
        </w:rPr>
        <w:t>Pagrindiniai 87 mėnesių visų pacienčių (kurias buvo numatoma gydyti) ir pacienčių, kurioms nustatyti teigiami estrogenų receptoriai, gydymo veiksmingumo duomenys</w:t>
      </w:r>
    </w:p>
    <w:p w14:paraId="0422A5C6" w14:textId="77777777" w:rsidR="000C6DE6" w:rsidRPr="007B7B59" w:rsidRDefault="000C6DE6" w:rsidP="000C6DE6">
      <w:pPr>
        <w:keepNext/>
        <w:tabs>
          <w:tab w:val="left" w:pos="567"/>
        </w:tabs>
        <w:rPr>
          <w:szCs w:val="22"/>
          <w:u w:val="single"/>
        </w:rPr>
      </w:pPr>
    </w:p>
    <w:tbl>
      <w:tblPr>
        <w:tblW w:w="9072" w:type="dxa"/>
        <w:tblInd w:w="108" w:type="dxa"/>
        <w:tblLayout w:type="fixed"/>
        <w:tblLook w:val="0000" w:firstRow="0" w:lastRow="0" w:firstColumn="0" w:lastColumn="0" w:noHBand="0" w:noVBand="0"/>
      </w:tblPr>
      <w:tblGrid>
        <w:gridCol w:w="1985"/>
        <w:gridCol w:w="2126"/>
        <w:gridCol w:w="1985"/>
        <w:gridCol w:w="1842"/>
        <w:gridCol w:w="1134"/>
      </w:tblGrid>
      <w:tr w:rsidR="000C6DE6" w:rsidRPr="007B7B59" w14:paraId="23111368" w14:textId="77777777" w:rsidTr="00687293">
        <w:tc>
          <w:tcPr>
            <w:tcW w:w="1985" w:type="dxa"/>
            <w:tcBorders>
              <w:top w:val="single" w:sz="4" w:space="0" w:color="auto"/>
              <w:bottom w:val="single" w:sz="4" w:space="0" w:color="auto"/>
            </w:tcBorders>
            <w:shd w:val="clear" w:color="auto" w:fill="auto"/>
            <w:vAlign w:val="center"/>
          </w:tcPr>
          <w:p w14:paraId="403E6131" w14:textId="77777777" w:rsidR="000C6DE6" w:rsidRPr="007B7B59" w:rsidRDefault="000C6DE6" w:rsidP="00C80E4A">
            <w:pPr>
              <w:keepNext/>
              <w:tabs>
                <w:tab w:val="left" w:pos="567"/>
              </w:tabs>
              <w:rPr>
                <w:b/>
                <w:bCs/>
                <w:szCs w:val="22"/>
              </w:rPr>
            </w:pPr>
            <w:r w:rsidRPr="007B7B59">
              <w:rPr>
                <w:b/>
                <w:bCs/>
                <w:szCs w:val="22"/>
              </w:rPr>
              <w:t>Vertinamoji baigtis</w:t>
            </w:r>
          </w:p>
          <w:p w14:paraId="34235A7C" w14:textId="77777777" w:rsidR="000C6DE6" w:rsidRPr="007B7B59" w:rsidRDefault="000C6DE6" w:rsidP="00C80E4A">
            <w:pPr>
              <w:tabs>
                <w:tab w:val="left" w:pos="360"/>
                <w:tab w:val="left" w:pos="630"/>
              </w:tabs>
              <w:spacing w:before="40"/>
              <w:jc w:val="right"/>
              <w:rPr>
                <w:b/>
                <w:iCs/>
                <w:szCs w:val="22"/>
              </w:rPr>
            </w:pPr>
            <w:r w:rsidRPr="007B7B59">
              <w:rPr>
                <w:b/>
                <w:bCs/>
                <w:szCs w:val="22"/>
              </w:rPr>
              <w:t>Populiacija</w:t>
            </w:r>
          </w:p>
        </w:tc>
        <w:tc>
          <w:tcPr>
            <w:tcW w:w="2126" w:type="dxa"/>
            <w:tcBorders>
              <w:top w:val="single" w:sz="4" w:space="0" w:color="auto"/>
              <w:bottom w:val="single" w:sz="4" w:space="0" w:color="auto"/>
            </w:tcBorders>
            <w:vAlign w:val="center"/>
          </w:tcPr>
          <w:p w14:paraId="4B531E0A" w14:textId="77777777" w:rsidR="000C6DE6" w:rsidRPr="007B7B59" w:rsidRDefault="000C6DE6" w:rsidP="00C80E4A">
            <w:pPr>
              <w:spacing w:before="40"/>
              <w:jc w:val="center"/>
              <w:rPr>
                <w:b/>
                <w:bCs/>
                <w:szCs w:val="22"/>
              </w:rPr>
            </w:pPr>
            <w:proofErr w:type="spellStart"/>
            <w:r w:rsidRPr="007B7B59">
              <w:rPr>
                <w:b/>
                <w:bCs/>
                <w:szCs w:val="22"/>
              </w:rPr>
              <w:t>Eksemestanas</w:t>
            </w:r>
            <w:proofErr w:type="spellEnd"/>
          </w:p>
          <w:p w14:paraId="4EB43B0D" w14:textId="77777777" w:rsidR="000C6DE6" w:rsidRPr="007B7B59" w:rsidRDefault="000C6DE6" w:rsidP="00C80E4A">
            <w:pPr>
              <w:spacing w:before="40"/>
              <w:jc w:val="center"/>
              <w:rPr>
                <w:b/>
                <w:bCs/>
                <w:szCs w:val="22"/>
              </w:rPr>
            </w:pPr>
            <w:r w:rsidRPr="007B7B59">
              <w:rPr>
                <w:b/>
                <w:bCs/>
                <w:szCs w:val="22"/>
              </w:rPr>
              <w:t>Reiškiniai / n (%)</w:t>
            </w:r>
          </w:p>
        </w:tc>
        <w:tc>
          <w:tcPr>
            <w:tcW w:w="1985" w:type="dxa"/>
            <w:tcBorders>
              <w:top w:val="single" w:sz="4" w:space="0" w:color="auto"/>
              <w:bottom w:val="single" w:sz="4" w:space="0" w:color="auto"/>
            </w:tcBorders>
            <w:vAlign w:val="center"/>
          </w:tcPr>
          <w:p w14:paraId="734A3E42" w14:textId="77777777" w:rsidR="000C6DE6" w:rsidRPr="007B7B59" w:rsidRDefault="000C6DE6" w:rsidP="00C80E4A">
            <w:pPr>
              <w:spacing w:before="40"/>
              <w:jc w:val="center"/>
              <w:rPr>
                <w:b/>
                <w:bCs/>
                <w:szCs w:val="22"/>
              </w:rPr>
            </w:pPr>
            <w:proofErr w:type="spellStart"/>
            <w:r w:rsidRPr="007B7B59">
              <w:rPr>
                <w:b/>
                <w:bCs/>
                <w:szCs w:val="22"/>
              </w:rPr>
              <w:t>Tamoksifenas</w:t>
            </w:r>
            <w:proofErr w:type="spellEnd"/>
          </w:p>
          <w:p w14:paraId="02435055" w14:textId="77777777" w:rsidR="000C6DE6" w:rsidRPr="007B7B59" w:rsidRDefault="000C6DE6" w:rsidP="00C80E4A">
            <w:pPr>
              <w:spacing w:before="40"/>
              <w:jc w:val="center"/>
              <w:rPr>
                <w:b/>
                <w:bCs/>
                <w:szCs w:val="22"/>
              </w:rPr>
            </w:pPr>
            <w:r w:rsidRPr="007B7B59">
              <w:rPr>
                <w:b/>
                <w:bCs/>
                <w:szCs w:val="22"/>
              </w:rPr>
              <w:t>Reiškiniai / n (%)</w:t>
            </w:r>
          </w:p>
        </w:tc>
        <w:tc>
          <w:tcPr>
            <w:tcW w:w="1842" w:type="dxa"/>
            <w:tcBorders>
              <w:top w:val="single" w:sz="4" w:space="0" w:color="auto"/>
              <w:bottom w:val="single" w:sz="4" w:space="0" w:color="auto"/>
            </w:tcBorders>
            <w:vAlign w:val="center"/>
          </w:tcPr>
          <w:p w14:paraId="6B6D8526" w14:textId="77777777" w:rsidR="000C6DE6" w:rsidRPr="007B7B59" w:rsidRDefault="000C6DE6" w:rsidP="00C80E4A">
            <w:pPr>
              <w:spacing w:before="40"/>
              <w:jc w:val="center"/>
              <w:rPr>
                <w:b/>
                <w:bCs/>
                <w:szCs w:val="22"/>
              </w:rPr>
            </w:pPr>
            <w:r w:rsidRPr="007B7B59">
              <w:rPr>
                <w:b/>
                <w:bCs/>
                <w:szCs w:val="22"/>
              </w:rPr>
              <w:t>Rizikos santykis (95 % PI)</w:t>
            </w:r>
          </w:p>
        </w:tc>
        <w:tc>
          <w:tcPr>
            <w:tcW w:w="1134" w:type="dxa"/>
            <w:tcBorders>
              <w:top w:val="single" w:sz="4" w:space="0" w:color="auto"/>
              <w:bottom w:val="single" w:sz="4" w:space="0" w:color="auto"/>
            </w:tcBorders>
            <w:vAlign w:val="center"/>
          </w:tcPr>
          <w:p w14:paraId="6399EC74" w14:textId="77777777" w:rsidR="000C6DE6" w:rsidRPr="007B7B59" w:rsidRDefault="000C6DE6" w:rsidP="00C80E4A">
            <w:pPr>
              <w:spacing w:before="40"/>
              <w:jc w:val="center"/>
              <w:rPr>
                <w:b/>
                <w:bCs/>
                <w:szCs w:val="22"/>
              </w:rPr>
            </w:pPr>
            <w:r w:rsidRPr="007B7B59">
              <w:rPr>
                <w:b/>
                <w:bCs/>
                <w:szCs w:val="22"/>
              </w:rPr>
              <w:t>p- vertė*</w:t>
            </w:r>
          </w:p>
        </w:tc>
      </w:tr>
      <w:tr w:rsidR="000C6DE6" w:rsidRPr="007B7B59" w14:paraId="792BF3ED" w14:textId="77777777" w:rsidTr="00687293">
        <w:tc>
          <w:tcPr>
            <w:tcW w:w="9072" w:type="dxa"/>
            <w:gridSpan w:val="5"/>
            <w:tcBorders>
              <w:top w:val="single" w:sz="4" w:space="0" w:color="auto"/>
            </w:tcBorders>
            <w:shd w:val="clear" w:color="auto" w:fill="auto"/>
            <w:vAlign w:val="center"/>
          </w:tcPr>
          <w:p w14:paraId="61223A85" w14:textId="77777777" w:rsidR="000C6DE6" w:rsidRPr="007B7B59" w:rsidRDefault="000C6DE6" w:rsidP="00C80E4A">
            <w:pPr>
              <w:keepNext/>
              <w:tabs>
                <w:tab w:val="left" w:pos="567"/>
              </w:tabs>
              <w:rPr>
                <w:b/>
                <w:bCs/>
                <w:szCs w:val="22"/>
              </w:rPr>
            </w:pPr>
            <w:proofErr w:type="spellStart"/>
            <w:r w:rsidRPr="007B7B59">
              <w:rPr>
                <w:b/>
                <w:bCs/>
                <w:szCs w:val="22"/>
              </w:rPr>
              <w:t>Išgyvenamumas</w:t>
            </w:r>
            <w:proofErr w:type="spellEnd"/>
            <w:r w:rsidRPr="007B7B59">
              <w:rPr>
                <w:b/>
                <w:bCs/>
                <w:szCs w:val="22"/>
              </w:rPr>
              <w:t xml:space="preserve"> be ligos </w:t>
            </w:r>
            <w:r w:rsidRPr="007B7B59">
              <w:rPr>
                <w:b/>
                <w:bCs/>
                <w:szCs w:val="22"/>
                <w:vertAlign w:val="superscript"/>
              </w:rPr>
              <w:t>a</w:t>
            </w:r>
          </w:p>
        </w:tc>
      </w:tr>
      <w:tr w:rsidR="000C6DE6" w:rsidRPr="007B7B59" w14:paraId="4A47BA06" w14:textId="77777777" w:rsidTr="00687293">
        <w:trPr>
          <w:cantSplit/>
        </w:trPr>
        <w:tc>
          <w:tcPr>
            <w:tcW w:w="1985" w:type="dxa"/>
            <w:shd w:val="clear" w:color="auto" w:fill="auto"/>
          </w:tcPr>
          <w:p w14:paraId="2639D5B8" w14:textId="77777777" w:rsidR="000C6DE6" w:rsidRPr="007B7B59" w:rsidRDefault="000C6DE6" w:rsidP="00C80E4A">
            <w:pPr>
              <w:keepNext/>
              <w:tabs>
                <w:tab w:val="left" w:pos="567"/>
              </w:tabs>
              <w:ind w:left="525" w:hanging="120"/>
              <w:rPr>
                <w:szCs w:val="22"/>
              </w:rPr>
            </w:pPr>
            <w:r w:rsidRPr="007B7B59">
              <w:rPr>
                <w:szCs w:val="22"/>
              </w:rPr>
              <w:t>Visų pacienčių</w:t>
            </w:r>
          </w:p>
        </w:tc>
        <w:tc>
          <w:tcPr>
            <w:tcW w:w="2126" w:type="dxa"/>
            <w:vAlign w:val="center"/>
          </w:tcPr>
          <w:p w14:paraId="13C8A8D2" w14:textId="77777777" w:rsidR="000C6DE6" w:rsidRPr="007B7B59" w:rsidRDefault="000C6DE6" w:rsidP="00C80E4A">
            <w:pPr>
              <w:jc w:val="center"/>
              <w:rPr>
                <w:szCs w:val="22"/>
              </w:rPr>
            </w:pPr>
            <w:r w:rsidRPr="007B7B59">
              <w:rPr>
                <w:bCs/>
                <w:szCs w:val="22"/>
              </w:rPr>
              <w:t>552</w:t>
            </w:r>
            <w:r w:rsidRPr="007B7B59">
              <w:rPr>
                <w:szCs w:val="22"/>
              </w:rPr>
              <w:t xml:space="preserve"> / 2352 (23,5 %)</w:t>
            </w:r>
          </w:p>
        </w:tc>
        <w:tc>
          <w:tcPr>
            <w:tcW w:w="1985" w:type="dxa"/>
            <w:vAlign w:val="center"/>
          </w:tcPr>
          <w:p w14:paraId="140143E1" w14:textId="77777777" w:rsidR="000C6DE6" w:rsidRPr="007B7B59" w:rsidRDefault="000C6DE6" w:rsidP="00C80E4A">
            <w:pPr>
              <w:jc w:val="center"/>
              <w:rPr>
                <w:szCs w:val="22"/>
              </w:rPr>
            </w:pPr>
            <w:r w:rsidRPr="007B7B59">
              <w:rPr>
                <w:bCs/>
                <w:szCs w:val="22"/>
              </w:rPr>
              <w:t xml:space="preserve">641 </w:t>
            </w:r>
            <w:r w:rsidRPr="007B7B59">
              <w:rPr>
                <w:szCs w:val="22"/>
              </w:rPr>
              <w:t>/ 2372 (27,0 %)</w:t>
            </w:r>
          </w:p>
        </w:tc>
        <w:tc>
          <w:tcPr>
            <w:tcW w:w="1842" w:type="dxa"/>
            <w:vAlign w:val="center"/>
          </w:tcPr>
          <w:p w14:paraId="0F95BC13" w14:textId="77777777" w:rsidR="000C6DE6" w:rsidRPr="007B7B59" w:rsidRDefault="000C6DE6" w:rsidP="00C80E4A">
            <w:pPr>
              <w:tabs>
                <w:tab w:val="left" w:pos="1584"/>
              </w:tabs>
              <w:jc w:val="center"/>
              <w:rPr>
                <w:szCs w:val="22"/>
              </w:rPr>
            </w:pPr>
            <w:r w:rsidRPr="007B7B59">
              <w:rPr>
                <w:szCs w:val="22"/>
              </w:rPr>
              <w:t>0,84 (0,75-0,94)</w:t>
            </w:r>
          </w:p>
        </w:tc>
        <w:tc>
          <w:tcPr>
            <w:tcW w:w="1134" w:type="dxa"/>
            <w:vAlign w:val="center"/>
          </w:tcPr>
          <w:p w14:paraId="7E5CD441" w14:textId="77777777" w:rsidR="000C6DE6" w:rsidRPr="007B7B59" w:rsidRDefault="000C6DE6" w:rsidP="00C80E4A">
            <w:pPr>
              <w:jc w:val="center"/>
              <w:rPr>
                <w:szCs w:val="22"/>
              </w:rPr>
            </w:pPr>
            <w:r w:rsidRPr="007B7B59">
              <w:rPr>
                <w:szCs w:val="22"/>
              </w:rPr>
              <w:t>0,002</w:t>
            </w:r>
          </w:p>
        </w:tc>
      </w:tr>
      <w:tr w:rsidR="000C6DE6" w:rsidRPr="007B7B59" w14:paraId="3FDBF880" w14:textId="77777777" w:rsidTr="00687293">
        <w:tc>
          <w:tcPr>
            <w:tcW w:w="1985" w:type="dxa"/>
            <w:tcBorders>
              <w:bottom w:val="single" w:sz="4" w:space="0" w:color="auto"/>
            </w:tcBorders>
            <w:shd w:val="clear" w:color="auto" w:fill="auto"/>
          </w:tcPr>
          <w:p w14:paraId="3CB84E1F" w14:textId="77777777" w:rsidR="000C6DE6" w:rsidRPr="007B7B59" w:rsidRDefault="000C6DE6" w:rsidP="00C80E4A">
            <w:pPr>
              <w:tabs>
                <w:tab w:val="left" w:pos="360"/>
                <w:tab w:val="left" w:pos="630"/>
              </w:tabs>
              <w:jc w:val="right"/>
              <w:rPr>
                <w:szCs w:val="22"/>
              </w:rPr>
            </w:pPr>
            <w:r w:rsidRPr="007B7B59">
              <w:rPr>
                <w:szCs w:val="22"/>
              </w:rPr>
              <w:t>ER+ pacienčių</w:t>
            </w:r>
          </w:p>
        </w:tc>
        <w:tc>
          <w:tcPr>
            <w:tcW w:w="2126" w:type="dxa"/>
            <w:tcBorders>
              <w:bottom w:val="single" w:sz="4" w:space="0" w:color="auto"/>
            </w:tcBorders>
            <w:vAlign w:val="center"/>
          </w:tcPr>
          <w:p w14:paraId="0599E238" w14:textId="77777777" w:rsidR="000C6DE6" w:rsidRPr="007B7B59" w:rsidRDefault="000C6DE6" w:rsidP="00C80E4A">
            <w:pPr>
              <w:jc w:val="center"/>
              <w:rPr>
                <w:szCs w:val="22"/>
              </w:rPr>
            </w:pPr>
            <w:r w:rsidRPr="007B7B59">
              <w:rPr>
                <w:bCs/>
                <w:szCs w:val="22"/>
              </w:rPr>
              <w:t>464</w:t>
            </w:r>
            <w:r w:rsidRPr="007B7B59">
              <w:rPr>
                <w:szCs w:val="22"/>
              </w:rPr>
              <w:t xml:space="preserve"> / 2028 (22,9 %)</w:t>
            </w:r>
          </w:p>
        </w:tc>
        <w:tc>
          <w:tcPr>
            <w:tcW w:w="1985" w:type="dxa"/>
            <w:tcBorders>
              <w:bottom w:val="single" w:sz="4" w:space="0" w:color="auto"/>
            </w:tcBorders>
            <w:vAlign w:val="center"/>
          </w:tcPr>
          <w:p w14:paraId="7B88217B" w14:textId="77777777" w:rsidR="000C6DE6" w:rsidRPr="007B7B59" w:rsidRDefault="000C6DE6" w:rsidP="00C80E4A">
            <w:pPr>
              <w:jc w:val="center"/>
              <w:rPr>
                <w:szCs w:val="22"/>
              </w:rPr>
            </w:pPr>
            <w:r w:rsidRPr="007B7B59">
              <w:rPr>
                <w:bCs/>
                <w:szCs w:val="22"/>
              </w:rPr>
              <w:t>536</w:t>
            </w:r>
            <w:r w:rsidRPr="007B7B59">
              <w:rPr>
                <w:szCs w:val="22"/>
              </w:rPr>
              <w:t xml:space="preserve"> / 2024 (26,5 %)</w:t>
            </w:r>
          </w:p>
        </w:tc>
        <w:tc>
          <w:tcPr>
            <w:tcW w:w="1842" w:type="dxa"/>
            <w:tcBorders>
              <w:bottom w:val="single" w:sz="4" w:space="0" w:color="auto"/>
            </w:tcBorders>
            <w:vAlign w:val="center"/>
          </w:tcPr>
          <w:p w14:paraId="30797328" w14:textId="77777777" w:rsidR="000C6DE6" w:rsidRPr="007B7B59" w:rsidRDefault="000C6DE6" w:rsidP="00C80E4A">
            <w:pPr>
              <w:jc w:val="center"/>
              <w:rPr>
                <w:szCs w:val="22"/>
              </w:rPr>
            </w:pPr>
            <w:r w:rsidRPr="007B7B59">
              <w:rPr>
                <w:szCs w:val="22"/>
              </w:rPr>
              <w:t>0,83 (0,73-0,94)</w:t>
            </w:r>
          </w:p>
        </w:tc>
        <w:tc>
          <w:tcPr>
            <w:tcW w:w="1134" w:type="dxa"/>
            <w:tcBorders>
              <w:bottom w:val="single" w:sz="4" w:space="0" w:color="auto"/>
            </w:tcBorders>
            <w:vAlign w:val="center"/>
          </w:tcPr>
          <w:p w14:paraId="3E438898" w14:textId="77777777" w:rsidR="000C6DE6" w:rsidRPr="007B7B59" w:rsidRDefault="000C6DE6" w:rsidP="00C80E4A">
            <w:pPr>
              <w:jc w:val="center"/>
              <w:rPr>
                <w:szCs w:val="22"/>
              </w:rPr>
            </w:pPr>
            <w:r w:rsidRPr="007B7B59">
              <w:rPr>
                <w:szCs w:val="22"/>
              </w:rPr>
              <w:t>0,00316</w:t>
            </w:r>
          </w:p>
        </w:tc>
      </w:tr>
      <w:tr w:rsidR="000C6DE6" w:rsidRPr="007B7B59" w14:paraId="46AF52D1" w14:textId="77777777" w:rsidTr="00687293">
        <w:tc>
          <w:tcPr>
            <w:tcW w:w="9072" w:type="dxa"/>
            <w:gridSpan w:val="5"/>
            <w:tcBorders>
              <w:top w:val="single" w:sz="4" w:space="0" w:color="auto"/>
            </w:tcBorders>
            <w:shd w:val="clear" w:color="auto" w:fill="auto"/>
            <w:vAlign w:val="center"/>
          </w:tcPr>
          <w:p w14:paraId="74D912B3" w14:textId="77777777" w:rsidR="000C6DE6" w:rsidRPr="007B7B59" w:rsidRDefault="000C6DE6" w:rsidP="00C80E4A">
            <w:pPr>
              <w:rPr>
                <w:b/>
                <w:bCs/>
                <w:szCs w:val="22"/>
                <w:highlight w:val="yellow"/>
              </w:rPr>
            </w:pPr>
            <w:r w:rsidRPr="007B7B59">
              <w:rPr>
                <w:b/>
                <w:bCs/>
                <w:szCs w:val="22"/>
              </w:rPr>
              <w:t>Kitos krūties vėžys</w:t>
            </w:r>
          </w:p>
        </w:tc>
      </w:tr>
      <w:tr w:rsidR="000C6DE6" w:rsidRPr="007B7B59" w14:paraId="2E15BD8A" w14:textId="77777777" w:rsidTr="00687293">
        <w:trPr>
          <w:cantSplit/>
        </w:trPr>
        <w:tc>
          <w:tcPr>
            <w:tcW w:w="1985" w:type="dxa"/>
            <w:shd w:val="clear" w:color="auto" w:fill="auto"/>
          </w:tcPr>
          <w:p w14:paraId="4F08E415" w14:textId="77777777" w:rsidR="000C6DE6" w:rsidRPr="007B7B59" w:rsidRDefault="000C6DE6" w:rsidP="00C80E4A">
            <w:pPr>
              <w:tabs>
                <w:tab w:val="left" w:pos="360"/>
                <w:tab w:val="left" w:pos="630"/>
              </w:tabs>
              <w:jc w:val="right"/>
              <w:rPr>
                <w:i/>
                <w:iCs/>
                <w:szCs w:val="22"/>
              </w:rPr>
            </w:pPr>
            <w:r w:rsidRPr="007B7B59">
              <w:rPr>
                <w:szCs w:val="22"/>
              </w:rPr>
              <w:t>Visų pacienčių</w:t>
            </w:r>
          </w:p>
        </w:tc>
        <w:tc>
          <w:tcPr>
            <w:tcW w:w="2126" w:type="dxa"/>
            <w:vAlign w:val="center"/>
          </w:tcPr>
          <w:p w14:paraId="2322D066" w14:textId="77777777" w:rsidR="000C6DE6" w:rsidRPr="007B7B59" w:rsidRDefault="000C6DE6" w:rsidP="00C80E4A">
            <w:pPr>
              <w:jc w:val="center"/>
              <w:rPr>
                <w:szCs w:val="22"/>
              </w:rPr>
            </w:pPr>
            <w:r w:rsidRPr="007B7B59">
              <w:rPr>
                <w:bCs/>
                <w:szCs w:val="22"/>
              </w:rPr>
              <w:t>43</w:t>
            </w:r>
            <w:r w:rsidRPr="007B7B59">
              <w:rPr>
                <w:szCs w:val="22"/>
              </w:rPr>
              <w:t xml:space="preserve"> / 2352 (1,8 %)</w:t>
            </w:r>
          </w:p>
        </w:tc>
        <w:tc>
          <w:tcPr>
            <w:tcW w:w="1985" w:type="dxa"/>
            <w:vAlign w:val="center"/>
          </w:tcPr>
          <w:p w14:paraId="09A19992" w14:textId="77777777" w:rsidR="000C6DE6" w:rsidRPr="007B7B59" w:rsidRDefault="000C6DE6" w:rsidP="00C80E4A">
            <w:pPr>
              <w:jc w:val="center"/>
              <w:rPr>
                <w:szCs w:val="22"/>
              </w:rPr>
            </w:pPr>
            <w:r w:rsidRPr="007B7B59">
              <w:rPr>
                <w:bCs/>
                <w:szCs w:val="22"/>
              </w:rPr>
              <w:t>58</w:t>
            </w:r>
            <w:r w:rsidRPr="007B7B59">
              <w:rPr>
                <w:szCs w:val="22"/>
              </w:rPr>
              <w:t xml:space="preserve"> / 2372 (2,5 %)</w:t>
            </w:r>
          </w:p>
        </w:tc>
        <w:tc>
          <w:tcPr>
            <w:tcW w:w="1842" w:type="dxa"/>
            <w:vAlign w:val="center"/>
          </w:tcPr>
          <w:p w14:paraId="178D3894" w14:textId="77777777" w:rsidR="000C6DE6" w:rsidRPr="007B7B59" w:rsidRDefault="000C6DE6" w:rsidP="00C80E4A">
            <w:pPr>
              <w:jc w:val="center"/>
              <w:rPr>
                <w:szCs w:val="22"/>
              </w:rPr>
            </w:pPr>
            <w:r w:rsidRPr="007B7B59">
              <w:rPr>
                <w:szCs w:val="22"/>
              </w:rPr>
              <w:t>0,74 (0,50-1,10)</w:t>
            </w:r>
          </w:p>
        </w:tc>
        <w:tc>
          <w:tcPr>
            <w:tcW w:w="1134" w:type="dxa"/>
            <w:vAlign w:val="center"/>
          </w:tcPr>
          <w:p w14:paraId="1FC044A2" w14:textId="77777777" w:rsidR="000C6DE6" w:rsidRPr="007B7B59" w:rsidRDefault="000C6DE6" w:rsidP="00C80E4A">
            <w:pPr>
              <w:jc w:val="center"/>
              <w:rPr>
                <w:szCs w:val="22"/>
              </w:rPr>
            </w:pPr>
            <w:r w:rsidRPr="007B7B59">
              <w:rPr>
                <w:szCs w:val="22"/>
              </w:rPr>
              <w:t>0,12983</w:t>
            </w:r>
          </w:p>
        </w:tc>
      </w:tr>
      <w:tr w:rsidR="000C6DE6" w:rsidRPr="007B7B59" w14:paraId="64ADADCD" w14:textId="77777777" w:rsidTr="00687293">
        <w:trPr>
          <w:cantSplit/>
        </w:trPr>
        <w:tc>
          <w:tcPr>
            <w:tcW w:w="1985" w:type="dxa"/>
            <w:tcBorders>
              <w:bottom w:val="single" w:sz="4" w:space="0" w:color="auto"/>
            </w:tcBorders>
            <w:shd w:val="clear" w:color="auto" w:fill="auto"/>
          </w:tcPr>
          <w:p w14:paraId="131523F0" w14:textId="77777777" w:rsidR="000C6DE6" w:rsidRPr="007B7B59" w:rsidRDefault="000C6DE6" w:rsidP="00C80E4A">
            <w:pPr>
              <w:tabs>
                <w:tab w:val="left" w:pos="360"/>
                <w:tab w:val="left" w:pos="630"/>
              </w:tabs>
              <w:jc w:val="right"/>
              <w:rPr>
                <w:iCs/>
                <w:szCs w:val="22"/>
              </w:rPr>
            </w:pPr>
            <w:r w:rsidRPr="007B7B59">
              <w:rPr>
                <w:szCs w:val="22"/>
              </w:rPr>
              <w:t>ER+ pacienčių</w:t>
            </w:r>
          </w:p>
        </w:tc>
        <w:tc>
          <w:tcPr>
            <w:tcW w:w="2126" w:type="dxa"/>
            <w:tcBorders>
              <w:bottom w:val="single" w:sz="4" w:space="0" w:color="auto"/>
            </w:tcBorders>
            <w:vAlign w:val="center"/>
          </w:tcPr>
          <w:p w14:paraId="2D1068A2" w14:textId="77777777" w:rsidR="000C6DE6" w:rsidRPr="007B7B59" w:rsidRDefault="000C6DE6" w:rsidP="00C80E4A">
            <w:pPr>
              <w:jc w:val="center"/>
              <w:rPr>
                <w:bCs/>
                <w:szCs w:val="22"/>
              </w:rPr>
            </w:pPr>
            <w:r w:rsidRPr="007B7B59">
              <w:rPr>
                <w:bCs/>
                <w:szCs w:val="22"/>
              </w:rPr>
              <w:t>39 / 2028 (1,9 %)</w:t>
            </w:r>
          </w:p>
        </w:tc>
        <w:tc>
          <w:tcPr>
            <w:tcW w:w="1985" w:type="dxa"/>
            <w:tcBorders>
              <w:bottom w:val="single" w:sz="4" w:space="0" w:color="auto"/>
            </w:tcBorders>
            <w:vAlign w:val="center"/>
          </w:tcPr>
          <w:p w14:paraId="698ADC66" w14:textId="77777777" w:rsidR="000C6DE6" w:rsidRPr="007B7B59" w:rsidRDefault="000C6DE6" w:rsidP="00C80E4A">
            <w:pPr>
              <w:jc w:val="center"/>
              <w:rPr>
                <w:bCs/>
                <w:szCs w:val="22"/>
              </w:rPr>
            </w:pPr>
            <w:r w:rsidRPr="007B7B59">
              <w:rPr>
                <w:bCs/>
                <w:szCs w:val="22"/>
              </w:rPr>
              <w:t>55 / 2024 (2,7 %)</w:t>
            </w:r>
          </w:p>
        </w:tc>
        <w:tc>
          <w:tcPr>
            <w:tcW w:w="1842" w:type="dxa"/>
            <w:tcBorders>
              <w:bottom w:val="single" w:sz="4" w:space="0" w:color="auto"/>
            </w:tcBorders>
            <w:vAlign w:val="center"/>
          </w:tcPr>
          <w:p w14:paraId="0F36352F" w14:textId="77777777" w:rsidR="000C6DE6" w:rsidRPr="007B7B59" w:rsidRDefault="000C6DE6" w:rsidP="00C80E4A">
            <w:pPr>
              <w:jc w:val="center"/>
              <w:rPr>
                <w:szCs w:val="22"/>
              </w:rPr>
            </w:pPr>
            <w:r w:rsidRPr="007B7B59">
              <w:rPr>
                <w:szCs w:val="22"/>
              </w:rPr>
              <w:t>0,70 (0,46-1,05)</w:t>
            </w:r>
          </w:p>
        </w:tc>
        <w:tc>
          <w:tcPr>
            <w:tcW w:w="1134" w:type="dxa"/>
            <w:tcBorders>
              <w:bottom w:val="single" w:sz="4" w:space="0" w:color="auto"/>
            </w:tcBorders>
            <w:vAlign w:val="center"/>
          </w:tcPr>
          <w:p w14:paraId="2DA316C7" w14:textId="77777777" w:rsidR="000C6DE6" w:rsidRPr="007B7B59" w:rsidRDefault="000C6DE6" w:rsidP="00C80E4A">
            <w:pPr>
              <w:jc w:val="center"/>
              <w:rPr>
                <w:szCs w:val="22"/>
              </w:rPr>
            </w:pPr>
            <w:r w:rsidRPr="007B7B59">
              <w:rPr>
                <w:szCs w:val="22"/>
              </w:rPr>
              <w:t>0,0836</w:t>
            </w:r>
          </w:p>
        </w:tc>
      </w:tr>
      <w:tr w:rsidR="000C6DE6" w:rsidRPr="007B7B59" w14:paraId="4DA28036" w14:textId="77777777" w:rsidTr="00687293">
        <w:tc>
          <w:tcPr>
            <w:tcW w:w="9072" w:type="dxa"/>
            <w:gridSpan w:val="5"/>
            <w:tcBorders>
              <w:top w:val="single" w:sz="4" w:space="0" w:color="auto"/>
            </w:tcBorders>
            <w:shd w:val="clear" w:color="auto" w:fill="auto"/>
            <w:vAlign w:val="center"/>
          </w:tcPr>
          <w:p w14:paraId="75F185AF" w14:textId="77777777" w:rsidR="000C6DE6" w:rsidRPr="007B7B59" w:rsidRDefault="000C6DE6" w:rsidP="00C80E4A">
            <w:pPr>
              <w:rPr>
                <w:b/>
                <w:bCs/>
                <w:szCs w:val="22"/>
              </w:rPr>
            </w:pPr>
            <w:proofErr w:type="spellStart"/>
            <w:r w:rsidRPr="007B7B59">
              <w:rPr>
                <w:b/>
                <w:bCs/>
                <w:szCs w:val="22"/>
              </w:rPr>
              <w:t>Išgyvenamumas</w:t>
            </w:r>
            <w:proofErr w:type="spellEnd"/>
            <w:r w:rsidRPr="007B7B59">
              <w:rPr>
                <w:b/>
                <w:bCs/>
                <w:szCs w:val="22"/>
              </w:rPr>
              <w:t xml:space="preserve"> be krūties vėžio </w:t>
            </w:r>
            <w:r w:rsidRPr="007B7B59">
              <w:rPr>
                <w:b/>
                <w:bCs/>
                <w:szCs w:val="22"/>
                <w:vertAlign w:val="superscript"/>
              </w:rPr>
              <w:t>b</w:t>
            </w:r>
          </w:p>
        </w:tc>
      </w:tr>
      <w:tr w:rsidR="000C6DE6" w:rsidRPr="007B7B59" w14:paraId="3A150003" w14:textId="77777777" w:rsidTr="00687293">
        <w:trPr>
          <w:cantSplit/>
        </w:trPr>
        <w:tc>
          <w:tcPr>
            <w:tcW w:w="1985" w:type="dxa"/>
            <w:shd w:val="clear" w:color="auto" w:fill="auto"/>
          </w:tcPr>
          <w:p w14:paraId="6E1D7859" w14:textId="77777777" w:rsidR="000C6DE6" w:rsidRPr="007B7B59" w:rsidRDefault="000C6DE6" w:rsidP="00C80E4A">
            <w:pPr>
              <w:tabs>
                <w:tab w:val="left" w:pos="360"/>
                <w:tab w:val="left" w:pos="630"/>
              </w:tabs>
              <w:jc w:val="right"/>
              <w:rPr>
                <w:i/>
                <w:iCs/>
                <w:szCs w:val="22"/>
              </w:rPr>
            </w:pPr>
            <w:r w:rsidRPr="007B7B59">
              <w:rPr>
                <w:szCs w:val="22"/>
              </w:rPr>
              <w:t>Visų pacienčių</w:t>
            </w:r>
          </w:p>
        </w:tc>
        <w:tc>
          <w:tcPr>
            <w:tcW w:w="2126" w:type="dxa"/>
            <w:vAlign w:val="center"/>
          </w:tcPr>
          <w:p w14:paraId="7B9EDB46" w14:textId="77777777" w:rsidR="000C6DE6" w:rsidRPr="007B7B59" w:rsidRDefault="000C6DE6" w:rsidP="00C80E4A">
            <w:pPr>
              <w:jc w:val="center"/>
              <w:rPr>
                <w:szCs w:val="22"/>
              </w:rPr>
            </w:pPr>
            <w:r w:rsidRPr="007B7B59">
              <w:rPr>
                <w:bCs/>
                <w:szCs w:val="22"/>
              </w:rPr>
              <w:t>434</w:t>
            </w:r>
            <w:r w:rsidRPr="007B7B59">
              <w:rPr>
                <w:szCs w:val="22"/>
              </w:rPr>
              <w:t xml:space="preserve"> / 2352 (18,5 %)</w:t>
            </w:r>
          </w:p>
        </w:tc>
        <w:tc>
          <w:tcPr>
            <w:tcW w:w="1985" w:type="dxa"/>
            <w:vAlign w:val="center"/>
          </w:tcPr>
          <w:p w14:paraId="184F10D5" w14:textId="77777777" w:rsidR="000C6DE6" w:rsidRPr="007B7B59" w:rsidRDefault="000C6DE6" w:rsidP="00C80E4A">
            <w:pPr>
              <w:jc w:val="center"/>
              <w:rPr>
                <w:szCs w:val="22"/>
              </w:rPr>
            </w:pPr>
            <w:r w:rsidRPr="007B7B59">
              <w:rPr>
                <w:bCs/>
                <w:szCs w:val="22"/>
              </w:rPr>
              <w:t>513</w:t>
            </w:r>
            <w:r w:rsidRPr="007B7B59">
              <w:rPr>
                <w:szCs w:val="22"/>
              </w:rPr>
              <w:t xml:space="preserve"> / 2372 (21,6 %)</w:t>
            </w:r>
          </w:p>
        </w:tc>
        <w:tc>
          <w:tcPr>
            <w:tcW w:w="1842" w:type="dxa"/>
            <w:vAlign w:val="center"/>
          </w:tcPr>
          <w:p w14:paraId="2C456D5C" w14:textId="77777777" w:rsidR="000C6DE6" w:rsidRPr="007B7B59" w:rsidRDefault="000C6DE6" w:rsidP="00C80E4A">
            <w:pPr>
              <w:jc w:val="center"/>
              <w:rPr>
                <w:szCs w:val="22"/>
              </w:rPr>
            </w:pPr>
            <w:r w:rsidRPr="007B7B59">
              <w:rPr>
                <w:szCs w:val="22"/>
              </w:rPr>
              <w:t>0,82 (0,72-0,94)</w:t>
            </w:r>
          </w:p>
        </w:tc>
        <w:tc>
          <w:tcPr>
            <w:tcW w:w="1134" w:type="dxa"/>
            <w:vAlign w:val="center"/>
          </w:tcPr>
          <w:p w14:paraId="7E811BD0" w14:textId="77777777" w:rsidR="000C6DE6" w:rsidRPr="007B7B59" w:rsidRDefault="000C6DE6" w:rsidP="00C80E4A">
            <w:pPr>
              <w:jc w:val="center"/>
              <w:rPr>
                <w:szCs w:val="22"/>
              </w:rPr>
            </w:pPr>
            <w:r w:rsidRPr="007B7B59">
              <w:rPr>
                <w:szCs w:val="22"/>
              </w:rPr>
              <w:t>0,00263</w:t>
            </w:r>
          </w:p>
        </w:tc>
      </w:tr>
      <w:tr w:rsidR="000C6DE6" w:rsidRPr="007B7B59" w14:paraId="4D3ECF4A" w14:textId="77777777" w:rsidTr="00687293">
        <w:trPr>
          <w:cantSplit/>
        </w:trPr>
        <w:tc>
          <w:tcPr>
            <w:tcW w:w="1985" w:type="dxa"/>
            <w:tcBorders>
              <w:bottom w:val="single" w:sz="4" w:space="0" w:color="auto"/>
            </w:tcBorders>
            <w:shd w:val="clear" w:color="auto" w:fill="auto"/>
          </w:tcPr>
          <w:p w14:paraId="52AE39E5" w14:textId="77777777" w:rsidR="000C6DE6" w:rsidRPr="007B7B59" w:rsidRDefault="000C6DE6" w:rsidP="00C80E4A">
            <w:pPr>
              <w:tabs>
                <w:tab w:val="left" w:pos="360"/>
                <w:tab w:val="left" w:pos="630"/>
              </w:tabs>
              <w:jc w:val="right"/>
              <w:rPr>
                <w:iCs/>
                <w:szCs w:val="22"/>
              </w:rPr>
            </w:pPr>
            <w:r w:rsidRPr="007B7B59">
              <w:rPr>
                <w:szCs w:val="22"/>
              </w:rPr>
              <w:lastRenderedPageBreak/>
              <w:t>ER+ pacienčių</w:t>
            </w:r>
          </w:p>
        </w:tc>
        <w:tc>
          <w:tcPr>
            <w:tcW w:w="2126" w:type="dxa"/>
            <w:tcBorders>
              <w:bottom w:val="single" w:sz="4" w:space="0" w:color="auto"/>
            </w:tcBorders>
            <w:vAlign w:val="center"/>
          </w:tcPr>
          <w:p w14:paraId="00EFF8FC" w14:textId="77777777" w:rsidR="000C6DE6" w:rsidRPr="007B7B59" w:rsidRDefault="000C6DE6" w:rsidP="00C80E4A">
            <w:pPr>
              <w:jc w:val="center"/>
              <w:rPr>
                <w:bCs/>
                <w:szCs w:val="22"/>
              </w:rPr>
            </w:pPr>
            <w:r w:rsidRPr="007B7B59">
              <w:rPr>
                <w:b/>
                <w:bCs/>
                <w:szCs w:val="22"/>
              </w:rPr>
              <w:t>361</w:t>
            </w:r>
            <w:r w:rsidRPr="007B7B59">
              <w:rPr>
                <w:bCs/>
                <w:szCs w:val="22"/>
              </w:rPr>
              <w:t xml:space="preserve"> / 2028 (17,8 %)</w:t>
            </w:r>
          </w:p>
        </w:tc>
        <w:tc>
          <w:tcPr>
            <w:tcW w:w="1985" w:type="dxa"/>
            <w:tcBorders>
              <w:bottom w:val="single" w:sz="4" w:space="0" w:color="auto"/>
            </w:tcBorders>
            <w:vAlign w:val="center"/>
          </w:tcPr>
          <w:p w14:paraId="112F9984" w14:textId="77777777" w:rsidR="000C6DE6" w:rsidRPr="007B7B59" w:rsidRDefault="000C6DE6" w:rsidP="00C80E4A">
            <w:pPr>
              <w:jc w:val="center"/>
              <w:rPr>
                <w:bCs/>
                <w:szCs w:val="22"/>
              </w:rPr>
            </w:pPr>
            <w:r w:rsidRPr="007B7B59">
              <w:rPr>
                <w:b/>
                <w:bCs/>
                <w:szCs w:val="22"/>
              </w:rPr>
              <w:t>428</w:t>
            </w:r>
            <w:r w:rsidRPr="007B7B59">
              <w:rPr>
                <w:bCs/>
                <w:szCs w:val="22"/>
              </w:rPr>
              <w:t xml:space="preserve"> / 2024 (21,2 %)</w:t>
            </w:r>
          </w:p>
        </w:tc>
        <w:tc>
          <w:tcPr>
            <w:tcW w:w="1842" w:type="dxa"/>
            <w:tcBorders>
              <w:bottom w:val="single" w:sz="4" w:space="0" w:color="auto"/>
            </w:tcBorders>
            <w:vAlign w:val="center"/>
          </w:tcPr>
          <w:p w14:paraId="6A2118BF" w14:textId="77777777" w:rsidR="000C6DE6" w:rsidRPr="007B7B59" w:rsidRDefault="000C6DE6" w:rsidP="00C80E4A">
            <w:pPr>
              <w:jc w:val="center"/>
              <w:rPr>
                <w:szCs w:val="22"/>
              </w:rPr>
            </w:pPr>
            <w:r w:rsidRPr="007B7B59">
              <w:rPr>
                <w:szCs w:val="22"/>
              </w:rPr>
              <w:t>0,81 (0,70-0,93)</w:t>
            </w:r>
          </w:p>
        </w:tc>
        <w:tc>
          <w:tcPr>
            <w:tcW w:w="1134" w:type="dxa"/>
            <w:tcBorders>
              <w:bottom w:val="single" w:sz="4" w:space="0" w:color="auto"/>
            </w:tcBorders>
            <w:vAlign w:val="center"/>
          </w:tcPr>
          <w:p w14:paraId="12BF3AC8" w14:textId="77777777" w:rsidR="000C6DE6" w:rsidRPr="007B7B59" w:rsidRDefault="000C6DE6" w:rsidP="00C80E4A">
            <w:pPr>
              <w:jc w:val="center"/>
              <w:rPr>
                <w:szCs w:val="22"/>
              </w:rPr>
            </w:pPr>
            <w:r w:rsidRPr="007B7B59">
              <w:rPr>
                <w:szCs w:val="22"/>
              </w:rPr>
              <w:t>0,00303</w:t>
            </w:r>
          </w:p>
        </w:tc>
      </w:tr>
      <w:tr w:rsidR="000C6DE6" w:rsidRPr="007B7B59" w14:paraId="78D1A887" w14:textId="77777777" w:rsidTr="00687293">
        <w:tc>
          <w:tcPr>
            <w:tcW w:w="9072" w:type="dxa"/>
            <w:gridSpan w:val="5"/>
            <w:tcBorders>
              <w:top w:val="single" w:sz="4" w:space="0" w:color="auto"/>
            </w:tcBorders>
            <w:shd w:val="clear" w:color="auto" w:fill="auto"/>
            <w:vAlign w:val="center"/>
          </w:tcPr>
          <w:p w14:paraId="7DA33268" w14:textId="77777777" w:rsidR="000C6DE6" w:rsidRPr="007B7B59" w:rsidRDefault="000C6DE6" w:rsidP="00C80E4A">
            <w:pPr>
              <w:rPr>
                <w:b/>
                <w:bCs/>
                <w:szCs w:val="22"/>
              </w:rPr>
            </w:pPr>
            <w:proofErr w:type="spellStart"/>
            <w:r w:rsidRPr="007B7B59">
              <w:rPr>
                <w:b/>
                <w:bCs/>
                <w:szCs w:val="22"/>
              </w:rPr>
              <w:t>Išgyvenamumas</w:t>
            </w:r>
            <w:proofErr w:type="spellEnd"/>
            <w:r w:rsidRPr="007B7B59">
              <w:rPr>
                <w:b/>
                <w:bCs/>
                <w:szCs w:val="22"/>
              </w:rPr>
              <w:t xml:space="preserve"> be atokaus ligos pasikartojimo </w:t>
            </w:r>
            <w:r w:rsidRPr="007B7B59">
              <w:rPr>
                <w:b/>
                <w:bCs/>
                <w:szCs w:val="22"/>
                <w:vertAlign w:val="superscript"/>
              </w:rPr>
              <w:t>c</w:t>
            </w:r>
          </w:p>
        </w:tc>
      </w:tr>
      <w:tr w:rsidR="000C6DE6" w:rsidRPr="007B7B59" w14:paraId="0D48D491" w14:textId="77777777" w:rsidTr="00687293">
        <w:trPr>
          <w:cantSplit/>
        </w:trPr>
        <w:tc>
          <w:tcPr>
            <w:tcW w:w="1985" w:type="dxa"/>
            <w:shd w:val="clear" w:color="auto" w:fill="auto"/>
          </w:tcPr>
          <w:p w14:paraId="1E3B40DA" w14:textId="77777777" w:rsidR="000C6DE6" w:rsidRPr="007B7B59" w:rsidRDefault="000C6DE6" w:rsidP="00C80E4A">
            <w:pPr>
              <w:tabs>
                <w:tab w:val="left" w:pos="360"/>
                <w:tab w:val="left" w:pos="630"/>
              </w:tabs>
              <w:jc w:val="right"/>
              <w:rPr>
                <w:i/>
                <w:iCs/>
                <w:szCs w:val="22"/>
              </w:rPr>
            </w:pPr>
            <w:r w:rsidRPr="007B7B59">
              <w:rPr>
                <w:szCs w:val="22"/>
              </w:rPr>
              <w:t>Visų pacienčių</w:t>
            </w:r>
          </w:p>
        </w:tc>
        <w:tc>
          <w:tcPr>
            <w:tcW w:w="2126" w:type="dxa"/>
            <w:vAlign w:val="center"/>
          </w:tcPr>
          <w:p w14:paraId="62339DC5" w14:textId="77777777" w:rsidR="000C6DE6" w:rsidRPr="007B7B59" w:rsidRDefault="000C6DE6" w:rsidP="00C80E4A">
            <w:pPr>
              <w:jc w:val="center"/>
              <w:rPr>
                <w:szCs w:val="22"/>
              </w:rPr>
            </w:pPr>
            <w:r w:rsidRPr="007B7B59">
              <w:rPr>
                <w:bCs/>
                <w:szCs w:val="22"/>
              </w:rPr>
              <w:t>353</w:t>
            </w:r>
            <w:r w:rsidRPr="007B7B59">
              <w:rPr>
                <w:szCs w:val="22"/>
              </w:rPr>
              <w:t xml:space="preserve"> / 2352 (15,0 %)</w:t>
            </w:r>
          </w:p>
        </w:tc>
        <w:tc>
          <w:tcPr>
            <w:tcW w:w="1985" w:type="dxa"/>
            <w:vAlign w:val="center"/>
          </w:tcPr>
          <w:p w14:paraId="71387FB5" w14:textId="77777777" w:rsidR="000C6DE6" w:rsidRPr="007B7B59" w:rsidRDefault="000C6DE6" w:rsidP="00C80E4A">
            <w:pPr>
              <w:jc w:val="center"/>
              <w:rPr>
                <w:szCs w:val="22"/>
              </w:rPr>
            </w:pPr>
            <w:r w:rsidRPr="007B7B59">
              <w:rPr>
                <w:bCs/>
                <w:szCs w:val="22"/>
              </w:rPr>
              <w:t>409</w:t>
            </w:r>
            <w:r w:rsidRPr="007B7B59">
              <w:rPr>
                <w:szCs w:val="22"/>
              </w:rPr>
              <w:t xml:space="preserve"> / 2372 (17,2 %)</w:t>
            </w:r>
          </w:p>
        </w:tc>
        <w:tc>
          <w:tcPr>
            <w:tcW w:w="1842" w:type="dxa"/>
            <w:vAlign w:val="center"/>
          </w:tcPr>
          <w:p w14:paraId="1F88273C" w14:textId="77777777" w:rsidR="000C6DE6" w:rsidRPr="007B7B59" w:rsidRDefault="000C6DE6" w:rsidP="00C80E4A">
            <w:pPr>
              <w:jc w:val="center"/>
              <w:rPr>
                <w:szCs w:val="22"/>
              </w:rPr>
            </w:pPr>
            <w:r w:rsidRPr="007B7B59">
              <w:rPr>
                <w:szCs w:val="22"/>
              </w:rPr>
              <w:t>0,85 (0,74-0,98)</w:t>
            </w:r>
          </w:p>
        </w:tc>
        <w:tc>
          <w:tcPr>
            <w:tcW w:w="1134" w:type="dxa"/>
            <w:vAlign w:val="center"/>
          </w:tcPr>
          <w:p w14:paraId="4555F29A" w14:textId="77777777" w:rsidR="000C6DE6" w:rsidRPr="007B7B59" w:rsidRDefault="000C6DE6" w:rsidP="00C80E4A">
            <w:pPr>
              <w:jc w:val="center"/>
              <w:rPr>
                <w:szCs w:val="22"/>
              </w:rPr>
            </w:pPr>
            <w:r w:rsidRPr="007B7B59">
              <w:rPr>
                <w:szCs w:val="22"/>
              </w:rPr>
              <w:t>0,02425</w:t>
            </w:r>
          </w:p>
        </w:tc>
      </w:tr>
      <w:tr w:rsidR="000C6DE6" w:rsidRPr="007B7B59" w14:paraId="307A8E20" w14:textId="77777777" w:rsidTr="00687293">
        <w:trPr>
          <w:cantSplit/>
        </w:trPr>
        <w:tc>
          <w:tcPr>
            <w:tcW w:w="1985" w:type="dxa"/>
            <w:tcBorders>
              <w:bottom w:val="single" w:sz="4" w:space="0" w:color="auto"/>
            </w:tcBorders>
            <w:shd w:val="clear" w:color="auto" w:fill="auto"/>
          </w:tcPr>
          <w:p w14:paraId="3E0F7141" w14:textId="77777777" w:rsidR="000C6DE6" w:rsidRPr="007B7B59" w:rsidRDefault="000C6DE6" w:rsidP="00C80E4A">
            <w:pPr>
              <w:tabs>
                <w:tab w:val="left" w:pos="360"/>
                <w:tab w:val="left" w:pos="630"/>
              </w:tabs>
              <w:jc w:val="right"/>
              <w:rPr>
                <w:iCs/>
                <w:szCs w:val="22"/>
              </w:rPr>
            </w:pPr>
            <w:r w:rsidRPr="007B7B59">
              <w:rPr>
                <w:szCs w:val="22"/>
              </w:rPr>
              <w:t>ER+ pacienčių</w:t>
            </w:r>
          </w:p>
        </w:tc>
        <w:tc>
          <w:tcPr>
            <w:tcW w:w="2126" w:type="dxa"/>
            <w:tcBorders>
              <w:bottom w:val="single" w:sz="4" w:space="0" w:color="auto"/>
            </w:tcBorders>
            <w:vAlign w:val="center"/>
          </w:tcPr>
          <w:p w14:paraId="71789564" w14:textId="77777777" w:rsidR="000C6DE6" w:rsidRPr="007B7B59" w:rsidRDefault="000C6DE6" w:rsidP="00C80E4A">
            <w:pPr>
              <w:jc w:val="center"/>
              <w:rPr>
                <w:bCs/>
                <w:szCs w:val="22"/>
              </w:rPr>
            </w:pPr>
            <w:r w:rsidRPr="007B7B59">
              <w:rPr>
                <w:bCs/>
                <w:szCs w:val="22"/>
              </w:rPr>
              <w:t>288 / 2028 (14,2 %)</w:t>
            </w:r>
          </w:p>
        </w:tc>
        <w:tc>
          <w:tcPr>
            <w:tcW w:w="1985" w:type="dxa"/>
            <w:tcBorders>
              <w:bottom w:val="single" w:sz="4" w:space="0" w:color="auto"/>
            </w:tcBorders>
            <w:vAlign w:val="center"/>
          </w:tcPr>
          <w:p w14:paraId="3A0801CF" w14:textId="77777777" w:rsidR="000C6DE6" w:rsidRPr="007B7B59" w:rsidRDefault="000C6DE6" w:rsidP="00C80E4A">
            <w:pPr>
              <w:jc w:val="center"/>
              <w:rPr>
                <w:bCs/>
                <w:szCs w:val="22"/>
              </w:rPr>
            </w:pPr>
            <w:r w:rsidRPr="007B7B59">
              <w:rPr>
                <w:bCs/>
                <w:szCs w:val="22"/>
              </w:rPr>
              <w:t>340 / 2024 (16,8 %)</w:t>
            </w:r>
          </w:p>
        </w:tc>
        <w:tc>
          <w:tcPr>
            <w:tcW w:w="1842" w:type="dxa"/>
            <w:tcBorders>
              <w:bottom w:val="single" w:sz="4" w:space="0" w:color="auto"/>
            </w:tcBorders>
            <w:vAlign w:val="center"/>
          </w:tcPr>
          <w:p w14:paraId="603A2C00" w14:textId="77777777" w:rsidR="000C6DE6" w:rsidRPr="007B7B59" w:rsidRDefault="000C6DE6" w:rsidP="00C80E4A">
            <w:pPr>
              <w:jc w:val="center"/>
              <w:rPr>
                <w:szCs w:val="22"/>
              </w:rPr>
            </w:pPr>
            <w:r w:rsidRPr="007B7B59">
              <w:rPr>
                <w:szCs w:val="22"/>
              </w:rPr>
              <w:t>0,82 (0,70-0,96)</w:t>
            </w:r>
          </w:p>
        </w:tc>
        <w:tc>
          <w:tcPr>
            <w:tcW w:w="1134" w:type="dxa"/>
            <w:tcBorders>
              <w:bottom w:val="single" w:sz="4" w:space="0" w:color="auto"/>
            </w:tcBorders>
            <w:vAlign w:val="center"/>
          </w:tcPr>
          <w:p w14:paraId="32B6F8FB" w14:textId="77777777" w:rsidR="000C6DE6" w:rsidRPr="007B7B59" w:rsidRDefault="000C6DE6" w:rsidP="00C80E4A">
            <w:pPr>
              <w:jc w:val="center"/>
              <w:rPr>
                <w:szCs w:val="22"/>
              </w:rPr>
            </w:pPr>
            <w:r w:rsidRPr="007B7B59">
              <w:rPr>
                <w:szCs w:val="22"/>
              </w:rPr>
              <w:t>0,01501</w:t>
            </w:r>
          </w:p>
        </w:tc>
      </w:tr>
      <w:tr w:rsidR="000C6DE6" w:rsidRPr="007B7B59" w14:paraId="09D34FE7" w14:textId="77777777" w:rsidTr="00687293">
        <w:tc>
          <w:tcPr>
            <w:tcW w:w="9072" w:type="dxa"/>
            <w:gridSpan w:val="5"/>
            <w:tcBorders>
              <w:top w:val="single" w:sz="4" w:space="0" w:color="auto"/>
            </w:tcBorders>
            <w:shd w:val="clear" w:color="auto" w:fill="auto"/>
            <w:vAlign w:val="center"/>
          </w:tcPr>
          <w:p w14:paraId="68AB2C67" w14:textId="77777777" w:rsidR="000C6DE6" w:rsidRPr="007B7B59" w:rsidRDefault="000C6DE6" w:rsidP="00C80E4A">
            <w:pPr>
              <w:rPr>
                <w:b/>
                <w:bCs/>
                <w:szCs w:val="22"/>
              </w:rPr>
            </w:pPr>
            <w:r w:rsidRPr="007B7B59">
              <w:rPr>
                <w:b/>
                <w:bCs/>
                <w:szCs w:val="22"/>
              </w:rPr>
              <w:t xml:space="preserve">Bendrasis </w:t>
            </w:r>
            <w:proofErr w:type="spellStart"/>
            <w:r w:rsidRPr="007B7B59">
              <w:rPr>
                <w:b/>
                <w:bCs/>
                <w:szCs w:val="22"/>
              </w:rPr>
              <w:t>išgyvenamumas</w:t>
            </w:r>
            <w:proofErr w:type="spellEnd"/>
            <w:r w:rsidRPr="007B7B59">
              <w:rPr>
                <w:b/>
                <w:bCs/>
                <w:szCs w:val="22"/>
              </w:rPr>
              <w:t xml:space="preserve"> </w:t>
            </w:r>
            <w:r w:rsidRPr="007B7B59">
              <w:rPr>
                <w:b/>
                <w:bCs/>
                <w:szCs w:val="22"/>
                <w:vertAlign w:val="superscript"/>
              </w:rPr>
              <w:t>d</w:t>
            </w:r>
          </w:p>
        </w:tc>
      </w:tr>
      <w:tr w:rsidR="000C6DE6" w:rsidRPr="007B7B59" w14:paraId="228701A0" w14:textId="77777777" w:rsidTr="00687293">
        <w:trPr>
          <w:cantSplit/>
        </w:trPr>
        <w:tc>
          <w:tcPr>
            <w:tcW w:w="1985" w:type="dxa"/>
            <w:shd w:val="clear" w:color="auto" w:fill="auto"/>
          </w:tcPr>
          <w:p w14:paraId="0AACF44A" w14:textId="77777777" w:rsidR="000C6DE6" w:rsidRPr="007B7B59" w:rsidRDefault="000C6DE6" w:rsidP="00C80E4A">
            <w:pPr>
              <w:tabs>
                <w:tab w:val="left" w:pos="360"/>
                <w:tab w:val="left" w:pos="630"/>
              </w:tabs>
              <w:jc w:val="right"/>
              <w:rPr>
                <w:i/>
                <w:iCs/>
                <w:szCs w:val="22"/>
              </w:rPr>
            </w:pPr>
            <w:r w:rsidRPr="007B7B59">
              <w:rPr>
                <w:szCs w:val="22"/>
              </w:rPr>
              <w:t>Visų pacienčių</w:t>
            </w:r>
          </w:p>
        </w:tc>
        <w:tc>
          <w:tcPr>
            <w:tcW w:w="2126" w:type="dxa"/>
            <w:vAlign w:val="center"/>
          </w:tcPr>
          <w:p w14:paraId="2824642C" w14:textId="77777777" w:rsidR="000C6DE6" w:rsidRPr="007B7B59" w:rsidRDefault="000C6DE6" w:rsidP="00C80E4A">
            <w:pPr>
              <w:jc w:val="center"/>
              <w:rPr>
                <w:szCs w:val="22"/>
              </w:rPr>
            </w:pPr>
            <w:r w:rsidRPr="007B7B59">
              <w:rPr>
                <w:bCs/>
                <w:szCs w:val="22"/>
              </w:rPr>
              <w:t xml:space="preserve">373 </w:t>
            </w:r>
            <w:r w:rsidRPr="007B7B59">
              <w:rPr>
                <w:szCs w:val="22"/>
              </w:rPr>
              <w:t>/ 2352 (15,9 %)</w:t>
            </w:r>
          </w:p>
        </w:tc>
        <w:tc>
          <w:tcPr>
            <w:tcW w:w="1985" w:type="dxa"/>
            <w:vAlign w:val="center"/>
          </w:tcPr>
          <w:p w14:paraId="1723A2AF" w14:textId="77777777" w:rsidR="000C6DE6" w:rsidRPr="007B7B59" w:rsidRDefault="000C6DE6" w:rsidP="00C80E4A">
            <w:pPr>
              <w:jc w:val="center"/>
              <w:rPr>
                <w:szCs w:val="22"/>
              </w:rPr>
            </w:pPr>
            <w:r w:rsidRPr="007B7B59">
              <w:rPr>
                <w:bCs/>
                <w:szCs w:val="22"/>
              </w:rPr>
              <w:t xml:space="preserve">420 </w:t>
            </w:r>
            <w:r w:rsidRPr="007B7B59">
              <w:rPr>
                <w:szCs w:val="22"/>
              </w:rPr>
              <w:t>/ 2372 (17,7 %)</w:t>
            </w:r>
          </w:p>
        </w:tc>
        <w:tc>
          <w:tcPr>
            <w:tcW w:w="1842" w:type="dxa"/>
            <w:vAlign w:val="center"/>
          </w:tcPr>
          <w:p w14:paraId="4D24DDFA" w14:textId="77777777" w:rsidR="000C6DE6" w:rsidRPr="007B7B59" w:rsidRDefault="000C6DE6" w:rsidP="00C80E4A">
            <w:pPr>
              <w:jc w:val="center"/>
              <w:rPr>
                <w:szCs w:val="22"/>
              </w:rPr>
            </w:pPr>
            <w:r w:rsidRPr="007B7B59">
              <w:rPr>
                <w:szCs w:val="22"/>
              </w:rPr>
              <w:t>0,89 (0,77-1,02)</w:t>
            </w:r>
          </w:p>
        </w:tc>
        <w:tc>
          <w:tcPr>
            <w:tcW w:w="1134" w:type="dxa"/>
            <w:vAlign w:val="center"/>
          </w:tcPr>
          <w:p w14:paraId="1A64A7D3" w14:textId="77777777" w:rsidR="000C6DE6" w:rsidRPr="007B7B59" w:rsidRDefault="000C6DE6" w:rsidP="00C80E4A">
            <w:pPr>
              <w:jc w:val="center"/>
              <w:rPr>
                <w:szCs w:val="22"/>
              </w:rPr>
            </w:pPr>
            <w:r w:rsidRPr="007B7B59">
              <w:rPr>
                <w:szCs w:val="22"/>
              </w:rPr>
              <w:t>0,08972</w:t>
            </w:r>
          </w:p>
        </w:tc>
      </w:tr>
      <w:tr w:rsidR="000C6DE6" w:rsidRPr="007B7B59" w14:paraId="5FB179AE" w14:textId="77777777" w:rsidTr="00687293">
        <w:trPr>
          <w:cantSplit/>
        </w:trPr>
        <w:tc>
          <w:tcPr>
            <w:tcW w:w="1985" w:type="dxa"/>
            <w:tcBorders>
              <w:bottom w:val="single" w:sz="4" w:space="0" w:color="auto"/>
            </w:tcBorders>
            <w:shd w:val="clear" w:color="auto" w:fill="auto"/>
          </w:tcPr>
          <w:p w14:paraId="305624E7" w14:textId="77777777" w:rsidR="000C6DE6" w:rsidRPr="007B7B59" w:rsidRDefault="000C6DE6" w:rsidP="00C80E4A">
            <w:pPr>
              <w:tabs>
                <w:tab w:val="left" w:pos="360"/>
                <w:tab w:val="left" w:pos="630"/>
              </w:tabs>
              <w:jc w:val="right"/>
              <w:rPr>
                <w:iCs/>
                <w:szCs w:val="22"/>
              </w:rPr>
            </w:pPr>
            <w:r w:rsidRPr="007B7B59">
              <w:rPr>
                <w:szCs w:val="22"/>
              </w:rPr>
              <w:t>ER+ pacienčių</w:t>
            </w:r>
          </w:p>
        </w:tc>
        <w:tc>
          <w:tcPr>
            <w:tcW w:w="2126" w:type="dxa"/>
            <w:tcBorders>
              <w:bottom w:val="single" w:sz="4" w:space="0" w:color="auto"/>
            </w:tcBorders>
            <w:vAlign w:val="center"/>
          </w:tcPr>
          <w:p w14:paraId="73D27A39" w14:textId="77777777" w:rsidR="000C6DE6" w:rsidRPr="007B7B59" w:rsidRDefault="000C6DE6" w:rsidP="00C80E4A">
            <w:pPr>
              <w:jc w:val="center"/>
              <w:rPr>
                <w:bCs/>
                <w:szCs w:val="22"/>
              </w:rPr>
            </w:pPr>
            <w:r w:rsidRPr="007B7B59">
              <w:rPr>
                <w:bCs/>
                <w:szCs w:val="22"/>
              </w:rPr>
              <w:t>311 / 2028 (15,3 %)</w:t>
            </w:r>
          </w:p>
        </w:tc>
        <w:tc>
          <w:tcPr>
            <w:tcW w:w="1985" w:type="dxa"/>
            <w:tcBorders>
              <w:bottom w:val="single" w:sz="4" w:space="0" w:color="auto"/>
            </w:tcBorders>
            <w:vAlign w:val="center"/>
          </w:tcPr>
          <w:p w14:paraId="6CA7C169" w14:textId="77777777" w:rsidR="000C6DE6" w:rsidRPr="007B7B59" w:rsidRDefault="000C6DE6" w:rsidP="00C80E4A">
            <w:pPr>
              <w:jc w:val="center"/>
              <w:rPr>
                <w:bCs/>
                <w:szCs w:val="22"/>
              </w:rPr>
            </w:pPr>
            <w:r w:rsidRPr="007B7B59">
              <w:rPr>
                <w:bCs/>
                <w:szCs w:val="22"/>
              </w:rPr>
              <w:t>351 / 2024 (17,3 %)</w:t>
            </w:r>
          </w:p>
        </w:tc>
        <w:tc>
          <w:tcPr>
            <w:tcW w:w="1842" w:type="dxa"/>
            <w:tcBorders>
              <w:bottom w:val="single" w:sz="4" w:space="0" w:color="auto"/>
            </w:tcBorders>
            <w:vAlign w:val="center"/>
          </w:tcPr>
          <w:p w14:paraId="7AB3B7C7" w14:textId="77777777" w:rsidR="000C6DE6" w:rsidRPr="007B7B59" w:rsidRDefault="000C6DE6" w:rsidP="00C80E4A">
            <w:pPr>
              <w:jc w:val="center"/>
              <w:rPr>
                <w:szCs w:val="22"/>
              </w:rPr>
            </w:pPr>
            <w:r w:rsidRPr="007B7B59">
              <w:rPr>
                <w:szCs w:val="22"/>
              </w:rPr>
              <w:t>0,87 (0,75-1,02)</w:t>
            </w:r>
          </w:p>
        </w:tc>
        <w:tc>
          <w:tcPr>
            <w:tcW w:w="1134" w:type="dxa"/>
            <w:tcBorders>
              <w:bottom w:val="single" w:sz="4" w:space="0" w:color="auto"/>
            </w:tcBorders>
            <w:vAlign w:val="center"/>
          </w:tcPr>
          <w:p w14:paraId="5B9E3704" w14:textId="77777777" w:rsidR="000C6DE6" w:rsidRPr="007B7B59" w:rsidRDefault="000C6DE6" w:rsidP="00C80E4A">
            <w:pPr>
              <w:jc w:val="center"/>
              <w:rPr>
                <w:szCs w:val="22"/>
              </w:rPr>
            </w:pPr>
            <w:r w:rsidRPr="007B7B59">
              <w:rPr>
                <w:szCs w:val="22"/>
              </w:rPr>
              <w:t>0,0831</w:t>
            </w:r>
          </w:p>
        </w:tc>
      </w:tr>
    </w:tbl>
    <w:p w14:paraId="3695F143" w14:textId="77777777" w:rsidR="000C6DE6" w:rsidRPr="007B7B59" w:rsidRDefault="000C6DE6" w:rsidP="000C6DE6">
      <w:pPr>
        <w:rPr>
          <w:szCs w:val="22"/>
        </w:rPr>
      </w:pPr>
    </w:p>
    <w:p w14:paraId="31556424" w14:textId="77777777" w:rsidR="000C6DE6" w:rsidRPr="007B7B59" w:rsidRDefault="000C6DE6" w:rsidP="000C6DE6">
      <w:pPr>
        <w:rPr>
          <w:szCs w:val="22"/>
        </w:rPr>
      </w:pPr>
      <w:r w:rsidRPr="007B7B59">
        <w:rPr>
          <w:szCs w:val="22"/>
        </w:rPr>
        <w:t xml:space="preserve">* </w:t>
      </w:r>
      <w:proofErr w:type="spellStart"/>
      <w:r w:rsidRPr="007B7B59">
        <w:rPr>
          <w:i/>
          <w:szCs w:val="22"/>
        </w:rPr>
        <w:t>Log-rank</w:t>
      </w:r>
      <w:proofErr w:type="spellEnd"/>
      <w:r w:rsidRPr="007B7B59">
        <w:rPr>
          <w:i/>
          <w:szCs w:val="22"/>
        </w:rPr>
        <w:t xml:space="preserve"> </w:t>
      </w:r>
      <w:r w:rsidRPr="007B7B59">
        <w:rPr>
          <w:szCs w:val="22"/>
        </w:rPr>
        <w:t>testas; ER+ pacientės = pacientės, kurioms nustatyti teigiami estrogenų receptoriai.</w:t>
      </w:r>
    </w:p>
    <w:p w14:paraId="33EF99E3" w14:textId="77777777" w:rsidR="000C6DE6" w:rsidRPr="007B7B59" w:rsidRDefault="000C6DE6" w:rsidP="000C6DE6">
      <w:pPr>
        <w:rPr>
          <w:szCs w:val="22"/>
        </w:rPr>
      </w:pPr>
      <w:r w:rsidRPr="007B7B59">
        <w:rPr>
          <w:szCs w:val="22"/>
        </w:rPr>
        <w:t xml:space="preserve">a </w:t>
      </w:r>
      <w:proofErr w:type="spellStart"/>
      <w:r w:rsidRPr="007B7B59">
        <w:rPr>
          <w:szCs w:val="22"/>
        </w:rPr>
        <w:t>Išgyvenamumas</w:t>
      </w:r>
      <w:proofErr w:type="spellEnd"/>
      <w:r w:rsidRPr="007B7B59">
        <w:rPr>
          <w:szCs w:val="22"/>
        </w:rPr>
        <w:t xml:space="preserve"> be ligos – tai laikotarpis, per kurį įvyksta lokalus ar atokus ligos pasikartojimas, kitos krūties vėžys arba pacientės mirtis dėl bet kurios priežasties.</w:t>
      </w:r>
    </w:p>
    <w:p w14:paraId="09EF6705" w14:textId="77777777" w:rsidR="000C6DE6" w:rsidRPr="007B7B59" w:rsidRDefault="000C6DE6" w:rsidP="000C6DE6">
      <w:pPr>
        <w:rPr>
          <w:szCs w:val="22"/>
        </w:rPr>
      </w:pPr>
      <w:r w:rsidRPr="007B7B59">
        <w:rPr>
          <w:szCs w:val="22"/>
        </w:rPr>
        <w:t xml:space="preserve">b </w:t>
      </w:r>
      <w:proofErr w:type="spellStart"/>
      <w:r w:rsidRPr="007B7B59">
        <w:rPr>
          <w:szCs w:val="22"/>
        </w:rPr>
        <w:t>Išgyvenamumas</w:t>
      </w:r>
      <w:proofErr w:type="spellEnd"/>
      <w:r w:rsidRPr="007B7B59">
        <w:rPr>
          <w:szCs w:val="22"/>
        </w:rPr>
        <w:t xml:space="preserve"> be krūties vėžio – tai laikotarpis, per kurį įvyksta lokalus ar atokus ligos pasikartojimas, kitos krūties vėžys arba pacientės mirtis dėl krūties vėžio.</w:t>
      </w:r>
    </w:p>
    <w:p w14:paraId="404FDE38" w14:textId="77777777" w:rsidR="000C6DE6" w:rsidRPr="007B7B59" w:rsidRDefault="000C6DE6" w:rsidP="000C6DE6">
      <w:pPr>
        <w:rPr>
          <w:szCs w:val="22"/>
        </w:rPr>
      </w:pPr>
      <w:r w:rsidRPr="007B7B59">
        <w:rPr>
          <w:szCs w:val="22"/>
        </w:rPr>
        <w:t xml:space="preserve">c </w:t>
      </w:r>
      <w:proofErr w:type="spellStart"/>
      <w:r w:rsidRPr="007B7B59">
        <w:rPr>
          <w:szCs w:val="22"/>
        </w:rPr>
        <w:t>Išgyvenamumas</w:t>
      </w:r>
      <w:proofErr w:type="spellEnd"/>
      <w:r w:rsidRPr="007B7B59">
        <w:rPr>
          <w:szCs w:val="22"/>
        </w:rPr>
        <w:t xml:space="preserve"> be atokaus ligos pasikartojimo – tai laikotarpis, per kurį įvyksta atokus ligos pasikartojimas arba pacientės mirtis dėl krūties vėžio.</w:t>
      </w:r>
    </w:p>
    <w:p w14:paraId="530CD50C" w14:textId="77777777" w:rsidR="000C6DE6" w:rsidRPr="007B7B59" w:rsidRDefault="000C6DE6" w:rsidP="000C6DE6">
      <w:pPr>
        <w:rPr>
          <w:szCs w:val="22"/>
        </w:rPr>
      </w:pPr>
      <w:r w:rsidRPr="007B7B59">
        <w:rPr>
          <w:szCs w:val="22"/>
        </w:rPr>
        <w:t xml:space="preserve">d Bendrasis </w:t>
      </w:r>
      <w:proofErr w:type="spellStart"/>
      <w:r w:rsidRPr="007B7B59">
        <w:rPr>
          <w:szCs w:val="22"/>
        </w:rPr>
        <w:t>išgyvenamumas</w:t>
      </w:r>
      <w:proofErr w:type="spellEnd"/>
      <w:r w:rsidRPr="007B7B59">
        <w:rPr>
          <w:szCs w:val="22"/>
        </w:rPr>
        <w:t xml:space="preserve"> – tai laikotarpis, per kurį įvyksta pacientės mirtis dėl bet kurios priežasties.</w:t>
      </w:r>
    </w:p>
    <w:p w14:paraId="2E560ADF" w14:textId="77777777" w:rsidR="000C6DE6" w:rsidRPr="007B7B59" w:rsidRDefault="000C6DE6" w:rsidP="000C6DE6">
      <w:pPr>
        <w:rPr>
          <w:szCs w:val="22"/>
          <w:u w:val="single"/>
        </w:rPr>
      </w:pPr>
    </w:p>
    <w:p w14:paraId="35EBDADD" w14:textId="77777777" w:rsidR="000C6DE6" w:rsidRPr="007B7B59" w:rsidRDefault="000C6DE6" w:rsidP="000C6DE6">
      <w:pPr>
        <w:rPr>
          <w:szCs w:val="22"/>
        </w:rPr>
      </w:pPr>
      <w:r w:rsidRPr="007B7B59">
        <w:rPr>
          <w:szCs w:val="22"/>
        </w:rPr>
        <w:t xml:space="preserve">Papildomos pacienčių, kurioms nustatyti teigiami </w:t>
      </w:r>
      <w:r w:rsidRPr="007B7B59">
        <w:rPr>
          <w:bCs/>
          <w:szCs w:val="22"/>
        </w:rPr>
        <w:t>estrogenų</w:t>
      </w:r>
      <w:r w:rsidRPr="007B7B59">
        <w:rPr>
          <w:szCs w:val="22"/>
        </w:rPr>
        <w:t xml:space="preserve"> receptoriai, ar kurių estrogenų receptorių būklė nežinoma, poaibio analizės duomenimis, nekoreguoto bendrojo </w:t>
      </w:r>
      <w:proofErr w:type="spellStart"/>
      <w:r w:rsidRPr="007B7B59">
        <w:rPr>
          <w:szCs w:val="22"/>
        </w:rPr>
        <w:t>išgyvenamumo</w:t>
      </w:r>
      <w:proofErr w:type="spellEnd"/>
      <w:r w:rsidRPr="007B7B59">
        <w:rPr>
          <w:szCs w:val="22"/>
        </w:rPr>
        <w:t xml:space="preserve"> rizikos santykis buvo 0,86 (</w:t>
      </w:r>
      <w:proofErr w:type="spellStart"/>
      <w:r w:rsidRPr="007B7B59">
        <w:rPr>
          <w:i/>
          <w:szCs w:val="22"/>
        </w:rPr>
        <w:t>log-rank</w:t>
      </w:r>
      <w:proofErr w:type="spellEnd"/>
      <w:r w:rsidRPr="007B7B59">
        <w:rPr>
          <w:i/>
          <w:szCs w:val="22"/>
        </w:rPr>
        <w:t xml:space="preserve"> </w:t>
      </w:r>
      <w:r w:rsidRPr="007B7B59">
        <w:rPr>
          <w:szCs w:val="22"/>
        </w:rPr>
        <w:t>testas: p = 0,04262). Tai rodo kliniškai ir statistiškai reikšmingą mirtingumo sumažėjimą 14 %.</w:t>
      </w:r>
    </w:p>
    <w:p w14:paraId="34381F8F" w14:textId="77777777" w:rsidR="000C6DE6" w:rsidRPr="007B7B59" w:rsidRDefault="000C6DE6" w:rsidP="000C6DE6">
      <w:pPr>
        <w:rPr>
          <w:szCs w:val="22"/>
          <w:u w:val="single"/>
        </w:rPr>
      </w:pPr>
    </w:p>
    <w:p w14:paraId="681F9188" w14:textId="77777777" w:rsidR="000C6DE6" w:rsidRPr="007B7B59" w:rsidRDefault="000C6DE6" w:rsidP="000C6DE6">
      <w:pPr>
        <w:rPr>
          <w:szCs w:val="22"/>
        </w:rPr>
      </w:pPr>
      <w:r w:rsidRPr="007B7B59">
        <w:rPr>
          <w:szCs w:val="22"/>
        </w:rPr>
        <w:t xml:space="preserve">Atnaujinta kaulų struktūros pokyčių </w:t>
      </w:r>
      <w:proofErr w:type="spellStart"/>
      <w:r w:rsidRPr="007B7B59">
        <w:rPr>
          <w:szCs w:val="22"/>
        </w:rPr>
        <w:t>subtyrimo</w:t>
      </w:r>
      <w:proofErr w:type="spellEnd"/>
      <w:r w:rsidRPr="007B7B59">
        <w:rPr>
          <w:szCs w:val="22"/>
        </w:rPr>
        <w:t xml:space="preserve"> analizė patvirtino, kad moterims, gydytoms </w:t>
      </w:r>
      <w:proofErr w:type="spellStart"/>
      <w:r w:rsidRPr="007B7B59">
        <w:rPr>
          <w:szCs w:val="22"/>
        </w:rPr>
        <w:t>eksemestanu</w:t>
      </w:r>
      <w:proofErr w:type="spellEnd"/>
      <w:r w:rsidRPr="007B7B59">
        <w:rPr>
          <w:szCs w:val="22"/>
        </w:rPr>
        <w:t xml:space="preserve"> po 2</w:t>
      </w:r>
      <w:r w:rsidRPr="007B7B59">
        <w:rPr>
          <w:szCs w:val="22"/>
        </w:rPr>
        <w:noBreakHyphen/>
        <w:t xml:space="preserve">3 metų gydymo </w:t>
      </w:r>
      <w:proofErr w:type="spellStart"/>
      <w:r w:rsidRPr="007B7B59">
        <w:rPr>
          <w:szCs w:val="22"/>
        </w:rPr>
        <w:t>tamoksifenu</w:t>
      </w:r>
      <w:proofErr w:type="spellEnd"/>
      <w:r w:rsidRPr="007B7B59">
        <w:rPr>
          <w:szCs w:val="22"/>
        </w:rPr>
        <w:t xml:space="preserve">, buvo nustatytas vidutinis kaulų mineralinio tankio sumažėjimas. Vis dėlto stebėjimo laikotarpio pabaigoje KMT pokyčio, palyginti su pradiniu, skirtumai abiejose grupėse buvo minimalūs, o galutinis KMT sumažėjimas visose vietose </w:t>
      </w:r>
      <w:proofErr w:type="spellStart"/>
      <w:r w:rsidRPr="007B7B59">
        <w:rPr>
          <w:szCs w:val="22"/>
        </w:rPr>
        <w:t>tamoksifeno</w:t>
      </w:r>
      <w:proofErr w:type="spellEnd"/>
      <w:r w:rsidRPr="007B7B59">
        <w:rPr>
          <w:szCs w:val="22"/>
        </w:rPr>
        <w:t xml:space="preserve"> grupėje buvo šiek tiek didesnis (vidutinis % KMT pokytis, palyginti su pradiniu, 24</w:t>
      </w:r>
      <w:r w:rsidRPr="007B7B59">
        <w:rPr>
          <w:szCs w:val="22"/>
        </w:rPr>
        <w:noBreakHyphen/>
        <w:t xml:space="preserve">tą mėnesį </w:t>
      </w:r>
      <w:r w:rsidRPr="007B7B59">
        <w:rPr>
          <w:szCs w:val="22"/>
        </w:rPr>
        <w:noBreakHyphen/>
        <w:t xml:space="preserve">2,17 [stuburo], </w:t>
      </w:r>
      <w:r w:rsidRPr="007B7B59">
        <w:rPr>
          <w:szCs w:val="22"/>
        </w:rPr>
        <w:noBreakHyphen/>
        <w:t xml:space="preserve">3,06 [viso šlaunikaulio], vartojant </w:t>
      </w:r>
      <w:proofErr w:type="spellStart"/>
      <w:r w:rsidRPr="007B7B59">
        <w:rPr>
          <w:szCs w:val="22"/>
        </w:rPr>
        <w:t>eksemestaną</w:t>
      </w:r>
      <w:proofErr w:type="spellEnd"/>
      <w:r w:rsidRPr="007B7B59">
        <w:rPr>
          <w:szCs w:val="22"/>
        </w:rPr>
        <w:t xml:space="preserve">, ir -3,44 [stuburo], -4,15 [viso šlaunikaulio], vartojant </w:t>
      </w:r>
      <w:proofErr w:type="spellStart"/>
      <w:r w:rsidRPr="007B7B59">
        <w:rPr>
          <w:szCs w:val="22"/>
        </w:rPr>
        <w:t>tamoksifeną</w:t>
      </w:r>
      <w:proofErr w:type="spellEnd"/>
      <w:r w:rsidRPr="007B7B59">
        <w:rPr>
          <w:szCs w:val="22"/>
        </w:rPr>
        <w:t xml:space="preserve">). Taigi kaulų masės sumažėjimo rizika </w:t>
      </w:r>
      <w:proofErr w:type="spellStart"/>
      <w:r w:rsidRPr="007B7B59">
        <w:rPr>
          <w:szCs w:val="22"/>
        </w:rPr>
        <w:t>eksemestanu</w:t>
      </w:r>
      <w:proofErr w:type="spellEnd"/>
      <w:r w:rsidRPr="007B7B59">
        <w:rPr>
          <w:szCs w:val="22"/>
        </w:rPr>
        <w:t xml:space="preserve"> gydytoms pacientams yra didesnė tik gydymo metu. Tokia rizika neišsilaiko baigus gydymą.</w:t>
      </w:r>
    </w:p>
    <w:p w14:paraId="1E1EED6B" w14:textId="77777777" w:rsidR="000C6DE6" w:rsidRPr="007B7B59" w:rsidRDefault="000C6DE6" w:rsidP="000C6DE6">
      <w:pPr>
        <w:rPr>
          <w:szCs w:val="22"/>
        </w:rPr>
      </w:pPr>
    </w:p>
    <w:p w14:paraId="2386E1A3" w14:textId="77777777" w:rsidR="000C6DE6" w:rsidRPr="007B7B59" w:rsidRDefault="000C6DE6" w:rsidP="000C6DE6">
      <w:pPr>
        <w:rPr>
          <w:szCs w:val="22"/>
        </w:rPr>
      </w:pPr>
      <w:r w:rsidRPr="007B7B59">
        <w:rPr>
          <w:szCs w:val="22"/>
        </w:rPr>
        <w:t xml:space="preserve">Remiantis visais </w:t>
      </w:r>
      <w:r w:rsidRPr="007B7B59">
        <w:rPr>
          <w:i/>
          <w:iCs/>
          <w:szCs w:val="22"/>
        </w:rPr>
        <w:t xml:space="preserve">IES </w:t>
      </w:r>
      <w:r w:rsidRPr="007B7B59">
        <w:rPr>
          <w:szCs w:val="22"/>
        </w:rPr>
        <w:t xml:space="preserve">tyrimo duomenimis, vidutiniškai po 87 stebėjimo mėnesių lūžių, dėl kurių prireikė skubiai gydyti, dažnis, įvertintas per 30 mėnesių gydymo laikotarpį, buvo didesnis </w:t>
      </w:r>
      <w:proofErr w:type="spellStart"/>
      <w:r w:rsidRPr="007B7B59">
        <w:rPr>
          <w:szCs w:val="22"/>
        </w:rPr>
        <w:t>eksemestanu</w:t>
      </w:r>
      <w:proofErr w:type="spellEnd"/>
      <w:r w:rsidRPr="007B7B59">
        <w:rPr>
          <w:szCs w:val="22"/>
        </w:rPr>
        <w:t xml:space="preserve"> gydytų pacienčių grupėje, palyginti su gydytomis </w:t>
      </w:r>
      <w:proofErr w:type="spellStart"/>
      <w:r w:rsidRPr="007B7B59">
        <w:rPr>
          <w:szCs w:val="22"/>
        </w:rPr>
        <w:t>tamoksifenu</w:t>
      </w:r>
      <w:proofErr w:type="spellEnd"/>
      <w:r w:rsidRPr="007B7B59">
        <w:rPr>
          <w:szCs w:val="22"/>
        </w:rPr>
        <w:t xml:space="preserve"> (atitinkamai 4,6 </w:t>
      </w:r>
      <w:r w:rsidRPr="007B7B59">
        <w:rPr>
          <w:szCs w:val="22"/>
        </w:rPr>
        <w:sym w:font="Symbol" w:char="0025"/>
      </w:r>
      <w:r w:rsidRPr="007B7B59">
        <w:rPr>
          <w:szCs w:val="22"/>
        </w:rPr>
        <w:t xml:space="preserve"> ir 3,3 </w:t>
      </w:r>
      <w:r w:rsidRPr="007B7B59">
        <w:rPr>
          <w:szCs w:val="22"/>
        </w:rPr>
        <w:sym w:font="Symbol" w:char="0025"/>
      </w:r>
      <w:r w:rsidRPr="007B7B59">
        <w:rPr>
          <w:szCs w:val="22"/>
        </w:rPr>
        <w:t>, p = 0,021).</w:t>
      </w:r>
    </w:p>
    <w:p w14:paraId="088AF3CC" w14:textId="77777777" w:rsidR="000C6DE6" w:rsidRPr="007B7B59" w:rsidRDefault="000C6DE6" w:rsidP="000C6DE6">
      <w:pPr>
        <w:rPr>
          <w:i/>
          <w:szCs w:val="22"/>
        </w:rPr>
      </w:pPr>
    </w:p>
    <w:p w14:paraId="55B79AD2" w14:textId="77777777" w:rsidR="00821A16" w:rsidRPr="00341B9D" w:rsidRDefault="00821A16" w:rsidP="00821A16">
      <w:pPr>
        <w:rPr>
          <w:szCs w:val="22"/>
          <w:u w:val="single"/>
        </w:rPr>
      </w:pPr>
      <w:r w:rsidRPr="00341B9D">
        <w:rPr>
          <w:u w:val="single"/>
        </w:rPr>
        <w:t>119 mėnesių galutinis stebėjimas IES tyrimo metu</w:t>
      </w:r>
    </w:p>
    <w:p w14:paraId="7FBB4F97" w14:textId="77777777" w:rsidR="001F104F" w:rsidRDefault="001F104F" w:rsidP="00821A16"/>
    <w:p w14:paraId="4FE943DF" w14:textId="77777777" w:rsidR="00821A16" w:rsidRPr="007B7B59" w:rsidRDefault="00821A16" w:rsidP="00821A16">
      <w:pPr>
        <w:rPr>
          <w:iCs/>
          <w:szCs w:val="22"/>
        </w:rPr>
      </w:pPr>
      <w:r w:rsidRPr="007B7B59">
        <w:t xml:space="preserve">Po vidutiniškai 30 mėnesių trukusio gydymo ir tolimesnio vidutiniškai 119 mėnesių trukusio </w:t>
      </w:r>
      <w:r w:rsidR="003E2004" w:rsidRPr="007B7B59">
        <w:t>stebėjimo</w:t>
      </w:r>
      <w:r w:rsidRPr="007B7B59">
        <w:t xml:space="preserve"> gauti rezultatai parodė, kad po pradinio pagalbinio 2–3 metų gydymo </w:t>
      </w:r>
      <w:proofErr w:type="spellStart"/>
      <w:r w:rsidRPr="007B7B59">
        <w:t>tamoksifenu</w:t>
      </w:r>
      <w:proofErr w:type="spellEnd"/>
      <w:r w:rsidRPr="007B7B59">
        <w:t xml:space="preserve"> toliau taikant gydymą </w:t>
      </w:r>
      <w:proofErr w:type="spellStart"/>
      <w:r w:rsidRPr="007B7B59">
        <w:t>eksemestanu</w:t>
      </w:r>
      <w:proofErr w:type="spellEnd"/>
      <w:r w:rsidRPr="007B7B59">
        <w:t xml:space="preserve"> kliniškai ir statistiškai reikšmingai</w:t>
      </w:r>
      <w:r w:rsidR="00AE1A70">
        <w:t xml:space="preserve"> </w:t>
      </w:r>
      <w:r w:rsidR="001601D7">
        <w:t xml:space="preserve">pagerėja </w:t>
      </w:r>
      <w:proofErr w:type="spellStart"/>
      <w:r w:rsidR="001601D7">
        <w:t>išgyvenamumas</w:t>
      </w:r>
      <w:proofErr w:type="spellEnd"/>
      <w:r w:rsidR="001601D7">
        <w:t xml:space="preserve"> be ligos (</w:t>
      </w:r>
      <w:r w:rsidR="00A052B0">
        <w:t>angl.</w:t>
      </w:r>
      <w:r w:rsidR="006424FE">
        <w:t>,</w:t>
      </w:r>
      <w:r w:rsidR="00A052B0">
        <w:t xml:space="preserve"> </w:t>
      </w:r>
      <w:proofErr w:type="spellStart"/>
      <w:r w:rsidR="00A052B0" w:rsidRPr="00A052B0">
        <w:rPr>
          <w:i/>
        </w:rPr>
        <w:t>disease-</w:t>
      </w:r>
      <w:r w:rsidR="00B638F1" w:rsidRPr="00A052B0">
        <w:rPr>
          <w:i/>
        </w:rPr>
        <w:t>free</w:t>
      </w:r>
      <w:proofErr w:type="spellEnd"/>
      <w:r w:rsidR="00B638F1" w:rsidRPr="00A052B0">
        <w:rPr>
          <w:i/>
        </w:rPr>
        <w:t xml:space="preserve"> </w:t>
      </w:r>
      <w:proofErr w:type="spellStart"/>
      <w:r w:rsidR="00B638F1" w:rsidRPr="00A052B0">
        <w:rPr>
          <w:i/>
        </w:rPr>
        <w:t>survival</w:t>
      </w:r>
      <w:proofErr w:type="spellEnd"/>
      <w:r w:rsidR="00A052B0" w:rsidRPr="00A052B0">
        <w:rPr>
          <w:i/>
        </w:rPr>
        <w:t>,</w:t>
      </w:r>
      <w:r w:rsidR="00B638F1" w:rsidRPr="00A052B0">
        <w:rPr>
          <w:i/>
        </w:rPr>
        <w:t xml:space="preserve"> </w:t>
      </w:r>
      <w:r w:rsidR="001601D7" w:rsidRPr="00A052B0">
        <w:rPr>
          <w:i/>
        </w:rPr>
        <w:t>DFS</w:t>
      </w:r>
      <w:r w:rsidR="001601D7">
        <w:t>)</w:t>
      </w:r>
      <w:r w:rsidRPr="007B7B59">
        <w:t xml:space="preserve">, lyginant su </w:t>
      </w:r>
      <w:r w:rsidR="001601D7">
        <w:t xml:space="preserve">tęsiamu gydymu </w:t>
      </w:r>
      <w:proofErr w:type="spellStart"/>
      <w:r w:rsidRPr="007B7B59">
        <w:t>tamoksifenu</w:t>
      </w:r>
      <w:proofErr w:type="spellEnd"/>
      <w:r w:rsidRPr="007B7B59">
        <w:t xml:space="preserve">. Analizuojant tyrimo duomenis buvo nustatyta, kad </w:t>
      </w:r>
      <w:proofErr w:type="spellStart"/>
      <w:r w:rsidRPr="007B7B59">
        <w:t>eksemestanas</w:t>
      </w:r>
      <w:proofErr w:type="spellEnd"/>
      <w:r w:rsidR="00CB26E5">
        <w:t>,</w:t>
      </w:r>
      <w:r w:rsidRPr="007B7B59">
        <w:t xml:space="preserve"> lyginant su </w:t>
      </w:r>
      <w:proofErr w:type="spellStart"/>
      <w:r w:rsidRPr="007B7B59">
        <w:t>tamoksifenu</w:t>
      </w:r>
      <w:proofErr w:type="spellEnd"/>
      <w:r w:rsidR="00CB26E5">
        <w:t>,</w:t>
      </w:r>
      <w:r w:rsidRPr="007B7B59">
        <w:t xml:space="preserve"> sumažina riziką pakartotinai susirgti krūties vėžiu 14 % (rizikos santykis 0,86; p = 0,00393). </w:t>
      </w:r>
      <w:proofErr w:type="spellStart"/>
      <w:r w:rsidR="00683B09">
        <w:t>E</w:t>
      </w:r>
      <w:r w:rsidRPr="007B7B59">
        <w:t>ksemestano</w:t>
      </w:r>
      <w:proofErr w:type="spellEnd"/>
      <w:r w:rsidRPr="007B7B59">
        <w:t xml:space="preserve"> </w:t>
      </w:r>
      <w:r w:rsidR="00683B09">
        <w:t xml:space="preserve">geresnis </w:t>
      </w:r>
      <w:r w:rsidR="00CB26E5">
        <w:t>poveikis DFS,</w:t>
      </w:r>
      <w:r w:rsidRPr="007B7B59">
        <w:t xml:space="preserve"> lyginant su </w:t>
      </w:r>
      <w:proofErr w:type="spellStart"/>
      <w:r w:rsidRPr="007B7B59">
        <w:t>tamoksifenu</w:t>
      </w:r>
      <w:proofErr w:type="spellEnd"/>
      <w:r w:rsidR="00CB26E5">
        <w:t>,</w:t>
      </w:r>
      <w:r w:rsidRPr="007B7B59">
        <w:t xml:space="preserve"> </w:t>
      </w:r>
      <w:r w:rsidR="00683B09">
        <w:t xml:space="preserve">buvo </w:t>
      </w:r>
      <w:r w:rsidRPr="007B7B59">
        <w:t xml:space="preserve">akivaizdus, nepriklausomai nuo </w:t>
      </w:r>
      <w:r w:rsidR="00637A7B">
        <w:t xml:space="preserve">limfmazgių </w:t>
      </w:r>
      <w:r w:rsidRPr="007B7B59">
        <w:t xml:space="preserve">būklės ar </w:t>
      </w:r>
      <w:r w:rsidR="00135F1B">
        <w:t>skirtos</w:t>
      </w:r>
      <w:r w:rsidRPr="007B7B59">
        <w:t xml:space="preserve"> chemoterapijos.</w:t>
      </w:r>
    </w:p>
    <w:p w14:paraId="42DDB121" w14:textId="77777777" w:rsidR="00821A16" w:rsidRPr="007B7B59" w:rsidRDefault="00821A16" w:rsidP="00821A16">
      <w:pPr>
        <w:rPr>
          <w:szCs w:val="22"/>
        </w:rPr>
      </w:pPr>
    </w:p>
    <w:p w14:paraId="4DE12723" w14:textId="77777777" w:rsidR="00821A16" w:rsidRPr="007B7B59" w:rsidRDefault="00821A16" w:rsidP="00821A16">
      <w:pPr>
        <w:rPr>
          <w:szCs w:val="22"/>
        </w:rPr>
      </w:pPr>
      <w:proofErr w:type="spellStart"/>
      <w:r w:rsidRPr="007B7B59">
        <w:t>Eksemestanas</w:t>
      </w:r>
      <w:proofErr w:type="spellEnd"/>
      <w:r w:rsidRPr="007B7B59">
        <w:t xml:space="preserve"> taip pat reikšmingai pailgino </w:t>
      </w:r>
      <w:proofErr w:type="spellStart"/>
      <w:r w:rsidRPr="007B7B59">
        <w:t>išgyvenamumą</w:t>
      </w:r>
      <w:proofErr w:type="spellEnd"/>
      <w:r w:rsidRPr="007B7B59">
        <w:t xml:space="preserve"> be krūties vėžio (rizikos santykis 0,83; p </w:t>
      </w:r>
      <w:r w:rsidR="004F64EB" w:rsidRPr="007B7B59">
        <w:t>&lt;</w:t>
      </w:r>
      <w:r w:rsidRPr="007B7B59">
        <w:t xml:space="preserve"> 0,00152) ir </w:t>
      </w:r>
      <w:proofErr w:type="spellStart"/>
      <w:r w:rsidRPr="007B7B59">
        <w:t>išgyvenamumą</w:t>
      </w:r>
      <w:proofErr w:type="spellEnd"/>
      <w:r w:rsidRPr="007B7B59">
        <w:t xml:space="preserve"> be atokaus ligos pasikartojimo (rizikos santykis 0,86; p = 0,02213). </w:t>
      </w:r>
      <w:proofErr w:type="spellStart"/>
      <w:r w:rsidRPr="007B7B59">
        <w:t>Eksemestanas</w:t>
      </w:r>
      <w:proofErr w:type="spellEnd"/>
      <w:r w:rsidRPr="007B7B59">
        <w:t xml:space="preserve"> taip pat sumažino kitos krūties vėžio riziką, nors poveikis jau nebuvo statistiškai reikšmingas (rizikos santykis 0,75; p = 0,10707).</w:t>
      </w:r>
    </w:p>
    <w:p w14:paraId="51A755FC" w14:textId="77777777" w:rsidR="00821A16" w:rsidRPr="007B7B59" w:rsidRDefault="00821A16" w:rsidP="00821A16">
      <w:pPr>
        <w:rPr>
          <w:szCs w:val="22"/>
        </w:rPr>
      </w:pPr>
    </w:p>
    <w:p w14:paraId="1B9A9072" w14:textId="77777777" w:rsidR="00821A16" w:rsidRPr="007B7B59" w:rsidRDefault="00821A16" w:rsidP="00821A16">
      <w:pPr>
        <w:rPr>
          <w:iCs/>
          <w:szCs w:val="22"/>
        </w:rPr>
      </w:pPr>
      <w:r w:rsidRPr="007B7B59">
        <w:t xml:space="preserve">Visos tiriamosios populiacijos duomenimis, bendrasis </w:t>
      </w:r>
      <w:proofErr w:type="spellStart"/>
      <w:r w:rsidRPr="007B7B59">
        <w:t>išgyvenamumas</w:t>
      </w:r>
      <w:proofErr w:type="spellEnd"/>
      <w:r w:rsidRPr="007B7B59">
        <w:t xml:space="preserve"> ab</w:t>
      </w:r>
      <w:r w:rsidR="004F64EB" w:rsidRPr="007B7B59">
        <w:t>i</w:t>
      </w:r>
      <w:r w:rsidRPr="007B7B59">
        <w:t xml:space="preserve">ejose grupėse statistiškai nesiskyrė: 467 mirtys (19,9 %) </w:t>
      </w:r>
      <w:proofErr w:type="spellStart"/>
      <w:r w:rsidRPr="007B7B59">
        <w:t>eksemestano</w:t>
      </w:r>
      <w:proofErr w:type="spellEnd"/>
      <w:r w:rsidRPr="007B7B59">
        <w:t xml:space="preserve"> grupėje ir 510 mirčių (21,5 %) </w:t>
      </w:r>
      <w:proofErr w:type="spellStart"/>
      <w:r w:rsidRPr="007B7B59">
        <w:t>tamoksifeno</w:t>
      </w:r>
      <w:proofErr w:type="spellEnd"/>
      <w:r w:rsidRPr="007B7B59">
        <w:t xml:space="preserve"> grupėje (rizikos santykis 0,91; p = 0,15737, nepritaikyta dauginiams tyrimams)</w:t>
      </w:r>
      <w:r w:rsidR="001868E9" w:rsidRPr="007B7B59">
        <w:t>. P</w:t>
      </w:r>
      <w:r w:rsidRPr="007B7B59">
        <w:t xml:space="preserve">acienčių, kurioms nustatyti teigiami estrogenų receptoriai, ar kurių estrogenų receptorių būklė nežinoma, poaibyje nekoreguoto </w:t>
      </w:r>
      <w:r w:rsidRPr="007B7B59">
        <w:lastRenderedPageBreak/>
        <w:t xml:space="preserve">bendrojo </w:t>
      </w:r>
      <w:proofErr w:type="spellStart"/>
      <w:r w:rsidRPr="007B7B59">
        <w:t>išgyvenamumo</w:t>
      </w:r>
      <w:proofErr w:type="spellEnd"/>
      <w:r w:rsidRPr="007B7B59">
        <w:t xml:space="preserve"> rizikos santykis buvo 0,89 (</w:t>
      </w:r>
      <w:proofErr w:type="spellStart"/>
      <w:r w:rsidRPr="007B7B59">
        <w:rPr>
          <w:i/>
        </w:rPr>
        <w:t>log-rank</w:t>
      </w:r>
      <w:proofErr w:type="spellEnd"/>
      <w:r w:rsidRPr="007B7B59">
        <w:t xml:space="preserve"> testas: p = 0,07881) </w:t>
      </w:r>
      <w:proofErr w:type="spellStart"/>
      <w:r w:rsidRPr="007B7B59">
        <w:t>eksemestano</w:t>
      </w:r>
      <w:proofErr w:type="spellEnd"/>
      <w:r w:rsidRPr="007B7B59">
        <w:t xml:space="preserve"> grupėje, palyginti su </w:t>
      </w:r>
      <w:proofErr w:type="spellStart"/>
      <w:r w:rsidRPr="007B7B59">
        <w:t>tamoksifeno</w:t>
      </w:r>
      <w:proofErr w:type="spellEnd"/>
      <w:r w:rsidRPr="007B7B59">
        <w:t xml:space="preserve"> grupe.</w:t>
      </w:r>
    </w:p>
    <w:p w14:paraId="13A42E79" w14:textId="77777777" w:rsidR="00821A16" w:rsidRPr="007B7B59" w:rsidRDefault="00821A16" w:rsidP="00821A16">
      <w:pPr>
        <w:rPr>
          <w:szCs w:val="22"/>
        </w:rPr>
      </w:pPr>
    </w:p>
    <w:p w14:paraId="1C978F42" w14:textId="77777777" w:rsidR="00821A16" w:rsidRPr="007B7B59" w:rsidRDefault="00821A16" w:rsidP="00821A16">
      <w:pPr>
        <w:rPr>
          <w:szCs w:val="22"/>
        </w:rPr>
      </w:pPr>
      <w:r w:rsidRPr="007B7B59">
        <w:t xml:space="preserve">Visos tiriamosios populiacijos duomenimis, vartojant </w:t>
      </w:r>
      <w:proofErr w:type="spellStart"/>
      <w:r w:rsidRPr="007B7B59">
        <w:t>eksemestaną</w:t>
      </w:r>
      <w:proofErr w:type="spellEnd"/>
      <w:r w:rsidRPr="007B7B59">
        <w:t xml:space="preserve">, palyginti su </w:t>
      </w:r>
      <w:proofErr w:type="spellStart"/>
      <w:r w:rsidRPr="007B7B59">
        <w:t>tamoksifenu</w:t>
      </w:r>
      <w:proofErr w:type="spellEnd"/>
      <w:r w:rsidRPr="007B7B59">
        <w:t>, patikslinus pagal iš anksto numatytus prognostinius veiksnius (pvz., estrogenų receptorių būklę, limfmazgių</w:t>
      </w:r>
      <w:r w:rsidR="00AE1A70">
        <w:t xml:space="preserve"> </w:t>
      </w:r>
      <w:r w:rsidRPr="007B7B59">
        <w:t xml:space="preserve">būklę, anksčiau taikytą chemoterapiją, PHT ir </w:t>
      </w:r>
      <w:proofErr w:type="spellStart"/>
      <w:r w:rsidRPr="007B7B59">
        <w:t>bisfosfonatų</w:t>
      </w:r>
      <w:proofErr w:type="spellEnd"/>
      <w:r w:rsidRPr="007B7B59">
        <w:t xml:space="preserve"> vartojimą), stebėtas statistiškai reikšmingas mirtingumo sumažėjimas 14 % (BI rizikos santykis 0,86; </w:t>
      </w:r>
      <w:proofErr w:type="spellStart"/>
      <w:r w:rsidRPr="007B7B59">
        <w:rPr>
          <w:i/>
        </w:rPr>
        <w:t>Wald</w:t>
      </w:r>
      <w:proofErr w:type="spellEnd"/>
      <w:r w:rsidRPr="007B7B59">
        <w:rPr>
          <w:i/>
        </w:rPr>
        <w:t xml:space="preserve"> </w:t>
      </w:r>
      <w:proofErr w:type="spellStart"/>
      <w:r w:rsidRPr="007B7B59">
        <w:rPr>
          <w:i/>
        </w:rPr>
        <w:t>chi</w:t>
      </w:r>
      <w:proofErr w:type="spellEnd"/>
      <w:r w:rsidRPr="007B7B59">
        <w:t xml:space="preserve"> kvadrato kriterijus: p = 0,0257).</w:t>
      </w:r>
    </w:p>
    <w:p w14:paraId="7D5F8C66" w14:textId="77777777" w:rsidR="00821A16" w:rsidRPr="007B7B59" w:rsidRDefault="00821A16" w:rsidP="00821A16">
      <w:pPr>
        <w:rPr>
          <w:szCs w:val="22"/>
        </w:rPr>
      </w:pPr>
    </w:p>
    <w:p w14:paraId="559A1273" w14:textId="77777777" w:rsidR="00821A16" w:rsidRPr="007B7B59" w:rsidRDefault="00821A16" w:rsidP="00821A16">
      <w:proofErr w:type="spellStart"/>
      <w:r w:rsidRPr="007B7B59">
        <w:t>Eksemestanu</w:t>
      </w:r>
      <w:proofErr w:type="spellEnd"/>
      <w:r w:rsidRPr="007B7B59">
        <w:t xml:space="preserve"> gydytų pacien</w:t>
      </w:r>
      <w:r w:rsidR="004F64EB" w:rsidRPr="007B7B59">
        <w:t>či</w:t>
      </w:r>
      <w:r w:rsidRPr="007B7B59">
        <w:t xml:space="preserve">ų grupėje rečiau pastebėta kitų antrojo (ne krūtų) pirminio vėžio atvejų, palyginti su vien </w:t>
      </w:r>
      <w:proofErr w:type="spellStart"/>
      <w:r w:rsidRPr="007B7B59">
        <w:t>tamoksifeną</w:t>
      </w:r>
      <w:proofErr w:type="spellEnd"/>
      <w:r w:rsidRPr="007B7B59">
        <w:t xml:space="preserve"> vartojusiomis pacientėmis (9,9 %, palyginti su 12,4 %).</w:t>
      </w:r>
    </w:p>
    <w:p w14:paraId="12C2A71D" w14:textId="77777777" w:rsidR="001868E9" w:rsidRPr="007B7B59" w:rsidRDefault="001868E9" w:rsidP="00821A16">
      <w:pPr>
        <w:rPr>
          <w:szCs w:val="22"/>
        </w:rPr>
      </w:pPr>
    </w:p>
    <w:p w14:paraId="5091B523" w14:textId="77777777" w:rsidR="001868E9" w:rsidRPr="007B7B59" w:rsidRDefault="001868E9" w:rsidP="00274102">
      <w:pPr>
        <w:rPr>
          <w:i/>
          <w:iCs/>
          <w:szCs w:val="22"/>
        </w:rPr>
      </w:pPr>
      <w:r w:rsidRPr="007B7B59">
        <w:rPr>
          <w:szCs w:val="22"/>
        </w:rPr>
        <w:t xml:space="preserve">Pagrindiniame tyrime, į kurį įėjo vidutiniškai 119 (0–163,94) mėnesių trukęs visų dalyvių </w:t>
      </w:r>
      <w:r w:rsidR="00EE16F8" w:rsidRPr="007B7B59">
        <w:rPr>
          <w:szCs w:val="22"/>
        </w:rPr>
        <w:t>stebėjimas</w:t>
      </w:r>
      <w:r w:rsidRPr="007B7B59">
        <w:rPr>
          <w:szCs w:val="22"/>
        </w:rPr>
        <w:t xml:space="preserve"> ir vidutiniškai 30</w:t>
      </w:r>
      <w:r w:rsidR="00EE16F8" w:rsidRPr="007B7B59">
        <w:rPr>
          <w:szCs w:val="22"/>
        </w:rPr>
        <w:t xml:space="preserve"> (0–40,41)</w:t>
      </w:r>
      <w:r w:rsidRPr="007B7B59">
        <w:rPr>
          <w:szCs w:val="22"/>
        </w:rPr>
        <w:t xml:space="preserve"> mėnesių trukęs gydymas </w:t>
      </w:r>
      <w:proofErr w:type="spellStart"/>
      <w:r w:rsidRPr="007B7B59">
        <w:rPr>
          <w:szCs w:val="22"/>
        </w:rPr>
        <w:t>eksemestanu</w:t>
      </w:r>
      <w:proofErr w:type="spellEnd"/>
      <w:r w:rsidRPr="007B7B59">
        <w:rPr>
          <w:szCs w:val="22"/>
        </w:rPr>
        <w:t xml:space="preserve">, </w:t>
      </w:r>
      <w:r w:rsidR="00F061E5" w:rsidRPr="007B7B59">
        <w:rPr>
          <w:szCs w:val="22"/>
        </w:rPr>
        <w:t xml:space="preserve">pranešta </w:t>
      </w:r>
      <w:r w:rsidRPr="007B7B59">
        <w:rPr>
          <w:szCs w:val="22"/>
        </w:rPr>
        <w:t xml:space="preserve">apie kaulų lūžius 169 (7,3 %) pacientėms </w:t>
      </w:r>
      <w:proofErr w:type="spellStart"/>
      <w:r w:rsidRPr="007B7B59">
        <w:rPr>
          <w:szCs w:val="22"/>
        </w:rPr>
        <w:t>eksemestano</w:t>
      </w:r>
      <w:proofErr w:type="spellEnd"/>
      <w:r w:rsidRPr="007B7B59">
        <w:rPr>
          <w:szCs w:val="22"/>
        </w:rPr>
        <w:t xml:space="preserve"> grupėje, palyginti su 122 (5,2 %) pacientėmis </w:t>
      </w:r>
      <w:proofErr w:type="spellStart"/>
      <w:r w:rsidRPr="007B7B59">
        <w:rPr>
          <w:szCs w:val="22"/>
        </w:rPr>
        <w:t>tamoksifeno</w:t>
      </w:r>
      <w:proofErr w:type="spellEnd"/>
      <w:r w:rsidRPr="007B7B59">
        <w:rPr>
          <w:szCs w:val="22"/>
        </w:rPr>
        <w:t xml:space="preserve"> grupėje (p = 0,004).</w:t>
      </w:r>
    </w:p>
    <w:p w14:paraId="00DEE300" w14:textId="77777777" w:rsidR="001868E9" w:rsidRPr="007B7B59" w:rsidRDefault="001868E9" w:rsidP="001868E9">
      <w:pPr>
        <w:rPr>
          <w:iCs/>
          <w:szCs w:val="22"/>
        </w:rPr>
      </w:pPr>
    </w:p>
    <w:tbl>
      <w:tblPr>
        <w:tblW w:w="9596" w:type="dxa"/>
        <w:tblInd w:w="108" w:type="dxa"/>
        <w:tblLayout w:type="fixed"/>
        <w:tblLook w:val="0000" w:firstRow="0" w:lastRow="0" w:firstColumn="0" w:lastColumn="0" w:noHBand="0" w:noVBand="0"/>
      </w:tblPr>
      <w:tblGrid>
        <w:gridCol w:w="2410"/>
        <w:gridCol w:w="142"/>
        <w:gridCol w:w="1276"/>
        <w:gridCol w:w="141"/>
        <w:gridCol w:w="1370"/>
        <w:gridCol w:w="190"/>
        <w:gridCol w:w="2362"/>
        <w:gridCol w:w="1705"/>
      </w:tblGrid>
      <w:tr w:rsidR="001868E9" w:rsidRPr="007B7B59" w14:paraId="69055197" w14:textId="77777777" w:rsidTr="00341B9D">
        <w:trPr>
          <w:cantSplit/>
          <w:tblHeader/>
        </w:trPr>
        <w:tc>
          <w:tcPr>
            <w:tcW w:w="9596" w:type="dxa"/>
            <w:gridSpan w:val="8"/>
            <w:tcBorders>
              <w:bottom w:val="single" w:sz="4" w:space="0" w:color="auto"/>
            </w:tcBorders>
          </w:tcPr>
          <w:p w14:paraId="01B71DF8" w14:textId="77777777" w:rsidR="001868E9" w:rsidRPr="00341B9D" w:rsidRDefault="001868E9" w:rsidP="00D617E9">
            <w:pPr>
              <w:keepNext/>
              <w:tabs>
                <w:tab w:val="left" w:pos="1152"/>
              </w:tabs>
              <w:spacing w:before="120" w:after="120"/>
              <w:ind w:left="1152" w:hanging="1152"/>
              <w:rPr>
                <w:bCs/>
                <w:szCs w:val="22"/>
              </w:rPr>
            </w:pPr>
            <w:r w:rsidRPr="00341B9D">
              <w:rPr>
                <w:szCs w:val="22"/>
              </w:rPr>
              <w:t xml:space="preserve">Veiksmingumo rezultatai </w:t>
            </w:r>
            <w:proofErr w:type="spellStart"/>
            <w:r w:rsidRPr="00341B9D">
              <w:rPr>
                <w:szCs w:val="22"/>
              </w:rPr>
              <w:t>pomenopauzinės</w:t>
            </w:r>
            <w:proofErr w:type="spellEnd"/>
            <w:r w:rsidRPr="00341B9D">
              <w:rPr>
                <w:szCs w:val="22"/>
              </w:rPr>
              <w:t xml:space="preserve"> būklės moterims, sergančioms ankstyvuoju krūties vėžiu IES tyrimo metu (ITT)</w:t>
            </w:r>
          </w:p>
        </w:tc>
      </w:tr>
      <w:tr w:rsidR="001868E9" w:rsidRPr="007B7B59" w14:paraId="484A8A36" w14:textId="77777777" w:rsidTr="00341B9D">
        <w:trPr>
          <w:cantSplit/>
          <w:tblHeader/>
        </w:trPr>
        <w:tc>
          <w:tcPr>
            <w:tcW w:w="2410" w:type="dxa"/>
            <w:vMerge w:val="restart"/>
            <w:tcBorders>
              <w:top w:val="single" w:sz="4" w:space="0" w:color="auto"/>
            </w:tcBorders>
          </w:tcPr>
          <w:p w14:paraId="0C17F06D" w14:textId="77777777" w:rsidR="001868E9" w:rsidRPr="007B7B59" w:rsidRDefault="001868E9" w:rsidP="003450A6">
            <w:pPr>
              <w:jc w:val="center"/>
              <w:rPr>
                <w:b/>
                <w:szCs w:val="22"/>
              </w:rPr>
            </w:pPr>
          </w:p>
        </w:tc>
        <w:tc>
          <w:tcPr>
            <w:tcW w:w="2929" w:type="dxa"/>
            <w:gridSpan w:val="4"/>
            <w:tcBorders>
              <w:top w:val="single" w:sz="4" w:space="0" w:color="auto"/>
            </w:tcBorders>
          </w:tcPr>
          <w:p w14:paraId="0D6F334F" w14:textId="77777777" w:rsidR="001868E9" w:rsidRPr="007B7B59" w:rsidRDefault="001868E9" w:rsidP="003450A6">
            <w:pPr>
              <w:jc w:val="center"/>
              <w:rPr>
                <w:b/>
                <w:szCs w:val="22"/>
              </w:rPr>
            </w:pPr>
            <w:r w:rsidRPr="007B7B59">
              <w:rPr>
                <w:b/>
                <w:szCs w:val="22"/>
              </w:rPr>
              <w:t>Įvykių skaičius</w:t>
            </w:r>
          </w:p>
        </w:tc>
        <w:tc>
          <w:tcPr>
            <w:tcW w:w="4257" w:type="dxa"/>
            <w:gridSpan w:val="3"/>
            <w:tcBorders>
              <w:top w:val="single" w:sz="4" w:space="0" w:color="auto"/>
            </w:tcBorders>
          </w:tcPr>
          <w:p w14:paraId="7E100987" w14:textId="77777777" w:rsidR="001868E9" w:rsidRPr="007B7B59" w:rsidRDefault="001868E9" w:rsidP="003450A6">
            <w:pPr>
              <w:jc w:val="center"/>
              <w:rPr>
                <w:b/>
                <w:szCs w:val="22"/>
              </w:rPr>
            </w:pPr>
            <w:r w:rsidRPr="007B7B59">
              <w:rPr>
                <w:b/>
                <w:szCs w:val="22"/>
              </w:rPr>
              <w:t>Rizikos santykis</w:t>
            </w:r>
          </w:p>
        </w:tc>
      </w:tr>
      <w:tr w:rsidR="001868E9" w:rsidRPr="007B7B59" w14:paraId="10683359" w14:textId="77777777" w:rsidTr="00341B9D">
        <w:trPr>
          <w:cantSplit/>
          <w:tblHeader/>
        </w:trPr>
        <w:tc>
          <w:tcPr>
            <w:tcW w:w="2410" w:type="dxa"/>
            <w:vMerge/>
            <w:tcBorders>
              <w:bottom w:val="single" w:sz="4" w:space="0" w:color="auto"/>
            </w:tcBorders>
          </w:tcPr>
          <w:p w14:paraId="6EA5115B" w14:textId="77777777" w:rsidR="001868E9" w:rsidRPr="007B7B59" w:rsidRDefault="001868E9" w:rsidP="003450A6">
            <w:pPr>
              <w:jc w:val="center"/>
              <w:rPr>
                <w:b/>
                <w:szCs w:val="22"/>
              </w:rPr>
            </w:pPr>
          </w:p>
        </w:tc>
        <w:tc>
          <w:tcPr>
            <w:tcW w:w="1559" w:type="dxa"/>
            <w:gridSpan w:val="3"/>
            <w:tcBorders>
              <w:bottom w:val="single" w:sz="4" w:space="0" w:color="auto"/>
            </w:tcBorders>
          </w:tcPr>
          <w:p w14:paraId="4D97C4CC" w14:textId="77777777" w:rsidR="001868E9" w:rsidRPr="007B7B59" w:rsidRDefault="001868E9" w:rsidP="003450A6">
            <w:pPr>
              <w:jc w:val="center"/>
              <w:rPr>
                <w:b/>
                <w:szCs w:val="22"/>
              </w:rPr>
            </w:pPr>
            <w:proofErr w:type="spellStart"/>
            <w:r w:rsidRPr="007B7B59">
              <w:rPr>
                <w:b/>
                <w:szCs w:val="22"/>
              </w:rPr>
              <w:t>Eksemestanas</w:t>
            </w:r>
            <w:proofErr w:type="spellEnd"/>
          </w:p>
        </w:tc>
        <w:tc>
          <w:tcPr>
            <w:tcW w:w="1560" w:type="dxa"/>
            <w:gridSpan w:val="2"/>
            <w:tcBorders>
              <w:bottom w:val="single" w:sz="4" w:space="0" w:color="auto"/>
            </w:tcBorders>
          </w:tcPr>
          <w:p w14:paraId="52659FF3" w14:textId="77777777" w:rsidR="001868E9" w:rsidRPr="007B7B59" w:rsidRDefault="001868E9" w:rsidP="003450A6">
            <w:pPr>
              <w:jc w:val="center"/>
              <w:rPr>
                <w:b/>
                <w:szCs w:val="22"/>
              </w:rPr>
            </w:pPr>
            <w:proofErr w:type="spellStart"/>
            <w:r w:rsidRPr="007B7B59">
              <w:rPr>
                <w:b/>
                <w:szCs w:val="22"/>
              </w:rPr>
              <w:t>Tamoksifenas</w:t>
            </w:r>
            <w:proofErr w:type="spellEnd"/>
          </w:p>
        </w:tc>
        <w:tc>
          <w:tcPr>
            <w:tcW w:w="2362" w:type="dxa"/>
            <w:tcBorders>
              <w:bottom w:val="single" w:sz="4" w:space="0" w:color="auto"/>
            </w:tcBorders>
          </w:tcPr>
          <w:p w14:paraId="1FB5FEF4" w14:textId="77777777" w:rsidR="001868E9" w:rsidRPr="007B7B59" w:rsidRDefault="001868E9" w:rsidP="003450A6">
            <w:pPr>
              <w:jc w:val="center"/>
              <w:rPr>
                <w:b/>
                <w:szCs w:val="22"/>
              </w:rPr>
            </w:pPr>
            <w:r w:rsidRPr="007B7B59">
              <w:rPr>
                <w:b/>
                <w:szCs w:val="22"/>
              </w:rPr>
              <w:t>Rizikos santykis</w:t>
            </w:r>
          </w:p>
        </w:tc>
        <w:tc>
          <w:tcPr>
            <w:tcW w:w="1705" w:type="dxa"/>
            <w:tcBorders>
              <w:bottom w:val="single" w:sz="4" w:space="0" w:color="auto"/>
            </w:tcBorders>
          </w:tcPr>
          <w:p w14:paraId="240289AB" w14:textId="77777777" w:rsidR="001868E9" w:rsidRPr="007B7B59" w:rsidRDefault="001868E9" w:rsidP="003450A6">
            <w:pPr>
              <w:jc w:val="center"/>
              <w:rPr>
                <w:b/>
                <w:szCs w:val="22"/>
              </w:rPr>
            </w:pPr>
            <w:r w:rsidRPr="007B7B59">
              <w:rPr>
                <w:b/>
                <w:szCs w:val="22"/>
              </w:rPr>
              <w:t>p vertė</w:t>
            </w:r>
          </w:p>
        </w:tc>
      </w:tr>
      <w:tr w:rsidR="001868E9" w:rsidRPr="007B7B59" w14:paraId="31117CF9" w14:textId="77777777" w:rsidTr="00341B9D">
        <w:trPr>
          <w:cantSplit/>
        </w:trPr>
        <w:tc>
          <w:tcPr>
            <w:tcW w:w="9596" w:type="dxa"/>
            <w:gridSpan w:val="8"/>
            <w:tcBorders>
              <w:top w:val="single" w:sz="4" w:space="0" w:color="auto"/>
            </w:tcBorders>
          </w:tcPr>
          <w:p w14:paraId="0886A917" w14:textId="77777777" w:rsidR="001868E9" w:rsidRPr="007B7B59" w:rsidRDefault="001868E9" w:rsidP="003450A6">
            <w:pPr>
              <w:rPr>
                <w:b/>
                <w:szCs w:val="22"/>
              </w:rPr>
            </w:pPr>
            <w:r w:rsidRPr="007B7B59">
              <w:rPr>
                <w:b/>
                <w:szCs w:val="22"/>
              </w:rPr>
              <w:t xml:space="preserve">Vidutiniškai 30 mėnesių gydymas ir vidutiniškai 34,5 mėnesių </w:t>
            </w:r>
            <w:r w:rsidR="007047D0" w:rsidRPr="007B7B59">
              <w:rPr>
                <w:b/>
                <w:szCs w:val="22"/>
              </w:rPr>
              <w:t>stebėjimas</w:t>
            </w:r>
          </w:p>
        </w:tc>
      </w:tr>
      <w:tr w:rsidR="001868E9" w:rsidRPr="007B7B59" w14:paraId="2200CA79" w14:textId="77777777" w:rsidTr="00341B9D">
        <w:trPr>
          <w:cantSplit/>
        </w:trPr>
        <w:tc>
          <w:tcPr>
            <w:tcW w:w="2552" w:type="dxa"/>
            <w:gridSpan w:val="2"/>
          </w:tcPr>
          <w:p w14:paraId="06F416FB" w14:textId="77777777" w:rsidR="001868E9" w:rsidRPr="007B7B59" w:rsidRDefault="001868E9" w:rsidP="003450A6">
            <w:pPr>
              <w:rPr>
                <w:szCs w:val="22"/>
                <w:vertAlign w:val="superscript"/>
              </w:rPr>
            </w:pPr>
            <w:proofErr w:type="spellStart"/>
            <w:r w:rsidRPr="007B7B59">
              <w:rPr>
                <w:szCs w:val="22"/>
              </w:rPr>
              <w:t>Išgyvenamumas</w:t>
            </w:r>
            <w:proofErr w:type="spellEnd"/>
            <w:r w:rsidRPr="007B7B59">
              <w:rPr>
                <w:szCs w:val="22"/>
              </w:rPr>
              <w:t xml:space="preserve"> be </w:t>
            </w:r>
            <w:proofErr w:type="spellStart"/>
            <w:r w:rsidRPr="007B7B59">
              <w:rPr>
                <w:szCs w:val="22"/>
              </w:rPr>
              <w:t>ligos</w:t>
            </w:r>
            <w:r w:rsidRPr="007B7B59">
              <w:rPr>
                <w:szCs w:val="22"/>
                <w:vertAlign w:val="superscript"/>
              </w:rPr>
              <w:fldChar w:fldCharType="begin"/>
            </w:r>
            <w:r w:rsidRPr="007B7B59">
              <w:rPr>
                <w:szCs w:val="22"/>
                <w:vertAlign w:val="superscript"/>
              </w:rPr>
              <w:instrText xml:space="preserve"> REF TblFnTxtBkmkID_17822104044 \h  \* MERGEFORMAT </w:instrText>
            </w:r>
            <w:r w:rsidRPr="007B7B59">
              <w:rPr>
                <w:szCs w:val="22"/>
                <w:vertAlign w:val="superscript"/>
              </w:rPr>
            </w:r>
            <w:r w:rsidRPr="007B7B59">
              <w:rPr>
                <w:szCs w:val="22"/>
                <w:vertAlign w:val="superscript"/>
              </w:rPr>
              <w:fldChar w:fldCharType="separate"/>
            </w:r>
            <w:r w:rsidRPr="007B7B59">
              <w:rPr>
                <w:szCs w:val="22"/>
                <w:vertAlign w:val="superscript"/>
              </w:rPr>
              <w:t>a</w:t>
            </w:r>
            <w:proofErr w:type="spellEnd"/>
            <w:r w:rsidRPr="007B7B59">
              <w:rPr>
                <w:szCs w:val="22"/>
                <w:vertAlign w:val="superscript"/>
              </w:rPr>
              <w:fldChar w:fldCharType="end"/>
            </w:r>
          </w:p>
        </w:tc>
        <w:tc>
          <w:tcPr>
            <w:tcW w:w="1417" w:type="dxa"/>
            <w:gridSpan w:val="2"/>
          </w:tcPr>
          <w:p w14:paraId="5D224957" w14:textId="77777777" w:rsidR="001868E9" w:rsidRPr="007B7B59" w:rsidRDefault="001868E9" w:rsidP="003450A6">
            <w:pPr>
              <w:jc w:val="center"/>
              <w:rPr>
                <w:szCs w:val="22"/>
              </w:rPr>
            </w:pPr>
            <w:r w:rsidRPr="007B7B59">
              <w:rPr>
                <w:szCs w:val="22"/>
              </w:rPr>
              <w:t>213</w:t>
            </w:r>
          </w:p>
        </w:tc>
        <w:tc>
          <w:tcPr>
            <w:tcW w:w="1370" w:type="dxa"/>
          </w:tcPr>
          <w:p w14:paraId="07646441" w14:textId="77777777" w:rsidR="001868E9" w:rsidRPr="007B7B59" w:rsidRDefault="001868E9" w:rsidP="003450A6">
            <w:pPr>
              <w:jc w:val="center"/>
              <w:rPr>
                <w:szCs w:val="22"/>
              </w:rPr>
            </w:pPr>
            <w:r w:rsidRPr="007B7B59">
              <w:rPr>
                <w:szCs w:val="22"/>
              </w:rPr>
              <w:t>306</w:t>
            </w:r>
          </w:p>
        </w:tc>
        <w:tc>
          <w:tcPr>
            <w:tcW w:w="2552" w:type="dxa"/>
            <w:gridSpan w:val="2"/>
          </w:tcPr>
          <w:p w14:paraId="3166B654" w14:textId="77777777" w:rsidR="001868E9" w:rsidRPr="007B7B59" w:rsidRDefault="001868E9" w:rsidP="001868E9">
            <w:pPr>
              <w:jc w:val="center"/>
              <w:rPr>
                <w:szCs w:val="22"/>
              </w:rPr>
            </w:pPr>
            <w:r w:rsidRPr="007B7B59">
              <w:rPr>
                <w:szCs w:val="22"/>
              </w:rPr>
              <w:t>0,69 (95 % PI: 0,58–0,82)</w:t>
            </w:r>
          </w:p>
        </w:tc>
        <w:tc>
          <w:tcPr>
            <w:tcW w:w="1705" w:type="dxa"/>
          </w:tcPr>
          <w:p w14:paraId="4C6D8E81" w14:textId="77777777" w:rsidR="001868E9" w:rsidRPr="007B7B59" w:rsidRDefault="001868E9" w:rsidP="003450A6">
            <w:pPr>
              <w:jc w:val="center"/>
              <w:rPr>
                <w:szCs w:val="22"/>
              </w:rPr>
            </w:pPr>
            <w:r w:rsidRPr="007B7B59">
              <w:rPr>
                <w:szCs w:val="22"/>
              </w:rPr>
              <w:t>0,00003</w:t>
            </w:r>
          </w:p>
        </w:tc>
      </w:tr>
      <w:tr w:rsidR="001868E9" w:rsidRPr="007B7B59" w14:paraId="447A49B8" w14:textId="77777777" w:rsidTr="00341B9D">
        <w:trPr>
          <w:cantSplit/>
        </w:trPr>
        <w:tc>
          <w:tcPr>
            <w:tcW w:w="2552" w:type="dxa"/>
            <w:gridSpan w:val="2"/>
          </w:tcPr>
          <w:p w14:paraId="1364551B" w14:textId="77777777" w:rsidR="001868E9" w:rsidRPr="007B7B59" w:rsidRDefault="001868E9" w:rsidP="003450A6">
            <w:pPr>
              <w:rPr>
                <w:szCs w:val="22"/>
                <w:vertAlign w:val="superscript"/>
              </w:rPr>
            </w:pPr>
            <w:proofErr w:type="spellStart"/>
            <w:r w:rsidRPr="007B7B59">
              <w:rPr>
                <w:szCs w:val="22"/>
              </w:rPr>
              <w:t>Išgyvenamumas</w:t>
            </w:r>
            <w:proofErr w:type="spellEnd"/>
            <w:r w:rsidRPr="007B7B59">
              <w:rPr>
                <w:szCs w:val="22"/>
              </w:rPr>
              <w:t xml:space="preserve"> be krūties </w:t>
            </w:r>
            <w:proofErr w:type="spellStart"/>
            <w:r w:rsidRPr="007B7B59">
              <w:rPr>
                <w:szCs w:val="22"/>
              </w:rPr>
              <w:t>vėžio</w:t>
            </w:r>
            <w:r w:rsidRPr="007B7B59">
              <w:rPr>
                <w:szCs w:val="22"/>
                <w:vertAlign w:val="superscript"/>
              </w:rPr>
              <w:fldChar w:fldCharType="begin"/>
            </w:r>
            <w:r w:rsidRPr="007B7B59">
              <w:rPr>
                <w:szCs w:val="22"/>
                <w:vertAlign w:val="superscript"/>
              </w:rPr>
              <w:instrText xml:space="preserve"> REF TblFnTxtBkmkID_1782210412 \h  \* MERGEFORMAT </w:instrText>
            </w:r>
            <w:r w:rsidRPr="007B7B59">
              <w:rPr>
                <w:szCs w:val="22"/>
                <w:vertAlign w:val="superscript"/>
              </w:rPr>
            </w:r>
            <w:r w:rsidRPr="007B7B59">
              <w:rPr>
                <w:szCs w:val="22"/>
                <w:vertAlign w:val="superscript"/>
              </w:rPr>
              <w:fldChar w:fldCharType="separate"/>
            </w:r>
            <w:r w:rsidRPr="007B7B59">
              <w:rPr>
                <w:szCs w:val="22"/>
                <w:vertAlign w:val="superscript"/>
              </w:rPr>
              <w:t>b</w:t>
            </w:r>
            <w:proofErr w:type="spellEnd"/>
            <w:r w:rsidRPr="007B7B59">
              <w:rPr>
                <w:szCs w:val="22"/>
                <w:vertAlign w:val="superscript"/>
              </w:rPr>
              <w:fldChar w:fldCharType="end"/>
            </w:r>
          </w:p>
        </w:tc>
        <w:tc>
          <w:tcPr>
            <w:tcW w:w="1417" w:type="dxa"/>
            <w:gridSpan w:val="2"/>
          </w:tcPr>
          <w:p w14:paraId="0B21BBC9" w14:textId="77777777" w:rsidR="001868E9" w:rsidRPr="007B7B59" w:rsidRDefault="001868E9" w:rsidP="003450A6">
            <w:pPr>
              <w:jc w:val="center"/>
              <w:rPr>
                <w:szCs w:val="22"/>
              </w:rPr>
            </w:pPr>
            <w:r w:rsidRPr="007B7B59">
              <w:rPr>
                <w:szCs w:val="22"/>
              </w:rPr>
              <w:t>171</w:t>
            </w:r>
          </w:p>
        </w:tc>
        <w:tc>
          <w:tcPr>
            <w:tcW w:w="1370" w:type="dxa"/>
          </w:tcPr>
          <w:p w14:paraId="282DD2BB" w14:textId="77777777" w:rsidR="001868E9" w:rsidRPr="007B7B59" w:rsidRDefault="001868E9" w:rsidP="003450A6">
            <w:pPr>
              <w:jc w:val="center"/>
              <w:rPr>
                <w:szCs w:val="22"/>
              </w:rPr>
            </w:pPr>
            <w:r w:rsidRPr="007B7B59">
              <w:rPr>
                <w:szCs w:val="22"/>
              </w:rPr>
              <w:t>262</w:t>
            </w:r>
          </w:p>
        </w:tc>
        <w:tc>
          <w:tcPr>
            <w:tcW w:w="2552" w:type="dxa"/>
            <w:gridSpan w:val="2"/>
          </w:tcPr>
          <w:p w14:paraId="00FA1911" w14:textId="77777777" w:rsidR="001868E9" w:rsidRPr="007B7B59" w:rsidRDefault="001868E9" w:rsidP="001868E9">
            <w:pPr>
              <w:jc w:val="center"/>
              <w:rPr>
                <w:szCs w:val="22"/>
              </w:rPr>
            </w:pPr>
            <w:r w:rsidRPr="007B7B59">
              <w:rPr>
                <w:szCs w:val="22"/>
              </w:rPr>
              <w:t>0,65 (95 % PI: 0,54–0,79)</w:t>
            </w:r>
          </w:p>
        </w:tc>
        <w:tc>
          <w:tcPr>
            <w:tcW w:w="1705" w:type="dxa"/>
          </w:tcPr>
          <w:p w14:paraId="15A05F72" w14:textId="77777777" w:rsidR="001868E9" w:rsidRPr="007B7B59" w:rsidRDefault="001868E9" w:rsidP="003450A6">
            <w:pPr>
              <w:jc w:val="center"/>
              <w:rPr>
                <w:szCs w:val="22"/>
              </w:rPr>
            </w:pPr>
            <w:r w:rsidRPr="007B7B59">
              <w:rPr>
                <w:szCs w:val="22"/>
              </w:rPr>
              <w:t>&lt;0,00001</w:t>
            </w:r>
          </w:p>
        </w:tc>
      </w:tr>
      <w:tr w:rsidR="001868E9" w:rsidRPr="007B7B59" w14:paraId="406FE0BF" w14:textId="77777777" w:rsidTr="00341B9D">
        <w:trPr>
          <w:cantSplit/>
        </w:trPr>
        <w:tc>
          <w:tcPr>
            <w:tcW w:w="2552" w:type="dxa"/>
            <w:gridSpan w:val="2"/>
          </w:tcPr>
          <w:p w14:paraId="226AEAC1" w14:textId="77777777" w:rsidR="001868E9" w:rsidRPr="007B7B59" w:rsidRDefault="001868E9" w:rsidP="003450A6">
            <w:pPr>
              <w:rPr>
                <w:szCs w:val="22"/>
              </w:rPr>
            </w:pPr>
            <w:r w:rsidRPr="007B7B59">
              <w:rPr>
                <w:szCs w:val="22"/>
              </w:rPr>
              <w:t>Kitos krūties vėžys</w:t>
            </w:r>
          </w:p>
        </w:tc>
        <w:tc>
          <w:tcPr>
            <w:tcW w:w="1417" w:type="dxa"/>
            <w:gridSpan w:val="2"/>
          </w:tcPr>
          <w:p w14:paraId="7ABCB43E" w14:textId="77777777" w:rsidR="001868E9" w:rsidRPr="007B7B59" w:rsidRDefault="001868E9" w:rsidP="003450A6">
            <w:pPr>
              <w:jc w:val="center"/>
              <w:rPr>
                <w:szCs w:val="22"/>
              </w:rPr>
            </w:pPr>
            <w:r w:rsidRPr="007B7B59">
              <w:rPr>
                <w:szCs w:val="22"/>
              </w:rPr>
              <w:t>8</w:t>
            </w:r>
          </w:p>
        </w:tc>
        <w:tc>
          <w:tcPr>
            <w:tcW w:w="1370" w:type="dxa"/>
          </w:tcPr>
          <w:p w14:paraId="345BAF54" w14:textId="77777777" w:rsidR="001868E9" w:rsidRPr="007B7B59" w:rsidRDefault="001868E9" w:rsidP="003450A6">
            <w:pPr>
              <w:jc w:val="center"/>
              <w:rPr>
                <w:szCs w:val="22"/>
              </w:rPr>
            </w:pPr>
            <w:r w:rsidRPr="007B7B59">
              <w:rPr>
                <w:szCs w:val="22"/>
              </w:rPr>
              <w:t>25</w:t>
            </w:r>
          </w:p>
        </w:tc>
        <w:tc>
          <w:tcPr>
            <w:tcW w:w="2552" w:type="dxa"/>
            <w:gridSpan w:val="2"/>
          </w:tcPr>
          <w:p w14:paraId="3C61E648" w14:textId="77777777" w:rsidR="001868E9" w:rsidRPr="007B7B59" w:rsidRDefault="001868E9" w:rsidP="001868E9">
            <w:pPr>
              <w:jc w:val="center"/>
              <w:rPr>
                <w:szCs w:val="22"/>
              </w:rPr>
            </w:pPr>
            <w:r w:rsidRPr="007B7B59">
              <w:rPr>
                <w:szCs w:val="22"/>
              </w:rPr>
              <w:t>0,32 (95 % PI: 0,15–0,72)</w:t>
            </w:r>
          </w:p>
        </w:tc>
        <w:tc>
          <w:tcPr>
            <w:tcW w:w="1705" w:type="dxa"/>
          </w:tcPr>
          <w:p w14:paraId="12CC3DE9" w14:textId="77777777" w:rsidR="001868E9" w:rsidRPr="007B7B59" w:rsidRDefault="001868E9" w:rsidP="003450A6">
            <w:pPr>
              <w:jc w:val="center"/>
              <w:rPr>
                <w:szCs w:val="22"/>
              </w:rPr>
            </w:pPr>
            <w:r w:rsidRPr="007B7B59">
              <w:rPr>
                <w:szCs w:val="22"/>
              </w:rPr>
              <w:t>0,00340</w:t>
            </w:r>
          </w:p>
        </w:tc>
      </w:tr>
      <w:tr w:rsidR="001868E9" w:rsidRPr="007B7B59" w14:paraId="39E73307" w14:textId="77777777" w:rsidTr="00341B9D">
        <w:trPr>
          <w:cantSplit/>
        </w:trPr>
        <w:tc>
          <w:tcPr>
            <w:tcW w:w="2552" w:type="dxa"/>
            <w:gridSpan w:val="2"/>
          </w:tcPr>
          <w:p w14:paraId="1F0DD5B5" w14:textId="77777777" w:rsidR="001868E9" w:rsidRPr="007B7B59" w:rsidRDefault="001868E9" w:rsidP="003450A6">
            <w:pPr>
              <w:rPr>
                <w:szCs w:val="22"/>
                <w:vertAlign w:val="superscript"/>
              </w:rPr>
            </w:pPr>
            <w:proofErr w:type="spellStart"/>
            <w:r w:rsidRPr="007B7B59">
              <w:rPr>
                <w:szCs w:val="22"/>
              </w:rPr>
              <w:t>Išgyvenamumas</w:t>
            </w:r>
            <w:proofErr w:type="spellEnd"/>
            <w:r w:rsidRPr="007B7B59">
              <w:rPr>
                <w:szCs w:val="22"/>
              </w:rPr>
              <w:t xml:space="preserve"> be atokaus ligos </w:t>
            </w:r>
            <w:proofErr w:type="spellStart"/>
            <w:r w:rsidRPr="007B7B59">
              <w:rPr>
                <w:szCs w:val="22"/>
              </w:rPr>
              <w:t>pasikartojimo</w:t>
            </w:r>
            <w:r w:rsidRPr="007B7B59">
              <w:rPr>
                <w:szCs w:val="22"/>
                <w:vertAlign w:val="superscript"/>
              </w:rPr>
              <w:fldChar w:fldCharType="begin"/>
            </w:r>
            <w:r w:rsidRPr="007B7B59">
              <w:rPr>
                <w:szCs w:val="22"/>
                <w:vertAlign w:val="superscript"/>
              </w:rPr>
              <w:instrText xml:space="preserve"> REF TblFnTxtBkmkID_17822104124 \h  \* MERGEFORMAT </w:instrText>
            </w:r>
            <w:r w:rsidRPr="007B7B59">
              <w:rPr>
                <w:szCs w:val="22"/>
                <w:vertAlign w:val="superscript"/>
              </w:rPr>
            </w:r>
            <w:r w:rsidRPr="007B7B59">
              <w:rPr>
                <w:szCs w:val="22"/>
                <w:vertAlign w:val="superscript"/>
              </w:rPr>
              <w:fldChar w:fldCharType="separate"/>
            </w:r>
            <w:r w:rsidRPr="007B7B59">
              <w:rPr>
                <w:szCs w:val="22"/>
                <w:vertAlign w:val="superscript"/>
              </w:rPr>
              <w:t>c</w:t>
            </w:r>
            <w:proofErr w:type="spellEnd"/>
            <w:r w:rsidRPr="007B7B59">
              <w:rPr>
                <w:szCs w:val="22"/>
                <w:vertAlign w:val="superscript"/>
              </w:rPr>
              <w:fldChar w:fldCharType="end"/>
            </w:r>
          </w:p>
        </w:tc>
        <w:tc>
          <w:tcPr>
            <w:tcW w:w="1417" w:type="dxa"/>
            <w:gridSpan w:val="2"/>
          </w:tcPr>
          <w:p w14:paraId="70CC3DD1" w14:textId="77777777" w:rsidR="001868E9" w:rsidRPr="007B7B59" w:rsidRDefault="001868E9" w:rsidP="003450A6">
            <w:pPr>
              <w:jc w:val="center"/>
              <w:rPr>
                <w:szCs w:val="22"/>
              </w:rPr>
            </w:pPr>
            <w:r w:rsidRPr="007B7B59">
              <w:rPr>
                <w:szCs w:val="22"/>
              </w:rPr>
              <w:t>142</w:t>
            </w:r>
          </w:p>
        </w:tc>
        <w:tc>
          <w:tcPr>
            <w:tcW w:w="1370" w:type="dxa"/>
          </w:tcPr>
          <w:p w14:paraId="666C7C8D" w14:textId="77777777" w:rsidR="001868E9" w:rsidRPr="007B7B59" w:rsidRDefault="001868E9" w:rsidP="003450A6">
            <w:pPr>
              <w:jc w:val="center"/>
              <w:rPr>
                <w:szCs w:val="22"/>
              </w:rPr>
            </w:pPr>
            <w:r w:rsidRPr="007B7B59">
              <w:rPr>
                <w:szCs w:val="22"/>
              </w:rPr>
              <w:t>204</w:t>
            </w:r>
          </w:p>
        </w:tc>
        <w:tc>
          <w:tcPr>
            <w:tcW w:w="2552" w:type="dxa"/>
            <w:gridSpan w:val="2"/>
          </w:tcPr>
          <w:p w14:paraId="6AF3105A" w14:textId="77777777" w:rsidR="001868E9" w:rsidRPr="007B7B59" w:rsidRDefault="001868E9" w:rsidP="001868E9">
            <w:pPr>
              <w:jc w:val="center"/>
              <w:rPr>
                <w:szCs w:val="22"/>
              </w:rPr>
            </w:pPr>
            <w:r w:rsidRPr="007B7B59">
              <w:rPr>
                <w:szCs w:val="22"/>
              </w:rPr>
              <w:t>0,70 (95 % PI: 0,56–0,86)</w:t>
            </w:r>
          </w:p>
        </w:tc>
        <w:tc>
          <w:tcPr>
            <w:tcW w:w="1705" w:type="dxa"/>
          </w:tcPr>
          <w:p w14:paraId="09C73274" w14:textId="77777777" w:rsidR="001868E9" w:rsidRPr="007B7B59" w:rsidRDefault="001868E9" w:rsidP="003450A6">
            <w:pPr>
              <w:jc w:val="center"/>
              <w:rPr>
                <w:szCs w:val="22"/>
              </w:rPr>
            </w:pPr>
            <w:r w:rsidRPr="007B7B59">
              <w:rPr>
                <w:szCs w:val="22"/>
              </w:rPr>
              <w:t>0,00083</w:t>
            </w:r>
          </w:p>
        </w:tc>
      </w:tr>
      <w:tr w:rsidR="001868E9" w:rsidRPr="007B7B59" w14:paraId="69DCD4ED" w14:textId="77777777" w:rsidTr="00341B9D">
        <w:trPr>
          <w:cantSplit/>
        </w:trPr>
        <w:tc>
          <w:tcPr>
            <w:tcW w:w="2552" w:type="dxa"/>
            <w:gridSpan w:val="2"/>
          </w:tcPr>
          <w:p w14:paraId="759D77CB" w14:textId="77777777" w:rsidR="001868E9" w:rsidRPr="007B7B59" w:rsidRDefault="001868E9" w:rsidP="003450A6">
            <w:pPr>
              <w:rPr>
                <w:szCs w:val="22"/>
                <w:vertAlign w:val="superscript"/>
              </w:rPr>
            </w:pPr>
            <w:r w:rsidRPr="007B7B59">
              <w:rPr>
                <w:szCs w:val="22"/>
              </w:rPr>
              <w:t xml:space="preserve">Bendrasis </w:t>
            </w:r>
            <w:proofErr w:type="spellStart"/>
            <w:r w:rsidRPr="007B7B59">
              <w:rPr>
                <w:szCs w:val="22"/>
              </w:rPr>
              <w:t>išgyvenamumas</w:t>
            </w:r>
            <w:r w:rsidRPr="007B7B59">
              <w:rPr>
                <w:szCs w:val="22"/>
                <w:vertAlign w:val="superscript"/>
              </w:rPr>
              <w:fldChar w:fldCharType="begin"/>
            </w:r>
            <w:r w:rsidRPr="007B7B59">
              <w:rPr>
                <w:szCs w:val="22"/>
                <w:vertAlign w:val="superscript"/>
              </w:rPr>
              <w:instrText xml:space="preserve"> REF TblFnTxtBkmkID_17822104135 \h  \* MERGEFORMAT </w:instrText>
            </w:r>
            <w:r w:rsidRPr="007B7B59">
              <w:rPr>
                <w:szCs w:val="22"/>
                <w:vertAlign w:val="superscript"/>
              </w:rPr>
            </w:r>
            <w:r w:rsidRPr="007B7B59">
              <w:rPr>
                <w:szCs w:val="22"/>
                <w:vertAlign w:val="superscript"/>
              </w:rPr>
              <w:fldChar w:fldCharType="separate"/>
            </w:r>
            <w:r w:rsidRPr="007B7B59">
              <w:rPr>
                <w:szCs w:val="22"/>
                <w:vertAlign w:val="superscript"/>
              </w:rPr>
              <w:t>d</w:t>
            </w:r>
            <w:proofErr w:type="spellEnd"/>
            <w:r w:rsidRPr="007B7B59">
              <w:rPr>
                <w:szCs w:val="22"/>
                <w:vertAlign w:val="superscript"/>
              </w:rPr>
              <w:fldChar w:fldCharType="end"/>
            </w:r>
          </w:p>
        </w:tc>
        <w:tc>
          <w:tcPr>
            <w:tcW w:w="1417" w:type="dxa"/>
            <w:gridSpan w:val="2"/>
          </w:tcPr>
          <w:p w14:paraId="3509A84C" w14:textId="77777777" w:rsidR="001868E9" w:rsidRPr="007B7B59" w:rsidRDefault="001868E9" w:rsidP="003450A6">
            <w:pPr>
              <w:jc w:val="center"/>
              <w:rPr>
                <w:szCs w:val="22"/>
              </w:rPr>
            </w:pPr>
            <w:r w:rsidRPr="007B7B59">
              <w:rPr>
                <w:szCs w:val="22"/>
              </w:rPr>
              <w:t>116</w:t>
            </w:r>
          </w:p>
        </w:tc>
        <w:tc>
          <w:tcPr>
            <w:tcW w:w="1370" w:type="dxa"/>
          </w:tcPr>
          <w:p w14:paraId="4E8A47B2" w14:textId="77777777" w:rsidR="001868E9" w:rsidRPr="007B7B59" w:rsidRDefault="001868E9" w:rsidP="003450A6">
            <w:pPr>
              <w:jc w:val="center"/>
              <w:rPr>
                <w:szCs w:val="22"/>
              </w:rPr>
            </w:pPr>
            <w:r w:rsidRPr="007B7B59">
              <w:rPr>
                <w:szCs w:val="22"/>
              </w:rPr>
              <w:t>137</w:t>
            </w:r>
          </w:p>
        </w:tc>
        <w:tc>
          <w:tcPr>
            <w:tcW w:w="2552" w:type="dxa"/>
            <w:gridSpan w:val="2"/>
          </w:tcPr>
          <w:p w14:paraId="29ED5A92" w14:textId="77777777" w:rsidR="001868E9" w:rsidRPr="007B7B59" w:rsidRDefault="001868E9" w:rsidP="001868E9">
            <w:pPr>
              <w:jc w:val="center"/>
              <w:rPr>
                <w:szCs w:val="22"/>
              </w:rPr>
            </w:pPr>
            <w:r w:rsidRPr="007B7B59">
              <w:rPr>
                <w:szCs w:val="22"/>
              </w:rPr>
              <w:t>0,86 (95 % PI: 0,67–1,10)</w:t>
            </w:r>
          </w:p>
        </w:tc>
        <w:tc>
          <w:tcPr>
            <w:tcW w:w="1705" w:type="dxa"/>
          </w:tcPr>
          <w:p w14:paraId="11B863E4" w14:textId="77777777" w:rsidR="001868E9" w:rsidRPr="007B7B59" w:rsidRDefault="001868E9" w:rsidP="003450A6">
            <w:pPr>
              <w:jc w:val="center"/>
              <w:rPr>
                <w:szCs w:val="22"/>
              </w:rPr>
            </w:pPr>
            <w:r w:rsidRPr="007B7B59">
              <w:rPr>
                <w:szCs w:val="22"/>
              </w:rPr>
              <w:t>0,22962</w:t>
            </w:r>
          </w:p>
        </w:tc>
      </w:tr>
      <w:tr w:rsidR="001868E9" w:rsidRPr="007B7B59" w14:paraId="01848BAB" w14:textId="77777777" w:rsidTr="00341B9D">
        <w:trPr>
          <w:cantSplit/>
        </w:trPr>
        <w:tc>
          <w:tcPr>
            <w:tcW w:w="9596" w:type="dxa"/>
            <w:gridSpan w:val="8"/>
          </w:tcPr>
          <w:p w14:paraId="57E183A7" w14:textId="77777777" w:rsidR="001868E9" w:rsidRPr="007B7B59" w:rsidRDefault="001868E9" w:rsidP="00274102">
            <w:pPr>
              <w:rPr>
                <w:b/>
                <w:szCs w:val="22"/>
              </w:rPr>
            </w:pPr>
            <w:r w:rsidRPr="007B7B59">
              <w:rPr>
                <w:b/>
                <w:szCs w:val="22"/>
              </w:rPr>
              <w:t xml:space="preserve">Vidutiniškai 30 mėnesių gydymas ir vidutiniškai 52 mėnesių </w:t>
            </w:r>
            <w:r w:rsidR="00A448DF" w:rsidRPr="007B7B59">
              <w:rPr>
                <w:b/>
                <w:szCs w:val="22"/>
              </w:rPr>
              <w:t>stebėjimas</w:t>
            </w:r>
          </w:p>
        </w:tc>
      </w:tr>
      <w:tr w:rsidR="001868E9" w:rsidRPr="007B7B59" w14:paraId="6ED02C83" w14:textId="77777777" w:rsidTr="00341B9D">
        <w:trPr>
          <w:cantSplit/>
        </w:trPr>
        <w:tc>
          <w:tcPr>
            <w:tcW w:w="2552" w:type="dxa"/>
            <w:gridSpan w:val="2"/>
          </w:tcPr>
          <w:p w14:paraId="54EEC51C" w14:textId="77777777" w:rsidR="001868E9" w:rsidRPr="007B7B59" w:rsidRDefault="001868E9" w:rsidP="003450A6">
            <w:pPr>
              <w:rPr>
                <w:szCs w:val="22"/>
                <w:vertAlign w:val="superscript"/>
              </w:rPr>
            </w:pPr>
            <w:proofErr w:type="spellStart"/>
            <w:r w:rsidRPr="007B7B59">
              <w:rPr>
                <w:szCs w:val="22"/>
              </w:rPr>
              <w:t>Išgyvenamumas</w:t>
            </w:r>
            <w:proofErr w:type="spellEnd"/>
            <w:r w:rsidRPr="007B7B59">
              <w:rPr>
                <w:szCs w:val="22"/>
              </w:rPr>
              <w:t xml:space="preserve"> be </w:t>
            </w:r>
            <w:proofErr w:type="spellStart"/>
            <w:r w:rsidRPr="007B7B59">
              <w:rPr>
                <w:szCs w:val="22"/>
              </w:rPr>
              <w:t>ligos</w:t>
            </w:r>
            <w:r w:rsidRPr="007B7B59">
              <w:rPr>
                <w:szCs w:val="22"/>
                <w:vertAlign w:val="superscript"/>
              </w:rPr>
              <w:fldChar w:fldCharType="begin"/>
            </w:r>
            <w:r w:rsidRPr="007B7B59">
              <w:rPr>
                <w:szCs w:val="22"/>
                <w:vertAlign w:val="superscript"/>
              </w:rPr>
              <w:instrText xml:space="preserve"> REF TblFnTxtBkmkID_17822104044 \h  \* MERGEFORMAT </w:instrText>
            </w:r>
            <w:r w:rsidRPr="007B7B59">
              <w:rPr>
                <w:szCs w:val="22"/>
                <w:vertAlign w:val="superscript"/>
              </w:rPr>
            </w:r>
            <w:r w:rsidRPr="007B7B59">
              <w:rPr>
                <w:szCs w:val="22"/>
                <w:vertAlign w:val="superscript"/>
              </w:rPr>
              <w:fldChar w:fldCharType="separate"/>
            </w:r>
            <w:r w:rsidRPr="007B7B59">
              <w:rPr>
                <w:szCs w:val="22"/>
                <w:vertAlign w:val="superscript"/>
              </w:rPr>
              <w:t>a</w:t>
            </w:r>
            <w:proofErr w:type="spellEnd"/>
            <w:r w:rsidRPr="007B7B59">
              <w:rPr>
                <w:szCs w:val="22"/>
                <w:vertAlign w:val="superscript"/>
              </w:rPr>
              <w:fldChar w:fldCharType="end"/>
            </w:r>
          </w:p>
        </w:tc>
        <w:tc>
          <w:tcPr>
            <w:tcW w:w="1276" w:type="dxa"/>
          </w:tcPr>
          <w:p w14:paraId="670CA088" w14:textId="77777777" w:rsidR="001868E9" w:rsidRPr="007B7B59" w:rsidRDefault="001868E9" w:rsidP="003450A6">
            <w:pPr>
              <w:jc w:val="center"/>
              <w:rPr>
                <w:szCs w:val="22"/>
              </w:rPr>
            </w:pPr>
            <w:r w:rsidRPr="007B7B59">
              <w:rPr>
                <w:szCs w:val="22"/>
              </w:rPr>
              <w:t>354</w:t>
            </w:r>
          </w:p>
        </w:tc>
        <w:tc>
          <w:tcPr>
            <w:tcW w:w="1511" w:type="dxa"/>
            <w:gridSpan w:val="2"/>
          </w:tcPr>
          <w:p w14:paraId="6A777325" w14:textId="77777777" w:rsidR="001868E9" w:rsidRPr="007B7B59" w:rsidRDefault="001868E9" w:rsidP="003450A6">
            <w:pPr>
              <w:jc w:val="center"/>
              <w:rPr>
                <w:szCs w:val="22"/>
              </w:rPr>
            </w:pPr>
            <w:r w:rsidRPr="007B7B59">
              <w:rPr>
                <w:szCs w:val="22"/>
              </w:rPr>
              <w:t>453</w:t>
            </w:r>
          </w:p>
        </w:tc>
        <w:tc>
          <w:tcPr>
            <w:tcW w:w="2552" w:type="dxa"/>
            <w:gridSpan w:val="2"/>
          </w:tcPr>
          <w:p w14:paraId="0389484F" w14:textId="77777777" w:rsidR="001868E9" w:rsidRPr="007B7B59" w:rsidRDefault="001868E9" w:rsidP="001868E9">
            <w:pPr>
              <w:jc w:val="center"/>
              <w:rPr>
                <w:szCs w:val="22"/>
              </w:rPr>
            </w:pPr>
            <w:r w:rsidRPr="007B7B59">
              <w:rPr>
                <w:szCs w:val="22"/>
              </w:rPr>
              <w:t>0,77 (95 % PI: 0,67–0,88)</w:t>
            </w:r>
          </w:p>
        </w:tc>
        <w:tc>
          <w:tcPr>
            <w:tcW w:w="1705" w:type="dxa"/>
          </w:tcPr>
          <w:p w14:paraId="44A7A776" w14:textId="77777777" w:rsidR="001868E9" w:rsidRPr="007B7B59" w:rsidRDefault="001868E9" w:rsidP="003450A6">
            <w:pPr>
              <w:jc w:val="center"/>
              <w:rPr>
                <w:szCs w:val="22"/>
              </w:rPr>
            </w:pPr>
            <w:r w:rsidRPr="007B7B59">
              <w:rPr>
                <w:szCs w:val="22"/>
              </w:rPr>
              <w:t>0,00015</w:t>
            </w:r>
          </w:p>
        </w:tc>
      </w:tr>
      <w:tr w:rsidR="001868E9" w:rsidRPr="007B7B59" w14:paraId="26ADC4D5" w14:textId="77777777" w:rsidTr="00341B9D">
        <w:trPr>
          <w:cantSplit/>
        </w:trPr>
        <w:tc>
          <w:tcPr>
            <w:tcW w:w="2552" w:type="dxa"/>
            <w:gridSpan w:val="2"/>
          </w:tcPr>
          <w:p w14:paraId="434884D7" w14:textId="77777777" w:rsidR="001868E9" w:rsidRPr="007B7B59" w:rsidRDefault="001868E9" w:rsidP="003450A6">
            <w:pPr>
              <w:rPr>
                <w:szCs w:val="22"/>
                <w:vertAlign w:val="superscript"/>
              </w:rPr>
            </w:pPr>
            <w:proofErr w:type="spellStart"/>
            <w:r w:rsidRPr="007B7B59">
              <w:rPr>
                <w:szCs w:val="22"/>
              </w:rPr>
              <w:t>Išgyvenamumas</w:t>
            </w:r>
            <w:proofErr w:type="spellEnd"/>
            <w:r w:rsidRPr="007B7B59">
              <w:rPr>
                <w:szCs w:val="22"/>
              </w:rPr>
              <w:t xml:space="preserve"> be krūties </w:t>
            </w:r>
            <w:proofErr w:type="spellStart"/>
            <w:r w:rsidRPr="007B7B59">
              <w:rPr>
                <w:szCs w:val="22"/>
              </w:rPr>
              <w:t>vėžio</w:t>
            </w:r>
            <w:r w:rsidRPr="007B7B59">
              <w:rPr>
                <w:szCs w:val="22"/>
                <w:vertAlign w:val="superscript"/>
              </w:rPr>
              <w:fldChar w:fldCharType="begin"/>
            </w:r>
            <w:r w:rsidRPr="007B7B59">
              <w:rPr>
                <w:szCs w:val="22"/>
                <w:vertAlign w:val="superscript"/>
              </w:rPr>
              <w:instrText xml:space="preserve"> REF TblFnTxtBkmkID_1782210412 \h  \* MERGEFORMAT </w:instrText>
            </w:r>
            <w:r w:rsidRPr="007B7B59">
              <w:rPr>
                <w:szCs w:val="22"/>
                <w:vertAlign w:val="superscript"/>
              </w:rPr>
            </w:r>
            <w:r w:rsidRPr="007B7B59">
              <w:rPr>
                <w:szCs w:val="22"/>
                <w:vertAlign w:val="superscript"/>
              </w:rPr>
              <w:fldChar w:fldCharType="separate"/>
            </w:r>
            <w:r w:rsidRPr="007B7B59">
              <w:rPr>
                <w:szCs w:val="22"/>
                <w:vertAlign w:val="superscript"/>
              </w:rPr>
              <w:t>b</w:t>
            </w:r>
            <w:proofErr w:type="spellEnd"/>
            <w:r w:rsidRPr="007B7B59">
              <w:rPr>
                <w:szCs w:val="22"/>
                <w:vertAlign w:val="superscript"/>
              </w:rPr>
              <w:fldChar w:fldCharType="end"/>
            </w:r>
          </w:p>
        </w:tc>
        <w:tc>
          <w:tcPr>
            <w:tcW w:w="1276" w:type="dxa"/>
          </w:tcPr>
          <w:p w14:paraId="501D11A2" w14:textId="77777777" w:rsidR="001868E9" w:rsidRPr="007B7B59" w:rsidRDefault="001868E9" w:rsidP="003450A6">
            <w:pPr>
              <w:jc w:val="center"/>
              <w:rPr>
                <w:szCs w:val="22"/>
              </w:rPr>
            </w:pPr>
            <w:r w:rsidRPr="007B7B59">
              <w:rPr>
                <w:szCs w:val="22"/>
              </w:rPr>
              <w:t>289</w:t>
            </w:r>
          </w:p>
        </w:tc>
        <w:tc>
          <w:tcPr>
            <w:tcW w:w="1511" w:type="dxa"/>
            <w:gridSpan w:val="2"/>
          </w:tcPr>
          <w:p w14:paraId="063A526A" w14:textId="77777777" w:rsidR="001868E9" w:rsidRPr="007B7B59" w:rsidRDefault="001868E9" w:rsidP="003450A6">
            <w:pPr>
              <w:jc w:val="center"/>
              <w:rPr>
                <w:szCs w:val="22"/>
              </w:rPr>
            </w:pPr>
            <w:r w:rsidRPr="007B7B59">
              <w:rPr>
                <w:szCs w:val="22"/>
              </w:rPr>
              <w:t>373</w:t>
            </w:r>
          </w:p>
        </w:tc>
        <w:tc>
          <w:tcPr>
            <w:tcW w:w="2552" w:type="dxa"/>
            <w:gridSpan w:val="2"/>
          </w:tcPr>
          <w:p w14:paraId="067868D4" w14:textId="77777777" w:rsidR="001868E9" w:rsidRPr="007B7B59" w:rsidRDefault="001868E9" w:rsidP="001868E9">
            <w:pPr>
              <w:jc w:val="center"/>
              <w:rPr>
                <w:szCs w:val="22"/>
              </w:rPr>
            </w:pPr>
            <w:r w:rsidRPr="007B7B59">
              <w:rPr>
                <w:szCs w:val="22"/>
              </w:rPr>
              <w:t>0,76 (95 % PI: 0,65–0,89)</w:t>
            </w:r>
          </w:p>
        </w:tc>
        <w:tc>
          <w:tcPr>
            <w:tcW w:w="1705" w:type="dxa"/>
          </w:tcPr>
          <w:p w14:paraId="545A48F5" w14:textId="77777777" w:rsidR="001868E9" w:rsidRPr="007B7B59" w:rsidRDefault="001868E9" w:rsidP="003450A6">
            <w:pPr>
              <w:jc w:val="center"/>
              <w:rPr>
                <w:szCs w:val="22"/>
              </w:rPr>
            </w:pPr>
            <w:r w:rsidRPr="007B7B59">
              <w:rPr>
                <w:szCs w:val="22"/>
              </w:rPr>
              <w:t>0,00041</w:t>
            </w:r>
          </w:p>
        </w:tc>
      </w:tr>
      <w:tr w:rsidR="001868E9" w:rsidRPr="007B7B59" w14:paraId="34E8768E" w14:textId="77777777" w:rsidTr="00341B9D">
        <w:trPr>
          <w:cantSplit/>
        </w:trPr>
        <w:tc>
          <w:tcPr>
            <w:tcW w:w="2552" w:type="dxa"/>
            <w:gridSpan w:val="2"/>
          </w:tcPr>
          <w:p w14:paraId="7364F372" w14:textId="77777777" w:rsidR="001868E9" w:rsidRPr="007B7B59" w:rsidRDefault="001868E9" w:rsidP="003450A6">
            <w:pPr>
              <w:rPr>
                <w:szCs w:val="22"/>
              </w:rPr>
            </w:pPr>
            <w:r w:rsidRPr="007B7B59">
              <w:rPr>
                <w:szCs w:val="22"/>
              </w:rPr>
              <w:t>Kitos krūties vėžys</w:t>
            </w:r>
          </w:p>
        </w:tc>
        <w:tc>
          <w:tcPr>
            <w:tcW w:w="1276" w:type="dxa"/>
          </w:tcPr>
          <w:p w14:paraId="02DC54FA" w14:textId="77777777" w:rsidR="001868E9" w:rsidRPr="007B7B59" w:rsidRDefault="001868E9" w:rsidP="003450A6">
            <w:pPr>
              <w:jc w:val="center"/>
              <w:rPr>
                <w:szCs w:val="22"/>
              </w:rPr>
            </w:pPr>
            <w:r w:rsidRPr="007B7B59">
              <w:rPr>
                <w:szCs w:val="22"/>
              </w:rPr>
              <w:t>20</w:t>
            </w:r>
          </w:p>
        </w:tc>
        <w:tc>
          <w:tcPr>
            <w:tcW w:w="1511" w:type="dxa"/>
            <w:gridSpan w:val="2"/>
          </w:tcPr>
          <w:p w14:paraId="59B4B856" w14:textId="77777777" w:rsidR="001868E9" w:rsidRPr="007B7B59" w:rsidRDefault="001868E9" w:rsidP="003450A6">
            <w:pPr>
              <w:jc w:val="center"/>
              <w:rPr>
                <w:szCs w:val="22"/>
              </w:rPr>
            </w:pPr>
            <w:r w:rsidRPr="007B7B59">
              <w:rPr>
                <w:szCs w:val="22"/>
              </w:rPr>
              <w:t>35</w:t>
            </w:r>
          </w:p>
        </w:tc>
        <w:tc>
          <w:tcPr>
            <w:tcW w:w="2552" w:type="dxa"/>
            <w:gridSpan w:val="2"/>
          </w:tcPr>
          <w:p w14:paraId="051099F5" w14:textId="77777777" w:rsidR="001868E9" w:rsidRPr="007B7B59" w:rsidRDefault="001868E9" w:rsidP="001868E9">
            <w:pPr>
              <w:jc w:val="center"/>
              <w:rPr>
                <w:szCs w:val="22"/>
              </w:rPr>
            </w:pPr>
            <w:r w:rsidRPr="007B7B59">
              <w:rPr>
                <w:szCs w:val="22"/>
              </w:rPr>
              <w:t>0,57 (95 % PI: 0,33–0,99)</w:t>
            </w:r>
          </w:p>
        </w:tc>
        <w:tc>
          <w:tcPr>
            <w:tcW w:w="1705" w:type="dxa"/>
          </w:tcPr>
          <w:p w14:paraId="68EF06E5" w14:textId="77777777" w:rsidR="001868E9" w:rsidRPr="007B7B59" w:rsidRDefault="001868E9" w:rsidP="003450A6">
            <w:pPr>
              <w:jc w:val="center"/>
              <w:rPr>
                <w:szCs w:val="22"/>
              </w:rPr>
            </w:pPr>
            <w:r w:rsidRPr="007B7B59">
              <w:rPr>
                <w:szCs w:val="22"/>
              </w:rPr>
              <w:t>0,04158</w:t>
            </w:r>
          </w:p>
        </w:tc>
      </w:tr>
      <w:tr w:rsidR="001868E9" w:rsidRPr="007B7B59" w14:paraId="2DF1F6E2" w14:textId="77777777" w:rsidTr="00341B9D">
        <w:trPr>
          <w:cantSplit/>
        </w:trPr>
        <w:tc>
          <w:tcPr>
            <w:tcW w:w="2552" w:type="dxa"/>
            <w:gridSpan w:val="2"/>
          </w:tcPr>
          <w:p w14:paraId="5518E69F" w14:textId="77777777" w:rsidR="001868E9" w:rsidRPr="007B7B59" w:rsidRDefault="001868E9" w:rsidP="003450A6">
            <w:pPr>
              <w:rPr>
                <w:szCs w:val="22"/>
                <w:vertAlign w:val="superscript"/>
              </w:rPr>
            </w:pPr>
            <w:proofErr w:type="spellStart"/>
            <w:r w:rsidRPr="007B7B59">
              <w:rPr>
                <w:szCs w:val="22"/>
              </w:rPr>
              <w:t>Išgyvenamumas</w:t>
            </w:r>
            <w:proofErr w:type="spellEnd"/>
            <w:r w:rsidRPr="007B7B59">
              <w:rPr>
                <w:szCs w:val="22"/>
              </w:rPr>
              <w:t xml:space="preserve"> be atokaus ligos </w:t>
            </w:r>
            <w:proofErr w:type="spellStart"/>
            <w:r w:rsidRPr="007B7B59">
              <w:rPr>
                <w:szCs w:val="22"/>
              </w:rPr>
              <w:t>pasikartojimo</w:t>
            </w:r>
            <w:r w:rsidRPr="007B7B59">
              <w:rPr>
                <w:szCs w:val="22"/>
                <w:vertAlign w:val="superscript"/>
              </w:rPr>
              <w:fldChar w:fldCharType="begin"/>
            </w:r>
            <w:r w:rsidRPr="007B7B59">
              <w:rPr>
                <w:szCs w:val="22"/>
                <w:vertAlign w:val="superscript"/>
              </w:rPr>
              <w:instrText xml:space="preserve"> REF TblFnTxtBkmkID_17822104124 \h  \* MERGEFORMAT </w:instrText>
            </w:r>
            <w:r w:rsidRPr="007B7B59">
              <w:rPr>
                <w:szCs w:val="22"/>
                <w:vertAlign w:val="superscript"/>
              </w:rPr>
            </w:r>
            <w:r w:rsidRPr="007B7B59">
              <w:rPr>
                <w:szCs w:val="22"/>
                <w:vertAlign w:val="superscript"/>
              </w:rPr>
              <w:fldChar w:fldCharType="separate"/>
            </w:r>
            <w:r w:rsidRPr="007B7B59">
              <w:rPr>
                <w:szCs w:val="22"/>
                <w:vertAlign w:val="superscript"/>
              </w:rPr>
              <w:t>c</w:t>
            </w:r>
            <w:proofErr w:type="spellEnd"/>
            <w:r w:rsidRPr="007B7B59">
              <w:rPr>
                <w:szCs w:val="22"/>
                <w:vertAlign w:val="superscript"/>
              </w:rPr>
              <w:fldChar w:fldCharType="end"/>
            </w:r>
          </w:p>
        </w:tc>
        <w:tc>
          <w:tcPr>
            <w:tcW w:w="1276" w:type="dxa"/>
          </w:tcPr>
          <w:p w14:paraId="37545514" w14:textId="77777777" w:rsidR="001868E9" w:rsidRPr="007B7B59" w:rsidRDefault="001868E9" w:rsidP="003450A6">
            <w:pPr>
              <w:jc w:val="center"/>
              <w:rPr>
                <w:szCs w:val="22"/>
              </w:rPr>
            </w:pPr>
            <w:r w:rsidRPr="007B7B59">
              <w:rPr>
                <w:szCs w:val="22"/>
              </w:rPr>
              <w:t>248</w:t>
            </w:r>
          </w:p>
        </w:tc>
        <w:tc>
          <w:tcPr>
            <w:tcW w:w="1511" w:type="dxa"/>
            <w:gridSpan w:val="2"/>
          </w:tcPr>
          <w:p w14:paraId="3950A8A6" w14:textId="77777777" w:rsidR="001868E9" w:rsidRPr="007B7B59" w:rsidRDefault="001868E9" w:rsidP="003450A6">
            <w:pPr>
              <w:jc w:val="center"/>
              <w:rPr>
                <w:szCs w:val="22"/>
              </w:rPr>
            </w:pPr>
            <w:r w:rsidRPr="007B7B59">
              <w:rPr>
                <w:szCs w:val="22"/>
              </w:rPr>
              <w:t>297</w:t>
            </w:r>
          </w:p>
        </w:tc>
        <w:tc>
          <w:tcPr>
            <w:tcW w:w="2552" w:type="dxa"/>
            <w:gridSpan w:val="2"/>
          </w:tcPr>
          <w:p w14:paraId="6662AD9D" w14:textId="77777777" w:rsidR="001868E9" w:rsidRPr="007B7B59" w:rsidRDefault="001868E9" w:rsidP="001868E9">
            <w:pPr>
              <w:jc w:val="center"/>
              <w:rPr>
                <w:szCs w:val="22"/>
              </w:rPr>
            </w:pPr>
            <w:r w:rsidRPr="007B7B59">
              <w:rPr>
                <w:szCs w:val="22"/>
              </w:rPr>
              <w:t>0,83 (95 % PI: 0,70–0,98)</w:t>
            </w:r>
          </w:p>
        </w:tc>
        <w:tc>
          <w:tcPr>
            <w:tcW w:w="1705" w:type="dxa"/>
          </w:tcPr>
          <w:p w14:paraId="72AB3A8C" w14:textId="77777777" w:rsidR="001868E9" w:rsidRPr="007B7B59" w:rsidRDefault="001868E9" w:rsidP="003450A6">
            <w:pPr>
              <w:jc w:val="center"/>
              <w:rPr>
                <w:szCs w:val="22"/>
              </w:rPr>
            </w:pPr>
            <w:r w:rsidRPr="007B7B59">
              <w:rPr>
                <w:szCs w:val="22"/>
              </w:rPr>
              <w:t>0,02621</w:t>
            </w:r>
          </w:p>
        </w:tc>
      </w:tr>
      <w:tr w:rsidR="001868E9" w:rsidRPr="007B7B59" w14:paraId="54CB63FF" w14:textId="77777777" w:rsidTr="00341B9D">
        <w:trPr>
          <w:cantSplit/>
        </w:trPr>
        <w:tc>
          <w:tcPr>
            <w:tcW w:w="2552" w:type="dxa"/>
            <w:gridSpan w:val="2"/>
          </w:tcPr>
          <w:p w14:paraId="369916D7" w14:textId="77777777" w:rsidR="001868E9" w:rsidRPr="007B7B59" w:rsidRDefault="001868E9" w:rsidP="003450A6">
            <w:pPr>
              <w:rPr>
                <w:szCs w:val="22"/>
                <w:vertAlign w:val="superscript"/>
              </w:rPr>
            </w:pPr>
            <w:r w:rsidRPr="007B7B59">
              <w:rPr>
                <w:szCs w:val="22"/>
              </w:rPr>
              <w:t xml:space="preserve">Bendrasis </w:t>
            </w:r>
            <w:proofErr w:type="spellStart"/>
            <w:r w:rsidRPr="007B7B59">
              <w:rPr>
                <w:szCs w:val="22"/>
              </w:rPr>
              <w:t>išgyvenamumas</w:t>
            </w:r>
            <w:r w:rsidRPr="007B7B59">
              <w:rPr>
                <w:szCs w:val="22"/>
                <w:vertAlign w:val="superscript"/>
              </w:rPr>
              <w:fldChar w:fldCharType="begin"/>
            </w:r>
            <w:r w:rsidRPr="007B7B59">
              <w:rPr>
                <w:szCs w:val="22"/>
                <w:vertAlign w:val="superscript"/>
              </w:rPr>
              <w:instrText xml:space="preserve"> REF TblFnTxtBkmkID_17822104135 \h  \* MERGEFORMAT </w:instrText>
            </w:r>
            <w:r w:rsidRPr="007B7B59">
              <w:rPr>
                <w:szCs w:val="22"/>
                <w:vertAlign w:val="superscript"/>
              </w:rPr>
            </w:r>
            <w:r w:rsidRPr="007B7B59">
              <w:rPr>
                <w:szCs w:val="22"/>
                <w:vertAlign w:val="superscript"/>
              </w:rPr>
              <w:fldChar w:fldCharType="separate"/>
            </w:r>
            <w:r w:rsidRPr="007B7B59">
              <w:rPr>
                <w:szCs w:val="22"/>
                <w:vertAlign w:val="superscript"/>
              </w:rPr>
              <w:t>d</w:t>
            </w:r>
            <w:proofErr w:type="spellEnd"/>
            <w:r w:rsidRPr="007B7B59">
              <w:rPr>
                <w:szCs w:val="22"/>
                <w:vertAlign w:val="superscript"/>
              </w:rPr>
              <w:fldChar w:fldCharType="end"/>
            </w:r>
          </w:p>
        </w:tc>
        <w:tc>
          <w:tcPr>
            <w:tcW w:w="1276" w:type="dxa"/>
          </w:tcPr>
          <w:p w14:paraId="2A0E0EAC" w14:textId="77777777" w:rsidR="001868E9" w:rsidRPr="007B7B59" w:rsidRDefault="001868E9" w:rsidP="003450A6">
            <w:pPr>
              <w:jc w:val="center"/>
              <w:rPr>
                <w:szCs w:val="22"/>
              </w:rPr>
            </w:pPr>
            <w:r w:rsidRPr="007B7B59">
              <w:rPr>
                <w:szCs w:val="22"/>
              </w:rPr>
              <w:t>222</w:t>
            </w:r>
          </w:p>
        </w:tc>
        <w:tc>
          <w:tcPr>
            <w:tcW w:w="1511" w:type="dxa"/>
            <w:gridSpan w:val="2"/>
          </w:tcPr>
          <w:p w14:paraId="7855AAC8" w14:textId="77777777" w:rsidR="001868E9" w:rsidRPr="007B7B59" w:rsidRDefault="001868E9" w:rsidP="003450A6">
            <w:pPr>
              <w:jc w:val="center"/>
              <w:rPr>
                <w:szCs w:val="22"/>
              </w:rPr>
            </w:pPr>
            <w:r w:rsidRPr="007B7B59">
              <w:rPr>
                <w:szCs w:val="22"/>
              </w:rPr>
              <w:t>262</w:t>
            </w:r>
          </w:p>
        </w:tc>
        <w:tc>
          <w:tcPr>
            <w:tcW w:w="2552" w:type="dxa"/>
            <w:gridSpan w:val="2"/>
          </w:tcPr>
          <w:p w14:paraId="0985B3BE" w14:textId="77777777" w:rsidR="001868E9" w:rsidRPr="007B7B59" w:rsidRDefault="001868E9" w:rsidP="001868E9">
            <w:pPr>
              <w:jc w:val="center"/>
              <w:rPr>
                <w:szCs w:val="22"/>
              </w:rPr>
            </w:pPr>
            <w:r w:rsidRPr="007B7B59">
              <w:rPr>
                <w:szCs w:val="22"/>
              </w:rPr>
              <w:t>0,85 (95 % PI: 0,71–1,02)</w:t>
            </w:r>
          </w:p>
        </w:tc>
        <w:tc>
          <w:tcPr>
            <w:tcW w:w="1705" w:type="dxa"/>
          </w:tcPr>
          <w:p w14:paraId="694D47E1" w14:textId="77777777" w:rsidR="001868E9" w:rsidRPr="007B7B59" w:rsidRDefault="001868E9" w:rsidP="003450A6">
            <w:pPr>
              <w:jc w:val="center"/>
              <w:rPr>
                <w:szCs w:val="22"/>
              </w:rPr>
            </w:pPr>
            <w:r w:rsidRPr="007B7B59">
              <w:rPr>
                <w:szCs w:val="22"/>
              </w:rPr>
              <w:t>0,07362</w:t>
            </w:r>
          </w:p>
        </w:tc>
      </w:tr>
      <w:tr w:rsidR="001868E9" w:rsidRPr="007B7B59" w14:paraId="28807441" w14:textId="77777777" w:rsidTr="00341B9D">
        <w:trPr>
          <w:cantSplit/>
        </w:trPr>
        <w:tc>
          <w:tcPr>
            <w:tcW w:w="9596" w:type="dxa"/>
            <w:gridSpan w:val="8"/>
          </w:tcPr>
          <w:p w14:paraId="19C7FEA3" w14:textId="77777777" w:rsidR="001868E9" w:rsidRPr="007B7B59" w:rsidRDefault="001868E9" w:rsidP="00274102">
            <w:pPr>
              <w:rPr>
                <w:b/>
                <w:szCs w:val="22"/>
              </w:rPr>
            </w:pPr>
            <w:r w:rsidRPr="007B7B59">
              <w:rPr>
                <w:b/>
                <w:szCs w:val="22"/>
              </w:rPr>
              <w:t xml:space="preserve">Vidutiniškai 30 mėnesių gydymas ir vidutiniškai 87 mėnesių </w:t>
            </w:r>
            <w:r w:rsidR="00F736C3" w:rsidRPr="007B7B59">
              <w:rPr>
                <w:b/>
                <w:szCs w:val="22"/>
              </w:rPr>
              <w:t>stebėjimas</w:t>
            </w:r>
          </w:p>
        </w:tc>
      </w:tr>
      <w:tr w:rsidR="001868E9" w:rsidRPr="007B7B59" w14:paraId="4DB42561" w14:textId="77777777" w:rsidTr="00341B9D">
        <w:trPr>
          <w:cantSplit/>
        </w:trPr>
        <w:tc>
          <w:tcPr>
            <w:tcW w:w="2552" w:type="dxa"/>
            <w:gridSpan w:val="2"/>
          </w:tcPr>
          <w:p w14:paraId="62F8AE90" w14:textId="77777777" w:rsidR="001868E9" w:rsidRPr="007B7B59" w:rsidRDefault="001868E9" w:rsidP="003450A6">
            <w:pPr>
              <w:rPr>
                <w:szCs w:val="22"/>
                <w:vertAlign w:val="superscript"/>
              </w:rPr>
            </w:pPr>
            <w:proofErr w:type="spellStart"/>
            <w:r w:rsidRPr="007B7B59">
              <w:rPr>
                <w:szCs w:val="22"/>
              </w:rPr>
              <w:t>Išgyvenamumas</w:t>
            </w:r>
            <w:proofErr w:type="spellEnd"/>
            <w:r w:rsidRPr="007B7B59">
              <w:rPr>
                <w:szCs w:val="22"/>
              </w:rPr>
              <w:t xml:space="preserve"> be </w:t>
            </w:r>
            <w:proofErr w:type="spellStart"/>
            <w:r w:rsidRPr="007B7B59">
              <w:rPr>
                <w:szCs w:val="22"/>
              </w:rPr>
              <w:t>ligos</w:t>
            </w:r>
            <w:r w:rsidRPr="007B7B59">
              <w:rPr>
                <w:szCs w:val="22"/>
                <w:vertAlign w:val="superscript"/>
              </w:rPr>
              <w:fldChar w:fldCharType="begin"/>
            </w:r>
            <w:r w:rsidRPr="007B7B59">
              <w:rPr>
                <w:szCs w:val="22"/>
                <w:vertAlign w:val="superscript"/>
              </w:rPr>
              <w:instrText xml:space="preserve"> REF TblFnTxtBkmkID_17822104044 \h  \* MERGEFORMAT </w:instrText>
            </w:r>
            <w:r w:rsidRPr="007B7B59">
              <w:rPr>
                <w:szCs w:val="22"/>
                <w:vertAlign w:val="superscript"/>
              </w:rPr>
            </w:r>
            <w:r w:rsidRPr="007B7B59">
              <w:rPr>
                <w:szCs w:val="22"/>
                <w:vertAlign w:val="superscript"/>
              </w:rPr>
              <w:fldChar w:fldCharType="separate"/>
            </w:r>
            <w:r w:rsidRPr="007B7B59">
              <w:rPr>
                <w:szCs w:val="22"/>
                <w:vertAlign w:val="superscript"/>
              </w:rPr>
              <w:t>a</w:t>
            </w:r>
            <w:proofErr w:type="spellEnd"/>
            <w:r w:rsidRPr="007B7B59">
              <w:rPr>
                <w:szCs w:val="22"/>
                <w:vertAlign w:val="superscript"/>
              </w:rPr>
              <w:fldChar w:fldCharType="end"/>
            </w:r>
          </w:p>
        </w:tc>
        <w:tc>
          <w:tcPr>
            <w:tcW w:w="1276" w:type="dxa"/>
          </w:tcPr>
          <w:p w14:paraId="794DB90E" w14:textId="77777777" w:rsidR="001868E9" w:rsidRPr="007B7B59" w:rsidRDefault="001868E9" w:rsidP="003450A6">
            <w:pPr>
              <w:jc w:val="center"/>
              <w:rPr>
                <w:szCs w:val="22"/>
              </w:rPr>
            </w:pPr>
            <w:r w:rsidRPr="007B7B59">
              <w:rPr>
                <w:szCs w:val="22"/>
              </w:rPr>
              <w:t>552</w:t>
            </w:r>
          </w:p>
        </w:tc>
        <w:tc>
          <w:tcPr>
            <w:tcW w:w="1511" w:type="dxa"/>
            <w:gridSpan w:val="2"/>
          </w:tcPr>
          <w:p w14:paraId="35C139C2" w14:textId="77777777" w:rsidR="001868E9" w:rsidRPr="007B7B59" w:rsidRDefault="001868E9" w:rsidP="003450A6">
            <w:pPr>
              <w:jc w:val="center"/>
              <w:rPr>
                <w:szCs w:val="22"/>
              </w:rPr>
            </w:pPr>
            <w:r w:rsidRPr="007B7B59">
              <w:rPr>
                <w:szCs w:val="22"/>
              </w:rPr>
              <w:t>641</w:t>
            </w:r>
          </w:p>
        </w:tc>
        <w:tc>
          <w:tcPr>
            <w:tcW w:w="2552" w:type="dxa"/>
            <w:gridSpan w:val="2"/>
          </w:tcPr>
          <w:p w14:paraId="50D1A210" w14:textId="77777777" w:rsidR="001868E9" w:rsidRPr="007B7B59" w:rsidRDefault="001868E9" w:rsidP="001868E9">
            <w:pPr>
              <w:jc w:val="center"/>
              <w:rPr>
                <w:szCs w:val="22"/>
              </w:rPr>
            </w:pPr>
            <w:r w:rsidRPr="007B7B59">
              <w:rPr>
                <w:szCs w:val="22"/>
              </w:rPr>
              <w:t>0,84 (95 % PI: 0,75–0,94)</w:t>
            </w:r>
          </w:p>
        </w:tc>
        <w:tc>
          <w:tcPr>
            <w:tcW w:w="1705" w:type="dxa"/>
          </w:tcPr>
          <w:p w14:paraId="154330CF" w14:textId="77777777" w:rsidR="001868E9" w:rsidRPr="007B7B59" w:rsidRDefault="001868E9" w:rsidP="003450A6">
            <w:pPr>
              <w:jc w:val="center"/>
              <w:rPr>
                <w:szCs w:val="22"/>
              </w:rPr>
            </w:pPr>
            <w:r w:rsidRPr="007B7B59">
              <w:rPr>
                <w:szCs w:val="22"/>
              </w:rPr>
              <w:t>0,002</w:t>
            </w:r>
          </w:p>
        </w:tc>
      </w:tr>
      <w:tr w:rsidR="001868E9" w:rsidRPr="007B7B59" w14:paraId="79C78A57" w14:textId="77777777" w:rsidTr="00341B9D">
        <w:trPr>
          <w:cantSplit/>
        </w:trPr>
        <w:tc>
          <w:tcPr>
            <w:tcW w:w="2552" w:type="dxa"/>
            <w:gridSpan w:val="2"/>
          </w:tcPr>
          <w:p w14:paraId="130ACC37" w14:textId="77777777" w:rsidR="001868E9" w:rsidRPr="007B7B59" w:rsidRDefault="001868E9" w:rsidP="003450A6">
            <w:pPr>
              <w:rPr>
                <w:szCs w:val="22"/>
                <w:vertAlign w:val="superscript"/>
              </w:rPr>
            </w:pPr>
            <w:proofErr w:type="spellStart"/>
            <w:r w:rsidRPr="007B7B59">
              <w:rPr>
                <w:szCs w:val="22"/>
              </w:rPr>
              <w:t>Išgyvenamumas</w:t>
            </w:r>
            <w:proofErr w:type="spellEnd"/>
            <w:r w:rsidRPr="007B7B59">
              <w:rPr>
                <w:szCs w:val="22"/>
              </w:rPr>
              <w:t xml:space="preserve"> be krūties </w:t>
            </w:r>
            <w:proofErr w:type="spellStart"/>
            <w:r w:rsidRPr="007B7B59">
              <w:rPr>
                <w:szCs w:val="22"/>
              </w:rPr>
              <w:t>vėžio</w:t>
            </w:r>
            <w:r w:rsidRPr="007B7B59">
              <w:rPr>
                <w:szCs w:val="22"/>
                <w:vertAlign w:val="superscript"/>
              </w:rPr>
              <w:fldChar w:fldCharType="begin"/>
            </w:r>
            <w:r w:rsidRPr="007B7B59">
              <w:rPr>
                <w:szCs w:val="22"/>
                <w:vertAlign w:val="superscript"/>
              </w:rPr>
              <w:instrText xml:space="preserve"> REF TblFnTxtBkmkID_1782210412 \h  \* MERGEFORMAT </w:instrText>
            </w:r>
            <w:r w:rsidRPr="007B7B59">
              <w:rPr>
                <w:szCs w:val="22"/>
                <w:vertAlign w:val="superscript"/>
              </w:rPr>
            </w:r>
            <w:r w:rsidRPr="007B7B59">
              <w:rPr>
                <w:szCs w:val="22"/>
                <w:vertAlign w:val="superscript"/>
              </w:rPr>
              <w:fldChar w:fldCharType="separate"/>
            </w:r>
            <w:r w:rsidRPr="007B7B59">
              <w:rPr>
                <w:szCs w:val="22"/>
                <w:vertAlign w:val="superscript"/>
              </w:rPr>
              <w:t>b</w:t>
            </w:r>
            <w:proofErr w:type="spellEnd"/>
            <w:r w:rsidRPr="007B7B59">
              <w:rPr>
                <w:szCs w:val="22"/>
                <w:vertAlign w:val="superscript"/>
              </w:rPr>
              <w:fldChar w:fldCharType="end"/>
            </w:r>
          </w:p>
        </w:tc>
        <w:tc>
          <w:tcPr>
            <w:tcW w:w="1276" w:type="dxa"/>
          </w:tcPr>
          <w:p w14:paraId="20490285" w14:textId="77777777" w:rsidR="001868E9" w:rsidRPr="007B7B59" w:rsidRDefault="001868E9" w:rsidP="003450A6">
            <w:pPr>
              <w:jc w:val="center"/>
              <w:rPr>
                <w:szCs w:val="22"/>
              </w:rPr>
            </w:pPr>
            <w:r w:rsidRPr="007B7B59">
              <w:rPr>
                <w:szCs w:val="22"/>
              </w:rPr>
              <w:t>434</w:t>
            </w:r>
          </w:p>
        </w:tc>
        <w:tc>
          <w:tcPr>
            <w:tcW w:w="1511" w:type="dxa"/>
            <w:gridSpan w:val="2"/>
          </w:tcPr>
          <w:p w14:paraId="2BF2660F" w14:textId="77777777" w:rsidR="001868E9" w:rsidRPr="007B7B59" w:rsidRDefault="001868E9" w:rsidP="003450A6">
            <w:pPr>
              <w:jc w:val="center"/>
              <w:rPr>
                <w:szCs w:val="22"/>
              </w:rPr>
            </w:pPr>
            <w:r w:rsidRPr="007B7B59">
              <w:rPr>
                <w:szCs w:val="22"/>
              </w:rPr>
              <w:t>513</w:t>
            </w:r>
          </w:p>
        </w:tc>
        <w:tc>
          <w:tcPr>
            <w:tcW w:w="2552" w:type="dxa"/>
            <w:gridSpan w:val="2"/>
          </w:tcPr>
          <w:p w14:paraId="0D421AB4" w14:textId="77777777" w:rsidR="001868E9" w:rsidRPr="007B7B59" w:rsidRDefault="001868E9" w:rsidP="001868E9">
            <w:pPr>
              <w:jc w:val="center"/>
              <w:rPr>
                <w:szCs w:val="22"/>
              </w:rPr>
            </w:pPr>
            <w:r w:rsidRPr="007B7B59">
              <w:rPr>
                <w:szCs w:val="22"/>
              </w:rPr>
              <w:t>0,82 (95 % PI: 0,72–0,94)</w:t>
            </w:r>
          </w:p>
        </w:tc>
        <w:tc>
          <w:tcPr>
            <w:tcW w:w="1705" w:type="dxa"/>
          </w:tcPr>
          <w:p w14:paraId="3C072948" w14:textId="77777777" w:rsidR="001868E9" w:rsidRPr="007B7B59" w:rsidRDefault="001868E9" w:rsidP="003450A6">
            <w:pPr>
              <w:jc w:val="center"/>
              <w:rPr>
                <w:szCs w:val="22"/>
              </w:rPr>
            </w:pPr>
            <w:r w:rsidRPr="007B7B59">
              <w:rPr>
                <w:szCs w:val="22"/>
              </w:rPr>
              <w:t>0,00263</w:t>
            </w:r>
          </w:p>
        </w:tc>
      </w:tr>
      <w:tr w:rsidR="001868E9" w:rsidRPr="007B7B59" w14:paraId="3ADB6C22" w14:textId="77777777" w:rsidTr="00341B9D">
        <w:trPr>
          <w:cantSplit/>
        </w:trPr>
        <w:tc>
          <w:tcPr>
            <w:tcW w:w="2552" w:type="dxa"/>
            <w:gridSpan w:val="2"/>
          </w:tcPr>
          <w:p w14:paraId="77132DFA" w14:textId="77777777" w:rsidR="001868E9" w:rsidRPr="007B7B59" w:rsidRDefault="001868E9" w:rsidP="003450A6">
            <w:pPr>
              <w:rPr>
                <w:szCs w:val="22"/>
              </w:rPr>
            </w:pPr>
            <w:r w:rsidRPr="007B7B59">
              <w:rPr>
                <w:szCs w:val="22"/>
              </w:rPr>
              <w:t>Kitos krūties vėžys</w:t>
            </w:r>
          </w:p>
        </w:tc>
        <w:tc>
          <w:tcPr>
            <w:tcW w:w="1276" w:type="dxa"/>
          </w:tcPr>
          <w:p w14:paraId="35D7D21F" w14:textId="77777777" w:rsidR="001868E9" w:rsidRPr="007B7B59" w:rsidRDefault="001868E9" w:rsidP="003450A6">
            <w:pPr>
              <w:jc w:val="center"/>
              <w:rPr>
                <w:szCs w:val="22"/>
              </w:rPr>
            </w:pPr>
            <w:r w:rsidRPr="007B7B59">
              <w:rPr>
                <w:szCs w:val="22"/>
              </w:rPr>
              <w:t>43</w:t>
            </w:r>
          </w:p>
        </w:tc>
        <w:tc>
          <w:tcPr>
            <w:tcW w:w="1511" w:type="dxa"/>
            <w:gridSpan w:val="2"/>
          </w:tcPr>
          <w:p w14:paraId="33A4C44E" w14:textId="77777777" w:rsidR="001868E9" w:rsidRPr="007B7B59" w:rsidRDefault="001868E9" w:rsidP="003450A6">
            <w:pPr>
              <w:jc w:val="center"/>
              <w:rPr>
                <w:szCs w:val="22"/>
              </w:rPr>
            </w:pPr>
            <w:r w:rsidRPr="007B7B59">
              <w:rPr>
                <w:szCs w:val="22"/>
              </w:rPr>
              <w:t>58</w:t>
            </w:r>
          </w:p>
        </w:tc>
        <w:tc>
          <w:tcPr>
            <w:tcW w:w="2552" w:type="dxa"/>
            <w:gridSpan w:val="2"/>
          </w:tcPr>
          <w:p w14:paraId="530BC465" w14:textId="77777777" w:rsidR="001868E9" w:rsidRPr="007B7B59" w:rsidRDefault="001868E9" w:rsidP="001868E9">
            <w:pPr>
              <w:jc w:val="center"/>
              <w:rPr>
                <w:szCs w:val="22"/>
              </w:rPr>
            </w:pPr>
            <w:r w:rsidRPr="007B7B59">
              <w:rPr>
                <w:szCs w:val="22"/>
              </w:rPr>
              <w:t>0,74 (95 % PI: 0,50–1,10)</w:t>
            </w:r>
          </w:p>
        </w:tc>
        <w:tc>
          <w:tcPr>
            <w:tcW w:w="1705" w:type="dxa"/>
          </w:tcPr>
          <w:p w14:paraId="057A2B4A" w14:textId="77777777" w:rsidR="001868E9" w:rsidRPr="007B7B59" w:rsidRDefault="001868E9" w:rsidP="003450A6">
            <w:pPr>
              <w:jc w:val="center"/>
              <w:rPr>
                <w:szCs w:val="22"/>
              </w:rPr>
            </w:pPr>
            <w:r w:rsidRPr="007B7B59">
              <w:rPr>
                <w:szCs w:val="22"/>
              </w:rPr>
              <w:t>0,12983</w:t>
            </w:r>
          </w:p>
        </w:tc>
      </w:tr>
      <w:tr w:rsidR="001868E9" w:rsidRPr="007B7B59" w14:paraId="07A6D7F3" w14:textId="77777777" w:rsidTr="00341B9D">
        <w:trPr>
          <w:cantSplit/>
        </w:trPr>
        <w:tc>
          <w:tcPr>
            <w:tcW w:w="2552" w:type="dxa"/>
            <w:gridSpan w:val="2"/>
          </w:tcPr>
          <w:p w14:paraId="0ED01B50" w14:textId="77777777" w:rsidR="001868E9" w:rsidRPr="007B7B59" w:rsidRDefault="001868E9" w:rsidP="003450A6">
            <w:pPr>
              <w:rPr>
                <w:szCs w:val="22"/>
                <w:vertAlign w:val="superscript"/>
              </w:rPr>
            </w:pPr>
            <w:proofErr w:type="spellStart"/>
            <w:r w:rsidRPr="007B7B59">
              <w:rPr>
                <w:szCs w:val="22"/>
              </w:rPr>
              <w:t>Išgyvenamumas</w:t>
            </w:r>
            <w:proofErr w:type="spellEnd"/>
            <w:r w:rsidRPr="007B7B59">
              <w:rPr>
                <w:szCs w:val="22"/>
              </w:rPr>
              <w:t xml:space="preserve"> be atokaus ligos </w:t>
            </w:r>
            <w:proofErr w:type="spellStart"/>
            <w:r w:rsidRPr="007B7B59">
              <w:rPr>
                <w:szCs w:val="22"/>
              </w:rPr>
              <w:t>pasikartojimo</w:t>
            </w:r>
            <w:r w:rsidRPr="007B7B59">
              <w:rPr>
                <w:szCs w:val="22"/>
                <w:vertAlign w:val="superscript"/>
              </w:rPr>
              <w:fldChar w:fldCharType="begin"/>
            </w:r>
            <w:r w:rsidRPr="007B7B59">
              <w:rPr>
                <w:szCs w:val="22"/>
                <w:vertAlign w:val="superscript"/>
              </w:rPr>
              <w:instrText xml:space="preserve"> REF TblFnTxtBkmkID_17822104124 \h  \* MERGEFORMAT </w:instrText>
            </w:r>
            <w:r w:rsidRPr="007B7B59">
              <w:rPr>
                <w:szCs w:val="22"/>
                <w:vertAlign w:val="superscript"/>
              </w:rPr>
            </w:r>
            <w:r w:rsidRPr="007B7B59">
              <w:rPr>
                <w:szCs w:val="22"/>
                <w:vertAlign w:val="superscript"/>
              </w:rPr>
              <w:fldChar w:fldCharType="separate"/>
            </w:r>
            <w:r w:rsidRPr="007B7B59">
              <w:rPr>
                <w:szCs w:val="22"/>
                <w:vertAlign w:val="superscript"/>
              </w:rPr>
              <w:t>c</w:t>
            </w:r>
            <w:proofErr w:type="spellEnd"/>
            <w:r w:rsidRPr="007B7B59">
              <w:rPr>
                <w:szCs w:val="22"/>
                <w:vertAlign w:val="superscript"/>
              </w:rPr>
              <w:fldChar w:fldCharType="end"/>
            </w:r>
          </w:p>
        </w:tc>
        <w:tc>
          <w:tcPr>
            <w:tcW w:w="1276" w:type="dxa"/>
          </w:tcPr>
          <w:p w14:paraId="60B48010" w14:textId="77777777" w:rsidR="001868E9" w:rsidRPr="007B7B59" w:rsidRDefault="001868E9" w:rsidP="003450A6">
            <w:pPr>
              <w:jc w:val="center"/>
              <w:rPr>
                <w:szCs w:val="22"/>
              </w:rPr>
            </w:pPr>
            <w:r w:rsidRPr="007B7B59">
              <w:rPr>
                <w:szCs w:val="22"/>
              </w:rPr>
              <w:t>353</w:t>
            </w:r>
          </w:p>
        </w:tc>
        <w:tc>
          <w:tcPr>
            <w:tcW w:w="1511" w:type="dxa"/>
            <w:gridSpan w:val="2"/>
          </w:tcPr>
          <w:p w14:paraId="07A1C1E7" w14:textId="77777777" w:rsidR="001868E9" w:rsidRPr="007B7B59" w:rsidRDefault="001868E9" w:rsidP="003450A6">
            <w:pPr>
              <w:jc w:val="center"/>
              <w:rPr>
                <w:szCs w:val="22"/>
              </w:rPr>
            </w:pPr>
            <w:r w:rsidRPr="007B7B59">
              <w:rPr>
                <w:szCs w:val="22"/>
              </w:rPr>
              <w:t>409</w:t>
            </w:r>
          </w:p>
        </w:tc>
        <w:tc>
          <w:tcPr>
            <w:tcW w:w="2552" w:type="dxa"/>
            <w:gridSpan w:val="2"/>
          </w:tcPr>
          <w:p w14:paraId="63987775" w14:textId="77777777" w:rsidR="001868E9" w:rsidRPr="007B7B59" w:rsidRDefault="001868E9" w:rsidP="001868E9">
            <w:pPr>
              <w:jc w:val="center"/>
              <w:rPr>
                <w:szCs w:val="22"/>
              </w:rPr>
            </w:pPr>
            <w:r w:rsidRPr="007B7B59">
              <w:rPr>
                <w:szCs w:val="22"/>
              </w:rPr>
              <w:t>0,85 ((95 % PI: 0,74–0,98)</w:t>
            </w:r>
          </w:p>
        </w:tc>
        <w:tc>
          <w:tcPr>
            <w:tcW w:w="1705" w:type="dxa"/>
          </w:tcPr>
          <w:p w14:paraId="6B2BBAB6" w14:textId="77777777" w:rsidR="001868E9" w:rsidRPr="007B7B59" w:rsidRDefault="001868E9" w:rsidP="003450A6">
            <w:pPr>
              <w:jc w:val="center"/>
              <w:rPr>
                <w:szCs w:val="22"/>
              </w:rPr>
            </w:pPr>
            <w:r w:rsidRPr="007B7B59">
              <w:rPr>
                <w:szCs w:val="22"/>
              </w:rPr>
              <w:t>0,02425</w:t>
            </w:r>
          </w:p>
        </w:tc>
      </w:tr>
      <w:tr w:rsidR="001868E9" w:rsidRPr="007B7B59" w14:paraId="5EDF8D4B" w14:textId="77777777" w:rsidTr="00341B9D">
        <w:trPr>
          <w:cantSplit/>
        </w:trPr>
        <w:tc>
          <w:tcPr>
            <w:tcW w:w="2552" w:type="dxa"/>
            <w:gridSpan w:val="2"/>
          </w:tcPr>
          <w:p w14:paraId="26B73442" w14:textId="77777777" w:rsidR="001868E9" w:rsidRPr="007B7B59" w:rsidRDefault="001868E9" w:rsidP="003450A6">
            <w:pPr>
              <w:rPr>
                <w:szCs w:val="22"/>
                <w:vertAlign w:val="superscript"/>
              </w:rPr>
            </w:pPr>
            <w:r w:rsidRPr="007B7B59">
              <w:rPr>
                <w:szCs w:val="22"/>
              </w:rPr>
              <w:t xml:space="preserve">Bendrasis </w:t>
            </w:r>
            <w:proofErr w:type="spellStart"/>
            <w:r w:rsidRPr="007B7B59">
              <w:rPr>
                <w:szCs w:val="22"/>
              </w:rPr>
              <w:t>išgyvenamumas</w:t>
            </w:r>
            <w:r w:rsidRPr="007B7B59">
              <w:rPr>
                <w:szCs w:val="22"/>
                <w:vertAlign w:val="superscript"/>
              </w:rPr>
              <w:fldChar w:fldCharType="begin"/>
            </w:r>
            <w:r w:rsidRPr="007B7B59">
              <w:rPr>
                <w:szCs w:val="22"/>
                <w:vertAlign w:val="superscript"/>
              </w:rPr>
              <w:instrText xml:space="preserve"> REF TblFnTxtBkmkID_17822104135 \h  \* MERGEFORMAT </w:instrText>
            </w:r>
            <w:r w:rsidRPr="007B7B59">
              <w:rPr>
                <w:szCs w:val="22"/>
                <w:vertAlign w:val="superscript"/>
              </w:rPr>
            </w:r>
            <w:r w:rsidRPr="007B7B59">
              <w:rPr>
                <w:szCs w:val="22"/>
                <w:vertAlign w:val="superscript"/>
              </w:rPr>
              <w:fldChar w:fldCharType="separate"/>
            </w:r>
            <w:r w:rsidRPr="007B7B59">
              <w:rPr>
                <w:szCs w:val="22"/>
                <w:vertAlign w:val="superscript"/>
              </w:rPr>
              <w:t>d</w:t>
            </w:r>
            <w:proofErr w:type="spellEnd"/>
            <w:r w:rsidRPr="007B7B59">
              <w:rPr>
                <w:szCs w:val="22"/>
                <w:vertAlign w:val="superscript"/>
              </w:rPr>
              <w:fldChar w:fldCharType="end"/>
            </w:r>
          </w:p>
        </w:tc>
        <w:tc>
          <w:tcPr>
            <w:tcW w:w="1276" w:type="dxa"/>
          </w:tcPr>
          <w:p w14:paraId="5D5C9D8B" w14:textId="77777777" w:rsidR="001868E9" w:rsidRPr="007B7B59" w:rsidRDefault="001868E9" w:rsidP="003450A6">
            <w:pPr>
              <w:jc w:val="center"/>
              <w:rPr>
                <w:szCs w:val="22"/>
              </w:rPr>
            </w:pPr>
            <w:r w:rsidRPr="007B7B59">
              <w:rPr>
                <w:szCs w:val="22"/>
              </w:rPr>
              <w:t>373</w:t>
            </w:r>
          </w:p>
        </w:tc>
        <w:tc>
          <w:tcPr>
            <w:tcW w:w="1511" w:type="dxa"/>
            <w:gridSpan w:val="2"/>
          </w:tcPr>
          <w:p w14:paraId="4514C7F8" w14:textId="77777777" w:rsidR="001868E9" w:rsidRPr="007B7B59" w:rsidRDefault="001868E9" w:rsidP="003450A6">
            <w:pPr>
              <w:jc w:val="center"/>
              <w:rPr>
                <w:szCs w:val="22"/>
              </w:rPr>
            </w:pPr>
            <w:r w:rsidRPr="007B7B59">
              <w:rPr>
                <w:szCs w:val="22"/>
              </w:rPr>
              <w:t>420</w:t>
            </w:r>
          </w:p>
        </w:tc>
        <w:tc>
          <w:tcPr>
            <w:tcW w:w="2552" w:type="dxa"/>
            <w:gridSpan w:val="2"/>
          </w:tcPr>
          <w:p w14:paraId="49485334" w14:textId="77777777" w:rsidR="001868E9" w:rsidRPr="007B7B59" w:rsidRDefault="001868E9" w:rsidP="001868E9">
            <w:pPr>
              <w:jc w:val="center"/>
              <w:rPr>
                <w:szCs w:val="22"/>
              </w:rPr>
            </w:pPr>
            <w:r w:rsidRPr="007B7B59">
              <w:rPr>
                <w:szCs w:val="22"/>
              </w:rPr>
              <w:t>0,89 (95 % PI: 0,77–1,02)</w:t>
            </w:r>
          </w:p>
        </w:tc>
        <w:tc>
          <w:tcPr>
            <w:tcW w:w="1705" w:type="dxa"/>
          </w:tcPr>
          <w:p w14:paraId="76ACD11F" w14:textId="77777777" w:rsidR="001868E9" w:rsidRPr="007B7B59" w:rsidRDefault="001868E9" w:rsidP="003450A6">
            <w:pPr>
              <w:jc w:val="center"/>
              <w:rPr>
                <w:szCs w:val="22"/>
              </w:rPr>
            </w:pPr>
            <w:r w:rsidRPr="007B7B59">
              <w:rPr>
                <w:szCs w:val="22"/>
              </w:rPr>
              <w:t>0,08972</w:t>
            </w:r>
          </w:p>
        </w:tc>
      </w:tr>
      <w:tr w:rsidR="001868E9" w:rsidRPr="007B7B59" w14:paraId="43549C98" w14:textId="77777777" w:rsidTr="00341B9D">
        <w:trPr>
          <w:cantSplit/>
        </w:trPr>
        <w:tc>
          <w:tcPr>
            <w:tcW w:w="9596" w:type="dxa"/>
            <w:gridSpan w:val="8"/>
          </w:tcPr>
          <w:p w14:paraId="413C59FA" w14:textId="77777777" w:rsidR="001868E9" w:rsidRPr="007B7B59" w:rsidRDefault="001868E9" w:rsidP="00274102">
            <w:pPr>
              <w:rPr>
                <w:b/>
                <w:szCs w:val="22"/>
              </w:rPr>
            </w:pPr>
            <w:r w:rsidRPr="007B7B59">
              <w:rPr>
                <w:b/>
                <w:szCs w:val="22"/>
              </w:rPr>
              <w:t xml:space="preserve">Vidutiniškai 30 mėnesių gydymas ir vidutiniškai 119 mėnesių </w:t>
            </w:r>
            <w:r w:rsidR="00B15EF2" w:rsidRPr="007B7B59">
              <w:rPr>
                <w:b/>
                <w:szCs w:val="22"/>
              </w:rPr>
              <w:t>stebėjimas</w:t>
            </w:r>
          </w:p>
        </w:tc>
      </w:tr>
      <w:tr w:rsidR="001868E9" w:rsidRPr="007B7B59" w14:paraId="03F51CF4" w14:textId="77777777" w:rsidTr="00341B9D">
        <w:trPr>
          <w:cantSplit/>
        </w:trPr>
        <w:tc>
          <w:tcPr>
            <w:tcW w:w="2552" w:type="dxa"/>
            <w:gridSpan w:val="2"/>
          </w:tcPr>
          <w:p w14:paraId="200845B8" w14:textId="77777777" w:rsidR="001868E9" w:rsidRPr="007B7B59" w:rsidRDefault="001868E9" w:rsidP="003450A6">
            <w:pPr>
              <w:rPr>
                <w:szCs w:val="22"/>
                <w:vertAlign w:val="superscript"/>
              </w:rPr>
            </w:pPr>
            <w:proofErr w:type="spellStart"/>
            <w:r w:rsidRPr="007B7B59">
              <w:rPr>
                <w:szCs w:val="22"/>
              </w:rPr>
              <w:t>Išgyvenamumas</w:t>
            </w:r>
            <w:proofErr w:type="spellEnd"/>
            <w:r w:rsidRPr="007B7B59">
              <w:rPr>
                <w:szCs w:val="22"/>
              </w:rPr>
              <w:t xml:space="preserve"> be </w:t>
            </w:r>
            <w:proofErr w:type="spellStart"/>
            <w:r w:rsidRPr="007B7B59">
              <w:rPr>
                <w:szCs w:val="22"/>
              </w:rPr>
              <w:t>ligos</w:t>
            </w:r>
            <w:r w:rsidRPr="007B7B59">
              <w:rPr>
                <w:szCs w:val="22"/>
                <w:vertAlign w:val="superscript"/>
              </w:rPr>
              <w:fldChar w:fldCharType="begin"/>
            </w:r>
            <w:r w:rsidRPr="007B7B59">
              <w:rPr>
                <w:szCs w:val="22"/>
                <w:vertAlign w:val="superscript"/>
              </w:rPr>
              <w:instrText xml:space="preserve"> REF TblFnTxtBkmkID_17822104044 \h  \* MERGEFORMAT </w:instrText>
            </w:r>
            <w:r w:rsidRPr="007B7B59">
              <w:rPr>
                <w:szCs w:val="22"/>
                <w:vertAlign w:val="superscript"/>
              </w:rPr>
            </w:r>
            <w:r w:rsidRPr="007B7B59">
              <w:rPr>
                <w:szCs w:val="22"/>
                <w:vertAlign w:val="superscript"/>
              </w:rPr>
              <w:fldChar w:fldCharType="separate"/>
            </w:r>
            <w:r w:rsidRPr="007B7B59">
              <w:rPr>
                <w:szCs w:val="22"/>
                <w:vertAlign w:val="superscript"/>
              </w:rPr>
              <w:t>a</w:t>
            </w:r>
            <w:proofErr w:type="spellEnd"/>
            <w:r w:rsidRPr="007B7B59">
              <w:rPr>
                <w:szCs w:val="22"/>
                <w:vertAlign w:val="superscript"/>
              </w:rPr>
              <w:fldChar w:fldCharType="end"/>
            </w:r>
          </w:p>
        </w:tc>
        <w:tc>
          <w:tcPr>
            <w:tcW w:w="1276" w:type="dxa"/>
          </w:tcPr>
          <w:p w14:paraId="786756CB" w14:textId="77777777" w:rsidR="001868E9" w:rsidRPr="007B7B59" w:rsidRDefault="001868E9" w:rsidP="003450A6">
            <w:pPr>
              <w:jc w:val="center"/>
              <w:rPr>
                <w:szCs w:val="22"/>
              </w:rPr>
            </w:pPr>
            <w:r w:rsidRPr="007B7B59">
              <w:rPr>
                <w:szCs w:val="22"/>
              </w:rPr>
              <w:t>672</w:t>
            </w:r>
          </w:p>
        </w:tc>
        <w:tc>
          <w:tcPr>
            <w:tcW w:w="1511" w:type="dxa"/>
            <w:gridSpan w:val="2"/>
          </w:tcPr>
          <w:p w14:paraId="2F79975E" w14:textId="77777777" w:rsidR="001868E9" w:rsidRPr="007B7B59" w:rsidRDefault="001868E9" w:rsidP="003450A6">
            <w:pPr>
              <w:jc w:val="center"/>
              <w:rPr>
                <w:szCs w:val="22"/>
              </w:rPr>
            </w:pPr>
            <w:r w:rsidRPr="007B7B59">
              <w:rPr>
                <w:szCs w:val="22"/>
              </w:rPr>
              <w:t>761</w:t>
            </w:r>
          </w:p>
        </w:tc>
        <w:tc>
          <w:tcPr>
            <w:tcW w:w="2552" w:type="dxa"/>
            <w:gridSpan w:val="2"/>
          </w:tcPr>
          <w:p w14:paraId="66B0C118" w14:textId="77777777" w:rsidR="001868E9" w:rsidRPr="007B7B59" w:rsidRDefault="001868E9" w:rsidP="001868E9">
            <w:pPr>
              <w:jc w:val="center"/>
              <w:rPr>
                <w:szCs w:val="22"/>
              </w:rPr>
            </w:pPr>
            <w:r w:rsidRPr="007B7B59">
              <w:rPr>
                <w:szCs w:val="22"/>
              </w:rPr>
              <w:t>0,86 (95 % PI: 0,77–0,95)</w:t>
            </w:r>
          </w:p>
        </w:tc>
        <w:tc>
          <w:tcPr>
            <w:tcW w:w="1705" w:type="dxa"/>
          </w:tcPr>
          <w:p w14:paraId="25ECAEA8" w14:textId="77777777" w:rsidR="001868E9" w:rsidRPr="007B7B59" w:rsidRDefault="001868E9" w:rsidP="003450A6">
            <w:pPr>
              <w:jc w:val="center"/>
              <w:rPr>
                <w:szCs w:val="22"/>
              </w:rPr>
            </w:pPr>
            <w:r w:rsidRPr="007B7B59">
              <w:rPr>
                <w:szCs w:val="22"/>
              </w:rPr>
              <w:t>0,00393</w:t>
            </w:r>
          </w:p>
        </w:tc>
      </w:tr>
      <w:tr w:rsidR="001868E9" w:rsidRPr="007B7B59" w14:paraId="56DAB880" w14:textId="77777777" w:rsidTr="00341B9D">
        <w:trPr>
          <w:cantSplit/>
        </w:trPr>
        <w:tc>
          <w:tcPr>
            <w:tcW w:w="2552" w:type="dxa"/>
            <w:gridSpan w:val="2"/>
          </w:tcPr>
          <w:p w14:paraId="6D647FC6" w14:textId="77777777" w:rsidR="001868E9" w:rsidRPr="007B7B59" w:rsidRDefault="001868E9" w:rsidP="003450A6">
            <w:pPr>
              <w:rPr>
                <w:szCs w:val="22"/>
                <w:vertAlign w:val="superscript"/>
              </w:rPr>
            </w:pPr>
            <w:proofErr w:type="spellStart"/>
            <w:r w:rsidRPr="007B7B59">
              <w:rPr>
                <w:szCs w:val="22"/>
              </w:rPr>
              <w:t>Išgyvenamumas</w:t>
            </w:r>
            <w:proofErr w:type="spellEnd"/>
            <w:r w:rsidRPr="007B7B59">
              <w:rPr>
                <w:szCs w:val="22"/>
              </w:rPr>
              <w:t xml:space="preserve"> be krūties </w:t>
            </w:r>
            <w:proofErr w:type="spellStart"/>
            <w:r w:rsidRPr="007B7B59">
              <w:rPr>
                <w:szCs w:val="22"/>
              </w:rPr>
              <w:t>vėžio</w:t>
            </w:r>
            <w:r w:rsidRPr="007B7B59">
              <w:rPr>
                <w:szCs w:val="22"/>
                <w:vertAlign w:val="superscript"/>
              </w:rPr>
              <w:fldChar w:fldCharType="begin"/>
            </w:r>
            <w:r w:rsidRPr="007B7B59">
              <w:rPr>
                <w:szCs w:val="22"/>
                <w:vertAlign w:val="superscript"/>
              </w:rPr>
              <w:instrText xml:space="preserve"> REF TblFnTxtBkmkID_1782210412 \h  \* MERGEFORMAT </w:instrText>
            </w:r>
            <w:r w:rsidRPr="007B7B59">
              <w:rPr>
                <w:szCs w:val="22"/>
                <w:vertAlign w:val="superscript"/>
              </w:rPr>
            </w:r>
            <w:r w:rsidRPr="007B7B59">
              <w:rPr>
                <w:szCs w:val="22"/>
                <w:vertAlign w:val="superscript"/>
              </w:rPr>
              <w:fldChar w:fldCharType="separate"/>
            </w:r>
            <w:r w:rsidRPr="007B7B59">
              <w:rPr>
                <w:szCs w:val="22"/>
                <w:vertAlign w:val="superscript"/>
              </w:rPr>
              <w:t>b</w:t>
            </w:r>
            <w:proofErr w:type="spellEnd"/>
            <w:r w:rsidRPr="007B7B59">
              <w:rPr>
                <w:szCs w:val="22"/>
                <w:vertAlign w:val="superscript"/>
              </w:rPr>
              <w:fldChar w:fldCharType="end"/>
            </w:r>
          </w:p>
        </w:tc>
        <w:tc>
          <w:tcPr>
            <w:tcW w:w="1276" w:type="dxa"/>
          </w:tcPr>
          <w:p w14:paraId="4386C58B" w14:textId="77777777" w:rsidR="001868E9" w:rsidRPr="007B7B59" w:rsidRDefault="001868E9" w:rsidP="003450A6">
            <w:pPr>
              <w:jc w:val="center"/>
              <w:rPr>
                <w:szCs w:val="22"/>
              </w:rPr>
            </w:pPr>
            <w:r w:rsidRPr="007B7B59">
              <w:rPr>
                <w:szCs w:val="22"/>
              </w:rPr>
              <w:t>517</w:t>
            </w:r>
          </w:p>
        </w:tc>
        <w:tc>
          <w:tcPr>
            <w:tcW w:w="1511" w:type="dxa"/>
            <w:gridSpan w:val="2"/>
          </w:tcPr>
          <w:p w14:paraId="24552DA7" w14:textId="77777777" w:rsidR="001868E9" w:rsidRPr="007B7B59" w:rsidRDefault="001868E9" w:rsidP="003450A6">
            <w:pPr>
              <w:jc w:val="center"/>
              <w:rPr>
                <w:szCs w:val="22"/>
              </w:rPr>
            </w:pPr>
            <w:r w:rsidRPr="007B7B59">
              <w:rPr>
                <w:szCs w:val="22"/>
              </w:rPr>
              <w:t>608</w:t>
            </w:r>
          </w:p>
        </w:tc>
        <w:tc>
          <w:tcPr>
            <w:tcW w:w="2552" w:type="dxa"/>
            <w:gridSpan w:val="2"/>
          </w:tcPr>
          <w:p w14:paraId="72C5366F" w14:textId="77777777" w:rsidR="001868E9" w:rsidRPr="007B7B59" w:rsidRDefault="001868E9" w:rsidP="001868E9">
            <w:pPr>
              <w:jc w:val="center"/>
              <w:rPr>
                <w:szCs w:val="22"/>
              </w:rPr>
            </w:pPr>
            <w:r w:rsidRPr="007B7B59">
              <w:rPr>
                <w:szCs w:val="22"/>
              </w:rPr>
              <w:t>0,83 (95 % PI: 0,74–0,93)</w:t>
            </w:r>
          </w:p>
        </w:tc>
        <w:tc>
          <w:tcPr>
            <w:tcW w:w="1705" w:type="dxa"/>
          </w:tcPr>
          <w:p w14:paraId="12C62734" w14:textId="77777777" w:rsidR="001868E9" w:rsidRPr="007B7B59" w:rsidRDefault="001868E9" w:rsidP="003450A6">
            <w:pPr>
              <w:jc w:val="center"/>
              <w:rPr>
                <w:szCs w:val="22"/>
              </w:rPr>
            </w:pPr>
            <w:r w:rsidRPr="007B7B59">
              <w:rPr>
                <w:szCs w:val="22"/>
              </w:rPr>
              <w:t>0,00152</w:t>
            </w:r>
          </w:p>
        </w:tc>
      </w:tr>
      <w:tr w:rsidR="001868E9" w:rsidRPr="007B7B59" w14:paraId="5502717F" w14:textId="77777777" w:rsidTr="00341B9D">
        <w:trPr>
          <w:cantSplit/>
        </w:trPr>
        <w:tc>
          <w:tcPr>
            <w:tcW w:w="2552" w:type="dxa"/>
            <w:gridSpan w:val="2"/>
          </w:tcPr>
          <w:p w14:paraId="1FE4F2B3" w14:textId="77777777" w:rsidR="001868E9" w:rsidRPr="007B7B59" w:rsidRDefault="001868E9" w:rsidP="003450A6">
            <w:pPr>
              <w:rPr>
                <w:szCs w:val="22"/>
                <w:vertAlign w:val="superscript"/>
              </w:rPr>
            </w:pPr>
            <w:r w:rsidRPr="007B7B59">
              <w:rPr>
                <w:szCs w:val="22"/>
              </w:rPr>
              <w:t>Kitos krūties vėžys</w:t>
            </w:r>
          </w:p>
        </w:tc>
        <w:tc>
          <w:tcPr>
            <w:tcW w:w="1276" w:type="dxa"/>
          </w:tcPr>
          <w:p w14:paraId="2D3F7B98" w14:textId="77777777" w:rsidR="001868E9" w:rsidRPr="007B7B59" w:rsidRDefault="001868E9" w:rsidP="003450A6">
            <w:pPr>
              <w:jc w:val="center"/>
              <w:rPr>
                <w:szCs w:val="22"/>
              </w:rPr>
            </w:pPr>
            <w:r w:rsidRPr="007B7B59">
              <w:rPr>
                <w:szCs w:val="22"/>
              </w:rPr>
              <w:t>57</w:t>
            </w:r>
          </w:p>
        </w:tc>
        <w:tc>
          <w:tcPr>
            <w:tcW w:w="1511" w:type="dxa"/>
            <w:gridSpan w:val="2"/>
          </w:tcPr>
          <w:p w14:paraId="77754364" w14:textId="77777777" w:rsidR="001868E9" w:rsidRPr="007B7B59" w:rsidRDefault="001868E9" w:rsidP="003450A6">
            <w:pPr>
              <w:jc w:val="center"/>
              <w:rPr>
                <w:szCs w:val="22"/>
              </w:rPr>
            </w:pPr>
            <w:r w:rsidRPr="007B7B59">
              <w:rPr>
                <w:szCs w:val="22"/>
              </w:rPr>
              <w:t>75</w:t>
            </w:r>
          </w:p>
        </w:tc>
        <w:tc>
          <w:tcPr>
            <w:tcW w:w="2552" w:type="dxa"/>
            <w:gridSpan w:val="2"/>
          </w:tcPr>
          <w:p w14:paraId="68A756FA" w14:textId="77777777" w:rsidR="001868E9" w:rsidRPr="007B7B59" w:rsidRDefault="001868E9" w:rsidP="001868E9">
            <w:pPr>
              <w:jc w:val="center"/>
              <w:rPr>
                <w:szCs w:val="22"/>
              </w:rPr>
            </w:pPr>
            <w:r w:rsidRPr="007B7B59">
              <w:rPr>
                <w:szCs w:val="22"/>
              </w:rPr>
              <w:t>0,75 (95 % PI: 0,53–1,06)</w:t>
            </w:r>
          </w:p>
        </w:tc>
        <w:tc>
          <w:tcPr>
            <w:tcW w:w="1705" w:type="dxa"/>
          </w:tcPr>
          <w:p w14:paraId="76C09433" w14:textId="77777777" w:rsidR="001868E9" w:rsidRPr="007B7B59" w:rsidRDefault="001868E9" w:rsidP="003450A6">
            <w:pPr>
              <w:jc w:val="center"/>
              <w:rPr>
                <w:szCs w:val="22"/>
              </w:rPr>
            </w:pPr>
            <w:r w:rsidRPr="007B7B59">
              <w:rPr>
                <w:szCs w:val="22"/>
              </w:rPr>
              <w:t>0,10707</w:t>
            </w:r>
          </w:p>
        </w:tc>
      </w:tr>
      <w:tr w:rsidR="001868E9" w:rsidRPr="007B7B59" w14:paraId="1BCA0495" w14:textId="77777777" w:rsidTr="00341B9D">
        <w:trPr>
          <w:cantSplit/>
        </w:trPr>
        <w:tc>
          <w:tcPr>
            <w:tcW w:w="2552" w:type="dxa"/>
            <w:gridSpan w:val="2"/>
          </w:tcPr>
          <w:p w14:paraId="59C8F079" w14:textId="77777777" w:rsidR="001868E9" w:rsidRPr="007B7B59" w:rsidRDefault="001868E9" w:rsidP="003450A6">
            <w:pPr>
              <w:rPr>
                <w:szCs w:val="22"/>
                <w:vertAlign w:val="superscript"/>
              </w:rPr>
            </w:pPr>
            <w:proofErr w:type="spellStart"/>
            <w:r w:rsidRPr="007B7B59">
              <w:rPr>
                <w:szCs w:val="22"/>
              </w:rPr>
              <w:lastRenderedPageBreak/>
              <w:t>Išgyvenamumas</w:t>
            </w:r>
            <w:proofErr w:type="spellEnd"/>
            <w:r w:rsidRPr="007B7B59">
              <w:rPr>
                <w:szCs w:val="22"/>
              </w:rPr>
              <w:t xml:space="preserve"> be atokaus ligos </w:t>
            </w:r>
            <w:proofErr w:type="spellStart"/>
            <w:r w:rsidRPr="007B7B59">
              <w:rPr>
                <w:szCs w:val="22"/>
              </w:rPr>
              <w:t>pasikartojimo</w:t>
            </w:r>
            <w:r w:rsidRPr="007B7B59">
              <w:rPr>
                <w:szCs w:val="22"/>
                <w:vertAlign w:val="superscript"/>
              </w:rPr>
              <w:fldChar w:fldCharType="begin"/>
            </w:r>
            <w:r w:rsidRPr="007B7B59">
              <w:rPr>
                <w:szCs w:val="22"/>
                <w:vertAlign w:val="superscript"/>
              </w:rPr>
              <w:instrText xml:space="preserve"> REF TblFnTxtBkmkID_17822104124 \h  \* MERGEFORMAT </w:instrText>
            </w:r>
            <w:r w:rsidRPr="007B7B59">
              <w:rPr>
                <w:szCs w:val="22"/>
                <w:vertAlign w:val="superscript"/>
              </w:rPr>
            </w:r>
            <w:r w:rsidRPr="007B7B59">
              <w:rPr>
                <w:szCs w:val="22"/>
                <w:vertAlign w:val="superscript"/>
              </w:rPr>
              <w:fldChar w:fldCharType="separate"/>
            </w:r>
            <w:r w:rsidRPr="007B7B59">
              <w:rPr>
                <w:szCs w:val="22"/>
                <w:vertAlign w:val="superscript"/>
              </w:rPr>
              <w:t>c</w:t>
            </w:r>
            <w:proofErr w:type="spellEnd"/>
            <w:r w:rsidRPr="007B7B59">
              <w:rPr>
                <w:szCs w:val="22"/>
                <w:vertAlign w:val="superscript"/>
              </w:rPr>
              <w:fldChar w:fldCharType="end"/>
            </w:r>
          </w:p>
        </w:tc>
        <w:tc>
          <w:tcPr>
            <w:tcW w:w="1276" w:type="dxa"/>
          </w:tcPr>
          <w:p w14:paraId="0CBE3BE9" w14:textId="77777777" w:rsidR="001868E9" w:rsidRPr="007B7B59" w:rsidRDefault="001868E9" w:rsidP="003450A6">
            <w:pPr>
              <w:jc w:val="center"/>
              <w:rPr>
                <w:szCs w:val="22"/>
              </w:rPr>
            </w:pPr>
            <w:r w:rsidRPr="007B7B59">
              <w:rPr>
                <w:szCs w:val="22"/>
              </w:rPr>
              <w:t>411</w:t>
            </w:r>
          </w:p>
        </w:tc>
        <w:tc>
          <w:tcPr>
            <w:tcW w:w="1511" w:type="dxa"/>
            <w:gridSpan w:val="2"/>
          </w:tcPr>
          <w:p w14:paraId="790D06F9" w14:textId="77777777" w:rsidR="001868E9" w:rsidRPr="007B7B59" w:rsidRDefault="001868E9" w:rsidP="003450A6">
            <w:pPr>
              <w:jc w:val="center"/>
              <w:rPr>
                <w:szCs w:val="22"/>
              </w:rPr>
            </w:pPr>
            <w:r w:rsidRPr="007B7B59">
              <w:rPr>
                <w:szCs w:val="22"/>
              </w:rPr>
              <w:t>472</w:t>
            </w:r>
          </w:p>
        </w:tc>
        <w:tc>
          <w:tcPr>
            <w:tcW w:w="2552" w:type="dxa"/>
            <w:gridSpan w:val="2"/>
          </w:tcPr>
          <w:p w14:paraId="03D17A8B" w14:textId="77777777" w:rsidR="001868E9" w:rsidRPr="007B7B59" w:rsidRDefault="001868E9" w:rsidP="001868E9">
            <w:pPr>
              <w:jc w:val="center"/>
              <w:rPr>
                <w:szCs w:val="22"/>
              </w:rPr>
            </w:pPr>
            <w:r w:rsidRPr="007B7B59">
              <w:rPr>
                <w:szCs w:val="22"/>
              </w:rPr>
              <w:t>0,86 (95 % PI: 0,75–0,98)</w:t>
            </w:r>
          </w:p>
        </w:tc>
        <w:tc>
          <w:tcPr>
            <w:tcW w:w="1705" w:type="dxa"/>
          </w:tcPr>
          <w:p w14:paraId="1656D22F" w14:textId="77777777" w:rsidR="001868E9" w:rsidRPr="007B7B59" w:rsidRDefault="001868E9" w:rsidP="003450A6">
            <w:pPr>
              <w:jc w:val="center"/>
              <w:rPr>
                <w:szCs w:val="22"/>
              </w:rPr>
            </w:pPr>
            <w:r w:rsidRPr="007B7B59">
              <w:rPr>
                <w:szCs w:val="22"/>
              </w:rPr>
              <w:t>0,02213</w:t>
            </w:r>
          </w:p>
        </w:tc>
      </w:tr>
      <w:tr w:rsidR="001868E9" w:rsidRPr="007B7B59" w14:paraId="5B75A5D4" w14:textId="77777777" w:rsidTr="00341B9D">
        <w:trPr>
          <w:cantSplit/>
        </w:trPr>
        <w:tc>
          <w:tcPr>
            <w:tcW w:w="2552" w:type="dxa"/>
            <w:gridSpan w:val="2"/>
          </w:tcPr>
          <w:p w14:paraId="301E81C0" w14:textId="77777777" w:rsidR="001868E9" w:rsidRPr="007B7B59" w:rsidRDefault="001868E9" w:rsidP="003450A6">
            <w:pPr>
              <w:rPr>
                <w:szCs w:val="22"/>
                <w:vertAlign w:val="superscript"/>
              </w:rPr>
            </w:pPr>
            <w:r w:rsidRPr="007B7B59">
              <w:rPr>
                <w:szCs w:val="22"/>
              </w:rPr>
              <w:t xml:space="preserve">Bendrasis </w:t>
            </w:r>
            <w:proofErr w:type="spellStart"/>
            <w:r w:rsidRPr="007B7B59">
              <w:rPr>
                <w:szCs w:val="22"/>
              </w:rPr>
              <w:t>išgyvenamumas</w:t>
            </w:r>
            <w:r w:rsidRPr="007B7B59">
              <w:rPr>
                <w:szCs w:val="22"/>
                <w:vertAlign w:val="superscript"/>
              </w:rPr>
              <w:fldChar w:fldCharType="begin"/>
            </w:r>
            <w:r w:rsidRPr="007B7B59">
              <w:rPr>
                <w:szCs w:val="22"/>
                <w:vertAlign w:val="superscript"/>
              </w:rPr>
              <w:instrText xml:space="preserve"> REF TblFnTxtBkmkID_17822104135 \h  \* MERGEFORMAT </w:instrText>
            </w:r>
            <w:r w:rsidRPr="007B7B59">
              <w:rPr>
                <w:szCs w:val="22"/>
                <w:vertAlign w:val="superscript"/>
              </w:rPr>
            </w:r>
            <w:r w:rsidRPr="007B7B59">
              <w:rPr>
                <w:szCs w:val="22"/>
                <w:vertAlign w:val="superscript"/>
              </w:rPr>
              <w:fldChar w:fldCharType="separate"/>
            </w:r>
            <w:r w:rsidRPr="007B7B59">
              <w:rPr>
                <w:szCs w:val="22"/>
                <w:vertAlign w:val="superscript"/>
              </w:rPr>
              <w:t>d</w:t>
            </w:r>
            <w:proofErr w:type="spellEnd"/>
            <w:r w:rsidRPr="007B7B59">
              <w:rPr>
                <w:szCs w:val="22"/>
                <w:vertAlign w:val="superscript"/>
              </w:rPr>
              <w:fldChar w:fldCharType="end"/>
            </w:r>
          </w:p>
        </w:tc>
        <w:tc>
          <w:tcPr>
            <w:tcW w:w="1276" w:type="dxa"/>
          </w:tcPr>
          <w:p w14:paraId="1D647061" w14:textId="77777777" w:rsidR="001868E9" w:rsidRPr="007B7B59" w:rsidRDefault="001868E9" w:rsidP="003450A6">
            <w:pPr>
              <w:jc w:val="center"/>
              <w:rPr>
                <w:szCs w:val="22"/>
              </w:rPr>
            </w:pPr>
            <w:r w:rsidRPr="007B7B59">
              <w:rPr>
                <w:szCs w:val="22"/>
              </w:rPr>
              <w:t>467</w:t>
            </w:r>
          </w:p>
        </w:tc>
        <w:tc>
          <w:tcPr>
            <w:tcW w:w="1511" w:type="dxa"/>
            <w:gridSpan w:val="2"/>
          </w:tcPr>
          <w:p w14:paraId="3137F39C" w14:textId="77777777" w:rsidR="001868E9" w:rsidRPr="007B7B59" w:rsidRDefault="001868E9" w:rsidP="003450A6">
            <w:pPr>
              <w:jc w:val="center"/>
              <w:rPr>
                <w:szCs w:val="22"/>
              </w:rPr>
            </w:pPr>
            <w:r w:rsidRPr="007B7B59">
              <w:rPr>
                <w:szCs w:val="22"/>
              </w:rPr>
              <w:t>510</w:t>
            </w:r>
          </w:p>
        </w:tc>
        <w:tc>
          <w:tcPr>
            <w:tcW w:w="2552" w:type="dxa"/>
            <w:gridSpan w:val="2"/>
          </w:tcPr>
          <w:p w14:paraId="4A896E41" w14:textId="77777777" w:rsidR="001868E9" w:rsidRPr="007B7B59" w:rsidRDefault="001868E9" w:rsidP="003450A6">
            <w:pPr>
              <w:jc w:val="center"/>
              <w:rPr>
                <w:szCs w:val="22"/>
              </w:rPr>
            </w:pPr>
            <w:r w:rsidRPr="007B7B59">
              <w:rPr>
                <w:szCs w:val="22"/>
              </w:rPr>
              <w:t>0,91 (95 % PI: 0,81–1,04)</w:t>
            </w:r>
          </w:p>
        </w:tc>
        <w:tc>
          <w:tcPr>
            <w:tcW w:w="1705" w:type="dxa"/>
          </w:tcPr>
          <w:p w14:paraId="15579180" w14:textId="77777777" w:rsidR="001868E9" w:rsidRPr="007B7B59" w:rsidRDefault="001868E9" w:rsidP="003450A6">
            <w:pPr>
              <w:jc w:val="center"/>
              <w:rPr>
                <w:szCs w:val="22"/>
              </w:rPr>
            </w:pPr>
            <w:r w:rsidRPr="007B7B59">
              <w:rPr>
                <w:szCs w:val="22"/>
              </w:rPr>
              <w:t>0,15737</w:t>
            </w:r>
          </w:p>
        </w:tc>
      </w:tr>
      <w:tr w:rsidR="001868E9" w:rsidRPr="007B7B59" w14:paraId="42140DC5" w14:textId="77777777" w:rsidTr="00341B9D">
        <w:trPr>
          <w:cantSplit/>
        </w:trPr>
        <w:tc>
          <w:tcPr>
            <w:tcW w:w="9596" w:type="dxa"/>
            <w:gridSpan w:val="8"/>
            <w:tcBorders>
              <w:top w:val="single" w:sz="4" w:space="0" w:color="auto"/>
            </w:tcBorders>
          </w:tcPr>
          <w:p w14:paraId="4B67970C" w14:textId="77777777" w:rsidR="001868E9" w:rsidRPr="007B7B59" w:rsidRDefault="001868E9" w:rsidP="003450A6">
            <w:pPr>
              <w:tabs>
                <w:tab w:val="left" w:pos="360"/>
              </w:tabs>
              <w:rPr>
                <w:szCs w:val="22"/>
              </w:rPr>
            </w:pPr>
            <w:r w:rsidRPr="007B7B59">
              <w:rPr>
                <w:szCs w:val="22"/>
              </w:rPr>
              <w:t xml:space="preserve">PI = </w:t>
            </w:r>
            <w:proofErr w:type="spellStart"/>
            <w:r w:rsidRPr="007B7B59">
              <w:rPr>
                <w:szCs w:val="22"/>
              </w:rPr>
              <w:t>pasikliautinasis</w:t>
            </w:r>
            <w:proofErr w:type="spellEnd"/>
            <w:r w:rsidRPr="007B7B59">
              <w:rPr>
                <w:szCs w:val="22"/>
              </w:rPr>
              <w:t xml:space="preserve"> intervalas; IES = ankstyvojo krūties vėžio gydymo </w:t>
            </w:r>
            <w:proofErr w:type="spellStart"/>
            <w:r w:rsidRPr="007B7B59">
              <w:rPr>
                <w:szCs w:val="22"/>
              </w:rPr>
              <w:t>eksemestanu</w:t>
            </w:r>
            <w:proofErr w:type="spellEnd"/>
            <w:r w:rsidRPr="007B7B59">
              <w:rPr>
                <w:szCs w:val="22"/>
              </w:rPr>
              <w:t xml:space="preserve"> grupėse tyrimas, angl.</w:t>
            </w:r>
            <w:r w:rsidR="001B6E01">
              <w:rPr>
                <w:szCs w:val="22"/>
              </w:rPr>
              <w:t>,</w:t>
            </w:r>
            <w:r w:rsidRPr="007B7B59">
              <w:rPr>
                <w:szCs w:val="22"/>
              </w:rPr>
              <w:t xml:space="preserve"> </w:t>
            </w:r>
            <w:proofErr w:type="spellStart"/>
            <w:r w:rsidRPr="007B7B59">
              <w:rPr>
                <w:i/>
                <w:szCs w:val="22"/>
              </w:rPr>
              <w:t>Intergroup</w:t>
            </w:r>
            <w:proofErr w:type="spellEnd"/>
            <w:r w:rsidRPr="007B7B59">
              <w:rPr>
                <w:i/>
                <w:szCs w:val="22"/>
              </w:rPr>
              <w:t xml:space="preserve"> </w:t>
            </w:r>
            <w:proofErr w:type="spellStart"/>
            <w:r w:rsidRPr="007B7B59">
              <w:rPr>
                <w:i/>
                <w:szCs w:val="22"/>
              </w:rPr>
              <w:t>Exemestane</w:t>
            </w:r>
            <w:proofErr w:type="spellEnd"/>
            <w:r w:rsidRPr="007B7B59">
              <w:rPr>
                <w:i/>
                <w:szCs w:val="22"/>
              </w:rPr>
              <w:t xml:space="preserve"> </w:t>
            </w:r>
            <w:proofErr w:type="spellStart"/>
            <w:r w:rsidRPr="007B7B59">
              <w:rPr>
                <w:i/>
                <w:szCs w:val="22"/>
              </w:rPr>
              <w:t>Study</w:t>
            </w:r>
            <w:proofErr w:type="spellEnd"/>
            <w:r w:rsidRPr="007B7B59">
              <w:rPr>
                <w:i/>
                <w:szCs w:val="22"/>
              </w:rPr>
              <w:t>, IES</w:t>
            </w:r>
            <w:r w:rsidRPr="007B7B59">
              <w:rPr>
                <w:szCs w:val="22"/>
              </w:rPr>
              <w:t>; ITT = ketinama gydyti populiacija</w:t>
            </w:r>
            <w:r w:rsidR="00C518EC">
              <w:rPr>
                <w:szCs w:val="22"/>
              </w:rPr>
              <w:t>, angl.</w:t>
            </w:r>
            <w:r w:rsidR="001B6E01">
              <w:rPr>
                <w:szCs w:val="22"/>
              </w:rPr>
              <w:t>,</w:t>
            </w:r>
            <w:r w:rsidR="00C518EC">
              <w:rPr>
                <w:szCs w:val="22"/>
              </w:rPr>
              <w:t xml:space="preserve"> </w:t>
            </w:r>
            <w:proofErr w:type="spellStart"/>
            <w:r w:rsidR="00C518EC">
              <w:rPr>
                <w:i/>
                <w:szCs w:val="22"/>
              </w:rPr>
              <w:t>i</w:t>
            </w:r>
            <w:r w:rsidR="00C518EC" w:rsidRPr="00C518EC">
              <w:rPr>
                <w:i/>
                <w:szCs w:val="22"/>
              </w:rPr>
              <w:t>ntention</w:t>
            </w:r>
            <w:proofErr w:type="spellEnd"/>
            <w:r w:rsidR="00C518EC" w:rsidRPr="00C518EC">
              <w:rPr>
                <w:i/>
                <w:szCs w:val="22"/>
              </w:rPr>
              <w:t>-to-</w:t>
            </w:r>
            <w:proofErr w:type="spellStart"/>
            <w:r w:rsidR="00C518EC" w:rsidRPr="00C518EC">
              <w:rPr>
                <w:i/>
                <w:szCs w:val="22"/>
              </w:rPr>
              <w:t>treat</w:t>
            </w:r>
            <w:proofErr w:type="spellEnd"/>
            <w:r w:rsidRPr="007B7B59">
              <w:rPr>
                <w:szCs w:val="22"/>
              </w:rPr>
              <w:t>.</w:t>
            </w:r>
          </w:p>
          <w:bookmarkStart w:id="0" w:name="TblFnTxtBkmkID_17822104044"/>
          <w:p w14:paraId="601A89D0" w14:textId="77777777" w:rsidR="001868E9" w:rsidRPr="007B7B59" w:rsidRDefault="001868E9" w:rsidP="003450A6">
            <w:pPr>
              <w:tabs>
                <w:tab w:val="left" w:pos="360"/>
              </w:tabs>
              <w:rPr>
                <w:szCs w:val="22"/>
              </w:rPr>
            </w:pPr>
            <w:r w:rsidRPr="007B7B59">
              <w:rPr>
                <w:szCs w:val="22"/>
              </w:rPr>
              <w:fldChar w:fldCharType="begin"/>
            </w:r>
            <w:r w:rsidRPr="007B7B59">
              <w:rPr>
                <w:szCs w:val="22"/>
              </w:rPr>
              <w:instrText xml:space="preserve"> SEQ TblFnSeqID_17822104044 \n \* alphabetic \* MERGEFORMAT </w:instrText>
            </w:r>
            <w:r w:rsidRPr="007B7B59">
              <w:rPr>
                <w:szCs w:val="22"/>
              </w:rPr>
              <w:fldChar w:fldCharType="separate"/>
            </w:r>
            <w:r w:rsidRPr="007B7B59">
              <w:rPr>
                <w:szCs w:val="22"/>
              </w:rPr>
              <w:t>a</w:t>
            </w:r>
            <w:r w:rsidRPr="007B7B59">
              <w:rPr>
                <w:szCs w:val="22"/>
              </w:rPr>
              <w:fldChar w:fldCharType="end"/>
            </w:r>
            <w:bookmarkEnd w:id="0"/>
            <w:r w:rsidRPr="007B7B59">
              <w:rPr>
                <w:szCs w:val="22"/>
              </w:rPr>
              <w:t>.</w:t>
            </w:r>
            <w:r w:rsidRPr="007B7B59">
              <w:rPr>
                <w:szCs w:val="22"/>
              </w:rPr>
              <w:tab/>
            </w:r>
            <w:proofErr w:type="spellStart"/>
            <w:r w:rsidRPr="007B7B59">
              <w:rPr>
                <w:szCs w:val="22"/>
              </w:rPr>
              <w:t>Išgyvenamumas</w:t>
            </w:r>
            <w:proofErr w:type="spellEnd"/>
            <w:r w:rsidRPr="007B7B59">
              <w:rPr>
                <w:szCs w:val="22"/>
              </w:rPr>
              <w:t xml:space="preserve"> be ligos – tai laikotarpis, per kurį įvyksta lokalus ar atokus ligos pasikartojimas, kitos krūties vėžys arba pacientės mirtis dėl bet kurios priežasties.</w:t>
            </w:r>
          </w:p>
          <w:bookmarkStart w:id="1" w:name="TblFnTxtBkmkID_1782210412"/>
          <w:p w14:paraId="7525E453" w14:textId="77777777" w:rsidR="001868E9" w:rsidRPr="007B7B59" w:rsidRDefault="001868E9" w:rsidP="003450A6">
            <w:pPr>
              <w:tabs>
                <w:tab w:val="left" w:pos="360"/>
              </w:tabs>
              <w:rPr>
                <w:szCs w:val="22"/>
              </w:rPr>
            </w:pPr>
            <w:r w:rsidRPr="007B7B59">
              <w:rPr>
                <w:szCs w:val="22"/>
              </w:rPr>
              <w:fldChar w:fldCharType="begin"/>
            </w:r>
            <w:r w:rsidRPr="007B7B59">
              <w:rPr>
                <w:szCs w:val="22"/>
              </w:rPr>
              <w:instrText xml:space="preserve">  SEQ TblFnSeqID_17822104044 \n \* alphabetic \* MERGEFORMAT  </w:instrText>
            </w:r>
            <w:r w:rsidRPr="007B7B59">
              <w:rPr>
                <w:szCs w:val="22"/>
              </w:rPr>
              <w:fldChar w:fldCharType="separate"/>
            </w:r>
            <w:r w:rsidRPr="007B7B59">
              <w:rPr>
                <w:szCs w:val="22"/>
              </w:rPr>
              <w:t>b</w:t>
            </w:r>
            <w:r w:rsidRPr="007B7B59">
              <w:rPr>
                <w:szCs w:val="22"/>
              </w:rPr>
              <w:fldChar w:fldCharType="end"/>
            </w:r>
            <w:bookmarkEnd w:id="1"/>
            <w:r w:rsidRPr="007B7B59">
              <w:rPr>
                <w:szCs w:val="22"/>
              </w:rPr>
              <w:t>.</w:t>
            </w:r>
            <w:r w:rsidRPr="007B7B59">
              <w:rPr>
                <w:szCs w:val="22"/>
              </w:rPr>
              <w:tab/>
            </w:r>
            <w:proofErr w:type="spellStart"/>
            <w:r w:rsidRPr="007B7B59">
              <w:rPr>
                <w:szCs w:val="22"/>
              </w:rPr>
              <w:t>Išgyvenamumas</w:t>
            </w:r>
            <w:proofErr w:type="spellEnd"/>
            <w:r w:rsidRPr="007B7B59">
              <w:rPr>
                <w:szCs w:val="22"/>
              </w:rPr>
              <w:t xml:space="preserve"> be krūties vėžio – tai laikotarpis, per kurį įvyksta lokalus ar atokus ligos pasikartojimas, kitos krūties vėžys arba pacientės mirtis dėl krūties vėžio.</w:t>
            </w:r>
          </w:p>
          <w:bookmarkStart w:id="2" w:name="TblFnTxtBkmkID_17822104124"/>
          <w:p w14:paraId="49B53658" w14:textId="77777777" w:rsidR="001868E9" w:rsidRPr="007B7B59" w:rsidRDefault="001868E9" w:rsidP="003450A6">
            <w:pPr>
              <w:tabs>
                <w:tab w:val="left" w:pos="360"/>
              </w:tabs>
              <w:rPr>
                <w:szCs w:val="22"/>
              </w:rPr>
            </w:pPr>
            <w:r w:rsidRPr="007B7B59">
              <w:rPr>
                <w:szCs w:val="22"/>
              </w:rPr>
              <w:fldChar w:fldCharType="begin"/>
            </w:r>
            <w:r w:rsidRPr="007B7B59">
              <w:rPr>
                <w:szCs w:val="22"/>
              </w:rPr>
              <w:instrText xml:space="preserve">  SEQ TblFnSeqID_17822104044 \n \* alphabetic \* MERGEFORMAT  </w:instrText>
            </w:r>
            <w:r w:rsidRPr="007B7B59">
              <w:rPr>
                <w:szCs w:val="22"/>
              </w:rPr>
              <w:fldChar w:fldCharType="separate"/>
            </w:r>
            <w:r w:rsidRPr="007B7B59">
              <w:rPr>
                <w:szCs w:val="22"/>
              </w:rPr>
              <w:t>c</w:t>
            </w:r>
            <w:r w:rsidRPr="007B7B59">
              <w:rPr>
                <w:szCs w:val="22"/>
              </w:rPr>
              <w:fldChar w:fldCharType="end"/>
            </w:r>
            <w:bookmarkEnd w:id="2"/>
            <w:r w:rsidRPr="007B7B59">
              <w:rPr>
                <w:szCs w:val="22"/>
              </w:rPr>
              <w:t>.</w:t>
            </w:r>
            <w:r w:rsidRPr="007B7B59">
              <w:rPr>
                <w:szCs w:val="22"/>
              </w:rPr>
              <w:tab/>
            </w:r>
            <w:proofErr w:type="spellStart"/>
            <w:r w:rsidRPr="007B7B59">
              <w:rPr>
                <w:szCs w:val="22"/>
              </w:rPr>
              <w:t>Išgyvenamumas</w:t>
            </w:r>
            <w:proofErr w:type="spellEnd"/>
            <w:r w:rsidRPr="007B7B59">
              <w:rPr>
                <w:szCs w:val="22"/>
              </w:rPr>
              <w:t xml:space="preserve"> be atokaus ligos pasikartojimo – tai laikotarpis, per kurį įvyksta atokus ligos pasikartojimas arba pacientės mirtis dėl krūties vėžio.</w:t>
            </w:r>
          </w:p>
          <w:bookmarkStart w:id="3" w:name="TblFnTxtBkmkID_17822104135"/>
          <w:p w14:paraId="47F2A0EA" w14:textId="77777777" w:rsidR="001868E9" w:rsidRPr="007B7B59" w:rsidRDefault="001868E9" w:rsidP="003450A6">
            <w:pPr>
              <w:tabs>
                <w:tab w:val="left" w:pos="360"/>
              </w:tabs>
              <w:rPr>
                <w:szCs w:val="22"/>
              </w:rPr>
            </w:pPr>
            <w:r w:rsidRPr="007B7B59">
              <w:rPr>
                <w:szCs w:val="22"/>
              </w:rPr>
              <w:fldChar w:fldCharType="begin"/>
            </w:r>
            <w:r w:rsidRPr="007B7B59">
              <w:rPr>
                <w:szCs w:val="22"/>
              </w:rPr>
              <w:instrText xml:space="preserve">  SEQ TblFnSeqID_17822104044 \n \* alphabetic \* MERGEFORMAT  </w:instrText>
            </w:r>
            <w:r w:rsidRPr="007B7B59">
              <w:rPr>
                <w:szCs w:val="22"/>
              </w:rPr>
              <w:fldChar w:fldCharType="separate"/>
            </w:r>
            <w:r w:rsidRPr="007B7B59">
              <w:rPr>
                <w:szCs w:val="22"/>
              </w:rPr>
              <w:t>d</w:t>
            </w:r>
            <w:r w:rsidRPr="007B7B59">
              <w:rPr>
                <w:szCs w:val="22"/>
              </w:rPr>
              <w:fldChar w:fldCharType="end"/>
            </w:r>
            <w:bookmarkEnd w:id="3"/>
            <w:r w:rsidRPr="007B7B59">
              <w:rPr>
                <w:szCs w:val="22"/>
              </w:rPr>
              <w:t>.</w:t>
            </w:r>
            <w:r w:rsidRPr="007B7B59">
              <w:rPr>
                <w:szCs w:val="22"/>
              </w:rPr>
              <w:tab/>
              <w:t xml:space="preserve">Bendrasis </w:t>
            </w:r>
            <w:proofErr w:type="spellStart"/>
            <w:r w:rsidRPr="007B7B59">
              <w:rPr>
                <w:szCs w:val="22"/>
              </w:rPr>
              <w:t>išgyvenamumas</w:t>
            </w:r>
            <w:proofErr w:type="spellEnd"/>
            <w:r w:rsidRPr="007B7B59">
              <w:rPr>
                <w:szCs w:val="22"/>
              </w:rPr>
              <w:t xml:space="preserve"> – tai laikotarpis, per kurį įvyksta pacientės mirtis dėl bet kurios priežasties.</w:t>
            </w:r>
          </w:p>
        </w:tc>
      </w:tr>
    </w:tbl>
    <w:p w14:paraId="16611377" w14:textId="77777777" w:rsidR="00821A16" w:rsidRPr="007B7B59" w:rsidRDefault="00821A16" w:rsidP="000C6DE6">
      <w:pPr>
        <w:rPr>
          <w:i/>
          <w:szCs w:val="22"/>
        </w:rPr>
      </w:pPr>
    </w:p>
    <w:p w14:paraId="253467FE" w14:textId="77777777" w:rsidR="000C6DE6" w:rsidRPr="007B7B59" w:rsidRDefault="000C6DE6" w:rsidP="000C6DE6">
      <w:pPr>
        <w:rPr>
          <w:iCs/>
          <w:szCs w:val="22"/>
          <w:u w:val="single"/>
        </w:rPr>
      </w:pPr>
      <w:r w:rsidRPr="007B7B59">
        <w:rPr>
          <w:iCs/>
          <w:szCs w:val="22"/>
          <w:u w:val="single"/>
        </w:rPr>
        <w:t xml:space="preserve">Vėlyvos krūties vėžio stadijos gydymas </w:t>
      </w:r>
    </w:p>
    <w:p w14:paraId="668631BF" w14:textId="77777777" w:rsidR="000C6DE6" w:rsidRPr="007B7B59" w:rsidRDefault="000C6DE6" w:rsidP="000C6DE6">
      <w:pPr>
        <w:rPr>
          <w:szCs w:val="22"/>
        </w:rPr>
      </w:pPr>
    </w:p>
    <w:p w14:paraId="452F4840" w14:textId="77777777" w:rsidR="000C6DE6" w:rsidRPr="007B7B59" w:rsidRDefault="000C6DE6" w:rsidP="000C6DE6">
      <w:pPr>
        <w:rPr>
          <w:szCs w:val="22"/>
        </w:rPr>
      </w:pPr>
      <w:r w:rsidRPr="007B7B59">
        <w:rPr>
          <w:szCs w:val="22"/>
        </w:rPr>
        <w:t>D</w:t>
      </w:r>
      <w:r w:rsidRPr="007B7B59">
        <w:rPr>
          <w:bCs/>
          <w:szCs w:val="22"/>
        </w:rPr>
        <w:t xml:space="preserve">etaliai išanalizavus kontroliuojamo klinikinio tyrimo, kurio metu buvo skiriama AROMASIN 25 mg paros dozėmis atsitiktinai parenkant pacientus, rezultatus, buvo nustatytas statistiškai reikšmingas gyvenimo trukmės, laikotarpio iki ligos progresavimo (LLP) ir laikotarpio iki neveiksmingo gydymo (LNG) prailgėjimas. Buvo lyginama su standartiniu hormoniniu gydymu </w:t>
      </w:r>
      <w:proofErr w:type="spellStart"/>
      <w:r w:rsidRPr="007B7B59">
        <w:rPr>
          <w:bCs/>
          <w:szCs w:val="22"/>
        </w:rPr>
        <w:t>megestrolio</w:t>
      </w:r>
      <w:proofErr w:type="spellEnd"/>
      <w:r w:rsidRPr="007B7B59">
        <w:rPr>
          <w:bCs/>
          <w:szCs w:val="22"/>
        </w:rPr>
        <w:t xml:space="preserve"> acetatu pacienčių po menopauzės, sergančių progresavusiu krūties vėžiu, kuris progresavo po gydymo </w:t>
      </w:r>
      <w:proofErr w:type="spellStart"/>
      <w:r w:rsidRPr="007B7B59">
        <w:rPr>
          <w:bCs/>
          <w:szCs w:val="22"/>
        </w:rPr>
        <w:t>tamoksifenu</w:t>
      </w:r>
      <w:proofErr w:type="spellEnd"/>
      <w:r w:rsidRPr="007B7B59">
        <w:rPr>
          <w:bCs/>
          <w:szCs w:val="22"/>
        </w:rPr>
        <w:t xml:space="preserve"> arba gydymo juo metu, tiek vartojant </w:t>
      </w:r>
      <w:proofErr w:type="spellStart"/>
      <w:r w:rsidRPr="007B7B59">
        <w:rPr>
          <w:bCs/>
          <w:szCs w:val="22"/>
        </w:rPr>
        <w:t>tamoksifeną</w:t>
      </w:r>
      <w:proofErr w:type="spellEnd"/>
      <w:r w:rsidRPr="007B7B59">
        <w:rPr>
          <w:bCs/>
          <w:szCs w:val="22"/>
        </w:rPr>
        <w:t xml:space="preserve"> kaip pagalbinį, tiek kaip pirmaeilį vaistinį preparatą.</w:t>
      </w:r>
      <w:r w:rsidRPr="007B7B59">
        <w:rPr>
          <w:szCs w:val="22"/>
        </w:rPr>
        <w:br/>
      </w:r>
    </w:p>
    <w:p w14:paraId="41F38D40" w14:textId="77777777" w:rsidR="000C6DE6" w:rsidRPr="007B7B59" w:rsidRDefault="000C6DE6" w:rsidP="000C6DE6">
      <w:pPr>
        <w:ind w:left="567" w:hanging="567"/>
        <w:rPr>
          <w:b/>
          <w:szCs w:val="22"/>
        </w:rPr>
      </w:pPr>
      <w:r w:rsidRPr="007B7B59">
        <w:rPr>
          <w:b/>
          <w:szCs w:val="22"/>
        </w:rPr>
        <w:t>5.2</w:t>
      </w:r>
      <w:r w:rsidRPr="007B7B59">
        <w:rPr>
          <w:b/>
          <w:szCs w:val="22"/>
        </w:rPr>
        <w:tab/>
      </w:r>
      <w:proofErr w:type="spellStart"/>
      <w:r w:rsidRPr="007B7B59">
        <w:rPr>
          <w:b/>
          <w:szCs w:val="22"/>
        </w:rPr>
        <w:t>Farmakokinetinės</w:t>
      </w:r>
      <w:proofErr w:type="spellEnd"/>
      <w:r w:rsidRPr="007B7B59">
        <w:rPr>
          <w:b/>
          <w:szCs w:val="22"/>
        </w:rPr>
        <w:t xml:space="preserve"> savybės</w:t>
      </w:r>
    </w:p>
    <w:p w14:paraId="377EAD76" w14:textId="77777777" w:rsidR="000C6DE6" w:rsidRPr="007B7B59" w:rsidRDefault="000C6DE6" w:rsidP="000C6DE6">
      <w:pPr>
        <w:rPr>
          <w:i/>
          <w:szCs w:val="22"/>
        </w:rPr>
      </w:pPr>
    </w:p>
    <w:p w14:paraId="11D16036" w14:textId="77777777" w:rsidR="000C6DE6" w:rsidRPr="00341B9D" w:rsidRDefault="000C6DE6" w:rsidP="000C6DE6">
      <w:pPr>
        <w:rPr>
          <w:szCs w:val="22"/>
          <w:u w:val="single"/>
        </w:rPr>
      </w:pPr>
      <w:r w:rsidRPr="00341B9D">
        <w:rPr>
          <w:szCs w:val="22"/>
          <w:u w:val="single"/>
        </w:rPr>
        <w:t>Absorbcija</w:t>
      </w:r>
    </w:p>
    <w:p w14:paraId="2864B104" w14:textId="77777777" w:rsidR="000C6DE6" w:rsidRPr="007B7B59" w:rsidRDefault="000C6DE6" w:rsidP="000C6DE6">
      <w:pPr>
        <w:rPr>
          <w:szCs w:val="22"/>
        </w:rPr>
      </w:pPr>
    </w:p>
    <w:p w14:paraId="39E79F2D" w14:textId="77777777" w:rsidR="000C6DE6" w:rsidRPr="007B7B59" w:rsidRDefault="000C6DE6" w:rsidP="000C6DE6">
      <w:pPr>
        <w:rPr>
          <w:szCs w:val="22"/>
        </w:rPr>
      </w:pPr>
      <w:r w:rsidRPr="007B7B59">
        <w:rPr>
          <w:szCs w:val="22"/>
        </w:rPr>
        <w:t xml:space="preserve">Išgėrus AROMASIN tablečių, didelė </w:t>
      </w:r>
      <w:proofErr w:type="spellStart"/>
      <w:r w:rsidRPr="007B7B59">
        <w:rPr>
          <w:szCs w:val="22"/>
        </w:rPr>
        <w:t>eksemestano</w:t>
      </w:r>
      <w:proofErr w:type="spellEnd"/>
      <w:r w:rsidRPr="007B7B59">
        <w:rPr>
          <w:szCs w:val="22"/>
        </w:rPr>
        <w:t xml:space="preserve"> dalis greitai absorbuojama. Absoliutus biologinis prieinamumas žmogaus organizme nežinomas, bet dėl to, kad didelė dalis vaistinio preparato </w:t>
      </w:r>
      <w:proofErr w:type="spellStart"/>
      <w:r w:rsidRPr="007B7B59">
        <w:rPr>
          <w:szCs w:val="22"/>
        </w:rPr>
        <w:t>metabolizuojama</w:t>
      </w:r>
      <w:proofErr w:type="spellEnd"/>
      <w:r w:rsidRPr="007B7B59">
        <w:rPr>
          <w:szCs w:val="22"/>
        </w:rPr>
        <w:t xml:space="preserve"> pirmojo prasiskverbimo pro kepenis metu, turėtų būti nevisiškas. Dėl panašių procesų žiurkių ir šunų organizme absoliutus biologinis prieinamumas yra apie 5 %. Išgėrus vienkartinę 25 mg AROMASIN dozę, didžiausia koncentracija plazmoje (18 </w:t>
      </w:r>
      <w:proofErr w:type="spellStart"/>
      <w:r w:rsidRPr="007B7B59">
        <w:rPr>
          <w:szCs w:val="22"/>
        </w:rPr>
        <w:t>ng</w:t>
      </w:r>
      <w:proofErr w:type="spellEnd"/>
      <w:r w:rsidRPr="007B7B59">
        <w:rPr>
          <w:szCs w:val="22"/>
        </w:rPr>
        <w:t>/ml) susidaro po 2 val. Vartojamo valgant vaistinio preparato biologinis prieinamumas padidėja iki 40 %.</w:t>
      </w:r>
    </w:p>
    <w:p w14:paraId="05D24815" w14:textId="77777777" w:rsidR="000C6DE6" w:rsidRPr="007B7B59" w:rsidRDefault="000C6DE6" w:rsidP="000C6DE6">
      <w:pPr>
        <w:rPr>
          <w:szCs w:val="22"/>
        </w:rPr>
      </w:pPr>
    </w:p>
    <w:p w14:paraId="6F241316" w14:textId="77777777" w:rsidR="000C6DE6" w:rsidRPr="00341B9D" w:rsidRDefault="000C6DE6" w:rsidP="000C6DE6">
      <w:pPr>
        <w:rPr>
          <w:szCs w:val="22"/>
          <w:u w:val="single"/>
        </w:rPr>
      </w:pPr>
      <w:r w:rsidRPr="00341B9D">
        <w:rPr>
          <w:szCs w:val="22"/>
          <w:u w:val="single"/>
        </w:rPr>
        <w:t>Pasiskirstymas</w:t>
      </w:r>
    </w:p>
    <w:p w14:paraId="55FD1B71" w14:textId="77777777" w:rsidR="000C6DE6" w:rsidRPr="007B7B59" w:rsidRDefault="000C6DE6" w:rsidP="000C6DE6">
      <w:pPr>
        <w:rPr>
          <w:i/>
          <w:szCs w:val="22"/>
        </w:rPr>
      </w:pPr>
    </w:p>
    <w:p w14:paraId="6A129FFB" w14:textId="77777777" w:rsidR="000C6DE6" w:rsidRPr="007B7B59" w:rsidRDefault="000C6DE6" w:rsidP="000C6DE6">
      <w:pPr>
        <w:rPr>
          <w:szCs w:val="22"/>
        </w:rPr>
      </w:pPr>
      <w:proofErr w:type="spellStart"/>
      <w:r w:rsidRPr="007B7B59">
        <w:rPr>
          <w:szCs w:val="22"/>
        </w:rPr>
        <w:t>Eksemestano</w:t>
      </w:r>
      <w:proofErr w:type="spellEnd"/>
      <w:r w:rsidRPr="007B7B59">
        <w:rPr>
          <w:szCs w:val="22"/>
        </w:rPr>
        <w:t xml:space="preserve"> pasiskirstymo tūris, neatsižvelgus į išgerto vaistinio preparato biologinį prieinamumą, yra maždaug 20000 l. </w:t>
      </w:r>
      <w:r w:rsidR="002A0B17">
        <w:rPr>
          <w:szCs w:val="22"/>
        </w:rPr>
        <w:t>Vaistinio p</w:t>
      </w:r>
      <w:r w:rsidRPr="007B7B59">
        <w:rPr>
          <w:szCs w:val="22"/>
        </w:rPr>
        <w:t xml:space="preserve">reparato kinetika yra linijinė, o galutinis pusinės eliminacijos laikas – 24 val. Maždaug 90 % </w:t>
      </w:r>
      <w:r w:rsidR="002A0B17">
        <w:rPr>
          <w:szCs w:val="22"/>
        </w:rPr>
        <w:t xml:space="preserve">vaistinio </w:t>
      </w:r>
      <w:r w:rsidRPr="007B7B59">
        <w:rPr>
          <w:szCs w:val="22"/>
        </w:rPr>
        <w:t xml:space="preserve">preparato prisijungia prie plazmos baltymų. </w:t>
      </w:r>
      <w:proofErr w:type="spellStart"/>
      <w:r w:rsidRPr="007B7B59">
        <w:rPr>
          <w:szCs w:val="22"/>
        </w:rPr>
        <w:t>Eksemestanas</w:t>
      </w:r>
      <w:proofErr w:type="spellEnd"/>
      <w:r w:rsidRPr="007B7B59">
        <w:rPr>
          <w:szCs w:val="22"/>
        </w:rPr>
        <w:t xml:space="preserve"> ir jo metabolitai neprisijungia prie eritrocitų.</w:t>
      </w:r>
    </w:p>
    <w:p w14:paraId="67904988" w14:textId="77777777" w:rsidR="000C6DE6" w:rsidRPr="007B7B59" w:rsidRDefault="000C6DE6" w:rsidP="000C6DE6">
      <w:pPr>
        <w:rPr>
          <w:szCs w:val="22"/>
        </w:rPr>
      </w:pPr>
      <w:r w:rsidRPr="007B7B59">
        <w:rPr>
          <w:szCs w:val="22"/>
        </w:rPr>
        <w:t xml:space="preserve">Vartojant kartotines dozes, </w:t>
      </w:r>
      <w:proofErr w:type="spellStart"/>
      <w:r w:rsidRPr="007B7B59">
        <w:rPr>
          <w:szCs w:val="22"/>
        </w:rPr>
        <w:t>eksemestanas</w:t>
      </w:r>
      <w:proofErr w:type="spellEnd"/>
      <w:r w:rsidRPr="007B7B59">
        <w:rPr>
          <w:szCs w:val="22"/>
        </w:rPr>
        <w:t xml:space="preserve"> netikėtu būdu organizme nesikaupia.</w:t>
      </w:r>
    </w:p>
    <w:p w14:paraId="2561CF15" w14:textId="77777777" w:rsidR="000C6DE6" w:rsidRPr="007B7B59" w:rsidRDefault="000C6DE6" w:rsidP="000C6DE6">
      <w:pPr>
        <w:rPr>
          <w:szCs w:val="22"/>
        </w:rPr>
      </w:pPr>
    </w:p>
    <w:p w14:paraId="345228F4" w14:textId="77777777" w:rsidR="000C6DE6" w:rsidRPr="00341B9D" w:rsidRDefault="00043768" w:rsidP="000C6DE6">
      <w:pPr>
        <w:rPr>
          <w:szCs w:val="22"/>
          <w:u w:val="single"/>
        </w:rPr>
      </w:pPr>
      <w:proofErr w:type="spellStart"/>
      <w:r w:rsidRPr="00341B9D">
        <w:rPr>
          <w:szCs w:val="22"/>
          <w:u w:val="single"/>
        </w:rPr>
        <w:t>Biotransformacija</w:t>
      </w:r>
      <w:proofErr w:type="spellEnd"/>
      <w:r w:rsidRPr="00341B9D">
        <w:rPr>
          <w:szCs w:val="22"/>
          <w:u w:val="single"/>
        </w:rPr>
        <w:t xml:space="preserve"> ir eliminacija</w:t>
      </w:r>
    </w:p>
    <w:p w14:paraId="4EF9E7B0" w14:textId="77777777" w:rsidR="000C6DE6" w:rsidRPr="007B7B59" w:rsidRDefault="000C6DE6" w:rsidP="000C6DE6">
      <w:pPr>
        <w:rPr>
          <w:i/>
          <w:szCs w:val="22"/>
        </w:rPr>
      </w:pPr>
    </w:p>
    <w:p w14:paraId="643A3CFA" w14:textId="77777777" w:rsidR="000C6DE6" w:rsidRPr="007B7B59" w:rsidRDefault="000C6DE6" w:rsidP="000C6DE6">
      <w:pPr>
        <w:rPr>
          <w:szCs w:val="22"/>
        </w:rPr>
      </w:pPr>
      <w:proofErr w:type="spellStart"/>
      <w:r w:rsidRPr="007B7B59">
        <w:rPr>
          <w:szCs w:val="22"/>
        </w:rPr>
        <w:t>Eksemestanas</w:t>
      </w:r>
      <w:proofErr w:type="spellEnd"/>
      <w:r w:rsidRPr="007B7B59">
        <w:rPr>
          <w:szCs w:val="22"/>
        </w:rPr>
        <w:t xml:space="preserve"> </w:t>
      </w:r>
      <w:proofErr w:type="spellStart"/>
      <w:r w:rsidRPr="007B7B59">
        <w:rPr>
          <w:szCs w:val="22"/>
        </w:rPr>
        <w:t>metabolizuojamas</w:t>
      </w:r>
      <w:proofErr w:type="spellEnd"/>
      <w:r w:rsidRPr="007B7B59">
        <w:rPr>
          <w:szCs w:val="22"/>
        </w:rPr>
        <w:t xml:space="preserve"> oksiduojantis metileno daliai 6 padėtyje, dalyvaujant CYP3A4 </w:t>
      </w:r>
      <w:proofErr w:type="spellStart"/>
      <w:r w:rsidRPr="007B7B59">
        <w:rPr>
          <w:szCs w:val="22"/>
        </w:rPr>
        <w:t>izofermentui</w:t>
      </w:r>
      <w:proofErr w:type="spellEnd"/>
      <w:r w:rsidRPr="007B7B59">
        <w:rPr>
          <w:szCs w:val="22"/>
        </w:rPr>
        <w:t>, ir (arba) redukuojantis 17</w:t>
      </w:r>
      <w:r w:rsidRPr="007B7B59">
        <w:rPr>
          <w:szCs w:val="22"/>
        </w:rPr>
        <w:noBreakHyphen/>
        <w:t xml:space="preserve">keto grupei, dalyvaujant </w:t>
      </w:r>
      <w:proofErr w:type="spellStart"/>
      <w:r w:rsidRPr="007B7B59">
        <w:rPr>
          <w:szCs w:val="22"/>
        </w:rPr>
        <w:t>aldoreduktazei</w:t>
      </w:r>
      <w:proofErr w:type="spellEnd"/>
      <w:r w:rsidRPr="007B7B59">
        <w:rPr>
          <w:szCs w:val="22"/>
        </w:rPr>
        <w:t xml:space="preserve">, o vėliau </w:t>
      </w:r>
      <w:proofErr w:type="spellStart"/>
      <w:r w:rsidRPr="007B7B59">
        <w:rPr>
          <w:szCs w:val="22"/>
        </w:rPr>
        <w:t>konjuguojantis</w:t>
      </w:r>
      <w:proofErr w:type="spellEnd"/>
      <w:r w:rsidRPr="007B7B59">
        <w:rPr>
          <w:szCs w:val="22"/>
        </w:rPr>
        <w:t xml:space="preserve">. </w:t>
      </w:r>
      <w:proofErr w:type="spellStart"/>
      <w:r w:rsidRPr="007B7B59">
        <w:rPr>
          <w:szCs w:val="22"/>
        </w:rPr>
        <w:t>Eksemestano</w:t>
      </w:r>
      <w:proofErr w:type="spellEnd"/>
      <w:r w:rsidRPr="007B7B59">
        <w:rPr>
          <w:szCs w:val="22"/>
        </w:rPr>
        <w:t xml:space="preserve"> klirensas yra apie 500 l/val., nepatikslinus geriamo</w:t>
      </w:r>
      <w:r w:rsidR="00B751AF">
        <w:rPr>
          <w:szCs w:val="22"/>
        </w:rPr>
        <w:t>jo</w:t>
      </w:r>
      <w:r w:rsidRPr="007B7B59">
        <w:rPr>
          <w:szCs w:val="22"/>
        </w:rPr>
        <w:t xml:space="preserve"> vaistinio preparato biologinio prieinamumo.</w:t>
      </w:r>
    </w:p>
    <w:p w14:paraId="29422E32" w14:textId="77777777" w:rsidR="000C6DE6" w:rsidRPr="007B7B59" w:rsidRDefault="000C6DE6" w:rsidP="000C6DE6">
      <w:pPr>
        <w:rPr>
          <w:szCs w:val="22"/>
        </w:rPr>
      </w:pPr>
    </w:p>
    <w:p w14:paraId="6AF2F2CD" w14:textId="77777777" w:rsidR="000C6DE6" w:rsidRPr="007B7B59" w:rsidRDefault="000C6DE6" w:rsidP="000C6DE6">
      <w:pPr>
        <w:rPr>
          <w:szCs w:val="22"/>
        </w:rPr>
      </w:pPr>
      <w:r w:rsidRPr="007B7B59">
        <w:rPr>
          <w:szCs w:val="22"/>
        </w:rPr>
        <w:t xml:space="preserve">Metabolitai yra neveiklūs arba slopina </w:t>
      </w:r>
      <w:proofErr w:type="spellStart"/>
      <w:r w:rsidRPr="007B7B59">
        <w:rPr>
          <w:szCs w:val="22"/>
        </w:rPr>
        <w:t>aromatazę</w:t>
      </w:r>
      <w:proofErr w:type="spellEnd"/>
      <w:r w:rsidRPr="007B7B59">
        <w:rPr>
          <w:szCs w:val="22"/>
        </w:rPr>
        <w:t xml:space="preserve"> silpniau už nepakitusį vaistinį preparatą.</w:t>
      </w:r>
    </w:p>
    <w:p w14:paraId="05599CFC" w14:textId="77777777" w:rsidR="000C6DE6" w:rsidRPr="007B7B59" w:rsidRDefault="000C6DE6" w:rsidP="000C6DE6">
      <w:pPr>
        <w:rPr>
          <w:szCs w:val="22"/>
        </w:rPr>
      </w:pPr>
      <w:r w:rsidRPr="007B7B59">
        <w:rPr>
          <w:szCs w:val="22"/>
        </w:rPr>
        <w:lastRenderedPageBreak/>
        <w:t xml:space="preserve">Mažiau kaip 1 % dozės nepakitusio vaistinio preparato išsiskiria su šlapimu. Išgėrus vienkartinę radioaktyviu izotopu 14C žymėto </w:t>
      </w:r>
      <w:proofErr w:type="spellStart"/>
      <w:r w:rsidRPr="007B7B59">
        <w:rPr>
          <w:szCs w:val="22"/>
        </w:rPr>
        <w:t>eksemestano</w:t>
      </w:r>
      <w:proofErr w:type="spellEnd"/>
      <w:r w:rsidRPr="007B7B59">
        <w:rPr>
          <w:szCs w:val="22"/>
        </w:rPr>
        <w:t xml:space="preserve"> dozę su šlapimu ir išmatomis pasišalina maždaug vienoda vaistinio preparato dozės (40 %) dalis savaitės eigoje. </w:t>
      </w:r>
    </w:p>
    <w:p w14:paraId="59E8226C" w14:textId="77777777" w:rsidR="000C6DE6" w:rsidRPr="007B7B59" w:rsidRDefault="000C6DE6" w:rsidP="000C6DE6">
      <w:pPr>
        <w:rPr>
          <w:szCs w:val="22"/>
        </w:rPr>
      </w:pPr>
    </w:p>
    <w:p w14:paraId="397D6FE3" w14:textId="77777777" w:rsidR="000C6DE6" w:rsidRPr="00341B9D" w:rsidRDefault="0068165E" w:rsidP="000C6DE6">
      <w:pPr>
        <w:rPr>
          <w:szCs w:val="22"/>
          <w:u w:val="single"/>
        </w:rPr>
      </w:pPr>
      <w:r w:rsidRPr="00341B9D">
        <w:rPr>
          <w:szCs w:val="22"/>
          <w:u w:val="single"/>
        </w:rPr>
        <w:t>Ypatingos populiacijos</w:t>
      </w:r>
    </w:p>
    <w:p w14:paraId="1C3A2B76" w14:textId="77777777" w:rsidR="000C6DE6" w:rsidRPr="007B7B59" w:rsidRDefault="000C6DE6" w:rsidP="000C6DE6">
      <w:pPr>
        <w:rPr>
          <w:i/>
          <w:szCs w:val="22"/>
        </w:rPr>
      </w:pPr>
    </w:p>
    <w:p w14:paraId="7EA21917" w14:textId="77777777" w:rsidR="000C6DE6" w:rsidRPr="007B7B59" w:rsidRDefault="000C6DE6" w:rsidP="000C6DE6">
      <w:pPr>
        <w:rPr>
          <w:szCs w:val="22"/>
        </w:rPr>
      </w:pPr>
      <w:r w:rsidRPr="007B7B59">
        <w:rPr>
          <w:szCs w:val="22"/>
          <w:u w:val="single"/>
        </w:rPr>
        <w:t>Amžius</w:t>
      </w:r>
    </w:p>
    <w:p w14:paraId="2BA995A5" w14:textId="77777777" w:rsidR="000C6DE6" w:rsidRPr="007B7B59" w:rsidRDefault="000C6DE6" w:rsidP="000C6DE6">
      <w:pPr>
        <w:rPr>
          <w:szCs w:val="22"/>
        </w:rPr>
      </w:pPr>
      <w:r w:rsidRPr="007B7B59">
        <w:rPr>
          <w:szCs w:val="22"/>
        </w:rPr>
        <w:t>Reikšmingos koreliacijos tarp AROMASIN sisteminės ekspozicijos ir pacienčių amžiaus nepastebėta.</w:t>
      </w:r>
    </w:p>
    <w:p w14:paraId="23DEB263" w14:textId="77777777" w:rsidR="000C6DE6" w:rsidRPr="007B7B59" w:rsidRDefault="000C6DE6" w:rsidP="000C6DE6">
      <w:pPr>
        <w:rPr>
          <w:szCs w:val="22"/>
        </w:rPr>
      </w:pPr>
    </w:p>
    <w:p w14:paraId="316E3278" w14:textId="77777777" w:rsidR="000C6DE6" w:rsidRPr="007B7B59" w:rsidRDefault="00043768" w:rsidP="000C6DE6">
      <w:pPr>
        <w:rPr>
          <w:i/>
          <w:szCs w:val="22"/>
        </w:rPr>
      </w:pPr>
      <w:r w:rsidRPr="007B7B59">
        <w:rPr>
          <w:szCs w:val="22"/>
          <w:u w:val="single"/>
        </w:rPr>
        <w:t>Sutrikusi inkstų funkcija</w:t>
      </w:r>
    </w:p>
    <w:p w14:paraId="6B92E967" w14:textId="77777777" w:rsidR="000C6DE6" w:rsidRPr="007B7B59" w:rsidRDefault="000C6DE6" w:rsidP="000C6DE6">
      <w:pPr>
        <w:rPr>
          <w:szCs w:val="22"/>
        </w:rPr>
      </w:pPr>
      <w:r w:rsidRPr="007B7B59">
        <w:rPr>
          <w:szCs w:val="22"/>
        </w:rPr>
        <w:t>Pacienčių, sergančių sunkiu inkstų nepakankamumu (</w:t>
      </w:r>
      <w:proofErr w:type="spellStart"/>
      <w:r w:rsidRPr="007B7B59">
        <w:rPr>
          <w:szCs w:val="22"/>
        </w:rPr>
        <w:t>kreatinino</w:t>
      </w:r>
      <w:proofErr w:type="spellEnd"/>
      <w:r w:rsidRPr="007B7B59">
        <w:rPr>
          <w:szCs w:val="22"/>
        </w:rPr>
        <w:t xml:space="preserve"> klirensas &lt;30 ml/min.), organizme sisteminė </w:t>
      </w:r>
      <w:proofErr w:type="spellStart"/>
      <w:r w:rsidRPr="007B7B59">
        <w:rPr>
          <w:szCs w:val="22"/>
        </w:rPr>
        <w:t>eksemestano</w:t>
      </w:r>
      <w:proofErr w:type="spellEnd"/>
      <w:r w:rsidRPr="007B7B59">
        <w:rPr>
          <w:szCs w:val="22"/>
        </w:rPr>
        <w:t xml:space="preserve"> ekspozicija būna maždaug du kartus didesnė negu sveikų savanorių. Tikimybė, kad dėl to reikėtų koreguoti vaistinio preparato dozę, yra maža.</w:t>
      </w:r>
    </w:p>
    <w:p w14:paraId="7E10FD04" w14:textId="77777777" w:rsidR="000C6DE6" w:rsidRPr="007B7B59" w:rsidRDefault="000C6DE6" w:rsidP="000C6DE6">
      <w:pPr>
        <w:rPr>
          <w:szCs w:val="22"/>
        </w:rPr>
      </w:pPr>
    </w:p>
    <w:p w14:paraId="6CC7722B" w14:textId="77777777" w:rsidR="00043768" w:rsidRPr="007B7B59" w:rsidRDefault="00043768" w:rsidP="000C6DE6">
      <w:pPr>
        <w:rPr>
          <w:szCs w:val="22"/>
          <w:u w:val="single"/>
        </w:rPr>
      </w:pPr>
      <w:r w:rsidRPr="007B7B59">
        <w:rPr>
          <w:szCs w:val="22"/>
          <w:u w:val="single"/>
        </w:rPr>
        <w:t>Sutrikusi kepenų funkcija</w:t>
      </w:r>
    </w:p>
    <w:p w14:paraId="3A73D53B" w14:textId="77777777" w:rsidR="000C6DE6" w:rsidRPr="007B7B59" w:rsidRDefault="000C6DE6" w:rsidP="000C6DE6">
      <w:pPr>
        <w:rPr>
          <w:szCs w:val="22"/>
        </w:rPr>
      </w:pPr>
      <w:r w:rsidRPr="007B7B59">
        <w:rPr>
          <w:szCs w:val="22"/>
        </w:rPr>
        <w:t xml:space="preserve">Pacienčių, sergančių vidutiniu ir sunkiu kepenų nepakankamumu, organizme </w:t>
      </w:r>
      <w:proofErr w:type="spellStart"/>
      <w:r w:rsidRPr="007B7B59">
        <w:rPr>
          <w:szCs w:val="22"/>
        </w:rPr>
        <w:t>eksemestano</w:t>
      </w:r>
      <w:proofErr w:type="spellEnd"/>
      <w:r w:rsidRPr="007B7B59">
        <w:rPr>
          <w:szCs w:val="22"/>
        </w:rPr>
        <w:t xml:space="preserve"> sisteminė ekspozicija buvo 2-3 kartus didesnė negu sveikų savanorių. Tikimybė, kad dėl to reikėtų koreguoti vaistinio preparato dozę, yra maža.</w:t>
      </w:r>
    </w:p>
    <w:p w14:paraId="08C80AC9" w14:textId="77777777" w:rsidR="000C6DE6" w:rsidRPr="007B7B59" w:rsidRDefault="000C6DE6" w:rsidP="000C6DE6">
      <w:pPr>
        <w:rPr>
          <w:szCs w:val="22"/>
        </w:rPr>
      </w:pPr>
    </w:p>
    <w:p w14:paraId="7D526608" w14:textId="77777777" w:rsidR="000C6DE6" w:rsidRPr="007B7B59" w:rsidRDefault="000C6DE6" w:rsidP="000C6DE6">
      <w:pPr>
        <w:ind w:left="567" w:hanging="567"/>
        <w:rPr>
          <w:b/>
          <w:szCs w:val="22"/>
        </w:rPr>
      </w:pPr>
      <w:r w:rsidRPr="007B7B59">
        <w:rPr>
          <w:b/>
          <w:szCs w:val="22"/>
        </w:rPr>
        <w:t>5.3</w:t>
      </w:r>
      <w:r w:rsidRPr="007B7B59">
        <w:rPr>
          <w:b/>
          <w:szCs w:val="22"/>
        </w:rPr>
        <w:tab/>
      </w:r>
      <w:proofErr w:type="spellStart"/>
      <w:r w:rsidRPr="007B7B59">
        <w:rPr>
          <w:b/>
          <w:szCs w:val="22"/>
        </w:rPr>
        <w:t>Ikiklinikinių</w:t>
      </w:r>
      <w:proofErr w:type="spellEnd"/>
      <w:r w:rsidRPr="007B7B59">
        <w:rPr>
          <w:b/>
          <w:szCs w:val="22"/>
        </w:rPr>
        <w:t xml:space="preserve"> saugumo tyrimų duomenys</w:t>
      </w:r>
    </w:p>
    <w:p w14:paraId="5D2136C4" w14:textId="77777777" w:rsidR="000C6DE6" w:rsidRPr="007B7B59" w:rsidRDefault="000C6DE6" w:rsidP="000C6DE6">
      <w:pPr>
        <w:rPr>
          <w:i/>
          <w:szCs w:val="22"/>
        </w:rPr>
      </w:pPr>
    </w:p>
    <w:p w14:paraId="5E3EF2C4" w14:textId="77777777" w:rsidR="000C6DE6" w:rsidRPr="007B7B59" w:rsidRDefault="000C6DE6" w:rsidP="000C6DE6">
      <w:pPr>
        <w:rPr>
          <w:szCs w:val="22"/>
          <w:u w:val="single"/>
        </w:rPr>
      </w:pPr>
      <w:r w:rsidRPr="007B7B59">
        <w:rPr>
          <w:szCs w:val="22"/>
          <w:u w:val="single"/>
        </w:rPr>
        <w:t>Ūminis toksinis poveikis</w:t>
      </w:r>
    </w:p>
    <w:p w14:paraId="2FF422D2" w14:textId="77777777" w:rsidR="000C6DE6" w:rsidRPr="007B7B59" w:rsidRDefault="000C6DE6" w:rsidP="000C6DE6">
      <w:pPr>
        <w:rPr>
          <w:szCs w:val="22"/>
        </w:rPr>
      </w:pPr>
      <w:r w:rsidRPr="007B7B59">
        <w:rPr>
          <w:szCs w:val="22"/>
        </w:rPr>
        <w:t xml:space="preserve">Ūminis geriamojo </w:t>
      </w:r>
      <w:proofErr w:type="spellStart"/>
      <w:r w:rsidRPr="007B7B59">
        <w:rPr>
          <w:szCs w:val="22"/>
        </w:rPr>
        <w:t>eksemestano</w:t>
      </w:r>
      <w:proofErr w:type="spellEnd"/>
      <w:r w:rsidRPr="007B7B59">
        <w:rPr>
          <w:szCs w:val="22"/>
        </w:rPr>
        <w:t xml:space="preserve"> toksinis poveikis yra mažas: LD50 graužikams &gt;2000 mg/kg, šunys gerai toleravo šio vaisto dozes iki 1000 mg/kg.</w:t>
      </w:r>
    </w:p>
    <w:p w14:paraId="43E88F0E" w14:textId="77777777" w:rsidR="000C6DE6" w:rsidRPr="007B7B59" w:rsidRDefault="000C6DE6" w:rsidP="000C6DE6">
      <w:pPr>
        <w:rPr>
          <w:szCs w:val="22"/>
        </w:rPr>
      </w:pPr>
    </w:p>
    <w:p w14:paraId="4BC4F1D7" w14:textId="77777777" w:rsidR="000C6DE6" w:rsidRPr="007B7B59" w:rsidRDefault="000C6DE6" w:rsidP="000C6DE6">
      <w:pPr>
        <w:keepNext/>
        <w:tabs>
          <w:tab w:val="left" w:pos="567"/>
        </w:tabs>
        <w:rPr>
          <w:szCs w:val="22"/>
          <w:u w:val="single"/>
        </w:rPr>
      </w:pPr>
      <w:r w:rsidRPr="007B7B59">
        <w:rPr>
          <w:szCs w:val="22"/>
          <w:u w:val="single"/>
        </w:rPr>
        <w:t>Lėtinis toksinis poveikis</w:t>
      </w:r>
    </w:p>
    <w:p w14:paraId="5D7E9235" w14:textId="77777777" w:rsidR="000C6DE6" w:rsidRPr="007B7B59" w:rsidRDefault="000C6DE6" w:rsidP="000C6DE6">
      <w:pPr>
        <w:pStyle w:val="Pagrindinistekstas3"/>
        <w:spacing w:line="240" w:lineRule="auto"/>
        <w:jc w:val="left"/>
        <w:rPr>
          <w:b w:val="0"/>
          <w:i w:val="0"/>
          <w:sz w:val="22"/>
          <w:szCs w:val="22"/>
          <w:lang w:val="lt-LT"/>
        </w:rPr>
      </w:pPr>
      <w:r w:rsidRPr="007B7B59">
        <w:rPr>
          <w:b w:val="0"/>
          <w:i w:val="0"/>
          <w:sz w:val="22"/>
          <w:szCs w:val="22"/>
          <w:lang w:val="lt-LT"/>
        </w:rPr>
        <w:t>Su žiurkėmis ir šunimis atliktų kartotinių dozių toksinio poveikio tyrimų metu nustatyta, kad per vienerius metus toksinio poveikio nesukeliantis kiekis žiurkėms yra 50 mg/kg per parą, šunims – 30 mg/kg per parą, kai sisteminė ekspozicija yra 3</w:t>
      </w:r>
      <w:r w:rsidRPr="007B7B59">
        <w:rPr>
          <w:b w:val="0"/>
          <w:i w:val="0"/>
          <w:sz w:val="22"/>
          <w:szCs w:val="22"/>
          <w:lang w:val="lt-LT"/>
        </w:rPr>
        <w:noBreakHyphen/>
        <w:t xml:space="preserve">6 kartus didesnė už tą, kuri susidaro žmogaus organizme, vartojant 25 mg per parą dozę. Visų tirtų rūšių abiejų lyčių gyvūnams pasireiškė poveikis lytiniams ir kitiems organams, susijęs su </w:t>
      </w:r>
      <w:proofErr w:type="spellStart"/>
      <w:r w:rsidRPr="007B7B59">
        <w:rPr>
          <w:b w:val="0"/>
          <w:i w:val="0"/>
          <w:sz w:val="22"/>
          <w:szCs w:val="22"/>
          <w:lang w:val="lt-LT"/>
        </w:rPr>
        <w:t>eksemestano</w:t>
      </w:r>
      <w:proofErr w:type="spellEnd"/>
      <w:r w:rsidRPr="007B7B59">
        <w:rPr>
          <w:b w:val="0"/>
          <w:i w:val="0"/>
          <w:sz w:val="22"/>
          <w:szCs w:val="22"/>
          <w:lang w:val="lt-LT"/>
        </w:rPr>
        <w:t xml:space="preserve"> farmakologiniu poveikiu. Kitas toksinis poveikis (kepenims, inkstams arba centrinei nervų sistemai) pasireiškė tik skiriant šio vaistinio preparato daug didesnėmis už didžiausią leistiną žmogui dozėmis, todėl jis klinikai nereikšmingas.</w:t>
      </w:r>
    </w:p>
    <w:p w14:paraId="5BBBD192" w14:textId="77777777" w:rsidR="000C6DE6" w:rsidRPr="007B7B59" w:rsidRDefault="000C6DE6" w:rsidP="000C6DE6">
      <w:pPr>
        <w:rPr>
          <w:szCs w:val="22"/>
        </w:rPr>
      </w:pPr>
    </w:p>
    <w:p w14:paraId="4F63B178" w14:textId="77777777" w:rsidR="000C6DE6" w:rsidRPr="007B7B59" w:rsidRDefault="000C6DE6" w:rsidP="000C6DE6">
      <w:pPr>
        <w:rPr>
          <w:szCs w:val="22"/>
          <w:u w:val="single"/>
        </w:rPr>
      </w:pPr>
      <w:proofErr w:type="spellStart"/>
      <w:r w:rsidRPr="007B7B59">
        <w:rPr>
          <w:szCs w:val="22"/>
          <w:u w:val="single"/>
        </w:rPr>
        <w:t>Mutageninis</w:t>
      </w:r>
      <w:proofErr w:type="spellEnd"/>
      <w:r w:rsidRPr="007B7B59">
        <w:rPr>
          <w:szCs w:val="22"/>
          <w:u w:val="single"/>
        </w:rPr>
        <w:t xml:space="preserve"> poveikis</w:t>
      </w:r>
    </w:p>
    <w:p w14:paraId="3E9C23DB" w14:textId="77777777" w:rsidR="000C6DE6" w:rsidRPr="007B7B59" w:rsidRDefault="000C6DE6" w:rsidP="000C6DE6">
      <w:pPr>
        <w:rPr>
          <w:szCs w:val="22"/>
        </w:rPr>
      </w:pPr>
      <w:r w:rsidRPr="007B7B59">
        <w:rPr>
          <w:szCs w:val="22"/>
        </w:rPr>
        <w:t>Tyrimais su bakterijomis (</w:t>
      </w:r>
      <w:proofErr w:type="spellStart"/>
      <w:r w:rsidRPr="007B7B59">
        <w:rPr>
          <w:i/>
          <w:szCs w:val="22"/>
        </w:rPr>
        <w:t>Ames</w:t>
      </w:r>
      <w:proofErr w:type="spellEnd"/>
      <w:r w:rsidRPr="007B7B59">
        <w:rPr>
          <w:szCs w:val="22"/>
        </w:rPr>
        <w:t xml:space="preserve"> testas), V79 kiniškojo žiurkėno ląstelėmis, žiurkių </w:t>
      </w:r>
      <w:proofErr w:type="spellStart"/>
      <w:r w:rsidRPr="007B7B59">
        <w:rPr>
          <w:szCs w:val="22"/>
        </w:rPr>
        <w:t>hepatocitais</w:t>
      </w:r>
      <w:proofErr w:type="spellEnd"/>
      <w:r w:rsidRPr="007B7B59">
        <w:rPr>
          <w:szCs w:val="22"/>
        </w:rPr>
        <w:t xml:space="preserve"> ir </w:t>
      </w:r>
      <w:proofErr w:type="spellStart"/>
      <w:r w:rsidRPr="007B7B59">
        <w:rPr>
          <w:szCs w:val="22"/>
        </w:rPr>
        <w:t>mikrobranduolių</w:t>
      </w:r>
      <w:proofErr w:type="spellEnd"/>
      <w:r w:rsidRPr="007B7B59">
        <w:rPr>
          <w:szCs w:val="22"/>
        </w:rPr>
        <w:t xml:space="preserve"> tyrimu su pelių ląstelėmis </w:t>
      </w:r>
      <w:proofErr w:type="spellStart"/>
      <w:r w:rsidRPr="007B7B59">
        <w:rPr>
          <w:szCs w:val="22"/>
        </w:rPr>
        <w:t>eksemestano</w:t>
      </w:r>
      <w:proofErr w:type="spellEnd"/>
      <w:r w:rsidRPr="007B7B59">
        <w:rPr>
          <w:szCs w:val="22"/>
        </w:rPr>
        <w:t xml:space="preserve"> </w:t>
      </w:r>
      <w:proofErr w:type="spellStart"/>
      <w:r w:rsidRPr="007B7B59">
        <w:rPr>
          <w:szCs w:val="22"/>
        </w:rPr>
        <w:t>genotoksinio</w:t>
      </w:r>
      <w:proofErr w:type="spellEnd"/>
      <w:r w:rsidRPr="007B7B59">
        <w:rPr>
          <w:szCs w:val="22"/>
        </w:rPr>
        <w:t xml:space="preserve"> poveikio nenustatyta. Nustatytas </w:t>
      </w:r>
      <w:proofErr w:type="spellStart"/>
      <w:r w:rsidRPr="007B7B59">
        <w:rPr>
          <w:szCs w:val="22"/>
        </w:rPr>
        <w:t>klastogeninis</w:t>
      </w:r>
      <w:proofErr w:type="spellEnd"/>
      <w:r w:rsidRPr="007B7B59">
        <w:rPr>
          <w:szCs w:val="22"/>
        </w:rPr>
        <w:t xml:space="preserve"> </w:t>
      </w:r>
      <w:proofErr w:type="spellStart"/>
      <w:r w:rsidRPr="007B7B59">
        <w:rPr>
          <w:szCs w:val="22"/>
        </w:rPr>
        <w:t>eksemestano</w:t>
      </w:r>
      <w:proofErr w:type="spellEnd"/>
      <w:r w:rsidRPr="007B7B59">
        <w:rPr>
          <w:szCs w:val="22"/>
        </w:rPr>
        <w:t xml:space="preserve"> poveikis limfocitams </w:t>
      </w:r>
      <w:proofErr w:type="spellStart"/>
      <w:r w:rsidRPr="007B7B59">
        <w:rPr>
          <w:i/>
          <w:szCs w:val="22"/>
        </w:rPr>
        <w:t>in</w:t>
      </w:r>
      <w:proofErr w:type="spellEnd"/>
      <w:r w:rsidRPr="007B7B59">
        <w:rPr>
          <w:i/>
          <w:szCs w:val="22"/>
        </w:rPr>
        <w:t xml:space="preserve"> </w:t>
      </w:r>
      <w:proofErr w:type="spellStart"/>
      <w:r w:rsidRPr="007B7B59">
        <w:rPr>
          <w:i/>
          <w:szCs w:val="22"/>
        </w:rPr>
        <w:t>vitro</w:t>
      </w:r>
      <w:proofErr w:type="spellEnd"/>
      <w:r w:rsidRPr="007B7B59">
        <w:rPr>
          <w:szCs w:val="22"/>
        </w:rPr>
        <w:t xml:space="preserve">, tačiau du tyrimai </w:t>
      </w:r>
      <w:proofErr w:type="spellStart"/>
      <w:r w:rsidRPr="007B7B59">
        <w:rPr>
          <w:i/>
          <w:szCs w:val="22"/>
        </w:rPr>
        <w:t>in</w:t>
      </w:r>
      <w:proofErr w:type="spellEnd"/>
      <w:r w:rsidRPr="007B7B59">
        <w:rPr>
          <w:i/>
          <w:szCs w:val="22"/>
        </w:rPr>
        <w:t xml:space="preserve"> </w:t>
      </w:r>
      <w:proofErr w:type="spellStart"/>
      <w:r w:rsidRPr="007B7B59">
        <w:rPr>
          <w:i/>
          <w:szCs w:val="22"/>
        </w:rPr>
        <w:t>vivo</w:t>
      </w:r>
      <w:proofErr w:type="spellEnd"/>
      <w:r w:rsidRPr="007B7B59">
        <w:rPr>
          <w:szCs w:val="22"/>
        </w:rPr>
        <w:t xml:space="preserve"> </w:t>
      </w:r>
      <w:proofErr w:type="spellStart"/>
      <w:r w:rsidRPr="007B7B59">
        <w:rPr>
          <w:szCs w:val="22"/>
        </w:rPr>
        <w:t>klastogeninio</w:t>
      </w:r>
      <w:proofErr w:type="spellEnd"/>
      <w:r w:rsidRPr="007B7B59">
        <w:rPr>
          <w:szCs w:val="22"/>
        </w:rPr>
        <w:t xml:space="preserve"> poveikio neparodė.</w:t>
      </w:r>
    </w:p>
    <w:p w14:paraId="07186B8B" w14:textId="77777777" w:rsidR="000C6DE6" w:rsidRPr="007B7B59" w:rsidRDefault="000C6DE6" w:rsidP="000C6DE6">
      <w:pPr>
        <w:rPr>
          <w:szCs w:val="22"/>
        </w:rPr>
      </w:pPr>
    </w:p>
    <w:p w14:paraId="4EE264F3" w14:textId="77777777" w:rsidR="000C6DE6" w:rsidRPr="007B7B59" w:rsidRDefault="000C6DE6" w:rsidP="000C6DE6">
      <w:pPr>
        <w:rPr>
          <w:szCs w:val="22"/>
          <w:u w:val="single"/>
        </w:rPr>
      </w:pPr>
      <w:r w:rsidRPr="007B7B59">
        <w:rPr>
          <w:szCs w:val="22"/>
          <w:u w:val="single"/>
        </w:rPr>
        <w:t>Reprodukcinė toksikologija</w:t>
      </w:r>
    </w:p>
    <w:p w14:paraId="5E47939F" w14:textId="77777777" w:rsidR="000C6DE6" w:rsidRPr="007B7B59" w:rsidRDefault="000C6DE6" w:rsidP="000C6DE6">
      <w:pPr>
        <w:rPr>
          <w:szCs w:val="22"/>
        </w:rPr>
      </w:pPr>
      <w:r w:rsidRPr="007B7B59">
        <w:rPr>
          <w:szCs w:val="22"/>
        </w:rPr>
        <w:t xml:space="preserve">AROMASIN sukėlė </w:t>
      </w:r>
      <w:proofErr w:type="spellStart"/>
      <w:r w:rsidRPr="007B7B59">
        <w:rPr>
          <w:szCs w:val="22"/>
        </w:rPr>
        <w:t>embriotoksinį</w:t>
      </w:r>
      <w:proofErr w:type="spellEnd"/>
      <w:r w:rsidRPr="007B7B59">
        <w:rPr>
          <w:szCs w:val="22"/>
        </w:rPr>
        <w:t xml:space="preserve"> poveikį žiurkėms ir triušiams, kai sisteminė ekspozicija buvo panaši į tą, kuri susidaro žmogaus organizme vartojant 25 mg per parą dozę. </w:t>
      </w:r>
      <w:proofErr w:type="spellStart"/>
      <w:r w:rsidRPr="007B7B59">
        <w:rPr>
          <w:szCs w:val="22"/>
        </w:rPr>
        <w:t>Teratogeninio</w:t>
      </w:r>
      <w:proofErr w:type="spellEnd"/>
      <w:r w:rsidRPr="007B7B59">
        <w:rPr>
          <w:szCs w:val="22"/>
        </w:rPr>
        <w:t xml:space="preserve"> poveikio įrodymų negauta.</w:t>
      </w:r>
    </w:p>
    <w:p w14:paraId="7AF71054" w14:textId="77777777" w:rsidR="00EA2B30" w:rsidRDefault="00EA2B30" w:rsidP="000C6DE6">
      <w:pPr>
        <w:rPr>
          <w:szCs w:val="22"/>
          <w:u w:val="single"/>
        </w:rPr>
      </w:pPr>
    </w:p>
    <w:p w14:paraId="733A50FC" w14:textId="77777777" w:rsidR="000C6DE6" w:rsidRPr="007B7B59" w:rsidRDefault="000C6DE6" w:rsidP="000C6DE6">
      <w:pPr>
        <w:rPr>
          <w:szCs w:val="22"/>
          <w:u w:val="single"/>
        </w:rPr>
      </w:pPr>
      <w:proofErr w:type="spellStart"/>
      <w:r w:rsidRPr="007B7B59">
        <w:rPr>
          <w:szCs w:val="22"/>
          <w:u w:val="single"/>
        </w:rPr>
        <w:t>Kancerogeniškumas</w:t>
      </w:r>
      <w:proofErr w:type="spellEnd"/>
    </w:p>
    <w:p w14:paraId="1F41D819" w14:textId="77777777" w:rsidR="000C6DE6" w:rsidRPr="007B7B59" w:rsidRDefault="000C6DE6" w:rsidP="000C6DE6">
      <w:pPr>
        <w:rPr>
          <w:szCs w:val="22"/>
        </w:rPr>
      </w:pPr>
      <w:r w:rsidRPr="007B7B59">
        <w:rPr>
          <w:szCs w:val="22"/>
        </w:rPr>
        <w:t xml:space="preserve">Dvejus metus trukusiu kancerogeninio poveikio žiurkėms tyrimu su vaistinio preparato vartojimu susijusių auglių nenustatyta. Dvejų metų trukmės kancerogeninio poveikio pelėms tyrimo duomenimis, duodant vidutinio dydžio ir dideles vaistinio preparato dozes (150 ir 450 mg/kg kūno svorio per parą), abiejų lyčių gyvūnams padažnėjo kepenų augliai. Manoma, kad šį reiškinį lemia kepenų </w:t>
      </w:r>
      <w:proofErr w:type="spellStart"/>
      <w:r w:rsidRPr="007B7B59">
        <w:rPr>
          <w:szCs w:val="22"/>
        </w:rPr>
        <w:t>mikrosomų</w:t>
      </w:r>
      <w:proofErr w:type="spellEnd"/>
      <w:r w:rsidRPr="007B7B59">
        <w:rPr>
          <w:szCs w:val="22"/>
        </w:rPr>
        <w:t xml:space="preserve"> sužadinimas – toks poveikis nustatytas pelėms, bet ne klinikinių tyrimų metu. Didelės dozės (450 mg/kg kūno svorio per parą) dažniau sukėlė inkstų kanalėlių adenomas pelių patinams. Šis poveikis specifinis rūšiai bei lyčiai ir pasireiškė tiktai tokiu atveju, kai gyvūnų organizme ekspozicija buvo 63 kartus didesnė už tą, kuri būna žmogaus organizme vartojant gydomąją vaistinio preparato dozę. Tokio poveikio </w:t>
      </w:r>
      <w:proofErr w:type="spellStart"/>
      <w:r w:rsidRPr="007B7B59">
        <w:rPr>
          <w:szCs w:val="22"/>
        </w:rPr>
        <w:t>eksemestano</w:t>
      </w:r>
      <w:proofErr w:type="spellEnd"/>
      <w:r w:rsidRPr="007B7B59">
        <w:rPr>
          <w:szCs w:val="22"/>
        </w:rPr>
        <w:t xml:space="preserve"> vartojantiems pacientams klinikinė reikšmė yra menka. </w:t>
      </w:r>
    </w:p>
    <w:p w14:paraId="3C0BF6FF" w14:textId="77777777" w:rsidR="000C6DE6" w:rsidRPr="007B7B59" w:rsidRDefault="000C6DE6" w:rsidP="000C6DE6">
      <w:pPr>
        <w:pStyle w:val="Dokumentoinaostekstas"/>
        <w:tabs>
          <w:tab w:val="clear" w:pos="567"/>
          <w:tab w:val="left" w:pos="720"/>
        </w:tabs>
        <w:rPr>
          <w:sz w:val="22"/>
          <w:szCs w:val="22"/>
          <w:lang w:val="lt-LT"/>
        </w:rPr>
      </w:pPr>
    </w:p>
    <w:p w14:paraId="320F6C27" w14:textId="77777777" w:rsidR="000C6DE6" w:rsidRPr="007B7B59" w:rsidRDefault="000C6DE6" w:rsidP="000C6DE6">
      <w:pPr>
        <w:rPr>
          <w:szCs w:val="22"/>
        </w:rPr>
      </w:pPr>
    </w:p>
    <w:p w14:paraId="14B4F401" w14:textId="77777777" w:rsidR="000C6DE6" w:rsidRPr="007B7B59" w:rsidRDefault="000C6DE6" w:rsidP="000C6DE6">
      <w:pPr>
        <w:ind w:left="567" w:hanging="567"/>
        <w:rPr>
          <w:b/>
          <w:szCs w:val="22"/>
        </w:rPr>
      </w:pPr>
      <w:r w:rsidRPr="007B7B59">
        <w:rPr>
          <w:b/>
          <w:szCs w:val="22"/>
        </w:rPr>
        <w:t>6.</w:t>
      </w:r>
      <w:r w:rsidRPr="007B7B59">
        <w:rPr>
          <w:b/>
          <w:szCs w:val="22"/>
        </w:rPr>
        <w:tab/>
        <w:t>FARMACINĖ INFORMACIJA</w:t>
      </w:r>
    </w:p>
    <w:p w14:paraId="7D018A0D" w14:textId="77777777" w:rsidR="000C6DE6" w:rsidRPr="007B7B59" w:rsidRDefault="000C6DE6" w:rsidP="000C6DE6">
      <w:pPr>
        <w:ind w:left="567" w:hanging="567"/>
        <w:rPr>
          <w:b/>
          <w:szCs w:val="22"/>
        </w:rPr>
      </w:pPr>
    </w:p>
    <w:p w14:paraId="3F19FDB3" w14:textId="77777777" w:rsidR="000C6DE6" w:rsidRPr="007B7B59" w:rsidRDefault="000C6DE6" w:rsidP="000C6DE6">
      <w:pPr>
        <w:ind w:left="567" w:hanging="567"/>
        <w:rPr>
          <w:b/>
          <w:szCs w:val="22"/>
        </w:rPr>
      </w:pPr>
      <w:r w:rsidRPr="007B7B59">
        <w:rPr>
          <w:b/>
          <w:szCs w:val="22"/>
        </w:rPr>
        <w:t>6.1</w:t>
      </w:r>
      <w:r w:rsidRPr="007B7B59">
        <w:rPr>
          <w:b/>
          <w:szCs w:val="22"/>
        </w:rPr>
        <w:tab/>
        <w:t>Pagalbinių medžiagų sąrašas</w:t>
      </w:r>
    </w:p>
    <w:p w14:paraId="632681EF" w14:textId="77777777" w:rsidR="000C6DE6" w:rsidRPr="007B7B59" w:rsidRDefault="000C6DE6" w:rsidP="000C6DE6">
      <w:pPr>
        <w:rPr>
          <w:szCs w:val="22"/>
        </w:rPr>
      </w:pPr>
    </w:p>
    <w:p w14:paraId="575399B8" w14:textId="77777777" w:rsidR="000C6DE6" w:rsidRPr="00341B9D" w:rsidRDefault="000C6DE6" w:rsidP="000C6DE6">
      <w:pPr>
        <w:rPr>
          <w:i/>
          <w:szCs w:val="22"/>
        </w:rPr>
      </w:pPr>
      <w:r w:rsidRPr="00341B9D">
        <w:rPr>
          <w:i/>
          <w:szCs w:val="22"/>
        </w:rPr>
        <w:t xml:space="preserve">Tabletės branduolys </w:t>
      </w:r>
    </w:p>
    <w:p w14:paraId="3D3D1743" w14:textId="77777777" w:rsidR="000C6DE6" w:rsidRPr="007B7B59" w:rsidRDefault="000C6DE6" w:rsidP="000C6DE6">
      <w:pPr>
        <w:rPr>
          <w:szCs w:val="22"/>
        </w:rPr>
      </w:pPr>
      <w:r w:rsidRPr="007B7B59">
        <w:rPr>
          <w:szCs w:val="22"/>
        </w:rPr>
        <w:t xml:space="preserve">Koloidinis </w:t>
      </w:r>
      <w:r w:rsidR="00D62E7A" w:rsidRPr="007B7B59">
        <w:rPr>
          <w:szCs w:val="22"/>
        </w:rPr>
        <w:t xml:space="preserve">hidratuotas </w:t>
      </w:r>
      <w:r w:rsidRPr="007B7B59">
        <w:rPr>
          <w:szCs w:val="22"/>
        </w:rPr>
        <w:t>silicio dioksidas</w:t>
      </w:r>
    </w:p>
    <w:p w14:paraId="6BB242FF" w14:textId="77777777" w:rsidR="000C6DE6" w:rsidRPr="007B7B59" w:rsidRDefault="000C6DE6" w:rsidP="000C6DE6">
      <w:pPr>
        <w:rPr>
          <w:szCs w:val="22"/>
        </w:rPr>
      </w:pPr>
      <w:proofErr w:type="spellStart"/>
      <w:r w:rsidRPr="007B7B59">
        <w:rPr>
          <w:szCs w:val="22"/>
        </w:rPr>
        <w:t>Krospovidonas</w:t>
      </w:r>
      <w:proofErr w:type="spellEnd"/>
      <w:r w:rsidRPr="007B7B59">
        <w:rPr>
          <w:szCs w:val="22"/>
        </w:rPr>
        <w:t xml:space="preserve"> </w:t>
      </w:r>
    </w:p>
    <w:p w14:paraId="30C132CA" w14:textId="77777777" w:rsidR="000C6DE6" w:rsidRPr="007B7B59" w:rsidRDefault="000C6DE6" w:rsidP="000C6DE6">
      <w:pPr>
        <w:rPr>
          <w:szCs w:val="22"/>
        </w:rPr>
      </w:pPr>
      <w:proofErr w:type="spellStart"/>
      <w:r w:rsidRPr="007B7B59">
        <w:rPr>
          <w:szCs w:val="22"/>
        </w:rPr>
        <w:t>Hipromeliozė</w:t>
      </w:r>
      <w:proofErr w:type="spellEnd"/>
      <w:r w:rsidRPr="007B7B59">
        <w:rPr>
          <w:szCs w:val="22"/>
        </w:rPr>
        <w:t xml:space="preserve"> </w:t>
      </w:r>
    </w:p>
    <w:p w14:paraId="7EC6367C" w14:textId="77777777" w:rsidR="000C6DE6" w:rsidRPr="007B7B59" w:rsidRDefault="000C6DE6" w:rsidP="000C6DE6">
      <w:pPr>
        <w:rPr>
          <w:szCs w:val="22"/>
        </w:rPr>
      </w:pPr>
      <w:r w:rsidRPr="007B7B59">
        <w:rPr>
          <w:szCs w:val="22"/>
        </w:rPr>
        <w:t xml:space="preserve">Magnio </w:t>
      </w:r>
      <w:proofErr w:type="spellStart"/>
      <w:r w:rsidRPr="007B7B59">
        <w:rPr>
          <w:szCs w:val="22"/>
        </w:rPr>
        <w:t>stearatas</w:t>
      </w:r>
      <w:proofErr w:type="spellEnd"/>
    </w:p>
    <w:p w14:paraId="152541B7" w14:textId="77777777" w:rsidR="000C6DE6" w:rsidRPr="007B7B59" w:rsidRDefault="000C6DE6" w:rsidP="000C6DE6">
      <w:pPr>
        <w:rPr>
          <w:szCs w:val="22"/>
        </w:rPr>
      </w:pPr>
      <w:proofErr w:type="spellStart"/>
      <w:r w:rsidRPr="007B7B59">
        <w:rPr>
          <w:szCs w:val="22"/>
        </w:rPr>
        <w:t>Manitolis</w:t>
      </w:r>
      <w:proofErr w:type="spellEnd"/>
      <w:r w:rsidRPr="007B7B59">
        <w:rPr>
          <w:szCs w:val="22"/>
        </w:rPr>
        <w:t xml:space="preserve"> (E421)</w:t>
      </w:r>
    </w:p>
    <w:p w14:paraId="5156B6F6" w14:textId="77777777" w:rsidR="000C6DE6" w:rsidRPr="007B7B59" w:rsidRDefault="00D62E7A" w:rsidP="000C6DE6">
      <w:pPr>
        <w:rPr>
          <w:szCs w:val="22"/>
        </w:rPr>
      </w:pPr>
      <w:proofErr w:type="spellStart"/>
      <w:r w:rsidRPr="007B7B59">
        <w:rPr>
          <w:szCs w:val="22"/>
        </w:rPr>
        <w:t>Mikrokristalinė</w:t>
      </w:r>
      <w:proofErr w:type="spellEnd"/>
      <w:r w:rsidRPr="007B7B59">
        <w:rPr>
          <w:szCs w:val="22"/>
        </w:rPr>
        <w:t xml:space="preserve"> c</w:t>
      </w:r>
      <w:r w:rsidR="000C6DE6" w:rsidRPr="007B7B59">
        <w:rPr>
          <w:szCs w:val="22"/>
        </w:rPr>
        <w:t>eliuliozė</w:t>
      </w:r>
    </w:p>
    <w:p w14:paraId="06B5DF07" w14:textId="77777777" w:rsidR="000C6DE6" w:rsidRPr="007B7B59" w:rsidRDefault="000C6DE6" w:rsidP="000C6DE6">
      <w:pPr>
        <w:rPr>
          <w:szCs w:val="22"/>
        </w:rPr>
      </w:pPr>
      <w:proofErr w:type="spellStart"/>
      <w:r w:rsidRPr="007B7B59">
        <w:rPr>
          <w:szCs w:val="22"/>
        </w:rPr>
        <w:t>Karboksimetilkrakmolo</w:t>
      </w:r>
      <w:proofErr w:type="spellEnd"/>
      <w:r w:rsidRPr="007B7B59">
        <w:rPr>
          <w:szCs w:val="22"/>
        </w:rPr>
        <w:t xml:space="preserve"> A natrio druska</w:t>
      </w:r>
    </w:p>
    <w:p w14:paraId="0A39B2FD" w14:textId="77777777" w:rsidR="000C6DE6" w:rsidRPr="007B7B59" w:rsidRDefault="000C6DE6" w:rsidP="000C6DE6">
      <w:pPr>
        <w:rPr>
          <w:szCs w:val="22"/>
        </w:rPr>
      </w:pPr>
      <w:proofErr w:type="spellStart"/>
      <w:r w:rsidRPr="007B7B59">
        <w:rPr>
          <w:szCs w:val="22"/>
        </w:rPr>
        <w:t>Polisorbatas</w:t>
      </w:r>
      <w:proofErr w:type="spellEnd"/>
      <w:r w:rsidRPr="007B7B59">
        <w:rPr>
          <w:szCs w:val="22"/>
        </w:rPr>
        <w:t xml:space="preserve"> 80</w:t>
      </w:r>
    </w:p>
    <w:p w14:paraId="6294442A" w14:textId="77777777" w:rsidR="000C6DE6" w:rsidRPr="007B7B59" w:rsidRDefault="000C6DE6" w:rsidP="000C6DE6">
      <w:pPr>
        <w:rPr>
          <w:szCs w:val="22"/>
        </w:rPr>
      </w:pPr>
    </w:p>
    <w:p w14:paraId="6D07D832" w14:textId="77777777" w:rsidR="000C6DE6" w:rsidRPr="00341B9D" w:rsidRDefault="00D62E7A" w:rsidP="000C6DE6">
      <w:pPr>
        <w:rPr>
          <w:i/>
          <w:szCs w:val="22"/>
        </w:rPr>
      </w:pPr>
      <w:r w:rsidRPr="00341B9D">
        <w:rPr>
          <w:i/>
          <w:szCs w:val="22"/>
        </w:rPr>
        <w:t>Tabletės dangalas</w:t>
      </w:r>
    </w:p>
    <w:p w14:paraId="60FDE74E" w14:textId="77777777" w:rsidR="000C6DE6" w:rsidRPr="007B7B59" w:rsidRDefault="000C6DE6" w:rsidP="000C6DE6">
      <w:pPr>
        <w:rPr>
          <w:szCs w:val="22"/>
        </w:rPr>
      </w:pPr>
      <w:proofErr w:type="spellStart"/>
      <w:r w:rsidRPr="007B7B59">
        <w:rPr>
          <w:szCs w:val="22"/>
        </w:rPr>
        <w:t>Hipromeliozė</w:t>
      </w:r>
      <w:proofErr w:type="spellEnd"/>
    </w:p>
    <w:p w14:paraId="079F7FF8" w14:textId="77777777" w:rsidR="000C6DE6" w:rsidRPr="007B7B59" w:rsidRDefault="000C6DE6" w:rsidP="000C6DE6">
      <w:pPr>
        <w:rPr>
          <w:szCs w:val="22"/>
        </w:rPr>
      </w:pPr>
      <w:proofErr w:type="spellStart"/>
      <w:r w:rsidRPr="007B7B59">
        <w:rPr>
          <w:szCs w:val="22"/>
        </w:rPr>
        <w:t>Polivinilo</w:t>
      </w:r>
      <w:proofErr w:type="spellEnd"/>
      <w:r w:rsidRPr="007B7B59">
        <w:rPr>
          <w:szCs w:val="22"/>
        </w:rPr>
        <w:t xml:space="preserve"> alkoholis</w:t>
      </w:r>
    </w:p>
    <w:p w14:paraId="0CFCFE66" w14:textId="77777777" w:rsidR="000C6DE6" w:rsidRPr="007B7B59" w:rsidRDefault="000C6DE6" w:rsidP="000C6DE6">
      <w:pPr>
        <w:rPr>
          <w:szCs w:val="22"/>
        </w:rPr>
      </w:pPr>
      <w:proofErr w:type="spellStart"/>
      <w:r w:rsidRPr="007B7B59">
        <w:rPr>
          <w:szCs w:val="22"/>
        </w:rPr>
        <w:t>Simetikonas</w:t>
      </w:r>
      <w:proofErr w:type="spellEnd"/>
    </w:p>
    <w:p w14:paraId="60B85676" w14:textId="77777777" w:rsidR="000C6DE6" w:rsidRPr="007B7B59" w:rsidRDefault="000C6DE6" w:rsidP="000C6DE6">
      <w:pPr>
        <w:rPr>
          <w:szCs w:val="22"/>
        </w:rPr>
      </w:pPr>
      <w:proofErr w:type="spellStart"/>
      <w:r w:rsidRPr="007B7B59">
        <w:rPr>
          <w:szCs w:val="22"/>
        </w:rPr>
        <w:t>Makrogolis</w:t>
      </w:r>
      <w:proofErr w:type="spellEnd"/>
      <w:r w:rsidRPr="007B7B59">
        <w:rPr>
          <w:szCs w:val="22"/>
        </w:rPr>
        <w:t xml:space="preserve"> 6000</w:t>
      </w:r>
    </w:p>
    <w:p w14:paraId="1AD9CAAE" w14:textId="77777777" w:rsidR="000C6DE6" w:rsidRPr="007B7B59" w:rsidRDefault="000C6DE6" w:rsidP="000C6DE6">
      <w:pPr>
        <w:rPr>
          <w:szCs w:val="22"/>
        </w:rPr>
      </w:pPr>
      <w:r w:rsidRPr="007B7B59">
        <w:rPr>
          <w:szCs w:val="22"/>
        </w:rPr>
        <w:t>Sacharozė</w:t>
      </w:r>
    </w:p>
    <w:p w14:paraId="30413893" w14:textId="77777777" w:rsidR="000C6DE6" w:rsidRPr="007B7B59" w:rsidRDefault="00D62E7A" w:rsidP="000C6DE6">
      <w:pPr>
        <w:rPr>
          <w:szCs w:val="22"/>
        </w:rPr>
      </w:pPr>
      <w:r w:rsidRPr="007B7B59">
        <w:rPr>
          <w:szCs w:val="22"/>
        </w:rPr>
        <w:t>Lengvasis m</w:t>
      </w:r>
      <w:r w:rsidR="000C6DE6" w:rsidRPr="007B7B59">
        <w:rPr>
          <w:szCs w:val="22"/>
        </w:rPr>
        <w:t xml:space="preserve">agnio </w:t>
      </w:r>
      <w:proofErr w:type="spellStart"/>
      <w:r w:rsidR="000C6DE6" w:rsidRPr="007B7B59">
        <w:rPr>
          <w:szCs w:val="22"/>
        </w:rPr>
        <w:t>subkarbonatas</w:t>
      </w:r>
      <w:proofErr w:type="spellEnd"/>
    </w:p>
    <w:p w14:paraId="51241E31" w14:textId="77777777" w:rsidR="000C6DE6" w:rsidRPr="007B7B59" w:rsidRDefault="000C6DE6" w:rsidP="000C6DE6">
      <w:pPr>
        <w:rPr>
          <w:szCs w:val="22"/>
        </w:rPr>
      </w:pPr>
      <w:r w:rsidRPr="007B7B59">
        <w:rPr>
          <w:szCs w:val="22"/>
        </w:rPr>
        <w:t>Titano dioksidas (E171)</w:t>
      </w:r>
    </w:p>
    <w:p w14:paraId="71A71FE1" w14:textId="77777777" w:rsidR="000C6DE6" w:rsidRPr="007B7B59" w:rsidRDefault="000C6DE6" w:rsidP="000C6DE6">
      <w:pPr>
        <w:rPr>
          <w:szCs w:val="22"/>
        </w:rPr>
      </w:pPr>
      <w:r w:rsidRPr="007B7B59">
        <w:rPr>
          <w:szCs w:val="22"/>
        </w:rPr>
        <w:t xml:space="preserve">Metilo </w:t>
      </w:r>
      <w:proofErr w:type="spellStart"/>
      <w:r w:rsidRPr="007B7B59">
        <w:rPr>
          <w:szCs w:val="22"/>
        </w:rPr>
        <w:t>parahidroksibenzoatas</w:t>
      </w:r>
      <w:proofErr w:type="spellEnd"/>
      <w:r w:rsidRPr="007B7B59">
        <w:rPr>
          <w:szCs w:val="22"/>
        </w:rPr>
        <w:t xml:space="preserve"> (E218)</w:t>
      </w:r>
    </w:p>
    <w:p w14:paraId="337EF206" w14:textId="77777777" w:rsidR="000C6DE6" w:rsidRPr="007B7B59" w:rsidRDefault="000C6DE6" w:rsidP="000C6DE6">
      <w:pPr>
        <w:rPr>
          <w:szCs w:val="22"/>
        </w:rPr>
      </w:pPr>
      <w:proofErr w:type="spellStart"/>
      <w:r w:rsidRPr="007B7B59">
        <w:rPr>
          <w:szCs w:val="22"/>
        </w:rPr>
        <w:t>Cetilo</w:t>
      </w:r>
      <w:proofErr w:type="spellEnd"/>
      <w:r w:rsidRPr="007B7B59">
        <w:rPr>
          <w:szCs w:val="22"/>
        </w:rPr>
        <w:t xml:space="preserve"> esterių vaškas</w:t>
      </w:r>
    </w:p>
    <w:p w14:paraId="2817B09D" w14:textId="77777777" w:rsidR="000C6DE6" w:rsidRPr="007B7B59" w:rsidRDefault="000C6DE6" w:rsidP="000C6DE6">
      <w:pPr>
        <w:rPr>
          <w:szCs w:val="22"/>
        </w:rPr>
      </w:pPr>
      <w:r w:rsidRPr="007B7B59">
        <w:rPr>
          <w:szCs w:val="22"/>
        </w:rPr>
        <w:t>Talkas</w:t>
      </w:r>
    </w:p>
    <w:p w14:paraId="2FDF481C" w14:textId="77777777" w:rsidR="000C6DE6" w:rsidRPr="007B7B59" w:rsidRDefault="000C6DE6" w:rsidP="000C6DE6">
      <w:pPr>
        <w:rPr>
          <w:szCs w:val="22"/>
        </w:rPr>
      </w:pPr>
      <w:proofErr w:type="spellStart"/>
      <w:r w:rsidRPr="007B7B59">
        <w:rPr>
          <w:szCs w:val="22"/>
        </w:rPr>
        <w:t>Karnaubo</w:t>
      </w:r>
      <w:proofErr w:type="spellEnd"/>
      <w:r w:rsidRPr="007B7B59">
        <w:rPr>
          <w:szCs w:val="22"/>
        </w:rPr>
        <w:t xml:space="preserve"> vaškas</w:t>
      </w:r>
    </w:p>
    <w:p w14:paraId="23DE222E" w14:textId="77777777" w:rsidR="000C6DE6" w:rsidRPr="007B7B59" w:rsidRDefault="000C6DE6" w:rsidP="000C6DE6">
      <w:pPr>
        <w:rPr>
          <w:szCs w:val="22"/>
        </w:rPr>
      </w:pPr>
    </w:p>
    <w:p w14:paraId="1BD2078B" w14:textId="77777777" w:rsidR="000C6DE6" w:rsidRPr="007B7B59" w:rsidRDefault="000C6DE6" w:rsidP="000C6DE6">
      <w:pPr>
        <w:rPr>
          <w:szCs w:val="22"/>
        </w:rPr>
      </w:pPr>
      <w:r w:rsidRPr="007B7B59">
        <w:rPr>
          <w:szCs w:val="22"/>
        </w:rPr>
        <w:t>Rašalas:</w:t>
      </w:r>
    </w:p>
    <w:p w14:paraId="63782840" w14:textId="77777777" w:rsidR="000C6DE6" w:rsidRPr="007B7B59" w:rsidRDefault="000C6DE6" w:rsidP="000C6DE6">
      <w:pPr>
        <w:rPr>
          <w:szCs w:val="22"/>
        </w:rPr>
      </w:pPr>
      <w:r w:rsidRPr="007B7B59">
        <w:rPr>
          <w:szCs w:val="22"/>
        </w:rPr>
        <w:t>Etilo alkoholis</w:t>
      </w:r>
    </w:p>
    <w:p w14:paraId="13AD0767" w14:textId="77777777" w:rsidR="000C6DE6" w:rsidRPr="007B7B59" w:rsidRDefault="000C6DE6" w:rsidP="000C6DE6">
      <w:pPr>
        <w:rPr>
          <w:szCs w:val="22"/>
        </w:rPr>
      </w:pPr>
      <w:proofErr w:type="spellStart"/>
      <w:r w:rsidRPr="007B7B59">
        <w:rPr>
          <w:szCs w:val="22"/>
        </w:rPr>
        <w:t>Šelakas</w:t>
      </w:r>
      <w:proofErr w:type="spellEnd"/>
    </w:p>
    <w:p w14:paraId="7001C053" w14:textId="77777777" w:rsidR="000C6DE6" w:rsidRPr="007B7B59" w:rsidRDefault="00AA2855" w:rsidP="000C6DE6">
      <w:pPr>
        <w:rPr>
          <w:szCs w:val="22"/>
        </w:rPr>
      </w:pPr>
      <w:r w:rsidRPr="007B7B59">
        <w:rPr>
          <w:szCs w:val="22"/>
        </w:rPr>
        <w:t>Juodasis g</w:t>
      </w:r>
      <w:r w:rsidR="000C6DE6" w:rsidRPr="007B7B59">
        <w:rPr>
          <w:szCs w:val="22"/>
        </w:rPr>
        <w:t>eležies oksidas (E172)</w:t>
      </w:r>
    </w:p>
    <w:p w14:paraId="0E3C1C0D" w14:textId="77777777" w:rsidR="000C6DE6" w:rsidRPr="007B7B59" w:rsidRDefault="000C6DE6" w:rsidP="000C6DE6">
      <w:pPr>
        <w:rPr>
          <w:szCs w:val="22"/>
        </w:rPr>
      </w:pPr>
      <w:r w:rsidRPr="007B7B59">
        <w:rPr>
          <w:szCs w:val="22"/>
        </w:rPr>
        <w:t>Titano dioksidas (E171)</w:t>
      </w:r>
    </w:p>
    <w:p w14:paraId="330CE7C7" w14:textId="77777777" w:rsidR="000C6DE6" w:rsidRPr="007B7B59" w:rsidRDefault="000C6DE6" w:rsidP="000C6DE6">
      <w:pPr>
        <w:rPr>
          <w:szCs w:val="22"/>
        </w:rPr>
      </w:pPr>
    </w:p>
    <w:p w14:paraId="11249AF5" w14:textId="77777777" w:rsidR="000C6DE6" w:rsidRPr="007B7B59" w:rsidRDefault="000C6DE6" w:rsidP="000C6DE6">
      <w:pPr>
        <w:ind w:left="567" w:hanging="567"/>
        <w:rPr>
          <w:b/>
          <w:szCs w:val="22"/>
        </w:rPr>
      </w:pPr>
      <w:r w:rsidRPr="007B7B59">
        <w:rPr>
          <w:b/>
          <w:szCs w:val="22"/>
        </w:rPr>
        <w:t>6.2</w:t>
      </w:r>
      <w:r w:rsidRPr="007B7B59">
        <w:rPr>
          <w:b/>
          <w:szCs w:val="22"/>
        </w:rPr>
        <w:tab/>
        <w:t>Nesuderinamumas</w:t>
      </w:r>
    </w:p>
    <w:p w14:paraId="44595E6E" w14:textId="77777777" w:rsidR="000C6DE6" w:rsidRPr="007B7B59" w:rsidRDefault="000C6DE6" w:rsidP="000C6DE6">
      <w:pPr>
        <w:rPr>
          <w:szCs w:val="22"/>
        </w:rPr>
      </w:pPr>
    </w:p>
    <w:p w14:paraId="338868FE" w14:textId="77777777" w:rsidR="000C6DE6" w:rsidRPr="007B7B59" w:rsidRDefault="000C6DE6" w:rsidP="000C6DE6">
      <w:pPr>
        <w:rPr>
          <w:szCs w:val="22"/>
        </w:rPr>
      </w:pPr>
      <w:r w:rsidRPr="007B7B59">
        <w:rPr>
          <w:szCs w:val="22"/>
        </w:rPr>
        <w:t xml:space="preserve">Duomenys nebūtini. </w:t>
      </w:r>
    </w:p>
    <w:p w14:paraId="1330B99C" w14:textId="77777777" w:rsidR="000C6DE6" w:rsidRPr="007B7B59" w:rsidRDefault="000C6DE6" w:rsidP="000C6DE6">
      <w:pPr>
        <w:rPr>
          <w:szCs w:val="22"/>
        </w:rPr>
      </w:pPr>
    </w:p>
    <w:p w14:paraId="4F4D4746" w14:textId="77777777" w:rsidR="000C6DE6" w:rsidRPr="007B7B59" w:rsidRDefault="000C6DE6" w:rsidP="000C6DE6">
      <w:pPr>
        <w:ind w:left="567" w:hanging="567"/>
        <w:rPr>
          <w:b/>
          <w:szCs w:val="22"/>
        </w:rPr>
      </w:pPr>
      <w:r w:rsidRPr="007B7B59">
        <w:rPr>
          <w:b/>
          <w:szCs w:val="22"/>
        </w:rPr>
        <w:t>6.3</w:t>
      </w:r>
      <w:r w:rsidRPr="007B7B59">
        <w:rPr>
          <w:b/>
          <w:szCs w:val="22"/>
        </w:rPr>
        <w:tab/>
        <w:t>Tinkamumo laikas</w:t>
      </w:r>
    </w:p>
    <w:p w14:paraId="62B42BB5" w14:textId="77777777" w:rsidR="000C6DE6" w:rsidRPr="007B7B59" w:rsidRDefault="000C6DE6" w:rsidP="000C6DE6">
      <w:pPr>
        <w:rPr>
          <w:szCs w:val="22"/>
        </w:rPr>
      </w:pPr>
    </w:p>
    <w:p w14:paraId="34FDB272" w14:textId="77777777" w:rsidR="000C6DE6" w:rsidRPr="007B7B59" w:rsidRDefault="000C6DE6" w:rsidP="000C6DE6">
      <w:pPr>
        <w:rPr>
          <w:szCs w:val="22"/>
        </w:rPr>
      </w:pPr>
      <w:r w:rsidRPr="007B7B59">
        <w:rPr>
          <w:szCs w:val="22"/>
        </w:rPr>
        <w:t>3 metai.</w:t>
      </w:r>
    </w:p>
    <w:p w14:paraId="03B38447" w14:textId="77777777" w:rsidR="000C6DE6" w:rsidRPr="007B7B59" w:rsidRDefault="000C6DE6" w:rsidP="000C6DE6">
      <w:pPr>
        <w:rPr>
          <w:szCs w:val="22"/>
        </w:rPr>
      </w:pPr>
    </w:p>
    <w:p w14:paraId="18E64880" w14:textId="77777777" w:rsidR="000C6DE6" w:rsidRPr="007B7B59" w:rsidRDefault="000C6DE6" w:rsidP="000C6DE6">
      <w:pPr>
        <w:ind w:left="567" w:hanging="567"/>
        <w:rPr>
          <w:b/>
          <w:szCs w:val="22"/>
        </w:rPr>
      </w:pPr>
      <w:r w:rsidRPr="007B7B59">
        <w:rPr>
          <w:b/>
          <w:szCs w:val="22"/>
        </w:rPr>
        <w:t>6.4</w:t>
      </w:r>
      <w:r w:rsidRPr="007B7B59">
        <w:rPr>
          <w:b/>
          <w:szCs w:val="22"/>
        </w:rPr>
        <w:tab/>
        <w:t>Specialios laikymo sąlygos</w:t>
      </w:r>
    </w:p>
    <w:p w14:paraId="55780C86" w14:textId="77777777" w:rsidR="000C6DE6" w:rsidRPr="007B7B59" w:rsidRDefault="000C6DE6" w:rsidP="000C6DE6">
      <w:pPr>
        <w:rPr>
          <w:szCs w:val="22"/>
        </w:rPr>
      </w:pPr>
    </w:p>
    <w:p w14:paraId="79854918" w14:textId="77777777" w:rsidR="000C6DE6" w:rsidRPr="007B7B59" w:rsidRDefault="000C6DE6" w:rsidP="000C6DE6">
      <w:pPr>
        <w:rPr>
          <w:szCs w:val="22"/>
        </w:rPr>
      </w:pPr>
      <w:r w:rsidRPr="007B7B59">
        <w:rPr>
          <w:szCs w:val="22"/>
        </w:rPr>
        <w:t>Šiam vaistiniam preparatui specialių laikymo sąlygų nereikia.</w:t>
      </w:r>
    </w:p>
    <w:p w14:paraId="09520473" w14:textId="77777777" w:rsidR="000C6DE6" w:rsidRPr="007B7B59" w:rsidRDefault="000C6DE6" w:rsidP="000C6DE6">
      <w:pPr>
        <w:rPr>
          <w:szCs w:val="22"/>
        </w:rPr>
      </w:pPr>
    </w:p>
    <w:p w14:paraId="2A816474" w14:textId="77777777" w:rsidR="000C6DE6" w:rsidRPr="007B7B59" w:rsidRDefault="000C6DE6" w:rsidP="000C6DE6">
      <w:pPr>
        <w:ind w:left="567" w:hanging="567"/>
        <w:rPr>
          <w:b/>
          <w:szCs w:val="22"/>
        </w:rPr>
      </w:pPr>
      <w:r w:rsidRPr="007B7B59">
        <w:rPr>
          <w:b/>
          <w:szCs w:val="22"/>
        </w:rPr>
        <w:t>6.5</w:t>
      </w:r>
      <w:r w:rsidRPr="007B7B59">
        <w:rPr>
          <w:b/>
          <w:szCs w:val="22"/>
        </w:rPr>
        <w:tab/>
      </w:r>
      <w:proofErr w:type="spellStart"/>
      <w:r w:rsidR="00D8299D" w:rsidRPr="007B7B59">
        <w:rPr>
          <w:b/>
          <w:szCs w:val="22"/>
        </w:rPr>
        <w:t>Talpyklės</w:t>
      </w:r>
      <w:proofErr w:type="spellEnd"/>
      <w:r w:rsidR="00D8299D" w:rsidRPr="007B7B59">
        <w:rPr>
          <w:b/>
          <w:szCs w:val="22"/>
        </w:rPr>
        <w:t xml:space="preserve"> pobūdis ir jos turinys</w:t>
      </w:r>
    </w:p>
    <w:p w14:paraId="40F78437" w14:textId="77777777" w:rsidR="000C6DE6" w:rsidRPr="007B7B59" w:rsidRDefault="000C6DE6" w:rsidP="000C6DE6">
      <w:pPr>
        <w:rPr>
          <w:szCs w:val="22"/>
        </w:rPr>
      </w:pPr>
    </w:p>
    <w:p w14:paraId="72981628" w14:textId="77777777" w:rsidR="000C6DE6" w:rsidRPr="007B7B59" w:rsidRDefault="000C6DE6" w:rsidP="000C6DE6">
      <w:pPr>
        <w:rPr>
          <w:szCs w:val="22"/>
        </w:rPr>
      </w:pPr>
      <w:r w:rsidRPr="007B7B59">
        <w:rPr>
          <w:szCs w:val="22"/>
        </w:rPr>
        <w:t>Dėžutė, kurioje yra 30 tablečių, supakuotų į Al/PVDC/PVC/PVDC lizdines plokšteles.</w:t>
      </w:r>
    </w:p>
    <w:p w14:paraId="4F96F71D" w14:textId="77777777" w:rsidR="000C6DE6" w:rsidRPr="007B7B59" w:rsidRDefault="000C6DE6" w:rsidP="000C6DE6">
      <w:pPr>
        <w:rPr>
          <w:szCs w:val="22"/>
        </w:rPr>
      </w:pPr>
    </w:p>
    <w:p w14:paraId="6D92F3AA" w14:textId="77777777" w:rsidR="000C6DE6" w:rsidRPr="007B7B59" w:rsidRDefault="000C6DE6" w:rsidP="000C6DE6">
      <w:pPr>
        <w:ind w:left="567" w:hanging="567"/>
        <w:rPr>
          <w:b/>
          <w:szCs w:val="22"/>
        </w:rPr>
      </w:pPr>
      <w:r w:rsidRPr="007B7B59">
        <w:rPr>
          <w:b/>
          <w:szCs w:val="22"/>
        </w:rPr>
        <w:t>6.6</w:t>
      </w:r>
      <w:r w:rsidRPr="007B7B59">
        <w:rPr>
          <w:b/>
          <w:szCs w:val="22"/>
        </w:rPr>
        <w:tab/>
        <w:t xml:space="preserve">Specialūs reikalavimai atliekoms tvarkyti </w:t>
      </w:r>
    </w:p>
    <w:p w14:paraId="399AC2AF" w14:textId="77777777" w:rsidR="000C6DE6" w:rsidRPr="007B7B59" w:rsidRDefault="000C6DE6" w:rsidP="000C6DE6">
      <w:pPr>
        <w:rPr>
          <w:szCs w:val="22"/>
        </w:rPr>
      </w:pPr>
    </w:p>
    <w:p w14:paraId="012B8C38" w14:textId="77777777" w:rsidR="000C6DE6" w:rsidRPr="007B7B59" w:rsidRDefault="000C6DE6" w:rsidP="000C6DE6">
      <w:pPr>
        <w:rPr>
          <w:szCs w:val="22"/>
        </w:rPr>
      </w:pPr>
      <w:r w:rsidRPr="007B7B59">
        <w:rPr>
          <w:szCs w:val="22"/>
        </w:rPr>
        <w:t>Specialių reikalavimų nėra.</w:t>
      </w:r>
    </w:p>
    <w:p w14:paraId="7EAEEF3F" w14:textId="77777777" w:rsidR="000C6DE6" w:rsidRPr="007B7B59" w:rsidRDefault="000C6DE6" w:rsidP="000C6DE6">
      <w:pPr>
        <w:rPr>
          <w:szCs w:val="22"/>
        </w:rPr>
      </w:pPr>
    </w:p>
    <w:p w14:paraId="181D38DB" w14:textId="77777777" w:rsidR="000C6DE6" w:rsidRPr="007B7B59" w:rsidRDefault="000C6DE6" w:rsidP="000C6DE6">
      <w:pPr>
        <w:rPr>
          <w:szCs w:val="22"/>
        </w:rPr>
      </w:pPr>
    </w:p>
    <w:p w14:paraId="341AD70B" w14:textId="77777777" w:rsidR="000C6DE6" w:rsidRPr="007B7B59" w:rsidRDefault="000C6DE6" w:rsidP="000C6DE6">
      <w:pPr>
        <w:ind w:left="567" w:hanging="567"/>
        <w:rPr>
          <w:b/>
          <w:szCs w:val="22"/>
        </w:rPr>
      </w:pPr>
      <w:r w:rsidRPr="007B7B59">
        <w:rPr>
          <w:b/>
          <w:szCs w:val="22"/>
        </w:rPr>
        <w:t>7.</w:t>
      </w:r>
      <w:r w:rsidRPr="007B7B59">
        <w:rPr>
          <w:b/>
          <w:szCs w:val="22"/>
        </w:rPr>
        <w:tab/>
      </w:r>
      <w:r w:rsidR="00FF476D" w:rsidRPr="00FF476D">
        <w:rPr>
          <w:b/>
        </w:rPr>
        <w:t>REGISTRUOTOJAS</w:t>
      </w:r>
    </w:p>
    <w:p w14:paraId="04B87E4B" w14:textId="77777777" w:rsidR="000C6DE6" w:rsidRPr="007B7B59" w:rsidRDefault="000C6DE6" w:rsidP="000C6DE6">
      <w:pPr>
        <w:rPr>
          <w:szCs w:val="22"/>
        </w:rPr>
      </w:pPr>
    </w:p>
    <w:p w14:paraId="34D1A6B0" w14:textId="433372F6" w:rsidR="000C6DE6" w:rsidRPr="007B7B59" w:rsidRDefault="000C6DE6" w:rsidP="000C6DE6">
      <w:pPr>
        <w:rPr>
          <w:szCs w:val="22"/>
        </w:rPr>
      </w:pPr>
      <w:proofErr w:type="spellStart"/>
      <w:r w:rsidRPr="007B7B59">
        <w:rPr>
          <w:szCs w:val="22"/>
        </w:rPr>
        <w:lastRenderedPageBreak/>
        <w:t>Pfizer</w:t>
      </w:r>
      <w:proofErr w:type="spellEnd"/>
      <w:r w:rsidRPr="007B7B59">
        <w:rPr>
          <w:szCs w:val="22"/>
        </w:rPr>
        <w:t xml:space="preserve"> </w:t>
      </w:r>
      <w:proofErr w:type="spellStart"/>
      <w:r w:rsidRPr="007B7B59">
        <w:rPr>
          <w:szCs w:val="22"/>
        </w:rPr>
        <w:t>Europe</w:t>
      </w:r>
      <w:proofErr w:type="spellEnd"/>
      <w:r w:rsidRPr="007B7B59">
        <w:rPr>
          <w:szCs w:val="22"/>
        </w:rPr>
        <w:t xml:space="preserve"> MA EEIG</w:t>
      </w:r>
    </w:p>
    <w:p w14:paraId="69F4848D" w14:textId="77777777" w:rsidR="002D4769" w:rsidRPr="00FB53AE" w:rsidRDefault="002D4769" w:rsidP="002D4769">
      <w:pPr>
        <w:outlineLvl w:val="0"/>
        <w:rPr>
          <w:lang w:val="fr-CH"/>
        </w:rPr>
      </w:pPr>
      <w:r w:rsidRPr="00FB53AE">
        <w:rPr>
          <w:lang w:val="fr-CH"/>
        </w:rPr>
        <w:t>Boulevard de la Plaine 17</w:t>
      </w:r>
    </w:p>
    <w:p w14:paraId="648E1486" w14:textId="77777777" w:rsidR="002D4769" w:rsidRPr="00FB53AE" w:rsidRDefault="002D4769" w:rsidP="002D4769">
      <w:pPr>
        <w:outlineLvl w:val="0"/>
        <w:rPr>
          <w:lang w:val="it-IT"/>
        </w:rPr>
      </w:pPr>
      <w:r w:rsidRPr="00FB53AE">
        <w:rPr>
          <w:lang w:val="it-IT"/>
        </w:rPr>
        <w:t>1050 Bruxelles</w:t>
      </w:r>
    </w:p>
    <w:p w14:paraId="213AE1C5" w14:textId="5BAC2FAE" w:rsidR="000C6DE6" w:rsidRPr="007B7B59" w:rsidRDefault="002D4769">
      <w:pPr>
        <w:rPr>
          <w:bCs/>
          <w:szCs w:val="22"/>
        </w:rPr>
      </w:pPr>
      <w:r w:rsidRPr="00FB53AE">
        <w:rPr>
          <w:lang w:val="it-IT"/>
        </w:rPr>
        <w:t>Belgija</w:t>
      </w:r>
      <w:r w:rsidRPr="007B7B59">
        <w:rPr>
          <w:szCs w:val="22"/>
        </w:rPr>
        <w:t xml:space="preserve"> </w:t>
      </w:r>
    </w:p>
    <w:p w14:paraId="6AF40C4B" w14:textId="77777777" w:rsidR="000C6DE6" w:rsidRPr="007B7B59" w:rsidRDefault="000C6DE6" w:rsidP="000C6DE6">
      <w:pPr>
        <w:pStyle w:val="Dokumentoinaostekstas"/>
        <w:tabs>
          <w:tab w:val="clear" w:pos="567"/>
          <w:tab w:val="left" w:pos="720"/>
        </w:tabs>
        <w:rPr>
          <w:sz w:val="22"/>
          <w:szCs w:val="22"/>
          <w:lang w:val="lt-LT"/>
        </w:rPr>
      </w:pPr>
    </w:p>
    <w:p w14:paraId="2F888F42" w14:textId="77777777" w:rsidR="000C6DE6" w:rsidRPr="007B7B59" w:rsidRDefault="000C6DE6" w:rsidP="000C6DE6">
      <w:pPr>
        <w:rPr>
          <w:szCs w:val="22"/>
        </w:rPr>
      </w:pPr>
    </w:p>
    <w:p w14:paraId="24ECB41D" w14:textId="77777777" w:rsidR="000C6DE6" w:rsidRPr="007B7B59" w:rsidRDefault="000C6DE6" w:rsidP="000C6DE6">
      <w:pPr>
        <w:ind w:left="567" w:hanging="567"/>
        <w:rPr>
          <w:b/>
          <w:szCs w:val="22"/>
        </w:rPr>
      </w:pPr>
      <w:r w:rsidRPr="007B7B59">
        <w:rPr>
          <w:b/>
          <w:szCs w:val="22"/>
        </w:rPr>
        <w:t>8.</w:t>
      </w:r>
      <w:r w:rsidRPr="007B7B59">
        <w:rPr>
          <w:b/>
          <w:szCs w:val="22"/>
        </w:rPr>
        <w:tab/>
      </w:r>
      <w:r w:rsidR="00FF476D" w:rsidRPr="00FF476D">
        <w:rPr>
          <w:b/>
        </w:rPr>
        <w:t xml:space="preserve">REGISTRACIJOS </w:t>
      </w:r>
      <w:r w:rsidR="00FF476D" w:rsidRPr="00FF476D">
        <w:rPr>
          <w:b/>
          <w:noProof/>
          <w:szCs w:val="22"/>
        </w:rPr>
        <w:t>PAŽYMĖJIMO</w:t>
      </w:r>
      <w:r w:rsidR="00FF476D">
        <w:rPr>
          <w:b/>
        </w:rPr>
        <w:t xml:space="preserve"> NUMERIS</w:t>
      </w:r>
    </w:p>
    <w:p w14:paraId="27C68DE9" w14:textId="77777777" w:rsidR="000C6DE6" w:rsidRPr="007B7B59" w:rsidRDefault="000C6DE6" w:rsidP="000C6DE6">
      <w:pPr>
        <w:ind w:left="567" w:hanging="567"/>
        <w:rPr>
          <w:b/>
          <w:szCs w:val="22"/>
        </w:rPr>
      </w:pPr>
    </w:p>
    <w:p w14:paraId="073EE12A" w14:textId="77777777" w:rsidR="000C6DE6" w:rsidRPr="007B7B59" w:rsidRDefault="000C6DE6" w:rsidP="000C6DE6">
      <w:pPr>
        <w:ind w:left="567" w:hanging="567"/>
        <w:rPr>
          <w:szCs w:val="22"/>
        </w:rPr>
      </w:pPr>
      <w:r w:rsidRPr="007B7B59">
        <w:rPr>
          <w:szCs w:val="22"/>
        </w:rPr>
        <w:t>LT/1/2000/1224/001</w:t>
      </w:r>
    </w:p>
    <w:p w14:paraId="1250C09B" w14:textId="77777777" w:rsidR="000C6DE6" w:rsidRPr="007B7B59" w:rsidRDefault="000C6DE6" w:rsidP="000C6DE6">
      <w:pPr>
        <w:ind w:left="567" w:hanging="567"/>
        <w:rPr>
          <w:szCs w:val="22"/>
        </w:rPr>
      </w:pPr>
    </w:p>
    <w:p w14:paraId="3EF9C490" w14:textId="77777777" w:rsidR="000C6DE6" w:rsidRPr="007B7B59" w:rsidRDefault="000C6DE6" w:rsidP="000C6DE6">
      <w:pPr>
        <w:ind w:left="567" w:hanging="567"/>
        <w:rPr>
          <w:szCs w:val="22"/>
        </w:rPr>
      </w:pPr>
    </w:p>
    <w:p w14:paraId="0EF6A261" w14:textId="77777777" w:rsidR="000C6DE6" w:rsidRPr="007B7B59" w:rsidRDefault="000C6DE6" w:rsidP="000C6DE6">
      <w:pPr>
        <w:ind w:left="567" w:hanging="567"/>
        <w:rPr>
          <w:szCs w:val="22"/>
        </w:rPr>
      </w:pPr>
      <w:r w:rsidRPr="007B7B59">
        <w:rPr>
          <w:b/>
          <w:szCs w:val="22"/>
        </w:rPr>
        <w:t>9.</w:t>
      </w:r>
      <w:r w:rsidRPr="007B7B59">
        <w:rPr>
          <w:b/>
          <w:szCs w:val="22"/>
        </w:rPr>
        <w:tab/>
      </w:r>
      <w:r w:rsidR="00FF476D" w:rsidRPr="00FF476D">
        <w:rPr>
          <w:b/>
        </w:rPr>
        <w:t>REGISTRAVIMO / PERREGISTRAVIMO DATA</w:t>
      </w:r>
      <w:r w:rsidR="00FF476D" w:rsidRPr="007B7B59">
        <w:rPr>
          <w:b/>
          <w:szCs w:val="22"/>
        </w:rPr>
        <w:t xml:space="preserve"> </w:t>
      </w:r>
    </w:p>
    <w:p w14:paraId="26C02374" w14:textId="77777777" w:rsidR="000C6DE6" w:rsidRPr="007B7B59" w:rsidRDefault="000C6DE6" w:rsidP="000C6DE6">
      <w:pPr>
        <w:ind w:left="567" w:hanging="567"/>
        <w:rPr>
          <w:szCs w:val="22"/>
        </w:rPr>
      </w:pPr>
    </w:p>
    <w:p w14:paraId="341CE62B" w14:textId="77777777" w:rsidR="00FE0F95" w:rsidRPr="007B7B59" w:rsidRDefault="00FF476D" w:rsidP="000C6DE6">
      <w:pPr>
        <w:ind w:left="567" w:hanging="567"/>
        <w:rPr>
          <w:szCs w:val="22"/>
        </w:rPr>
      </w:pPr>
      <w:r w:rsidRPr="000A79DC">
        <w:rPr>
          <w:noProof/>
        </w:rPr>
        <w:t>Registravimo data</w:t>
      </w:r>
      <w:r w:rsidR="00043768" w:rsidRPr="007B7B59">
        <w:rPr>
          <w:szCs w:val="22"/>
        </w:rPr>
        <w:t xml:space="preserve"> </w:t>
      </w:r>
      <w:r w:rsidR="00FE0F95" w:rsidRPr="007B7B59">
        <w:rPr>
          <w:szCs w:val="22"/>
        </w:rPr>
        <w:t>2000 m. lapkričio 9 d.</w:t>
      </w:r>
    </w:p>
    <w:p w14:paraId="53B6CEF8" w14:textId="77777777" w:rsidR="00043768" w:rsidRPr="007B7B59" w:rsidRDefault="00FF476D" w:rsidP="000C6DE6">
      <w:pPr>
        <w:ind w:left="567" w:hanging="567"/>
        <w:rPr>
          <w:szCs w:val="22"/>
        </w:rPr>
      </w:pPr>
      <w:r w:rsidRPr="000A79DC">
        <w:rPr>
          <w:noProof/>
          <w:szCs w:val="22"/>
        </w:rPr>
        <w:t xml:space="preserve">Paskutinio </w:t>
      </w:r>
      <w:r w:rsidRPr="000A79DC">
        <w:rPr>
          <w:noProof/>
        </w:rPr>
        <w:t>perregistravimo data</w:t>
      </w:r>
      <w:r w:rsidR="00FE0F95" w:rsidRPr="007B7B59">
        <w:rPr>
          <w:szCs w:val="22"/>
        </w:rPr>
        <w:t xml:space="preserve"> </w:t>
      </w:r>
      <w:r w:rsidR="000C6DE6" w:rsidRPr="007B7B59">
        <w:rPr>
          <w:szCs w:val="22"/>
        </w:rPr>
        <w:t>2008</w:t>
      </w:r>
      <w:r w:rsidR="00043768" w:rsidRPr="007B7B59">
        <w:rPr>
          <w:szCs w:val="22"/>
        </w:rPr>
        <w:t xml:space="preserve"> m. liepos 31 d.</w:t>
      </w:r>
    </w:p>
    <w:p w14:paraId="272EE7A6" w14:textId="77777777" w:rsidR="000C6DE6" w:rsidRPr="007B7B59" w:rsidRDefault="000C6DE6" w:rsidP="000C6DE6">
      <w:pPr>
        <w:ind w:left="567" w:hanging="567"/>
        <w:rPr>
          <w:szCs w:val="22"/>
        </w:rPr>
      </w:pPr>
    </w:p>
    <w:p w14:paraId="4D797FD4" w14:textId="77777777" w:rsidR="000C6DE6" w:rsidRPr="007B7B59" w:rsidRDefault="000C6DE6" w:rsidP="000C6DE6">
      <w:pPr>
        <w:ind w:left="567" w:hanging="567"/>
        <w:rPr>
          <w:szCs w:val="22"/>
        </w:rPr>
      </w:pPr>
    </w:p>
    <w:p w14:paraId="4929CE84" w14:textId="77777777" w:rsidR="000C6DE6" w:rsidRPr="007B7B59" w:rsidRDefault="000C6DE6" w:rsidP="000C6DE6">
      <w:pPr>
        <w:ind w:left="567" w:hanging="567"/>
        <w:rPr>
          <w:b/>
          <w:szCs w:val="22"/>
        </w:rPr>
      </w:pPr>
      <w:r w:rsidRPr="007B7B59">
        <w:rPr>
          <w:b/>
          <w:szCs w:val="22"/>
        </w:rPr>
        <w:t>10.</w:t>
      </w:r>
      <w:r w:rsidRPr="007B7B59">
        <w:rPr>
          <w:b/>
          <w:szCs w:val="22"/>
        </w:rPr>
        <w:tab/>
        <w:t>TEKSTO PERŽIŪROS DATA</w:t>
      </w:r>
    </w:p>
    <w:p w14:paraId="519D5858" w14:textId="0C61E49B" w:rsidR="00577C13" w:rsidRPr="00FB53AE" w:rsidRDefault="00577C13" w:rsidP="00577C13">
      <w:pPr>
        <w:rPr>
          <w:szCs w:val="22"/>
        </w:rPr>
      </w:pPr>
    </w:p>
    <w:p w14:paraId="1C530F26" w14:textId="48188A9A" w:rsidR="00043768" w:rsidRDefault="00AC3EC3" w:rsidP="000C6DE6">
      <w:pPr>
        <w:rPr>
          <w:szCs w:val="22"/>
        </w:rPr>
      </w:pPr>
      <w:r>
        <w:rPr>
          <w:szCs w:val="22"/>
        </w:rPr>
        <w:t>2022 m. kovo 25 d.</w:t>
      </w:r>
    </w:p>
    <w:p w14:paraId="3978DCDA" w14:textId="77777777" w:rsidR="00C56D8F" w:rsidRPr="007B7B59" w:rsidRDefault="00C56D8F" w:rsidP="000C6DE6">
      <w:pPr>
        <w:rPr>
          <w:szCs w:val="22"/>
        </w:rPr>
      </w:pPr>
    </w:p>
    <w:p w14:paraId="6CBD6BF0" w14:textId="77777777" w:rsidR="00043768" w:rsidRPr="007B7B59" w:rsidRDefault="00043768" w:rsidP="00043768">
      <w:pPr>
        <w:rPr>
          <w:szCs w:val="22"/>
        </w:rPr>
      </w:pPr>
      <w:r w:rsidRPr="007B7B59">
        <w:rPr>
          <w:szCs w:val="22"/>
        </w:rPr>
        <w:t>Išsami informacija apie šį vaistinį preparatą pateikiama Valstybinės vaistų kontrolės tarn</w:t>
      </w:r>
      <w:r w:rsidR="00561D11" w:rsidRPr="007B7B59">
        <w:rPr>
          <w:szCs w:val="22"/>
        </w:rPr>
        <w:t xml:space="preserve">ybos prie Lietuvos Respublikos </w:t>
      </w:r>
      <w:r w:rsidRPr="007B7B59">
        <w:rPr>
          <w:szCs w:val="22"/>
        </w:rPr>
        <w:t>sveikatos apsaugos ministerijos tinklalapyje</w:t>
      </w:r>
      <w:r w:rsidRPr="007B7B59">
        <w:rPr>
          <w:i/>
          <w:szCs w:val="22"/>
        </w:rPr>
        <w:t xml:space="preserve"> </w:t>
      </w:r>
      <w:hyperlink r:id="rId13" w:history="1">
        <w:r w:rsidRPr="007B7B59">
          <w:rPr>
            <w:rStyle w:val="Hipersaitas"/>
            <w:szCs w:val="22"/>
          </w:rPr>
          <w:t>http://www.vvkt.lt</w:t>
        </w:r>
      </w:hyperlink>
    </w:p>
    <w:p w14:paraId="39E2C0BC" w14:textId="77777777" w:rsidR="00043768" w:rsidRPr="007B7B59" w:rsidRDefault="00043768" w:rsidP="000C6DE6">
      <w:pPr>
        <w:rPr>
          <w:szCs w:val="22"/>
        </w:rPr>
      </w:pPr>
    </w:p>
    <w:p w14:paraId="4B08D186" w14:textId="77777777" w:rsidR="000C6DE6" w:rsidRPr="007B7B59" w:rsidRDefault="000C6DE6" w:rsidP="000C6DE6">
      <w:pPr>
        <w:pStyle w:val="BTEMEASMCA"/>
        <w:rPr>
          <w:noProof w:val="0"/>
          <w:sz w:val="22"/>
          <w:szCs w:val="22"/>
        </w:rPr>
      </w:pPr>
      <w:r w:rsidRPr="007B7B59">
        <w:rPr>
          <w:noProof w:val="0"/>
          <w:sz w:val="22"/>
          <w:szCs w:val="22"/>
        </w:rPr>
        <w:br w:type="page"/>
      </w:r>
    </w:p>
    <w:p w14:paraId="2C5AEABB" w14:textId="77777777" w:rsidR="000C6DE6" w:rsidRPr="007B7B59" w:rsidRDefault="000C6DE6" w:rsidP="000C6DE6">
      <w:pPr>
        <w:rPr>
          <w:szCs w:val="22"/>
        </w:rPr>
      </w:pPr>
    </w:p>
    <w:p w14:paraId="36EBD4BC" w14:textId="77777777" w:rsidR="000C6DE6" w:rsidRPr="007B7B59" w:rsidRDefault="000C6DE6" w:rsidP="000C6DE6">
      <w:pPr>
        <w:rPr>
          <w:szCs w:val="22"/>
        </w:rPr>
      </w:pPr>
    </w:p>
    <w:p w14:paraId="104D111C" w14:textId="77777777" w:rsidR="000C6DE6" w:rsidRPr="007B7B59" w:rsidRDefault="000C6DE6" w:rsidP="000C6DE6">
      <w:pPr>
        <w:rPr>
          <w:szCs w:val="22"/>
        </w:rPr>
      </w:pPr>
    </w:p>
    <w:p w14:paraId="7796065B" w14:textId="77777777" w:rsidR="000C6DE6" w:rsidRPr="007B7B59" w:rsidRDefault="000C6DE6" w:rsidP="000C6DE6">
      <w:pPr>
        <w:rPr>
          <w:szCs w:val="22"/>
        </w:rPr>
      </w:pPr>
    </w:p>
    <w:p w14:paraId="517ED12F" w14:textId="77777777" w:rsidR="000C6DE6" w:rsidRPr="007B7B59" w:rsidRDefault="000C6DE6" w:rsidP="000C6DE6">
      <w:pPr>
        <w:rPr>
          <w:szCs w:val="22"/>
        </w:rPr>
      </w:pPr>
    </w:p>
    <w:p w14:paraId="092BE94B" w14:textId="77777777" w:rsidR="000C6DE6" w:rsidRPr="007B7B59" w:rsidRDefault="000C6DE6" w:rsidP="000C6DE6">
      <w:pPr>
        <w:rPr>
          <w:szCs w:val="22"/>
        </w:rPr>
      </w:pPr>
    </w:p>
    <w:p w14:paraId="74A1A754" w14:textId="77777777" w:rsidR="000C6DE6" w:rsidRPr="007B7B59" w:rsidRDefault="000C6DE6" w:rsidP="000C6DE6">
      <w:pPr>
        <w:rPr>
          <w:szCs w:val="22"/>
        </w:rPr>
      </w:pPr>
    </w:p>
    <w:p w14:paraId="789D2D7C" w14:textId="77777777" w:rsidR="000C6DE6" w:rsidRPr="007B7B59" w:rsidRDefault="000C6DE6" w:rsidP="000C6DE6">
      <w:pPr>
        <w:rPr>
          <w:szCs w:val="22"/>
        </w:rPr>
      </w:pPr>
    </w:p>
    <w:p w14:paraId="40E6E482" w14:textId="77777777" w:rsidR="000C6DE6" w:rsidRPr="007B7B59" w:rsidRDefault="000C6DE6" w:rsidP="000C6DE6">
      <w:pPr>
        <w:rPr>
          <w:szCs w:val="22"/>
        </w:rPr>
      </w:pPr>
    </w:p>
    <w:p w14:paraId="74D92FCE" w14:textId="77777777" w:rsidR="000C6DE6" w:rsidRPr="007B7B59" w:rsidRDefault="000C6DE6" w:rsidP="000C6DE6">
      <w:pPr>
        <w:rPr>
          <w:szCs w:val="22"/>
        </w:rPr>
      </w:pPr>
    </w:p>
    <w:p w14:paraId="4B0BF735" w14:textId="77777777" w:rsidR="000C6DE6" w:rsidRPr="007B7B59" w:rsidRDefault="000C6DE6" w:rsidP="000C6DE6">
      <w:pPr>
        <w:rPr>
          <w:szCs w:val="22"/>
        </w:rPr>
      </w:pPr>
    </w:p>
    <w:p w14:paraId="25179262" w14:textId="77777777" w:rsidR="000C6DE6" w:rsidRPr="007B7B59" w:rsidRDefault="000C6DE6" w:rsidP="000C6DE6">
      <w:pPr>
        <w:rPr>
          <w:szCs w:val="22"/>
        </w:rPr>
      </w:pPr>
    </w:p>
    <w:p w14:paraId="1457832F" w14:textId="77777777" w:rsidR="000C6DE6" w:rsidRPr="007B7B59" w:rsidRDefault="000C6DE6" w:rsidP="000C6DE6">
      <w:pPr>
        <w:rPr>
          <w:szCs w:val="22"/>
        </w:rPr>
      </w:pPr>
    </w:p>
    <w:p w14:paraId="7C5063C8" w14:textId="77777777" w:rsidR="000C6DE6" w:rsidRPr="007B7B59" w:rsidRDefault="000C6DE6" w:rsidP="000C6DE6">
      <w:pPr>
        <w:rPr>
          <w:szCs w:val="22"/>
        </w:rPr>
      </w:pPr>
    </w:p>
    <w:p w14:paraId="3310FB53" w14:textId="77777777" w:rsidR="000C6DE6" w:rsidRPr="007B7B59" w:rsidRDefault="000C6DE6" w:rsidP="000C6DE6">
      <w:pPr>
        <w:rPr>
          <w:szCs w:val="22"/>
        </w:rPr>
      </w:pPr>
    </w:p>
    <w:p w14:paraId="2D8668CF" w14:textId="77777777" w:rsidR="000C6DE6" w:rsidRPr="007B7B59" w:rsidRDefault="000C6DE6" w:rsidP="000C6DE6">
      <w:pPr>
        <w:rPr>
          <w:szCs w:val="22"/>
        </w:rPr>
      </w:pPr>
    </w:p>
    <w:p w14:paraId="186F95E2" w14:textId="77777777" w:rsidR="000C6DE6" w:rsidRPr="007B7B59" w:rsidRDefault="000C6DE6" w:rsidP="000C6DE6">
      <w:pPr>
        <w:rPr>
          <w:szCs w:val="22"/>
        </w:rPr>
      </w:pPr>
    </w:p>
    <w:p w14:paraId="0BD5B9EC" w14:textId="77777777" w:rsidR="000C6DE6" w:rsidRPr="007B7B59" w:rsidRDefault="000C6DE6" w:rsidP="000C6DE6">
      <w:pPr>
        <w:rPr>
          <w:szCs w:val="22"/>
        </w:rPr>
      </w:pPr>
    </w:p>
    <w:p w14:paraId="214A5CC4" w14:textId="77777777" w:rsidR="000C6DE6" w:rsidRPr="007B7B59" w:rsidRDefault="000C6DE6" w:rsidP="000C6DE6">
      <w:pPr>
        <w:rPr>
          <w:szCs w:val="22"/>
        </w:rPr>
      </w:pPr>
    </w:p>
    <w:p w14:paraId="3CD5905D" w14:textId="77777777" w:rsidR="000C6DE6" w:rsidRPr="007B7B59" w:rsidRDefault="000C6DE6" w:rsidP="000C6DE6">
      <w:pPr>
        <w:rPr>
          <w:szCs w:val="22"/>
        </w:rPr>
      </w:pPr>
    </w:p>
    <w:p w14:paraId="68100C5C" w14:textId="77777777" w:rsidR="000C6DE6" w:rsidRPr="007B7B59" w:rsidRDefault="000C6DE6" w:rsidP="000C6DE6">
      <w:pPr>
        <w:rPr>
          <w:szCs w:val="22"/>
        </w:rPr>
      </w:pPr>
    </w:p>
    <w:p w14:paraId="4AB717B0" w14:textId="77777777" w:rsidR="000C6DE6" w:rsidRPr="007B7B59" w:rsidRDefault="000C6DE6" w:rsidP="000C6DE6">
      <w:pPr>
        <w:jc w:val="center"/>
        <w:rPr>
          <w:b/>
          <w:szCs w:val="22"/>
        </w:rPr>
      </w:pPr>
    </w:p>
    <w:p w14:paraId="6D1494D9" w14:textId="77777777" w:rsidR="00C948EE" w:rsidRPr="007B7B59" w:rsidRDefault="00C948EE" w:rsidP="000C6DE6">
      <w:pPr>
        <w:pStyle w:val="TTEMEASMCA"/>
        <w:rPr>
          <w:sz w:val="22"/>
          <w:szCs w:val="22"/>
        </w:rPr>
      </w:pPr>
      <w:bookmarkStart w:id="4" w:name="_Toc129243128"/>
      <w:bookmarkStart w:id="5" w:name="_Toc129243253"/>
    </w:p>
    <w:p w14:paraId="499F47D6" w14:textId="77777777" w:rsidR="000C6DE6" w:rsidRPr="007B7B59" w:rsidRDefault="000C6DE6" w:rsidP="000C6DE6">
      <w:pPr>
        <w:pStyle w:val="TTEMEASMCA"/>
        <w:rPr>
          <w:sz w:val="22"/>
          <w:szCs w:val="22"/>
        </w:rPr>
      </w:pPr>
      <w:r w:rsidRPr="007B7B59">
        <w:rPr>
          <w:sz w:val="22"/>
          <w:szCs w:val="22"/>
        </w:rPr>
        <w:t>II PRIEDAS</w:t>
      </w:r>
      <w:bookmarkEnd w:id="4"/>
      <w:bookmarkEnd w:id="5"/>
    </w:p>
    <w:p w14:paraId="7E93B215" w14:textId="77777777" w:rsidR="000C6DE6" w:rsidRPr="007B7B59" w:rsidRDefault="000C6DE6" w:rsidP="000C6DE6">
      <w:pPr>
        <w:pStyle w:val="TTEMEASMCA"/>
        <w:rPr>
          <w:sz w:val="22"/>
          <w:szCs w:val="22"/>
        </w:rPr>
      </w:pPr>
    </w:p>
    <w:p w14:paraId="0323CB90" w14:textId="77777777" w:rsidR="000C6DE6" w:rsidRPr="007B7B59" w:rsidRDefault="00C5142F" w:rsidP="000C6DE6">
      <w:pPr>
        <w:pStyle w:val="TTEMEASMCA"/>
        <w:rPr>
          <w:sz w:val="22"/>
          <w:szCs w:val="22"/>
        </w:rPr>
      </w:pPr>
      <w:r w:rsidRPr="00C5142F">
        <w:rPr>
          <w:sz w:val="22"/>
          <w:szCs w:val="22"/>
        </w:rPr>
        <w:t>REGISTRACIJOS</w:t>
      </w:r>
      <w:r w:rsidRPr="007B7B59" w:rsidDel="00C5142F">
        <w:rPr>
          <w:sz w:val="22"/>
          <w:szCs w:val="22"/>
        </w:rPr>
        <w:t xml:space="preserve"> </w:t>
      </w:r>
      <w:r w:rsidR="000C6DE6" w:rsidRPr="007B7B59">
        <w:rPr>
          <w:sz w:val="22"/>
          <w:szCs w:val="22"/>
        </w:rPr>
        <w:t>SĄLYGOS</w:t>
      </w:r>
    </w:p>
    <w:p w14:paraId="0F451793" w14:textId="77777777" w:rsidR="000C6DE6" w:rsidRPr="007B7B59" w:rsidRDefault="000C6DE6" w:rsidP="000C6DE6">
      <w:pPr>
        <w:pStyle w:val="BTEMEASMCA"/>
        <w:rPr>
          <w:noProof w:val="0"/>
          <w:sz w:val="22"/>
          <w:szCs w:val="22"/>
        </w:rPr>
      </w:pPr>
    </w:p>
    <w:p w14:paraId="68A62816" w14:textId="77777777" w:rsidR="000C6DE6" w:rsidRPr="007B7B59" w:rsidRDefault="000C6DE6" w:rsidP="000C6DE6">
      <w:pPr>
        <w:pStyle w:val="BTAnIIEMEASMCA"/>
        <w:rPr>
          <w:highlight w:val="yellow"/>
          <w:lang w:val="lt-LT"/>
        </w:rPr>
      </w:pPr>
      <w:r w:rsidRPr="007B7B59">
        <w:rPr>
          <w:lang w:val="lt-LT"/>
        </w:rPr>
        <w:t>A.</w:t>
      </w:r>
      <w:r w:rsidRPr="007B7B59">
        <w:rPr>
          <w:lang w:val="lt-LT"/>
        </w:rPr>
        <w:tab/>
        <w:t>GAM</w:t>
      </w:r>
      <w:r w:rsidR="00043768" w:rsidRPr="007B7B59">
        <w:rPr>
          <w:lang w:val="lt-LT"/>
        </w:rPr>
        <w:t>IN</w:t>
      </w:r>
      <w:r w:rsidRPr="007B7B59">
        <w:rPr>
          <w:lang w:val="lt-LT"/>
        </w:rPr>
        <w:t>TOJAS (-AI), ATSAKINGAS (-I) UŽ SERIJŲ IŠLEIDIMĄ</w:t>
      </w:r>
    </w:p>
    <w:p w14:paraId="495CC1FD" w14:textId="77777777" w:rsidR="000C6DE6" w:rsidRPr="007B7B59" w:rsidRDefault="000C6DE6" w:rsidP="000C6DE6">
      <w:pPr>
        <w:pStyle w:val="BTEMEASMCA"/>
        <w:rPr>
          <w:noProof w:val="0"/>
          <w:sz w:val="22"/>
          <w:szCs w:val="22"/>
          <w:highlight w:val="yellow"/>
        </w:rPr>
      </w:pPr>
    </w:p>
    <w:p w14:paraId="068AD344" w14:textId="77777777" w:rsidR="000C6DE6" w:rsidRPr="007B7B59" w:rsidRDefault="000C6DE6" w:rsidP="000C6DE6">
      <w:pPr>
        <w:pStyle w:val="BTAnIIEMEASMCA"/>
        <w:rPr>
          <w:lang w:val="lt-LT"/>
        </w:rPr>
      </w:pPr>
      <w:r w:rsidRPr="007B7B59">
        <w:rPr>
          <w:lang w:val="lt-LT"/>
        </w:rPr>
        <w:t>B.</w:t>
      </w:r>
      <w:r w:rsidRPr="007B7B59">
        <w:rPr>
          <w:lang w:val="lt-LT"/>
        </w:rPr>
        <w:tab/>
      </w:r>
      <w:r w:rsidR="00043768" w:rsidRPr="007B7B59">
        <w:rPr>
          <w:lang w:val="lt-LT"/>
        </w:rPr>
        <w:t>TIEKIMO IR VARTOJIMO SĄLYGOS AR APRIBOJIMAI</w:t>
      </w:r>
    </w:p>
    <w:p w14:paraId="16D78EB4" w14:textId="77777777" w:rsidR="000C6DE6" w:rsidRPr="007B7B59" w:rsidRDefault="000C6DE6" w:rsidP="000C6DE6">
      <w:pPr>
        <w:pStyle w:val="BTEMEASMCA"/>
        <w:rPr>
          <w:noProof w:val="0"/>
          <w:sz w:val="22"/>
          <w:szCs w:val="22"/>
          <w:highlight w:val="yellow"/>
        </w:rPr>
      </w:pPr>
    </w:p>
    <w:p w14:paraId="668A4F4D" w14:textId="77777777" w:rsidR="000C6DE6" w:rsidRPr="007B7B59" w:rsidRDefault="000C6DE6" w:rsidP="000C6DE6">
      <w:pPr>
        <w:ind w:left="1701" w:right="1416" w:hanging="567"/>
        <w:rPr>
          <w:bCs/>
          <w:szCs w:val="22"/>
        </w:rPr>
      </w:pPr>
    </w:p>
    <w:p w14:paraId="63113ADA" w14:textId="77777777" w:rsidR="000C6DE6" w:rsidRPr="007B7B59" w:rsidRDefault="000C6DE6" w:rsidP="000C6DE6">
      <w:pPr>
        <w:ind w:left="567" w:hanging="567"/>
        <w:rPr>
          <w:b/>
          <w:szCs w:val="22"/>
        </w:rPr>
      </w:pPr>
      <w:r w:rsidRPr="007B7B59">
        <w:rPr>
          <w:szCs w:val="22"/>
        </w:rPr>
        <w:br w:type="page"/>
      </w:r>
      <w:r w:rsidRPr="007B7B59">
        <w:rPr>
          <w:b/>
          <w:szCs w:val="22"/>
        </w:rPr>
        <w:lastRenderedPageBreak/>
        <w:t>A.</w:t>
      </w:r>
      <w:r w:rsidRPr="007B7B59">
        <w:rPr>
          <w:b/>
          <w:szCs w:val="22"/>
        </w:rPr>
        <w:tab/>
        <w:t>GAM</w:t>
      </w:r>
      <w:r w:rsidR="00043768" w:rsidRPr="007B7B59">
        <w:rPr>
          <w:b/>
          <w:szCs w:val="22"/>
        </w:rPr>
        <w:t>IN</w:t>
      </w:r>
      <w:r w:rsidRPr="007B7B59">
        <w:rPr>
          <w:b/>
          <w:szCs w:val="22"/>
        </w:rPr>
        <w:t>TOJAS (-AI), ATSAKINGAS (-I) UŽ SERIJŲ IŠLEIDIMĄ</w:t>
      </w:r>
    </w:p>
    <w:p w14:paraId="270B9D08" w14:textId="77777777" w:rsidR="000C6DE6" w:rsidRPr="007B7B59" w:rsidRDefault="000C6DE6" w:rsidP="000C6DE6">
      <w:pPr>
        <w:jc w:val="both"/>
        <w:rPr>
          <w:szCs w:val="22"/>
        </w:rPr>
      </w:pPr>
    </w:p>
    <w:p w14:paraId="0393FB99" w14:textId="77777777" w:rsidR="000C6DE6" w:rsidRPr="007B7B59" w:rsidRDefault="000C6DE6" w:rsidP="000C6DE6">
      <w:pPr>
        <w:jc w:val="both"/>
        <w:rPr>
          <w:szCs w:val="22"/>
          <w:u w:val="single"/>
        </w:rPr>
      </w:pPr>
      <w:r w:rsidRPr="007B7B59">
        <w:rPr>
          <w:szCs w:val="22"/>
          <w:u w:val="single"/>
        </w:rPr>
        <w:t>Gamintojo, atsakingo už serijos išleidimą, pavadinimas ir adresas</w:t>
      </w:r>
    </w:p>
    <w:p w14:paraId="5F27DF31" w14:textId="77777777" w:rsidR="000C6DE6" w:rsidRPr="007B7B59" w:rsidRDefault="000C6DE6" w:rsidP="000C6DE6">
      <w:pPr>
        <w:jc w:val="both"/>
        <w:rPr>
          <w:szCs w:val="22"/>
        </w:rPr>
      </w:pPr>
    </w:p>
    <w:p w14:paraId="17AA4700" w14:textId="77777777" w:rsidR="00D04DAC" w:rsidRPr="007B7B59" w:rsidRDefault="00D04DAC" w:rsidP="00D04DAC">
      <w:pPr>
        <w:tabs>
          <w:tab w:val="left" w:pos="567"/>
        </w:tabs>
        <w:rPr>
          <w:szCs w:val="22"/>
        </w:rPr>
      </w:pPr>
      <w:proofErr w:type="spellStart"/>
      <w:r w:rsidRPr="007B7B59">
        <w:rPr>
          <w:szCs w:val="22"/>
        </w:rPr>
        <w:t>Pfizer</w:t>
      </w:r>
      <w:proofErr w:type="spellEnd"/>
      <w:r w:rsidRPr="007B7B59">
        <w:rPr>
          <w:szCs w:val="22"/>
        </w:rPr>
        <w:t xml:space="preserve"> </w:t>
      </w:r>
      <w:proofErr w:type="spellStart"/>
      <w:r w:rsidRPr="007B7B59">
        <w:rPr>
          <w:szCs w:val="22"/>
        </w:rPr>
        <w:t>Italia</w:t>
      </w:r>
      <w:proofErr w:type="spellEnd"/>
      <w:r w:rsidRPr="007B7B59">
        <w:rPr>
          <w:szCs w:val="22"/>
        </w:rPr>
        <w:t xml:space="preserve"> </w:t>
      </w:r>
      <w:proofErr w:type="spellStart"/>
      <w:r w:rsidRPr="007B7B59">
        <w:rPr>
          <w:szCs w:val="22"/>
        </w:rPr>
        <w:t>S.r.l</w:t>
      </w:r>
      <w:proofErr w:type="spellEnd"/>
      <w:r w:rsidRPr="007B7B59">
        <w:rPr>
          <w:szCs w:val="22"/>
        </w:rPr>
        <w:t xml:space="preserve">. </w:t>
      </w:r>
    </w:p>
    <w:p w14:paraId="7A728990" w14:textId="77777777" w:rsidR="00D04DAC" w:rsidRPr="007B7B59" w:rsidRDefault="00D04DAC" w:rsidP="00D04DAC">
      <w:pPr>
        <w:tabs>
          <w:tab w:val="left" w:pos="567"/>
        </w:tabs>
        <w:rPr>
          <w:szCs w:val="22"/>
        </w:rPr>
      </w:pPr>
      <w:proofErr w:type="spellStart"/>
      <w:r w:rsidRPr="00341B9D">
        <w:rPr>
          <w:color w:val="000000"/>
          <w:szCs w:val="22"/>
        </w:rPr>
        <w:t>Localita</w:t>
      </w:r>
      <w:proofErr w:type="spellEnd"/>
      <w:r w:rsidRPr="00341B9D">
        <w:rPr>
          <w:color w:val="000000"/>
          <w:szCs w:val="22"/>
        </w:rPr>
        <w:t xml:space="preserve"> </w:t>
      </w:r>
      <w:r w:rsidRPr="007B7B59">
        <w:rPr>
          <w:szCs w:val="22"/>
        </w:rPr>
        <w:t xml:space="preserve">Marino </w:t>
      </w:r>
      <w:proofErr w:type="spellStart"/>
      <w:r w:rsidRPr="007B7B59">
        <w:rPr>
          <w:szCs w:val="22"/>
        </w:rPr>
        <w:t>del</w:t>
      </w:r>
      <w:proofErr w:type="spellEnd"/>
      <w:r w:rsidRPr="007B7B59">
        <w:rPr>
          <w:szCs w:val="22"/>
        </w:rPr>
        <w:t xml:space="preserve"> </w:t>
      </w:r>
      <w:proofErr w:type="spellStart"/>
      <w:r w:rsidRPr="007B7B59">
        <w:rPr>
          <w:szCs w:val="22"/>
        </w:rPr>
        <w:t>Tronto</w:t>
      </w:r>
      <w:proofErr w:type="spellEnd"/>
    </w:p>
    <w:p w14:paraId="17144CDB" w14:textId="77777777" w:rsidR="00D04DAC" w:rsidRPr="007B7B59" w:rsidRDefault="00D04DAC" w:rsidP="00D04DAC">
      <w:pPr>
        <w:tabs>
          <w:tab w:val="left" w:pos="567"/>
        </w:tabs>
        <w:rPr>
          <w:szCs w:val="22"/>
        </w:rPr>
      </w:pPr>
      <w:r w:rsidRPr="00341B9D">
        <w:rPr>
          <w:color w:val="000000"/>
          <w:szCs w:val="22"/>
        </w:rPr>
        <w:t>63100,</w:t>
      </w:r>
      <w:r w:rsidRPr="007B7B59">
        <w:rPr>
          <w:szCs w:val="22"/>
        </w:rPr>
        <w:t xml:space="preserve"> </w:t>
      </w:r>
      <w:proofErr w:type="spellStart"/>
      <w:r w:rsidRPr="007B7B59">
        <w:rPr>
          <w:szCs w:val="22"/>
        </w:rPr>
        <w:t>Ascoli</w:t>
      </w:r>
      <w:proofErr w:type="spellEnd"/>
      <w:r w:rsidRPr="007B7B59">
        <w:rPr>
          <w:szCs w:val="22"/>
        </w:rPr>
        <w:t xml:space="preserve"> </w:t>
      </w:r>
      <w:proofErr w:type="spellStart"/>
      <w:r w:rsidRPr="007B7B59">
        <w:rPr>
          <w:szCs w:val="22"/>
        </w:rPr>
        <w:t>Piceno</w:t>
      </w:r>
      <w:proofErr w:type="spellEnd"/>
      <w:r w:rsidRPr="007B7B59">
        <w:rPr>
          <w:szCs w:val="22"/>
        </w:rPr>
        <w:t xml:space="preserve"> </w:t>
      </w:r>
    </w:p>
    <w:p w14:paraId="00D524A3" w14:textId="77777777" w:rsidR="00D04DAC" w:rsidRPr="007B7B59" w:rsidRDefault="00D04DAC" w:rsidP="00D04DAC">
      <w:pPr>
        <w:tabs>
          <w:tab w:val="left" w:pos="567"/>
        </w:tabs>
        <w:rPr>
          <w:szCs w:val="22"/>
        </w:rPr>
      </w:pPr>
      <w:r w:rsidRPr="007B7B59">
        <w:rPr>
          <w:szCs w:val="22"/>
        </w:rPr>
        <w:t xml:space="preserve">Italija </w:t>
      </w:r>
    </w:p>
    <w:p w14:paraId="0BEB21BD" w14:textId="77777777" w:rsidR="000C6DE6" w:rsidRPr="007B7B59" w:rsidRDefault="000C6DE6" w:rsidP="000C6DE6">
      <w:pPr>
        <w:jc w:val="both"/>
        <w:rPr>
          <w:szCs w:val="22"/>
        </w:rPr>
      </w:pPr>
    </w:p>
    <w:p w14:paraId="5679FCB1" w14:textId="77777777" w:rsidR="000C6DE6" w:rsidRPr="007B7B59" w:rsidRDefault="000C6DE6" w:rsidP="000C6DE6">
      <w:pPr>
        <w:jc w:val="both"/>
        <w:rPr>
          <w:szCs w:val="22"/>
        </w:rPr>
      </w:pPr>
    </w:p>
    <w:p w14:paraId="20DFFE03" w14:textId="77777777" w:rsidR="000C6DE6" w:rsidRPr="007B7B59" w:rsidRDefault="000C6DE6" w:rsidP="000C6DE6">
      <w:pPr>
        <w:ind w:left="567" w:hanging="567"/>
        <w:jc w:val="both"/>
        <w:rPr>
          <w:b/>
          <w:szCs w:val="22"/>
        </w:rPr>
      </w:pPr>
      <w:r w:rsidRPr="007B7B59">
        <w:rPr>
          <w:b/>
          <w:szCs w:val="22"/>
        </w:rPr>
        <w:t>B.</w:t>
      </w:r>
      <w:r w:rsidRPr="007B7B59">
        <w:rPr>
          <w:b/>
          <w:szCs w:val="22"/>
        </w:rPr>
        <w:tab/>
      </w:r>
      <w:r w:rsidR="00043768" w:rsidRPr="007B7B59">
        <w:rPr>
          <w:b/>
          <w:szCs w:val="22"/>
        </w:rPr>
        <w:t>TIEKIMO IR VARTOJIMO SĄLYGOS AR APRIBOJIMAI</w:t>
      </w:r>
    </w:p>
    <w:p w14:paraId="4C2083DE" w14:textId="77777777" w:rsidR="00043768" w:rsidRPr="007B7B59" w:rsidRDefault="00043768" w:rsidP="000C6DE6">
      <w:pPr>
        <w:jc w:val="both"/>
        <w:rPr>
          <w:szCs w:val="22"/>
        </w:rPr>
      </w:pPr>
    </w:p>
    <w:p w14:paraId="166FC021" w14:textId="77777777" w:rsidR="000C6DE6" w:rsidRPr="007B7B59" w:rsidRDefault="000C6DE6" w:rsidP="000C6DE6">
      <w:pPr>
        <w:numPr>
          <w:ilvl w:val="12"/>
          <w:numId w:val="0"/>
        </w:numPr>
        <w:jc w:val="both"/>
        <w:rPr>
          <w:szCs w:val="22"/>
        </w:rPr>
      </w:pPr>
      <w:r w:rsidRPr="007B7B59">
        <w:rPr>
          <w:szCs w:val="22"/>
        </w:rPr>
        <w:t>Receptinis vaistinis preparatas.</w:t>
      </w:r>
    </w:p>
    <w:p w14:paraId="582A7BB7" w14:textId="77777777" w:rsidR="00D04DAC" w:rsidRPr="007B7B59" w:rsidRDefault="00D04DAC" w:rsidP="000C6DE6">
      <w:pPr>
        <w:numPr>
          <w:ilvl w:val="12"/>
          <w:numId w:val="0"/>
        </w:numPr>
        <w:jc w:val="both"/>
        <w:rPr>
          <w:szCs w:val="22"/>
        </w:rPr>
      </w:pPr>
    </w:p>
    <w:p w14:paraId="70D9117D" w14:textId="77777777" w:rsidR="00D04DAC" w:rsidRPr="007B7B59" w:rsidRDefault="00D04DAC" w:rsidP="000C6DE6">
      <w:pPr>
        <w:numPr>
          <w:ilvl w:val="12"/>
          <w:numId w:val="0"/>
        </w:numPr>
        <w:jc w:val="both"/>
        <w:rPr>
          <w:szCs w:val="22"/>
        </w:rPr>
      </w:pPr>
    </w:p>
    <w:p w14:paraId="5280EBD5" w14:textId="77777777" w:rsidR="00D04DAC" w:rsidRPr="007B7B59" w:rsidRDefault="00D04DAC" w:rsidP="000C6DE6">
      <w:pPr>
        <w:numPr>
          <w:ilvl w:val="12"/>
          <w:numId w:val="0"/>
        </w:numPr>
        <w:jc w:val="both"/>
        <w:rPr>
          <w:szCs w:val="22"/>
        </w:rPr>
      </w:pPr>
    </w:p>
    <w:p w14:paraId="36E43B4C" w14:textId="77777777" w:rsidR="00D04DAC" w:rsidRPr="007B7B59" w:rsidRDefault="00D04DAC" w:rsidP="000C6DE6">
      <w:pPr>
        <w:numPr>
          <w:ilvl w:val="12"/>
          <w:numId w:val="0"/>
        </w:numPr>
        <w:jc w:val="both"/>
        <w:rPr>
          <w:szCs w:val="22"/>
        </w:rPr>
      </w:pPr>
    </w:p>
    <w:p w14:paraId="6CC3A22E" w14:textId="77777777" w:rsidR="000C6DE6" w:rsidRPr="007B7B59" w:rsidRDefault="000C6DE6" w:rsidP="000C6DE6">
      <w:pPr>
        <w:pStyle w:val="BTEMEASMCA"/>
        <w:rPr>
          <w:noProof w:val="0"/>
          <w:sz w:val="22"/>
          <w:szCs w:val="22"/>
        </w:rPr>
      </w:pPr>
      <w:r w:rsidRPr="007B7B59">
        <w:rPr>
          <w:b/>
          <w:noProof w:val="0"/>
          <w:sz w:val="22"/>
          <w:szCs w:val="22"/>
        </w:rPr>
        <w:br w:type="page"/>
      </w:r>
    </w:p>
    <w:p w14:paraId="2831BB2B" w14:textId="77777777" w:rsidR="000C6DE6" w:rsidRPr="007B7B59" w:rsidRDefault="000C6DE6" w:rsidP="000C6DE6">
      <w:pPr>
        <w:pStyle w:val="BTEMEASMCA"/>
        <w:rPr>
          <w:noProof w:val="0"/>
          <w:sz w:val="22"/>
          <w:szCs w:val="22"/>
        </w:rPr>
      </w:pPr>
    </w:p>
    <w:p w14:paraId="16E62F39" w14:textId="77777777" w:rsidR="000C6DE6" w:rsidRPr="007B7B59" w:rsidRDefault="000C6DE6" w:rsidP="000C6DE6">
      <w:pPr>
        <w:pStyle w:val="BTEMEASMCA"/>
        <w:rPr>
          <w:noProof w:val="0"/>
          <w:sz w:val="22"/>
          <w:szCs w:val="22"/>
        </w:rPr>
      </w:pPr>
    </w:p>
    <w:p w14:paraId="17AE65F1" w14:textId="77777777" w:rsidR="000C6DE6" w:rsidRPr="007B7B59" w:rsidRDefault="000C6DE6" w:rsidP="000C6DE6">
      <w:pPr>
        <w:pStyle w:val="BTEMEASMCA"/>
        <w:rPr>
          <w:noProof w:val="0"/>
          <w:sz w:val="22"/>
          <w:szCs w:val="22"/>
        </w:rPr>
      </w:pPr>
    </w:p>
    <w:p w14:paraId="188985ED" w14:textId="77777777" w:rsidR="000C6DE6" w:rsidRPr="007B7B59" w:rsidRDefault="000C6DE6" w:rsidP="000C6DE6">
      <w:pPr>
        <w:pStyle w:val="BTEMEASMCA"/>
        <w:rPr>
          <w:noProof w:val="0"/>
          <w:sz w:val="22"/>
          <w:szCs w:val="22"/>
        </w:rPr>
      </w:pPr>
    </w:p>
    <w:p w14:paraId="6EE3917D" w14:textId="77777777" w:rsidR="000C6DE6" w:rsidRPr="007B7B59" w:rsidRDefault="000C6DE6" w:rsidP="000C6DE6">
      <w:pPr>
        <w:pStyle w:val="BTEMEASMCA"/>
        <w:rPr>
          <w:noProof w:val="0"/>
          <w:sz w:val="22"/>
          <w:szCs w:val="22"/>
        </w:rPr>
      </w:pPr>
    </w:p>
    <w:p w14:paraId="2B5151B0" w14:textId="77777777" w:rsidR="000C6DE6" w:rsidRPr="007B7B59" w:rsidRDefault="000C6DE6" w:rsidP="000C6DE6">
      <w:pPr>
        <w:pStyle w:val="BTEMEASMCA"/>
        <w:rPr>
          <w:noProof w:val="0"/>
          <w:sz w:val="22"/>
          <w:szCs w:val="22"/>
        </w:rPr>
      </w:pPr>
    </w:p>
    <w:p w14:paraId="69B7885A" w14:textId="77777777" w:rsidR="000C6DE6" w:rsidRPr="007B7B59" w:rsidRDefault="000C6DE6" w:rsidP="000C6DE6">
      <w:pPr>
        <w:pStyle w:val="BTEMEASMCA"/>
        <w:rPr>
          <w:noProof w:val="0"/>
          <w:sz w:val="22"/>
          <w:szCs w:val="22"/>
        </w:rPr>
      </w:pPr>
    </w:p>
    <w:p w14:paraId="40F6E679" w14:textId="77777777" w:rsidR="000C6DE6" w:rsidRPr="007B7B59" w:rsidRDefault="000C6DE6" w:rsidP="000C6DE6">
      <w:pPr>
        <w:pStyle w:val="BTEMEASMCA"/>
        <w:rPr>
          <w:noProof w:val="0"/>
          <w:sz w:val="22"/>
          <w:szCs w:val="22"/>
        </w:rPr>
      </w:pPr>
    </w:p>
    <w:p w14:paraId="5AF47A82" w14:textId="77777777" w:rsidR="000C6DE6" w:rsidRPr="007B7B59" w:rsidRDefault="000C6DE6" w:rsidP="000C6DE6">
      <w:pPr>
        <w:pStyle w:val="BTEMEASMCA"/>
        <w:rPr>
          <w:noProof w:val="0"/>
          <w:sz w:val="22"/>
          <w:szCs w:val="22"/>
        </w:rPr>
      </w:pPr>
    </w:p>
    <w:p w14:paraId="700CC329" w14:textId="77777777" w:rsidR="000C6DE6" w:rsidRPr="007B7B59" w:rsidRDefault="000C6DE6" w:rsidP="000C6DE6">
      <w:pPr>
        <w:pStyle w:val="BTEMEASMCA"/>
        <w:rPr>
          <w:noProof w:val="0"/>
          <w:sz w:val="22"/>
          <w:szCs w:val="22"/>
        </w:rPr>
      </w:pPr>
    </w:p>
    <w:p w14:paraId="34A7F85A" w14:textId="77777777" w:rsidR="000C6DE6" w:rsidRPr="007B7B59" w:rsidRDefault="000C6DE6" w:rsidP="000C6DE6">
      <w:pPr>
        <w:pStyle w:val="BTEMEASMCA"/>
        <w:rPr>
          <w:noProof w:val="0"/>
          <w:sz w:val="22"/>
          <w:szCs w:val="22"/>
        </w:rPr>
      </w:pPr>
    </w:p>
    <w:p w14:paraId="2AEF634C" w14:textId="77777777" w:rsidR="000C6DE6" w:rsidRPr="007B7B59" w:rsidRDefault="000C6DE6" w:rsidP="000C6DE6">
      <w:pPr>
        <w:pStyle w:val="BTEMEASMCA"/>
        <w:rPr>
          <w:noProof w:val="0"/>
          <w:sz w:val="22"/>
          <w:szCs w:val="22"/>
        </w:rPr>
      </w:pPr>
    </w:p>
    <w:p w14:paraId="3CC122D7" w14:textId="77777777" w:rsidR="000C6DE6" w:rsidRPr="007B7B59" w:rsidRDefault="000C6DE6" w:rsidP="000C6DE6">
      <w:pPr>
        <w:pStyle w:val="BTEMEASMCA"/>
        <w:rPr>
          <w:noProof w:val="0"/>
          <w:sz w:val="22"/>
          <w:szCs w:val="22"/>
        </w:rPr>
      </w:pPr>
    </w:p>
    <w:p w14:paraId="58626FD7" w14:textId="77777777" w:rsidR="000C6DE6" w:rsidRPr="007B7B59" w:rsidRDefault="000C6DE6" w:rsidP="000C6DE6">
      <w:pPr>
        <w:pStyle w:val="BTEMEASMCA"/>
        <w:rPr>
          <w:noProof w:val="0"/>
          <w:sz w:val="22"/>
          <w:szCs w:val="22"/>
        </w:rPr>
      </w:pPr>
    </w:p>
    <w:p w14:paraId="53696DDC" w14:textId="77777777" w:rsidR="000C6DE6" w:rsidRPr="007B7B59" w:rsidRDefault="000C6DE6" w:rsidP="000C6DE6">
      <w:pPr>
        <w:pStyle w:val="BTEMEASMCA"/>
        <w:rPr>
          <w:noProof w:val="0"/>
          <w:sz w:val="22"/>
          <w:szCs w:val="22"/>
        </w:rPr>
      </w:pPr>
    </w:p>
    <w:p w14:paraId="0EA87A33" w14:textId="77777777" w:rsidR="000C6DE6" w:rsidRPr="007B7B59" w:rsidRDefault="000C6DE6" w:rsidP="000C6DE6">
      <w:pPr>
        <w:pStyle w:val="BTEMEASMCA"/>
        <w:rPr>
          <w:noProof w:val="0"/>
          <w:sz w:val="22"/>
          <w:szCs w:val="22"/>
        </w:rPr>
      </w:pPr>
    </w:p>
    <w:p w14:paraId="7064B1DE" w14:textId="77777777" w:rsidR="000C6DE6" w:rsidRPr="007B7B59" w:rsidRDefault="000C6DE6" w:rsidP="000C6DE6">
      <w:pPr>
        <w:pStyle w:val="BTEMEASMCA"/>
        <w:rPr>
          <w:noProof w:val="0"/>
          <w:sz w:val="22"/>
          <w:szCs w:val="22"/>
        </w:rPr>
      </w:pPr>
    </w:p>
    <w:p w14:paraId="62088C74" w14:textId="77777777" w:rsidR="000C6DE6" w:rsidRPr="007B7B59" w:rsidRDefault="000C6DE6" w:rsidP="000C6DE6">
      <w:pPr>
        <w:pStyle w:val="BTEMEASMCA"/>
        <w:rPr>
          <w:noProof w:val="0"/>
          <w:sz w:val="22"/>
          <w:szCs w:val="22"/>
        </w:rPr>
      </w:pPr>
    </w:p>
    <w:p w14:paraId="7D013340" w14:textId="77777777" w:rsidR="000C6DE6" w:rsidRPr="007B7B59" w:rsidRDefault="000C6DE6" w:rsidP="000C6DE6">
      <w:pPr>
        <w:pStyle w:val="BTEMEASMCA"/>
        <w:rPr>
          <w:noProof w:val="0"/>
          <w:sz w:val="22"/>
          <w:szCs w:val="22"/>
        </w:rPr>
      </w:pPr>
    </w:p>
    <w:p w14:paraId="32181AC8" w14:textId="77777777" w:rsidR="000C6DE6" w:rsidRPr="007B7B59" w:rsidRDefault="000C6DE6" w:rsidP="000C6DE6">
      <w:pPr>
        <w:pStyle w:val="BTEMEASMCA"/>
        <w:rPr>
          <w:noProof w:val="0"/>
          <w:sz w:val="22"/>
          <w:szCs w:val="22"/>
        </w:rPr>
      </w:pPr>
    </w:p>
    <w:p w14:paraId="61C8404C" w14:textId="77777777" w:rsidR="000C6DE6" w:rsidRPr="007B7B59" w:rsidRDefault="000C6DE6" w:rsidP="000C6DE6">
      <w:pPr>
        <w:pStyle w:val="BTEMEASMCA"/>
        <w:rPr>
          <w:noProof w:val="0"/>
          <w:sz w:val="22"/>
          <w:szCs w:val="22"/>
        </w:rPr>
      </w:pPr>
    </w:p>
    <w:p w14:paraId="5A57950D" w14:textId="77777777" w:rsidR="000C6DE6" w:rsidRPr="007B7B59" w:rsidRDefault="000C6DE6" w:rsidP="000C6DE6">
      <w:pPr>
        <w:pStyle w:val="TTEMEASMCA"/>
        <w:rPr>
          <w:sz w:val="22"/>
          <w:szCs w:val="22"/>
        </w:rPr>
      </w:pPr>
    </w:p>
    <w:p w14:paraId="6CFDEDB6" w14:textId="77777777" w:rsidR="00C948EE" w:rsidRPr="007B7B59" w:rsidRDefault="00C948EE" w:rsidP="000C6DE6">
      <w:pPr>
        <w:pStyle w:val="TTEMEASMCA"/>
        <w:rPr>
          <w:sz w:val="22"/>
          <w:szCs w:val="22"/>
        </w:rPr>
      </w:pPr>
    </w:p>
    <w:p w14:paraId="64953EB9" w14:textId="77777777" w:rsidR="000C6DE6" w:rsidRPr="007B7B59" w:rsidRDefault="000C6DE6" w:rsidP="000C6DE6">
      <w:pPr>
        <w:pStyle w:val="TTEMEASMCA"/>
        <w:rPr>
          <w:sz w:val="22"/>
          <w:szCs w:val="22"/>
        </w:rPr>
      </w:pPr>
      <w:r w:rsidRPr="007B7B59">
        <w:rPr>
          <w:sz w:val="22"/>
          <w:szCs w:val="22"/>
        </w:rPr>
        <w:t>III PRIEDAS</w:t>
      </w:r>
    </w:p>
    <w:p w14:paraId="4C9436B8" w14:textId="77777777" w:rsidR="000C6DE6" w:rsidRPr="007B7B59" w:rsidRDefault="000C6DE6" w:rsidP="000C6DE6">
      <w:pPr>
        <w:pStyle w:val="BTEMEASMCA"/>
        <w:rPr>
          <w:noProof w:val="0"/>
          <w:sz w:val="22"/>
          <w:szCs w:val="22"/>
        </w:rPr>
      </w:pPr>
    </w:p>
    <w:p w14:paraId="6D03FFD1" w14:textId="77777777" w:rsidR="000C6DE6" w:rsidRPr="007B7B59" w:rsidRDefault="000C6DE6" w:rsidP="000C6DE6">
      <w:pPr>
        <w:pStyle w:val="TTEMEASMCA"/>
        <w:rPr>
          <w:sz w:val="22"/>
          <w:szCs w:val="22"/>
        </w:rPr>
      </w:pPr>
      <w:r w:rsidRPr="007B7B59">
        <w:rPr>
          <w:sz w:val="22"/>
          <w:szCs w:val="22"/>
        </w:rPr>
        <w:t>ŽENKLINIMAS IR PAKUOTĖS LAPELIS</w:t>
      </w:r>
    </w:p>
    <w:p w14:paraId="4D79DFFF" w14:textId="77777777" w:rsidR="000C6DE6" w:rsidRPr="007B7B59" w:rsidRDefault="000C6DE6" w:rsidP="000C6DE6">
      <w:pPr>
        <w:pStyle w:val="BTEMEASMCA"/>
        <w:rPr>
          <w:noProof w:val="0"/>
          <w:sz w:val="22"/>
          <w:szCs w:val="22"/>
        </w:rPr>
      </w:pPr>
      <w:r w:rsidRPr="007B7B59">
        <w:rPr>
          <w:noProof w:val="0"/>
          <w:sz w:val="22"/>
          <w:szCs w:val="22"/>
        </w:rPr>
        <w:br w:type="page"/>
      </w:r>
    </w:p>
    <w:p w14:paraId="57932934" w14:textId="77777777" w:rsidR="000C6DE6" w:rsidRPr="007B7B59" w:rsidRDefault="000C6DE6" w:rsidP="000C6DE6">
      <w:pPr>
        <w:pStyle w:val="BTEMEASMCA"/>
        <w:rPr>
          <w:noProof w:val="0"/>
          <w:sz w:val="22"/>
          <w:szCs w:val="22"/>
        </w:rPr>
      </w:pPr>
    </w:p>
    <w:p w14:paraId="43A09B7D" w14:textId="77777777" w:rsidR="000C6DE6" w:rsidRPr="007B7B59" w:rsidRDefault="000C6DE6" w:rsidP="000C6DE6">
      <w:pPr>
        <w:pStyle w:val="BTEMEASMCA"/>
        <w:rPr>
          <w:noProof w:val="0"/>
          <w:sz w:val="22"/>
          <w:szCs w:val="22"/>
        </w:rPr>
      </w:pPr>
    </w:p>
    <w:p w14:paraId="0379DDF6" w14:textId="77777777" w:rsidR="000C6DE6" w:rsidRPr="007B7B59" w:rsidRDefault="000C6DE6" w:rsidP="000C6DE6">
      <w:pPr>
        <w:pStyle w:val="BTEMEASMCA"/>
        <w:rPr>
          <w:noProof w:val="0"/>
          <w:sz w:val="22"/>
          <w:szCs w:val="22"/>
        </w:rPr>
      </w:pPr>
    </w:p>
    <w:p w14:paraId="7544C7C8" w14:textId="77777777" w:rsidR="000C6DE6" w:rsidRPr="007B7B59" w:rsidRDefault="000C6DE6" w:rsidP="000C6DE6">
      <w:pPr>
        <w:pStyle w:val="BTEMEASMCA"/>
        <w:rPr>
          <w:noProof w:val="0"/>
          <w:sz w:val="22"/>
          <w:szCs w:val="22"/>
        </w:rPr>
      </w:pPr>
    </w:p>
    <w:p w14:paraId="6AB1444E" w14:textId="77777777" w:rsidR="000C6DE6" w:rsidRPr="007B7B59" w:rsidRDefault="000C6DE6" w:rsidP="000C6DE6">
      <w:pPr>
        <w:pStyle w:val="BTEMEASMCA"/>
        <w:rPr>
          <w:noProof w:val="0"/>
          <w:sz w:val="22"/>
          <w:szCs w:val="22"/>
        </w:rPr>
      </w:pPr>
    </w:p>
    <w:p w14:paraId="2D965FE5" w14:textId="77777777" w:rsidR="000C6DE6" w:rsidRPr="007B7B59" w:rsidRDefault="000C6DE6" w:rsidP="000C6DE6">
      <w:pPr>
        <w:pStyle w:val="BTEMEASMCA"/>
        <w:rPr>
          <w:noProof w:val="0"/>
          <w:sz w:val="22"/>
          <w:szCs w:val="22"/>
        </w:rPr>
      </w:pPr>
    </w:p>
    <w:p w14:paraId="7CE99BD2" w14:textId="77777777" w:rsidR="000C6DE6" w:rsidRPr="007B7B59" w:rsidRDefault="000C6DE6" w:rsidP="000C6DE6">
      <w:pPr>
        <w:pStyle w:val="BTEMEASMCA"/>
        <w:rPr>
          <w:noProof w:val="0"/>
          <w:sz w:val="22"/>
          <w:szCs w:val="22"/>
        </w:rPr>
      </w:pPr>
    </w:p>
    <w:p w14:paraId="290BBA02" w14:textId="77777777" w:rsidR="000C6DE6" w:rsidRPr="007B7B59" w:rsidRDefault="000C6DE6" w:rsidP="000C6DE6">
      <w:pPr>
        <w:pStyle w:val="BTEMEASMCA"/>
        <w:rPr>
          <w:noProof w:val="0"/>
          <w:sz w:val="22"/>
          <w:szCs w:val="22"/>
        </w:rPr>
      </w:pPr>
    </w:p>
    <w:p w14:paraId="41EB95CD" w14:textId="77777777" w:rsidR="000C6DE6" w:rsidRPr="007B7B59" w:rsidRDefault="000C6DE6" w:rsidP="000C6DE6">
      <w:pPr>
        <w:pStyle w:val="BTEMEASMCA"/>
        <w:rPr>
          <w:noProof w:val="0"/>
          <w:sz w:val="22"/>
          <w:szCs w:val="22"/>
        </w:rPr>
      </w:pPr>
    </w:p>
    <w:p w14:paraId="05DEA05C" w14:textId="77777777" w:rsidR="000C6DE6" w:rsidRPr="007B7B59" w:rsidRDefault="000C6DE6" w:rsidP="000C6DE6">
      <w:pPr>
        <w:pStyle w:val="BTEMEASMCA"/>
        <w:rPr>
          <w:noProof w:val="0"/>
          <w:sz w:val="22"/>
          <w:szCs w:val="22"/>
        </w:rPr>
      </w:pPr>
    </w:p>
    <w:p w14:paraId="48BA9674" w14:textId="77777777" w:rsidR="000C6DE6" w:rsidRPr="007B7B59" w:rsidRDefault="000C6DE6" w:rsidP="000C6DE6">
      <w:pPr>
        <w:pStyle w:val="BTEMEASMCA"/>
        <w:rPr>
          <w:noProof w:val="0"/>
          <w:sz w:val="22"/>
          <w:szCs w:val="22"/>
        </w:rPr>
      </w:pPr>
    </w:p>
    <w:p w14:paraId="392AC059" w14:textId="77777777" w:rsidR="000C6DE6" w:rsidRPr="007B7B59" w:rsidRDefault="000C6DE6" w:rsidP="000C6DE6">
      <w:pPr>
        <w:pStyle w:val="BTEMEASMCA"/>
        <w:rPr>
          <w:noProof w:val="0"/>
          <w:sz w:val="22"/>
          <w:szCs w:val="22"/>
        </w:rPr>
      </w:pPr>
    </w:p>
    <w:p w14:paraId="3821F8DD" w14:textId="77777777" w:rsidR="000C6DE6" w:rsidRPr="007B7B59" w:rsidRDefault="000C6DE6" w:rsidP="000C6DE6">
      <w:pPr>
        <w:pStyle w:val="BTEMEASMCA"/>
        <w:rPr>
          <w:noProof w:val="0"/>
          <w:sz w:val="22"/>
          <w:szCs w:val="22"/>
        </w:rPr>
      </w:pPr>
    </w:p>
    <w:p w14:paraId="0A550AA8" w14:textId="77777777" w:rsidR="000C6DE6" w:rsidRPr="007B7B59" w:rsidRDefault="000C6DE6" w:rsidP="000C6DE6">
      <w:pPr>
        <w:pStyle w:val="BTEMEASMCA"/>
        <w:rPr>
          <w:noProof w:val="0"/>
          <w:sz w:val="22"/>
          <w:szCs w:val="22"/>
        </w:rPr>
      </w:pPr>
    </w:p>
    <w:p w14:paraId="7B8696BC" w14:textId="77777777" w:rsidR="000C6DE6" w:rsidRPr="007B7B59" w:rsidRDefault="000C6DE6" w:rsidP="000C6DE6">
      <w:pPr>
        <w:pStyle w:val="BTEMEASMCA"/>
        <w:rPr>
          <w:noProof w:val="0"/>
          <w:sz w:val="22"/>
          <w:szCs w:val="22"/>
        </w:rPr>
      </w:pPr>
    </w:p>
    <w:p w14:paraId="7551A3FA" w14:textId="77777777" w:rsidR="000C6DE6" w:rsidRPr="007B7B59" w:rsidRDefault="000C6DE6" w:rsidP="000C6DE6">
      <w:pPr>
        <w:pStyle w:val="BTEMEASMCA"/>
        <w:rPr>
          <w:noProof w:val="0"/>
          <w:sz w:val="22"/>
          <w:szCs w:val="22"/>
        </w:rPr>
      </w:pPr>
    </w:p>
    <w:p w14:paraId="580CAD6C" w14:textId="77777777" w:rsidR="000C6DE6" w:rsidRPr="007B7B59" w:rsidRDefault="000C6DE6" w:rsidP="000C6DE6">
      <w:pPr>
        <w:pStyle w:val="BTEMEASMCA"/>
        <w:rPr>
          <w:noProof w:val="0"/>
          <w:sz w:val="22"/>
          <w:szCs w:val="22"/>
        </w:rPr>
      </w:pPr>
    </w:p>
    <w:p w14:paraId="7965EEF5" w14:textId="77777777" w:rsidR="000C6DE6" w:rsidRPr="007B7B59" w:rsidRDefault="000C6DE6" w:rsidP="000C6DE6">
      <w:pPr>
        <w:pStyle w:val="BTEMEASMCA"/>
        <w:rPr>
          <w:noProof w:val="0"/>
          <w:sz w:val="22"/>
          <w:szCs w:val="22"/>
        </w:rPr>
      </w:pPr>
    </w:p>
    <w:p w14:paraId="568D2E54" w14:textId="77777777" w:rsidR="000C6DE6" w:rsidRPr="007B7B59" w:rsidRDefault="000C6DE6" w:rsidP="000C6DE6">
      <w:pPr>
        <w:pStyle w:val="BTEMEASMCA"/>
        <w:rPr>
          <w:noProof w:val="0"/>
          <w:sz w:val="22"/>
          <w:szCs w:val="22"/>
        </w:rPr>
      </w:pPr>
    </w:p>
    <w:p w14:paraId="01373A24" w14:textId="77777777" w:rsidR="000C6DE6" w:rsidRPr="007B7B59" w:rsidRDefault="000C6DE6" w:rsidP="000C6DE6">
      <w:pPr>
        <w:pStyle w:val="BTEMEASMCA"/>
        <w:rPr>
          <w:noProof w:val="0"/>
          <w:sz w:val="22"/>
          <w:szCs w:val="22"/>
        </w:rPr>
      </w:pPr>
    </w:p>
    <w:p w14:paraId="3EBE2097" w14:textId="77777777" w:rsidR="000C6DE6" w:rsidRPr="007B7B59" w:rsidRDefault="000C6DE6" w:rsidP="000C6DE6">
      <w:pPr>
        <w:pStyle w:val="BTEMEASMCA"/>
        <w:rPr>
          <w:noProof w:val="0"/>
          <w:sz w:val="22"/>
          <w:szCs w:val="22"/>
        </w:rPr>
      </w:pPr>
    </w:p>
    <w:p w14:paraId="1EF50C76" w14:textId="77777777" w:rsidR="000C6DE6" w:rsidRPr="007B7B59" w:rsidRDefault="000C6DE6" w:rsidP="000C6DE6">
      <w:pPr>
        <w:pStyle w:val="BTEMEASMCA"/>
        <w:rPr>
          <w:noProof w:val="0"/>
          <w:sz w:val="22"/>
          <w:szCs w:val="22"/>
        </w:rPr>
      </w:pPr>
    </w:p>
    <w:p w14:paraId="39EBD45F" w14:textId="77777777" w:rsidR="00C948EE" w:rsidRPr="007B7B59" w:rsidRDefault="00C948EE" w:rsidP="000C6DE6">
      <w:pPr>
        <w:pStyle w:val="TTEMEASMCA"/>
        <w:rPr>
          <w:sz w:val="22"/>
          <w:szCs w:val="22"/>
        </w:rPr>
      </w:pPr>
      <w:bookmarkStart w:id="6" w:name="_Toc129243136"/>
      <w:bookmarkStart w:id="7" w:name="_Toc129243261"/>
    </w:p>
    <w:p w14:paraId="273F219F" w14:textId="77777777" w:rsidR="000C6DE6" w:rsidRPr="007B7B59" w:rsidRDefault="000C6DE6" w:rsidP="000C6DE6">
      <w:pPr>
        <w:pStyle w:val="TTEMEASMCA"/>
        <w:rPr>
          <w:sz w:val="22"/>
          <w:szCs w:val="22"/>
        </w:rPr>
      </w:pPr>
      <w:r w:rsidRPr="007B7B59">
        <w:rPr>
          <w:sz w:val="22"/>
          <w:szCs w:val="22"/>
        </w:rPr>
        <w:t>A. ŽENKLINIMAS</w:t>
      </w:r>
      <w:bookmarkEnd w:id="6"/>
      <w:bookmarkEnd w:id="7"/>
    </w:p>
    <w:p w14:paraId="3BF993D3" w14:textId="77777777" w:rsidR="000C6DE6" w:rsidRPr="007B7B59" w:rsidRDefault="000C6DE6" w:rsidP="000C6DE6">
      <w:pPr>
        <w:pStyle w:val="BTEMEASMCA"/>
        <w:rPr>
          <w:noProof w:val="0"/>
          <w:sz w:val="22"/>
          <w:szCs w:val="22"/>
        </w:rPr>
      </w:pPr>
      <w:r w:rsidRPr="007B7B59">
        <w:rPr>
          <w:noProof w:val="0"/>
          <w:sz w:val="22"/>
          <w:szCs w:val="22"/>
        </w:rPr>
        <w:br w:type="page"/>
      </w:r>
    </w:p>
    <w:p w14:paraId="70A8CEEE" w14:textId="77777777" w:rsidR="000C6DE6" w:rsidRPr="007B7B59" w:rsidRDefault="000C6DE6" w:rsidP="000C6DE6">
      <w:pPr>
        <w:pStyle w:val="PI-1labEMEASMCA"/>
        <w:rPr>
          <w:rFonts w:ascii="Times New Roman" w:hAnsi="Times New Roman"/>
          <w:noProof w:val="0"/>
          <w:sz w:val="22"/>
          <w:szCs w:val="22"/>
        </w:rPr>
      </w:pPr>
      <w:r w:rsidRPr="007B7B59">
        <w:rPr>
          <w:rFonts w:ascii="Times New Roman" w:hAnsi="Times New Roman"/>
          <w:noProof w:val="0"/>
          <w:sz w:val="22"/>
          <w:szCs w:val="22"/>
        </w:rPr>
        <w:lastRenderedPageBreak/>
        <w:t>INFORMACIJA ANT IŠORINĖS PAKUOTĖS</w:t>
      </w:r>
    </w:p>
    <w:p w14:paraId="17177307" w14:textId="77777777" w:rsidR="000C6DE6" w:rsidRPr="007B7B59" w:rsidRDefault="000C6DE6" w:rsidP="000C6DE6">
      <w:pPr>
        <w:pStyle w:val="PI-1labEMEASMCA"/>
        <w:rPr>
          <w:rFonts w:ascii="Times New Roman" w:hAnsi="Times New Roman"/>
          <w:noProof w:val="0"/>
          <w:sz w:val="22"/>
          <w:szCs w:val="22"/>
        </w:rPr>
      </w:pPr>
    </w:p>
    <w:p w14:paraId="79A4A30A" w14:textId="77777777" w:rsidR="000C6DE6" w:rsidRPr="007B7B59" w:rsidRDefault="000C6DE6" w:rsidP="000C6DE6">
      <w:pPr>
        <w:pStyle w:val="PI-1labEMEASMCA"/>
        <w:rPr>
          <w:rFonts w:ascii="Times New Roman" w:hAnsi="Times New Roman"/>
          <w:bCs/>
          <w:noProof w:val="0"/>
          <w:sz w:val="22"/>
          <w:szCs w:val="22"/>
        </w:rPr>
      </w:pPr>
      <w:r w:rsidRPr="007B7B59">
        <w:rPr>
          <w:rFonts w:ascii="Times New Roman" w:hAnsi="Times New Roman"/>
          <w:noProof w:val="0"/>
          <w:sz w:val="22"/>
          <w:szCs w:val="22"/>
        </w:rPr>
        <w:t>KARTO</w:t>
      </w:r>
      <w:r w:rsidR="00043768" w:rsidRPr="007B7B59">
        <w:rPr>
          <w:rFonts w:ascii="Times New Roman" w:hAnsi="Times New Roman"/>
          <w:noProof w:val="0"/>
          <w:sz w:val="22"/>
          <w:szCs w:val="22"/>
        </w:rPr>
        <w:t>NO</w:t>
      </w:r>
      <w:r w:rsidRPr="007B7B59">
        <w:rPr>
          <w:rFonts w:ascii="Times New Roman" w:hAnsi="Times New Roman"/>
          <w:noProof w:val="0"/>
          <w:sz w:val="22"/>
          <w:szCs w:val="22"/>
        </w:rPr>
        <w:t xml:space="preserve"> DĖŽUTĖ</w:t>
      </w:r>
    </w:p>
    <w:p w14:paraId="3C0FAC1F" w14:textId="77777777" w:rsidR="000C6DE6" w:rsidRPr="007B7B59" w:rsidRDefault="000C6DE6" w:rsidP="000C6DE6">
      <w:pPr>
        <w:pStyle w:val="BTEMEASMCA"/>
        <w:rPr>
          <w:noProof w:val="0"/>
          <w:sz w:val="22"/>
          <w:szCs w:val="22"/>
        </w:rPr>
      </w:pPr>
    </w:p>
    <w:p w14:paraId="404AF3E8" w14:textId="77777777" w:rsidR="000C6DE6" w:rsidRPr="007B7B59" w:rsidRDefault="000C6DE6" w:rsidP="000C6DE6">
      <w:pPr>
        <w:pStyle w:val="PI-1labEMEASMCA"/>
        <w:rPr>
          <w:rFonts w:ascii="Times New Roman" w:hAnsi="Times New Roman"/>
          <w:noProof w:val="0"/>
          <w:sz w:val="22"/>
          <w:szCs w:val="22"/>
        </w:rPr>
      </w:pPr>
      <w:r w:rsidRPr="007B7B59">
        <w:rPr>
          <w:rFonts w:ascii="Times New Roman" w:hAnsi="Times New Roman"/>
          <w:noProof w:val="0"/>
          <w:sz w:val="22"/>
          <w:szCs w:val="22"/>
        </w:rPr>
        <w:t>1.</w:t>
      </w:r>
      <w:r w:rsidRPr="007B7B59">
        <w:rPr>
          <w:rFonts w:ascii="Times New Roman" w:hAnsi="Times New Roman"/>
          <w:noProof w:val="0"/>
          <w:sz w:val="22"/>
          <w:szCs w:val="22"/>
        </w:rPr>
        <w:tab/>
        <w:t>VAISTINIO PREPARATO PAVADINIMAS</w:t>
      </w:r>
    </w:p>
    <w:p w14:paraId="167BF289" w14:textId="77777777" w:rsidR="000C6DE6" w:rsidRPr="007B7B59" w:rsidRDefault="000C6DE6" w:rsidP="000C6DE6">
      <w:pPr>
        <w:pStyle w:val="BTEMEASMCA"/>
        <w:rPr>
          <w:noProof w:val="0"/>
          <w:sz w:val="22"/>
          <w:szCs w:val="22"/>
        </w:rPr>
      </w:pPr>
    </w:p>
    <w:p w14:paraId="2C1430C9" w14:textId="77777777" w:rsidR="000C6DE6" w:rsidRPr="007B7B59" w:rsidRDefault="000C6DE6" w:rsidP="000C6DE6">
      <w:pPr>
        <w:rPr>
          <w:szCs w:val="22"/>
        </w:rPr>
      </w:pPr>
      <w:r w:rsidRPr="007B7B59">
        <w:rPr>
          <w:szCs w:val="22"/>
        </w:rPr>
        <w:t>AROMASIN 25 mg dengtos tabletės</w:t>
      </w:r>
    </w:p>
    <w:p w14:paraId="1DA05FA5" w14:textId="658AB9B7" w:rsidR="000C6DE6" w:rsidRPr="007B7B59" w:rsidRDefault="00EB5106" w:rsidP="000C6DE6">
      <w:pPr>
        <w:rPr>
          <w:szCs w:val="22"/>
        </w:rPr>
      </w:pPr>
      <w:proofErr w:type="spellStart"/>
      <w:r>
        <w:rPr>
          <w:szCs w:val="22"/>
        </w:rPr>
        <w:t>e</w:t>
      </w:r>
      <w:r w:rsidR="000C6DE6" w:rsidRPr="007B7B59">
        <w:rPr>
          <w:szCs w:val="22"/>
        </w:rPr>
        <w:t>ksemestanas</w:t>
      </w:r>
      <w:proofErr w:type="spellEnd"/>
    </w:p>
    <w:p w14:paraId="2C820181" w14:textId="77777777" w:rsidR="000C6DE6" w:rsidRPr="007B7B59" w:rsidRDefault="000C6DE6" w:rsidP="000C6DE6">
      <w:pPr>
        <w:pStyle w:val="BTEMEASMCA"/>
        <w:rPr>
          <w:noProof w:val="0"/>
          <w:sz w:val="22"/>
          <w:szCs w:val="22"/>
        </w:rPr>
      </w:pPr>
    </w:p>
    <w:p w14:paraId="12806D0F" w14:textId="77777777" w:rsidR="000C6DE6" w:rsidRPr="007B7B59" w:rsidRDefault="000C6DE6" w:rsidP="000C6DE6">
      <w:pPr>
        <w:pStyle w:val="BTEMEASMCA"/>
        <w:rPr>
          <w:noProof w:val="0"/>
          <w:sz w:val="22"/>
          <w:szCs w:val="22"/>
        </w:rPr>
      </w:pPr>
    </w:p>
    <w:p w14:paraId="63E49EF4" w14:textId="77777777" w:rsidR="000C6DE6" w:rsidRPr="007B7B59" w:rsidRDefault="000C6DE6" w:rsidP="000C6DE6">
      <w:pPr>
        <w:pStyle w:val="PI-1labEMEASMCA"/>
        <w:rPr>
          <w:rFonts w:ascii="Times New Roman" w:hAnsi="Times New Roman"/>
          <w:noProof w:val="0"/>
          <w:sz w:val="22"/>
          <w:szCs w:val="22"/>
        </w:rPr>
      </w:pPr>
      <w:r w:rsidRPr="007B7B59">
        <w:rPr>
          <w:rFonts w:ascii="Times New Roman" w:hAnsi="Times New Roman"/>
          <w:noProof w:val="0"/>
          <w:sz w:val="22"/>
          <w:szCs w:val="22"/>
        </w:rPr>
        <w:t>2.</w:t>
      </w:r>
      <w:r w:rsidRPr="007B7B59">
        <w:rPr>
          <w:rFonts w:ascii="Times New Roman" w:hAnsi="Times New Roman"/>
          <w:noProof w:val="0"/>
          <w:sz w:val="22"/>
          <w:szCs w:val="22"/>
        </w:rPr>
        <w:tab/>
        <w:t>VEIKLIOJI MEDŽIAGA IR JOS KIEKIS</w:t>
      </w:r>
    </w:p>
    <w:p w14:paraId="54B2F3EB" w14:textId="77777777" w:rsidR="000C6DE6" w:rsidRPr="007B7B59" w:rsidRDefault="000C6DE6" w:rsidP="000C6DE6">
      <w:pPr>
        <w:pStyle w:val="BTEMEASMCA"/>
        <w:rPr>
          <w:noProof w:val="0"/>
          <w:sz w:val="22"/>
          <w:szCs w:val="22"/>
        </w:rPr>
      </w:pPr>
    </w:p>
    <w:p w14:paraId="7044732F" w14:textId="77777777" w:rsidR="000C6DE6" w:rsidRPr="007B7B59" w:rsidRDefault="000C6DE6" w:rsidP="000C6DE6">
      <w:pPr>
        <w:pStyle w:val="Pagrindinistekstas"/>
        <w:widowControl w:val="0"/>
        <w:spacing w:after="0"/>
        <w:jc w:val="both"/>
        <w:rPr>
          <w:sz w:val="22"/>
          <w:szCs w:val="22"/>
        </w:rPr>
      </w:pPr>
      <w:r w:rsidRPr="007B7B59">
        <w:rPr>
          <w:sz w:val="22"/>
          <w:szCs w:val="22"/>
        </w:rPr>
        <w:t xml:space="preserve">Vienoje dengtoje tabletėje yra 25 mg </w:t>
      </w:r>
      <w:proofErr w:type="spellStart"/>
      <w:r w:rsidRPr="007B7B59">
        <w:rPr>
          <w:sz w:val="22"/>
          <w:szCs w:val="22"/>
        </w:rPr>
        <w:t>eksemestano</w:t>
      </w:r>
      <w:proofErr w:type="spellEnd"/>
      <w:r w:rsidRPr="007B7B59">
        <w:rPr>
          <w:sz w:val="22"/>
          <w:szCs w:val="22"/>
        </w:rPr>
        <w:t>.</w:t>
      </w:r>
    </w:p>
    <w:p w14:paraId="0D03B2BC" w14:textId="77777777" w:rsidR="000C6DE6" w:rsidRPr="007B7B59" w:rsidRDefault="000C6DE6" w:rsidP="000C6DE6">
      <w:pPr>
        <w:pStyle w:val="BTEMEASMCA"/>
        <w:rPr>
          <w:noProof w:val="0"/>
          <w:sz w:val="22"/>
          <w:szCs w:val="22"/>
        </w:rPr>
      </w:pPr>
    </w:p>
    <w:p w14:paraId="61EC960F" w14:textId="77777777" w:rsidR="000C6DE6" w:rsidRPr="007B7B59" w:rsidRDefault="000C6DE6" w:rsidP="000C6DE6">
      <w:pPr>
        <w:pStyle w:val="BTEMEASMCA"/>
        <w:rPr>
          <w:noProof w:val="0"/>
          <w:sz w:val="22"/>
          <w:szCs w:val="22"/>
        </w:rPr>
      </w:pPr>
    </w:p>
    <w:p w14:paraId="4C45AD64" w14:textId="77777777" w:rsidR="000C6DE6" w:rsidRPr="00201461" w:rsidRDefault="000C6DE6" w:rsidP="000C6DE6">
      <w:pPr>
        <w:pStyle w:val="PI-1labEMEASMCA"/>
        <w:rPr>
          <w:rFonts w:ascii="Times New Roman" w:hAnsi="Times New Roman"/>
          <w:noProof w:val="0"/>
          <w:sz w:val="22"/>
          <w:szCs w:val="22"/>
          <w:highlight w:val="lightGray"/>
        </w:rPr>
      </w:pPr>
      <w:r w:rsidRPr="007B7B59">
        <w:rPr>
          <w:rFonts w:ascii="Times New Roman" w:hAnsi="Times New Roman"/>
          <w:noProof w:val="0"/>
          <w:sz w:val="22"/>
          <w:szCs w:val="22"/>
        </w:rPr>
        <w:t>3.</w:t>
      </w:r>
      <w:r w:rsidRPr="007B7B59">
        <w:rPr>
          <w:rFonts w:ascii="Times New Roman" w:hAnsi="Times New Roman"/>
          <w:noProof w:val="0"/>
          <w:sz w:val="22"/>
          <w:szCs w:val="22"/>
        </w:rPr>
        <w:tab/>
        <w:t>PAGALBINIŲ MEDŽIAGŲ SĄRAŠAS</w:t>
      </w:r>
    </w:p>
    <w:p w14:paraId="2819BD68" w14:textId="77777777" w:rsidR="000C6DE6" w:rsidRPr="007B7B59" w:rsidRDefault="000C6DE6" w:rsidP="000C6DE6">
      <w:pPr>
        <w:pStyle w:val="BTEMEASMCA"/>
        <w:rPr>
          <w:noProof w:val="0"/>
          <w:sz w:val="22"/>
          <w:szCs w:val="22"/>
        </w:rPr>
      </w:pPr>
    </w:p>
    <w:p w14:paraId="7E83FDB8" w14:textId="77777777" w:rsidR="000C6DE6" w:rsidRPr="007B7B59" w:rsidRDefault="00890FAA" w:rsidP="000C6DE6">
      <w:pPr>
        <w:rPr>
          <w:szCs w:val="22"/>
        </w:rPr>
      </w:pPr>
      <w:r>
        <w:rPr>
          <w:szCs w:val="22"/>
        </w:rPr>
        <w:t>Šio vaisto s</w:t>
      </w:r>
      <w:r w:rsidR="000C6DE6" w:rsidRPr="007B7B59">
        <w:rPr>
          <w:szCs w:val="22"/>
        </w:rPr>
        <w:t>udėtyje yra sacharozės ir metil</w:t>
      </w:r>
      <w:r w:rsidR="00FE0F95" w:rsidRPr="007B7B59">
        <w:rPr>
          <w:szCs w:val="22"/>
        </w:rPr>
        <w:t xml:space="preserve">o </w:t>
      </w:r>
      <w:proofErr w:type="spellStart"/>
      <w:r w:rsidR="000C6DE6" w:rsidRPr="007B7B59">
        <w:rPr>
          <w:szCs w:val="22"/>
        </w:rPr>
        <w:t>parahidroksibenzoato</w:t>
      </w:r>
      <w:proofErr w:type="spellEnd"/>
      <w:r w:rsidR="000C6DE6" w:rsidRPr="007B7B59">
        <w:rPr>
          <w:szCs w:val="22"/>
        </w:rPr>
        <w:t xml:space="preserve"> (E218).</w:t>
      </w:r>
    </w:p>
    <w:p w14:paraId="28A96BDD" w14:textId="77777777" w:rsidR="000C6DE6" w:rsidRPr="007B7B59" w:rsidRDefault="000C6DE6" w:rsidP="000C6DE6">
      <w:pPr>
        <w:pStyle w:val="BTEMEASMCA"/>
        <w:rPr>
          <w:noProof w:val="0"/>
          <w:sz w:val="22"/>
          <w:szCs w:val="22"/>
        </w:rPr>
      </w:pPr>
    </w:p>
    <w:p w14:paraId="069BC60B" w14:textId="77777777" w:rsidR="000C6DE6" w:rsidRPr="007B7B59" w:rsidRDefault="000C6DE6" w:rsidP="000C6DE6">
      <w:pPr>
        <w:pStyle w:val="BTEMEASMCA"/>
        <w:rPr>
          <w:noProof w:val="0"/>
          <w:sz w:val="22"/>
          <w:szCs w:val="22"/>
        </w:rPr>
      </w:pPr>
      <w:r w:rsidRPr="007B7B59">
        <w:rPr>
          <w:noProof w:val="0"/>
          <w:sz w:val="22"/>
          <w:szCs w:val="22"/>
        </w:rPr>
        <w:t xml:space="preserve">Daugiau informacijos </w:t>
      </w:r>
      <w:r w:rsidR="00890FAA">
        <w:rPr>
          <w:noProof w:val="0"/>
          <w:sz w:val="22"/>
          <w:szCs w:val="22"/>
        </w:rPr>
        <w:t>rasite</w:t>
      </w:r>
      <w:r w:rsidRPr="007B7B59">
        <w:rPr>
          <w:noProof w:val="0"/>
          <w:sz w:val="22"/>
          <w:szCs w:val="22"/>
        </w:rPr>
        <w:t xml:space="preserve"> pakuotės lapelyje</w:t>
      </w:r>
      <w:r w:rsidR="00890FAA">
        <w:rPr>
          <w:noProof w:val="0"/>
          <w:sz w:val="22"/>
          <w:szCs w:val="22"/>
        </w:rPr>
        <w:t>.</w:t>
      </w:r>
      <w:r w:rsidRPr="007B7B59">
        <w:rPr>
          <w:noProof w:val="0"/>
          <w:sz w:val="22"/>
          <w:szCs w:val="22"/>
        </w:rPr>
        <w:t xml:space="preserve"> </w:t>
      </w:r>
    </w:p>
    <w:p w14:paraId="210955C9" w14:textId="77777777" w:rsidR="000C6DE6" w:rsidRPr="007B7B59" w:rsidRDefault="000C6DE6" w:rsidP="000C6DE6">
      <w:pPr>
        <w:pStyle w:val="BTEMEASMCA"/>
        <w:rPr>
          <w:noProof w:val="0"/>
          <w:sz w:val="22"/>
          <w:szCs w:val="22"/>
        </w:rPr>
      </w:pPr>
    </w:p>
    <w:p w14:paraId="7E2CC5ED" w14:textId="77777777" w:rsidR="000C6DE6" w:rsidRPr="007B7B59" w:rsidRDefault="000C6DE6" w:rsidP="000C6DE6">
      <w:pPr>
        <w:pStyle w:val="BTEMEASMCA"/>
        <w:rPr>
          <w:noProof w:val="0"/>
          <w:sz w:val="22"/>
          <w:szCs w:val="22"/>
        </w:rPr>
      </w:pPr>
    </w:p>
    <w:p w14:paraId="16B200FF" w14:textId="77777777" w:rsidR="000C6DE6" w:rsidRPr="007B7B59" w:rsidRDefault="000C6DE6" w:rsidP="000C6DE6">
      <w:pPr>
        <w:pStyle w:val="PI-1labEMEASMCA"/>
        <w:rPr>
          <w:rFonts w:ascii="Times New Roman" w:hAnsi="Times New Roman"/>
          <w:noProof w:val="0"/>
          <w:sz w:val="22"/>
          <w:szCs w:val="22"/>
        </w:rPr>
      </w:pPr>
      <w:r w:rsidRPr="007B7B59">
        <w:rPr>
          <w:rFonts w:ascii="Times New Roman" w:hAnsi="Times New Roman"/>
          <w:noProof w:val="0"/>
          <w:sz w:val="22"/>
          <w:szCs w:val="22"/>
        </w:rPr>
        <w:t>4.</w:t>
      </w:r>
      <w:r w:rsidRPr="007B7B59">
        <w:rPr>
          <w:rFonts w:ascii="Times New Roman" w:hAnsi="Times New Roman"/>
          <w:noProof w:val="0"/>
          <w:sz w:val="22"/>
          <w:szCs w:val="22"/>
        </w:rPr>
        <w:tab/>
        <w:t>FARMACINĖ FORMA IR KIEKIS PAKUOTĖJE</w:t>
      </w:r>
    </w:p>
    <w:p w14:paraId="45DCFFB1" w14:textId="77777777" w:rsidR="000C6DE6" w:rsidRPr="007B7B59" w:rsidRDefault="000C6DE6" w:rsidP="000C6DE6">
      <w:pPr>
        <w:pStyle w:val="BTEMEASMCA"/>
        <w:rPr>
          <w:noProof w:val="0"/>
          <w:sz w:val="22"/>
          <w:szCs w:val="22"/>
        </w:rPr>
      </w:pPr>
    </w:p>
    <w:p w14:paraId="4A4A06F6" w14:textId="77777777" w:rsidR="000C6DE6" w:rsidRPr="007B7B59" w:rsidRDefault="000C6DE6" w:rsidP="000C6DE6">
      <w:pPr>
        <w:ind w:left="567" w:hanging="567"/>
        <w:rPr>
          <w:snapToGrid w:val="0"/>
          <w:szCs w:val="22"/>
        </w:rPr>
      </w:pPr>
      <w:r w:rsidRPr="007B7B59">
        <w:rPr>
          <w:snapToGrid w:val="0"/>
          <w:szCs w:val="22"/>
        </w:rPr>
        <w:t>30 dengtų tablečių</w:t>
      </w:r>
    </w:p>
    <w:p w14:paraId="14F9E728" w14:textId="77777777" w:rsidR="000C6DE6" w:rsidRPr="007B7B59" w:rsidRDefault="000C6DE6" w:rsidP="000C6DE6">
      <w:pPr>
        <w:pStyle w:val="BTEMEASMCA"/>
        <w:rPr>
          <w:noProof w:val="0"/>
          <w:sz w:val="22"/>
          <w:szCs w:val="22"/>
        </w:rPr>
      </w:pPr>
    </w:p>
    <w:p w14:paraId="5225B090" w14:textId="77777777" w:rsidR="000C6DE6" w:rsidRPr="007B7B59" w:rsidRDefault="000C6DE6" w:rsidP="000C6DE6">
      <w:pPr>
        <w:pStyle w:val="BTEMEASMCA"/>
        <w:rPr>
          <w:noProof w:val="0"/>
          <w:sz w:val="22"/>
          <w:szCs w:val="22"/>
        </w:rPr>
      </w:pPr>
    </w:p>
    <w:p w14:paraId="0AF365A6" w14:textId="77777777" w:rsidR="000C6DE6" w:rsidRPr="00201461" w:rsidRDefault="000C6DE6" w:rsidP="000C6DE6">
      <w:pPr>
        <w:pStyle w:val="PI-1labEMEASMCA"/>
        <w:rPr>
          <w:rFonts w:ascii="Times New Roman" w:hAnsi="Times New Roman"/>
          <w:noProof w:val="0"/>
          <w:sz w:val="22"/>
          <w:szCs w:val="22"/>
          <w:highlight w:val="lightGray"/>
        </w:rPr>
      </w:pPr>
      <w:r w:rsidRPr="007B7B59">
        <w:rPr>
          <w:rFonts w:ascii="Times New Roman" w:hAnsi="Times New Roman"/>
          <w:noProof w:val="0"/>
          <w:sz w:val="22"/>
          <w:szCs w:val="22"/>
        </w:rPr>
        <w:t>5.</w:t>
      </w:r>
      <w:r w:rsidRPr="007B7B59">
        <w:rPr>
          <w:rFonts w:ascii="Times New Roman" w:hAnsi="Times New Roman"/>
          <w:noProof w:val="0"/>
          <w:sz w:val="22"/>
          <w:szCs w:val="22"/>
        </w:rPr>
        <w:tab/>
        <w:t>VARTOJIMO METODAS IR BŪDAS (-AI)</w:t>
      </w:r>
    </w:p>
    <w:p w14:paraId="368F42E8" w14:textId="77777777" w:rsidR="000C6DE6" w:rsidRPr="007B7B59" w:rsidRDefault="000C6DE6" w:rsidP="000C6DE6">
      <w:pPr>
        <w:pStyle w:val="BTEMEASMCA"/>
        <w:rPr>
          <w:noProof w:val="0"/>
          <w:sz w:val="22"/>
          <w:szCs w:val="22"/>
        </w:rPr>
      </w:pPr>
    </w:p>
    <w:p w14:paraId="3106A190" w14:textId="77777777" w:rsidR="000C6DE6" w:rsidRPr="007B7B59" w:rsidRDefault="000C6DE6" w:rsidP="000C6DE6">
      <w:pPr>
        <w:pStyle w:val="BTEMEASMCA"/>
        <w:rPr>
          <w:noProof w:val="0"/>
          <w:sz w:val="22"/>
          <w:szCs w:val="22"/>
        </w:rPr>
      </w:pPr>
      <w:r w:rsidRPr="007B7B59">
        <w:rPr>
          <w:noProof w:val="0"/>
          <w:sz w:val="22"/>
          <w:szCs w:val="22"/>
        </w:rPr>
        <w:t>Prieš vartojimą perskaitykite pakuotės lapelį.</w:t>
      </w:r>
    </w:p>
    <w:p w14:paraId="6670DEA3" w14:textId="77777777" w:rsidR="000C6DE6" w:rsidRPr="007B7B59" w:rsidRDefault="000C6DE6" w:rsidP="000C6DE6">
      <w:pPr>
        <w:pStyle w:val="BTEMEASMCA"/>
        <w:rPr>
          <w:noProof w:val="0"/>
          <w:sz w:val="22"/>
          <w:szCs w:val="22"/>
        </w:rPr>
      </w:pPr>
    </w:p>
    <w:p w14:paraId="1319FE71" w14:textId="77777777" w:rsidR="000C6DE6" w:rsidRPr="007B7B59" w:rsidRDefault="000C6DE6" w:rsidP="000C6DE6">
      <w:pPr>
        <w:pStyle w:val="BTEMEASMCA"/>
        <w:rPr>
          <w:noProof w:val="0"/>
          <w:sz w:val="22"/>
          <w:szCs w:val="22"/>
        </w:rPr>
      </w:pPr>
      <w:r w:rsidRPr="007B7B59">
        <w:rPr>
          <w:noProof w:val="0"/>
          <w:sz w:val="22"/>
          <w:szCs w:val="22"/>
        </w:rPr>
        <w:t>Vartoti per burną</w:t>
      </w:r>
      <w:r w:rsidR="00511D00">
        <w:rPr>
          <w:noProof w:val="0"/>
          <w:sz w:val="22"/>
          <w:szCs w:val="22"/>
        </w:rPr>
        <w:t>.</w:t>
      </w:r>
    </w:p>
    <w:p w14:paraId="6742E5C1" w14:textId="77777777" w:rsidR="000C6DE6" w:rsidRPr="007B7B59" w:rsidRDefault="000C6DE6" w:rsidP="000C6DE6">
      <w:pPr>
        <w:pStyle w:val="BTEMEASMCA"/>
        <w:rPr>
          <w:noProof w:val="0"/>
          <w:sz w:val="22"/>
          <w:szCs w:val="22"/>
        </w:rPr>
      </w:pPr>
    </w:p>
    <w:p w14:paraId="0C74F981" w14:textId="77777777" w:rsidR="000C6DE6" w:rsidRPr="007B7B59" w:rsidRDefault="000C6DE6" w:rsidP="000C6DE6">
      <w:pPr>
        <w:pStyle w:val="BTEMEASMCA"/>
        <w:rPr>
          <w:noProof w:val="0"/>
          <w:sz w:val="22"/>
          <w:szCs w:val="22"/>
        </w:rPr>
      </w:pPr>
    </w:p>
    <w:p w14:paraId="7E947BE9" w14:textId="77777777" w:rsidR="000C6DE6" w:rsidRPr="007B7B59" w:rsidRDefault="000C6DE6" w:rsidP="000C6DE6">
      <w:pPr>
        <w:pStyle w:val="PI-1labEMEASMCA"/>
        <w:ind w:left="567" w:hanging="567"/>
        <w:rPr>
          <w:rFonts w:ascii="Times New Roman" w:hAnsi="Times New Roman"/>
          <w:noProof w:val="0"/>
          <w:sz w:val="22"/>
          <w:szCs w:val="22"/>
        </w:rPr>
      </w:pPr>
      <w:r w:rsidRPr="007B7B59">
        <w:rPr>
          <w:rFonts w:ascii="Times New Roman" w:hAnsi="Times New Roman"/>
          <w:noProof w:val="0"/>
          <w:sz w:val="22"/>
          <w:szCs w:val="22"/>
        </w:rPr>
        <w:t>6.</w:t>
      </w:r>
      <w:r w:rsidRPr="007B7B59">
        <w:rPr>
          <w:rFonts w:ascii="Times New Roman" w:hAnsi="Times New Roman"/>
          <w:noProof w:val="0"/>
          <w:sz w:val="22"/>
          <w:szCs w:val="22"/>
        </w:rPr>
        <w:tab/>
        <w:t xml:space="preserve">SPECIALUS ĮSPĖJIMAS, KAD VAISTINĮ PREPARATĄ BŪTINA LAIKYTI VAIKAMS NEPASTEBIMOJE </w:t>
      </w:r>
      <w:r w:rsidR="00043768" w:rsidRPr="007B7B59">
        <w:rPr>
          <w:rFonts w:ascii="Times New Roman" w:hAnsi="Times New Roman"/>
          <w:noProof w:val="0"/>
          <w:sz w:val="22"/>
          <w:szCs w:val="22"/>
        </w:rPr>
        <w:t xml:space="preserve">IR NEPASIEKIAMOJE </w:t>
      </w:r>
      <w:r w:rsidRPr="007B7B59">
        <w:rPr>
          <w:rFonts w:ascii="Times New Roman" w:hAnsi="Times New Roman"/>
          <w:noProof w:val="0"/>
          <w:sz w:val="22"/>
          <w:szCs w:val="22"/>
        </w:rPr>
        <w:t>VIETOJE</w:t>
      </w:r>
    </w:p>
    <w:p w14:paraId="2162A6BD" w14:textId="77777777" w:rsidR="000C6DE6" w:rsidRPr="007B7B59" w:rsidRDefault="000C6DE6" w:rsidP="000C6DE6">
      <w:pPr>
        <w:pStyle w:val="BTEMEASMCA"/>
        <w:rPr>
          <w:noProof w:val="0"/>
          <w:sz w:val="22"/>
          <w:szCs w:val="22"/>
        </w:rPr>
      </w:pPr>
    </w:p>
    <w:p w14:paraId="60A35555" w14:textId="77777777" w:rsidR="000C6DE6" w:rsidRPr="007B7B59" w:rsidRDefault="000C6DE6" w:rsidP="000C6DE6">
      <w:pPr>
        <w:pStyle w:val="BTEMEASMCA"/>
        <w:rPr>
          <w:noProof w:val="0"/>
          <w:sz w:val="22"/>
          <w:szCs w:val="22"/>
        </w:rPr>
      </w:pPr>
      <w:r w:rsidRPr="007B7B59">
        <w:rPr>
          <w:noProof w:val="0"/>
          <w:sz w:val="22"/>
          <w:szCs w:val="22"/>
        </w:rPr>
        <w:t xml:space="preserve">Laikyti vaikams nepastebimoje </w:t>
      </w:r>
      <w:r w:rsidR="00043768" w:rsidRPr="007B7B59">
        <w:rPr>
          <w:noProof w:val="0"/>
          <w:sz w:val="22"/>
          <w:szCs w:val="22"/>
        </w:rPr>
        <w:t xml:space="preserve">ir nepasiekiamoje </w:t>
      </w:r>
      <w:r w:rsidRPr="007B7B59">
        <w:rPr>
          <w:noProof w:val="0"/>
          <w:sz w:val="22"/>
          <w:szCs w:val="22"/>
        </w:rPr>
        <w:t>vietoje.</w:t>
      </w:r>
    </w:p>
    <w:p w14:paraId="750D9251" w14:textId="77777777" w:rsidR="000C6DE6" w:rsidRPr="007B7B59" w:rsidRDefault="000C6DE6" w:rsidP="000C6DE6">
      <w:pPr>
        <w:pStyle w:val="BTEMEASMCA"/>
        <w:rPr>
          <w:noProof w:val="0"/>
          <w:sz w:val="22"/>
          <w:szCs w:val="22"/>
        </w:rPr>
      </w:pPr>
    </w:p>
    <w:p w14:paraId="24B3119B" w14:textId="77777777" w:rsidR="000C6DE6" w:rsidRPr="007B7B59" w:rsidRDefault="000C6DE6" w:rsidP="000C6DE6">
      <w:pPr>
        <w:pStyle w:val="BTEMEASMCA"/>
        <w:rPr>
          <w:noProof w:val="0"/>
          <w:sz w:val="22"/>
          <w:szCs w:val="22"/>
        </w:rPr>
      </w:pPr>
    </w:p>
    <w:p w14:paraId="04B73B9B" w14:textId="77777777" w:rsidR="000C6DE6" w:rsidRPr="00201461" w:rsidRDefault="000C6DE6" w:rsidP="000C6DE6">
      <w:pPr>
        <w:pStyle w:val="PI-1labEMEASMCA"/>
        <w:rPr>
          <w:rFonts w:ascii="Times New Roman" w:hAnsi="Times New Roman"/>
          <w:noProof w:val="0"/>
          <w:sz w:val="22"/>
          <w:szCs w:val="22"/>
          <w:highlight w:val="lightGray"/>
        </w:rPr>
      </w:pPr>
      <w:r w:rsidRPr="007B7B59">
        <w:rPr>
          <w:rFonts w:ascii="Times New Roman" w:hAnsi="Times New Roman"/>
          <w:noProof w:val="0"/>
          <w:sz w:val="22"/>
          <w:szCs w:val="22"/>
        </w:rPr>
        <w:t>7.</w:t>
      </w:r>
      <w:r w:rsidRPr="007B7B59">
        <w:rPr>
          <w:rFonts w:ascii="Times New Roman" w:hAnsi="Times New Roman"/>
          <w:noProof w:val="0"/>
          <w:sz w:val="22"/>
          <w:szCs w:val="22"/>
        </w:rPr>
        <w:tab/>
        <w:t>KITAS (-I) SPECIALUS (-ŪS) ĮSPĖJIMAS (-AI) (JEI REIKIA)</w:t>
      </w:r>
    </w:p>
    <w:p w14:paraId="04766A0D" w14:textId="77777777" w:rsidR="000C6DE6" w:rsidRPr="007B7B59" w:rsidRDefault="000C6DE6" w:rsidP="000C6DE6">
      <w:pPr>
        <w:pStyle w:val="BTEMEASMCA"/>
        <w:rPr>
          <w:noProof w:val="0"/>
          <w:sz w:val="22"/>
          <w:szCs w:val="22"/>
        </w:rPr>
      </w:pPr>
    </w:p>
    <w:p w14:paraId="4DCF25CD" w14:textId="77777777" w:rsidR="000C6DE6" w:rsidRPr="007B7B59" w:rsidRDefault="000C6DE6" w:rsidP="000C6DE6">
      <w:pPr>
        <w:pStyle w:val="BTEMEASMCA"/>
        <w:rPr>
          <w:noProof w:val="0"/>
          <w:sz w:val="22"/>
          <w:szCs w:val="22"/>
        </w:rPr>
      </w:pPr>
    </w:p>
    <w:p w14:paraId="1EEA0257" w14:textId="77777777" w:rsidR="000C6DE6" w:rsidRPr="00201461" w:rsidRDefault="000C6DE6" w:rsidP="000C6DE6">
      <w:pPr>
        <w:pStyle w:val="PI-1labEMEASMCA"/>
        <w:rPr>
          <w:rFonts w:ascii="Times New Roman" w:hAnsi="Times New Roman"/>
          <w:noProof w:val="0"/>
          <w:sz w:val="22"/>
          <w:szCs w:val="22"/>
          <w:highlight w:val="lightGray"/>
        </w:rPr>
      </w:pPr>
      <w:r w:rsidRPr="007B7B59">
        <w:rPr>
          <w:rFonts w:ascii="Times New Roman" w:hAnsi="Times New Roman"/>
          <w:noProof w:val="0"/>
          <w:sz w:val="22"/>
          <w:szCs w:val="22"/>
        </w:rPr>
        <w:t>8.</w:t>
      </w:r>
      <w:r w:rsidRPr="007B7B59">
        <w:rPr>
          <w:rFonts w:ascii="Times New Roman" w:hAnsi="Times New Roman"/>
          <w:noProof w:val="0"/>
          <w:sz w:val="22"/>
          <w:szCs w:val="22"/>
        </w:rPr>
        <w:tab/>
        <w:t>TINKAMUMO LAIKAS</w:t>
      </w:r>
    </w:p>
    <w:p w14:paraId="1268876B" w14:textId="77777777" w:rsidR="000C6DE6" w:rsidRPr="007B7B59" w:rsidRDefault="000C6DE6" w:rsidP="000C6DE6">
      <w:pPr>
        <w:pStyle w:val="BTEMEASMCA"/>
        <w:rPr>
          <w:noProof w:val="0"/>
          <w:sz w:val="22"/>
          <w:szCs w:val="22"/>
        </w:rPr>
      </w:pPr>
    </w:p>
    <w:p w14:paraId="4F1FD61B" w14:textId="77777777" w:rsidR="000C6DE6" w:rsidRPr="007B7B59" w:rsidRDefault="00153FE2" w:rsidP="000C6DE6">
      <w:pPr>
        <w:pStyle w:val="BTEMEASMCA"/>
        <w:rPr>
          <w:i/>
          <w:noProof w:val="0"/>
          <w:sz w:val="22"/>
          <w:szCs w:val="22"/>
        </w:rPr>
      </w:pPr>
      <w:r>
        <w:rPr>
          <w:noProof w:val="0"/>
          <w:sz w:val="22"/>
          <w:szCs w:val="22"/>
        </w:rPr>
        <w:t>EXP</w:t>
      </w:r>
      <w:r w:rsidR="00AA2855" w:rsidRPr="007B7B59">
        <w:rPr>
          <w:noProof w:val="0"/>
          <w:sz w:val="22"/>
          <w:szCs w:val="22"/>
        </w:rPr>
        <w:t xml:space="preserve"> </w:t>
      </w:r>
      <w:r w:rsidR="00AA2855" w:rsidRPr="007B7B59">
        <w:rPr>
          <w:i/>
          <w:noProof w:val="0"/>
          <w:sz w:val="22"/>
          <w:szCs w:val="22"/>
        </w:rPr>
        <w:t>MMMM/mm (metai/mėnuo)</w:t>
      </w:r>
    </w:p>
    <w:p w14:paraId="1365B988" w14:textId="77777777" w:rsidR="000C6DE6" w:rsidRPr="007B7B59" w:rsidRDefault="000C6DE6" w:rsidP="000C6DE6">
      <w:pPr>
        <w:pStyle w:val="BTEMEASMCA"/>
        <w:rPr>
          <w:noProof w:val="0"/>
          <w:sz w:val="22"/>
          <w:szCs w:val="22"/>
        </w:rPr>
      </w:pPr>
    </w:p>
    <w:p w14:paraId="408B4337" w14:textId="77777777" w:rsidR="000C6DE6" w:rsidRPr="007B7B59" w:rsidRDefault="000C6DE6" w:rsidP="000C6DE6">
      <w:pPr>
        <w:pStyle w:val="BTEMEASMCA"/>
        <w:rPr>
          <w:noProof w:val="0"/>
          <w:sz w:val="22"/>
          <w:szCs w:val="22"/>
        </w:rPr>
      </w:pPr>
    </w:p>
    <w:p w14:paraId="399E6049" w14:textId="77777777" w:rsidR="000C6DE6" w:rsidRPr="007B7B59" w:rsidRDefault="000C6DE6" w:rsidP="000C6DE6">
      <w:pPr>
        <w:pStyle w:val="PI-1labEMEASMCA"/>
        <w:rPr>
          <w:rFonts w:ascii="Times New Roman" w:hAnsi="Times New Roman"/>
          <w:noProof w:val="0"/>
          <w:sz w:val="22"/>
          <w:szCs w:val="22"/>
        </w:rPr>
      </w:pPr>
      <w:r w:rsidRPr="007B7B59">
        <w:rPr>
          <w:rFonts w:ascii="Times New Roman" w:hAnsi="Times New Roman"/>
          <w:noProof w:val="0"/>
          <w:sz w:val="22"/>
          <w:szCs w:val="22"/>
        </w:rPr>
        <w:t>9.</w:t>
      </w:r>
      <w:r w:rsidRPr="007B7B59">
        <w:rPr>
          <w:rFonts w:ascii="Times New Roman" w:hAnsi="Times New Roman"/>
          <w:noProof w:val="0"/>
          <w:sz w:val="22"/>
          <w:szCs w:val="22"/>
        </w:rPr>
        <w:tab/>
        <w:t>SPECIALIOS LAIKYMO SĄLYGOS</w:t>
      </w:r>
    </w:p>
    <w:p w14:paraId="0BE0990E" w14:textId="77777777" w:rsidR="000C6DE6" w:rsidRPr="007B7B59" w:rsidRDefault="000C6DE6" w:rsidP="000C6DE6">
      <w:pPr>
        <w:rPr>
          <w:szCs w:val="22"/>
        </w:rPr>
      </w:pPr>
    </w:p>
    <w:p w14:paraId="425C5AF8" w14:textId="77777777" w:rsidR="000C6DE6" w:rsidRPr="007B7B59" w:rsidRDefault="000C6DE6" w:rsidP="000C6DE6">
      <w:pPr>
        <w:pStyle w:val="BTEMEASMCA"/>
        <w:rPr>
          <w:noProof w:val="0"/>
          <w:sz w:val="22"/>
          <w:szCs w:val="22"/>
        </w:rPr>
      </w:pPr>
    </w:p>
    <w:p w14:paraId="6C1AAE5D" w14:textId="77777777" w:rsidR="000C6DE6" w:rsidRPr="007B7B59" w:rsidRDefault="000C6DE6" w:rsidP="000C6DE6">
      <w:pPr>
        <w:pStyle w:val="BTEMEASMCA"/>
        <w:rPr>
          <w:noProof w:val="0"/>
          <w:sz w:val="22"/>
          <w:szCs w:val="22"/>
        </w:rPr>
      </w:pPr>
    </w:p>
    <w:p w14:paraId="56A0108F" w14:textId="77777777" w:rsidR="000C6DE6" w:rsidRPr="007B7B59" w:rsidRDefault="000C6DE6" w:rsidP="000C6DE6">
      <w:pPr>
        <w:pStyle w:val="PI-1labEMEASMCA"/>
        <w:ind w:left="567" w:hanging="567"/>
        <w:rPr>
          <w:rFonts w:ascii="Times New Roman" w:hAnsi="Times New Roman"/>
          <w:noProof w:val="0"/>
          <w:sz w:val="22"/>
          <w:szCs w:val="22"/>
        </w:rPr>
      </w:pPr>
      <w:r w:rsidRPr="007B7B59">
        <w:rPr>
          <w:rFonts w:ascii="Times New Roman" w:hAnsi="Times New Roman"/>
          <w:noProof w:val="0"/>
          <w:sz w:val="22"/>
          <w:szCs w:val="22"/>
        </w:rPr>
        <w:t>10.</w:t>
      </w:r>
      <w:r w:rsidRPr="007B7B59">
        <w:rPr>
          <w:rFonts w:ascii="Times New Roman" w:hAnsi="Times New Roman"/>
          <w:noProof w:val="0"/>
          <w:sz w:val="22"/>
          <w:szCs w:val="22"/>
        </w:rPr>
        <w:tab/>
        <w:t xml:space="preserve">SPECIALIOS ATSARGUMO PRIEMONĖS DĖL NESUVARTOTO </w:t>
      </w:r>
      <w:r w:rsidRPr="007B7B59">
        <w:rPr>
          <w:rFonts w:ascii="Times New Roman" w:hAnsi="Times New Roman"/>
          <w:bCs/>
          <w:noProof w:val="0"/>
          <w:sz w:val="22"/>
          <w:szCs w:val="22"/>
        </w:rPr>
        <w:t xml:space="preserve">VAISTINIO PREPARATO AR JO ATLIEKŲ </w:t>
      </w:r>
      <w:r w:rsidRPr="007B7B59">
        <w:rPr>
          <w:rFonts w:ascii="Times New Roman" w:hAnsi="Times New Roman"/>
          <w:noProof w:val="0"/>
          <w:sz w:val="22"/>
          <w:szCs w:val="22"/>
        </w:rPr>
        <w:t>TVARKYMO (JEI REIKIA)</w:t>
      </w:r>
    </w:p>
    <w:p w14:paraId="55A811A5" w14:textId="77777777" w:rsidR="000C6DE6" w:rsidRPr="007B7B59" w:rsidRDefault="000C6DE6" w:rsidP="000C6DE6">
      <w:pPr>
        <w:pStyle w:val="BTEMEASMCA"/>
        <w:rPr>
          <w:noProof w:val="0"/>
          <w:sz w:val="22"/>
          <w:szCs w:val="22"/>
        </w:rPr>
      </w:pPr>
    </w:p>
    <w:p w14:paraId="2BB9BCA9" w14:textId="77777777" w:rsidR="000C6DE6" w:rsidRPr="007B7B59" w:rsidRDefault="000C6DE6" w:rsidP="000C6DE6">
      <w:pPr>
        <w:pStyle w:val="BTEMEASMCA"/>
        <w:rPr>
          <w:noProof w:val="0"/>
          <w:sz w:val="22"/>
          <w:szCs w:val="22"/>
        </w:rPr>
      </w:pPr>
    </w:p>
    <w:p w14:paraId="0F877172" w14:textId="77777777" w:rsidR="000C6DE6" w:rsidRPr="007B7B59" w:rsidRDefault="000C6DE6" w:rsidP="000C6DE6">
      <w:pPr>
        <w:pStyle w:val="PI-1labEMEASMCA"/>
        <w:rPr>
          <w:rFonts w:ascii="Times New Roman" w:hAnsi="Times New Roman"/>
          <w:noProof w:val="0"/>
          <w:sz w:val="22"/>
          <w:szCs w:val="22"/>
        </w:rPr>
      </w:pPr>
      <w:r w:rsidRPr="007B7B59">
        <w:rPr>
          <w:rFonts w:ascii="Times New Roman" w:hAnsi="Times New Roman"/>
          <w:noProof w:val="0"/>
          <w:sz w:val="22"/>
          <w:szCs w:val="22"/>
        </w:rPr>
        <w:t>11.</w:t>
      </w:r>
      <w:r w:rsidRPr="007B7B59">
        <w:rPr>
          <w:rFonts w:ascii="Times New Roman" w:hAnsi="Times New Roman"/>
          <w:noProof w:val="0"/>
          <w:sz w:val="22"/>
          <w:szCs w:val="22"/>
        </w:rPr>
        <w:tab/>
      </w:r>
      <w:r w:rsidR="00511D00" w:rsidRPr="00511D00">
        <w:rPr>
          <w:rFonts w:ascii="Times New Roman" w:hAnsi="Times New Roman"/>
          <w:caps/>
          <w:sz w:val="22"/>
          <w:szCs w:val="22"/>
        </w:rPr>
        <w:t>REGISTRUOTOJO</w:t>
      </w:r>
      <w:r w:rsidRPr="007B7B59">
        <w:rPr>
          <w:rFonts w:ascii="Times New Roman" w:hAnsi="Times New Roman"/>
          <w:noProof w:val="0"/>
          <w:sz w:val="22"/>
          <w:szCs w:val="22"/>
        </w:rPr>
        <w:t xml:space="preserve"> PAVADINIMAS IR ADRESAS</w:t>
      </w:r>
    </w:p>
    <w:p w14:paraId="5A17D1EB" w14:textId="77777777" w:rsidR="000C6DE6" w:rsidRPr="007B7B59" w:rsidRDefault="000C6DE6" w:rsidP="000C6DE6">
      <w:pPr>
        <w:pStyle w:val="BTEMEASMCA"/>
        <w:rPr>
          <w:noProof w:val="0"/>
          <w:sz w:val="22"/>
          <w:szCs w:val="22"/>
        </w:rPr>
      </w:pPr>
    </w:p>
    <w:p w14:paraId="5EDD045A" w14:textId="6B782B0B" w:rsidR="000C6DE6" w:rsidRPr="007B7B59" w:rsidRDefault="000C6DE6" w:rsidP="000C6DE6">
      <w:pPr>
        <w:rPr>
          <w:szCs w:val="22"/>
        </w:rPr>
      </w:pPr>
      <w:proofErr w:type="spellStart"/>
      <w:r w:rsidRPr="007B7B59">
        <w:rPr>
          <w:szCs w:val="22"/>
        </w:rPr>
        <w:t>Pfizer</w:t>
      </w:r>
      <w:proofErr w:type="spellEnd"/>
      <w:r w:rsidRPr="007B7B59">
        <w:rPr>
          <w:szCs w:val="22"/>
        </w:rPr>
        <w:t xml:space="preserve"> </w:t>
      </w:r>
      <w:proofErr w:type="spellStart"/>
      <w:r w:rsidRPr="007B7B59">
        <w:rPr>
          <w:szCs w:val="22"/>
        </w:rPr>
        <w:t>Europe</w:t>
      </w:r>
      <w:proofErr w:type="spellEnd"/>
      <w:r w:rsidRPr="007B7B59">
        <w:rPr>
          <w:szCs w:val="22"/>
        </w:rPr>
        <w:t xml:space="preserve"> MA EEIG</w:t>
      </w:r>
    </w:p>
    <w:p w14:paraId="5FFCE4AF" w14:textId="77777777" w:rsidR="002D4769" w:rsidRPr="00FB53AE" w:rsidRDefault="002D4769" w:rsidP="002D4769">
      <w:pPr>
        <w:outlineLvl w:val="0"/>
        <w:rPr>
          <w:lang w:val="fr-CH"/>
        </w:rPr>
      </w:pPr>
      <w:r w:rsidRPr="00FB53AE">
        <w:rPr>
          <w:lang w:val="fr-CH"/>
        </w:rPr>
        <w:t>Boulevard de la Plaine 17</w:t>
      </w:r>
    </w:p>
    <w:p w14:paraId="03DDEE50" w14:textId="77777777" w:rsidR="002D4769" w:rsidRPr="00FB53AE" w:rsidRDefault="002D4769" w:rsidP="002D4769">
      <w:pPr>
        <w:outlineLvl w:val="0"/>
        <w:rPr>
          <w:lang w:val="fr-CH"/>
        </w:rPr>
      </w:pPr>
      <w:r w:rsidRPr="00FB53AE">
        <w:rPr>
          <w:lang w:val="fr-CH"/>
        </w:rPr>
        <w:t>1050 Bruxelles</w:t>
      </w:r>
    </w:p>
    <w:p w14:paraId="0E4C8F0B" w14:textId="2A7EB0DF" w:rsidR="000C6DE6" w:rsidRPr="007B7B59" w:rsidRDefault="002D4769">
      <w:pPr>
        <w:rPr>
          <w:bCs/>
          <w:szCs w:val="22"/>
        </w:rPr>
      </w:pPr>
      <w:proofErr w:type="spellStart"/>
      <w:r w:rsidRPr="00FB53AE">
        <w:rPr>
          <w:lang w:val="fr-CH"/>
        </w:rPr>
        <w:t>Belgija</w:t>
      </w:r>
      <w:proofErr w:type="spellEnd"/>
    </w:p>
    <w:p w14:paraId="2A186367" w14:textId="77777777" w:rsidR="000C6DE6" w:rsidRPr="007B7B59" w:rsidRDefault="000C6DE6" w:rsidP="000C6DE6">
      <w:pPr>
        <w:pStyle w:val="BTEMEASMCA"/>
        <w:rPr>
          <w:noProof w:val="0"/>
          <w:sz w:val="22"/>
          <w:szCs w:val="22"/>
        </w:rPr>
      </w:pPr>
    </w:p>
    <w:p w14:paraId="04AA280F" w14:textId="77777777" w:rsidR="000C6DE6" w:rsidRPr="007B7B59" w:rsidRDefault="000C6DE6" w:rsidP="000C6DE6">
      <w:pPr>
        <w:pStyle w:val="BTEMEASMCA"/>
        <w:rPr>
          <w:noProof w:val="0"/>
          <w:sz w:val="22"/>
          <w:szCs w:val="22"/>
        </w:rPr>
      </w:pPr>
    </w:p>
    <w:p w14:paraId="0ECF7F6D" w14:textId="77777777" w:rsidR="000C6DE6" w:rsidRPr="007B7B59" w:rsidRDefault="000C6DE6" w:rsidP="000C6DE6">
      <w:pPr>
        <w:pStyle w:val="PI-1labEMEASMCA"/>
        <w:rPr>
          <w:rFonts w:ascii="Times New Roman" w:hAnsi="Times New Roman"/>
          <w:noProof w:val="0"/>
          <w:sz w:val="22"/>
          <w:szCs w:val="22"/>
        </w:rPr>
      </w:pPr>
      <w:r w:rsidRPr="007B7B59">
        <w:rPr>
          <w:rFonts w:ascii="Times New Roman" w:hAnsi="Times New Roman"/>
          <w:noProof w:val="0"/>
          <w:sz w:val="22"/>
          <w:szCs w:val="22"/>
        </w:rPr>
        <w:t>12.</w:t>
      </w:r>
      <w:r w:rsidRPr="007B7B59">
        <w:rPr>
          <w:rFonts w:ascii="Times New Roman" w:hAnsi="Times New Roman"/>
          <w:noProof w:val="0"/>
          <w:sz w:val="22"/>
          <w:szCs w:val="22"/>
        </w:rPr>
        <w:tab/>
      </w:r>
      <w:r w:rsidR="00511D00" w:rsidRPr="00511D00">
        <w:rPr>
          <w:rFonts w:ascii="Times New Roman" w:hAnsi="Times New Roman"/>
          <w:sz w:val="22"/>
          <w:szCs w:val="22"/>
        </w:rPr>
        <w:t>REGISTRACIJOS</w:t>
      </w:r>
      <w:r w:rsidRPr="007B7B59">
        <w:rPr>
          <w:rFonts w:ascii="Times New Roman" w:hAnsi="Times New Roman"/>
          <w:noProof w:val="0"/>
          <w:sz w:val="22"/>
          <w:szCs w:val="22"/>
        </w:rPr>
        <w:t xml:space="preserve"> </w:t>
      </w:r>
      <w:r w:rsidR="00FE0F95" w:rsidRPr="007B7B59">
        <w:rPr>
          <w:rFonts w:ascii="Times New Roman" w:hAnsi="Times New Roman"/>
          <w:noProof w:val="0"/>
          <w:sz w:val="22"/>
          <w:szCs w:val="22"/>
        </w:rPr>
        <w:t>PAŽYMĖJIMO</w:t>
      </w:r>
      <w:r w:rsidRPr="007B7B59">
        <w:rPr>
          <w:rFonts w:ascii="Times New Roman" w:hAnsi="Times New Roman"/>
          <w:noProof w:val="0"/>
          <w:sz w:val="22"/>
          <w:szCs w:val="22"/>
        </w:rPr>
        <w:t xml:space="preserve"> NUMERIS </w:t>
      </w:r>
    </w:p>
    <w:p w14:paraId="49582002" w14:textId="77777777" w:rsidR="000C6DE6" w:rsidRPr="007B7B59" w:rsidRDefault="000C6DE6" w:rsidP="000C6DE6">
      <w:pPr>
        <w:pStyle w:val="BTEMEASMCA"/>
        <w:rPr>
          <w:noProof w:val="0"/>
          <w:sz w:val="22"/>
          <w:szCs w:val="22"/>
        </w:rPr>
      </w:pPr>
    </w:p>
    <w:p w14:paraId="54D0DB65" w14:textId="77777777" w:rsidR="000C6DE6" w:rsidRPr="007B7B59" w:rsidRDefault="000C6DE6" w:rsidP="000C6DE6">
      <w:pPr>
        <w:rPr>
          <w:szCs w:val="22"/>
        </w:rPr>
      </w:pPr>
      <w:r w:rsidRPr="007B7B59">
        <w:rPr>
          <w:szCs w:val="22"/>
        </w:rPr>
        <w:t>LT/1/2000/1224/001</w:t>
      </w:r>
    </w:p>
    <w:p w14:paraId="6B7D9665" w14:textId="77777777" w:rsidR="000C6DE6" w:rsidRPr="007B7B59" w:rsidRDefault="000C6DE6" w:rsidP="000C6DE6">
      <w:pPr>
        <w:pStyle w:val="BTEMEASMCA"/>
        <w:rPr>
          <w:noProof w:val="0"/>
          <w:sz w:val="22"/>
          <w:szCs w:val="22"/>
        </w:rPr>
      </w:pPr>
    </w:p>
    <w:p w14:paraId="4BFF7F53" w14:textId="77777777" w:rsidR="000C6DE6" w:rsidRPr="007B7B59" w:rsidRDefault="000C6DE6" w:rsidP="000C6DE6">
      <w:pPr>
        <w:pStyle w:val="PI-1labEMEASMCA"/>
        <w:rPr>
          <w:rFonts w:ascii="Times New Roman" w:hAnsi="Times New Roman"/>
          <w:noProof w:val="0"/>
          <w:sz w:val="22"/>
          <w:szCs w:val="22"/>
        </w:rPr>
      </w:pPr>
      <w:r w:rsidRPr="007B7B59">
        <w:rPr>
          <w:rFonts w:ascii="Times New Roman" w:hAnsi="Times New Roman"/>
          <w:noProof w:val="0"/>
          <w:sz w:val="22"/>
          <w:szCs w:val="22"/>
        </w:rPr>
        <w:t>13.</w:t>
      </w:r>
      <w:r w:rsidRPr="007B7B59">
        <w:rPr>
          <w:rFonts w:ascii="Times New Roman" w:hAnsi="Times New Roman"/>
          <w:noProof w:val="0"/>
          <w:sz w:val="22"/>
          <w:szCs w:val="22"/>
        </w:rPr>
        <w:tab/>
        <w:t>SERIJOS NUMERIS</w:t>
      </w:r>
      <w:r w:rsidRPr="007B7B59">
        <w:rPr>
          <w:rFonts w:ascii="Times New Roman" w:hAnsi="Times New Roman"/>
          <w:caps/>
          <w:noProof w:val="0"/>
          <w:sz w:val="22"/>
          <w:szCs w:val="22"/>
        </w:rPr>
        <w:t xml:space="preserve"> </w:t>
      </w:r>
    </w:p>
    <w:p w14:paraId="23C47CE1" w14:textId="77777777" w:rsidR="000C6DE6" w:rsidRPr="007B7B59" w:rsidRDefault="000C6DE6" w:rsidP="000C6DE6">
      <w:pPr>
        <w:pStyle w:val="BTEMEASMCA"/>
        <w:rPr>
          <w:noProof w:val="0"/>
          <w:sz w:val="22"/>
          <w:szCs w:val="22"/>
        </w:rPr>
      </w:pPr>
    </w:p>
    <w:p w14:paraId="43F78287" w14:textId="77777777" w:rsidR="000C6DE6" w:rsidRPr="007B7B59" w:rsidRDefault="00153FE2" w:rsidP="000C6DE6">
      <w:pPr>
        <w:pStyle w:val="BTEMEASMCA"/>
        <w:rPr>
          <w:noProof w:val="0"/>
          <w:sz w:val="22"/>
          <w:szCs w:val="22"/>
        </w:rPr>
      </w:pPr>
      <w:proofErr w:type="spellStart"/>
      <w:r>
        <w:rPr>
          <w:noProof w:val="0"/>
          <w:sz w:val="22"/>
          <w:szCs w:val="22"/>
        </w:rPr>
        <w:t>Lot</w:t>
      </w:r>
      <w:proofErr w:type="spellEnd"/>
    </w:p>
    <w:p w14:paraId="09575721" w14:textId="77777777" w:rsidR="000C6DE6" w:rsidRPr="007B7B59" w:rsidRDefault="000C6DE6" w:rsidP="000C6DE6">
      <w:pPr>
        <w:pStyle w:val="BTEMEASMCA"/>
        <w:rPr>
          <w:noProof w:val="0"/>
          <w:sz w:val="22"/>
          <w:szCs w:val="22"/>
        </w:rPr>
      </w:pPr>
    </w:p>
    <w:p w14:paraId="76B6378B" w14:textId="77777777" w:rsidR="000C6DE6" w:rsidRPr="007B7B59" w:rsidRDefault="000C6DE6" w:rsidP="000C6DE6">
      <w:pPr>
        <w:pStyle w:val="BTEMEASMCA"/>
        <w:rPr>
          <w:noProof w:val="0"/>
          <w:sz w:val="22"/>
          <w:szCs w:val="22"/>
        </w:rPr>
      </w:pPr>
    </w:p>
    <w:p w14:paraId="477DD64B" w14:textId="77777777" w:rsidR="000C6DE6" w:rsidRPr="007B7B59" w:rsidRDefault="000C6DE6" w:rsidP="000C6DE6">
      <w:pPr>
        <w:pStyle w:val="PI-1labEMEASMCA"/>
        <w:rPr>
          <w:rFonts w:ascii="Times New Roman" w:hAnsi="Times New Roman"/>
          <w:noProof w:val="0"/>
          <w:sz w:val="22"/>
          <w:szCs w:val="22"/>
        </w:rPr>
      </w:pPr>
      <w:r w:rsidRPr="007B7B59">
        <w:rPr>
          <w:rFonts w:ascii="Times New Roman" w:hAnsi="Times New Roman"/>
          <w:noProof w:val="0"/>
          <w:sz w:val="22"/>
          <w:szCs w:val="22"/>
        </w:rPr>
        <w:t>14.</w:t>
      </w:r>
      <w:r w:rsidRPr="007B7B59">
        <w:rPr>
          <w:rFonts w:ascii="Times New Roman" w:hAnsi="Times New Roman"/>
          <w:noProof w:val="0"/>
          <w:sz w:val="22"/>
          <w:szCs w:val="22"/>
        </w:rPr>
        <w:tab/>
        <w:t>PARDAVIMO (IŠDAVIMO) TVARKA</w:t>
      </w:r>
    </w:p>
    <w:p w14:paraId="4192CC65" w14:textId="77777777" w:rsidR="000C6DE6" w:rsidRPr="007B7B59" w:rsidRDefault="000C6DE6" w:rsidP="000C6DE6">
      <w:pPr>
        <w:pStyle w:val="BTEMEASMCA"/>
        <w:rPr>
          <w:noProof w:val="0"/>
          <w:sz w:val="22"/>
          <w:szCs w:val="22"/>
        </w:rPr>
      </w:pPr>
    </w:p>
    <w:p w14:paraId="37B80DAB" w14:textId="77777777" w:rsidR="000C6DE6" w:rsidRPr="007B7B59" w:rsidRDefault="000C6DE6" w:rsidP="000C6DE6">
      <w:pPr>
        <w:pStyle w:val="BTEMEASMCA"/>
        <w:rPr>
          <w:noProof w:val="0"/>
          <w:sz w:val="22"/>
          <w:szCs w:val="22"/>
        </w:rPr>
      </w:pPr>
      <w:r w:rsidRPr="007B7B59">
        <w:rPr>
          <w:noProof w:val="0"/>
          <w:sz w:val="22"/>
          <w:szCs w:val="22"/>
        </w:rPr>
        <w:t>Receptinis vaist</w:t>
      </w:r>
      <w:r w:rsidR="005C0085">
        <w:rPr>
          <w:noProof w:val="0"/>
          <w:sz w:val="22"/>
          <w:szCs w:val="22"/>
        </w:rPr>
        <w:t>as</w:t>
      </w:r>
    </w:p>
    <w:p w14:paraId="2AF11DD5" w14:textId="77777777" w:rsidR="000C6DE6" w:rsidRPr="007B7B59" w:rsidRDefault="000C6DE6" w:rsidP="000C6DE6">
      <w:pPr>
        <w:pStyle w:val="BTEMEASMCA"/>
        <w:rPr>
          <w:noProof w:val="0"/>
          <w:sz w:val="22"/>
          <w:szCs w:val="22"/>
        </w:rPr>
      </w:pPr>
    </w:p>
    <w:p w14:paraId="7F123D81" w14:textId="77777777" w:rsidR="000C6DE6" w:rsidRPr="007B7B59" w:rsidRDefault="000C6DE6" w:rsidP="000C6DE6">
      <w:pPr>
        <w:pStyle w:val="BTEMEASMCA"/>
        <w:rPr>
          <w:noProof w:val="0"/>
          <w:sz w:val="22"/>
          <w:szCs w:val="22"/>
        </w:rPr>
      </w:pPr>
    </w:p>
    <w:p w14:paraId="79CE88DA" w14:textId="77777777" w:rsidR="000C6DE6" w:rsidRPr="007B7B59" w:rsidRDefault="000C6DE6" w:rsidP="000C6DE6">
      <w:pPr>
        <w:pStyle w:val="PI-1labEMEASMCA"/>
        <w:rPr>
          <w:rFonts w:ascii="Times New Roman" w:hAnsi="Times New Roman"/>
          <w:noProof w:val="0"/>
          <w:sz w:val="22"/>
          <w:szCs w:val="22"/>
        </w:rPr>
      </w:pPr>
      <w:r w:rsidRPr="007B7B59">
        <w:rPr>
          <w:rFonts w:ascii="Times New Roman" w:hAnsi="Times New Roman"/>
          <w:noProof w:val="0"/>
          <w:sz w:val="22"/>
          <w:szCs w:val="22"/>
        </w:rPr>
        <w:t>15.</w:t>
      </w:r>
      <w:r w:rsidRPr="007B7B59">
        <w:rPr>
          <w:rFonts w:ascii="Times New Roman" w:hAnsi="Times New Roman"/>
          <w:noProof w:val="0"/>
          <w:sz w:val="22"/>
          <w:szCs w:val="22"/>
        </w:rPr>
        <w:tab/>
        <w:t>VARTOJIMO INSTRUKCIJA</w:t>
      </w:r>
    </w:p>
    <w:p w14:paraId="0365114E" w14:textId="77777777" w:rsidR="000C6DE6" w:rsidRPr="007B7B59" w:rsidRDefault="000C6DE6" w:rsidP="000C6DE6">
      <w:pPr>
        <w:pStyle w:val="BTEMEASMCA"/>
        <w:rPr>
          <w:noProof w:val="0"/>
          <w:sz w:val="22"/>
          <w:szCs w:val="22"/>
        </w:rPr>
      </w:pPr>
    </w:p>
    <w:p w14:paraId="5755856C" w14:textId="77777777" w:rsidR="000C6DE6" w:rsidRPr="007B7B59" w:rsidRDefault="000C6DE6" w:rsidP="000C6DE6">
      <w:pPr>
        <w:pStyle w:val="BTEMEASMCA"/>
        <w:rPr>
          <w:noProof w:val="0"/>
          <w:sz w:val="22"/>
          <w:szCs w:val="22"/>
        </w:rPr>
      </w:pPr>
    </w:p>
    <w:p w14:paraId="06EC60E5" w14:textId="77777777" w:rsidR="000C6DE6" w:rsidRPr="007B7B59" w:rsidRDefault="000C6DE6" w:rsidP="000C6DE6">
      <w:pPr>
        <w:pStyle w:val="PI-1labEMEASMCA"/>
        <w:rPr>
          <w:rFonts w:ascii="Times New Roman" w:hAnsi="Times New Roman"/>
          <w:noProof w:val="0"/>
          <w:sz w:val="22"/>
          <w:szCs w:val="22"/>
        </w:rPr>
      </w:pPr>
      <w:r w:rsidRPr="007B7B59">
        <w:rPr>
          <w:rFonts w:ascii="Times New Roman" w:hAnsi="Times New Roman"/>
          <w:noProof w:val="0"/>
          <w:sz w:val="22"/>
          <w:szCs w:val="22"/>
        </w:rPr>
        <w:t>16.</w:t>
      </w:r>
      <w:r w:rsidRPr="007B7B59">
        <w:rPr>
          <w:rFonts w:ascii="Times New Roman" w:hAnsi="Times New Roman"/>
          <w:noProof w:val="0"/>
          <w:sz w:val="22"/>
          <w:szCs w:val="22"/>
        </w:rPr>
        <w:tab/>
        <w:t>INFORMACIJA BRAILIO RAŠTU</w:t>
      </w:r>
    </w:p>
    <w:p w14:paraId="354DF0CE" w14:textId="77777777" w:rsidR="000C6DE6" w:rsidRPr="007B7B59" w:rsidRDefault="000C6DE6" w:rsidP="000C6DE6">
      <w:pPr>
        <w:pStyle w:val="BTEMEASMCA"/>
        <w:rPr>
          <w:noProof w:val="0"/>
          <w:sz w:val="22"/>
          <w:szCs w:val="22"/>
        </w:rPr>
      </w:pPr>
    </w:p>
    <w:p w14:paraId="0A1BF0D9" w14:textId="77777777" w:rsidR="000C6DE6" w:rsidRPr="007B7B59" w:rsidRDefault="000C6DE6" w:rsidP="000C6DE6">
      <w:pPr>
        <w:pStyle w:val="BTEMEASMCA"/>
        <w:rPr>
          <w:noProof w:val="0"/>
          <w:sz w:val="22"/>
          <w:szCs w:val="22"/>
        </w:rPr>
      </w:pPr>
      <w:r w:rsidRPr="007B7B59">
        <w:rPr>
          <w:noProof w:val="0"/>
          <w:sz w:val="22"/>
          <w:szCs w:val="22"/>
        </w:rPr>
        <w:t>AROMASIN</w:t>
      </w:r>
    </w:p>
    <w:p w14:paraId="6CF3586C" w14:textId="77777777" w:rsidR="000C6DE6" w:rsidRPr="007B7B59" w:rsidRDefault="000C6DE6" w:rsidP="000C6DE6">
      <w:pPr>
        <w:pStyle w:val="BTEMEASMCA"/>
        <w:rPr>
          <w:noProof w:val="0"/>
          <w:sz w:val="22"/>
          <w:szCs w:val="22"/>
        </w:rPr>
      </w:pPr>
    </w:p>
    <w:p w14:paraId="4E940BCA" w14:textId="77777777" w:rsidR="000C6DE6" w:rsidRPr="007B7B59" w:rsidRDefault="000C6DE6" w:rsidP="000C6DE6">
      <w:pPr>
        <w:pStyle w:val="BTEMEASMCA"/>
        <w:rPr>
          <w:noProof w:val="0"/>
          <w:sz w:val="22"/>
          <w:szCs w:val="22"/>
        </w:rPr>
      </w:pPr>
    </w:p>
    <w:p w14:paraId="2095153C" w14:textId="77777777" w:rsidR="005C0085" w:rsidRPr="001F6F30" w:rsidRDefault="005C0085" w:rsidP="005C0085">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 xml:space="preserve">17.     </w:t>
      </w:r>
      <w:r w:rsidRPr="001F6F30">
        <w:rPr>
          <w:b/>
          <w:noProof/>
        </w:rPr>
        <w:t>UNIKALUS IDENTIFIKATORIUS – 2D BRŪKŠNINIS KODAS</w:t>
      </w:r>
    </w:p>
    <w:p w14:paraId="125C51E7" w14:textId="77777777" w:rsidR="005C0085" w:rsidRPr="001F6F30" w:rsidRDefault="005C0085" w:rsidP="005C0085">
      <w:pPr>
        <w:rPr>
          <w:noProof/>
        </w:rPr>
      </w:pPr>
    </w:p>
    <w:p w14:paraId="7ABEB9BF" w14:textId="77777777" w:rsidR="005C0085" w:rsidRPr="001F6F30" w:rsidRDefault="005C0085" w:rsidP="005C0085">
      <w:pPr>
        <w:rPr>
          <w:noProof/>
          <w:shd w:val="clear" w:color="auto" w:fill="CCCCCC"/>
        </w:rPr>
      </w:pPr>
      <w:r w:rsidRPr="00201461">
        <w:rPr>
          <w:highlight w:val="lightGray"/>
        </w:rPr>
        <w:t>2D brūkšninis kodas su nurodytu unikaliu identifikatoriumi.</w:t>
      </w:r>
    </w:p>
    <w:p w14:paraId="01E8C263" w14:textId="77777777" w:rsidR="005C0085" w:rsidRPr="001F6F30" w:rsidRDefault="005C0085" w:rsidP="005C0085">
      <w:pPr>
        <w:rPr>
          <w:noProof/>
        </w:rPr>
      </w:pPr>
    </w:p>
    <w:p w14:paraId="5975F5F4" w14:textId="77777777" w:rsidR="005C0085" w:rsidRPr="001F6F30" w:rsidRDefault="005C0085" w:rsidP="005C0085">
      <w:pPr>
        <w:rPr>
          <w:noProof/>
        </w:rPr>
      </w:pPr>
    </w:p>
    <w:p w14:paraId="1D696F02" w14:textId="77777777" w:rsidR="005C0085" w:rsidRPr="001F6F30" w:rsidRDefault="005C0085" w:rsidP="005C0085">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 xml:space="preserve">18.     </w:t>
      </w:r>
      <w:r w:rsidRPr="001F6F30">
        <w:rPr>
          <w:b/>
          <w:noProof/>
        </w:rPr>
        <w:t>UNIKALUS IDENTIFIKATORIUS – ŽMONĖMS SUPRANTAMI DUOMENYS</w:t>
      </w:r>
    </w:p>
    <w:p w14:paraId="70D45047" w14:textId="77777777" w:rsidR="005C0085" w:rsidRPr="001F6F30" w:rsidRDefault="005C0085" w:rsidP="005C0085">
      <w:pPr>
        <w:rPr>
          <w:noProof/>
        </w:rPr>
      </w:pPr>
    </w:p>
    <w:p w14:paraId="1C18A89C" w14:textId="243EE9AC" w:rsidR="005C0085" w:rsidRPr="001F6F30" w:rsidRDefault="005C0085" w:rsidP="005C0085">
      <w:pPr>
        <w:rPr>
          <w:color w:val="008000"/>
        </w:rPr>
      </w:pPr>
      <w:r w:rsidRPr="001F6F30">
        <w:t xml:space="preserve">PC {numeris} </w:t>
      </w:r>
    </w:p>
    <w:p w14:paraId="7909230A" w14:textId="1C97257B" w:rsidR="005C0085" w:rsidRPr="001F6F30" w:rsidRDefault="005C0085" w:rsidP="005C0085">
      <w:r w:rsidRPr="001F6F30">
        <w:t xml:space="preserve">SN {numeris} </w:t>
      </w:r>
    </w:p>
    <w:p w14:paraId="6E922393" w14:textId="6D85A9C9" w:rsidR="005C0085" w:rsidRPr="001F6F30" w:rsidRDefault="005C0085" w:rsidP="005C0085">
      <w:pPr>
        <w:rPr>
          <w:noProof/>
          <w:vanish/>
        </w:rPr>
      </w:pPr>
      <w:r w:rsidRPr="00201461">
        <w:rPr>
          <w:highlight w:val="lightGray"/>
        </w:rPr>
        <w:t xml:space="preserve">NN {numeris} </w:t>
      </w:r>
    </w:p>
    <w:p w14:paraId="776BC2CC" w14:textId="77777777" w:rsidR="005C0085" w:rsidRPr="001F6F30" w:rsidRDefault="005C0085" w:rsidP="005C0085">
      <w:pPr>
        <w:rPr>
          <w:noProof/>
          <w:vanish/>
        </w:rPr>
      </w:pPr>
    </w:p>
    <w:p w14:paraId="7C1D0ACF" w14:textId="77777777" w:rsidR="005C0085" w:rsidRPr="00021615" w:rsidRDefault="005C0085" w:rsidP="005C0085">
      <w:pPr>
        <w:rPr>
          <w:vanish/>
        </w:rPr>
      </w:pPr>
    </w:p>
    <w:p w14:paraId="0134AD66" w14:textId="77777777" w:rsidR="000C6DE6" w:rsidRPr="00341B9D" w:rsidRDefault="005C0085" w:rsidP="00341B9D">
      <w:pPr>
        <w:pBdr>
          <w:top w:val="single" w:sz="4" w:space="1" w:color="auto"/>
          <w:left w:val="single" w:sz="4" w:space="4" w:color="auto"/>
          <w:bottom w:val="single" w:sz="4" w:space="1" w:color="auto"/>
          <w:right w:val="single" w:sz="4" w:space="4" w:color="auto"/>
        </w:pBdr>
        <w:outlineLvl w:val="0"/>
        <w:rPr>
          <w:b/>
        </w:rPr>
      </w:pPr>
      <w:r w:rsidRPr="009F1F29">
        <w:br w:type="page"/>
      </w:r>
    </w:p>
    <w:p w14:paraId="5CECE1D1" w14:textId="77777777" w:rsidR="000C6DE6" w:rsidRPr="007B7B59" w:rsidRDefault="000C6DE6" w:rsidP="000C6DE6">
      <w:pPr>
        <w:pStyle w:val="PI-1labEMEASMCA"/>
        <w:rPr>
          <w:rFonts w:ascii="Times New Roman" w:hAnsi="Times New Roman"/>
          <w:noProof w:val="0"/>
          <w:sz w:val="22"/>
          <w:szCs w:val="22"/>
        </w:rPr>
      </w:pPr>
      <w:r w:rsidRPr="007B7B59">
        <w:rPr>
          <w:rFonts w:ascii="Times New Roman" w:hAnsi="Times New Roman"/>
          <w:noProof w:val="0"/>
          <w:sz w:val="22"/>
          <w:szCs w:val="22"/>
        </w:rPr>
        <w:lastRenderedPageBreak/>
        <w:t xml:space="preserve">MINIMALI </w:t>
      </w:r>
      <w:r w:rsidRPr="007B7B59">
        <w:rPr>
          <w:rFonts w:ascii="Times New Roman" w:hAnsi="Times New Roman"/>
          <w:caps/>
          <w:noProof w:val="0"/>
          <w:sz w:val="22"/>
          <w:szCs w:val="22"/>
        </w:rPr>
        <w:t xml:space="preserve">informacija ant </w:t>
      </w:r>
      <w:r w:rsidRPr="007B7B59">
        <w:rPr>
          <w:rFonts w:ascii="Times New Roman" w:hAnsi="Times New Roman"/>
          <w:noProof w:val="0"/>
          <w:sz w:val="22"/>
          <w:szCs w:val="22"/>
        </w:rPr>
        <w:t>LIZDINIŲ PLOKŠTELIŲ ARBA DVISLUOKSNIŲ JUOSTELIŲ</w:t>
      </w:r>
    </w:p>
    <w:p w14:paraId="069FFEE0" w14:textId="77777777" w:rsidR="000C6DE6" w:rsidRPr="007B7B59" w:rsidRDefault="000C6DE6" w:rsidP="000C6DE6">
      <w:pPr>
        <w:pStyle w:val="PI-1labEMEASMCA"/>
        <w:rPr>
          <w:rFonts w:ascii="Times New Roman" w:hAnsi="Times New Roman"/>
          <w:noProof w:val="0"/>
          <w:sz w:val="22"/>
          <w:szCs w:val="22"/>
        </w:rPr>
      </w:pPr>
    </w:p>
    <w:p w14:paraId="43017E30" w14:textId="77777777" w:rsidR="000C6DE6" w:rsidRPr="007B7B59" w:rsidRDefault="000C6DE6" w:rsidP="000C6DE6">
      <w:pPr>
        <w:pBdr>
          <w:top w:val="single" w:sz="4" w:space="1" w:color="auto"/>
          <w:left w:val="single" w:sz="4" w:space="4" w:color="auto"/>
          <w:bottom w:val="single" w:sz="4" w:space="1" w:color="auto"/>
          <w:right w:val="single" w:sz="4" w:space="4" w:color="auto"/>
        </w:pBdr>
        <w:ind w:left="567" w:hanging="567"/>
        <w:outlineLvl w:val="0"/>
        <w:rPr>
          <w:b/>
          <w:caps/>
          <w:szCs w:val="22"/>
        </w:rPr>
      </w:pPr>
      <w:r w:rsidRPr="007B7B59">
        <w:rPr>
          <w:b/>
          <w:szCs w:val="22"/>
        </w:rPr>
        <w:t>LIZDINĖ PLOKŠTELĖ</w:t>
      </w:r>
    </w:p>
    <w:p w14:paraId="2B52D4BA" w14:textId="77777777" w:rsidR="000C6DE6" w:rsidRPr="007B7B59" w:rsidRDefault="000C6DE6" w:rsidP="000C6DE6">
      <w:pPr>
        <w:pStyle w:val="BTEMEASMCA"/>
        <w:rPr>
          <w:noProof w:val="0"/>
          <w:sz w:val="22"/>
          <w:szCs w:val="22"/>
        </w:rPr>
      </w:pPr>
    </w:p>
    <w:p w14:paraId="23B79C85" w14:textId="77777777" w:rsidR="000C6DE6" w:rsidRPr="007B7B59" w:rsidRDefault="000C6DE6" w:rsidP="000C6DE6">
      <w:pPr>
        <w:pStyle w:val="BTEMEASMCA"/>
        <w:rPr>
          <w:noProof w:val="0"/>
          <w:sz w:val="22"/>
          <w:szCs w:val="22"/>
        </w:rPr>
      </w:pPr>
    </w:p>
    <w:p w14:paraId="55FC4F97" w14:textId="77777777" w:rsidR="000C6DE6" w:rsidRPr="007B7B59" w:rsidRDefault="000C6DE6" w:rsidP="000C6DE6">
      <w:pPr>
        <w:pStyle w:val="PI-1labEMEASMCA"/>
        <w:rPr>
          <w:rFonts w:ascii="Times New Roman" w:hAnsi="Times New Roman"/>
          <w:noProof w:val="0"/>
          <w:sz w:val="22"/>
          <w:szCs w:val="22"/>
        </w:rPr>
      </w:pPr>
      <w:r w:rsidRPr="007B7B59">
        <w:rPr>
          <w:rFonts w:ascii="Times New Roman" w:hAnsi="Times New Roman"/>
          <w:noProof w:val="0"/>
          <w:sz w:val="22"/>
          <w:szCs w:val="22"/>
        </w:rPr>
        <w:t>1.</w:t>
      </w:r>
      <w:r w:rsidRPr="007B7B59">
        <w:rPr>
          <w:rFonts w:ascii="Times New Roman" w:hAnsi="Times New Roman"/>
          <w:noProof w:val="0"/>
          <w:sz w:val="22"/>
          <w:szCs w:val="22"/>
        </w:rPr>
        <w:tab/>
        <w:t>VAISTINIO PREPARATO PAVADINIMAS</w:t>
      </w:r>
    </w:p>
    <w:p w14:paraId="4B863350" w14:textId="77777777" w:rsidR="000C6DE6" w:rsidRPr="007B7B59" w:rsidRDefault="000C6DE6" w:rsidP="000C6DE6">
      <w:pPr>
        <w:pStyle w:val="BTEMEASMCA"/>
        <w:rPr>
          <w:noProof w:val="0"/>
          <w:sz w:val="22"/>
          <w:szCs w:val="22"/>
        </w:rPr>
      </w:pPr>
    </w:p>
    <w:p w14:paraId="766B6DA2" w14:textId="77777777" w:rsidR="000C6DE6" w:rsidRPr="007B7B59" w:rsidRDefault="002D51E7" w:rsidP="000C6DE6">
      <w:pPr>
        <w:rPr>
          <w:szCs w:val="22"/>
        </w:rPr>
      </w:pPr>
      <w:r w:rsidRPr="007B7B59">
        <w:rPr>
          <w:szCs w:val="22"/>
        </w:rPr>
        <w:t xml:space="preserve">AROMASIN </w:t>
      </w:r>
      <w:r w:rsidR="000C6DE6" w:rsidRPr="007B7B59">
        <w:rPr>
          <w:szCs w:val="22"/>
        </w:rPr>
        <w:t>25 mg dengtos tabletės</w:t>
      </w:r>
    </w:p>
    <w:p w14:paraId="1259DD6F" w14:textId="3BCF7683" w:rsidR="000C6DE6" w:rsidRPr="007B7B59" w:rsidRDefault="00EB5106" w:rsidP="000C6DE6">
      <w:pPr>
        <w:ind w:left="567" w:hanging="567"/>
        <w:rPr>
          <w:szCs w:val="22"/>
        </w:rPr>
      </w:pPr>
      <w:proofErr w:type="spellStart"/>
      <w:r>
        <w:rPr>
          <w:szCs w:val="22"/>
        </w:rPr>
        <w:t>e</w:t>
      </w:r>
      <w:r w:rsidR="000C6DE6" w:rsidRPr="007B7B59">
        <w:rPr>
          <w:szCs w:val="22"/>
        </w:rPr>
        <w:t>ksemestanas</w:t>
      </w:r>
      <w:proofErr w:type="spellEnd"/>
    </w:p>
    <w:p w14:paraId="1C90AF49" w14:textId="77777777" w:rsidR="000C6DE6" w:rsidRPr="007B7B59" w:rsidRDefault="000C6DE6" w:rsidP="000C6DE6">
      <w:pPr>
        <w:pStyle w:val="BTEMEASMCA"/>
        <w:rPr>
          <w:noProof w:val="0"/>
          <w:sz w:val="22"/>
          <w:szCs w:val="22"/>
        </w:rPr>
      </w:pPr>
    </w:p>
    <w:p w14:paraId="75A153B1" w14:textId="77777777" w:rsidR="000C6DE6" w:rsidRPr="007B7B59" w:rsidRDefault="000C6DE6" w:rsidP="000C6DE6">
      <w:pPr>
        <w:pStyle w:val="BTEMEASMCA"/>
        <w:rPr>
          <w:noProof w:val="0"/>
          <w:sz w:val="22"/>
          <w:szCs w:val="22"/>
        </w:rPr>
      </w:pPr>
    </w:p>
    <w:p w14:paraId="491494C7" w14:textId="77777777" w:rsidR="000C6DE6" w:rsidRPr="007B7B59" w:rsidRDefault="000C6DE6" w:rsidP="000C6DE6">
      <w:pPr>
        <w:pStyle w:val="PI-1labEMEASMCA"/>
        <w:rPr>
          <w:rFonts w:ascii="Times New Roman" w:hAnsi="Times New Roman"/>
          <w:noProof w:val="0"/>
          <w:sz w:val="22"/>
          <w:szCs w:val="22"/>
        </w:rPr>
      </w:pPr>
      <w:r w:rsidRPr="007B7B59">
        <w:rPr>
          <w:rFonts w:ascii="Times New Roman" w:hAnsi="Times New Roman"/>
          <w:noProof w:val="0"/>
          <w:sz w:val="22"/>
          <w:szCs w:val="22"/>
        </w:rPr>
        <w:t>2.</w:t>
      </w:r>
      <w:r w:rsidRPr="007B7B59">
        <w:rPr>
          <w:rFonts w:ascii="Times New Roman" w:hAnsi="Times New Roman"/>
          <w:noProof w:val="0"/>
          <w:sz w:val="22"/>
          <w:szCs w:val="22"/>
        </w:rPr>
        <w:tab/>
        <w:t>RINKODAROS TEISĖS TURĖTOJO PAVADINIMAS</w:t>
      </w:r>
    </w:p>
    <w:p w14:paraId="359C6A4A" w14:textId="77777777" w:rsidR="000C6DE6" w:rsidRPr="007B7B59" w:rsidRDefault="000C6DE6" w:rsidP="000C6DE6">
      <w:pPr>
        <w:pStyle w:val="BTEMEASMCA"/>
        <w:rPr>
          <w:noProof w:val="0"/>
          <w:sz w:val="22"/>
          <w:szCs w:val="22"/>
        </w:rPr>
      </w:pPr>
    </w:p>
    <w:p w14:paraId="4CA6641C" w14:textId="77777777" w:rsidR="000C6DE6" w:rsidRPr="007B7B59" w:rsidRDefault="000C6DE6" w:rsidP="000C6DE6">
      <w:pPr>
        <w:pStyle w:val="BTEMEASMCA"/>
        <w:rPr>
          <w:noProof w:val="0"/>
          <w:sz w:val="22"/>
          <w:szCs w:val="22"/>
        </w:rPr>
      </w:pPr>
      <w:proofErr w:type="spellStart"/>
      <w:r w:rsidRPr="007B7B59">
        <w:rPr>
          <w:noProof w:val="0"/>
          <w:sz w:val="22"/>
          <w:szCs w:val="22"/>
        </w:rPr>
        <w:t>Pfizer</w:t>
      </w:r>
      <w:proofErr w:type="spellEnd"/>
    </w:p>
    <w:p w14:paraId="265B6E19" w14:textId="77777777" w:rsidR="000C6DE6" w:rsidRPr="007B7B59" w:rsidRDefault="000C6DE6" w:rsidP="000C6DE6">
      <w:pPr>
        <w:pStyle w:val="BTEMEASMCA"/>
        <w:rPr>
          <w:noProof w:val="0"/>
          <w:sz w:val="22"/>
          <w:szCs w:val="22"/>
        </w:rPr>
      </w:pPr>
    </w:p>
    <w:p w14:paraId="1C9B8C73" w14:textId="77777777" w:rsidR="000C6DE6" w:rsidRPr="007B7B59" w:rsidRDefault="000C6DE6" w:rsidP="000C6DE6">
      <w:pPr>
        <w:pStyle w:val="BTEMEASMCA"/>
        <w:rPr>
          <w:noProof w:val="0"/>
          <w:sz w:val="22"/>
          <w:szCs w:val="22"/>
        </w:rPr>
      </w:pPr>
    </w:p>
    <w:p w14:paraId="1667E9AD" w14:textId="77777777" w:rsidR="000C6DE6" w:rsidRPr="007B7B59" w:rsidRDefault="000C6DE6" w:rsidP="000C6DE6">
      <w:pPr>
        <w:pStyle w:val="PI-1labEMEASMCA"/>
        <w:rPr>
          <w:rFonts w:ascii="Times New Roman" w:hAnsi="Times New Roman"/>
          <w:noProof w:val="0"/>
          <w:sz w:val="22"/>
          <w:szCs w:val="22"/>
        </w:rPr>
      </w:pPr>
      <w:r w:rsidRPr="007B7B59">
        <w:rPr>
          <w:rFonts w:ascii="Times New Roman" w:hAnsi="Times New Roman"/>
          <w:noProof w:val="0"/>
          <w:sz w:val="22"/>
          <w:szCs w:val="22"/>
        </w:rPr>
        <w:t>3.</w:t>
      </w:r>
      <w:r w:rsidRPr="007B7B59">
        <w:rPr>
          <w:rFonts w:ascii="Times New Roman" w:hAnsi="Times New Roman"/>
          <w:noProof w:val="0"/>
          <w:sz w:val="22"/>
          <w:szCs w:val="22"/>
        </w:rPr>
        <w:tab/>
        <w:t>TINKAMUMO LAIKAS</w:t>
      </w:r>
    </w:p>
    <w:p w14:paraId="2B7C59C8" w14:textId="77777777" w:rsidR="000C6DE6" w:rsidRPr="007B7B59" w:rsidRDefault="000C6DE6" w:rsidP="000C6DE6">
      <w:pPr>
        <w:pStyle w:val="BTEMEASMCA"/>
        <w:rPr>
          <w:noProof w:val="0"/>
          <w:sz w:val="22"/>
          <w:szCs w:val="22"/>
        </w:rPr>
      </w:pPr>
    </w:p>
    <w:p w14:paraId="5C8D0F84" w14:textId="77777777" w:rsidR="00AA2855" w:rsidRPr="007B7B59" w:rsidRDefault="00153FE2" w:rsidP="00AA2855">
      <w:pPr>
        <w:pStyle w:val="BTEMEASMCA"/>
        <w:rPr>
          <w:i/>
          <w:noProof w:val="0"/>
          <w:sz w:val="22"/>
          <w:szCs w:val="22"/>
        </w:rPr>
      </w:pPr>
      <w:r>
        <w:rPr>
          <w:noProof w:val="0"/>
          <w:sz w:val="22"/>
          <w:szCs w:val="22"/>
        </w:rPr>
        <w:t>EXP</w:t>
      </w:r>
      <w:r w:rsidR="00AA2855" w:rsidRPr="007B7B59">
        <w:rPr>
          <w:noProof w:val="0"/>
          <w:sz w:val="22"/>
          <w:szCs w:val="22"/>
        </w:rPr>
        <w:t xml:space="preserve"> </w:t>
      </w:r>
      <w:r w:rsidR="00AA2855" w:rsidRPr="007B7B59">
        <w:rPr>
          <w:i/>
          <w:noProof w:val="0"/>
          <w:sz w:val="22"/>
          <w:szCs w:val="22"/>
        </w:rPr>
        <w:t>MMMM/mm (metai/mėnuo)</w:t>
      </w:r>
    </w:p>
    <w:p w14:paraId="2A992E32" w14:textId="77777777" w:rsidR="000C6DE6" w:rsidRPr="007B7B59" w:rsidRDefault="000C6DE6" w:rsidP="000C6DE6">
      <w:pPr>
        <w:pStyle w:val="BTEMEASMCA"/>
        <w:rPr>
          <w:noProof w:val="0"/>
          <w:sz w:val="22"/>
          <w:szCs w:val="22"/>
        </w:rPr>
      </w:pPr>
    </w:p>
    <w:p w14:paraId="518DF593" w14:textId="77777777" w:rsidR="000C6DE6" w:rsidRPr="007B7B59" w:rsidRDefault="000C6DE6" w:rsidP="000C6DE6">
      <w:pPr>
        <w:pStyle w:val="BTEMEASMCA"/>
        <w:rPr>
          <w:noProof w:val="0"/>
          <w:sz w:val="22"/>
          <w:szCs w:val="22"/>
        </w:rPr>
      </w:pPr>
    </w:p>
    <w:p w14:paraId="4E12F832" w14:textId="77777777" w:rsidR="000C6DE6" w:rsidRPr="007B7B59" w:rsidRDefault="000C6DE6" w:rsidP="000C6DE6">
      <w:pPr>
        <w:pStyle w:val="PI-1labEMEASMCA"/>
        <w:rPr>
          <w:rFonts w:ascii="Times New Roman" w:hAnsi="Times New Roman"/>
          <w:noProof w:val="0"/>
          <w:sz w:val="22"/>
          <w:szCs w:val="22"/>
        </w:rPr>
      </w:pPr>
      <w:r w:rsidRPr="007B7B59">
        <w:rPr>
          <w:rFonts w:ascii="Times New Roman" w:hAnsi="Times New Roman"/>
          <w:noProof w:val="0"/>
          <w:sz w:val="22"/>
          <w:szCs w:val="22"/>
        </w:rPr>
        <w:t>4.</w:t>
      </w:r>
      <w:r w:rsidRPr="007B7B59">
        <w:rPr>
          <w:rFonts w:ascii="Times New Roman" w:hAnsi="Times New Roman"/>
          <w:noProof w:val="0"/>
          <w:sz w:val="22"/>
          <w:szCs w:val="22"/>
        </w:rPr>
        <w:tab/>
        <w:t>SERIJOS NUMERIS</w:t>
      </w:r>
    </w:p>
    <w:p w14:paraId="48C8704D" w14:textId="77777777" w:rsidR="000C6DE6" w:rsidRPr="007B7B59" w:rsidRDefault="000C6DE6" w:rsidP="000C6DE6">
      <w:pPr>
        <w:pStyle w:val="BTEMEASMCA"/>
        <w:rPr>
          <w:noProof w:val="0"/>
          <w:sz w:val="22"/>
          <w:szCs w:val="22"/>
        </w:rPr>
      </w:pPr>
    </w:p>
    <w:p w14:paraId="4C892784" w14:textId="77777777" w:rsidR="000C6DE6" w:rsidRPr="007B7B59" w:rsidRDefault="00153FE2" w:rsidP="000C6DE6">
      <w:pPr>
        <w:pStyle w:val="BTEMEASMCA"/>
        <w:rPr>
          <w:noProof w:val="0"/>
          <w:sz w:val="22"/>
          <w:szCs w:val="22"/>
        </w:rPr>
      </w:pPr>
      <w:proofErr w:type="spellStart"/>
      <w:r>
        <w:rPr>
          <w:noProof w:val="0"/>
          <w:sz w:val="22"/>
          <w:szCs w:val="22"/>
        </w:rPr>
        <w:t>Lot</w:t>
      </w:r>
      <w:proofErr w:type="spellEnd"/>
    </w:p>
    <w:p w14:paraId="44BDE239" w14:textId="77777777" w:rsidR="000C6DE6" w:rsidRPr="007B7B59" w:rsidRDefault="000C6DE6" w:rsidP="000C6DE6">
      <w:pPr>
        <w:pStyle w:val="BTEMEASMCA"/>
        <w:rPr>
          <w:noProof w:val="0"/>
          <w:sz w:val="22"/>
          <w:szCs w:val="22"/>
        </w:rPr>
      </w:pPr>
    </w:p>
    <w:p w14:paraId="439C746E" w14:textId="77777777" w:rsidR="000C6DE6" w:rsidRPr="007B7B59" w:rsidRDefault="000C6DE6" w:rsidP="000C6DE6">
      <w:pPr>
        <w:pStyle w:val="BTEMEASMCA"/>
        <w:rPr>
          <w:noProof w:val="0"/>
          <w:sz w:val="22"/>
          <w:szCs w:val="22"/>
        </w:rPr>
      </w:pPr>
    </w:p>
    <w:p w14:paraId="642B83FD" w14:textId="77777777" w:rsidR="000C6DE6" w:rsidRPr="007B7B59" w:rsidRDefault="000C6DE6" w:rsidP="000C6DE6">
      <w:pPr>
        <w:pStyle w:val="PI-1labEMEASMCA"/>
        <w:rPr>
          <w:rFonts w:ascii="Times New Roman" w:hAnsi="Times New Roman"/>
          <w:noProof w:val="0"/>
          <w:sz w:val="22"/>
          <w:szCs w:val="22"/>
        </w:rPr>
      </w:pPr>
      <w:r w:rsidRPr="007B7B59">
        <w:rPr>
          <w:rFonts w:ascii="Times New Roman" w:hAnsi="Times New Roman"/>
          <w:noProof w:val="0"/>
          <w:sz w:val="22"/>
          <w:szCs w:val="22"/>
        </w:rPr>
        <w:t>5.</w:t>
      </w:r>
      <w:r w:rsidRPr="007B7B59">
        <w:rPr>
          <w:rFonts w:ascii="Times New Roman" w:hAnsi="Times New Roman"/>
          <w:noProof w:val="0"/>
          <w:sz w:val="22"/>
          <w:szCs w:val="22"/>
        </w:rPr>
        <w:tab/>
        <w:t>KITA</w:t>
      </w:r>
    </w:p>
    <w:p w14:paraId="74736D8E" w14:textId="77777777" w:rsidR="000C6DE6" w:rsidRPr="007B7B59" w:rsidRDefault="000C6DE6" w:rsidP="000C6DE6">
      <w:pPr>
        <w:pStyle w:val="BTEMEASMCA"/>
        <w:rPr>
          <w:noProof w:val="0"/>
          <w:sz w:val="22"/>
          <w:szCs w:val="22"/>
        </w:rPr>
      </w:pPr>
    </w:p>
    <w:p w14:paraId="0B3EC8F7" w14:textId="77777777" w:rsidR="000C6DE6" w:rsidRPr="007B7B59" w:rsidRDefault="000C6DE6" w:rsidP="000C6DE6">
      <w:pPr>
        <w:pStyle w:val="BTEMEASMCA"/>
        <w:rPr>
          <w:noProof w:val="0"/>
          <w:sz w:val="22"/>
          <w:szCs w:val="22"/>
        </w:rPr>
      </w:pPr>
    </w:p>
    <w:p w14:paraId="02B06042" w14:textId="77777777" w:rsidR="000C6DE6" w:rsidRPr="007B7B59" w:rsidRDefault="000C6DE6" w:rsidP="000C6DE6">
      <w:pPr>
        <w:pStyle w:val="BTEMEASMCA"/>
        <w:rPr>
          <w:noProof w:val="0"/>
          <w:sz w:val="22"/>
          <w:szCs w:val="22"/>
          <w:highlight w:val="yellow"/>
        </w:rPr>
      </w:pPr>
    </w:p>
    <w:p w14:paraId="4369841E" w14:textId="77777777" w:rsidR="000C6DE6" w:rsidRPr="007B7B59" w:rsidRDefault="000C6DE6" w:rsidP="000C6DE6">
      <w:pPr>
        <w:rPr>
          <w:szCs w:val="22"/>
        </w:rPr>
      </w:pPr>
    </w:p>
    <w:p w14:paraId="41FE38F5" w14:textId="77777777" w:rsidR="000C6DE6" w:rsidRPr="007B7B59" w:rsidRDefault="000C6DE6" w:rsidP="000C6DE6">
      <w:pPr>
        <w:pStyle w:val="BTEMEASMCA"/>
        <w:rPr>
          <w:noProof w:val="0"/>
          <w:sz w:val="22"/>
          <w:szCs w:val="22"/>
        </w:rPr>
      </w:pPr>
      <w:r w:rsidRPr="007B7B59">
        <w:rPr>
          <w:noProof w:val="0"/>
          <w:sz w:val="22"/>
          <w:szCs w:val="22"/>
        </w:rPr>
        <w:br w:type="page"/>
      </w:r>
    </w:p>
    <w:p w14:paraId="50DBF97A" w14:textId="77777777" w:rsidR="000C6DE6" w:rsidRPr="007B7B59" w:rsidRDefault="000C6DE6" w:rsidP="000C6DE6">
      <w:pPr>
        <w:ind w:left="567" w:hanging="567"/>
        <w:jc w:val="center"/>
        <w:rPr>
          <w:b/>
          <w:caps/>
          <w:szCs w:val="22"/>
        </w:rPr>
      </w:pPr>
    </w:p>
    <w:p w14:paraId="21FE9B6F" w14:textId="77777777" w:rsidR="000C6DE6" w:rsidRPr="007B7B59" w:rsidRDefault="000C6DE6" w:rsidP="000C6DE6">
      <w:pPr>
        <w:ind w:left="567" w:hanging="567"/>
        <w:jc w:val="center"/>
        <w:rPr>
          <w:b/>
          <w:caps/>
          <w:szCs w:val="22"/>
        </w:rPr>
      </w:pPr>
    </w:p>
    <w:p w14:paraId="3F9DAA32" w14:textId="77777777" w:rsidR="000C6DE6" w:rsidRPr="007B7B59" w:rsidRDefault="000C6DE6" w:rsidP="000C6DE6">
      <w:pPr>
        <w:ind w:left="567" w:hanging="567"/>
        <w:jc w:val="center"/>
        <w:rPr>
          <w:b/>
          <w:caps/>
          <w:szCs w:val="22"/>
        </w:rPr>
      </w:pPr>
    </w:p>
    <w:p w14:paraId="1E9714D6" w14:textId="77777777" w:rsidR="000C6DE6" w:rsidRPr="007B7B59" w:rsidRDefault="000C6DE6" w:rsidP="000C6DE6">
      <w:pPr>
        <w:ind w:left="567" w:hanging="567"/>
        <w:jc w:val="center"/>
        <w:rPr>
          <w:b/>
          <w:caps/>
          <w:szCs w:val="22"/>
        </w:rPr>
      </w:pPr>
    </w:p>
    <w:p w14:paraId="250712F6" w14:textId="77777777" w:rsidR="000C6DE6" w:rsidRPr="007B7B59" w:rsidRDefault="000C6DE6" w:rsidP="000C6DE6">
      <w:pPr>
        <w:ind w:left="567" w:hanging="567"/>
        <w:jc w:val="center"/>
        <w:rPr>
          <w:b/>
          <w:caps/>
          <w:szCs w:val="22"/>
        </w:rPr>
      </w:pPr>
    </w:p>
    <w:p w14:paraId="1B6F2A35" w14:textId="77777777" w:rsidR="000C6DE6" w:rsidRPr="007B7B59" w:rsidRDefault="000C6DE6" w:rsidP="000C6DE6">
      <w:pPr>
        <w:ind w:left="567" w:hanging="567"/>
        <w:jc w:val="center"/>
        <w:rPr>
          <w:b/>
          <w:caps/>
          <w:szCs w:val="22"/>
        </w:rPr>
      </w:pPr>
    </w:p>
    <w:p w14:paraId="12B2E7A2" w14:textId="77777777" w:rsidR="000C6DE6" w:rsidRPr="007B7B59" w:rsidRDefault="000C6DE6" w:rsidP="000C6DE6">
      <w:pPr>
        <w:ind w:left="567" w:hanging="567"/>
        <w:jc w:val="center"/>
        <w:rPr>
          <w:b/>
          <w:caps/>
          <w:szCs w:val="22"/>
        </w:rPr>
      </w:pPr>
    </w:p>
    <w:p w14:paraId="746CE40D" w14:textId="77777777" w:rsidR="000C6DE6" w:rsidRPr="007B7B59" w:rsidRDefault="000C6DE6" w:rsidP="000C6DE6">
      <w:pPr>
        <w:ind w:left="567" w:hanging="567"/>
        <w:jc w:val="center"/>
        <w:rPr>
          <w:b/>
          <w:caps/>
          <w:szCs w:val="22"/>
        </w:rPr>
      </w:pPr>
    </w:p>
    <w:p w14:paraId="1075BB64" w14:textId="77777777" w:rsidR="000C6DE6" w:rsidRPr="007B7B59" w:rsidRDefault="000C6DE6" w:rsidP="000C6DE6">
      <w:pPr>
        <w:ind w:left="567" w:hanging="567"/>
        <w:jc w:val="center"/>
        <w:rPr>
          <w:b/>
          <w:caps/>
          <w:szCs w:val="22"/>
        </w:rPr>
      </w:pPr>
    </w:p>
    <w:p w14:paraId="0FA297C4" w14:textId="77777777" w:rsidR="000C6DE6" w:rsidRPr="007B7B59" w:rsidRDefault="000C6DE6" w:rsidP="000C6DE6">
      <w:pPr>
        <w:ind w:left="567" w:hanging="567"/>
        <w:jc w:val="center"/>
        <w:rPr>
          <w:b/>
          <w:caps/>
          <w:szCs w:val="22"/>
        </w:rPr>
      </w:pPr>
    </w:p>
    <w:p w14:paraId="6BA4E2A9" w14:textId="77777777" w:rsidR="000C6DE6" w:rsidRPr="007B7B59" w:rsidRDefault="000C6DE6" w:rsidP="000C6DE6">
      <w:pPr>
        <w:ind w:left="567" w:hanging="567"/>
        <w:jc w:val="center"/>
        <w:rPr>
          <w:b/>
          <w:caps/>
          <w:szCs w:val="22"/>
        </w:rPr>
      </w:pPr>
    </w:p>
    <w:p w14:paraId="2F9870E5" w14:textId="77777777" w:rsidR="000C6DE6" w:rsidRPr="007B7B59" w:rsidRDefault="000C6DE6" w:rsidP="000C6DE6">
      <w:pPr>
        <w:ind w:left="567" w:hanging="567"/>
        <w:jc w:val="center"/>
        <w:rPr>
          <w:b/>
          <w:caps/>
          <w:szCs w:val="22"/>
        </w:rPr>
      </w:pPr>
    </w:p>
    <w:p w14:paraId="062FD2A4" w14:textId="77777777" w:rsidR="000C6DE6" w:rsidRPr="007B7B59" w:rsidRDefault="000C6DE6" w:rsidP="000C6DE6">
      <w:pPr>
        <w:ind w:left="567" w:hanging="567"/>
        <w:jc w:val="center"/>
        <w:rPr>
          <w:b/>
          <w:caps/>
          <w:szCs w:val="22"/>
        </w:rPr>
      </w:pPr>
    </w:p>
    <w:p w14:paraId="73B0A20F" w14:textId="77777777" w:rsidR="000C6DE6" w:rsidRPr="007B7B59" w:rsidRDefault="000C6DE6" w:rsidP="000C6DE6">
      <w:pPr>
        <w:ind w:left="567" w:hanging="567"/>
        <w:jc w:val="center"/>
        <w:rPr>
          <w:b/>
          <w:caps/>
          <w:szCs w:val="22"/>
        </w:rPr>
      </w:pPr>
    </w:p>
    <w:p w14:paraId="5A461A66" w14:textId="77777777" w:rsidR="000C6DE6" w:rsidRPr="007B7B59" w:rsidRDefault="000C6DE6" w:rsidP="000C6DE6">
      <w:pPr>
        <w:ind w:left="567" w:hanging="567"/>
        <w:jc w:val="center"/>
        <w:rPr>
          <w:b/>
          <w:caps/>
          <w:szCs w:val="22"/>
        </w:rPr>
      </w:pPr>
    </w:p>
    <w:p w14:paraId="4E6FAC1F" w14:textId="77777777" w:rsidR="000C6DE6" w:rsidRPr="007B7B59" w:rsidRDefault="000C6DE6" w:rsidP="000C6DE6">
      <w:pPr>
        <w:ind w:left="567" w:hanging="567"/>
        <w:jc w:val="center"/>
        <w:rPr>
          <w:b/>
          <w:caps/>
          <w:szCs w:val="22"/>
        </w:rPr>
      </w:pPr>
    </w:p>
    <w:p w14:paraId="2D2AFEC6" w14:textId="77777777" w:rsidR="000C6DE6" w:rsidRPr="007B7B59" w:rsidRDefault="000C6DE6" w:rsidP="000C6DE6">
      <w:pPr>
        <w:ind w:left="567" w:hanging="567"/>
        <w:jc w:val="center"/>
        <w:rPr>
          <w:b/>
          <w:caps/>
          <w:szCs w:val="22"/>
        </w:rPr>
      </w:pPr>
    </w:p>
    <w:p w14:paraId="657CBFC7" w14:textId="77777777" w:rsidR="000C6DE6" w:rsidRPr="007B7B59" w:rsidRDefault="000C6DE6" w:rsidP="000C6DE6">
      <w:pPr>
        <w:ind w:left="567" w:hanging="567"/>
        <w:jc w:val="center"/>
        <w:rPr>
          <w:b/>
          <w:caps/>
          <w:szCs w:val="22"/>
        </w:rPr>
      </w:pPr>
    </w:p>
    <w:p w14:paraId="7DD62AED" w14:textId="77777777" w:rsidR="000C6DE6" w:rsidRPr="007B7B59" w:rsidRDefault="000C6DE6" w:rsidP="000C6DE6">
      <w:pPr>
        <w:ind w:left="567" w:hanging="567"/>
        <w:jc w:val="center"/>
        <w:rPr>
          <w:b/>
          <w:caps/>
          <w:szCs w:val="22"/>
        </w:rPr>
      </w:pPr>
    </w:p>
    <w:p w14:paraId="1C39CD0C" w14:textId="77777777" w:rsidR="000C6DE6" w:rsidRPr="007B7B59" w:rsidRDefault="000C6DE6" w:rsidP="000C6DE6">
      <w:pPr>
        <w:ind w:left="567" w:hanging="567"/>
        <w:jc w:val="center"/>
        <w:rPr>
          <w:b/>
          <w:caps/>
          <w:szCs w:val="22"/>
        </w:rPr>
      </w:pPr>
    </w:p>
    <w:p w14:paraId="707BFE14" w14:textId="77777777" w:rsidR="000C6DE6" w:rsidRPr="007B7B59" w:rsidRDefault="000C6DE6" w:rsidP="000C6DE6">
      <w:pPr>
        <w:ind w:left="567" w:hanging="567"/>
        <w:jc w:val="center"/>
        <w:rPr>
          <w:b/>
          <w:caps/>
          <w:szCs w:val="22"/>
        </w:rPr>
      </w:pPr>
    </w:p>
    <w:p w14:paraId="5FCF325C" w14:textId="77777777" w:rsidR="000C6DE6" w:rsidRPr="007B7B59" w:rsidRDefault="000C6DE6" w:rsidP="000C6DE6">
      <w:pPr>
        <w:ind w:left="567" w:hanging="567"/>
        <w:jc w:val="center"/>
        <w:rPr>
          <w:b/>
          <w:caps/>
          <w:szCs w:val="22"/>
        </w:rPr>
      </w:pPr>
    </w:p>
    <w:p w14:paraId="2ACBDF3F" w14:textId="77777777" w:rsidR="00C948EE" w:rsidRPr="007B7B59" w:rsidRDefault="00C948EE" w:rsidP="000C6DE6">
      <w:pPr>
        <w:pStyle w:val="TTEMEASMCA"/>
        <w:rPr>
          <w:sz w:val="22"/>
          <w:szCs w:val="22"/>
        </w:rPr>
      </w:pPr>
      <w:bookmarkStart w:id="8" w:name="_Toc129243137"/>
      <w:bookmarkStart w:id="9" w:name="_Toc129243262"/>
    </w:p>
    <w:p w14:paraId="6A4035F9" w14:textId="77777777" w:rsidR="000C6DE6" w:rsidRPr="007B7B59" w:rsidRDefault="000C6DE6" w:rsidP="000C6DE6">
      <w:pPr>
        <w:pStyle w:val="TTEMEASMCA"/>
        <w:rPr>
          <w:sz w:val="22"/>
          <w:szCs w:val="22"/>
        </w:rPr>
      </w:pPr>
      <w:r w:rsidRPr="007B7B59">
        <w:rPr>
          <w:sz w:val="22"/>
          <w:szCs w:val="22"/>
        </w:rPr>
        <w:t>B. PAKUOTĖS LAPELIS</w:t>
      </w:r>
      <w:bookmarkEnd w:id="8"/>
      <w:bookmarkEnd w:id="9"/>
    </w:p>
    <w:p w14:paraId="3C63733D" w14:textId="77777777" w:rsidR="000C6DE6" w:rsidRPr="007B7B59" w:rsidRDefault="000C6DE6" w:rsidP="000C6DE6">
      <w:pPr>
        <w:jc w:val="center"/>
        <w:rPr>
          <w:b/>
          <w:szCs w:val="22"/>
        </w:rPr>
      </w:pPr>
      <w:r w:rsidRPr="007B7B59">
        <w:rPr>
          <w:szCs w:val="22"/>
        </w:rPr>
        <w:br w:type="page"/>
      </w:r>
      <w:bookmarkStart w:id="10" w:name="_Toc129243138"/>
      <w:bookmarkStart w:id="11" w:name="_Toc129243263"/>
      <w:r w:rsidR="00F47999" w:rsidRPr="007B7B59">
        <w:rPr>
          <w:b/>
          <w:szCs w:val="22"/>
        </w:rPr>
        <w:lastRenderedPageBreak/>
        <w:t>Pakuotės lapelis: informacija vartotojui</w:t>
      </w:r>
      <w:bookmarkEnd w:id="10"/>
      <w:bookmarkEnd w:id="11"/>
    </w:p>
    <w:p w14:paraId="4E48C692" w14:textId="77777777" w:rsidR="000C6DE6" w:rsidRPr="007B7B59" w:rsidRDefault="000C6DE6" w:rsidP="000C6DE6">
      <w:pPr>
        <w:jc w:val="center"/>
        <w:rPr>
          <w:b/>
          <w:szCs w:val="22"/>
        </w:rPr>
      </w:pPr>
    </w:p>
    <w:p w14:paraId="58F6BFF4" w14:textId="77777777" w:rsidR="000C6DE6" w:rsidRPr="007B7B59" w:rsidRDefault="000C6DE6" w:rsidP="000C6DE6">
      <w:pPr>
        <w:jc w:val="center"/>
        <w:rPr>
          <w:b/>
          <w:szCs w:val="22"/>
        </w:rPr>
      </w:pPr>
      <w:r w:rsidRPr="007B7B59">
        <w:rPr>
          <w:b/>
          <w:szCs w:val="22"/>
        </w:rPr>
        <w:t>AROMASIN 25 mg dengtos tabletės</w:t>
      </w:r>
    </w:p>
    <w:p w14:paraId="0D2EE995" w14:textId="2102480C" w:rsidR="000C6DE6" w:rsidRPr="007B7B59" w:rsidRDefault="00343030" w:rsidP="000C6DE6">
      <w:pPr>
        <w:jc w:val="center"/>
        <w:rPr>
          <w:szCs w:val="22"/>
        </w:rPr>
      </w:pPr>
      <w:proofErr w:type="spellStart"/>
      <w:r>
        <w:rPr>
          <w:szCs w:val="22"/>
        </w:rPr>
        <w:t>e</w:t>
      </w:r>
      <w:r w:rsidR="000C6DE6" w:rsidRPr="007B7B59">
        <w:rPr>
          <w:szCs w:val="22"/>
        </w:rPr>
        <w:t>ksemestanas</w:t>
      </w:r>
      <w:proofErr w:type="spellEnd"/>
    </w:p>
    <w:p w14:paraId="5BC3A8DB" w14:textId="77777777" w:rsidR="000C6DE6" w:rsidRPr="007B7B59" w:rsidRDefault="000C6DE6" w:rsidP="000C6DE6">
      <w:pPr>
        <w:rPr>
          <w:i/>
          <w:szCs w:val="22"/>
        </w:rPr>
      </w:pPr>
    </w:p>
    <w:p w14:paraId="7C31CE72" w14:textId="77777777" w:rsidR="000C6DE6" w:rsidRPr="007B7B59" w:rsidRDefault="000C6DE6" w:rsidP="000C6DE6">
      <w:pPr>
        <w:pStyle w:val="BTbEMEASMCA"/>
        <w:rPr>
          <w:noProof w:val="0"/>
        </w:rPr>
      </w:pPr>
      <w:r w:rsidRPr="007B7B59">
        <w:rPr>
          <w:noProof w:val="0"/>
        </w:rPr>
        <w:t>Atidžiai perskaitykite visą šį lapelį, prieš pradėdami vartoti vaistą</w:t>
      </w:r>
      <w:r w:rsidR="00F47999" w:rsidRPr="007B7B59">
        <w:rPr>
          <w:noProof w:val="0"/>
        </w:rPr>
        <w:t>, nes jame pateikiama Jums svarbi informacija.</w:t>
      </w:r>
    </w:p>
    <w:p w14:paraId="1DC9D30B" w14:textId="77777777" w:rsidR="000C6DE6" w:rsidRPr="007B7B59" w:rsidRDefault="000C6DE6" w:rsidP="00F47999">
      <w:pPr>
        <w:pStyle w:val="BT-EMEASMCA"/>
        <w:tabs>
          <w:tab w:val="clear" w:pos="360"/>
          <w:tab w:val="num" w:pos="567"/>
        </w:tabs>
        <w:ind w:left="567" w:hanging="567"/>
        <w:rPr>
          <w:noProof w:val="0"/>
        </w:rPr>
      </w:pPr>
      <w:r w:rsidRPr="007B7B59">
        <w:rPr>
          <w:noProof w:val="0"/>
        </w:rPr>
        <w:t>Neišmeskite šio lapelio, nes vėl gali prireikti jį perskaityti.</w:t>
      </w:r>
    </w:p>
    <w:p w14:paraId="62B20890" w14:textId="77777777" w:rsidR="000C6DE6" w:rsidRPr="007B7B59" w:rsidRDefault="000C6DE6" w:rsidP="00F47999">
      <w:pPr>
        <w:pStyle w:val="BT-EMEASMCA"/>
        <w:tabs>
          <w:tab w:val="clear" w:pos="360"/>
          <w:tab w:val="num" w:pos="567"/>
        </w:tabs>
        <w:ind w:left="567" w:hanging="567"/>
        <w:rPr>
          <w:noProof w:val="0"/>
        </w:rPr>
      </w:pPr>
      <w:r w:rsidRPr="007B7B59">
        <w:rPr>
          <w:noProof w:val="0"/>
        </w:rPr>
        <w:t>Jeigu kiltų daugiau klausimų, kreipkitės į gydytoją arba vaistininką.</w:t>
      </w:r>
    </w:p>
    <w:p w14:paraId="62FF65A9" w14:textId="77777777" w:rsidR="000C6DE6" w:rsidRPr="007B7B59" w:rsidRDefault="000C6DE6" w:rsidP="00F47999">
      <w:pPr>
        <w:pStyle w:val="BT-EMEASMCA"/>
        <w:tabs>
          <w:tab w:val="clear" w:pos="360"/>
          <w:tab w:val="num" w:pos="567"/>
        </w:tabs>
        <w:ind w:left="567" w:hanging="567"/>
        <w:rPr>
          <w:noProof w:val="0"/>
        </w:rPr>
      </w:pPr>
      <w:r w:rsidRPr="007B7B59">
        <w:rPr>
          <w:noProof w:val="0"/>
        </w:rPr>
        <w:t xml:space="preserve">Šis vaistas skirtas </w:t>
      </w:r>
      <w:r w:rsidR="00F47999" w:rsidRPr="007B7B59">
        <w:rPr>
          <w:noProof w:val="0"/>
        </w:rPr>
        <w:t xml:space="preserve">tik </w:t>
      </w:r>
      <w:r w:rsidRPr="007B7B59">
        <w:rPr>
          <w:noProof w:val="0"/>
        </w:rPr>
        <w:t xml:space="preserve">Jums, todėl kitiems žmonėms jo duoti negalima. Vaistas gali jiems pakenkti (net tiems, kurių ligos </w:t>
      </w:r>
      <w:r w:rsidR="00F47999" w:rsidRPr="007B7B59">
        <w:rPr>
          <w:noProof w:val="0"/>
        </w:rPr>
        <w:t>požymiai</w:t>
      </w:r>
      <w:r w:rsidRPr="007B7B59">
        <w:rPr>
          <w:noProof w:val="0"/>
        </w:rPr>
        <w:t xml:space="preserve"> yra tokie patys kaip Jūsų).</w:t>
      </w:r>
    </w:p>
    <w:p w14:paraId="7AEBED11" w14:textId="77777777" w:rsidR="00F47999" w:rsidRPr="007B7B59" w:rsidRDefault="000C6DE6" w:rsidP="00F47999">
      <w:pPr>
        <w:numPr>
          <w:ilvl w:val="0"/>
          <w:numId w:val="8"/>
        </w:numPr>
        <w:tabs>
          <w:tab w:val="left" w:pos="567"/>
        </w:tabs>
        <w:ind w:left="567" w:hanging="567"/>
        <w:rPr>
          <w:szCs w:val="22"/>
        </w:rPr>
      </w:pPr>
      <w:r w:rsidRPr="007B7B59">
        <w:rPr>
          <w:szCs w:val="22"/>
        </w:rPr>
        <w:t xml:space="preserve">Jeigu pasireiškė šalutinis poveikis </w:t>
      </w:r>
      <w:r w:rsidR="00F47999" w:rsidRPr="007B7B59">
        <w:rPr>
          <w:szCs w:val="22"/>
        </w:rPr>
        <w:t>(net jeigu jis šiame lapelyje nenurodytas), kreipkitės į gydytoją arba vaistininką. Žr. 4 skyrių.</w:t>
      </w:r>
    </w:p>
    <w:p w14:paraId="47F29BDD" w14:textId="77777777" w:rsidR="000C6DE6" w:rsidRPr="007B7B59" w:rsidRDefault="000C6DE6" w:rsidP="000C6DE6">
      <w:pPr>
        <w:rPr>
          <w:szCs w:val="22"/>
        </w:rPr>
      </w:pPr>
    </w:p>
    <w:p w14:paraId="41523C56" w14:textId="77777777" w:rsidR="000C6DE6" w:rsidRPr="007B7B59" w:rsidRDefault="000C6DE6" w:rsidP="000C6DE6">
      <w:pPr>
        <w:rPr>
          <w:szCs w:val="22"/>
        </w:rPr>
      </w:pPr>
    </w:p>
    <w:p w14:paraId="0AE17AEC" w14:textId="77777777" w:rsidR="00F47999" w:rsidRDefault="00F47999" w:rsidP="000C6DE6">
      <w:pPr>
        <w:ind w:left="567" w:hanging="567"/>
        <w:rPr>
          <w:b/>
          <w:szCs w:val="22"/>
        </w:rPr>
      </w:pPr>
      <w:r w:rsidRPr="007B7B59">
        <w:rPr>
          <w:b/>
          <w:szCs w:val="22"/>
        </w:rPr>
        <w:t>Apie ką rašoma šiame lapelyje?</w:t>
      </w:r>
    </w:p>
    <w:p w14:paraId="073574BF" w14:textId="77777777" w:rsidR="00A609CF" w:rsidRPr="007B7B59" w:rsidRDefault="00A609CF" w:rsidP="000C6DE6">
      <w:pPr>
        <w:ind w:left="567" w:hanging="567"/>
        <w:rPr>
          <w:b/>
          <w:szCs w:val="22"/>
        </w:rPr>
      </w:pPr>
    </w:p>
    <w:p w14:paraId="28CC8207" w14:textId="77777777" w:rsidR="000C6DE6" w:rsidRPr="007B7B59" w:rsidRDefault="000C6DE6" w:rsidP="000C6DE6">
      <w:pPr>
        <w:ind w:left="567" w:hanging="567"/>
        <w:rPr>
          <w:szCs w:val="22"/>
        </w:rPr>
      </w:pPr>
      <w:r w:rsidRPr="007B7B59">
        <w:rPr>
          <w:szCs w:val="22"/>
        </w:rPr>
        <w:t>1.</w:t>
      </w:r>
      <w:r w:rsidRPr="007B7B59">
        <w:rPr>
          <w:szCs w:val="22"/>
        </w:rPr>
        <w:tab/>
        <w:t>Kas yra AROMASIN ir kam jis vartojamas</w:t>
      </w:r>
    </w:p>
    <w:p w14:paraId="48A51AB0" w14:textId="77777777" w:rsidR="000C6DE6" w:rsidRPr="007B7B59" w:rsidRDefault="000C6DE6" w:rsidP="000C6DE6">
      <w:pPr>
        <w:ind w:left="567" w:hanging="567"/>
        <w:rPr>
          <w:szCs w:val="22"/>
        </w:rPr>
      </w:pPr>
      <w:r w:rsidRPr="007B7B59">
        <w:rPr>
          <w:szCs w:val="22"/>
        </w:rPr>
        <w:t>2.</w:t>
      </w:r>
      <w:r w:rsidRPr="007B7B59">
        <w:rPr>
          <w:szCs w:val="22"/>
        </w:rPr>
        <w:tab/>
        <w:t>Kas žinotina prieš vartojant AROMASIN</w:t>
      </w:r>
    </w:p>
    <w:p w14:paraId="00FDAB1B" w14:textId="77777777" w:rsidR="000C6DE6" w:rsidRPr="007B7B59" w:rsidRDefault="000C6DE6" w:rsidP="000C6DE6">
      <w:pPr>
        <w:ind w:left="567" w:hanging="567"/>
        <w:rPr>
          <w:szCs w:val="22"/>
        </w:rPr>
      </w:pPr>
      <w:r w:rsidRPr="007B7B59">
        <w:rPr>
          <w:szCs w:val="22"/>
        </w:rPr>
        <w:t>3.</w:t>
      </w:r>
      <w:r w:rsidRPr="007B7B59">
        <w:rPr>
          <w:szCs w:val="22"/>
        </w:rPr>
        <w:tab/>
        <w:t>Kaip vartoti AROMASIN</w:t>
      </w:r>
    </w:p>
    <w:p w14:paraId="1E99E422" w14:textId="77777777" w:rsidR="000C6DE6" w:rsidRPr="007B7B59" w:rsidRDefault="000C6DE6" w:rsidP="000C6DE6">
      <w:pPr>
        <w:ind w:left="567" w:hanging="567"/>
        <w:rPr>
          <w:szCs w:val="22"/>
        </w:rPr>
      </w:pPr>
      <w:r w:rsidRPr="007B7B59">
        <w:rPr>
          <w:szCs w:val="22"/>
        </w:rPr>
        <w:t>4.</w:t>
      </w:r>
      <w:r w:rsidRPr="007B7B59">
        <w:rPr>
          <w:szCs w:val="22"/>
        </w:rPr>
        <w:tab/>
        <w:t>Galimas šalutinis poveikis</w:t>
      </w:r>
    </w:p>
    <w:p w14:paraId="10D19E1C" w14:textId="77777777" w:rsidR="000C6DE6" w:rsidRPr="007B7B59" w:rsidRDefault="000C6DE6" w:rsidP="000C6DE6">
      <w:pPr>
        <w:ind w:left="567" w:hanging="567"/>
        <w:rPr>
          <w:szCs w:val="22"/>
        </w:rPr>
      </w:pPr>
      <w:r w:rsidRPr="007B7B59">
        <w:rPr>
          <w:szCs w:val="22"/>
        </w:rPr>
        <w:t>5.</w:t>
      </w:r>
      <w:r w:rsidRPr="007B7B59">
        <w:rPr>
          <w:szCs w:val="22"/>
        </w:rPr>
        <w:tab/>
        <w:t>Kaip laikyti AROMASIN</w:t>
      </w:r>
    </w:p>
    <w:p w14:paraId="54AB482A" w14:textId="77777777" w:rsidR="000C6DE6" w:rsidRPr="007B7B59" w:rsidRDefault="000C6DE6" w:rsidP="000C6DE6">
      <w:pPr>
        <w:ind w:left="567" w:hanging="567"/>
        <w:rPr>
          <w:szCs w:val="22"/>
        </w:rPr>
      </w:pPr>
      <w:r w:rsidRPr="007B7B59">
        <w:rPr>
          <w:szCs w:val="22"/>
        </w:rPr>
        <w:t>6.</w:t>
      </w:r>
      <w:r w:rsidRPr="007B7B59">
        <w:rPr>
          <w:szCs w:val="22"/>
        </w:rPr>
        <w:tab/>
      </w:r>
      <w:r w:rsidR="00F47999" w:rsidRPr="007B7B59">
        <w:rPr>
          <w:szCs w:val="22"/>
        </w:rPr>
        <w:t>Pakuotės turinys ir kita informacija</w:t>
      </w:r>
    </w:p>
    <w:p w14:paraId="49FC46FD" w14:textId="77777777" w:rsidR="000C6DE6" w:rsidRPr="007B7B59" w:rsidRDefault="000C6DE6" w:rsidP="000C6DE6">
      <w:pPr>
        <w:pStyle w:val="Dokumentoinaostekstas"/>
        <w:tabs>
          <w:tab w:val="clear" w:pos="567"/>
        </w:tabs>
        <w:rPr>
          <w:sz w:val="22"/>
          <w:szCs w:val="22"/>
          <w:lang w:val="lt-LT"/>
        </w:rPr>
      </w:pPr>
    </w:p>
    <w:p w14:paraId="6E3C4441" w14:textId="77777777" w:rsidR="000C6DE6" w:rsidRPr="007B7B59" w:rsidRDefault="000C6DE6" w:rsidP="000C6DE6">
      <w:pPr>
        <w:rPr>
          <w:szCs w:val="22"/>
        </w:rPr>
      </w:pPr>
    </w:p>
    <w:p w14:paraId="1913647B" w14:textId="77777777" w:rsidR="000C6DE6" w:rsidRPr="007B7B59" w:rsidRDefault="000C6DE6" w:rsidP="000C6DE6">
      <w:pPr>
        <w:ind w:left="540" w:hanging="540"/>
        <w:rPr>
          <w:b/>
          <w:caps/>
          <w:szCs w:val="22"/>
        </w:rPr>
      </w:pPr>
      <w:r w:rsidRPr="007B7B59">
        <w:rPr>
          <w:b/>
          <w:szCs w:val="22"/>
        </w:rPr>
        <w:t>1.</w:t>
      </w:r>
      <w:r w:rsidRPr="007B7B59">
        <w:rPr>
          <w:b/>
          <w:szCs w:val="22"/>
        </w:rPr>
        <w:tab/>
      </w:r>
      <w:r w:rsidR="00F47999" w:rsidRPr="007B7B59">
        <w:rPr>
          <w:b/>
          <w:szCs w:val="22"/>
        </w:rPr>
        <w:t>Kas yra AROMASIN ir kam jis vartojamas</w:t>
      </w:r>
    </w:p>
    <w:p w14:paraId="180287B2" w14:textId="77777777" w:rsidR="000C6DE6" w:rsidRPr="007B7B59" w:rsidRDefault="000C6DE6" w:rsidP="000C6DE6">
      <w:pPr>
        <w:rPr>
          <w:szCs w:val="22"/>
        </w:rPr>
      </w:pPr>
    </w:p>
    <w:p w14:paraId="341C764E" w14:textId="77777777" w:rsidR="000C6DE6" w:rsidRPr="007B7B59" w:rsidRDefault="000C6DE6" w:rsidP="000C6DE6">
      <w:pPr>
        <w:rPr>
          <w:szCs w:val="22"/>
        </w:rPr>
      </w:pPr>
      <w:r w:rsidRPr="007B7B59">
        <w:rPr>
          <w:szCs w:val="22"/>
        </w:rPr>
        <w:t xml:space="preserve">Šio vaisto pavadinimas yra AROMASIN. AROMASIN yra negrįžtamojo veikimo </w:t>
      </w:r>
      <w:proofErr w:type="spellStart"/>
      <w:r w:rsidRPr="007B7B59">
        <w:rPr>
          <w:szCs w:val="22"/>
        </w:rPr>
        <w:t>aromatazės</w:t>
      </w:r>
      <w:proofErr w:type="spellEnd"/>
      <w:r w:rsidRPr="007B7B59">
        <w:rPr>
          <w:szCs w:val="22"/>
        </w:rPr>
        <w:t xml:space="preserve"> inhibitorius. Šis vaistas mažina medžiagos, vadinamos </w:t>
      </w:r>
      <w:proofErr w:type="spellStart"/>
      <w:r w:rsidRPr="007B7B59">
        <w:rPr>
          <w:szCs w:val="22"/>
        </w:rPr>
        <w:t>aromataze</w:t>
      </w:r>
      <w:proofErr w:type="spellEnd"/>
      <w:r w:rsidRPr="007B7B59">
        <w:rPr>
          <w:szCs w:val="22"/>
        </w:rPr>
        <w:t xml:space="preserve">, aktyvumą. </w:t>
      </w:r>
      <w:proofErr w:type="spellStart"/>
      <w:r w:rsidRPr="007B7B59">
        <w:rPr>
          <w:szCs w:val="22"/>
        </w:rPr>
        <w:t>Aromatazė</w:t>
      </w:r>
      <w:proofErr w:type="spellEnd"/>
      <w:r w:rsidRPr="007B7B59">
        <w:rPr>
          <w:szCs w:val="22"/>
        </w:rPr>
        <w:t xml:space="preserve"> būtina moteriškų lytinių hormonų estrogenų sintezei, ypač moterims po menopauzės. Estrogenų reikia kai kurių rūšių vėžio ląstelių dalijimuisi. Nuslopinus </w:t>
      </w:r>
      <w:proofErr w:type="spellStart"/>
      <w:r w:rsidRPr="007B7B59">
        <w:rPr>
          <w:szCs w:val="22"/>
        </w:rPr>
        <w:t>aromatazę</w:t>
      </w:r>
      <w:proofErr w:type="spellEnd"/>
      <w:r w:rsidRPr="007B7B59">
        <w:rPr>
          <w:szCs w:val="22"/>
        </w:rPr>
        <w:t>, sumažėja estrogenų kiekis</w:t>
      </w:r>
      <w:r w:rsidR="008E51B4">
        <w:rPr>
          <w:szCs w:val="22"/>
        </w:rPr>
        <w:t>, tokiu būdu</w:t>
      </w:r>
      <w:r w:rsidRPr="007B7B59">
        <w:rPr>
          <w:szCs w:val="22"/>
        </w:rPr>
        <w:t xml:space="preserve"> selektyv</w:t>
      </w:r>
      <w:r w:rsidR="008E51B4">
        <w:rPr>
          <w:szCs w:val="22"/>
        </w:rPr>
        <w:t>iai gydomas</w:t>
      </w:r>
      <w:r w:rsidRPr="007B7B59">
        <w:rPr>
          <w:szCs w:val="22"/>
        </w:rPr>
        <w:t xml:space="preserve"> nuo hormonų priklausom</w:t>
      </w:r>
      <w:r w:rsidR="008E51B4">
        <w:rPr>
          <w:szCs w:val="22"/>
        </w:rPr>
        <w:t>as</w:t>
      </w:r>
      <w:r w:rsidRPr="007B7B59">
        <w:rPr>
          <w:szCs w:val="22"/>
        </w:rPr>
        <w:t xml:space="preserve"> krūties vėž</w:t>
      </w:r>
      <w:r w:rsidR="008E51B4">
        <w:rPr>
          <w:szCs w:val="22"/>
        </w:rPr>
        <w:t>ys</w:t>
      </w:r>
      <w:r w:rsidRPr="007B7B59">
        <w:rPr>
          <w:szCs w:val="22"/>
        </w:rPr>
        <w:t xml:space="preserve"> moterims po menopauzės.</w:t>
      </w:r>
    </w:p>
    <w:p w14:paraId="42F3627B" w14:textId="77777777" w:rsidR="000C6DE6" w:rsidRPr="007B7B59" w:rsidRDefault="000C6DE6" w:rsidP="000C6DE6">
      <w:pPr>
        <w:rPr>
          <w:szCs w:val="22"/>
        </w:rPr>
      </w:pPr>
    </w:p>
    <w:p w14:paraId="0E15E1DA" w14:textId="77777777" w:rsidR="000C6DE6" w:rsidRPr="007B7B59" w:rsidRDefault="000C6DE6" w:rsidP="000C6DE6">
      <w:pPr>
        <w:pStyle w:val="Pagrindinistekstas2"/>
        <w:ind w:left="0" w:firstLine="0"/>
        <w:rPr>
          <w:b w:val="0"/>
          <w:sz w:val="22"/>
          <w:szCs w:val="22"/>
          <w:lang w:val="lt-LT"/>
        </w:rPr>
      </w:pPr>
      <w:r w:rsidRPr="007B7B59">
        <w:rPr>
          <w:b w:val="0"/>
          <w:sz w:val="22"/>
          <w:szCs w:val="22"/>
          <w:lang w:val="lt-LT"/>
        </w:rPr>
        <w:t xml:space="preserve">AROMASIN vartojamas ankstyvai krūties vėžio stadijai gydyti moterims po menopauzės, kai pradinis jų gydymas </w:t>
      </w:r>
      <w:proofErr w:type="spellStart"/>
      <w:r w:rsidRPr="007B7B59">
        <w:rPr>
          <w:b w:val="0"/>
          <w:sz w:val="22"/>
          <w:szCs w:val="22"/>
          <w:lang w:val="lt-LT"/>
        </w:rPr>
        <w:t>tamoksifenu</w:t>
      </w:r>
      <w:proofErr w:type="spellEnd"/>
      <w:r w:rsidRPr="007B7B59">
        <w:rPr>
          <w:b w:val="0"/>
          <w:sz w:val="22"/>
          <w:szCs w:val="22"/>
          <w:lang w:val="lt-LT"/>
        </w:rPr>
        <w:t xml:space="preserve"> truko 2-3 metus.</w:t>
      </w:r>
    </w:p>
    <w:p w14:paraId="78862183" w14:textId="77777777" w:rsidR="000C6DE6" w:rsidRPr="007B7B59" w:rsidRDefault="000C6DE6" w:rsidP="000C6DE6">
      <w:pPr>
        <w:rPr>
          <w:szCs w:val="22"/>
        </w:rPr>
      </w:pPr>
    </w:p>
    <w:p w14:paraId="4CC09D11" w14:textId="77777777" w:rsidR="000C6DE6" w:rsidRPr="007B7B59" w:rsidRDefault="000C6DE6" w:rsidP="000C6DE6">
      <w:pPr>
        <w:rPr>
          <w:szCs w:val="22"/>
        </w:rPr>
      </w:pPr>
      <w:r w:rsidRPr="007B7B59">
        <w:rPr>
          <w:szCs w:val="22"/>
        </w:rPr>
        <w:t>AROMASIN taip pat vartojamas vėlyvosioms krūties vėžio stadijoms gydyti moterims po menopauzės, jei gydymas kitais hormoniniais vaistais buvo nepakankamai veiksmingas.</w:t>
      </w:r>
    </w:p>
    <w:p w14:paraId="14568665" w14:textId="77777777" w:rsidR="000C6DE6" w:rsidRPr="007B7B59" w:rsidRDefault="000C6DE6" w:rsidP="000C6DE6">
      <w:pPr>
        <w:rPr>
          <w:szCs w:val="22"/>
        </w:rPr>
      </w:pPr>
    </w:p>
    <w:p w14:paraId="566E95C6" w14:textId="77777777" w:rsidR="000C6DE6" w:rsidRPr="007B7B59" w:rsidRDefault="000C6DE6" w:rsidP="000C6DE6">
      <w:pPr>
        <w:rPr>
          <w:szCs w:val="22"/>
        </w:rPr>
      </w:pPr>
    </w:p>
    <w:p w14:paraId="6B74B8E6" w14:textId="77777777" w:rsidR="000C6DE6" w:rsidRPr="007B7B59" w:rsidRDefault="000C6DE6" w:rsidP="000C6DE6">
      <w:pPr>
        <w:ind w:left="540" w:hanging="540"/>
        <w:rPr>
          <w:b/>
          <w:caps/>
          <w:szCs w:val="22"/>
        </w:rPr>
      </w:pPr>
      <w:r w:rsidRPr="007B7B59">
        <w:rPr>
          <w:b/>
          <w:szCs w:val="22"/>
        </w:rPr>
        <w:t>2.</w:t>
      </w:r>
      <w:r w:rsidRPr="007B7B59">
        <w:rPr>
          <w:b/>
          <w:szCs w:val="22"/>
        </w:rPr>
        <w:tab/>
      </w:r>
      <w:r w:rsidR="00F47999" w:rsidRPr="007B7B59">
        <w:rPr>
          <w:b/>
          <w:szCs w:val="22"/>
        </w:rPr>
        <w:t xml:space="preserve">Kas žinotina prieš vartojant </w:t>
      </w:r>
      <w:r w:rsidRPr="007B7B59">
        <w:rPr>
          <w:b/>
          <w:szCs w:val="22"/>
        </w:rPr>
        <w:t>AROMASIN</w:t>
      </w:r>
    </w:p>
    <w:p w14:paraId="77E645F0" w14:textId="77777777" w:rsidR="000C6DE6" w:rsidRPr="007B7B59" w:rsidRDefault="000C6DE6" w:rsidP="000C6DE6">
      <w:pPr>
        <w:ind w:left="540" w:hanging="540"/>
        <w:rPr>
          <w:b/>
          <w:szCs w:val="22"/>
        </w:rPr>
      </w:pPr>
    </w:p>
    <w:p w14:paraId="58160817" w14:textId="6F92C0A2" w:rsidR="000C6DE6" w:rsidRPr="007B7B59" w:rsidRDefault="000C6DE6" w:rsidP="000C6DE6">
      <w:pPr>
        <w:rPr>
          <w:b/>
          <w:szCs w:val="22"/>
        </w:rPr>
      </w:pPr>
      <w:r w:rsidRPr="007B7B59">
        <w:rPr>
          <w:b/>
          <w:bCs/>
          <w:szCs w:val="22"/>
        </w:rPr>
        <w:t>AROMASIN</w:t>
      </w:r>
      <w:r w:rsidRPr="007B7B59">
        <w:rPr>
          <w:b/>
          <w:szCs w:val="22"/>
        </w:rPr>
        <w:t xml:space="preserve"> vartoti </w:t>
      </w:r>
      <w:r w:rsidR="00343030">
        <w:rPr>
          <w:b/>
          <w:szCs w:val="22"/>
        </w:rPr>
        <w:t>draudžiama</w:t>
      </w:r>
      <w:r w:rsidRPr="007B7B59">
        <w:rPr>
          <w:b/>
          <w:bCs/>
          <w:szCs w:val="22"/>
        </w:rPr>
        <w:t>:</w:t>
      </w:r>
    </w:p>
    <w:p w14:paraId="60413697" w14:textId="77777777" w:rsidR="000C6DE6" w:rsidRPr="007B7B59" w:rsidRDefault="000C6DE6" w:rsidP="005A1402">
      <w:pPr>
        <w:ind w:left="567" w:hanging="567"/>
        <w:rPr>
          <w:szCs w:val="22"/>
        </w:rPr>
      </w:pPr>
      <w:r w:rsidRPr="007B7B59">
        <w:rPr>
          <w:szCs w:val="22"/>
        </w:rPr>
        <w:t>-</w:t>
      </w:r>
      <w:r w:rsidRPr="007B7B59">
        <w:rPr>
          <w:szCs w:val="22"/>
        </w:rPr>
        <w:tab/>
        <w:t xml:space="preserve">jeigu yra ar anksčiau buvo alergija </w:t>
      </w:r>
      <w:proofErr w:type="spellStart"/>
      <w:r w:rsidRPr="007B7B59">
        <w:rPr>
          <w:szCs w:val="22"/>
        </w:rPr>
        <w:t>eksemestanui</w:t>
      </w:r>
      <w:proofErr w:type="spellEnd"/>
      <w:r w:rsidR="00E12788" w:rsidRPr="007B7B59">
        <w:rPr>
          <w:szCs w:val="22"/>
        </w:rPr>
        <w:t xml:space="preserve"> </w:t>
      </w:r>
      <w:r w:rsidRPr="007B7B59">
        <w:rPr>
          <w:szCs w:val="22"/>
        </w:rPr>
        <w:t xml:space="preserve">arba bet kuriai pagalbinei </w:t>
      </w:r>
      <w:r w:rsidR="00E12788" w:rsidRPr="007B7B59">
        <w:rPr>
          <w:szCs w:val="22"/>
        </w:rPr>
        <w:t xml:space="preserve">šio vaisto </w:t>
      </w:r>
      <w:r w:rsidRPr="007B7B59">
        <w:rPr>
          <w:szCs w:val="22"/>
        </w:rPr>
        <w:t>medžiagai</w:t>
      </w:r>
      <w:r w:rsidR="00E12788" w:rsidRPr="007B7B59">
        <w:rPr>
          <w:szCs w:val="22"/>
        </w:rPr>
        <w:t xml:space="preserve"> (jos išvardytos 6 </w:t>
      </w:r>
      <w:r w:rsidRPr="007B7B59">
        <w:rPr>
          <w:szCs w:val="22"/>
        </w:rPr>
        <w:t>skyriuje</w:t>
      </w:r>
      <w:r w:rsidR="00E12788" w:rsidRPr="007B7B59">
        <w:rPr>
          <w:szCs w:val="22"/>
        </w:rPr>
        <w:t>)</w:t>
      </w:r>
      <w:r w:rsidRPr="007B7B59">
        <w:rPr>
          <w:szCs w:val="22"/>
        </w:rPr>
        <w:t>;</w:t>
      </w:r>
    </w:p>
    <w:p w14:paraId="40D82FB3" w14:textId="77777777" w:rsidR="000C6DE6" w:rsidRPr="007B7B59" w:rsidRDefault="000C6DE6" w:rsidP="005A1402">
      <w:pPr>
        <w:ind w:left="567" w:hanging="567"/>
        <w:rPr>
          <w:szCs w:val="22"/>
        </w:rPr>
      </w:pPr>
      <w:r w:rsidRPr="007B7B59">
        <w:rPr>
          <w:szCs w:val="22"/>
        </w:rPr>
        <w:t>-</w:t>
      </w:r>
      <w:r w:rsidRPr="007B7B59">
        <w:rPr>
          <w:szCs w:val="22"/>
        </w:rPr>
        <w:tab/>
        <w:t>jeigu dar neprasidėjo menopauzė, t.</w:t>
      </w:r>
      <w:r w:rsidR="00990CC1">
        <w:rPr>
          <w:szCs w:val="22"/>
        </w:rPr>
        <w:t xml:space="preserve"> </w:t>
      </w:r>
      <w:r w:rsidRPr="007B7B59">
        <w:rPr>
          <w:szCs w:val="22"/>
        </w:rPr>
        <w:t>y. jei moteriai tebesikartoja menstruacijos;</w:t>
      </w:r>
    </w:p>
    <w:p w14:paraId="40AAAEA2" w14:textId="77777777" w:rsidR="000C6DE6" w:rsidRPr="007B7B59" w:rsidRDefault="000C6DE6" w:rsidP="005A1402">
      <w:pPr>
        <w:ind w:left="567" w:hanging="567"/>
        <w:rPr>
          <w:szCs w:val="22"/>
        </w:rPr>
      </w:pPr>
      <w:r w:rsidRPr="007B7B59">
        <w:rPr>
          <w:szCs w:val="22"/>
        </w:rPr>
        <w:t>-</w:t>
      </w:r>
      <w:r w:rsidRPr="007B7B59">
        <w:rPr>
          <w:szCs w:val="22"/>
        </w:rPr>
        <w:tab/>
        <w:t>jeigu esate nėščia, manote, kad galite būti pastojusi arba žindote kūdikį.</w:t>
      </w:r>
    </w:p>
    <w:p w14:paraId="6EFA5710" w14:textId="77777777" w:rsidR="000C6DE6" w:rsidRPr="007B7B59" w:rsidRDefault="000C6DE6" w:rsidP="000C6DE6">
      <w:pPr>
        <w:rPr>
          <w:szCs w:val="22"/>
        </w:rPr>
      </w:pPr>
    </w:p>
    <w:p w14:paraId="14EAF554" w14:textId="77777777" w:rsidR="00561D11" w:rsidRPr="007B7B59" w:rsidRDefault="00561D11" w:rsidP="00561D11">
      <w:pPr>
        <w:keepNext/>
        <w:tabs>
          <w:tab w:val="left" w:pos="567"/>
        </w:tabs>
        <w:spacing w:line="260" w:lineRule="exact"/>
        <w:jc w:val="both"/>
        <w:outlineLvl w:val="3"/>
        <w:rPr>
          <w:b/>
          <w:bCs/>
          <w:snapToGrid w:val="0"/>
          <w:szCs w:val="22"/>
        </w:rPr>
      </w:pPr>
      <w:r w:rsidRPr="007B7B59">
        <w:rPr>
          <w:b/>
          <w:bCs/>
          <w:snapToGrid w:val="0"/>
          <w:szCs w:val="22"/>
        </w:rPr>
        <w:t xml:space="preserve">Įspėjimai ir atsargumo priemonės </w:t>
      </w:r>
    </w:p>
    <w:p w14:paraId="14D25C61" w14:textId="77777777" w:rsidR="00561D11" w:rsidRPr="007B7B59" w:rsidRDefault="00561D11" w:rsidP="00561D11">
      <w:pPr>
        <w:numPr>
          <w:ilvl w:val="12"/>
          <w:numId w:val="0"/>
        </w:numPr>
        <w:ind w:right="-2"/>
        <w:rPr>
          <w:snapToGrid w:val="0"/>
          <w:szCs w:val="22"/>
        </w:rPr>
      </w:pPr>
      <w:r w:rsidRPr="007B7B59">
        <w:rPr>
          <w:snapToGrid w:val="0"/>
          <w:szCs w:val="22"/>
        </w:rPr>
        <w:t>Pasitarkite su gydytoju arba vaistininku, prieš pradėdami vartoti AROMASIN</w:t>
      </w:r>
      <w:r w:rsidR="002D09E1">
        <w:rPr>
          <w:snapToGrid w:val="0"/>
          <w:szCs w:val="22"/>
        </w:rPr>
        <w:t>:</w:t>
      </w:r>
    </w:p>
    <w:p w14:paraId="652EA5F1" w14:textId="77777777" w:rsidR="000C6DE6" w:rsidRPr="007B7B59" w:rsidRDefault="002D09E1" w:rsidP="005A1402">
      <w:pPr>
        <w:pStyle w:val="BT-EMEASMCA"/>
        <w:tabs>
          <w:tab w:val="clear" w:pos="360"/>
          <w:tab w:val="num" w:pos="567"/>
        </w:tabs>
        <w:ind w:left="567" w:hanging="567"/>
        <w:rPr>
          <w:noProof w:val="0"/>
        </w:rPr>
      </w:pPr>
      <w:r>
        <w:rPr>
          <w:noProof w:val="0"/>
        </w:rPr>
        <w:t>p</w:t>
      </w:r>
      <w:r w:rsidR="000C6DE6" w:rsidRPr="007B7B59">
        <w:rPr>
          <w:noProof w:val="0"/>
        </w:rPr>
        <w:t>rieš paskirdamas gydymą AROMASIN, siekdamas įsitikinti, ar Jums prasidėjo menopauzė, gydytojas gali paskirti kraujo tyrimus;</w:t>
      </w:r>
    </w:p>
    <w:p w14:paraId="49A0EAF0" w14:textId="77777777" w:rsidR="000C6DE6" w:rsidRPr="007B7B59" w:rsidRDefault="000C6DE6" w:rsidP="005A1402">
      <w:pPr>
        <w:pStyle w:val="BT-EMEASMCA"/>
        <w:tabs>
          <w:tab w:val="clear" w:pos="360"/>
          <w:tab w:val="num" w:pos="567"/>
        </w:tabs>
        <w:ind w:left="567" w:hanging="567"/>
        <w:rPr>
          <w:noProof w:val="0"/>
        </w:rPr>
      </w:pPr>
      <w:r w:rsidRPr="007B7B59">
        <w:rPr>
          <w:noProof w:val="0"/>
        </w:rPr>
        <w:t>jeigu skundžiatės kepenų ar inkstų sutrikimais, prieš vartojant AROMASIN, pasakykite gydytojui;</w:t>
      </w:r>
    </w:p>
    <w:p w14:paraId="3D61D19A" w14:textId="77777777" w:rsidR="000C6DE6" w:rsidRPr="007B7B59" w:rsidRDefault="000C6DE6" w:rsidP="005A1402">
      <w:pPr>
        <w:pStyle w:val="BT-EMEASMCA"/>
        <w:tabs>
          <w:tab w:val="clear" w:pos="360"/>
          <w:tab w:val="num" w:pos="567"/>
        </w:tabs>
        <w:ind w:left="567" w:hanging="567"/>
        <w:rPr>
          <w:noProof w:val="0"/>
        </w:rPr>
      </w:pPr>
      <w:r w:rsidRPr="007B7B59">
        <w:rPr>
          <w:noProof w:val="0"/>
        </w:rPr>
        <w:t>jeigu esate sirg</w:t>
      </w:r>
      <w:r w:rsidR="00973C79">
        <w:rPr>
          <w:noProof w:val="0"/>
        </w:rPr>
        <w:t>usi</w:t>
      </w:r>
      <w:r w:rsidRPr="007B7B59">
        <w:rPr>
          <w:noProof w:val="0"/>
        </w:rPr>
        <w:t xml:space="preserve"> arba sergate ligomis, veikiančiomis kaulų stiprumą, pasakykite gydytojui. Prieš paskirdamas gydymą AROMASIN ir gydymo metu Jūsų gydytojas gali atlikti kaulų </w:t>
      </w:r>
      <w:r w:rsidRPr="007B7B59">
        <w:rPr>
          <w:noProof w:val="0"/>
        </w:rPr>
        <w:lastRenderedPageBreak/>
        <w:t>tankio tyrimus. Tai būtina, nes šios klasės vaistai mažina moteriškų hormonų kiekį, dėl to gali sumažėti mineralų kiekis kauluose, taip sumažindami kaulų stiprumą.</w:t>
      </w:r>
    </w:p>
    <w:p w14:paraId="6CB2E7AB" w14:textId="77777777" w:rsidR="000C6DE6" w:rsidRPr="007B7B59" w:rsidRDefault="005125BF" w:rsidP="006F7CAC">
      <w:pPr>
        <w:rPr>
          <w:szCs w:val="22"/>
        </w:rPr>
      </w:pPr>
      <w:r w:rsidRPr="007B7B59">
        <w:rPr>
          <w:szCs w:val="22"/>
        </w:rPr>
        <w:t>Prieš gydymą gydytojas gali norėti nustatyti vitamino D kiekį Jūsų organizm</w:t>
      </w:r>
      <w:r w:rsidR="006F7CAC" w:rsidRPr="007B7B59">
        <w:rPr>
          <w:szCs w:val="22"/>
        </w:rPr>
        <w:t>e</w:t>
      </w:r>
      <w:r w:rsidRPr="007B7B59">
        <w:rPr>
          <w:szCs w:val="22"/>
        </w:rPr>
        <w:t xml:space="preserve"> ir, jei reikia, nurodyti vartoti vitamino D papildomai.</w:t>
      </w:r>
    </w:p>
    <w:p w14:paraId="266E8C73" w14:textId="77777777" w:rsidR="005125BF" w:rsidRPr="007B7B59" w:rsidRDefault="005125BF" w:rsidP="000C6DE6">
      <w:pPr>
        <w:rPr>
          <w:b/>
          <w:szCs w:val="22"/>
        </w:rPr>
      </w:pPr>
    </w:p>
    <w:p w14:paraId="7A0EDF08" w14:textId="77777777" w:rsidR="000C6DE6" w:rsidRPr="007B7B59" w:rsidRDefault="00561D11" w:rsidP="000C6DE6">
      <w:pPr>
        <w:rPr>
          <w:b/>
          <w:szCs w:val="22"/>
        </w:rPr>
      </w:pPr>
      <w:r w:rsidRPr="007B7B59">
        <w:rPr>
          <w:b/>
          <w:szCs w:val="22"/>
        </w:rPr>
        <w:t>Kiti vaistai ir AROMASIN</w:t>
      </w:r>
    </w:p>
    <w:p w14:paraId="278F2C25" w14:textId="77777777" w:rsidR="000C6DE6" w:rsidRPr="007B7B59" w:rsidRDefault="000C6DE6" w:rsidP="000C6DE6">
      <w:pPr>
        <w:rPr>
          <w:szCs w:val="22"/>
        </w:rPr>
      </w:pPr>
      <w:r w:rsidRPr="007B7B59">
        <w:rPr>
          <w:szCs w:val="22"/>
        </w:rPr>
        <w:t>Jeigu vartojate ar neseniai vartojote kitų vaistų</w:t>
      </w:r>
      <w:r w:rsidR="00561D11" w:rsidRPr="007B7B59">
        <w:rPr>
          <w:szCs w:val="22"/>
        </w:rPr>
        <w:t xml:space="preserve"> arba dėl to nesate tikri</w:t>
      </w:r>
      <w:r w:rsidRPr="007B7B59">
        <w:rPr>
          <w:szCs w:val="22"/>
        </w:rPr>
        <w:t xml:space="preserve">, </w:t>
      </w:r>
      <w:r w:rsidR="00561D11" w:rsidRPr="007B7B59">
        <w:rPr>
          <w:szCs w:val="22"/>
        </w:rPr>
        <w:t xml:space="preserve">apie tai </w:t>
      </w:r>
      <w:r w:rsidRPr="007B7B59">
        <w:rPr>
          <w:szCs w:val="22"/>
        </w:rPr>
        <w:t xml:space="preserve">pasakykite gydytojui arba vaistininkui. </w:t>
      </w:r>
    </w:p>
    <w:p w14:paraId="3A9D5332" w14:textId="77777777" w:rsidR="000C6DE6" w:rsidRPr="007B7B59" w:rsidRDefault="000C6DE6" w:rsidP="000C6DE6">
      <w:pPr>
        <w:rPr>
          <w:szCs w:val="22"/>
        </w:rPr>
      </w:pPr>
    </w:p>
    <w:p w14:paraId="408D7124" w14:textId="77777777" w:rsidR="000C6DE6" w:rsidRPr="007B7B59" w:rsidRDefault="000C6DE6" w:rsidP="000C6DE6">
      <w:pPr>
        <w:rPr>
          <w:szCs w:val="22"/>
        </w:rPr>
      </w:pPr>
      <w:r w:rsidRPr="007B7B59">
        <w:rPr>
          <w:szCs w:val="22"/>
        </w:rPr>
        <w:t xml:space="preserve">AROMASIN neskiriamas vienu metu su pakeičiamąja hormonų terapija. </w:t>
      </w:r>
    </w:p>
    <w:p w14:paraId="0D3A52F7" w14:textId="77777777" w:rsidR="000C6DE6" w:rsidRPr="007B7B59" w:rsidRDefault="000C6DE6" w:rsidP="000C6DE6">
      <w:pPr>
        <w:rPr>
          <w:szCs w:val="22"/>
        </w:rPr>
      </w:pPr>
    </w:p>
    <w:p w14:paraId="118D7BE4" w14:textId="77777777" w:rsidR="000C6DE6" w:rsidRPr="007B7B59" w:rsidRDefault="000C6DE6" w:rsidP="000C6DE6">
      <w:pPr>
        <w:rPr>
          <w:szCs w:val="22"/>
        </w:rPr>
      </w:pPr>
      <w:r w:rsidRPr="007B7B59">
        <w:rPr>
          <w:szCs w:val="22"/>
        </w:rPr>
        <w:t>Kitų vaistų vartojimas yra tęsiamas toliau vartojant AROMASIN. Pasakykite savo gydytojui, jeigu vartojate:</w:t>
      </w:r>
    </w:p>
    <w:p w14:paraId="7BD6891B" w14:textId="77777777" w:rsidR="000C6DE6" w:rsidRPr="007B7B59" w:rsidRDefault="000C6DE6" w:rsidP="00561D11">
      <w:pPr>
        <w:numPr>
          <w:ilvl w:val="0"/>
          <w:numId w:val="7"/>
        </w:numPr>
        <w:ind w:left="567" w:hanging="567"/>
        <w:rPr>
          <w:szCs w:val="22"/>
        </w:rPr>
      </w:pPr>
      <w:proofErr w:type="spellStart"/>
      <w:r w:rsidRPr="007B7B59">
        <w:rPr>
          <w:szCs w:val="22"/>
        </w:rPr>
        <w:t>rifampiciną</w:t>
      </w:r>
      <w:proofErr w:type="spellEnd"/>
      <w:r w:rsidRPr="007B7B59">
        <w:rPr>
          <w:szCs w:val="22"/>
        </w:rPr>
        <w:t xml:space="preserve"> (antibiotikas),</w:t>
      </w:r>
    </w:p>
    <w:p w14:paraId="7056C23F" w14:textId="77777777" w:rsidR="000C6DE6" w:rsidRPr="007B7B59" w:rsidRDefault="000C6DE6" w:rsidP="00561D11">
      <w:pPr>
        <w:numPr>
          <w:ilvl w:val="0"/>
          <w:numId w:val="7"/>
        </w:numPr>
        <w:ind w:left="567" w:hanging="567"/>
        <w:rPr>
          <w:szCs w:val="22"/>
        </w:rPr>
      </w:pPr>
      <w:proofErr w:type="spellStart"/>
      <w:r w:rsidRPr="007B7B59">
        <w:rPr>
          <w:szCs w:val="22"/>
        </w:rPr>
        <w:t>karbamazepiną</w:t>
      </w:r>
      <w:proofErr w:type="spellEnd"/>
      <w:r w:rsidRPr="007B7B59">
        <w:rPr>
          <w:szCs w:val="22"/>
        </w:rPr>
        <w:t xml:space="preserve"> arba </w:t>
      </w:r>
      <w:proofErr w:type="spellStart"/>
      <w:r w:rsidRPr="007B7B59">
        <w:rPr>
          <w:szCs w:val="22"/>
        </w:rPr>
        <w:t>fenitoiną</w:t>
      </w:r>
      <w:proofErr w:type="spellEnd"/>
      <w:r w:rsidRPr="007B7B59">
        <w:rPr>
          <w:szCs w:val="22"/>
        </w:rPr>
        <w:t xml:space="preserve"> (</w:t>
      </w:r>
      <w:proofErr w:type="spellStart"/>
      <w:r w:rsidRPr="007B7B59">
        <w:rPr>
          <w:szCs w:val="22"/>
        </w:rPr>
        <w:t>priešepilepsiniai</w:t>
      </w:r>
      <w:proofErr w:type="spellEnd"/>
      <w:r w:rsidRPr="007B7B59">
        <w:rPr>
          <w:szCs w:val="22"/>
        </w:rPr>
        <w:t xml:space="preserve"> vaistai, </w:t>
      </w:r>
      <w:r w:rsidR="005A1402" w:rsidRPr="007B7B59">
        <w:rPr>
          <w:szCs w:val="22"/>
        </w:rPr>
        <w:t xml:space="preserve">vartojami </w:t>
      </w:r>
      <w:r w:rsidRPr="007B7B59">
        <w:rPr>
          <w:szCs w:val="22"/>
        </w:rPr>
        <w:t>epilepsijai gydyti),</w:t>
      </w:r>
    </w:p>
    <w:p w14:paraId="4B66EB63" w14:textId="77777777" w:rsidR="000C6DE6" w:rsidRPr="007B7B59" w:rsidRDefault="000C6DE6" w:rsidP="00561D11">
      <w:pPr>
        <w:numPr>
          <w:ilvl w:val="0"/>
          <w:numId w:val="7"/>
        </w:numPr>
        <w:ind w:left="567" w:hanging="567"/>
        <w:rPr>
          <w:szCs w:val="22"/>
        </w:rPr>
      </w:pPr>
      <w:r w:rsidRPr="007B7B59">
        <w:rPr>
          <w:szCs w:val="22"/>
        </w:rPr>
        <w:t>vaistinę žolę Jonažolę (</w:t>
      </w:r>
      <w:proofErr w:type="spellStart"/>
      <w:r w:rsidRPr="007B7B59">
        <w:rPr>
          <w:i/>
          <w:szCs w:val="22"/>
        </w:rPr>
        <w:t>Hypericum</w:t>
      </w:r>
      <w:proofErr w:type="spellEnd"/>
      <w:r w:rsidRPr="007B7B59">
        <w:rPr>
          <w:i/>
          <w:szCs w:val="22"/>
        </w:rPr>
        <w:t xml:space="preserve"> </w:t>
      </w:r>
      <w:proofErr w:type="spellStart"/>
      <w:r w:rsidRPr="007B7B59">
        <w:rPr>
          <w:i/>
          <w:szCs w:val="22"/>
        </w:rPr>
        <w:t>perforatum</w:t>
      </w:r>
      <w:proofErr w:type="spellEnd"/>
      <w:r w:rsidRPr="007B7B59">
        <w:rPr>
          <w:szCs w:val="22"/>
        </w:rPr>
        <w:t>) ar augalinius preparatus, kurių sudėtyje yra jonažolės.</w:t>
      </w:r>
    </w:p>
    <w:p w14:paraId="46612296" w14:textId="77777777" w:rsidR="000C6DE6" w:rsidRPr="007B7B59" w:rsidRDefault="000C6DE6" w:rsidP="00561D11">
      <w:pPr>
        <w:ind w:left="567" w:hanging="567"/>
        <w:rPr>
          <w:b/>
          <w:szCs w:val="22"/>
        </w:rPr>
      </w:pPr>
    </w:p>
    <w:p w14:paraId="1778A45E" w14:textId="77777777" w:rsidR="007F34EF" w:rsidRPr="007B7B59" w:rsidRDefault="000C6DE6" w:rsidP="004A5ADC">
      <w:pPr>
        <w:ind w:left="567" w:hanging="567"/>
        <w:rPr>
          <w:b/>
          <w:szCs w:val="22"/>
        </w:rPr>
      </w:pPr>
      <w:r w:rsidRPr="007B7B59">
        <w:rPr>
          <w:b/>
          <w:szCs w:val="22"/>
        </w:rPr>
        <w:t>Nėštumas</w:t>
      </w:r>
      <w:r w:rsidR="009B4601" w:rsidRPr="007B7B59">
        <w:rPr>
          <w:b/>
          <w:szCs w:val="22"/>
        </w:rPr>
        <w:t xml:space="preserve">, </w:t>
      </w:r>
      <w:r w:rsidRPr="007B7B59">
        <w:rPr>
          <w:b/>
          <w:szCs w:val="22"/>
        </w:rPr>
        <w:t>žindymo laikotarpis</w:t>
      </w:r>
      <w:r w:rsidRPr="007B7B59" w:rsidDel="00996195">
        <w:rPr>
          <w:b/>
          <w:szCs w:val="22"/>
        </w:rPr>
        <w:t xml:space="preserve"> </w:t>
      </w:r>
      <w:r w:rsidR="009B4601" w:rsidRPr="007B7B59">
        <w:rPr>
          <w:b/>
          <w:szCs w:val="22"/>
        </w:rPr>
        <w:t>ir vaisingumas</w:t>
      </w:r>
    </w:p>
    <w:p w14:paraId="0A4675C1" w14:textId="77777777" w:rsidR="000C6DE6" w:rsidRPr="007B7B59" w:rsidDel="004A5ADC" w:rsidRDefault="000C6DE6" w:rsidP="00561D11">
      <w:pPr>
        <w:ind w:left="567" w:hanging="567"/>
        <w:rPr>
          <w:szCs w:val="22"/>
        </w:rPr>
      </w:pPr>
    </w:p>
    <w:p w14:paraId="4C202B27" w14:textId="77777777" w:rsidR="00561D11" w:rsidRPr="007B7B59" w:rsidRDefault="00561D11" w:rsidP="00561D11">
      <w:pPr>
        <w:numPr>
          <w:ilvl w:val="12"/>
          <w:numId w:val="0"/>
        </w:numPr>
        <w:rPr>
          <w:snapToGrid w:val="0"/>
          <w:szCs w:val="22"/>
        </w:rPr>
      </w:pPr>
      <w:r w:rsidRPr="007B7B59">
        <w:rPr>
          <w:snapToGrid w:val="0"/>
          <w:szCs w:val="22"/>
        </w:rPr>
        <w:t>Jeigu esate nėščia, žindote kūdikį, manote, kad galbūt esate nėščia, arba planuojate pastoti, tai prieš vartodama šį vaistą, pasitarkite su gydytoju arba vaistininku.</w:t>
      </w:r>
    </w:p>
    <w:p w14:paraId="0924604C" w14:textId="77777777" w:rsidR="004A5ADC" w:rsidRPr="007B7B59" w:rsidRDefault="004A5ADC" w:rsidP="004A5ADC">
      <w:pPr>
        <w:ind w:left="567" w:hanging="567"/>
        <w:rPr>
          <w:szCs w:val="22"/>
        </w:rPr>
      </w:pPr>
      <w:r w:rsidRPr="007B7B59">
        <w:rPr>
          <w:szCs w:val="22"/>
        </w:rPr>
        <w:t xml:space="preserve">Nėščioms ir žindyvėms moterims vartoti AROMASIN draudžiama. </w:t>
      </w:r>
    </w:p>
    <w:p w14:paraId="538EF104" w14:textId="77777777" w:rsidR="008307BA" w:rsidRPr="007B7B59" w:rsidRDefault="008307BA" w:rsidP="00561D11">
      <w:pPr>
        <w:numPr>
          <w:ilvl w:val="12"/>
          <w:numId w:val="0"/>
        </w:numPr>
        <w:rPr>
          <w:snapToGrid w:val="0"/>
          <w:szCs w:val="22"/>
        </w:rPr>
      </w:pPr>
    </w:p>
    <w:p w14:paraId="2DC10324" w14:textId="77777777" w:rsidR="007F34EF" w:rsidRPr="007B7B59" w:rsidRDefault="007F34EF" w:rsidP="00561D11">
      <w:pPr>
        <w:ind w:left="567" w:hanging="567"/>
        <w:rPr>
          <w:szCs w:val="22"/>
        </w:rPr>
      </w:pPr>
      <w:r w:rsidRPr="007B7B59">
        <w:rPr>
          <w:szCs w:val="22"/>
        </w:rPr>
        <w:t>Pasitarkite su savo gydytoju dėl kontracepcijos, jei yra kokia</w:t>
      </w:r>
      <w:r w:rsidR="008307BA" w:rsidRPr="007B7B59">
        <w:rPr>
          <w:szCs w:val="22"/>
        </w:rPr>
        <w:t xml:space="preserve"> </w:t>
      </w:r>
      <w:r w:rsidRPr="007B7B59">
        <w:rPr>
          <w:szCs w:val="22"/>
        </w:rPr>
        <w:t>nors galimybė pastoti.</w:t>
      </w:r>
    </w:p>
    <w:p w14:paraId="60A24A00" w14:textId="77777777" w:rsidR="000C6DE6" w:rsidRPr="007B7B59" w:rsidRDefault="000C6DE6" w:rsidP="00561D11">
      <w:pPr>
        <w:ind w:left="567" w:hanging="567"/>
        <w:rPr>
          <w:b/>
          <w:szCs w:val="22"/>
        </w:rPr>
      </w:pPr>
    </w:p>
    <w:p w14:paraId="4CFDDE9B" w14:textId="77777777" w:rsidR="000C6DE6" w:rsidRPr="007B7B59" w:rsidRDefault="000C6DE6" w:rsidP="00561D11">
      <w:pPr>
        <w:ind w:left="567" w:hanging="567"/>
        <w:rPr>
          <w:b/>
          <w:szCs w:val="22"/>
        </w:rPr>
      </w:pPr>
      <w:r w:rsidRPr="007B7B59">
        <w:rPr>
          <w:b/>
          <w:szCs w:val="22"/>
        </w:rPr>
        <w:t>Vairavimas ir mechanizmų valdymas</w:t>
      </w:r>
    </w:p>
    <w:p w14:paraId="4251BCC5" w14:textId="77777777" w:rsidR="000C6DE6" w:rsidRPr="007B7B59" w:rsidRDefault="000C6DE6" w:rsidP="00687293">
      <w:pPr>
        <w:rPr>
          <w:szCs w:val="22"/>
        </w:rPr>
      </w:pPr>
      <w:r w:rsidRPr="007B7B59">
        <w:rPr>
          <w:szCs w:val="22"/>
        </w:rPr>
        <w:t xml:space="preserve">Jeigu vartojant AROMASIN jūs jaučiate mieguistumą, galvos svaigimą ar silpnumą, stenkitės nevairuoti ar nevaldyti mechanizmų. </w:t>
      </w:r>
    </w:p>
    <w:p w14:paraId="54C3B0F3" w14:textId="77777777" w:rsidR="000C6DE6" w:rsidRPr="007B7B59" w:rsidRDefault="000C6DE6" w:rsidP="00561D11">
      <w:pPr>
        <w:ind w:left="567" w:hanging="567"/>
        <w:rPr>
          <w:b/>
          <w:szCs w:val="22"/>
        </w:rPr>
      </w:pPr>
    </w:p>
    <w:p w14:paraId="72683CE1" w14:textId="77777777" w:rsidR="00B3730B" w:rsidRDefault="000C6DE6" w:rsidP="00561D11">
      <w:pPr>
        <w:ind w:left="567" w:hanging="567"/>
        <w:rPr>
          <w:b/>
          <w:szCs w:val="22"/>
        </w:rPr>
      </w:pPr>
      <w:r w:rsidRPr="007B7B59">
        <w:rPr>
          <w:b/>
          <w:szCs w:val="22"/>
        </w:rPr>
        <w:t xml:space="preserve">AROMASIN </w:t>
      </w:r>
      <w:r w:rsidR="00561D11" w:rsidRPr="007B7B59">
        <w:rPr>
          <w:b/>
          <w:szCs w:val="22"/>
        </w:rPr>
        <w:t>sudėtyje yra sacharozės</w:t>
      </w:r>
    </w:p>
    <w:p w14:paraId="23F48571" w14:textId="77777777" w:rsidR="000C6DE6" w:rsidRPr="007B7B59" w:rsidRDefault="000C6DE6" w:rsidP="00341B9D">
      <w:pPr>
        <w:rPr>
          <w:szCs w:val="22"/>
        </w:rPr>
      </w:pPr>
      <w:r w:rsidRPr="007B7B59">
        <w:rPr>
          <w:szCs w:val="22"/>
        </w:rPr>
        <w:t xml:space="preserve">Jeigu gydytojas Jums yra sakęs, kad netoleruojate kokių nors angliavandenių, kreipkitės į jį prieš pradėdami vartoti šį vaistą. </w:t>
      </w:r>
    </w:p>
    <w:p w14:paraId="76B003B5" w14:textId="77777777" w:rsidR="000C6DE6" w:rsidRPr="007B7B59" w:rsidRDefault="000C6DE6" w:rsidP="00561D11">
      <w:pPr>
        <w:ind w:left="567" w:hanging="567"/>
        <w:rPr>
          <w:szCs w:val="22"/>
        </w:rPr>
      </w:pPr>
    </w:p>
    <w:p w14:paraId="598B37C7" w14:textId="77777777" w:rsidR="00B3730B" w:rsidRDefault="000C6DE6" w:rsidP="00341B9D">
      <w:pPr>
        <w:rPr>
          <w:szCs w:val="22"/>
        </w:rPr>
      </w:pPr>
      <w:r w:rsidRPr="00341B9D">
        <w:rPr>
          <w:b/>
          <w:szCs w:val="22"/>
        </w:rPr>
        <w:t>AROMASIN sudėtyje</w:t>
      </w:r>
      <w:r w:rsidRPr="00341B9D" w:rsidDel="00546628">
        <w:rPr>
          <w:b/>
          <w:szCs w:val="22"/>
        </w:rPr>
        <w:t xml:space="preserve"> </w:t>
      </w:r>
      <w:r w:rsidRPr="00341B9D">
        <w:rPr>
          <w:b/>
          <w:szCs w:val="22"/>
        </w:rPr>
        <w:t>yra metil</w:t>
      </w:r>
      <w:r w:rsidR="00FE0F95" w:rsidRPr="00341B9D">
        <w:rPr>
          <w:b/>
          <w:szCs w:val="22"/>
        </w:rPr>
        <w:t xml:space="preserve">o </w:t>
      </w:r>
      <w:proofErr w:type="spellStart"/>
      <w:r w:rsidRPr="00341B9D">
        <w:rPr>
          <w:b/>
          <w:szCs w:val="22"/>
        </w:rPr>
        <w:t>parahidroksibenzoato</w:t>
      </w:r>
      <w:proofErr w:type="spellEnd"/>
      <w:r w:rsidR="00FE0F95" w:rsidRPr="00341B9D">
        <w:rPr>
          <w:b/>
          <w:szCs w:val="22"/>
        </w:rPr>
        <w:t xml:space="preserve"> (E218)</w:t>
      </w:r>
      <w:r w:rsidRPr="007B7B59">
        <w:rPr>
          <w:szCs w:val="22"/>
        </w:rPr>
        <w:t xml:space="preserve"> </w:t>
      </w:r>
    </w:p>
    <w:p w14:paraId="4CE7C567" w14:textId="38F96AA7" w:rsidR="000C6DE6" w:rsidRDefault="000C6DE6" w:rsidP="00341B9D">
      <w:pPr>
        <w:rPr>
          <w:szCs w:val="22"/>
        </w:rPr>
      </w:pPr>
      <w:r w:rsidRPr="007B7B59">
        <w:rPr>
          <w:szCs w:val="22"/>
        </w:rPr>
        <w:t>Gali sukelti alerginių reakcijų</w:t>
      </w:r>
      <w:r w:rsidR="00B3730B">
        <w:rPr>
          <w:szCs w:val="22"/>
        </w:rPr>
        <w:t>,</w:t>
      </w:r>
      <w:r w:rsidRPr="007B7B59">
        <w:rPr>
          <w:szCs w:val="22"/>
        </w:rPr>
        <w:t xml:space="preserve"> kurios gali būti uždelstos</w:t>
      </w:r>
      <w:r w:rsidR="00B3730B">
        <w:rPr>
          <w:szCs w:val="22"/>
        </w:rPr>
        <w:t>.</w:t>
      </w:r>
      <w:r w:rsidRPr="007B7B59">
        <w:rPr>
          <w:szCs w:val="22"/>
        </w:rPr>
        <w:t xml:space="preserve"> </w:t>
      </w:r>
      <w:r w:rsidR="00B3730B">
        <w:rPr>
          <w:szCs w:val="22"/>
        </w:rPr>
        <w:t>J</w:t>
      </w:r>
      <w:r w:rsidRPr="007B7B59">
        <w:rPr>
          <w:szCs w:val="22"/>
        </w:rPr>
        <w:t>eigu taip atsitiktų, praneškite gydytojui.</w:t>
      </w:r>
    </w:p>
    <w:p w14:paraId="537D6A26" w14:textId="0D5E19B6" w:rsidR="00F942E2" w:rsidRDefault="00F942E2" w:rsidP="00341B9D">
      <w:pPr>
        <w:rPr>
          <w:szCs w:val="22"/>
        </w:rPr>
      </w:pPr>
    </w:p>
    <w:p w14:paraId="70A5F0B1" w14:textId="2D69DB93" w:rsidR="00F942E2" w:rsidRPr="00FB53AE" w:rsidRDefault="00F942E2" w:rsidP="00F942E2">
      <w:pPr>
        <w:ind w:left="567" w:hanging="567"/>
        <w:rPr>
          <w:b/>
          <w:szCs w:val="22"/>
        </w:rPr>
      </w:pPr>
      <w:r w:rsidRPr="00FB53AE">
        <w:rPr>
          <w:b/>
          <w:szCs w:val="22"/>
        </w:rPr>
        <w:t>AROMASIN sud</w:t>
      </w:r>
      <w:r>
        <w:rPr>
          <w:b/>
          <w:szCs w:val="22"/>
        </w:rPr>
        <w:t>ėtyje yra natrio</w:t>
      </w:r>
    </w:p>
    <w:p w14:paraId="6E0D0FCA" w14:textId="7DE9F995" w:rsidR="00F942E2" w:rsidRPr="007B7B59" w:rsidRDefault="00F942E2" w:rsidP="00F942E2">
      <w:pPr>
        <w:rPr>
          <w:szCs w:val="22"/>
        </w:rPr>
      </w:pPr>
      <w:r w:rsidRPr="00FB53AE">
        <w:rPr>
          <w:szCs w:val="22"/>
        </w:rPr>
        <w:t>Šio vaisto tabletėje yra mažiau kaip 1 </w:t>
      </w:r>
      <w:proofErr w:type="spellStart"/>
      <w:r w:rsidRPr="00FB53AE">
        <w:rPr>
          <w:szCs w:val="22"/>
        </w:rPr>
        <w:t>mmol</w:t>
      </w:r>
      <w:proofErr w:type="spellEnd"/>
      <w:r w:rsidRPr="00FB53AE">
        <w:rPr>
          <w:szCs w:val="22"/>
        </w:rPr>
        <w:t xml:space="preserve"> (23 mg) natrio, t. y. jis beveik neturi reikšmės.</w:t>
      </w:r>
    </w:p>
    <w:p w14:paraId="728CE0C6" w14:textId="77777777" w:rsidR="000C6DE6" w:rsidRPr="007B7B59" w:rsidRDefault="000C6DE6" w:rsidP="00561D11">
      <w:pPr>
        <w:ind w:left="567" w:hanging="567"/>
        <w:rPr>
          <w:szCs w:val="22"/>
        </w:rPr>
      </w:pPr>
    </w:p>
    <w:p w14:paraId="2197FC66" w14:textId="77777777" w:rsidR="000C6DE6" w:rsidRPr="007B7B59" w:rsidRDefault="000C6DE6" w:rsidP="000C6DE6">
      <w:pPr>
        <w:rPr>
          <w:szCs w:val="22"/>
        </w:rPr>
      </w:pPr>
    </w:p>
    <w:p w14:paraId="5EBAA141" w14:textId="77777777" w:rsidR="000C6DE6" w:rsidRPr="007B7B59" w:rsidRDefault="000C6DE6" w:rsidP="000C6DE6">
      <w:pPr>
        <w:ind w:left="540" w:hanging="540"/>
        <w:rPr>
          <w:b/>
          <w:szCs w:val="22"/>
        </w:rPr>
      </w:pPr>
      <w:r w:rsidRPr="007B7B59">
        <w:rPr>
          <w:b/>
          <w:szCs w:val="22"/>
        </w:rPr>
        <w:t>3.</w:t>
      </w:r>
      <w:r w:rsidRPr="007B7B59">
        <w:rPr>
          <w:b/>
          <w:szCs w:val="22"/>
        </w:rPr>
        <w:tab/>
      </w:r>
      <w:r w:rsidR="00F47999" w:rsidRPr="007B7B59">
        <w:rPr>
          <w:b/>
          <w:szCs w:val="22"/>
        </w:rPr>
        <w:t xml:space="preserve">Kaip vartoti </w:t>
      </w:r>
      <w:r w:rsidRPr="007B7B59">
        <w:rPr>
          <w:b/>
          <w:szCs w:val="22"/>
        </w:rPr>
        <w:t>AROMASIN</w:t>
      </w:r>
    </w:p>
    <w:p w14:paraId="38C93067" w14:textId="77777777" w:rsidR="000C6DE6" w:rsidRPr="007B7B59" w:rsidRDefault="000C6DE6" w:rsidP="000C6DE6">
      <w:pPr>
        <w:rPr>
          <w:szCs w:val="22"/>
        </w:rPr>
      </w:pPr>
    </w:p>
    <w:p w14:paraId="1952A794" w14:textId="77777777" w:rsidR="00561D11" w:rsidRPr="007B7B59" w:rsidRDefault="00561D11" w:rsidP="000C6DE6">
      <w:pPr>
        <w:rPr>
          <w:szCs w:val="22"/>
        </w:rPr>
      </w:pPr>
      <w:r w:rsidRPr="007B7B59">
        <w:rPr>
          <w:szCs w:val="22"/>
        </w:rPr>
        <w:t>Visada vartokite šį vaistą tiksliai kaip nurodė gydytojas. Jeigu abejojate, kreipkitės į gydytoją arba vaistininką.</w:t>
      </w:r>
    </w:p>
    <w:p w14:paraId="12F3892C" w14:textId="77777777" w:rsidR="00561D11" w:rsidRPr="007B7B59" w:rsidRDefault="00561D11" w:rsidP="000C6DE6">
      <w:pPr>
        <w:rPr>
          <w:szCs w:val="22"/>
        </w:rPr>
      </w:pPr>
    </w:p>
    <w:p w14:paraId="23E21D80" w14:textId="77777777" w:rsidR="000C6DE6" w:rsidRPr="007B7B59" w:rsidRDefault="000C6DE6" w:rsidP="000C6DE6">
      <w:pPr>
        <w:rPr>
          <w:szCs w:val="22"/>
        </w:rPr>
      </w:pPr>
      <w:r w:rsidRPr="007B7B59">
        <w:rPr>
          <w:szCs w:val="22"/>
        </w:rPr>
        <w:t>AROMASIN tabletės geriamos po valgio maždaug tuo pačiu metu kiekvieną dieną.</w:t>
      </w:r>
    </w:p>
    <w:p w14:paraId="34927A0A" w14:textId="77777777" w:rsidR="000C6DE6" w:rsidRPr="007B7B59" w:rsidRDefault="000C6DE6" w:rsidP="000C6DE6">
      <w:pPr>
        <w:rPr>
          <w:szCs w:val="22"/>
        </w:rPr>
      </w:pPr>
      <w:r w:rsidRPr="007B7B59">
        <w:rPr>
          <w:szCs w:val="22"/>
        </w:rPr>
        <w:t>Kaip ir kiek laiko vartoti šį vaistą, nurodys gydytojas. Rekomenduojama dozė – viena tabletė per parą.</w:t>
      </w:r>
    </w:p>
    <w:p w14:paraId="7260907F" w14:textId="77777777" w:rsidR="000C6DE6" w:rsidRPr="007B7B59" w:rsidRDefault="000C6DE6" w:rsidP="000C6DE6">
      <w:pPr>
        <w:rPr>
          <w:szCs w:val="22"/>
        </w:rPr>
      </w:pPr>
    </w:p>
    <w:p w14:paraId="7D94412F" w14:textId="77777777" w:rsidR="000C6DE6" w:rsidRPr="007B7B59" w:rsidRDefault="000C6DE6" w:rsidP="000C6DE6">
      <w:pPr>
        <w:rPr>
          <w:szCs w:val="22"/>
        </w:rPr>
      </w:pPr>
      <w:r w:rsidRPr="007B7B59">
        <w:rPr>
          <w:szCs w:val="22"/>
        </w:rPr>
        <w:t>Negalima nutraukti tablečių vartojimo net jeigu Jūs jaučiatės gerai, nebent taip nurodys gydytojas.</w:t>
      </w:r>
    </w:p>
    <w:p w14:paraId="3B959B64" w14:textId="77777777" w:rsidR="000C6DE6" w:rsidRPr="007B7B59" w:rsidRDefault="000C6DE6" w:rsidP="000C6DE6">
      <w:pPr>
        <w:rPr>
          <w:szCs w:val="22"/>
        </w:rPr>
      </w:pPr>
    </w:p>
    <w:p w14:paraId="757713C8" w14:textId="77777777" w:rsidR="000C6DE6" w:rsidRPr="007B7B59" w:rsidRDefault="000C6DE6" w:rsidP="000C6DE6">
      <w:pPr>
        <w:pStyle w:val="Pagrindinistekstas3"/>
        <w:spacing w:line="240" w:lineRule="auto"/>
        <w:jc w:val="left"/>
        <w:rPr>
          <w:b w:val="0"/>
          <w:i w:val="0"/>
          <w:sz w:val="22"/>
          <w:szCs w:val="22"/>
          <w:lang w:val="lt-LT"/>
        </w:rPr>
      </w:pPr>
      <w:r w:rsidRPr="007B7B59">
        <w:rPr>
          <w:b w:val="0"/>
          <w:i w:val="0"/>
          <w:sz w:val="22"/>
          <w:szCs w:val="22"/>
          <w:lang w:val="lt-LT"/>
        </w:rPr>
        <w:t>Jei vartojant AROMASIN tenka vykti į ligoninę, apie šio vaisto vartojimą reikia informuoti medicinos personalą.</w:t>
      </w:r>
    </w:p>
    <w:p w14:paraId="743ED24B" w14:textId="77777777" w:rsidR="000C6DE6" w:rsidRPr="007B7B59" w:rsidRDefault="000C6DE6" w:rsidP="000C6DE6">
      <w:pPr>
        <w:rPr>
          <w:szCs w:val="22"/>
        </w:rPr>
      </w:pPr>
    </w:p>
    <w:p w14:paraId="29168427" w14:textId="77777777" w:rsidR="000C6DE6" w:rsidRPr="007B7B59" w:rsidRDefault="00561D11" w:rsidP="000C6DE6">
      <w:pPr>
        <w:rPr>
          <w:b/>
          <w:szCs w:val="22"/>
        </w:rPr>
      </w:pPr>
      <w:r w:rsidRPr="007B7B59">
        <w:rPr>
          <w:b/>
          <w:szCs w:val="22"/>
        </w:rPr>
        <w:t>Vartojimas v</w:t>
      </w:r>
      <w:r w:rsidR="000C6DE6" w:rsidRPr="007B7B59">
        <w:rPr>
          <w:b/>
          <w:szCs w:val="22"/>
        </w:rPr>
        <w:t>aika</w:t>
      </w:r>
      <w:r w:rsidRPr="007B7B59">
        <w:rPr>
          <w:b/>
          <w:szCs w:val="22"/>
        </w:rPr>
        <w:t>ms</w:t>
      </w:r>
    </w:p>
    <w:p w14:paraId="5FD89E36" w14:textId="77777777" w:rsidR="000C6DE6" w:rsidRPr="007B7B59" w:rsidRDefault="000C6DE6" w:rsidP="000C6DE6">
      <w:pPr>
        <w:rPr>
          <w:szCs w:val="22"/>
        </w:rPr>
      </w:pPr>
      <w:r w:rsidRPr="007B7B59">
        <w:rPr>
          <w:szCs w:val="22"/>
        </w:rPr>
        <w:t>Vaikams negalima vartoti AROMASIN.</w:t>
      </w:r>
    </w:p>
    <w:p w14:paraId="143A79DA" w14:textId="77777777" w:rsidR="000C6DE6" w:rsidRPr="007B7B59" w:rsidRDefault="000C6DE6" w:rsidP="000C6DE6">
      <w:pPr>
        <w:rPr>
          <w:szCs w:val="22"/>
        </w:rPr>
      </w:pPr>
    </w:p>
    <w:p w14:paraId="226159D1" w14:textId="77777777" w:rsidR="000C6DE6" w:rsidRPr="007B7B59" w:rsidRDefault="00FF1BEA" w:rsidP="000C6DE6">
      <w:pPr>
        <w:rPr>
          <w:b/>
          <w:szCs w:val="22"/>
        </w:rPr>
      </w:pPr>
      <w:r w:rsidRPr="007B7B59">
        <w:rPr>
          <w:b/>
          <w:szCs w:val="22"/>
        </w:rPr>
        <w:lastRenderedPageBreak/>
        <w:t>Ką daryti p</w:t>
      </w:r>
      <w:r w:rsidR="000C6DE6" w:rsidRPr="007B7B59">
        <w:rPr>
          <w:b/>
          <w:szCs w:val="22"/>
        </w:rPr>
        <w:t>avartojus per didelę AROMASIN dozę</w:t>
      </w:r>
      <w:r w:rsidRPr="007B7B59">
        <w:rPr>
          <w:b/>
          <w:szCs w:val="22"/>
        </w:rPr>
        <w:t>?</w:t>
      </w:r>
    </w:p>
    <w:p w14:paraId="0BBF748E" w14:textId="77777777" w:rsidR="000C6DE6" w:rsidRPr="007B7B59" w:rsidRDefault="000C6DE6" w:rsidP="000C6DE6">
      <w:pPr>
        <w:rPr>
          <w:szCs w:val="22"/>
        </w:rPr>
      </w:pPr>
      <w:r w:rsidRPr="007B7B59">
        <w:rPr>
          <w:szCs w:val="22"/>
        </w:rPr>
        <w:t>Atsitiktinai išgėrus per daug tablečių, reikia nedelsiant kreiptis į savo gydytoją arba artimiausiąją ligoninę. Parodykite jiems AROMASIN tablečių pakuotę.</w:t>
      </w:r>
    </w:p>
    <w:p w14:paraId="4AE725F4" w14:textId="77777777" w:rsidR="000C6DE6" w:rsidRPr="007B7B59" w:rsidRDefault="000C6DE6" w:rsidP="000C6DE6">
      <w:pPr>
        <w:rPr>
          <w:szCs w:val="22"/>
        </w:rPr>
      </w:pPr>
    </w:p>
    <w:p w14:paraId="20A7EE97" w14:textId="77777777" w:rsidR="000C6DE6" w:rsidRPr="007B7B59" w:rsidRDefault="000C6DE6" w:rsidP="000C6DE6">
      <w:pPr>
        <w:rPr>
          <w:b/>
          <w:szCs w:val="22"/>
        </w:rPr>
      </w:pPr>
      <w:r w:rsidRPr="007B7B59">
        <w:rPr>
          <w:b/>
          <w:szCs w:val="22"/>
        </w:rPr>
        <w:t>Pamiršus pavartoti AROMASIN</w:t>
      </w:r>
    </w:p>
    <w:p w14:paraId="6578CE60" w14:textId="77777777" w:rsidR="000C6DE6" w:rsidRPr="007B7B59" w:rsidRDefault="000C6DE6" w:rsidP="000C6DE6">
      <w:pPr>
        <w:rPr>
          <w:szCs w:val="22"/>
        </w:rPr>
      </w:pPr>
      <w:r w:rsidRPr="007B7B59">
        <w:rPr>
          <w:szCs w:val="22"/>
        </w:rPr>
        <w:t>Negalima vartoti dvigubos dozės norint kompensuoti praleistą tabletę.</w:t>
      </w:r>
    </w:p>
    <w:p w14:paraId="66922991" w14:textId="77777777" w:rsidR="000C6DE6" w:rsidRPr="007B7B59" w:rsidRDefault="000C6DE6" w:rsidP="000C6DE6">
      <w:pPr>
        <w:rPr>
          <w:szCs w:val="22"/>
        </w:rPr>
      </w:pPr>
      <w:r w:rsidRPr="007B7B59">
        <w:rPr>
          <w:szCs w:val="22"/>
        </w:rPr>
        <w:t>Užmiršus išgerti tabletę, išgerkite ją kai tik prisiminsite. Jei jau beveik laikas vartoti kitą dozę, gerkite ją įprastu laiku.</w:t>
      </w:r>
    </w:p>
    <w:p w14:paraId="105180B6" w14:textId="77777777" w:rsidR="000C6DE6" w:rsidRPr="007B7B59" w:rsidRDefault="000C6DE6" w:rsidP="000C6DE6">
      <w:pPr>
        <w:rPr>
          <w:szCs w:val="22"/>
        </w:rPr>
      </w:pPr>
    </w:p>
    <w:p w14:paraId="21C38236" w14:textId="77777777" w:rsidR="000C6DE6" w:rsidRPr="007B7B59" w:rsidRDefault="000C6DE6" w:rsidP="000C6DE6">
      <w:pPr>
        <w:rPr>
          <w:szCs w:val="22"/>
        </w:rPr>
      </w:pPr>
    </w:p>
    <w:p w14:paraId="64671F04" w14:textId="77777777" w:rsidR="000C6DE6" w:rsidRPr="007B7B59" w:rsidRDefault="000C6DE6" w:rsidP="000C6DE6">
      <w:pPr>
        <w:ind w:left="567" w:hanging="567"/>
        <w:rPr>
          <w:b/>
          <w:szCs w:val="22"/>
        </w:rPr>
      </w:pPr>
      <w:r w:rsidRPr="007B7B59">
        <w:rPr>
          <w:b/>
          <w:szCs w:val="22"/>
        </w:rPr>
        <w:t>4.</w:t>
      </w:r>
      <w:r w:rsidRPr="007B7B59">
        <w:rPr>
          <w:b/>
          <w:szCs w:val="22"/>
        </w:rPr>
        <w:tab/>
      </w:r>
      <w:r w:rsidR="00F47999" w:rsidRPr="007B7B59">
        <w:rPr>
          <w:b/>
          <w:szCs w:val="22"/>
        </w:rPr>
        <w:t>Galimas šalutinis poveikis</w:t>
      </w:r>
    </w:p>
    <w:p w14:paraId="631DCEA4" w14:textId="77777777" w:rsidR="000C6DE6" w:rsidRPr="007B7B59" w:rsidRDefault="000C6DE6" w:rsidP="000C6DE6">
      <w:pPr>
        <w:rPr>
          <w:szCs w:val="22"/>
        </w:rPr>
      </w:pPr>
    </w:p>
    <w:p w14:paraId="098D62E4" w14:textId="77777777" w:rsidR="000C6DE6" w:rsidRPr="007B7B59" w:rsidRDefault="00561D11" w:rsidP="000C6DE6">
      <w:pPr>
        <w:pStyle w:val="BTEMEASMCA"/>
        <w:rPr>
          <w:noProof w:val="0"/>
          <w:sz w:val="22"/>
          <w:szCs w:val="22"/>
        </w:rPr>
      </w:pPr>
      <w:r w:rsidRPr="007B7B59">
        <w:rPr>
          <w:noProof w:val="0"/>
          <w:sz w:val="22"/>
          <w:szCs w:val="22"/>
        </w:rPr>
        <w:t>Šis vaistas</w:t>
      </w:r>
      <w:r w:rsidR="00B3730B">
        <w:rPr>
          <w:noProof w:val="0"/>
          <w:sz w:val="22"/>
          <w:szCs w:val="22"/>
        </w:rPr>
        <w:t>,</w:t>
      </w:r>
      <w:r w:rsidRPr="007B7B59">
        <w:rPr>
          <w:noProof w:val="0"/>
          <w:sz w:val="22"/>
          <w:szCs w:val="22"/>
        </w:rPr>
        <w:t xml:space="preserve"> </w:t>
      </w:r>
      <w:r w:rsidR="000C6DE6" w:rsidRPr="007B7B59">
        <w:rPr>
          <w:noProof w:val="0"/>
          <w:sz w:val="22"/>
          <w:szCs w:val="22"/>
        </w:rPr>
        <w:t>kaip ir visi kiti, gali sukelti šalutinį poveikį, nors jis pasireiškia ne visiems žmonėms. Daugeliui moterų AROMASIN vartojimas jokių problemų nesukelia, tačiau kai kurioms gali pasireikšti nesunkus arba vidutinio sunkumo šalutinis poveikis. Dauguma šalutinių poveikių yra susiję su estrogeno trūkumu (pvz.</w:t>
      </w:r>
      <w:r w:rsidR="00BB5BD9">
        <w:rPr>
          <w:noProof w:val="0"/>
          <w:sz w:val="22"/>
          <w:szCs w:val="22"/>
        </w:rPr>
        <w:t>,</w:t>
      </w:r>
      <w:r w:rsidR="000C6DE6" w:rsidRPr="007B7B59">
        <w:rPr>
          <w:noProof w:val="0"/>
          <w:sz w:val="22"/>
          <w:szCs w:val="22"/>
        </w:rPr>
        <w:t xml:space="preserve"> kraujo </w:t>
      </w:r>
      <w:proofErr w:type="spellStart"/>
      <w:r w:rsidR="000C6DE6" w:rsidRPr="007B7B59">
        <w:rPr>
          <w:noProof w:val="0"/>
          <w:sz w:val="22"/>
          <w:szCs w:val="22"/>
        </w:rPr>
        <w:t>samplūdis</w:t>
      </w:r>
      <w:proofErr w:type="spellEnd"/>
      <w:r w:rsidR="000C6DE6" w:rsidRPr="007B7B59">
        <w:rPr>
          <w:noProof w:val="0"/>
          <w:sz w:val="22"/>
          <w:szCs w:val="22"/>
        </w:rPr>
        <w:t xml:space="preserve"> į veidą).</w:t>
      </w:r>
    </w:p>
    <w:p w14:paraId="10177B3B" w14:textId="77777777" w:rsidR="000C6DE6" w:rsidRPr="007B7B59" w:rsidRDefault="000C6DE6" w:rsidP="000C6DE6">
      <w:pPr>
        <w:rPr>
          <w:szCs w:val="22"/>
        </w:rPr>
      </w:pPr>
    </w:p>
    <w:p w14:paraId="6FDF34F6" w14:textId="5DE10427" w:rsidR="000C6DE6" w:rsidRPr="007B7B59" w:rsidRDefault="000C6DE6" w:rsidP="000C6DE6">
      <w:pPr>
        <w:rPr>
          <w:szCs w:val="22"/>
        </w:rPr>
      </w:pPr>
      <w:r w:rsidRPr="001B17AA">
        <w:rPr>
          <w:b/>
          <w:bCs/>
          <w:szCs w:val="22"/>
        </w:rPr>
        <w:t>Labai dažn</w:t>
      </w:r>
      <w:r w:rsidR="004812DD" w:rsidRPr="001B17AA">
        <w:rPr>
          <w:b/>
          <w:bCs/>
          <w:szCs w:val="22"/>
        </w:rPr>
        <w:t>i</w:t>
      </w:r>
      <w:r w:rsidRPr="001B17AA">
        <w:rPr>
          <w:b/>
          <w:bCs/>
          <w:szCs w:val="22"/>
        </w:rPr>
        <w:t xml:space="preserve"> šalutin</w:t>
      </w:r>
      <w:r w:rsidR="00B3730B" w:rsidRPr="001B17AA">
        <w:rPr>
          <w:b/>
          <w:bCs/>
          <w:szCs w:val="22"/>
        </w:rPr>
        <w:t>i</w:t>
      </w:r>
      <w:r w:rsidR="004812DD" w:rsidRPr="001B17AA">
        <w:rPr>
          <w:b/>
          <w:bCs/>
          <w:szCs w:val="22"/>
        </w:rPr>
        <w:t>o</w:t>
      </w:r>
      <w:r w:rsidRPr="001B17AA">
        <w:rPr>
          <w:b/>
          <w:bCs/>
          <w:szCs w:val="22"/>
        </w:rPr>
        <w:t xml:space="preserve"> </w:t>
      </w:r>
      <w:r w:rsidR="00B3730B" w:rsidRPr="001B17AA">
        <w:rPr>
          <w:b/>
          <w:bCs/>
          <w:szCs w:val="22"/>
        </w:rPr>
        <w:t>poveiki</w:t>
      </w:r>
      <w:r w:rsidR="004812DD" w:rsidRPr="001B17AA">
        <w:rPr>
          <w:b/>
          <w:bCs/>
          <w:szCs w:val="22"/>
        </w:rPr>
        <w:t>o reiškiniai</w:t>
      </w:r>
      <w:r w:rsidRPr="001B17AA">
        <w:rPr>
          <w:b/>
          <w:bCs/>
          <w:szCs w:val="22"/>
        </w:rPr>
        <w:t xml:space="preserve"> (</w:t>
      </w:r>
      <w:r w:rsidR="00D8583C">
        <w:rPr>
          <w:b/>
          <w:bCs/>
          <w:noProof/>
          <w:snapToGrid w:val="0"/>
          <w:szCs w:val="22"/>
        </w:rPr>
        <w:t>gali pasireikšti ne rečiau kaip 1 iš 10 asmenų)</w:t>
      </w:r>
      <w:r w:rsidRPr="007B7B59">
        <w:rPr>
          <w:szCs w:val="22"/>
        </w:rPr>
        <w:t>:</w:t>
      </w:r>
    </w:p>
    <w:p w14:paraId="77358442" w14:textId="41AB378F" w:rsidR="00F942E2" w:rsidRPr="00AE7820" w:rsidRDefault="00F942E2" w:rsidP="00561D11">
      <w:pPr>
        <w:numPr>
          <w:ilvl w:val="0"/>
          <w:numId w:val="4"/>
        </w:numPr>
        <w:tabs>
          <w:tab w:val="clear" w:pos="720"/>
          <w:tab w:val="num" w:pos="567"/>
        </w:tabs>
        <w:ind w:left="567" w:hanging="567"/>
        <w:rPr>
          <w:szCs w:val="22"/>
        </w:rPr>
      </w:pPr>
      <w:r>
        <w:rPr>
          <w:szCs w:val="22"/>
        </w:rPr>
        <w:t xml:space="preserve">mažas baltųjų kraujo ląstelių skaičius </w:t>
      </w:r>
      <w:r w:rsidRPr="00AE7820">
        <w:rPr>
          <w:szCs w:val="22"/>
        </w:rPr>
        <w:t>(gali padidėti infekcijos rizika);</w:t>
      </w:r>
    </w:p>
    <w:p w14:paraId="60FFB9DA" w14:textId="045CCD1D" w:rsidR="000C6DE6" w:rsidRPr="00AE7820" w:rsidRDefault="000C6DE6" w:rsidP="00561D11">
      <w:pPr>
        <w:numPr>
          <w:ilvl w:val="0"/>
          <w:numId w:val="4"/>
        </w:numPr>
        <w:tabs>
          <w:tab w:val="clear" w:pos="720"/>
          <w:tab w:val="num" w:pos="567"/>
        </w:tabs>
        <w:ind w:left="567" w:hanging="567"/>
        <w:rPr>
          <w:szCs w:val="22"/>
        </w:rPr>
      </w:pPr>
      <w:r w:rsidRPr="00AE7820">
        <w:rPr>
          <w:szCs w:val="22"/>
        </w:rPr>
        <w:t>nemiga;</w:t>
      </w:r>
    </w:p>
    <w:p w14:paraId="4D89BD08" w14:textId="6100A663" w:rsidR="001165B6" w:rsidRPr="007B7B59" w:rsidRDefault="001165B6" w:rsidP="00561D11">
      <w:pPr>
        <w:numPr>
          <w:ilvl w:val="0"/>
          <w:numId w:val="4"/>
        </w:numPr>
        <w:tabs>
          <w:tab w:val="clear" w:pos="720"/>
          <w:tab w:val="num" w:pos="567"/>
        </w:tabs>
        <w:ind w:left="567" w:hanging="567"/>
        <w:rPr>
          <w:szCs w:val="22"/>
        </w:rPr>
      </w:pPr>
      <w:r w:rsidRPr="007B7B59">
        <w:rPr>
          <w:szCs w:val="22"/>
        </w:rPr>
        <w:t>depresija</w:t>
      </w:r>
      <w:r w:rsidR="001E5314">
        <w:rPr>
          <w:szCs w:val="22"/>
        </w:rPr>
        <w:t>;</w:t>
      </w:r>
    </w:p>
    <w:p w14:paraId="0E3F1B32" w14:textId="1C69269C" w:rsidR="00435E52" w:rsidRDefault="000C6DE6" w:rsidP="00561D11">
      <w:pPr>
        <w:numPr>
          <w:ilvl w:val="0"/>
          <w:numId w:val="4"/>
        </w:numPr>
        <w:tabs>
          <w:tab w:val="clear" w:pos="720"/>
          <w:tab w:val="num" w:pos="567"/>
        </w:tabs>
        <w:ind w:left="567" w:hanging="567"/>
        <w:rPr>
          <w:szCs w:val="22"/>
        </w:rPr>
      </w:pPr>
      <w:r w:rsidRPr="007B7B59">
        <w:rPr>
          <w:szCs w:val="22"/>
        </w:rPr>
        <w:t>galvos skausmas</w:t>
      </w:r>
      <w:r w:rsidR="00435E52">
        <w:rPr>
          <w:szCs w:val="22"/>
        </w:rPr>
        <w:t>;</w:t>
      </w:r>
      <w:r w:rsidR="001165B6" w:rsidRPr="007B7B59">
        <w:rPr>
          <w:szCs w:val="22"/>
        </w:rPr>
        <w:t xml:space="preserve"> </w:t>
      </w:r>
    </w:p>
    <w:p w14:paraId="3825B7C5" w14:textId="720D95F7" w:rsidR="000C6DE6" w:rsidRPr="007B7B59" w:rsidRDefault="00687293" w:rsidP="00561D11">
      <w:pPr>
        <w:numPr>
          <w:ilvl w:val="0"/>
          <w:numId w:val="4"/>
        </w:numPr>
        <w:tabs>
          <w:tab w:val="clear" w:pos="720"/>
          <w:tab w:val="num" w:pos="567"/>
        </w:tabs>
        <w:ind w:left="567" w:hanging="567"/>
        <w:rPr>
          <w:szCs w:val="22"/>
        </w:rPr>
      </w:pPr>
      <w:r w:rsidRPr="007B7B59">
        <w:rPr>
          <w:szCs w:val="22"/>
        </w:rPr>
        <w:t>svaigulys</w:t>
      </w:r>
      <w:r w:rsidR="000C6DE6" w:rsidRPr="007B7B59">
        <w:rPr>
          <w:szCs w:val="22"/>
        </w:rPr>
        <w:t>;</w:t>
      </w:r>
    </w:p>
    <w:p w14:paraId="1A07CE92" w14:textId="77777777" w:rsidR="000C6DE6" w:rsidRPr="007B7B59" w:rsidRDefault="000C6DE6" w:rsidP="00561D11">
      <w:pPr>
        <w:numPr>
          <w:ilvl w:val="0"/>
          <w:numId w:val="4"/>
        </w:numPr>
        <w:tabs>
          <w:tab w:val="clear" w:pos="720"/>
          <w:tab w:val="num" w:pos="567"/>
        </w:tabs>
        <w:ind w:left="567" w:hanging="567"/>
        <w:rPr>
          <w:szCs w:val="22"/>
        </w:rPr>
      </w:pPr>
      <w:r w:rsidRPr="007B7B59">
        <w:rPr>
          <w:szCs w:val="22"/>
        </w:rPr>
        <w:t xml:space="preserve">kraujo </w:t>
      </w:r>
      <w:proofErr w:type="spellStart"/>
      <w:r w:rsidRPr="007B7B59">
        <w:rPr>
          <w:szCs w:val="22"/>
        </w:rPr>
        <w:t>samplūdis</w:t>
      </w:r>
      <w:proofErr w:type="spellEnd"/>
      <w:r w:rsidRPr="007B7B59">
        <w:rPr>
          <w:szCs w:val="22"/>
        </w:rPr>
        <w:t xml:space="preserve"> į veidą</w:t>
      </w:r>
      <w:r w:rsidR="00687293" w:rsidRPr="007B7B59">
        <w:rPr>
          <w:szCs w:val="22"/>
        </w:rPr>
        <w:t xml:space="preserve"> ir kaklą</w:t>
      </w:r>
      <w:r w:rsidRPr="007B7B59">
        <w:rPr>
          <w:szCs w:val="22"/>
        </w:rPr>
        <w:t>;</w:t>
      </w:r>
    </w:p>
    <w:p w14:paraId="026BB735" w14:textId="08FAEB5E" w:rsidR="00E614E7" w:rsidRPr="00E614E7" w:rsidRDefault="001165B6" w:rsidP="00561D11">
      <w:pPr>
        <w:numPr>
          <w:ilvl w:val="0"/>
          <w:numId w:val="4"/>
        </w:numPr>
        <w:tabs>
          <w:tab w:val="clear" w:pos="720"/>
          <w:tab w:val="num" w:pos="567"/>
        </w:tabs>
        <w:ind w:left="567" w:hanging="567"/>
        <w:rPr>
          <w:szCs w:val="22"/>
        </w:rPr>
      </w:pPr>
      <w:r w:rsidRPr="007B7B59">
        <w:rPr>
          <w:bCs/>
          <w:szCs w:val="22"/>
        </w:rPr>
        <w:t>pilvo skausmas</w:t>
      </w:r>
      <w:r w:rsidR="00E614E7">
        <w:rPr>
          <w:bCs/>
          <w:szCs w:val="22"/>
        </w:rPr>
        <w:t>;</w:t>
      </w:r>
      <w:r w:rsidRPr="007B7B59">
        <w:rPr>
          <w:bCs/>
          <w:szCs w:val="22"/>
        </w:rPr>
        <w:t xml:space="preserve"> </w:t>
      </w:r>
    </w:p>
    <w:p w14:paraId="388C6DE3" w14:textId="21D84F6C" w:rsidR="001165B6" w:rsidRPr="007B7B59" w:rsidRDefault="001165B6" w:rsidP="00561D11">
      <w:pPr>
        <w:numPr>
          <w:ilvl w:val="0"/>
          <w:numId w:val="4"/>
        </w:numPr>
        <w:tabs>
          <w:tab w:val="clear" w:pos="720"/>
          <w:tab w:val="num" w:pos="567"/>
        </w:tabs>
        <w:ind w:left="567" w:hanging="567"/>
        <w:rPr>
          <w:szCs w:val="22"/>
        </w:rPr>
      </w:pPr>
      <w:r w:rsidRPr="007B7B59">
        <w:rPr>
          <w:bCs/>
          <w:szCs w:val="22"/>
        </w:rPr>
        <w:t>pykinimas</w:t>
      </w:r>
      <w:r w:rsidR="00BB5BD9">
        <w:rPr>
          <w:bCs/>
          <w:szCs w:val="22"/>
        </w:rPr>
        <w:t>;</w:t>
      </w:r>
    </w:p>
    <w:p w14:paraId="55943F98" w14:textId="77777777" w:rsidR="00B045B6" w:rsidRPr="007B7B59" w:rsidRDefault="00B045B6" w:rsidP="00561D11">
      <w:pPr>
        <w:numPr>
          <w:ilvl w:val="0"/>
          <w:numId w:val="4"/>
        </w:numPr>
        <w:tabs>
          <w:tab w:val="clear" w:pos="720"/>
          <w:tab w:val="num" w:pos="567"/>
        </w:tabs>
        <w:ind w:left="567" w:hanging="567"/>
        <w:rPr>
          <w:szCs w:val="22"/>
        </w:rPr>
      </w:pPr>
      <w:r w:rsidRPr="007B7B59">
        <w:rPr>
          <w:szCs w:val="22"/>
        </w:rPr>
        <w:t xml:space="preserve">kraujo tyrimu nustatomas kepenų pažeidimą rodantis kepenų fermentų aktyvumo, </w:t>
      </w:r>
      <w:proofErr w:type="spellStart"/>
      <w:r w:rsidRPr="007B7B59">
        <w:rPr>
          <w:szCs w:val="22"/>
        </w:rPr>
        <w:t>bilirubino</w:t>
      </w:r>
      <w:proofErr w:type="spellEnd"/>
      <w:r w:rsidRPr="007B7B59">
        <w:rPr>
          <w:szCs w:val="22"/>
        </w:rPr>
        <w:t xml:space="preserve"> kiekio ar šarminės </w:t>
      </w:r>
      <w:proofErr w:type="spellStart"/>
      <w:r w:rsidRPr="007B7B59">
        <w:rPr>
          <w:szCs w:val="22"/>
        </w:rPr>
        <w:t>fosfatazės</w:t>
      </w:r>
      <w:proofErr w:type="spellEnd"/>
      <w:r w:rsidRPr="007B7B59">
        <w:rPr>
          <w:szCs w:val="22"/>
        </w:rPr>
        <w:t xml:space="preserve"> aktyvumo padidėjimas</w:t>
      </w:r>
      <w:r w:rsidR="00E76228">
        <w:rPr>
          <w:szCs w:val="22"/>
        </w:rPr>
        <w:t>;</w:t>
      </w:r>
    </w:p>
    <w:p w14:paraId="33588974" w14:textId="77777777" w:rsidR="000C6DE6" w:rsidRPr="007B7B59" w:rsidRDefault="000C6DE6" w:rsidP="00561D11">
      <w:pPr>
        <w:numPr>
          <w:ilvl w:val="0"/>
          <w:numId w:val="4"/>
        </w:numPr>
        <w:tabs>
          <w:tab w:val="clear" w:pos="720"/>
          <w:tab w:val="num" w:pos="567"/>
        </w:tabs>
        <w:ind w:left="567" w:hanging="567"/>
        <w:rPr>
          <w:szCs w:val="22"/>
        </w:rPr>
      </w:pPr>
      <w:r w:rsidRPr="007B7B59">
        <w:rPr>
          <w:szCs w:val="22"/>
        </w:rPr>
        <w:t>sustiprėjęs prakaitavimas;</w:t>
      </w:r>
    </w:p>
    <w:p w14:paraId="669DFBCF" w14:textId="77777777" w:rsidR="000C6DE6" w:rsidRPr="007B7B59" w:rsidRDefault="000C6DE6" w:rsidP="00561D11">
      <w:pPr>
        <w:numPr>
          <w:ilvl w:val="0"/>
          <w:numId w:val="4"/>
        </w:numPr>
        <w:tabs>
          <w:tab w:val="clear" w:pos="720"/>
          <w:tab w:val="num" w:pos="567"/>
        </w:tabs>
        <w:ind w:left="567" w:hanging="567"/>
        <w:rPr>
          <w:szCs w:val="22"/>
        </w:rPr>
      </w:pPr>
      <w:r w:rsidRPr="007B7B59">
        <w:rPr>
          <w:szCs w:val="22"/>
        </w:rPr>
        <w:t>raumenų</w:t>
      </w:r>
      <w:r w:rsidR="00687293" w:rsidRPr="007B7B59">
        <w:rPr>
          <w:szCs w:val="22"/>
        </w:rPr>
        <w:t>, kaulų</w:t>
      </w:r>
      <w:r w:rsidRPr="007B7B59">
        <w:rPr>
          <w:szCs w:val="22"/>
        </w:rPr>
        <w:t xml:space="preserve"> ir sąnarių skausmas (įskaitant </w:t>
      </w:r>
      <w:proofErr w:type="spellStart"/>
      <w:r w:rsidRPr="007B7B59">
        <w:rPr>
          <w:szCs w:val="22"/>
        </w:rPr>
        <w:t>osteoartritą</w:t>
      </w:r>
      <w:proofErr w:type="spellEnd"/>
      <w:r w:rsidRPr="007B7B59">
        <w:rPr>
          <w:szCs w:val="22"/>
        </w:rPr>
        <w:t xml:space="preserve">, nugaros skausmus, artritą ir sąnarių </w:t>
      </w:r>
      <w:proofErr w:type="spellStart"/>
      <w:r w:rsidRPr="007B7B59">
        <w:rPr>
          <w:szCs w:val="22"/>
        </w:rPr>
        <w:t>nejudrumą</w:t>
      </w:r>
      <w:proofErr w:type="spellEnd"/>
      <w:r w:rsidRPr="007B7B59">
        <w:rPr>
          <w:szCs w:val="22"/>
        </w:rPr>
        <w:t>);</w:t>
      </w:r>
    </w:p>
    <w:p w14:paraId="2BE44FDF" w14:textId="0FF50B44" w:rsidR="00E614E7" w:rsidRDefault="00B045B6" w:rsidP="00561D11">
      <w:pPr>
        <w:numPr>
          <w:ilvl w:val="0"/>
          <w:numId w:val="4"/>
        </w:numPr>
        <w:tabs>
          <w:tab w:val="clear" w:pos="720"/>
          <w:tab w:val="num" w:pos="567"/>
        </w:tabs>
        <w:ind w:left="567" w:hanging="567"/>
        <w:rPr>
          <w:szCs w:val="22"/>
        </w:rPr>
      </w:pPr>
      <w:r w:rsidRPr="007B7B59">
        <w:rPr>
          <w:szCs w:val="22"/>
        </w:rPr>
        <w:t>skausmas</w:t>
      </w:r>
      <w:r w:rsidR="00E614E7">
        <w:rPr>
          <w:szCs w:val="22"/>
        </w:rPr>
        <w:t>;</w:t>
      </w:r>
      <w:r w:rsidRPr="007B7B59">
        <w:rPr>
          <w:szCs w:val="22"/>
        </w:rPr>
        <w:t xml:space="preserve"> </w:t>
      </w:r>
    </w:p>
    <w:p w14:paraId="55D217C7" w14:textId="1B732878" w:rsidR="000C6DE6" w:rsidRPr="007B7B59" w:rsidRDefault="000C6DE6" w:rsidP="00561D11">
      <w:pPr>
        <w:numPr>
          <w:ilvl w:val="0"/>
          <w:numId w:val="4"/>
        </w:numPr>
        <w:tabs>
          <w:tab w:val="clear" w:pos="720"/>
          <w:tab w:val="num" w:pos="567"/>
        </w:tabs>
        <w:ind w:left="567" w:hanging="567"/>
        <w:rPr>
          <w:szCs w:val="22"/>
        </w:rPr>
      </w:pPr>
      <w:r w:rsidRPr="007B7B59">
        <w:rPr>
          <w:szCs w:val="22"/>
        </w:rPr>
        <w:t>nuovargis.</w:t>
      </w:r>
    </w:p>
    <w:p w14:paraId="77E7167D" w14:textId="77777777" w:rsidR="000C6DE6" w:rsidRPr="007B7B59" w:rsidRDefault="000C6DE6" w:rsidP="000C6DE6">
      <w:pPr>
        <w:rPr>
          <w:szCs w:val="22"/>
        </w:rPr>
      </w:pPr>
    </w:p>
    <w:p w14:paraId="7756BA82" w14:textId="705F1633" w:rsidR="000C6DE6" w:rsidRPr="007B7B59" w:rsidRDefault="00D8583C" w:rsidP="000C6DE6">
      <w:pPr>
        <w:rPr>
          <w:szCs w:val="22"/>
        </w:rPr>
      </w:pPr>
      <w:r>
        <w:rPr>
          <w:b/>
          <w:bCs/>
          <w:noProof/>
          <w:snapToGrid w:val="0"/>
          <w:szCs w:val="22"/>
        </w:rPr>
        <w:t>Dažni šalutinio poveikio reiškiniai (gali pasireikšti rečiau kaip 1 iš 10 asmenų)</w:t>
      </w:r>
      <w:r w:rsidR="000C6DE6" w:rsidRPr="001B17AA">
        <w:rPr>
          <w:b/>
          <w:bCs/>
          <w:szCs w:val="22"/>
        </w:rPr>
        <w:t>:</w:t>
      </w:r>
    </w:p>
    <w:p w14:paraId="0A5828BB" w14:textId="129899C0" w:rsidR="00F76D43" w:rsidRPr="00AE7820" w:rsidRDefault="00F76D43" w:rsidP="00561D11">
      <w:pPr>
        <w:numPr>
          <w:ilvl w:val="0"/>
          <w:numId w:val="5"/>
        </w:numPr>
        <w:tabs>
          <w:tab w:val="clear" w:pos="720"/>
          <w:tab w:val="num" w:pos="567"/>
        </w:tabs>
        <w:ind w:left="567" w:hanging="567"/>
        <w:rPr>
          <w:szCs w:val="22"/>
        </w:rPr>
      </w:pPr>
      <w:r w:rsidRPr="00AE7820">
        <w:rPr>
          <w:szCs w:val="22"/>
        </w:rPr>
        <w:t>mažas kraujo plokštelių skaičius (gali lengviau atsirasti kraujosruvų (mėlynių) ir ilgiau nei įprasta kraujuoti susižeidus);</w:t>
      </w:r>
    </w:p>
    <w:p w14:paraId="553E0C3B" w14:textId="6C015649" w:rsidR="000C6DE6" w:rsidRPr="007B7B59" w:rsidRDefault="000C6DE6" w:rsidP="00561D11">
      <w:pPr>
        <w:numPr>
          <w:ilvl w:val="0"/>
          <w:numId w:val="5"/>
        </w:numPr>
        <w:tabs>
          <w:tab w:val="clear" w:pos="720"/>
          <w:tab w:val="num" w:pos="567"/>
        </w:tabs>
        <w:ind w:left="567" w:hanging="567"/>
        <w:rPr>
          <w:szCs w:val="22"/>
        </w:rPr>
      </w:pPr>
      <w:r w:rsidRPr="007B7B59">
        <w:rPr>
          <w:szCs w:val="22"/>
        </w:rPr>
        <w:t>apetito praradimas;</w:t>
      </w:r>
    </w:p>
    <w:p w14:paraId="486808C7" w14:textId="77777777" w:rsidR="000C6DE6" w:rsidRPr="007B7B59" w:rsidRDefault="000C6DE6" w:rsidP="00561D11">
      <w:pPr>
        <w:numPr>
          <w:ilvl w:val="0"/>
          <w:numId w:val="5"/>
        </w:numPr>
        <w:tabs>
          <w:tab w:val="clear" w:pos="720"/>
          <w:tab w:val="num" w:pos="567"/>
        </w:tabs>
        <w:ind w:left="567" w:hanging="567"/>
        <w:rPr>
          <w:szCs w:val="22"/>
        </w:rPr>
      </w:pPr>
      <w:r w:rsidRPr="007B7B59">
        <w:rPr>
          <w:szCs w:val="22"/>
        </w:rPr>
        <w:t>riešo tunelio sindromas (dilgčiojimai, nutirpimas, maudimas ir skausmas visoje rankoje, išskyrus mažąjį pirštelį)</w:t>
      </w:r>
      <w:r w:rsidR="00D5420D" w:rsidRPr="007B7B59">
        <w:rPr>
          <w:szCs w:val="22"/>
        </w:rPr>
        <w:t>, neįprasti pojūčiai odoje (pvz., tirpimas ar dilgčiojimas)</w:t>
      </w:r>
      <w:r w:rsidRPr="007B7B59">
        <w:rPr>
          <w:szCs w:val="22"/>
        </w:rPr>
        <w:t>;</w:t>
      </w:r>
    </w:p>
    <w:p w14:paraId="5A258FDC" w14:textId="77777777" w:rsidR="000C6DE6" w:rsidRPr="007B7B59" w:rsidRDefault="000C6DE6" w:rsidP="00561D11">
      <w:pPr>
        <w:numPr>
          <w:ilvl w:val="0"/>
          <w:numId w:val="5"/>
        </w:numPr>
        <w:tabs>
          <w:tab w:val="clear" w:pos="720"/>
          <w:tab w:val="num" w:pos="567"/>
        </w:tabs>
        <w:ind w:left="567" w:hanging="567"/>
        <w:rPr>
          <w:szCs w:val="22"/>
        </w:rPr>
      </w:pPr>
      <w:r w:rsidRPr="007B7B59">
        <w:rPr>
          <w:szCs w:val="22"/>
        </w:rPr>
        <w:t>vėmimas, vidurių užkietėjimas, virškinimo sutrikimas, viduriavimas;</w:t>
      </w:r>
    </w:p>
    <w:p w14:paraId="6E0CD564" w14:textId="77777777" w:rsidR="000C6DE6" w:rsidRPr="007B7B59" w:rsidRDefault="000C6DE6" w:rsidP="009940DD">
      <w:pPr>
        <w:numPr>
          <w:ilvl w:val="0"/>
          <w:numId w:val="5"/>
        </w:numPr>
        <w:tabs>
          <w:tab w:val="clear" w:pos="720"/>
          <w:tab w:val="num" w:pos="567"/>
        </w:tabs>
        <w:ind w:left="567" w:hanging="567"/>
        <w:rPr>
          <w:szCs w:val="22"/>
        </w:rPr>
      </w:pPr>
      <w:r w:rsidRPr="007B7B59">
        <w:rPr>
          <w:szCs w:val="22"/>
        </w:rPr>
        <w:t>odos išbėrimas, plaukų slinkimas</w:t>
      </w:r>
      <w:r w:rsidR="009940DD" w:rsidRPr="007B7B59">
        <w:rPr>
          <w:szCs w:val="22"/>
        </w:rPr>
        <w:t>, dilgėlinė, ni</w:t>
      </w:r>
      <w:r w:rsidR="00B06D14" w:rsidRPr="007B7B59">
        <w:rPr>
          <w:szCs w:val="22"/>
        </w:rPr>
        <w:t>ež</w:t>
      </w:r>
      <w:r w:rsidR="00687293" w:rsidRPr="007B7B59">
        <w:rPr>
          <w:szCs w:val="22"/>
        </w:rPr>
        <w:t>ėjimas</w:t>
      </w:r>
      <w:r w:rsidR="00B06D14" w:rsidRPr="007B7B59">
        <w:rPr>
          <w:szCs w:val="22"/>
        </w:rPr>
        <w:t>;</w:t>
      </w:r>
    </w:p>
    <w:p w14:paraId="7D6361CC" w14:textId="77777777" w:rsidR="000C6DE6" w:rsidRPr="007B7B59" w:rsidRDefault="000C6DE6" w:rsidP="00561D11">
      <w:pPr>
        <w:numPr>
          <w:ilvl w:val="0"/>
          <w:numId w:val="5"/>
        </w:numPr>
        <w:tabs>
          <w:tab w:val="clear" w:pos="720"/>
          <w:tab w:val="num" w:pos="567"/>
        </w:tabs>
        <w:ind w:left="567" w:hanging="567"/>
        <w:rPr>
          <w:szCs w:val="22"/>
        </w:rPr>
      </w:pPr>
      <w:r w:rsidRPr="007B7B59">
        <w:rPr>
          <w:szCs w:val="22"/>
        </w:rPr>
        <w:t>kaulų retėjimas, todėl gali sumažėti jų stiprumas (osteoporozė) ir kai kuriais atvejais kaulai gali lūžti;</w:t>
      </w:r>
    </w:p>
    <w:p w14:paraId="3145D4EA" w14:textId="78631A58" w:rsidR="00F76D43" w:rsidRDefault="000C6DE6" w:rsidP="00561D11">
      <w:pPr>
        <w:numPr>
          <w:ilvl w:val="0"/>
          <w:numId w:val="5"/>
        </w:numPr>
        <w:tabs>
          <w:tab w:val="clear" w:pos="720"/>
          <w:tab w:val="num" w:pos="567"/>
        </w:tabs>
        <w:ind w:left="567" w:hanging="567"/>
        <w:rPr>
          <w:szCs w:val="22"/>
        </w:rPr>
      </w:pPr>
      <w:r w:rsidRPr="007B7B59">
        <w:rPr>
          <w:szCs w:val="22"/>
        </w:rPr>
        <w:t>rankų ir pėdų pabrinkimas</w:t>
      </w:r>
      <w:r w:rsidR="00F76D43">
        <w:rPr>
          <w:szCs w:val="22"/>
        </w:rPr>
        <w:t>;</w:t>
      </w:r>
    </w:p>
    <w:p w14:paraId="68ABD4B4" w14:textId="2DB08AB4" w:rsidR="000C6DE6" w:rsidRPr="00D3360D" w:rsidRDefault="00F76D43" w:rsidP="00D3360D">
      <w:pPr>
        <w:numPr>
          <w:ilvl w:val="0"/>
          <w:numId w:val="5"/>
        </w:numPr>
        <w:tabs>
          <w:tab w:val="clear" w:pos="720"/>
          <w:tab w:val="num" w:pos="567"/>
        </w:tabs>
        <w:ind w:left="567" w:hanging="567"/>
        <w:rPr>
          <w:szCs w:val="22"/>
        </w:rPr>
      </w:pPr>
      <w:r w:rsidRPr="00D3360D">
        <w:rPr>
          <w:szCs w:val="22"/>
        </w:rPr>
        <w:t>bendras silpnumas</w:t>
      </w:r>
      <w:r w:rsidR="000C6DE6" w:rsidRPr="00D3360D">
        <w:rPr>
          <w:szCs w:val="22"/>
        </w:rPr>
        <w:t>.</w:t>
      </w:r>
    </w:p>
    <w:p w14:paraId="23D27917" w14:textId="77777777" w:rsidR="00D3360D" w:rsidRDefault="00D3360D" w:rsidP="00D3360D">
      <w:pPr>
        <w:rPr>
          <w:b/>
          <w:bCs/>
          <w:noProof/>
          <w:snapToGrid w:val="0"/>
          <w:szCs w:val="22"/>
        </w:rPr>
      </w:pPr>
    </w:p>
    <w:p w14:paraId="04CAEA67" w14:textId="56235075" w:rsidR="00D3360D" w:rsidRPr="00617288" w:rsidRDefault="00D3360D" w:rsidP="00D3360D">
      <w:r w:rsidRPr="00617288">
        <w:rPr>
          <w:b/>
          <w:bCs/>
          <w:noProof/>
          <w:snapToGrid w:val="0"/>
          <w:szCs w:val="22"/>
        </w:rPr>
        <w:t>Nedažni šalutinio poveikio reiškiniai (gali pasireikšti rečiau kaip 1 iš 100 asmenų):</w:t>
      </w:r>
    </w:p>
    <w:p w14:paraId="278AA1C8" w14:textId="77777777" w:rsidR="00FA674E" w:rsidRPr="007B7B59" w:rsidRDefault="00FA674E" w:rsidP="006F7CAC">
      <w:pPr>
        <w:numPr>
          <w:ilvl w:val="0"/>
          <w:numId w:val="6"/>
        </w:numPr>
        <w:tabs>
          <w:tab w:val="clear" w:pos="720"/>
          <w:tab w:val="num" w:pos="567"/>
        </w:tabs>
        <w:ind w:left="567" w:hanging="567"/>
        <w:rPr>
          <w:szCs w:val="22"/>
        </w:rPr>
      </w:pPr>
      <w:r w:rsidRPr="007B7B59">
        <w:rPr>
          <w:szCs w:val="22"/>
        </w:rPr>
        <w:t>padidėjęs jautrumas;</w:t>
      </w:r>
    </w:p>
    <w:p w14:paraId="047F4197" w14:textId="1EF1FDA6" w:rsidR="000C6DE6" w:rsidRPr="007B7B59" w:rsidRDefault="000C6DE6" w:rsidP="001B17AA">
      <w:pPr>
        <w:ind w:left="567"/>
        <w:rPr>
          <w:szCs w:val="22"/>
        </w:rPr>
      </w:pPr>
    </w:p>
    <w:p w14:paraId="5B759A74" w14:textId="57248151" w:rsidR="00F14E9F" w:rsidRDefault="00225180" w:rsidP="001B17AA">
      <w:pPr>
        <w:tabs>
          <w:tab w:val="num" w:pos="567"/>
        </w:tabs>
        <w:ind w:left="567" w:hanging="567"/>
        <w:rPr>
          <w:szCs w:val="22"/>
        </w:rPr>
      </w:pPr>
      <w:r>
        <w:rPr>
          <w:b/>
          <w:bCs/>
          <w:noProof/>
          <w:snapToGrid w:val="0"/>
          <w:szCs w:val="22"/>
        </w:rPr>
        <w:t xml:space="preserve">Reti šalutinio poveikio reiškiniai (gali pasireikšti rečiau kaip 1 iš 1 000 asmenų): </w:t>
      </w:r>
      <w:r w:rsidR="00F14E9F">
        <w:rPr>
          <w:szCs w:val="22"/>
        </w:rPr>
        <w:t>mieguistumas;</w:t>
      </w:r>
    </w:p>
    <w:p w14:paraId="52B11791" w14:textId="4B6D3534" w:rsidR="00AA791B" w:rsidRPr="007B7B59" w:rsidRDefault="00AA791B" w:rsidP="00CD4D39">
      <w:pPr>
        <w:numPr>
          <w:ilvl w:val="0"/>
          <w:numId w:val="6"/>
        </w:numPr>
        <w:tabs>
          <w:tab w:val="clear" w:pos="720"/>
          <w:tab w:val="num" w:pos="567"/>
        </w:tabs>
        <w:ind w:left="567" w:hanging="567"/>
        <w:rPr>
          <w:szCs w:val="22"/>
        </w:rPr>
      </w:pPr>
      <w:r w:rsidRPr="007B7B59">
        <w:rPr>
          <w:szCs w:val="22"/>
        </w:rPr>
        <w:t>kepenų uždegimas, įska</w:t>
      </w:r>
      <w:r w:rsidR="001E5314">
        <w:rPr>
          <w:szCs w:val="22"/>
        </w:rPr>
        <w:t>i</w:t>
      </w:r>
      <w:r w:rsidRPr="007B7B59">
        <w:rPr>
          <w:szCs w:val="22"/>
        </w:rPr>
        <w:t>ta</w:t>
      </w:r>
      <w:r w:rsidR="001E5314">
        <w:rPr>
          <w:szCs w:val="22"/>
        </w:rPr>
        <w:t>n</w:t>
      </w:r>
      <w:r w:rsidRPr="007B7B59">
        <w:rPr>
          <w:szCs w:val="22"/>
        </w:rPr>
        <w:t>t susijusį su tulžies sąstoviu (galimi simptomai yra bendrasis negalavimas, pykinimas, gelta (odos ir akių baltymo pageltimas), niežulys, skausmas dešinėje pilvo pusėje, apetito nebuvimas)</w:t>
      </w:r>
      <w:r w:rsidR="00744D07">
        <w:rPr>
          <w:szCs w:val="22"/>
        </w:rPr>
        <w:t>;</w:t>
      </w:r>
    </w:p>
    <w:p w14:paraId="0D7E1C39" w14:textId="77777777" w:rsidR="00F14E9F" w:rsidRDefault="00AA791B" w:rsidP="00AA791B">
      <w:pPr>
        <w:numPr>
          <w:ilvl w:val="0"/>
          <w:numId w:val="6"/>
        </w:numPr>
        <w:tabs>
          <w:tab w:val="clear" w:pos="720"/>
          <w:tab w:val="num" w:pos="567"/>
        </w:tabs>
        <w:ind w:left="567" w:hanging="567"/>
        <w:rPr>
          <w:szCs w:val="22"/>
        </w:rPr>
      </w:pPr>
      <w:r w:rsidRPr="007B7B59">
        <w:rPr>
          <w:szCs w:val="22"/>
        </w:rPr>
        <w:t>raudonomis dėmėmis ir pūslėmis pasireiškiantis išbėrimas</w:t>
      </w:r>
      <w:r w:rsidR="00F14E9F">
        <w:rPr>
          <w:szCs w:val="22"/>
        </w:rPr>
        <w:t>;</w:t>
      </w:r>
    </w:p>
    <w:p w14:paraId="6EE1F1C3" w14:textId="707091CE" w:rsidR="00AA791B" w:rsidRPr="007B7B59" w:rsidRDefault="00AA791B" w:rsidP="001B17AA">
      <w:pPr>
        <w:ind w:left="567"/>
        <w:rPr>
          <w:szCs w:val="22"/>
        </w:rPr>
      </w:pPr>
    </w:p>
    <w:p w14:paraId="66CA783B" w14:textId="77777777" w:rsidR="00831EF2" w:rsidRPr="001B17AA" w:rsidRDefault="00831EF2" w:rsidP="00FF07AC">
      <w:pPr>
        <w:tabs>
          <w:tab w:val="left" w:pos="0"/>
        </w:tabs>
        <w:rPr>
          <w:b/>
          <w:bCs/>
          <w:szCs w:val="22"/>
        </w:rPr>
      </w:pPr>
      <w:r w:rsidRPr="001B17AA">
        <w:rPr>
          <w:b/>
          <w:bCs/>
          <w:szCs w:val="22"/>
        </w:rPr>
        <w:lastRenderedPageBreak/>
        <w:t>Dažnis nežinomas (negali būti apskaičiuotas pagal turimus duomenis</w:t>
      </w:r>
      <w:r w:rsidR="00B3730B" w:rsidRPr="001B17AA">
        <w:rPr>
          <w:b/>
          <w:bCs/>
          <w:szCs w:val="22"/>
        </w:rPr>
        <w:t>)</w:t>
      </w:r>
      <w:r w:rsidRPr="001B17AA">
        <w:rPr>
          <w:b/>
          <w:bCs/>
          <w:szCs w:val="22"/>
        </w:rPr>
        <w:t>:</w:t>
      </w:r>
    </w:p>
    <w:p w14:paraId="00736F57" w14:textId="77777777" w:rsidR="00831EF2" w:rsidRPr="007B7B59" w:rsidRDefault="00831EF2" w:rsidP="00831EF2">
      <w:pPr>
        <w:numPr>
          <w:ilvl w:val="0"/>
          <w:numId w:val="6"/>
        </w:numPr>
        <w:tabs>
          <w:tab w:val="clear" w:pos="720"/>
          <w:tab w:val="num" w:pos="567"/>
        </w:tabs>
        <w:ind w:left="567" w:hanging="567"/>
        <w:rPr>
          <w:szCs w:val="22"/>
        </w:rPr>
      </w:pPr>
      <w:r w:rsidRPr="007B7B59">
        <w:rPr>
          <w:szCs w:val="22"/>
        </w:rPr>
        <w:t xml:space="preserve">mažas limfocitų (tam tikrų baltųjų kraujo ląstelių) </w:t>
      </w:r>
      <w:r w:rsidR="00744D07">
        <w:rPr>
          <w:szCs w:val="22"/>
        </w:rPr>
        <w:t>skaičius</w:t>
      </w:r>
      <w:r w:rsidR="00CA1551" w:rsidRPr="007B7B59">
        <w:rPr>
          <w:szCs w:val="22"/>
        </w:rPr>
        <w:t>.</w:t>
      </w:r>
    </w:p>
    <w:p w14:paraId="67831267" w14:textId="77777777" w:rsidR="000C6DE6" w:rsidRPr="007B7B59" w:rsidRDefault="000C6DE6" w:rsidP="000C6DE6">
      <w:pPr>
        <w:rPr>
          <w:szCs w:val="22"/>
        </w:rPr>
      </w:pPr>
    </w:p>
    <w:p w14:paraId="2A65E34B" w14:textId="77777777" w:rsidR="00561D11" w:rsidRPr="007B7B59" w:rsidRDefault="00561D11" w:rsidP="00561D11">
      <w:pPr>
        <w:tabs>
          <w:tab w:val="left" w:pos="567"/>
        </w:tabs>
        <w:rPr>
          <w:b/>
          <w:snapToGrid w:val="0"/>
          <w:szCs w:val="22"/>
        </w:rPr>
      </w:pPr>
      <w:r w:rsidRPr="007B7B59">
        <w:rPr>
          <w:b/>
          <w:snapToGrid w:val="0"/>
          <w:szCs w:val="22"/>
        </w:rPr>
        <w:t>Pranešimas apie šalutinį poveikį</w:t>
      </w:r>
    </w:p>
    <w:p w14:paraId="1D487C1E" w14:textId="77777777" w:rsidR="00053A9A" w:rsidRDefault="00B3730B" w:rsidP="00053A9A">
      <w:pPr>
        <w:tabs>
          <w:tab w:val="left" w:pos="567"/>
        </w:tabs>
        <w:spacing w:line="260" w:lineRule="exact"/>
        <w:ind w:right="-1"/>
        <w:rPr>
          <w:snapToGrid w:val="0"/>
          <w:szCs w:val="20"/>
        </w:rPr>
      </w:pPr>
      <w:r w:rsidRPr="0036377A">
        <w:t>Jeigu pasireiškė šalutinis poveikis, įskaitant šiame l</w:t>
      </w:r>
      <w:r>
        <w:t>apelyje nenurodytą, pasakykite gydytojui arba vaistininkui</w:t>
      </w:r>
      <w:r w:rsidRPr="0036377A">
        <w:t xml:space="preserve">. </w:t>
      </w:r>
      <w:r w:rsidR="00053A9A">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053A9A">
          <w:rPr>
            <w:rStyle w:val="Hipersaitas"/>
            <w:snapToGrid w:val="0"/>
          </w:rPr>
          <w:t>https://vapris.vvkt.lt/vvkt-web/public/nrv</w:t>
        </w:r>
      </w:hyperlink>
      <w:r w:rsidR="00053A9A">
        <w:rPr>
          <w:snapToGrid w:val="0"/>
        </w:rPr>
        <w:t xml:space="preserve"> arba užpildant Paciento pranešimo apie įtariamą nepageidaujamą reakciją (ĮNR) formą, kuri skelbiama </w:t>
      </w:r>
      <w:hyperlink r:id="rId15" w:history="1">
        <w:r w:rsidR="00053A9A">
          <w:rPr>
            <w:rStyle w:val="Hipersaitas"/>
            <w:snapToGrid w:val="0"/>
          </w:rPr>
          <w:t>https://www.vvkt.lt/index.php?4004286486</w:t>
        </w:r>
      </w:hyperlink>
      <w:r w:rsidR="00053A9A">
        <w:rPr>
          <w:snapToGrid w:val="0"/>
        </w:rPr>
        <w:t xml:space="preserve">, ir atsiunčiant elektroniniu paštu (adresu </w:t>
      </w:r>
      <w:hyperlink r:id="rId16" w:history="1">
        <w:r w:rsidR="00053A9A">
          <w:rPr>
            <w:rStyle w:val="Hipersaitas"/>
            <w:snapToGrid w:val="0"/>
          </w:rPr>
          <w:t>NepageidaujamaR@vvkt.lt</w:t>
        </w:r>
      </w:hyperlink>
      <w:r w:rsidR="00053A9A">
        <w:rPr>
          <w:snapToGrid w:val="0"/>
        </w:rPr>
        <w:t>) arba nemokamu telefonu 8 800 73 568. Pranešdami apie šalutinį poveikį galite mums padėti gauti daugiau informacijos apie šio vaisto saugumą.</w:t>
      </w:r>
    </w:p>
    <w:p w14:paraId="21CD8C70" w14:textId="3CD9F9C8" w:rsidR="00B3730B" w:rsidRPr="00503D27" w:rsidRDefault="00B3730B" w:rsidP="00B3730B">
      <w:pPr>
        <w:ind w:right="-449"/>
        <w:rPr>
          <w:noProof/>
        </w:rPr>
      </w:pPr>
    </w:p>
    <w:p w14:paraId="65917682" w14:textId="77777777" w:rsidR="000C6DE6" w:rsidRPr="007B7B59" w:rsidRDefault="000C6DE6" w:rsidP="000C6DE6">
      <w:pPr>
        <w:rPr>
          <w:szCs w:val="22"/>
          <w:highlight w:val="cyan"/>
        </w:rPr>
      </w:pPr>
    </w:p>
    <w:p w14:paraId="71C54D91" w14:textId="77777777" w:rsidR="000C6DE6" w:rsidRPr="007B7B59" w:rsidRDefault="000C6DE6" w:rsidP="000C6DE6">
      <w:pPr>
        <w:ind w:left="567" w:hanging="567"/>
        <w:rPr>
          <w:b/>
          <w:szCs w:val="22"/>
        </w:rPr>
      </w:pPr>
      <w:r w:rsidRPr="007B7B59">
        <w:rPr>
          <w:b/>
          <w:szCs w:val="22"/>
        </w:rPr>
        <w:t>5.</w:t>
      </w:r>
      <w:r w:rsidRPr="007B7B59">
        <w:rPr>
          <w:b/>
          <w:szCs w:val="22"/>
        </w:rPr>
        <w:tab/>
      </w:r>
      <w:r w:rsidR="00F47999" w:rsidRPr="007B7B59">
        <w:rPr>
          <w:b/>
          <w:szCs w:val="22"/>
        </w:rPr>
        <w:t xml:space="preserve">Kaip laikyti </w:t>
      </w:r>
      <w:r w:rsidRPr="007B7B59">
        <w:rPr>
          <w:b/>
          <w:szCs w:val="22"/>
        </w:rPr>
        <w:t>AROMASIN</w:t>
      </w:r>
    </w:p>
    <w:p w14:paraId="393DA68B" w14:textId="77777777" w:rsidR="000C6DE6" w:rsidRPr="007B7B59" w:rsidRDefault="000C6DE6" w:rsidP="000C6DE6">
      <w:pPr>
        <w:rPr>
          <w:szCs w:val="22"/>
        </w:rPr>
      </w:pPr>
    </w:p>
    <w:p w14:paraId="0D2AE782" w14:textId="77777777" w:rsidR="00561D11" w:rsidRPr="007B7B59" w:rsidRDefault="00561D11" w:rsidP="000C6DE6">
      <w:pPr>
        <w:rPr>
          <w:szCs w:val="22"/>
        </w:rPr>
      </w:pPr>
      <w:r w:rsidRPr="007B7B59">
        <w:rPr>
          <w:szCs w:val="22"/>
        </w:rPr>
        <w:t>Šį vaistą laikykite vaikams nepastebimoje ir nepasiekiamoje vietoje.</w:t>
      </w:r>
    </w:p>
    <w:p w14:paraId="420024DE" w14:textId="77777777" w:rsidR="00561D11" w:rsidRPr="007B7B59" w:rsidRDefault="00561D11" w:rsidP="000C6DE6">
      <w:pPr>
        <w:rPr>
          <w:szCs w:val="22"/>
        </w:rPr>
      </w:pPr>
    </w:p>
    <w:p w14:paraId="1A932CCC" w14:textId="77777777" w:rsidR="000C6DE6" w:rsidRPr="007B7B59" w:rsidRDefault="000C6DE6" w:rsidP="000C6DE6">
      <w:pPr>
        <w:rPr>
          <w:szCs w:val="22"/>
        </w:rPr>
      </w:pPr>
      <w:r w:rsidRPr="007B7B59">
        <w:rPr>
          <w:szCs w:val="22"/>
        </w:rPr>
        <w:t>Šiam vaistiniam preparatui specialių laikymo sąlygų nereikia.</w:t>
      </w:r>
    </w:p>
    <w:p w14:paraId="1B2A40EA" w14:textId="77777777" w:rsidR="000C6DE6" w:rsidRPr="007B7B59" w:rsidRDefault="000C6DE6" w:rsidP="000C6DE6">
      <w:pPr>
        <w:pStyle w:val="BTEMEASMCA"/>
        <w:rPr>
          <w:noProof w:val="0"/>
          <w:sz w:val="22"/>
          <w:szCs w:val="22"/>
        </w:rPr>
      </w:pPr>
      <w:r w:rsidRPr="007B7B59">
        <w:rPr>
          <w:noProof w:val="0"/>
          <w:sz w:val="22"/>
          <w:szCs w:val="22"/>
        </w:rPr>
        <w:t xml:space="preserve">Prieš vartojant patikrinkite ant pakuotės nurodytą tinkamumo laiką. Ant </w:t>
      </w:r>
      <w:r w:rsidR="00FE0F95" w:rsidRPr="007B7B59">
        <w:rPr>
          <w:noProof w:val="0"/>
          <w:sz w:val="22"/>
          <w:szCs w:val="22"/>
        </w:rPr>
        <w:t>dėžutės ir lizdinės plokštelės</w:t>
      </w:r>
      <w:r w:rsidRPr="007B7B59">
        <w:rPr>
          <w:noProof w:val="0"/>
          <w:sz w:val="22"/>
          <w:szCs w:val="22"/>
        </w:rPr>
        <w:t xml:space="preserve"> </w:t>
      </w:r>
      <w:r w:rsidR="00561D11" w:rsidRPr="007B7B59">
        <w:rPr>
          <w:noProof w:val="0"/>
          <w:sz w:val="22"/>
          <w:szCs w:val="22"/>
        </w:rPr>
        <w:t>po „</w:t>
      </w:r>
      <w:r w:rsidR="00B3730B">
        <w:rPr>
          <w:noProof w:val="0"/>
          <w:sz w:val="22"/>
          <w:szCs w:val="22"/>
        </w:rPr>
        <w:t>EXP</w:t>
      </w:r>
      <w:r w:rsidR="00561D11" w:rsidRPr="007B7B59">
        <w:rPr>
          <w:noProof w:val="0"/>
          <w:sz w:val="22"/>
          <w:szCs w:val="22"/>
        </w:rPr>
        <w:t xml:space="preserve">“ </w:t>
      </w:r>
      <w:r w:rsidRPr="007B7B59">
        <w:rPr>
          <w:noProof w:val="0"/>
          <w:sz w:val="22"/>
          <w:szCs w:val="22"/>
        </w:rPr>
        <w:t xml:space="preserve">nurodytam tinkamumo laikui pasibaigus, </w:t>
      </w:r>
      <w:r w:rsidR="004612FE" w:rsidRPr="007B7B59">
        <w:rPr>
          <w:noProof w:val="0"/>
          <w:sz w:val="22"/>
          <w:szCs w:val="22"/>
        </w:rPr>
        <w:t xml:space="preserve">šio vaisto </w:t>
      </w:r>
      <w:r w:rsidRPr="007B7B59">
        <w:rPr>
          <w:noProof w:val="0"/>
          <w:sz w:val="22"/>
          <w:szCs w:val="22"/>
        </w:rPr>
        <w:t>vartoti negalima. Vaistas tinka</w:t>
      </w:r>
      <w:r w:rsidR="006D01C9" w:rsidRPr="007B7B59">
        <w:rPr>
          <w:noProof w:val="0"/>
          <w:sz w:val="22"/>
          <w:szCs w:val="22"/>
        </w:rPr>
        <w:t>mas</w:t>
      </w:r>
      <w:r w:rsidRPr="007B7B59">
        <w:rPr>
          <w:noProof w:val="0"/>
          <w:sz w:val="22"/>
          <w:szCs w:val="22"/>
        </w:rPr>
        <w:t xml:space="preserve"> vartoti iki paskutinės nurodyto mėnesio dienos.</w:t>
      </w:r>
    </w:p>
    <w:p w14:paraId="3F090A54" w14:textId="77777777" w:rsidR="000C6DE6" w:rsidRPr="007B7B59" w:rsidRDefault="000C6DE6" w:rsidP="000C6DE6">
      <w:pPr>
        <w:rPr>
          <w:szCs w:val="22"/>
        </w:rPr>
      </w:pPr>
    </w:p>
    <w:p w14:paraId="58DE10A1" w14:textId="77777777" w:rsidR="000C6DE6" w:rsidRPr="007B7B59" w:rsidRDefault="000C6DE6" w:rsidP="000C6DE6">
      <w:pPr>
        <w:rPr>
          <w:szCs w:val="22"/>
        </w:rPr>
      </w:pPr>
      <w:r w:rsidRPr="007B7B59">
        <w:rPr>
          <w:szCs w:val="22"/>
        </w:rPr>
        <w:t>Vaistų negalima iš</w:t>
      </w:r>
      <w:r w:rsidR="00561D11" w:rsidRPr="007B7B59">
        <w:rPr>
          <w:szCs w:val="22"/>
        </w:rPr>
        <w:t>mesti</w:t>
      </w:r>
      <w:r w:rsidRPr="007B7B59">
        <w:rPr>
          <w:szCs w:val="22"/>
        </w:rPr>
        <w:t xml:space="preserve"> į kanalizaciją arba su buitinėmis atliekomis. Kaip </w:t>
      </w:r>
      <w:r w:rsidR="00561D11" w:rsidRPr="007B7B59">
        <w:rPr>
          <w:szCs w:val="22"/>
        </w:rPr>
        <w:t xml:space="preserve">išmesti </w:t>
      </w:r>
      <w:r w:rsidRPr="007B7B59">
        <w:rPr>
          <w:szCs w:val="22"/>
        </w:rPr>
        <w:t>nereikalingus vaistus, klauskite vaistininko. Šios priemonės padės apsaugoti aplinką.</w:t>
      </w:r>
    </w:p>
    <w:p w14:paraId="5A30E1B4" w14:textId="77777777" w:rsidR="000C6DE6" w:rsidRPr="007B7B59" w:rsidRDefault="000C6DE6" w:rsidP="000C6DE6">
      <w:pPr>
        <w:rPr>
          <w:szCs w:val="22"/>
        </w:rPr>
      </w:pPr>
    </w:p>
    <w:p w14:paraId="204FA1D7" w14:textId="77777777" w:rsidR="000C6DE6" w:rsidRPr="007B7B59" w:rsidRDefault="000C6DE6" w:rsidP="000C6DE6">
      <w:pPr>
        <w:rPr>
          <w:szCs w:val="22"/>
        </w:rPr>
      </w:pPr>
    </w:p>
    <w:p w14:paraId="2A007AB7" w14:textId="77777777" w:rsidR="000C6DE6" w:rsidRPr="007B7B59" w:rsidRDefault="000C6DE6" w:rsidP="000C6DE6">
      <w:pPr>
        <w:numPr>
          <w:ilvl w:val="12"/>
          <w:numId w:val="0"/>
        </w:numPr>
        <w:ind w:left="567" w:hanging="567"/>
        <w:outlineLvl w:val="0"/>
        <w:rPr>
          <w:b/>
          <w:szCs w:val="22"/>
        </w:rPr>
      </w:pPr>
      <w:r w:rsidRPr="007B7B59">
        <w:rPr>
          <w:b/>
          <w:szCs w:val="22"/>
        </w:rPr>
        <w:t>6.</w:t>
      </w:r>
      <w:r w:rsidRPr="007B7B59">
        <w:rPr>
          <w:szCs w:val="22"/>
        </w:rPr>
        <w:tab/>
      </w:r>
      <w:r w:rsidR="00F47999" w:rsidRPr="007B7B59">
        <w:rPr>
          <w:b/>
          <w:szCs w:val="22"/>
        </w:rPr>
        <w:t>Pakuotės turinys ir kita informacija</w:t>
      </w:r>
    </w:p>
    <w:p w14:paraId="6F708E80" w14:textId="77777777" w:rsidR="000C6DE6" w:rsidRPr="007B7B59" w:rsidRDefault="000C6DE6" w:rsidP="000C6DE6">
      <w:pPr>
        <w:pStyle w:val="PI-3EMEASMCA"/>
      </w:pPr>
    </w:p>
    <w:p w14:paraId="4C17C467" w14:textId="77777777" w:rsidR="000C6DE6" w:rsidRPr="007B7B59" w:rsidRDefault="000C6DE6" w:rsidP="000C6DE6">
      <w:pPr>
        <w:pStyle w:val="PI-3EMEASMCA"/>
      </w:pPr>
      <w:r w:rsidRPr="007B7B59">
        <w:t>AROMASIN sudėtis</w:t>
      </w:r>
    </w:p>
    <w:p w14:paraId="46D67FA8" w14:textId="77777777" w:rsidR="000C6DE6" w:rsidRPr="007B7B59" w:rsidRDefault="000C6DE6" w:rsidP="000C6DE6">
      <w:pPr>
        <w:ind w:left="567" w:hanging="283"/>
        <w:rPr>
          <w:szCs w:val="22"/>
        </w:rPr>
      </w:pPr>
      <w:r w:rsidRPr="007B7B59">
        <w:rPr>
          <w:szCs w:val="22"/>
        </w:rPr>
        <w:t>-</w:t>
      </w:r>
      <w:r w:rsidRPr="007B7B59">
        <w:rPr>
          <w:szCs w:val="22"/>
        </w:rPr>
        <w:tab/>
        <w:t xml:space="preserve">Veiklioji medžiaga yra </w:t>
      </w:r>
      <w:proofErr w:type="spellStart"/>
      <w:r w:rsidRPr="007B7B59">
        <w:rPr>
          <w:szCs w:val="22"/>
        </w:rPr>
        <w:t>eksemestanas</w:t>
      </w:r>
      <w:proofErr w:type="spellEnd"/>
      <w:r w:rsidRPr="007B7B59">
        <w:rPr>
          <w:szCs w:val="22"/>
        </w:rPr>
        <w:t xml:space="preserve">. Dengtoje tabletėje yra 25 mg </w:t>
      </w:r>
      <w:proofErr w:type="spellStart"/>
      <w:r w:rsidRPr="007B7B59">
        <w:rPr>
          <w:szCs w:val="22"/>
        </w:rPr>
        <w:t>eksemestano</w:t>
      </w:r>
      <w:proofErr w:type="spellEnd"/>
      <w:r w:rsidRPr="007B7B59">
        <w:rPr>
          <w:szCs w:val="22"/>
        </w:rPr>
        <w:t>.</w:t>
      </w:r>
    </w:p>
    <w:p w14:paraId="2DEC1A83" w14:textId="77777777" w:rsidR="000C6DE6" w:rsidRPr="007B7B59" w:rsidRDefault="000C6DE6" w:rsidP="000C6DE6">
      <w:pPr>
        <w:ind w:left="567" w:hanging="283"/>
        <w:rPr>
          <w:szCs w:val="22"/>
          <w:lang w:eastAsia="lt-LT"/>
        </w:rPr>
      </w:pPr>
      <w:r w:rsidRPr="007B7B59">
        <w:rPr>
          <w:szCs w:val="22"/>
        </w:rPr>
        <w:t>-</w:t>
      </w:r>
      <w:r w:rsidRPr="007B7B59">
        <w:rPr>
          <w:szCs w:val="22"/>
        </w:rPr>
        <w:tab/>
        <w:t xml:space="preserve">Pagalbinės medžiagos: koloidinis hidratuotas silicio dioksidas (E551), </w:t>
      </w:r>
      <w:proofErr w:type="spellStart"/>
      <w:r w:rsidRPr="007B7B59">
        <w:rPr>
          <w:szCs w:val="22"/>
        </w:rPr>
        <w:t>krospovidonas</w:t>
      </w:r>
      <w:proofErr w:type="spellEnd"/>
      <w:r w:rsidRPr="007B7B59">
        <w:rPr>
          <w:szCs w:val="22"/>
        </w:rPr>
        <w:t xml:space="preserve">, </w:t>
      </w:r>
      <w:proofErr w:type="spellStart"/>
      <w:r w:rsidRPr="007B7B59">
        <w:rPr>
          <w:szCs w:val="22"/>
        </w:rPr>
        <w:t>hipromeliozė</w:t>
      </w:r>
      <w:proofErr w:type="spellEnd"/>
      <w:r w:rsidRPr="007B7B59">
        <w:rPr>
          <w:szCs w:val="22"/>
        </w:rPr>
        <w:t xml:space="preserve"> (E464), magnio </w:t>
      </w:r>
      <w:proofErr w:type="spellStart"/>
      <w:r w:rsidRPr="007B7B59">
        <w:rPr>
          <w:szCs w:val="22"/>
        </w:rPr>
        <w:t>stearatas</w:t>
      </w:r>
      <w:proofErr w:type="spellEnd"/>
      <w:r w:rsidRPr="007B7B59">
        <w:rPr>
          <w:szCs w:val="22"/>
        </w:rPr>
        <w:t xml:space="preserve"> (E572), </w:t>
      </w:r>
      <w:proofErr w:type="spellStart"/>
      <w:r w:rsidRPr="007B7B59">
        <w:rPr>
          <w:szCs w:val="22"/>
        </w:rPr>
        <w:t>manitolis</w:t>
      </w:r>
      <w:proofErr w:type="spellEnd"/>
      <w:r w:rsidRPr="007B7B59">
        <w:rPr>
          <w:szCs w:val="22"/>
        </w:rPr>
        <w:t xml:space="preserve"> (E421), </w:t>
      </w:r>
      <w:proofErr w:type="spellStart"/>
      <w:r w:rsidRPr="007B7B59">
        <w:rPr>
          <w:szCs w:val="22"/>
        </w:rPr>
        <w:t>mikrokristalinė</w:t>
      </w:r>
      <w:proofErr w:type="spellEnd"/>
      <w:r w:rsidRPr="007B7B59">
        <w:rPr>
          <w:szCs w:val="22"/>
        </w:rPr>
        <w:t xml:space="preserve"> celiuliozė (E460), </w:t>
      </w:r>
      <w:proofErr w:type="spellStart"/>
      <w:r w:rsidRPr="007B7B59">
        <w:rPr>
          <w:szCs w:val="22"/>
        </w:rPr>
        <w:t>karboksimetilkrakmolo</w:t>
      </w:r>
      <w:proofErr w:type="spellEnd"/>
      <w:r w:rsidRPr="007B7B59">
        <w:rPr>
          <w:szCs w:val="22"/>
        </w:rPr>
        <w:t xml:space="preserve"> A natrio druska, </w:t>
      </w:r>
      <w:proofErr w:type="spellStart"/>
      <w:r w:rsidRPr="007B7B59">
        <w:rPr>
          <w:szCs w:val="22"/>
        </w:rPr>
        <w:t>polisorbatas</w:t>
      </w:r>
      <w:proofErr w:type="spellEnd"/>
      <w:r w:rsidRPr="007B7B59">
        <w:rPr>
          <w:szCs w:val="22"/>
        </w:rPr>
        <w:t xml:space="preserve"> 80 (E433), </w:t>
      </w:r>
      <w:proofErr w:type="spellStart"/>
      <w:r w:rsidRPr="007B7B59">
        <w:rPr>
          <w:szCs w:val="22"/>
        </w:rPr>
        <w:t>polivinilo</w:t>
      </w:r>
      <w:proofErr w:type="spellEnd"/>
      <w:r w:rsidRPr="007B7B59">
        <w:rPr>
          <w:szCs w:val="22"/>
        </w:rPr>
        <w:t xml:space="preserve"> alkoholis, </w:t>
      </w:r>
      <w:proofErr w:type="spellStart"/>
      <w:r w:rsidRPr="007B7B59">
        <w:rPr>
          <w:szCs w:val="22"/>
        </w:rPr>
        <w:t>simetikonas</w:t>
      </w:r>
      <w:proofErr w:type="spellEnd"/>
      <w:r w:rsidRPr="007B7B59">
        <w:rPr>
          <w:szCs w:val="22"/>
        </w:rPr>
        <w:t xml:space="preserve">, </w:t>
      </w:r>
      <w:proofErr w:type="spellStart"/>
      <w:r w:rsidRPr="007B7B59">
        <w:rPr>
          <w:szCs w:val="22"/>
        </w:rPr>
        <w:t>makrogolis</w:t>
      </w:r>
      <w:proofErr w:type="spellEnd"/>
      <w:r w:rsidRPr="007B7B59">
        <w:rPr>
          <w:szCs w:val="22"/>
        </w:rPr>
        <w:t xml:space="preserve"> 6000, sacharozė, </w:t>
      </w:r>
      <w:r w:rsidR="006E1FD4" w:rsidRPr="007B7B59">
        <w:rPr>
          <w:szCs w:val="22"/>
        </w:rPr>
        <w:t xml:space="preserve">lengvasis </w:t>
      </w:r>
      <w:r w:rsidRPr="007B7B59">
        <w:rPr>
          <w:szCs w:val="22"/>
          <w:lang w:eastAsia="lt-LT"/>
        </w:rPr>
        <w:t xml:space="preserve">magnio </w:t>
      </w:r>
      <w:proofErr w:type="spellStart"/>
      <w:r w:rsidRPr="007B7B59">
        <w:rPr>
          <w:szCs w:val="22"/>
          <w:lang w:eastAsia="lt-LT"/>
        </w:rPr>
        <w:t>subkarbonatas</w:t>
      </w:r>
      <w:proofErr w:type="spellEnd"/>
      <w:r w:rsidRPr="007B7B59">
        <w:rPr>
          <w:szCs w:val="22"/>
        </w:rPr>
        <w:t xml:space="preserve"> (E504), metil</w:t>
      </w:r>
      <w:r w:rsidR="006E1FD4" w:rsidRPr="007B7B59">
        <w:rPr>
          <w:szCs w:val="22"/>
        </w:rPr>
        <w:t xml:space="preserve">o </w:t>
      </w:r>
      <w:proofErr w:type="spellStart"/>
      <w:r w:rsidRPr="007B7B59">
        <w:rPr>
          <w:szCs w:val="22"/>
        </w:rPr>
        <w:t>parahidroksibenzoatas</w:t>
      </w:r>
      <w:proofErr w:type="spellEnd"/>
      <w:r w:rsidRPr="007B7B59">
        <w:rPr>
          <w:szCs w:val="22"/>
        </w:rPr>
        <w:t xml:space="preserve"> (E218), </w:t>
      </w:r>
      <w:proofErr w:type="spellStart"/>
      <w:r w:rsidRPr="007B7B59">
        <w:rPr>
          <w:szCs w:val="22"/>
        </w:rPr>
        <w:t>cetilo</w:t>
      </w:r>
      <w:proofErr w:type="spellEnd"/>
      <w:r w:rsidRPr="007B7B59">
        <w:rPr>
          <w:szCs w:val="22"/>
        </w:rPr>
        <w:t xml:space="preserve"> esterių vaškas, talkas, </w:t>
      </w:r>
      <w:proofErr w:type="spellStart"/>
      <w:r w:rsidRPr="007B7B59">
        <w:rPr>
          <w:szCs w:val="22"/>
        </w:rPr>
        <w:t>karnaubo</w:t>
      </w:r>
      <w:proofErr w:type="spellEnd"/>
      <w:r w:rsidRPr="007B7B59">
        <w:rPr>
          <w:szCs w:val="22"/>
        </w:rPr>
        <w:t xml:space="preserve"> vaškas, etilo alkoholis, </w:t>
      </w:r>
      <w:proofErr w:type="spellStart"/>
      <w:r w:rsidRPr="007B7B59">
        <w:rPr>
          <w:szCs w:val="22"/>
        </w:rPr>
        <w:t>šelakas</w:t>
      </w:r>
      <w:proofErr w:type="spellEnd"/>
      <w:r w:rsidRPr="007B7B59">
        <w:rPr>
          <w:szCs w:val="22"/>
        </w:rPr>
        <w:t>,</w:t>
      </w:r>
      <w:r w:rsidRPr="007B7B59" w:rsidDel="00286577">
        <w:rPr>
          <w:szCs w:val="22"/>
        </w:rPr>
        <w:t xml:space="preserve"> </w:t>
      </w:r>
      <w:r w:rsidRPr="007B7B59">
        <w:rPr>
          <w:szCs w:val="22"/>
        </w:rPr>
        <w:t xml:space="preserve">titano dioksidas (E171) ir </w:t>
      </w:r>
      <w:r w:rsidR="002E543E" w:rsidRPr="007B7B59">
        <w:rPr>
          <w:szCs w:val="22"/>
        </w:rPr>
        <w:t xml:space="preserve">juodasis </w:t>
      </w:r>
      <w:r w:rsidRPr="007B7B59">
        <w:rPr>
          <w:szCs w:val="22"/>
        </w:rPr>
        <w:t>geležies oksidas (E172).</w:t>
      </w:r>
    </w:p>
    <w:p w14:paraId="55C1DC32" w14:textId="77777777" w:rsidR="000C6DE6" w:rsidRPr="007B7B59" w:rsidRDefault="000C6DE6" w:rsidP="000C6DE6">
      <w:pPr>
        <w:ind w:left="567" w:hanging="210"/>
        <w:rPr>
          <w:szCs w:val="22"/>
        </w:rPr>
      </w:pPr>
    </w:p>
    <w:p w14:paraId="09294462" w14:textId="77777777" w:rsidR="000C6DE6" w:rsidRPr="007B7B59" w:rsidRDefault="000C6DE6" w:rsidP="000C6DE6">
      <w:pPr>
        <w:pStyle w:val="PI-3EMEASMCA"/>
      </w:pPr>
      <w:r w:rsidRPr="007B7B59">
        <w:t>AROMASIN išvaizda ir kiekis pakuotėje</w:t>
      </w:r>
    </w:p>
    <w:p w14:paraId="0F310B64" w14:textId="77777777" w:rsidR="000C6DE6" w:rsidRPr="007B7B59" w:rsidRDefault="000C6DE6" w:rsidP="000C6DE6">
      <w:pPr>
        <w:rPr>
          <w:szCs w:val="22"/>
        </w:rPr>
      </w:pPr>
      <w:r w:rsidRPr="007B7B59">
        <w:rPr>
          <w:szCs w:val="22"/>
        </w:rPr>
        <w:t xml:space="preserve">AROMASIN yra apvali, abipus išgaubta, balta, plėvele dengta tabletė, jos vienoje pusėje užrašyti skaičiai </w:t>
      </w:r>
      <w:r w:rsidR="00561D11" w:rsidRPr="007B7B59">
        <w:rPr>
          <w:szCs w:val="22"/>
        </w:rPr>
        <w:t>„</w:t>
      </w:r>
      <w:r w:rsidRPr="007B7B59">
        <w:rPr>
          <w:szCs w:val="22"/>
        </w:rPr>
        <w:t>7663“.</w:t>
      </w:r>
    </w:p>
    <w:p w14:paraId="678EC01C" w14:textId="77777777" w:rsidR="000C6DE6" w:rsidRPr="007B7B59" w:rsidRDefault="000C6DE6" w:rsidP="000C6DE6">
      <w:pPr>
        <w:pStyle w:val="BTEMEASMCA"/>
        <w:rPr>
          <w:noProof w:val="0"/>
          <w:sz w:val="22"/>
          <w:szCs w:val="22"/>
          <w:u w:val="single"/>
        </w:rPr>
      </w:pPr>
    </w:p>
    <w:p w14:paraId="6A6CE8A2" w14:textId="77777777" w:rsidR="000C6DE6" w:rsidRPr="007B7B59" w:rsidRDefault="000C6DE6" w:rsidP="000C6DE6">
      <w:pPr>
        <w:pStyle w:val="BTEMEASMCA"/>
        <w:rPr>
          <w:noProof w:val="0"/>
          <w:sz w:val="22"/>
          <w:szCs w:val="22"/>
        </w:rPr>
      </w:pPr>
      <w:r w:rsidRPr="007B7B59">
        <w:rPr>
          <w:noProof w:val="0"/>
          <w:sz w:val="22"/>
          <w:szCs w:val="22"/>
        </w:rPr>
        <w:t xml:space="preserve"> Kartono dėžutėje 30 tablečių, supakuotų į lizdines plokšteles ir pakuotės lapelis.</w:t>
      </w:r>
    </w:p>
    <w:p w14:paraId="6F256F5B" w14:textId="77777777" w:rsidR="000C6DE6" w:rsidRPr="007B7B59" w:rsidRDefault="000C6DE6" w:rsidP="000C6DE6">
      <w:pPr>
        <w:pStyle w:val="BTEMEASMCA"/>
        <w:rPr>
          <w:noProof w:val="0"/>
          <w:sz w:val="22"/>
          <w:szCs w:val="22"/>
        </w:rPr>
      </w:pPr>
    </w:p>
    <w:p w14:paraId="0A2DF477" w14:textId="77777777" w:rsidR="000C6DE6" w:rsidRPr="007B7B59" w:rsidRDefault="00B3730B" w:rsidP="000C6DE6">
      <w:pPr>
        <w:pStyle w:val="PI-3EMEASMCA"/>
      </w:pPr>
      <w:r>
        <w:t>Registruotojas</w:t>
      </w:r>
    </w:p>
    <w:p w14:paraId="20083D31" w14:textId="77777777" w:rsidR="000C6DE6" w:rsidRPr="007B7B59" w:rsidRDefault="000C6DE6" w:rsidP="000C6DE6">
      <w:pPr>
        <w:rPr>
          <w:szCs w:val="22"/>
        </w:rPr>
      </w:pPr>
      <w:proofErr w:type="spellStart"/>
      <w:r w:rsidRPr="007B7B59">
        <w:rPr>
          <w:szCs w:val="22"/>
        </w:rPr>
        <w:t>Pfizer</w:t>
      </w:r>
      <w:proofErr w:type="spellEnd"/>
      <w:r w:rsidRPr="007B7B59">
        <w:rPr>
          <w:szCs w:val="22"/>
        </w:rPr>
        <w:t xml:space="preserve"> </w:t>
      </w:r>
      <w:proofErr w:type="spellStart"/>
      <w:r w:rsidRPr="007B7B59">
        <w:rPr>
          <w:szCs w:val="22"/>
        </w:rPr>
        <w:t>Europe</w:t>
      </w:r>
      <w:proofErr w:type="spellEnd"/>
      <w:r w:rsidRPr="007B7B59">
        <w:rPr>
          <w:szCs w:val="22"/>
        </w:rPr>
        <w:t xml:space="preserve"> MA EEIG</w:t>
      </w:r>
    </w:p>
    <w:p w14:paraId="772050F9" w14:textId="77777777" w:rsidR="002D4769" w:rsidRPr="00FB53AE" w:rsidRDefault="002D4769" w:rsidP="002D4769">
      <w:pPr>
        <w:outlineLvl w:val="0"/>
        <w:rPr>
          <w:lang w:val="fr-CH"/>
        </w:rPr>
      </w:pPr>
      <w:r w:rsidRPr="00FB53AE">
        <w:rPr>
          <w:lang w:val="fr-CH"/>
        </w:rPr>
        <w:t>Boulevard de la Plaine 17</w:t>
      </w:r>
    </w:p>
    <w:p w14:paraId="2DCF47EF" w14:textId="77777777" w:rsidR="002D4769" w:rsidRPr="00FB53AE" w:rsidRDefault="002D4769" w:rsidP="002D4769">
      <w:pPr>
        <w:outlineLvl w:val="0"/>
        <w:rPr>
          <w:lang w:val="fr-CH"/>
        </w:rPr>
      </w:pPr>
      <w:r w:rsidRPr="00FB53AE">
        <w:rPr>
          <w:lang w:val="fr-CH"/>
        </w:rPr>
        <w:t>1050 Bruxelles</w:t>
      </w:r>
    </w:p>
    <w:p w14:paraId="2C599685" w14:textId="2B4DFD1D" w:rsidR="000C6DE6" w:rsidRPr="007B7B59" w:rsidRDefault="002D4769">
      <w:pPr>
        <w:rPr>
          <w:szCs w:val="22"/>
        </w:rPr>
      </w:pPr>
      <w:proofErr w:type="spellStart"/>
      <w:r w:rsidRPr="00FB53AE">
        <w:rPr>
          <w:lang w:val="fr-CH"/>
        </w:rPr>
        <w:t>Belgija</w:t>
      </w:r>
      <w:proofErr w:type="spellEnd"/>
    </w:p>
    <w:p w14:paraId="03F02DE2" w14:textId="77777777" w:rsidR="000C6DE6" w:rsidRPr="007B7B59" w:rsidRDefault="000C6DE6" w:rsidP="000C6DE6">
      <w:pPr>
        <w:pStyle w:val="Dokumentoinaostekstas"/>
        <w:tabs>
          <w:tab w:val="clear" w:pos="567"/>
        </w:tabs>
        <w:rPr>
          <w:sz w:val="22"/>
          <w:szCs w:val="22"/>
          <w:lang w:val="lt-LT"/>
        </w:rPr>
      </w:pPr>
    </w:p>
    <w:p w14:paraId="301CE81B" w14:textId="77777777" w:rsidR="000C6DE6" w:rsidRPr="007B7B59" w:rsidRDefault="000C6DE6" w:rsidP="000C6DE6">
      <w:pPr>
        <w:pStyle w:val="Dokumentoinaostekstas"/>
        <w:tabs>
          <w:tab w:val="clear" w:pos="567"/>
        </w:tabs>
        <w:rPr>
          <w:b/>
          <w:sz w:val="22"/>
          <w:szCs w:val="22"/>
          <w:lang w:val="lt-LT"/>
        </w:rPr>
      </w:pPr>
      <w:r w:rsidRPr="007B7B59">
        <w:rPr>
          <w:b/>
          <w:sz w:val="22"/>
          <w:szCs w:val="22"/>
          <w:lang w:val="lt-LT"/>
        </w:rPr>
        <w:t>Gamintojas</w:t>
      </w:r>
    </w:p>
    <w:p w14:paraId="600125B4" w14:textId="77777777" w:rsidR="00D04DAC" w:rsidRPr="007B7B59" w:rsidRDefault="00D04DAC" w:rsidP="00D04DAC">
      <w:pPr>
        <w:tabs>
          <w:tab w:val="left" w:pos="567"/>
        </w:tabs>
        <w:rPr>
          <w:szCs w:val="22"/>
        </w:rPr>
      </w:pPr>
      <w:proofErr w:type="spellStart"/>
      <w:r w:rsidRPr="007B7B59">
        <w:rPr>
          <w:szCs w:val="22"/>
        </w:rPr>
        <w:t>Pfizer</w:t>
      </w:r>
      <w:proofErr w:type="spellEnd"/>
      <w:r w:rsidRPr="007B7B59">
        <w:rPr>
          <w:szCs w:val="22"/>
        </w:rPr>
        <w:t xml:space="preserve"> </w:t>
      </w:r>
      <w:proofErr w:type="spellStart"/>
      <w:r w:rsidRPr="007B7B59">
        <w:rPr>
          <w:szCs w:val="22"/>
        </w:rPr>
        <w:t>Italia</w:t>
      </w:r>
      <w:proofErr w:type="spellEnd"/>
      <w:r w:rsidRPr="007B7B59">
        <w:rPr>
          <w:szCs w:val="22"/>
        </w:rPr>
        <w:t xml:space="preserve"> </w:t>
      </w:r>
      <w:proofErr w:type="spellStart"/>
      <w:r w:rsidRPr="007B7B59">
        <w:rPr>
          <w:szCs w:val="22"/>
        </w:rPr>
        <w:t>S.r.l</w:t>
      </w:r>
      <w:proofErr w:type="spellEnd"/>
      <w:r w:rsidRPr="007B7B59">
        <w:rPr>
          <w:szCs w:val="22"/>
        </w:rPr>
        <w:t xml:space="preserve">. </w:t>
      </w:r>
    </w:p>
    <w:p w14:paraId="271058B0" w14:textId="77777777" w:rsidR="00D04DAC" w:rsidRPr="007B7B59" w:rsidRDefault="00D04DAC" w:rsidP="00D04DAC">
      <w:pPr>
        <w:tabs>
          <w:tab w:val="left" w:pos="567"/>
        </w:tabs>
        <w:rPr>
          <w:szCs w:val="22"/>
        </w:rPr>
      </w:pPr>
      <w:proofErr w:type="spellStart"/>
      <w:r w:rsidRPr="00341B9D">
        <w:rPr>
          <w:color w:val="000000"/>
          <w:szCs w:val="22"/>
        </w:rPr>
        <w:t>Localita</w:t>
      </w:r>
      <w:proofErr w:type="spellEnd"/>
      <w:r w:rsidRPr="00341B9D">
        <w:rPr>
          <w:color w:val="000000"/>
          <w:szCs w:val="22"/>
        </w:rPr>
        <w:t xml:space="preserve"> </w:t>
      </w:r>
      <w:r w:rsidRPr="007B7B59">
        <w:rPr>
          <w:szCs w:val="22"/>
        </w:rPr>
        <w:t xml:space="preserve">Marino </w:t>
      </w:r>
      <w:proofErr w:type="spellStart"/>
      <w:r w:rsidRPr="007B7B59">
        <w:rPr>
          <w:szCs w:val="22"/>
        </w:rPr>
        <w:t>del</w:t>
      </w:r>
      <w:proofErr w:type="spellEnd"/>
      <w:r w:rsidRPr="007B7B59">
        <w:rPr>
          <w:szCs w:val="22"/>
        </w:rPr>
        <w:t xml:space="preserve"> </w:t>
      </w:r>
      <w:proofErr w:type="spellStart"/>
      <w:r w:rsidRPr="007B7B59">
        <w:rPr>
          <w:szCs w:val="22"/>
        </w:rPr>
        <w:t>Tronto</w:t>
      </w:r>
      <w:proofErr w:type="spellEnd"/>
    </w:p>
    <w:p w14:paraId="392719CD" w14:textId="77777777" w:rsidR="00D04DAC" w:rsidRPr="007B7B59" w:rsidRDefault="00D04DAC" w:rsidP="00D04DAC">
      <w:pPr>
        <w:tabs>
          <w:tab w:val="left" w:pos="567"/>
        </w:tabs>
        <w:rPr>
          <w:szCs w:val="22"/>
        </w:rPr>
      </w:pPr>
      <w:r w:rsidRPr="00341B9D">
        <w:rPr>
          <w:color w:val="000000"/>
          <w:szCs w:val="22"/>
        </w:rPr>
        <w:t>63100</w:t>
      </w:r>
      <w:r w:rsidRPr="007B7B59">
        <w:rPr>
          <w:szCs w:val="22"/>
        </w:rPr>
        <w:t xml:space="preserve">, </w:t>
      </w:r>
      <w:proofErr w:type="spellStart"/>
      <w:r w:rsidRPr="007B7B59">
        <w:rPr>
          <w:szCs w:val="22"/>
        </w:rPr>
        <w:t>Ascoli</w:t>
      </w:r>
      <w:proofErr w:type="spellEnd"/>
      <w:r w:rsidRPr="007B7B59">
        <w:rPr>
          <w:szCs w:val="22"/>
        </w:rPr>
        <w:t xml:space="preserve"> </w:t>
      </w:r>
      <w:proofErr w:type="spellStart"/>
      <w:r w:rsidRPr="007B7B59">
        <w:rPr>
          <w:szCs w:val="22"/>
        </w:rPr>
        <w:t>Piceno</w:t>
      </w:r>
      <w:proofErr w:type="spellEnd"/>
      <w:r w:rsidRPr="007B7B59">
        <w:rPr>
          <w:szCs w:val="22"/>
        </w:rPr>
        <w:t xml:space="preserve"> </w:t>
      </w:r>
    </w:p>
    <w:p w14:paraId="2C159A5A" w14:textId="77777777" w:rsidR="00D04DAC" w:rsidRPr="007B7B59" w:rsidRDefault="00D04DAC" w:rsidP="00D04DAC">
      <w:pPr>
        <w:tabs>
          <w:tab w:val="left" w:pos="567"/>
        </w:tabs>
        <w:rPr>
          <w:szCs w:val="22"/>
        </w:rPr>
      </w:pPr>
      <w:r w:rsidRPr="007B7B59">
        <w:rPr>
          <w:szCs w:val="22"/>
        </w:rPr>
        <w:t xml:space="preserve">Italija </w:t>
      </w:r>
    </w:p>
    <w:p w14:paraId="53CF301B" w14:textId="77777777" w:rsidR="000C6DE6" w:rsidRPr="007B7B59" w:rsidRDefault="000C6DE6" w:rsidP="000C6DE6">
      <w:pPr>
        <w:pStyle w:val="BTEMEASMCA"/>
        <w:rPr>
          <w:noProof w:val="0"/>
          <w:sz w:val="22"/>
          <w:szCs w:val="22"/>
        </w:rPr>
      </w:pPr>
    </w:p>
    <w:p w14:paraId="4E756B9A" w14:textId="77777777" w:rsidR="000C6DE6" w:rsidRPr="007B7B59" w:rsidRDefault="000C6DE6" w:rsidP="000C6DE6">
      <w:pPr>
        <w:pStyle w:val="BTEMEASMCA"/>
        <w:rPr>
          <w:noProof w:val="0"/>
          <w:sz w:val="22"/>
          <w:szCs w:val="22"/>
        </w:rPr>
      </w:pPr>
      <w:r w:rsidRPr="007B7B59">
        <w:rPr>
          <w:noProof w:val="0"/>
          <w:sz w:val="22"/>
          <w:szCs w:val="22"/>
        </w:rPr>
        <w:t xml:space="preserve">Jeigu apie šį vaistą norite sužinoti daugiau, kreipkitės į vietinį </w:t>
      </w:r>
      <w:r w:rsidR="00B3730B" w:rsidRPr="00341B9D">
        <w:rPr>
          <w:sz w:val="22"/>
          <w:szCs w:val="22"/>
        </w:rPr>
        <w:t>registruotojo</w:t>
      </w:r>
      <w:r w:rsidR="00B3730B" w:rsidRPr="007B7B59">
        <w:rPr>
          <w:noProof w:val="0"/>
          <w:sz w:val="22"/>
          <w:szCs w:val="22"/>
        </w:rPr>
        <w:t xml:space="preserve"> </w:t>
      </w:r>
      <w:r w:rsidRPr="007B7B59">
        <w:rPr>
          <w:noProof w:val="0"/>
          <w:sz w:val="22"/>
          <w:szCs w:val="22"/>
        </w:rPr>
        <w:t xml:space="preserve"> atstovą.</w:t>
      </w:r>
    </w:p>
    <w:p w14:paraId="09ADCD16" w14:textId="77777777" w:rsidR="000C6DE6" w:rsidRPr="007B7B59" w:rsidRDefault="000C6DE6" w:rsidP="000C6DE6">
      <w:pPr>
        <w:rPr>
          <w:szCs w:val="22"/>
        </w:rPr>
      </w:pPr>
    </w:p>
    <w:tbl>
      <w:tblPr>
        <w:tblW w:w="4678" w:type="dxa"/>
        <w:tblInd w:w="-34" w:type="dxa"/>
        <w:tblLayout w:type="fixed"/>
        <w:tblLook w:val="0000" w:firstRow="0" w:lastRow="0" w:firstColumn="0" w:lastColumn="0" w:noHBand="0" w:noVBand="0"/>
      </w:tblPr>
      <w:tblGrid>
        <w:gridCol w:w="4678"/>
      </w:tblGrid>
      <w:tr w:rsidR="000C6DE6" w:rsidRPr="007B7B59" w14:paraId="3F239C9A" w14:textId="77777777">
        <w:tc>
          <w:tcPr>
            <w:tcW w:w="4678" w:type="dxa"/>
          </w:tcPr>
          <w:p w14:paraId="6BA18C2C" w14:textId="77777777" w:rsidR="000C6DE6" w:rsidRPr="007B7B59" w:rsidRDefault="000C6DE6" w:rsidP="00C80E4A">
            <w:pPr>
              <w:rPr>
                <w:szCs w:val="22"/>
              </w:rPr>
            </w:pPr>
            <w:r w:rsidRPr="007B7B59">
              <w:rPr>
                <w:szCs w:val="22"/>
              </w:rPr>
              <w:t>"</w:t>
            </w:r>
            <w:proofErr w:type="spellStart"/>
            <w:r w:rsidRPr="007B7B59">
              <w:rPr>
                <w:szCs w:val="22"/>
              </w:rPr>
              <w:t>Pfizer</w:t>
            </w:r>
            <w:proofErr w:type="spellEnd"/>
            <w:r w:rsidRPr="007B7B59">
              <w:rPr>
                <w:szCs w:val="22"/>
              </w:rPr>
              <w:t xml:space="preserve"> </w:t>
            </w:r>
            <w:proofErr w:type="spellStart"/>
            <w:r w:rsidRPr="007B7B59">
              <w:rPr>
                <w:szCs w:val="22"/>
              </w:rPr>
              <w:t>Luxembourg</w:t>
            </w:r>
            <w:proofErr w:type="spellEnd"/>
            <w:r w:rsidRPr="007B7B59">
              <w:rPr>
                <w:szCs w:val="22"/>
              </w:rPr>
              <w:t xml:space="preserve"> SARL" filialas Lietuvoje,</w:t>
            </w:r>
          </w:p>
          <w:p w14:paraId="2F8B6341" w14:textId="77777777" w:rsidR="000C6DE6" w:rsidRPr="007B7B59" w:rsidRDefault="000C6DE6" w:rsidP="00C80E4A">
            <w:pPr>
              <w:rPr>
                <w:szCs w:val="22"/>
              </w:rPr>
            </w:pPr>
            <w:r w:rsidRPr="007B7B59">
              <w:rPr>
                <w:szCs w:val="22"/>
              </w:rPr>
              <w:t>Goštauto 40a, LT</w:t>
            </w:r>
            <w:r w:rsidRPr="007B7B59">
              <w:rPr>
                <w:szCs w:val="22"/>
              </w:rPr>
              <w:noBreakHyphen/>
              <w:t>01112 Vilnius</w:t>
            </w:r>
          </w:p>
          <w:p w14:paraId="116B846A" w14:textId="77777777" w:rsidR="000C6DE6" w:rsidRPr="007B7B59" w:rsidRDefault="000C6DE6" w:rsidP="00C80E4A">
            <w:pPr>
              <w:rPr>
                <w:szCs w:val="22"/>
              </w:rPr>
            </w:pPr>
            <w:r w:rsidRPr="007B7B59">
              <w:rPr>
                <w:szCs w:val="22"/>
              </w:rPr>
              <w:t>Tel. +370 5 2514000</w:t>
            </w:r>
          </w:p>
          <w:p w14:paraId="64C39B24" w14:textId="77777777" w:rsidR="000C6DE6" w:rsidRPr="007B7B59" w:rsidRDefault="000C6DE6" w:rsidP="00C80E4A">
            <w:pPr>
              <w:tabs>
                <w:tab w:val="left" w:pos="-720"/>
              </w:tabs>
              <w:suppressAutoHyphens/>
              <w:rPr>
                <w:szCs w:val="22"/>
              </w:rPr>
            </w:pPr>
          </w:p>
        </w:tc>
      </w:tr>
    </w:tbl>
    <w:p w14:paraId="543BA8B2" w14:textId="77777777" w:rsidR="000C6DE6" w:rsidRPr="007B7B59" w:rsidRDefault="000C6DE6" w:rsidP="000C6DE6">
      <w:pPr>
        <w:pStyle w:val="BTEMEASMCA"/>
        <w:rPr>
          <w:noProof w:val="0"/>
          <w:sz w:val="22"/>
          <w:szCs w:val="22"/>
        </w:rPr>
      </w:pPr>
    </w:p>
    <w:p w14:paraId="0FC38BF5" w14:textId="4FC4D02B" w:rsidR="000C6DE6" w:rsidRPr="007B7B59" w:rsidRDefault="000C6DE6" w:rsidP="000C6DE6">
      <w:pPr>
        <w:pStyle w:val="BTbEMEASMCA"/>
        <w:rPr>
          <w:noProof w:val="0"/>
        </w:rPr>
      </w:pPr>
      <w:r w:rsidRPr="007B7B59">
        <w:rPr>
          <w:bCs/>
          <w:noProof w:val="0"/>
        </w:rPr>
        <w:t>Šis pakuotės lapelis</w:t>
      </w:r>
      <w:r w:rsidRPr="007B7B59">
        <w:rPr>
          <w:noProof w:val="0"/>
        </w:rPr>
        <w:t xml:space="preserve"> paskutinį kartą </w:t>
      </w:r>
      <w:r w:rsidR="000A3B6A" w:rsidRPr="007B7B59">
        <w:rPr>
          <w:noProof w:val="0"/>
        </w:rPr>
        <w:t>peržiūrėtas</w:t>
      </w:r>
      <w:r w:rsidR="00C948EE" w:rsidRPr="00201461">
        <w:rPr>
          <w:noProof w:val="0"/>
          <w:color w:val="000000"/>
        </w:rPr>
        <w:t xml:space="preserve"> </w:t>
      </w:r>
      <w:r w:rsidR="00F1743B">
        <w:rPr>
          <w:noProof w:val="0"/>
          <w:color w:val="000000"/>
        </w:rPr>
        <w:t>2022-03-25.</w:t>
      </w:r>
    </w:p>
    <w:p w14:paraId="5BDD00EE" w14:textId="77777777" w:rsidR="000C6DE6" w:rsidRPr="007B7B59" w:rsidRDefault="000C6DE6" w:rsidP="000C6DE6">
      <w:pPr>
        <w:rPr>
          <w:szCs w:val="22"/>
        </w:rPr>
      </w:pPr>
    </w:p>
    <w:p w14:paraId="48799CE0" w14:textId="77777777" w:rsidR="00561D11" w:rsidRPr="007B7B59" w:rsidRDefault="00561D11" w:rsidP="00561D11">
      <w:pPr>
        <w:numPr>
          <w:ilvl w:val="12"/>
          <w:numId w:val="0"/>
        </w:numPr>
        <w:tabs>
          <w:tab w:val="left" w:pos="567"/>
        </w:tabs>
        <w:ind w:right="-2"/>
        <w:rPr>
          <w:snapToGrid w:val="0"/>
          <w:szCs w:val="22"/>
        </w:rPr>
      </w:pPr>
      <w:r w:rsidRPr="007B7B59">
        <w:rPr>
          <w:snapToGrid w:val="0"/>
          <w:szCs w:val="22"/>
        </w:rPr>
        <w:t>Išsami informacija apie šį vaistą pateikiama Valstybinės vaistų kontrolės tarnybos prie Lietuvos Respublikos sveikatos apsaugos ministerijos tinklalapyje</w:t>
      </w:r>
      <w:r w:rsidRPr="007B7B59">
        <w:rPr>
          <w:i/>
          <w:snapToGrid w:val="0"/>
          <w:szCs w:val="22"/>
        </w:rPr>
        <w:t xml:space="preserve"> </w:t>
      </w:r>
      <w:hyperlink r:id="rId17" w:history="1">
        <w:r w:rsidRPr="007B7B59">
          <w:rPr>
            <w:rFonts w:eastAsia="SimSun"/>
            <w:snapToGrid w:val="0"/>
            <w:color w:val="0000FF"/>
            <w:szCs w:val="22"/>
            <w:u w:val="single"/>
          </w:rPr>
          <w:t>http://www.vvkt.lt/</w:t>
        </w:r>
      </w:hyperlink>
      <w:r w:rsidRPr="007B7B59">
        <w:rPr>
          <w:snapToGrid w:val="0"/>
          <w:szCs w:val="22"/>
        </w:rPr>
        <w:t>.</w:t>
      </w:r>
    </w:p>
    <w:p w14:paraId="7C842539" w14:textId="77777777" w:rsidR="000C6DE6" w:rsidRPr="007B7B59" w:rsidRDefault="000C6DE6" w:rsidP="000C6DE6">
      <w:pPr>
        <w:rPr>
          <w:szCs w:val="22"/>
          <w:highlight w:val="yellow"/>
        </w:rPr>
      </w:pPr>
      <w:bookmarkStart w:id="12" w:name="_GoBack"/>
      <w:bookmarkEnd w:id="12"/>
    </w:p>
    <w:sectPr w:rsidR="000C6DE6" w:rsidRPr="007B7B59" w:rsidSect="00C80E4A">
      <w:footerReference w:type="even" r:id="rId18"/>
      <w:footerReference w:type="default" r:id="rId19"/>
      <w:pgSz w:w="11907" w:h="16840" w:code="9"/>
      <w:pgMar w:top="1134" w:right="1418" w:bottom="1134" w:left="1418" w:header="737" w:footer="73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F02863" w16cid:durableId="25E61FEF"/>
  <w16cid:commentId w16cid:paraId="5AD273A5" w16cid:durableId="25E61FF0"/>
  <w16cid:commentId w16cid:paraId="0416ABD5" w16cid:durableId="25E61F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B3C1F" w14:textId="77777777" w:rsidR="000645BB" w:rsidRDefault="000645BB">
      <w:r>
        <w:separator/>
      </w:r>
    </w:p>
  </w:endnote>
  <w:endnote w:type="continuationSeparator" w:id="0">
    <w:p w14:paraId="419BA760" w14:textId="77777777" w:rsidR="000645BB" w:rsidRDefault="0006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70627" w14:textId="77777777" w:rsidR="00343030" w:rsidRDefault="00343030" w:rsidP="00C80E4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21</w:t>
    </w:r>
    <w:r>
      <w:rPr>
        <w:rStyle w:val="Puslapionumeris"/>
      </w:rPr>
      <w:fldChar w:fldCharType="end"/>
    </w:r>
  </w:p>
  <w:p w14:paraId="2E73FC1B" w14:textId="77777777" w:rsidR="00343030" w:rsidRDefault="00343030" w:rsidP="00C80E4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40572" w14:textId="67CCE7B3" w:rsidR="00343030" w:rsidRDefault="00343030" w:rsidP="00C80E4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1743B">
      <w:rPr>
        <w:rStyle w:val="Puslapionumeris"/>
        <w:noProof/>
      </w:rPr>
      <w:t>26</w:t>
    </w:r>
    <w:r>
      <w:rPr>
        <w:rStyle w:val="Puslapionumeris"/>
      </w:rPr>
      <w:fldChar w:fldCharType="end"/>
    </w:r>
  </w:p>
  <w:p w14:paraId="53E1A7AD" w14:textId="77777777" w:rsidR="00343030" w:rsidRDefault="00343030" w:rsidP="00C80E4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E0D96" w14:textId="77777777" w:rsidR="000645BB" w:rsidRDefault="000645BB">
      <w:r>
        <w:separator/>
      </w:r>
    </w:p>
  </w:footnote>
  <w:footnote w:type="continuationSeparator" w:id="0">
    <w:p w14:paraId="1F588E05" w14:textId="77777777" w:rsidR="000645BB" w:rsidRDefault="00064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CAB04F6"/>
    <w:multiLevelType w:val="hybridMultilevel"/>
    <w:tmpl w:val="F064D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E65CD8"/>
    <w:multiLevelType w:val="hybridMultilevel"/>
    <w:tmpl w:val="2A4C215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22D03C43"/>
    <w:multiLevelType w:val="hybridMultilevel"/>
    <w:tmpl w:val="10C8070E"/>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0C4210"/>
    <w:multiLevelType w:val="hybridMultilevel"/>
    <w:tmpl w:val="4D8C6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8E44DB"/>
    <w:multiLevelType w:val="hybridMultilevel"/>
    <w:tmpl w:val="A7448D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 w:ilvl="0">
        <w:numFmt w:val="bullet"/>
        <w:lvlText w:val=""/>
        <w:legacy w:legacy="1" w:legacySpace="0" w:legacyIndent="360"/>
        <w:lvlJc w:val="left"/>
        <w:pPr>
          <w:ind w:left="360" w:hanging="360"/>
        </w:pPr>
        <w:rPr>
          <w:rFonts w:ascii="Symbol" w:hAnsi="Symbol" w:hint="default"/>
        </w:rPr>
      </w:lvl>
    </w:lvlOverride>
  </w:num>
  <w:num w:numId="3">
    <w:abstractNumId w:val="5"/>
  </w:num>
  <w:num w:numId="4">
    <w:abstractNumId w:val="4"/>
  </w:num>
  <w:num w:numId="5">
    <w:abstractNumId w:val="6"/>
  </w:num>
  <w:num w:numId="6">
    <w:abstractNumId w:val="1"/>
  </w:num>
  <w:num w:numId="7">
    <w:abstractNumId w:val="2"/>
  </w:num>
  <w:num w:numId="8">
    <w:abstractNumId w:val="0"/>
    <w:lvlOverride w:ilvl="0">
      <w:lvl w:ilvl="0">
        <w:start w:val="1"/>
        <w:numFmt w:val="bullet"/>
        <w:lvlText w:val="-"/>
        <w:lvlJc w:val="left"/>
        <w:pPr>
          <w:ind w:left="360" w:hanging="360"/>
        </w:pPr>
      </w:lvl>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DE6"/>
    <w:rsid w:val="00003DE5"/>
    <w:rsid w:val="00007589"/>
    <w:rsid w:val="00010DA7"/>
    <w:rsid w:val="0001484D"/>
    <w:rsid w:val="00021357"/>
    <w:rsid w:val="0002751A"/>
    <w:rsid w:val="00027B43"/>
    <w:rsid w:val="00037622"/>
    <w:rsid w:val="00043768"/>
    <w:rsid w:val="000530C3"/>
    <w:rsid w:val="00053A9A"/>
    <w:rsid w:val="00054D57"/>
    <w:rsid w:val="000645BB"/>
    <w:rsid w:val="00065DE6"/>
    <w:rsid w:val="000712BD"/>
    <w:rsid w:val="00084CE6"/>
    <w:rsid w:val="00086106"/>
    <w:rsid w:val="00093347"/>
    <w:rsid w:val="000955E2"/>
    <w:rsid w:val="000955EF"/>
    <w:rsid w:val="000A3B6A"/>
    <w:rsid w:val="000C5D39"/>
    <w:rsid w:val="000C6DE6"/>
    <w:rsid w:val="000D3457"/>
    <w:rsid w:val="0010393B"/>
    <w:rsid w:val="001165B6"/>
    <w:rsid w:val="00127B60"/>
    <w:rsid w:val="00131EFA"/>
    <w:rsid w:val="00135F1B"/>
    <w:rsid w:val="00145DD6"/>
    <w:rsid w:val="0015086C"/>
    <w:rsid w:val="00153FE2"/>
    <w:rsid w:val="001601D7"/>
    <w:rsid w:val="00164C7F"/>
    <w:rsid w:val="00164F4C"/>
    <w:rsid w:val="001868E9"/>
    <w:rsid w:val="001912A5"/>
    <w:rsid w:val="00195BA6"/>
    <w:rsid w:val="001A2722"/>
    <w:rsid w:val="001B17AA"/>
    <w:rsid w:val="001B6E01"/>
    <w:rsid w:val="001C0725"/>
    <w:rsid w:val="001C0C93"/>
    <w:rsid w:val="001C17CE"/>
    <w:rsid w:val="001C616E"/>
    <w:rsid w:val="001E5314"/>
    <w:rsid w:val="001E798C"/>
    <w:rsid w:val="001F104F"/>
    <w:rsid w:val="00201461"/>
    <w:rsid w:val="0021418A"/>
    <w:rsid w:val="0021586D"/>
    <w:rsid w:val="00225180"/>
    <w:rsid w:val="00233E46"/>
    <w:rsid w:val="002355A3"/>
    <w:rsid w:val="00236597"/>
    <w:rsid w:val="00237D86"/>
    <w:rsid w:val="00251399"/>
    <w:rsid w:val="0025320E"/>
    <w:rsid w:val="00261310"/>
    <w:rsid w:val="0026558F"/>
    <w:rsid w:val="0026662E"/>
    <w:rsid w:val="00274102"/>
    <w:rsid w:val="002A0B17"/>
    <w:rsid w:val="002B03C4"/>
    <w:rsid w:val="002B469D"/>
    <w:rsid w:val="002C0669"/>
    <w:rsid w:val="002D09E1"/>
    <w:rsid w:val="002D4769"/>
    <w:rsid w:val="002D51E7"/>
    <w:rsid w:val="002E543E"/>
    <w:rsid w:val="002F1EA8"/>
    <w:rsid w:val="00310B22"/>
    <w:rsid w:val="00320D84"/>
    <w:rsid w:val="0033205F"/>
    <w:rsid w:val="00333BA2"/>
    <w:rsid w:val="00341B9D"/>
    <w:rsid w:val="00343030"/>
    <w:rsid w:val="003450A6"/>
    <w:rsid w:val="00346C2A"/>
    <w:rsid w:val="00350054"/>
    <w:rsid w:val="003543D5"/>
    <w:rsid w:val="003573CE"/>
    <w:rsid w:val="003601FD"/>
    <w:rsid w:val="00360BBA"/>
    <w:rsid w:val="0036115A"/>
    <w:rsid w:val="003663E2"/>
    <w:rsid w:val="00377C74"/>
    <w:rsid w:val="00385569"/>
    <w:rsid w:val="003859FA"/>
    <w:rsid w:val="003A1F9D"/>
    <w:rsid w:val="003A5F1B"/>
    <w:rsid w:val="003E2004"/>
    <w:rsid w:val="00400D56"/>
    <w:rsid w:val="00414C3D"/>
    <w:rsid w:val="00426C77"/>
    <w:rsid w:val="00426E9A"/>
    <w:rsid w:val="00430ED6"/>
    <w:rsid w:val="00435E52"/>
    <w:rsid w:val="004578E1"/>
    <w:rsid w:val="004612FE"/>
    <w:rsid w:val="00462FDA"/>
    <w:rsid w:val="00471ED7"/>
    <w:rsid w:val="00472351"/>
    <w:rsid w:val="0047338E"/>
    <w:rsid w:val="00476A75"/>
    <w:rsid w:val="00481165"/>
    <w:rsid w:val="004812DD"/>
    <w:rsid w:val="004844DE"/>
    <w:rsid w:val="00490A1D"/>
    <w:rsid w:val="00490E9C"/>
    <w:rsid w:val="004A5ADC"/>
    <w:rsid w:val="004B416D"/>
    <w:rsid w:val="004C5769"/>
    <w:rsid w:val="004D1941"/>
    <w:rsid w:val="004F5F2F"/>
    <w:rsid w:val="004F64EB"/>
    <w:rsid w:val="0050416F"/>
    <w:rsid w:val="0050567C"/>
    <w:rsid w:val="00511D00"/>
    <w:rsid w:val="005125BF"/>
    <w:rsid w:val="0055242F"/>
    <w:rsid w:val="005561AB"/>
    <w:rsid w:val="00561D11"/>
    <w:rsid w:val="00577C13"/>
    <w:rsid w:val="0058587E"/>
    <w:rsid w:val="005A1402"/>
    <w:rsid w:val="005B35B2"/>
    <w:rsid w:val="005C0085"/>
    <w:rsid w:val="005C57AF"/>
    <w:rsid w:val="005E072A"/>
    <w:rsid w:val="005E3F38"/>
    <w:rsid w:val="005F0A55"/>
    <w:rsid w:val="005F3376"/>
    <w:rsid w:val="005F3CC7"/>
    <w:rsid w:val="006042CB"/>
    <w:rsid w:val="00605679"/>
    <w:rsid w:val="006067AC"/>
    <w:rsid w:val="0061114F"/>
    <w:rsid w:val="006121B6"/>
    <w:rsid w:val="00635656"/>
    <w:rsid w:val="00637A7B"/>
    <w:rsid w:val="006405D6"/>
    <w:rsid w:val="00640C0F"/>
    <w:rsid w:val="006424FE"/>
    <w:rsid w:val="00650AB4"/>
    <w:rsid w:val="00652270"/>
    <w:rsid w:val="00652C78"/>
    <w:rsid w:val="00653A3D"/>
    <w:rsid w:val="00654FC3"/>
    <w:rsid w:val="0066129E"/>
    <w:rsid w:val="006644DA"/>
    <w:rsid w:val="0068165E"/>
    <w:rsid w:val="00683891"/>
    <w:rsid w:val="00683B09"/>
    <w:rsid w:val="006864D5"/>
    <w:rsid w:val="00687293"/>
    <w:rsid w:val="00697362"/>
    <w:rsid w:val="006A0018"/>
    <w:rsid w:val="006C5B91"/>
    <w:rsid w:val="006D01C9"/>
    <w:rsid w:val="006D0314"/>
    <w:rsid w:val="006D07D4"/>
    <w:rsid w:val="006D2A42"/>
    <w:rsid w:val="006E0F48"/>
    <w:rsid w:val="006E1FD4"/>
    <w:rsid w:val="006F2975"/>
    <w:rsid w:val="006F7CAC"/>
    <w:rsid w:val="00700379"/>
    <w:rsid w:val="007047D0"/>
    <w:rsid w:val="00731BF9"/>
    <w:rsid w:val="0073425D"/>
    <w:rsid w:val="00744D07"/>
    <w:rsid w:val="00764779"/>
    <w:rsid w:val="007707BC"/>
    <w:rsid w:val="0077363F"/>
    <w:rsid w:val="00785F0F"/>
    <w:rsid w:val="007860FC"/>
    <w:rsid w:val="00786C50"/>
    <w:rsid w:val="007874FF"/>
    <w:rsid w:val="00791B4A"/>
    <w:rsid w:val="007B07F1"/>
    <w:rsid w:val="007B1CBF"/>
    <w:rsid w:val="007B405B"/>
    <w:rsid w:val="007B4A95"/>
    <w:rsid w:val="007B726E"/>
    <w:rsid w:val="007B7B59"/>
    <w:rsid w:val="007E7558"/>
    <w:rsid w:val="007F34EF"/>
    <w:rsid w:val="007F4FB2"/>
    <w:rsid w:val="00800298"/>
    <w:rsid w:val="00807F21"/>
    <w:rsid w:val="00817DB3"/>
    <w:rsid w:val="00821A16"/>
    <w:rsid w:val="008307BA"/>
    <w:rsid w:val="00831EF2"/>
    <w:rsid w:val="00837865"/>
    <w:rsid w:val="00844FDF"/>
    <w:rsid w:val="00852257"/>
    <w:rsid w:val="0085344C"/>
    <w:rsid w:val="008562C6"/>
    <w:rsid w:val="00856C7F"/>
    <w:rsid w:val="0087213E"/>
    <w:rsid w:val="008905CF"/>
    <w:rsid w:val="00890FAA"/>
    <w:rsid w:val="008D167B"/>
    <w:rsid w:val="008D4D01"/>
    <w:rsid w:val="008E51B4"/>
    <w:rsid w:val="009063B7"/>
    <w:rsid w:val="009075FC"/>
    <w:rsid w:val="009105D9"/>
    <w:rsid w:val="00914EC7"/>
    <w:rsid w:val="00920FD8"/>
    <w:rsid w:val="00927D38"/>
    <w:rsid w:val="00933A0F"/>
    <w:rsid w:val="00934A0C"/>
    <w:rsid w:val="00935501"/>
    <w:rsid w:val="009415A1"/>
    <w:rsid w:val="009463E3"/>
    <w:rsid w:val="00951ED5"/>
    <w:rsid w:val="00973AE2"/>
    <w:rsid w:val="00973C79"/>
    <w:rsid w:val="009751DB"/>
    <w:rsid w:val="00976B20"/>
    <w:rsid w:val="0098392F"/>
    <w:rsid w:val="00987C23"/>
    <w:rsid w:val="00990CC1"/>
    <w:rsid w:val="009940DD"/>
    <w:rsid w:val="009A2252"/>
    <w:rsid w:val="009B4601"/>
    <w:rsid w:val="009D5BA4"/>
    <w:rsid w:val="009E2BE0"/>
    <w:rsid w:val="00A052B0"/>
    <w:rsid w:val="00A17A39"/>
    <w:rsid w:val="00A21992"/>
    <w:rsid w:val="00A238BE"/>
    <w:rsid w:val="00A3529B"/>
    <w:rsid w:val="00A448DF"/>
    <w:rsid w:val="00A609CF"/>
    <w:rsid w:val="00A61D02"/>
    <w:rsid w:val="00A706A3"/>
    <w:rsid w:val="00A71CA1"/>
    <w:rsid w:val="00A8524E"/>
    <w:rsid w:val="00A878AE"/>
    <w:rsid w:val="00AA2855"/>
    <w:rsid w:val="00AA791B"/>
    <w:rsid w:val="00AB4CE3"/>
    <w:rsid w:val="00AC3EC3"/>
    <w:rsid w:val="00AD3776"/>
    <w:rsid w:val="00AD4420"/>
    <w:rsid w:val="00AD6D67"/>
    <w:rsid w:val="00AE1A70"/>
    <w:rsid w:val="00AE7820"/>
    <w:rsid w:val="00AF5920"/>
    <w:rsid w:val="00B045B6"/>
    <w:rsid w:val="00B04C4F"/>
    <w:rsid w:val="00B06D14"/>
    <w:rsid w:val="00B0702C"/>
    <w:rsid w:val="00B15EF2"/>
    <w:rsid w:val="00B3730B"/>
    <w:rsid w:val="00B40036"/>
    <w:rsid w:val="00B40B2C"/>
    <w:rsid w:val="00B420AC"/>
    <w:rsid w:val="00B4212F"/>
    <w:rsid w:val="00B43AD7"/>
    <w:rsid w:val="00B54171"/>
    <w:rsid w:val="00B5580C"/>
    <w:rsid w:val="00B6387E"/>
    <w:rsid w:val="00B638F1"/>
    <w:rsid w:val="00B751AF"/>
    <w:rsid w:val="00B760B6"/>
    <w:rsid w:val="00B76FDB"/>
    <w:rsid w:val="00B84E11"/>
    <w:rsid w:val="00B86556"/>
    <w:rsid w:val="00B8674C"/>
    <w:rsid w:val="00B92868"/>
    <w:rsid w:val="00BA203C"/>
    <w:rsid w:val="00BB044A"/>
    <w:rsid w:val="00BB2ACE"/>
    <w:rsid w:val="00BB5BD9"/>
    <w:rsid w:val="00BC5784"/>
    <w:rsid w:val="00BD1987"/>
    <w:rsid w:val="00BD331B"/>
    <w:rsid w:val="00BD4D76"/>
    <w:rsid w:val="00BE751D"/>
    <w:rsid w:val="00BF2E80"/>
    <w:rsid w:val="00C00F01"/>
    <w:rsid w:val="00C0326E"/>
    <w:rsid w:val="00C12270"/>
    <w:rsid w:val="00C174BE"/>
    <w:rsid w:val="00C31485"/>
    <w:rsid w:val="00C40711"/>
    <w:rsid w:val="00C459D0"/>
    <w:rsid w:val="00C5142F"/>
    <w:rsid w:val="00C518EC"/>
    <w:rsid w:val="00C563E8"/>
    <w:rsid w:val="00C56D8F"/>
    <w:rsid w:val="00C63196"/>
    <w:rsid w:val="00C63AF2"/>
    <w:rsid w:val="00C80E4A"/>
    <w:rsid w:val="00C87F65"/>
    <w:rsid w:val="00C948EE"/>
    <w:rsid w:val="00CA1551"/>
    <w:rsid w:val="00CA2D62"/>
    <w:rsid w:val="00CB05D8"/>
    <w:rsid w:val="00CB26E5"/>
    <w:rsid w:val="00CC0400"/>
    <w:rsid w:val="00CC6835"/>
    <w:rsid w:val="00CD4D39"/>
    <w:rsid w:val="00CE38B1"/>
    <w:rsid w:val="00CF72E9"/>
    <w:rsid w:val="00D02798"/>
    <w:rsid w:val="00D04DAC"/>
    <w:rsid w:val="00D12596"/>
    <w:rsid w:val="00D246D8"/>
    <w:rsid w:val="00D3360D"/>
    <w:rsid w:val="00D33A65"/>
    <w:rsid w:val="00D5420D"/>
    <w:rsid w:val="00D617E9"/>
    <w:rsid w:val="00D62E7A"/>
    <w:rsid w:val="00D638BD"/>
    <w:rsid w:val="00D64E36"/>
    <w:rsid w:val="00D73F55"/>
    <w:rsid w:val="00D77BFB"/>
    <w:rsid w:val="00D8148B"/>
    <w:rsid w:val="00D8299D"/>
    <w:rsid w:val="00D8583C"/>
    <w:rsid w:val="00D9337E"/>
    <w:rsid w:val="00D97CC9"/>
    <w:rsid w:val="00DA2425"/>
    <w:rsid w:val="00DB4493"/>
    <w:rsid w:val="00DB7487"/>
    <w:rsid w:val="00DB7D43"/>
    <w:rsid w:val="00DC115C"/>
    <w:rsid w:val="00DC2D56"/>
    <w:rsid w:val="00DC4EC1"/>
    <w:rsid w:val="00DC6FF6"/>
    <w:rsid w:val="00DE12D3"/>
    <w:rsid w:val="00DF3B50"/>
    <w:rsid w:val="00E00C42"/>
    <w:rsid w:val="00E0198E"/>
    <w:rsid w:val="00E032F8"/>
    <w:rsid w:val="00E03A4A"/>
    <w:rsid w:val="00E03DE2"/>
    <w:rsid w:val="00E12788"/>
    <w:rsid w:val="00E1284B"/>
    <w:rsid w:val="00E129E5"/>
    <w:rsid w:val="00E135B0"/>
    <w:rsid w:val="00E2210F"/>
    <w:rsid w:val="00E3165B"/>
    <w:rsid w:val="00E363A4"/>
    <w:rsid w:val="00E614E7"/>
    <w:rsid w:val="00E650A5"/>
    <w:rsid w:val="00E6577A"/>
    <w:rsid w:val="00E6738B"/>
    <w:rsid w:val="00E76228"/>
    <w:rsid w:val="00E77D3A"/>
    <w:rsid w:val="00EA2B30"/>
    <w:rsid w:val="00EA4818"/>
    <w:rsid w:val="00EB5106"/>
    <w:rsid w:val="00EE16F8"/>
    <w:rsid w:val="00EF05CD"/>
    <w:rsid w:val="00F02FB1"/>
    <w:rsid w:val="00F061E5"/>
    <w:rsid w:val="00F14E9F"/>
    <w:rsid w:val="00F1743B"/>
    <w:rsid w:val="00F17E42"/>
    <w:rsid w:val="00F25204"/>
    <w:rsid w:val="00F27A52"/>
    <w:rsid w:val="00F3263A"/>
    <w:rsid w:val="00F44DBF"/>
    <w:rsid w:val="00F47535"/>
    <w:rsid w:val="00F47999"/>
    <w:rsid w:val="00F50875"/>
    <w:rsid w:val="00F51CA9"/>
    <w:rsid w:val="00F52304"/>
    <w:rsid w:val="00F64C26"/>
    <w:rsid w:val="00F736C3"/>
    <w:rsid w:val="00F739F3"/>
    <w:rsid w:val="00F76D43"/>
    <w:rsid w:val="00F942E2"/>
    <w:rsid w:val="00F95190"/>
    <w:rsid w:val="00FA3740"/>
    <w:rsid w:val="00FA674E"/>
    <w:rsid w:val="00FB0D69"/>
    <w:rsid w:val="00FB53AE"/>
    <w:rsid w:val="00FC5792"/>
    <w:rsid w:val="00FC7616"/>
    <w:rsid w:val="00FD616C"/>
    <w:rsid w:val="00FE0F95"/>
    <w:rsid w:val="00FE4A27"/>
    <w:rsid w:val="00FE7895"/>
    <w:rsid w:val="00FF07AC"/>
    <w:rsid w:val="00FF1BEA"/>
    <w:rsid w:val="00FF476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8879BC"/>
  <w15:docId w15:val="{D3D40DF6-2E41-4841-AEC7-F78875E4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6DE6"/>
    <w:rPr>
      <w:rFonts w:ascii="Times New Roman" w:eastAsia="Times New Roman" w:hAnsi="Times New Roman"/>
      <w:sz w:val="22"/>
      <w:szCs w:val="24"/>
      <w:lang w:eastAsia="en-US"/>
    </w:rPr>
  </w:style>
  <w:style w:type="paragraph" w:styleId="Antrat1">
    <w:name w:val="heading 1"/>
    <w:basedOn w:val="prastasis"/>
    <w:next w:val="prastasis"/>
    <w:link w:val="Antrat1Diagrama"/>
    <w:qFormat/>
    <w:rsid w:val="000C6DE6"/>
    <w:pPr>
      <w:tabs>
        <w:tab w:val="left" w:pos="567"/>
      </w:tabs>
      <w:spacing w:before="240" w:after="120" w:line="260" w:lineRule="exact"/>
      <w:ind w:left="357" w:hanging="357"/>
      <w:outlineLvl w:val="0"/>
    </w:pPr>
    <w:rPr>
      <w:b/>
      <w:caps/>
      <w:sz w:val="26"/>
      <w:szCs w:val="20"/>
    </w:rPr>
  </w:style>
  <w:style w:type="paragraph" w:styleId="Antrat2">
    <w:name w:val="heading 2"/>
    <w:basedOn w:val="prastasis"/>
    <w:next w:val="prastasis"/>
    <w:link w:val="Antrat2Diagrama"/>
    <w:qFormat/>
    <w:rsid w:val="000C6DE6"/>
    <w:pPr>
      <w:keepNext/>
      <w:tabs>
        <w:tab w:val="left" w:pos="567"/>
      </w:tabs>
      <w:spacing w:before="240" w:after="60" w:line="260" w:lineRule="exact"/>
      <w:outlineLvl w:val="1"/>
    </w:pPr>
    <w:rPr>
      <w:rFonts w:ascii="Helvetica" w:hAnsi="Helvetica"/>
      <w:b/>
      <w:i/>
      <w:sz w:val="20"/>
      <w:szCs w:val="20"/>
      <w:lang w:val="cs-CZ"/>
    </w:rPr>
  </w:style>
  <w:style w:type="paragraph" w:styleId="Antrat3">
    <w:name w:val="heading 3"/>
    <w:basedOn w:val="prastasis"/>
    <w:next w:val="prastasis"/>
    <w:link w:val="Antrat3Diagrama"/>
    <w:qFormat/>
    <w:rsid w:val="000C6DE6"/>
    <w:pPr>
      <w:keepNext/>
      <w:keepLines/>
      <w:tabs>
        <w:tab w:val="left" w:pos="567"/>
      </w:tabs>
      <w:spacing w:before="120" w:after="80" w:line="260" w:lineRule="exact"/>
      <w:outlineLvl w:val="2"/>
    </w:pPr>
    <w:rPr>
      <w:b/>
      <w:kern w:val="28"/>
      <w:sz w:val="20"/>
      <w:szCs w:val="20"/>
    </w:rPr>
  </w:style>
  <w:style w:type="paragraph" w:styleId="Antrat4">
    <w:name w:val="heading 4"/>
    <w:basedOn w:val="prastasis"/>
    <w:next w:val="prastasis"/>
    <w:link w:val="Antrat4Diagrama"/>
    <w:uiPriority w:val="9"/>
    <w:qFormat/>
    <w:rsid w:val="00561D11"/>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C6DE6"/>
    <w:rPr>
      <w:rFonts w:ascii="Times New Roman" w:eastAsia="Times New Roman" w:hAnsi="Times New Roman" w:cs="Times New Roman"/>
      <w:b/>
      <w:caps/>
      <w:sz w:val="26"/>
      <w:szCs w:val="20"/>
    </w:rPr>
  </w:style>
  <w:style w:type="character" w:customStyle="1" w:styleId="Antrat2Diagrama">
    <w:name w:val="Antraštė 2 Diagrama"/>
    <w:link w:val="Antrat2"/>
    <w:rsid w:val="000C6DE6"/>
    <w:rPr>
      <w:rFonts w:ascii="Helvetica" w:eastAsia="Times New Roman" w:hAnsi="Helvetica" w:cs="Times New Roman"/>
      <w:b/>
      <w:i/>
      <w:szCs w:val="20"/>
      <w:lang w:val="cs-CZ"/>
    </w:rPr>
  </w:style>
  <w:style w:type="character" w:customStyle="1" w:styleId="Antrat3Diagrama">
    <w:name w:val="Antraštė 3 Diagrama"/>
    <w:link w:val="Antrat3"/>
    <w:rsid w:val="000C6DE6"/>
    <w:rPr>
      <w:rFonts w:ascii="Times New Roman" w:eastAsia="Times New Roman" w:hAnsi="Times New Roman" w:cs="Times New Roman"/>
      <w:b/>
      <w:kern w:val="28"/>
      <w:szCs w:val="20"/>
    </w:rPr>
  </w:style>
  <w:style w:type="paragraph" w:styleId="Antrats">
    <w:name w:val="header"/>
    <w:basedOn w:val="prastasis"/>
    <w:link w:val="AntratsDiagrama"/>
    <w:rsid w:val="000C6DE6"/>
    <w:pPr>
      <w:tabs>
        <w:tab w:val="center" w:pos="4819"/>
        <w:tab w:val="right" w:pos="9638"/>
      </w:tabs>
    </w:pPr>
    <w:rPr>
      <w:sz w:val="20"/>
    </w:rPr>
  </w:style>
  <w:style w:type="character" w:customStyle="1" w:styleId="AntratsDiagrama">
    <w:name w:val="Antraštės Diagrama"/>
    <w:link w:val="Antrats"/>
    <w:rsid w:val="000C6DE6"/>
    <w:rPr>
      <w:rFonts w:ascii="Times New Roman" w:eastAsia="Times New Roman" w:hAnsi="Times New Roman" w:cs="Times New Roman"/>
      <w:szCs w:val="24"/>
      <w:lang w:val="lt-LT"/>
    </w:rPr>
  </w:style>
  <w:style w:type="paragraph" w:styleId="Porat">
    <w:name w:val="footer"/>
    <w:basedOn w:val="prastasis"/>
    <w:link w:val="PoratDiagrama"/>
    <w:rsid w:val="000C6DE6"/>
    <w:pPr>
      <w:tabs>
        <w:tab w:val="left" w:pos="567"/>
        <w:tab w:val="center" w:pos="4536"/>
        <w:tab w:val="center" w:pos="8930"/>
      </w:tabs>
    </w:pPr>
    <w:rPr>
      <w:rFonts w:ascii="Helvetica" w:hAnsi="Helvetica"/>
      <w:sz w:val="16"/>
      <w:szCs w:val="20"/>
      <w:lang w:val="cs-CZ"/>
    </w:rPr>
  </w:style>
  <w:style w:type="character" w:customStyle="1" w:styleId="PoratDiagrama">
    <w:name w:val="Poraštė Diagrama"/>
    <w:link w:val="Porat"/>
    <w:rsid w:val="000C6DE6"/>
    <w:rPr>
      <w:rFonts w:ascii="Helvetica" w:eastAsia="Times New Roman" w:hAnsi="Helvetica" w:cs="Times New Roman"/>
      <w:sz w:val="16"/>
      <w:szCs w:val="20"/>
      <w:lang w:val="cs-CZ"/>
    </w:rPr>
  </w:style>
  <w:style w:type="paragraph" w:styleId="Dokumentoinaostekstas">
    <w:name w:val="endnote text"/>
    <w:basedOn w:val="prastasis"/>
    <w:next w:val="prastasis"/>
    <w:link w:val="DokumentoinaostekstasDiagrama"/>
    <w:semiHidden/>
    <w:rsid w:val="000C6DE6"/>
    <w:pPr>
      <w:tabs>
        <w:tab w:val="left" w:pos="567"/>
      </w:tabs>
    </w:pPr>
    <w:rPr>
      <w:sz w:val="20"/>
      <w:szCs w:val="20"/>
      <w:lang w:val="cs-CZ"/>
    </w:rPr>
  </w:style>
  <w:style w:type="character" w:customStyle="1" w:styleId="DokumentoinaostekstasDiagrama">
    <w:name w:val="Dokumento išnašos tekstas Diagrama"/>
    <w:link w:val="Dokumentoinaostekstas"/>
    <w:semiHidden/>
    <w:rsid w:val="000C6DE6"/>
    <w:rPr>
      <w:rFonts w:ascii="Times New Roman" w:eastAsia="Times New Roman" w:hAnsi="Times New Roman" w:cs="Times New Roman"/>
      <w:szCs w:val="20"/>
      <w:lang w:val="cs-CZ"/>
    </w:rPr>
  </w:style>
  <w:style w:type="paragraph" w:styleId="Pagrindinistekstas">
    <w:name w:val="Body Text"/>
    <w:basedOn w:val="prastasis"/>
    <w:link w:val="PagrindinistekstasDiagrama"/>
    <w:rsid w:val="000C6DE6"/>
    <w:pPr>
      <w:spacing w:after="120"/>
    </w:pPr>
    <w:rPr>
      <w:sz w:val="20"/>
    </w:rPr>
  </w:style>
  <w:style w:type="character" w:customStyle="1" w:styleId="PagrindinistekstasDiagrama">
    <w:name w:val="Pagrindinis tekstas Diagrama"/>
    <w:link w:val="Pagrindinistekstas"/>
    <w:rsid w:val="000C6DE6"/>
    <w:rPr>
      <w:rFonts w:ascii="Times New Roman" w:eastAsia="Times New Roman" w:hAnsi="Times New Roman" w:cs="Times New Roman"/>
      <w:szCs w:val="24"/>
      <w:lang w:val="lt-LT"/>
    </w:rPr>
  </w:style>
  <w:style w:type="paragraph" w:styleId="Pagrindiniotekstotrauka">
    <w:name w:val="Body Text Indent"/>
    <w:basedOn w:val="prastasis"/>
    <w:link w:val="PagrindiniotekstotraukaDiagrama"/>
    <w:rsid w:val="000C6DE6"/>
    <w:pPr>
      <w:spacing w:after="120"/>
      <w:ind w:left="283"/>
    </w:pPr>
    <w:rPr>
      <w:sz w:val="20"/>
    </w:rPr>
  </w:style>
  <w:style w:type="character" w:customStyle="1" w:styleId="PagrindiniotekstotraukaDiagrama">
    <w:name w:val="Pagrindinio teksto įtrauka Diagrama"/>
    <w:link w:val="Pagrindiniotekstotrauka"/>
    <w:rsid w:val="000C6DE6"/>
    <w:rPr>
      <w:rFonts w:ascii="Times New Roman" w:eastAsia="Times New Roman" w:hAnsi="Times New Roman" w:cs="Times New Roman"/>
      <w:szCs w:val="24"/>
      <w:lang w:val="lt-LT"/>
    </w:rPr>
  </w:style>
  <w:style w:type="paragraph" w:styleId="Pagrindinistekstas2">
    <w:name w:val="Body Text 2"/>
    <w:basedOn w:val="prastasis"/>
    <w:link w:val="Pagrindinistekstas2Diagrama"/>
    <w:rsid w:val="000C6DE6"/>
    <w:pPr>
      <w:ind w:left="567" w:hanging="567"/>
    </w:pPr>
    <w:rPr>
      <w:b/>
      <w:sz w:val="20"/>
      <w:szCs w:val="20"/>
      <w:lang w:val="cs-CZ"/>
    </w:rPr>
  </w:style>
  <w:style w:type="character" w:customStyle="1" w:styleId="Pagrindinistekstas2Diagrama">
    <w:name w:val="Pagrindinis tekstas 2 Diagrama"/>
    <w:link w:val="Pagrindinistekstas2"/>
    <w:rsid w:val="000C6DE6"/>
    <w:rPr>
      <w:rFonts w:ascii="Times New Roman" w:eastAsia="Times New Roman" w:hAnsi="Times New Roman" w:cs="Times New Roman"/>
      <w:b/>
      <w:szCs w:val="20"/>
      <w:lang w:val="cs-CZ"/>
    </w:rPr>
  </w:style>
  <w:style w:type="paragraph" w:styleId="Pagrindinistekstas3">
    <w:name w:val="Body Text 3"/>
    <w:basedOn w:val="prastasis"/>
    <w:link w:val="Pagrindinistekstas3Diagrama"/>
    <w:rsid w:val="000C6DE6"/>
    <w:pPr>
      <w:tabs>
        <w:tab w:val="left" w:pos="567"/>
      </w:tabs>
      <w:spacing w:line="260" w:lineRule="exact"/>
      <w:jc w:val="both"/>
    </w:pPr>
    <w:rPr>
      <w:b/>
      <w:i/>
      <w:sz w:val="20"/>
      <w:szCs w:val="20"/>
      <w:lang w:val="cs-CZ"/>
    </w:rPr>
  </w:style>
  <w:style w:type="character" w:customStyle="1" w:styleId="Pagrindinistekstas3Diagrama">
    <w:name w:val="Pagrindinis tekstas 3 Diagrama"/>
    <w:link w:val="Pagrindinistekstas3"/>
    <w:rsid w:val="000C6DE6"/>
    <w:rPr>
      <w:rFonts w:ascii="Times New Roman" w:eastAsia="Times New Roman" w:hAnsi="Times New Roman" w:cs="Times New Roman"/>
      <w:b/>
      <w:i/>
      <w:szCs w:val="20"/>
      <w:lang w:val="cs-CZ"/>
    </w:rPr>
  </w:style>
  <w:style w:type="character" w:customStyle="1" w:styleId="PI-1labEMEASMCAChar">
    <w:name w:val="PI-1_lab EMEA_SMCA Char"/>
    <w:link w:val="PI-1labEMEASMCA"/>
    <w:locked/>
    <w:rsid w:val="000C6DE6"/>
    <w:rPr>
      <w:b/>
      <w:noProof/>
      <w:lang w:val="lt-LT"/>
    </w:rPr>
  </w:style>
  <w:style w:type="paragraph" w:customStyle="1" w:styleId="PI-1labEMEASMCA">
    <w:name w:val="PI-1_lab EMEA_SMCA"/>
    <w:basedOn w:val="prastasis"/>
    <w:link w:val="PI-1labEMEASMCAChar"/>
    <w:autoRedefine/>
    <w:rsid w:val="000C6DE6"/>
    <w:pPr>
      <w:pBdr>
        <w:top w:val="single" w:sz="4" w:space="1" w:color="auto"/>
        <w:left w:val="single" w:sz="4" w:space="4" w:color="auto"/>
        <w:bottom w:val="single" w:sz="4" w:space="1" w:color="auto"/>
        <w:right w:val="single" w:sz="4" w:space="4" w:color="auto"/>
      </w:pBdr>
      <w:tabs>
        <w:tab w:val="left" w:pos="540"/>
      </w:tabs>
    </w:pPr>
    <w:rPr>
      <w:rFonts w:ascii="Calibri" w:eastAsia="Calibri" w:hAnsi="Calibri"/>
      <w:b/>
      <w:noProof/>
      <w:sz w:val="20"/>
      <w:szCs w:val="20"/>
    </w:rPr>
  </w:style>
  <w:style w:type="table" w:styleId="Lentelstinklelis">
    <w:name w:val="Table Grid"/>
    <w:basedOn w:val="prastojilentel"/>
    <w:rsid w:val="000C6D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rsid w:val="000C6DE6"/>
    <w:rPr>
      <w:rFonts w:ascii="Tahoma" w:hAnsi="Tahoma"/>
      <w:sz w:val="16"/>
      <w:szCs w:val="16"/>
    </w:rPr>
  </w:style>
  <w:style w:type="character" w:customStyle="1" w:styleId="DebesliotekstasDiagrama">
    <w:name w:val="Debesėlio tekstas Diagrama"/>
    <w:link w:val="Debesliotekstas"/>
    <w:semiHidden/>
    <w:rsid w:val="000C6DE6"/>
    <w:rPr>
      <w:rFonts w:ascii="Tahoma" w:eastAsia="Times New Roman" w:hAnsi="Tahoma" w:cs="Tahoma"/>
      <w:sz w:val="16"/>
      <w:szCs w:val="16"/>
      <w:lang w:val="lt-LT"/>
    </w:rPr>
  </w:style>
  <w:style w:type="character" w:styleId="Puslapionumeris">
    <w:name w:val="page number"/>
    <w:rsid w:val="000C6DE6"/>
  </w:style>
  <w:style w:type="character" w:styleId="Komentaronuoroda">
    <w:name w:val="annotation reference"/>
    <w:uiPriority w:val="99"/>
    <w:rsid w:val="000C6DE6"/>
    <w:rPr>
      <w:sz w:val="16"/>
      <w:szCs w:val="16"/>
    </w:rPr>
  </w:style>
  <w:style w:type="paragraph" w:styleId="Komentarotekstas">
    <w:name w:val="annotation text"/>
    <w:basedOn w:val="prastasis"/>
    <w:link w:val="KomentarotekstasDiagrama"/>
    <w:uiPriority w:val="99"/>
    <w:rsid w:val="000C6DE6"/>
    <w:rPr>
      <w:sz w:val="20"/>
      <w:szCs w:val="20"/>
    </w:rPr>
  </w:style>
  <w:style w:type="character" w:customStyle="1" w:styleId="KomentarotekstasDiagrama">
    <w:name w:val="Komentaro tekstas Diagrama"/>
    <w:link w:val="Komentarotekstas"/>
    <w:uiPriority w:val="99"/>
    <w:rsid w:val="000C6DE6"/>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rsid w:val="000C6DE6"/>
    <w:rPr>
      <w:b/>
      <w:bCs/>
    </w:rPr>
  </w:style>
  <w:style w:type="character" w:customStyle="1" w:styleId="KomentarotemaDiagrama">
    <w:name w:val="Komentaro tema Diagrama"/>
    <w:link w:val="Komentarotema"/>
    <w:rsid w:val="000C6DE6"/>
    <w:rPr>
      <w:rFonts w:ascii="Times New Roman" w:eastAsia="Times New Roman" w:hAnsi="Times New Roman" w:cs="Times New Roman"/>
      <w:b/>
      <w:bCs/>
      <w:sz w:val="20"/>
      <w:szCs w:val="20"/>
      <w:lang w:val="lt-LT"/>
    </w:rPr>
  </w:style>
  <w:style w:type="character" w:styleId="Hipersaitas">
    <w:name w:val="Hyperlink"/>
    <w:uiPriority w:val="99"/>
    <w:rsid w:val="000C6DE6"/>
    <w:rPr>
      <w:color w:val="0000FF"/>
      <w:u w:val="single"/>
    </w:rPr>
  </w:style>
  <w:style w:type="paragraph" w:customStyle="1" w:styleId="BTEMEASMCA">
    <w:name w:val="BT EMEA_SMCA"/>
    <w:basedOn w:val="prastasis"/>
    <w:link w:val="BTEMEASMCAChar"/>
    <w:autoRedefine/>
    <w:rsid w:val="000C6DE6"/>
    <w:rPr>
      <w:noProof/>
      <w:sz w:val="20"/>
      <w:szCs w:val="20"/>
    </w:rPr>
  </w:style>
  <w:style w:type="character" w:customStyle="1" w:styleId="BTEMEASMCAChar">
    <w:name w:val="BT EMEA_SMCA Char"/>
    <w:link w:val="BTEMEASMCA"/>
    <w:rsid w:val="000C6DE6"/>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0C6DE6"/>
    <w:pPr>
      <w:spacing w:before="0" w:after="0" w:line="240" w:lineRule="auto"/>
      <w:ind w:left="567" w:hanging="567"/>
      <w:jc w:val="center"/>
    </w:pPr>
    <w:rPr>
      <w:sz w:val="20"/>
    </w:rPr>
  </w:style>
  <w:style w:type="character" w:customStyle="1" w:styleId="TTEMEASMCAChar">
    <w:name w:val="TT EMEA_SMCA Char"/>
    <w:link w:val="TTEMEASMCA"/>
    <w:rsid w:val="000C6DE6"/>
    <w:rPr>
      <w:rFonts w:ascii="Times New Roman" w:eastAsia="Times New Roman" w:hAnsi="Times New Roman" w:cs="Times New Roman"/>
      <w:b/>
      <w:caps/>
    </w:rPr>
  </w:style>
  <w:style w:type="paragraph" w:customStyle="1" w:styleId="BTAnIIEMEASMCA">
    <w:name w:val="BT(AnII) EMEA_SMCA"/>
    <w:basedOn w:val="Debesliotekstas"/>
    <w:autoRedefine/>
    <w:rsid w:val="000C6DE6"/>
    <w:pPr>
      <w:tabs>
        <w:tab w:val="left" w:pos="1701"/>
      </w:tabs>
      <w:ind w:left="1701" w:hanging="567"/>
    </w:pPr>
    <w:rPr>
      <w:rFonts w:ascii="Times New Roman" w:hAnsi="Times New Roman"/>
      <w:b/>
      <w:sz w:val="22"/>
      <w:szCs w:val="22"/>
      <w:lang w:val="en-GB"/>
    </w:rPr>
  </w:style>
  <w:style w:type="paragraph" w:customStyle="1" w:styleId="PI-2EMEASMCA">
    <w:name w:val="PI-2 EMEA_SMCA"/>
    <w:basedOn w:val="Antrat3"/>
    <w:autoRedefine/>
    <w:rsid w:val="000C6DE6"/>
    <w:pPr>
      <w:spacing w:before="0" w:after="0" w:line="240" w:lineRule="auto"/>
      <w:ind w:left="567" w:hanging="567"/>
    </w:pPr>
    <w:rPr>
      <w:szCs w:val="22"/>
    </w:rPr>
  </w:style>
  <w:style w:type="paragraph" w:customStyle="1" w:styleId="BT-EMEASMCA">
    <w:name w:val="BT- EMEA_SMCA"/>
    <w:basedOn w:val="prastasis"/>
    <w:autoRedefine/>
    <w:rsid w:val="000C6DE6"/>
    <w:pPr>
      <w:numPr>
        <w:numId w:val="3"/>
      </w:numPr>
      <w:tabs>
        <w:tab w:val="clear" w:pos="720"/>
        <w:tab w:val="num" w:pos="360"/>
      </w:tabs>
      <w:ind w:left="0" w:firstLine="0"/>
    </w:pPr>
    <w:rPr>
      <w:noProof/>
      <w:szCs w:val="22"/>
    </w:rPr>
  </w:style>
  <w:style w:type="paragraph" w:customStyle="1" w:styleId="BTbEMEASMCA">
    <w:name w:val="BT(b) EMEA_SMCA"/>
    <w:basedOn w:val="prastasis"/>
    <w:autoRedefine/>
    <w:rsid w:val="000C6DE6"/>
    <w:rPr>
      <w:b/>
      <w:noProof/>
      <w:szCs w:val="22"/>
    </w:rPr>
  </w:style>
  <w:style w:type="paragraph" w:customStyle="1" w:styleId="PI-3EMEASMCA">
    <w:name w:val="PI-3 EMEA_SMCA"/>
    <w:basedOn w:val="prastasis"/>
    <w:autoRedefine/>
    <w:rsid w:val="000C6DE6"/>
    <w:pPr>
      <w:spacing w:line="220" w:lineRule="exact"/>
    </w:pPr>
    <w:rPr>
      <w:b/>
      <w:bCs/>
      <w:szCs w:val="22"/>
    </w:rPr>
  </w:style>
  <w:style w:type="paragraph" w:customStyle="1" w:styleId="ColorfulShading-Accent11">
    <w:name w:val="Colorful Shading - Accent 11"/>
    <w:hidden/>
    <w:uiPriority w:val="99"/>
    <w:semiHidden/>
    <w:rsid w:val="00654FC3"/>
    <w:rPr>
      <w:rFonts w:ascii="Times New Roman" w:eastAsia="Times New Roman" w:hAnsi="Times New Roman"/>
      <w:sz w:val="22"/>
      <w:szCs w:val="24"/>
      <w:lang w:eastAsia="en-US"/>
    </w:rPr>
  </w:style>
  <w:style w:type="character" w:customStyle="1" w:styleId="Antrat4Diagrama">
    <w:name w:val="Antraštė 4 Diagrama"/>
    <w:link w:val="Antrat4"/>
    <w:uiPriority w:val="9"/>
    <w:semiHidden/>
    <w:rsid w:val="00561D11"/>
    <w:rPr>
      <w:rFonts w:ascii="Calibri" w:eastAsia="Times New Roman" w:hAnsi="Calibri" w:cs="Times New Roman"/>
      <w:b/>
      <w:bCs/>
      <w:sz w:val="28"/>
      <w:szCs w:val="28"/>
      <w:lang w:eastAsia="en-US"/>
    </w:rPr>
  </w:style>
  <w:style w:type="paragraph" w:styleId="Pataisymai">
    <w:name w:val="Revision"/>
    <w:hidden/>
    <w:uiPriority w:val="71"/>
    <w:unhideWhenUsed/>
    <w:rsid w:val="00DF3B50"/>
    <w:rPr>
      <w:rFonts w:ascii="Times New Roman" w:eastAsia="Times New Roman" w:hAnsi="Times New Roman"/>
      <w:sz w:val="22"/>
      <w:szCs w:val="24"/>
      <w:lang w:eastAsia="en-US"/>
    </w:rPr>
  </w:style>
  <w:style w:type="paragraph" w:styleId="Sraopastraipa">
    <w:name w:val="List Paragraph"/>
    <w:basedOn w:val="prastasis"/>
    <w:uiPriority w:val="72"/>
    <w:qFormat/>
    <w:rsid w:val="00D33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06044">
      <w:bodyDiv w:val="1"/>
      <w:marLeft w:val="0"/>
      <w:marRight w:val="0"/>
      <w:marTop w:val="0"/>
      <w:marBottom w:val="0"/>
      <w:divBdr>
        <w:top w:val="none" w:sz="0" w:space="0" w:color="auto"/>
        <w:left w:val="none" w:sz="0" w:space="0" w:color="auto"/>
        <w:bottom w:val="none" w:sz="0" w:space="0" w:color="auto"/>
        <w:right w:val="none" w:sz="0" w:space="0" w:color="auto"/>
      </w:divBdr>
    </w:div>
    <w:div w:id="831486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 Id="rId22"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3641F-B2EC-49F6-B198-9FEC1FA8E9DF}">
  <ds:schemaRefs>
    <ds:schemaRef ds:uri="http://schemas.openxmlformats.org/package/2006/metadata/core-properties"/>
    <ds:schemaRef ds:uri="http://purl.org/dc/dcmitype/"/>
    <ds:schemaRef ds:uri="http://purl.org/dc/elements/1.1/"/>
    <ds:schemaRef ds:uri="http://schemas.microsoft.com/office/2006/documentManagement/types"/>
    <ds:schemaRef ds:uri="http://www.w3.org/XML/1998/namespac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2A5EF18-3635-4280-824F-53C7CA99E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7F53426-61F9-4A5B-BEDA-669BF66A7FCD}">
  <ds:schemaRefs>
    <ds:schemaRef ds:uri="http://schemas.microsoft.com/sharepoint/v3/contenttype/forms"/>
  </ds:schemaRefs>
</ds:datastoreItem>
</file>

<file path=customXml/itemProps4.xml><?xml version="1.0" encoding="utf-8"?>
<ds:datastoreItem xmlns:ds="http://schemas.openxmlformats.org/officeDocument/2006/customXml" ds:itemID="{C1853748-15E5-4E3F-AFFA-7718E8EFC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33836</Words>
  <Characters>19288</Characters>
  <Application>Microsoft Office Word</Application>
  <DocSecurity>0</DocSecurity>
  <Lines>160</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Pfizer Inc</Company>
  <LinksUpToDate>false</LinksUpToDate>
  <CharactersWithSpaces>53018</CharactersWithSpaces>
  <SharedDoc>false</SharedDoc>
  <HLinks>
    <vt:vector size="48" baseType="variant">
      <vt:variant>
        <vt:i4>1245197</vt:i4>
      </vt:variant>
      <vt:variant>
        <vt:i4>81</vt:i4>
      </vt:variant>
      <vt:variant>
        <vt:i4>0</vt:i4>
      </vt:variant>
      <vt:variant>
        <vt:i4>5</vt:i4>
      </vt:variant>
      <vt:variant>
        <vt:lpwstr>http://www.ema.europa.eu/</vt:lpwstr>
      </vt:variant>
      <vt:variant>
        <vt:lpwstr/>
      </vt:variant>
      <vt:variant>
        <vt:i4>7077950</vt:i4>
      </vt:variant>
      <vt:variant>
        <vt:i4>78</vt:i4>
      </vt:variant>
      <vt:variant>
        <vt:i4>0</vt:i4>
      </vt:variant>
      <vt:variant>
        <vt:i4>5</vt:i4>
      </vt:variant>
      <vt:variant>
        <vt:lpwstr>http://www.vvkt.lt/</vt:lpwstr>
      </vt:variant>
      <vt:variant>
        <vt:lpwstr/>
      </vt:variant>
      <vt:variant>
        <vt:i4>2162708</vt:i4>
      </vt:variant>
      <vt:variant>
        <vt:i4>75</vt:i4>
      </vt:variant>
      <vt:variant>
        <vt:i4>0</vt:i4>
      </vt:variant>
      <vt:variant>
        <vt:i4>5</vt:i4>
      </vt:variant>
      <vt:variant>
        <vt:lpwstr>mailto:NepageidaujamaR@vvkt.lt</vt:lpwstr>
      </vt:variant>
      <vt:variant>
        <vt:lpwstr/>
      </vt:variant>
      <vt:variant>
        <vt:i4>7077950</vt:i4>
      </vt:variant>
      <vt:variant>
        <vt:i4>72</vt:i4>
      </vt:variant>
      <vt:variant>
        <vt:i4>0</vt:i4>
      </vt:variant>
      <vt:variant>
        <vt:i4>5</vt:i4>
      </vt:variant>
      <vt:variant>
        <vt:lpwstr>http://www.vvkt.lt/</vt:lpwstr>
      </vt:variant>
      <vt:variant>
        <vt:lpwstr/>
      </vt:variant>
      <vt:variant>
        <vt:i4>1245197</vt:i4>
      </vt:variant>
      <vt:variant>
        <vt:i4>69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Lionbridge</dc:creator>
  <cp:lastModifiedBy>Albina Burkauskaitė</cp:lastModifiedBy>
  <cp:revision>3</cp:revision>
  <dcterms:created xsi:type="dcterms:W3CDTF">2022-03-25T07:58:00Z</dcterms:created>
  <dcterms:modified xsi:type="dcterms:W3CDTF">2022-03-25T07:58:00Z</dcterms:modified>
</cp:coreProperties>
</file>