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990" w:rsidRDefault="00ED6990" w:rsidP="00ED6990">
      <w:pPr>
        <w:pStyle w:val="BTeEMEASMCA"/>
      </w:pPr>
      <w:r w:rsidRPr="0049403B">
        <w:t>Pakuotės la</w:t>
      </w:r>
      <w:r>
        <w:t xml:space="preserve">pelis: informacija </w:t>
      </w:r>
      <w:r w:rsidRPr="0049403B">
        <w:t>vartotojui</w:t>
      </w:r>
    </w:p>
    <w:p w:rsidR="00ED6990" w:rsidRDefault="00ED6990" w:rsidP="00ED6990">
      <w:pPr>
        <w:pStyle w:val="BTeEMEASMCA"/>
      </w:pPr>
    </w:p>
    <w:p w:rsidR="00ED6990" w:rsidRPr="00C85679" w:rsidRDefault="00ED6990" w:rsidP="00ED6990">
      <w:pPr>
        <w:pStyle w:val="BTeEMEASMCA"/>
      </w:pPr>
      <w:r>
        <w:t>Cinnarizin Actavis 2</w:t>
      </w:r>
      <w:r w:rsidRPr="00C85679">
        <w:t>5</w:t>
      </w:r>
      <w:r w:rsidRPr="00420B99">
        <w:t> </w:t>
      </w:r>
      <w:r w:rsidRPr="00C85679">
        <w:t xml:space="preserve">mg </w:t>
      </w:r>
      <w:r>
        <w:t>tabletės</w:t>
      </w:r>
    </w:p>
    <w:p w:rsidR="00ED6990" w:rsidRPr="00DF4173" w:rsidRDefault="00ED6990" w:rsidP="00ED6990">
      <w:pPr>
        <w:pStyle w:val="BTeEMEASMCA"/>
      </w:pPr>
      <w:r w:rsidRPr="00C85679">
        <w:t>Cinarizinas</w:t>
      </w:r>
    </w:p>
    <w:p w:rsidR="00ED6990" w:rsidRPr="00C85679" w:rsidRDefault="00ED6990" w:rsidP="00ED6990">
      <w:pPr>
        <w:pStyle w:val="BTEMEASMCA"/>
      </w:pPr>
    </w:p>
    <w:p w:rsidR="00ED6990" w:rsidRPr="00C85679" w:rsidRDefault="00ED6990" w:rsidP="00ED6990">
      <w:pPr>
        <w:pStyle w:val="BTbEMEASMCA"/>
      </w:pPr>
      <w:r w:rsidRPr="00C85679">
        <w:t>Atidžiai perskaitykite visą šį lapelį, prieš pradėdami vartoti vaistą</w:t>
      </w:r>
      <w:r>
        <w:t>, nes jame pateikiama Jums svarbi informacija</w:t>
      </w:r>
    </w:p>
    <w:p w:rsidR="00ED6990" w:rsidRPr="00C85679" w:rsidRDefault="00ED6990" w:rsidP="00ED6990">
      <w:pPr>
        <w:pStyle w:val="BT-EMEASMCA"/>
        <w:ind w:left="0"/>
      </w:pPr>
      <w:r>
        <w:t>-</w:t>
      </w:r>
      <w:r>
        <w:tab/>
      </w:r>
      <w:r w:rsidRPr="00C85679">
        <w:t>Neišmeskite šio lapelio, nes vėl gali prireikti jį perskaityti.</w:t>
      </w:r>
    </w:p>
    <w:p w:rsidR="00ED6990" w:rsidRPr="00C85679" w:rsidRDefault="00ED6990" w:rsidP="00ED6990">
      <w:pPr>
        <w:pStyle w:val="BT-EMEASMCA"/>
        <w:ind w:left="0"/>
      </w:pPr>
      <w:r>
        <w:t>-</w:t>
      </w:r>
      <w:r>
        <w:tab/>
      </w:r>
      <w:r w:rsidRPr="00C85679">
        <w:t>Jeigu kiltų daugiau klausimų, kreipkitės į gydytoją arba vaistininką.</w:t>
      </w:r>
    </w:p>
    <w:p w:rsidR="00ED6990" w:rsidRPr="00C85679" w:rsidRDefault="00ED6990" w:rsidP="00ED6990">
      <w:pPr>
        <w:pStyle w:val="BT-EMEASMCA"/>
        <w:ind w:left="567" w:hanging="567"/>
      </w:pPr>
      <w:r>
        <w:t>-</w:t>
      </w:r>
      <w:r>
        <w:tab/>
      </w:r>
      <w:r w:rsidRPr="00C85679">
        <w:t xml:space="preserve">Šis vaistas skirtas Jums, todėl kitiems žmonėms jo duoti negalima. Vaistas gali jiems pakenkti (net tiems, kurių ligos </w:t>
      </w:r>
      <w:r>
        <w:t>požymiai</w:t>
      </w:r>
      <w:r w:rsidRPr="00C85679">
        <w:t xml:space="preserve"> yra tokie patys kaip Jūsų).</w:t>
      </w:r>
    </w:p>
    <w:p w:rsidR="00ED6990" w:rsidRPr="00C85679" w:rsidRDefault="00ED6990" w:rsidP="00ED6990">
      <w:pPr>
        <w:pStyle w:val="BT-EMEASMCA"/>
        <w:ind w:left="567" w:hanging="567"/>
      </w:pPr>
      <w:r>
        <w:t>-</w:t>
      </w:r>
      <w:r>
        <w:tab/>
      </w:r>
      <w:r w:rsidRPr="00C85679">
        <w:t xml:space="preserve">Jeigu pasireiškė šalutinis poveikis </w:t>
      </w:r>
      <w:r>
        <w:t>(net jeigu jis</w:t>
      </w:r>
      <w:r w:rsidRPr="00C85679">
        <w:t xml:space="preserve"> šiame lapelyje nenurodyt</w:t>
      </w:r>
      <w:r>
        <w:t>as)</w:t>
      </w:r>
      <w:r w:rsidRPr="00C85679">
        <w:t xml:space="preserve"> </w:t>
      </w:r>
      <w:r>
        <w:t>kreipkitės į</w:t>
      </w:r>
      <w:r w:rsidRPr="00C85679">
        <w:t xml:space="preserve"> gydytoj</w:t>
      </w:r>
      <w:r>
        <w:t>ą</w:t>
      </w:r>
      <w:r w:rsidRPr="00C85679">
        <w:t xml:space="preserve"> arba vaistinin</w:t>
      </w:r>
      <w:r>
        <w:t>ką</w:t>
      </w:r>
      <w:r w:rsidRPr="00C85679">
        <w:t>.</w:t>
      </w:r>
      <w:r>
        <w:t xml:space="preserve"> Žr. 4 skyrių.</w:t>
      </w:r>
    </w:p>
    <w:p w:rsidR="00ED6990" w:rsidRPr="00C85679" w:rsidRDefault="00ED6990" w:rsidP="00ED6990">
      <w:pPr>
        <w:pStyle w:val="BTEMEASMCA"/>
      </w:pPr>
    </w:p>
    <w:p w:rsidR="00ED6990" w:rsidRDefault="00ED6990" w:rsidP="00ED6990">
      <w:pPr>
        <w:pStyle w:val="BTbEMEASMCA"/>
      </w:pPr>
      <w:r>
        <w:t>Apie ką rašoma šiame lapelyje?</w:t>
      </w:r>
    </w:p>
    <w:p w:rsidR="00ED6990" w:rsidRPr="00C85679" w:rsidRDefault="00ED6990" w:rsidP="00ED6990">
      <w:pPr>
        <w:pStyle w:val="BTEMEASMCA"/>
        <w:tabs>
          <w:tab w:val="left" w:pos="567"/>
        </w:tabs>
      </w:pPr>
      <w:r w:rsidRPr="00C85679">
        <w:t>1.</w:t>
      </w:r>
      <w:r w:rsidRPr="00C85679">
        <w:tab/>
        <w:t xml:space="preserve">Kas yra </w:t>
      </w:r>
      <w:r>
        <w:t>Cinnarizin Actavis</w:t>
      </w:r>
      <w:r w:rsidRPr="00C85679">
        <w:t xml:space="preserve"> ir </w:t>
      </w:r>
      <w:r>
        <w:t xml:space="preserve">kam </w:t>
      </w:r>
      <w:r w:rsidRPr="00C85679">
        <w:t>jis vartojamas</w:t>
      </w:r>
    </w:p>
    <w:p w:rsidR="00ED6990" w:rsidRPr="00C85679" w:rsidRDefault="00ED6990" w:rsidP="00ED6990">
      <w:pPr>
        <w:pStyle w:val="BTEMEASMCA"/>
        <w:tabs>
          <w:tab w:val="left" w:pos="567"/>
        </w:tabs>
      </w:pPr>
      <w:r w:rsidRPr="00C85679">
        <w:t>2.</w:t>
      </w:r>
      <w:r w:rsidRPr="00C85679">
        <w:tab/>
        <w:t xml:space="preserve">Kas žinotina prieš vartojant </w:t>
      </w:r>
      <w:r>
        <w:t>Cinnarizin Actavis</w:t>
      </w:r>
      <w:r w:rsidRPr="00C85679">
        <w:t xml:space="preserve"> </w:t>
      </w:r>
    </w:p>
    <w:p w:rsidR="00ED6990" w:rsidRPr="00C85679" w:rsidRDefault="00ED6990" w:rsidP="00ED6990">
      <w:pPr>
        <w:pStyle w:val="BTEMEASMCA"/>
        <w:tabs>
          <w:tab w:val="left" w:pos="567"/>
        </w:tabs>
      </w:pPr>
      <w:r w:rsidRPr="00C85679">
        <w:t>3.</w:t>
      </w:r>
      <w:r w:rsidRPr="00C85679">
        <w:tab/>
        <w:t xml:space="preserve">Kaip vartoti </w:t>
      </w:r>
      <w:r>
        <w:t>Cinnarizin Actavis</w:t>
      </w:r>
      <w:r w:rsidRPr="00C85679">
        <w:t xml:space="preserve"> </w:t>
      </w:r>
    </w:p>
    <w:p w:rsidR="00ED6990" w:rsidRPr="00C85679" w:rsidRDefault="00ED6990" w:rsidP="00ED6990">
      <w:pPr>
        <w:pStyle w:val="BTEMEASMCA"/>
        <w:tabs>
          <w:tab w:val="left" w:pos="567"/>
        </w:tabs>
      </w:pPr>
      <w:r w:rsidRPr="00C85679">
        <w:t>4.</w:t>
      </w:r>
      <w:r w:rsidRPr="00C85679">
        <w:tab/>
        <w:t>Galimas šalutinis poveikis</w:t>
      </w:r>
    </w:p>
    <w:p w:rsidR="00ED6990" w:rsidRPr="00C85679" w:rsidRDefault="00ED6990" w:rsidP="00ED6990">
      <w:pPr>
        <w:pStyle w:val="BTEMEASMCA"/>
        <w:tabs>
          <w:tab w:val="left" w:pos="567"/>
        </w:tabs>
      </w:pPr>
      <w:r w:rsidRPr="00C85679">
        <w:t>5.</w:t>
      </w:r>
      <w:r w:rsidRPr="00C85679">
        <w:tab/>
        <w:t xml:space="preserve">Kaip laikyti </w:t>
      </w:r>
      <w:r>
        <w:t>Cinnarizin Actavis</w:t>
      </w:r>
      <w:r w:rsidRPr="00C85679">
        <w:t xml:space="preserve"> </w:t>
      </w:r>
    </w:p>
    <w:p w:rsidR="00ED6990" w:rsidRPr="00C85679" w:rsidRDefault="00ED6990" w:rsidP="00ED6990">
      <w:pPr>
        <w:pStyle w:val="BTEMEASMCA"/>
        <w:tabs>
          <w:tab w:val="left" w:pos="567"/>
        </w:tabs>
      </w:pPr>
      <w:r w:rsidRPr="00C85679">
        <w:t>6.</w:t>
      </w:r>
      <w:r w:rsidRPr="00C85679">
        <w:tab/>
      </w:r>
      <w:r>
        <w:t>Pakuotės turinys ir k</w:t>
      </w:r>
      <w:r w:rsidRPr="00C85679">
        <w:t>ita informacija</w:t>
      </w:r>
    </w:p>
    <w:p w:rsidR="00ED6990" w:rsidRPr="00C85679" w:rsidRDefault="00ED6990" w:rsidP="00ED6990">
      <w:pPr>
        <w:pStyle w:val="BTEMEASMCA"/>
      </w:pPr>
    </w:p>
    <w:p w:rsidR="00ED6990" w:rsidRPr="00C85679" w:rsidRDefault="00ED6990" w:rsidP="00ED6990">
      <w:pPr>
        <w:pStyle w:val="BTEMEASMCA"/>
      </w:pPr>
    </w:p>
    <w:p w:rsidR="00ED6990" w:rsidRPr="0049403B" w:rsidRDefault="00ED6990" w:rsidP="00ED6990">
      <w:pPr>
        <w:pStyle w:val="Antrat4"/>
        <w:numPr>
          <w:ilvl w:val="0"/>
          <w:numId w:val="1"/>
        </w:numPr>
        <w:spacing w:before="0"/>
        <w:ind w:left="567" w:hanging="567"/>
        <w:rPr>
          <w:rFonts w:ascii="Times New Roman" w:eastAsia="Times New Roman" w:hAnsi="Times New Roman" w:cs="Times New Roman"/>
          <w:i w:val="0"/>
          <w:iCs w:val="0"/>
          <w:snapToGrid w:val="0"/>
          <w:color w:val="auto"/>
          <w:szCs w:val="28"/>
          <w:lang w:eastAsia="x-none"/>
        </w:rPr>
      </w:pPr>
      <w:bookmarkStart w:id="0" w:name="_Toc129243139"/>
      <w:bookmarkStart w:id="1" w:name="_Toc129243264"/>
      <w:r w:rsidRPr="0049403B">
        <w:rPr>
          <w:rFonts w:ascii="Times New Roman" w:eastAsia="Times New Roman" w:hAnsi="Times New Roman" w:cs="Times New Roman"/>
          <w:i w:val="0"/>
          <w:iCs w:val="0"/>
          <w:snapToGrid w:val="0"/>
          <w:color w:val="auto"/>
          <w:szCs w:val="28"/>
          <w:lang w:eastAsia="x-none"/>
        </w:rPr>
        <w:t xml:space="preserve">Kas yra </w:t>
      </w:r>
      <w:proofErr w:type="spellStart"/>
      <w:r>
        <w:rPr>
          <w:rFonts w:ascii="Times New Roman" w:eastAsia="Times New Roman" w:hAnsi="Times New Roman" w:cs="Times New Roman"/>
          <w:i w:val="0"/>
          <w:iCs w:val="0"/>
          <w:snapToGrid w:val="0"/>
          <w:color w:val="auto"/>
          <w:szCs w:val="28"/>
          <w:lang w:eastAsia="x-none"/>
        </w:rPr>
        <w:t>Cinnarizin</w:t>
      </w:r>
      <w:proofErr w:type="spellEnd"/>
      <w:r>
        <w:rPr>
          <w:rFonts w:ascii="Times New Roman" w:eastAsia="Times New Roman" w:hAnsi="Times New Roman" w:cs="Times New Roman"/>
          <w:i w:val="0"/>
          <w:iCs w:val="0"/>
          <w:snapToGrid w:val="0"/>
          <w:color w:val="auto"/>
          <w:szCs w:val="28"/>
          <w:lang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 w:val="0"/>
          <w:iCs w:val="0"/>
          <w:snapToGrid w:val="0"/>
          <w:color w:val="auto"/>
          <w:szCs w:val="28"/>
          <w:lang w:eastAsia="x-none"/>
        </w:rPr>
        <w:t>Actavis</w:t>
      </w:r>
      <w:proofErr w:type="spellEnd"/>
      <w:r w:rsidRPr="0049403B">
        <w:rPr>
          <w:rFonts w:ascii="Times New Roman" w:eastAsia="Times New Roman" w:hAnsi="Times New Roman" w:cs="Times New Roman"/>
          <w:i w:val="0"/>
          <w:iCs w:val="0"/>
          <w:snapToGrid w:val="0"/>
          <w:color w:val="auto"/>
          <w:szCs w:val="28"/>
          <w:lang w:eastAsia="x-none"/>
        </w:rPr>
        <w:t xml:space="preserve"> ir kam jis vartojamas</w:t>
      </w:r>
    </w:p>
    <w:bookmarkEnd w:id="0"/>
    <w:bookmarkEnd w:id="1"/>
    <w:p w:rsidR="00ED6990" w:rsidRPr="00C85679" w:rsidRDefault="00ED6990" w:rsidP="00ED6990">
      <w:pPr>
        <w:pStyle w:val="PI-1EMEASMCA"/>
      </w:pPr>
    </w:p>
    <w:p w:rsidR="00ED6990" w:rsidRPr="00C85679" w:rsidRDefault="00ED6990" w:rsidP="00ED6990">
      <w:pPr>
        <w:pStyle w:val="BTEMEASMCA"/>
        <w:rPr>
          <w:noProof w:val="0"/>
        </w:rPr>
      </w:pPr>
      <w:r>
        <w:t xml:space="preserve">Cinnarizin Actavis </w:t>
      </w:r>
      <w:r w:rsidRPr="00C85679">
        <w:t xml:space="preserve">yra antivertigo grupės </w:t>
      </w:r>
      <w:r>
        <w:t>vaistas</w:t>
      </w:r>
      <w:r w:rsidRPr="00C85679">
        <w:t>.</w:t>
      </w:r>
    </w:p>
    <w:p w:rsidR="00ED6990" w:rsidRPr="00C85679" w:rsidRDefault="00ED6990" w:rsidP="00ED6990">
      <w:pPr>
        <w:rPr>
          <w:bCs/>
          <w:szCs w:val="22"/>
        </w:rPr>
      </w:pPr>
    </w:p>
    <w:p w:rsidR="00ED6990" w:rsidRPr="00A6122C" w:rsidRDefault="00ED6990" w:rsidP="00ED6990">
      <w:pPr>
        <w:rPr>
          <w:b/>
          <w:bCs/>
          <w:szCs w:val="22"/>
        </w:rPr>
      </w:pPr>
      <w:proofErr w:type="spellStart"/>
      <w:r w:rsidRPr="00A6122C">
        <w:rPr>
          <w:b/>
          <w:bCs/>
          <w:szCs w:val="22"/>
        </w:rPr>
        <w:t>Cinnarizin</w:t>
      </w:r>
      <w:proofErr w:type="spellEnd"/>
      <w:r w:rsidRPr="00A6122C">
        <w:rPr>
          <w:b/>
          <w:bCs/>
          <w:szCs w:val="22"/>
        </w:rPr>
        <w:t xml:space="preserve"> </w:t>
      </w:r>
      <w:proofErr w:type="spellStart"/>
      <w:r w:rsidRPr="00A6122C">
        <w:rPr>
          <w:b/>
          <w:bCs/>
          <w:szCs w:val="22"/>
        </w:rPr>
        <w:t>Actavis</w:t>
      </w:r>
      <w:proofErr w:type="spellEnd"/>
      <w:r w:rsidRPr="00A6122C">
        <w:rPr>
          <w:b/>
          <w:bCs/>
          <w:szCs w:val="22"/>
        </w:rPr>
        <w:t xml:space="preserve"> vartojamas:</w:t>
      </w:r>
    </w:p>
    <w:p w:rsidR="00ED6990" w:rsidRDefault="00ED6990" w:rsidP="00ED6990">
      <w:r>
        <w:t>-</w:t>
      </w:r>
      <w:r>
        <w:tab/>
      </w:r>
      <w:proofErr w:type="spellStart"/>
      <w:r>
        <w:t>vestibiuliniams</w:t>
      </w:r>
      <w:proofErr w:type="spellEnd"/>
      <w:r>
        <w:t xml:space="preserve"> sutrikimams, pvz., galvos svaigimui </w:t>
      </w:r>
      <w:r w:rsidRPr="0060270B">
        <w:rPr>
          <w:i/>
        </w:rPr>
        <w:t>(</w:t>
      </w:r>
      <w:proofErr w:type="spellStart"/>
      <w:r w:rsidRPr="00243C7E">
        <w:rPr>
          <w:i/>
        </w:rPr>
        <w:t>vertigo</w:t>
      </w:r>
      <w:proofErr w:type="spellEnd"/>
      <w:r w:rsidRPr="0060270B">
        <w:rPr>
          <w:i/>
        </w:rPr>
        <w:t>)</w:t>
      </w:r>
      <w:r>
        <w:t>, pykinimui ar vėmimui, slopinti.</w:t>
      </w:r>
    </w:p>
    <w:p w:rsidR="00ED6990" w:rsidRDefault="00ED6990" w:rsidP="00ED6990">
      <w:pPr>
        <w:ind w:left="720" w:hanging="720"/>
      </w:pPr>
      <w:r>
        <w:t>-</w:t>
      </w:r>
      <w:r>
        <w:tab/>
      </w:r>
      <w:proofErr w:type="spellStart"/>
      <w:r>
        <w:t>kinetozės</w:t>
      </w:r>
      <w:proofErr w:type="spellEnd"/>
      <w:r>
        <w:t xml:space="preserve"> (ligos, sukeliamos pasyvių judesių, pvz., jūrų ligos) simptomams slopinti ir saugoti nuo jų.</w:t>
      </w:r>
    </w:p>
    <w:p w:rsidR="00ED6990" w:rsidRDefault="00ED6990" w:rsidP="00ED6990">
      <w:pPr>
        <w:pStyle w:val="BTEMEASMCA"/>
      </w:pPr>
    </w:p>
    <w:p w:rsidR="00ED6990" w:rsidRPr="00C85679" w:rsidRDefault="00ED6990" w:rsidP="00ED6990">
      <w:pPr>
        <w:pStyle w:val="BTEMEASMCA"/>
      </w:pPr>
    </w:p>
    <w:p w:rsidR="00ED6990" w:rsidRPr="00C85679" w:rsidRDefault="00ED6990" w:rsidP="00ED6990">
      <w:pPr>
        <w:pStyle w:val="PI-1EMEASMCA"/>
        <w:ind w:left="0" w:firstLine="0"/>
      </w:pPr>
      <w:bookmarkStart w:id="2" w:name="_Toc129243140"/>
      <w:bookmarkStart w:id="3" w:name="_Toc129243265"/>
      <w:r w:rsidRPr="00C85679">
        <w:t>2.</w:t>
      </w:r>
      <w:r w:rsidRPr="00C85679">
        <w:tab/>
      </w:r>
      <w:bookmarkEnd w:id="2"/>
      <w:bookmarkEnd w:id="3"/>
      <w:r>
        <w:t xml:space="preserve">Kas žinotina prieš vartojant </w:t>
      </w:r>
      <w:proofErr w:type="spellStart"/>
      <w:r>
        <w:t>Cinnarizin</w:t>
      </w:r>
      <w:proofErr w:type="spellEnd"/>
      <w:r>
        <w:t xml:space="preserve"> </w:t>
      </w:r>
      <w:proofErr w:type="spellStart"/>
      <w:r>
        <w:t>Actavis</w:t>
      </w:r>
      <w:proofErr w:type="spellEnd"/>
    </w:p>
    <w:p w:rsidR="00ED6990" w:rsidRPr="00C85679" w:rsidRDefault="00ED6990" w:rsidP="00ED6990">
      <w:pPr>
        <w:pStyle w:val="BTEMEASMCA"/>
      </w:pPr>
    </w:p>
    <w:p w:rsidR="00ED6990" w:rsidRPr="00C85679" w:rsidRDefault="00ED6990" w:rsidP="00ED6990">
      <w:pPr>
        <w:pStyle w:val="PI-3EMEASMCA"/>
      </w:pPr>
      <w:r>
        <w:t xml:space="preserve">Cinnarizin Actavis </w:t>
      </w:r>
      <w:r w:rsidRPr="00C85679">
        <w:t>vartoti negalima:</w:t>
      </w:r>
    </w:p>
    <w:p w:rsidR="00ED6990" w:rsidRPr="00C85679" w:rsidRDefault="00ED6990" w:rsidP="00ED6990">
      <w:pPr>
        <w:pStyle w:val="BT-EMEASMCA"/>
        <w:ind w:left="567" w:hanging="567"/>
      </w:pPr>
      <w:r>
        <w:t>-</w:t>
      </w:r>
      <w:r>
        <w:tab/>
      </w:r>
      <w:r w:rsidRPr="00C85679">
        <w:t xml:space="preserve">jeigu yra alergija </w:t>
      </w:r>
      <w:proofErr w:type="spellStart"/>
      <w:r w:rsidRPr="00C85679">
        <w:t>cinarizinui</w:t>
      </w:r>
      <w:proofErr w:type="spellEnd"/>
      <w:r w:rsidRPr="00C85679">
        <w:t xml:space="preserve"> arba bet kuriai pagalbinei </w:t>
      </w:r>
      <w:r>
        <w:t xml:space="preserve">šio vaisto </w:t>
      </w:r>
      <w:r w:rsidRPr="00C85679">
        <w:t>medžiagai</w:t>
      </w:r>
      <w:r>
        <w:t xml:space="preserve"> (jos išvardytos 6 skyriuje).</w:t>
      </w:r>
    </w:p>
    <w:p w:rsidR="00ED6990" w:rsidRPr="00C85679" w:rsidRDefault="00ED6990" w:rsidP="00ED6990">
      <w:pPr>
        <w:pStyle w:val="BTEMEASMCA"/>
      </w:pPr>
    </w:p>
    <w:p w:rsidR="00ED6990" w:rsidRDefault="00ED6990" w:rsidP="00ED6990">
      <w:pPr>
        <w:pStyle w:val="PI-3EMEASMCA"/>
      </w:pPr>
      <w:r>
        <w:t>Įspėjimai ir atsargumo priemonės</w:t>
      </w:r>
      <w:r w:rsidRPr="00C85679">
        <w:t>:</w:t>
      </w:r>
    </w:p>
    <w:p w:rsidR="00ED6990" w:rsidRPr="009B5E50" w:rsidRDefault="00ED6990" w:rsidP="00ED6990">
      <w:pPr>
        <w:pStyle w:val="PI-3EMEASMCA"/>
      </w:pPr>
      <w:r w:rsidRPr="009B5E50">
        <w:t>Pasi</w:t>
      </w:r>
      <w:r>
        <w:t xml:space="preserve">tarkite su gydytoju arba </w:t>
      </w:r>
      <w:r w:rsidRPr="009B5E50">
        <w:t>vais</w:t>
      </w:r>
      <w:r>
        <w:t>tininku</w:t>
      </w:r>
      <w:r w:rsidRPr="009B5E50">
        <w:t>, prieš pradėdami vartoti</w:t>
      </w:r>
      <w:r>
        <w:t xml:space="preserve"> Cinnarizin Actavis.</w:t>
      </w:r>
    </w:p>
    <w:p w:rsidR="00ED6990" w:rsidRPr="00C85679" w:rsidRDefault="00ED6990" w:rsidP="00ED6990">
      <w:pPr>
        <w:pStyle w:val="BT-EMEASMCA"/>
        <w:ind w:left="0"/>
        <w:rPr>
          <w:noProof/>
        </w:rPr>
      </w:pPr>
      <w:r>
        <w:t>-</w:t>
      </w:r>
      <w:r>
        <w:tab/>
        <w:t xml:space="preserve">jeigu sergate </w:t>
      </w:r>
      <w:proofErr w:type="spellStart"/>
      <w:r w:rsidRPr="00C85679">
        <w:t>Parkinsono</w:t>
      </w:r>
      <w:proofErr w:type="spellEnd"/>
      <w:r w:rsidRPr="00C85679">
        <w:t xml:space="preserve"> liga</w:t>
      </w:r>
      <w:r>
        <w:t xml:space="preserve"> (ši liga</w:t>
      </w:r>
      <w:r w:rsidRPr="00C85679">
        <w:t xml:space="preserve"> </w:t>
      </w:r>
      <w:r>
        <w:t>gali pasunkėti);</w:t>
      </w:r>
    </w:p>
    <w:p w:rsidR="00ED6990" w:rsidRDefault="00ED6990" w:rsidP="00ED6990">
      <w:pPr>
        <w:pStyle w:val="Pagrindinistekstas"/>
        <w:tabs>
          <w:tab w:val="left" w:pos="567"/>
        </w:tabs>
        <w:spacing w:after="0"/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ab/>
        <w:t>jeigu yra kepenų ar inkstų veiklos sutrikimų;</w:t>
      </w:r>
    </w:p>
    <w:p w:rsidR="00ED6990" w:rsidRDefault="00ED6990" w:rsidP="00ED6990">
      <w:pPr>
        <w:pStyle w:val="Pagrindinistekstas"/>
        <w:tabs>
          <w:tab w:val="left" w:pos="567"/>
        </w:tabs>
        <w:spacing w:after="0"/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ab/>
        <w:t xml:space="preserve">jeigu sergate </w:t>
      </w:r>
      <w:r>
        <w:t>uždaro kampo glaukoma ar dėl įvairių priežasčių susilaiko šlapimas;</w:t>
      </w:r>
    </w:p>
    <w:p w:rsidR="00ED6990" w:rsidRDefault="00ED6990" w:rsidP="00ED6990">
      <w:pPr>
        <w:pStyle w:val="Pagrindinistekstas"/>
        <w:spacing w:after="0"/>
        <w:ind w:left="567" w:hanging="567"/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ab/>
        <w:t>jeigu alerginės ligos nustatymui Jums planuojama atlikti odos mėginį (</w:t>
      </w:r>
      <w:proofErr w:type="spellStart"/>
      <w:r>
        <w:rPr>
          <w:color w:val="000000"/>
        </w:rPr>
        <w:t>cinarizino</w:t>
      </w:r>
      <w:proofErr w:type="spellEnd"/>
      <w:r>
        <w:rPr>
          <w:color w:val="000000"/>
        </w:rPr>
        <w:t xml:space="preserve"> vartojimą reikia nutraukti likus bent 4 paroms iki mėginio);</w:t>
      </w:r>
    </w:p>
    <w:p w:rsidR="00ED6990" w:rsidRDefault="00ED6990" w:rsidP="00ED6990">
      <w:pPr>
        <w:pStyle w:val="Pagrindinistekstas"/>
        <w:spacing w:after="0"/>
        <w:ind w:left="567" w:hanging="567"/>
        <w:rPr>
          <w:color w:val="000000"/>
          <w:szCs w:val="22"/>
        </w:rPr>
      </w:pPr>
      <w:r>
        <w:rPr>
          <w:color w:val="000000"/>
        </w:rPr>
        <w:t>-</w:t>
      </w:r>
      <w:r>
        <w:rPr>
          <w:color w:val="000000"/>
        </w:rPr>
        <w:tab/>
        <w:t xml:space="preserve">jeigu vartojate centrinę nervų sistemą slopinančių vaistų arba geriate alkoholio (gali stiprėti centrinės nervų sistemos slopinimas). </w:t>
      </w:r>
    </w:p>
    <w:p w:rsidR="00ED6990" w:rsidRDefault="00ED6990" w:rsidP="00ED6990">
      <w:pPr>
        <w:pStyle w:val="PI-3EMEASMCA"/>
      </w:pPr>
    </w:p>
    <w:p w:rsidR="00ED6990" w:rsidRPr="009B5E50" w:rsidRDefault="00ED6990" w:rsidP="00ED6990">
      <w:pPr>
        <w:pStyle w:val="PI-3EMEASMCA"/>
      </w:pPr>
      <w:r>
        <w:t>Vaikams ir paaugliams</w:t>
      </w:r>
    </w:p>
    <w:p w:rsidR="00ED6990" w:rsidRPr="00A6122C" w:rsidRDefault="00ED6990" w:rsidP="00ED6990">
      <w:pPr>
        <w:pStyle w:val="PI-3EMEASMCA"/>
        <w:rPr>
          <w:b w:val="0"/>
        </w:rPr>
      </w:pPr>
      <w:r w:rsidRPr="00A6122C">
        <w:rPr>
          <w:b w:val="0"/>
        </w:rPr>
        <w:t>Vaikų ir jaunesnių negu 16 metų paauglių šiuo vaistu dėl jame esančios 25 mg dozės gydyti negalima.</w:t>
      </w:r>
    </w:p>
    <w:p w:rsidR="00ED6990" w:rsidRDefault="00ED6990" w:rsidP="00ED6990">
      <w:pPr>
        <w:pStyle w:val="PI-3EMEASMCA"/>
      </w:pPr>
    </w:p>
    <w:p w:rsidR="00ED6990" w:rsidRPr="009B5E50" w:rsidRDefault="00ED6990" w:rsidP="00ED6990">
      <w:pPr>
        <w:pStyle w:val="PI-3EMEASMCA"/>
      </w:pPr>
      <w:r w:rsidRPr="009B5E50">
        <w:t>Kiti vaistai ir Cinnarizin Actavis</w:t>
      </w:r>
    </w:p>
    <w:p w:rsidR="00ED6990" w:rsidRPr="00C85679" w:rsidRDefault="00ED6990" w:rsidP="00ED6990">
      <w:pPr>
        <w:pStyle w:val="Pagrindinistekstas"/>
        <w:spacing w:after="0"/>
        <w:rPr>
          <w:szCs w:val="22"/>
        </w:rPr>
      </w:pPr>
      <w:r w:rsidRPr="00C85679">
        <w:rPr>
          <w:szCs w:val="22"/>
        </w:rPr>
        <w:t>Jeigu vartojate arba neseniai vartojote kitų vaistų</w:t>
      </w:r>
      <w:r>
        <w:rPr>
          <w:szCs w:val="22"/>
        </w:rPr>
        <w:t xml:space="preserve"> arba dėl to nesate tikri, apie tai</w:t>
      </w:r>
      <w:r w:rsidRPr="00C85679">
        <w:rPr>
          <w:szCs w:val="22"/>
        </w:rPr>
        <w:t xml:space="preserve"> pasakykite gydytojui arba vaistininkui.</w:t>
      </w:r>
    </w:p>
    <w:p w:rsidR="00ED6990" w:rsidRDefault="00ED6990" w:rsidP="00ED6990">
      <w:pPr>
        <w:pStyle w:val="Pagrindinistekstas"/>
        <w:spacing w:after="0"/>
        <w:rPr>
          <w:color w:val="000000"/>
          <w:szCs w:val="22"/>
        </w:rPr>
      </w:pPr>
    </w:p>
    <w:p w:rsidR="00ED6990" w:rsidRPr="00C85679" w:rsidRDefault="00ED6990" w:rsidP="00ED6990">
      <w:pPr>
        <w:pStyle w:val="Pagrindinistekstas"/>
        <w:spacing w:after="0"/>
        <w:rPr>
          <w:color w:val="000000"/>
          <w:szCs w:val="22"/>
        </w:rPr>
      </w:pPr>
      <w:proofErr w:type="spellStart"/>
      <w:r w:rsidRPr="00C85679">
        <w:rPr>
          <w:color w:val="000000"/>
          <w:szCs w:val="22"/>
        </w:rPr>
        <w:lastRenderedPageBreak/>
        <w:t>Cinarizino</w:t>
      </w:r>
      <w:proofErr w:type="spellEnd"/>
      <w:r w:rsidRPr="00C85679">
        <w:rPr>
          <w:color w:val="000000"/>
          <w:szCs w:val="22"/>
        </w:rPr>
        <w:t xml:space="preserve"> vartojant kartu su centrinę nervų sistemą slopinančiais vaistais </w:t>
      </w:r>
      <w:r>
        <w:rPr>
          <w:color w:val="000000"/>
          <w:szCs w:val="22"/>
        </w:rPr>
        <w:t xml:space="preserve">ar </w:t>
      </w:r>
      <w:proofErr w:type="spellStart"/>
      <w:r w:rsidRPr="00C85679">
        <w:rPr>
          <w:color w:val="000000"/>
          <w:szCs w:val="22"/>
        </w:rPr>
        <w:t>tricikliais</w:t>
      </w:r>
      <w:proofErr w:type="spellEnd"/>
      <w:r w:rsidRPr="00C85679">
        <w:rPr>
          <w:color w:val="000000"/>
          <w:szCs w:val="22"/>
        </w:rPr>
        <w:t xml:space="preserve"> antidepresantais</w:t>
      </w:r>
      <w:r>
        <w:rPr>
          <w:color w:val="000000"/>
          <w:szCs w:val="22"/>
        </w:rPr>
        <w:t>,</w:t>
      </w:r>
      <w:r w:rsidRPr="00C85679">
        <w:rPr>
          <w:color w:val="000000"/>
          <w:szCs w:val="22"/>
        </w:rPr>
        <w:t xml:space="preserve"> gali stiprėti </w:t>
      </w:r>
      <w:r>
        <w:t>centrinės</w:t>
      </w:r>
      <w:r w:rsidRPr="00C85679">
        <w:rPr>
          <w:szCs w:val="22"/>
        </w:rPr>
        <w:t xml:space="preserve"> nervų sistem</w:t>
      </w:r>
      <w:r>
        <w:t>os slopinimas</w:t>
      </w:r>
      <w:r w:rsidRPr="00C85679">
        <w:rPr>
          <w:szCs w:val="22"/>
        </w:rPr>
        <w:t>.</w:t>
      </w:r>
    </w:p>
    <w:p w:rsidR="00ED6990" w:rsidRDefault="00ED6990" w:rsidP="00ED6990"/>
    <w:p w:rsidR="00ED6990" w:rsidRDefault="00ED6990" w:rsidP="00ED6990">
      <w:proofErr w:type="spellStart"/>
      <w:r>
        <w:t>Cinarizino</w:t>
      </w:r>
      <w:proofErr w:type="spellEnd"/>
      <w:r>
        <w:t xml:space="preserve"> vartojant kartu su atropinu ar kitais </w:t>
      </w:r>
      <w:proofErr w:type="spellStart"/>
      <w:r>
        <w:t>anticholinerginiais</w:t>
      </w:r>
      <w:proofErr w:type="spellEnd"/>
      <w:r>
        <w:t xml:space="preserve"> vaistais, </w:t>
      </w:r>
      <w:proofErr w:type="spellStart"/>
      <w:r>
        <w:t>anticholinerginis</w:t>
      </w:r>
      <w:proofErr w:type="spellEnd"/>
      <w:r>
        <w:t xml:space="preserve"> poveikis būna suminis.</w:t>
      </w:r>
    </w:p>
    <w:p w:rsidR="00ED6990" w:rsidRDefault="00ED6990" w:rsidP="00ED6990">
      <w:pPr>
        <w:pStyle w:val="PI-3EMEASMCA"/>
      </w:pPr>
    </w:p>
    <w:p w:rsidR="00ED6990" w:rsidRPr="00C85679" w:rsidRDefault="00ED6990" w:rsidP="00ED6990">
      <w:pPr>
        <w:pStyle w:val="PI-3EMEASMCA"/>
      </w:pPr>
      <w:r>
        <w:t xml:space="preserve">Cinnarizin Actavis </w:t>
      </w:r>
      <w:r w:rsidRPr="00C85679">
        <w:t>vartojimas su maistu</w:t>
      </w:r>
      <w:r>
        <w:t>,</w:t>
      </w:r>
      <w:r w:rsidRPr="00C85679">
        <w:t xml:space="preserve"> gėrimais</w:t>
      </w:r>
      <w:r>
        <w:t xml:space="preserve"> ir alkoholiu</w:t>
      </w:r>
    </w:p>
    <w:p w:rsidR="00ED6990" w:rsidRPr="00C85679" w:rsidRDefault="00ED6990" w:rsidP="00ED6990">
      <w:pPr>
        <w:pStyle w:val="Pagrindinistekstas"/>
        <w:spacing w:after="0"/>
        <w:rPr>
          <w:szCs w:val="22"/>
        </w:rPr>
      </w:pPr>
      <w:r w:rsidRPr="00C85679">
        <w:rPr>
          <w:szCs w:val="22"/>
        </w:rPr>
        <w:t xml:space="preserve">Vartojant </w:t>
      </w:r>
      <w:proofErr w:type="spellStart"/>
      <w:r>
        <w:rPr>
          <w:szCs w:val="22"/>
        </w:rPr>
        <w:t>Cinnarizin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Actavis</w:t>
      </w:r>
      <w:proofErr w:type="spellEnd"/>
      <w:r>
        <w:rPr>
          <w:szCs w:val="22"/>
        </w:rPr>
        <w:t xml:space="preserve">, </w:t>
      </w:r>
      <w:r w:rsidRPr="00C85679">
        <w:rPr>
          <w:szCs w:val="22"/>
        </w:rPr>
        <w:t>alkoholio</w:t>
      </w:r>
      <w:r>
        <w:rPr>
          <w:szCs w:val="22"/>
        </w:rPr>
        <w:t xml:space="preserve"> patariama negerti</w:t>
      </w:r>
      <w:r w:rsidRPr="00C85679">
        <w:rPr>
          <w:szCs w:val="22"/>
        </w:rPr>
        <w:t xml:space="preserve">, </w:t>
      </w:r>
      <w:r>
        <w:rPr>
          <w:szCs w:val="22"/>
        </w:rPr>
        <w:t>kadangi jis</w:t>
      </w:r>
      <w:r w:rsidRPr="00C85679">
        <w:rPr>
          <w:szCs w:val="22"/>
        </w:rPr>
        <w:t xml:space="preserve"> gali ne</w:t>
      </w:r>
      <w:r>
        <w:rPr>
          <w:szCs w:val="22"/>
        </w:rPr>
        <w:t>tikėtai</w:t>
      </w:r>
      <w:r w:rsidRPr="00C85679">
        <w:rPr>
          <w:szCs w:val="22"/>
        </w:rPr>
        <w:t xml:space="preserve"> sustiprinti ir pakeisti </w:t>
      </w:r>
      <w:proofErr w:type="spellStart"/>
      <w:r w:rsidRPr="00C85679">
        <w:rPr>
          <w:szCs w:val="22"/>
        </w:rPr>
        <w:t>cinarizino</w:t>
      </w:r>
      <w:proofErr w:type="spellEnd"/>
      <w:r w:rsidRPr="00C85679">
        <w:rPr>
          <w:szCs w:val="22"/>
        </w:rPr>
        <w:t xml:space="preserve"> poveikį. Maistas </w:t>
      </w:r>
      <w:proofErr w:type="spellStart"/>
      <w:r>
        <w:rPr>
          <w:szCs w:val="22"/>
        </w:rPr>
        <w:t>Cinnarizin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Actavis</w:t>
      </w:r>
      <w:proofErr w:type="spellEnd"/>
      <w:r>
        <w:rPr>
          <w:szCs w:val="22"/>
        </w:rPr>
        <w:t xml:space="preserve"> </w:t>
      </w:r>
      <w:r w:rsidRPr="00C85679">
        <w:rPr>
          <w:szCs w:val="22"/>
        </w:rPr>
        <w:t xml:space="preserve">poveikiui įtakos </w:t>
      </w:r>
      <w:r>
        <w:rPr>
          <w:szCs w:val="22"/>
        </w:rPr>
        <w:t>nedaro</w:t>
      </w:r>
      <w:r w:rsidRPr="00C85679">
        <w:rPr>
          <w:szCs w:val="22"/>
        </w:rPr>
        <w:t>.</w:t>
      </w:r>
    </w:p>
    <w:p w:rsidR="00ED6990" w:rsidRPr="00C85679" w:rsidRDefault="00ED6990" w:rsidP="00ED6990">
      <w:pPr>
        <w:pStyle w:val="BTEMEASMCA"/>
      </w:pPr>
    </w:p>
    <w:p w:rsidR="00ED6990" w:rsidRPr="00C85679" w:rsidRDefault="00ED6990" w:rsidP="00ED6990">
      <w:pPr>
        <w:pStyle w:val="PI-3EMEASMCA"/>
      </w:pPr>
      <w:r w:rsidRPr="00C85679">
        <w:t>Nėštumas ir žindymo laikotarpis</w:t>
      </w:r>
    </w:p>
    <w:p w:rsidR="00ED6990" w:rsidRPr="00C85679" w:rsidRDefault="00ED6990" w:rsidP="00ED6990">
      <w:pPr>
        <w:pStyle w:val="BTEMEASMCA"/>
      </w:pPr>
      <w:r w:rsidRPr="009B5E50">
        <w:t xml:space="preserve">Jeigu esate nėščia, žindote kūdikį, manote, kad galbūt esate nėščia, arba planuojate pastoti, tai prieš vartodama šį vaistą, pasitarkite su </w:t>
      </w:r>
      <w:r w:rsidRPr="00C85679">
        <w:t>gydytoju arba vaistininku.</w:t>
      </w:r>
    </w:p>
    <w:p w:rsidR="00ED6990" w:rsidRDefault="00ED6990" w:rsidP="00ED6990">
      <w:pPr>
        <w:pStyle w:val="BTEMEASMCA"/>
      </w:pPr>
    </w:p>
    <w:p w:rsidR="00ED6990" w:rsidRDefault="00ED6990" w:rsidP="00ED6990">
      <w:pPr>
        <w:pStyle w:val="BTEMEASMCA"/>
      </w:pPr>
      <w:r>
        <w:t xml:space="preserve">Reikiamų duomenų apie cinarizino vartojimą nėštumo metu nėra. Su gyvūnais atlikti tyrimai parodė žalingą poveikį vaisiui. Nėščioms moterims Cinnarizin Actavis vartoti nerekomenduojama. </w:t>
      </w:r>
    </w:p>
    <w:p w:rsidR="00ED6990" w:rsidRDefault="00ED6990" w:rsidP="00ED6990">
      <w:pPr>
        <w:pStyle w:val="BTEMEASMCA"/>
      </w:pPr>
    </w:p>
    <w:p w:rsidR="00ED6990" w:rsidRDefault="00ED6990" w:rsidP="00ED6990">
      <w:pPr>
        <w:pStyle w:val="BTEMEASMCA"/>
      </w:pPr>
      <w:r>
        <w:t>Ar cinarizino išsiskiria su motinos pienu, nežinoma. Žindymo laikotarpiu Cinnarizin Actavis vartoti nerekomenduojama.</w:t>
      </w:r>
    </w:p>
    <w:p w:rsidR="00ED6990" w:rsidRPr="00C85679" w:rsidRDefault="00ED6990" w:rsidP="00ED6990">
      <w:pPr>
        <w:pStyle w:val="BTEMEASMCA"/>
      </w:pPr>
    </w:p>
    <w:p w:rsidR="00ED6990" w:rsidRPr="00C85679" w:rsidRDefault="00ED6990" w:rsidP="00ED6990">
      <w:pPr>
        <w:pStyle w:val="PI-3EMEASMCA"/>
      </w:pPr>
      <w:r w:rsidRPr="00C85679">
        <w:t>Vairavimas ir mechanizmų valdymas</w:t>
      </w:r>
    </w:p>
    <w:p w:rsidR="00ED6990" w:rsidRDefault="00ED6990" w:rsidP="00ED6990">
      <w:pPr>
        <w:rPr>
          <w:szCs w:val="26"/>
        </w:rPr>
      </w:pPr>
      <w:r>
        <w:t xml:space="preserve">Dėl </w:t>
      </w:r>
      <w:proofErr w:type="spellStart"/>
      <w:r>
        <w:t>cinarizino</w:t>
      </w:r>
      <w:proofErr w:type="spellEnd"/>
      <w:r>
        <w:t xml:space="preserve"> sukeliamo nepageidaujamo poveikio (mieguistumo, reakcijos sulėtėjimo) gali sutrikti </w:t>
      </w:r>
      <w:r>
        <w:rPr>
          <w:szCs w:val="26"/>
        </w:rPr>
        <w:t>gebėjimas vairuoti, valdyti mechanizmus bei be tinkamų saugos priemonių dirbti rizikingą darbą. Išgėrus alkoholio, toks poveikis būna stipresnis. Jeigu minėtas poveikis pasireiškia, vairuoti ir valdyti mechanizmų negalima.</w:t>
      </w:r>
    </w:p>
    <w:p w:rsidR="00ED6990" w:rsidRPr="00C85679" w:rsidRDefault="00ED6990" w:rsidP="00ED6990">
      <w:pPr>
        <w:pStyle w:val="BTEMEASMCA"/>
      </w:pPr>
    </w:p>
    <w:p w:rsidR="00ED6990" w:rsidRPr="00C85679" w:rsidRDefault="00ED6990" w:rsidP="00ED6990">
      <w:pPr>
        <w:pStyle w:val="PI-3EMEASMCA"/>
      </w:pPr>
      <w:r>
        <w:t>Cinnarizin Actavis sudėtyje yra laktozės</w:t>
      </w:r>
    </w:p>
    <w:p w:rsidR="00ED6990" w:rsidRDefault="00ED6990" w:rsidP="00ED6990">
      <w:r>
        <w:t>Jeigu gydytojas Jums yra sakęs, kad netoleruojate kokių nors angliavandenių, kreipkitės į jį prieš</w:t>
      </w:r>
    </w:p>
    <w:p w:rsidR="00ED6990" w:rsidRDefault="00ED6990" w:rsidP="00ED6990">
      <w:r>
        <w:t>pradėdami vartoti šį vaistą.</w:t>
      </w:r>
    </w:p>
    <w:p w:rsidR="00ED6990" w:rsidRDefault="00ED6990" w:rsidP="00ED6990"/>
    <w:p w:rsidR="00ED6990" w:rsidRPr="00824EC8" w:rsidRDefault="00ED6990" w:rsidP="00ED6990">
      <w:pPr>
        <w:rPr>
          <w:b/>
        </w:rPr>
      </w:pPr>
      <w:proofErr w:type="spellStart"/>
      <w:r w:rsidRPr="00824EC8">
        <w:rPr>
          <w:b/>
        </w:rPr>
        <w:t>Cinnarizin</w:t>
      </w:r>
      <w:proofErr w:type="spellEnd"/>
      <w:r w:rsidRPr="00824EC8">
        <w:rPr>
          <w:b/>
        </w:rPr>
        <w:t xml:space="preserve"> </w:t>
      </w:r>
      <w:proofErr w:type="spellStart"/>
      <w:r w:rsidRPr="00824EC8">
        <w:rPr>
          <w:b/>
        </w:rPr>
        <w:t>Actavis</w:t>
      </w:r>
      <w:proofErr w:type="spellEnd"/>
      <w:r w:rsidRPr="00824EC8">
        <w:rPr>
          <w:b/>
        </w:rPr>
        <w:t xml:space="preserve"> sudėtyje yra kviečių krakmolo</w:t>
      </w:r>
    </w:p>
    <w:p w:rsidR="00ED6990" w:rsidRDefault="00ED6990" w:rsidP="00ED6990">
      <w:r>
        <w:t>Šio vaisto sudėtyje yra labai mažas glitimo (esančio kviečių krakmole) kiekis. Šis vaistas laikytinas</w:t>
      </w:r>
    </w:p>
    <w:p w:rsidR="00ED6990" w:rsidRDefault="00ED6990" w:rsidP="00ED6990">
      <w:r>
        <w:t xml:space="preserve">neturinčiu glitimo, todėl jei sergate </w:t>
      </w:r>
      <w:proofErr w:type="spellStart"/>
      <w:r>
        <w:t>celiakija</w:t>
      </w:r>
      <w:proofErr w:type="spellEnd"/>
      <w:r>
        <w:t>, mažai tikėtina, kad Jums pakenks.</w:t>
      </w:r>
    </w:p>
    <w:p w:rsidR="00ED6990" w:rsidRDefault="00ED6990" w:rsidP="00ED6990"/>
    <w:p w:rsidR="00ED6990" w:rsidRDefault="00ED6990" w:rsidP="00ED6990">
      <w:r>
        <w:t xml:space="preserve">Jeigu esate alergiškas (alergiška) kviečiams (ši liga skiriasi nuo </w:t>
      </w:r>
      <w:proofErr w:type="spellStart"/>
      <w:r>
        <w:t>celiakijos</w:t>
      </w:r>
      <w:proofErr w:type="spellEnd"/>
      <w:r>
        <w:t>), Jums šio vaisto vartoti</w:t>
      </w:r>
    </w:p>
    <w:p w:rsidR="00ED6990" w:rsidRDefault="00ED6990" w:rsidP="00ED6990">
      <w:r>
        <w:t>negalima.</w:t>
      </w:r>
    </w:p>
    <w:p w:rsidR="00ED6990" w:rsidRPr="00C85679" w:rsidRDefault="00ED6990" w:rsidP="00ED6990">
      <w:pPr>
        <w:pStyle w:val="BTEMEASMCA"/>
      </w:pPr>
    </w:p>
    <w:p w:rsidR="00ED6990" w:rsidRPr="00C85679" w:rsidRDefault="00ED6990" w:rsidP="00ED6990">
      <w:pPr>
        <w:pStyle w:val="BTEMEASMCA"/>
      </w:pPr>
    </w:p>
    <w:p w:rsidR="00ED6990" w:rsidRPr="00C85679" w:rsidRDefault="00ED6990" w:rsidP="00ED6990">
      <w:pPr>
        <w:pStyle w:val="PI-1EMEASMCA"/>
      </w:pPr>
      <w:bookmarkStart w:id="4" w:name="_Toc129243141"/>
      <w:bookmarkStart w:id="5" w:name="_Toc129243266"/>
      <w:r w:rsidRPr="00C85679">
        <w:t>3.</w:t>
      </w:r>
      <w:r w:rsidRPr="00C85679">
        <w:tab/>
      </w:r>
      <w:bookmarkEnd w:id="4"/>
      <w:bookmarkEnd w:id="5"/>
      <w:r>
        <w:t xml:space="preserve">Kaip vartoti </w:t>
      </w:r>
      <w:proofErr w:type="spellStart"/>
      <w:r>
        <w:t>Cinnarizin</w:t>
      </w:r>
      <w:proofErr w:type="spellEnd"/>
      <w:r>
        <w:t xml:space="preserve"> </w:t>
      </w:r>
      <w:proofErr w:type="spellStart"/>
      <w:r>
        <w:t>Actavis</w:t>
      </w:r>
      <w:proofErr w:type="spellEnd"/>
    </w:p>
    <w:p w:rsidR="00ED6990" w:rsidRDefault="00ED6990" w:rsidP="00ED6990">
      <w:pPr>
        <w:pStyle w:val="BTEMEASMCA"/>
      </w:pPr>
    </w:p>
    <w:p w:rsidR="00ED6990" w:rsidRPr="00C85679" w:rsidRDefault="00ED6990" w:rsidP="00ED6990">
      <w:pPr>
        <w:pStyle w:val="BTEMEASMCA"/>
      </w:pPr>
      <w:r>
        <w:t>V</w:t>
      </w:r>
      <w:r w:rsidRPr="00C85679">
        <w:t xml:space="preserve">isada vartokite </w:t>
      </w:r>
      <w:r>
        <w:t xml:space="preserve">šį vaistą </w:t>
      </w:r>
      <w:r w:rsidRPr="00C85679">
        <w:t xml:space="preserve">tiksliai, </w:t>
      </w:r>
      <w:r>
        <w:t xml:space="preserve">kaip </w:t>
      </w:r>
      <w:r w:rsidRPr="00C85679">
        <w:t>nurodė gydytojas. Jeigu abejojate, kreipkitės į gydytoją arba vaistininką.</w:t>
      </w:r>
    </w:p>
    <w:p w:rsidR="00ED6990" w:rsidRPr="00C85679" w:rsidRDefault="00ED6990" w:rsidP="00ED6990">
      <w:pPr>
        <w:pStyle w:val="BTEMEASMCA"/>
      </w:pPr>
    </w:p>
    <w:p w:rsidR="00ED6990" w:rsidRDefault="00ED6990" w:rsidP="00ED6990">
      <w:pPr>
        <w:ind w:left="567" w:hanging="567"/>
        <w:rPr>
          <w:u w:val="single"/>
        </w:rPr>
      </w:pPr>
      <w:r>
        <w:t>Rekomenduojama dozė yra:</w:t>
      </w:r>
    </w:p>
    <w:p w:rsidR="00ED6990" w:rsidRDefault="00ED6990" w:rsidP="00ED6990">
      <w:pPr>
        <w:rPr>
          <w:u w:val="single"/>
        </w:rPr>
      </w:pPr>
    </w:p>
    <w:p w:rsidR="00ED6990" w:rsidRPr="00A6122C" w:rsidRDefault="00ED6990" w:rsidP="00ED6990">
      <w:pPr>
        <w:rPr>
          <w:b/>
        </w:rPr>
      </w:pPr>
      <w:proofErr w:type="spellStart"/>
      <w:r w:rsidRPr="00A6122C">
        <w:rPr>
          <w:b/>
        </w:rPr>
        <w:t>Vestibuliniai</w:t>
      </w:r>
      <w:proofErr w:type="spellEnd"/>
      <w:r w:rsidRPr="00A6122C">
        <w:rPr>
          <w:b/>
        </w:rPr>
        <w:t xml:space="preserve"> sutrikimai</w:t>
      </w:r>
    </w:p>
    <w:p w:rsidR="00ED6990" w:rsidRPr="00240201" w:rsidRDefault="00ED6990" w:rsidP="00ED6990">
      <w:pPr>
        <w:jc w:val="both"/>
        <w:rPr>
          <w:i/>
        </w:rPr>
      </w:pPr>
      <w:r>
        <w:rPr>
          <w:i/>
        </w:rPr>
        <w:t>Suaugusiems žmonėms ir vyresniems negu 16 metų paaugliams</w:t>
      </w:r>
    </w:p>
    <w:p w:rsidR="00ED6990" w:rsidRDefault="00ED6990" w:rsidP="00ED6990">
      <w:r>
        <w:t>Rekomenduojama gerti po vieną tabletę 3 kartus per parą.</w:t>
      </w:r>
    </w:p>
    <w:p w:rsidR="00ED6990" w:rsidRDefault="00ED6990" w:rsidP="00ED6990"/>
    <w:p w:rsidR="00ED6990" w:rsidRPr="00A6122C" w:rsidRDefault="00ED6990" w:rsidP="00ED6990">
      <w:pPr>
        <w:rPr>
          <w:b/>
        </w:rPr>
      </w:pPr>
      <w:proofErr w:type="spellStart"/>
      <w:r w:rsidRPr="00A6122C">
        <w:rPr>
          <w:b/>
        </w:rPr>
        <w:t>Kinetozė</w:t>
      </w:r>
      <w:proofErr w:type="spellEnd"/>
    </w:p>
    <w:p w:rsidR="00ED6990" w:rsidRPr="00240201" w:rsidRDefault="00ED6990" w:rsidP="00ED6990">
      <w:pPr>
        <w:jc w:val="both"/>
        <w:rPr>
          <w:i/>
        </w:rPr>
      </w:pPr>
      <w:r>
        <w:rPr>
          <w:i/>
        </w:rPr>
        <w:t>Suaugusiems žmonėms ir vyresniems negu 16 metų paaugliams</w:t>
      </w:r>
    </w:p>
    <w:p w:rsidR="00ED6990" w:rsidRDefault="00ED6990" w:rsidP="00ED6990">
      <w:r>
        <w:t>Rekomenduojama vieną tabletę gerti likus 2 valandoms iki kelionės ir po vieną tabletę 2 kartus per parą kelionės metu.</w:t>
      </w:r>
    </w:p>
    <w:p w:rsidR="00ED6990" w:rsidRDefault="00ED6990" w:rsidP="00ED6990"/>
    <w:p w:rsidR="00ED6990" w:rsidRPr="00A6122C" w:rsidRDefault="00ED6990" w:rsidP="00ED6990">
      <w:pPr>
        <w:rPr>
          <w:b/>
        </w:rPr>
      </w:pPr>
      <w:r w:rsidRPr="00A6122C">
        <w:rPr>
          <w:b/>
        </w:rPr>
        <w:t>Senyvi žmonės</w:t>
      </w:r>
    </w:p>
    <w:p w:rsidR="00ED6990" w:rsidRPr="000F1650" w:rsidRDefault="00ED6990" w:rsidP="00ED6990">
      <w:r w:rsidRPr="000F1650">
        <w:t>Nėra duomenų, rodančių, kad senyviems žmonėms vaist</w:t>
      </w:r>
      <w:r>
        <w:t>o</w:t>
      </w:r>
      <w:r w:rsidRPr="000F1650">
        <w:t xml:space="preserve"> dozę reikėtų keisti. </w:t>
      </w:r>
    </w:p>
    <w:p w:rsidR="00ED6990" w:rsidRDefault="00ED6990" w:rsidP="00ED6990">
      <w:pPr>
        <w:rPr>
          <w:i/>
        </w:rPr>
      </w:pPr>
    </w:p>
    <w:p w:rsidR="00ED6990" w:rsidRPr="00A6122C" w:rsidRDefault="00ED6990" w:rsidP="00ED6990">
      <w:pPr>
        <w:rPr>
          <w:b/>
        </w:rPr>
      </w:pPr>
      <w:r w:rsidRPr="00A6122C">
        <w:rPr>
          <w:b/>
        </w:rPr>
        <w:lastRenderedPageBreak/>
        <w:t>Vartojimas vaikams ir paaugliams</w:t>
      </w:r>
    </w:p>
    <w:p w:rsidR="00ED6990" w:rsidRPr="0060676F" w:rsidRDefault="00ED6990" w:rsidP="00ED6990">
      <w:r>
        <w:t xml:space="preserve">Vaikų ir jaunesnių negu 16 metų paauglių šiuo vaistu dėl jame esančios 25 mg dozės gydyti negalima. </w:t>
      </w:r>
    </w:p>
    <w:p w:rsidR="00ED6990" w:rsidRDefault="00ED6990" w:rsidP="00ED6990">
      <w:pPr>
        <w:rPr>
          <w:i/>
        </w:rPr>
      </w:pPr>
    </w:p>
    <w:p w:rsidR="00ED6990" w:rsidRPr="00A6122C" w:rsidRDefault="00ED6990" w:rsidP="00ED6990">
      <w:pPr>
        <w:rPr>
          <w:b/>
        </w:rPr>
      </w:pPr>
      <w:r w:rsidRPr="00A6122C">
        <w:rPr>
          <w:b/>
        </w:rPr>
        <w:t>Pacientai, kurių kepenų ar inkstų funkcija sutrikusi</w:t>
      </w:r>
    </w:p>
    <w:p w:rsidR="00ED6990" w:rsidRDefault="00ED6990" w:rsidP="00ED6990">
      <w:r>
        <w:t xml:space="preserve">Jeigu inkstų arba kepenų funkcija susilpnėjusi, dozę kiekvienam pacientui reikia nustatyti atskirai. </w:t>
      </w:r>
    </w:p>
    <w:p w:rsidR="00ED6990" w:rsidRDefault="00ED6990" w:rsidP="00ED6990"/>
    <w:p w:rsidR="00ED6990" w:rsidRPr="00A6122C" w:rsidRDefault="00ED6990" w:rsidP="00ED6990">
      <w:pPr>
        <w:rPr>
          <w:b/>
        </w:rPr>
      </w:pPr>
      <w:r w:rsidRPr="00A6122C">
        <w:rPr>
          <w:b/>
        </w:rPr>
        <w:t>Vartojimo būdas</w:t>
      </w:r>
    </w:p>
    <w:p w:rsidR="00ED6990" w:rsidRDefault="00ED6990" w:rsidP="00ED6990">
      <w:r>
        <w:t>Tabletę rekomenduojama nuryti po valgio, užgeriant pakankamu kiekiu skysčio. Gydymo trukmė priklauso nuo ligos simptomų pobūdžio ir sunkumo.</w:t>
      </w:r>
    </w:p>
    <w:p w:rsidR="00ED6990" w:rsidRPr="00C85679" w:rsidRDefault="00ED6990" w:rsidP="00ED6990">
      <w:pPr>
        <w:pStyle w:val="BTEMEASMCA"/>
      </w:pPr>
    </w:p>
    <w:p w:rsidR="00ED6990" w:rsidRPr="00C85679" w:rsidRDefault="00ED6990" w:rsidP="00ED6990">
      <w:pPr>
        <w:pStyle w:val="PI-3EMEASMCA"/>
      </w:pPr>
      <w:r>
        <w:t>Ką daryti p</w:t>
      </w:r>
      <w:r w:rsidRPr="00C85679">
        <w:t xml:space="preserve">avartojus per didelę </w:t>
      </w:r>
      <w:r>
        <w:t xml:space="preserve">Cinnarizin Actavis </w:t>
      </w:r>
      <w:r w:rsidRPr="00C85679">
        <w:t>dozę</w:t>
      </w:r>
      <w:r>
        <w:t>?</w:t>
      </w:r>
    </w:p>
    <w:p w:rsidR="00ED6990" w:rsidRDefault="00ED6990" w:rsidP="00ED6990">
      <w:pPr>
        <w:rPr>
          <w:iCs/>
        </w:rPr>
      </w:pPr>
      <w:r>
        <w:rPr>
          <w:iCs/>
        </w:rPr>
        <w:t>Dažniausi perdozavimo simptomai yra vėmimas, mieguistumas, sąmonės pritemimas (net koma) ir hipotonija.</w:t>
      </w:r>
      <w:r w:rsidDel="005C6D66">
        <w:rPr>
          <w:iCs/>
        </w:rPr>
        <w:t xml:space="preserve"> </w:t>
      </w:r>
    </w:p>
    <w:p w:rsidR="00ED6990" w:rsidRDefault="00ED6990" w:rsidP="00ED6990">
      <w:pPr>
        <w:rPr>
          <w:szCs w:val="26"/>
        </w:rPr>
      </w:pPr>
    </w:p>
    <w:p w:rsidR="00ED6990" w:rsidRPr="00C85679" w:rsidRDefault="00ED6990" w:rsidP="00ED6990">
      <w:pPr>
        <w:pStyle w:val="BTEMEASMCA"/>
      </w:pPr>
      <w:r>
        <w:t xml:space="preserve">Specifinio priešnuodžio nėra. Gydymas yra simptominis ir palaikomasis. Vaisto perdozavus, būtina tuoj pat </w:t>
      </w:r>
      <w:r w:rsidRPr="00C85679">
        <w:t>kreiptis į gydytoją</w:t>
      </w:r>
      <w:r>
        <w:t xml:space="preserve"> arba vykti į artimiausios ligoninės skubiosios medicinos pagalbos skyrių.</w:t>
      </w:r>
    </w:p>
    <w:p w:rsidR="00ED6990" w:rsidRPr="00C85679" w:rsidRDefault="00ED6990" w:rsidP="00ED6990">
      <w:pPr>
        <w:pStyle w:val="BTEMEASMCA"/>
      </w:pPr>
    </w:p>
    <w:p w:rsidR="00ED6990" w:rsidRPr="00C85679" w:rsidRDefault="00ED6990" w:rsidP="00ED6990">
      <w:pPr>
        <w:pStyle w:val="PI-3EMEASMCA"/>
      </w:pPr>
      <w:r w:rsidRPr="00C85679">
        <w:t>Pamiršus pavartoti Cinnarizin</w:t>
      </w:r>
      <w:r>
        <w:t xml:space="preserve"> Actavis</w:t>
      </w:r>
    </w:p>
    <w:p w:rsidR="00ED6990" w:rsidRPr="00C85679" w:rsidRDefault="00ED6990" w:rsidP="00ED6990">
      <w:pPr>
        <w:pStyle w:val="BTEMEASMCA"/>
      </w:pPr>
      <w:r>
        <w:t xml:space="preserve">Praleidę dozę, gerkite ją atėjus kitos dozės vartojimo laikui. </w:t>
      </w:r>
      <w:r w:rsidRPr="00C85679">
        <w:t>Negalima vartoti dvigubos dozės norint kompensuoti praleistą dozę.</w:t>
      </w:r>
    </w:p>
    <w:p w:rsidR="00ED6990" w:rsidRPr="00C85679" w:rsidRDefault="00ED6990" w:rsidP="00ED6990">
      <w:pPr>
        <w:pStyle w:val="BTEMEASMCA"/>
      </w:pPr>
    </w:p>
    <w:p w:rsidR="00ED6990" w:rsidRPr="00C85679" w:rsidRDefault="00ED6990" w:rsidP="00ED6990">
      <w:pPr>
        <w:pStyle w:val="PI-3EMEASMCA"/>
      </w:pPr>
      <w:r w:rsidRPr="00C85679">
        <w:t>Nustojus vartoti Cinnarizin</w:t>
      </w:r>
      <w:r>
        <w:t xml:space="preserve"> Actavis</w:t>
      </w:r>
    </w:p>
    <w:p w:rsidR="00ED6990" w:rsidRPr="00C85679" w:rsidRDefault="00ED6990" w:rsidP="00ED6990">
      <w:pPr>
        <w:pStyle w:val="BTEMEASMCA"/>
        <w:rPr>
          <w:noProof w:val="0"/>
        </w:rPr>
      </w:pPr>
      <w:r>
        <w:t>Vaisto reikia vartoti tiek laiko, kiek gydytojo skirta. Vartojimą nutraukus prieš laiką, gydymas gali būti nesėkmingas.</w:t>
      </w:r>
    </w:p>
    <w:p w:rsidR="00ED6990" w:rsidRDefault="00ED6990" w:rsidP="00ED6990">
      <w:pPr>
        <w:pStyle w:val="BTEMEASMCA"/>
      </w:pPr>
    </w:p>
    <w:p w:rsidR="00ED6990" w:rsidRPr="00C85679" w:rsidRDefault="00ED6990" w:rsidP="00ED6990">
      <w:pPr>
        <w:pStyle w:val="BTEMEASMCA"/>
      </w:pPr>
      <w:r w:rsidRPr="00C85679">
        <w:t>Jeigu kiltų daugiau klausimų dėl šio vaisto vartojimo, kreipkitės į gydytoją arba vaistininką.</w:t>
      </w:r>
    </w:p>
    <w:p w:rsidR="00ED6990" w:rsidRPr="00C85679" w:rsidRDefault="00ED6990" w:rsidP="00ED6990">
      <w:pPr>
        <w:pStyle w:val="BTEMEASMCA"/>
      </w:pPr>
    </w:p>
    <w:p w:rsidR="00ED6990" w:rsidRPr="00C85679" w:rsidRDefault="00ED6990" w:rsidP="00ED6990">
      <w:pPr>
        <w:pStyle w:val="BTEMEASMCA"/>
      </w:pPr>
    </w:p>
    <w:p w:rsidR="00ED6990" w:rsidRPr="00C85679" w:rsidRDefault="00ED6990" w:rsidP="00ED6990">
      <w:pPr>
        <w:pStyle w:val="PI-1EMEASMCA"/>
      </w:pPr>
      <w:bookmarkStart w:id="6" w:name="_Toc129243142"/>
      <w:bookmarkStart w:id="7" w:name="_Toc129243267"/>
      <w:r w:rsidRPr="00C85679">
        <w:t>4.</w:t>
      </w:r>
      <w:r w:rsidRPr="00C85679">
        <w:tab/>
      </w:r>
      <w:bookmarkEnd w:id="6"/>
      <w:bookmarkEnd w:id="7"/>
      <w:r>
        <w:t>Galimas šalutinis poveikis</w:t>
      </w:r>
    </w:p>
    <w:p w:rsidR="00ED6990" w:rsidRDefault="00ED6990" w:rsidP="00ED6990">
      <w:pPr>
        <w:pStyle w:val="BTEMEASMCA"/>
      </w:pPr>
    </w:p>
    <w:p w:rsidR="00ED6990" w:rsidRDefault="00ED6990" w:rsidP="00ED6990">
      <w:pPr>
        <w:pStyle w:val="BTEMEASMCA"/>
      </w:pPr>
      <w:r w:rsidRPr="00B34FA1">
        <w:rPr>
          <w:szCs w:val="24"/>
        </w:rPr>
        <w:t>Šis vaistas, kaip ir visi kiti, gali sukelti šalutinį poveikį, nors jis pasireiškia ne visiems žmonėms.</w:t>
      </w:r>
    </w:p>
    <w:p w:rsidR="00ED6990" w:rsidRPr="00C85679" w:rsidRDefault="00ED6990" w:rsidP="00ED6990">
      <w:pPr>
        <w:pStyle w:val="BTEMEASMCA"/>
      </w:pPr>
    </w:p>
    <w:p w:rsidR="00ED6990" w:rsidRDefault="00ED6990" w:rsidP="00ED6990">
      <w:pPr>
        <w:pStyle w:val="BTEMEASMCA"/>
      </w:pPr>
      <w:r>
        <w:t>Šalutinio poveikio dažnio apibūdinimas:</w:t>
      </w:r>
    </w:p>
    <w:p w:rsidR="00ED6990" w:rsidRPr="00E8456D" w:rsidRDefault="00ED6990" w:rsidP="00ED6990">
      <w:pPr>
        <w:pStyle w:val="Text"/>
        <w:spacing w:line="240" w:lineRule="auto"/>
        <w:ind w:left="0"/>
      </w:pPr>
      <w:proofErr w:type="spellStart"/>
      <w:r>
        <w:t>Labai</w:t>
      </w:r>
      <w:proofErr w:type="spellEnd"/>
      <w:r>
        <w:t xml:space="preserve"> </w:t>
      </w:r>
      <w:proofErr w:type="spellStart"/>
      <w:r>
        <w:t>dažnas</w:t>
      </w:r>
      <w:proofErr w:type="spellEnd"/>
      <w:r>
        <w:t xml:space="preserve"> -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p</w:t>
      </w:r>
      <w:r w:rsidRPr="00E8456D">
        <w:t>asirei</w:t>
      </w:r>
      <w:r>
        <w:t>kšti</w:t>
      </w:r>
      <w:proofErr w:type="spellEnd"/>
      <w:r w:rsidRPr="00E8456D">
        <w:t xml:space="preserve"> </w:t>
      </w:r>
      <w:proofErr w:type="spellStart"/>
      <w:r w:rsidRPr="00E8456D">
        <w:t>daugiau</w:t>
      </w:r>
      <w:proofErr w:type="spellEnd"/>
      <w:r w:rsidRPr="00E8456D">
        <w:t xml:space="preserve"> </w:t>
      </w:r>
      <w:proofErr w:type="spellStart"/>
      <w:r w:rsidRPr="00E8456D">
        <w:t>negu</w:t>
      </w:r>
      <w:proofErr w:type="spellEnd"/>
      <w:r w:rsidRPr="00E8456D">
        <w:t xml:space="preserve"> 1 </w:t>
      </w:r>
      <w:proofErr w:type="spellStart"/>
      <w:r w:rsidRPr="00E8456D">
        <w:t>iš</w:t>
      </w:r>
      <w:proofErr w:type="spellEnd"/>
      <w:r w:rsidRPr="00E8456D">
        <w:t xml:space="preserve"> 10 </w:t>
      </w:r>
      <w:proofErr w:type="spellStart"/>
      <w:r w:rsidRPr="00E8456D">
        <w:t>vartotojų</w:t>
      </w:r>
      <w:proofErr w:type="spellEnd"/>
      <w:r>
        <w:t xml:space="preserve">, </w:t>
      </w:r>
      <w:proofErr w:type="spellStart"/>
      <w:r>
        <w:t>dažnas</w:t>
      </w:r>
      <w:proofErr w:type="spellEnd"/>
      <w:r>
        <w:t xml:space="preserve"> -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p</w:t>
      </w:r>
      <w:r w:rsidRPr="00E8456D">
        <w:t>asirei</w:t>
      </w:r>
      <w:r>
        <w:t>kšti</w:t>
      </w:r>
      <w:proofErr w:type="spellEnd"/>
      <w:r>
        <w:t xml:space="preserve"> </w:t>
      </w:r>
      <w:proofErr w:type="spellStart"/>
      <w:r>
        <w:t>mažiau</w:t>
      </w:r>
      <w:proofErr w:type="spellEnd"/>
      <w:r>
        <w:t xml:space="preserve"> </w:t>
      </w:r>
      <w:proofErr w:type="spellStart"/>
      <w:r>
        <w:t>nei</w:t>
      </w:r>
      <w:proofErr w:type="spellEnd"/>
      <w:r>
        <w:t xml:space="preserve"> </w:t>
      </w:r>
      <w:r w:rsidRPr="00E8456D">
        <w:t>1</w:t>
      </w:r>
      <w:r>
        <w:t xml:space="preserve"> </w:t>
      </w:r>
      <w:proofErr w:type="spellStart"/>
      <w:r>
        <w:t>iš</w:t>
      </w:r>
      <w:proofErr w:type="spellEnd"/>
      <w:r>
        <w:t xml:space="preserve"> </w:t>
      </w:r>
      <w:r w:rsidRPr="00E8456D">
        <w:t xml:space="preserve">10 </w:t>
      </w:r>
      <w:proofErr w:type="spellStart"/>
      <w:r w:rsidRPr="00E8456D">
        <w:t>vartotojų</w:t>
      </w:r>
      <w:proofErr w:type="spellEnd"/>
      <w:r>
        <w:t xml:space="preserve">, </w:t>
      </w:r>
      <w:proofErr w:type="spellStart"/>
      <w:r>
        <w:t>nedažnas</w:t>
      </w:r>
      <w:proofErr w:type="spellEnd"/>
      <w:r>
        <w:t xml:space="preserve"> -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p</w:t>
      </w:r>
      <w:r w:rsidRPr="00E8456D">
        <w:t>asirei</w:t>
      </w:r>
      <w:r>
        <w:t>kšti</w:t>
      </w:r>
      <w:proofErr w:type="spellEnd"/>
      <w:r>
        <w:t xml:space="preserve"> </w:t>
      </w:r>
      <w:proofErr w:type="spellStart"/>
      <w:r>
        <w:t>mažiau</w:t>
      </w:r>
      <w:proofErr w:type="spellEnd"/>
      <w:r>
        <w:t xml:space="preserve"> </w:t>
      </w:r>
      <w:proofErr w:type="spellStart"/>
      <w:r>
        <w:t>nei</w:t>
      </w:r>
      <w:proofErr w:type="spellEnd"/>
      <w:r w:rsidRPr="00E8456D">
        <w:t xml:space="preserve"> 1iš 100 </w:t>
      </w:r>
      <w:proofErr w:type="spellStart"/>
      <w:r w:rsidRPr="00E8456D">
        <w:t>vartotojų</w:t>
      </w:r>
      <w:proofErr w:type="spellEnd"/>
      <w:r>
        <w:t xml:space="preserve">, </w:t>
      </w:r>
      <w:proofErr w:type="spellStart"/>
      <w:r>
        <w:t>retas</w:t>
      </w:r>
      <w:proofErr w:type="spellEnd"/>
      <w:r>
        <w:t xml:space="preserve"> -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pasireikšti</w:t>
      </w:r>
      <w:proofErr w:type="spellEnd"/>
      <w:r>
        <w:t xml:space="preserve"> </w:t>
      </w:r>
      <w:proofErr w:type="spellStart"/>
      <w:r>
        <w:t>mažiau</w:t>
      </w:r>
      <w:proofErr w:type="spellEnd"/>
      <w:r>
        <w:t xml:space="preserve"> </w:t>
      </w:r>
      <w:proofErr w:type="spellStart"/>
      <w:r>
        <w:t>nei</w:t>
      </w:r>
      <w:proofErr w:type="spellEnd"/>
      <w:r>
        <w:t xml:space="preserve"> 1 </w:t>
      </w:r>
      <w:proofErr w:type="spellStart"/>
      <w:r>
        <w:t>iš</w:t>
      </w:r>
      <w:proofErr w:type="spellEnd"/>
      <w:r w:rsidRPr="00E8456D">
        <w:t xml:space="preserve"> 1000 </w:t>
      </w:r>
      <w:proofErr w:type="spellStart"/>
      <w:r w:rsidRPr="00E8456D">
        <w:t>vartotojų</w:t>
      </w:r>
      <w:proofErr w:type="spellEnd"/>
      <w:r>
        <w:t xml:space="preserve">, </w:t>
      </w:r>
      <w:proofErr w:type="spellStart"/>
      <w:r>
        <w:t>labai</w:t>
      </w:r>
      <w:proofErr w:type="spellEnd"/>
      <w:r>
        <w:t xml:space="preserve"> </w:t>
      </w:r>
      <w:proofErr w:type="spellStart"/>
      <w:r>
        <w:t>retas</w:t>
      </w:r>
      <w:proofErr w:type="spellEnd"/>
      <w:r>
        <w:t xml:space="preserve"> -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p</w:t>
      </w:r>
      <w:r w:rsidRPr="00E8456D">
        <w:t>asirei</w:t>
      </w:r>
      <w:r>
        <w:t>kšti</w:t>
      </w:r>
      <w:proofErr w:type="spellEnd"/>
      <w:r w:rsidRPr="00E8456D">
        <w:t xml:space="preserve"> </w:t>
      </w:r>
      <w:proofErr w:type="spellStart"/>
      <w:r w:rsidRPr="00E8456D">
        <w:t>mažiau</w:t>
      </w:r>
      <w:proofErr w:type="spellEnd"/>
      <w:r w:rsidRPr="00E8456D">
        <w:t xml:space="preserve"> </w:t>
      </w:r>
      <w:proofErr w:type="spellStart"/>
      <w:r w:rsidRPr="00E8456D">
        <w:t>ne</w:t>
      </w:r>
      <w:r>
        <w:t>i</w:t>
      </w:r>
      <w:proofErr w:type="spellEnd"/>
      <w:r w:rsidRPr="00E8456D">
        <w:t xml:space="preserve"> 1 </w:t>
      </w:r>
      <w:proofErr w:type="spellStart"/>
      <w:r w:rsidRPr="00E8456D">
        <w:t>iš</w:t>
      </w:r>
      <w:proofErr w:type="spellEnd"/>
      <w:r w:rsidRPr="00E8456D">
        <w:t xml:space="preserve"> 10 000 </w:t>
      </w:r>
      <w:proofErr w:type="spellStart"/>
      <w:r w:rsidRPr="00E8456D">
        <w:t>vartotojų</w:t>
      </w:r>
      <w:proofErr w:type="spellEnd"/>
      <w:r>
        <w:t xml:space="preserve">, </w:t>
      </w:r>
      <w:proofErr w:type="spellStart"/>
      <w:r>
        <w:t>dažnis</w:t>
      </w:r>
      <w:proofErr w:type="spellEnd"/>
      <w:r>
        <w:t xml:space="preserve"> </w:t>
      </w:r>
      <w:proofErr w:type="spellStart"/>
      <w:r>
        <w:t>nežinomas</w:t>
      </w:r>
      <w:proofErr w:type="spellEnd"/>
      <w:r>
        <w:t xml:space="preserve"> - </w:t>
      </w:r>
      <w:r>
        <w:rPr>
          <w:lang w:val="lt-LT"/>
        </w:rPr>
        <w:t>n</w:t>
      </w:r>
      <w:r w:rsidRPr="00C85679">
        <w:rPr>
          <w:lang w:val="lt-LT"/>
        </w:rPr>
        <w:t xml:space="preserve">egali būti </w:t>
      </w:r>
      <w:r>
        <w:rPr>
          <w:lang w:val="lt-LT"/>
        </w:rPr>
        <w:t>apskaičiuotas</w:t>
      </w:r>
      <w:r w:rsidRPr="00C85679">
        <w:rPr>
          <w:lang w:val="lt-LT"/>
        </w:rPr>
        <w:t xml:space="preserve"> pagal turimus duomenis</w:t>
      </w:r>
      <w:r>
        <w:rPr>
          <w:lang w:val="lt-LT"/>
        </w:rPr>
        <w:t>.</w:t>
      </w:r>
    </w:p>
    <w:p w:rsidR="00ED6990" w:rsidRDefault="00ED6990" w:rsidP="00ED6990">
      <w:pPr>
        <w:pStyle w:val="Pagrindinistekstas"/>
        <w:spacing w:after="0"/>
        <w:rPr>
          <w:i/>
          <w:noProof/>
        </w:rPr>
      </w:pPr>
    </w:p>
    <w:p w:rsidR="00ED6990" w:rsidRDefault="00ED6990" w:rsidP="00ED6990">
      <w:pPr>
        <w:pStyle w:val="Pagrindinistekstas"/>
        <w:spacing w:after="0"/>
        <w:rPr>
          <w:i/>
          <w:noProof/>
        </w:rPr>
      </w:pPr>
      <w:r>
        <w:rPr>
          <w:i/>
          <w:noProof/>
        </w:rPr>
        <w:t>Bendrieji sutrikimai ir vartojimo vietos pažeidimai</w:t>
      </w:r>
    </w:p>
    <w:p w:rsidR="00ED6990" w:rsidRDefault="00ED6990" w:rsidP="00ED6990">
      <w:pPr>
        <w:pStyle w:val="Pagrindinistekstas"/>
        <w:spacing w:after="0"/>
        <w:rPr>
          <w:color w:val="000000"/>
          <w:szCs w:val="22"/>
        </w:rPr>
      </w:pPr>
      <w:r>
        <w:rPr>
          <w:color w:val="000000"/>
          <w:szCs w:val="22"/>
        </w:rPr>
        <w:t>Nedažni: bendrasis silpnumas, laikinas nuovargis, ypač gydymo pradžioje.</w:t>
      </w:r>
    </w:p>
    <w:p w:rsidR="00ED6990" w:rsidRDefault="00ED6990" w:rsidP="00ED6990">
      <w:pPr>
        <w:pStyle w:val="Pagrindinistekstas"/>
        <w:spacing w:after="0"/>
        <w:rPr>
          <w:color w:val="000000"/>
          <w:szCs w:val="22"/>
        </w:rPr>
      </w:pPr>
      <w:r>
        <w:rPr>
          <w:color w:val="000000"/>
          <w:szCs w:val="22"/>
        </w:rPr>
        <w:t>Reti: kūno svorio padidėjimas (ilgalaikio gydymo metu).</w:t>
      </w:r>
    </w:p>
    <w:p w:rsidR="00ED6990" w:rsidRDefault="00ED6990" w:rsidP="00ED6990">
      <w:pPr>
        <w:pStyle w:val="Pagrindinistekstas"/>
        <w:spacing w:after="0"/>
        <w:rPr>
          <w:color w:val="000000"/>
          <w:szCs w:val="22"/>
        </w:rPr>
      </w:pPr>
    </w:p>
    <w:p w:rsidR="00ED6990" w:rsidRDefault="00ED6990" w:rsidP="00ED6990">
      <w:pPr>
        <w:pStyle w:val="Pagrindinistekstas"/>
        <w:spacing w:after="0"/>
        <w:rPr>
          <w:i/>
          <w:color w:val="000000"/>
          <w:szCs w:val="22"/>
        </w:rPr>
      </w:pPr>
      <w:r>
        <w:rPr>
          <w:i/>
          <w:noProof/>
        </w:rPr>
        <w:t>Virškinimo trakto sutrikimai</w:t>
      </w:r>
      <w:r>
        <w:rPr>
          <w:i/>
          <w:color w:val="000000"/>
          <w:szCs w:val="22"/>
        </w:rPr>
        <w:t xml:space="preserve"> </w:t>
      </w:r>
    </w:p>
    <w:p w:rsidR="00ED6990" w:rsidRDefault="00ED6990" w:rsidP="00ED6990">
      <w:pPr>
        <w:pStyle w:val="Pagrindinistekstas"/>
        <w:spacing w:after="0"/>
        <w:rPr>
          <w:color w:val="000000"/>
          <w:szCs w:val="22"/>
        </w:rPr>
      </w:pPr>
      <w:r>
        <w:rPr>
          <w:color w:val="000000"/>
          <w:szCs w:val="22"/>
        </w:rPr>
        <w:t xml:space="preserve">Reti: virškinimo trakto veiklos sutrikimas, burnos džiūvimas. </w:t>
      </w:r>
    </w:p>
    <w:p w:rsidR="00ED6990" w:rsidRDefault="00ED6990" w:rsidP="00ED6990">
      <w:pPr>
        <w:pStyle w:val="Pagrindinistekstas"/>
        <w:spacing w:after="0"/>
        <w:rPr>
          <w:color w:val="000000"/>
          <w:szCs w:val="22"/>
        </w:rPr>
      </w:pPr>
    </w:p>
    <w:p w:rsidR="00ED6990" w:rsidRDefault="00ED6990" w:rsidP="00ED6990">
      <w:pPr>
        <w:pStyle w:val="Pagrindinistekstas"/>
        <w:spacing w:after="0"/>
        <w:rPr>
          <w:i/>
          <w:color w:val="000000"/>
          <w:szCs w:val="22"/>
        </w:rPr>
      </w:pPr>
      <w:r>
        <w:rPr>
          <w:i/>
          <w:noProof/>
        </w:rPr>
        <w:t>Odos ir poodinio audinio sutrikimai</w:t>
      </w:r>
      <w:r>
        <w:rPr>
          <w:i/>
          <w:color w:val="000000"/>
          <w:szCs w:val="22"/>
        </w:rPr>
        <w:t xml:space="preserve"> </w:t>
      </w:r>
    </w:p>
    <w:p w:rsidR="00ED6990" w:rsidRDefault="00ED6990" w:rsidP="00ED6990">
      <w:pPr>
        <w:pStyle w:val="Pagrindinistekstas"/>
        <w:spacing w:after="0"/>
        <w:rPr>
          <w:color w:val="000000"/>
          <w:szCs w:val="22"/>
        </w:rPr>
      </w:pPr>
      <w:r>
        <w:rPr>
          <w:color w:val="000000"/>
          <w:szCs w:val="22"/>
        </w:rPr>
        <w:t>Reti: padidėjusio jautrumo reakcijos: odos išbėrimas, jautrumo šviesai padidėjimas, prakaitavimas (ilgalaikio gydymo metu).</w:t>
      </w:r>
    </w:p>
    <w:p w:rsidR="00ED6990" w:rsidRDefault="00ED6990" w:rsidP="00ED6990">
      <w:pPr>
        <w:pStyle w:val="Pagrindinistekstas"/>
        <w:spacing w:after="0"/>
        <w:rPr>
          <w:color w:val="000000"/>
          <w:szCs w:val="22"/>
        </w:rPr>
      </w:pPr>
      <w:r>
        <w:rPr>
          <w:color w:val="000000"/>
          <w:szCs w:val="22"/>
        </w:rPr>
        <w:t xml:space="preserve">Labai reti: raudonoji vilkligė arba plokščioji raudonoji </w:t>
      </w:r>
      <w:proofErr w:type="spellStart"/>
      <w:r>
        <w:rPr>
          <w:color w:val="000000"/>
          <w:szCs w:val="22"/>
        </w:rPr>
        <w:t>kerpligė</w:t>
      </w:r>
      <w:proofErr w:type="spellEnd"/>
      <w:r>
        <w:rPr>
          <w:color w:val="000000"/>
          <w:szCs w:val="22"/>
        </w:rPr>
        <w:t xml:space="preserve">. </w:t>
      </w:r>
    </w:p>
    <w:p w:rsidR="00ED6990" w:rsidRDefault="00ED6990" w:rsidP="00ED6990">
      <w:pPr>
        <w:pStyle w:val="Pagrindinistekstas"/>
        <w:spacing w:after="0"/>
        <w:rPr>
          <w:i/>
          <w:noProof/>
        </w:rPr>
      </w:pPr>
    </w:p>
    <w:p w:rsidR="00ED6990" w:rsidRDefault="00ED6990" w:rsidP="00ED6990">
      <w:pPr>
        <w:pStyle w:val="Pagrindinistekstas"/>
        <w:spacing w:after="0"/>
        <w:rPr>
          <w:i/>
          <w:color w:val="000000"/>
          <w:szCs w:val="22"/>
        </w:rPr>
      </w:pPr>
      <w:r>
        <w:rPr>
          <w:i/>
          <w:noProof/>
        </w:rPr>
        <w:t>Nervų sistemos sutrikimai</w:t>
      </w:r>
      <w:r>
        <w:rPr>
          <w:i/>
          <w:color w:val="000000"/>
          <w:szCs w:val="22"/>
        </w:rPr>
        <w:t xml:space="preserve"> </w:t>
      </w:r>
    </w:p>
    <w:p w:rsidR="00ED6990" w:rsidRDefault="00ED6990" w:rsidP="00ED6990">
      <w:pPr>
        <w:pStyle w:val="Pagrindinistekstas"/>
        <w:spacing w:after="0"/>
        <w:rPr>
          <w:color w:val="000000"/>
          <w:szCs w:val="22"/>
        </w:rPr>
      </w:pPr>
      <w:r>
        <w:rPr>
          <w:color w:val="000000"/>
          <w:szCs w:val="22"/>
        </w:rPr>
        <w:t xml:space="preserve">Reti: galvos skausmas, koordinacijos sutrikimas, mieguistumas (net gilus </w:t>
      </w:r>
      <w:proofErr w:type="spellStart"/>
      <w:r>
        <w:rPr>
          <w:color w:val="000000"/>
          <w:szCs w:val="22"/>
        </w:rPr>
        <w:t>įmigis</w:t>
      </w:r>
      <w:proofErr w:type="spellEnd"/>
      <w:r>
        <w:rPr>
          <w:color w:val="000000"/>
          <w:szCs w:val="22"/>
        </w:rPr>
        <w:t>).</w:t>
      </w:r>
    </w:p>
    <w:p w:rsidR="00ED6990" w:rsidRDefault="00ED6990" w:rsidP="00ED6990">
      <w:pPr>
        <w:pStyle w:val="Pagrindinistekstas"/>
        <w:spacing w:after="0"/>
        <w:rPr>
          <w:color w:val="000000"/>
          <w:szCs w:val="22"/>
        </w:rPr>
      </w:pPr>
      <w:r>
        <w:rPr>
          <w:color w:val="000000"/>
          <w:szCs w:val="22"/>
        </w:rPr>
        <w:t xml:space="preserve">Pavieniai atvejai (dažnis nežinomas): depresija, kalbos sutrikimas, ypač senyviems pacientams, ilgalaikio gydymo metu </w:t>
      </w:r>
      <w:r>
        <w:rPr>
          <w:color w:val="000000"/>
          <w:szCs w:val="22"/>
        </w:rPr>
        <w:sym w:font="Symbol" w:char="F02D"/>
      </w:r>
      <w:r>
        <w:rPr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ekstrapiramidiniai</w:t>
      </w:r>
      <w:proofErr w:type="spellEnd"/>
      <w:r>
        <w:rPr>
          <w:color w:val="000000"/>
          <w:szCs w:val="22"/>
        </w:rPr>
        <w:t xml:space="preserve"> sutrikimai: </w:t>
      </w:r>
      <w:proofErr w:type="spellStart"/>
      <w:r>
        <w:rPr>
          <w:color w:val="000000"/>
          <w:szCs w:val="22"/>
        </w:rPr>
        <w:t>tremoras</w:t>
      </w:r>
      <w:proofErr w:type="spellEnd"/>
      <w:r>
        <w:rPr>
          <w:color w:val="000000"/>
          <w:szCs w:val="22"/>
        </w:rPr>
        <w:t xml:space="preserve">, raumenų stingulys, </w:t>
      </w:r>
      <w:proofErr w:type="spellStart"/>
      <w:r>
        <w:rPr>
          <w:color w:val="000000"/>
          <w:szCs w:val="22"/>
        </w:rPr>
        <w:t>hipokinezija</w:t>
      </w:r>
      <w:proofErr w:type="spellEnd"/>
      <w:r>
        <w:rPr>
          <w:color w:val="000000"/>
          <w:szCs w:val="22"/>
        </w:rPr>
        <w:t xml:space="preserve"> ar kt.</w:t>
      </w:r>
    </w:p>
    <w:p w:rsidR="00ED6990" w:rsidRPr="00C85679" w:rsidRDefault="00ED6990" w:rsidP="00ED6990">
      <w:pPr>
        <w:pStyle w:val="Pagrindinistekstas"/>
        <w:spacing w:after="0"/>
        <w:rPr>
          <w:szCs w:val="22"/>
        </w:rPr>
      </w:pPr>
    </w:p>
    <w:p w:rsidR="00ED6990" w:rsidRPr="00C85679" w:rsidRDefault="00ED6990" w:rsidP="00ED6990">
      <w:pPr>
        <w:pStyle w:val="Pagrindinistekstas"/>
        <w:spacing w:after="0"/>
        <w:rPr>
          <w:rFonts w:ascii="Verdana" w:hAnsi="Verdana"/>
          <w:color w:val="000000"/>
          <w:szCs w:val="22"/>
        </w:rPr>
      </w:pPr>
      <w:r w:rsidRPr="00C85679">
        <w:rPr>
          <w:szCs w:val="22"/>
        </w:rPr>
        <w:lastRenderedPageBreak/>
        <w:t xml:space="preserve">Atsiradus </w:t>
      </w:r>
      <w:r>
        <w:rPr>
          <w:szCs w:val="22"/>
        </w:rPr>
        <w:t>minėtam</w:t>
      </w:r>
      <w:r w:rsidRPr="00C85679">
        <w:rPr>
          <w:szCs w:val="22"/>
        </w:rPr>
        <w:t xml:space="preserve"> šalutiniam poveikiui, </w:t>
      </w:r>
      <w:r>
        <w:rPr>
          <w:szCs w:val="22"/>
        </w:rPr>
        <w:t xml:space="preserve">informuokite </w:t>
      </w:r>
      <w:r w:rsidRPr="00C85679">
        <w:rPr>
          <w:szCs w:val="22"/>
        </w:rPr>
        <w:t>savo gydytoją, kad jis galėtų nustatyti j</w:t>
      </w:r>
      <w:r>
        <w:t>o</w:t>
      </w:r>
      <w:r w:rsidRPr="00C85679">
        <w:rPr>
          <w:szCs w:val="22"/>
        </w:rPr>
        <w:t xml:space="preserve"> sunkumą ir nuspręsti, kokių tolesnių priemonių reikia imtis. Paprastai šalutinis poveikis išnyksta sumažinus dozę, </w:t>
      </w:r>
      <w:r>
        <w:rPr>
          <w:szCs w:val="22"/>
        </w:rPr>
        <w:t xml:space="preserve">tačiau tiksliai </w:t>
      </w:r>
      <w:r w:rsidRPr="00C85679">
        <w:rPr>
          <w:szCs w:val="22"/>
        </w:rPr>
        <w:t xml:space="preserve">vartojant gydytojo </w:t>
      </w:r>
      <w:r>
        <w:rPr>
          <w:szCs w:val="22"/>
        </w:rPr>
        <w:t xml:space="preserve">skirtą </w:t>
      </w:r>
      <w:r w:rsidRPr="00C85679">
        <w:rPr>
          <w:szCs w:val="22"/>
        </w:rPr>
        <w:t>dozę</w:t>
      </w:r>
      <w:r>
        <w:rPr>
          <w:szCs w:val="22"/>
        </w:rPr>
        <w:t>,</w:t>
      </w:r>
      <w:r w:rsidRPr="00C85679">
        <w:rPr>
          <w:szCs w:val="22"/>
        </w:rPr>
        <w:t xml:space="preserve"> jo </w:t>
      </w:r>
      <w:r>
        <w:rPr>
          <w:szCs w:val="22"/>
        </w:rPr>
        <w:t xml:space="preserve">paprastai </w:t>
      </w:r>
      <w:r w:rsidRPr="00C85679">
        <w:rPr>
          <w:szCs w:val="22"/>
        </w:rPr>
        <w:t>pavyksta išvengti</w:t>
      </w:r>
      <w:r>
        <w:rPr>
          <w:szCs w:val="22"/>
        </w:rPr>
        <w:t>.</w:t>
      </w:r>
    </w:p>
    <w:p w:rsidR="00ED6990" w:rsidRDefault="00ED6990" w:rsidP="00ED6990">
      <w:pPr>
        <w:pStyle w:val="BTEMEASMCA"/>
      </w:pPr>
    </w:p>
    <w:p w:rsidR="00ED6990" w:rsidRPr="00C85679" w:rsidRDefault="00ED6990" w:rsidP="00ED6990">
      <w:pPr>
        <w:pStyle w:val="BTEMEASMCA"/>
      </w:pPr>
    </w:p>
    <w:p w:rsidR="00ED6990" w:rsidRPr="00AE5A6B" w:rsidRDefault="00ED6990" w:rsidP="00ED6990">
      <w:pPr>
        <w:ind w:right="-449"/>
        <w:rPr>
          <w:u w:val="single"/>
        </w:rPr>
      </w:pPr>
      <w:r w:rsidRPr="005036D0">
        <w:rPr>
          <w:b/>
          <w:noProof/>
          <w:szCs w:val="22"/>
        </w:rPr>
        <w:t>Pranešimas apie šalutinį poveikį</w:t>
      </w:r>
    </w:p>
    <w:p w:rsidR="00ED6990" w:rsidRPr="00A7136B" w:rsidRDefault="00ED6990" w:rsidP="00ED6990">
      <w:pPr>
        <w:ind w:right="-449"/>
        <w:rPr>
          <w:noProof/>
          <w:snapToGrid w:val="0"/>
          <w:szCs w:val="24"/>
          <w:lang w:eastAsia="en-US"/>
        </w:rPr>
      </w:pPr>
      <w:r w:rsidRPr="00C85679">
        <w:t>Jeigu pasireiškė sunkus šalutinis poveikis arba pastebėjote šiame lapelyje nenurodytą šalutinį poveikį, pasakykite gydytojui arba vaistininkui</w:t>
      </w:r>
      <w:r>
        <w:t>.</w:t>
      </w:r>
      <w:r w:rsidRPr="00A7136B">
        <w:rPr>
          <w:snapToGrid w:val="0"/>
          <w:lang w:eastAsia="en-US"/>
        </w:rPr>
        <w:t xml:space="preserve"> Apie šalutinį poveikį taip pat galite pranešti Valstybinei vaistų kontrolės tarnybai prie Lietuvos Respublikos sveikatos apsaugos ministerijos nemokamu t</w:t>
      </w:r>
      <w:r w:rsidRPr="00A7136B">
        <w:rPr>
          <w:snapToGrid w:val="0"/>
          <w:lang w:eastAsia="zh-CN"/>
        </w:rPr>
        <w:t>elefonu 8 800 73568</w:t>
      </w:r>
      <w:r w:rsidRPr="00A7136B">
        <w:rPr>
          <w:snapToGrid w:val="0"/>
          <w:lang w:eastAsia="en-US"/>
        </w:rPr>
        <w:t xml:space="preserve"> arba užpildyti interneto svetainėje </w:t>
      </w:r>
      <w:hyperlink r:id="rId5" w:history="1">
        <w:r w:rsidRPr="00A7136B">
          <w:rPr>
            <w:rFonts w:eastAsia="SimSun"/>
            <w:snapToGrid w:val="0"/>
            <w:color w:val="0000FF"/>
            <w:u w:val="single"/>
            <w:lang w:eastAsia="en-US"/>
          </w:rPr>
          <w:t>www.vvkt.lt</w:t>
        </w:r>
      </w:hyperlink>
      <w:r w:rsidRPr="00A7136B">
        <w:rPr>
          <w:snapToGrid w:val="0"/>
          <w:lang w:eastAsia="en-US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A7136B">
        <w:rPr>
          <w:snapToGrid w:val="0"/>
          <w:lang w:eastAsia="zh-CN"/>
        </w:rPr>
        <w:t xml:space="preserve">nemokamu </w:t>
      </w:r>
      <w:r w:rsidRPr="00A7136B">
        <w:rPr>
          <w:snapToGrid w:val="0"/>
          <w:lang w:eastAsia="en-US"/>
        </w:rPr>
        <w:t>fakso numeriu 8 800 20131</w:t>
      </w:r>
      <w:r w:rsidRPr="00A7136B">
        <w:rPr>
          <w:snapToGrid w:val="0"/>
          <w:lang w:eastAsia="zh-CN"/>
        </w:rPr>
        <w:t xml:space="preserve">, </w:t>
      </w:r>
      <w:r w:rsidRPr="00A7136B">
        <w:rPr>
          <w:snapToGrid w:val="0"/>
          <w:lang w:eastAsia="en-US"/>
        </w:rPr>
        <w:t xml:space="preserve">el. paštu </w:t>
      </w:r>
      <w:hyperlink r:id="rId6" w:history="1">
        <w:r w:rsidRPr="00A7136B">
          <w:rPr>
            <w:rFonts w:eastAsia="SimSun"/>
            <w:snapToGrid w:val="0"/>
            <w:color w:val="0000FF"/>
            <w:u w:val="single"/>
            <w:lang w:eastAsia="en-US"/>
          </w:rPr>
          <w:t>NepageidaujamaR@vvkt.lt</w:t>
        </w:r>
      </w:hyperlink>
      <w:r w:rsidRPr="00A7136B">
        <w:rPr>
          <w:snapToGrid w:val="0"/>
          <w:lang w:eastAsia="en-US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A7136B">
          <w:rPr>
            <w:rFonts w:eastAsia="SimSun"/>
            <w:snapToGrid w:val="0"/>
            <w:color w:val="0000FF"/>
            <w:u w:val="single"/>
            <w:lang w:eastAsia="en-US"/>
          </w:rPr>
          <w:t>http://www.vvkt.lt</w:t>
        </w:r>
      </w:hyperlink>
      <w:r w:rsidRPr="00A7136B">
        <w:rPr>
          <w:snapToGrid w:val="0"/>
          <w:lang w:eastAsia="en-US"/>
        </w:rPr>
        <w:t>). Pranešdami apie šalutinį poveikį galite mums padėti gauti daugiau informacijos apie šio vaisto saugumą.</w:t>
      </w:r>
    </w:p>
    <w:p w:rsidR="00ED6990" w:rsidRPr="00C85679" w:rsidRDefault="00ED6990" w:rsidP="00ED6990">
      <w:pPr>
        <w:pStyle w:val="BTEMEASMCA"/>
      </w:pPr>
    </w:p>
    <w:p w:rsidR="00ED6990" w:rsidRPr="00C85679" w:rsidRDefault="00ED6990" w:rsidP="00ED6990">
      <w:pPr>
        <w:pStyle w:val="BTEMEASMCA"/>
      </w:pPr>
    </w:p>
    <w:p w:rsidR="00ED6990" w:rsidRPr="00C85679" w:rsidRDefault="00ED6990" w:rsidP="00ED6990">
      <w:pPr>
        <w:pStyle w:val="Pagrindinistekstas"/>
        <w:spacing w:after="0"/>
        <w:ind w:left="720" w:hanging="720"/>
        <w:rPr>
          <w:b/>
          <w:szCs w:val="22"/>
        </w:rPr>
      </w:pPr>
      <w:bookmarkStart w:id="8" w:name="_Toc129243143"/>
      <w:bookmarkStart w:id="9" w:name="_Toc129243268"/>
      <w:r w:rsidRPr="00C85679">
        <w:rPr>
          <w:b/>
          <w:szCs w:val="22"/>
        </w:rPr>
        <w:t>5.</w:t>
      </w:r>
      <w:r w:rsidRPr="00C85679">
        <w:rPr>
          <w:b/>
          <w:szCs w:val="22"/>
        </w:rPr>
        <w:tab/>
      </w:r>
      <w:r>
        <w:rPr>
          <w:b/>
          <w:szCs w:val="22"/>
        </w:rPr>
        <w:t xml:space="preserve">Kaip laikyti </w:t>
      </w:r>
      <w:proofErr w:type="spellStart"/>
      <w:r>
        <w:rPr>
          <w:b/>
          <w:szCs w:val="22"/>
        </w:rPr>
        <w:t>Cinnarizin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Actavis</w:t>
      </w:r>
      <w:proofErr w:type="spellEnd"/>
    </w:p>
    <w:p w:rsidR="00ED6990" w:rsidRPr="00C85679" w:rsidRDefault="00ED6990" w:rsidP="00ED6990">
      <w:pPr>
        <w:pStyle w:val="Pagrindinistekstas"/>
        <w:spacing w:after="0"/>
        <w:rPr>
          <w:szCs w:val="22"/>
        </w:rPr>
      </w:pPr>
    </w:p>
    <w:p w:rsidR="00ED6990" w:rsidRPr="00C85679" w:rsidRDefault="00ED6990" w:rsidP="00ED6990">
      <w:pPr>
        <w:pStyle w:val="Pagrindinistekstas"/>
        <w:spacing w:after="0"/>
        <w:rPr>
          <w:szCs w:val="22"/>
        </w:rPr>
      </w:pPr>
      <w:r w:rsidRPr="00A7136B">
        <w:rPr>
          <w:szCs w:val="22"/>
        </w:rPr>
        <w:t>Šį vaistą laikykite vaikams nepastebimoje ir nepasiekiamoje vietoje</w:t>
      </w:r>
    </w:p>
    <w:p w:rsidR="00ED6990" w:rsidRPr="00C85679" w:rsidRDefault="00ED6990" w:rsidP="00ED6990">
      <w:pPr>
        <w:pStyle w:val="Pagrindinistekstas"/>
        <w:spacing w:after="0"/>
        <w:rPr>
          <w:szCs w:val="22"/>
        </w:rPr>
      </w:pPr>
      <w:r w:rsidRPr="00C85679">
        <w:rPr>
          <w:rFonts w:eastAsia="Arial Unicode MS"/>
          <w:szCs w:val="22"/>
        </w:rPr>
        <w:t>Laikyti ne aukštesnėje kaip 25 °C temperatūroje.</w:t>
      </w:r>
    </w:p>
    <w:p w:rsidR="00ED6990" w:rsidRPr="00C85679" w:rsidRDefault="00ED6990" w:rsidP="00ED6990">
      <w:pPr>
        <w:pStyle w:val="BTEMEASMCA"/>
      </w:pPr>
    </w:p>
    <w:p w:rsidR="00ED6990" w:rsidRPr="000C467A" w:rsidRDefault="00ED6990" w:rsidP="00ED6990">
      <w:pPr>
        <w:pStyle w:val="BTEMEASMCA"/>
      </w:pPr>
      <w:r w:rsidRPr="000C467A">
        <w:t xml:space="preserve">Ant </w:t>
      </w:r>
      <w:r>
        <w:t xml:space="preserve">kartono </w:t>
      </w:r>
      <w:r w:rsidRPr="000C467A">
        <w:t xml:space="preserve">dėžutės </w:t>
      </w:r>
      <w:r>
        <w:t>po „EXP</w:t>
      </w:r>
      <w:r w:rsidRPr="00C37350">
        <w:rPr>
          <w:highlight w:val="lightGray"/>
        </w:rPr>
        <w:t>/</w:t>
      </w:r>
      <w:r w:rsidRPr="002D3074">
        <w:rPr>
          <w:highlight w:val="lightGray"/>
        </w:rPr>
        <w:t>Tinka iki</w:t>
      </w:r>
      <w:r>
        <w:t xml:space="preserve">“ </w:t>
      </w:r>
      <w:r w:rsidRPr="000C467A">
        <w:t xml:space="preserve">ir lizdinės plokštelės nurodytam tinkamumo laikui pasibaigus, </w:t>
      </w:r>
      <w:r>
        <w:t>šio vaisto</w:t>
      </w:r>
      <w:r w:rsidRPr="000C467A">
        <w:t xml:space="preserve"> vartoti negalima. Vaistas tinkamas vartoti iki paskutinės nurodyto mėnesio dienos.</w:t>
      </w:r>
    </w:p>
    <w:p w:rsidR="00ED6990" w:rsidRPr="000C467A" w:rsidRDefault="00ED6990" w:rsidP="00ED6990">
      <w:pPr>
        <w:pStyle w:val="BTEMEASMCA"/>
      </w:pPr>
    </w:p>
    <w:p w:rsidR="00ED6990" w:rsidRPr="000C467A" w:rsidRDefault="00ED6990" w:rsidP="00ED6990">
      <w:pPr>
        <w:pStyle w:val="BTEMEASMCA"/>
      </w:pPr>
      <w:r w:rsidRPr="000C467A">
        <w:t xml:space="preserve">Vaistų negalima </w:t>
      </w:r>
      <w:r>
        <w:t>išmesti</w:t>
      </w:r>
      <w:r w:rsidRPr="000C467A">
        <w:t xml:space="preserve"> į kanalizaciją arba su buitinėmis atliekomis. Kaip </w:t>
      </w:r>
      <w:r>
        <w:t>išmesti</w:t>
      </w:r>
      <w:r w:rsidRPr="000C467A">
        <w:t xml:space="preserve"> nereikalingus vaistus, klauskite vaistininko. Šios priemonės padės apsaugoti aplinką.</w:t>
      </w:r>
    </w:p>
    <w:p w:rsidR="00ED6990" w:rsidRDefault="00ED6990" w:rsidP="00ED6990">
      <w:pPr>
        <w:pStyle w:val="Antrat2"/>
        <w:ind w:left="720" w:hanging="720"/>
        <w:rPr>
          <w:i/>
          <w:szCs w:val="22"/>
        </w:rPr>
      </w:pPr>
    </w:p>
    <w:bookmarkEnd w:id="8"/>
    <w:bookmarkEnd w:id="9"/>
    <w:p w:rsidR="00ED6990" w:rsidRDefault="00ED6990" w:rsidP="00ED6990"/>
    <w:p w:rsidR="00ED6990" w:rsidRDefault="00ED6990" w:rsidP="00ED6990">
      <w:pPr>
        <w:numPr>
          <w:ilvl w:val="12"/>
          <w:numId w:val="0"/>
        </w:numPr>
        <w:ind w:left="567" w:hanging="567"/>
        <w:outlineLvl w:val="0"/>
        <w:rPr>
          <w:b/>
        </w:rPr>
      </w:pPr>
      <w:r>
        <w:rPr>
          <w:b/>
        </w:rPr>
        <w:t>6.</w:t>
      </w:r>
      <w:r>
        <w:tab/>
      </w:r>
      <w:r>
        <w:rPr>
          <w:b/>
        </w:rPr>
        <w:t>Pakuotės turinys ir kita informacija</w:t>
      </w:r>
    </w:p>
    <w:p w:rsidR="00ED6990" w:rsidRDefault="00ED6990" w:rsidP="00ED6990">
      <w:pPr>
        <w:ind w:left="567" w:hanging="567"/>
      </w:pPr>
    </w:p>
    <w:p w:rsidR="00ED6990" w:rsidRPr="00C85679" w:rsidRDefault="00ED6990" w:rsidP="00ED6990">
      <w:pPr>
        <w:pStyle w:val="PI-3EMEASMCA"/>
      </w:pPr>
      <w:r w:rsidRPr="00C85679">
        <w:t>Cinnarizin</w:t>
      </w:r>
      <w:r>
        <w:t xml:space="preserve"> Actavis</w:t>
      </w:r>
      <w:r w:rsidRPr="00C85679">
        <w:t xml:space="preserve"> sudėtis</w:t>
      </w:r>
    </w:p>
    <w:p w:rsidR="00ED6990" w:rsidRDefault="00ED6990" w:rsidP="00ED6990">
      <w:pPr>
        <w:pStyle w:val="Pagrindinistekstas"/>
        <w:tabs>
          <w:tab w:val="left" w:pos="567"/>
        </w:tabs>
        <w:spacing w:after="0"/>
        <w:rPr>
          <w:color w:val="000000"/>
          <w:szCs w:val="22"/>
        </w:rPr>
      </w:pPr>
      <w:r w:rsidRPr="00C85679">
        <w:rPr>
          <w:color w:val="000000"/>
          <w:szCs w:val="22"/>
        </w:rPr>
        <w:t>-</w:t>
      </w:r>
      <w:r w:rsidRPr="00C85679">
        <w:rPr>
          <w:color w:val="000000"/>
          <w:szCs w:val="22"/>
        </w:rPr>
        <w:tab/>
        <w:t xml:space="preserve">Veiklioji medžiaga </w:t>
      </w:r>
      <w:r>
        <w:rPr>
          <w:color w:val="000000"/>
          <w:szCs w:val="22"/>
        </w:rPr>
        <w:t xml:space="preserve">yra </w:t>
      </w:r>
      <w:proofErr w:type="spellStart"/>
      <w:r w:rsidRPr="00C85679">
        <w:rPr>
          <w:color w:val="000000"/>
          <w:szCs w:val="22"/>
        </w:rPr>
        <w:t>cinarizinas</w:t>
      </w:r>
      <w:proofErr w:type="spellEnd"/>
      <w:r w:rsidRPr="00C85679">
        <w:rPr>
          <w:color w:val="000000"/>
          <w:szCs w:val="22"/>
        </w:rPr>
        <w:t>.</w:t>
      </w:r>
      <w:r w:rsidRPr="00C85679">
        <w:rPr>
          <w:b/>
          <w:bCs/>
          <w:color w:val="000000"/>
          <w:szCs w:val="22"/>
        </w:rPr>
        <w:t xml:space="preserve"> </w:t>
      </w:r>
      <w:r w:rsidRPr="006C14FA">
        <w:rPr>
          <w:bCs/>
          <w:color w:val="000000"/>
          <w:szCs w:val="22"/>
        </w:rPr>
        <w:t xml:space="preserve">Kiekvienoje tabletėje yra 25 mg </w:t>
      </w:r>
      <w:proofErr w:type="spellStart"/>
      <w:r w:rsidRPr="006C14FA">
        <w:rPr>
          <w:bCs/>
          <w:color w:val="000000"/>
          <w:szCs w:val="22"/>
        </w:rPr>
        <w:t>cinarizino</w:t>
      </w:r>
      <w:proofErr w:type="spellEnd"/>
      <w:r w:rsidRPr="006C14FA">
        <w:rPr>
          <w:color w:val="000000"/>
          <w:szCs w:val="22"/>
        </w:rPr>
        <w:t>.</w:t>
      </w:r>
    </w:p>
    <w:p w:rsidR="00ED6990" w:rsidRDefault="00ED6990" w:rsidP="00ED6990">
      <w:pPr>
        <w:ind w:left="567" w:hanging="567"/>
      </w:pPr>
      <w:r w:rsidRPr="00C85679">
        <w:rPr>
          <w:szCs w:val="22"/>
        </w:rPr>
        <w:t>-</w:t>
      </w:r>
      <w:r w:rsidRPr="00C85679">
        <w:rPr>
          <w:szCs w:val="22"/>
        </w:rPr>
        <w:tab/>
        <w:t>Pagalbinės medžiagos</w:t>
      </w:r>
      <w:r>
        <w:rPr>
          <w:szCs w:val="22"/>
        </w:rPr>
        <w:t>: l</w:t>
      </w:r>
      <w:r>
        <w:t xml:space="preserve">aktozė </w:t>
      </w:r>
      <w:proofErr w:type="spellStart"/>
      <w:r>
        <w:t>monohidratas</w:t>
      </w:r>
      <w:proofErr w:type="spellEnd"/>
      <w:r>
        <w:t xml:space="preserve">, kviečių krakmolas, </w:t>
      </w:r>
      <w:proofErr w:type="spellStart"/>
      <w:r>
        <w:t>povidonas</w:t>
      </w:r>
      <w:proofErr w:type="spellEnd"/>
      <w:r>
        <w:t xml:space="preserve">, bevandenis koloidinis silicio dioksidas ir magnio </w:t>
      </w:r>
      <w:proofErr w:type="spellStart"/>
      <w:r>
        <w:t>stearatas</w:t>
      </w:r>
      <w:proofErr w:type="spellEnd"/>
      <w:r>
        <w:t>.</w:t>
      </w:r>
    </w:p>
    <w:p w:rsidR="00ED6990" w:rsidRDefault="00ED6990" w:rsidP="00ED6990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ED6990" w:rsidRPr="006C14FA" w:rsidRDefault="00ED6990" w:rsidP="00ED6990">
      <w:pPr>
        <w:pStyle w:val="Pagrindinistekstas"/>
        <w:tabs>
          <w:tab w:val="left" w:pos="567"/>
        </w:tabs>
        <w:spacing w:after="0"/>
        <w:rPr>
          <w:b/>
        </w:rPr>
      </w:pPr>
      <w:proofErr w:type="spellStart"/>
      <w:r w:rsidRPr="006C14FA">
        <w:rPr>
          <w:b/>
        </w:rPr>
        <w:t>Cinnarizin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Actavis</w:t>
      </w:r>
      <w:proofErr w:type="spellEnd"/>
      <w:r w:rsidRPr="006C14FA">
        <w:rPr>
          <w:b/>
        </w:rPr>
        <w:t xml:space="preserve"> išvaizda ir kiekis pakuotėje</w:t>
      </w:r>
    </w:p>
    <w:p w:rsidR="00ED6990" w:rsidRPr="000C467A" w:rsidRDefault="00ED6990" w:rsidP="00ED6990">
      <w:pPr>
        <w:pStyle w:val="BTEMEASMCA"/>
      </w:pPr>
      <w:r w:rsidRPr="000C467A">
        <w:t xml:space="preserve">Cinnarizin Actavis tabletės yra baltos, apvalios, </w:t>
      </w:r>
      <w:r>
        <w:t>abipusiai išgaubtos, 7 mm diametro.</w:t>
      </w:r>
    </w:p>
    <w:p w:rsidR="00ED6990" w:rsidRDefault="00ED6990" w:rsidP="00ED6990">
      <w:pPr>
        <w:pStyle w:val="Pagrindinistekstas"/>
        <w:spacing w:after="0"/>
        <w:rPr>
          <w:szCs w:val="22"/>
        </w:rPr>
      </w:pPr>
    </w:p>
    <w:p w:rsidR="00ED6990" w:rsidRPr="006C14FA" w:rsidRDefault="00ED6990" w:rsidP="00ED6990">
      <w:pPr>
        <w:pStyle w:val="Pagrindinistekstas"/>
        <w:spacing w:after="0"/>
        <w:rPr>
          <w:i/>
          <w:szCs w:val="22"/>
        </w:rPr>
      </w:pPr>
      <w:r w:rsidRPr="006C14FA">
        <w:rPr>
          <w:i/>
          <w:szCs w:val="22"/>
        </w:rPr>
        <w:t>Pakuotės dydis</w:t>
      </w:r>
    </w:p>
    <w:p w:rsidR="00ED6990" w:rsidRPr="00021FF1" w:rsidRDefault="00ED6990" w:rsidP="00ED6990">
      <w:pPr>
        <w:pStyle w:val="Pagrindinistekstas"/>
        <w:spacing w:after="0"/>
      </w:pPr>
      <w:r w:rsidRPr="00C85679">
        <w:rPr>
          <w:color w:val="000000"/>
          <w:szCs w:val="22"/>
        </w:rPr>
        <w:t>Karton</w:t>
      </w:r>
      <w:r>
        <w:rPr>
          <w:color w:val="000000"/>
          <w:szCs w:val="22"/>
        </w:rPr>
        <w:t>inė</w:t>
      </w:r>
      <w:r w:rsidRPr="00C85679">
        <w:rPr>
          <w:color w:val="000000"/>
          <w:szCs w:val="22"/>
        </w:rPr>
        <w:t xml:space="preserve"> dėžutė</w:t>
      </w:r>
      <w:r>
        <w:rPr>
          <w:color w:val="000000"/>
          <w:szCs w:val="22"/>
        </w:rPr>
        <w:t>, kurioje yra 50 tablečių, supakuotų į lizdines plokšteles.</w:t>
      </w:r>
    </w:p>
    <w:p w:rsidR="00ED6990" w:rsidRPr="00C85679" w:rsidRDefault="00ED6990" w:rsidP="00ED6990">
      <w:pPr>
        <w:pStyle w:val="PI-3EMEASMCA"/>
      </w:pPr>
    </w:p>
    <w:p w:rsidR="00ED6990" w:rsidRDefault="00ED6990" w:rsidP="00ED6990">
      <w:pPr>
        <w:pStyle w:val="PI-3EMEASMCA"/>
      </w:pPr>
      <w:r>
        <w:t>Registruotojas</w:t>
      </w:r>
      <w:r w:rsidRPr="00C85679">
        <w:t xml:space="preserve"> ir gamintojas</w:t>
      </w:r>
    </w:p>
    <w:p w:rsidR="00ED6990" w:rsidRPr="000C467A" w:rsidRDefault="00ED6990" w:rsidP="00ED6990">
      <w:pPr>
        <w:pStyle w:val="BTEMEASMCA"/>
        <w:rPr>
          <w:i/>
        </w:rPr>
      </w:pPr>
      <w:r>
        <w:rPr>
          <w:i/>
        </w:rPr>
        <w:t>Registruotojas</w:t>
      </w:r>
    </w:p>
    <w:p w:rsidR="00ED6990" w:rsidRDefault="00ED6990" w:rsidP="00ED6990">
      <w:pPr>
        <w:ind w:left="567" w:hanging="567"/>
      </w:pPr>
      <w:proofErr w:type="spellStart"/>
      <w:r w:rsidRPr="0008364B">
        <w:t>Teva</w:t>
      </w:r>
      <w:proofErr w:type="spellEnd"/>
      <w:r w:rsidRPr="0008364B">
        <w:t xml:space="preserve"> B.V. </w:t>
      </w:r>
    </w:p>
    <w:p w:rsidR="00ED6990" w:rsidRDefault="00ED6990" w:rsidP="00ED6990">
      <w:pPr>
        <w:ind w:left="567" w:hanging="567"/>
      </w:pPr>
      <w:proofErr w:type="spellStart"/>
      <w:r w:rsidRPr="0008364B">
        <w:t>Swensweg</w:t>
      </w:r>
      <w:proofErr w:type="spellEnd"/>
      <w:r w:rsidRPr="0008364B">
        <w:t xml:space="preserve"> 5 </w:t>
      </w:r>
    </w:p>
    <w:p w:rsidR="00ED6990" w:rsidRDefault="00ED6990" w:rsidP="00ED6990">
      <w:pPr>
        <w:ind w:left="567" w:hanging="567"/>
      </w:pPr>
      <w:r w:rsidRPr="0008364B">
        <w:t xml:space="preserve">2031GA </w:t>
      </w:r>
      <w:proofErr w:type="spellStart"/>
      <w:r w:rsidRPr="0008364B">
        <w:t>Haarlem</w:t>
      </w:r>
      <w:proofErr w:type="spellEnd"/>
      <w:r w:rsidRPr="0008364B">
        <w:t xml:space="preserve"> </w:t>
      </w:r>
    </w:p>
    <w:p w:rsidR="00ED6990" w:rsidRDefault="00ED6990" w:rsidP="00ED6990">
      <w:pPr>
        <w:ind w:left="567" w:hanging="567"/>
      </w:pPr>
      <w:r w:rsidRPr="0008364B">
        <w:t>Nyderlandai</w:t>
      </w:r>
    </w:p>
    <w:p w:rsidR="00ED6990" w:rsidRPr="00E8456D" w:rsidRDefault="00ED6990" w:rsidP="00ED6990">
      <w:pPr>
        <w:pStyle w:val="BTEMEASMCA"/>
      </w:pPr>
    </w:p>
    <w:p w:rsidR="00ED6990" w:rsidRPr="00E8456D" w:rsidRDefault="00ED6990" w:rsidP="00ED6990">
      <w:pPr>
        <w:ind w:left="567" w:hanging="567"/>
        <w:rPr>
          <w:i/>
        </w:rPr>
      </w:pPr>
      <w:r w:rsidRPr="00E8456D">
        <w:rPr>
          <w:i/>
        </w:rPr>
        <w:t>Gamintoja</w:t>
      </w:r>
      <w:r>
        <w:rPr>
          <w:i/>
        </w:rPr>
        <w:t>s</w:t>
      </w:r>
    </w:p>
    <w:p w:rsidR="00ED6990" w:rsidRPr="00A6122C" w:rsidRDefault="00ED6990" w:rsidP="00ED6990">
      <w:pPr>
        <w:rPr>
          <w:highlight w:val="lightGray"/>
        </w:rPr>
      </w:pPr>
      <w:proofErr w:type="spellStart"/>
      <w:r w:rsidRPr="00A6122C">
        <w:rPr>
          <w:highlight w:val="lightGray"/>
        </w:rPr>
        <w:t>Balkanpharma-Dupnitsa</w:t>
      </w:r>
      <w:proofErr w:type="spellEnd"/>
      <w:r w:rsidRPr="00A6122C">
        <w:rPr>
          <w:highlight w:val="lightGray"/>
        </w:rPr>
        <w:t xml:space="preserve"> AD,</w:t>
      </w:r>
    </w:p>
    <w:p w:rsidR="00ED6990" w:rsidRPr="00A6122C" w:rsidRDefault="00ED6990" w:rsidP="00ED6990">
      <w:pPr>
        <w:rPr>
          <w:highlight w:val="lightGray"/>
        </w:rPr>
      </w:pPr>
      <w:r w:rsidRPr="00A6122C">
        <w:rPr>
          <w:szCs w:val="22"/>
          <w:highlight w:val="lightGray"/>
        </w:rPr>
        <w:t xml:space="preserve">3, </w:t>
      </w:r>
      <w:proofErr w:type="spellStart"/>
      <w:r w:rsidRPr="00A6122C">
        <w:rPr>
          <w:szCs w:val="22"/>
          <w:highlight w:val="lightGray"/>
        </w:rPr>
        <w:t>Samokovsko</w:t>
      </w:r>
      <w:proofErr w:type="spellEnd"/>
      <w:r w:rsidRPr="00A6122C">
        <w:rPr>
          <w:szCs w:val="22"/>
          <w:highlight w:val="lightGray"/>
        </w:rPr>
        <w:t xml:space="preserve"> </w:t>
      </w:r>
      <w:proofErr w:type="spellStart"/>
      <w:r w:rsidRPr="00A6122C">
        <w:rPr>
          <w:szCs w:val="22"/>
          <w:highlight w:val="lightGray"/>
        </w:rPr>
        <w:t>shosse</w:t>
      </w:r>
      <w:proofErr w:type="spellEnd"/>
      <w:r w:rsidRPr="00A6122C">
        <w:rPr>
          <w:szCs w:val="22"/>
          <w:highlight w:val="lightGray"/>
        </w:rPr>
        <w:t xml:space="preserve"> Str., </w:t>
      </w:r>
      <w:proofErr w:type="spellStart"/>
      <w:r w:rsidRPr="00A6122C">
        <w:rPr>
          <w:szCs w:val="22"/>
          <w:highlight w:val="lightGray"/>
        </w:rPr>
        <w:t>Dupnitsa</w:t>
      </w:r>
      <w:proofErr w:type="spellEnd"/>
      <w:r w:rsidRPr="00A6122C">
        <w:rPr>
          <w:highlight w:val="lightGray"/>
        </w:rPr>
        <w:t xml:space="preserve"> </w:t>
      </w:r>
    </w:p>
    <w:p w:rsidR="00ED6990" w:rsidRPr="00A6122C" w:rsidRDefault="00ED6990" w:rsidP="00ED6990">
      <w:pPr>
        <w:rPr>
          <w:highlight w:val="lightGray"/>
        </w:rPr>
      </w:pPr>
      <w:r w:rsidRPr="00A6122C">
        <w:rPr>
          <w:highlight w:val="lightGray"/>
        </w:rPr>
        <w:t>Bulgarija</w:t>
      </w:r>
    </w:p>
    <w:p w:rsidR="00ED6990" w:rsidRPr="00A6122C" w:rsidRDefault="00ED6990" w:rsidP="00ED6990">
      <w:pPr>
        <w:pStyle w:val="Pagrindinistekstas"/>
        <w:spacing w:after="0"/>
        <w:rPr>
          <w:highlight w:val="lightGray"/>
        </w:rPr>
      </w:pPr>
    </w:p>
    <w:p w:rsidR="00ED6990" w:rsidRPr="00A6122C" w:rsidRDefault="00ED6990" w:rsidP="00ED6990">
      <w:pPr>
        <w:rPr>
          <w:szCs w:val="22"/>
          <w:highlight w:val="lightGray"/>
        </w:rPr>
      </w:pPr>
      <w:proofErr w:type="spellStart"/>
      <w:r w:rsidRPr="00A6122C">
        <w:rPr>
          <w:szCs w:val="22"/>
          <w:highlight w:val="lightGray"/>
        </w:rPr>
        <w:t>Balkanpharma-Razgrad</w:t>
      </w:r>
      <w:proofErr w:type="spellEnd"/>
      <w:r w:rsidRPr="00A6122C">
        <w:rPr>
          <w:szCs w:val="22"/>
          <w:highlight w:val="lightGray"/>
        </w:rPr>
        <w:t xml:space="preserve"> AD</w:t>
      </w:r>
    </w:p>
    <w:p w:rsidR="00ED6990" w:rsidRPr="00A6122C" w:rsidRDefault="00ED6990" w:rsidP="00ED6990">
      <w:pPr>
        <w:rPr>
          <w:szCs w:val="22"/>
          <w:highlight w:val="lightGray"/>
        </w:rPr>
      </w:pPr>
      <w:r w:rsidRPr="00A6122C">
        <w:rPr>
          <w:szCs w:val="22"/>
          <w:highlight w:val="lightGray"/>
        </w:rPr>
        <w:t xml:space="preserve">68, </w:t>
      </w:r>
      <w:proofErr w:type="spellStart"/>
      <w:r w:rsidRPr="00A6122C">
        <w:rPr>
          <w:szCs w:val="22"/>
          <w:highlight w:val="lightGray"/>
        </w:rPr>
        <w:t>Aprilsko</w:t>
      </w:r>
      <w:proofErr w:type="spellEnd"/>
      <w:r w:rsidRPr="00A6122C">
        <w:rPr>
          <w:szCs w:val="22"/>
          <w:highlight w:val="lightGray"/>
        </w:rPr>
        <w:t xml:space="preserve"> </w:t>
      </w:r>
      <w:proofErr w:type="spellStart"/>
      <w:r w:rsidRPr="00A6122C">
        <w:rPr>
          <w:szCs w:val="22"/>
          <w:highlight w:val="lightGray"/>
        </w:rPr>
        <w:t>Vastanie</w:t>
      </w:r>
      <w:proofErr w:type="spellEnd"/>
      <w:r w:rsidRPr="00A6122C">
        <w:rPr>
          <w:szCs w:val="22"/>
          <w:highlight w:val="lightGray"/>
        </w:rPr>
        <w:t xml:space="preserve"> </w:t>
      </w:r>
      <w:proofErr w:type="spellStart"/>
      <w:r w:rsidRPr="00A6122C">
        <w:rPr>
          <w:szCs w:val="22"/>
          <w:highlight w:val="lightGray"/>
        </w:rPr>
        <w:t>Blvd</w:t>
      </w:r>
      <w:proofErr w:type="spellEnd"/>
      <w:r w:rsidRPr="00A6122C">
        <w:rPr>
          <w:szCs w:val="22"/>
          <w:highlight w:val="lightGray"/>
        </w:rPr>
        <w:t xml:space="preserve">. </w:t>
      </w:r>
    </w:p>
    <w:p w:rsidR="00ED6990" w:rsidRPr="00A6122C" w:rsidRDefault="00ED6990" w:rsidP="00ED6990">
      <w:pPr>
        <w:rPr>
          <w:szCs w:val="22"/>
          <w:highlight w:val="lightGray"/>
        </w:rPr>
      </w:pPr>
      <w:r w:rsidRPr="00A6122C">
        <w:rPr>
          <w:szCs w:val="22"/>
          <w:highlight w:val="lightGray"/>
        </w:rPr>
        <w:lastRenderedPageBreak/>
        <w:t xml:space="preserve">7200 </w:t>
      </w:r>
      <w:proofErr w:type="spellStart"/>
      <w:r w:rsidRPr="00A6122C">
        <w:rPr>
          <w:szCs w:val="22"/>
          <w:highlight w:val="lightGray"/>
        </w:rPr>
        <w:t>Razgrad</w:t>
      </w:r>
      <w:proofErr w:type="spellEnd"/>
      <w:r w:rsidRPr="00A6122C">
        <w:rPr>
          <w:szCs w:val="22"/>
          <w:highlight w:val="lightGray"/>
        </w:rPr>
        <w:t xml:space="preserve"> </w:t>
      </w:r>
    </w:p>
    <w:p w:rsidR="00ED6990" w:rsidRPr="006007B7" w:rsidRDefault="00ED6990" w:rsidP="00ED6990">
      <w:pPr>
        <w:rPr>
          <w:szCs w:val="22"/>
        </w:rPr>
      </w:pPr>
      <w:r w:rsidRPr="00A6122C">
        <w:rPr>
          <w:szCs w:val="22"/>
          <w:highlight w:val="lightGray"/>
        </w:rPr>
        <w:t>Bulgarija</w:t>
      </w:r>
    </w:p>
    <w:p w:rsidR="00ED6990" w:rsidRDefault="00ED6990" w:rsidP="00ED6990">
      <w:pPr>
        <w:pStyle w:val="Pagrindinistekstas"/>
        <w:spacing w:after="0"/>
      </w:pPr>
    </w:p>
    <w:p w:rsidR="00ED6990" w:rsidRDefault="00ED6990" w:rsidP="00ED6990">
      <w:pPr>
        <w:rPr>
          <w:noProof/>
        </w:rPr>
      </w:pPr>
      <w:r>
        <w:rPr>
          <w:noProof/>
        </w:rPr>
        <w:t>Jeigu apie šį vaistą norite sužinoti daugiau, kreipkitės į registruotojo atstovą.</w:t>
      </w:r>
    </w:p>
    <w:p w:rsidR="00ED6990" w:rsidRPr="00BC10D2" w:rsidRDefault="00ED6990" w:rsidP="00ED6990">
      <w:pPr>
        <w:rPr>
          <w:szCs w:val="22"/>
        </w:rPr>
      </w:pPr>
      <w:r w:rsidRPr="00BC10D2">
        <w:rPr>
          <w:szCs w:val="22"/>
        </w:rPr>
        <w:t xml:space="preserve">UAB </w:t>
      </w:r>
      <w:proofErr w:type="spellStart"/>
      <w:r>
        <w:rPr>
          <w:szCs w:val="22"/>
        </w:rPr>
        <w:t>Teva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Baltics</w:t>
      </w:r>
      <w:proofErr w:type="spellEnd"/>
    </w:p>
    <w:p w:rsidR="00ED6990" w:rsidRPr="00BC10D2" w:rsidRDefault="00ED6990" w:rsidP="00ED6990">
      <w:pPr>
        <w:rPr>
          <w:szCs w:val="22"/>
        </w:rPr>
      </w:pPr>
      <w:r w:rsidRPr="00BC10D2">
        <w:rPr>
          <w:szCs w:val="22"/>
        </w:rPr>
        <w:t>Molėtų pl. 5</w:t>
      </w:r>
    </w:p>
    <w:p w:rsidR="00ED6990" w:rsidRPr="00BC10D2" w:rsidRDefault="00ED6990" w:rsidP="00ED6990">
      <w:pPr>
        <w:rPr>
          <w:szCs w:val="22"/>
        </w:rPr>
      </w:pPr>
      <w:r w:rsidRPr="00BC10D2">
        <w:rPr>
          <w:szCs w:val="22"/>
        </w:rPr>
        <w:t>LT-08409 Vilnius</w:t>
      </w:r>
    </w:p>
    <w:p w:rsidR="00ED6990" w:rsidRPr="00BC10D2" w:rsidRDefault="00ED6990" w:rsidP="00ED6990">
      <w:pPr>
        <w:rPr>
          <w:b/>
          <w:bCs/>
          <w:szCs w:val="22"/>
          <w:lang w:eastAsia="en-US"/>
        </w:rPr>
      </w:pPr>
      <w:r w:rsidRPr="00BC10D2">
        <w:rPr>
          <w:szCs w:val="22"/>
        </w:rPr>
        <w:t>Tel.: +370 5 266 02 03</w:t>
      </w:r>
    </w:p>
    <w:p w:rsidR="00ED6990" w:rsidRDefault="00ED6990" w:rsidP="00ED6990"/>
    <w:p w:rsidR="00ED6990" w:rsidRPr="00DF4173" w:rsidRDefault="00ED6990" w:rsidP="00ED6990">
      <w:pPr>
        <w:pStyle w:val="BTbEMEASMCA"/>
        <w:rPr>
          <w:noProof w:val="0"/>
        </w:rPr>
      </w:pPr>
      <w:r>
        <w:rPr>
          <w:bCs/>
          <w:noProof w:val="0"/>
        </w:rPr>
        <w:t xml:space="preserve">Šis </w:t>
      </w:r>
      <w:r w:rsidRPr="00DF4173">
        <w:rPr>
          <w:bCs/>
          <w:noProof w:val="0"/>
        </w:rPr>
        <w:t>pakuotės lapelis</w:t>
      </w:r>
      <w:r w:rsidRPr="00DF4173">
        <w:rPr>
          <w:noProof w:val="0"/>
        </w:rPr>
        <w:t xml:space="preserve"> paskutinį kartą </w:t>
      </w:r>
      <w:r>
        <w:rPr>
          <w:noProof w:val="0"/>
        </w:rPr>
        <w:t xml:space="preserve">peržiūrėtas 2023-05-25. </w:t>
      </w:r>
    </w:p>
    <w:p w:rsidR="00ED6990" w:rsidRDefault="00ED6990" w:rsidP="00ED6990"/>
    <w:p w:rsidR="00ED6990" w:rsidRPr="00DF4173" w:rsidRDefault="00ED6990" w:rsidP="00ED6990">
      <w:pPr>
        <w:pStyle w:val="BTEMEASMCA"/>
      </w:pPr>
      <w:r w:rsidRPr="00B34FA1">
        <w:t xml:space="preserve">Išsami informacija apie šį </w:t>
      </w:r>
      <w:r w:rsidRPr="00B34FA1">
        <w:rPr>
          <w:szCs w:val="24"/>
        </w:rPr>
        <w:t>vaistą</w:t>
      </w:r>
      <w:r w:rsidRPr="00B34FA1">
        <w:t xml:space="preserve"> pateikiama Valstybinės vaistų kontrolės tarnybos prie Lietuvos Respublikos sveikatos apsaugos ministerijos tinklalapyje</w:t>
      </w:r>
      <w:r w:rsidRPr="00B34FA1">
        <w:rPr>
          <w:i/>
          <w:szCs w:val="24"/>
        </w:rPr>
        <w:t xml:space="preserve"> </w:t>
      </w:r>
      <w:hyperlink r:id="rId8" w:history="1">
        <w:r w:rsidRPr="007B498C">
          <w:rPr>
            <w:rStyle w:val="Hipersaitas"/>
          </w:rPr>
          <w:t>http://www.vvkt.lt/</w:t>
        </w:r>
      </w:hyperlink>
      <w:r>
        <w:rPr>
          <w:rStyle w:val="Hipersaitas"/>
        </w:rPr>
        <w:t>.</w:t>
      </w:r>
    </w:p>
    <w:p w:rsidR="00ED6990" w:rsidRDefault="00ED6990" w:rsidP="00ED6990"/>
    <w:p w:rsidR="009041DB" w:rsidRDefault="009041DB">
      <w:bookmarkStart w:id="10" w:name="_GoBack"/>
      <w:bookmarkEnd w:id="10"/>
    </w:p>
    <w:sectPr w:rsidR="009041DB" w:rsidSect="007003F6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4A73EA"/>
    <w:multiLevelType w:val="hybridMultilevel"/>
    <w:tmpl w:val="30AEE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990"/>
    <w:rsid w:val="00004415"/>
    <w:rsid w:val="00234094"/>
    <w:rsid w:val="002A211A"/>
    <w:rsid w:val="00344695"/>
    <w:rsid w:val="00356AB3"/>
    <w:rsid w:val="004216A4"/>
    <w:rsid w:val="005311B8"/>
    <w:rsid w:val="006860E9"/>
    <w:rsid w:val="007003F6"/>
    <w:rsid w:val="009041DB"/>
    <w:rsid w:val="00975D35"/>
    <w:rsid w:val="00D9054B"/>
    <w:rsid w:val="00D95EFF"/>
    <w:rsid w:val="00ED6990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1168F2-5896-45FB-8BAC-16DA5BA95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D6990"/>
    <w:pPr>
      <w:spacing w:after="0" w:line="240" w:lineRule="auto"/>
    </w:pPr>
    <w:rPr>
      <w:rFonts w:ascii="Times New Roman" w:hAnsi="Times New Roman" w:cs="Times New Roman"/>
      <w:szCs w:val="20"/>
      <w:lang w:eastAsia="lt-LT"/>
    </w:rPr>
  </w:style>
  <w:style w:type="paragraph" w:styleId="Antrat2">
    <w:name w:val="heading 2"/>
    <w:basedOn w:val="prastasis"/>
    <w:next w:val="prastasis"/>
    <w:link w:val="Antrat2Diagrama"/>
    <w:autoRedefine/>
    <w:qFormat/>
    <w:rsid w:val="00ED6990"/>
    <w:pPr>
      <w:keepNext/>
      <w:outlineLvl w:val="1"/>
    </w:pPr>
    <w:rPr>
      <w:b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D699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ED6990"/>
    <w:rPr>
      <w:rFonts w:ascii="Times New Roman" w:hAnsi="Times New Roman" w:cs="Times New Roman"/>
      <w:b/>
      <w:szCs w:val="20"/>
      <w:lang w:eastAsia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D6990"/>
    <w:rPr>
      <w:rFonts w:asciiTheme="majorHAnsi" w:eastAsiaTheme="majorEastAsia" w:hAnsiTheme="majorHAnsi" w:cstheme="majorBidi"/>
      <w:b/>
      <w:bCs/>
      <w:i/>
      <w:iCs/>
      <w:color w:val="5B9BD5" w:themeColor="accent1"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ED6990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6990"/>
    <w:rPr>
      <w:rFonts w:ascii="Times New Roman" w:hAnsi="Times New Roman" w:cs="Times New Roman"/>
      <w:szCs w:val="20"/>
      <w:lang w:eastAsia="lt-LT"/>
    </w:rPr>
  </w:style>
  <w:style w:type="paragraph" w:customStyle="1" w:styleId="BTEMEASMCA">
    <w:name w:val="BT EMEA_SMCA"/>
    <w:basedOn w:val="prastasis"/>
    <w:link w:val="BTEMEASMCAChar"/>
    <w:autoRedefine/>
    <w:rsid w:val="00ED6990"/>
    <w:rPr>
      <w:noProof/>
      <w:szCs w:val="22"/>
      <w:lang w:eastAsia="en-US"/>
    </w:rPr>
  </w:style>
  <w:style w:type="character" w:customStyle="1" w:styleId="BTEMEASMCAChar">
    <w:name w:val="BT EMEA_SMCA Char"/>
    <w:basedOn w:val="Numatytasispastraiposriftas"/>
    <w:link w:val="BTEMEASMCA"/>
    <w:rsid w:val="00ED6990"/>
    <w:rPr>
      <w:rFonts w:ascii="Times New Roman" w:hAnsi="Times New Roman" w:cs="Times New Roman"/>
      <w:noProof/>
    </w:rPr>
  </w:style>
  <w:style w:type="paragraph" w:customStyle="1" w:styleId="Text">
    <w:name w:val="Text"/>
    <w:rsid w:val="00ED6990"/>
    <w:pPr>
      <w:spacing w:after="0" w:line="240" w:lineRule="atLeast"/>
      <w:ind w:left="568"/>
    </w:pPr>
    <w:rPr>
      <w:rFonts w:ascii="Times New Roman" w:hAnsi="Times New Roman" w:cs="Times New Roman"/>
      <w:snapToGrid w:val="0"/>
      <w:lang w:val="de-DE" w:eastAsia="lt-LT"/>
    </w:rPr>
  </w:style>
  <w:style w:type="character" w:styleId="Hipersaitas">
    <w:name w:val="Hyperlink"/>
    <w:basedOn w:val="Numatytasispastraiposriftas"/>
    <w:rsid w:val="00ED6990"/>
    <w:rPr>
      <w:color w:val="0000FF"/>
      <w:u w:val="single"/>
    </w:rPr>
  </w:style>
  <w:style w:type="paragraph" w:customStyle="1" w:styleId="PI-1EMEASMCA">
    <w:name w:val="PI-1 EMEA_SMCA"/>
    <w:basedOn w:val="Antrat2"/>
    <w:autoRedefine/>
    <w:rsid w:val="00ED6990"/>
    <w:pPr>
      <w:tabs>
        <w:tab w:val="left" w:pos="567"/>
      </w:tabs>
      <w:ind w:left="567" w:hanging="567"/>
    </w:pPr>
    <w:rPr>
      <w:szCs w:val="22"/>
      <w:lang w:eastAsia="en-US"/>
    </w:rPr>
  </w:style>
  <w:style w:type="paragraph" w:customStyle="1" w:styleId="BT-EMEASMCA">
    <w:name w:val="BT- EMEA_SMCA"/>
    <w:basedOn w:val="BTEMEASMCA"/>
    <w:autoRedefine/>
    <w:rsid w:val="00ED6990"/>
    <w:pPr>
      <w:tabs>
        <w:tab w:val="left" w:pos="567"/>
      </w:tabs>
      <w:ind w:left="360"/>
    </w:pPr>
    <w:rPr>
      <w:noProof w:val="0"/>
    </w:rPr>
  </w:style>
  <w:style w:type="paragraph" w:customStyle="1" w:styleId="PI-3EMEASMCA">
    <w:name w:val="PI-3 EMEA_SMCA"/>
    <w:basedOn w:val="prastasis"/>
    <w:autoRedefine/>
    <w:rsid w:val="00ED6990"/>
    <w:rPr>
      <w:b/>
      <w:bCs/>
      <w:noProof/>
      <w:color w:val="000000"/>
      <w:szCs w:val="24"/>
      <w:lang w:eastAsia="en-US"/>
    </w:rPr>
  </w:style>
  <w:style w:type="paragraph" w:customStyle="1" w:styleId="BTbEMEASMCA">
    <w:name w:val="BT(b) EMEA_SMCA"/>
    <w:basedOn w:val="BTEMEASMCA"/>
    <w:autoRedefine/>
    <w:rsid w:val="00ED6990"/>
    <w:rPr>
      <w:b/>
    </w:rPr>
  </w:style>
  <w:style w:type="paragraph" w:customStyle="1" w:styleId="BTeEMEASMCA">
    <w:name w:val="BT(e) EMEA_SMCA"/>
    <w:basedOn w:val="BTEMEASMCA"/>
    <w:autoRedefine/>
    <w:rsid w:val="00ED6990"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6687</Words>
  <Characters>3812</Characters>
  <Application>Microsoft Office Word</Application>
  <DocSecurity>0</DocSecurity>
  <Lines>31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2023-05-25T05:33:00Z</dcterms:created>
  <dcterms:modified xsi:type="dcterms:W3CDTF">2023-05-25T05:34:00Z</dcterms:modified>
</cp:coreProperties>
</file>