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sz w:val="22"/>
          <w:szCs w:val="22"/>
        </w:rPr>
      </w:pPr>
    </w:p>
    <w:p w:rsidR="009B7E2A" w:rsidRPr="00B461CE" w:rsidRDefault="009B7E2A" w:rsidP="009B7E2A">
      <w:pPr>
        <w:jc w:val="center"/>
        <w:rPr>
          <w:b/>
          <w:bCs/>
          <w:sz w:val="22"/>
          <w:szCs w:val="22"/>
        </w:rPr>
      </w:pPr>
      <w:r w:rsidRPr="00B461CE">
        <w:rPr>
          <w:b/>
          <w:bCs/>
          <w:sz w:val="22"/>
          <w:szCs w:val="22"/>
        </w:rPr>
        <w:t>I PRIEDAS</w:t>
      </w:r>
    </w:p>
    <w:p w:rsidR="009B7E2A" w:rsidRPr="00B461CE" w:rsidRDefault="009B7E2A" w:rsidP="009B7E2A">
      <w:pPr>
        <w:jc w:val="center"/>
        <w:rPr>
          <w:b/>
          <w:bCs/>
          <w:sz w:val="22"/>
          <w:szCs w:val="22"/>
        </w:rPr>
      </w:pPr>
    </w:p>
    <w:p w:rsidR="009B7E2A" w:rsidRPr="00B461CE" w:rsidRDefault="009B7E2A" w:rsidP="009B7E2A">
      <w:pPr>
        <w:jc w:val="center"/>
        <w:rPr>
          <w:b/>
          <w:bCs/>
          <w:sz w:val="22"/>
          <w:szCs w:val="22"/>
        </w:rPr>
      </w:pPr>
      <w:r w:rsidRPr="00B461CE">
        <w:rPr>
          <w:b/>
          <w:bCs/>
          <w:sz w:val="22"/>
          <w:szCs w:val="22"/>
        </w:rPr>
        <w:t>PREPARATO CHARAKTERISTIKŲ SANTRAUKA</w:t>
      </w:r>
    </w:p>
    <w:p w:rsidR="009B7E2A" w:rsidRPr="00B461CE" w:rsidRDefault="009B7E2A" w:rsidP="009B7E2A">
      <w:pPr>
        <w:jc w:val="center"/>
        <w:rPr>
          <w:b/>
          <w:bCs/>
          <w:sz w:val="22"/>
          <w:szCs w:val="22"/>
        </w:rPr>
      </w:pPr>
    </w:p>
    <w:p w:rsidR="009B7E2A" w:rsidRPr="00B461CE" w:rsidRDefault="009B7E2A" w:rsidP="009B7E2A">
      <w:pPr>
        <w:tabs>
          <w:tab w:val="left" w:pos="567"/>
        </w:tabs>
        <w:rPr>
          <w:b/>
          <w:bCs/>
          <w:sz w:val="22"/>
          <w:szCs w:val="22"/>
        </w:rPr>
      </w:pPr>
      <w:r w:rsidRPr="00B461CE">
        <w:rPr>
          <w:b/>
          <w:bCs/>
          <w:sz w:val="22"/>
          <w:szCs w:val="22"/>
        </w:rPr>
        <w:br w:type="page"/>
      </w:r>
      <w:r w:rsidRPr="00B461CE">
        <w:rPr>
          <w:b/>
          <w:bCs/>
          <w:sz w:val="22"/>
          <w:szCs w:val="22"/>
        </w:rPr>
        <w:lastRenderedPageBreak/>
        <w:t>1.</w:t>
      </w:r>
      <w:r w:rsidRPr="00B461CE">
        <w:rPr>
          <w:b/>
          <w:bCs/>
          <w:sz w:val="22"/>
          <w:szCs w:val="22"/>
        </w:rPr>
        <w:tab/>
        <w:t>VAISTINIO PREPARATO PAVADINIMAS</w:t>
      </w:r>
    </w:p>
    <w:p w:rsidR="009B7E2A" w:rsidRPr="00B461CE" w:rsidRDefault="009B7E2A" w:rsidP="009B7E2A">
      <w:pPr>
        <w:rPr>
          <w:sz w:val="22"/>
          <w:szCs w:val="22"/>
        </w:rPr>
      </w:pPr>
    </w:p>
    <w:p w:rsidR="009B7E2A" w:rsidRPr="00B461CE" w:rsidRDefault="009B7E2A" w:rsidP="009B7E2A">
      <w:pPr>
        <w:rPr>
          <w:sz w:val="22"/>
          <w:szCs w:val="22"/>
        </w:rPr>
      </w:pPr>
      <w:r w:rsidRPr="00B461CE">
        <w:rPr>
          <w:sz w:val="22"/>
          <w:szCs w:val="22"/>
        </w:rPr>
        <w:t>Cerazette 75 mikrogramai plėvele dengtos tabletės</w:t>
      </w:r>
    </w:p>
    <w:p w:rsidR="009B7E2A" w:rsidRPr="00B461CE" w:rsidRDefault="009B7E2A" w:rsidP="009B7E2A">
      <w:pPr>
        <w:rPr>
          <w:sz w:val="22"/>
          <w:szCs w:val="22"/>
        </w:rPr>
      </w:pPr>
    </w:p>
    <w:p w:rsidR="009B7E2A" w:rsidRPr="00B461CE" w:rsidRDefault="009B7E2A" w:rsidP="009B7E2A">
      <w:pPr>
        <w:rPr>
          <w:sz w:val="22"/>
          <w:szCs w:val="22"/>
        </w:rPr>
      </w:pPr>
    </w:p>
    <w:p w:rsidR="009B7E2A" w:rsidRPr="00B461CE" w:rsidRDefault="009B7E2A" w:rsidP="009B7E2A">
      <w:pPr>
        <w:tabs>
          <w:tab w:val="left" w:pos="567"/>
        </w:tabs>
        <w:rPr>
          <w:b/>
          <w:bCs/>
          <w:sz w:val="22"/>
          <w:szCs w:val="22"/>
        </w:rPr>
      </w:pPr>
      <w:r w:rsidRPr="00B461CE">
        <w:rPr>
          <w:b/>
          <w:bCs/>
          <w:sz w:val="22"/>
          <w:szCs w:val="22"/>
        </w:rPr>
        <w:t>2.</w:t>
      </w:r>
      <w:r w:rsidRPr="00B461CE">
        <w:rPr>
          <w:b/>
          <w:bCs/>
          <w:sz w:val="22"/>
          <w:szCs w:val="22"/>
        </w:rPr>
        <w:tab/>
        <w:t>KOKYBINĖ IR KIEKYBINĖ SUDĖTIS</w:t>
      </w:r>
    </w:p>
    <w:p w:rsidR="009B7E2A" w:rsidRPr="00B461CE" w:rsidRDefault="009B7E2A" w:rsidP="009B7E2A">
      <w:pPr>
        <w:rPr>
          <w:sz w:val="22"/>
          <w:szCs w:val="22"/>
        </w:rPr>
      </w:pPr>
    </w:p>
    <w:p w:rsidR="009B7E2A" w:rsidRPr="00B461CE" w:rsidRDefault="009B7E2A" w:rsidP="009B7E2A">
      <w:pPr>
        <w:rPr>
          <w:sz w:val="22"/>
          <w:szCs w:val="22"/>
        </w:rPr>
      </w:pPr>
      <w:r w:rsidRPr="00B461CE">
        <w:rPr>
          <w:sz w:val="22"/>
          <w:szCs w:val="22"/>
        </w:rPr>
        <w:t>Kiekvienoje tabletėje yra 75 mikrogramai dezogestrelio.</w:t>
      </w:r>
    </w:p>
    <w:p w:rsidR="009B7E2A" w:rsidRPr="00B461CE" w:rsidRDefault="009B7E2A" w:rsidP="009B7E2A">
      <w:pPr>
        <w:rPr>
          <w:sz w:val="22"/>
          <w:szCs w:val="22"/>
        </w:rPr>
      </w:pPr>
    </w:p>
    <w:p w:rsidR="009B7E2A" w:rsidRDefault="009B7E2A" w:rsidP="009B7E2A">
      <w:pPr>
        <w:rPr>
          <w:sz w:val="22"/>
          <w:szCs w:val="22"/>
        </w:rPr>
      </w:pPr>
      <w:r w:rsidRPr="00B461CE">
        <w:rPr>
          <w:sz w:val="22"/>
          <w:szCs w:val="22"/>
          <w:u w:val="single"/>
        </w:rPr>
        <w:t>Pagalbinė medžiaga, kurios poveikis žinomas</w:t>
      </w:r>
      <w:r w:rsidRPr="00B461CE">
        <w:rPr>
          <w:sz w:val="22"/>
          <w:szCs w:val="22"/>
        </w:rPr>
        <w:t>: kiekvienoje tabletėje yra maždaug 55 mg laktozės monohidrato.</w:t>
      </w:r>
    </w:p>
    <w:p w:rsidR="009B7E2A" w:rsidRPr="00B461CE" w:rsidRDefault="009B7E2A" w:rsidP="009B7E2A">
      <w:pPr>
        <w:rPr>
          <w:sz w:val="22"/>
          <w:szCs w:val="22"/>
        </w:rPr>
      </w:pPr>
    </w:p>
    <w:p w:rsidR="009B7E2A" w:rsidRPr="00B461CE" w:rsidRDefault="009B7E2A" w:rsidP="009B7E2A">
      <w:pPr>
        <w:rPr>
          <w:sz w:val="22"/>
          <w:szCs w:val="22"/>
        </w:rPr>
      </w:pPr>
      <w:r w:rsidRPr="00B461CE">
        <w:rPr>
          <w:sz w:val="22"/>
          <w:szCs w:val="22"/>
        </w:rPr>
        <w:t>Visos pagalbinės medžiagos išvardytos 6.1 skyriuje.</w:t>
      </w:r>
    </w:p>
    <w:p w:rsidR="009B7E2A" w:rsidRPr="00B461CE" w:rsidRDefault="009B7E2A" w:rsidP="009B7E2A">
      <w:pPr>
        <w:rPr>
          <w:sz w:val="22"/>
          <w:szCs w:val="22"/>
        </w:rPr>
      </w:pPr>
    </w:p>
    <w:p w:rsidR="009B7E2A" w:rsidRPr="00B461CE" w:rsidRDefault="009B7E2A" w:rsidP="009B7E2A">
      <w:pPr>
        <w:rPr>
          <w:sz w:val="22"/>
          <w:szCs w:val="22"/>
        </w:rPr>
      </w:pPr>
    </w:p>
    <w:p w:rsidR="009B7E2A" w:rsidRPr="00B461CE" w:rsidRDefault="009B7E2A" w:rsidP="009B7E2A">
      <w:pPr>
        <w:tabs>
          <w:tab w:val="left" w:pos="567"/>
        </w:tabs>
        <w:rPr>
          <w:b/>
          <w:bCs/>
          <w:sz w:val="22"/>
          <w:szCs w:val="22"/>
        </w:rPr>
      </w:pPr>
      <w:r w:rsidRPr="00B461CE">
        <w:rPr>
          <w:b/>
          <w:bCs/>
          <w:sz w:val="22"/>
          <w:szCs w:val="22"/>
        </w:rPr>
        <w:t>3.</w:t>
      </w:r>
      <w:r w:rsidRPr="00B461CE">
        <w:rPr>
          <w:b/>
          <w:bCs/>
          <w:sz w:val="22"/>
          <w:szCs w:val="22"/>
        </w:rPr>
        <w:tab/>
        <w:t>FARMACINĖ FORMA</w:t>
      </w:r>
    </w:p>
    <w:p w:rsidR="009B7E2A" w:rsidRPr="00B461CE" w:rsidRDefault="009B7E2A" w:rsidP="009B7E2A">
      <w:pPr>
        <w:rPr>
          <w:sz w:val="22"/>
          <w:szCs w:val="22"/>
        </w:rPr>
      </w:pPr>
    </w:p>
    <w:p w:rsidR="009B7E2A" w:rsidRPr="00B461CE" w:rsidRDefault="009B7E2A" w:rsidP="009B7E2A">
      <w:pPr>
        <w:rPr>
          <w:sz w:val="22"/>
          <w:szCs w:val="22"/>
        </w:rPr>
      </w:pPr>
      <w:r w:rsidRPr="00B461CE">
        <w:rPr>
          <w:sz w:val="22"/>
          <w:szCs w:val="22"/>
        </w:rPr>
        <w:t>Plėvele dengta tabletė.</w:t>
      </w:r>
    </w:p>
    <w:p w:rsidR="009B7E2A" w:rsidRPr="00B461CE" w:rsidRDefault="009B7E2A" w:rsidP="009B7E2A">
      <w:pPr>
        <w:rPr>
          <w:sz w:val="22"/>
          <w:szCs w:val="22"/>
        </w:rPr>
      </w:pPr>
    </w:p>
    <w:p w:rsidR="009B7E2A" w:rsidRPr="00B461CE" w:rsidRDefault="009B7E2A" w:rsidP="009B7E2A">
      <w:pPr>
        <w:rPr>
          <w:sz w:val="22"/>
          <w:szCs w:val="22"/>
        </w:rPr>
      </w:pPr>
      <w:r w:rsidRPr="00B461CE">
        <w:rPr>
          <w:sz w:val="22"/>
          <w:szCs w:val="22"/>
        </w:rPr>
        <w:t>Balta, apvali, abipus išgaubta, 5 mm skersmens tabletė. Vienoje jos pusėje užrašyta „2“ ir aukščiau „KV“, kitoje pusėje – „ORGANON*“.</w:t>
      </w:r>
    </w:p>
    <w:p w:rsidR="009B7E2A" w:rsidRPr="00B461CE" w:rsidRDefault="009B7E2A" w:rsidP="009B7E2A">
      <w:pPr>
        <w:rPr>
          <w:sz w:val="22"/>
          <w:szCs w:val="22"/>
        </w:rPr>
      </w:pPr>
    </w:p>
    <w:p w:rsidR="009B7E2A" w:rsidRPr="00B461CE" w:rsidRDefault="009B7E2A" w:rsidP="009B7E2A">
      <w:pPr>
        <w:rPr>
          <w:sz w:val="22"/>
          <w:szCs w:val="22"/>
        </w:rPr>
      </w:pPr>
    </w:p>
    <w:p w:rsidR="009B7E2A" w:rsidRPr="00B461CE" w:rsidRDefault="009B7E2A" w:rsidP="009B7E2A">
      <w:pPr>
        <w:tabs>
          <w:tab w:val="left" w:pos="567"/>
        </w:tabs>
        <w:rPr>
          <w:b/>
          <w:bCs/>
          <w:sz w:val="22"/>
          <w:szCs w:val="22"/>
        </w:rPr>
      </w:pPr>
      <w:r w:rsidRPr="00B461CE">
        <w:rPr>
          <w:b/>
          <w:bCs/>
          <w:sz w:val="22"/>
          <w:szCs w:val="22"/>
        </w:rPr>
        <w:t>4.</w:t>
      </w:r>
      <w:r w:rsidRPr="00B461CE">
        <w:rPr>
          <w:b/>
          <w:bCs/>
          <w:sz w:val="22"/>
          <w:szCs w:val="22"/>
        </w:rPr>
        <w:tab/>
        <w:t>KLINIKINĖ INFORMACIJA</w:t>
      </w:r>
    </w:p>
    <w:p w:rsidR="009B7E2A" w:rsidRPr="00B461CE" w:rsidRDefault="009B7E2A" w:rsidP="009B7E2A">
      <w:pPr>
        <w:rPr>
          <w:sz w:val="22"/>
          <w:szCs w:val="22"/>
        </w:rPr>
      </w:pPr>
    </w:p>
    <w:p w:rsidR="009B7E2A" w:rsidRPr="00B461CE" w:rsidRDefault="009B7E2A" w:rsidP="009B7E2A">
      <w:pPr>
        <w:tabs>
          <w:tab w:val="left" w:pos="567"/>
        </w:tabs>
        <w:rPr>
          <w:b/>
          <w:bCs/>
          <w:sz w:val="22"/>
          <w:szCs w:val="22"/>
        </w:rPr>
      </w:pPr>
      <w:r w:rsidRPr="00B461CE">
        <w:rPr>
          <w:b/>
          <w:bCs/>
          <w:sz w:val="22"/>
          <w:szCs w:val="22"/>
        </w:rPr>
        <w:t>4.1</w:t>
      </w:r>
      <w:r w:rsidRPr="00B461CE">
        <w:rPr>
          <w:b/>
          <w:bCs/>
          <w:sz w:val="22"/>
          <w:szCs w:val="22"/>
        </w:rPr>
        <w:tab/>
        <w:t>Terapinės indikacijos</w:t>
      </w:r>
    </w:p>
    <w:p w:rsidR="009B7E2A" w:rsidRPr="00B461CE" w:rsidRDefault="009B7E2A" w:rsidP="009B7E2A">
      <w:pPr>
        <w:tabs>
          <w:tab w:val="left" w:pos="567"/>
        </w:tabs>
        <w:rPr>
          <w:b/>
          <w:bCs/>
          <w:sz w:val="22"/>
          <w:szCs w:val="22"/>
        </w:rPr>
      </w:pPr>
    </w:p>
    <w:p w:rsidR="009B7E2A" w:rsidRPr="00B461CE" w:rsidRDefault="009B7E2A" w:rsidP="009B7E2A">
      <w:pPr>
        <w:rPr>
          <w:sz w:val="22"/>
          <w:szCs w:val="22"/>
        </w:rPr>
      </w:pPr>
      <w:r w:rsidRPr="00B461CE">
        <w:rPr>
          <w:sz w:val="22"/>
          <w:szCs w:val="22"/>
        </w:rPr>
        <w:t xml:space="preserve">Geriamajai kontracepcijai. </w:t>
      </w:r>
    </w:p>
    <w:p w:rsidR="009B7E2A" w:rsidRPr="00B461CE" w:rsidRDefault="009B7E2A" w:rsidP="009B7E2A">
      <w:pPr>
        <w:rPr>
          <w:sz w:val="22"/>
          <w:szCs w:val="22"/>
        </w:rPr>
      </w:pPr>
    </w:p>
    <w:p w:rsidR="009B7E2A" w:rsidRPr="00B461CE" w:rsidRDefault="009B7E2A" w:rsidP="009B7E2A">
      <w:pPr>
        <w:tabs>
          <w:tab w:val="left" w:pos="567"/>
        </w:tabs>
        <w:rPr>
          <w:b/>
          <w:bCs/>
          <w:sz w:val="22"/>
          <w:szCs w:val="22"/>
        </w:rPr>
      </w:pPr>
      <w:r w:rsidRPr="00B461CE">
        <w:rPr>
          <w:b/>
          <w:bCs/>
          <w:sz w:val="22"/>
          <w:szCs w:val="22"/>
        </w:rPr>
        <w:t>4.2</w:t>
      </w:r>
      <w:r w:rsidRPr="00B461CE">
        <w:rPr>
          <w:b/>
          <w:bCs/>
          <w:sz w:val="22"/>
          <w:szCs w:val="22"/>
        </w:rPr>
        <w:tab/>
        <w:t>Dozavimas ir vartojimo metodas</w:t>
      </w:r>
    </w:p>
    <w:p w:rsidR="009B7E2A" w:rsidRPr="00B461CE" w:rsidRDefault="009B7E2A" w:rsidP="009B7E2A">
      <w:pPr>
        <w:rPr>
          <w:sz w:val="22"/>
          <w:szCs w:val="22"/>
        </w:rPr>
      </w:pPr>
    </w:p>
    <w:p w:rsidR="009B7E2A" w:rsidRPr="00B461CE" w:rsidRDefault="009B7E2A" w:rsidP="009B7E2A">
      <w:pPr>
        <w:rPr>
          <w:sz w:val="22"/>
          <w:szCs w:val="22"/>
        </w:rPr>
      </w:pPr>
      <w:r w:rsidRPr="00B461CE">
        <w:rPr>
          <w:sz w:val="22"/>
          <w:szCs w:val="22"/>
          <w:u w:val="single"/>
        </w:rPr>
        <w:t>Dozavimas</w:t>
      </w:r>
    </w:p>
    <w:p w:rsidR="009B7E2A" w:rsidRPr="00B461CE" w:rsidRDefault="009B7E2A" w:rsidP="009B7E2A">
      <w:pPr>
        <w:rPr>
          <w:sz w:val="22"/>
          <w:szCs w:val="22"/>
        </w:rPr>
      </w:pPr>
      <w:r w:rsidRPr="00B461CE">
        <w:rPr>
          <w:sz w:val="22"/>
          <w:szCs w:val="22"/>
        </w:rPr>
        <w:t>Norint užtikrinti kontraceptinį poveikį, Cerazette privaloma vartoti, kaip nurodyta (žiūrėkite „Kaip vartoti Cerazette“ ir „Kaip pradėti vartoti Cerazette“).</w:t>
      </w:r>
    </w:p>
    <w:p w:rsidR="009B7E2A" w:rsidRPr="00B461CE" w:rsidRDefault="009B7E2A" w:rsidP="009B7E2A">
      <w:pPr>
        <w:rPr>
          <w:sz w:val="22"/>
          <w:szCs w:val="22"/>
        </w:rPr>
      </w:pPr>
    </w:p>
    <w:p w:rsidR="009B7E2A" w:rsidRPr="005F6235" w:rsidRDefault="009B7E2A" w:rsidP="009B7E2A">
      <w:pPr>
        <w:rPr>
          <w:iCs/>
          <w:sz w:val="22"/>
          <w:szCs w:val="22"/>
          <w:u w:val="single"/>
        </w:rPr>
      </w:pPr>
      <w:r w:rsidRPr="005F6235">
        <w:rPr>
          <w:iCs/>
          <w:sz w:val="22"/>
          <w:szCs w:val="22"/>
          <w:u w:val="single"/>
        </w:rPr>
        <w:t>Ypatingos populiacijos</w:t>
      </w:r>
    </w:p>
    <w:p w:rsidR="009B7E2A" w:rsidRPr="00184906" w:rsidRDefault="009B7E2A" w:rsidP="009B7E2A">
      <w:pPr>
        <w:rPr>
          <w:i/>
          <w:sz w:val="22"/>
          <w:szCs w:val="22"/>
        </w:rPr>
      </w:pPr>
    </w:p>
    <w:p w:rsidR="009B7E2A" w:rsidRPr="00184906" w:rsidRDefault="009B7E2A" w:rsidP="009B7E2A">
      <w:pPr>
        <w:rPr>
          <w:i/>
          <w:sz w:val="22"/>
          <w:szCs w:val="22"/>
        </w:rPr>
      </w:pPr>
      <w:r w:rsidRPr="00184906">
        <w:rPr>
          <w:i/>
          <w:sz w:val="22"/>
          <w:szCs w:val="22"/>
        </w:rPr>
        <w:t>Vaikų populiacija</w:t>
      </w:r>
    </w:p>
    <w:p w:rsidR="009B7E2A" w:rsidRPr="00184906" w:rsidRDefault="009B7E2A" w:rsidP="009B7E2A">
      <w:pPr>
        <w:rPr>
          <w:sz w:val="22"/>
          <w:szCs w:val="22"/>
        </w:rPr>
      </w:pPr>
      <w:r w:rsidRPr="00184906">
        <w:rPr>
          <w:sz w:val="22"/>
          <w:szCs w:val="22"/>
        </w:rPr>
        <w:t>Cerazette saugumas ir veiksmingumas paauglėms iki 18 metų neištirti. Duomenų nėra.</w:t>
      </w:r>
    </w:p>
    <w:p w:rsidR="009B7E2A" w:rsidRPr="00184906" w:rsidRDefault="009B7E2A" w:rsidP="009B7E2A">
      <w:pPr>
        <w:rPr>
          <w:sz w:val="22"/>
          <w:szCs w:val="22"/>
        </w:rPr>
      </w:pPr>
    </w:p>
    <w:p w:rsidR="009B7E2A" w:rsidRPr="00184906" w:rsidRDefault="000F421E" w:rsidP="009B7E2A">
      <w:pPr>
        <w:rPr>
          <w:i/>
          <w:iCs/>
          <w:color w:val="000000"/>
          <w:sz w:val="22"/>
          <w:szCs w:val="22"/>
        </w:rPr>
      </w:pPr>
      <w:r>
        <w:rPr>
          <w:i/>
          <w:iCs/>
          <w:color w:val="000000"/>
          <w:sz w:val="22"/>
          <w:szCs w:val="22"/>
        </w:rPr>
        <w:t xml:space="preserve">Pacientams, kurių </w:t>
      </w:r>
      <w:r w:rsidR="009B7E2A" w:rsidRPr="00184906">
        <w:rPr>
          <w:i/>
          <w:iCs/>
          <w:color w:val="000000"/>
          <w:sz w:val="22"/>
          <w:szCs w:val="22"/>
        </w:rPr>
        <w:t>inkstų funkcija</w:t>
      </w:r>
      <w:r w:rsidRPr="000F421E">
        <w:rPr>
          <w:i/>
          <w:iCs/>
          <w:color w:val="000000"/>
          <w:sz w:val="22"/>
          <w:szCs w:val="22"/>
        </w:rPr>
        <w:t xml:space="preserve"> </w:t>
      </w:r>
      <w:r>
        <w:rPr>
          <w:i/>
          <w:iCs/>
          <w:color w:val="000000"/>
          <w:sz w:val="22"/>
          <w:szCs w:val="22"/>
        </w:rPr>
        <w:t>s</w:t>
      </w:r>
      <w:r w:rsidRPr="00184906">
        <w:rPr>
          <w:i/>
          <w:iCs/>
          <w:color w:val="000000"/>
          <w:sz w:val="22"/>
          <w:szCs w:val="22"/>
        </w:rPr>
        <w:t>utrikusi</w:t>
      </w:r>
    </w:p>
    <w:p w:rsidR="009B7E2A" w:rsidRPr="00184906" w:rsidRDefault="009B7E2A" w:rsidP="009B7E2A">
      <w:pPr>
        <w:rPr>
          <w:sz w:val="22"/>
          <w:szCs w:val="22"/>
        </w:rPr>
      </w:pPr>
      <w:r w:rsidRPr="00184906">
        <w:rPr>
          <w:sz w:val="22"/>
          <w:szCs w:val="22"/>
        </w:rPr>
        <w:t>Su pacientėmis, kurių inkstų funkcija būtų pablogėjusi, klinikinių tyrimų nėra atlikta.</w:t>
      </w:r>
    </w:p>
    <w:p w:rsidR="009B7E2A" w:rsidRPr="00184906" w:rsidRDefault="009B7E2A" w:rsidP="009B7E2A">
      <w:pPr>
        <w:rPr>
          <w:sz w:val="22"/>
          <w:szCs w:val="22"/>
        </w:rPr>
      </w:pPr>
    </w:p>
    <w:p w:rsidR="009B7E2A" w:rsidRPr="00184906" w:rsidRDefault="000F421E" w:rsidP="009B7E2A">
      <w:pPr>
        <w:rPr>
          <w:i/>
          <w:sz w:val="22"/>
          <w:szCs w:val="22"/>
        </w:rPr>
      </w:pPr>
      <w:r>
        <w:rPr>
          <w:i/>
          <w:iCs/>
          <w:color w:val="000000"/>
          <w:sz w:val="22"/>
          <w:szCs w:val="22"/>
        </w:rPr>
        <w:t xml:space="preserve">Pacientams, kurių </w:t>
      </w:r>
      <w:r w:rsidR="009B7E2A" w:rsidRPr="00184906">
        <w:rPr>
          <w:i/>
          <w:iCs/>
          <w:color w:val="000000"/>
          <w:sz w:val="22"/>
          <w:szCs w:val="22"/>
        </w:rPr>
        <w:t>kepenų funkcija</w:t>
      </w:r>
      <w:r w:rsidRPr="000F421E">
        <w:rPr>
          <w:i/>
          <w:iCs/>
          <w:color w:val="000000"/>
          <w:sz w:val="22"/>
          <w:szCs w:val="22"/>
        </w:rPr>
        <w:t xml:space="preserve"> </w:t>
      </w:r>
      <w:r>
        <w:rPr>
          <w:i/>
          <w:iCs/>
          <w:color w:val="000000"/>
          <w:sz w:val="22"/>
          <w:szCs w:val="22"/>
        </w:rPr>
        <w:t>s</w:t>
      </w:r>
      <w:r w:rsidRPr="00184906">
        <w:rPr>
          <w:i/>
          <w:iCs/>
          <w:color w:val="000000"/>
          <w:sz w:val="22"/>
          <w:szCs w:val="22"/>
        </w:rPr>
        <w:t>utrikusi</w:t>
      </w:r>
    </w:p>
    <w:p w:rsidR="009B7E2A" w:rsidRPr="00184906" w:rsidRDefault="009B7E2A" w:rsidP="009B7E2A">
      <w:pPr>
        <w:rPr>
          <w:sz w:val="22"/>
          <w:szCs w:val="22"/>
        </w:rPr>
      </w:pPr>
      <w:r w:rsidRPr="00184906">
        <w:rPr>
          <w:sz w:val="22"/>
          <w:szCs w:val="22"/>
        </w:rPr>
        <w:t>Su pacientėmis, kurioms būtų kepenų funkcijos nepakankamumas, klinikinių tyrimų nėra atlikta. Kadangi sunkia kepenų liga sergančių pacienčių organizme steroidinių hormonų metabolizmas gali būti sutrikęs, tokioms moterims Cerazette skirti negalima tol, kol kepenų funkcijos rodmenys netaps normalūs (žr. 4.3 skyrių).</w:t>
      </w:r>
    </w:p>
    <w:p w:rsidR="009B7E2A" w:rsidRPr="00184906" w:rsidRDefault="009B7E2A" w:rsidP="009B7E2A">
      <w:pPr>
        <w:rPr>
          <w:sz w:val="22"/>
          <w:szCs w:val="22"/>
        </w:rPr>
      </w:pPr>
    </w:p>
    <w:p w:rsidR="009B7E2A" w:rsidRPr="00184906" w:rsidRDefault="009B7E2A" w:rsidP="009B7E2A">
      <w:pPr>
        <w:rPr>
          <w:sz w:val="22"/>
          <w:szCs w:val="22"/>
        </w:rPr>
      </w:pPr>
      <w:r w:rsidRPr="00184906">
        <w:rPr>
          <w:sz w:val="22"/>
          <w:szCs w:val="22"/>
          <w:u w:val="single"/>
        </w:rPr>
        <w:t>Vartojimo metodas</w:t>
      </w:r>
    </w:p>
    <w:p w:rsidR="009B7E2A" w:rsidRDefault="009B7E2A" w:rsidP="009B7E2A">
      <w:pPr>
        <w:rPr>
          <w:sz w:val="22"/>
          <w:szCs w:val="22"/>
        </w:rPr>
      </w:pPr>
      <w:r w:rsidRPr="00184906">
        <w:rPr>
          <w:sz w:val="22"/>
          <w:szCs w:val="22"/>
        </w:rPr>
        <w:t>Vartoti per burną.</w:t>
      </w:r>
    </w:p>
    <w:p w:rsidR="009B7E2A" w:rsidRPr="00B461CE" w:rsidRDefault="009B7E2A" w:rsidP="009B7E2A">
      <w:pPr>
        <w:rPr>
          <w:sz w:val="22"/>
          <w:szCs w:val="22"/>
        </w:rPr>
      </w:pPr>
    </w:p>
    <w:p w:rsidR="009B7E2A" w:rsidRPr="00B461CE" w:rsidRDefault="009B7E2A" w:rsidP="009B7E2A">
      <w:pPr>
        <w:keepNext/>
        <w:rPr>
          <w:b/>
          <w:sz w:val="22"/>
          <w:szCs w:val="22"/>
        </w:rPr>
      </w:pPr>
      <w:r w:rsidRPr="00B461CE">
        <w:rPr>
          <w:b/>
          <w:sz w:val="22"/>
          <w:szCs w:val="22"/>
        </w:rPr>
        <w:t>Kaip vartoti Cerazette</w:t>
      </w:r>
    </w:p>
    <w:p w:rsidR="009B7E2A" w:rsidRPr="00B461CE" w:rsidRDefault="009B7E2A" w:rsidP="009B7E2A">
      <w:pPr>
        <w:keepNext/>
        <w:rPr>
          <w:iCs/>
          <w:color w:val="000000"/>
          <w:sz w:val="22"/>
          <w:szCs w:val="22"/>
        </w:rPr>
      </w:pPr>
      <w:r w:rsidRPr="00B461CE">
        <w:rPr>
          <w:iCs/>
          <w:sz w:val="22"/>
          <w:szCs w:val="22"/>
        </w:rPr>
        <w:t xml:space="preserve">Tabletes reikia gerti kiekvieną parą maždaug tuo pat metu, kad intervalas tarp dviejų tablečių visada būtų 24 valandos. </w:t>
      </w:r>
      <w:r w:rsidRPr="00B461CE">
        <w:rPr>
          <w:iCs/>
          <w:color w:val="000000"/>
          <w:sz w:val="22"/>
          <w:szCs w:val="22"/>
        </w:rPr>
        <w:t xml:space="preserve">Jas reikia pradėti vartoti pirmąją mėnesinių kraujavimo parą. </w:t>
      </w:r>
      <w:r w:rsidRPr="00B461CE">
        <w:rPr>
          <w:iCs/>
          <w:sz w:val="22"/>
          <w:szCs w:val="22"/>
        </w:rPr>
        <w:t>Paskui be pertraukos geriama po vieną tabletę kasdien, net jei ir truputį kraujuoja. Pabaigus gerti tabletes iš vienos lizdinės plokštelės, kitą parą pradedama nauja plokštelė.</w:t>
      </w:r>
    </w:p>
    <w:p w:rsidR="009B7E2A" w:rsidRPr="00B461CE" w:rsidRDefault="009B7E2A" w:rsidP="009B7E2A">
      <w:pPr>
        <w:rPr>
          <w:iCs/>
          <w:color w:val="000000"/>
          <w:sz w:val="22"/>
          <w:szCs w:val="22"/>
        </w:rPr>
      </w:pPr>
    </w:p>
    <w:p w:rsidR="009B7E2A" w:rsidRPr="00B461CE" w:rsidRDefault="009B7E2A" w:rsidP="009B7E2A">
      <w:pPr>
        <w:rPr>
          <w:b/>
          <w:color w:val="000000"/>
          <w:sz w:val="22"/>
          <w:szCs w:val="22"/>
        </w:rPr>
      </w:pPr>
      <w:r w:rsidRPr="00B461CE">
        <w:rPr>
          <w:b/>
          <w:color w:val="000000"/>
          <w:sz w:val="22"/>
          <w:szCs w:val="22"/>
        </w:rPr>
        <w:t>Kaip pradėti vartoti Cerazette</w:t>
      </w:r>
    </w:p>
    <w:p w:rsidR="009B7E2A" w:rsidRPr="00B461CE" w:rsidRDefault="009B7E2A" w:rsidP="009B7E2A">
      <w:pPr>
        <w:rPr>
          <w:i/>
          <w:iCs/>
          <w:color w:val="000000"/>
          <w:sz w:val="22"/>
          <w:szCs w:val="22"/>
        </w:rPr>
      </w:pPr>
      <w:r w:rsidRPr="00B461CE">
        <w:rPr>
          <w:i/>
          <w:iCs/>
          <w:color w:val="000000"/>
          <w:sz w:val="22"/>
          <w:szCs w:val="22"/>
        </w:rPr>
        <w:t>Jeigu pastarąjį mėnesį nebuvo vartota jokių hormoninių kontraceptikų</w:t>
      </w:r>
    </w:p>
    <w:p w:rsidR="009B7E2A" w:rsidRPr="00B461CE" w:rsidRDefault="009B7E2A" w:rsidP="009B7E2A">
      <w:pPr>
        <w:rPr>
          <w:iCs/>
          <w:color w:val="000000"/>
          <w:sz w:val="22"/>
          <w:szCs w:val="22"/>
        </w:rPr>
      </w:pPr>
      <w:r w:rsidRPr="00B461CE">
        <w:rPr>
          <w:iCs/>
          <w:color w:val="000000"/>
          <w:sz w:val="22"/>
          <w:szCs w:val="22"/>
        </w:rPr>
        <w:t>Tabletes reikia pradėti vartoti pirmąją natūralaus moters ciklo parą (pirmąja ciklo para vadinama pirmoji mėnesinių kraujavimo para). Tabletes galima pradėti gerti ir 2-5-ąją ciklo parą, tačiau tuomet pirmojo ciklo pirmąsias 7 tablečių vartojimo paras rekomenduojama papildomai naudotis barjeriniu kontracepcijos metodu.</w:t>
      </w:r>
    </w:p>
    <w:p w:rsidR="009B7E2A" w:rsidRPr="00B461CE" w:rsidRDefault="009B7E2A" w:rsidP="009B7E2A">
      <w:pPr>
        <w:rPr>
          <w:iCs/>
          <w:sz w:val="22"/>
          <w:szCs w:val="22"/>
          <w:u w:val="single"/>
        </w:rPr>
      </w:pPr>
    </w:p>
    <w:p w:rsidR="009B7E2A" w:rsidRPr="00B461CE" w:rsidRDefault="009B7E2A" w:rsidP="009B7E2A">
      <w:pPr>
        <w:rPr>
          <w:i/>
          <w:iCs/>
          <w:sz w:val="22"/>
          <w:szCs w:val="22"/>
        </w:rPr>
      </w:pPr>
      <w:r w:rsidRPr="00B461CE">
        <w:rPr>
          <w:i/>
          <w:iCs/>
          <w:sz w:val="22"/>
          <w:szCs w:val="22"/>
        </w:rPr>
        <w:t>Po aborto</w:t>
      </w:r>
      <w:r w:rsidRPr="00B461CE">
        <w:rPr>
          <w:i/>
          <w:iCs/>
          <w:color w:val="000000"/>
          <w:sz w:val="22"/>
          <w:szCs w:val="22"/>
        </w:rPr>
        <w:t>, persileidimo</w:t>
      </w:r>
      <w:r w:rsidRPr="00B461CE">
        <w:rPr>
          <w:i/>
          <w:iCs/>
          <w:sz w:val="22"/>
          <w:szCs w:val="22"/>
        </w:rPr>
        <w:t xml:space="preserve"> pirmuoju nėštumo trimestru</w:t>
      </w:r>
    </w:p>
    <w:p w:rsidR="009B7E2A" w:rsidRPr="00B461CE" w:rsidRDefault="009B7E2A" w:rsidP="009B7E2A">
      <w:pPr>
        <w:rPr>
          <w:sz w:val="22"/>
          <w:szCs w:val="22"/>
        </w:rPr>
      </w:pPr>
      <w:r w:rsidRPr="00B461CE">
        <w:rPr>
          <w:iCs/>
          <w:color w:val="000000"/>
          <w:sz w:val="22"/>
          <w:szCs w:val="22"/>
        </w:rPr>
        <w:t xml:space="preserve">Po aborto, persileidimo pirmuoju nėštumo trimestru Cerazette </w:t>
      </w:r>
      <w:r w:rsidRPr="00B461CE">
        <w:rPr>
          <w:sz w:val="22"/>
          <w:szCs w:val="22"/>
        </w:rPr>
        <w:t>rekomenduojama pradėti gerti tuoj pat. Šiuo atveju papildomos kontracepcijos nereikia.</w:t>
      </w:r>
    </w:p>
    <w:p w:rsidR="009B7E2A" w:rsidRPr="00B461CE" w:rsidRDefault="009B7E2A" w:rsidP="009B7E2A">
      <w:pPr>
        <w:rPr>
          <w:iCs/>
          <w:sz w:val="22"/>
          <w:szCs w:val="22"/>
          <w:u w:val="single"/>
        </w:rPr>
      </w:pPr>
    </w:p>
    <w:p w:rsidR="009B7E2A" w:rsidRPr="00B461CE" w:rsidRDefault="009B7E2A" w:rsidP="009B7E2A">
      <w:pPr>
        <w:rPr>
          <w:i/>
          <w:iCs/>
          <w:color w:val="000000"/>
          <w:sz w:val="22"/>
          <w:szCs w:val="22"/>
        </w:rPr>
      </w:pPr>
      <w:r w:rsidRPr="00B461CE">
        <w:rPr>
          <w:i/>
          <w:iCs/>
          <w:sz w:val="22"/>
          <w:szCs w:val="22"/>
        </w:rPr>
        <w:t>Po gimdymo,</w:t>
      </w:r>
      <w:r w:rsidRPr="00B461CE">
        <w:rPr>
          <w:i/>
          <w:iCs/>
          <w:color w:val="000000"/>
          <w:sz w:val="22"/>
          <w:szCs w:val="22"/>
        </w:rPr>
        <w:t>aborto, persileidimo</w:t>
      </w:r>
      <w:r w:rsidRPr="00B461CE">
        <w:rPr>
          <w:i/>
          <w:iCs/>
          <w:sz w:val="22"/>
          <w:szCs w:val="22"/>
        </w:rPr>
        <w:t xml:space="preserve"> antruoju nėštumo trimestru</w:t>
      </w:r>
    </w:p>
    <w:p w:rsidR="009B7E2A" w:rsidRPr="00B461CE" w:rsidRDefault="009B7E2A" w:rsidP="009B7E2A">
      <w:pPr>
        <w:rPr>
          <w:iCs/>
          <w:sz w:val="22"/>
          <w:szCs w:val="22"/>
        </w:rPr>
      </w:pPr>
      <w:r w:rsidRPr="00B461CE">
        <w:rPr>
          <w:iCs/>
          <w:sz w:val="22"/>
          <w:szCs w:val="22"/>
        </w:rPr>
        <w:t xml:space="preserve">Moteriai reikia patarti, kad po gimdymo </w:t>
      </w:r>
      <w:r w:rsidRPr="00B461CE">
        <w:rPr>
          <w:sz w:val="22"/>
          <w:szCs w:val="22"/>
        </w:rPr>
        <w:t xml:space="preserve">ar aborto, persileidimo antruoju nėštumo trimestru </w:t>
      </w:r>
      <w:r w:rsidRPr="00B461CE">
        <w:rPr>
          <w:iCs/>
          <w:color w:val="000000"/>
          <w:sz w:val="22"/>
          <w:szCs w:val="22"/>
        </w:rPr>
        <w:t>Cerazette galima pradėti vartoti praėjus daugiau kaip 21 parai, bet mažiau kaip 28 paroms. Jeigu pradeda vartoti vėliau, jai reikia patarti pirmųjų 7 tablečių vartojimo parų laikotarpiu naudotis papildomu barjeriniu kontracepcijos metodu</w:t>
      </w:r>
      <w:r w:rsidRPr="00B461CE">
        <w:rPr>
          <w:iCs/>
          <w:sz w:val="22"/>
          <w:szCs w:val="22"/>
        </w:rPr>
        <w:t xml:space="preserve">. Vis dėlto, jeigu ji jau turėjo lytinių santykių, prieš paskiriant </w:t>
      </w:r>
      <w:r w:rsidRPr="00B461CE">
        <w:rPr>
          <w:iCs/>
          <w:color w:val="000000"/>
          <w:sz w:val="22"/>
          <w:szCs w:val="22"/>
        </w:rPr>
        <w:t>Cerazette reikia įsitikinti, kad moteris nėra nėščia, arba palaukti pirmųjų mėnesinių.</w:t>
      </w:r>
    </w:p>
    <w:p w:rsidR="009B7E2A" w:rsidRPr="00B461CE" w:rsidRDefault="009B7E2A" w:rsidP="009B7E2A">
      <w:pPr>
        <w:rPr>
          <w:sz w:val="22"/>
          <w:szCs w:val="22"/>
          <w:u w:val="single"/>
        </w:rPr>
      </w:pPr>
    </w:p>
    <w:p w:rsidR="009B7E2A" w:rsidRPr="00B461CE" w:rsidRDefault="009B7E2A" w:rsidP="009B7E2A">
      <w:pPr>
        <w:rPr>
          <w:iCs/>
          <w:color w:val="000000"/>
          <w:sz w:val="22"/>
          <w:szCs w:val="22"/>
        </w:rPr>
      </w:pPr>
      <w:r w:rsidRPr="00B461CE">
        <w:rPr>
          <w:iCs/>
          <w:color w:val="000000"/>
          <w:sz w:val="22"/>
          <w:szCs w:val="22"/>
        </w:rPr>
        <w:t>Daugiau informacijos apie žindyves rasite 4.6 skyrių.</w:t>
      </w:r>
    </w:p>
    <w:p w:rsidR="009B7E2A" w:rsidRPr="00B461CE" w:rsidRDefault="009B7E2A" w:rsidP="009B7E2A">
      <w:pPr>
        <w:rPr>
          <w:color w:val="000000"/>
          <w:sz w:val="22"/>
          <w:szCs w:val="22"/>
          <w:u w:val="single"/>
        </w:rPr>
      </w:pPr>
    </w:p>
    <w:p w:rsidR="009B7E2A" w:rsidRPr="00B461CE" w:rsidRDefault="009B7E2A" w:rsidP="009B7E2A">
      <w:pPr>
        <w:rPr>
          <w:i/>
          <w:color w:val="000000"/>
          <w:sz w:val="22"/>
          <w:szCs w:val="22"/>
          <w:u w:val="single"/>
        </w:rPr>
      </w:pPr>
      <w:r w:rsidRPr="00B461CE">
        <w:rPr>
          <w:b/>
          <w:color w:val="000000"/>
          <w:sz w:val="22"/>
          <w:szCs w:val="22"/>
        </w:rPr>
        <w:t>Kaip pradėti vartoti Cerazette vietoj kitos kontraceptinės priemonės</w:t>
      </w:r>
    </w:p>
    <w:p w:rsidR="009B7E2A" w:rsidRPr="00B461CE" w:rsidRDefault="009B7E2A" w:rsidP="009B7E2A">
      <w:pPr>
        <w:rPr>
          <w:i/>
          <w:iCs/>
          <w:sz w:val="22"/>
          <w:szCs w:val="22"/>
        </w:rPr>
      </w:pPr>
      <w:r w:rsidRPr="00B461CE">
        <w:rPr>
          <w:i/>
          <w:iCs/>
          <w:sz w:val="22"/>
          <w:szCs w:val="22"/>
        </w:rPr>
        <w:t>Jeigu pradedama vartoti vietoje kito sudėtinio hormoninio kontraceptiko (sudėtinio geriamojo kontraceptiko (SGK), makšties žiedo ar transderminio pleistro)</w:t>
      </w:r>
    </w:p>
    <w:p w:rsidR="009B7E2A" w:rsidRPr="00B461CE" w:rsidRDefault="009B7E2A" w:rsidP="009B7E2A">
      <w:pPr>
        <w:rPr>
          <w:sz w:val="22"/>
          <w:szCs w:val="22"/>
        </w:rPr>
      </w:pPr>
      <w:r w:rsidRPr="00B461CE">
        <w:rPr>
          <w:iCs/>
          <w:color w:val="000000"/>
          <w:sz w:val="22"/>
          <w:szCs w:val="22"/>
        </w:rPr>
        <w:t xml:space="preserve">Cerazette reikėtų pradėti gerti kitą parą po paskutiniosios veikliosios ankstesniojo kontraceptiko tabletės </w:t>
      </w:r>
      <w:r w:rsidRPr="00B461CE">
        <w:rPr>
          <w:sz w:val="22"/>
          <w:szCs w:val="22"/>
        </w:rPr>
        <w:t xml:space="preserve">(paskutinės tabletės, kurioje yra veikliųjų medžiagų) </w:t>
      </w:r>
      <w:r w:rsidRPr="00B461CE">
        <w:rPr>
          <w:iCs/>
          <w:sz w:val="22"/>
          <w:szCs w:val="22"/>
        </w:rPr>
        <w:t xml:space="preserve">išgėrimo arba parą, kurią pašalinamas makšties žiedas ar transderminis pleistras. </w:t>
      </w:r>
      <w:r w:rsidRPr="00B461CE">
        <w:rPr>
          <w:sz w:val="22"/>
          <w:szCs w:val="22"/>
        </w:rPr>
        <w:t>Šiuo atveju papildomos kontracepcijos nereikia. Ne visos kontraceptinės priemonės gali būti tiekiamos į visų ES valstybių rinkas.</w:t>
      </w:r>
    </w:p>
    <w:p w:rsidR="009B7E2A" w:rsidRPr="00B461CE" w:rsidRDefault="009B7E2A" w:rsidP="009B7E2A">
      <w:pPr>
        <w:rPr>
          <w:sz w:val="22"/>
          <w:szCs w:val="22"/>
        </w:rPr>
      </w:pPr>
      <w:r w:rsidRPr="00B461CE">
        <w:rPr>
          <w:iCs/>
          <w:sz w:val="22"/>
          <w:szCs w:val="22"/>
        </w:rPr>
        <w:t>Be to, Cerazette galima pradėti gerti ir vėliau, bet</w:t>
      </w:r>
      <w:r w:rsidRPr="00B461CE">
        <w:rPr>
          <w:sz w:val="22"/>
          <w:szCs w:val="22"/>
        </w:rPr>
        <w:t xml:space="preserve"> ne vėliau, kaip </w:t>
      </w:r>
      <w:r w:rsidRPr="00B461CE">
        <w:rPr>
          <w:iCs/>
          <w:sz w:val="22"/>
          <w:szCs w:val="22"/>
        </w:rPr>
        <w:t xml:space="preserve">kitą parą po įprastos </w:t>
      </w:r>
      <w:r w:rsidRPr="00B461CE">
        <w:rPr>
          <w:sz w:val="22"/>
          <w:szCs w:val="22"/>
        </w:rPr>
        <w:t xml:space="preserve">pertraukos </w:t>
      </w:r>
      <w:r w:rsidRPr="00B461CE">
        <w:rPr>
          <w:iCs/>
          <w:sz w:val="22"/>
          <w:szCs w:val="22"/>
        </w:rPr>
        <w:t xml:space="preserve">be tablečių, kontraceptinio žiedo, kontraceptinio pleistro ar placebo tablečių iš ankstesniojo sudėtinio geriamojo kontraceptiko pakuotės, tačiau šiuo atveju </w:t>
      </w:r>
      <w:r w:rsidRPr="00B461CE">
        <w:rPr>
          <w:iCs/>
          <w:color w:val="000000"/>
          <w:sz w:val="22"/>
          <w:szCs w:val="22"/>
        </w:rPr>
        <w:t xml:space="preserve">pirmąsias 7 tablečių vartojimo paras </w:t>
      </w:r>
      <w:r w:rsidRPr="00B461CE">
        <w:rPr>
          <w:iCs/>
          <w:sz w:val="22"/>
          <w:szCs w:val="22"/>
        </w:rPr>
        <w:t xml:space="preserve">patariama papildomai </w:t>
      </w:r>
      <w:r w:rsidRPr="00B461CE">
        <w:rPr>
          <w:sz w:val="22"/>
          <w:szCs w:val="22"/>
        </w:rPr>
        <w:t>naudoti</w:t>
      </w:r>
      <w:r w:rsidRPr="00B461CE">
        <w:rPr>
          <w:iCs/>
          <w:sz w:val="22"/>
          <w:szCs w:val="22"/>
        </w:rPr>
        <w:t xml:space="preserve"> barjerines</w:t>
      </w:r>
      <w:r w:rsidRPr="00B461CE">
        <w:rPr>
          <w:sz w:val="22"/>
          <w:szCs w:val="22"/>
        </w:rPr>
        <w:t xml:space="preserve"> kontracepcijos </w:t>
      </w:r>
      <w:r w:rsidRPr="00B461CE">
        <w:rPr>
          <w:iCs/>
          <w:sz w:val="22"/>
          <w:szCs w:val="22"/>
        </w:rPr>
        <w:t>priemones</w:t>
      </w:r>
      <w:r w:rsidRPr="00B461CE">
        <w:rPr>
          <w:sz w:val="22"/>
          <w:szCs w:val="22"/>
        </w:rPr>
        <w:t>.</w:t>
      </w:r>
    </w:p>
    <w:p w:rsidR="009B7E2A" w:rsidRPr="00B461CE" w:rsidRDefault="009B7E2A" w:rsidP="009B7E2A">
      <w:pPr>
        <w:rPr>
          <w:iCs/>
          <w:color w:val="000000"/>
          <w:sz w:val="22"/>
          <w:szCs w:val="22"/>
          <w:u w:val="single"/>
        </w:rPr>
      </w:pPr>
    </w:p>
    <w:p w:rsidR="009B7E2A" w:rsidRPr="00B461CE" w:rsidRDefault="009B7E2A" w:rsidP="009B7E2A">
      <w:pPr>
        <w:rPr>
          <w:i/>
          <w:iCs/>
          <w:color w:val="000000"/>
          <w:sz w:val="22"/>
          <w:szCs w:val="22"/>
        </w:rPr>
      </w:pPr>
      <w:r w:rsidRPr="00B461CE">
        <w:rPr>
          <w:i/>
          <w:iCs/>
          <w:sz w:val="22"/>
          <w:szCs w:val="22"/>
        </w:rPr>
        <w:t>Jeigu pradedama vartoti v</w:t>
      </w:r>
      <w:r w:rsidRPr="00B461CE">
        <w:rPr>
          <w:i/>
          <w:iCs/>
          <w:color w:val="000000"/>
          <w:sz w:val="22"/>
          <w:szCs w:val="22"/>
        </w:rPr>
        <w:t xml:space="preserve">ietoje </w:t>
      </w:r>
      <w:r w:rsidRPr="00184906">
        <w:rPr>
          <w:i/>
          <w:iCs/>
          <w:color w:val="000000"/>
          <w:sz w:val="22"/>
          <w:szCs w:val="22"/>
        </w:rPr>
        <w:t xml:space="preserve">vieno progestageno </w:t>
      </w:r>
      <w:r w:rsidR="000F421E">
        <w:rPr>
          <w:i/>
          <w:iCs/>
          <w:color w:val="000000"/>
          <w:sz w:val="22"/>
          <w:szCs w:val="22"/>
        </w:rPr>
        <w:t xml:space="preserve">vaistinio </w:t>
      </w:r>
      <w:r w:rsidRPr="00184906">
        <w:rPr>
          <w:i/>
          <w:iCs/>
          <w:color w:val="000000"/>
          <w:sz w:val="22"/>
          <w:szCs w:val="22"/>
        </w:rPr>
        <w:t>preparato (mini piliulės, injekcijos, implanto ar progestageną</w:t>
      </w:r>
      <w:r w:rsidRPr="00B461CE">
        <w:rPr>
          <w:i/>
          <w:iCs/>
          <w:color w:val="000000"/>
          <w:sz w:val="22"/>
          <w:szCs w:val="22"/>
        </w:rPr>
        <w:t xml:space="preserve"> atpalaiduojančios vartojimo į gimdą sistemos)</w:t>
      </w:r>
    </w:p>
    <w:p w:rsidR="009B7E2A" w:rsidRPr="00B461CE" w:rsidRDefault="009B7E2A" w:rsidP="009B7E2A">
      <w:pPr>
        <w:rPr>
          <w:sz w:val="22"/>
          <w:szCs w:val="22"/>
        </w:rPr>
      </w:pPr>
      <w:r w:rsidRPr="00B461CE">
        <w:rPr>
          <w:sz w:val="22"/>
          <w:szCs w:val="22"/>
        </w:rPr>
        <w:t xml:space="preserve">Mini piliules galima nustoti vartoti bet kurią parą ir kitą parą pradėti gerti </w:t>
      </w:r>
      <w:r w:rsidRPr="00B461CE">
        <w:rPr>
          <w:iCs/>
          <w:sz w:val="22"/>
          <w:szCs w:val="22"/>
        </w:rPr>
        <w:t xml:space="preserve">Cerazette </w:t>
      </w:r>
      <w:r w:rsidRPr="00B461CE">
        <w:rPr>
          <w:sz w:val="22"/>
          <w:szCs w:val="22"/>
        </w:rPr>
        <w:t>(po implanto ar spiralės - jų pašalinimo parą, po injekcijų – kitos injekcijos parą).</w:t>
      </w:r>
    </w:p>
    <w:p w:rsidR="009B7E2A" w:rsidRPr="00B461CE" w:rsidRDefault="009B7E2A" w:rsidP="009B7E2A">
      <w:pPr>
        <w:rPr>
          <w:color w:val="000000"/>
          <w:sz w:val="22"/>
          <w:szCs w:val="22"/>
        </w:rPr>
      </w:pPr>
    </w:p>
    <w:p w:rsidR="009B7E2A" w:rsidRPr="00B461CE" w:rsidRDefault="009B7E2A" w:rsidP="009B7E2A">
      <w:pPr>
        <w:rPr>
          <w:b/>
          <w:color w:val="000000"/>
          <w:sz w:val="22"/>
          <w:szCs w:val="22"/>
        </w:rPr>
      </w:pPr>
      <w:r w:rsidRPr="00B461CE">
        <w:rPr>
          <w:b/>
          <w:color w:val="000000"/>
          <w:sz w:val="22"/>
          <w:szCs w:val="22"/>
        </w:rPr>
        <w:t>Pamiršus išgerti tabletę</w:t>
      </w:r>
    </w:p>
    <w:p w:rsidR="009B7E2A" w:rsidRPr="00B461CE" w:rsidRDefault="009B7E2A" w:rsidP="009B7E2A">
      <w:pPr>
        <w:rPr>
          <w:color w:val="000000"/>
          <w:sz w:val="22"/>
          <w:szCs w:val="22"/>
        </w:rPr>
      </w:pPr>
      <w:r w:rsidRPr="00B461CE">
        <w:rPr>
          <w:iCs/>
          <w:color w:val="000000"/>
          <w:sz w:val="22"/>
          <w:szCs w:val="22"/>
        </w:rPr>
        <w:t xml:space="preserve">Jeigu laikotarpis tarp dviejų tablečių yra ilgesnis nei 36 valandos, kontraceptinė apsauga gali susilpnėti. Prisiminus apie neišgertą tabletę per 12 valandų, </w:t>
      </w:r>
      <w:r w:rsidRPr="00B461CE">
        <w:rPr>
          <w:sz w:val="22"/>
          <w:szCs w:val="22"/>
        </w:rPr>
        <w:t xml:space="preserve">ją reikia išgerti tuoj pat, o kitas tabletes vartoti įprastai. Prisiminus </w:t>
      </w:r>
      <w:r w:rsidRPr="00B461CE">
        <w:rPr>
          <w:iCs/>
          <w:color w:val="000000"/>
          <w:sz w:val="22"/>
          <w:szCs w:val="22"/>
        </w:rPr>
        <w:t xml:space="preserve">apie neišgertą tabletę </w:t>
      </w:r>
      <w:r w:rsidRPr="00B461CE">
        <w:rPr>
          <w:sz w:val="22"/>
          <w:szCs w:val="22"/>
        </w:rPr>
        <w:t xml:space="preserve">po 12 valandų, </w:t>
      </w:r>
      <w:r w:rsidRPr="00B461CE">
        <w:rPr>
          <w:color w:val="000000"/>
          <w:sz w:val="22"/>
          <w:szCs w:val="22"/>
        </w:rPr>
        <w:t xml:space="preserve">kitas 7 paras reikėtų naudoti papildomą kontracepciją. Moteris, kuri praleido tabletes pirmąją </w:t>
      </w:r>
      <w:r>
        <w:rPr>
          <w:color w:val="000000"/>
          <w:sz w:val="22"/>
          <w:szCs w:val="22"/>
        </w:rPr>
        <w:t xml:space="preserve">Cerazette </w:t>
      </w:r>
      <w:r w:rsidRPr="00B461CE">
        <w:rPr>
          <w:color w:val="000000"/>
          <w:sz w:val="22"/>
          <w:szCs w:val="22"/>
        </w:rPr>
        <w:t xml:space="preserve">vartojimo savaitę ir per 7 paras iki neišgertos tabletės </w:t>
      </w:r>
      <w:r w:rsidRPr="00B461CE">
        <w:rPr>
          <w:sz w:val="22"/>
          <w:szCs w:val="22"/>
        </w:rPr>
        <w:t>lytiškai santykiavo</w:t>
      </w:r>
      <w:r w:rsidRPr="00B461CE">
        <w:rPr>
          <w:color w:val="000000"/>
          <w:sz w:val="22"/>
          <w:szCs w:val="22"/>
        </w:rPr>
        <w:t xml:space="preserve">, </w:t>
      </w:r>
      <w:r w:rsidRPr="00B461CE">
        <w:rPr>
          <w:iCs/>
          <w:sz w:val="22"/>
          <w:szCs w:val="22"/>
        </w:rPr>
        <w:t>turi pasitikrinti, ar n</w:t>
      </w:r>
      <w:r>
        <w:rPr>
          <w:iCs/>
          <w:sz w:val="22"/>
          <w:szCs w:val="22"/>
        </w:rPr>
        <w:t>ėra</w:t>
      </w:r>
      <w:r w:rsidRPr="00B461CE">
        <w:rPr>
          <w:iCs/>
          <w:sz w:val="22"/>
          <w:szCs w:val="22"/>
        </w:rPr>
        <w:t xml:space="preserve"> nėščia</w:t>
      </w:r>
      <w:r w:rsidRPr="00B461CE">
        <w:rPr>
          <w:color w:val="000000"/>
          <w:sz w:val="22"/>
          <w:szCs w:val="22"/>
        </w:rPr>
        <w:t>.</w:t>
      </w:r>
    </w:p>
    <w:p w:rsidR="009B7E2A" w:rsidRPr="00B461CE" w:rsidRDefault="009B7E2A" w:rsidP="009B7E2A">
      <w:pPr>
        <w:rPr>
          <w:color w:val="000000"/>
          <w:sz w:val="22"/>
          <w:szCs w:val="22"/>
        </w:rPr>
      </w:pPr>
    </w:p>
    <w:p w:rsidR="009B7E2A" w:rsidRPr="00B461CE" w:rsidRDefault="009B7E2A" w:rsidP="009B7E2A">
      <w:pPr>
        <w:rPr>
          <w:b/>
          <w:bCs/>
          <w:sz w:val="22"/>
          <w:szCs w:val="22"/>
        </w:rPr>
      </w:pPr>
      <w:r w:rsidRPr="00B461CE">
        <w:rPr>
          <w:b/>
          <w:sz w:val="22"/>
          <w:szCs w:val="22"/>
        </w:rPr>
        <w:lastRenderedPageBreak/>
        <w:t>Patarimai, kai yra virškinimo trakto sutrikimų</w:t>
      </w:r>
    </w:p>
    <w:p w:rsidR="009B7E2A" w:rsidRPr="00B461CE" w:rsidRDefault="009B7E2A" w:rsidP="009B7E2A">
      <w:pPr>
        <w:rPr>
          <w:sz w:val="22"/>
          <w:szCs w:val="22"/>
        </w:rPr>
      </w:pPr>
      <w:r w:rsidRPr="00B461CE">
        <w:rPr>
          <w:sz w:val="22"/>
          <w:szCs w:val="22"/>
        </w:rPr>
        <w:t xml:space="preserve">Kai yra sunkių </w:t>
      </w:r>
      <w:r w:rsidRPr="00B461CE">
        <w:rPr>
          <w:iCs/>
          <w:sz w:val="22"/>
          <w:szCs w:val="22"/>
        </w:rPr>
        <w:t xml:space="preserve">virškinimo trakto </w:t>
      </w:r>
      <w:r w:rsidRPr="00B461CE">
        <w:rPr>
          <w:sz w:val="22"/>
          <w:szCs w:val="22"/>
        </w:rPr>
        <w:t xml:space="preserve">sutrikimų, veikliosios medžiagos </w:t>
      </w:r>
      <w:r w:rsidRPr="00B461CE">
        <w:rPr>
          <w:iCs/>
          <w:sz w:val="22"/>
          <w:szCs w:val="22"/>
        </w:rPr>
        <w:t xml:space="preserve">absorbcija gali sutrikti. Tada </w:t>
      </w:r>
      <w:r w:rsidRPr="00B461CE">
        <w:rPr>
          <w:sz w:val="22"/>
          <w:szCs w:val="22"/>
        </w:rPr>
        <w:t>reikia naudoti papildomas kontracepcijos priemones.</w:t>
      </w:r>
    </w:p>
    <w:p w:rsidR="009B7E2A" w:rsidRPr="00B461CE" w:rsidRDefault="009B7E2A" w:rsidP="009B7E2A">
      <w:pPr>
        <w:rPr>
          <w:sz w:val="22"/>
          <w:szCs w:val="22"/>
        </w:rPr>
      </w:pPr>
      <w:r w:rsidRPr="00B461CE">
        <w:rPr>
          <w:iCs/>
          <w:color w:val="000000"/>
          <w:sz w:val="22"/>
          <w:szCs w:val="22"/>
        </w:rPr>
        <w:t>Jeigu per 3-4 valandas po išgertos tabletės moteris pradeda vemti, absorbcija gali būti nepakankama. Tokiu atveju reikia elgtis, kaip nurodyta 4.2 skyriuje apie pamirštas išgerti tabletes.</w:t>
      </w:r>
    </w:p>
    <w:p w:rsidR="009B7E2A" w:rsidRPr="00B461CE" w:rsidRDefault="009B7E2A" w:rsidP="009B7E2A">
      <w:pPr>
        <w:rPr>
          <w:sz w:val="22"/>
          <w:szCs w:val="22"/>
        </w:rPr>
      </w:pPr>
    </w:p>
    <w:p w:rsidR="009B7E2A" w:rsidRPr="00B461CE" w:rsidRDefault="009B7E2A" w:rsidP="009B7E2A">
      <w:pPr>
        <w:pStyle w:val="Antrat1"/>
        <w:autoSpaceDE/>
        <w:autoSpaceDN/>
        <w:adjustRightInd/>
      </w:pPr>
      <w:r w:rsidRPr="00B461CE">
        <w:t xml:space="preserve">Pacientės </w:t>
      </w:r>
      <w:r w:rsidRPr="00B461CE">
        <w:rPr>
          <w:bCs w:val="0"/>
          <w:iCs/>
        </w:rPr>
        <w:t>stebėsena</w:t>
      </w:r>
    </w:p>
    <w:p w:rsidR="009B7E2A" w:rsidRPr="00B461CE" w:rsidRDefault="009B7E2A" w:rsidP="009B7E2A">
      <w:pPr>
        <w:rPr>
          <w:sz w:val="22"/>
          <w:szCs w:val="22"/>
        </w:rPr>
      </w:pPr>
      <w:r w:rsidRPr="00B461CE">
        <w:rPr>
          <w:sz w:val="22"/>
          <w:szCs w:val="22"/>
        </w:rPr>
        <w:t>Norėdamas įsitikinti, kad pacientė nėra nėščia, prieš skirdamas kontraceptiką gydytojas turi susipažinti su pacientės ligos istorija bei atlikti išsamų ginekologinį ištyrimą. Prieš skiriant vaistinį preparatą reikia išaiškinti kraujavimo sutrikimų, pavyzdžiui, oligomenorėjos ir amenorėjos, priežastis. Pacientės tikrinimų dažnis nustatomas individualiai. Jeigu paskirtas kontraceptikas gali turėti įtakos lėtinei ar pasireiškusiai ligai (žr. 4.4 skyrių), turi būti nustatomi reguliarūs sveikatos patikrinimai.</w:t>
      </w:r>
    </w:p>
    <w:p w:rsidR="009B7E2A" w:rsidRPr="00B461CE" w:rsidRDefault="009B7E2A" w:rsidP="009B7E2A">
      <w:pPr>
        <w:rPr>
          <w:sz w:val="22"/>
          <w:szCs w:val="22"/>
        </w:rPr>
      </w:pPr>
    </w:p>
    <w:p w:rsidR="009B7E2A" w:rsidRPr="00B461CE" w:rsidRDefault="009B7E2A" w:rsidP="009B7E2A">
      <w:pPr>
        <w:rPr>
          <w:sz w:val="22"/>
          <w:szCs w:val="22"/>
        </w:rPr>
      </w:pPr>
      <w:r w:rsidRPr="00B461CE">
        <w:rPr>
          <w:sz w:val="22"/>
          <w:szCs w:val="22"/>
        </w:rPr>
        <w:t xml:space="preserve">Kraujuoti gali net ir reguliariai vartojant </w:t>
      </w:r>
      <w:r w:rsidRPr="00B461CE">
        <w:rPr>
          <w:iCs/>
          <w:color w:val="000000"/>
          <w:sz w:val="22"/>
          <w:szCs w:val="22"/>
        </w:rPr>
        <w:t>Cerazette. Jeigu kraujuoja labai dažnai ir nereguliariai, reikėtų rinktis kitą kontracepcijos būdą. Jei simptomai neišnyksta, reikia ieškoti organinės jų priežasties.</w:t>
      </w:r>
    </w:p>
    <w:p w:rsidR="009B7E2A" w:rsidRPr="00B461CE" w:rsidRDefault="009B7E2A" w:rsidP="009B7E2A">
      <w:pPr>
        <w:rPr>
          <w:sz w:val="22"/>
          <w:szCs w:val="22"/>
        </w:rPr>
      </w:pPr>
      <w:r w:rsidRPr="00B461CE">
        <w:rPr>
          <w:sz w:val="22"/>
          <w:szCs w:val="22"/>
        </w:rPr>
        <w:t>Ar reikia tirti dėl amenorėjos, ar ne, priklauso nuo to, ar pacientė tinkamai vartojo tabletes. Prireikus atliekamas nėštumo testas.</w:t>
      </w:r>
    </w:p>
    <w:p w:rsidR="009B7E2A" w:rsidRPr="00B461CE" w:rsidRDefault="009B7E2A" w:rsidP="009B7E2A">
      <w:pPr>
        <w:rPr>
          <w:sz w:val="22"/>
          <w:szCs w:val="22"/>
        </w:rPr>
      </w:pPr>
    </w:p>
    <w:p w:rsidR="009B7E2A" w:rsidRPr="00B461CE" w:rsidRDefault="009B7E2A" w:rsidP="009B7E2A">
      <w:pPr>
        <w:rPr>
          <w:sz w:val="22"/>
          <w:szCs w:val="22"/>
        </w:rPr>
      </w:pPr>
      <w:r w:rsidRPr="00B461CE">
        <w:rPr>
          <w:sz w:val="22"/>
          <w:szCs w:val="22"/>
        </w:rPr>
        <w:t>Pastojus šio vaistinio preparato vartojimą reikia nutraukti.</w:t>
      </w:r>
    </w:p>
    <w:p w:rsidR="009B7E2A" w:rsidRPr="00B461CE" w:rsidRDefault="009B7E2A" w:rsidP="009B7E2A">
      <w:pPr>
        <w:rPr>
          <w:sz w:val="22"/>
          <w:szCs w:val="22"/>
        </w:rPr>
      </w:pPr>
    </w:p>
    <w:p w:rsidR="009B7E2A" w:rsidRPr="00B461CE" w:rsidRDefault="009B7E2A" w:rsidP="009B7E2A">
      <w:pPr>
        <w:rPr>
          <w:sz w:val="22"/>
          <w:szCs w:val="22"/>
        </w:rPr>
      </w:pPr>
      <w:r w:rsidRPr="00B461CE">
        <w:rPr>
          <w:sz w:val="22"/>
          <w:szCs w:val="22"/>
        </w:rPr>
        <w:t>Moterį reikia įspėti, kad Cerazette neapsaugo nuo ŽIV infekcijos (AIDS) ir kitų lytiškai plintančių ligų.</w:t>
      </w:r>
    </w:p>
    <w:p w:rsidR="009B7E2A" w:rsidRPr="00B461CE" w:rsidRDefault="009B7E2A" w:rsidP="009B7E2A">
      <w:pPr>
        <w:rPr>
          <w:sz w:val="22"/>
          <w:szCs w:val="22"/>
        </w:rPr>
      </w:pPr>
    </w:p>
    <w:p w:rsidR="009B7E2A" w:rsidRPr="00B461CE" w:rsidRDefault="009B7E2A" w:rsidP="009B7E2A">
      <w:pPr>
        <w:ind w:left="567" w:hanging="567"/>
        <w:rPr>
          <w:b/>
          <w:bCs/>
          <w:sz w:val="22"/>
          <w:szCs w:val="22"/>
        </w:rPr>
      </w:pPr>
      <w:r w:rsidRPr="00B461CE">
        <w:rPr>
          <w:b/>
          <w:bCs/>
          <w:sz w:val="22"/>
          <w:szCs w:val="22"/>
        </w:rPr>
        <w:t>4.3</w:t>
      </w:r>
      <w:r w:rsidRPr="00B461CE">
        <w:rPr>
          <w:b/>
          <w:bCs/>
          <w:sz w:val="22"/>
          <w:szCs w:val="22"/>
        </w:rPr>
        <w:tab/>
        <w:t>Kontraindikacijos</w:t>
      </w:r>
    </w:p>
    <w:p w:rsidR="009B7E2A" w:rsidRPr="00B461CE" w:rsidRDefault="009B7E2A" w:rsidP="009B7E2A">
      <w:pPr>
        <w:rPr>
          <w:sz w:val="22"/>
          <w:szCs w:val="22"/>
        </w:rPr>
      </w:pPr>
    </w:p>
    <w:p w:rsidR="009B7E2A" w:rsidRPr="001F6171" w:rsidRDefault="009B7E2A" w:rsidP="009B7E2A">
      <w:pPr>
        <w:numPr>
          <w:ilvl w:val="0"/>
          <w:numId w:val="1"/>
        </w:numPr>
        <w:rPr>
          <w:sz w:val="22"/>
          <w:szCs w:val="22"/>
        </w:rPr>
      </w:pPr>
      <w:r w:rsidRPr="001F6171">
        <w:rPr>
          <w:sz w:val="22"/>
          <w:szCs w:val="22"/>
        </w:rPr>
        <w:t>Aktyvi venų tromboembolinė liga.</w:t>
      </w:r>
    </w:p>
    <w:p w:rsidR="009B7E2A" w:rsidRPr="001F6171" w:rsidRDefault="009B7E2A" w:rsidP="009B7E2A">
      <w:pPr>
        <w:numPr>
          <w:ilvl w:val="0"/>
          <w:numId w:val="1"/>
        </w:numPr>
        <w:rPr>
          <w:sz w:val="22"/>
          <w:szCs w:val="22"/>
        </w:rPr>
      </w:pPr>
      <w:r w:rsidRPr="001F6171">
        <w:rPr>
          <w:color w:val="000000"/>
          <w:sz w:val="22"/>
          <w:szCs w:val="22"/>
        </w:rPr>
        <w:t>Esama ar buvusi sunki kepenų liga</w:t>
      </w:r>
      <w:r w:rsidRPr="001F6171">
        <w:rPr>
          <w:sz w:val="22"/>
          <w:szCs w:val="22"/>
        </w:rPr>
        <w:t>, kol kepenų funkcijos rodikliai tebėra pakitę.</w:t>
      </w:r>
    </w:p>
    <w:p w:rsidR="009B7E2A" w:rsidRPr="001F6171" w:rsidRDefault="009B7E2A" w:rsidP="009B7E2A">
      <w:pPr>
        <w:numPr>
          <w:ilvl w:val="0"/>
          <w:numId w:val="1"/>
        </w:numPr>
        <w:rPr>
          <w:sz w:val="22"/>
          <w:szCs w:val="22"/>
        </w:rPr>
      </w:pPr>
      <w:r w:rsidRPr="001F6171">
        <w:rPr>
          <w:sz w:val="22"/>
          <w:szCs w:val="22"/>
        </w:rPr>
        <w:t>Žinomi ar įtariami nuo lytinių hormonų priklausomi navikai.</w:t>
      </w:r>
    </w:p>
    <w:p w:rsidR="009B7E2A" w:rsidRPr="001F6171" w:rsidRDefault="009B7E2A" w:rsidP="009B7E2A">
      <w:pPr>
        <w:numPr>
          <w:ilvl w:val="0"/>
          <w:numId w:val="1"/>
        </w:numPr>
        <w:rPr>
          <w:sz w:val="22"/>
          <w:szCs w:val="22"/>
        </w:rPr>
      </w:pPr>
      <w:r w:rsidRPr="001F6171">
        <w:rPr>
          <w:sz w:val="22"/>
          <w:szCs w:val="22"/>
        </w:rPr>
        <w:t>Neaiškios kilmės kraujavimas iš makšties.</w:t>
      </w:r>
    </w:p>
    <w:p w:rsidR="009B7E2A" w:rsidRPr="001F6171" w:rsidRDefault="009B7E2A" w:rsidP="009B7E2A">
      <w:pPr>
        <w:numPr>
          <w:ilvl w:val="0"/>
          <w:numId w:val="1"/>
        </w:numPr>
        <w:rPr>
          <w:sz w:val="22"/>
          <w:szCs w:val="22"/>
        </w:rPr>
      </w:pPr>
      <w:r w:rsidRPr="001F6171">
        <w:rPr>
          <w:sz w:val="22"/>
          <w:szCs w:val="22"/>
        </w:rPr>
        <w:t>Padidėjęs jautrumas veikliajai arba bet kuriai 6.1 skyriuje nurodytai pagalbinei medžiagai.</w:t>
      </w:r>
    </w:p>
    <w:p w:rsidR="009B7E2A" w:rsidRPr="00B461CE" w:rsidRDefault="009B7E2A" w:rsidP="009B7E2A">
      <w:pPr>
        <w:pStyle w:val="Paragraph"/>
        <w:tabs>
          <w:tab w:val="left" w:pos="975"/>
        </w:tabs>
        <w:spacing w:after="0" w:line="240" w:lineRule="auto"/>
        <w:rPr>
          <w:rFonts w:ascii="Times New Roman" w:hAnsi="Times New Roman"/>
          <w:szCs w:val="22"/>
          <w:lang w:val="lt-LT"/>
        </w:rPr>
      </w:pPr>
      <w:r>
        <w:rPr>
          <w:rFonts w:ascii="Times New Roman" w:hAnsi="Times New Roman"/>
          <w:szCs w:val="22"/>
          <w:lang w:val="lt-LT"/>
        </w:rPr>
        <w:tab/>
      </w:r>
    </w:p>
    <w:p w:rsidR="009B7E2A" w:rsidRPr="00B461CE" w:rsidRDefault="009B7E2A" w:rsidP="009B7E2A">
      <w:pPr>
        <w:ind w:left="567" w:hanging="567"/>
        <w:rPr>
          <w:b/>
          <w:bCs/>
          <w:sz w:val="22"/>
          <w:szCs w:val="22"/>
        </w:rPr>
      </w:pPr>
      <w:r w:rsidRPr="00B461CE">
        <w:rPr>
          <w:b/>
          <w:bCs/>
          <w:sz w:val="22"/>
          <w:szCs w:val="22"/>
        </w:rPr>
        <w:t>4.4</w:t>
      </w:r>
      <w:r w:rsidRPr="00B461CE">
        <w:rPr>
          <w:b/>
          <w:bCs/>
          <w:sz w:val="22"/>
          <w:szCs w:val="22"/>
        </w:rPr>
        <w:tab/>
        <w:t>Specialūs įspėjimai ir atsargumo priemonės</w:t>
      </w:r>
    </w:p>
    <w:p w:rsidR="009B7E2A" w:rsidRPr="00B461CE" w:rsidRDefault="009B7E2A" w:rsidP="009B7E2A">
      <w:pPr>
        <w:rPr>
          <w:sz w:val="22"/>
          <w:szCs w:val="22"/>
        </w:rPr>
      </w:pPr>
    </w:p>
    <w:p w:rsidR="009B7E2A" w:rsidRPr="00B461CE" w:rsidRDefault="009B7E2A" w:rsidP="009B7E2A">
      <w:pPr>
        <w:rPr>
          <w:sz w:val="22"/>
          <w:szCs w:val="22"/>
        </w:rPr>
      </w:pPr>
      <w:r w:rsidRPr="00B461CE">
        <w:rPr>
          <w:sz w:val="22"/>
          <w:szCs w:val="22"/>
        </w:rPr>
        <w:t xml:space="preserve">Esant bent vienai iš toliau aprašytų būklių (rizikos veiksnių), privaloma individualiai įvertinti </w:t>
      </w:r>
      <w:r w:rsidRPr="00184906">
        <w:rPr>
          <w:sz w:val="22"/>
          <w:szCs w:val="22"/>
        </w:rPr>
        <w:t>progestagenų</w:t>
      </w:r>
      <w:r w:rsidRPr="00B461CE">
        <w:rPr>
          <w:sz w:val="22"/>
          <w:szCs w:val="22"/>
        </w:rPr>
        <w:t xml:space="preserve"> vartojimo naudos ir galimos rizikos santykį bei aptarti tai su moterimi prieš jai nusprendžiant pradėti vartoti Cerazette. Jeigu vartojimo metu bet kuri iš toliau nurodytų būklių pasunkėja, paūmėja arba pasireiškia pirmą kartą, moteris turi kreiptis į savo gydytoją. Gydytojas turi nuspręsti, ar reikia nutraukti Cerazette vartojimą.</w:t>
      </w:r>
    </w:p>
    <w:p w:rsidR="009B7E2A" w:rsidRPr="00B461CE" w:rsidRDefault="009B7E2A" w:rsidP="009B7E2A">
      <w:pPr>
        <w:rPr>
          <w:sz w:val="22"/>
          <w:szCs w:val="22"/>
        </w:rPr>
      </w:pPr>
    </w:p>
    <w:p w:rsidR="009B7E2A" w:rsidRPr="00B461CE" w:rsidRDefault="009B7E2A" w:rsidP="009B7E2A">
      <w:pPr>
        <w:keepNext/>
        <w:rPr>
          <w:sz w:val="22"/>
          <w:szCs w:val="22"/>
        </w:rPr>
      </w:pPr>
      <w:r w:rsidRPr="00B461CE">
        <w:rPr>
          <w:sz w:val="22"/>
          <w:szCs w:val="22"/>
        </w:rPr>
        <w:t>Krūties vėžio rizika įprastai didėja su amžiumi. Sudėtinius geriamuosius kontraceptikus  vartojančioms moterims krūties vėžio diagnozės rizika šiek tiek padidėja. Nustojus juos vartoti, ši padidėjusi rizika pamažu per 10 metų išnyksta. Ji priklauso ne nuo kontraceptikų vartojimo trukmės, bet nuo SGK vartojančios moters amžiaus. Nustatytas įvairių amžiaus grupių tikėtinas moterų krūties vėžio atvejų skaičius 10</w:t>
      </w:r>
      <w:r>
        <w:rPr>
          <w:sz w:val="22"/>
          <w:szCs w:val="22"/>
        </w:rPr>
        <w:t> </w:t>
      </w:r>
      <w:r w:rsidRPr="00B461CE">
        <w:rPr>
          <w:sz w:val="22"/>
          <w:szCs w:val="22"/>
        </w:rPr>
        <w:t>000 tiriamųjų, vartojusių SGK (iki 10 metų po jų nutraukimo) lyginant su niekada jų nevartojusiomis, yra pateiktas lentelėje žemiau.</w:t>
      </w:r>
    </w:p>
    <w:tbl>
      <w:tblPr>
        <w:tblpPr w:leftFromText="180" w:rightFromText="180" w:vertAnchor="text" w:tblpXSpec="center"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3"/>
        <w:gridCol w:w="3191"/>
      </w:tblGrid>
      <w:tr w:rsidR="009B7E2A" w:rsidRPr="00B461CE" w:rsidTr="00C5042B">
        <w:trPr>
          <w:cantSplit/>
          <w:trHeight w:val="128"/>
        </w:trPr>
        <w:tc>
          <w:tcPr>
            <w:tcW w:w="1667" w:type="pct"/>
          </w:tcPr>
          <w:p w:rsidR="009B7E2A" w:rsidRPr="00B461CE" w:rsidRDefault="009B7E2A" w:rsidP="00C5042B">
            <w:pPr>
              <w:keepNext/>
              <w:keepLines/>
              <w:jc w:val="center"/>
              <w:rPr>
                <w:i/>
              </w:rPr>
            </w:pPr>
            <w:r w:rsidRPr="00B461CE">
              <w:rPr>
                <w:i/>
                <w:iCs/>
                <w:sz w:val="22"/>
                <w:szCs w:val="22"/>
              </w:rPr>
              <w:t>Amžiaus grupė</w:t>
            </w:r>
          </w:p>
        </w:tc>
        <w:tc>
          <w:tcPr>
            <w:tcW w:w="1667" w:type="pct"/>
          </w:tcPr>
          <w:p w:rsidR="009B7E2A" w:rsidRPr="00B461CE" w:rsidRDefault="009B7E2A" w:rsidP="00C5042B">
            <w:pPr>
              <w:keepNext/>
              <w:keepLines/>
              <w:jc w:val="center"/>
              <w:rPr>
                <w:i/>
              </w:rPr>
            </w:pPr>
            <w:r w:rsidRPr="00B461CE">
              <w:rPr>
                <w:i/>
                <w:iCs/>
                <w:sz w:val="22"/>
                <w:szCs w:val="22"/>
              </w:rPr>
              <w:t>Tikėtinas atvejų skaičius (vartojančios SGK)</w:t>
            </w:r>
          </w:p>
        </w:tc>
        <w:tc>
          <w:tcPr>
            <w:tcW w:w="1667" w:type="pct"/>
          </w:tcPr>
          <w:p w:rsidR="009B7E2A" w:rsidRPr="00B461CE" w:rsidRDefault="009B7E2A" w:rsidP="00C5042B">
            <w:pPr>
              <w:keepNext/>
              <w:keepLines/>
              <w:jc w:val="center"/>
              <w:rPr>
                <w:i/>
              </w:rPr>
            </w:pPr>
            <w:r w:rsidRPr="00B461CE">
              <w:rPr>
                <w:i/>
                <w:iCs/>
                <w:sz w:val="22"/>
                <w:szCs w:val="22"/>
              </w:rPr>
              <w:t>Tikėtinas atvejų skaičius (nevartojančios SGK)</w:t>
            </w:r>
          </w:p>
        </w:tc>
      </w:tr>
      <w:tr w:rsidR="009B7E2A" w:rsidRPr="00B461CE" w:rsidTr="00C5042B">
        <w:trPr>
          <w:cantSplit/>
          <w:trHeight w:val="127"/>
        </w:trPr>
        <w:tc>
          <w:tcPr>
            <w:tcW w:w="1667" w:type="pct"/>
          </w:tcPr>
          <w:p w:rsidR="009B7E2A" w:rsidRPr="00B461CE" w:rsidRDefault="009B7E2A" w:rsidP="00C5042B">
            <w:pPr>
              <w:keepNext/>
              <w:keepLines/>
              <w:jc w:val="center"/>
            </w:pPr>
            <w:r w:rsidRPr="00B461CE">
              <w:rPr>
                <w:sz w:val="22"/>
                <w:szCs w:val="22"/>
              </w:rPr>
              <w:lastRenderedPageBreak/>
              <w:t>16-19 metų</w:t>
            </w:r>
          </w:p>
          <w:p w:rsidR="009B7E2A" w:rsidRPr="00B461CE" w:rsidRDefault="009B7E2A" w:rsidP="00C5042B">
            <w:pPr>
              <w:keepNext/>
              <w:keepLines/>
              <w:jc w:val="center"/>
            </w:pPr>
            <w:r w:rsidRPr="00B461CE">
              <w:rPr>
                <w:sz w:val="22"/>
                <w:szCs w:val="22"/>
              </w:rPr>
              <w:t>20-24 metų</w:t>
            </w:r>
          </w:p>
          <w:p w:rsidR="009B7E2A" w:rsidRPr="00B461CE" w:rsidRDefault="009B7E2A" w:rsidP="00C5042B">
            <w:pPr>
              <w:keepNext/>
              <w:keepLines/>
              <w:jc w:val="center"/>
            </w:pPr>
            <w:r w:rsidRPr="00B461CE">
              <w:rPr>
                <w:sz w:val="22"/>
                <w:szCs w:val="22"/>
              </w:rPr>
              <w:t>25-29 metų</w:t>
            </w:r>
          </w:p>
          <w:p w:rsidR="009B7E2A" w:rsidRPr="00B461CE" w:rsidRDefault="009B7E2A" w:rsidP="00C5042B">
            <w:pPr>
              <w:keepNext/>
              <w:keepLines/>
              <w:jc w:val="center"/>
            </w:pPr>
            <w:r w:rsidRPr="00B461CE">
              <w:rPr>
                <w:sz w:val="22"/>
                <w:szCs w:val="22"/>
              </w:rPr>
              <w:t>30-34 metų</w:t>
            </w:r>
          </w:p>
          <w:p w:rsidR="009B7E2A" w:rsidRPr="00B461CE" w:rsidRDefault="009B7E2A" w:rsidP="00C5042B">
            <w:pPr>
              <w:keepNext/>
              <w:keepLines/>
              <w:jc w:val="center"/>
            </w:pPr>
            <w:r w:rsidRPr="00B461CE">
              <w:rPr>
                <w:sz w:val="22"/>
                <w:szCs w:val="22"/>
              </w:rPr>
              <w:t>35-39 metų</w:t>
            </w:r>
          </w:p>
          <w:p w:rsidR="009B7E2A" w:rsidRPr="00B461CE" w:rsidRDefault="009B7E2A" w:rsidP="00C5042B">
            <w:pPr>
              <w:keepNext/>
              <w:keepLines/>
              <w:jc w:val="center"/>
            </w:pPr>
            <w:r w:rsidRPr="00B461CE">
              <w:rPr>
                <w:sz w:val="22"/>
                <w:szCs w:val="22"/>
              </w:rPr>
              <w:t>40-44 metų</w:t>
            </w:r>
          </w:p>
        </w:tc>
        <w:tc>
          <w:tcPr>
            <w:tcW w:w="1667" w:type="pct"/>
          </w:tcPr>
          <w:p w:rsidR="009B7E2A" w:rsidRPr="00184906" w:rsidRDefault="009B7E2A" w:rsidP="00C5042B">
            <w:pPr>
              <w:keepNext/>
              <w:keepLines/>
              <w:jc w:val="center"/>
            </w:pPr>
            <w:r w:rsidRPr="00184906">
              <w:rPr>
                <w:sz w:val="22"/>
                <w:szCs w:val="22"/>
              </w:rPr>
              <w:t>4.5</w:t>
            </w:r>
          </w:p>
          <w:p w:rsidR="009B7E2A" w:rsidRPr="00184906" w:rsidRDefault="009B7E2A" w:rsidP="00C5042B">
            <w:pPr>
              <w:keepNext/>
              <w:keepLines/>
              <w:jc w:val="center"/>
            </w:pPr>
            <w:r w:rsidRPr="00184906">
              <w:rPr>
                <w:sz w:val="22"/>
                <w:szCs w:val="22"/>
              </w:rPr>
              <w:t>17.5</w:t>
            </w:r>
          </w:p>
          <w:p w:rsidR="009B7E2A" w:rsidRPr="00184906" w:rsidRDefault="009B7E2A" w:rsidP="00C5042B">
            <w:pPr>
              <w:keepNext/>
              <w:keepLines/>
              <w:jc w:val="center"/>
            </w:pPr>
            <w:r w:rsidRPr="00184906">
              <w:rPr>
                <w:sz w:val="22"/>
                <w:szCs w:val="22"/>
              </w:rPr>
              <w:t>48.7</w:t>
            </w:r>
          </w:p>
          <w:p w:rsidR="009B7E2A" w:rsidRPr="00184906" w:rsidRDefault="009B7E2A" w:rsidP="00C5042B">
            <w:pPr>
              <w:keepNext/>
              <w:keepLines/>
              <w:jc w:val="center"/>
            </w:pPr>
            <w:r w:rsidRPr="00184906">
              <w:rPr>
                <w:sz w:val="22"/>
                <w:szCs w:val="22"/>
              </w:rPr>
              <w:t>110</w:t>
            </w:r>
          </w:p>
          <w:p w:rsidR="009B7E2A" w:rsidRPr="00184906" w:rsidRDefault="009B7E2A" w:rsidP="00C5042B">
            <w:pPr>
              <w:keepNext/>
              <w:keepLines/>
              <w:jc w:val="center"/>
            </w:pPr>
            <w:r w:rsidRPr="00184906">
              <w:rPr>
                <w:sz w:val="22"/>
                <w:szCs w:val="22"/>
              </w:rPr>
              <w:t>180</w:t>
            </w:r>
          </w:p>
          <w:p w:rsidR="009B7E2A" w:rsidRPr="00B461CE" w:rsidRDefault="009B7E2A" w:rsidP="00C5042B">
            <w:pPr>
              <w:keepNext/>
              <w:keepLines/>
              <w:jc w:val="center"/>
            </w:pPr>
            <w:r w:rsidRPr="00184906">
              <w:rPr>
                <w:sz w:val="22"/>
                <w:szCs w:val="22"/>
              </w:rPr>
              <w:t>260</w:t>
            </w:r>
          </w:p>
        </w:tc>
        <w:tc>
          <w:tcPr>
            <w:tcW w:w="1667" w:type="pct"/>
          </w:tcPr>
          <w:p w:rsidR="009B7E2A" w:rsidRPr="00B461CE" w:rsidRDefault="009B7E2A" w:rsidP="00C5042B">
            <w:pPr>
              <w:keepNext/>
              <w:keepLines/>
              <w:jc w:val="center"/>
            </w:pPr>
            <w:r w:rsidRPr="00B461CE">
              <w:rPr>
                <w:sz w:val="22"/>
                <w:szCs w:val="22"/>
              </w:rPr>
              <w:t>4</w:t>
            </w:r>
          </w:p>
          <w:p w:rsidR="009B7E2A" w:rsidRPr="00B461CE" w:rsidRDefault="009B7E2A" w:rsidP="00C5042B">
            <w:pPr>
              <w:keepNext/>
              <w:keepLines/>
              <w:jc w:val="center"/>
            </w:pPr>
            <w:r w:rsidRPr="00B461CE">
              <w:rPr>
                <w:sz w:val="22"/>
                <w:szCs w:val="22"/>
              </w:rPr>
              <w:t>16</w:t>
            </w:r>
          </w:p>
          <w:p w:rsidR="009B7E2A" w:rsidRPr="00B461CE" w:rsidRDefault="009B7E2A" w:rsidP="00C5042B">
            <w:pPr>
              <w:keepNext/>
              <w:keepLines/>
              <w:jc w:val="center"/>
            </w:pPr>
            <w:r w:rsidRPr="00B461CE">
              <w:rPr>
                <w:sz w:val="22"/>
                <w:szCs w:val="22"/>
              </w:rPr>
              <w:t>44</w:t>
            </w:r>
          </w:p>
          <w:p w:rsidR="009B7E2A" w:rsidRPr="00B461CE" w:rsidRDefault="009B7E2A" w:rsidP="00C5042B">
            <w:pPr>
              <w:keepNext/>
              <w:keepLines/>
              <w:jc w:val="center"/>
            </w:pPr>
            <w:r w:rsidRPr="00B461CE">
              <w:rPr>
                <w:sz w:val="22"/>
                <w:szCs w:val="22"/>
              </w:rPr>
              <w:t>100</w:t>
            </w:r>
          </w:p>
          <w:p w:rsidR="009B7E2A" w:rsidRPr="00B461CE" w:rsidRDefault="009B7E2A" w:rsidP="00C5042B">
            <w:pPr>
              <w:keepNext/>
              <w:keepLines/>
              <w:jc w:val="center"/>
            </w:pPr>
            <w:r w:rsidRPr="00B461CE">
              <w:rPr>
                <w:sz w:val="22"/>
                <w:szCs w:val="22"/>
              </w:rPr>
              <w:t>160</w:t>
            </w:r>
          </w:p>
          <w:p w:rsidR="009B7E2A" w:rsidRPr="00B461CE" w:rsidRDefault="009B7E2A" w:rsidP="00C5042B">
            <w:pPr>
              <w:keepNext/>
              <w:keepLines/>
              <w:jc w:val="center"/>
            </w:pPr>
            <w:r w:rsidRPr="00B461CE">
              <w:rPr>
                <w:sz w:val="22"/>
                <w:szCs w:val="22"/>
              </w:rPr>
              <w:t>230</w:t>
            </w:r>
          </w:p>
        </w:tc>
      </w:tr>
    </w:tbl>
    <w:p w:rsidR="009B7E2A" w:rsidRPr="00B461CE" w:rsidRDefault="009B7E2A" w:rsidP="009B7E2A">
      <w:pPr>
        <w:rPr>
          <w:sz w:val="22"/>
          <w:szCs w:val="22"/>
        </w:rPr>
      </w:pPr>
    </w:p>
    <w:p w:rsidR="009B7E2A" w:rsidRPr="00184906" w:rsidRDefault="009B7E2A" w:rsidP="009B7E2A">
      <w:pPr>
        <w:rPr>
          <w:sz w:val="22"/>
          <w:szCs w:val="22"/>
        </w:rPr>
      </w:pPr>
      <w:r w:rsidRPr="00B461CE">
        <w:rPr>
          <w:iCs/>
          <w:sz w:val="22"/>
          <w:szCs w:val="22"/>
        </w:rPr>
        <w:t>T</w:t>
      </w:r>
      <w:r w:rsidRPr="00B461CE">
        <w:rPr>
          <w:sz w:val="22"/>
          <w:szCs w:val="22"/>
        </w:rPr>
        <w:t xml:space="preserve">ik </w:t>
      </w:r>
      <w:r w:rsidRPr="00184906">
        <w:rPr>
          <w:sz w:val="22"/>
          <w:szCs w:val="22"/>
        </w:rPr>
        <w:t>progestageno turinčius kontraceptikus (PTK), pavyzdžiui Cerazette, vartojančioms moterims rizika turėtų būti panaši, kaip ir vartojančioms SGK. Tačiau PTK tyrimų rezultatai yra ne tokie įtikinantys. Lyginant su rizika gyvenime susirgti krūties vėžiu, šis rizikos padidėjimas dėl SGK vartojimo yra mažas. SGK vartojančioms moterims dažniau diagnozuojamas ankstyvesnių stadijų krūties vėžys, negu niekada jų nevartojusioms. Krūties vėžio pavojus SGK vartojančioms moterims galėjo padidėti ir dėl to, kad liga buvo diagnozuota anksčiau, ir dėl biologinio tablečių poveikio, ir dėl abiejų šių veiksnių.</w:t>
      </w:r>
    </w:p>
    <w:p w:rsidR="009B7E2A" w:rsidRPr="00184906" w:rsidRDefault="009B7E2A" w:rsidP="009B7E2A">
      <w:pPr>
        <w:rPr>
          <w:sz w:val="22"/>
          <w:szCs w:val="22"/>
        </w:rPr>
      </w:pPr>
    </w:p>
    <w:p w:rsidR="009B7E2A" w:rsidRPr="00184906" w:rsidRDefault="009B7E2A" w:rsidP="009B7E2A">
      <w:pPr>
        <w:rPr>
          <w:sz w:val="22"/>
          <w:szCs w:val="22"/>
        </w:rPr>
      </w:pPr>
      <w:r w:rsidRPr="00184906">
        <w:rPr>
          <w:sz w:val="22"/>
          <w:szCs w:val="22"/>
        </w:rPr>
        <w:t>Kadangi biologinio progestagenų poveikio kepenų vėžiui negalima paneigti, šia liga sergančioms moterims kontraceptiką galima skirti tik įvertinus individualų naudos bei rizikos santykį.</w:t>
      </w:r>
    </w:p>
    <w:p w:rsidR="009B7E2A" w:rsidRPr="00184906" w:rsidRDefault="009B7E2A" w:rsidP="009B7E2A">
      <w:pPr>
        <w:rPr>
          <w:sz w:val="22"/>
          <w:szCs w:val="22"/>
        </w:rPr>
      </w:pPr>
    </w:p>
    <w:p w:rsidR="009B7E2A" w:rsidRPr="00B461CE" w:rsidRDefault="009B7E2A" w:rsidP="009B7E2A">
      <w:pPr>
        <w:rPr>
          <w:sz w:val="22"/>
          <w:szCs w:val="22"/>
        </w:rPr>
      </w:pPr>
      <w:r w:rsidRPr="00184906">
        <w:rPr>
          <w:sz w:val="22"/>
          <w:szCs w:val="22"/>
        </w:rPr>
        <w:t>Jeigu yra ūminis ar lėtinis kepenų funkcijos</w:t>
      </w:r>
      <w:r w:rsidRPr="00B461CE">
        <w:rPr>
          <w:sz w:val="22"/>
          <w:szCs w:val="22"/>
        </w:rPr>
        <w:t xml:space="preserve"> sutrikimas, moterį turi ištirti specialistas.</w:t>
      </w:r>
    </w:p>
    <w:p w:rsidR="009B7E2A" w:rsidRPr="00B461CE" w:rsidRDefault="009B7E2A" w:rsidP="009B7E2A">
      <w:pPr>
        <w:rPr>
          <w:sz w:val="22"/>
          <w:szCs w:val="22"/>
        </w:rPr>
      </w:pPr>
    </w:p>
    <w:p w:rsidR="009B7E2A" w:rsidRPr="00B461CE" w:rsidRDefault="009B7E2A" w:rsidP="009B7E2A">
      <w:pPr>
        <w:rPr>
          <w:color w:val="000000"/>
          <w:sz w:val="22"/>
          <w:szCs w:val="22"/>
        </w:rPr>
      </w:pPr>
      <w:r w:rsidRPr="00B461CE">
        <w:rPr>
          <w:color w:val="000000"/>
          <w:sz w:val="22"/>
          <w:szCs w:val="22"/>
        </w:rPr>
        <w:t>Epidemiologiniais tyrimais yra nustatytas ryšys tarp SGK vartojimo ir padidėjusios venų tromboembolijų rizikos (VTE, giliųjų venų trombozės ir plaučių embolijos). Nors šio fakto klinikinė svarba, kai kontracepcijai vartojama dezogestrelio be estrogeninio komponento, nežinoma, pasireiškus trombozei Cerazette vartojimą reikia nutraukti. Be to, reikia apsvarstyti, ar nevertėtų Cerazette vartojimą nutraukti ir ilgalaikės imobilizacijos dėl chirurginės operacijos arba ligos atveju. Moteris, kurioms jau yra buvę tromboembolijų, reikia įspėti dėl galimo ligos pasikartojimo.</w:t>
      </w:r>
    </w:p>
    <w:p w:rsidR="009B7E2A" w:rsidRPr="00B461CE" w:rsidRDefault="009B7E2A" w:rsidP="009B7E2A">
      <w:pPr>
        <w:rPr>
          <w:color w:val="000000"/>
          <w:sz w:val="22"/>
          <w:szCs w:val="22"/>
        </w:rPr>
      </w:pPr>
    </w:p>
    <w:p w:rsidR="009B7E2A" w:rsidRPr="00184906" w:rsidRDefault="009B7E2A" w:rsidP="009B7E2A">
      <w:pPr>
        <w:rPr>
          <w:color w:val="000000"/>
          <w:sz w:val="22"/>
          <w:szCs w:val="22"/>
        </w:rPr>
      </w:pPr>
      <w:r w:rsidRPr="00B461CE">
        <w:rPr>
          <w:color w:val="000000"/>
          <w:sz w:val="22"/>
          <w:szCs w:val="22"/>
        </w:rPr>
        <w:t xml:space="preserve">Vartojant </w:t>
      </w:r>
      <w:r w:rsidRPr="00184906">
        <w:rPr>
          <w:color w:val="000000"/>
          <w:sz w:val="22"/>
          <w:szCs w:val="22"/>
        </w:rPr>
        <w:t>progestagenus, periferinis rezistentiškumas insulinui bei gliukozės tolerancija gali kisti, tačiau nepakanka duomenų, kad cukriniu diabetu sergančioms ir tik progestageno turinčius kontraceptikus vartojančioms moterims gydymo režimą reikėtų keisti. Vis dėlto cukriniu diabetu sergančias moteris pirmuosius mėnesius reikia atidžiai stebėti.</w:t>
      </w:r>
    </w:p>
    <w:p w:rsidR="009B7E2A" w:rsidRPr="00184906" w:rsidRDefault="009B7E2A" w:rsidP="009B7E2A">
      <w:pPr>
        <w:rPr>
          <w:color w:val="000000"/>
          <w:sz w:val="22"/>
          <w:szCs w:val="22"/>
        </w:rPr>
      </w:pPr>
    </w:p>
    <w:p w:rsidR="009B7E2A" w:rsidRPr="00184906" w:rsidRDefault="009B7E2A" w:rsidP="009B7E2A">
      <w:pPr>
        <w:rPr>
          <w:sz w:val="22"/>
          <w:szCs w:val="22"/>
        </w:rPr>
      </w:pPr>
      <w:r w:rsidRPr="00184906">
        <w:rPr>
          <w:sz w:val="22"/>
          <w:szCs w:val="22"/>
        </w:rPr>
        <w:t>Jeigu vartojant Cerazette atsiranda nuolatinė hipertenzija arba reikšmingai padidėjęs kraujospūdis, kuris taikant antihipertenzinę terapiją nemažėja, Cerazette vartojimą reikia nutraukti.</w:t>
      </w:r>
    </w:p>
    <w:p w:rsidR="009B7E2A" w:rsidRPr="00184906" w:rsidRDefault="009B7E2A" w:rsidP="009B7E2A">
      <w:pPr>
        <w:rPr>
          <w:sz w:val="22"/>
          <w:szCs w:val="22"/>
        </w:rPr>
      </w:pPr>
    </w:p>
    <w:p w:rsidR="009B7E2A" w:rsidRPr="00184906" w:rsidRDefault="009B7E2A" w:rsidP="009B7E2A">
      <w:pPr>
        <w:rPr>
          <w:color w:val="000000"/>
          <w:sz w:val="22"/>
          <w:szCs w:val="22"/>
        </w:rPr>
      </w:pPr>
      <w:r w:rsidRPr="00184906">
        <w:rPr>
          <w:color w:val="000000"/>
          <w:sz w:val="22"/>
          <w:szCs w:val="22"/>
        </w:rPr>
        <w:t>Vartojant Cerazette, estradiolio koncentracijos serume mažėja iki ankstyvosios folikulinės fazės lygio. Ar šis sumažėjimas turi kliniškai svarbų poveikį kaulų mineralų tankiui, nėra žinoma.</w:t>
      </w:r>
    </w:p>
    <w:p w:rsidR="009B7E2A" w:rsidRPr="00184906" w:rsidRDefault="009B7E2A" w:rsidP="009B7E2A">
      <w:pPr>
        <w:rPr>
          <w:color w:val="000000"/>
          <w:sz w:val="22"/>
          <w:szCs w:val="22"/>
        </w:rPr>
      </w:pPr>
    </w:p>
    <w:p w:rsidR="009B7E2A" w:rsidRPr="00184906" w:rsidRDefault="009B7E2A" w:rsidP="009B7E2A">
      <w:pPr>
        <w:rPr>
          <w:color w:val="000000"/>
          <w:sz w:val="22"/>
          <w:szCs w:val="22"/>
        </w:rPr>
      </w:pPr>
      <w:r w:rsidRPr="00184906">
        <w:rPr>
          <w:color w:val="000000"/>
          <w:sz w:val="22"/>
          <w:szCs w:val="22"/>
        </w:rPr>
        <w:t>Tradicinės tik progestageno turinčios tabletės nuo negimdinio nėštumo saugo ne taip gerai, kaip sudėtiniai geriamieji kontraceptikai, nes vartojant progestageninius kontraceptikus būna dažnos ovuliacijos. Nors Cerazette nuolat slopina ovuliaciją, tačiau moteriai, kuriai yra amenorėja ar pilvo skausmas, negalima iš karto atmesti negimdinio nėštumo diagnozės.</w:t>
      </w:r>
    </w:p>
    <w:p w:rsidR="009B7E2A" w:rsidRPr="00184906" w:rsidRDefault="009B7E2A" w:rsidP="009B7E2A">
      <w:pPr>
        <w:rPr>
          <w:color w:val="000000"/>
          <w:sz w:val="22"/>
          <w:szCs w:val="22"/>
        </w:rPr>
      </w:pPr>
    </w:p>
    <w:p w:rsidR="009B7E2A" w:rsidRPr="00184906" w:rsidRDefault="009B7E2A" w:rsidP="009B7E2A">
      <w:pPr>
        <w:rPr>
          <w:color w:val="000000"/>
          <w:sz w:val="22"/>
          <w:szCs w:val="22"/>
        </w:rPr>
      </w:pPr>
      <w:r w:rsidRPr="00184906">
        <w:rPr>
          <w:color w:val="000000"/>
          <w:sz w:val="22"/>
          <w:szCs w:val="22"/>
        </w:rPr>
        <w:t>Labai retai gali atsirasti chloazma (rudmė), ypač moterims, kurioms ji buvo nėštumo laikotarpiu (</w:t>
      </w:r>
      <w:r w:rsidRPr="00184906">
        <w:rPr>
          <w:i/>
          <w:color w:val="000000"/>
          <w:sz w:val="22"/>
          <w:szCs w:val="22"/>
        </w:rPr>
        <w:t>chloasma gravidarum</w:t>
      </w:r>
      <w:r w:rsidRPr="00184906">
        <w:rPr>
          <w:color w:val="000000"/>
          <w:sz w:val="22"/>
          <w:szCs w:val="22"/>
        </w:rPr>
        <w:t>). Turinčioms polinkį į chloazmą ir vartojančioms Cerazette moterims rekomenduojama vengti saulės ar ultravioletinių spindulių.</w:t>
      </w:r>
    </w:p>
    <w:p w:rsidR="009B7E2A" w:rsidRPr="00184906" w:rsidRDefault="009B7E2A" w:rsidP="009B7E2A">
      <w:pPr>
        <w:rPr>
          <w:color w:val="000000"/>
          <w:sz w:val="22"/>
          <w:szCs w:val="22"/>
        </w:rPr>
      </w:pPr>
    </w:p>
    <w:p w:rsidR="009B7E2A" w:rsidRDefault="009B7E2A" w:rsidP="009B7E2A">
      <w:pPr>
        <w:rPr>
          <w:sz w:val="22"/>
          <w:szCs w:val="22"/>
        </w:rPr>
      </w:pPr>
      <w:r w:rsidRPr="00184906">
        <w:rPr>
          <w:sz w:val="22"/>
          <w:szCs w:val="22"/>
        </w:rPr>
        <w:t>Ir nėštumo, ir lytinių hormonų vartojimo metu moterims buvo pastebėtos šios būklės, tačiau jų ryšys su progestagenų</w:t>
      </w:r>
      <w:r w:rsidRPr="00B461CE">
        <w:rPr>
          <w:sz w:val="22"/>
          <w:szCs w:val="22"/>
        </w:rPr>
        <w:t xml:space="preserve"> vartojimu nenustatytas: gelta ir (arba) niežulys dėl cholestazės, tulžies pūslės akmenų susidarymas, porfirija, sisteminė raudonoji vilkligė, hemolizinis ureminis sindromas, Sydenhamo chorėja, nėščiųjų pūslelinė, su otoskleroze susijęs klausos sutrikimas, (paveldima) angioedema.</w:t>
      </w:r>
    </w:p>
    <w:p w:rsidR="005C6BB4" w:rsidRDefault="005C6BB4" w:rsidP="009B7E2A">
      <w:pPr>
        <w:rPr>
          <w:sz w:val="22"/>
          <w:szCs w:val="22"/>
        </w:rPr>
      </w:pPr>
    </w:p>
    <w:p w:rsidR="005C6BB4" w:rsidRDefault="005C6BB4" w:rsidP="009B7E2A">
      <w:pPr>
        <w:rPr>
          <w:sz w:val="22"/>
          <w:szCs w:val="22"/>
        </w:rPr>
      </w:pPr>
      <w:r w:rsidRPr="001F616E">
        <w:rPr>
          <w:sz w:val="22"/>
          <w:szCs w:val="22"/>
        </w:rPr>
        <w:lastRenderedPageBreak/>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rsidR="009B7E2A" w:rsidRDefault="009B7E2A" w:rsidP="009B7E2A">
      <w:pPr>
        <w:rPr>
          <w:sz w:val="22"/>
          <w:szCs w:val="22"/>
        </w:rPr>
      </w:pPr>
    </w:p>
    <w:p w:rsidR="009B7E2A" w:rsidRPr="00A60D97" w:rsidRDefault="009B7E2A" w:rsidP="009B7E2A">
      <w:pPr>
        <w:rPr>
          <w:sz w:val="22"/>
          <w:szCs w:val="22"/>
        </w:rPr>
      </w:pPr>
      <w:r>
        <w:rPr>
          <w:sz w:val="22"/>
          <w:szCs w:val="22"/>
        </w:rPr>
        <w:t xml:space="preserve">Cerazette </w:t>
      </w:r>
      <w:r w:rsidRPr="00730F23">
        <w:rPr>
          <w:sz w:val="22"/>
          <w:szCs w:val="22"/>
        </w:rPr>
        <w:t xml:space="preserve">veiksmingumas gali sumažėti, pavyzdžiui, </w:t>
      </w:r>
      <w:r>
        <w:rPr>
          <w:sz w:val="22"/>
          <w:szCs w:val="22"/>
        </w:rPr>
        <w:t xml:space="preserve">pamiršus išgerti </w:t>
      </w:r>
      <w:r w:rsidRPr="00730F23">
        <w:rPr>
          <w:sz w:val="22"/>
          <w:szCs w:val="22"/>
        </w:rPr>
        <w:t>tablečių (žr. 4.2 skyrių), sutrikus virškinimo trakto veiklai</w:t>
      </w:r>
      <w:r w:rsidRPr="00730F23" w:rsidDel="007A5978">
        <w:rPr>
          <w:sz w:val="22"/>
          <w:szCs w:val="22"/>
        </w:rPr>
        <w:t xml:space="preserve"> </w:t>
      </w:r>
      <w:r w:rsidRPr="00730F23">
        <w:rPr>
          <w:sz w:val="22"/>
          <w:szCs w:val="22"/>
        </w:rPr>
        <w:t xml:space="preserve">(žr. 4.2 skyrių) arba kartu vartojant kitų vaistinių preparatų, kurie mažina aktyvaus dezogestrelio metabolito etonogestrelio koncentraciją plazmoje </w:t>
      </w:r>
      <w:r>
        <w:rPr>
          <w:sz w:val="22"/>
          <w:szCs w:val="22"/>
        </w:rPr>
        <w:t>(žr. 4.5 skyrių).</w:t>
      </w:r>
    </w:p>
    <w:p w:rsidR="009B7E2A" w:rsidRPr="00B461CE" w:rsidRDefault="009B7E2A" w:rsidP="009B7E2A">
      <w:pPr>
        <w:rPr>
          <w:sz w:val="22"/>
          <w:szCs w:val="22"/>
        </w:rPr>
      </w:pPr>
    </w:p>
    <w:p w:rsidR="009B7E2A" w:rsidRPr="00B461CE" w:rsidRDefault="009B7E2A" w:rsidP="009B7E2A">
      <w:pPr>
        <w:rPr>
          <w:sz w:val="22"/>
          <w:szCs w:val="22"/>
        </w:rPr>
      </w:pPr>
      <w:r w:rsidRPr="00B461CE">
        <w:rPr>
          <w:sz w:val="22"/>
          <w:szCs w:val="22"/>
        </w:rPr>
        <w:t xml:space="preserve">Cerazette sudėtyje yra laktozės, todėl šio vaistinio preparato negalima </w:t>
      </w:r>
      <w:r w:rsidR="00521AC5">
        <w:rPr>
          <w:sz w:val="22"/>
          <w:szCs w:val="22"/>
        </w:rPr>
        <w:t>vartoti</w:t>
      </w:r>
      <w:r w:rsidRPr="00B461CE">
        <w:rPr>
          <w:sz w:val="22"/>
          <w:szCs w:val="22"/>
        </w:rPr>
        <w:t xml:space="preserve"> pacientėms, kurioms nustatytas retas paveldimas sutrikimas – galaktozės netoleravimas, </w:t>
      </w:r>
      <w:r w:rsidR="00521AC5">
        <w:rPr>
          <w:sz w:val="22"/>
          <w:szCs w:val="22"/>
        </w:rPr>
        <w:t>visiškas</w:t>
      </w:r>
      <w:r w:rsidRPr="00B461CE">
        <w:rPr>
          <w:sz w:val="22"/>
          <w:szCs w:val="22"/>
        </w:rPr>
        <w:t xml:space="preserve"> laktazės stygius arba gliukozės ir galaktozės malabsorbcija.</w:t>
      </w:r>
    </w:p>
    <w:p w:rsidR="009B7E2A" w:rsidRPr="00B461CE" w:rsidRDefault="009B7E2A" w:rsidP="009B7E2A">
      <w:pPr>
        <w:rPr>
          <w:sz w:val="22"/>
          <w:szCs w:val="22"/>
        </w:rPr>
      </w:pPr>
    </w:p>
    <w:p w:rsidR="009B7E2A" w:rsidRPr="00B461CE" w:rsidRDefault="009B7E2A" w:rsidP="009B7E2A">
      <w:pPr>
        <w:rPr>
          <w:b/>
          <w:sz w:val="22"/>
          <w:szCs w:val="22"/>
        </w:rPr>
      </w:pPr>
      <w:r w:rsidRPr="00B461CE">
        <w:rPr>
          <w:b/>
          <w:sz w:val="22"/>
          <w:szCs w:val="22"/>
        </w:rPr>
        <w:t>Laboratoriniai tyrimai</w:t>
      </w:r>
    </w:p>
    <w:p w:rsidR="009B7E2A" w:rsidRDefault="009B7E2A" w:rsidP="009B7E2A">
      <w:pPr>
        <w:rPr>
          <w:sz w:val="22"/>
          <w:szCs w:val="22"/>
        </w:rPr>
      </w:pPr>
      <w:r w:rsidRPr="00B461CE">
        <w:rPr>
          <w:sz w:val="22"/>
          <w:szCs w:val="22"/>
        </w:rPr>
        <w:t>Duomenys</w:t>
      </w:r>
      <w:r>
        <w:rPr>
          <w:sz w:val="22"/>
          <w:szCs w:val="22"/>
        </w:rPr>
        <w:t>,</w:t>
      </w:r>
      <w:r w:rsidRPr="00B461CE">
        <w:rPr>
          <w:sz w:val="22"/>
          <w:szCs w:val="22"/>
        </w:rPr>
        <w:t xml:space="preserve"> gauti vartojant SGK</w:t>
      </w:r>
      <w:r>
        <w:rPr>
          <w:sz w:val="22"/>
          <w:szCs w:val="22"/>
        </w:rPr>
        <w:t>,</w:t>
      </w:r>
      <w:r w:rsidRPr="00B461CE">
        <w:rPr>
          <w:sz w:val="22"/>
          <w:szCs w:val="22"/>
        </w:rPr>
        <w:t xml:space="preserve"> rodo, kad kontraceptiniai steroidai gali keisti kai kurių laboratorinių tyrimų rodmenis, įskaitant biocheminių kepenų </w:t>
      </w:r>
      <w:r w:rsidRPr="005F6235">
        <w:rPr>
          <w:sz w:val="22"/>
          <w:szCs w:val="22"/>
        </w:rPr>
        <w:t>funkcijos</w:t>
      </w:r>
      <w:r w:rsidRPr="00B461CE">
        <w:rPr>
          <w:sz w:val="22"/>
          <w:szCs w:val="22"/>
        </w:rPr>
        <w:t xml:space="preserve"> tyrimų, skydliaukės, antinksčių bei inkstų </w:t>
      </w:r>
      <w:r w:rsidRPr="005F6235">
        <w:rPr>
          <w:sz w:val="22"/>
          <w:szCs w:val="22"/>
        </w:rPr>
        <w:t>funkcijos</w:t>
      </w:r>
      <w:r w:rsidRPr="00B461CE">
        <w:rPr>
          <w:sz w:val="22"/>
          <w:szCs w:val="22"/>
        </w:rPr>
        <w:t xml:space="preserve"> tyrimų rodmenis, baltymų (nešiklių) koncentraciją plazmoje, pavyzdžiui, kortikosteroidus prijungiančio globulino ir lipidų (lipoproteinų) frakcijų, angliavandenių metabolizmo parametrus bei kraujo krešėjimo ir fibrinolizės rodmenis. Šie pokyčiai paprastai neperžengia leistinų normos ribų. Kiek šie duomenys galėtų būti taikomi tik </w:t>
      </w:r>
      <w:r w:rsidRPr="005F6235">
        <w:rPr>
          <w:sz w:val="22"/>
          <w:szCs w:val="22"/>
        </w:rPr>
        <w:t>progestageno</w:t>
      </w:r>
      <w:r w:rsidRPr="00B461CE">
        <w:rPr>
          <w:sz w:val="22"/>
          <w:szCs w:val="22"/>
        </w:rPr>
        <w:t xml:space="preserve"> turintiems kontraceptikams, nėra žinoma.</w:t>
      </w:r>
    </w:p>
    <w:p w:rsidR="009B7E2A" w:rsidRPr="00B461CE" w:rsidRDefault="009B7E2A" w:rsidP="009B7E2A">
      <w:pPr>
        <w:rPr>
          <w:sz w:val="22"/>
          <w:szCs w:val="22"/>
        </w:rPr>
      </w:pPr>
    </w:p>
    <w:p w:rsidR="009B7E2A" w:rsidRDefault="009B7E2A" w:rsidP="009B7E2A">
      <w:pPr>
        <w:keepNext/>
        <w:ind w:left="562" w:hanging="562"/>
        <w:rPr>
          <w:b/>
          <w:bCs/>
          <w:sz w:val="22"/>
          <w:szCs w:val="22"/>
        </w:rPr>
      </w:pPr>
      <w:r w:rsidRPr="00B461CE">
        <w:rPr>
          <w:b/>
          <w:bCs/>
          <w:sz w:val="22"/>
          <w:szCs w:val="22"/>
        </w:rPr>
        <w:t>4.5</w:t>
      </w:r>
      <w:r w:rsidRPr="00B461CE">
        <w:rPr>
          <w:b/>
          <w:bCs/>
          <w:sz w:val="22"/>
          <w:szCs w:val="22"/>
        </w:rPr>
        <w:tab/>
        <w:t>Sąveika su kitais vaistiniais preparatais ir kitokia sąveika</w:t>
      </w:r>
    </w:p>
    <w:p w:rsidR="009B7E2A" w:rsidRDefault="009B7E2A" w:rsidP="009B7E2A">
      <w:pPr>
        <w:keepNext/>
        <w:ind w:left="562" w:hanging="562"/>
        <w:rPr>
          <w:b/>
          <w:bCs/>
          <w:sz w:val="22"/>
          <w:szCs w:val="22"/>
        </w:rPr>
      </w:pPr>
    </w:p>
    <w:p w:rsidR="009B7E2A" w:rsidRPr="00AA1F75" w:rsidRDefault="009B7E2A" w:rsidP="009B7E2A">
      <w:pPr>
        <w:keepNext/>
        <w:ind w:left="562" w:hanging="562"/>
        <w:rPr>
          <w:b/>
          <w:bCs/>
          <w:sz w:val="22"/>
          <w:szCs w:val="22"/>
        </w:rPr>
      </w:pPr>
      <w:r w:rsidRPr="00AA1F75">
        <w:rPr>
          <w:b/>
          <w:bCs/>
          <w:sz w:val="22"/>
          <w:szCs w:val="22"/>
        </w:rPr>
        <w:t>Sąveika</w:t>
      </w:r>
    </w:p>
    <w:p w:rsidR="00C514E1" w:rsidRDefault="009B7E2A" w:rsidP="00CD6BF3">
      <w:pPr>
        <w:keepNext/>
        <w:ind w:left="562" w:hanging="562"/>
        <w:rPr>
          <w:sz w:val="22"/>
          <w:szCs w:val="22"/>
        </w:rPr>
      </w:pPr>
      <w:r w:rsidRPr="005F6235">
        <w:rPr>
          <w:sz w:val="22"/>
          <w:szCs w:val="22"/>
        </w:rPr>
        <w:t>Pastaba. Norint nustatyti galimą sąveiką, reikia atsižvelgti į kar</w:t>
      </w:r>
      <w:r>
        <w:rPr>
          <w:sz w:val="22"/>
          <w:szCs w:val="22"/>
        </w:rPr>
        <w:t>tu vartojamų vaistinių preparatų</w:t>
      </w:r>
      <w:r w:rsidRPr="005F6235">
        <w:rPr>
          <w:sz w:val="22"/>
          <w:szCs w:val="22"/>
        </w:rPr>
        <w:t xml:space="preserve"> charakteristikų santraukas.</w:t>
      </w:r>
    </w:p>
    <w:p w:rsidR="009B7E2A" w:rsidRPr="00AA1F75" w:rsidRDefault="009B7E2A" w:rsidP="009B7E2A">
      <w:pPr>
        <w:ind w:left="567" w:hanging="567"/>
        <w:rPr>
          <w:b/>
          <w:bCs/>
          <w:sz w:val="22"/>
          <w:szCs w:val="22"/>
        </w:rPr>
      </w:pPr>
    </w:p>
    <w:p w:rsidR="009B7E2A" w:rsidRPr="005F6235" w:rsidRDefault="009B7E2A" w:rsidP="009B7E2A">
      <w:pPr>
        <w:keepNext/>
        <w:rPr>
          <w:bCs/>
          <w:i/>
          <w:sz w:val="22"/>
          <w:szCs w:val="22"/>
        </w:rPr>
      </w:pPr>
      <w:r w:rsidRPr="005F6235">
        <w:rPr>
          <w:bCs/>
          <w:i/>
          <w:sz w:val="22"/>
          <w:szCs w:val="22"/>
        </w:rPr>
        <w:t>Kitų vaistinių preparatų įtaka Cerazette poveikiui</w:t>
      </w:r>
    </w:p>
    <w:p w:rsidR="009B7E2A" w:rsidRPr="005F6235" w:rsidRDefault="009B7E2A" w:rsidP="009B7E2A">
      <w:pPr>
        <w:keepNext/>
        <w:rPr>
          <w:sz w:val="22"/>
          <w:szCs w:val="22"/>
        </w:rPr>
      </w:pPr>
      <w:r w:rsidRPr="005F6235">
        <w:rPr>
          <w:sz w:val="22"/>
          <w:szCs w:val="22"/>
        </w:rPr>
        <w:t>Gali pasireikšti sąveika su vaistiniais preparatais, kurie indukuoja mikrosomų fermentus. Dėl jos gali padidėti lytinių hormonų klirensas bei pasireikšti kraujavimas ne menstruacijų metu ir (arba) neveiksmingumas.</w:t>
      </w:r>
    </w:p>
    <w:p w:rsidR="009B7E2A" w:rsidRPr="00E96DF2" w:rsidRDefault="009B7E2A" w:rsidP="009B7E2A">
      <w:pPr>
        <w:rPr>
          <w:sz w:val="22"/>
          <w:szCs w:val="22"/>
        </w:rPr>
      </w:pPr>
    </w:p>
    <w:p w:rsidR="009B7E2A" w:rsidRPr="005F6235" w:rsidRDefault="009B7E2A" w:rsidP="009B7E2A">
      <w:pPr>
        <w:rPr>
          <w:i/>
          <w:iCs/>
          <w:sz w:val="22"/>
          <w:szCs w:val="22"/>
        </w:rPr>
      </w:pPr>
      <w:r w:rsidRPr="005F6235">
        <w:rPr>
          <w:i/>
          <w:iCs/>
          <w:sz w:val="22"/>
          <w:szCs w:val="22"/>
        </w:rPr>
        <w:t>Valdymas</w:t>
      </w:r>
    </w:p>
    <w:p w:rsidR="009B7E2A" w:rsidRPr="005F6235" w:rsidRDefault="009B7E2A" w:rsidP="009B7E2A">
      <w:pPr>
        <w:rPr>
          <w:sz w:val="22"/>
          <w:szCs w:val="22"/>
        </w:rPr>
      </w:pPr>
      <w:r w:rsidRPr="005F6235">
        <w:rPr>
          <w:sz w:val="22"/>
          <w:szCs w:val="22"/>
        </w:rPr>
        <w:t>Padidėjusį fermentų aktyvumą galima užfiksuoti jau po kelių vartojimo dienų. Didžiausias aktyvumas dažniausiai pastebimas po kelių savaičių. Baigus vartoti tokius vaistinius preparatus, fermentų aktyvumas gali išlikti padidėjęs maždaug 4 savaites.</w:t>
      </w:r>
    </w:p>
    <w:p w:rsidR="009B7E2A" w:rsidRPr="00E96DF2" w:rsidRDefault="009B7E2A" w:rsidP="009B7E2A">
      <w:pPr>
        <w:rPr>
          <w:sz w:val="22"/>
          <w:szCs w:val="22"/>
        </w:rPr>
      </w:pPr>
    </w:p>
    <w:p w:rsidR="009B7E2A" w:rsidRPr="005F6235" w:rsidRDefault="009B7E2A" w:rsidP="009B7E2A">
      <w:pPr>
        <w:rPr>
          <w:i/>
          <w:iCs/>
          <w:sz w:val="22"/>
          <w:szCs w:val="22"/>
        </w:rPr>
      </w:pPr>
      <w:r w:rsidRPr="005F6235">
        <w:rPr>
          <w:i/>
          <w:iCs/>
          <w:sz w:val="22"/>
          <w:szCs w:val="22"/>
        </w:rPr>
        <w:t>Trumpalaikis gydymas</w:t>
      </w:r>
    </w:p>
    <w:p w:rsidR="009B7E2A" w:rsidRPr="005F6235" w:rsidRDefault="009B7E2A" w:rsidP="009B7E2A">
      <w:pPr>
        <w:rPr>
          <w:sz w:val="22"/>
          <w:szCs w:val="22"/>
        </w:rPr>
      </w:pPr>
      <w:r w:rsidRPr="005F6235">
        <w:rPr>
          <w:sz w:val="22"/>
          <w:szCs w:val="22"/>
        </w:rPr>
        <w:t>Moteris, kurios vartoja vaistinių ar augalinių</w:t>
      </w:r>
      <w:r>
        <w:rPr>
          <w:sz w:val="22"/>
          <w:szCs w:val="22"/>
        </w:rPr>
        <w:t xml:space="preserve"> vaistinių</w:t>
      </w:r>
      <w:r w:rsidRPr="005F6235">
        <w:rPr>
          <w:sz w:val="22"/>
          <w:szCs w:val="22"/>
        </w:rPr>
        <w:t xml:space="preserve"> preparatų, indukuojančių kepenų fermentus, reikia perspėti apie Cerazette veiksmingumo sumažėjimo galimybę. Kartu su Cerazette reikia taikyti barjerinį kontracepcijos metodą. Barjerinį metodą reikia taikyti visą laiką, kol vartojami kepenų fermentus indukuojantys vaistiniai preparatai, ir paskui dar 28 dienas.</w:t>
      </w:r>
    </w:p>
    <w:p w:rsidR="009B7E2A" w:rsidRPr="005F6235" w:rsidRDefault="009B7E2A" w:rsidP="009B7E2A">
      <w:pPr>
        <w:rPr>
          <w:sz w:val="22"/>
          <w:szCs w:val="22"/>
        </w:rPr>
      </w:pPr>
    </w:p>
    <w:p w:rsidR="009B7E2A" w:rsidRPr="005F6235" w:rsidRDefault="009B7E2A" w:rsidP="009B7E2A">
      <w:pPr>
        <w:rPr>
          <w:i/>
          <w:iCs/>
          <w:sz w:val="22"/>
          <w:szCs w:val="22"/>
        </w:rPr>
      </w:pPr>
      <w:r w:rsidRPr="005F6235">
        <w:rPr>
          <w:i/>
          <w:iCs/>
          <w:sz w:val="22"/>
          <w:szCs w:val="22"/>
        </w:rPr>
        <w:t>Ilgalaikis gydymas</w:t>
      </w:r>
    </w:p>
    <w:p w:rsidR="009B7E2A" w:rsidRPr="005F6235" w:rsidRDefault="009B7E2A" w:rsidP="009B7E2A">
      <w:pPr>
        <w:rPr>
          <w:sz w:val="22"/>
          <w:szCs w:val="22"/>
        </w:rPr>
      </w:pPr>
      <w:r w:rsidRPr="005F6235">
        <w:rPr>
          <w:sz w:val="22"/>
          <w:szCs w:val="22"/>
        </w:rPr>
        <w:t>Moterims, kurios ilgai vartoja vaistinių preparatų, indukuojančių kepenų fermentus, rekomenduojamas kitas kontracepcijos metodas, kuriam šie vaistiniai preparatai įtakos neturėtų.</w:t>
      </w:r>
    </w:p>
    <w:p w:rsidR="009B7E2A" w:rsidRPr="00E96DF2" w:rsidRDefault="009B7E2A" w:rsidP="009B7E2A">
      <w:pPr>
        <w:rPr>
          <w:sz w:val="22"/>
          <w:szCs w:val="22"/>
        </w:rPr>
      </w:pPr>
    </w:p>
    <w:p w:rsidR="009B7E2A" w:rsidRPr="005F6235" w:rsidRDefault="009B7E2A" w:rsidP="009B7E2A">
      <w:pPr>
        <w:keepNext/>
        <w:rPr>
          <w:i/>
          <w:sz w:val="22"/>
          <w:szCs w:val="22"/>
        </w:rPr>
      </w:pPr>
      <w:r>
        <w:rPr>
          <w:i/>
          <w:sz w:val="22"/>
          <w:szCs w:val="22"/>
        </w:rPr>
        <w:t>Vaistiniai preparatai</w:t>
      </w:r>
      <w:r w:rsidRPr="005F6235">
        <w:rPr>
          <w:i/>
          <w:sz w:val="22"/>
          <w:szCs w:val="22"/>
        </w:rPr>
        <w:t>, kuri</w:t>
      </w:r>
      <w:r>
        <w:rPr>
          <w:i/>
          <w:sz w:val="22"/>
          <w:szCs w:val="22"/>
        </w:rPr>
        <w:t xml:space="preserve">e </w:t>
      </w:r>
      <w:r w:rsidRPr="005F6235">
        <w:rPr>
          <w:i/>
          <w:sz w:val="22"/>
          <w:szCs w:val="22"/>
        </w:rPr>
        <w:t>didina kontraceptinių hormonų klirensą (dėl fermentų indukcijos sumažėjęs kontraceptinis veiksmingumas) pvz.:</w:t>
      </w:r>
      <w:r w:rsidR="00521AC5">
        <w:rPr>
          <w:i/>
          <w:sz w:val="22"/>
          <w:szCs w:val="22"/>
        </w:rPr>
        <w:t xml:space="preserve"> </w:t>
      </w:r>
      <w:r w:rsidRPr="005F6235">
        <w:rPr>
          <w:sz w:val="22"/>
          <w:szCs w:val="22"/>
        </w:rPr>
        <w:t xml:space="preserve">barbitūratai, bozentanas, karbamazepinas, fenitoinas, primidonas, </w:t>
      </w:r>
      <w:r w:rsidRPr="005F6235">
        <w:rPr>
          <w:sz w:val="22"/>
          <w:szCs w:val="22"/>
        </w:rPr>
        <w:lastRenderedPageBreak/>
        <w:t xml:space="preserve">rifampicinas, efavirenzas, ir, galimai, felbamatas, grizeofulvinas, okskarbazepinas, topiramatas, rifabutinas ir jonažolės </w:t>
      </w:r>
      <w:r w:rsidRPr="005F6235">
        <w:rPr>
          <w:snapToGrid w:val="0"/>
          <w:sz w:val="22"/>
          <w:szCs w:val="22"/>
        </w:rPr>
        <w:t>(</w:t>
      </w:r>
      <w:r w:rsidRPr="005F6235">
        <w:rPr>
          <w:i/>
          <w:snapToGrid w:val="0"/>
          <w:sz w:val="22"/>
          <w:szCs w:val="22"/>
        </w:rPr>
        <w:t>Hypericum perforatum</w:t>
      </w:r>
      <w:r w:rsidRPr="005F6235">
        <w:rPr>
          <w:snapToGrid w:val="0"/>
          <w:sz w:val="22"/>
          <w:szCs w:val="22"/>
        </w:rPr>
        <w:t>)</w:t>
      </w:r>
      <w:r>
        <w:rPr>
          <w:snapToGrid w:val="0"/>
          <w:sz w:val="22"/>
          <w:szCs w:val="22"/>
        </w:rPr>
        <w:t xml:space="preserve"> vaistiniai</w:t>
      </w:r>
      <w:r w:rsidRPr="005F6235">
        <w:rPr>
          <w:snapToGrid w:val="0"/>
          <w:sz w:val="22"/>
          <w:szCs w:val="22"/>
        </w:rPr>
        <w:t xml:space="preserve"> </w:t>
      </w:r>
      <w:r w:rsidRPr="005F6235">
        <w:rPr>
          <w:sz w:val="22"/>
          <w:szCs w:val="22"/>
        </w:rPr>
        <w:t>preparatai.</w:t>
      </w:r>
    </w:p>
    <w:p w:rsidR="009B7E2A" w:rsidRPr="005F6235" w:rsidRDefault="009B7E2A" w:rsidP="009B7E2A">
      <w:pPr>
        <w:rPr>
          <w:sz w:val="22"/>
          <w:szCs w:val="22"/>
        </w:rPr>
      </w:pPr>
    </w:p>
    <w:p w:rsidR="009B7E2A" w:rsidRPr="005F6235" w:rsidRDefault="009B7E2A" w:rsidP="009B7E2A">
      <w:pPr>
        <w:rPr>
          <w:i/>
          <w:sz w:val="22"/>
          <w:szCs w:val="22"/>
        </w:rPr>
      </w:pPr>
      <w:r>
        <w:rPr>
          <w:i/>
          <w:sz w:val="22"/>
          <w:szCs w:val="22"/>
        </w:rPr>
        <w:t>Vaistiniai preparatai</w:t>
      </w:r>
      <w:r w:rsidRPr="005F6235">
        <w:rPr>
          <w:i/>
          <w:sz w:val="22"/>
          <w:szCs w:val="22"/>
        </w:rPr>
        <w:t>, kurių įtaka kontraceptinių hormonų klirensui įvairi</w:t>
      </w:r>
    </w:p>
    <w:p w:rsidR="009B7E2A" w:rsidRPr="005F6235" w:rsidRDefault="009B7E2A" w:rsidP="009B7E2A">
      <w:pPr>
        <w:rPr>
          <w:sz w:val="22"/>
          <w:szCs w:val="22"/>
        </w:rPr>
      </w:pPr>
      <w:r w:rsidRPr="005F6235">
        <w:rPr>
          <w:sz w:val="22"/>
          <w:szCs w:val="22"/>
        </w:rPr>
        <w:t>Daugelis ŽIV proteazės inhibitorių (pvz., ritonaviras, nelfinaviras), nenukleozidinių atvirkštinės transkriptazės inhibitorių (pvz., nevirapinas) ir (arba) vaistinių preparatų nuo hepatito C viruso (HCV) infekcijos (pvz., bocepreviras, telapreviras), vartojami kartu su hormoniniais kontraceptikais, gali padidinti ar sumažinti progestinų koncentracijas plazmoje. Kai kuriais atvejais suminė tokių pokyčių įtaka gali būti kliniškai reikšminga.</w:t>
      </w:r>
    </w:p>
    <w:p w:rsidR="009B7E2A" w:rsidRPr="00E96DF2" w:rsidRDefault="009B7E2A" w:rsidP="009B7E2A">
      <w:pPr>
        <w:rPr>
          <w:sz w:val="22"/>
          <w:szCs w:val="22"/>
        </w:rPr>
      </w:pPr>
    </w:p>
    <w:p w:rsidR="009B7E2A" w:rsidRPr="005F6235" w:rsidRDefault="009B7E2A" w:rsidP="009B7E2A">
      <w:pPr>
        <w:rPr>
          <w:sz w:val="22"/>
          <w:szCs w:val="22"/>
        </w:rPr>
      </w:pPr>
      <w:r w:rsidRPr="005F6235">
        <w:rPr>
          <w:sz w:val="22"/>
          <w:szCs w:val="22"/>
        </w:rPr>
        <w:t xml:space="preserve">Todėl, norint nustatyti galimas sąveikas ir susijusias rekomendacijas, reikia atsižvelgti į kartu vartojamų vaistinių </w:t>
      </w:r>
      <w:r>
        <w:rPr>
          <w:sz w:val="22"/>
          <w:szCs w:val="22"/>
        </w:rPr>
        <w:t xml:space="preserve">preparatų nuo ŽIV/HCV </w:t>
      </w:r>
      <w:r w:rsidRPr="005F6235">
        <w:rPr>
          <w:sz w:val="22"/>
          <w:szCs w:val="22"/>
        </w:rPr>
        <w:t>charakteristikų santraukas. Jeigu kyla abejonių, moterims, vartojančioms proteazių inhibitorių arba nenukleozidinių atvirkštinės transkriptazės inhibitorių, reikia naudoti papildomą barjerinį kontracepcijos metodą.</w:t>
      </w:r>
    </w:p>
    <w:p w:rsidR="009B7E2A" w:rsidRPr="005F6235" w:rsidRDefault="009B7E2A" w:rsidP="009B7E2A">
      <w:pPr>
        <w:rPr>
          <w:sz w:val="22"/>
          <w:szCs w:val="22"/>
        </w:rPr>
      </w:pPr>
    </w:p>
    <w:p w:rsidR="009B7E2A" w:rsidRPr="005F6235" w:rsidRDefault="009B7E2A" w:rsidP="009B7E2A">
      <w:pPr>
        <w:rPr>
          <w:i/>
          <w:sz w:val="22"/>
          <w:szCs w:val="22"/>
        </w:rPr>
      </w:pPr>
      <w:r>
        <w:rPr>
          <w:i/>
          <w:sz w:val="22"/>
          <w:szCs w:val="22"/>
        </w:rPr>
        <w:t>Vaistiniai preparatai</w:t>
      </w:r>
      <w:r w:rsidRPr="005F6235">
        <w:rPr>
          <w:i/>
          <w:sz w:val="22"/>
          <w:szCs w:val="22"/>
        </w:rPr>
        <w:t>, kuri</w:t>
      </w:r>
      <w:r>
        <w:rPr>
          <w:i/>
          <w:sz w:val="22"/>
          <w:szCs w:val="22"/>
        </w:rPr>
        <w:t>e</w:t>
      </w:r>
      <w:r w:rsidRPr="005F6235">
        <w:rPr>
          <w:i/>
          <w:sz w:val="22"/>
          <w:szCs w:val="22"/>
        </w:rPr>
        <w:t xml:space="preserve"> mažina kontraceptinių hormonų klirensą (fermentų inhibitoriai)</w:t>
      </w:r>
    </w:p>
    <w:p w:rsidR="009B7E2A" w:rsidRPr="005F6235" w:rsidRDefault="009B7E2A" w:rsidP="009B7E2A">
      <w:pPr>
        <w:rPr>
          <w:sz w:val="22"/>
          <w:szCs w:val="22"/>
        </w:rPr>
      </w:pPr>
      <w:r w:rsidRPr="005F6235">
        <w:rPr>
          <w:sz w:val="22"/>
          <w:szCs w:val="22"/>
        </w:rPr>
        <w:t>Kartu vartojami stiprūs (pvz., ketokonazolas, itrakonazolas, klaritromicinas) ar vidutiniai (pvz., flukonazolas, diltiazemas, eritromicinas) CYP3A4 inhibitoriai gali padidinti pro</w:t>
      </w:r>
      <w:r w:rsidRPr="00CB5645">
        <w:rPr>
          <w:sz w:val="22"/>
          <w:szCs w:val="22"/>
        </w:rPr>
        <w:t>gestinų, įskaitant etonogestrel</w:t>
      </w:r>
      <w:r>
        <w:rPr>
          <w:sz w:val="22"/>
          <w:szCs w:val="22"/>
        </w:rPr>
        <w:t xml:space="preserve">io (aktyvaus dezogestrelio metabolito), </w:t>
      </w:r>
      <w:r w:rsidRPr="005F6235">
        <w:rPr>
          <w:sz w:val="22"/>
          <w:szCs w:val="22"/>
        </w:rPr>
        <w:t>koncentracijas serume.</w:t>
      </w:r>
    </w:p>
    <w:p w:rsidR="009B7E2A" w:rsidRDefault="009B7E2A" w:rsidP="009B7E2A">
      <w:pPr>
        <w:rPr>
          <w:sz w:val="22"/>
          <w:szCs w:val="22"/>
        </w:rPr>
      </w:pPr>
    </w:p>
    <w:p w:rsidR="009B7E2A" w:rsidRPr="00A67B4A" w:rsidRDefault="009B7E2A" w:rsidP="009B7E2A">
      <w:pPr>
        <w:rPr>
          <w:iCs/>
          <w:color w:val="000000"/>
          <w:sz w:val="22"/>
          <w:szCs w:val="22"/>
        </w:rPr>
      </w:pPr>
      <w:r w:rsidRPr="005F6235">
        <w:rPr>
          <w:bCs/>
          <w:i/>
          <w:iCs/>
          <w:sz w:val="22"/>
          <w:szCs w:val="22"/>
        </w:rPr>
        <w:t>Cerazette poveikis kitiems vaistiniams preparatams</w:t>
      </w:r>
    </w:p>
    <w:p w:rsidR="009B7E2A" w:rsidRPr="00B461CE" w:rsidRDefault="009B7E2A" w:rsidP="009B7E2A">
      <w:pPr>
        <w:rPr>
          <w:sz w:val="22"/>
          <w:szCs w:val="22"/>
        </w:rPr>
      </w:pPr>
      <w:r w:rsidRPr="00184906">
        <w:rPr>
          <w:sz w:val="22"/>
          <w:szCs w:val="22"/>
        </w:rPr>
        <w:t>Hormoniniai</w:t>
      </w:r>
      <w:r w:rsidRPr="00B461CE">
        <w:rPr>
          <w:sz w:val="22"/>
          <w:szCs w:val="22"/>
        </w:rPr>
        <w:t xml:space="preserve"> kontraceptikai gali sutrikdyti kitų vaistinių preparatų metabolizmą. Atitinkamai</w:t>
      </w:r>
      <w:r>
        <w:rPr>
          <w:sz w:val="22"/>
          <w:szCs w:val="22"/>
        </w:rPr>
        <w:t>, kitų veikliųjų medžiagų</w:t>
      </w:r>
      <w:r w:rsidRPr="00B461CE">
        <w:rPr>
          <w:sz w:val="22"/>
          <w:szCs w:val="22"/>
        </w:rPr>
        <w:t xml:space="preserve"> koncentracijos plazmoje bei audiniuose gali arba padidėti (pvz., ciklosporino), arba sumažėti</w:t>
      </w:r>
      <w:r>
        <w:rPr>
          <w:sz w:val="22"/>
          <w:szCs w:val="22"/>
        </w:rPr>
        <w:t xml:space="preserve"> (pvz. lamotrigino)</w:t>
      </w:r>
      <w:r w:rsidRPr="00B461CE">
        <w:rPr>
          <w:sz w:val="22"/>
          <w:szCs w:val="22"/>
        </w:rPr>
        <w:t>.</w:t>
      </w:r>
    </w:p>
    <w:p w:rsidR="009B7E2A" w:rsidRPr="00B461CE" w:rsidRDefault="009B7E2A" w:rsidP="009B7E2A">
      <w:pPr>
        <w:rPr>
          <w:i/>
          <w:sz w:val="22"/>
          <w:szCs w:val="22"/>
        </w:rPr>
      </w:pPr>
    </w:p>
    <w:p w:rsidR="009B7E2A" w:rsidRPr="00B461CE" w:rsidRDefault="009B7E2A" w:rsidP="009B7E2A">
      <w:pPr>
        <w:keepNext/>
        <w:ind w:left="567" w:hanging="567"/>
        <w:rPr>
          <w:b/>
          <w:bCs/>
          <w:iCs/>
          <w:sz w:val="22"/>
          <w:szCs w:val="22"/>
        </w:rPr>
      </w:pPr>
      <w:r w:rsidRPr="00B461CE">
        <w:rPr>
          <w:b/>
          <w:bCs/>
          <w:iCs/>
          <w:sz w:val="22"/>
          <w:szCs w:val="22"/>
        </w:rPr>
        <w:t>4.6</w:t>
      </w:r>
      <w:r w:rsidRPr="00B461CE">
        <w:rPr>
          <w:b/>
          <w:bCs/>
          <w:iCs/>
          <w:sz w:val="22"/>
          <w:szCs w:val="22"/>
        </w:rPr>
        <w:tab/>
        <w:t>Vaisingumas, nėštumo ir žindymo laikotarpis</w:t>
      </w:r>
    </w:p>
    <w:p w:rsidR="009B7E2A" w:rsidRPr="00B461CE" w:rsidRDefault="009B7E2A" w:rsidP="009B7E2A">
      <w:pPr>
        <w:keepNext/>
        <w:rPr>
          <w:iCs/>
          <w:sz w:val="22"/>
          <w:szCs w:val="22"/>
        </w:rPr>
      </w:pPr>
    </w:p>
    <w:p w:rsidR="009B7E2A" w:rsidRPr="00B461CE" w:rsidRDefault="009B7E2A" w:rsidP="009B7E2A">
      <w:pPr>
        <w:keepNext/>
        <w:rPr>
          <w:i/>
          <w:sz w:val="22"/>
          <w:szCs w:val="22"/>
        </w:rPr>
      </w:pPr>
      <w:r w:rsidRPr="00B461CE">
        <w:rPr>
          <w:i/>
          <w:sz w:val="22"/>
          <w:szCs w:val="22"/>
        </w:rPr>
        <w:t>Nėštumas</w:t>
      </w:r>
    </w:p>
    <w:p w:rsidR="009B7E2A" w:rsidRPr="00B461CE" w:rsidRDefault="009B7E2A" w:rsidP="009B7E2A">
      <w:pPr>
        <w:keepNext/>
        <w:rPr>
          <w:sz w:val="22"/>
          <w:szCs w:val="22"/>
        </w:rPr>
      </w:pPr>
      <w:r w:rsidRPr="00B461CE">
        <w:rPr>
          <w:sz w:val="22"/>
          <w:szCs w:val="22"/>
        </w:rPr>
        <w:t>Nėštumo metu Cerazette nevartojamas. Jeigu vartodama Cerazette moteris pastoja, vaistinio preparato vartojimą reikia nutraukti.</w:t>
      </w:r>
    </w:p>
    <w:p w:rsidR="009B7E2A" w:rsidRPr="00B461CE" w:rsidRDefault="009B7E2A" w:rsidP="009B7E2A">
      <w:pPr>
        <w:rPr>
          <w:iCs/>
          <w:sz w:val="22"/>
          <w:szCs w:val="22"/>
        </w:rPr>
      </w:pPr>
    </w:p>
    <w:p w:rsidR="009B7E2A" w:rsidRPr="00B461CE" w:rsidRDefault="009B7E2A" w:rsidP="009B7E2A">
      <w:pPr>
        <w:rPr>
          <w:iCs/>
          <w:sz w:val="22"/>
          <w:szCs w:val="22"/>
        </w:rPr>
      </w:pPr>
      <w:r w:rsidRPr="00B461CE">
        <w:rPr>
          <w:iCs/>
          <w:sz w:val="22"/>
          <w:szCs w:val="22"/>
        </w:rPr>
        <w:t xml:space="preserve">Tyrimų su gyvūnais metu nustatyta, jog labai didelės </w:t>
      </w:r>
      <w:r w:rsidRPr="00184906">
        <w:rPr>
          <w:iCs/>
          <w:sz w:val="22"/>
          <w:szCs w:val="22"/>
        </w:rPr>
        <w:t>progestagenų</w:t>
      </w:r>
      <w:r w:rsidRPr="00B461CE">
        <w:rPr>
          <w:iCs/>
          <w:sz w:val="22"/>
          <w:szCs w:val="22"/>
        </w:rPr>
        <w:t xml:space="preserve"> dozės gali sukelti moteriškosios lyties vaisiaus maskulinizaciją.</w:t>
      </w:r>
    </w:p>
    <w:p w:rsidR="009B7E2A" w:rsidRPr="00B461CE" w:rsidRDefault="009B7E2A" w:rsidP="009B7E2A">
      <w:pPr>
        <w:rPr>
          <w:iCs/>
          <w:sz w:val="22"/>
          <w:szCs w:val="22"/>
        </w:rPr>
      </w:pPr>
    </w:p>
    <w:p w:rsidR="009B7E2A" w:rsidRPr="00B461CE" w:rsidRDefault="009B7E2A" w:rsidP="009B7E2A">
      <w:pPr>
        <w:rPr>
          <w:sz w:val="22"/>
          <w:szCs w:val="22"/>
        </w:rPr>
      </w:pPr>
      <w:r w:rsidRPr="00B461CE">
        <w:rPr>
          <w:sz w:val="22"/>
          <w:szCs w:val="22"/>
        </w:rPr>
        <w:t>Plačių epidemiologinių tyrimų rezultatai parodė, kad SGK prieš pastojimą vartojusioms moterims vaisiaus apsigimimų nepadažnėja, o vartojus jų per neapdairumą nėštumo pradžioje teratogeninis poveikis nepasireiškia. Farmakologinio budrumo duomenys, surinkti apie įvairius dezogestrelio turinčius SGK, padidėjusios rizikos taip pat nerodo.</w:t>
      </w:r>
    </w:p>
    <w:p w:rsidR="009B7E2A" w:rsidRPr="00B461CE" w:rsidRDefault="009B7E2A" w:rsidP="009B7E2A">
      <w:pPr>
        <w:rPr>
          <w:iCs/>
          <w:sz w:val="22"/>
          <w:szCs w:val="22"/>
        </w:rPr>
      </w:pPr>
    </w:p>
    <w:p w:rsidR="009B7E2A" w:rsidRPr="00B461CE" w:rsidRDefault="009B7E2A" w:rsidP="009B7E2A">
      <w:pPr>
        <w:keepNext/>
        <w:rPr>
          <w:i/>
          <w:sz w:val="22"/>
          <w:szCs w:val="22"/>
        </w:rPr>
      </w:pPr>
      <w:r w:rsidRPr="00B461CE">
        <w:rPr>
          <w:i/>
          <w:sz w:val="22"/>
          <w:szCs w:val="22"/>
        </w:rPr>
        <w:t>Žindymas</w:t>
      </w:r>
    </w:p>
    <w:p w:rsidR="009B7E2A" w:rsidRPr="00B461CE" w:rsidRDefault="009B7E2A" w:rsidP="009B7E2A">
      <w:pPr>
        <w:rPr>
          <w:sz w:val="22"/>
          <w:szCs w:val="22"/>
        </w:rPr>
      </w:pPr>
      <w:r w:rsidRPr="00B461CE">
        <w:rPr>
          <w:sz w:val="22"/>
          <w:szCs w:val="22"/>
        </w:rPr>
        <w:t>Motinos pieno gamybos ar jo kokybės (proteino, laktozės a riebalų koncentracijos) Cerazette neveikia.</w:t>
      </w:r>
      <w:r w:rsidR="00F9694B">
        <w:rPr>
          <w:sz w:val="22"/>
          <w:szCs w:val="22"/>
        </w:rPr>
        <w:t xml:space="preserve"> </w:t>
      </w:r>
      <w:r w:rsidRPr="00B461CE">
        <w:rPr>
          <w:sz w:val="22"/>
          <w:szCs w:val="22"/>
        </w:rPr>
        <w:t xml:space="preserve">Vis dėlto nedaug </w:t>
      </w:r>
      <w:r w:rsidRPr="00184906">
        <w:rPr>
          <w:sz w:val="22"/>
          <w:szCs w:val="22"/>
        </w:rPr>
        <w:t>etonogestrelio</w:t>
      </w:r>
      <w:r w:rsidRPr="00B461CE">
        <w:rPr>
          <w:sz w:val="22"/>
          <w:szCs w:val="22"/>
        </w:rPr>
        <w:t xml:space="preserve"> į motinos pieną patenka. Todėl kūdikis gali nuryti 0,01-0,05 mikrogramo/kg kūno svorio šios medžiagos per parą (kai pieno suvartojama vidutiniškai 150 ml/kg per parą).</w:t>
      </w:r>
    </w:p>
    <w:p w:rsidR="009B7E2A" w:rsidRPr="00B461CE" w:rsidRDefault="009B7E2A" w:rsidP="009B7E2A">
      <w:pPr>
        <w:rPr>
          <w:sz w:val="22"/>
          <w:szCs w:val="22"/>
        </w:rPr>
      </w:pPr>
      <w:r w:rsidRPr="00B461CE">
        <w:rPr>
          <w:sz w:val="22"/>
          <w:szCs w:val="22"/>
        </w:rPr>
        <w:t>Ilgalaikių tyrimų su vaikais, kurių motinos pradėjo vartoti Cerazette po gimdymo praėjus 4-8 savaitėms, duomenų yra nedaug. Kūdikiai buvo žindyti 7 mėnesius ir po to stebėti iki 1,5 metų (n = 32) arba iki 2,5 metų (n = 14) amžiaus. Augimo ir psichinės bei psichomotorinės raidos įvertinimas neparodė skirtumų tarp tirtųjų kūdikių ir kūdikių, kurių motinos naudojo varines gimdos spirales. Remiantis žinomais duomenimis, žindymo laikotarpiu Cerazette vartoti galima. Vis</w:t>
      </w:r>
      <w:r>
        <w:rPr>
          <w:sz w:val="22"/>
          <w:szCs w:val="22"/>
        </w:rPr>
        <w:t xml:space="preserve"> </w:t>
      </w:r>
      <w:r w:rsidRPr="00B461CE">
        <w:rPr>
          <w:sz w:val="22"/>
          <w:szCs w:val="22"/>
        </w:rPr>
        <w:t>dėlto kūdikio, kurio motina vartoja Cerazette, augimą ir raidą reikėtų atidžiai stebėti.</w:t>
      </w:r>
    </w:p>
    <w:p w:rsidR="009B7E2A" w:rsidRPr="00B461CE" w:rsidRDefault="009B7E2A" w:rsidP="009B7E2A">
      <w:pPr>
        <w:rPr>
          <w:iCs/>
          <w:sz w:val="22"/>
          <w:szCs w:val="22"/>
        </w:rPr>
      </w:pPr>
    </w:p>
    <w:p w:rsidR="009B7E2A" w:rsidRPr="00B461CE" w:rsidRDefault="009B7E2A" w:rsidP="009B7E2A">
      <w:pPr>
        <w:rPr>
          <w:i/>
          <w:iCs/>
          <w:sz w:val="22"/>
          <w:szCs w:val="22"/>
        </w:rPr>
      </w:pPr>
      <w:r w:rsidRPr="00B461CE">
        <w:rPr>
          <w:i/>
          <w:iCs/>
          <w:sz w:val="22"/>
          <w:szCs w:val="22"/>
        </w:rPr>
        <w:lastRenderedPageBreak/>
        <w:t>Vaisingumas</w:t>
      </w:r>
    </w:p>
    <w:p w:rsidR="009B7E2A" w:rsidRPr="00B461CE" w:rsidRDefault="009B7E2A" w:rsidP="009B7E2A">
      <w:pPr>
        <w:rPr>
          <w:iCs/>
          <w:sz w:val="22"/>
          <w:szCs w:val="22"/>
        </w:rPr>
      </w:pPr>
      <w:r w:rsidRPr="00B461CE">
        <w:rPr>
          <w:sz w:val="22"/>
          <w:szCs w:val="22"/>
        </w:rPr>
        <w:t>Cerazette yra skirtas išvengti nėštumo. Informaciją apie tai, kaip atsistato vaisingumas (ovuliacija), rasite 5.1 skyriuje.</w:t>
      </w:r>
    </w:p>
    <w:p w:rsidR="009B7E2A" w:rsidRPr="00B461CE" w:rsidRDefault="009B7E2A" w:rsidP="009B7E2A">
      <w:pPr>
        <w:rPr>
          <w:iCs/>
          <w:sz w:val="22"/>
          <w:szCs w:val="22"/>
        </w:rPr>
      </w:pPr>
    </w:p>
    <w:p w:rsidR="009B7E2A" w:rsidRPr="00B461CE" w:rsidRDefault="009B7E2A" w:rsidP="009B7E2A">
      <w:pPr>
        <w:ind w:left="567" w:hanging="567"/>
        <w:rPr>
          <w:b/>
          <w:bCs/>
          <w:color w:val="000000"/>
          <w:spacing w:val="-3"/>
          <w:sz w:val="22"/>
          <w:szCs w:val="22"/>
        </w:rPr>
      </w:pPr>
      <w:r w:rsidRPr="00B461CE">
        <w:rPr>
          <w:b/>
          <w:bCs/>
          <w:color w:val="000000"/>
          <w:spacing w:val="-3"/>
          <w:sz w:val="22"/>
          <w:szCs w:val="22"/>
        </w:rPr>
        <w:t>4.7.</w:t>
      </w:r>
      <w:r w:rsidRPr="00B461CE">
        <w:rPr>
          <w:b/>
          <w:bCs/>
          <w:color w:val="000000"/>
          <w:spacing w:val="-3"/>
          <w:sz w:val="22"/>
          <w:szCs w:val="22"/>
        </w:rPr>
        <w:tab/>
        <w:t>Poveikis gebėjimui vairuoti ir valdyti mechanizmus</w:t>
      </w:r>
    </w:p>
    <w:p w:rsidR="009B7E2A" w:rsidRPr="00B461CE" w:rsidRDefault="009B7E2A" w:rsidP="009B7E2A">
      <w:pPr>
        <w:rPr>
          <w:iCs/>
          <w:sz w:val="22"/>
          <w:szCs w:val="22"/>
        </w:rPr>
      </w:pPr>
    </w:p>
    <w:p w:rsidR="009B7E2A" w:rsidRPr="00B461CE" w:rsidRDefault="009B7E2A" w:rsidP="009B7E2A">
      <w:pPr>
        <w:rPr>
          <w:sz w:val="22"/>
          <w:szCs w:val="22"/>
        </w:rPr>
      </w:pPr>
      <w:r w:rsidRPr="00B461CE">
        <w:rPr>
          <w:sz w:val="22"/>
          <w:szCs w:val="22"/>
        </w:rPr>
        <w:t>Cerazette gebėjimo vairuoti ir valdyti mechanizmus neveikia arba veikia nereikšmingai.</w:t>
      </w:r>
    </w:p>
    <w:p w:rsidR="009B7E2A" w:rsidRPr="00B461CE" w:rsidRDefault="009B7E2A" w:rsidP="009B7E2A">
      <w:pPr>
        <w:rPr>
          <w:iCs/>
          <w:sz w:val="22"/>
          <w:szCs w:val="22"/>
        </w:rPr>
      </w:pPr>
    </w:p>
    <w:p w:rsidR="009B7E2A" w:rsidRPr="00B461CE" w:rsidRDefault="009B7E2A" w:rsidP="009B7E2A">
      <w:pPr>
        <w:ind w:left="567" w:hanging="567"/>
        <w:rPr>
          <w:b/>
          <w:bCs/>
          <w:sz w:val="22"/>
          <w:szCs w:val="22"/>
        </w:rPr>
      </w:pPr>
      <w:r w:rsidRPr="00B461CE">
        <w:rPr>
          <w:b/>
          <w:bCs/>
          <w:sz w:val="22"/>
          <w:szCs w:val="22"/>
        </w:rPr>
        <w:t>4.8</w:t>
      </w:r>
      <w:r w:rsidRPr="00B461CE">
        <w:rPr>
          <w:b/>
          <w:bCs/>
          <w:sz w:val="22"/>
          <w:szCs w:val="22"/>
        </w:rPr>
        <w:tab/>
        <w:t>Nepageidaujamas poveikis</w:t>
      </w:r>
    </w:p>
    <w:p w:rsidR="009B7E2A" w:rsidRPr="00B461CE" w:rsidRDefault="009B7E2A" w:rsidP="009B7E2A">
      <w:pPr>
        <w:rPr>
          <w:sz w:val="22"/>
          <w:szCs w:val="22"/>
        </w:rPr>
      </w:pPr>
    </w:p>
    <w:p w:rsidR="009B7E2A" w:rsidRPr="00B461CE" w:rsidRDefault="009B7E2A" w:rsidP="009B7E2A">
      <w:pPr>
        <w:rPr>
          <w:sz w:val="22"/>
          <w:szCs w:val="22"/>
        </w:rPr>
      </w:pPr>
      <w:r w:rsidRPr="00B461CE">
        <w:rPr>
          <w:iCs/>
          <w:spacing w:val="-3"/>
          <w:sz w:val="22"/>
          <w:szCs w:val="22"/>
        </w:rPr>
        <w:t>Klinikinių tyrimų metu</w:t>
      </w:r>
      <w:r w:rsidRPr="00B461CE">
        <w:rPr>
          <w:sz w:val="22"/>
          <w:szCs w:val="22"/>
        </w:rPr>
        <w:t xml:space="preserve"> dažniausiai stebėtas nepageidaujamas poveikis buvo nereguliarus kraujavimas. Daugiau ar mažiau nereguliariai kraujavo iki 50 % Cerazette vartojusių moterų. Kadangi Cerazette, skirtingai nuo kitų tik </w:t>
      </w:r>
      <w:r w:rsidRPr="00184906">
        <w:rPr>
          <w:sz w:val="22"/>
          <w:szCs w:val="22"/>
        </w:rPr>
        <w:t>progestageno turinčių tablečių, beveik visiškai slopina ovuliaciją, jį vartojant nereguliariai kraujuoja dažniau, negu vartojant kitas tik progestageno</w:t>
      </w:r>
      <w:r w:rsidRPr="00B461CE">
        <w:rPr>
          <w:sz w:val="22"/>
          <w:szCs w:val="22"/>
        </w:rPr>
        <w:t xml:space="preserve"> turinčias tabletes. 20-30 % moterų gali kraujuoti dažniau, o kitos 20 % - rečiau arba gali visai nekraujuoti. Kraujuoti iš makšties gali ilgesnį laiką. Po kelių vartojimo mėnesių paprastai kraujuoja rečiau. Kraujavimą moteris geriau toleruos, jeigu bus apie tai informuota bei registruos pati dienyne.</w:t>
      </w:r>
    </w:p>
    <w:p w:rsidR="009B7E2A" w:rsidRPr="00B461CE" w:rsidRDefault="009B7E2A" w:rsidP="009B7E2A">
      <w:pPr>
        <w:rPr>
          <w:sz w:val="22"/>
          <w:szCs w:val="22"/>
        </w:rPr>
      </w:pPr>
      <w:r w:rsidRPr="00B461CE">
        <w:rPr>
          <w:iCs/>
          <w:spacing w:val="-3"/>
          <w:sz w:val="22"/>
          <w:szCs w:val="22"/>
        </w:rPr>
        <w:t>Dažniausi (&gt; 2,5 %) kiti nepageidaujami poveikiai, pastebėti Cerazette klinikinių tyrimų metu</w:t>
      </w:r>
      <w:r w:rsidRPr="00B461CE">
        <w:rPr>
          <w:sz w:val="22"/>
          <w:szCs w:val="22"/>
        </w:rPr>
        <w:t>: spuogai, pakitusi nuotaika, krūtų skausmas, pykinimas bei kūno svorio padidėjimas. N</w:t>
      </w:r>
      <w:r w:rsidRPr="00B461CE">
        <w:rPr>
          <w:iCs/>
          <w:spacing w:val="-3"/>
          <w:sz w:val="22"/>
          <w:szCs w:val="22"/>
        </w:rPr>
        <w:t>epageidaujami poveikiai yra išvardinti</w:t>
      </w:r>
      <w:r w:rsidRPr="00B461CE">
        <w:rPr>
          <w:sz w:val="22"/>
          <w:szCs w:val="22"/>
        </w:rPr>
        <w:t xml:space="preserve"> lentelėje žemiau</w:t>
      </w:r>
      <w:r w:rsidRPr="00B461CE">
        <w:rPr>
          <w:iCs/>
          <w:spacing w:val="-3"/>
          <w:sz w:val="22"/>
          <w:szCs w:val="22"/>
        </w:rPr>
        <w:t>.</w:t>
      </w:r>
    </w:p>
    <w:p w:rsidR="009B7E2A" w:rsidRPr="00B461CE" w:rsidRDefault="009B7E2A" w:rsidP="009B7E2A">
      <w:pPr>
        <w:rPr>
          <w:sz w:val="22"/>
          <w:szCs w:val="22"/>
        </w:rPr>
      </w:pPr>
    </w:p>
    <w:p w:rsidR="009B7E2A" w:rsidRPr="00B461CE" w:rsidRDefault="009B7E2A" w:rsidP="009B7E2A">
      <w:pPr>
        <w:keepNext/>
        <w:rPr>
          <w:sz w:val="22"/>
          <w:szCs w:val="22"/>
        </w:rPr>
      </w:pPr>
      <w:r w:rsidRPr="00B461CE">
        <w:rPr>
          <w:sz w:val="22"/>
          <w:szCs w:val="22"/>
        </w:rPr>
        <w:t>Visos nepageidaujamos reakcijos į vaistą yra išvardytos pagal organų sistemų klases ir dažnį: dažni (nu</w:t>
      </w:r>
      <w:r w:rsidRPr="004477C8">
        <w:rPr>
          <w:sz w:val="22"/>
          <w:szCs w:val="22"/>
        </w:rPr>
        <w:t xml:space="preserve">o </w:t>
      </w:r>
      <w:r w:rsidRPr="004477C8">
        <w:rPr>
          <w:sz w:val="22"/>
          <w:szCs w:val="22"/>
        </w:rPr>
        <w:sym w:font="Symbol" w:char="00B3"/>
      </w:r>
      <w:r w:rsidRPr="004477C8">
        <w:rPr>
          <w:noProof/>
          <w:sz w:val="22"/>
          <w:szCs w:val="22"/>
        </w:rPr>
        <w:t xml:space="preserve">1/100 iki &lt;1/10), nedažni (nuo </w:t>
      </w:r>
      <w:r w:rsidRPr="004477C8">
        <w:rPr>
          <w:sz w:val="22"/>
          <w:szCs w:val="22"/>
        </w:rPr>
        <w:sym w:font="Symbol" w:char="00B3"/>
      </w:r>
      <w:r w:rsidRPr="004477C8">
        <w:rPr>
          <w:noProof/>
          <w:sz w:val="22"/>
          <w:szCs w:val="22"/>
        </w:rPr>
        <w:t xml:space="preserve">1/1 000 iki &lt;1/100) ir reti (nuo </w:t>
      </w:r>
      <w:r w:rsidRPr="004477C8">
        <w:rPr>
          <w:sz w:val="22"/>
          <w:szCs w:val="22"/>
        </w:rPr>
        <w:sym w:font="Symbol" w:char="00B3"/>
      </w:r>
      <w:r w:rsidRPr="004477C8">
        <w:rPr>
          <w:noProof/>
          <w:sz w:val="22"/>
          <w:szCs w:val="22"/>
        </w:rPr>
        <w:t>1/10 000 iki</w:t>
      </w:r>
      <w:r w:rsidRPr="00B461CE">
        <w:rPr>
          <w:noProof/>
          <w:sz w:val="22"/>
          <w:szCs w:val="22"/>
        </w:rPr>
        <w:t xml:space="preserve"> &lt;1/1 000).</w:t>
      </w:r>
    </w:p>
    <w:p w:rsidR="009B7E2A" w:rsidRPr="00B461CE" w:rsidRDefault="009B7E2A" w:rsidP="009B7E2A">
      <w:pPr>
        <w:keepNex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4"/>
        <w:gridCol w:w="2721"/>
        <w:gridCol w:w="2210"/>
        <w:gridCol w:w="1841"/>
      </w:tblGrid>
      <w:tr w:rsidR="009B7E2A" w:rsidRPr="00B461CE" w:rsidTr="00C5042B">
        <w:trPr>
          <w:cantSplit/>
        </w:trPr>
        <w:tc>
          <w:tcPr>
            <w:tcW w:w="1464" w:type="pct"/>
            <w:vMerge w:val="restart"/>
          </w:tcPr>
          <w:p w:rsidR="009B7E2A" w:rsidRPr="00B461CE" w:rsidRDefault="009B7E2A" w:rsidP="00C5042B">
            <w:pPr>
              <w:keepNext/>
              <w:keepLines/>
              <w:suppressAutoHyphens/>
              <w:spacing w:line="260" w:lineRule="exact"/>
              <w:jc w:val="center"/>
              <w:rPr>
                <w:b/>
              </w:rPr>
            </w:pPr>
            <w:r w:rsidRPr="00B461CE">
              <w:rPr>
                <w:b/>
                <w:sz w:val="22"/>
                <w:szCs w:val="22"/>
              </w:rPr>
              <w:t>Organų sistemų klasės</w:t>
            </w:r>
          </w:p>
          <w:p w:rsidR="009B7E2A" w:rsidRPr="00B461CE" w:rsidRDefault="009B7E2A" w:rsidP="00C5042B">
            <w:pPr>
              <w:keepNext/>
              <w:keepLines/>
              <w:suppressAutoHyphens/>
              <w:spacing w:line="260" w:lineRule="exact"/>
              <w:jc w:val="center"/>
              <w:rPr>
                <w:b/>
              </w:rPr>
            </w:pPr>
            <w:r w:rsidRPr="00B461CE">
              <w:rPr>
                <w:b/>
                <w:sz w:val="22"/>
                <w:szCs w:val="22"/>
              </w:rPr>
              <w:t xml:space="preserve"> (MedDRA)*</w:t>
            </w:r>
          </w:p>
        </w:tc>
        <w:tc>
          <w:tcPr>
            <w:tcW w:w="3536" w:type="pct"/>
            <w:gridSpan w:val="3"/>
            <w:tcBorders>
              <w:bottom w:val="single" w:sz="4" w:space="0" w:color="auto"/>
            </w:tcBorders>
          </w:tcPr>
          <w:p w:rsidR="009B7E2A" w:rsidRPr="00B461CE" w:rsidRDefault="009B7E2A" w:rsidP="00C5042B">
            <w:pPr>
              <w:pStyle w:val="covercap"/>
              <w:keepNext/>
              <w:keepLines/>
              <w:suppressAutoHyphens/>
              <w:spacing w:before="0" w:after="120" w:line="260" w:lineRule="exact"/>
              <w:rPr>
                <w:rFonts w:ascii="Times New Roman" w:hAnsi="Times New Roman"/>
                <w:szCs w:val="22"/>
                <w:lang w:val="lt-LT"/>
              </w:rPr>
            </w:pPr>
            <w:r w:rsidRPr="00B461CE">
              <w:rPr>
                <w:rFonts w:ascii="Times New Roman" w:hAnsi="Times New Roman"/>
                <w:szCs w:val="22"/>
                <w:lang w:val="lt-LT"/>
              </w:rPr>
              <w:t>Nepageidaujamų reakcijų dažnis</w:t>
            </w:r>
          </w:p>
        </w:tc>
      </w:tr>
      <w:tr w:rsidR="009B7E2A" w:rsidRPr="00B461CE" w:rsidTr="00C5042B">
        <w:tc>
          <w:tcPr>
            <w:tcW w:w="1464" w:type="pct"/>
            <w:vMerge/>
            <w:tcBorders>
              <w:bottom w:val="single" w:sz="12" w:space="0" w:color="auto"/>
            </w:tcBorders>
          </w:tcPr>
          <w:p w:rsidR="009B7E2A" w:rsidRPr="00B461CE" w:rsidRDefault="009B7E2A" w:rsidP="00C5042B">
            <w:pPr>
              <w:keepNext/>
              <w:keepLines/>
              <w:suppressAutoHyphens/>
              <w:spacing w:line="260" w:lineRule="exact"/>
              <w:jc w:val="center"/>
              <w:rPr>
                <w:b/>
              </w:rPr>
            </w:pPr>
          </w:p>
        </w:tc>
        <w:tc>
          <w:tcPr>
            <w:tcW w:w="1421" w:type="pct"/>
            <w:tcBorders>
              <w:top w:val="single" w:sz="4" w:space="0" w:color="auto"/>
              <w:bottom w:val="single" w:sz="12" w:space="0" w:color="auto"/>
            </w:tcBorders>
          </w:tcPr>
          <w:p w:rsidR="009B7E2A" w:rsidRPr="00B461CE" w:rsidRDefault="009B7E2A" w:rsidP="00C5042B">
            <w:pPr>
              <w:keepNext/>
              <w:keepLines/>
              <w:suppressAutoHyphens/>
              <w:spacing w:line="260" w:lineRule="exact"/>
              <w:jc w:val="center"/>
              <w:rPr>
                <w:b/>
              </w:rPr>
            </w:pPr>
            <w:r w:rsidRPr="00B461CE">
              <w:rPr>
                <w:b/>
                <w:sz w:val="22"/>
                <w:szCs w:val="22"/>
              </w:rPr>
              <w:t>Dažni</w:t>
            </w:r>
          </w:p>
          <w:p w:rsidR="009B7E2A" w:rsidRPr="00B461CE" w:rsidRDefault="009B7E2A" w:rsidP="00C5042B">
            <w:pPr>
              <w:keepNext/>
              <w:keepLines/>
              <w:suppressAutoHyphens/>
              <w:autoSpaceDE w:val="0"/>
              <w:autoSpaceDN w:val="0"/>
              <w:adjustRightInd w:val="0"/>
              <w:spacing w:line="260" w:lineRule="exact"/>
              <w:jc w:val="center"/>
              <w:outlineLvl w:val="0"/>
              <w:rPr>
                <w:b/>
              </w:rPr>
            </w:pPr>
          </w:p>
        </w:tc>
        <w:tc>
          <w:tcPr>
            <w:tcW w:w="1154" w:type="pct"/>
            <w:tcBorders>
              <w:top w:val="single" w:sz="4" w:space="0" w:color="auto"/>
              <w:bottom w:val="single" w:sz="12" w:space="0" w:color="auto"/>
            </w:tcBorders>
          </w:tcPr>
          <w:p w:rsidR="009B7E2A" w:rsidRPr="00B461CE" w:rsidRDefault="009B7E2A" w:rsidP="00C5042B">
            <w:pPr>
              <w:keepNext/>
              <w:keepLines/>
              <w:suppressAutoHyphens/>
              <w:spacing w:line="260" w:lineRule="exact"/>
              <w:jc w:val="center"/>
              <w:rPr>
                <w:b/>
              </w:rPr>
            </w:pPr>
            <w:r w:rsidRPr="00B461CE">
              <w:rPr>
                <w:b/>
                <w:sz w:val="22"/>
                <w:szCs w:val="22"/>
              </w:rPr>
              <w:t>Nedažni</w:t>
            </w:r>
          </w:p>
          <w:p w:rsidR="009B7E2A" w:rsidRPr="00B461CE" w:rsidRDefault="009B7E2A" w:rsidP="00C5042B">
            <w:pPr>
              <w:keepNext/>
              <w:keepLines/>
              <w:suppressAutoHyphens/>
              <w:autoSpaceDE w:val="0"/>
              <w:autoSpaceDN w:val="0"/>
              <w:adjustRightInd w:val="0"/>
              <w:spacing w:line="260" w:lineRule="exact"/>
              <w:jc w:val="center"/>
              <w:outlineLvl w:val="0"/>
              <w:rPr>
                <w:b/>
              </w:rPr>
            </w:pPr>
          </w:p>
        </w:tc>
        <w:tc>
          <w:tcPr>
            <w:tcW w:w="961" w:type="pct"/>
            <w:tcBorders>
              <w:top w:val="single" w:sz="4" w:space="0" w:color="auto"/>
              <w:bottom w:val="single" w:sz="12" w:space="0" w:color="auto"/>
            </w:tcBorders>
          </w:tcPr>
          <w:p w:rsidR="009B7E2A" w:rsidRPr="00B461CE" w:rsidRDefault="009B7E2A" w:rsidP="00C5042B">
            <w:pPr>
              <w:keepNext/>
              <w:keepLines/>
              <w:suppressAutoHyphens/>
              <w:spacing w:line="260" w:lineRule="exact"/>
              <w:jc w:val="center"/>
              <w:rPr>
                <w:b/>
              </w:rPr>
            </w:pPr>
            <w:r w:rsidRPr="00B461CE">
              <w:rPr>
                <w:b/>
                <w:sz w:val="22"/>
                <w:szCs w:val="22"/>
              </w:rPr>
              <w:t>Reti</w:t>
            </w:r>
          </w:p>
          <w:p w:rsidR="009B7E2A" w:rsidRPr="00B461CE" w:rsidRDefault="009B7E2A" w:rsidP="00C5042B">
            <w:pPr>
              <w:keepNext/>
              <w:keepLines/>
              <w:suppressAutoHyphens/>
              <w:autoSpaceDE w:val="0"/>
              <w:autoSpaceDN w:val="0"/>
              <w:adjustRightInd w:val="0"/>
              <w:spacing w:line="260" w:lineRule="exact"/>
              <w:jc w:val="center"/>
              <w:outlineLvl w:val="0"/>
              <w:rPr>
                <w:b/>
              </w:rPr>
            </w:pPr>
          </w:p>
        </w:tc>
      </w:tr>
      <w:tr w:rsidR="009B7E2A" w:rsidRPr="00B461CE" w:rsidTr="00C5042B">
        <w:tc>
          <w:tcPr>
            <w:tcW w:w="1464" w:type="pct"/>
            <w:tcBorders>
              <w:top w:val="nil"/>
            </w:tcBorders>
          </w:tcPr>
          <w:p w:rsidR="009B7E2A" w:rsidRPr="00B461CE" w:rsidRDefault="009B7E2A" w:rsidP="00C5042B">
            <w:pPr>
              <w:keepNext/>
              <w:keepLines/>
              <w:suppressAutoHyphens/>
              <w:spacing w:line="260" w:lineRule="exact"/>
            </w:pPr>
            <w:r w:rsidRPr="00B461CE">
              <w:rPr>
                <w:sz w:val="22"/>
                <w:szCs w:val="22"/>
              </w:rPr>
              <w:t>Infekcijos ir infestacijos</w:t>
            </w:r>
          </w:p>
        </w:tc>
        <w:tc>
          <w:tcPr>
            <w:tcW w:w="1421" w:type="pct"/>
            <w:tcBorders>
              <w:top w:val="nil"/>
            </w:tcBorders>
          </w:tcPr>
          <w:p w:rsidR="009B7E2A" w:rsidRPr="00B461CE" w:rsidRDefault="009B7E2A" w:rsidP="00C5042B">
            <w:pPr>
              <w:keepNext/>
              <w:keepLines/>
              <w:suppressAutoHyphens/>
              <w:spacing w:line="260" w:lineRule="exact"/>
            </w:pPr>
          </w:p>
        </w:tc>
        <w:tc>
          <w:tcPr>
            <w:tcW w:w="1154" w:type="pct"/>
            <w:tcBorders>
              <w:top w:val="nil"/>
            </w:tcBorders>
          </w:tcPr>
          <w:p w:rsidR="009B7E2A" w:rsidRPr="00B461CE" w:rsidRDefault="009B7E2A" w:rsidP="00C5042B">
            <w:pPr>
              <w:keepNext/>
              <w:keepLines/>
              <w:suppressAutoHyphens/>
              <w:spacing w:line="260" w:lineRule="exact"/>
            </w:pPr>
            <w:r w:rsidRPr="00B461CE">
              <w:rPr>
                <w:sz w:val="22"/>
                <w:szCs w:val="22"/>
              </w:rPr>
              <w:t>Makšties infekcija</w:t>
            </w:r>
          </w:p>
        </w:tc>
        <w:tc>
          <w:tcPr>
            <w:tcW w:w="961" w:type="pct"/>
            <w:tcBorders>
              <w:top w:val="nil"/>
            </w:tcBorders>
          </w:tcPr>
          <w:p w:rsidR="009B7E2A" w:rsidRPr="00B461CE" w:rsidRDefault="009B7E2A" w:rsidP="00C5042B">
            <w:pPr>
              <w:keepNext/>
              <w:keepLines/>
              <w:suppressAutoHyphens/>
              <w:spacing w:line="260" w:lineRule="exact"/>
            </w:pPr>
          </w:p>
        </w:tc>
      </w:tr>
      <w:tr w:rsidR="009B7E2A" w:rsidRPr="00B461CE" w:rsidTr="00C5042B">
        <w:tc>
          <w:tcPr>
            <w:tcW w:w="1464" w:type="pct"/>
          </w:tcPr>
          <w:p w:rsidR="009B7E2A" w:rsidRPr="00B461CE" w:rsidRDefault="009B7E2A" w:rsidP="00C5042B">
            <w:pPr>
              <w:pStyle w:val="Porat"/>
              <w:keepNext/>
              <w:keepLines/>
              <w:suppressAutoHyphens/>
              <w:spacing w:line="260" w:lineRule="exact"/>
            </w:pPr>
            <w:r w:rsidRPr="00B461CE">
              <w:rPr>
                <w:sz w:val="22"/>
                <w:szCs w:val="22"/>
              </w:rPr>
              <w:t>Psichikos sutrikimai</w:t>
            </w:r>
          </w:p>
        </w:tc>
        <w:tc>
          <w:tcPr>
            <w:tcW w:w="1421" w:type="pct"/>
          </w:tcPr>
          <w:p w:rsidR="009B7E2A" w:rsidRPr="00B461CE" w:rsidRDefault="009B7E2A" w:rsidP="00C5042B">
            <w:pPr>
              <w:keepNext/>
              <w:keepLines/>
              <w:suppressAutoHyphens/>
              <w:spacing w:line="260" w:lineRule="exact"/>
            </w:pPr>
            <w:r w:rsidRPr="00B461CE">
              <w:rPr>
                <w:sz w:val="22"/>
                <w:szCs w:val="22"/>
              </w:rPr>
              <w:t>Nuotaikų kaita, lytinio potraukio susilpnėjimas, prislėgta nuotaika</w:t>
            </w:r>
          </w:p>
        </w:tc>
        <w:tc>
          <w:tcPr>
            <w:tcW w:w="1154" w:type="pct"/>
          </w:tcPr>
          <w:p w:rsidR="009B7E2A" w:rsidRPr="00B461CE" w:rsidRDefault="009B7E2A" w:rsidP="00C5042B">
            <w:pPr>
              <w:keepNext/>
              <w:keepLines/>
              <w:suppressAutoHyphens/>
              <w:spacing w:line="260" w:lineRule="exact"/>
            </w:pPr>
          </w:p>
        </w:tc>
        <w:tc>
          <w:tcPr>
            <w:tcW w:w="961" w:type="pct"/>
          </w:tcPr>
          <w:p w:rsidR="009B7E2A" w:rsidRPr="00B461CE" w:rsidRDefault="009B7E2A" w:rsidP="00C5042B">
            <w:pPr>
              <w:keepNext/>
              <w:keepLines/>
              <w:suppressAutoHyphens/>
              <w:spacing w:line="260" w:lineRule="exact"/>
            </w:pPr>
          </w:p>
        </w:tc>
      </w:tr>
      <w:tr w:rsidR="009B7E2A" w:rsidRPr="00B461CE" w:rsidTr="00C5042B">
        <w:tc>
          <w:tcPr>
            <w:tcW w:w="1464" w:type="pct"/>
            <w:tcBorders>
              <w:top w:val="nil"/>
            </w:tcBorders>
          </w:tcPr>
          <w:p w:rsidR="009B7E2A" w:rsidRPr="00B461CE" w:rsidRDefault="009B7E2A" w:rsidP="00C5042B">
            <w:pPr>
              <w:keepNext/>
              <w:keepLines/>
              <w:suppressAutoHyphens/>
              <w:spacing w:line="260" w:lineRule="exact"/>
            </w:pPr>
            <w:r w:rsidRPr="00B461CE">
              <w:rPr>
                <w:sz w:val="22"/>
                <w:szCs w:val="22"/>
              </w:rPr>
              <w:t>Nervų sistemos sutrikimai</w:t>
            </w:r>
          </w:p>
        </w:tc>
        <w:tc>
          <w:tcPr>
            <w:tcW w:w="1421" w:type="pct"/>
            <w:tcBorders>
              <w:top w:val="nil"/>
            </w:tcBorders>
          </w:tcPr>
          <w:p w:rsidR="009B7E2A" w:rsidRPr="00B461CE" w:rsidRDefault="009B7E2A" w:rsidP="00C5042B">
            <w:pPr>
              <w:keepNext/>
              <w:keepLines/>
              <w:suppressAutoHyphens/>
              <w:spacing w:line="260" w:lineRule="exact"/>
            </w:pPr>
            <w:r w:rsidRPr="00B461CE">
              <w:rPr>
                <w:sz w:val="22"/>
                <w:szCs w:val="22"/>
              </w:rPr>
              <w:t>Galvos skausmas</w:t>
            </w:r>
          </w:p>
        </w:tc>
        <w:tc>
          <w:tcPr>
            <w:tcW w:w="1154" w:type="pct"/>
            <w:tcBorders>
              <w:top w:val="nil"/>
            </w:tcBorders>
          </w:tcPr>
          <w:p w:rsidR="009B7E2A" w:rsidRPr="00B461CE" w:rsidRDefault="009B7E2A" w:rsidP="00C5042B">
            <w:pPr>
              <w:keepNext/>
              <w:keepLines/>
              <w:suppressAutoHyphens/>
              <w:spacing w:line="260" w:lineRule="exact"/>
            </w:pPr>
          </w:p>
        </w:tc>
        <w:tc>
          <w:tcPr>
            <w:tcW w:w="961" w:type="pct"/>
            <w:tcBorders>
              <w:top w:val="nil"/>
            </w:tcBorders>
          </w:tcPr>
          <w:p w:rsidR="009B7E2A" w:rsidRPr="00B461CE" w:rsidRDefault="009B7E2A" w:rsidP="00C5042B">
            <w:pPr>
              <w:keepNext/>
              <w:keepLines/>
              <w:suppressAutoHyphens/>
              <w:spacing w:line="260" w:lineRule="exact"/>
            </w:pPr>
          </w:p>
        </w:tc>
      </w:tr>
      <w:tr w:rsidR="009B7E2A" w:rsidRPr="00B461CE" w:rsidTr="00C5042B">
        <w:tc>
          <w:tcPr>
            <w:tcW w:w="1464" w:type="pct"/>
          </w:tcPr>
          <w:p w:rsidR="009B7E2A" w:rsidRPr="00B461CE" w:rsidRDefault="009B7E2A" w:rsidP="00C5042B">
            <w:pPr>
              <w:keepNext/>
              <w:keepLines/>
              <w:suppressAutoHyphens/>
              <w:spacing w:line="260" w:lineRule="exact"/>
            </w:pPr>
            <w:r w:rsidRPr="00B461CE">
              <w:rPr>
                <w:sz w:val="22"/>
                <w:szCs w:val="22"/>
              </w:rPr>
              <w:t>Akių sutrikimai</w:t>
            </w:r>
          </w:p>
        </w:tc>
        <w:tc>
          <w:tcPr>
            <w:tcW w:w="1421" w:type="pct"/>
          </w:tcPr>
          <w:p w:rsidR="009B7E2A" w:rsidRPr="00B461CE" w:rsidRDefault="009B7E2A" w:rsidP="00C5042B">
            <w:pPr>
              <w:keepNext/>
              <w:keepLines/>
              <w:suppressAutoHyphens/>
              <w:spacing w:line="260" w:lineRule="exact"/>
            </w:pPr>
          </w:p>
        </w:tc>
        <w:tc>
          <w:tcPr>
            <w:tcW w:w="1154" w:type="pct"/>
          </w:tcPr>
          <w:p w:rsidR="009B7E2A" w:rsidRPr="00B461CE" w:rsidRDefault="009B7E2A" w:rsidP="00C5042B">
            <w:pPr>
              <w:keepNext/>
              <w:keepLines/>
              <w:suppressAutoHyphens/>
              <w:spacing w:line="260" w:lineRule="exact"/>
            </w:pPr>
            <w:r w:rsidRPr="00B461CE">
              <w:rPr>
                <w:sz w:val="22"/>
                <w:szCs w:val="22"/>
              </w:rPr>
              <w:t>Glaustinių lęšių netoleravimas</w:t>
            </w:r>
          </w:p>
        </w:tc>
        <w:tc>
          <w:tcPr>
            <w:tcW w:w="961" w:type="pct"/>
          </w:tcPr>
          <w:p w:rsidR="009B7E2A" w:rsidRPr="00B461CE" w:rsidRDefault="009B7E2A" w:rsidP="00C5042B">
            <w:pPr>
              <w:keepNext/>
              <w:keepLines/>
              <w:suppressAutoHyphens/>
              <w:spacing w:line="260" w:lineRule="exact"/>
            </w:pPr>
          </w:p>
        </w:tc>
      </w:tr>
      <w:tr w:rsidR="009B7E2A" w:rsidRPr="00B461CE" w:rsidTr="00C5042B">
        <w:tc>
          <w:tcPr>
            <w:tcW w:w="1464" w:type="pct"/>
          </w:tcPr>
          <w:p w:rsidR="009B7E2A" w:rsidRPr="00B461CE" w:rsidRDefault="009B7E2A" w:rsidP="00C5042B">
            <w:pPr>
              <w:keepNext/>
              <w:keepLines/>
              <w:suppressAutoHyphens/>
              <w:spacing w:line="260" w:lineRule="exact"/>
            </w:pPr>
            <w:r w:rsidRPr="00B461CE">
              <w:rPr>
                <w:sz w:val="22"/>
                <w:szCs w:val="22"/>
              </w:rPr>
              <w:t>Virškinimo trakto sutrikimai</w:t>
            </w:r>
          </w:p>
        </w:tc>
        <w:tc>
          <w:tcPr>
            <w:tcW w:w="1421" w:type="pct"/>
          </w:tcPr>
          <w:p w:rsidR="009B7E2A" w:rsidRPr="00B461CE" w:rsidRDefault="009B7E2A" w:rsidP="00C5042B">
            <w:pPr>
              <w:keepNext/>
              <w:keepLines/>
              <w:suppressAutoHyphens/>
              <w:spacing w:line="260" w:lineRule="exact"/>
            </w:pPr>
            <w:r w:rsidRPr="00B461CE">
              <w:rPr>
                <w:sz w:val="22"/>
                <w:szCs w:val="22"/>
              </w:rPr>
              <w:t>Pykinimas</w:t>
            </w:r>
          </w:p>
        </w:tc>
        <w:tc>
          <w:tcPr>
            <w:tcW w:w="1154" w:type="pct"/>
          </w:tcPr>
          <w:p w:rsidR="009B7E2A" w:rsidRPr="00B461CE" w:rsidRDefault="009B7E2A" w:rsidP="00C5042B">
            <w:pPr>
              <w:keepNext/>
              <w:keepLines/>
              <w:suppressAutoHyphens/>
              <w:spacing w:line="260" w:lineRule="exact"/>
            </w:pPr>
            <w:r w:rsidRPr="00B461CE">
              <w:rPr>
                <w:sz w:val="22"/>
                <w:szCs w:val="22"/>
              </w:rPr>
              <w:t>Vėmimas</w:t>
            </w:r>
          </w:p>
        </w:tc>
        <w:tc>
          <w:tcPr>
            <w:tcW w:w="961" w:type="pct"/>
          </w:tcPr>
          <w:p w:rsidR="009B7E2A" w:rsidRPr="00B461CE" w:rsidRDefault="009B7E2A" w:rsidP="00C5042B">
            <w:pPr>
              <w:keepNext/>
              <w:keepLines/>
              <w:suppressAutoHyphens/>
              <w:spacing w:line="260" w:lineRule="exact"/>
            </w:pPr>
          </w:p>
        </w:tc>
      </w:tr>
      <w:tr w:rsidR="009B7E2A" w:rsidRPr="00B461CE" w:rsidTr="00C5042B">
        <w:tc>
          <w:tcPr>
            <w:tcW w:w="1464" w:type="pct"/>
            <w:tcBorders>
              <w:top w:val="nil"/>
            </w:tcBorders>
          </w:tcPr>
          <w:p w:rsidR="009B7E2A" w:rsidRPr="00B461CE" w:rsidRDefault="009B7E2A" w:rsidP="00C5042B">
            <w:pPr>
              <w:keepNext/>
              <w:keepLines/>
              <w:suppressAutoHyphens/>
              <w:spacing w:line="260" w:lineRule="exact"/>
            </w:pPr>
            <w:r w:rsidRPr="00B461CE">
              <w:rPr>
                <w:sz w:val="22"/>
                <w:szCs w:val="22"/>
              </w:rPr>
              <w:t>Odos ir poodinio audinio sutrikimai</w:t>
            </w:r>
          </w:p>
        </w:tc>
        <w:tc>
          <w:tcPr>
            <w:tcW w:w="1421" w:type="pct"/>
            <w:tcBorders>
              <w:top w:val="nil"/>
            </w:tcBorders>
          </w:tcPr>
          <w:p w:rsidR="009B7E2A" w:rsidRPr="00B461CE" w:rsidRDefault="009B7E2A" w:rsidP="00C5042B">
            <w:pPr>
              <w:keepNext/>
              <w:keepLines/>
              <w:suppressAutoHyphens/>
              <w:spacing w:line="260" w:lineRule="exact"/>
            </w:pPr>
            <w:r w:rsidRPr="00B461CE">
              <w:rPr>
                <w:sz w:val="22"/>
                <w:szCs w:val="22"/>
              </w:rPr>
              <w:t>Spuogai</w:t>
            </w:r>
          </w:p>
        </w:tc>
        <w:tc>
          <w:tcPr>
            <w:tcW w:w="1154" w:type="pct"/>
            <w:tcBorders>
              <w:top w:val="nil"/>
            </w:tcBorders>
          </w:tcPr>
          <w:p w:rsidR="009B7E2A" w:rsidRPr="00B461CE" w:rsidRDefault="009B7E2A" w:rsidP="00C5042B">
            <w:pPr>
              <w:keepNext/>
              <w:keepLines/>
              <w:suppressAutoHyphens/>
              <w:spacing w:line="260" w:lineRule="exact"/>
            </w:pPr>
            <w:r w:rsidRPr="00B461CE">
              <w:rPr>
                <w:sz w:val="22"/>
                <w:szCs w:val="22"/>
              </w:rPr>
              <w:t>Alopecija</w:t>
            </w:r>
          </w:p>
        </w:tc>
        <w:tc>
          <w:tcPr>
            <w:tcW w:w="961" w:type="pct"/>
            <w:tcBorders>
              <w:top w:val="nil"/>
            </w:tcBorders>
          </w:tcPr>
          <w:p w:rsidR="009B7E2A" w:rsidRPr="00B461CE" w:rsidRDefault="009B7E2A" w:rsidP="00C5042B">
            <w:pPr>
              <w:keepNext/>
              <w:keepLines/>
              <w:suppressAutoHyphens/>
              <w:spacing w:line="260" w:lineRule="exact"/>
            </w:pPr>
            <w:r w:rsidRPr="00B461CE">
              <w:rPr>
                <w:sz w:val="22"/>
                <w:szCs w:val="22"/>
              </w:rPr>
              <w:t>Išbėrimas, dilgėlinė, mazginė eritema</w:t>
            </w:r>
          </w:p>
        </w:tc>
      </w:tr>
      <w:tr w:rsidR="009B7E2A" w:rsidRPr="00B461CE" w:rsidTr="00C5042B">
        <w:tc>
          <w:tcPr>
            <w:tcW w:w="1464" w:type="pct"/>
          </w:tcPr>
          <w:p w:rsidR="009B7E2A" w:rsidRPr="00B461CE" w:rsidRDefault="009B7E2A" w:rsidP="00C5042B">
            <w:pPr>
              <w:keepNext/>
              <w:keepLines/>
              <w:suppressAutoHyphens/>
              <w:spacing w:line="260" w:lineRule="exact"/>
            </w:pPr>
            <w:r w:rsidRPr="00B461CE">
              <w:rPr>
                <w:sz w:val="22"/>
                <w:szCs w:val="22"/>
              </w:rPr>
              <w:t>Lytinės sistemos ir krūties sutrikimai</w:t>
            </w:r>
          </w:p>
        </w:tc>
        <w:tc>
          <w:tcPr>
            <w:tcW w:w="1421" w:type="pct"/>
          </w:tcPr>
          <w:p w:rsidR="009B7E2A" w:rsidRPr="00B461CE" w:rsidRDefault="009B7E2A" w:rsidP="00C5042B">
            <w:pPr>
              <w:keepNext/>
              <w:keepLines/>
              <w:suppressAutoHyphens/>
              <w:spacing w:line="260" w:lineRule="exact"/>
            </w:pPr>
            <w:r w:rsidRPr="00B461CE">
              <w:rPr>
                <w:sz w:val="22"/>
                <w:szCs w:val="22"/>
              </w:rPr>
              <w:t>Krūtų skausmas, nereguliarios menstruacijos, amenorėja</w:t>
            </w:r>
          </w:p>
        </w:tc>
        <w:tc>
          <w:tcPr>
            <w:tcW w:w="1154" w:type="pct"/>
          </w:tcPr>
          <w:p w:rsidR="009B7E2A" w:rsidRPr="00B461CE" w:rsidRDefault="009B7E2A" w:rsidP="00C5042B">
            <w:pPr>
              <w:keepNext/>
              <w:keepLines/>
              <w:suppressAutoHyphens/>
              <w:spacing w:line="260" w:lineRule="exact"/>
            </w:pPr>
            <w:r w:rsidRPr="00B461CE">
              <w:rPr>
                <w:sz w:val="22"/>
                <w:szCs w:val="22"/>
              </w:rPr>
              <w:t>Dismenorėja, kiaušidės cista</w:t>
            </w:r>
          </w:p>
        </w:tc>
        <w:tc>
          <w:tcPr>
            <w:tcW w:w="961" w:type="pct"/>
          </w:tcPr>
          <w:p w:rsidR="009B7E2A" w:rsidRPr="00B461CE" w:rsidRDefault="009B7E2A" w:rsidP="00C5042B">
            <w:pPr>
              <w:keepNext/>
              <w:keepLines/>
              <w:suppressAutoHyphens/>
              <w:spacing w:line="260" w:lineRule="exact"/>
            </w:pPr>
          </w:p>
        </w:tc>
      </w:tr>
      <w:tr w:rsidR="009B7E2A" w:rsidRPr="00B461CE" w:rsidTr="00C5042B">
        <w:tc>
          <w:tcPr>
            <w:tcW w:w="1464" w:type="pct"/>
            <w:tcBorders>
              <w:top w:val="nil"/>
            </w:tcBorders>
          </w:tcPr>
          <w:p w:rsidR="009B7E2A" w:rsidRPr="00B461CE" w:rsidRDefault="009B7E2A" w:rsidP="00C5042B">
            <w:pPr>
              <w:keepNext/>
              <w:keepLines/>
              <w:suppressAutoHyphens/>
              <w:spacing w:line="260" w:lineRule="exact"/>
            </w:pPr>
            <w:r w:rsidRPr="00B461CE">
              <w:rPr>
                <w:sz w:val="22"/>
                <w:szCs w:val="22"/>
              </w:rPr>
              <w:t>Bendrieji sutrikimai ir vartojimo vietos pažeidimai</w:t>
            </w:r>
          </w:p>
        </w:tc>
        <w:tc>
          <w:tcPr>
            <w:tcW w:w="1421" w:type="pct"/>
            <w:tcBorders>
              <w:top w:val="nil"/>
            </w:tcBorders>
          </w:tcPr>
          <w:p w:rsidR="009B7E2A" w:rsidRPr="00B461CE" w:rsidRDefault="009B7E2A" w:rsidP="00C5042B">
            <w:pPr>
              <w:keepNext/>
              <w:keepLines/>
              <w:suppressAutoHyphens/>
              <w:spacing w:line="260" w:lineRule="exact"/>
            </w:pPr>
          </w:p>
        </w:tc>
        <w:tc>
          <w:tcPr>
            <w:tcW w:w="1154" w:type="pct"/>
            <w:tcBorders>
              <w:top w:val="nil"/>
            </w:tcBorders>
          </w:tcPr>
          <w:p w:rsidR="009B7E2A" w:rsidRPr="00B461CE" w:rsidRDefault="009B7E2A" w:rsidP="00C5042B">
            <w:pPr>
              <w:keepNext/>
              <w:keepLines/>
              <w:suppressAutoHyphens/>
              <w:spacing w:line="260" w:lineRule="exact"/>
            </w:pPr>
            <w:r w:rsidRPr="00B461CE">
              <w:rPr>
                <w:sz w:val="22"/>
                <w:szCs w:val="22"/>
              </w:rPr>
              <w:t>Nuovargis</w:t>
            </w:r>
          </w:p>
        </w:tc>
        <w:tc>
          <w:tcPr>
            <w:tcW w:w="961" w:type="pct"/>
            <w:tcBorders>
              <w:top w:val="nil"/>
            </w:tcBorders>
          </w:tcPr>
          <w:p w:rsidR="009B7E2A" w:rsidRPr="00B461CE" w:rsidRDefault="009B7E2A" w:rsidP="00C5042B">
            <w:pPr>
              <w:keepNext/>
              <w:keepLines/>
              <w:suppressAutoHyphens/>
              <w:spacing w:line="260" w:lineRule="exact"/>
            </w:pPr>
          </w:p>
        </w:tc>
      </w:tr>
      <w:tr w:rsidR="009B7E2A" w:rsidRPr="00B461CE" w:rsidTr="00C5042B">
        <w:tc>
          <w:tcPr>
            <w:tcW w:w="1464" w:type="pct"/>
            <w:tcBorders>
              <w:top w:val="nil"/>
            </w:tcBorders>
          </w:tcPr>
          <w:p w:rsidR="009B7E2A" w:rsidRPr="00B461CE" w:rsidRDefault="009B7E2A" w:rsidP="00C5042B">
            <w:pPr>
              <w:keepNext/>
              <w:keepLines/>
              <w:suppressAutoHyphens/>
              <w:spacing w:line="260" w:lineRule="exact"/>
            </w:pPr>
            <w:r w:rsidRPr="00B461CE">
              <w:rPr>
                <w:sz w:val="22"/>
                <w:szCs w:val="22"/>
              </w:rPr>
              <w:t>Tyrimai</w:t>
            </w:r>
          </w:p>
        </w:tc>
        <w:tc>
          <w:tcPr>
            <w:tcW w:w="1421" w:type="pct"/>
            <w:tcBorders>
              <w:top w:val="nil"/>
            </w:tcBorders>
          </w:tcPr>
          <w:p w:rsidR="009B7E2A" w:rsidRPr="00B461CE" w:rsidRDefault="009B7E2A" w:rsidP="00C5042B">
            <w:pPr>
              <w:keepNext/>
              <w:keepLines/>
              <w:suppressAutoHyphens/>
              <w:spacing w:line="260" w:lineRule="exact"/>
            </w:pPr>
            <w:r w:rsidRPr="00B461CE">
              <w:rPr>
                <w:sz w:val="22"/>
                <w:szCs w:val="22"/>
              </w:rPr>
              <w:t>Kūno masės padidėjimas</w:t>
            </w:r>
          </w:p>
        </w:tc>
        <w:tc>
          <w:tcPr>
            <w:tcW w:w="1154" w:type="pct"/>
            <w:tcBorders>
              <w:top w:val="nil"/>
            </w:tcBorders>
          </w:tcPr>
          <w:p w:rsidR="009B7E2A" w:rsidRPr="00B461CE" w:rsidRDefault="009B7E2A" w:rsidP="00C5042B">
            <w:pPr>
              <w:keepNext/>
              <w:keepLines/>
              <w:suppressAutoHyphens/>
              <w:spacing w:line="260" w:lineRule="exact"/>
            </w:pPr>
          </w:p>
        </w:tc>
        <w:tc>
          <w:tcPr>
            <w:tcW w:w="961" w:type="pct"/>
            <w:tcBorders>
              <w:top w:val="nil"/>
            </w:tcBorders>
          </w:tcPr>
          <w:p w:rsidR="009B7E2A" w:rsidRPr="00B461CE" w:rsidRDefault="009B7E2A" w:rsidP="00C5042B">
            <w:pPr>
              <w:keepNext/>
              <w:keepLines/>
              <w:suppressAutoHyphens/>
              <w:spacing w:line="260" w:lineRule="exact"/>
            </w:pPr>
          </w:p>
        </w:tc>
      </w:tr>
    </w:tbl>
    <w:p w:rsidR="009B7E2A" w:rsidRPr="00B461CE" w:rsidRDefault="009B7E2A" w:rsidP="009B7E2A">
      <w:pPr>
        <w:pStyle w:val="Indent1"/>
        <w:spacing w:after="0" w:line="240" w:lineRule="auto"/>
        <w:ind w:left="0"/>
        <w:rPr>
          <w:rFonts w:ascii="Times New Roman" w:hAnsi="Times New Roman"/>
          <w:szCs w:val="22"/>
          <w:lang w:val="lt-LT"/>
        </w:rPr>
      </w:pPr>
      <w:r w:rsidRPr="00B461CE">
        <w:rPr>
          <w:rFonts w:ascii="Times New Roman" w:hAnsi="Times New Roman"/>
          <w:szCs w:val="22"/>
          <w:lang w:val="lt-LT"/>
        </w:rPr>
        <w:t>* MedDRA versija 9.0</w:t>
      </w: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r w:rsidRPr="00B461CE">
        <w:rPr>
          <w:color w:val="000000"/>
          <w:spacing w:val="-3"/>
          <w:sz w:val="22"/>
          <w:szCs w:val="22"/>
        </w:rPr>
        <w:t xml:space="preserve">Vartojant Cerazette, gali atsirasti išskyrų iš krūtų. Yra pastebėta retų ektopinio nėštumo atvejų (žr. 4.4 skyrių). </w:t>
      </w:r>
      <w:r w:rsidRPr="00B461CE">
        <w:rPr>
          <w:sz w:val="22"/>
          <w:szCs w:val="22"/>
        </w:rPr>
        <w:t xml:space="preserve">Be to, gali pasireikšti arba </w:t>
      </w:r>
      <w:r w:rsidRPr="00B461CE">
        <w:rPr>
          <w:color w:val="000000"/>
          <w:spacing w:val="-3"/>
          <w:sz w:val="22"/>
          <w:szCs w:val="22"/>
        </w:rPr>
        <w:t>pasunkėti angioedema ir (arba) gali pasunkėti įgimta angioedema (žr. 4.4 skyrių).</w:t>
      </w:r>
    </w:p>
    <w:p w:rsidR="009B7E2A" w:rsidRPr="00B461CE" w:rsidRDefault="009B7E2A" w:rsidP="009B7E2A">
      <w:pPr>
        <w:rPr>
          <w:color w:val="000000"/>
          <w:spacing w:val="-3"/>
          <w:sz w:val="22"/>
          <w:szCs w:val="22"/>
        </w:rPr>
      </w:pPr>
    </w:p>
    <w:p w:rsidR="009B7E2A" w:rsidRDefault="009B7E2A" w:rsidP="009B7E2A">
      <w:pPr>
        <w:rPr>
          <w:color w:val="000000"/>
          <w:spacing w:val="-3"/>
          <w:sz w:val="22"/>
          <w:szCs w:val="22"/>
        </w:rPr>
      </w:pPr>
      <w:r w:rsidRPr="00B461CE">
        <w:rPr>
          <w:color w:val="000000"/>
          <w:spacing w:val="-3"/>
          <w:sz w:val="22"/>
          <w:szCs w:val="22"/>
        </w:rPr>
        <w:t>(Sudėtinius) geriamuosius kontraceptikus vartojusioms moterims buvo pastebėta keletas (sunkių) nepageidaujamų poveikių. Tai venų tromboembolijos, arterijų tromboembolijos, nuo hormonų priklausomi navikai (t. y. kepenų navikai, krūties vėžys) ir rudmė, kai kurie iš jų yra plačiau aprašyti 4.4 skyriuje.</w:t>
      </w:r>
    </w:p>
    <w:p w:rsidR="009B7E2A" w:rsidRDefault="009B7E2A" w:rsidP="009B7E2A">
      <w:pPr>
        <w:rPr>
          <w:bCs/>
          <w:i/>
        </w:rPr>
      </w:pPr>
    </w:p>
    <w:p w:rsidR="009B7E2A" w:rsidRPr="005F6235" w:rsidRDefault="009B7E2A" w:rsidP="009B7E2A">
      <w:pPr>
        <w:rPr>
          <w:bCs/>
          <w:sz w:val="22"/>
          <w:szCs w:val="22"/>
        </w:rPr>
      </w:pPr>
      <w:r w:rsidRPr="005F6235">
        <w:rPr>
          <w:bCs/>
          <w:sz w:val="22"/>
          <w:szCs w:val="22"/>
        </w:rPr>
        <w:t>Dėl kitų vaistinių preparatų (fermentų induktorių) sąveikos su hormoniniais kontraceptikais gali pasireikšti kraujavimas ne menstruacijų metu ir (arba) kontracepcijos neveiksmingumas (žr. 4.5 skyrių).</w:t>
      </w:r>
    </w:p>
    <w:p w:rsidR="009B7E2A" w:rsidRPr="00B461CE" w:rsidRDefault="009B7E2A" w:rsidP="009B7E2A">
      <w:pPr>
        <w:rPr>
          <w:sz w:val="22"/>
          <w:szCs w:val="22"/>
          <w:u w:val="single"/>
        </w:rPr>
      </w:pPr>
    </w:p>
    <w:p w:rsidR="009B7E2A" w:rsidRPr="00CD6BF3" w:rsidRDefault="00700635" w:rsidP="009B7E2A">
      <w:pPr>
        <w:autoSpaceDE w:val="0"/>
        <w:autoSpaceDN w:val="0"/>
        <w:adjustRightInd w:val="0"/>
        <w:jc w:val="both"/>
        <w:rPr>
          <w:sz w:val="22"/>
          <w:szCs w:val="22"/>
          <w:u w:val="single"/>
        </w:rPr>
      </w:pPr>
      <w:r w:rsidRPr="00CD6BF3">
        <w:rPr>
          <w:noProof/>
          <w:sz w:val="22"/>
          <w:szCs w:val="22"/>
          <w:u w:val="single"/>
        </w:rPr>
        <w:t>Pranešimas apie įtariamas nepageidaujamas reakcijas</w:t>
      </w:r>
    </w:p>
    <w:p w:rsidR="009B7E2A" w:rsidRPr="005F6235" w:rsidRDefault="009B7E2A" w:rsidP="009B7E2A">
      <w:pPr>
        <w:rPr>
          <w:color w:val="000000"/>
          <w:spacing w:val="-3"/>
          <w:sz w:val="22"/>
          <w:szCs w:val="22"/>
        </w:rPr>
      </w:pPr>
      <w:r w:rsidRPr="005F6235">
        <w:rPr>
          <w:color w:val="000000"/>
          <w:spacing w:val="-3"/>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5F6235">
          <w:rPr>
            <w:color w:val="000000"/>
            <w:spacing w:val="-3"/>
            <w:sz w:val="22"/>
            <w:szCs w:val="22"/>
          </w:rPr>
          <w:t>www.vvkt.lt</w:t>
        </w:r>
      </w:hyperlink>
      <w:r w:rsidRPr="005F6235">
        <w:rPr>
          <w:color w:val="000000"/>
          <w:spacing w:val="-3"/>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5F6235">
          <w:rPr>
            <w:color w:val="000000"/>
            <w:spacing w:val="-3"/>
            <w:sz w:val="22"/>
            <w:szCs w:val="22"/>
          </w:rPr>
          <w:t>NepageidaujamaR@vvkt.lt</w:t>
        </w:r>
      </w:hyperlink>
      <w:r w:rsidRPr="005F6235">
        <w:rPr>
          <w:color w:val="000000"/>
          <w:spacing w:val="-3"/>
          <w:sz w:val="22"/>
          <w:szCs w:val="22"/>
        </w:rPr>
        <w:t>), per interneto svetainę (adresu http://www.vvkt.lt).</w:t>
      </w:r>
    </w:p>
    <w:p w:rsidR="009B7E2A" w:rsidRPr="00B461CE" w:rsidRDefault="009B7E2A" w:rsidP="009B7E2A">
      <w:pPr>
        <w:rPr>
          <w:sz w:val="22"/>
          <w:szCs w:val="22"/>
        </w:rPr>
      </w:pPr>
    </w:p>
    <w:p w:rsidR="009B7E2A" w:rsidRPr="00B461CE" w:rsidRDefault="009B7E2A" w:rsidP="009B7E2A">
      <w:pPr>
        <w:ind w:left="567" w:hanging="567"/>
        <w:rPr>
          <w:b/>
          <w:bCs/>
          <w:sz w:val="22"/>
          <w:szCs w:val="22"/>
        </w:rPr>
      </w:pPr>
      <w:r w:rsidRPr="00B461CE">
        <w:rPr>
          <w:b/>
          <w:bCs/>
          <w:sz w:val="22"/>
          <w:szCs w:val="22"/>
        </w:rPr>
        <w:t>4.9</w:t>
      </w:r>
      <w:r w:rsidRPr="00B461CE">
        <w:rPr>
          <w:b/>
          <w:bCs/>
          <w:sz w:val="22"/>
          <w:szCs w:val="22"/>
        </w:rPr>
        <w:tab/>
        <w:t>Perdozavimas</w:t>
      </w:r>
    </w:p>
    <w:p w:rsidR="009B7E2A" w:rsidRPr="00B461CE" w:rsidRDefault="009B7E2A" w:rsidP="009B7E2A">
      <w:pPr>
        <w:rPr>
          <w:sz w:val="22"/>
          <w:szCs w:val="22"/>
        </w:rPr>
      </w:pPr>
    </w:p>
    <w:p w:rsidR="009B7E2A" w:rsidRPr="00B461CE" w:rsidRDefault="009B7E2A" w:rsidP="009B7E2A">
      <w:pPr>
        <w:rPr>
          <w:color w:val="000000"/>
          <w:spacing w:val="-3"/>
          <w:sz w:val="22"/>
          <w:szCs w:val="22"/>
        </w:rPr>
      </w:pPr>
      <w:r w:rsidRPr="00B461CE">
        <w:rPr>
          <w:color w:val="000000"/>
          <w:spacing w:val="-3"/>
          <w:sz w:val="22"/>
          <w:szCs w:val="22"/>
        </w:rPr>
        <w:t>Perdozavus vaist</w:t>
      </w:r>
      <w:r w:rsidR="00CE2906">
        <w:rPr>
          <w:color w:val="000000"/>
          <w:spacing w:val="-3"/>
          <w:sz w:val="22"/>
          <w:szCs w:val="22"/>
        </w:rPr>
        <w:t>inio preparato</w:t>
      </w:r>
      <w:r w:rsidRPr="00B461CE">
        <w:rPr>
          <w:color w:val="000000"/>
          <w:spacing w:val="-3"/>
          <w:sz w:val="22"/>
          <w:szCs w:val="22"/>
        </w:rPr>
        <w:t>, sunkių komplikacijų nepastebėta. Gali atsirasti pykinimas, vėmimas, jaunoms merginoms - negausiai pakraujuoti iš makšties. Priešnuodžių nėra, taikomas simptominis gydymas.</w:t>
      </w:r>
    </w:p>
    <w:p w:rsidR="009B7E2A" w:rsidRPr="00B461CE" w:rsidRDefault="009B7E2A" w:rsidP="009B7E2A">
      <w:pPr>
        <w:rPr>
          <w:color w:val="000000"/>
          <w:spacing w:val="-3"/>
          <w:sz w:val="22"/>
          <w:szCs w:val="22"/>
          <w:u w:val="single"/>
        </w:rPr>
      </w:pPr>
    </w:p>
    <w:p w:rsidR="009B7E2A" w:rsidRPr="00B461CE" w:rsidRDefault="009B7E2A" w:rsidP="009B7E2A">
      <w:pPr>
        <w:rPr>
          <w:color w:val="000000"/>
          <w:spacing w:val="-3"/>
          <w:sz w:val="22"/>
          <w:szCs w:val="22"/>
          <w:u w:val="single"/>
        </w:rPr>
      </w:pPr>
    </w:p>
    <w:p w:rsidR="009B7E2A" w:rsidRPr="00B461CE" w:rsidRDefault="009B7E2A" w:rsidP="009B7E2A">
      <w:pPr>
        <w:keepNext/>
        <w:keepLines/>
        <w:ind w:left="567" w:hanging="567"/>
        <w:rPr>
          <w:b/>
          <w:bCs/>
          <w:sz w:val="22"/>
          <w:szCs w:val="22"/>
        </w:rPr>
      </w:pPr>
      <w:r w:rsidRPr="00B461CE">
        <w:rPr>
          <w:b/>
          <w:bCs/>
          <w:sz w:val="22"/>
          <w:szCs w:val="22"/>
        </w:rPr>
        <w:t>5.</w:t>
      </w:r>
      <w:r w:rsidRPr="00B461CE">
        <w:rPr>
          <w:b/>
          <w:bCs/>
          <w:sz w:val="22"/>
          <w:szCs w:val="22"/>
        </w:rPr>
        <w:tab/>
        <w:t>FARMAKOLOGINĖS SAVYBĖS</w:t>
      </w:r>
    </w:p>
    <w:p w:rsidR="009B7E2A" w:rsidRPr="00B461CE" w:rsidRDefault="009B7E2A" w:rsidP="009B7E2A">
      <w:pPr>
        <w:keepNext/>
        <w:keepLines/>
        <w:rPr>
          <w:b/>
          <w:bCs/>
          <w:sz w:val="22"/>
          <w:szCs w:val="22"/>
        </w:rPr>
      </w:pPr>
    </w:p>
    <w:p w:rsidR="009B7E2A" w:rsidRPr="00B461CE" w:rsidRDefault="009B7E2A" w:rsidP="009B7E2A">
      <w:pPr>
        <w:keepNext/>
        <w:keepLines/>
        <w:ind w:left="567" w:hanging="567"/>
        <w:rPr>
          <w:b/>
          <w:bCs/>
          <w:sz w:val="22"/>
          <w:szCs w:val="22"/>
        </w:rPr>
      </w:pPr>
      <w:r w:rsidRPr="00B461CE">
        <w:rPr>
          <w:b/>
          <w:bCs/>
          <w:sz w:val="22"/>
          <w:szCs w:val="22"/>
        </w:rPr>
        <w:t>5.1</w:t>
      </w:r>
      <w:r w:rsidRPr="00B461CE">
        <w:rPr>
          <w:b/>
          <w:bCs/>
          <w:sz w:val="22"/>
          <w:szCs w:val="22"/>
        </w:rPr>
        <w:tab/>
        <w:t>Farmakodinaminės savybės</w:t>
      </w:r>
    </w:p>
    <w:p w:rsidR="009B7E2A" w:rsidRPr="00B461CE" w:rsidRDefault="009B7E2A" w:rsidP="009B7E2A">
      <w:pPr>
        <w:pStyle w:val="Paragraph"/>
        <w:keepNext/>
        <w:keepLines/>
        <w:spacing w:after="0" w:line="240" w:lineRule="auto"/>
        <w:rPr>
          <w:rFonts w:ascii="Times New Roman" w:hAnsi="Times New Roman"/>
          <w:szCs w:val="22"/>
          <w:lang w:val="lt-LT"/>
        </w:rPr>
      </w:pPr>
    </w:p>
    <w:p w:rsidR="009B7E2A" w:rsidRPr="00B461CE" w:rsidRDefault="009B7E2A" w:rsidP="009B7E2A">
      <w:pPr>
        <w:pStyle w:val="Paragraph"/>
        <w:keepNext/>
        <w:keepLines/>
        <w:spacing w:after="0" w:line="240" w:lineRule="auto"/>
        <w:rPr>
          <w:rFonts w:ascii="Times New Roman" w:hAnsi="Times New Roman"/>
          <w:szCs w:val="22"/>
          <w:lang w:val="lt-LT"/>
        </w:rPr>
      </w:pPr>
      <w:r w:rsidRPr="00B461CE">
        <w:rPr>
          <w:rFonts w:ascii="Times New Roman" w:hAnsi="Times New Roman"/>
          <w:szCs w:val="22"/>
          <w:lang w:val="lt-LT"/>
        </w:rPr>
        <w:t>Farmakoterapinė grupė – sisteminio veikimo hormoniniai kontraceptikai. ATC kodas - G03AC09.</w:t>
      </w:r>
    </w:p>
    <w:p w:rsidR="009B7E2A" w:rsidRPr="00B461CE" w:rsidRDefault="009B7E2A" w:rsidP="009B7E2A">
      <w:pPr>
        <w:rPr>
          <w:sz w:val="22"/>
          <w:szCs w:val="22"/>
        </w:rPr>
      </w:pPr>
    </w:p>
    <w:p w:rsidR="009B7E2A" w:rsidRPr="005F6235" w:rsidRDefault="009B7E2A" w:rsidP="009B7E2A">
      <w:pPr>
        <w:rPr>
          <w:iCs/>
          <w:sz w:val="22"/>
          <w:szCs w:val="22"/>
          <w:u w:val="single"/>
        </w:rPr>
      </w:pPr>
      <w:r w:rsidRPr="005F6235">
        <w:rPr>
          <w:iCs/>
          <w:sz w:val="22"/>
          <w:szCs w:val="22"/>
          <w:u w:val="single"/>
        </w:rPr>
        <w:t>Veikimo mechanizmas</w:t>
      </w:r>
    </w:p>
    <w:p w:rsidR="009B7E2A" w:rsidRPr="00B461CE" w:rsidRDefault="009B7E2A" w:rsidP="009B7E2A">
      <w:pPr>
        <w:rPr>
          <w:sz w:val="22"/>
          <w:szCs w:val="22"/>
        </w:rPr>
      </w:pPr>
      <w:r w:rsidRPr="00B461CE">
        <w:rPr>
          <w:iCs/>
          <w:sz w:val="22"/>
          <w:szCs w:val="22"/>
        </w:rPr>
        <w:t xml:space="preserve">Cerazette yra tik </w:t>
      </w:r>
      <w:r w:rsidRPr="00184906">
        <w:rPr>
          <w:iCs/>
          <w:sz w:val="22"/>
          <w:szCs w:val="22"/>
        </w:rPr>
        <w:t>progestageno turinti tabletė, kurios sudėtyje yra progestageno dezogestrelio. Cerazette, kaip ir kitos tik progestageno turinčios tabletės, ypač tinka žindyvėms arba moterims, kurios negali ar nenori vartoti estrogenų. Skirtingai nuo tradicinių tik progestageno</w:t>
      </w:r>
      <w:r w:rsidRPr="00B461CE">
        <w:rPr>
          <w:iCs/>
          <w:sz w:val="22"/>
          <w:szCs w:val="22"/>
        </w:rPr>
        <w:t xml:space="preserve"> turinčių tablečių, Cerazette kontraceptinis poveikis užtikrinamas</w:t>
      </w:r>
      <w:r w:rsidRPr="00B461CE">
        <w:rPr>
          <w:sz w:val="22"/>
          <w:szCs w:val="22"/>
        </w:rPr>
        <w:t xml:space="preserve"> dėl </w:t>
      </w:r>
      <w:r w:rsidRPr="00B461CE">
        <w:rPr>
          <w:iCs/>
          <w:sz w:val="22"/>
          <w:szCs w:val="22"/>
        </w:rPr>
        <w:t>ovuliacijos slopinimo. B</w:t>
      </w:r>
      <w:r w:rsidRPr="00B461CE">
        <w:rPr>
          <w:sz w:val="22"/>
          <w:szCs w:val="22"/>
        </w:rPr>
        <w:t>e to, jis tirština gimdos kaklelio gleives.</w:t>
      </w:r>
    </w:p>
    <w:p w:rsidR="009B7E2A" w:rsidRPr="00B461CE" w:rsidRDefault="009B7E2A" w:rsidP="009B7E2A">
      <w:pPr>
        <w:rPr>
          <w:sz w:val="22"/>
          <w:szCs w:val="22"/>
        </w:rPr>
      </w:pPr>
    </w:p>
    <w:p w:rsidR="009B7E2A" w:rsidRPr="005F6235" w:rsidRDefault="009B7E2A" w:rsidP="009B7E2A">
      <w:pPr>
        <w:rPr>
          <w:sz w:val="22"/>
          <w:szCs w:val="22"/>
          <w:u w:val="single"/>
        </w:rPr>
      </w:pPr>
      <w:r w:rsidRPr="005F6235">
        <w:rPr>
          <w:sz w:val="22"/>
          <w:szCs w:val="22"/>
          <w:u w:val="single"/>
        </w:rPr>
        <w:t>Klinikinis veiksmingumas ir saugumas</w:t>
      </w:r>
    </w:p>
    <w:p w:rsidR="009B7E2A" w:rsidRPr="00B461CE" w:rsidRDefault="009B7E2A" w:rsidP="009B7E2A">
      <w:pPr>
        <w:rPr>
          <w:sz w:val="22"/>
          <w:szCs w:val="22"/>
        </w:rPr>
      </w:pPr>
      <w:r w:rsidRPr="00B461CE">
        <w:rPr>
          <w:sz w:val="22"/>
          <w:szCs w:val="22"/>
        </w:rPr>
        <w:t>Atlikus 2 ciklų tyrimą, o ovuliaciją apibrėžus 5 paras iš eilės nustatoma</w:t>
      </w:r>
      <w:r>
        <w:rPr>
          <w:sz w:val="22"/>
          <w:szCs w:val="22"/>
        </w:rPr>
        <w:t xml:space="preserve"> </w:t>
      </w:r>
      <w:r w:rsidRPr="00B461CE">
        <w:rPr>
          <w:sz w:val="22"/>
          <w:szCs w:val="22"/>
        </w:rPr>
        <w:t>didesne kaip 16 nmol/l progesterono koncentracija, ketintoje gydyti (angl. ITT (</w:t>
      </w:r>
      <w:r w:rsidRPr="00B461CE">
        <w:rPr>
          <w:i/>
          <w:iCs/>
          <w:sz w:val="22"/>
          <w:szCs w:val="22"/>
        </w:rPr>
        <w:t>intent- to- treat</w:t>
      </w:r>
      <w:r w:rsidRPr="00B461CE">
        <w:rPr>
          <w:sz w:val="22"/>
          <w:szCs w:val="22"/>
        </w:rPr>
        <w:t>)) grupėje (vartotojos ir metodo nesėkmės) ovuliacijos dažnis buvo 1 </w:t>
      </w:r>
      <w:r w:rsidRPr="00B461CE">
        <w:rPr>
          <w:sz w:val="22"/>
          <w:szCs w:val="22"/>
        </w:rPr>
        <w:sym w:font="Symbol" w:char="F025"/>
      </w:r>
      <w:r w:rsidRPr="00B461CE">
        <w:rPr>
          <w:sz w:val="22"/>
          <w:szCs w:val="22"/>
        </w:rPr>
        <w:t xml:space="preserve"> (1 iš 103; 95 </w:t>
      </w:r>
      <w:r w:rsidRPr="00B461CE">
        <w:rPr>
          <w:sz w:val="22"/>
          <w:szCs w:val="22"/>
        </w:rPr>
        <w:sym w:font="Symbol" w:char="F025"/>
      </w:r>
      <w:r w:rsidRPr="00B461CE">
        <w:rPr>
          <w:sz w:val="22"/>
          <w:szCs w:val="22"/>
        </w:rPr>
        <w:t xml:space="preserve"> pasikliautinasis intervalas 0,02 - 5,29 </w:t>
      </w:r>
      <w:r w:rsidRPr="00B461CE">
        <w:rPr>
          <w:sz w:val="22"/>
          <w:szCs w:val="22"/>
        </w:rPr>
        <w:sym w:font="Symbol" w:char="F025"/>
      </w:r>
      <w:r w:rsidRPr="00B461CE">
        <w:rPr>
          <w:sz w:val="22"/>
          <w:szCs w:val="22"/>
        </w:rPr>
        <w:t>). Ovuliacija buvo slopinama nuo pat pirmojo vartojimo ciklo. Šio tyrimo metu Cerazette vartojimą nutraukus po 2 ciklų (po 56 parų iš eilės), ovuliacija atsirado vidutiniškai po 17 parų (svyravo nuo 7 iki 30 parų).</w:t>
      </w:r>
    </w:p>
    <w:p w:rsidR="009B7E2A" w:rsidRPr="00B461CE" w:rsidRDefault="009B7E2A" w:rsidP="009B7E2A">
      <w:pPr>
        <w:rPr>
          <w:sz w:val="22"/>
          <w:szCs w:val="22"/>
        </w:rPr>
      </w:pPr>
    </w:p>
    <w:p w:rsidR="009B7E2A" w:rsidRPr="00B461CE" w:rsidRDefault="009B7E2A" w:rsidP="009B7E2A">
      <w:pPr>
        <w:rPr>
          <w:sz w:val="22"/>
          <w:szCs w:val="22"/>
        </w:rPr>
      </w:pPr>
      <w:r w:rsidRPr="00B461CE">
        <w:rPr>
          <w:sz w:val="22"/>
          <w:szCs w:val="22"/>
        </w:rPr>
        <w:t>Palyginamojo veiksmingumo tyrimo metu (kai tabletės buvo galima neišgerti ilgiausiai 3 valandas) nustatytas bendrasis Pearl indeksas ITT grupėje vartojant Cerazette buvo 0,4 (95 </w:t>
      </w:r>
      <w:r w:rsidRPr="00B461CE">
        <w:rPr>
          <w:sz w:val="22"/>
          <w:szCs w:val="22"/>
        </w:rPr>
        <w:sym w:font="Symbol" w:char="F025"/>
      </w:r>
      <w:r w:rsidRPr="00B461CE">
        <w:rPr>
          <w:sz w:val="22"/>
          <w:szCs w:val="22"/>
        </w:rPr>
        <w:t xml:space="preserve"> pasikliautinasis intervalas 0,09 - 1,20), lyginant su Pearl indeksu 1,6 vartojant 0,030 mg levonorgestrelio (95 </w:t>
      </w:r>
      <w:r w:rsidRPr="00B461CE">
        <w:rPr>
          <w:sz w:val="22"/>
          <w:szCs w:val="22"/>
        </w:rPr>
        <w:sym w:font="Symbol" w:char="F025"/>
      </w:r>
      <w:r w:rsidRPr="00B461CE">
        <w:rPr>
          <w:sz w:val="22"/>
          <w:szCs w:val="22"/>
        </w:rPr>
        <w:t xml:space="preserve"> pasikliautinasis intervalas 0,42 - 3,96).</w:t>
      </w:r>
    </w:p>
    <w:p w:rsidR="009B7E2A" w:rsidRPr="00B461CE" w:rsidRDefault="009B7E2A" w:rsidP="009B7E2A">
      <w:pPr>
        <w:rPr>
          <w:sz w:val="22"/>
          <w:szCs w:val="22"/>
        </w:rPr>
      </w:pPr>
    </w:p>
    <w:p w:rsidR="009B7E2A" w:rsidRPr="00B461CE" w:rsidRDefault="009B7E2A" w:rsidP="009B7E2A">
      <w:pPr>
        <w:rPr>
          <w:sz w:val="22"/>
          <w:szCs w:val="22"/>
        </w:rPr>
      </w:pPr>
      <w:r w:rsidRPr="00B461CE">
        <w:rPr>
          <w:sz w:val="22"/>
          <w:szCs w:val="22"/>
        </w:rPr>
        <w:t>Cerazette Pearl indeksas panašus į indeksą, nustatytą vartojant SGK bendrojoje SGK vartotojų populiacijoje.</w:t>
      </w:r>
    </w:p>
    <w:p w:rsidR="009B7E2A" w:rsidRPr="00B461CE" w:rsidRDefault="009B7E2A" w:rsidP="009B7E2A">
      <w:pPr>
        <w:rPr>
          <w:sz w:val="22"/>
          <w:szCs w:val="22"/>
        </w:rPr>
      </w:pPr>
    </w:p>
    <w:p w:rsidR="009B7E2A" w:rsidRPr="00B461CE" w:rsidRDefault="009B7E2A" w:rsidP="009B7E2A">
      <w:pPr>
        <w:rPr>
          <w:sz w:val="22"/>
          <w:szCs w:val="22"/>
        </w:rPr>
      </w:pPr>
      <w:r w:rsidRPr="00B461CE">
        <w:rPr>
          <w:sz w:val="22"/>
          <w:szCs w:val="22"/>
        </w:rPr>
        <w:t>Vartojant Cerazette estradiolio koncentracija sumažėja iki ankstyvosios folikulinės fazės lygio. Kliniškai reikšmingo poveikio angliavandenių ir lipidų metabolizmui ar hemostazei nestebėta.</w:t>
      </w:r>
    </w:p>
    <w:p w:rsidR="009B7E2A" w:rsidRPr="00B461CE" w:rsidRDefault="009B7E2A" w:rsidP="009B7E2A">
      <w:pPr>
        <w:rPr>
          <w:sz w:val="22"/>
          <w:szCs w:val="22"/>
        </w:rPr>
      </w:pPr>
    </w:p>
    <w:p w:rsidR="009B7E2A" w:rsidRPr="005F6235" w:rsidRDefault="009B7E2A" w:rsidP="009B7E2A">
      <w:pPr>
        <w:rPr>
          <w:sz w:val="22"/>
          <w:szCs w:val="22"/>
          <w:u w:val="single"/>
        </w:rPr>
      </w:pPr>
      <w:r w:rsidRPr="005F6235">
        <w:rPr>
          <w:sz w:val="22"/>
          <w:szCs w:val="22"/>
          <w:u w:val="single"/>
        </w:rPr>
        <w:t>Vaikų populiacija</w:t>
      </w:r>
    </w:p>
    <w:p w:rsidR="009B7E2A" w:rsidRPr="00B461CE" w:rsidRDefault="009B7E2A" w:rsidP="009B7E2A">
      <w:pPr>
        <w:rPr>
          <w:sz w:val="22"/>
          <w:szCs w:val="22"/>
        </w:rPr>
      </w:pPr>
      <w:r w:rsidRPr="00B461CE">
        <w:rPr>
          <w:sz w:val="22"/>
          <w:szCs w:val="22"/>
        </w:rPr>
        <w:t>Klinikinių duomenų apie veiksmingumą ir saugumą jaunesnėms kaip 18 metų paauglėms nėra.</w:t>
      </w:r>
    </w:p>
    <w:p w:rsidR="009B7E2A" w:rsidRPr="00B461CE" w:rsidRDefault="009B7E2A" w:rsidP="009B7E2A">
      <w:pPr>
        <w:rPr>
          <w:sz w:val="22"/>
          <w:szCs w:val="22"/>
        </w:rPr>
      </w:pPr>
    </w:p>
    <w:p w:rsidR="009B7E2A" w:rsidRPr="00B461CE" w:rsidRDefault="009B7E2A" w:rsidP="009B7E2A">
      <w:pPr>
        <w:keepNext/>
        <w:ind w:left="562" w:hanging="562"/>
        <w:rPr>
          <w:b/>
          <w:bCs/>
          <w:sz w:val="22"/>
          <w:szCs w:val="22"/>
        </w:rPr>
      </w:pPr>
      <w:r w:rsidRPr="00B461CE">
        <w:rPr>
          <w:b/>
          <w:bCs/>
          <w:sz w:val="22"/>
          <w:szCs w:val="22"/>
        </w:rPr>
        <w:t>5.2</w:t>
      </w:r>
      <w:r w:rsidRPr="00B461CE">
        <w:rPr>
          <w:b/>
          <w:bCs/>
          <w:sz w:val="22"/>
          <w:szCs w:val="22"/>
        </w:rPr>
        <w:tab/>
        <w:t>Farmakokinetinės savybės</w:t>
      </w:r>
    </w:p>
    <w:p w:rsidR="009B7E2A" w:rsidRPr="00B461CE" w:rsidRDefault="009B7E2A" w:rsidP="009B7E2A">
      <w:pPr>
        <w:keepNext/>
        <w:rPr>
          <w:sz w:val="22"/>
          <w:szCs w:val="22"/>
        </w:rPr>
      </w:pPr>
    </w:p>
    <w:p w:rsidR="009B7E2A" w:rsidRPr="00B461CE" w:rsidRDefault="009B7E2A" w:rsidP="009B7E2A">
      <w:pPr>
        <w:keepNext/>
        <w:rPr>
          <w:i/>
          <w:sz w:val="22"/>
          <w:szCs w:val="22"/>
        </w:rPr>
      </w:pPr>
      <w:r w:rsidRPr="00B461CE">
        <w:rPr>
          <w:i/>
          <w:sz w:val="22"/>
          <w:szCs w:val="22"/>
        </w:rPr>
        <w:t>Absorbcija</w:t>
      </w:r>
    </w:p>
    <w:p w:rsidR="009B7E2A" w:rsidRPr="00B461CE" w:rsidRDefault="009B7E2A" w:rsidP="009B7E2A">
      <w:pPr>
        <w:rPr>
          <w:sz w:val="22"/>
          <w:szCs w:val="22"/>
        </w:rPr>
      </w:pPr>
      <w:r w:rsidRPr="00B461CE">
        <w:rPr>
          <w:sz w:val="22"/>
          <w:szCs w:val="22"/>
        </w:rPr>
        <w:t>Išgėrus Cerazette, dezogestrelis (DSG) greitai rezorbuojamas ir virsta etonogestreliu (ENG). Po tabletės išgėrimo didžiausia koncentracija plazmoje susidaro vidutiniškai po 1,8 valandos, o biologinis ENG prieinamumas yra vidutiniškai 70 </w:t>
      </w:r>
      <w:r w:rsidRPr="00B461CE">
        <w:rPr>
          <w:sz w:val="22"/>
          <w:szCs w:val="22"/>
        </w:rPr>
        <w:sym w:font="Symbol" w:char="F025"/>
      </w:r>
      <w:r w:rsidRPr="00B461CE">
        <w:rPr>
          <w:sz w:val="22"/>
          <w:szCs w:val="22"/>
        </w:rPr>
        <w:t>.</w:t>
      </w:r>
    </w:p>
    <w:p w:rsidR="009B7E2A" w:rsidRPr="00B461CE" w:rsidRDefault="009B7E2A" w:rsidP="009B7E2A">
      <w:pPr>
        <w:rPr>
          <w:sz w:val="22"/>
          <w:szCs w:val="22"/>
        </w:rPr>
      </w:pPr>
    </w:p>
    <w:p w:rsidR="009B7E2A" w:rsidRPr="005F6235" w:rsidRDefault="009B7E2A" w:rsidP="009B7E2A">
      <w:pPr>
        <w:rPr>
          <w:i/>
          <w:iCs/>
          <w:sz w:val="22"/>
          <w:szCs w:val="22"/>
        </w:rPr>
      </w:pPr>
      <w:r w:rsidRPr="005F6235">
        <w:rPr>
          <w:i/>
          <w:iCs/>
          <w:sz w:val="22"/>
          <w:szCs w:val="22"/>
        </w:rPr>
        <w:t>Pasiskirstymas</w:t>
      </w:r>
    </w:p>
    <w:p w:rsidR="009B7E2A" w:rsidRPr="00B461CE" w:rsidRDefault="009B7E2A" w:rsidP="009B7E2A">
      <w:pPr>
        <w:rPr>
          <w:color w:val="000000"/>
          <w:sz w:val="22"/>
          <w:szCs w:val="22"/>
        </w:rPr>
      </w:pPr>
      <w:r w:rsidRPr="00B461CE">
        <w:rPr>
          <w:sz w:val="22"/>
          <w:szCs w:val="22"/>
        </w:rPr>
        <w:t>95,5-99 </w:t>
      </w:r>
      <w:r w:rsidRPr="00B461CE">
        <w:rPr>
          <w:color w:val="000000"/>
          <w:sz w:val="22"/>
          <w:szCs w:val="22"/>
        </w:rPr>
        <w:t xml:space="preserve">% </w:t>
      </w:r>
      <w:r w:rsidRPr="00B461CE">
        <w:rPr>
          <w:sz w:val="22"/>
          <w:szCs w:val="22"/>
        </w:rPr>
        <w:t>ENG jungiasi su serumo baltymais, daugiausia albuminais ir gerokai mažiau - su lytinius hormonus prijungiančiu globulinu (LHPG).</w:t>
      </w:r>
    </w:p>
    <w:p w:rsidR="009B7E2A" w:rsidRPr="00B461CE" w:rsidRDefault="009B7E2A" w:rsidP="009B7E2A">
      <w:pPr>
        <w:rPr>
          <w:color w:val="000000"/>
          <w:sz w:val="22"/>
          <w:szCs w:val="22"/>
        </w:rPr>
      </w:pPr>
    </w:p>
    <w:p w:rsidR="009B7E2A" w:rsidRPr="00B461CE" w:rsidRDefault="009B7E2A" w:rsidP="009B7E2A">
      <w:pPr>
        <w:rPr>
          <w:i/>
          <w:sz w:val="22"/>
          <w:szCs w:val="22"/>
        </w:rPr>
      </w:pPr>
      <w:r w:rsidRPr="00B461CE">
        <w:rPr>
          <w:i/>
          <w:sz w:val="22"/>
          <w:szCs w:val="22"/>
        </w:rPr>
        <w:t>Biotransformacija</w:t>
      </w:r>
    </w:p>
    <w:p w:rsidR="009B7E2A" w:rsidRPr="00B461CE" w:rsidRDefault="009B7E2A" w:rsidP="009B7E2A">
      <w:pPr>
        <w:rPr>
          <w:sz w:val="22"/>
          <w:szCs w:val="22"/>
        </w:rPr>
      </w:pPr>
      <w:r w:rsidRPr="00B461CE">
        <w:rPr>
          <w:sz w:val="22"/>
          <w:szCs w:val="22"/>
        </w:rPr>
        <w:t xml:space="preserve">Vykstant hidroksilinimui ir dehidrogenacijai, DSG metabolizuojamas į aktyvųjį </w:t>
      </w:r>
      <w:r w:rsidRPr="00FE0A47">
        <w:rPr>
          <w:sz w:val="22"/>
          <w:szCs w:val="22"/>
        </w:rPr>
        <w:t>metabolitą ENG</w:t>
      </w:r>
      <w:r>
        <w:rPr>
          <w:sz w:val="22"/>
          <w:szCs w:val="22"/>
        </w:rPr>
        <w:t>. ENG pirmiausiai</w:t>
      </w:r>
      <w:r w:rsidRPr="00FE0A47">
        <w:rPr>
          <w:sz w:val="22"/>
          <w:szCs w:val="22"/>
        </w:rPr>
        <w:t xml:space="preserve"> metabolizuojamas </w:t>
      </w:r>
      <w:r>
        <w:rPr>
          <w:sz w:val="22"/>
          <w:szCs w:val="22"/>
        </w:rPr>
        <w:t xml:space="preserve">citochromo P450 3A (CYP3A) izofermento,o po to sujungiamas su </w:t>
      </w:r>
      <w:r w:rsidRPr="00FE0A47">
        <w:rPr>
          <w:sz w:val="22"/>
          <w:szCs w:val="22"/>
        </w:rPr>
        <w:t>sulfato ir gliukuronido</w:t>
      </w:r>
      <w:r>
        <w:rPr>
          <w:sz w:val="22"/>
          <w:szCs w:val="22"/>
        </w:rPr>
        <w:t xml:space="preserve"> anijonais</w:t>
      </w:r>
      <w:r w:rsidRPr="00FE0A47">
        <w:rPr>
          <w:sz w:val="22"/>
          <w:szCs w:val="22"/>
        </w:rPr>
        <w:t>.</w:t>
      </w:r>
    </w:p>
    <w:p w:rsidR="009B7E2A" w:rsidRPr="00B461CE" w:rsidRDefault="009B7E2A" w:rsidP="009B7E2A">
      <w:pPr>
        <w:rPr>
          <w:sz w:val="22"/>
          <w:szCs w:val="22"/>
        </w:rPr>
      </w:pPr>
    </w:p>
    <w:p w:rsidR="009B7E2A" w:rsidRPr="00B461CE" w:rsidRDefault="009B7E2A" w:rsidP="009B7E2A">
      <w:pPr>
        <w:rPr>
          <w:i/>
          <w:sz w:val="22"/>
          <w:szCs w:val="22"/>
        </w:rPr>
      </w:pPr>
      <w:r w:rsidRPr="00B461CE">
        <w:rPr>
          <w:i/>
          <w:sz w:val="22"/>
          <w:szCs w:val="22"/>
        </w:rPr>
        <w:t>Eliminacija</w:t>
      </w:r>
    </w:p>
    <w:p w:rsidR="009B7E2A" w:rsidRPr="00B461CE" w:rsidRDefault="009B7E2A" w:rsidP="009B7E2A">
      <w:pPr>
        <w:rPr>
          <w:sz w:val="22"/>
          <w:szCs w:val="22"/>
        </w:rPr>
      </w:pPr>
      <w:r w:rsidRPr="00B461CE">
        <w:rPr>
          <w:sz w:val="22"/>
          <w:szCs w:val="22"/>
        </w:rPr>
        <w:t>ENG pusinės eliminacijos periodas trunka apie 30 valandų ir nepriklauso nuo to, ar dozė vienkartinė, ar kartotinė. Pastovi koncentracija plazmoje nusistovi po</w:t>
      </w:r>
      <w:r>
        <w:rPr>
          <w:sz w:val="22"/>
          <w:szCs w:val="22"/>
        </w:rPr>
        <w:t xml:space="preserve"> </w:t>
      </w:r>
      <w:r w:rsidRPr="00B461CE">
        <w:rPr>
          <w:sz w:val="22"/>
          <w:szCs w:val="22"/>
        </w:rPr>
        <w:t>4-5 parų. Į</w:t>
      </w:r>
      <w:r>
        <w:rPr>
          <w:sz w:val="22"/>
          <w:szCs w:val="22"/>
        </w:rPr>
        <w:t xml:space="preserve"> </w:t>
      </w:r>
      <w:r w:rsidRPr="00B461CE">
        <w:rPr>
          <w:sz w:val="22"/>
          <w:szCs w:val="22"/>
        </w:rPr>
        <w:t>veną sušvirkšto ENG serumo klirensas yra apie 10 litrų per valandą. ENG ir jo metabolitai laisvųjų steroidų ar jų junginių pavidalu išskiriami į šlapimą ir išmatas (santykiu 1,5:1). ENG patenka į motinos pieną (pieno/serumo santykis - 0,37 – 0,55). Remiantis šiais duomenimis bei apytikriai apskaič</w:t>
      </w:r>
      <w:r>
        <w:rPr>
          <w:sz w:val="22"/>
          <w:szCs w:val="22"/>
        </w:rPr>
        <w:t>i</w:t>
      </w:r>
      <w:r w:rsidRPr="00B461CE">
        <w:rPr>
          <w:sz w:val="22"/>
          <w:szCs w:val="22"/>
        </w:rPr>
        <w:t>uotu suvartojamo pieno kiekiu 150 ml/kg per parą, kūdikis gali nuryti 0,01- 0,05 mikrogramo/kg kūno svorio etonogestrelio per parą.</w:t>
      </w:r>
    </w:p>
    <w:p w:rsidR="009B7E2A" w:rsidRPr="00B461CE" w:rsidRDefault="009B7E2A" w:rsidP="009B7E2A">
      <w:pPr>
        <w:rPr>
          <w:sz w:val="22"/>
          <w:szCs w:val="22"/>
          <w:u w:val="single"/>
        </w:rPr>
      </w:pPr>
    </w:p>
    <w:p w:rsidR="009B7E2A" w:rsidRPr="005F6235" w:rsidRDefault="009B7E2A" w:rsidP="009B7E2A">
      <w:pPr>
        <w:rPr>
          <w:sz w:val="22"/>
          <w:szCs w:val="22"/>
          <w:u w:val="single"/>
        </w:rPr>
      </w:pPr>
      <w:r w:rsidRPr="005F6235">
        <w:rPr>
          <w:sz w:val="22"/>
          <w:szCs w:val="22"/>
          <w:u w:val="single"/>
        </w:rPr>
        <w:t>Ypatingos populiacijos</w:t>
      </w:r>
    </w:p>
    <w:p w:rsidR="009B7E2A" w:rsidRPr="00B461CE" w:rsidRDefault="009B7E2A" w:rsidP="009B7E2A">
      <w:pPr>
        <w:rPr>
          <w:sz w:val="22"/>
          <w:szCs w:val="22"/>
        </w:rPr>
      </w:pPr>
    </w:p>
    <w:p w:rsidR="009B7E2A" w:rsidRPr="00B461CE" w:rsidRDefault="009B7E2A" w:rsidP="009B7E2A">
      <w:pPr>
        <w:rPr>
          <w:iCs/>
          <w:sz w:val="22"/>
          <w:szCs w:val="22"/>
        </w:rPr>
      </w:pPr>
      <w:r w:rsidRPr="00B461CE">
        <w:rPr>
          <w:i/>
          <w:iCs/>
          <w:color w:val="000000"/>
          <w:sz w:val="22"/>
          <w:szCs w:val="22"/>
        </w:rPr>
        <w:t xml:space="preserve">Sutrikusi inkstų funkcija. </w:t>
      </w:r>
      <w:r w:rsidRPr="00B461CE">
        <w:rPr>
          <w:iCs/>
          <w:sz w:val="22"/>
          <w:szCs w:val="22"/>
        </w:rPr>
        <w:t>Inkstų ligos įtakos DSG farmakokinetikai vertinimo tyrimų nebuvo atlikta.</w:t>
      </w:r>
    </w:p>
    <w:p w:rsidR="009B7E2A" w:rsidRPr="00B461CE" w:rsidRDefault="009B7E2A" w:rsidP="009B7E2A">
      <w:pPr>
        <w:rPr>
          <w:iCs/>
          <w:sz w:val="22"/>
          <w:szCs w:val="22"/>
        </w:rPr>
      </w:pPr>
    </w:p>
    <w:p w:rsidR="009B7E2A" w:rsidRPr="00184906" w:rsidRDefault="009B7E2A" w:rsidP="009B7E2A">
      <w:pPr>
        <w:rPr>
          <w:iCs/>
          <w:sz w:val="22"/>
          <w:szCs w:val="22"/>
        </w:rPr>
      </w:pPr>
      <w:r w:rsidRPr="00B461CE">
        <w:rPr>
          <w:i/>
          <w:iCs/>
          <w:color w:val="000000"/>
          <w:sz w:val="22"/>
          <w:szCs w:val="22"/>
        </w:rPr>
        <w:t xml:space="preserve">Sutrikusi kepenų funkcija. </w:t>
      </w:r>
      <w:r w:rsidRPr="00B461CE">
        <w:rPr>
          <w:iCs/>
          <w:sz w:val="22"/>
          <w:szCs w:val="22"/>
        </w:rPr>
        <w:t xml:space="preserve">Kepenų ligos įtakos DSG farmakokinetikai vertinimo tyrimų nebuvo atlikta. Vis dėlto moterų, kurių kepenų </w:t>
      </w:r>
      <w:r w:rsidRPr="00184906">
        <w:rPr>
          <w:iCs/>
          <w:sz w:val="22"/>
          <w:szCs w:val="22"/>
        </w:rPr>
        <w:t>funkcija yra sutrikusi, organizme steroidiniai hormonai gali būti blogai metabolizuojami.</w:t>
      </w:r>
    </w:p>
    <w:p w:rsidR="009B7E2A" w:rsidRPr="00184906" w:rsidRDefault="009B7E2A" w:rsidP="009B7E2A">
      <w:pPr>
        <w:rPr>
          <w:iCs/>
          <w:sz w:val="22"/>
          <w:szCs w:val="22"/>
        </w:rPr>
      </w:pPr>
    </w:p>
    <w:p w:rsidR="009B7E2A" w:rsidRPr="00184906" w:rsidRDefault="009B7E2A" w:rsidP="009B7E2A">
      <w:pPr>
        <w:rPr>
          <w:i/>
          <w:iCs/>
          <w:sz w:val="22"/>
          <w:szCs w:val="22"/>
        </w:rPr>
      </w:pPr>
      <w:r w:rsidRPr="00184906">
        <w:rPr>
          <w:i/>
          <w:iCs/>
          <w:sz w:val="22"/>
          <w:szCs w:val="22"/>
        </w:rPr>
        <w:t>Etninės grupės</w:t>
      </w:r>
    </w:p>
    <w:p w:rsidR="009B7E2A" w:rsidRPr="00184906" w:rsidRDefault="009B7E2A" w:rsidP="009B7E2A">
      <w:pPr>
        <w:rPr>
          <w:iCs/>
          <w:sz w:val="22"/>
          <w:szCs w:val="22"/>
        </w:rPr>
      </w:pPr>
      <w:r w:rsidRPr="00184906">
        <w:rPr>
          <w:iCs/>
          <w:sz w:val="22"/>
          <w:szCs w:val="22"/>
        </w:rPr>
        <w:t>Etninių grupių farmakokinetikos tyrimų nebuvo atlikta.</w:t>
      </w:r>
    </w:p>
    <w:p w:rsidR="009B7E2A" w:rsidRPr="00184906" w:rsidRDefault="009B7E2A" w:rsidP="009B7E2A">
      <w:pPr>
        <w:rPr>
          <w:sz w:val="22"/>
          <w:szCs w:val="22"/>
        </w:rPr>
      </w:pPr>
    </w:p>
    <w:p w:rsidR="009B7E2A" w:rsidRPr="00184906" w:rsidRDefault="009B7E2A" w:rsidP="009B7E2A">
      <w:pPr>
        <w:ind w:left="567" w:hanging="567"/>
        <w:rPr>
          <w:b/>
          <w:bCs/>
          <w:sz w:val="22"/>
          <w:szCs w:val="22"/>
        </w:rPr>
      </w:pPr>
      <w:r w:rsidRPr="00184906">
        <w:rPr>
          <w:b/>
          <w:bCs/>
          <w:sz w:val="22"/>
          <w:szCs w:val="22"/>
        </w:rPr>
        <w:t>5.3</w:t>
      </w:r>
      <w:r w:rsidRPr="00184906">
        <w:rPr>
          <w:b/>
          <w:bCs/>
          <w:sz w:val="22"/>
          <w:szCs w:val="22"/>
        </w:rPr>
        <w:tab/>
        <w:t>Ikiklinikinių saugumo tyrimų duomenys</w:t>
      </w:r>
    </w:p>
    <w:p w:rsidR="009B7E2A" w:rsidRPr="00184906" w:rsidRDefault="009B7E2A" w:rsidP="009B7E2A">
      <w:pPr>
        <w:rPr>
          <w:sz w:val="22"/>
          <w:szCs w:val="22"/>
        </w:rPr>
      </w:pPr>
    </w:p>
    <w:p w:rsidR="009B7E2A" w:rsidRPr="00184906" w:rsidRDefault="009B7E2A" w:rsidP="009B7E2A">
      <w:pPr>
        <w:rPr>
          <w:sz w:val="22"/>
          <w:szCs w:val="22"/>
        </w:rPr>
      </w:pPr>
      <w:r w:rsidRPr="00184906">
        <w:rPr>
          <w:sz w:val="22"/>
          <w:szCs w:val="22"/>
        </w:rPr>
        <w:t>Toksikologinės studijos kitokio poveikio, kurio nebūtų galima paaiškinti hormono dezogestrelio savybėmis, neatskleidė.</w:t>
      </w:r>
    </w:p>
    <w:p w:rsidR="009B7E2A" w:rsidRPr="00184906" w:rsidRDefault="009B7E2A" w:rsidP="009B7E2A">
      <w:pPr>
        <w:rPr>
          <w:color w:val="000000"/>
          <w:spacing w:val="-3"/>
          <w:sz w:val="22"/>
          <w:szCs w:val="22"/>
        </w:rPr>
      </w:pPr>
    </w:p>
    <w:p w:rsidR="009B7E2A" w:rsidRPr="005F6235" w:rsidRDefault="009B7E2A" w:rsidP="009B7E2A">
      <w:pPr>
        <w:rPr>
          <w:noProof/>
          <w:sz w:val="22"/>
          <w:szCs w:val="22"/>
          <w:u w:val="single"/>
        </w:rPr>
      </w:pPr>
      <w:r w:rsidRPr="005F6235">
        <w:rPr>
          <w:noProof/>
          <w:sz w:val="22"/>
          <w:szCs w:val="22"/>
          <w:u w:val="single"/>
        </w:rPr>
        <w:t>Pavojaus aplinkai vertinimas (PAV)</w:t>
      </w:r>
    </w:p>
    <w:p w:rsidR="009B7E2A" w:rsidRPr="00747F7E" w:rsidRDefault="009B7E2A" w:rsidP="009B7E2A">
      <w:pPr>
        <w:rPr>
          <w:color w:val="000000"/>
          <w:spacing w:val="-3"/>
          <w:sz w:val="22"/>
          <w:szCs w:val="22"/>
        </w:rPr>
      </w:pPr>
      <w:r w:rsidRPr="00184906">
        <w:rPr>
          <w:color w:val="000000"/>
          <w:spacing w:val="-3"/>
          <w:sz w:val="22"/>
          <w:szCs w:val="22"/>
        </w:rPr>
        <w:t>Veiklioji medžiaga etonogestrelis kelia</w:t>
      </w:r>
      <w:r w:rsidRPr="00F331A6">
        <w:rPr>
          <w:color w:val="000000"/>
          <w:spacing w:val="-3"/>
          <w:sz w:val="22"/>
          <w:szCs w:val="22"/>
        </w:rPr>
        <w:t xml:space="preserve"> pavojų žuvų aplinkai</w:t>
      </w:r>
      <w:r w:rsidRPr="00184906">
        <w:rPr>
          <w:color w:val="000000"/>
          <w:spacing w:val="-3"/>
          <w:sz w:val="22"/>
          <w:szCs w:val="22"/>
        </w:rPr>
        <w:t>.</w:t>
      </w:r>
    </w:p>
    <w:p w:rsidR="009B7E2A" w:rsidRPr="00B461CE" w:rsidRDefault="009B7E2A" w:rsidP="009B7E2A">
      <w:pPr>
        <w:rPr>
          <w:color w:val="000000"/>
          <w:spacing w:val="-3"/>
          <w:sz w:val="22"/>
          <w:szCs w:val="22"/>
        </w:rPr>
      </w:pPr>
    </w:p>
    <w:p w:rsidR="009B7E2A" w:rsidRPr="00B461CE" w:rsidRDefault="009B7E2A" w:rsidP="009B7E2A">
      <w:pPr>
        <w:ind w:left="567" w:hanging="567"/>
        <w:rPr>
          <w:b/>
          <w:bCs/>
          <w:color w:val="000000"/>
          <w:spacing w:val="-3"/>
          <w:sz w:val="22"/>
          <w:szCs w:val="22"/>
        </w:rPr>
      </w:pPr>
      <w:r w:rsidRPr="00B461CE">
        <w:rPr>
          <w:b/>
          <w:bCs/>
          <w:color w:val="000000"/>
          <w:spacing w:val="-3"/>
          <w:sz w:val="22"/>
          <w:szCs w:val="22"/>
        </w:rPr>
        <w:t>6.</w:t>
      </w:r>
      <w:r w:rsidRPr="00B461CE">
        <w:rPr>
          <w:b/>
          <w:bCs/>
          <w:color w:val="000000"/>
          <w:spacing w:val="-3"/>
          <w:sz w:val="22"/>
          <w:szCs w:val="22"/>
        </w:rPr>
        <w:tab/>
        <w:t>FARMACINĖ INFORMACIJA</w:t>
      </w:r>
    </w:p>
    <w:p w:rsidR="009B7E2A" w:rsidRPr="00B461CE" w:rsidRDefault="009B7E2A" w:rsidP="009B7E2A">
      <w:pPr>
        <w:rPr>
          <w:color w:val="000000"/>
          <w:spacing w:val="-3"/>
          <w:sz w:val="22"/>
          <w:szCs w:val="22"/>
        </w:rPr>
      </w:pPr>
    </w:p>
    <w:p w:rsidR="009B7E2A" w:rsidRPr="00B461CE" w:rsidRDefault="009B7E2A" w:rsidP="009B7E2A">
      <w:pPr>
        <w:ind w:left="567" w:hanging="567"/>
        <w:rPr>
          <w:b/>
          <w:bCs/>
          <w:color w:val="000000"/>
          <w:spacing w:val="-3"/>
          <w:sz w:val="22"/>
          <w:szCs w:val="22"/>
        </w:rPr>
      </w:pPr>
      <w:r w:rsidRPr="00B461CE">
        <w:rPr>
          <w:b/>
          <w:bCs/>
          <w:color w:val="000000"/>
          <w:spacing w:val="-3"/>
          <w:sz w:val="22"/>
          <w:szCs w:val="22"/>
        </w:rPr>
        <w:t>6.1</w:t>
      </w:r>
      <w:r w:rsidRPr="00B461CE">
        <w:rPr>
          <w:b/>
          <w:bCs/>
          <w:color w:val="000000"/>
          <w:spacing w:val="-3"/>
          <w:sz w:val="22"/>
          <w:szCs w:val="22"/>
        </w:rPr>
        <w:tab/>
        <w:t>Pagalbinių medžiagų sąrašas</w:t>
      </w:r>
    </w:p>
    <w:p w:rsidR="009B7E2A" w:rsidRPr="00B461CE" w:rsidRDefault="009B7E2A" w:rsidP="009B7E2A">
      <w:pPr>
        <w:rPr>
          <w:color w:val="000000"/>
          <w:spacing w:val="-3"/>
          <w:sz w:val="22"/>
          <w:szCs w:val="22"/>
          <w:u w:val="single"/>
        </w:rPr>
      </w:pPr>
    </w:p>
    <w:p w:rsidR="009B7E2A" w:rsidRPr="00B461CE" w:rsidRDefault="009B7E2A" w:rsidP="009B7E2A">
      <w:pPr>
        <w:pStyle w:val="Antrat6"/>
        <w:spacing w:before="0" w:after="0" w:line="240" w:lineRule="auto"/>
        <w:rPr>
          <w:rFonts w:ascii="Times New Roman" w:hAnsi="Times New Roman"/>
          <w:iCs/>
          <w:szCs w:val="22"/>
          <w:lang w:val="lt-LT"/>
        </w:rPr>
      </w:pPr>
      <w:r w:rsidRPr="00B461CE">
        <w:rPr>
          <w:rFonts w:ascii="Times New Roman" w:hAnsi="Times New Roman"/>
          <w:iCs/>
          <w:szCs w:val="22"/>
          <w:lang w:val="lt-LT"/>
        </w:rPr>
        <w:t>Tabletės branduolys</w:t>
      </w:r>
    </w:p>
    <w:p w:rsidR="009B7E2A" w:rsidRPr="00B461CE" w:rsidRDefault="009B7E2A" w:rsidP="009B7E2A">
      <w:pPr>
        <w:rPr>
          <w:sz w:val="22"/>
          <w:szCs w:val="22"/>
        </w:rPr>
      </w:pPr>
      <w:r w:rsidRPr="00B461CE">
        <w:rPr>
          <w:sz w:val="22"/>
          <w:szCs w:val="22"/>
        </w:rPr>
        <w:t>Bevandenis koloidinis silicio dioksidas</w:t>
      </w:r>
    </w:p>
    <w:p w:rsidR="009B7E2A" w:rsidRPr="00B461CE" w:rsidRDefault="009B7E2A" w:rsidP="009B7E2A">
      <w:pPr>
        <w:rPr>
          <w:sz w:val="22"/>
          <w:szCs w:val="22"/>
        </w:rPr>
      </w:pPr>
      <w:r w:rsidRPr="00B461CE">
        <w:rPr>
          <w:sz w:val="22"/>
          <w:szCs w:val="22"/>
        </w:rPr>
        <w:t>Visų racematų alfa-tokoferolis</w:t>
      </w:r>
    </w:p>
    <w:p w:rsidR="009B7E2A" w:rsidRPr="00B461CE" w:rsidRDefault="009B7E2A" w:rsidP="009B7E2A">
      <w:pPr>
        <w:rPr>
          <w:sz w:val="22"/>
          <w:szCs w:val="22"/>
        </w:rPr>
      </w:pPr>
      <w:r w:rsidRPr="00B461CE">
        <w:rPr>
          <w:sz w:val="22"/>
          <w:szCs w:val="22"/>
        </w:rPr>
        <w:t>Laktozė</w:t>
      </w:r>
      <w:r w:rsidR="009C2A89">
        <w:rPr>
          <w:sz w:val="22"/>
          <w:szCs w:val="22"/>
        </w:rPr>
        <w:t>s</w:t>
      </w:r>
      <w:r w:rsidRPr="00B461CE">
        <w:rPr>
          <w:sz w:val="22"/>
          <w:szCs w:val="22"/>
        </w:rPr>
        <w:t xml:space="preserve"> monohidratas</w:t>
      </w:r>
    </w:p>
    <w:p w:rsidR="009B7E2A" w:rsidRPr="00B461CE" w:rsidRDefault="009B7E2A" w:rsidP="009B7E2A">
      <w:pPr>
        <w:rPr>
          <w:sz w:val="22"/>
          <w:szCs w:val="22"/>
        </w:rPr>
      </w:pPr>
      <w:r w:rsidRPr="00B461CE">
        <w:rPr>
          <w:sz w:val="22"/>
          <w:szCs w:val="22"/>
        </w:rPr>
        <w:t>Kukurūzų krakmolas</w:t>
      </w:r>
    </w:p>
    <w:p w:rsidR="009B7E2A" w:rsidRPr="00B461CE" w:rsidRDefault="009B7E2A" w:rsidP="009B7E2A">
      <w:pPr>
        <w:rPr>
          <w:sz w:val="22"/>
          <w:szCs w:val="22"/>
        </w:rPr>
      </w:pPr>
      <w:r w:rsidRPr="00B461CE">
        <w:rPr>
          <w:sz w:val="22"/>
          <w:szCs w:val="22"/>
        </w:rPr>
        <w:t>Povidonas</w:t>
      </w:r>
    </w:p>
    <w:p w:rsidR="009B7E2A" w:rsidRPr="00B461CE" w:rsidRDefault="009B7E2A" w:rsidP="009B7E2A">
      <w:pPr>
        <w:rPr>
          <w:sz w:val="22"/>
          <w:szCs w:val="22"/>
        </w:rPr>
      </w:pPr>
      <w:r w:rsidRPr="00B461CE">
        <w:rPr>
          <w:sz w:val="22"/>
          <w:szCs w:val="22"/>
        </w:rPr>
        <w:t>Stearino rūgštis</w:t>
      </w:r>
    </w:p>
    <w:p w:rsidR="009B7E2A" w:rsidRPr="00B461CE" w:rsidRDefault="009B7E2A" w:rsidP="009B7E2A">
      <w:pPr>
        <w:rPr>
          <w:sz w:val="22"/>
          <w:szCs w:val="22"/>
        </w:rPr>
      </w:pPr>
    </w:p>
    <w:p w:rsidR="009B7E2A" w:rsidRPr="00B461CE" w:rsidRDefault="009B7E2A" w:rsidP="009B7E2A">
      <w:pPr>
        <w:pStyle w:val="Antrat6"/>
        <w:spacing w:before="0" w:after="0" w:line="240" w:lineRule="auto"/>
        <w:rPr>
          <w:rFonts w:ascii="Times New Roman" w:hAnsi="Times New Roman"/>
          <w:iCs/>
          <w:szCs w:val="22"/>
          <w:lang w:val="lt-LT"/>
        </w:rPr>
      </w:pPr>
      <w:r w:rsidRPr="00B461CE">
        <w:rPr>
          <w:rFonts w:ascii="Times New Roman" w:hAnsi="Times New Roman"/>
          <w:iCs/>
          <w:szCs w:val="22"/>
          <w:lang w:val="lt-LT"/>
        </w:rPr>
        <w:t>Tabletės plėvelė</w:t>
      </w:r>
    </w:p>
    <w:p w:rsidR="009B7E2A" w:rsidRPr="00B461CE" w:rsidRDefault="009B7E2A" w:rsidP="009B7E2A">
      <w:pPr>
        <w:rPr>
          <w:sz w:val="22"/>
          <w:szCs w:val="22"/>
        </w:rPr>
      </w:pPr>
      <w:r w:rsidRPr="00B461CE">
        <w:rPr>
          <w:sz w:val="22"/>
          <w:szCs w:val="22"/>
        </w:rPr>
        <w:t>Hipromeliozė</w:t>
      </w:r>
    </w:p>
    <w:p w:rsidR="009B7E2A" w:rsidRPr="00B461CE" w:rsidRDefault="009B7E2A" w:rsidP="009B7E2A">
      <w:pPr>
        <w:rPr>
          <w:sz w:val="22"/>
          <w:szCs w:val="22"/>
        </w:rPr>
      </w:pPr>
      <w:r w:rsidRPr="00B461CE">
        <w:rPr>
          <w:sz w:val="22"/>
          <w:szCs w:val="22"/>
        </w:rPr>
        <w:t>Makrogolis 400</w:t>
      </w:r>
    </w:p>
    <w:p w:rsidR="009B7E2A" w:rsidRPr="00B461CE" w:rsidRDefault="009B7E2A" w:rsidP="009B7E2A">
      <w:pPr>
        <w:rPr>
          <w:sz w:val="22"/>
          <w:szCs w:val="22"/>
        </w:rPr>
      </w:pPr>
      <w:r w:rsidRPr="00B461CE">
        <w:rPr>
          <w:sz w:val="22"/>
          <w:szCs w:val="22"/>
        </w:rPr>
        <w:t>Talkas</w:t>
      </w:r>
    </w:p>
    <w:p w:rsidR="009B7E2A" w:rsidRPr="00B461CE" w:rsidRDefault="009B7E2A" w:rsidP="009B7E2A">
      <w:pPr>
        <w:rPr>
          <w:sz w:val="22"/>
          <w:szCs w:val="22"/>
        </w:rPr>
      </w:pPr>
      <w:r w:rsidRPr="00B461CE">
        <w:rPr>
          <w:sz w:val="22"/>
          <w:szCs w:val="22"/>
        </w:rPr>
        <w:t>Titano dioksidas (E171)</w:t>
      </w:r>
    </w:p>
    <w:p w:rsidR="009B7E2A" w:rsidRPr="00B461CE" w:rsidRDefault="009B7E2A" w:rsidP="009B7E2A">
      <w:pPr>
        <w:rPr>
          <w:color w:val="000000"/>
          <w:spacing w:val="-3"/>
          <w:sz w:val="22"/>
          <w:szCs w:val="22"/>
        </w:rPr>
      </w:pPr>
    </w:p>
    <w:p w:rsidR="009B7E2A" w:rsidRPr="00B461CE" w:rsidRDefault="009B7E2A" w:rsidP="009B7E2A">
      <w:pPr>
        <w:ind w:left="567" w:hanging="567"/>
        <w:rPr>
          <w:b/>
          <w:bCs/>
          <w:color w:val="000000"/>
          <w:spacing w:val="-3"/>
          <w:sz w:val="22"/>
          <w:szCs w:val="22"/>
        </w:rPr>
      </w:pPr>
      <w:r w:rsidRPr="00B461CE">
        <w:rPr>
          <w:b/>
          <w:bCs/>
          <w:color w:val="000000"/>
          <w:spacing w:val="-3"/>
          <w:sz w:val="22"/>
          <w:szCs w:val="22"/>
        </w:rPr>
        <w:t>6.2</w:t>
      </w:r>
      <w:r w:rsidRPr="00B461CE">
        <w:rPr>
          <w:b/>
          <w:bCs/>
          <w:color w:val="000000"/>
          <w:spacing w:val="-3"/>
          <w:sz w:val="22"/>
          <w:szCs w:val="22"/>
        </w:rPr>
        <w:tab/>
        <w:t>Nesuderinamumas</w:t>
      </w: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r w:rsidRPr="00B461CE">
        <w:rPr>
          <w:color w:val="000000"/>
          <w:spacing w:val="-3"/>
          <w:sz w:val="22"/>
          <w:szCs w:val="22"/>
        </w:rPr>
        <w:t>Duomenys nebūtini.</w:t>
      </w:r>
    </w:p>
    <w:p w:rsidR="009B7E2A" w:rsidRPr="00B461CE" w:rsidRDefault="009B7E2A" w:rsidP="009B7E2A">
      <w:pPr>
        <w:rPr>
          <w:color w:val="000000"/>
          <w:spacing w:val="-3"/>
          <w:sz w:val="22"/>
          <w:szCs w:val="22"/>
        </w:rPr>
      </w:pPr>
    </w:p>
    <w:p w:rsidR="009B7E2A" w:rsidRPr="00B461CE" w:rsidRDefault="009B7E2A" w:rsidP="009B7E2A">
      <w:pPr>
        <w:ind w:left="567" w:hanging="567"/>
        <w:rPr>
          <w:b/>
          <w:bCs/>
          <w:color w:val="000000"/>
          <w:spacing w:val="-3"/>
          <w:sz w:val="22"/>
          <w:szCs w:val="22"/>
        </w:rPr>
      </w:pPr>
      <w:r w:rsidRPr="00B461CE">
        <w:rPr>
          <w:b/>
          <w:bCs/>
          <w:color w:val="000000"/>
          <w:spacing w:val="-3"/>
          <w:sz w:val="22"/>
          <w:szCs w:val="22"/>
        </w:rPr>
        <w:t>6.3</w:t>
      </w:r>
      <w:r w:rsidRPr="00B461CE">
        <w:rPr>
          <w:b/>
          <w:bCs/>
          <w:color w:val="000000"/>
          <w:spacing w:val="-3"/>
          <w:sz w:val="22"/>
          <w:szCs w:val="22"/>
        </w:rPr>
        <w:tab/>
        <w:t>Tinkamumo laikas</w:t>
      </w: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r w:rsidRPr="00B461CE">
        <w:rPr>
          <w:color w:val="000000"/>
          <w:spacing w:val="-3"/>
          <w:sz w:val="22"/>
          <w:szCs w:val="22"/>
        </w:rPr>
        <w:t>3 metai.</w:t>
      </w:r>
    </w:p>
    <w:p w:rsidR="009B7E2A" w:rsidRPr="00B461CE" w:rsidRDefault="009B7E2A" w:rsidP="009B7E2A">
      <w:pPr>
        <w:rPr>
          <w:color w:val="000000"/>
          <w:spacing w:val="-3"/>
          <w:sz w:val="22"/>
          <w:szCs w:val="22"/>
        </w:rPr>
      </w:pPr>
      <w:r w:rsidRPr="00B461CE">
        <w:rPr>
          <w:color w:val="000000"/>
          <w:spacing w:val="-3"/>
          <w:sz w:val="22"/>
          <w:szCs w:val="22"/>
        </w:rPr>
        <w:t>Tinkamumo laikas pirmą kartą atidarius paketėlį: 1 mėnuo.</w:t>
      </w:r>
    </w:p>
    <w:p w:rsidR="009B7E2A" w:rsidRPr="00B461CE" w:rsidRDefault="009B7E2A" w:rsidP="009B7E2A">
      <w:pPr>
        <w:rPr>
          <w:color w:val="000000"/>
          <w:spacing w:val="-3"/>
          <w:sz w:val="22"/>
          <w:szCs w:val="22"/>
        </w:rPr>
      </w:pPr>
    </w:p>
    <w:p w:rsidR="009B7E2A" w:rsidRPr="00B461CE" w:rsidRDefault="009B7E2A" w:rsidP="009B7E2A">
      <w:pPr>
        <w:ind w:left="567" w:hanging="567"/>
        <w:rPr>
          <w:b/>
          <w:bCs/>
          <w:color w:val="000000"/>
          <w:spacing w:val="-3"/>
          <w:sz w:val="22"/>
          <w:szCs w:val="22"/>
        </w:rPr>
      </w:pPr>
      <w:r w:rsidRPr="00B461CE">
        <w:rPr>
          <w:b/>
          <w:bCs/>
          <w:color w:val="000000"/>
          <w:spacing w:val="-3"/>
          <w:sz w:val="22"/>
          <w:szCs w:val="22"/>
        </w:rPr>
        <w:t>6.4</w:t>
      </w:r>
      <w:r w:rsidRPr="00B461CE">
        <w:rPr>
          <w:b/>
          <w:bCs/>
          <w:color w:val="000000"/>
          <w:spacing w:val="-3"/>
          <w:sz w:val="22"/>
          <w:szCs w:val="22"/>
        </w:rPr>
        <w:tab/>
        <w:t>Specialios laikymo sąlygos</w:t>
      </w:r>
    </w:p>
    <w:p w:rsidR="009B7E2A" w:rsidRPr="00B461CE" w:rsidRDefault="009B7E2A" w:rsidP="009B7E2A">
      <w:pPr>
        <w:rPr>
          <w:color w:val="000000"/>
          <w:spacing w:val="-3"/>
          <w:sz w:val="22"/>
          <w:szCs w:val="22"/>
        </w:rPr>
      </w:pPr>
    </w:p>
    <w:p w:rsidR="009B7E2A" w:rsidRPr="00B461CE" w:rsidRDefault="009B7E2A" w:rsidP="009B7E2A">
      <w:pPr>
        <w:rPr>
          <w:sz w:val="22"/>
          <w:szCs w:val="22"/>
        </w:rPr>
      </w:pPr>
      <w:r w:rsidRPr="00B461CE">
        <w:rPr>
          <w:color w:val="000000"/>
          <w:spacing w:val="-3"/>
          <w:sz w:val="22"/>
          <w:szCs w:val="22"/>
        </w:rPr>
        <w:t xml:space="preserve">Šio vaistinio preparato laikymui specialių temperatūros sąlygų nereikalaujama. </w:t>
      </w:r>
      <w:r w:rsidRPr="00B461CE">
        <w:rPr>
          <w:sz w:val="22"/>
          <w:szCs w:val="22"/>
        </w:rPr>
        <w:t xml:space="preserve">Lizdinę plokštelę laikyti gamintojo pakuotėje, kad </w:t>
      </w:r>
      <w:r>
        <w:rPr>
          <w:sz w:val="22"/>
          <w:szCs w:val="22"/>
        </w:rPr>
        <w:t xml:space="preserve">vaistinis </w:t>
      </w:r>
      <w:r w:rsidRPr="00B461CE">
        <w:rPr>
          <w:sz w:val="22"/>
          <w:szCs w:val="22"/>
        </w:rPr>
        <w:t xml:space="preserve">preparatas būtų apsaugotas nuo šviesos ir drėgmės. </w:t>
      </w:r>
    </w:p>
    <w:p w:rsidR="009B7E2A" w:rsidRPr="00B461CE" w:rsidRDefault="009B7E2A" w:rsidP="009B7E2A">
      <w:pPr>
        <w:rPr>
          <w:sz w:val="22"/>
          <w:szCs w:val="22"/>
        </w:rPr>
      </w:pPr>
      <w:r w:rsidRPr="00B461CE">
        <w:rPr>
          <w:sz w:val="22"/>
          <w:szCs w:val="22"/>
        </w:rPr>
        <w:t>Pirmą kartą atidaryto vaistinio preparato laikymo sąlygos pateikiamos 6.3 skyriuje.</w:t>
      </w:r>
    </w:p>
    <w:p w:rsidR="009B7E2A" w:rsidRPr="00B461CE" w:rsidRDefault="009B7E2A" w:rsidP="009B7E2A">
      <w:pPr>
        <w:rPr>
          <w:color w:val="000000"/>
          <w:spacing w:val="-3"/>
          <w:sz w:val="22"/>
          <w:szCs w:val="22"/>
        </w:rPr>
      </w:pPr>
    </w:p>
    <w:p w:rsidR="009B7E2A" w:rsidRPr="00B461CE" w:rsidRDefault="009B7E2A" w:rsidP="009B7E2A">
      <w:pPr>
        <w:keepNext/>
        <w:ind w:left="562" w:hanging="562"/>
        <w:rPr>
          <w:b/>
          <w:bCs/>
          <w:color w:val="000000"/>
          <w:spacing w:val="-3"/>
          <w:sz w:val="22"/>
          <w:szCs w:val="22"/>
        </w:rPr>
      </w:pPr>
      <w:r w:rsidRPr="00B461CE">
        <w:rPr>
          <w:b/>
          <w:bCs/>
          <w:color w:val="000000"/>
          <w:spacing w:val="-3"/>
          <w:sz w:val="22"/>
          <w:szCs w:val="22"/>
        </w:rPr>
        <w:t>6.5.</w:t>
      </w:r>
      <w:r w:rsidRPr="00B461CE">
        <w:rPr>
          <w:b/>
          <w:bCs/>
          <w:color w:val="000000"/>
          <w:spacing w:val="-3"/>
          <w:sz w:val="22"/>
          <w:szCs w:val="22"/>
        </w:rPr>
        <w:tab/>
        <w:t>Talpyklės pobūdis ir jos turinys</w:t>
      </w:r>
    </w:p>
    <w:p w:rsidR="009B7E2A" w:rsidRPr="00B461CE" w:rsidRDefault="009B7E2A" w:rsidP="009B7E2A">
      <w:pPr>
        <w:keepNext/>
        <w:rPr>
          <w:color w:val="000000"/>
          <w:spacing w:val="-3"/>
          <w:sz w:val="22"/>
          <w:szCs w:val="22"/>
        </w:rPr>
      </w:pPr>
    </w:p>
    <w:p w:rsidR="009B7E2A" w:rsidRPr="00B461CE" w:rsidRDefault="009B7E2A" w:rsidP="009B7E2A">
      <w:pPr>
        <w:keepNext/>
        <w:rPr>
          <w:sz w:val="22"/>
          <w:szCs w:val="22"/>
        </w:rPr>
      </w:pPr>
      <w:r w:rsidRPr="00B461CE">
        <w:rPr>
          <w:sz w:val="22"/>
          <w:szCs w:val="22"/>
        </w:rPr>
        <w:t>PVC/Al folijos lizdinė plokštelė.</w:t>
      </w:r>
    </w:p>
    <w:p w:rsidR="009B7E2A" w:rsidRPr="00B461CE" w:rsidRDefault="009B7E2A" w:rsidP="009B7E2A">
      <w:pPr>
        <w:rPr>
          <w:color w:val="000000"/>
          <w:sz w:val="22"/>
          <w:szCs w:val="22"/>
        </w:rPr>
      </w:pPr>
      <w:r w:rsidRPr="00B461CE">
        <w:rPr>
          <w:sz w:val="22"/>
          <w:szCs w:val="22"/>
        </w:rPr>
        <w:t xml:space="preserve">Kiekvienoje lizdinėje plokštelėje yra 28 tabletės. </w:t>
      </w:r>
      <w:r w:rsidRPr="00B461CE">
        <w:rPr>
          <w:color w:val="000000"/>
          <w:sz w:val="22"/>
          <w:szCs w:val="22"/>
        </w:rPr>
        <w:t>Kiekvienoje kartono dėžutėje yra 1 arba 3 lizdinės plokštelės, kurių kiekviena atskirai yra supakuota suspausto aliuminio paketėlyje.</w:t>
      </w:r>
    </w:p>
    <w:p w:rsidR="009B7E2A" w:rsidRPr="00B461CE" w:rsidRDefault="009B7E2A" w:rsidP="009B7E2A">
      <w:pPr>
        <w:rPr>
          <w:sz w:val="22"/>
          <w:szCs w:val="22"/>
        </w:rPr>
      </w:pPr>
    </w:p>
    <w:p w:rsidR="009B7E2A" w:rsidRPr="00B461CE" w:rsidRDefault="009B7E2A" w:rsidP="009B7E2A">
      <w:pPr>
        <w:rPr>
          <w:color w:val="000000"/>
          <w:spacing w:val="-3"/>
          <w:sz w:val="22"/>
          <w:szCs w:val="22"/>
        </w:rPr>
      </w:pPr>
      <w:r w:rsidRPr="00B461CE">
        <w:rPr>
          <w:color w:val="000000"/>
          <w:spacing w:val="-3"/>
          <w:sz w:val="22"/>
          <w:szCs w:val="22"/>
        </w:rPr>
        <w:t>Gali būti tiekiamos ne visų dydžių pakuotės.</w:t>
      </w:r>
    </w:p>
    <w:p w:rsidR="009B7E2A" w:rsidRPr="00B461CE" w:rsidRDefault="009B7E2A" w:rsidP="009B7E2A">
      <w:pPr>
        <w:rPr>
          <w:color w:val="000000"/>
          <w:spacing w:val="-3"/>
          <w:sz w:val="22"/>
          <w:szCs w:val="22"/>
          <w:u w:val="single"/>
        </w:rPr>
      </w:pPr>
    </w:p>
    <w:p w:rsidR="009B7E2A" w:rsidRPr="00B461CE" w:rsidRDefault="009B7E2A" w:rsidP="009B7E2A">
      <w:pPr>
        <w:tabs>
          <w:tab w:val="left" w:pos="567"/>
        </w:tabs>
        <w:rPr>
          <w:b/>
          <w:bCs/>
          <w:color w:val="000000"/>
          <w:spacing w:val="-3"/>
          <w:sz w:val="22"/>
          <w:szCs w:val="22"/>
        </w:rPr>
      </w:pPr>
      <w:r w:rsidRPr="00B461CE">
        <w:rPr>
          <w:b/>
          <w:bCs/>
          <w:color w:val="000000"/>
          <w:spacing w:val="-3"/>
          <w:sz w:val="22"/>
          <w:szCs w:val="22"/>
        </w:rPr>
        <w:t>6.6</w:t>
      </w:r>
      <w:r w:rsidRPr="00B461CE">
        <w:rPr>
          <w:b/>
          <w:bCs/>
          <w:color w:val="000000"/>
          <w:spacing w:val="-3"/>
          <w:sz w:val="22"/>
          <w:szCs w:val="22"/>
        </w:rPr>
        <w:tab/>
        <w:t>Specialūs reikalavimai atliekoms tvarkyti</w:t>
      </w:r>
    </w:p>
    <w:p w:rsidR="009B7E2A" w:rsidRPr="00B461CE" w:rsidRDefault="009B7E2A" w:rsidP="009B7E2A">
      <w:pPr>
        <w:rPr>
          <w:color w:val="000000"/>
          <w:spacing w:val="-3"/>
          <w:sz w:val="22"/>
          <w:szCs w:val="22"/>
        </w:rPr>
      </w:pPr>
    </w:p>
    <w:p w:rsidR="009B7E2A" w:rsidRPr="00184906" w:rsidRDefault="009B7E2A" w:rsidP="009B7E2A">
      <w:pPr>
        <w:rPr>
          <w:color w:val="000000"/>
          <w:spacing w:val="-3"/>
          <w:sz w:val="22"/>
          <w:szCs w:val="22"/>
        </w:rPr>
      </w:pPr>
      <w:r w:rsidRPr="00184906">
        <w:rPr>
          <w:color w:val="000000"/>
          <w:spacing w:val="-3"/>
          <w:sz w:val="22"/>
          <w:szCs w:val="22"/>
        </w:rPr>
        <w:t>Veiklioji medžia</w:t>
      </w:r>
      <w:r>
        <w:rPr>
          <w:color w:val="000000"/>
          <w:spacing w:val="-3"/>
          <w:sz w:val="22"/>
          <w:szCs w:val="22"/>
        </w:rPr>
        <w:t>ga etonogestrelis kelia pavojų žuvų aplinkai</w:t>
      </w:r>
      <w:r w:rsidRPr="00184906">
        <w:rPr>
          <w:color w:val="000000"/>
          <w:spacing w:val="-3"/>
          <w:sz w:val="22"/>
          <w:szCs w:val="22"/>
        </w:rPr>
        <w:t xml:space="preserve">. </w:t>
      </w:r>
      <w:r w:rsidRPr="005F6235">
        <w:rPr>
          <w:sz w:val="22"/>
          <w:szCs w:val="22"/>
        </w:rPr>
        <w:t>Nesuvartotą vaistinį preparatą ar atliekas reikia tvarkyti laikantis vietinių reikalavimų.</w:t>
      </w:r>
    </w:p>
    <w:p w:rsidR="009B7E2A" w:rsidRPr="00184906" w:rsidRDefault="009B7E2A" w:rsidP="009B7E2A">
      <w:pPr>
        <w:rPr>
          <w:sz w:val="22"/>
          <w:szCs w:val="22"/>
        </w:rPr>
      </w:pPr>
    </w:p>
    <w:p w:rsidR="009B7E2A" w:rsidRPr="00184906" w:rsidRDefault="009B7E2A" w:rsidP="009B7E2A">
      <w:pPr>
        <w:rPr>
          <w:sz w:val="22"/>
          <w:szCs w:val="22"/>
        </w:rPr>
      </w:pPr>
    </w:p>
    <w:p w:rsidR="009B7E2A" w:rsidRPr="00B461CE" w:rsidRDefault="009B7E2A" w:rsidP="009B7E2A">
      <w:pPr>
        <w:tabs>
          <w:tab w:val="left" w:pos="567"/>
        </w:tabs>
        <w:rPr>
          <w:b/>
          <w:bCs/>
          <w:color w:val="000000"/>
          <w:spacing w:val="-3"/>
          <w:sz w:val="22"/>
          <w:szCs w:val="22"/>
        </w:rPr>
      </w:pPr>
      <w:r w:rsidRPr="00184906">
        <w:rPr>
          <w:b/>
          <w:bCs/>
          <w:color w:val="000000"/>
          <w:spacing w:val="-3"/>
          <w:sz w:val="22"/>
          <w:szCs w:val="22"/>
        </w:rPr>
        <w:t>7.</w:t>
      </w:r>
      <w:r w:rsidRPr="00184906">
        <w:rPr>
          <w:b/>
          <w:bCs/>
          <w:color w:val="000000"/>
          <w:spacing w:val="-3"/>
          <w:sz w:val="22"/>
          <w:szCs w:val="22"/>
        </w:rPr>
        <w:tab/>
        <w:t>REGISTRUOTOJAS</w:t>
      </w:r>
    </w:p>
    <w:p w:rsidR="009B7E2A" w:rsidRPr="00B461CE" w:rsidRDefault="009B7E2A" w:rsidP="009B7E2A">
      <w:pPr>
        <w:rPr>
          <w:b/>
          <w:bCs/>
          <w:color w:val="000000"/>
          <w:spacing w:val="-3"/>
          <w:sz w:val="22"/>
          <w:szCs w:val="22"/>
        </w:rPr>
      </w:pPr>
    </w:p>
    <w:p w:rsidR="009B7E2A" w:rsidRDefault="009B7E2A" w:rsidP="009B7E2A">
      <w:pPr>
        <w:jc w:val="both"/>
        <w:rPr>
          <w:sz w:val="22"/>
          <w:szCs w:val="22"/>
        </w:rPr>
      </w:pPr>
      <w:r w:rsidRPr="006B3870">
        <w:rPr>
          <w:sz w:val="22"/>
          <w:szCs w:val="22"/>
        </w:rPr>
        <w:t xml:space="preserve">Merck Sharp &amp; Dohme B.V. </w:t>
      </w:r>
    </w:p>
    <w:p w:rsidR="009B7E2A" w:rsidRDefault="009B7E2A" w:rsidP="009B7E2A">
      <w:pPr>
        <w:jc w:val="both"/>
        <w:rPr>
          <w:sz w:val="22"/>
          <w:szCs w:val="22"/>
        </w:rPr>
      </w:pPr>
      <w:r w:rsidRPr="006B3870">
        <w:rPr>
          <w:sz w:val="22"/>
          <w:szCs w:val="22"/>
        </w:rPr>
        <w:t xml:space="preserve">Waarderweg 39 </w:t>
      </w:r>
    </w:p>
    <w:p w:rsidR="009B7E2A" w:rsidRDefault="009B7E2A" w:rsidP="009B7E2A">
      <w:pPr>
        <w:jc w:val="both"/>
        <w:rPr>
          <w:sz w:val="22"/>
          <w:szCs w:val="22"/>
        </w:rPr>
      </w:pPr>
      <w:r w:rsidRPr="006B3870">
        <w:rPr>
          <w:sz w:val="22"/>
          <w:szCs w:val="22"/>
        </w:rPr>
        <w:t xml:space="preserve">2031 BN Haarlem </w:t>
      </w:r>
    </w:p>
    <w:p w:rsidR="009B7E2A" w:rsidRPr="006B3870" w:rsidRDefault="009B7E2A" w:rsidP="009B7E2A">
      <w:pPr>
        <w:jc w:val="both"/>
        <w:rPr>
          <w:sz w:val="22"/>
          <w:szCs w:val="22"/>
        </w:rPr>
      </w:pPr>
      <w:r w:rsidRPr="006B3870">
        <w:rPr>
          <w:sz w:val="22"/>
          <w:szCs w:val="22"/>
        </w:rPr>
        <w:lastRenderedPageBreak/>
        <w:t>Nyderlandai</w:t>
      </w: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184906" w:rsidRDefault="009B7E2A" w:rsidP="009B7E2A">
      <w:pPr>
        <w:tabs>
          <w:tab w:val="left" w:pos="567"/>
        </w:tabs>
        <w:rPr>
          <w:b/>
          <w:bCs/>
          <w:color w:val="000000"/>
          <w:spacing w:val="-3"/>
          <w:sz w:val="22"/>
          <w:szCs w:val="22"/>
        </w:rPr>
      </w:pPr>
      <w:r w:rsidRPr="00B461CE">
        <w:rPr>
          <w:b/>
          <w:bCs/>
          <w:color w:val="000000"/>
          <w:spacing w:val="-3"/>
          <w:sz w:val="22"/>
          <w:szCs w:val="22"/>
        </w:rPr>
        <w:t>8.</w:t>
      </w:r>
      <w:r w:rsidRPr="00B461CE">
        <w:rPr>
          <w:b/>
          <w:bCs/>
          <w:color w:val="000000"/>
          <w:spacing w:val="-3"/>
          <w:sz w:val="22"/>
          <w:szCs w:val="22"/>
        </w:rPr>
        <w:tab/>
      </w:r>
      <w:r w:rsidRPr="00184906">
        <w:rPr>
          <w:b/>
          <w:bCs/>
          <w:color w:val="000000"/>
          <w:spacing w:val="-3"/>
          <w:sz w:val="22"/>
          <w:szCs w:val="22"/>
        </w:rPr>
        <w:t>REGISTRACIJOS PAŽYMĖJIMO NUMERIAI</w:t>
      </w:r>
    </w:p>
    <w:p w:rsidR="009B7E2A" w:rsidRPr="00184906" w:rsidRDefault="009B7E2A" w:rsidP="009B7E2A">
      <w:pPr>
        <w:rPr>
          <w:b/>
          <w:bCs/>
          <w:color w:val="000000"/>
          <w:spacing w:val="-3"/>
          <w:sz w:val="22"/>
          <w:szCs w:val="22"/>
        </w:rPr>
      </w:pPr>
    </w:p>
    <w:p w:rsidR="009B7E2A" w:rsidRPr="005F6235" w:rsidRDefault="009B7E2A" w:rsidP="009B7E2A">
      <w:pPr>
        <w:rPr>
          <w:color w:val="000000"/>
          <w:spacing w:val="-3"/>
          <w:sz w:val="22"/>
          <w:szCs w:val="22"/>
        </w:rPr>
      </w:pPr>
      <w:r w:rsidRPr="00184906">
        <w:rPr>
          <w:color w:val="000000"/>
          <w:spacing w:val="-3"/>
          <w:sz w:val="22"/>
          <w:szCs w:val="22"/>
        </w:rPr>
        <w:t>N1x28 - LT/1/01/1170/001</w:t>
      </w:r>
    </w:p>
    <w:p w:rsidR="009B7E2A" w:rsidRPr="005F6235" w:rsidRDefault="009B7E2A" w:rsidP="009B7E2A">
      <w:pPr>
        <w:rPr>
          <w:color w:val="000000"/>
          <w:spacing w:val="-3"/>
          <w:sz w:val="22"/>
          <w:szCs w:val="22"/>
        </w:rPr>
      </w:pPr>
      <w:r w:rsidRPr="00184906">
        <w:rPr>
          <w:color w:val="000000"/>
          <w:spacing w:val="-3"/>
          <w:sz w:val="22"/>
          <w:szCs w:val="22"/>
        </w:rPr>
        <w:t>N3x28 - LT/1/01/1170/002</w:t>
      </w:r>
    </w:p>
    <w:p w:rsidR="009B7E2A" w:rsidRPr="00184906" w:rsidRDefault="009B7E2A" w:rsidP="009B7E2A">
      <w:pPr>
        <w:rPr>
          <w:color w:val="000000"/>
          <w:spacing w:val="-3"/>
          <w:sz w:val="22"/>
          <w:szCs w:val="22"/>
          <w:u w:val="single"/>
        </w:rPr>
      </w:pPr>
    </w:p>
    <w:p w:rsidR="009B7E2A" w:rsidRPr="00184906" w:rsidRDefault="009B7E2A" w:rsidP="009B7E2A">
      <w:pPr>
        <w:rPr>
          <w:color w:val="000000"/>
          <w:spacing w:val="-3"/>
          <w:sz w:val="22"/>
          <w:szCs w:val="22"/>
          <w:u w:val="single"/>
        </w:rPr>
      </w:pPr>
    </w:p>
    <w:p w:rsidR="009B7E2A" w:rsidRPr="00184906" w:rsidRDefault="009B7E2A" w:rsidP="009B7E2A">
      <w:pPr>
        <w:tabs>
          <w:tab w:val="left" w:pos="567"/>
        </w:tabs>
        <w:rPr>
          <w:b/>
          <w:bCs/>
          <w:color w:val="000000"/>
          <w:spacing w:val="-3"/>
          <w:sz w:val="22"/>
          <w:szCs w:val="22"/>
        </w:rPr>
      </w:pPr>
      <w:r w:rsidRPr="00184906">
        <w:rPr>
          <w:b/>
          <w:bCs/>
          <w:color w:val="000000"/>
          <w:spacing w:val="-3"/>
          <w:sz w:val="22"/>
          <w:szCs w:val="22"/>
        </w:rPr>
        <w:t>9.</w:t>
      </w:r>
      <w:r w:rsidRPr="00184906">
        <w:rPr>
          <w:b/>
          <w:bCs/>
          <w:color w:val="000000"/>
          <w:spacing w:val="-3"/>
          <w:sz w:val="22"/>
          <w:szCs w:val="22"/>
        </w:rPr>
        <w:tab/>
        <w:t>REGISTRAVIMO / PERREGISTRAVIMO DATA</w:t>
      </w:r>
    </w:p>
    <w:p w:rsidR="009B7E2A" w:rsidRPr="00184906" w:rsidRDefault="009B7E2A" w:rsidP="009B7E2A">
      <w:pPr>
        <w:rPr>
          <w:color w:val="000000"/>
          <w:spacing w:val="-3"/>
          <w:sz w:val="22"/>
          <w:szCs w:val="22"/>
        </w:rPr>
      </w:pPr>
    </w:p>
    <w:p w:rsidR="009B7E2A" w:rsidRPr="00184906" w:rsidRDefault="009B7E2A" w:rsidP="009B7E2A">
      <w:pPr>
        <w:rPr>
          <w:color w:val="000000"/>
          <w:spacing w:val="-3"/>
          <w:sz w:val="22"/>
          <w:szCs w:val="22"/>
        </w:rPr>
      </w:pPr>
      <w:r w:rsidRPr="00184906">
        <w:rPr>
          <w:color w:val="000000"/>
          <w:spacing w:val="-3"/>
          <w:sz w:val="22"/>
          <w:szCs w:val="22"/>
        </w:rPr>
        <w:t>Registravimo data 2001 m. kovo 8 d.</w:t>
      </w:r>
    </w:p>
    <w:p w:rsidR="009B7E2A" w:rsidRPr="00B461CE" w:rsidRDefault="009B7E2A" w:rsidP="009B7E2A">
      <w:pPr>
        <w:rPr>
          <w:color w:val="000000"/>
          <w:spacing w:val="-3"/>
          <w:sz w:val="22"/>
          <w:szCs w:val="22"/>
        </w:rPr>
      </w:pPr>
      <w:r w:rsidRPr="00184906">
        <w:rPr>
          <w:color w:val="000000"/>
          <w:spacing w:val="-3"/>
          <w:sz w:val="22"/>
          <w:szCs w:val="22"/>
        </w:rPr>
        <w:t>Paskutinio perregistravimo data 2008 m. birželio 2 d.</w:t>
      </w:r>
    </w:p>
    <w:p w:rsidR="009B7E2A" w:rsidRPr="00B461CE" w:rsidRDefault="009B7E2A" w:rsidP="009B7E2A">
      <w:pPr>
        <w:rPr>
          <w:color w:val="000000"/>
          <w:spacing w:val="-3"/>
          <w:sz w:val="22"/>
          <w:szCs w:val="22"/>
          <w:u w:val="single"/>
        </w:rPr>
      </w:pPr>
    </w:p>
    <w:p w:rsidR="009B7E2A" w:rsidRPr="00B461CE" w:rsidRDefault="009B7E2A" w:rsidP="009B7E2A">
      <w:pPr>
        <w:rPr>
          <w:color w:val="000000"/>
          <w:spacing w:val="-3"/>
          <w:sz w:val="22"/>
          <w:szCs w:val="22"/>
          <w:u w:val="single"/>
        </w:rPr>
      </w:pPr>
    </w:p>
    <w:p w:rsidR="009B7E2A" w:rsidRPr="00B461CE" w:rsidRDefault="009B7E2A" w:rsidP="009B7E2A">
      <w:pPr>
        <w:tabs>
          <w:tab w:val="left" w:pos="567"/>
        </w:tabs>
        <w:rPr>
          <w:b/>
          <w:bCs/>
          <w:color w:val="000000"/>
          <w:spacing w:val="-3"/>
          <w:sz w:val="22"/>
          <w:szCs w:val="22"/>
        </w:rPr>
      </w:pPr>
      <w:r w:rsidRPr="00B461CE">
        <w:rPr>
          <w:b/>
          <w:bCs/>
          <w:color w:val="000000"/>
          <w:spacing w:val="-3"/>
          <w:sz w:val="22"/>
          <w:szCs w:val="22"/>
        </w:rPr>
        <w:t>10.</w:t>
      </w:r>
      <w:r w:rsidRPr="00B461CE">
        <w:rPr>
          <w:b/>
          <w:bCs/>
          <w:color w:val="000000"/>
          <w:spacing w:val="-3"/>
          <w:sz w:val="22"/>
          <w:szCs w:val="22"/>
        </w:rPr>
        <w:tab/>
        <w:t>TEKSTO PERŽIŪROS DATA</w:t>
      </w:r>
    </w:p>
    <w:p w:rsidR="009B7E2A" w:rsidRDefault="009B7E2A" w:rsidP="009B7E2A">
      <w:pPr>
        <w:rPr>
          <w:b/>
          <w:bCs/>
          <w:color w:val="000000"/>
          <w:spacing w:val="-3"/>
          <w:sz w:val="22"/>
          <w:szCs w:val="22"/>
        </w:rPr>
      </w:pPr>
    </w:p>
    <w:p w:rsidR="009B7E2A" w:rsidRPr="007C2775" w:rsidRDefault="007C2775" w:rsidP="009B7E2A">
      <w:pPr>
        <w:rPr>
          <w:bCs/>
          <w:color w:val="000000"/>
          <w:spacing w:val="-3"/>
          <w:sz w:val="22"/>
          <w:szCs w:val="22"/>
        </w:rPr>
      </w:pPr>
      <w:r w:rsidRPr="007C2775">
        <w:rPr>
          <w:bCs/>
          <w:color w:val="000000"/>
          <w:spacing w:val="-3"/>
          <w:sz w:val="22"/>
          <w:szCs w:val="22"/>
        </w:rPr>
        <w:t>2019</w:t>
      </w:r>
      <w:r>
        <w:rPr>
          <w:bCs/>
          <w:color w:val="000000"/>
          <w:spacing w:val="-3"/>
          <w:sz w:val="22"/>
          <w:szCs w:val="22"/>
        </w:rPr>
        <w:t xml:space="preserve"> m. </w:t>
      </w:r>
      <w:r w:rsidRPr="007C2775">
        <w:rPr>
          <w:bCs/>
          <w:color w:val="000000"/>
          <w:spacing w:val="-3"/>
          <w:sz w:val="22"/>
          <w:szCs w:val="22"/>
        </w:rPr>
        <w:t xml:space="preserve"> kovo 28 d.</w:t>
      </w:r>
    </w:p>
    <w:p w:rsidR="007C2775" w:rsidRPr="00B461CE" w:rsidRDefault="007C2775" w:rsidP="009B7E2A">
      <w:pPr>
        <w:rPr>
          <w:b/>
          <w:bCs/>
          <w:color w:val="000000"/>
          <w:spacing w:val="-3"/>
          <w:sz w:val="22"/>
          <w:szCs w:val="22"/>
        </w:rPr>
      </w:pPr>
    </w:p>
    <w:p w:rsidR="009B7E2A" w:rsidRPr="00B461CE" w:rsidRDefault="009B7E2A" w:rsidP="009B7E2A">
      <w:pPr>
        <w:pStyle w:val="Paprastasistekstas"/>
        <w:tabs>
          <w:tab w:val="left" w:pos="5954"/>
          <w:tab w:val="left" w:pos="6237"/>
          <w:tab w:val="left" w:pos="6663"/>
          <w:tab w:val="left" w:pos="6946"/>
        </w:tabs>
        <w:rPr>
          <w:rFonts w:ascii="Times New Roman" w:hAnsi="Times New Roman"/>
          <w:sz w:val="22"/>
          <w:szCs w:val="22"/>
          <w:lang w:val="lt-LT"/>
        </w:rPr>
      </w:pPr>
      <w:r w:rsidRPr="00B461CE">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tinklalapyje </w:t>
      </w:r>
      <w:hyperlink r:id="rId11" w:history="1">
        <w:r w:rsidRPr="00B461CE">
          <w:rPr>
            <w:rStyle w:val="Hipersaitas"/>
            <w:noProof/>
            <w:sz w:val="22"/>
            <w:szCs w:val="22"/>
          </w:rPr>
          <w:t>http://www.</w:t>
        </w:r>
        <w:r w:rsidRPr="00B461CE">
          <w:rPr>
            <w:rStyle w:val="Hipersaitas"/>
            <w:sz w:val="22"/>
            <w:szCs w:val="22"/>
          </w:rPr>
          <w:t>vvkt.lt</w:t>
        </w:r>
      </w:hyperlink>
    </w:p>
    <w:p w:rsidR="009B7E2A" w:rsidRPr="00B461CE" w:rsidRDefault="009B7E2A" w:rsidP="009B7E2A">
      <w:pPr>
        <w:pStyle w:val="Paprastasistekstas"/>
        <w:tabs>
          <w:tab w:val="left" w:pos="5954"/>
          <w:tab w:val="left" w:pos="6237"/>
          <w:tab w:val="left" w:pos="6663"/>
          <w:tab w:val="left" w:pos="6946"/>
        </w:tabs>
        <w:jc w:val="center"/>
        <w:rPr>
          <w:rFonts w:ascii="Times New Roman" w:hAnsi="Times New Roman"/>
          <w:sz w:val="22"/>
          <w:szCs w:val="22"/>
          <w:lang w:val="lt-LT"/>
        </w:rPr>
      </w:pPr>
    </w:p>
    <w:p w:rsidR="009B7E2A" w:rsidRPr="00B461CE" w:rsidRDefault="009B7E2A" w:rsidP="009B7E2A">
      <w:pPr>
        <w:pStyle w:val="Paprastasistekstas"/>
        <w:tabs>
          <w:tab w:val="left" w:pos="5954"/>
          <w:tab w:val="left" w:pos="6237"/>
          <w:tab w:val="left" w:pos="6663"/>
          <w:tab w:val="left" w:pos="6946"/>
        </w:tabs>
        <w:jc w:val="center"/>
        <w:rPr>
          <w:rFonts w:ascii="Times New Roman" w:hAnsi="Times New Roman"/>
          <w:sz w:val="22"/>
          <w:szCs w:val="22"/>
          <w:lang w:val="lt-LT"/>
        </w:rPr>
      </w:pPr>
    </w:p>
    <w:p w:rsidR="009B7E2A" w:rsidRPr="00B461CE" w:rsidRDefault="009B7E2A" w:rsidP="009B7E2A">
      <w:pPr>
        <w:rPr>
          <w:sz w:val="22"/>
          <w:szCs w:val="22"/>
        </w:rPr>
      </w:pPr>
    </w:p>
    <w:p w:rsidR="009B7E2A" w:rsidRPr="00B461CE" w:rsidRDefault="009B7E2A" w:rsidP="009B7E2A">
      <w:pPr>
        <w:rPr>
          <w:color w:val="000000"/>
          <w:spacing w:val="-3"/>
          <w:sz w:val="22"/>
          <w:szCs w:val="22"/>
        </w:rPr>
      </w:pPr>
      <w:r w:rsidRPr="00B461CE">
        <w:rPr>
          <w:color w:val="000000"/>
          <w:spacing w:val="-3"/>
          <w:sz w:val="22"/>
          <w:szCs w:val="22"/>
        </w:rPr>
        <w:br w:type="page"/>
      </w: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rPr>
          <w:color w:val="000000"/>
          <w:spacing w:val="-3"/>
          <w:sz w:val="22"/>
          <w:szCs w:val="22"/>
        </w:rPr>
      </w:pPr>
    </w:p>
    <w:p w:rsidR="009B7E2A" w:rsidRPr="00B461CE" w:rsidRDefault="009B7E2A" w:rsidP="009B7E2A">
      <w:pPr>
        <w:jc w:val="center"/>
        <w:rPr>
          <w:b/>
          <w:bCs/>
          <w:color w:val="000000"/>
          <w:spacing w:val="-3"/>
          <w:sz w:val="22"/>
          <w:szCs w:val="22"/>
        </w:rPr>
      </w:pPr>
      <w:r w:rsidRPr="00B461CE">
        <w:rPr>
          <w:b/>
          <w:bCs/>
          <w:color w:val="000000"/>
          <w:spacing w:val="-3"/>
          <w:sz w:val="22"/>
          <w:szCs w:val="22"/>
        </w:rPr>
        <w:t>II PRIEDAS</w:t>
      </w:r>
    </w:p>
    <w:p w:rsidR="009B7E2A" w:rsidRPr="00B461CE" w:rsidRDefault="009B7E2A" w:rsidP="009B7E2A">
      <w:pPr>
        <w:jc w:val="center"/>
        <w:rPr>
          <w:b/>
          <w:bCs/>
          <w:color w:val="000000"/>
          <w:spacing w:val="-3"/>
          <w:sz w:val="22"/>
          <w:szCs w:val="22"/>
        </w:rPr>
      </w:pPr>
    </w:p>
    <w:p w:rsidR="009B7E2A" w:rsidRPr="00B461CE" w:rsidRDefault="009B7E2A" w:rsidP="009B7E2A">
      <w:pPr>
        <w:jc w:val="center"/>
        <w:rPr>
          <w:b/>
          <w:bCs/>
          <w:color w:val="000000"/>
          <w:spacing w:val="-3"/>
          <w:sz w:val="22"/>
          <w:szCs w:val="22"/>
        </w:rPr>
      </w:pPr>
      <w:r w:rsidRPr="00184906">
        <w:rPr>
          <w:b/>
          <w:bCs/>
          <w:color w:val="000000"/>
          <w:spacing w:val="-3"/>
          <w:sz w:val="22"/>
          <w:szCs w:val="22"/>
        </w:rPr>
        <w:t>REGISTRACIJOS SĄLYGOS</w:t>
      </w:r>
    </w:p>
    <w:p w:rsidR="009B7E2A" w:rsidRPr="00B461CE" w:rsidRDefault="009B7E2A" w:rsidP="009B7E2A">
      <w:pPr>
        <w:rPr>
          <w:b/>
          <w:bCs/>
          <w:color w:val="000000"/>
          <w:spacing w:val="-3"/>
          <w:sz w:val="22"/>
          <w:szCs w:val="22"/>
        </w:rPr>
      </w:pPr>
    </w:p>
    <w:p w:rsidR="009B7E2A" w:rsidRPr="00B461CE" w:rsidRDefault="009B7E2A" w:rsidP="009B7E2A">
      <w:pPr>
        <w:ind w:left="1701" w:hanging="708"/>
        <w:rPr>
          <w:b/>
          <w:bCs/>
          <w:color w:val="000000"/>
          <w:spacing w:val="-3"/>
          <w:sz w:val="22"/>
          <w:szCs w:val="22"/>
        </w:rPr>
      </w:pPr>
      <w:r w:rsidRPr="00B461CE">
        <w:rPr>
          <w:b/>
          <w:bCs/>
          <w:color w:val="000000"/>
          <w:spacing w:val="-3"/>
          <w:sz w:val="22"/>
          <w:szCs w:val="22"/>
        </w:rPr>
        <w:t>A.</w:t>
      </w:r>
      <w:r w:rsidRPr="00B461CE">
        <w:rPr>
          <w:b/>
          <w:bCs/>
          <w:color w:val="000000"/>
          <w:spacing w:val="-3"/>
          <w:sz w:val="22"/>
          <w:szCs w:val="22"/>
        </w:rPr>
        <w:tab/>
        <w:t>GAMINTOJAS (-IAI), ATSAKINGAS (-I)  UŽ SERIJŲ IŠLEIDIMĄ</w:t>
      </w:r>
    </w:p>
    <w:p w:rsidR="009B7E2A" w:rsidRPr="00B461CE" w:rsidRDefault="009B7E2A" w:rsidP="009B7E2A">
      <w:pPr>
        <w:ind w:left="1701" w:hanging="708"/>
        <w:rPr>
          <w:b/>
          <w:bCs/>
          <w:color w:val="000000"/>
          <w:spacing w:val="-3"/>
          <w:sz w:val="22"/>
          <w:szCs w:val="22"/>
        </w:rPr>
      </w:pPr>
    </w:p>
    <w:p w:rsidR="009B7E2A" w:rsidRPr="00B461CE" w:rsidRDefault="009B7E2A" w:rsidP="009B7E2A">
      <w:pPr>
        <w:ind w:left="1701" w:hanging="708"/>
        <w:rPr>
          <w:b/>
          <w:bCs/>
          <w:color w:val="000000"/>
          <w:spacing w:val="-3"/>
          <w:sz w:val="22"/>
          <w:szCs w:val="22"/>
        </w:rPr>
      </w:pPr>
      <w:r w:rsidRPr="00B461CE">
        <w:rPr>
          <w:b/>
          <w:bCs/>
          <w:color w:val="000000"/>
          <w:spacing w:val="-3"/>
          <w:sz w:val="22"/>
          <w:szCs w:val="22"/>
        </w:rPr>
        <w:t>B.</w:t>
      </w:r>
      <w:r w:rsidRPr="00B461CE">
        <w:rPr>
          <w:b/>
          <w:bCs/>
          <w:color w:val="000000"/>
          <w:spacing w:val="-3"/>
          <w:sz w:val="22"/>
          <w:szCs w:val="22"/>
        </w:rPr>
        <w:tab/>
        <w:t>TIEKIMO IR VARTOJIMO SĄLYGOS AR APRIBOJIMAI</w:t>
      </w:r>
    </w:p>
    <w:p w:rsidR="009B7E2A" w:rsidRPr="00B461CE" w:rsidRDefault="009B7E2A" w:rsidP="009B7E2A">
      <w:pPr>
        <w:ind w:left="1701" w:hanging="708"/>
        <w:rPr>
          <w:b/>
          <w:bCs/>
          <w:color w:val="000000"/>
          <w:spacing w:val="-3"/>
          <w:sz w:val="22"/>
          <w:szCs w:val="22"/>
        </w:rPr>
      </w:pPr>
    </w:p>
    <w:p w:rsidR="009B7E2A" w:rsidRPr="00B461CE" w:rsidRDefault="009B7E2A" w:rsidP="009B7E2A">
      <w:pPr>
        <w:ind w:left="1701" w:hanging="708"/>
        <w:rPr>
          <w:b/>
          <w:bCs/>
          <w:color w:val="000000"/>
          <w:spacing w:val="-3"/>
          <w:sz w:val="22"/>
          <w:szCs w:val="22"/>
        </w:rPr>
      </w:pPr>
    </w:p>
    <w:p w:rsidR="009B7E2A" w:rsidRPr="00B461CE" w:rsidRDefault="009B7E2A" w:rsidP="009B7E2A">
      <w:pPr>
        <w:rPr>
          <w:b/>
          <w:bCs/>
          <w:sz w:val="22"/>
          <w:szCs w:val="22"/>
        </w:rPr>
      </w:pPr>
      <w:r w:rsidRPr="00B461CE">
        <w:rPr>
          <w:b/>
          <w:bCs/>
          <w:color w:val="000000"/>
          <w:spacing w:val="-3"/>
          <w:sz w:val="22"/>
          <w:szCs w:val="22"/>
        </w:rPr>
        <w:br w:type="page"/>
      </w:r>
      <w:r w:rsidRPr="00B461CE">
        <w:rPr>
          <w:b/>
          <w:bCs/>
          <w:sz w:val="22"/>
          <w:szCs w:val="22"/>
        </w:rPr>
        <w:lastRenderedPageBreak/>
        <w:t>A. GAMINTOJAS(-AI), ATSAKINGAS(-I) UŽ SERIJŲ IŠLEIDIMĄ</w:t>
      </w:r>
    </w:p>
    <w:p w:rsidR="009B7E2A" w:rsidRPr="00B461CE" w:rsidRDefault="009B7E2A" w:rsidP="009B7E2A">
      <w:pPr>
        <w:rPr>
          <w:b/>
          <w:sz w:val="22"/>
          <w:szCs w:val="22"/>
        </w:rPr>
      </w:pPr>
    </w:p>
    <w:p w:rsidR="009B7E2A" w:rsidRPr="00B461CE" w:rsidRDefault="009B7E2A" w:rsidP="009B7E2A">
      <w:pPr>
        <w:rPr>
          <w:iCs/>
          <w:sz w:val="22"/>
          <w:szCs w:val="22"/>
          <w:u w:val="single"/>
        </w:rPr>
      </w:pPr>
      <w:r w:rsidRPr="00B461CE">
        <w:rPr>
          <w:iCs/>
          <w:sz w:val="22"/>
          <w:szCs w:val="22"/>
          <w:u w:val="single"/>
        </w:rPr>
        <w:t>Gamintojo (-ų), atsakingo (-ų) už serijų išleidimą, pavadinimas (-ai) ir adresas (-ai)</w:t>
      </w:r>
    </w:p>
    <w:p w:rsidR="009B7E2A" w:rsidRPr="00B461CE" w:rsidRDefault="009B7E2A" w:rsidP="009B7E2A">
      <w:pPr>
        <w:rPr>
          <w:sz w:val="22"/>
          <w:szCs w:val="22"/>
        </w:rPr>
      </w:pPr>
    </w:p>
    <w:p w:rsidR="009B7E2A" w:rsidRPr="00B461CE" w:rsidRDefault="009B7E2A" w:rsidP="009B7E2A">
      <w:pPr>
        <w:rPr>
          <w:sz w:val="22"/>
          <w:szCs w:val="22"/>
        </w:rPr>
      </w:pPr>
      <w:r w:rsidRPr="00B461CE">
        <w:rPr>
          <w:sz w:val="22"/>
          <w:szCs w:val="22"/>
        </w:rPr>
        <w:t>N.V. Organon</w:t>
      </w:r>
    </w:p>
    <w:p w:rsidR="009B7E2A" w:rsidRPr="00B461CE" w:rsidRDefault="009B7E2A" w:rsidP="009B7E2A">
      <w:pPr>
        <w:rPr>
          <w:sz w:val="22"/>
          <w:szCs w:val="22"/>
        </w:rPr>
      </w:pPr>
      <w:r w:rsidRPr="00B461CE">
        <w:rPr>
          <w:sz w:val="22"/>
          <w:szCs w:val="22"/>
        </w:rPr>
        <w:t>P.O. Box 20</w:t>
      </w:r>
    </w:p>
    <w:p w:rsidR="009B7E2A" w:rsidRPr="00B461CE" w:rsidRDefault="009B7E2A" w:rsidP="009B7E2A">
      <w:pPr>
        <w:rPr>
          <w:sz w:val="22"/>
          <w:szCs w:val="22"/>
        </w:rPr>
      </w:pPr>
      <w:r w:rsidRPr="00B461CE">
        <w:rPr>
          <w:sz w:val="22"/>
          <w:szCs w:val="22"/>
        </w:rPr>
        <w:t>5340, BH Oss</w:t>
      </w:r>
    </w:p>
    <w:p w:rsidR="009B7E2A" w:rsidRPr="00B461CE" w:rsidRDefault="009B7E2A" w:rsidP="009B7E2A">
      <w:pPr>
        <w:rPr>
          <w:sz w:val="22"/>
          <w:szCs w:val="22"/>
        </w:rPr>
      </w:pPr>
      <w:r w:rsidRPr="00B461CE">
        <w:rPr>
          <w:sz w:val="22"/>
          <w:szCs w:val="22"/>
        </w:rPr>
        <w:t>Nyderlandai</w:t>
      </w:r>
    </w:p>
    <w:p w:rsidR="009B7E2A" w:rsidRPr="00B461CE" w:rsidRDefault="009B7E2A" w:rsidP="009B7E2A">
      <w:pPr>
        <w:rPr>
          <w:sz w:val="22"/>
          <w:szCs w:val="22"/>
        </w:rPr>
      </w:pPr>
    </w:p>
    <w:p w:rsidR="009B7E2A" w:rsidRPr="00B461CE" w:rsidRDefault="009B7E2A" w:rsidP="009B7E2A">
      <w:pPr>
        <w:ind w:left="567" w:hanging="567"/>
        <w:rPr>
          <w:bCs/>
          <w:sz w:val="22"/>
          <w:szCs w:val="22"/>
        </w:rPr>
      </w:pPr>
      <w:r w:rsidRPr="00B461CE">
        <w:rPr>
          <w:sz w:val="22"/>
          <w:szCs w:val="22"/>
        </w:rPr>
        <w:t>Organon (Ireland)</w:t>
      </w:r>
      <w:r w:rsidRPr="00B461CE">
        <w:rPr>
          <w:bCs/>
          <w:sz w:val="22"/>
          <w:szCs w:val="22"/>
        </w:rPr>
        <w:t xml:space="preserve"> Limited</w:t>
      </w:r>
    </w:p>
    <w:p w:rsidR="009B7E2A" w:rsidRPr="00B461CE" w:rsidRDefault="009B7E2A" w:rsidP="009B7E2A">
      <w:pPr>
        <w:ind w:left="567" w:hanging="567"/>
        <w:rPr>
          <w:sz w:val="22"/>
          <w:szCs w:val="22"/>
        </w:rPr>
      </w:pPr>
      <w:r w:rsidRPr="00B461CE">
        <w:rPr>
          <w:sz w:val="22"/>
          <w:szCs w:val="22"/>
        </w:rPr>
        <w:t>P.O.Box 2857</w:t>
      </w:r>
    </w:p>
    <w:p w:rsidR="009B7E2A" w:rsidRPr="00B461CE" w:rsidRDefault="009B7E2A" w:rsidP="009B7E2A">
      <w:pPr>
        <w:ind w:left="567" w:hanging="567"/>
        <w:rPr>
          <w:sz w:val="22"/>
          <w:szCs w:val="22"/>
        </w:rPr>
      </w:pPr>
      <w:r w:rsidRPr="00B461CE">
        <w:rPr>
          <w:sz w:val="22"/>
          <w:szCs w:val="22"/>
        </w:rPr>
        <w:t>Drynam Road</w:t>
      </w:r>
    </w:p>
    <w:p w:rsidR="009B7E2A" w:rsidRPr="00B461CE" w:rsidRDefault="009B7E2A" w:rsidP="009B7E2A">
      <w:pPr>
        <w:ind w:left="567" w:hanging="567"/>
        <w:rPr>
          <w:sz w:val="22"/>
          <w:szCs w:val="22"/>
        </w:rPr>
      </w:pPr>
      <w:r w:rsidRPr="00B461CE">
        <w:rPr>
          <w:sz w:val="22"/>
          <w:szCs w:val="22"/>
        </w:rPr>
        <w:t>Swords, Co. Dublin</w:t>
      </w:r>
    </w:p>
    <w:p w:rsidR="009B7E2A" w:rsidRPr="00B461CE" w:rsidRDefault="009B7E2A" w:rsidP="009B7E2A">
      <w:pPr>
        <w:ind w:left="567" w:hanging="567"/>
        <w:rPr>
          <w:sz w:val="22"/>
          <w:szCs w:val="22"/>
        </w:rPr>
      </w:pPr>
      <w:r w:rsidRPr="00B461CE">
        <w:rPr>
          <w:sz w:val="22"/>
          <w:szCs w:val="22"/>
        </w:rPr>
        <w:t>Airija</w:t>
      </w:r>
    </w:p>
    <w:p w:rsidR="009B7E2A" w:rsidRPr="00B461CE" w:rsidRDefault="009B7E2A" w:rsidP="009B7E2A">
      <w:pPr>
        <w:rPr>
          <w:sz w:val="22"/>
          <w:szCs w:val="22"/>
        </w:rPr>
      </w:pPr>
    </w:p>
    <w:p w:rsidR="009B7E2A" w:rsidRPr="00B461CE" w:rsidRDefault="009B7E2A" w:rsidP="009B7E2A">
      <w:pPr>
        <w:rPr>
          <w:sz w:val="22"/>
          <w:szCs w:val="22"/>
        </w:rPr>
      </w:pPr>
      <w:r w:rsidRPr="00B461CE">
        <w:rPr>
          <w:sz w:val="22"/>
          <w:szCs w:val="22"/>
        </w:rPr>
        <w:t>Su pakuote pateikiamame lapelyje nurodomas gamintojo, atsakingo už konkrečios serijos išleidimą, pavadinimas ir adresas.</w:t>
      </w:r>
    </w:p>
    <w:p w:rsidR="009B7E2A" w:rsidRPr="00B461CE" w:rsidRDefault="009B7E2A" w:rsidP="009B7E2A">
      <w:pPr>
        <w:rPr>
          <w:sz w:val="22"/>
          <w:szCs w:val="22"/>
        </w:rPr>
      </w:pPr>
    </w:p>
    <w:p w:rsidR="009B7E2A" w:rsidRPr="00B461CE" w:rsidRDefault="009B7E2A" w:rsidP="009B7E2A">
      <w:pPr>
        <w:rPr>
          <w:sz w:val="22"/>
          <w:szCs w:val="22"/>
        </w:rPr>
      </w:pPr>
    </w:p>
    <w:p w:rsidR="009B7E2A" w:rsidRPr="00B461CE" w:rsidRDefault="009B7E2A" w:rsidP="009B7E2A">
      <w:pPr>
        <w:rPr>
          <w:b/>
          <w:sz w:val="22"/>
          <w:szCs w:val="22"/>
        </w:rPr>
      </w:pPr>
      <w:r w:rsidRPr="00B461CE">
        <w:rPr>
          <w:b/>
          <w:sz w:val="22"/>
          <w:szCs w:val="22"/>
        </w:rPr>
        <w:t>B. TIEKIMO IR VARTOJIMO SĄLYGOS AR APRIBOJIMAI</w:t>
      </w:r>
    </w:p>
    <w:p w:rsidR="009B7E2A" w:rsidRPr="00B461CE" w:rsidRDefault="009B7E2A" w:rsidP="009B7E2A">
      <w:pPr>
        <w:rPr>
          <w:b/>
          <w:sz w:val="22"/>
          <w:szCs w:val="22"/>
        </w:rPr>
      </w:pPr>
    </w:p>
    <w:p w:rsidR="009B7E2A" w:rsidRPr="00B461CE" w:rsidRDefault="009B7E2A" w:rsidP="009B7E2A">
      <w:pPr>
        <w:rPr>
          <w:sz w:val="22"/>
          <w:szCs w:val="22"/>
        </w:rPr>
      </w:pPr>
      <w:r w:rsidRPr="00B461CE">
        <w:rPr>
          <w:sz w:val="22"/>
          <w:szCs w:val="22"/>
        </w:rPr>
        <w:t>Receptinis vaistinis preparatas.</w:t>
      </w:r>
    </w:p>
    <w:p w:rsidR="009B7E2A" w:rsidRPr="00B461CE" w:rsidRDefault="009B7E2A" w:rsidP="009B7E2A">
      <w:pPr>
        <w:rPr>
          <w:b/>
          <w:sz w:val="22"/>
          <w:szCs w:val="22"/>
        </w:rPr>
      </w:pPr>
    </w:p>
    <w:p w:rsidR="009B7E2A" w:rsidRPr="00B461CE" w:rsidRDefault="009B7E2A" w:rsidP="009B7E2A">
      <w:pPr>
        <w:jc w:val="center"/>
        <w:rPr>
          <w:color w:val="000000"/>
          <w:sz w:val="22"/>
          <w:szCs w:val="22"/>
        </w:rPr>
      </w:pPr>
      <w:r w:rsidRPr="00B461CE">
        <w:rPr>
          <w:b/>
          <w:color w:val="000000"/>
          <w:sz w:val="22"/>
          <w:szCs w:val="22"/>
        </w:rPr>
        <w:br w:type="page"/>
      </w: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b/>
          <w:color w:val="000000"/>
          <w:sz w:val="22"/>
          <w:szCs w:val="22"/>
        </w:rPr>
      </w:pPr>
      <w:r w:rsidRPr="00B461CE">
        <w:rPr>
          <w:b/>
          <w:color w:val="000000"/>
          <w:sz w:val="22"/>
          <w:szCs w:val="22"/>
        </w:rPr>
        <w:t>III PRIEDAS</w:t>
      </w:r>
    </w:p>
    <w:p w:rsidR="009B7E2A" w:rsidRPr="00B461CE" w:rsidRDefault="009B7E2A" w:rsidP="009B7E2A">
      <w:pPr>
        <w:jc w:val="center"/>
        <w:rPr>
          <w:b/>
          <w:color w:val="000000"/>
          <w:sz w:val="22"/>
          <w:szCs w:val="22"/>
        </w:rPr>
      </w:pPr>
    </w:p>
    <w:p w:rsidR="009B7E2A" w:rsidRPr="00B461CE" w:rsidRDefault="009B7E2A" w:rsidP="009B7E2A">
      <w:pPr>
        <w:jc w:val="center"/>
        <w:rPr>
          <w:b/>
          <w:color w:val="000000"/>
          <w:sz w:val="22"/>
          <w:szCs w:val="22"/>
        </w:rPr>
      </w:pPr>
      <w:r w:rsidRPr="00B461CE">
        <w:rPr>
          <w:b/>
          <w:color w:val="000000"/>
          <w:sz w:val="22"/>
          <w:szCs w:val="22"/>
        </w:rPr>
        <w:t>ŽENKLINIMAS IR PAKUOTĖS LAPELIS</w:t>
      </w:r>
    </w:p>
    <w:p w:rsidR="009B7E2A" w:rsidRPr="00B461CE" w:rsidRDefault="009B7E2A" w:rsidP="009B7E2A">
      <w:pPr>
        <w:jc w:val="center"/>
        <w:rPr>
          <w:b/>
          <w:color w:val="000000"/>
          <w:sz w:val="22"/>
          <w:szCs w:val="22"/>
        </w:rPr>
      </w:pPr>
    </w:p>
    <w:p w:rsidR="009B7E2A" w:rsidRPr="00B461CE" w:rsidRDefault="009B7E2A" w:rsidP="009B7E2A">
      <w:pPr>
        <w:jc w:val="center"/>
        <w:rPr>
          <w:color w:val="000000"/>
          <w:sz w:val="22"/>
          <w:szCs w:val="22"/>
        </w:rPr>
      </w:pPr>
      <w:r w:rsidRPr="00B461CE">
        <w:rPr>
          <w:b/>
          <w:color w:val="000000"/>
          <w:sz w:val="22"/>
          <w:szCs w:val="22"/>
        </w:rPr>
        <w:br w:type="page"/>
      </w: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color w:val="000000"/>
          <w:sz w:val="22"/>
          <w:szCs w:val="22"/>
        </w:rPr>
      </w:pPr>
    </w:p>
    <w:p w:rsidR="009B7E2A" w:rsidRPr="00B461CE" w:rsidRDefault="009B7E2A" w:rsidP="009B7E2A">
      <w:pPr>
        <w:jc w:val="center"/>
        <w:rPr>
          <w:b/>
          <w:color w:val="000000"/>
          <w:sz w:val="22"/>
          <w:szCs w:val="22"/>
        </w:rPr>
      </w:pPr>
      <w:r w:rsidRPr="00B461CE">
        <w:rPr>
          <w:b/>
          <w:color w:val="000000"/>
          <w:sz w:val="22"/>
          <w:szCs w:val="22"/>
        </w:rPr>
        <w:t>A. ŽENKLINIMAS</w:t>
      </w:r>
    </w:p>
    <w:p w:rsidR="009B7E2A" w:rsidRPr="00B461CE" w:rsidRDefault="009B7E2A" w:rsidP="009B7E2A">
      <w:pPr>
        <w:jc w:val="center"/>
        <w:rPr>
          <w:b/>
          <w:color w:val="000000"/>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sidRPr="00B461CE">
        <w:rPr>
          <w:b/>
          <w:color w:val="000000"/>
          <w:sz w:val="22"/>
          <w:szCs w:val="22"/>
        </w:rPr>
        <w:br w:type="page"/>
      </w:r>
      <w:r>
        <w:rPr>
          <w:b/>
          <w:caps/>
          <w:sz w:val="22"/>
          <w:szCs w:val="22"/>
        </w:rPr>
        <w:lastRenderedPageBreak/>
        <w:t xml:space="preserve">Informacija ant </w:t>
      </w:r>
      <w:r>
        <w:rPr>
          <w:b/>
          <w:bCs/>
          <w:sz w:val="22"/>
          <w:szCs w:val="22"/>
        </w:rPr>
        <w:t>IŠORINĖS</w:t>
      </w:r>
      <w:r>
        <w:rPr>
          <w:b/>
          <w:caps/>
          <w:sz w:val="22"/>
          <w:szCs w:val="22"/>
        </w:rPr>
        <w:t>pakuotės</w:t>
      </w:r>
    </w:p>
    <w:p w:rsidR="009B7E2A" w:rsidRDefault="009B7E2A" w:rsidP="009B7E2A">
      <w:pPr>
        <w:pBdr>
          <w:top w:val="single" w:sz="4" w:space="1" w:color="auto"/>
          <w:left w:val="single" w:sz="4" w:space="4" w:color="auto"/>
          <w:bottom w:val="single" w:sz="4" w:space="1" w:color="auto"/>
          <w:right w:val="single" w:sz="4" w:space="4" w:color="auto"/>
        </w:pBdr>
        <w:rPr>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sz w:val="22"/>
          <w:szCs w:val="22"/>
        </w:rPr>
        <w:t>KARTONO DĖŽUTĖ</w:t>
      </w:r>
    </w:p>
    <w:p w:rsidR="009B7E2A" w:rsidRDefault="009B7E2A" w:rsidP="009B7E2A">
      <w:pPr>
        <w:rPr>
          <w:sz w:val="22"/>
          <w:szCs w:val="22"/>
        </w:rPr>
      </w:pPr>
    </w:p>
    <w:p w:rsidR="009B7E2A" w:rsidRDefault="009B7E2A" w:rsidP="009B7E2A">
      <w:pPr>
        <w:rPr>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1.</w:t>
      </w:r>
      <w:r>
        <w:rPr>
          <w:b/>
          <w:caps/>
          <w:sz w:val="22"/>
          <w:szCs w:val="22"/>
        </w:rPr>
        <w:tab/>
        <w:t>vaistinio preparato pavadinimas</w:t>
      </w:r>
    </w:p>
    <w:p w:rsidR="009B7E2A" w:rsidRDefault="009B7E2A" w:rsidP="009B7E2A">
      <w:pPr>
        <w:rPr>
          <w:sz w:val="22"/>
          <w:szCs w:val="22"/>
        </w:rPr>
      </w:pPr>
    </w:p>
    <w:p w:rsidR="009B7E2A" w:rsidRDefault="009B7E2A" w:rsidP="009B7E2A">
      <w:pPr>
        <w:rPr>
          <w:bCs/>
          <w:sz w:val="22"/>
          <w:szCs w:val="22"/>
        </w:rPr>
      </w:pPr>
      <w:r>
        <w:rPr>
          <w:bCs/>
          <w:sz w:val="22"/>
          <w:szCs w:val="22"/>
        </w:rPr>
        <w:t xml:space="preserve">Cerazette </w:t>
      </w:r>
      <w:r>
        <w:rPr>
          <w:sz w:val="22"/>
          <w:szCs w:val="22"/>
        </w:rPr>
        <w:t>75</w:t>
      </w:r>
      <w:r>
        <w:rPr>
          <w:bCs/>
          <w:sz w:val="22"/>
          <w:szCs w:val="22"/>
        </w:rPr>
        <w:t> </w:t>
      </w:r>
      <w:r>
        <w:rPr>
          <w:sz w:val="22"/>
          <w:szCs w:val="22"/>
        </w:rPr>
        <w:t>mikrogramai</w:t>
      </w:r>
      <w:r>
        <w:rPr>
          <w:bCs/>
          <w:sz w:val="22"/>
          <w:szCs w:val="22"/>
        </w:rPr>
        <w:t xml:space="preserve"> plėvele dengtos tabletės</w:t>
      </w:r>
    </w:p>
    <w:p w:rsidR="009B7E2A" w:rsidRDefault="009B7E2A" w:rsidP="009B7E2A">
      <w:pPr>
        <w:rPr>
          <w:sz w:val="22"/>
          <w:szCs w:val="22"/>
        </w:rPr>
      </w:pPr>
      <w:r>
        <w:rPr>
          <w:sz w:val="22"/>
          <w:szCs w:val="22"/>
        </w:rPr>
        <w:t>Desogestrelum</w:t>
      </w:r>
    </w:p>
    <w:p w:rsidR="009B7E2A" w:rsidRDefault="009B7E2A" w:rsidP="009B7E2A">
      <w:pPr>
        <w:rPr>
          <w:sz w:val="22"/>
          <w:szCs w:val="22"/>
        </w:rPr>
      </w:pPr>
    </w:p>
    <w:p w:rsidR="009B7E2A" w:rsidRDefault="009B7E2A" w:rsidP="009B7E2A">
      <w:pPr>
        <w:rPr>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2.</w:t>
      </w:r>
      <w:r>
        <w:rPr>
          <w:b/>
          <w:caps/>
          <w:sz w:val="22"/>
          <w:szCs w:val="22"/>
        </w:rPr>
        <w:tab/>
        <w:t>veikliOJI medžiagA ir JOS kiekis</w:t>
      </w:r>
    </w:p>
    <w:p w:rsidR="009B7E2A" w:rsidRDefault="009B7E2A" w:rsidP="009B7E2A">
      <w:pPr>
        <w:rPr>
          <w:sz w:val="22"/>
          <w:szCs w:val="22"/>
        </w:rPr>
      </w:pPr>
    </w:p>
    <w:p w:rsidR="009B7E2A" w:rsidRDefault="009B7E2A" w:rsidP="009B7E2A">
      <w:pPr>
        <w:rPr>
          <w:sz w:val="22"/>
          <w:szCs w:val="22"/>
        </w:rPr>
      </w:pPr>
      <w:r>
        <w:rPr>
          <w:sz w:val="22"/>
          <w:szCs w:val="22"/>
        </w:rPr>
        <w:t>Vienoje tabletėje yra 75 mikrogramai dezogestrelio.</w:t>
      </w:r>
    </w:p>
    <w:p w:rsidR="009B7E2A" w:rsidRDefault="009B7E2A" w:rsidP="009B7E2A">
      <w:pPr>
        <w:rPr>
          <w:sz w:val="22"/>
          <w:szCs w:val="22"/>
        </w:rPr>
      </w:pPr>
    </w:p>
    <w:p w:rsidR="009B7E2A" w:rsidRDefault="009B7E2A" w:rsidP="009B7E2A">
      <w:pPr>
        <w:rPr>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3.</w:t>
      </w:r>
      <w:r>
        <w:rPr>
          <w:b/>
          <w:caps/>
          <w:sz w:val="22"/>
          <w:szCs w:val="22"/>
        </w:rPr>
        <w:tab/>
        <w:t>pagalbinių medžiagų sąrašas</w:t>
      </w:r>
    </w:p>
    <w:p w:rsidR="009B7E2A" w:rsidRDefault="009B7E2A" w:rsidP="009B7E2A">
      <w:pPr>
        <w:rPr>
          <w:caps/>
          <w:sz w:val="22"/>
          <w:szCs w:val="22"/>
        </w:rPr>
      </w:pPr>
    </w:p>
    <w:p w:rsidR="009B7E2A" w:rsidRDefault="009B7E2A" w:rsidP="009B7E2A">
      <w:pPr>
        <w:rPr>
          <w:sz w:val="22"/>
          <w:szCs w:val="22"/>
        </w:rPr>
      </w:pPr>
      <w:r>
        <w:rPr>
          <w:sz w:val="22"/>
          <w:szCs w:val="22"/>
        </w:rPr>
        <w:t>Sudėtyje yra laktozės monohidrato.</w:t>
      </w:r>
    </w:p>
    <w:p w:rsidR="009B7E2A" w:rsidRDefault="009B7E2A" w:rsidP="009B7E2A">
      <w:pPr>
        <w:tabs>
          <w:tab w:val="left" w:pos="567"/>
        </w:tabs>
        <w:spacing w:line="260" w:lineRule="exact"/>
        <w:rPr>
          <w:rFonts w:eastAsia="SimSun"/>
          <w:sz w:val="22"/>
          <w:szCs w:val="22"/>
          <w:lang w:eastAsia="zh-CN"/>
        </w:rPr>
      </w:pPr>
      <w:r>
        <w:rPr>
          <w:rFonts w:eastAsia="SimSun"/>
          <w:sz w:val="22"/>
          <w:szCs w:val="22"/>
          <w:lang w:eastAsia="zh-CN"/>
        </w:rPr>
        <w:t>Daugiau informacijos rasite pakuotės lapelyje.</w:t>
      </w:r>
    </w:p>
    <w:p w:rsidR="009B7E2A" w:rsidRDefault="009B7E2A" w:rsidP="009B7E2A">
      <w:pPr>
        <w:rPr>
          <w:caps/>
          <w:sz w:val="22"/>
          <w:szCs w:val="22"/>
        </w:rPr>
      </w:pPr>
    </w:p>
    <w:p w:rsidR="009B7E2A" w:rsidRDefault="009B7E2A" w:rsidP="009B7E2A">
      <w:pPr>
        <w:rPr>
          <w:caps/>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4.</w:t>
      </w:r>
      <w:r>
        <w:rPr>
          <w:b/>
          <w:caps/>
          <w:sz w:val="22"/>
          <w:szCs w:val="22"/>
        </w:rPr>
        <w:tab/>
        <w:t>FARMACINĖ forma ir KIEKIS PAKUOTĖJE</w:t>
      </w:r>
    </w:p>
    <w:p w:rsidR="009B7E2A" w:rsidRDefault="009B7E2A" w:rsidP="009B7E2A">
      <w:pPr>
        <w:rPr>
          <w:caps/>
          <w:sz w:val="22"/>
          <w:szCs w:val="22"/>
        </w:rPr>
      </w:pPr>
    </w:p>
    <w:p w:rsidR="009B7E2A" w:rsidRDefault="009B7E2A" w:rsidP="009B7E2A">
      <w:pPr>
        <w:rPr>
          <w:sz w:val="22"/>
          <w:szCs w:val="22"/>
        </w:rPr>
      </w:pPr>
      <w:r>
        <w:rPr>
          <w:sz w:val="22"/>
          <w:szCs w:val="22"/>
        </w:rPr>
        <w:t>28 plėvele dengtos tabletės</w:t>
      </w:r>
    </w:p>
    <w:p w:rsidR="009B7E2A" w:rsidRDefault="009B7E2A" w:rsidP="009B7E2A">
      <w:pPr>
        <w:rPr>
          <w:sz w:val="22"/>
          <w:szCs w:val="22"/>
        </w:rPr>
      </w:pPr>
      <w:r>
        <w:rPr>
          <w:sz w:val="22"/>
          <w:szCs w:val="22"/>
          <w:shd w:val="clear" w:color="auto" w:fill="BFBFBF" w:themeFill="background1" w:themeFillShade="BF"/>
        </w:rPr>
        <w:t>3 x 28 plėvele dengtos tabletės</w:t>
      </w:r>
    </w:p>
    <w:p w:rsidR="009B7E2A" w:rsidRDefault="009B7E2A" w:rsidP="009B7E2A">
      <w:pPr>
        <w:rPr>
          <w:sz w:val="22"/>
          <w:szCs w:val="22"/>
        </w:rPr>
      </w:pPr>
    </w:p>
    <w:p w:rsidR="009B7E2A" w:rsidRDefault="009B7E2A" w:rsidP="009B7E2A">
      <w:pPr>
        <w:rPr>
          <w:caps/>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5.</w:t>
      </w:r>
      <w:r>
        <w:rPr>
          <w:b/>
          <w:caps/>
          <w:sz w:val="22"/>
          <w:szCs w:val="22"/>
        </w:rPr>
        <w:tab/>
        <w:t>vartojimo METODAS IR būdas</w:t>
      </w:r>
    </w:p>
    <w:p w:rsidR="009B7E2A" w:rsidRDefault="009B7E2A" w:rsidP="009B7E2A">
      <w:pPr>
        <w:rPr>
          <w:caps/>
          <w:sz w:val="22"/>
          <w:szCs w:val="22"/>
        </w:rPr>
      </w:pPr>
    </w:p>
    <w:p w:rsidR="009B7E2A" w:rsidRDefault="009B7E2A" w:rsidP="009B7E2A">
      <w:pPr>
        <w:rPr>
          <w:sz w:val="22"/>
          <w:szCs w:val="22"/>
        </w:rPr>
      </w:pPr>
      <w:r>
        <w:rPr>
          <w:sz w:val="22"/>
          <w:szCs w:val="22"/>
        </w:rPr>
        <w:t>Vartoti per burną</w:t>
      </w:r>
    </w:p>
    <w:p w:rsidR="009B7E2A" w:rsidRDefault="009B7E2A" w:rsidP="009B7E2A">
      <w:pPr>
        <w:rPr>
          <w:caps/>
          <w:sz w:val="22"/>
          <w:szCs w:val="22"/>
        </w:rPr>
      </w:pPr>
      <w:r>
        <w:rPr>
          <w:sz w:val="22"/>
          <w:szCs w:val="22"/>
        </w:rPr>
        <w:t>Prieš vartojimą perskaitykite pakuotės lapelį.</w:t>
      </w:r>
    </w:p>
    <w:p w:rsidR="009B7E2A" w:rsidRDefault="009B7E2A" w:rsidP="009B7E2A">
      <w:pPr>
        <w:rPr>
          <w:caps/>
          <w:sz w:val="22"/>
          <w:szCs w:val="22"/>
        </w:rPr>
      </w:pPr>
    </w:p>
    <w:p w:rsidR="009B7E2A" w:rsidRDefault="009B7E2A" w:rsidP="009B7E2A">
      <w:pPr>
        <w:rPr>
          <w:caps/>
          <w:sz w:val="22"/>
          <w:szCs w:val="22"/>
        </w:rPr>
      </w:pPr>
    </w:p>
    <w:p w:rsidR="009B7E2A" w:rsidRDefault="009B7E2A" w:rsidP="009B7E2A">
      <w:pPr>
        <w:pBdr>
          <w:top w:val="single" w:sz="4" w:space="1" w:color="auto"/>
          <w:left w:val="single" w:sz="4" w:space="4" w:color="auto"/>
          <w:bottom w:val="single" w:sz="4" w:space="1" w:color="auto"/>
          <w:right w:val="single" w:sz="4" w:space="4" w:color="auto"/>
        </w:pBdr>
        <w:ind w:left="709" w:hanging="709"/>
        <w:rPr>
          <w:b/>
          <w:caps/>
          <w:sz w:val="22"/>
          <w:szCs w:val="22"/>
        </w:rPr>
      </w:pPr>
      <w:r>
        <w:rPr>
          <w:b/>
          <w:caps/>
          <w:sz w:val="22"/>
          <w:szCs w:val="22"/>
        </w:rPr>
        <w:t>6.</w:t>
      </w:r>
      <w:r>
        <w:rPr>
          <w:b/>
          <w:caps/>
          <w:sz w:val="22"/>
          <w:szCs w:val="22"/>
        </w:rPr>
        <w:tab/>
        <w:t>SPECIALUS Įspėjimas</w:t>
      </w:r>
      <w:r>
        <w:rPr>
          <w:sz w:val="22"/>
          <w:szCs w:val="22"/>
        </w:rPr>
        <w:t xml:space="preserve">, </w:t>
      </w:r>
      <w:r>
        <w:rPr>
          <w:b/>
          <w:bCs/>
          <w:sz w:val="22"/>
          <w:szCs w:val="22"/>
        </w:rPr>
        <w:t xml:space="preserve">KAD VAISTINĮ PREPARATĄ BŪTINA LAIKYTI </w:t>
      </w:r>
      <w:r>
        <w:rPr>
          <w:b/>
          <w:caps/>
          <w:sz w:val="22"/>
          <w:szCs w:val="22"/>
        </w:rPr>
        <w:t>vaikams nepastebimoje IR nepasiekiamoje vietoje</w:t>
      </w:r>
    </w:p>
    <w:p w:rsidR="009B7E2A" w:rsidRDefault="009B7E2A" w:rsidP="009B7E2A">
      <w:pPr>
        <w:rPr>
          <w:sz w:val="22"/>
          <w:szCs w:val="22"/>
        </w:rPr>
      </w:pPr>
    </w:p>
    <w:p w:rsidR="009B7E2A" w:rsidRDefault="009B7E2A" w:rsidP="009B7E2A">
      <w:pPr>
        <w:rPr>
          <w:sz w:val="22"/>
          <w:szCs w:val="22"/>
        </w:rPr>
      </w:pPr>
      <w:r>
        <w:rPr>
          <w:sz w:val="22"/>
          <w:szCs w:val="22"/>
        </w:rPr>
        <w:t>Laikyti vaikams nepastebimoje ir nepasiekiamoje vietoje.</w:t>
      </w:r>
    </w:p>
    <w:p w:rsidR="009B7E2A" w:rsidRDefault="009B7E2A" w:rsidP="009B7E2A">
      <w:pPr>
        <w:rPr>
          <w:sz w:val="22"/>
          <w:szCs w:val="22"/>
        </w:rPr>
      </w:pPr>
    </w:p>
    <w:p w:rsidR="009B7E2A" w:rsidRDefault="009B7E2A" w:rsidP="009B7E2A">
      <w:pPr>
        <w:rPr>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7.</w:t>
      </w:r>
      <w:r>
        <w:rPr>
          <w:b/>
          <w:caps/>
          <w:sz w:val="22"/>
          <w:szCs w:val="22"/>
        </w:rPr>
        <w:tab/>
        <w:t>kitas specialus Įspėjimas (jei reikia)</w:t>
      </w:r>
    </w:p>
    <w:p w:rsidR="009B7E2A" w:rsidRDefault="009B7E2A" w:rsidP="009B7E2A">
      <w:pPr>
        <w:rPr>
          <w:caps/>
          <w:sz w:val="22"/>
          <w:szCs w:val="22"/>
        </w:rPr>
      </w:pPr>
    </w:p>
    <w:p w:rsidR="009B7E2A" w:rsidRDefault="009B7E2A" w:rsidP="009B7E2A">
      <w:pPr>
        <w:rPr>
          <w:caps/>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8.</w:t>
      </w:r>
      <w:r>
        <w:rPr>
          <w:b/>
          <w:caps/>
          <w:sz w:val="22"/>
          <w:szCs w:val="22"/>
        </w:rPr>
        <w:tab/>
        <w:t>tinkamumo laikas</w:t>
      </w:r>
    </w:p>
    <w:p w:rsidR="009B7E2A" w:rsidRDefault="009B7E2A" w:rsidP="009B7E2A">
      <w:pPr>
        <w:rPr>
          <w:sz w:val="22"/>
          <w:szCs w:val="22"/>
        </w:rPr>
      </w:pPr>
    </w:p>
    <w:p w:rsidR="009B7E2A" w:rsidRDefault="009B7E2A" w:rsidP="009B7E2A">
      <w:pPr>
        <w:rPr>
          <w:sz w:val="22"/>
          <w:szCs w:val="22"/>
        </w:rPr>
      </w:pPr>
      <w:r>
        <w:rPr>
          <w:sz w:val="22"/>
          <w:szCs w:val="22"/>
        </w:rPr>
        <w:t>EXP {mm/MMMM}</w:t>
      </w:r>
    </w:p>
    <w:p w:rsidR="009B7E2A" w:rsidRDefault="009B7E2A" w:rsidP="009B7E2A">
      <w:pPr>
        <w:rPr>
          <w:color w:val="000000"/>
          <w:spacing w:val="-3"/>
          <w:sz w:val="22"/>
          <w:szCs w:val="22"/>
        </w:rPr>
      </w:pPr>
      <w:r>
        <w:rPr>
          <w:sz w:val="22"/>
          <w:szCs w:val="22"/>
        </w:rPr>
        <w:t>Tinkamumo laikas pirmą kartą atidarius paketėlį: 1 mėnuo.</w:t>
      </w:r>
    </w:p>
    <w:p w:rsidR="009B7E2A" w:rsidRDefault="009B7E2A" w:rsidP="009B7E2A">
      <w:pPr>
        <w:rPr>
          <w:sz w:val="22"/>
          <w:szCs w:val="22"/>
        </w:rPr>
      </w:pPr>
    </w:p>
    <w:p w:rsidR="009B7E2A" w:rsidRDefault="009B7E2A" w:rsidP="009B7E2A">
      <w:pPr>
        <w:rPr>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lastRenderedPageBreak/>
        <w:t>9.</w:t>
      </w:r>
      <w:r>
        <w:rPr>
          <w:b/>
          <w:caps/>
          <w:sz w:val="22"/>
          <w:szCs w:val="22"/>
        </w:rPr>
        <w:tab/>
        <w:t>SPECIALIOS laikymo sąlygos</w:t>
      </w:r>
    </w:p>
    <w:p w:rsidR="009B7E2A" w:rsidRDefault="009B7E2A" w:rsidP="009B7E2A">
      <w:pPr>
        <w:rPr>
          <w:sz w:val="22"/>
          <w:szCs w:val="22"/>
        </w:rPr>
      </w:pPr>
    </w:p>
    <w:p w:rsidR="009B7E2A" w:rsidRDefault="009B7E2A" w:rsidP="009B7E2A">
      <w:pPr>
        <w:rPr>
          <w:sz w:val="22"/>
          <w:szCs w:val="22"/>
        </w:rPr>
      </w:pPr>
      <w:r>
        <w:rPr>
          <w:sz w:val="22"/>
          <w:szCs w:val="22"/>
        </w:rPr>
        <w:t>Lizdinę plokštelę laikyti gamintojo pakuotėje, kad vaistas būtų apsaugotas nuo šviesos ir drėgmės.</w:t>
      </w:r>
    </w:p>
    <w:p w:rsidR="009B7E2A" w:rsidRDefault="009B7E2A" w:rsidP="009B7E2A">
      <w:pPr>
        <w:rPr>
          <w:sz w:val="22"/>
          <w:szCs w:val="22"/>
        </w:rPr>
      </w:pPr>
    </w:p>
    <w:p w:rsidR="009B7E2A" w:rsidRDefault="009B7E2A" w:rsidP="009B7E2A">
      <w:pPr>
        <w:rPr>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10.</w:t>
      </w:r>
      <w:r>
        <w:rPr>
          <w:b/>
          <w:caps/>
          <w:sz w:val="22"/>
          <w:szCs w:val="22"/>
        </w:rPr>
        <w:tab/>
        <w:t>specialios atsargumo priemonės</w:t>
      </w:r>
      <w:r>
        <w:rPr>
          <w:b/>
          <w:bCs/>
          <w:sz w:val="22"/>
          <w:szCs w:val="22"/>
        </w:rPr>
        <w:t xml:space="preserve"> DĖL NESUVARTOTO VAISTINIO PREPARATO AR JO ATLIEKŲ TVARKYMO (JEI REIKIA)</w:t>
      </w:r>
    </w:p>
    <w:p w:rsidR="009B7E2A" w:rsidRDefault="009B7E2A" w:rsidP="009B7E2A">
      <w:pPr>
        <w:rPr>
          <w:caps/>
          <w:sz w:val="22"/>
          <w:szCs w:val="22"/>
        </w:rPr>
      </w:pPr>
    </w:p>
    <w:p w:rsidR="009B7E2A" w:rsidRDefault="009B7E2A" w:rsidP="009B7E2A">
      <w:pPr>
        <w:rPr>
          <w:caps/>
          <w:sz w:val="22"/>
          <w:szCs w:val="22"/>
        </w:rPr>
      </w:pPr>
    </w:p>
    <w:p w:rsidR="009B7E2A" w:rsidRDefault="009B7E2A" w:rsidP="009B7E2A">
      <w:pPr>
        <w:pBdr>
          <w:top w:val="single" w:sz="4" w:space="0" w:color="auto"/>
          <w:left w:val="single" w:sz="4" w:space="4" w:color="auto"/>
          <w:bottom w:val="single" w:sz="4" w:space="1" w:color="auto"/>
          <w:right w:val="single" w:sz="4" w:space="4" w:color="auto"/>
        </w:pBdr>
        <w:rPr>
          <w:b/>
          <w:caps/>
          <w:sz w:val="22"/>
          <w:szCs w:val="22"/>
        </w:rPr>
      </w:pPr>
      <w:r>
        <w:rPr>
          <w:b/>
          <w:caps/>
          <w:sz w:val="22"/>
          <w:szCs w:val="22"/>
        </w:rPr>
        <w:t>11.</w:t>
      </w:r>
      <w:r>
        <w:rPr>
          <w:b/>
          <w:caps/>
          <w:sz w:val="22"/>
          <w:szCs w:val="22"/>
        </w:rPr>
        <w:tab/>
        <w:t>REGISTRUOTOJO pavadinimas ir adresas</w:t>
      </w:r>
    </w:p>
    <w:p w:rsidR="009B7E2A" w:rsidRDefault="009B7E2A" w:rsidP="009B7E2A">
      <w:pPr>
        <w:rPr>
          <w:caps/>
          <w:sz w:val="22"/>
          <w:szCs w:val="22"/>
        </w:rPr>
      </w:pPr>
    </w:p>
    <w:p w:rsidR="009B7E2A" w:rsidRDefault="009B7E2A" w:rsidP="009B7E2A">
      <w:pPr>
        <w:jc w:val="both"/>
        <w:rPr>
          <w:sz w:val="22"/>
          <w:szCs w:val="22"/>
        </w:rPr>
      </w:pPr>
      <w:r>
        <w:rPr>
          <w:sz w:val="22"/>
          <w:szCs w:val="22"/>
        </w:rPr>
        <w:t xml:space="preserve">Merck Sharp &amp; Dohme B.V. </w:t>
      </w:r>
    </w:p>
    <w:p w:rsidR="009B7E2A" w:rsidRDefault="009B7E2A" w:rsidP="009B7E2A">
      <w:pPr>
        <w:jc w:val="both"/>
        <w:rPr>
          <w:sz w:val="22"/>
          <w:szCs w:val="22"/>
        </w:rPr>
      </w:pPr>
      <w:r>
        <w:rPr>
          <w:sz w:val="22"/>
          <w:szCs w:val="22"/>
        </w:rPr>
        <w:t xml:space="preserve">Waarderweg 39 </w:t>
      </w:r>
    </w:p>
    <w:p w:rsidR="009B7E2A" w:rsidRDefault="009B7E2A" w:rsidP="009B7E2A">
      <w:pPr>
        <w:jc w:val="both"/>
        <w:rPr>
          <w:sz w:val="22"/>
          <w:szCs w:val="22"/>
        </w:rPr>
      </w:pPr>
      <w:r>
        <w:rPr>
          <w:sz w:val="22"/>
          <w:szCs w:val="22"/>
        </w:rPr>
        <w:t xml:space="preserve">2031 BN Haarlem </w:t>
      </w:r>
    </w:p>
    <w:p w:rsidR="009B7E2A" w:rsidRDefault="009B7E2A" w:rsidP="009B7E2A">
      <w:pPr>
        <w:jc w:val="both"/>
        <w:rPr>
          <w:sz w:val="22"/>
          <w:szCs w:val="22"/>
        </w:rPr>
      </w:pPr>
      <w:r>
        <w:rPr>
          <w:sz w:val="22"/>
          <w:szCs w:val="22"/>
        </w:rPr>
        <w:t>Nyderlandai</w:t>
      </w:r>
    </w:p>
    <w:p w:rsidR="009B7E2A" w:rsidRDefault="009B7E2A" w:rsidP="009B7E2A">
      <w:pPr>
        <w:rPr>
          <w:sz w:val="22"/>
          <w:szCs w:val="22"/>
        </w:rPr>
      </w:pPr>
    </w:p>
    <w:p w:rsidR="009B7E2A" w:rsidRDefault="009B7E2A" w:rsidP="009B7E2A">
      <w:pPr>
        <w:rPr>
          <w:caps/>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12.</w:t>
      </w:r>
      <w:r>
        <w:rPr>
          <w:b/>
          <w:caps/>
          <w:sz w:val="22"/>
          <w:szCs w:val="22"/>
        </w:rPr>
        <w:tab/>
        <w:t>REGISTRACIJOS PAŽYMĖJIMOnumerIS (-iAI)</w:t>
      </w:r>
    </w:p>
    <w:p w:rsidR="009B7E2A" w:rsidRDefault="009B7E2A" w:rsidP="009B7E2A">
      <w:pPr>
        <w:rPr>
          <w:sz w:val="22"/>
          <w:szCs w:val="22"/>
        </w:rPr>
      </w:pPr>
    </w:p>
    <w:p w:rsidR="009B7E2A" w:rsidRDefault="009B7E2A" w:rsidP="009B7E2A">
      <w:pPr>
        <w:rPr>
          <w:color w:val="000000"/>
          <w:sz w:val="22"/>
          <w:szCs w:val="22"/>
        </w:rPr>
      </w:pPr>
      <w:r>
        <w:rPr>
          <w:color w:val="000000"/>
          <w:spacing w:val="-3"/>
          <w:sz w:val="22"/>
          <w:szCs w:val="22"/>
          <w:shd w:val="clear" w:color="auto" w:fill="BFBFBF" w:themeFill="background1" w:themeFillShade="BF"/>
        </w:rPr>
        <w:t xml:space="preserve">N1x28 - </w:t>
      </w:r>
      <w:r>
        <w:rPr>
          <w:color w:val="000000"/>
          <w:sz w:val="22"/>
          <w:szCs w:val="22"/>
        </w:rPr>
        <w:t>LT/1/</w:t>
      </w:r>
      <w:r>
        <w:rPr>
          <w:color w:val="000000"/>
          <w:spacing w:val="-3"/>
          <w:sz w:val="22"/>
          <w:szCs w:val="22"/>
        </w:rPr>
        <w:t>01/1170/001</w:t>
      </w:r>
    </w:p>
    <w:p w:rsidR="009B7E2A" w:rsidRDefault="009B7E2A" w:rsidP="009B7E2A">
      <w:pPr>
        <w:rPr>
          <w:color w:val="000000"/>
          <w:spacing w:val="-3"/>
          <w:sz w:val="22"/>
          <w:szCs w:val="22"/>
          <w:highlight w:val="lightGray"/>
        </w:rPr>
      </w:pPr>
      <w:r>
        <w:rPr>
          <w:color w:val="000000"/>
          <w:spacing w:val="-3"/>
          <w:sz w:val="22"/>
          <w:szCs w:val="22"/>
          <w:shd w:val="clear" w:color="auto" w:fill="BFBFBF" w:themeFill="background1" w:themeFillShade="BF"/>
        </w:rPr>
        <w:t>N3x28 - LT/1/01/1170/002</w:t>
      </w:r>
    </w:p>
    <w:p w:rsidR="009B7E2A" w:rsidRDefault="009B7E2A" w:rsidP="009B7E2A">
      <w:pPr>
        <w:rPr>
          <w:sz w:val="22"/>
          <w:szCs w:val="22"/>
        </w:rPr>
      </w:pPr>
    </w:p>
    <w:p w:rsidR="009B7E2A" w:rsidRDefault="009B7E2A" w:rsidP="009B7E2A">
      <w:pPr>
        <w:rPr>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13.</w:t>
      </w:r>
      <w:r>
        <w:rPr>
          <w:b/>
          <w:caps/>
          <w:sz w:val="22"/>
          <w:szCs w:val="22"/>
        </w:rPr>
        <w:tab/>
        <w:t>serijos numeris</w:t>
      </w:r>
    </w:p>
    <w:p w:rsidR="009B7E2A" w:rsidRDefault="009B7E2A" w:rsidP="009B7E2A">
      <w:pPr>
        <w:rPr>
          <w:sz w:val="22"/>
          <w:szCs w:val="22"/>
        </w:rPr>
      </w:pPr>
    </w:p>
    <w:p w:rsidR="009B7E2A" w:rsidRDefault="009B7E2A" w:rsidP="009B7E2A">
      <w:pPr>
        <w:rPr>
          <w:sz w:val="22"/>
          <w:szCs w:val="22"/>
        </w:rPr>
      </w:pPr>
      <w:r>
        <w:rPr>
          <w:sz w:val="22"/>
          <w:szCs w:val="22"/>
        </w:rPr>
        <w:t>Lot {numeris}</w:t>
      </w:r>
    </w:p>
    <w:p w:rsidR="009B7E2A" w:rsidRDefault="009B7E2A" w:rsidP="009B7E2A">
      <w:pPr>
        <w:rPr>
          <w:sz w:val="22"/>
          <w:szCs w:val="22"/>
        </w:rPr>
      </w:pPr>
    </w:p>
    <w:p w:rsidR="009B7E2A" w:rsidRDefault="009B7E2A" w:rsidP="009B7E2A">
      <w:pPr>
        <w:rPr>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14.</w:t>
      </w:r>
      <w:r>
        <w:rPr>
          <w:b/>
          <w:caps/>
          <w:sz w:val="22"/>
          <w:szCs w:val="22"/>
        </w:rPr>
        <w:tab/>
        <w:t>PARDAVIMO (IŠDAVIMO) tvarka</w:t>
      </w:r>
    </w:p>
    <w:p w:rsidR="009B7E2A" w:rsidRDefault="009B7E2A" w:rsidP="009B7E2A">
      <w:pPr>
        <w:rPr>
          <w:sz w:val="22"/>
          <w:szCs w:val="22"/>
        </w:rPr>
      </w:pPr>
    </w:p>
    <w:p w:rsidR="009B7E2A" w:rsidRDefault="009B7E2A" w:rsidP="009B7E2A">
      <w:pPr>
        <w:rPr>
          <w:sz w:val="22"/>
          <w:szCs w:val="22"/>
        </w:rPr>
      </w:pPr>
      <w:r>
        <w:rPr>
          <w:sz w:val="22"/>
          <w:szCs w:val="22"/>
        </w:rPr>
        <w:t>Receptinis vaistas.</w:t>
      </w:r>
    </w:p>
    <w:p w:rsidR="009B7E2A" w:rsidRDefault="009B7E2A" w:rsidP="009B7E2A">
      <w:pPr>
        <w:rPr>
          <w:sz w:val="22"/>
          <w:szCs w:val="22"/>
        </w:rPr>
      </w:pPr>
    </w:p>
    <w:p w:rsidR="009B7E2A" w:rsidRDefault="009B7E2A" w:rsidP="009B7E2A">
      <w:pPr>
        <w:rPr>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15.</w:t>
      </w:r>
      <w:r>
        <w:rPr>
          <w:b/>
          <w:caps/>
          <w:sz w:val="22"/>
          <w:szCs w:val="22"/>
        </w:rPr>
        <w:tab/>
        <w:t>vartojimo instrukcijA</w:t>
      </w:r>
    </w:p>
    <w:p w:rsidR="009B7E2A" w:rsidRDefault="009B7E2A" w:rsidP="009B7E2A">
      <w:pPr>
        <w:rPr>
          <w:sz w:val="22"/>
          <w:szCs w:val="22"/>
        </w:rPr>
      </w:pPr>
    </w:p>
    <w:p w:rsidR="009B7E2A" w:rsidRDefault="009B7E2A" w:rsidP="009B7E2A">
      <w:pPr>
        <w:rPr>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16.</w:t>
      </w:r>
      <w:r>
        <w:rPr>
          <w:b/>
          <w:caps/>
          <w:sz w:val="22"/>
          <w:szCs w:val="22"/>
        </w:rPr>
        <w:tab/>
        <w:t>INFORMACIJA BRAILIO RAŠTU</w:t>
      </w:r>
    </w:p>
    <w:p w:rsidR="009B7E2A" w:rsidRDefault="009B7E2A" w:rsidP="009B7E2A">
      <w:pPr>
        <w:rPr>
          <w:sz w:val="22"/>
          <w:szCs w:val="22"/>
        </w:rPr>
      </w:pPr>
    </w:p>
    <w:p w:rsidR="009B7E2A" w:rsidRDefault="009B7E2A" w:rsidP="009B7E2A">
      <w:pPr>
        <w:rPr>
          <w:sz w:val="22"/>
          <w:szCs w:val="22"/>
        </w:rPr>
      </w:pPr>
      <w:r>
        <w:rPr>
          <w:sz w:val="22"/>
          <w:szCs w:val="22"/>
        </w:rPr>
        <w:t>Cerazette</w:t>
      </w:r>
    </w:p>
    <w:p w:rsidR="009B7E2A" w:rsidRDefault="009B7E2A" w:rsidP="009B7E2A">
      <w:pPr>
        <w:rPr>
          <w:sz w:val="22"/>
          <w:szCs w:val="22"/>
        </w:rPr>
      </w:pPr>
    </w:p>
    <w:p w:rsidR="009B7E2A" w:rsidRDefault="009B7E2A" w:rsidP="009B7E2A">
      <w:pPr>
        <w:rPr>
          <w:sz w:val="22"/>
          <w:szCs w:val="22"/>
        </w:rPr>
      </w:pPr>
    </w:p>
    <w:p w:rsidR="009B7E2A" w:rsidRDefault="009B7E2A" w:rsidP="009B7E2A">
      <w:pPr>
        <w:keepNext/>
        <w:pBdr>
          <w:top w:val="single" w:sz="4" w:space="1" w:color="auto"/>
          <w:left w:val="single" w:sz="4" w:space="4" w:color="auto"/>
          <w:bottom w:val="single" w:sz="4" w:space="1" w:color="auto"/>
          <w:right w:val="single" w:sz="4" w:space="4" w:color="auto"/>
        </w:pBdr>
        <w:tabs>
          <w:tab w:val="left" w:pos="0"/>
        </w:tabs>
        <w:outlineLvl w:val="0"/>
        <w:rPr>
          <w:b/>
          <w:caps/>
          <w:sz w:val="22"/>
          <w:szCs w:val="22"/>
        </w:rPr>
      </w:pPr>
      <w:r>
        <w:rPr>
          <w:b/>
          <w:caps/>
          <w:sz w:val="22"/>
          <w:szCs w:val="22"/>
        </w:rPr>
        <w:t>17.</w:t>
      </w:r>
      <w:r>
        <w:rPr>
          <w:b/>
          <w:caps/>
          <w:sz w:val="22"/>
          <w:szCs w:val="22"/>
        </w:rPr>
        <w:tab/>
        <w:t>UNIKALUS IDENTIFIKATORIUS – 2D BRŪKŠNINIS KODAS</w:t>
      </w:r>
    </w:p>
    <w:p w:rsidR="009B7E2A" w:rsidRDefault="009B7E2A" w:rsidP="009B7E2A">
      <w:pPr>
        <w:rPr>
          <w:noProof/>
          <w:sz w:val="22"/>
          <w:szCs w:val="22"/>
        </w:rPr>
      </w:pPr>
    </w:p>
    <w:p w:rsidR="009B7E2A" w:rsidRDefault="009B7E2A" w:rsidP="009B7E2A">
      <w:pPr>
        <w:rPr>
          <w:sz w:val="22"/>
          <w:szCs w:val="22"/>
        </w:rPr>
      </w:pPr>
      <w:r>
        <w:rPr>
          <w:sz w:val="22"/>
          <w:szCs w:val="22"/>
          <w:shd w:val="clear" w:color="auto" w:fill="BFBFBF" w:themeFill="background1" w:themeFillShade="BF"/>
        </w:rPr>
        <w:t>2D brūkšninis kodas su nurodytu unikaliu identifikatoriumi.</w:t>
      </w:r>
    </w:p>
    <w:p w:rsidR="009B7E2A" w:rsidRDefault="009B7E2A" w:rsidP="009B7E2A">
      <w:pPr>
        <w:rPr>
          <w:sz w:val="22"/>
          <w:szCs w:val="22"/>
        </w:rPr>
      </w:pPr>
    </w:p>
    <w:p w:rsidR="009B7E2A" w:rsidRDefault="009B7E2A" w:rsidP="009B7E2A">
      <w:pPr>
        <w:rPr>
          <w:sz w:val="22"/>
          <w:szCs w:val="22"/>
        </w:rPr>
      </w:pPr>
    </w:p>
    <w:p w:rsidR="009B7E2A" w:rsidRDefault="009B7E2A" w:rsidP="009B7E2A">
      <w:pPr>
        <w:keepNext/>
        <w:pBdr>
          <w:top w:val="single" w:sz="4" w:space="1" w:color="auto"/>
          <w:left w:val="single" w:sz="4" w:space="4" w:color="auto"/>
          <w:bottom w:val="single" w:sz="4" w:space="1" w:color="auto"/>
          <w:right w:val="single" w:sz="4" w:space="4" w:color="auto"/>
        </w:pBdr>
        <w:tabs>
          <w:tab w:val="left" w:pos="0"/>
        </w:tabs>
        <w:outlineLvl w:val="0"/>
        <w:rPr>
          <w:b/>
          <w:caps/>
          <w:sz w:val="22"/>
          <w:szCs w:val="22"/>
        </w:rPr>
      </w:pPr>
      <w:r>
        <w:rPr>
          <w:b/>
          <w:caps/>
          <w:sz w:val="22"/>
          <w:szCs w:val="22"/>
        </w:rPr>
        <w:t>18.</w:t>
      </w:r>
      <w:r>
        <w:rPr>
          <w:b/>
          <w:caps/>
          <w:sz w:val="22"/>
          <w:szCs w:val="22"/>
        </w:rPr>
        <w:tab/>
        <w:t>UNIKALUS IDENTIFIKATORIUS – ŽMONĖMS SUPRANTAMI DUOMENYS</w:t>
      </w:r>
    </w:p>
    <w:p w:rsidR="009B7E2A" w:rsidRDefault="009B7E2A" w:rsidP="009B7E2A">
      <w:pPr>
        <w:rPr>
          <w:noProof/>
          <w:sz w:val="22"/>
          <w:szCs w:val="22"/>
        </w:rPr>
      </w:pPr>
    </w:p>
    <w:p w:rsidR="009B7E2A" w:rsidRDefault="009B7E2A" w:rsidP="009B7E2A">
      <w:pPr>
        <w:rPr>
          <w:sz w:val="22"/>
          <w:szCs w:val="22"/>
        </w:rPr>
      </w:pPr>
      <w:r>
        <w:rPr>
          <w:sz w:val="22"/>
          <w:szCs w:val="22"/>
        </w:rPr>
        <w:lastRenderedPageBreak/>
        <w:t>PC:</w:t>
      </w:r>
    </w:p>
    <w:p w:rsidR="009B7E2A" w:rsidRDefault="009B7E2A" w:rsidP="009B7E2A">
      <w:pPr>
        <w:rPr>
          <w:sz w:val="22"/>
          <w:szCs w:val="22"/>
        </w:rPr>
      </w:pPr>
      <w:r>
        <w:rPr>
          <w:sz w:val="22"/>
          <w:szCs w:val="22"/>
        </w:rPr>
        <w:t>SN:</w:t>
      </w:r>
    </w:p>
    <w:p w:rsidR="009B7E2A" w:rsidRDefault="009B7E2A" w:rsidP="009B7E2A">
      <w:pPr>
        <w:rPr>
          <w:sz w:val="22"/>
          <w:szCs w:val="22"/>
        </w:rPr>
      </w:pPr>
      <w:r>
        <w:rPr>
          <w:sz w:val="22"/>
          <w:szCs w:val="22"/>
        </w:rPr>
        <w:t>NN:</w:t>
      </w:r>
    </w:p>
    <w:p w:rsidR="009B7E2A" w:rsidRDefault="009B7E2A" w:rsidP="009B7E2A">
      <w:pPr>
        <w:rPr>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sz w:val="22"/>
          <w:szCs w:val="22"/>
        </w:rPr>
        <w:br w:type="page"/>
      </w:r>
      <w:r>
        <w:rPr>
          <w:b/>
          <w:caps/>
          <w:sz w:val="22"/>
          <w:szCs w:val="22"/>
        </w:rPr>
        <w:lastRenderedPageBreak/>
        <w:t xml:space="preserve">Minimali informacija ant mažų </w:t>
      </w:r>
      <w:r>
        <w:rPr>
          <w:b/>
          <w:sz w:val="22"/>
          <w:szCs w:val="22"/>
        </w:rPr>
        <w:t>VIDINIŲ</w:t>
      </w:r>
      <w:r>
        <w:rPr>
          <w:b/>
          <w:caps/>
          <w:sz w:val="22"/>
          <w:szCs w:val="22"/>
        </w:rPr>
        <w:t>pakuočių</w:t>
      </w: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P</w:t>
      </w:r>
      <w:r>
        <w:rPr>
          <w:b/>
          <w:sz w:val="22"/>
          <w:szCs w:val="22"/>
        </w:rPr>
        <w:t>AKETĖLIS</w:t>
      </w:r>
    </w:p>
    <w:p w:rsidR="009B7E2A" w:rsidRDefault="009B7E2A" w:rsidP="009B7E2A">
      <w:pPr>
        <w:rPr>
          <w:caps/>
          <w:sz w:val="22"/>
          <w:szCs w:val="22"/>
        </w:rPr>
      </w:pPr>
    </w:p>
    <w:p w:rsidR="009B7E2A" w:rsidRDefault="009B7E2A" w:rsidP="009B7E2A">
      <w:pPr>
        <w:rPr>
          <w:caps/>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1.</w:t>
      </w:r>
      <w:r>
        <w:rPr>
          <w:b/>
          <w:caps/>
          <w:sz w:val="22"/>
          <w:szCs w:val="22"/>
        </w:rPr>
        <w:tab/>
        <w:t>Vaistinio preparato pavadinimas ir vartojimo būdas</w:t>
      </w:r>
    </w:p>
    <w:p w:rsidR="009B7E2A" w:rsidRDefault="009B7E2A" w:rsidP="009B7E2A">
      <w:pPr>
        <w:rPr>
          <w:sz w:val="22"/>
          <w:szCs w:val="22"/>
        </w:rPr>
      </w:pPr>
    </w:p>
    <w:p w:rsidR="009B7E2A" w:rsidRDefault="009B7E2A" w:rsidP="009B7E2A">
      <w:pPr>
        <w:rPr>
          <w:bCs/>
          <w:sz w:val="22"/>
          <w:szCs w:val="22"/>
        </w:rPr>
      </w:pPr>
      <w:r>
        <w:rPr>
          <w:bCs/>
          <w:sz w:val="22"/>
          <w:szCs w:val="22"/>
        </w:rPr>
        <w:t xml:space="preserve">Cerazette 75 </w:t>
      </w:r>
      <w:r>
        <w:rPr>
          <w:bCs/>
          <w:sz w:val="22"/>
          <w:szCs w:val="22"/>
          <w:lang w:val="pt-BR"/>
        </w:rPr>
        <w:t xml:space="preserve">mikrogramai </w:t>
      </w:r>
      <w:r>
        <w:rPr>
          <w:bCs/>
          <w:sz w:val="22"/>
          <w:szCs w:val="22"/>
        </w:rPr>
        <w:t>plėvele dengtos tabletės</w:t>
      </w:r>
    </w:p>
    <w:p w:rsidR="009B7E2A" w:rsidRDefault="009B7E2A" w:rsidP="009B7E2A">
      <w:pPr>
        <w:rPr>
          <w:bCs/>
          <w:sz w:val="22"/>
          <w:szCs w:val="22"/>
        </w:rPr>
      </w:pPr>
      <w:r>
        <w:rPr>
          <w:bCs/>
          <w:sz w:val="22"/>
          <w:szCs w:val="22"/>
        </w:rPr>
        <w:t>Desogestrelum</w:t>
      </w:r>
    </w:p>
    <w:p w:rsidR="009B7E2A" w:rsidRDefault="009B7E2A" w:rsidP="009B7E2A">
      <w:pPr>
        <w:rPr>
          <w:bCs/>
          <w:sz w:val="22"/>
          <w:szCs w:val="22"/>
        </w:rPr>
      </w:pPr>
      <w:r>
        <w:rPr>
          <w:bCs/>
          <w:sz w:val="22"/>
          <w:szCs w:val="22"/>
        </w:rPr>
        <w:t>Vartoti per burną</w:t>
      </w:r>
    </w:p>
    <w:p w:rsidR="009B7E2A" w:rsidRDefault="009B7E2A" w:rsidP="009B7E2A">
      <w:pPr>
        <w:rPr>
          <w:sz w:val="22"/>
          <w:szCs w:val="22"/>
        </w:rPr>
      </w:pPr>
    </w:p>
    <w:p w:rsidR="009B7E2A" w:rsidRDefault="009B7E2A" w:rsidP="009B7E2A">
      <w:pPr>
        <w:rPr>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sz w:val="22"/>
          <w:szCs w:val="22"/>
        </w:rPr>
        <w:t>2.</w:t>
      </w:r>
      <w:r>
        <w:rPr>
          <w:b/>
          <w:sz w:val="22"/>
          <w:szCs w:val="22"/>
        </w:rPr>
        <w:tab/>
      </w:r>
      <w:r>
        <w:rPr>
          <w:b/>
          <w:caps/>
          <w:sz w:val="22"/>
          <w:szCs w:val="22"/>
        </w:rPr>
        <w:t>vartojimo metodas</w:t>
      </w:r>
    </w:p>
    <w:p w:rsidR="009B7E2A" w:rsidRDefault="009B7E2A" w:rsidP="009B7E2A">
      <w:pPr>
        <w:rPr>
          <w:sz w:val="22"/>
          <w:szCs w:val="22"/>
        </w:rPr>
      </w:pPr>
    </w:p>
    <w:p w:rsidR="009B7E2A" w:rsidRDefault="009B7E2A" w:rsidP="009B7E2A">
      <w:pPr>
        <w:rPr>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sz w:val="22"/>
          <w:szCs w:val="22"/>
        </w:rPr>
        <w:t>3.</w:t>
      </w:r>
      <w:r>
        <w:rPr>
          <w:b/>
          <w:sz w:val="22"/>
          <w:szCs w:val="22"/>
        </w:rPr>
        <w:tab/>
      </w:r>
      <w:r>
        <w:rPr>
          <w:b/>
          <w:caps/>
          <w:sz w:val="22"/>
          <w:szCs w:val="22"/>
        </w:rPr>
        <w:t>tinkamumo laikas</w:t>
      </w:r>
    </w:p>
    <w:p w:rsidR="009B7E2A" w:rsidRDefault="009B7E2A" w:rsidP="009B7E2A">
      <w:pPr>
        <w:rPr>
          <w:sz w:val="22"/>
          <w:szCs w:val="22"/>
        </w:rPr>
      </w:pPr>
    </w:p>
    <w:p w:rsidR="009B7E2A" w:rsidRDefault="009B7E2A" w:rsidP="009B7E2A">
      <w:pPr>
        <w:rPr>
          <w:sz w:val="22"/>
          <w:szCs w:val="22"/>
        </w:rPr>
      </w:pPr>
      <w:r>
        <w:rPr>
          <w:sz w:val="22"/>
          <w:szCs w:val="22"/>
        </w:rPr>
        <w:t xml:space="preserve">EXP {mm/MMMM} </w:t>
      </w:r>
    </w:p>
    <w:p w:rsidR="009B7E2A" w:rsidRDefault="009B7E2A" w:rsidP="009B7E2A">
      <w:pPr>
        <w:pStyle w:val="Antrats"/>
        <w:tabs>
          <w:tab w:val="left" w:pos="720"/>
        </w:tabs>
        <w:rPr>
          <w:sz w:val="22"/>
          <w:szCs w:val="22"/>
        </w:rPr>
      </w:pPr>
    </w:p>
    <w:p w:rsidR="009B7E2A" w:rsidRDefault="009B7E2A" w:rsidP="009B7E2A">
      <w:pPr>
        <w:rPr>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4.</w:t>
      </w:r>
      <w:r>
        <w:rPr>
          <w:b/>
          <w:caps/>
          <w:sz w:val="22"/>
          <w:szCs w:val="22"/>
        </w:rPr>
        <w:tab/>
        <w:t>serijos numeris</w:t>
      </w:r>
    </w:p>
    <w:p w:rsidR="009B7E2A" w:rsidRDefault="009B7E2A" w:rsidP="009B7E2A">
      <w:pPr>
        <w:rPr>
          <w:sz w:val="22"/>
          <w:szCs w:val="22"/>
        </w:rPr>
      </w:pPr>
    </w:p>
    <w:p w:rsidR="009B7E2A" w:rsidRDefault="009B7E2A" w:rsidP="009B7E2A">
      <w:pPr>
        <w:rPr>
          <w:sz w:val="22"/>
          <w:szCs w:val="22"/>
        </w:rPr>
      </w:pPr>
      <w:r>
        <w:rPr>
          <w:sz w:val="22"/>
          <w:szCs w:val="22"/>
        </w:rPr>
        <w:t>Lot {numeris}</w:t>
      </w:r>
    </w:p>
    <w:p w:rsidR="009B7E2A" w:rsidRDefault="009B7E2A" w:rsidP="009B7E2A">
      <w:pPr>
        <w:rPr>
          <w:sz w:val="22"/>
          <w:szCs w:val="22"/>
        </w:rPr>
      </w:pPr>
    </w:p>
    <w:p w:rsidR="009B7E2A" w:rsidRDefault="009B7E2A" w:rsidP="009B7E2A">
      <w:pPr>
        <w:rPr>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sz w:val="22"/>
          <w:szCs w:val="22"/>
        </w:rPr>
      </w:pPr>
      <w:r>
        <w:rPr>
          <w:b/>
          <w:caps/>
          <w:sz w:val="22"/>
          <w:szCs w:val="22"/>
        </w:rPr>
        <w:t>5.</w:t>
      </w:r>
      <w:r>
        <w:rPr>
          <w:b/>
          <w:caps/>
          <w:sz w:val="22"/>
          <w:szCs w:val="22"/>
        </w:rPr>
        <w:tab/>
        <w:t>kiekis</w:t>
      </w:r>
      <w:r>
        <w:rPr>
          <w:b/>
          <w:sz w:val="22"/>
          <w:szCs w:val="22"/>
        </w:rPr>
        <w:t xml:space="preserve"> (MASĖ, TŪRIS ARBA VIENETAI)</w:t>
      </w:r>
    </w:p>
    <w:p w:rsidR="009B7E2A" w:rsidRDefault="009B7E2A" w:rsidP="009B7E2A">
      <w:pPr>
        <w:rPr>
          <w:sz w:val="22"/>
          <w:szCs w:val="22"/>
        </w:rPr>
      </w:pPr>
    </w:p>
    <w:p w:rsidR="009B7E2A" w:rsidRDefault="009B7E2A" w:rsidP="009B7E2A">
      <w:pPr>
        <w:rPr>
          <w:sz w:val="22"/>
          <w:szCs w:val="22"/>
        </w:rPr>
      </w:pPr>
      <w:r>
        <w:rPr>
          <w:sz w:val="22"/>
          <w:szCs w:val="22"/>
        </w:rPr>
        <w:t>28 tabletės</w:t>
      </w:r>
    </w:p>
    <w:p w:rsidR="009B7E2A" w:rsidRDefault="009B7E2A" w:rsidP="009B7E2A">
      <w:pPr>
        <w:rPr>
          <w:sz w:val="22"/>
          <w:szCs w:val="22"/>
        </w:rPr>
      </w:pPr>
    </w:p>
    <w:p w:rsidR="009B7E2A" w:rsidRDefault="009B7E2A" w:rsidP="009B7E2A">
      <w:pPr>
        <w:rPr>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6.</w:t>
      </w:r>
      <w:r>
        <w:rPr>
          <w:b/>
          <w:caps/>
          <w:sz w:val="22"/>
          <w:szCs w:val="22"/>
        </w:rPr>
        <w:tab/>
        <w:t>KITA</w:t>
      </w:r>
    </w:p>
    <w:p w:rsidR="009B7E2A" w:rsidRDefault="009B7E2A" w:rsidP="009B7E2A">
      <w:pPr>
        <w:rPr>
          <w:sz w:val="22"/>
          <w:szCs w:val="22"/>
        </w:rPr>
      </w:pPr>
    </w:p>
    <w:p w:rsidR="009B7E2A" w:rsidRDefault="009B7E2A" w:rsidP="009B7E2A">
      <w:pPr>
        <w:rPr>
          <w:sz w:val="22"/>
          <w:szCs w:val="22"/>
        </w:rPr>
      </w:pPr>
      <w:r>
        <w:rPr>
          <w:sz w:val="22"/>
          <w:szCs w:val="22"/>
        </w:rPr>
        <w:t>Apsauginę plėvelę atlupkite tik prieš pat vartojimą. Po pirmojo atidarymo suvartokite per 1 mėnesį.</w:t>
      </w:r>
    </w:p>
    <w:p w:rsidR="009B7E2A" w:rsidRDefault="009B7E2A" w:rsidP="009B7E2A">
      <w:pPr>
        <w:rPr>
          <w:sz w:val="22"/>
          <w:szCs w:val="22"/>
        </w:rPr>
      </w:pPr>
    </w:p>
    <w:p w:rsidR="009B7E2A" w:rsidRDefault="009B7E2A" w:rsidP="009B7E2A">
      <w:pPr>
        <w:rPr>
          <w:sz w:val="22"/>
          <w:szCs w:val="22"/>
        </w:rPr>
      </w:pPr>
    </w:p>
    <w:p w:rsidR="009B7E2A" w:rsidRDefault="009B7E2A" w:rsidP="009B7E2A">
      <w:pPr>
        <w:rPr>
          <w:sz w:val="22"/>
          <w:szCs w:val="22"/>
        </w:rPr>
      </w:pPr>
    </w:p>
    <w:p w:rsidR="009B7E2A" w:rsidRDefault="009B7E2A" w:rsidP="009B7E2A">
      <w:pPr>
        <w:rPr>
          <w:sz w:val="22"/>
          <w:szCs w:val="22"/>
        </w:rPr>
      </w:pPr>
    </w:p>
    <w:p w:rsidR="009B7E2A" w:rsidRDefault="009B7E2A" w:rsidP="009B7E2A">
      <w:pPr>
        <w:pBdr>
          <w:bottom w:val="single" w:sz="4" w:space="1" w:color="auto"/>
        </w:pBdr>
        <w:jc w:val="both"/>
        <w:rPr>
          <w:sz w:val="22"/>
          <w:szCs w:val="22"/>
        </w:rPr>
      </w:pPr>
      <w:r>
        <w:rPr>
          <w:sz w:val="22"/>
          <w:szCs w:val="22"/>
        </w:rPr>
        <w:br w:type="page"/>
      </w:r>
    </w:p>
    <w:p w:rsidR="009B7E2A" w:rsidRDefault="009B7E2A" w:rsidP="009B7E2A">
      <w:pPr>
        <w:pBdr>
          <w:top w:val="single" w:sz="4" w:space="1" w:color="auto"/>
          <w:left w:val="single" w:sz="4" w:space="4" w:color="auto"/>
          <w:bottom w:val="single" w:sz="4" w:space="1" w:color="auto"/>
          <w:right w:val="single" w:sz="4" w:space="4" w:color="auto"/>
        </w:pBdr>
        <w:rPr>
          <w:b/>
          <w:bCs/>
          <w:sz w:val="22"/>
          <w:szCs w:val="22"/>
        </w:rPr>
      </w:pPr>
      <w:r>
        <w:rPr>
          <w:b/>
          <w:bCs/>
          <w:sz w:val="22"/>
          <w:szCs w:val="22"/>
        </w:rPr>
        <w:lastRenderedPageBreak/>
        <w:t>MINIMALI INFORMACIJA ANT LIZDINIŲ PLOKŠTELIŲ ARBA DVISLUOKSNIŲ JUOSTELIŲ</w:t>
      </w:r>
    </w:p>
    <w:p w:rsidR="009B7E2A" w:rsidRDefault="009B7E2A" w:rsidP="009B7E2A">
      <w:pPr>
        <w:pBdr>
          <w:top w:val="single" w:sz="4" w:space="1" w:color="auto"/>
          <w:left w:val="single" w:sz="4" w:space="4" w:color="auto"/>
          <w:bottom w:val="single" w:sz="4" w:space="1" w:color="auto"/>
          <w:right w:val="single" w:sz="4" w:space="4" w:color="auto"/>
        </w:pBdr>
        <w:rPr>
          <w:b/>
          <w:bCs/>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bCs/>
          <w:spacing w:val="-3"/>
          <w:sz w:val="22"/>
          <w:szCs w:val="22"/>
        </w:rPr>
      </w:pPr>
      <w:r>
        <w:rPr>
          <w:b/>
          <w:bCs/>
          <w:sz w:val="22"/>
          <w:szCs w:val="22"/>
        </w:rPr>
        <w:t>LIZDINĖ PLOKŠTELĖ</w:t>
      </w:r>
    </w:p>
    <w:p w:rsidR="009B7E2A" w:rsidRDefault="009B7E2A" w:rsidP="009B7E2A">
      <w:pPr>
        <w:rPr>
          <w:b/>
          <w:spacing w:val="-3"/>
          <w:sz w:val="22"/>
          <w:szCs w:val="22"/>
        </w:rPr>
      </w:pPr>
    </w:p>
    <w:p w:rsidR="009B7E2A" w:rsidRDefault="009B7E2A" w:rsidP="009B7E2A">
      <w:pPr>
        <w:rPr>
          <w:b/>
          <w:spacing w:val="-3"/>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spacing w:val="-3"/>
          <w:sz w:val="22"/>
          <w:szCs w:val="22"/>
        </w:rPr>
      </w:pPr>
      <w:r>
        <w:rPr>
          <w:b/>
          <w:spacing w:val="-3"/>
          <w:sz w:val="22"/>
          <w:szCs w:val="22"/>
        </w:rPr>
        <w:t>1.</w:t>
      </w:r>
      <w:r>
        <w:rPr>
          <w:b/>
          <w:spacing w:val="-3"/>
          <w:sz w:val="22"/>
          <w:szCs w:val="22"/>
        </w:rPr>
        <w:tab/>
        <w:t>VAISTINIO PREPARATO PAVADINIMAS</w:t>
      </w:r>
    </w:p>
    <w:p w:rsidR="009B7E2A" w:rsidRDefault="009B7E2A" w:rsidP="009B7E2A">
      <w:pPr>
        <w:rPr>
          <w:b/>
          <w:spacing w:val="-3"/>
          <w:sz w:val="22"/>
          <w:szCs w:val="22"/>
        </w:rPr>
      </w:pPr>
    </w:p>
    <w:p w:rsidR="009B7E2A" w:rsidRDefault="009B7E2A" w:rsidP="009B7E2A">
      <w:pPr>
        <w:rPr>
          <w:bCs/>
          <w:sz w:val="22"/>
          <w:szCs w:val="22"/>
        </w:rPr>
      </w:pPr>
      <w:r>
        <w:rPr>
          <w:bCs/>
          <w:sz w:val="22"/>
          <w:szCs w:val="22"/>
        </w:rPr>
        <w:t>Cerazette 75 µg plėvele dengtos tabletės</w:t>
      </w:r>
    </w:p>
    <w:p w:rsidR="009B7E2A" w:rsidRDefault="009B7E2A" w:rsidP="009B7E2A">
      <w:pPr>
        <w:rPr>
          <w:bCs/>
          <w:sz w:val="22"/>
          <w:szCs w:val="22"/>
        </w:rPr>
      </w:pPr>
      <w:r>
        <w:rPr>
          <w:bCs/>
          <w:sz w:val="22"/>
          <w:szCs w:val="22"/>
        </w:rPr>
        <w:t>Desogestrelum</w:t>
      </w:r>
    </w:p>
    <w:p w:rsidR="009B7E2A" w:rsidRDefault="009B7E2A" w:rsidP="009B7E2A">
      <w:pPr>
        <w:rPr>
          <w:b/>
          <w:spacing w:val="-3"/>
          <w:sz w:val="22"/>
          <w:szCs w:val="22"/>
        </w:rPr>
      </w:pPr>
    </w:p>
    <w:p w:rsidR="009B7E2A" w:rsidRDefault="009B7E2A" w:rsidP="009B7E2A">
      <w:pPr>
        <w:rPr>
          <w:b/>
          <w:spacing w:val="-3"/>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spacing w:val="-3"/>
          <w:sz w:val="22"/>
          <w:szCs w:val="22"/>
        </w:rPr>
      </w:pPr>
      <w:r>
        <w:rPr>
          <w:b/>
          <w:spacing w:val="-3"/>
          <w:sz w:val="22"/>
          <w:szCs w:val="22"/>
        </w:rPr>
        <w:t>2.</w:t>
      </w:r>
      <w:r>
        <w:rPr>
          <w:b/>
          <w:spacing w:val="-3"/>
          <w:sz w:val="22"/>
          <w:szCs w:val="22"/>
        </w:rPr>
        <w:tab/>
        <w:t>REGISTRUOTOJO PAVADINIMAS</w:t>
      </w:r>
    </w:p>
    <w:p w:rsidR="009B7E2A" w:rsidRDefault="009B7E2A" w:rsidP="009B7E2A">
      <w:pPr>
        <w:rPr>
          <w:b/>
          <w:spacing w:val="-3"/>
          <w:sz w:val="22"/>
          <w:szCs w:val="22"/>
        </w:rPr>
      </w:pPr>
    </w:p>
    <w:p w:rsidR="009B7E2A" w:rsidRDefault="009B7E2A" w:rsidP="009B7E2A">
      <w:pPr>
        <w:rPr>
          <w:sz w:val="22"/>
          <w:szCs w:val="22"/>
        </w:rPr>
      </w:pPr>
      <w:r>
        <w:rPr>
          <w:sz w:val="22"/>
          <w:szCs w:val="22"/>
        </w:rPr>
        <w:t>MSD</w:t>
      </w:r>
    </w:p>
    <w:p w:rsidR="009B7E2A" w:rsidRDefault="009B7E2A" w:rsidP="009B7E2A">
      <w:pPr>
        <w:rPr>
          <w:sz w:val="22"/>
          <w:szCs w:val="22"/>
        </w:rPr>
      </w:pPr>
    </w:p>
    <w:p w:rsidR="009B7E2A" w:rsidRDefault="009B7E2A" w:rsidP="009B7E2A">
      <w:pPr>
        <w:rPr>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bCs/>
          <w:spacing w:val="-3"/>
          <w:sz w:val="22"/>
          <w:szCs w:val="22"/>
        </w:rPr>
      </w:pPr>
      <w:r>
        <w:rPr>
          <w:b/>
          <w:bCs/>
          <w:sz w:val="22"/>
          <w:szCs w:val="22"/>
        </w:rPr>
        <w:t>3.</w:t>
      </w:r>
      <w:r>
        <w:rPr>
          <w:b/>
          <w:bCs/>
          <w:sz w:val="22"/>
          <w:szCs w:val="22"/>
        </w:rPr>
        <w:tab/>
        <w:t>TINKAMUMO LAIKAS</w:t>
      </w:r>
    </w:p>
    <w:p w:rsidR="009B7E2A" w:rsidRDefault="009B7E2A" w:rsidP="009B7E2A">
      <w:pPr>
        <w:rPr>
          <w:b/>
          <w:spacing w:val="-3"/>
          <w:sz w:val="22"/>
          <w:szCs w:val="22"/>
        </w:rPr>
      </w:pPr>
    </w:p>
    <w:p w:rsidR="009B7E2A" w:rsidRDefault="009B7E2A" w:rsidP="009B7E2A">
      <w:pPr>
        <w:rPr>
          <w:bCs/>
          <w:spacing w:val="-3"/>
          <w:sz w:val="22"/>
          <w:szCs w:val="22"/>
        </w:rPr>
      </w:pPr>
      <w:r>
        <w:rPr>
          <w:bCs/>
          <w:spacing w:val="-3"/>
          <w:sz w:val="22"/>
          <w:szCs w:val="22"/>
        </w:rPr>
        <w:t>EXP {mm/MMMM}</w:t>
      </w:r>
    </w:p>
    <w:p w:rsidR="009B7E2A" w:rsidRDefault="009B7E2A" w:rsidP="009B7E2A">
      <w:pPr>
        <w:rPr>
          <w:bCs/>
          <w:spacing w:val="-3"/>
          <w:sz w:val="22"/>
          <w:szCs w:val="22"/>
        </w:rPr>
      </w:pPr>
    </w:p>
    <w:p w:rsidR="009B7E2A" w:rsidRDefault="009B7E2A" w:rsidP="009B7E2A">
      <w:pPr>
        <w:rPr>
          <w:bCs/>
          <w:spacing w:val="-3"/>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spacing w:val="-3"/>
          <w:sz w:val="22"/>
          <w:szCs w:val="22"/>
        </w:rPr>
      </w:pPr>
      <w:r>
        <w:rPr>
          <w:b/>
          <w:spacing w:val="-3"/>
          <w:sz w:val="22"/>
          <w:szCs w:val="22"/>
        </w:rPr>
        <w:t>4.</w:t>
      </w:r>
      <w:r>
        <w:rPr>
          <w:b/>
          <w:spacing w:val="-3"/>
          <w:sz w:val="22"/>
          <w:szCs w:val="22"/>
        </w:rPr>
        <w:tab/>
        <w:t>SERIJOS NUMERIS</w:t>
      </w:r>
    </w:p>
    <w:p w:rsidR="009B7E2A" w:rsidRDefault="009B7E2A" w:rsidP="009B7E2A">
      <w:pPr>
        <w:rPr>
          <w:bCs/>
          <w:spacing w:val="-3"/>
          <w:sz w:val="22"/>
          <w:szCs w:val="22"/>
        </w:rPr>
      </w:pPr>
    </w:p>
    <w:p w:rsidR="009B7E2A" w:rsidRDefault="009B7E2A" w:rsidP="009B7E2A">
      <w:pPr>
        <w:rPr>
          <w:bCs/>
          <w:spacing w:val="-3"/>
          <w:sz w:val="22"/>
          <w:szCs w:val="22"/>
        </w:rPr>
      </w:pPr>
      <w:r>
        <w:rPr>
          <w:bCs/>
          <w:spacing w:val="-3"/>
          <w:sz w:val="22"/>
          <w:szCs w:val="22"/>
        </w:rPr>
        <w:t>Lot {numeris}</w:t>
      </w:r>
    </w:p>
    <w:p w:rsidR="009B7E2A" w:rsidRDefault="009B7E2A" w:rsidP="009B7E2A">
      <w:pPr>
        <w:rPr>
          <w:b/>
          <w:spacing w:val="-3"/>
          <w:sz w:val="22"/>
          <w:szCs w:val="22"/>
        </w:rPr>
      </w:pPr>
    </w:p>
    <w:p w:rsidR="009B7E2A" w:rsidRDefault="009B7E2A" w:rsidP="009B7E2A">
      <w:pPr>
        <w:rPr>
          <w:bCs/>
          <w:spacing w:val="-3"/>
          <w:sz w:val="22"/>
          <w:szCs w:val="22"/>
        </w:rPr>
      </w:pPr>
    </w:p>
    <w:p w:rsidR="009B7E2A" w:rsidRDefault="009B7E2A" w:rsidP="009B7E2A">
      <w:pPr>
        <w:pBdr>
          <w:top w:val="single" w:sz="4" w:space="1" w:color="auto"/>
          <w:left w:val="single" w:sz="4" w:space="4" w:color="auto"/>
          <w:bottom w:val="single" w:sz="4" w:space="1" w:color="auto"/>
          <w:right w:val="single" w:sz="4" w:space="4" w:color="auto"/>
        </w:pBdr>
        <w:rPr>
          <w:b/>
          <w:spacing w:val="-3"/>
          <w:sz w:val="22"/>
          <w:szCs w:val="22"/>
        </w:rPr>
      </w:pPr>
      <w:r>
        <w:rPr>
          <w:b/>
          <w:spacing w:val="-3"/>
          <w:sz w:val="22"/>
          <w:szCs w:val="22"/>
        </w:rPr>
        <w:t>5.</w:t>
      </w:r>
      <w:r>
        <w:rPr>
          <w:b/>
          <w:spacing w:val="-3"/>
          <w:sz w:val="22"/>
          <w:szCs w:val="22"/>
        </w:rPr>
        <w:tab/>
        <w:t>KITA</w:t>
      </w:r>
    </w:p>
    <w:p w:rsidR="009B7E2A" w:rsidRDefault="009B7E2A" w:rsidP="009B7E2A">
      <w:pPr>
        <w:rPr>
          <w:b/>
          <w:spacing w:val="-3"/>
          <w:sz w:val="22"/>
          <w:szCs w:val="22"/>
        </w:rPr>
      </w:pPr>
    </w:p>
    <w:p w:rsidR="009B7E2A" w:rsidRDefault="009B7E2A" w:rsidP="009B7E2A">
      <w:pPr>
        <w:rPr>
          <w:spacing w:val="-3"/>
          <w:sz w:val="22"/>
          <w:szCs w:val="22"/>
        </w:rPr>
      </w:pPr>
      <w:r>
        <w:rPr>
          <w:spacing w:val="-3"/>
          <w:sz w:val="22"/>
          <w:szCs w:val="22"/>
        </w:rPr>
        <w:t>P. A. T. K. Pn. Š. S.</w:t>
      </w:r>
    </w:p>
    <w:p w:rsidR="009B7E2A" w:rsidRDefault="009B7E2A" w:rsidP="009B7E2A">
      <w:pPr>
        <w:rPr>
          <w:spacing w:val="-3"/>
          <w:sz w:val="22"/>
          <w:szCs w:val="22"/>
        </w:rPr>
      </w:pPr>
    </w:p>
    <w:p w:rsidR="009B7E2A" w:rsidRDefault="009B7E2A" w:rsidP="009B7E2A">
      <w:pPr>
        <w:rPr>
          <w:color w:val="000000"/>
          <w:sz w:val="22"/>
          <w:szCs w:val="22"/>
        </w:rPr>
      </w:pPr>
      <w:r>
        <w:rPr>
          <w:spacing w:val="-3"/>
          <w:sz w:val="22"/>
          <w:szCs w:val="22"/>
        </w:rPr>
        <w:br w:type="page"/>
      </w: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color w:val="000000"/>
          <w:sz w:val="22"/>
          <w:szCs w:val="22"/>
        </w:rPr>
      </w:pPr>
    </w:p>
    <w:p w:rsidR="009B7E2A" w:rsidRDefault="009B7E2A" w:rsidP="009B7E2A">
      <w:pPr>
        <w:jc w:val="center"/>
        <w:rPr>
          <w:b/>
          <w:color w:val="000000"/>
          <w:sz w:val="22"/>
          <w:szCs w:val="22"/>
        </w:rPr>
      </w:pPr>
    </w:p>
    <w:p w:rsidR="009B7E2A" w:rsidRDefault="009B7E2A" w:rsidP="009B7E2A">
      <w:pPr>
        <w:jc w:val="center"/>
        <w:rPr>
          <w:b/>
          <w:color w:val="000000"/>
          <w:sz w:val="22"/>
          <w:szCs w:val="22"/>
        </w:rPr>
      </w:pPr>
      <w:r>
        <w:rPr>
          <w:b/>
          <w:color w:val="000000"/>
          <w:sz w:val="22"/>
          <w:szCs w:val="22"/>
        </w:rPr>
        <w:t>B. PAKUOTĖS LAPELIS</w:t>
      </w:r>
    </w:p>
    <w:p w:rsidR="009B7E2A" w:rsidRDefault="009B7E2A" w:rsidP="009B7E2A">
      <w:pPr>
        <w:jc w:val="center"/>
        <w:rPr>
          <w:b/>
          <w:color w:val="000000"/>
          <w:sz w:val="22"/>
          <w:szCs w:val="22"/>
        </w:rPr>
      </w:pPr>
    </w:p>
    <w:p w:rsidR="009B7E2A" w:rsidRDefault="009B7E2A" w:rsidP="009B7E2A">
      <w:pPr>
        <w:pStyle w:val="Paragraph"/>
        <w:spacing w:after="0" w:line="240" w:lineRule="auto"/>
        <w:jc w:val="center"/>
        <w:rPr>
          <w:rFonts w:ascii="Times New Roman" w:hAnsi="Times New Roman"/>
          <w:b/>
          <w:szCs w:val="22"/>
          <w:lang w:val="lt-LT"/>
        </w:rPr>
      </w:pPr>
      <w:r>
        <w:rPr>
          <w:b/>
          <w:color w:val="000000"/>
          <w:szCs w:val="22"/>
        </w:rPr>
        <w:br w:type="page"/>
      </w:r>
      <w:r>
        <w:rPr>
          <w:rFonts w:ascii="Times New Roman" w:hAnsi="Times New Roman"/>
          <w:b/>
          <w:szCs w:val="22"/>
          <w:lang w:val="lt-LT"/>
        </w:rPr>
        <w:lastRenderedPageBreak/>
        <w:t>Pakuotės lapelis: informacija vartotojui</w:t>
      </w:r>
    </w:p>
    <w:p w:rsidR="009B7E2A" w:rsidRDefault="009B7E2A" w:rsidP="009B7E2A">
      <w:pPr>
        <w:pStyle w:val="Paragraph"/>
        <w:spacing w:after="0" w:line="240" w:lineRule="auto"/>
        <w:jc w:val="center"/>
        <w:rPr>
          <w:rFonts w:ascii="Times New Roman" w:hAnsi="Times New Roman"/>
          <w:szCs w:val="22"/>
          <w:lang w:val="lt-LT"/>
        </w:rPr>
      </w:pPr>
    </w:p>
    <w:p w:rsidR="009B7E2A" w:rsidRDefault="009B7E2A" w:rsidP="009B7E2A">
      <w:pPr>
        <w:jc w:val="center"/>
        <w:rPr>
          <w:b/>
          <w:bCs/>
          <w:sz w:val="22"/>
          <w:szCs w:val="22"/>
        </w:rPr>
      </w:pPr>
      <w:r>
        <w:rPr>
          <w:b/>
          <w:bCs/>
          <w:sz w:val="22"/>
          <w:szCs w:val="22"/>
        </w:rPr>
        <w:t>Cerazette 75 mikrogramai plėvele dengtos tabletės</w:t>
      </w:r>
    </w:p>
    <w:p w:rsidR="009B7E2A" w:rsidRDefault="009B7E2A" w:rsidP="009B7E2A">
      <w:pPr>
        <w:jc w:val="center"/>
        <w:rPr>
          <w:sz w:val="22"/>
          <w:szCs w:val="22"/>
        </w:rPr>
      </w:pPr>
      <w:r>
        <w:rPr>
          <w:sz w:val="22"/>
          <w:szCs w:val="22"/>
        </w:rPr>
        <w:t>Dezogestrelis</w:t>
      </w:r>
    </w:p>
    <w:p w:rsidR="009B7E2A" w:rsidRDefault="009B7E2A" w:rsidP="009B7E2A">
      <w:pPr>
        <w:pStyle w:val="Paragraph"/>
        <w:spacing w:after="0" w:line="240" w:lineRule="auto"/>
        <w:jc w:val="center"/>
        <w:rPr>
          <w:rFonts w:ascii="Times New Roman" w:hAnsi="Times New Roman"/>
          <w:szCs w:val="22"/>
          <w:lang w:val="lt-LT"/>
        </w:rPr>
      </w:pPr>
    </w:p>
    <w:p w:rsidR="009B7E2A" w:rsidRDefault="009B7E2A" w:rsidP="009B7E2A">
      <w:pPr>
        <w:pStyle w:val="Pagrindinistekstas2"/>
        <w:rPr>
          <w:b/>
          <w:bCs/>
          <w:color w:val="auto"/>
          <w:sz w:val="22"/>
          <w:szCs w:val="22"/>
          <w:lang w:eastAsia="nl-NL"/>
        </w:rPr>
      </w:pPr>
      <w:r>
        <w:rPr>
          <w:b/>
          <w:bCs/>
          <w:color w:val="auto"/>
          <w:sz w:val="22"/>
          <w:szCs w:val="22"/>
          <w:lang w:eastAsia="nl-NL"/>
        </w:rPr>
        <w:t>Atidžiai perskaitykite visą šį lapelį, prieš pradėdamos vartoti vaistą, nes jame pateikiama Jums svarbi informacija.</w:t>
      </w:r>
    </w:p>
    <w:p w:rsidR="009B7E2A" w:rsidRDefault="009B7E2A" w:rsidP="009B7E2A">
      <w:pPr>
        <w:numPr>
          <w:ilvl w:val="0"/>
          <w:numId w:val="2"/>
        </w:numPr>
        <w:ind w:left="567" w:hanging="567"/>
        <w:rPr>
          <w:sz w:val="22"/>
          <w:szCs w:val="22"/>
        </w:rPr>
      </w:pPr>
      <w:r>
        <w:rPr>
          <w:sz w:val="22"/>
          <w:szCs w:val="22"/>
        </w:rPr>
        <w:t>Neišmeskite šio lapelio, nes vėl gali prireikti jį perskaityti.</w:t>
      </w:r>
    </w:p>
    <w:p w:rsidR="009B7E2A" w:rsidRDefault="009B7E2A" w:rsidP="009B7E2A">
      <w:pPr>
        <w:pStyle w:val="Paragraph"/>
        <w:numPr>
          <w:ilvl w:val="0"/>
          <w:numId w:val="2"/>
        </w:numPr>
        <w:spacing w:after="0" w:line="240" w:lineRule="auto"/>
        <w:ind w:left="567" w:hanging="567"/>
        <w:rPr>
          <w:rFonts w:ascii="Times New Roman" w:hAnsi="Times New Roman"/>
          <w:szCs w:val="22"/>
          <w:lang w:val="lt-LT"/>
        </w:rPr>
      </w:pPr>
      <w:r>
        <w:rPr>
          <w:rFonts w:ascii="Times New Roman" w:hAnsi="Times New Roman"/>
          <w:szCs w:val="22"/>
          <w:lang w:val="lt-LT"/>
        </w:rPr>
        <w:t>Jeigu kiltų daugiau klausimų, kreipkitės į gydytoją arba vaistininką.</w:t>
      </w:r>
    </w:p>
    <w:p w:rsidR="009B7E2A" w:rsidRDefault="009B7E2A" w:rsidP="009B7E2A">
      <w:pPr>
        <w:numPr>
          <w:ilvl w:val="0"/>
          <w:numId w:val="2"/>
        </w:numPr>
        <w:ind w:left="567" w:hanging="567"/>
        <w:rPr>
          <w:b/>
          <w:sz w:val="22"/>
          <w:szCs w:val="22"/>
        </w:rPr>
      </w:pPr>
      <w:r>
        <w:rPr>
          <w:sz w:val="22"/>
          <w:szCs w:val="22"/>
        </w:rPr>
        <w:t>Šis vaistas skirtas tik Jums, todėl kitiems žmonėms jo duoti negalima. Vaistas gali jiems pakenkti (net tiems, kurių ligos požymiai yra tokie patys kaip Jūsų).</w:t>
      </w:r>
    </w:p>
    <w:p w:rsidR="009B7E2A" w:rsidRDefault="009B7E2A" w:rsidP="009B7E2A">
      <w:pPr>
        <w:numPr>
          <w:ilvl w:val="0"/>
          <w:numId w:val="2"/>
        </w:numPr>
        <w:ind w:left="567" w:hanging="567"/>
        <w:rPr>
          <w:b/>
          <w:sz w:val="22"/>
          <w:szCs w:val="22"/>
        </w:rPr>
      </w:pPr>
      <w:r>
        <w:rPr>
          <w:sz w:val="22"/>
          <w:szCs w:val="22"/>
        </w:rPr>
        <w:t>Jeigu pasireiškė šalutinis poveikis (net jeigu jis šiame lapelyje nenurodytas), kreipkitės į gydytoją arba vaistininką.</w:t>
      </w:r>
    </w:p>
    <w:p w:rsidR="009B7E2A" w:rsidRDefault="009B7E2A" w:rsidP="009B7E2A">
      <w:pPr>
        <w:autoSpaceDE w:val="0"/>
        <w:autoSpaceDN w:val="0"/>
        <w:adjustRightInd w:val="0"/>
        <w:jc w:val="both"/>
        <w:rPr>
          <w:b/>
          <w:bCs/>
          <w:sz w:val="22"/>
          <w:szCs w:val="22"/>
          <w:u w:val="single"/>
        </w:rPr>
      </w:pPr>
    </w:p>
    <w:p w:rsidR="009B7E2A" w:rsidRDefault="009B7E2A" w:rsidP="009B7E2A">
      <w:pPr>
        <w:autoSpaceDE w:val="0"/>
        <w:autoSpaceDN w:val="0"/>
        <w:adjustRightInd w:val="0"/>
        <w:jc w:val="both"/>
        <w:rPr>
          <w:b/>
          <w:sz w:val="22"/>
          <w:szCs w:val="22"/>
        </w:rPr>
      </w:pPr>
      <w:r>
        <w:rPr>
          <w:b/>
          <w:sz w:val="22"/>
          <w:szCs w:val="22"/>
        </w:rPr>
        <w:t>Apie ką rašoma šiame lapelyje?</w:t>
      </w:r>
    </w:p>
    <w:p w:rsidR="009B7E2A" w:rsidRDefault="009B7E2A" w:rsidP="009B7E2A">
      <w:pPr>
        <w:autoSpaceDE w:val="0"/>
        <w:autoSpaceDN w:val="0"/>
        <w:adjustRightInd w:val="0"/>
        <w:jc w:val="both"/>
        <w:rPr>
          <w:b/>
          <w:sz w:val="22"/>
          <w:szCs w:val="22"/>
        </w:rPr>
      </w:pPr>
    </w:p>
    <w:p w:rsidR="009B7E2A" w:rsidRDefault="009B7E2A" w:rsidP="009B7E2A">
      <w:pPr>
        <w:autoSpaceDE w:val="0"/>
        <w:autoSpaceDN w:val="0"/>
        <w:adjustRightInd w:val="0"/>
        <w:rPr>
          <w:sz w:val="22"/>
          <w:szCs w:val="22"/>
        </w:rPr>
      </w:pPr>
      <w:r>
        <w:rPr>
          <w:sz w:val="22"/>
          <w:szCs w:val="22"/>
        </w:rPr>
        <w:t>1. Kas yra Cerazette ir kam jis vartojamas</w:t>
      </w:r>
    </w:p>
    <w:p w:rsidR="009B7E2A" w:rsidRDefault="009B7E2A" w:rsidP="009B7E2A">
      <w:pPr>
        <w:autoSpaceDE w:val="0"/>
        <w:autoSpaceDN w:val="0"/>
        <w:adjustRightInd w:val="0"/>
        <w:rPr>
          <w:sz w:val="22"/>
          <w:szCs w:val="22"/>
        </w:rPr>
      </w:pPr>
      <w:r>
        <w:rPr>
          <w:sz w:val="22"/>
          <w:szCs w:val="22"/>
        </w:rPr>
        <w:t>2. Kas žinotina prieš vartojant Cerazette</w:t>
      </w:r>
    </w:p>
    <w:p w:rsidR="009B7E2A" w:rsidRDefault="009B7E2A" w:rsidP="009B7E2A">
      <w:pPr>
        <w:pStyle w:val="Paragraph"/>
        <w:autoSpaceDE w:val="0"/>
        <w:autoSpaceDN w:val="0"/>
        <w:adjustRightInd w:val="0"/>
        <w:spacing w:after="0" w:line="240" w:lineRule="auto"/>
        <w:rPr>
          <w:rFonts w:ascii="Times New Roman" w:hAnsi="Times New Roman"/>
          <w:szCs w:val="22"/>
          <w:lang w:val="lt-LT"/>
        </w:rPr>
      </w:pPr>
      <w:r>
        <w:rPr>
          <w:rFonts w:ascii="Times New Roman" w:hAnsi="Times New Roman"/>
          <w:szCs w:val="22"/>
          <w:lang w:val="lt-LT"/>
        </w:rPr>
        <w:t>3. Kaip vartoti Cerazette</w:t>
      </w:r>
    </w:p>
    <w:p w:rsidR="009B7E2A" w:rsidRDefault="009B7E2A" w:rsidP="009B7E2A">
      <w:pPr>
        <w:pStyle w:val="Paragraph"/>
        <w:autoSpaceDE w:val="0"/>
        <w:autoSpaceDN w:val="0"/>
        <w:adjustRightInd w:val="0"/>
        <w:spacing w:after="0" w:line="240" w:lineRule="auto"/>
        <w:rPr>
          <w:rFonts w:ascii="Times New Roman" w:hAnsi="Times New Roman"/>
          <w:szCs w:val="22"/>
          <w:lang w:val="lt-LT"/>
        </w:rPr>
      </w:pPr>
      <w:r>
        <w:rPr>
          <w:rFonts w:ascii="Times New Roman" w:hAnsi="Times New Roman"/>
          <w:szCs w:val="22"/>
          <w:lang w:val="lt-LT"/>
        </w:rPr>
        <w:t>4. Galimas šalutinis poveikis</w:t>
      </w:r>
    </w:p>
    <w:p w:rsidR="009B7E2A" w:rsidRDefault="009B7E2A" w:rsidP="009B7E2A">
      <w:pPr>
        <w:autoSpaceDE w:val="0"/>
        <w:autoSpaceDN w:val="0"/>
        <w:adjustRightInd w:val="0"/>
        <w:rPr>
          <w:sz w:val="22"/>
          <w:szCs w:val="22"/>
        </w:rPr>
      </w:pPr>
      <w:r>
        <w:rPr>
          <w:sz w:val="22"/>
          <w:szCs w:val="22"/>
        </w:rPr>
        <w:t>5. Kaip laikyti Cerazette</w:t>
      </w:r>
    </w:p>
    <w:p w:rsidR="009B7E2A" w:rsidRDefault="009B7E2A" w:rsidP="009B7E2A">
      <w:pPr>
        <w:pStyle w:val="Paragraph"/>
        <w:autoSpaceDE w:val="0"/>
        <w:autoSpaceDN w:val="0"/>
        <w:adjustRightInd w:val="0"/>
        <w:spacing w:after="0" w:line="240" w:lineRule="auto"/>
        <w:rPr>
          <w:rFonts w:ascii="Times New Roman" w:hAnsi="Times New Roman"/>
          <w:szCs w:val="22"/>
          <w:lang w:val="lt-LT"/>
        </w:rPr>
      </w:pPr>
      <w:r>
        <w:rPr>
          <w:rFonts w:ascii="Times New Roman" w:hAnsi="Times New Roman"/>
          <w:szCs w:val="22"/>
          <w:lang w:val="lt-LT"/>
        </w:rPr>
        <w:t>6. Pakuotės turinys ir kita informacija</w:t>
      </w:r>
    </w:p>
    <w:p w:rsidR="009B7E2A" w:rsidRDefault="009B7E2A" w:rsidP="009B7E2A">
      <w:pPr>
        <w:autoSpaceDE w:val="0"/>
        <w:autoSpaceDN w:val="0"/>
        <w:adjustRightInd w:val="0"/>
        <w:rPr>
          <w:sz w:val="22"/>
          <w:szCs w:val="22"/>
        </w:rPr>
      </w:pPr>
    </w:p>
    <w:p w:rsidR="009B7E2A" w:rsidRDefault="009B7E2A" w:rsidP="009B7E2A">
      <w:pPr>
        <w:pStyle w:val="Paragraph"/>
        <w:autoSpaceDE w:val="0"/>
        <w:autoSpaceDN w:val="0"/>
        <w:adjustRightInd w:val="0"/>
        <w:spacing w:after="0" w:line="240" w:lineRule="auto"/>
        <w:rPr>
          <w:rFonts w:ascii="Times New Roman" w:hAnsi="Times New Roman"/>
          <w:szCs w:val="22"/>
          <w:lang w:val="lt-LT"/>
        </w:rPr>
      </w:pPr>
    </w:p>
    <w:p w:rsidR="009B7E2A" w:rsidRDefault="009B7E2A" w:rsidP="009B7E2A">
      <w:pPr>
        <w:tabs>
          <w:tab w:val="left" w:pos="567"/>
        </w:tabs>
        <w:autoSpaceDE w:val="0"/>
        <w:autoSpaceDN w:val="0"/>
        <w:adjustRightInd w:val="0"/>
        <w:rPr>
          <w:b/>
          <w:bCs/>
          <w:sz w:val="22"/>
          <w:szCs w:val="22"/>
        </w:rPr>
      </w:pPr>
      <w:r>
        <w:rPr>
          <w:b/>
          <w:bCs/>
          <w:sz w:val="22"/>
          <w:szCs w:val="22"/>
        </w:rPr>
        <w:t>1.</w:t>
      </w:r>
      <w:r>
        <w:rPr>
          <w:b/>
          <w:bCs/>
          <w:sz w:val="22"/>
          <w:szCs w:val="22"/>
        </w:rPr>
        <w:tab/>
        <w:t>Kas yra Cerazette ir kam jis vartojamas</w:t>
      </w:r>
    </w:p>
    <w:p w:rsidR="009B7E2A" w:rsidRDefault="009B7E2A" w:rsidP="009B7E2A">
      <w:pPr>
        <w:autoSpaceDE w:val="0"/>
        <w:autoSpaceDN w:val="0"/>
        <w:adjustRightInd w:val="0"/>
        <w:rPr>
          <w:b/>
          <w:bCs/>
          <w:sz w:val="22"/>
          <w:szCs w:val="22"/>
        </w:rPr>
      </w:pPr>
    </w:p>
    <w:p w:rsidR="009B7E2A" w:rsidRDefault="009B7E2A" w:rsidP="009B7E2A">
      <w:pPr>
        <w:rPr>
          <w:sz w:val="22"/>
          <w:szCs w:val="22"/>
        </w:rPr>
      </w:pPr>
      <w:r>
        <w:rPr>
          <w:sz w:val="22"/>
          <w:szCs w:val="22"/>
        </w:rPr>
        <w:t xml:space="preserve">Cerazette vartojamas apsisaugoti nuo nėštumo. Cerazette sudėtyje yra nedaug vienos rūšies moteriškojo lytinio hormono - progestageno </w:t>
      </w:r>
      <w:r w:rsidR="00700635" w:rsidRPr="00CD6BF3">
        <w:rPr>
          <w:bCs/>
          <w:sz w:val="22"/>
          <w:szCs w:val="22"/>
        </w:rPr>
        <w:t>dezogestrelio</w:t>
      </w:r>
      <w:r>
        <w:rPr>
          <w:sz w:val="22"/>
          <w:szCs w:val="22"/>
        </w:rPr>
        <w:t>. Dėl to Cerazette yra vadinamas tik progestageno turinčia tablete (PTT) arba mini piliule. Skirtingai nuo sudėtinių kontraceptinių tablečių, PTT sudėtyje nėra kito moteriškojo hormono estrogeno.</w:t>
      </w:r>
    </w:p>
    <w:p w:rsidR="009B7E2A" w:rsidRDefault="009B7E2A" w:rsidP="009B7E2A">
      <w:pPr>
        <w:rPr>
          <w:sz w:val="22"/>
          <w:szCs w:val="22"/>
        </w:rPr>
      </w:pPr>
    </w:p>
    <w:p w:rsidR="009B7E2A" w:rsidRDefault="009B7E2A" w:rsidP="009B7E2A">
      <w:pPr>
        <w:rPr>
          <w:sz w:val="22"/>
          <w:szCs w:val="22"/>
        </w:rPr>
      </w:pPr>
      <w:r>
        <w:rPr>
          <w:sz w:val="22"/>
          <w:szCs w:val="22"/>
        </w:rPr>
        <w:t>Dauguma PTT veikia visų pirma užkirsdamos kelią spermijams patekti į gimdą, bet ne visada slopina kiaušialąstės brendimą, kas yra pagrindinis sudėtinių tablečių veikimo būdas. Cerazette skiriasi nuo daugumos PTT tuo, kad jame yra pakankama hormono dozė, kad būtų slopinamas ir kiaušialąstės brendimas. Taigi, Cerazette yra labai veiksmingas kontraceptikas.</w:t>
      </w:r>
    </w:p>
    <w:p w:rsidR="009B7E2A" w:rsidRDefault="009B7E2A" w:rsidP="009B7E2A">
      <w:pPr>
        <w:rPr>
          <w:sz w:val="22"/>
          <w:szCs w:val="22"/>
        </w:rPr>
      </w:pPr>
    </w:p>
    <w:p w:rsidR="009B7E2A" w:rsidRDefault="009B7E2A" w:rsidP="009B7E2A">
      <w:pPr>
        <w:rPr>
          <w:sz w:val="22"/>
          <w:szCs w:val="22"/>
        </w:rPr>
      </w:pPr>
      <w:r>
        <w:rPr>
          <w:sz w:val="22"/>
          <w:szCs w:val="22"/>
        </w:rPr>
        <w:t>Skirtingai nuo sudėtinių kontraceptinių tablečių, Cerazette gali vartoti moterys, netoleruojančios estrogenų arba žindančios kūdikį. Šio kontraceptiko trūkumas yra tas, kad jo vartojimo metu gali nereguliariai kraujuoti iš makšties arba gali iš viso nekraujuoti.</w:t>
      </w:r>
    </w:p>
    <w:p w:rsidR="009B7E2A" w:rsidRDefault="009B7E2A" w:rsidP="009B7E2A">
      <w:pPr>
        <w:rPr>
          <w:sz w:val="22"/>
          <w:szCs w:val="22"/>
        </w:rPr>
      </w:pPr>
    </w:p>
    <w:p w:rsidR="009B7E2A" w:rsidRDefault="009B7E2A" w:rsidP="009B7E2A">
      <w:pPr>
        <w:rPr>
          <w:sz w:val="22"/>
          <w:szCs w:val="22"/>
        </w:rPr>
      </w:pPr>
    </w:p>
    <w:p w:rsidR="009B7E2A" w:rsidRDefault="009B7E2A" w:rsidP="009B7E2A">
      <w:pPr>
        <w:tabs>
          <w:tab w:val="left" w:pos="567"/>
        </w:tabs>
        <w:autoSpaceDE w:val="0"/>
        <w:autoSpaceDN w:val="0"/>
        <w:adjustRightInd w:val="0"/>
        <w:rPr>
          <w:b/>
          <w:sz w:val="22"/>
          <w:szCs w:val="22"/>
        </w:rPr>
      </w:pPr>
      <w:r>
        <w:rPr>
          <w:b/>
          <w:bCs/>
          <w:sz w:val="22"/>
          <w:szCs w:val="22"/>
        </w:rPr>
        <w:t>2.</w:t>
      </w:r>
      <w:r>
        <w:rPr>
          <w:b/>
          <w:bCs/>
          <w:sz w:val="22"/>
          <w:szCs w:val="22"/>
        </w:rPr>
        <w:tab/>
      </w:r>
      <w:r>
        <w:rPr>
          <w:b/>
          <w:sz w:val="22"/>
          <w:szCs w:val="22"/>
        </w:rPr>
        <w:t>Kas žinotina prieš vartojant Cerazette</w:t>
      </w:r>
    </w:p>
    <w:p w:rsidR="009B7E2A" w:rsidRDefault="009B7E2A" w:rsidP="009B7E2A">
      <w:pPr>
        <w:autoSpaceDE w:val="0"/>
        <w:autoSpaceDN w:val="0"/>
        <w:adjustRightInd w:val="0"/>
        <w:rPr>
          <w:b/>
          <w:sz w:val="22"/>
          <w:szCs w:val="22"/>
        </w:rPr>
      </w:pPr>
    </w:p>
    <w:p w:rsidR="009B7E2A" w:rsidRDefault="009B7E2A" w:rsidP="009B7E2A">
      <w:pPr>
        <w:pStyle w:val="Pagrindinistekstas"/>
        <w:rPr>
          <w:bCs/>
          <w:szCs w:val="22"/>
        </w:rPr>
      </w:pPr>
      <w:r>
        <w:rPr>
          <w:bCs/>
          <w:szCs w:val="22"/>
        </w:rPr>
        <w:t>Cerazette, kaip ir visi kiti hormoniniai kontraceptikai, neapsaugo nuo užsikrėtimo ŽIV (AIDS) ar kitų lytiniu keliu plintančių ligų.</w:t>
      </w:r>
    </w:p>
    <w:p w:rsidR="009B7E2A" w:rsidRDefault="009B7E2A" w:rsidP="009B7E2A">
      <w:pPr>
        <w:pStyle w:val="Pagrindinistekstas"/>
        <w:rPr>
          <w:bCs/>
          <w:szCs w:val="22"/>
        </w:rPr>
      </w:pPr>
    </w:p>
    <w:p w:rsidR="009B7E2A" w:rsidRDefault="009B7E2A" w:rsidP="009B7E2A">
      <w:pPr>
        <w:rPr>
          <w:b/>
          <w:bCs/>
          <w:sz w:val="22"/>
          <w:szCs w:val="22"/>
        </w:rPr>
      </w:pPr>
      <w:r>
        <w:rPr>
          <w:b/>
          <w:bCs/>
          <w:sz w:val="22"/>
          <w:szCs w:val="22"/>
        </w:rPr>
        <w:t>Cerazette vartoti negalima:</w:t>
      </w:r>
    </w:p>
    <w:p w:rsidR="009B7E2A" w:rsidRDefault="009B7E2A" w:rsidP="009B7E2A">
      <w:pPr>
        <w:numPr>
          <w:ilvl w:val="0"/>
          <w:numId w:val="3"/>
        </w:numPr>
        <w:rPr>
          <w:sz w:val="22"/>
          <w:szCs w:val="22"/>
        </w:rPr>
      </w:pPr>
      <w:r>
        <w:rPr>
          <w:sz w:val="22"/>
          <w:szCs w:val="22"/>
        </w:rPr>
        <w:t>jeigu yra alergija dezogestreliui arba bet kuriai pagalbinei šio vaisto medžiagai (jos išvardytos 6 skyriuje);</w:t>
      </w:r>
    </w:p>
    <w:p w:rsidR="009B7E2A" w:rsidRDefault="009B7E2A" w:rsidP="009B7E2A">
      <w:pPr>
        <w:numPr>
          <w:ilvl w:val="0"/>
          <w:numId w:val="3"/>
        </w:numPr>
        <w:rPr>
          <w:sz w:val="22"/>
          <w:szCs w:val="22"/>
        </w:rPr>
      </w:pPr>
      <w:r>
        <w:rPr>
          <w:sz w:val="22"/>
          <w:szCs w:val="22"/>
        </w:rPr>
        <w:t>jeigu sergate tromboze. Trombozė yra susidaręs kraujo krešulys kraujagyslėje (pvz., kojų (giliųjų venų trombozė) arba plaučių (plaučių embolija));</w:t>
      </w:r>
    </w:p>
    <w:p w:rsidR="009B7E2A" w:rsidRDefault="009B7E2A" w:rsidP="009B7E2A">
      <w:pPr>
        <w:numPr>
          <w:ilvl w:val="0"/>
          <w:numId w:val="3"/>
        </w:numPr>
        <w:rPr>
          <w:sz w:val="22"/>
          <w:szCs w:val="22"/>
        </w:rPr>
      </w:pPr>
      <w:r>
        <w:rPr>
          <w:sz w:val="22"/>
          <w:szCs w:val="22"/>
        </w:rPr>
        <w:lastRenderedPageBreak/>
        <w:t>jeigu sergate ar sirgote gelta (kai pagelsta oda) arba sunkia kepenų liga ir vis dar yra pakitę kepenų funkcijos rodmenys;</w:t>
      </w:r>
    </w:p>
    <w:p w:rsidR="009B7E2A" w:rsidRDefault="009B7E2A" w:rsidP="009B7E2A">
      <w:pPr>
        <w:numPr>
          <w:ilvl w:val="0"/>
          <w:numId w:val="3"/>
        </w:numPr>
        <w:rPr>
          <w:sz w:val="22"/>
          <w:szCs w:val="22"/>
        </w:rPr>
      </w:pPr>
      <w:r>
        <w:rPr>
          <w:sz w:val="22"/>
          <w:szCs w:val="22"/>
        </w:rPr>
        <w:t>jeigu sergate arba įtariate, kad sergate, nuo lytinių steroidinių hormonų priklausomu vėžiu, pvz., kai kurių rūšių krūties vėžiu;</w:t>
      </w:r>
    </w:p>
    <w:p w:rsidR="009B7E2A" w:rsidRDefault="009B7E2A" w:rsidP="009B7E2A">
      <w:pPr>
        <w:numPr>
          <w:ilvl w:val="0"/>
          <w:numId w:val="3"/>
        </w:numPr>
        <w:rPr>
          <w:sz w:val="22"/>
          <w:szCs w:val="22"/>
        </w:rPr>
      </w:pPr>
      <w:r>
        <w:rPr>
          <w:sz w:val="22"/>
          <w:szCs w:val="22"/>
        </w:rPr>
        <w:t>jeigu dėl neaiškių priežasčių kraujuojate iš makšties.</w:t>
      </w:r>
    </w:p>
    <w:p w:rsidR="009B7E2A" w:rsidRDefault="009B7E2A" w:rsidP="009B7E2A">
      <w:pPr>
        <w:rPr>
          <w:sz w:val="22"/>
          <w:szCs w:val="22"/>
        </w:rPr>
      </w:pPr>
    </w:p>
    <w:p w:rsidR="009B7E2A" w:rsidRDefault="009B7E2A" w:rsidP="009B7E2A">
      <w:pPr>
        <w:rPr>
          <w:sz w:val="22"/>
          <w:szCs w:val="22"/>
        </w:rPr>
      </w:pPr>
      <w:r>
        <w:rPr>
          <w:sz w:val="22"/>
          <w:szCs w:val="22"/>
        </w:rPr>
        <w:t>Jeigu Jums yra bent viena iš nurodytų būklių, pasakykite apie tai savo gydytoju prieš pradėdama vartoti Cerazette. Gydytojas gali patarti vartoti nehormoninį kontracepcijos būdą.</w:t>
      </w:r>
    </w:p>
    <w:p w:rsidR="009B7E2A" w:rsidRDefault="009B7E2A" w:rsidP="009B7E2A">
      <w:pPr>
        <w:pStyle w:val="Pagrindinistekstas2"/>
        <w:rPr>
          <w:color w:val="auto"/>
          <w:sz w:val="22"/>
          <w:szCs w:val="22"/>
        </w:rPr>
      </w:pPr>
      <w:r>
        <w:rPr>
          <w:color w:val="auto"/>
          <w:sz w:val="22"/>
          <w:szCs w:val="22"/>
        </w:rPr>
        <w:t>Nedelsdama kreipkitės į gydytoją, jeigu vartojant Cerazette bet kuri iš šių būklių atsirado pirmą kartą.</w:t>
      </w:r>
    </w:p>
    <w:p w:rsidR="009B7E2A" w:rsidRDefault="009B7E2A" w:rsidP="009B7E2A">
      <w:pPr>
        <w:autoSpaceDE w:val="0"/>
        <w:autoSpaceDN w:val="0"/>
        <w:adjustRightInd w:val="0"/>
        <w:rPr>
          <w:b/>
          <w:bCs/>
          <w:sz w:val="22"/>
          <w:szCs w:val="22"/>
        </w:rPr>
      </w:pPr>
    </w:p>
    <w:p w:rsidR="009B7E2A" w:rsidRDefault="009B7E2A" w:rsidP="009B7E2A">
      <w:pPr>
        <w:rPr>
          <w:b/>
          <w:iCs/>
          <w:sz w:val="22"/>
          <w:szCs w:val="22"/>
        </w:rPr>
      </w:pPr>
      <w:r>
        <w:rPr>
          <w:b/>
          <w:iCs/>
          <w:sz w:val="22"/>
          <w:szCs w:val="22"/>
        </w:rPr>
        <w:t>Įspėjimai ir atsargumo priemonės</w:t>
      </w:r>
    </w:p>
    <w:p w:rsidR="009B7E2A" w:rsidRDefault="009B7E2A" w:rsidP="009B7E2A">
      <w:pPr>
        <w:numPr>
          <w:ilvl w:val="12"/>
          <w:numId w:val="0"/>
        </w:numPr>
        <w:ind w:right="-2"/>
        <w:rPr>
          <w:sz w:val="22"/>
          <w:szCs w:val="22"/>
        </w:rPr>
      </w:pPr>
      <w:r>
        <w:rPr>
          <w:noProof/>
          <w:sz w:val="22"/>
          <w:szCs w:val="22"/>
        </w:rPr>
        <w:t xml:space="preserve">Pasitarkite su gydytoju, prieš pradėdami vartoti </w:t>
      </w:r>
      <w:r>
        <w:rPr>
          <w:sz w:val="22"/>
          <w:szCs w:val="22"/>
        </w:rPr>
        <w:t>Cerazette</w:t>
      </w:r>
      <w:r>
        <w:rPr>
          <w:noProof/>
          <w:sz w:val="22"/>
          <w:szCs w:val="22"/>
        </w:rPr>
        <w:t>.</w:t>
      </w:r>
    </w:p>
    <w:p w:rsidR="009B7E2A" w:rsidRDefault="009B7E2A" w:rsidP="009B7E2A">
      <w:pPr>
        <w:rPr>
          <w:b/>
          <w:iCs/>
          <w:sz w:val="22"/>
          <w:szCs w:val="22"/>
        </w:rPr>
      </w:pPr>
    </w:p>
    <w:p w:rsidR="009B7E2A" w:rsidRDefault="009B7E2A" w:rsidP="009B7E2A">
      <w:pPr>
        <w:rPr>
          <w:sz w:val="22"/>
          <w:szCs w:val="22"/>
        </w:rPr>
      </w:pPr>
      <w:r>
        <w:rPr>
          <w:sz w:val="22"/>
          <w:szCs w:val="22"/>
        </w:rPr>
        <w:t>Pasakykite savo gydytojui prieš pradedant vartoti Cerazette, jeigu:</w:t>
      </w:r>
    </w:p>
    <w:p w:rsidR="009B7E2A" w:rsidRDefault="009B7E2A" w:rsidP="009B7E2A">
      <w:pPr>
        <w:numPr>
          <w:ilvl w:val="0"/>
          <w:numId w:val="4"/>
        </w:numPr>
        <w:rPr>
          <w:sz w:val="22"/>
          <w:szCs w:val="22"/>
        </w:rPr>
      </w:pPr>
      <w:r>
        <w:rPr>
          <w:sz w:val="22"/>
          <w:szCs w:val="22"/>
        </w:rPr>
        <w:t>sergate arba sirgote krūties vėžiu;</w:t>
      </w:r>
    </w:p>
    <w:p w:rsidR="009B7E2A" w:rsidRDefault="009B7E2A" w:rsidP="009B7E2A">
      <w:pPr>
        <w:numPr>
          <w:ilvl w:val="0"/>
          <w:numId w:val="4"/>
        </w:numPr>
        <w:rPr>
          <w:sz w:val="22"/>
          <w:szCs w:val="22"/>
        </w:rPr>
      </w:pPr>
      <w:r>
        <w:rPr>
          <w:sz w:val="22"/>
          <w:szCs w:val="22"/>
        </w:rPr>
        <w:t>sergate kepenų vėžiu, kadangi negalima paneigti galimo Cerazette poveikio;</w:t>
      </w:r>
    </w:p>
    <w:p w:rsidR="009B7E2A" w:rsidRDefault="009B7E2A" w:rsidP="009B7E2A">
      <w:pPr>
        <w:numPr>
          <w:ilvl w:val="0"/>
          <w:numId w:val="4"/>
        </w:numPr>
        <w:rPr>
          <w:sz w:val="22"/>
          <w:szCs w:val="22"/>
        </w:rPr>
      </w:pPr>
      <w:r>
        <w:rPr>
          <w:sz w:val="22"/>
          <w:szCs w:val="22"/>
        </w:rPr>
        <w:t>yra buvusi trombozė;</w:t>
      </w:r>
    </w:p>
    <w:p w:rsidR="009B7E2A" w:rsidRDefault="009B7E2A" w:rsidP="009B7E2A">
      <w:pPr>
        <w:numPr>
          <w:ilvl w:val="0"/>
          <w:numId w:val="4"/>
        </w:numPr>
        <w:rPr>
          <w:sz w:val="22"/>
          <w:szCs w:val="22"/>
        </w:rPr>
      </w:pPr>
      <w:r>
        <w:rPr>
          <w:sz w:val="22"/>
          <w:szCs w:val="22"/>
        </w:rPr>
        <w:t>sergate cukriniu diabetu;</w:t>
      </w:r>
    </w:p>
    <w:p w:rsidR="009B7E2A" w:rsidRDefault="009B7E2A" w:rsidP="009B7E2A">
      <w:pPr>
        <w:numPr>
          <w:ilvl w:val="0"/>
          <w:numId w:val="4"/>
        </w:numPr>
        <w:rPr>
          <w:sz w:val="22"/>
          <w:szCs w:val="22"/>
        </w:rPr>
      </w:pPr>
      <w:r>
        <w:rPr>
          <w:sz w:val="22"/>
          <w:szCs w:val="22"/>
        </w:rPr>
        <w:t>sergate epilepsija (žr. poskyrį „Kiti vaistai ir Cerazette“);</w:t>
      </w:r>
    </w:p>
    <w:p w:rsidR="009B7E2A" w:rsidRDefault="009B7E2A" w:rsidP="009B7E2A">
      <w:pPr>
        <w:numPr>
          <w:ilvl w:val="0"/>
          <w:numId w:val="4"/>
        </w:numPr>
        <w:rPr>
          <w:sz w:val="22"/>
          <w:szCs w:val="22"/>
        </w:rPr>
      </w:pPr>
      <w:r>
        <w:rPr>
          <w:sz w:val="22"/>
          <w:szCs w:val="22"/>
        </w:rPr>
        <w:t>sergate tuberkulioze (žr. poskyrį „Kiti vaistai ir Cerazette“);</w:t>
      </w:r>
    </w:p>
    <w:p w:rsidR="009B7E2A" w:rsidRDefault="009B7E2A" w:rsidP="009B7E2A">
      <w:pPr>
        <w:numPr>
          <w:ilvl w:val="0"/>
          <w:numId w:val="4"/>
        </w:numPr>
        <w:rPr>
          <w:sz w:val="22"/>
          <w:szCs w:val="22"/>
        </w:rPr>
      </w:pPr>
      <w:r>
        <w:rPr>
          <w:sz w:val="22"/>
          <w:szCs w:val="22"/>
        </w:rPr>
        <w:t>Jūsų kraujospūdis yra padidėjęs;</w:t>
      </w:r>
    </w:p>
    <w:p w:rsidR="009B7E2A" w:rsidRDefault="009B7E2A" w:rsidP="009B7E2A">
      <w:pPr>
        <w:numPr>
          <w:ilvl w:val="0"/>
          <w:numId w:val="4"/>
        </w:numPr>
        <w:rPr>
          <w:sz w:val="22"/>
          <w:szCs w:val="22"/>
        </w:rPr>
      </w:pPr>
      <w:r>
        <w:rPr>
          <w:sz w:val="22"/>
          <w:szCs w:val="22"/>
        </w:rPr>
        <w:t>yra arba buvo rudmė (gelsvai rudos pigmentinės odos dėmės, ypač veido srityje); tokiu atveju Jūs negalite ilgai degintis saulėje ar švitintis ultravioletiniais spinduliais.</w:t>
      </w:r>
    </w:p>
    <w:p w:rsidR="009B7E2A" w:rsidRDefault="009B7E2A" w:rsidP="009B7E2A">
      <w:pPr>
        <w:ind w:left="360"/>
        <w:rPr>
          <w:sz w:val="22"/>
          <w:szCs w:val="22"/>
        </w:rPr>
      </w:pPr>
    </w:p>
    <w:p w:rsidR="009B7E2A" w:rsidRDefault="009B7E2A" w:rsidP="009B7E2A">
      <w:pPr>
        <w:rPr>
          <w:sz w:val="22"/>
          <w:szCs w:val="22"/>
        </w:rPr>
      </w:pPr>
      <w:r>
        <w:rPr>
          <w:sz w:val="22"/>
          <w:szCs w:val="22"/>
        </w:rPr>
        <w:t>Kai Cerazette vartojamas esant bet kuriai šių būklių, gali reikėti Jūsų būklę atidžiai stebėti. Apie tai Jums paaiškins gydytojas.</w:t>
      </w:r>
    </w:p>
    <w:p w:rsidR="009B7E2A" w:rsidRDefault="009B7E2A" w:rsidP="009B7E2A">
      <w:pPr>
        <w:rPr>
          <w:sz w:val="22"/>
          <w:szCs w:val="22"/>
        </w:rPr>
      </w:pPr>
    </w:p>
    <w:p w:rsidR="009B7E2A" w:rsidRDefault="009B7E2A" w:rsidP="009B7E2A">
      <w:pPr>
        <w:rPr>
          <w:b/>
          <w:iCs/>
          <w:sz w:val="22"/>
          <w:szCs w:val="22"/>
          <w:u w:val="single"/>
        </w:rPr>
      </w:pPr>
      <w:r>
        <w:rPr>
          <w:bCs/>
          <w:iCs/>
          <w:sz w:val="22"/>
          <w:szCs w:val="22"/>
          <w:u w:val="single"/>
        </w:rPr>
        <w:t>Krūties vėžys</w:t>
      </w:r>
    </w:p>
    <w:p w:rsidR="009B7E2A" w:rsidRDefault="009B7E2A" w:rsidP="009B7E2A">
      <w:pPr>
        <w:rPr>
          <w:sz w:val="22"/>
          <w:szCs w:val="22"/>
        </w:rPr>
      </w:pPr>
      <w:r>
        <w:rPr>
          <w:sz w:val="22"/>
          <w:szCs w:val="22"/>
        </w:rPr>
        <w:t>Reguliariai tikrinkite savo krūtis ir, jeigu krūtyje aptikote bet kokį sukietėjimą, nedelsdama kreipkitės į savo gydytoją.</w:t>
      </w:r>
    </w:p>
    <w:p w:rsidR="009B7E2A" w:rsidRDefault="009B7E2A" w:rsidP="009B7E2A">
      <w:pPr>
        <w:rPr>
          <w:sz w:val="22"/>
          <w:szCs w:val="22"/>
        </w:rPr>
      </w:pPr>
    </w:p>
    <w:p w:rsidR="009B7E2A" w:rsidRDefault="009B7E2A" w:rsidP="009B7E2A">
      <w:pPr>
        <w:rPr>
          <w:sz w:val="22"/>
          <w:szCs w:val="22"/>
        </w:rPr>
      </w:pPr>
      <w:r>
        <w:rPr>
          <w:sz w:val="22"/>
          <w:szCs w:val="22"/>
        </w:rPr>
        <w:t>Kontraceptines tabletes vartojančioms moterims krūties vėžys nustatomas šiek tiek dažniau, nei to paties amžiaus jų nevartojančioms moterims. Nustojus vartoti kontraceptines tabletes, per 10 metų šis nedidelis skirtumas pamažu išnyksta. Krūties vėžys jaunesnėms nei 40 metų moterims nustatomas retai, tačiau senstant jo rizika didėja. Dėl to, papildomų krūties vėžio atvejų nustatoma daugiau vyresnėms moterims, kurios vartoja kontraceptines tabletes. Šių tablečių vartojimo trukmė yra mažiau svarbi.</w:t>
      </w:r>
    </w:p>
    <w:p w:rsidR="009B7E2A" w:rsidRDefault="009B7E2A" w:rsidP="009B7E2A">
      <w:pPr>
        <w:pStyle w:val="Pagrindinistekstas"/>
        <w:autoSpaceDE/>
        <w:adjustRightInd/>
        <w:rPr>
          <w:szCs w:val="22"/>
        </w:rPr>
      </w:pPr>
    </w:p>
    <w:p w:rsidR="009B7E2A" w:rsidRDefault="009B7E2A" w:rsidP="009B7E2A">
      <w:pPr>
        <w:pStyle w:val="Pagrindinistekstas"/>
        <w:autoSpaceDE/>
        <w:adjustRightInd/>
        <w:rPr>
          <w:szCs w:val="22"/>
        </w:rPr>
      </w:pPr>
      <w:r>
        <w:rPr>
          <w:szCs w:val="22"/>
        </w:rPr>
        <w:t>Kiekvienam 10 000 moterų, vartojusių kontraceptines tabletes iki 5 metų, bet nutraukusių jas iki 20 metų amžiaus, per 10 metų po vaisto vartojimo nutraukimo bus registruotas mažiau negu 1 papildomas krūties vėžio atvejis, be įprastai šio amžiaus moterims diagnozuojamų 4 atvejų. Panašiai kiekvienam 10 000 moterų, vartojusių kontraceptines tabletes iki 5 metų, bet nutraukusių jas iki 30 metų amžiaus, bus registruoti 5 papildomi krūties vėžio atvejai, be įprastai šio amžiaus moterims diagnozuojamų 44 atvejų. Kiekvienam 10 000 moterų, vartojusių kontraceptines tabletes iki 5 metų, bet nutraukusių jas iki 40 metų amžiaus, bus registruota 20 papildomų krūties vėžio atvejų, be įprastai šio amžiaus moterims diagnozuojamų 160 atvejų.</w:t>
      </w:r>
    </w:p>
    <w:p w:rsidR="009B7E2A" w:rsidRDefault="009B7E2A" w:rsidP="009B7E2A">
      <w:pPr>
        <w:pStyle w:val="Pagrindinistekstas2"/>
        <w:rPr>
          <w:color w:val="auto"/>
          <w:sz w:val="22"/>
          <w:szCs w:val="22"/>
        </w:rPr>
      </w:pPr>
    </w:p>
    <w:p w:rsidR="009B7E2A" w:rsidRDefault="009B7E2A" w:rsidP="009B7E2A">
      <w:pPr>
        <w:pStyle w:val="Pagrindinistekstas2"/>
        <w:rPr>
          <w:color w:val="auto"/>
          <w:sz w:val="22"/>
          <w:szCs w:val="22"/>
        </w:rPr>
      </w:pPr>
      <w:r>
        <w:rPr>
          <w:color w:val="auto"/>
          <w:sz w:val="22"/>
          <w:szCs w:val="22"/>
        </w:rPr>
        <w:t>Tikima, kad krūties vėžio atsiradimo rizika moterims, vartojančioms tik progestageno turinčias tabletes, tokias kaip Cerazette, yra panaši kaip kontraceptines tabletes vartojančioms moterims, tačiau įrodymų nepakanka.</w:t>
      </w:r>
    </w:p>
    <w:p w:rsidR="009B7E2A" w:rsidRDefault="009B7E2A" w:rsidP="009B7E2A">
      <w:pPr>
        <w:pStyle w:val="Pagrindinistekstas2"/>
        <w:rPr>
          <w:color w:val="auto"/>
          <w:sz w:val="22"/>
          <w:szCs w:val="22"/>
        </w:rPr>
      </w:pPr>
    </w:p>
    <w:p w:rsidR="009B7E2A" w:rsidRDefault="009B7E2A" w:rsidP="009B7E2A">
      <w:pPr>
        <w:rPr>
          <w:sz w:val="22"/>
          <w:szCs w:val="22"/>
        </w:rPr>
      </w:pPr>
      <w:r>
        <w:rPr>
          <w:sz w:val="22"/>
          <w:szCs w:val="22"/>
        </w:rPr>
        <w:lastRenderedPageBreak/>
        <w:t>Atrodo, jog kontraceptines tabletes vartojančioms moterims nustatomas mažiau išplitęs krūties vėžys, negu šių tablečių nevartojančioms. Ar krūties vėžio rizikos skirtumas yra dėl kontraceptikų poveikio, nėra žinoma. Tai gali būti dėl to, kad juos vartojančios moterys buvo dažniau tikrinamos, todėl krūties vėžys galėjo būti pastebėtas anksčiau.</w:t>
      </w:r>
    </w:p>
    <w:p w:rsidR="009B7E2A" w:rsidRDefault="009B7E2A" w:rsidP="009B7E2A">
      <w:pPr>
        <w:rPr>
          <w:sz w:val="22"/>
          <w:szCs w:val="22"/>
        </w:rPr>
      </w:pPr>
    </w:p>
    <w:p w:rsidR="009B7E2A" w:rsidRDefault="009B7E2A" w:rsidP="009B7E2A">
      <w:pPr>
        <w:rPr>
          <w:bCs/>
          <w:iCs/>
          <w:sz w:val="22"/>
          <w:szCs w:val="22"/>
          <w:u w:val="single"/>
        </w:rPr>
      </w:pPr>
      <w:r>
        <w:rPr>
          <w:bCs/>
          <w:iCs/>
          <w:sz w:val="22"/>
          <w:szCs w:val="22"/>
          <w:u w:val="single"/>
        </w:rPr>
        <w:t>Trombozė</w:t>
      </w:r>
    </w:p>
    <w:p w:rsidR="009B7E2A" w:rsidRDefault="009B7E2A" w:rsidP="009B7E2A">
      <w:pPr>
        <w:rPr>
          <w:sz w:val="22"/>
          <w:szCs w:val="22"/>
        </w:rPr>
      </w:pPr>
      <w:r>
        <w:rPr>
          <w:sz w:val="22"/>
          <w:szCs w:val="22"/>
        </w:rPr>
        <w:t>Pastebėjusi galimos trombozės požymių, nedelsdama kreipkitės į gydytoją (žr. “</w:t>
      </w:r>
      <w:r>
        <w:rPr>
          <w:iCs/>
          <w:sz w:val="22"/>
          <w:szCs w:val="22"/>
        </w:rPr>
        <w:t>Reguliarūs sveikatos tikrinimai</w:t>
      </w:r>
      <w:r>
        <w:rPr>
          <w:sz w:val="22"/>
          <w:szCs w:val="22"/>
        </w:rPr>
        <w:t>”).</w:t>
      </w:r>
    </w:p>
    <w:p w:rsidR="009B7E2A" w:rsidRDefault="009B7E2A" w:rsidP="009B7E2A">
      <w:pPr>
        <w:rPr>
          <w:sz w:val="22"/>
          <w:szCs w:val="22"/>
        </w:rPr>
      </w:pPr>
    </w:p>
    <w:p w:rsidR="009B7E2A" w:rsidRDefault="009B7E2A" w:rsidP="009B7E2A">
      <w:pPr>
        <w:rPr>
          <w:sz w:val="22"/>
          <w:szCs w:val="22"/>
        </w:rPr>
      </w:pPr>
      <w:r>
        <w:rPr>
          <w:sz w:val="22"/>
          <w:szCs w:val="22"/>
        </w:rPr>
        <w:t xml:space="preserve">Trombozė </w:t>
      </w:r>
      <w:r>
        <w:rPr>
          <w:sz w:val="22"/>
          <w:szCs w:val="22"/>
        </w:rPr>
        <w:sym w:font="Symbol" w:char="F02D"/>
      </w:r>
      <w:r>
        <w:rPr>
          <w:sz w:val="22"/>
          <w:szCs w:val="22"/>
        </w:rPr>
        <w:t xml:space="preserve"> tai būklė, kai susidaro kraujo krešulys, galintis užkimšti kraujagyslę. Kartais krešulių susidaro giliosiose kojų venose (giliųjų venų trombozė). Jeigu kraujo krešulys atitrūksta nuo kraujagyslės, kurioje buvo susidaręs, jis gali nukeliauti į plaučių arterijas ir jas užkimšti. Tai vadinama plaučių embolija. Dėl jos moteris gali net mirti. Paprastai giliųjų venų trombozė yra reta. Ji gali ištikti ir nevartojant kontraceptinių tablečių. Trombozė gali ištikti ir nėščiąsias.</w:t>
      </w:r>
    </w:p>
    <w:p w:rsidR="009B7E2A" w:rsidRDefault="009B7E2A" w:rsidP="009B7E2A">
      <w:pPr>
        <w:rPr>
          <w:sz w:val="22"/>
          <w:szCs w:val="22"/>
        </w:rPr>
      </w:pPr>
    </w:p>
    <w:p w:rsidR="003A3004" w:rsidRPr="001F616E" w:rsidRDefault="003A3004" w:rsidP="003A3004">
      <w:pPr>
        <w:rPr>
          <w:sz w:val="22"/>
          <w:szCs w:val="22"/>
        </w:rPr>
      </w:pPr>
      <w:r w:rsidRPr="001F616E">
        <w:rPr>
          <w:sz w:val="22"/>
          <w:szCs w:val="22"/>
        </w:rPr>
        <w:t>Geriamuosius kontraceptikus vartojančioms moterims trombozės tikimybė yra didesnė, negu jų nevartojančioms. Manoma, jog moterims, vartojančioms tik progestagenų turinčią tabletę, pavyzdžiui, Cerazette, trombozės rizika yra mažesnė negu vartojančioms sudėtines kontraceptines tabletes, kurių sudėtyje yra ir estrogenų.</w:t>
      </w:r>
    </w:p>
    <w:p w:rsidR="003A3004" w:rsidRPr="001F616E" w:rsidRDefault="003A3004" w:rsidP="003A3004">
      <w:pPr>
        <w:rPr>
          <w:sz w:val="22"/>
          <w:szCs w:val="22"/>
        </w:rPr>
      </w:pPr>
    </w:p>
    <w:p w:rsidR="003A3004" w:rsidRPr="00CD6BF3" w:rsidRDefault="00700635" w:rsidP="003A3004">
      <w:pPr>
        <w:rPr>
          <w:sz w:val="22"/>
          <w:szCs w:val="22"/>
          <w:u w:val="single"/>
        </w:rPr>
      </w:pPr>
      <w:r w:rsidRPr="00CD6BF3">
        <w:rPr>
          <w:sz w:val="22"/>
          <w:szCs w:val="22"/>
          <w:u w:val="single"/>
        </w:rPr>
        <w:t>Psichikos sutrikimai</w:t>
      </w:r>
    </w:p>
    <w:p w:rsidR="003A3004" w:rsidRPr="001F616E" w:rsidRDefault="003A3004" w:rsidP="003A3004">
      <w:pPr>
        <w:rPr>
          <w:sz w:val="22"/>
          <w:szCs w:val="22"/>
        </w:rPr>
      </w:pPr>
      <w:r w:rsidRPr="001F616E">
        <w:rPr>
          <w:sz w:val="22"/>
          <w:szCs w:val="22"/>
        </w:rPr>
        <w:t xml:space="preserve">Kai kurios hormoninius kontraceptikus, </w:t>
      </w:r>
      <w:r w:rsidRPr="007C151A">
        <w:rPr>
          <w:sz w:val="22"/>
          <w:szCs w:val="22"/>
        </w:rPr>
        <w:t xml:space="preserve">įskaitant </w:t>
      </w:r>
      <w:r w:rsidR="00700635" w:rsidRPr="00CD6BF3">
        <w:rPr>
          <w:sz w:val="22"/>
          <w:szCs w:val="22"/>
        </w:rPr>
        <w:t>Cerazette</w:t>
      </w:r>
      <w:r w:rsidRPr="007C151A">
        <w:rPr>
          <w:sz w:val="22"/>
          <w:szCs w:val="22"/>
        </w:rPr>
        <w:t>, vartojusios</w:t>
      </w:r>
      <w:r w:rsidRPr="001F616E">
        <w:rPr>
          <w:sz w:val="22"/>
          <w:szCs w:val="22"/>
        </w:rPr>
        <w:t xml:space="preserve">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rsidR="009B7E2A" w:rsidRDefault="009B7E2A" w:rsidP="009B7E2A">
      <w:pPr>
        <w:pStyle w:val="Pagrindinistekstas2"/>
        <w:rPr>
          <w:i/>
          <w:color w:val="auto"/>
          <w:sz w:val="22"/>
          <w:szCs w:val="22"/>
        </w:rPr>
      </w:pPr>
    </w:p>
    <w:p w:rsidR="009B7E2A" w:rsidRDefault="009B7E2A" w:rsidP="009B7E2A">
      <w:pPr>
        <w:pStyle w:val="Pagrindinistekstas2"/>
        <w:rPr>
          <w:b/>
          <w:color w:val="auto"/>
          <w:sz w:val="22"/>
          <w:szCs w:val="22"/>
        </w:rPr>
      </w:pPr>
      <w:r>
        <w:rPr>
          <w:b/>
          <w:color w:val="auto"/>
          <w:sz w:val="22"/>
          <w:szCs w:val="22"/>
        </w:rPr>
        <w:t>Vaikams ir paauglėms</w:t>
      </w:r>
    </w:p>
    <w:p w:rsidR="009B7E2A" w:rsidRDefault="009B7E2A" w:rsidP="009B7E2A">
      <w:pPr>
        <w:rPr>
          <w:sz w:val="22"/>
          <w:szCs w:val="22"/>
        </w:rPr>
      </w:pPr>
      <w:r>
        <w:rPr>
          <w:sz w:val="22"/>
          <w:szCs w:val="22"/>
        </w:rPr>
        <w:t>Klinikinių duomenų apie veiksmingumą ir saugumą jaunesnėms kaip 18 metų paauglėms nėra.</w:t>
      </w:r>
    </w:p>
    <w:p w:rsidR="009B7E2A" w:rsidRDefault="009B7E2A" w:rsidP="009B7E2A">
      <w:pPr>
        <w:pStyle w:val="Pagrindinistekstas2"/>
        <w:rPr>
          <w:color w:val="auto"/>
          <w:sz w:val="22"/>
          <w:szCs w:val="22"/>
        </w:rPr>
      </w:pPr>
    </w:p>
    <w:p w:rsidR="009B7E2A" w:rsidRDefault="009B7E2A" w:rsidP="009B7E2A">
      <w:pPr>
        <w:rPr>
          <w:b/>
          <w:iCs/>
          <w:sz w:val="22"/>
          <w:szCs w:val="22"/>
        </w:rPr>
      </w:pPr>
      <w:r>
        <w:rPr>
          <w:b/>
          <w:iCs/>
          <w:sz w:val="22"/>
          <w:szCs w:val="22"/>
        </w:rPr>
        <w:t>Kiti vaistai ir Cerazette</w:t>
      </w:r>
    </w:p>
    <w:p w:rsidR="009B7E2A" w:rsidRDefault="00700635" w:rsidP="009B7E2A">
      <w:pPr>
        <w:rPr>
          <w:sz w:val="22"/>
          <w:szCs w:val="22"/>
        </w:rPr>
      </w:pPr>
      <w:r w:rsidRPr="00CD6BF3">
        <w:rPr>
          <w:sz w:val="22"/>
          <w:szCs w:val="22"/>
        </w:rPr>
        <w:t>Jeigu vartojate arba neseniai vartojote kitų vaistų ar augalinių preparatų, arba dėl to nesate tikri, apie tai pasakykite gydytojui</w:t>
      </w:r>
      <w:r w:rsidR="009B7E2A">
        <w:rPr>
          <w:szCs w:val="22"/>
        </w:rPr>
        <w:t xml:space="preserve">. </w:t>
      </w:r>
      <w:r w:rsidR="009B7E2A">
        <w:rPr>
          <w:sz w:val="22"/>
          <w:szCs w:val="22"/>
        </w:rPr>
        <w:t>Be to, apie Cerazette vartojimą informuokite kiekvieną gydytoją, odontologą arba vaistininką, skiriantį Jums kitų vaistų. Jie paaiškins, ar turite naudotis papildomomis kontraceptinėmis priemonėmis (pvz., prezervatyvais), ir, jeigu jų reikia, kiek laiko bei ar nereikia pakeisti kito Jums būtino vaisto vartojimo.</w:t>
      </w:r>
    </w:p>
    <w:p w:rsidR="009B7E2A" w:rsidRDefault="009B7E2A" w:rsidP="009B7E2A">
      <w:pPr>
        <w:pStyle w:val="Pagrindinistekstas"/>
        <w:autoSpaceDE/>
        <w:adjustRightInd/>
        <w:rPr>
          <w:szCs w:val="22"/>
        </w:rPr>
      </w:pPr>
    </w:p>
    <w:p w:rsidR="009B7E2A" w:rsidRDefault="009B7E2A" w:rsidP="009B7E2A">
      <w:pPr>
        <w:rPr>
          <w:sz w:val="22"/>
          <w:szCs w:val="22"/>
        </w:rPr>
      </w:pPr>
      <w:r>
        <w:rPr>
          <w:sz w:val="22"/>
          <w:szCs w:val="22"/>
        </w:rPr>
        <w:t>Kai kurie vaistai:</w:t>
      </w:r>
    </w:p>
    <w:p w:rsidR="009B7E2A" w:rsidRDefault="009B7E2A" w:rsidP="009B7E2A">
      <w:pPr>
        <w:pStyle w:val="Sraopastraipa"/>
        <w:numPr>
          <w:ilvl w:val="0"/>
          <w:numId w:val="5"/>
        </w:numPr>
        <w:rPr>
          <w:rFonts w:eastAsia="Calibri"/>
          <w:sz w:val="22"/>
          <w:szCs w:val="22"/>
        </w:rPr>
      </w:pPr>
      <w:r>
        <w:rPr>
          <w:sz w:val="22"/>
          <w:szCs w:val="22"/>
        </w:rPr>
        <w:t xml:space="preserve">gali keisti </w:t>
      </w:r>
      <w:r>
        <w:rPr>
          <w:rFonts w:eastAsia="Calibri"/>
          <w:sz w:val="22"/>
          <w:szCs w:val="22"/>
        </w:rPr>
        <w:t>Cerazette</w:t>
      </w:r>
      <w:r>
        <w:rPr>
          <w:sz w:val="22"/>
          <w:szCs w:val="22"/>
        </w:rPr>
        <w:t xml:space="preserve"> veikliųjų medžiagų koncentraciją kraujyje;</w:t>
      </w:r>
    </w:p>
    <w:p w:rsidR="009B7E2A" w:rsidRDefault="009B7E2A" w:rsidP="009B7E2A">
      <w:pPr>
        <w:pStyle w:val="Sraopastraipa"/>
        <w:numPr>
          <w:ilvl w:val="0"/>
          <w:numId w:val="5"/>
        </w:numPr>
        <w:rPr>
          <w:rFonts w:eastAsia="Calibri"/>
          <w:sz w:val="22"/>
          <w:szCs w:val="22"/>
        </w:rPr>
      </w:pPr>
      <w:r>
        <w:rPr>
          <w:sz w:val="22"/>
          <w:szCs w:val="22"/>
        </w:rPr>
        <w:t xml:space="preserve">gali </w:t>
      </w:r>
      <w:r>
        <w:rPr>
          <w:b/>
          <w:sz w:val="22"/>
          <w:szCs w:val="22"/>
        </w:rPr>
        <w:t>susilpninti jo sukeliamą apsaugą nuo pastojimo</w:t>
      </w:r>
      <w:r>
        <w:rPr>
          <w:sz w:val="22"/>
          <w:szCs w:val="22"/>
        </w:rPr>
        <w:t>;</w:t>
      </w:r>
    </w:p>
    <w:p w:rsidR="009B7E2A" w:rsidRDefault="009B7E2A" w:rsidP="009B7E2A">
      <w:pPr>
        <w:pStyle w:val="Sraopastraipa"/>
        <w:numPr>
          <w:ilvl w:val="0"/>
          <w:numId w:val="5"/>
        </w:numPr>
        <w:rPr>
          <w:rFonts w:eastAsia="Calibri"/>
          <w:sz w:val="22"/>
          <w:szCs w:val="22"/>
        </w:rPr>
      </w:pPr>
      <w:r>
        <w:rPr>
          <w:sz w:val="22"/>
          <w:szCs w:val="22"/>
        </w:rPr>
        <w:t>gali sukelti netikėtą kraujavimą</w:t>
      </w:r>
      <w:r>
        <w:rPr>
          <w:rFonts w:eastAsia="Calibri"/>
          <w:sz w:val="22"/>
          <w:szCs w:val="22"/>
        </w:rPr>
        <w:t>.</w:t>
      </w:r>
    </w:p>
    <w:p w:rsidR="009B7E2A" w:rsidRDefault="009B7E2A" w:rsidP="009B7E2A">
      <w:pPr>
        <w:pStyle w:val="Sraopastraipa"/>
        <w:rPr>
          <w:rFonts w:eastAsia="Calibri"/>
        </w:rPr>
      </w:pPr>
    </w:p>
    <w:p w:rsidR="009B7E2A" w:rsidRDefault="009B7E2A" w:rsidP="009B7E2A">
      <w:pPr>
        <w:rPr>
          <w:sz w:val="22"/>
          <w:szCs w:val="22"/>
        </w:rPr>
      </w:pPr>
      <w:r>
        <w:rPr>
          <w:sz w:val="22"/>
          <w:szCs w:val="22"/>
        </w:rPr>
        <w:t>Tai vaistai, kurie vartojami gydyti šioms ligoms:</w:t>
      </w:r>
    </w:p>
    <w:p w:rsidR="009B7E2A" w:rsidRDefault="009B7E2A" w:rsidP="009B7E2A">
      <w:pPr>
        <w:numPr>
          <w:ilvl w:val="0"/>
          <w:numId w:val="6"/>
        </w:numPr>
        <w:snapToGrid w:val="0"/>
        <w:rPr>
          <w:sz w:val="22"/>
          <w:szCs w:val="22"/>
        </w:rPr>
      </w:pPr>
      <w:r>
        <w:rPr>
          <w:sz w:val="22"/>
          <w:szCs w:val="22"/>
        </w:rPr>
        <w:t>epilepsijai (pvz., primidonas, fenitoinas, karbamazepinas, okskarbazepinas, felbamatas, topiramatas ir fenobarbitalis);</w:t>
      </w:r>
    </w:p>
    <w:p w:rsidR="009B7E2A" w:rsidRDefault="009B7E2A" w:rsidP="009B7E2A">
      <w:pPr>
        <w:numPr>
          <w:ilvl w:val="0"/>
          <w:numId w:val="6"/>
        </w:numPr>
        <w:snapToGrid w:val="0"/>
        <w:rPr>
          <w:sz w:val="22"/>
          <w:szCs w:val="22"/>
        </w:rPr>
      </w:pPr>
      <w:r>
        <w:rPr>
          <w:sz w:val="22"/>
          <w:szCs w:val="22"/>
        </w:rPr>
        <w:t>tuberkuliozei (pvz., rifampicinas, rifabutinas);</w:t>
      </w:r>
    </w:p>
    <w:p w:rsidR="009B7E2A" w:rsidRDefault="009B7E2A" w:rsidP="009B7E2A">
      <w:pPr>
        <w:numPr>
          <w:ilvl w:val="0"/>
          <w:numId w:val="6"/>
        </w:numPr>
        <w:snapToGrid w:val="0"/>
        <w:rPr>
          <w:sz w:val="22"/>
          <w:szCs w:val="22"/>
        </w:rPr>
      </w:pPr>
      <w:r>
        <w:rPr>
          <w:sz w:val="22"/>
          <w:szCs w:val="22"/>
        </w:rPr>
        <w:t>ŽIV infekcijai (pvz., ritonaviras, nelfinaviras, nevirapinas, efavirenzas);</w:t>
      </w:r>
    </w:p>
    <w:p w:rsidR="009B7E2A" w:rsidRDefault="009B7E2A" w:rsidP="009B7E2A">
      <w:pPr>
        <w:numPr>
          <w:ilvl w:val="0"/>
          <w:numId w:val="6"/>
        </w:numPr>
        <w:snapToGrid w:val="0"/>
        <w:rPr>
          <w:sz w:val="22"/>
          <w:szCs w:val="22"/>
        </w:rPr>
      </w:pPr>
      <w:r>
        <w:rPr>
          <w:sz w:val="22"/>
          <w:szCs w:val="22"/>
        </w:rPr>
        <w:t>hepatito C viruso infekcijai (pvz., bocepreviras, telapreviras);</w:t>
      </w:r>
    </w:p>
    <w:p w:rsidR="009B7E2A" w:rsidRDefault="009B7E2A" w:rsidP="009B7E2A">
      <w:pPr>
        <w:numPr>
          <w:ilvl w:val="0"/>
          <w:numId w:val="6"/>
        </w:numPr>
        <w:snapToGrid w:val="0"/>
        <w:rPr>
          <w:sz w:val="22"/>
          <w:szCs w:val="22"/>
        </w:rPr>
      </w:pPr>
      <w:r>
        <w:rPr>
          <w:sz w:val="22"/>
          <w:szCs w:val="22"/>
        </w:rPr>
        <w:t>kitoms infekcinėms ligoms (pvz., grizeofulvinas);</w:t>
      </w:r>
    </w:p>
    <w:p w:rsidR="009B7E2A" w:rsidRDefault="009B7E2A" w:rsidP="009B7E2A">
      <w:pPr>
        <w:numPr>
          <w:ilvl w:val="0"/>
          <w:numId w:val="6"/>
        </w:numPr>
        <w:snapToGrid w:val="0"/>
        <w:rPr>
          <w:sz w:val="22"/>
          <w:szCs w:val="22"/>
        </w:rPr>
      </w:pPr>
      <w:r>
        <w:rPr>
          <w:sz w:val="22"/>
          <w:szCs w:val="22"/>
        </w:rPr>
        <w:t>padidėjusiam kraujospūdžiui plaučių kraujagyslėse (bozentanas);</w:t>
      </w:r>
    </w:p>
    <w:p w:rsidR="009B7E2A" w:rsidRDefault="009B7E2A" w:rsidP="009B7E2A">
      <w:pPr>
        <w:numPr>
          <w:ilvl w:val="0"/>
          <w:numId w:val="6"/>
        </w:numPr>
        <w:snapToGrid w:val="0"/>
        <w:rPr>
          <w:sz w:val="22"/>
          <w:szCs w:val="22"/>
        </w:rPr>
      </w:pPr>
      <w:r>
        <w:rPr>
          <w:sz w:val="22"/>
          <w:szCs w:val="22"/>
        </w:rPr>
        <w:t>depresinei nuotaikai (jonažolė);</w:t>
      </w:r>
    </w:p>
    <w:p w:rsidR="009B7E2A" w:rsidRDefault="009B7E2A" w:rsidP="009B7E2A">
      <w:pPr>
        <w:numPr>
          <w:ilvl w:val="0"/>
          <w:numId w:val="6"/>
        </w:numPr>
        <w:snapToGrid w:val="0"/>
        <w:rPr>
          <w:sz w:val="22"/>
          <w:szCs w:val="22"/>
        </w:rPr>
      </w:pPr>
      <w:r>
        <w:rPr>
          <w:sz w:val="22"/>
          <w:szCs w:val="22"/>
        </w:rPr>
        <w:lastRenderedPageBreak/>
        <w:t xml:space="preserve">tam tikroms bakterinėms infekcijoms (pvz., klaritromicinas, eritromicinas); </w:t>
      </w:r>
    </w:p>
    <w:p w:rsidR="009B7E2A" w:rsidRDefault="009B7E2A" w:rsidP="009B7E2A">
      <w:pPr>
        <w:numPr>
          <w:ilvl w:val="0"/>
          <w:numId w:val="6"/>
        </w:numPr>
        <w:snapToGrid w:val="0"/>
        <w:rPr>
          <w:sz w:val="22"/>
          <w:szCs w:val="22"/>
        </w:rPr>
      </w:pPr>
      <w:r>
        <w:rPr>
          <w:sz w:val="22"/>
          <w:szCs w:val="22"/>
        </w:rPr>
        <w:t>grybelinėms infekcijoms (pvz., ketokonazolas, itrakonazolas, flukonazolas);</w:t>
      </w:r>
    </w:p>
    <w:p w:rsidR="009B7E2A" w:rsidRDefault="009B7E2A" w:rsidP="009B7E2A">
      <w:pPr>
        <w:numPr>
          <w:ilvl w:val="0"/>
          <w:numId w:val="6"/>
        </w:numPr>
        <w:snapToGrid w:val="0"/>
        <w:rPr>
          <w:sz w:val="22"/>
          <w:szCs w:val="22"/>
        </w:rPr>
      </w:pPr>
      <w:r>
        <w:rPr>
          <w:sz w:val="22"/>
          <w:szCs w:val="22"/>
        </w:rPr>
        <w:t xml:space="preserve">padidėjusiam kraujospūdžiui (hipertenzijai), anginai ar tam tikriem širdies ritmo sutrikimams (pvz., diltiazemas). </w:t>
      </w:r>
    </w:p>
    <w:p w:rsidR="009B7E2A" w:rsidRDefault="009B7E2A" w:rsidP="009B7E2A">
      <w:pPr>
        <w:rPr>
          <w:sz w:val="22"/>
          <w:szCs w:val="22"/>
        </w:rPr>
      </w:pPr>
    </w:p>
    <w:p w:rsidR="009B7E2A" w:rsidRDefault="009B7E2A" w:rsidP="009B7E2A">
      <w:pPr>
        <w:rPr>
          <w:sz w:val="22"/>
          <w:szCs w:val="22"/>
        </w:rPr>
      </w:pPr>
      <w:r>
        <w:rPr>
          <w:sz w:val="22"/>
          <w:szCs w:val="22"/>
        </w:rPr>
        <w:t xml:space="preserve">Jeigu Jūs vartojate vaistų arba augalinių </w:t>
      </w:r>
      <w:r w:rsidR="003B3D0F">
        <w:rPr>
          <w:sz w:val="22"/>
          <w:szCs w:val="22"/>
        </w:rPr>
        <w:t>vaistų</w:t>
      </w:r>
      <w:r>
        <w:rPr>
          <w:sz w:val="22"/>
          <w:szCs w:val="22"/>
        </w:rPr>
        <w:t>, kurie gali sumažinti Cerazette veiksmingumą, taip pat taikykite barjerinę kontracepciją. Baigus vartoti kitą vaistą, jo įtaka Cerazette veiksmingumui gali trukti dar iki 28 dienų, todėl visą tą laiką reikia papildomai taikyti barjerinę kontracepciją. Gydytojas pasakys, ar būtina naudotis papildomomis kontracepcijos priemonėmis ir, jeigu reikia, kiek laiko.</w:t>
      </w:r>
    </w:p>
    <w:p w:rsidR="009B7E2A" w:rsidRDefault="009B7E2A" w:rsidP="009B7E2A">
      <w:pPr>
        <w:rPr>
          <w:sz w:val="22"/>
          <w:szCs w:val="22"/>
        </w:rPr>
      </w:pPr>
    </w:p>
    <w:p w:rsidR="009B7E2A" w:rsidRDefault="009B7E2A" w:rsidP="009B7E2A">
      <w:pPr>
        <w:rPr>
          <w:sz w:val="22"/>
          <w:szCs w:val="22"/>
        </w:rPr>
      </w:pPr>
      <w:r>
        <w:rPr>
          <w:sz w:val="22"/>
          <w:szCs w:val="22"/>
        </w:rPr>
        <w:t>Be to, Cerazette gali turėti įtakos kitų vaistų poveikiui: gali jį sustiprinti (pvz., vaistų kurių sudėtyje yra ciklosporino) arba susilpninti (pvz.., lamotrigino).</w:t>
      </w:r>
    </w:p>
    <w:p w:rsidR="009B7E2A" w:rsidRDefault="009B7E2A" w:rsidP="009B7E2A">
      <w:pPr>
        <w:rPr>
          <w:sz w:val="22"/>
          <w:szCs w:val="22"/>
        </w:rPr>
      </w:pPr>
    </w:p>
    <w:p w:rsidR="009B7E2A" w:rsidRDefault="009B7E2A" w:rsidP="009B7E2A">
      <w:pPr>
        <w:rPr>
          <w:rFonts w:eastAsia="Calibri"/>
          <w:i/>
          <w:sz w:val="22"/>
          <w:szCs w:val="22"/>
        </w:rPr>
      </w:pPr>
      <w:r>
        <w:rPr>
          <w:i/>
          <w:sz w:val="22"/>
          <w:szCs w:val="22"/>
        </w:rPr>
        <w:t>Prieš pradėdami vartoti bet kurį vaistą, pasitarkite su gydytoju arba vaistininku</w:t>
      </w:r>
      <w:r>
        <w:rPr>
          <w:rFonts w:eastAsia="Calibri"/>
          <w:i/>
          <w:sz w:val="22"/>
          <w:szCs w:val="22"/>
        </w:rPr>
        <w:t>.</w:t>
      </w:r>
    </w:p>
    <w:p w:rsidR="009B7E2A" w:rsidRDefault="009B7E2A" w:rsidP="009B7E2A">
      <w:pPr>
        <w:pStyle w:val="Pagrindinistekstas"/>
        <w:autoSpaceDE/>
        <w:adjustRightInd/>
        <w:rPr>
          <w:szCs w:val="22"/>
        </w:rPr>
      </w:pPr>
    </w:p>
    <w:p w:rsidR="009B7E2A" w:rsidRDefault="009B7E2A" w:rsidP="009B7E2A">
      <w:pPr>
        <w:jc w:val="both"/>
        <w:rPr>
          <w:b/>
          <w:iCs/>
          <w:sz w:val="22"/>
          <w:szCs w:val="22"/>
        </w:rPr>
      </w:pPr>
      <w:r>
        <w:rPr>
          <w:b/>
          <w:iCs/>
          <w:sz w:val="22"/>
          <w:szCs w:val="22"/>
        </w:rPr>
        <w:t>Nėštumas ir žindymo laikotarpis</w:t>
      </w:r>
    </w:p>
    <w:p w:rsidR="009B7E2A" w:rsidRDefault="009B7E2A" w:rsidP="009B7E2A">
      <w:pPr>
        <w:jc w:val="both"/>
        <w:rPr>
          <w:noProof/>
          <w:sz w:val="22"/>
          <w:szCs w:val="22"/>
        </w:rPr>
      </w:pPr>
      <w:r>
        <w:rPr>
          <w:noProof/>
          <w:sz w:val="22"/>
          <w:szCs w:val="22"/>
        </w:rPr>
        <w:t>Jeigu esate nėščia, žindote kūdikį, manote, kad galbūt esate nėščia, arba planuojate pastoti, tai prieš vartodama šį vaistą, pasitarkite su gydytoju arba vaistininku.</w:t>
      </w:r>
    </w:p>
    <w:p w:rsidR="009B7E2A" w:rsidRDefault="009B7E2A" w:rsidP="009B7E2A">
      <w:pPr>
        <w:jc w:val="both"/>
        <w:rPr>
          <w:b/>
          <w:iCs/>
          <w:sz w:val="22"/>
          <w:szCs w:val="22"/>
        </w:rPr>
      </w:pPr>
    </w:p>
    <w:p w:rsidR="009B7E2A" w:rsidRDefault="009B7E2A" w:rsidP="009B7E2A">
      <w:pPr>
        <w:jc w:val="both"/>
        <w:rPr>
          <w:iCs/>
          <w:sz w:val="22"/>
          <w:szCs w:val="22"/>
          <w:u w:val="single"/>
        </w:rPr>
      </w:pPr>
      <w:r>
        <w:rPr>
          <w:iCs/>
          <w:sz w:val="22"/>
          <w:szCs w:val="22"/>
          <w:u w:val="single"/>
        </w:rPr>
        <w:t>Nėštumas</w:t>
      </w:r>
    </w:p>
    <w:p w:rsidR="009B7E2A" w:rsidRDefault="009B7E2A" w:rsidP="009B7E2A">
      <w:pPr>
        <w:jc w:val="both"/>
        <w:rPr>
          <w:sz w:val="22"/>
          <w:szCs w:val="22"/>
        </w:rPr>
      </w:pPr>
      <w:r>
        <w:rPr>
          <w:sz w:val="22"/>
          <w:szCs w:val="22"/>
        </w:rPr>
        <w:t>Nevartokite Cerazette, jei esate nėščia arba manote, kad pastojote.</w:t>
      </w:r>
    </w:p>
    <w:p w:rsidR="009B7E2A" w:rsidRDefault="009B7E2A" w:rsidP="009B7E2A">
      <w:pPr>
        <w:jc w:val="both"/>
        <w:rPr>
          <w:b/>
          <w:i/>
          <w:sz w:val="22"/>
          <w:szCs w:val="22"/>
        </w:rPr>
      </w:pPr>
    </w:p>
    <w:p w:rsidR="009B7E2A" w:rsidRDefault="009B7E2A" w:rsidP="009B7E2A">
      <w:pPr>
        <w:keepNext/>
        <w:jc w:val="both"/>
        <w:rPr>
          <w:b/>
          <w:i/>
          <w:sz w:val="22"/>
          <w:szCs w:val="22"/>
          <w:u w:val="single"/>
        </w:rPr>
      </w:pPr>
      <w:r>
        <w:rPr>
          <w:sz w:val="22"/>
          <w:szCs w:val="22"/>
          <w:u w:val="single"/>
        </w:rPr>
        <w:t>Žindymo laikotarpis</w:t>
      </w:r>
    </w:p>
    <w:p w:rsidR="009B7E2A" w:rsidRDefault="009B7E2A" w:rsidP="009B7E2A">
      <w:pPr>
        <w:pStyle w:val="Pagrindinistekstas"/>
        <w:keepNext/>
        <w:autoSpaceDE/>
        <w:adjustRightInd/>
        <w:rPr>
          <w:szCs w:val="22"/>
        </w:rPr>
      </w:pPr>
      <w:r>
        <w:rPr>
          <w:szCs w:val="22"/>
        </w:rPr>
        <w:t>Cerazette galima vartoti žindymo laikotarpiu. Cerazette neveikia pieno gamybos ar jo kokybės. Vis dėlto nedaug veikliosios Cerazette medžiagos patenka į motinos pieną.</w:t>
      </w:r>
    </w:p>
    <w:p w:rsidR="009B7E2A" w:rsidRDefault="009B7E2A" w:rsidP="009B7E2A">
      <w:pPr>
        <w:pStyle w:val="Pagrindinistekstas"/>
        <w:autoSpaceDE/>
        <w:adjustRightInd/>
        <w:rPr>
          <w:szCs w:val="22"/>
        </w:rPr>
      </w:pPr>
    </w:p>
    <w:p w:rsidR="009B7E2A" w:rsidRDefault="009B7E2A" w:rsidP="009B7E2A">
      <w:pPr>
        <w:pStyle w:val="Pagrindinistekstas"/>
        <w:autoSpaceDE/>
        <w:adjustRightInd/>
        <w:rPr>
          <w:szCs w:val="22"/>
        </w:rPr>
      </w:pPr>
      <w:r>
        <w:rPr>
          <w:szCs w:val="22"/>
        </w:rPr>
        <w:t>Buvo tirta iki 2,5 metų amžiaus vaikų sveikata, kurių motinos vartojo Cerazette ir žindė juos 7 mėnesius. Poveikio vaikų augimui ir raidai nepastebėta.</w:t>
      </w:r>
    </w:p>
    <w:p w:rsidR="009B7E2A" w:rsidRDefault="009B7E2A" w:rsidP="009B7E2A">
      <w:pPr>
        <w:pStyle w:val="Pagrindinistekstas"/>
        <w:autoSpaceDE/>
        <w:adjustRightInd/>
        <w:rPr>
          <w:szCs w:val="22"/>
        </w:rPr>
      </w:pPr>
    </w:p>
    <w:p w:rsidR="009B7E2A" w:rsidRDefault="009B7E2A" w:rsidP="009B7E2A">
      <w:pPr>
        <w:pStyle w:val="Pagrindinistekstas"/>
        <w:autoSpaceDE/>
        <w:adjustRightInd/>
        <w:rPr>
          <w:szCs w:val="22"/>
        </w:rPr>
      </w:pPr>
      <w:r>
        <w:rPr>
          <w:szCs w:val="22"/>
        </w:rPr>
        <w:t>Kreipkitės į gydytoją, jeigu žindymo laikotarpiu norite vartoti Cerazette.</w:t>
      </w:r>
    </w:p>
    <w:p w:rsidR="009B7E2A" w:rsidRDefault="009B7E2A" w:rsidP="009B7E2A">
      <w:pPr>
        <w:jc w:val="both"/>
        <w:rPr>
          <w:b/>
          <w:iCs/>
          <w:sz w:val="22"/>
          <w:szCs w:val="22"/>
        </w:rPr>
      </w:pPr>
    </w:p>
    <w:p w:rsidR="009B7E2A" w:rsidRDefault="009B7E2A" w:rsidP="009B7E2A">
      <w:pPr>
        <w:jc w:val="both"/>
        <w:rPr>
          <w:b/>
          <w:iCs/>
          <w:sz w:val="22"/>
          <w:szCs w:val="22"/>
        </w:rPr>
      </w:pPr>
      <w:r>
        <w:rPr>
          <w:b/>
          <w:iCs/>
          <w:sz w:val="22"/>
          <w:szCs w:val="22"/>
        </w:rPr>
        <w:t>Vairavimas ir mechanizmų valdymas</w:t>
      </w:r>
    </w:p>
    <w:p w:rsidR="009B7E2A" w:rsidRDefault="009B7E2A" w:rsidP="009B7E2A">
      <w:pPr>
        <w:pStyle w:val="Pagrindinistekstas"/>
        <w:autoSpaceDE/>
        <w:adjustRightInd/>
        <w:rPr>
          <w:szCs w:val="22"/>
        </w:rPr>
      </w:pPr>
      <w:r>
        <w:rPr>
          <w:szCs w:val="22"/>
        </w:rPr>
        <w:t>Cerazette poveikio budrumui ir koncentracijai nepastebėta.</w:t>
      </w:r>
    </w:p>
    <w:p w:rsidR="009B7E2A" w:rsidRDefault="009B7E2A" w:rsidP="009B7E2A">
      <w:pPr>
        <w:pStyle w:val="Pagrindinistekstas"/>
        <w:autoSpaceDE/>
        <w:adjustRightInd/>
        <w:rPr>
          <w:szCs w:val="22"/>
        </w:rPr>
      </w:pPr>
    </w:p>
    <w:p w:rsidR="009B7E2A" w:rsidRDefault="009B7E2A" w:rsidP="009B7E2A">
      <w:pPr>
        <w:jc w:val="both"/>
        <w:rPr>
          <w:b/>
          <w:bCs/>
          <w:sz w:val="22"/>
          <w:szCs w:val="22"/>
        </w:rPr>
      </w:pPr>
      <w:r>
        <w:rPr>
          <w:b/>
          <w:bCs/>
          <w:sz w:val="22"/>
          <w:szCs w:val="22"/>
        </w:rPr>
        <w:t>Cerazette sudėtyje yra laktozės</w:t>
      </w:r>
    </w:p>
    <w:p w:rsidR="009B7E2A" w:rsidRDefault="009B7E2A" w:rsidP="009B7E2A">
      <w:pPr>
        <w:pStyle w:val="Pagrindinistekstas2"/>
        <w:rPr>
          <w:color w:val="auto"/>
          <w:sz w:val="22"/>
          <w:szCs w:val="22"/>
        </w:rPr>
      </w:pPr>
      <w:r>
        <w:rPr>
          <w:color w:val="auto"/>
          <w:sz w:val="22"/>
          <w:szCs w:val="22"/>
        </w:rPr>
        <w:t>Cerazette sudėtyje yra laktozės (pieno cukraus). Kreipkitės į gydytoją prieš pradėdama vartoti Cerazette, jeigu jis Jums yra sakęs, kad netoleruojate kokių nors angliavandenių.</w:t>
      </w:r>
    </w:p>
    <w:p w:rsidR="009B7E2A" w:rsidRDefault="009B7E2A" w:rsidP="009B7E2A">
      <w:pPr>
        <w:pStyle w:val="Pagrindinistekstas2"/>
        <w:rPr>
          <w:color w:val="auto"/>
          <w:sz w:val="22"/>
          <w:szCs w:val="22"/>
        </w:rPr>
      </w:pPr>
    </w:p>
    <w:p w:rsidR="009B7E2A" w:rsidRDefault="009B7E2A" w:rsidP="009B7E2A">
      <w:pPr>
        <w:pStyle w:val="Pagrindinistekstas"/>
        <w:rPr>
          <w:b/>
          <w:szCs w:val="22"/>
        </w:rPr>
      </w:pPr>
      <w:r>
        <w:rPr>
          <w:b/>
          <w:szCs w:val="22"/>
        </w:rPr>
        <w:t>Reguliarūs sveikatos tikrinimai</w:t>
      </w:r>
    </w:p>
    <w:p w:rsidR="009B7E2A" w:rsidRDefault="009B7E2A" w:rsidP="009B7E2A">
      <w:pPr>
        <w:pStyle w:val="Pagrindinistekstas"/>
        <w:rPr>
          <w:bCs/>
          <w:iCs/>
          <w:szCs w:val="22"/>
        </w:rPr>
      </w:pPr>
      <w:r>
        <w:rPr>
          <w:bCs/>
          <w:iCs/>
          <w:szCs w:val="22"/>
        </w:rPr>
        <w:t>Jeigu vartojate Cerazette, gydytojas patars Jums reguliariai tikrintis sveikatą. Tikrinimų dažnis ir pobūdis priklausys nuo Jūsų būklės.</w:t>
      </w:r>
    </w:p>
    <w:p w:rsidR="009B7E2A" w:rsidRDefault="009B7E2A" w:rsidP="009B7E2A">
      <w:pPr>
        <w:pStyle w:val="Pagrindinistekstas"/>
        <w:autoSpaceDE/>
        <w:adjustRightInd/>
        <w:rPr>
          <w:szCs w:val="22"/>
        </w:rPr>
      </w:pPr>
    </w:p>
    <w:p w:rsidR="009B7E2A" w:rsidRDefault="009B7E2A" w:rsidP="009B7E2A">
      <w:pPr>
        <w:keepNext/>
        <w:keepLines/>
        <w:pBdr>
          <w:top w:val="single" w:sz="4" w:space="1" w:color="auto"/>
          <w:left w:val="single" w:sz="4" w:space="4" w:color="auto"/>
          <w:bottom w:val="single" w:sz="4" w:space="0" w:color="auto"/>
          <w:right w:val="single" w:sz="4" w:space="4" w:color="auto"/>
        </w:pBdr>
        <w:shd w:val="pct5" w:color="auto" w:fill="auto"/>
        <w:jc w:val="both"/>
        <w:rPr>
          <w:b/>
          <w:bCs/>
          <w:i/>
          <w:iCs/>
          <w:sz w:val="22"/>
          <w:szCs w:val="22"/>
          <w:u w:val="single"/>
        </w:rPr>
      </w:pPr>
      <w:r>
        <w:rPr>
          <w:b/>
          <w:bCs/>
          <w:i/>
          <w:iCs/>
          <w:sz w:val="22"/>
          <w:szCs w:val="22"/>
          <w:u w:val="single"/>
        </w:rPr>
        <w:t>Nedelsdamos kreipkitės į gydytoją, jeigu:</w:t>
      </w:r>
    </w:p>
    <w:p w:rsidR="009B7E2A" w:rsidRDefault="009B7E2A" w:rsidP="009B7E2A">
      <w:pPr>
        <w:keepNext/>
        <w:keepLines/>
        <w:pBdr>
          <w:top w:val="single" w:sz="4" w:space="1" w:color="auto"/>
          <w:left w:val="single" w:sz="4" w:space="4" w:color="auto"/>
          <w:bottom w:val="single" w:sz="4" w:space="0" w:color="auto"/>
          <w:right w:val="single" w:sz="4" w:space="4" w:color="auto"/>
        </w:pBdr>
        <w:shd w:val="pct5" w:color="auto" w:fill="auto"/>
        <w:jc w:val="both"/>
        <w:rPr>
          <w:bCs/>
          <w:iCs/>
          <w:sz w:val="22"/>
          <w:szCs w:val="22"/>
          <w:u w:val="single"/>
        </w:rPr>
      </w:pPr>
    </w:p>
    <w:p w:rsidR="009B7E2A" w:rsidRDefault="009B7E2A" w:rsidP="009B7E2A">
      <w:pPr>
        <w:keepNext/>
        <w:keepLines/>
        <w:numPr>
          <w:ilvl w:val="0"/>
          <w:numId w:val="7"/>
        </w:numPr>
        <w:pBdr>
          <w:top w:val="single" w:sz="4" w:space="1" w:color="auto"/>
          <w:left w:val="single" w:sz="4" w:space="4" w:color="auto"/>
          <w:bottom w:val="single" w:sz="4" w:space="0" w:color="auto"/>
          <w:right w:val="single" w:sz="4" w:space="4" w:color="auto"/>
        </w:pBdr>
        <w:shd w:val="pct5" w:color="auto" w:fill="auto"/>
        <w:ind w:left="426" w:hanging="426"/>
        <w:jc w:val="both"/>
        <w:rPr>
          <w:sz w:val="22"/>
          <w:szCs w:val="22"/>
        </w:rPr>
      </w:pPr>
      <w:r>
        <w:rPr>
          <w:sz w:val="22"/>
          <w:szCs w:val="22"/>
        </w:rPr>
        <w:t xml:space="preserve">atsirado stiprus bet kurios kojos skausmas arba tinimas, netikėtas krūtinės skausmas, dusulys, neįprastas kosulys, ypač su krauju (tai gali būti </w:t>
      </w:r>
      <w:r>
        <w:rPr>
          <w:b/>
          <w:sz w:val="22"/>
          <w:szCs w:val="22"/>
        </w:rPr>
        <w:t>trombozės</w:t>
      </w:r>
      <w:r>
        <w:rPr>
          <w:sz w:val="22"/>
          <w:szCs w:val="22"/>
        </w:rPr>
        <w:t xml:space="preserve"> požymiai);</w:t>
      </w:r>
    </w:p>
    <w:p w:rsidR="009B7E2A" w:rsidRDefault="009B7E2A" w:rsidP="009B7E2A">
      <w:pPr>
        <w:numPr>
          <w:ilvl w:val="0"/>
          <w:numId w:val="7"/>
        </w:numPr>
        <w:pBdr>
          <w:top w:val="single" w:sz="4" w:space="1" w:color="auto"/>
          <w:left w:val="single" w:sz="4" w:space="4" w:color="auto"/>
          <w:bottom w:val="single" w:sz="4" w:space="0" w:color="auto"/>
          <w:right w:val="single" w:sz="4" w:space="4" w:color="auto"/>
        </w:pBdr>
        <w:shd w:val="pct5" w:color="auto" w:fill="auto"/>
        <w:ind w:left="426" w:hanging="426"/>
        <w:jc w:val="both"/>
        <w:rPr>
          <w:sz w:val="22"/>
          <w:szCs w:val="22"/>
        </w:rPr>
      </w:pPr>
      <w:r>
        <w:rPr>
          <w:sz w:val="22"/>
          <w:szCs w:val="22"/>
        </w:rPr>
        <w:t xml:space="preserve">atsirado staigus, stiprus skrandžio srities skausmas arba gelta (tai gali būti </w:t>
      </w:r>
      <w:r>
        <w:rPr>
          <w:b/>
          <w:sz w:val="22"/>
          <w:szCs w:val="22"/>
        </w:rPr>
        <w:t>kepenų ligos</w:t>
      </w:r>
      <w:r>
        <w:rPr>
          <w:sz w:val="22"/>
          <w:szCs w:val="22"/>
        </w:rPr>
        <w:t xml:space="preserve"> požymiai);</w:t>
      </w:r>
    </w:p>
    <w:p w:rsidR="009B7E2A" w:rsidRDefault="009B7E2A" w:rsidP="009B7E2A">
      <w:pPr>
        <w:numPr>
          <w:ilvl w:val="0"/>
          <w:numId w:val="7"/>
        </w:numPr>
        <w:pBdr>
          <w:top w:val="single" w:sz="4" w:space="1" w:color="auto"/>
          <w:left w:val="single" w:sz="4" w:space="4" w:color="auto"/>
          <w:bottom w:val="single" w:sz="4" w:space="0" w:color="auto"/>
          <w:right w:val="single" w:sz="4" w:space="4" w:color="auto"/>
        </w:pBdr>
        <w:shd w:val="pct5" w:color="auto" w:fill="auto"/>
        <w:ind w:left="426" w:hanging="426"/>
        <w:jc w:val="both"/>
        <w:rPr>
          <w:sz w:val="22"/>
          <w:szCs w:val="22"/>
        </w:rPr>
      </w:pPr>
      <w:r>
        <w:rPr>
          <w:sz w:val="22"/>
          <w:szCs w:val="22"/>
        </w:rPr>
        <w:t xml:space="preserve">krūtyje aptikote gumbą (tai gali būti </w:t>
      </w:r>
      <w:r>
        <w:rPr>
          <w:b/>
          <w:sz w:val="22"/>
          <w:szCs w:val="22"/>
        </w:rPr>
        <w:t>krūties vėžio</w:t>
      </w:r>
      <w:r>
        <w:rPr>
          <w:sz w:val="22"/>
          <w:szCs w:val="22"/>
        </w:rPr>
        <w:t xml:space="preserve"> požymis);</w:t>
      </w:r>
    </w:p>
    <w:p w:rsidR="009B7E2A" w:rsidRDefault="009B7E2A" w:rsidP="009B7E2A">
      <w:pPr>
        <w:numPr>
          <w:ilvl w:val="0"/>
          <w:numId w:val="7"/>
        </w:numPr>
        <w:pBdr>
          <w:top w:val="single" w:sz="4" w:space="1" w:color="auto"/>
          <w:left w:val="single" w:sz="4" w:space="4" w:color="auto"/>
          <w:bottom w:val="single" w:sz="4" w:space="0" w:color="auto"/>
          <w:right w:val="single" w:sz="4" w:space="4" w:color="auto"/>
        </w:pBdr>
        <w:shd w:val="pct5" w:color="auto" w:fill="auto"/>
        <w:ind w:left="426" w:hanging="426"/>
        <w:jc w:val="both"/>
        <w:rPr>
          <w:sz w:val="22"/>
          <w:szCs w:val="22"/>
        </w:rPr>
      </w:pPr>
      <w:r>
        <w:rPr>
          <w:sz w:val="22"/>
          <w:szCs w:val="22"/>
        </w:rPr>
        <w:t xml:space="preserve">pajutote staigų ar stiprų apatinės pilvo dalies arba skrandžio srities skausmą (tai galimas </w:t>
      </w:r>
      <w:r>
        <w:rPr>
          <w:b/>
          <w:bCs/>
          <w:sz w:val="22"/>
          <w:szCs w:val="22"/>
        </w:rPr>
        <w:t>negimdinio</w:t>
      </w:r>
      <w:r>
        <w:rPr>
          <w:sz w:val="22"/>
          <w:szCs w:val="22"/>
        </w:rPr>
        <w:t xml:space="preserve"> </w:t>
      </w:r>
      <w:r>
        <w:rPr>
          <w:b/>
          <w:bCs/>
          <w:sz w:val="22"/>
          <w:szCs w:val="22"/>
        </w:rPr>
        <w:t>nėštumo (ne gimdoje)</w:t>
      </w:r>
      <w:r>
        <w:rPr>
          <w:sz w:val="22"/>
          <w:szCs w:val="22"/>
        </w:rPr>
        <w:t xml:space="preserve"> požymis);</w:t>
      </w:r>
    </w:p>
    <w:p w:rsidR="009B7E2A" w:rsidRDefault="009B7E2A" w:rsidP="009B7E2A">
      <w:pPr>
        <w:numPr>
          <w:ilvl w:val="0"/>
          <w:numId w:val="7"/>
        </w:numPr>
        <w:pBdr>
          <w:top w:val="single" w:sz="4" w:space="1" w:color="auto"/>
          <w:left w:val="single" w:sz="4" w:space="4" w:color="auto"/>
          <w:bottom w:val="single" w:sz="4" w:space="0" w:color="auto"/>
          <w:right w:val="single" w:sz="4" w:space="4" w:color="auto"/>
        </w:pBdr>
        <w:shd w:val="pct5" w:color="auto" w:fill="auto"/>
        <w:ind w:left="426" w:hanging="426"/>
        <w:jc w:val="both"/>
        <w:rPr>
          <w:sz w:val="22"/>
          <w:szCs w:val="22"/>
        </w:rPr>
      </w:pPr>
      <w:r>
        <w:rPr>
          <w:sz w:val="22"/>
          <w:szCs w:val="22"/>
        </w:rPr>
        <w:lastRenderedPageBreak/>
        <w:t>numatoma imobilizacija arba operacija (pasitarkite su savo gydytoju iki procedūrų likus ne mažiau kaip keturioms savaitėms);</w:t>
      </w:r>
    </w:p>
    <w:p w:rsidR="009B7E2A" w:rsidRDefault="009B7E2A" w:rsidP="009B7E2A">
      <w:pPr>
        <w:numPr>
          <w:ilvl w:val="0"/>
          <w:numId w:val="7"/>
        </w:numPr>
        <w:pBdr>
          <w:top w:val="single" w:sz="4" w:space="1" w:color="auto"/>
          <w:left w:val="single" w:sz="4" w:space="4" w:color="auto"/>
          <w:bottom w:val="single" w:sz="4" w:space="0" w:color="auto"/>
          <w:right w:val="single" w:sz="4" w:space="4" w:color="auto"/>
        </w:pBdr>
        <w:shd w:val="pct5" w:color="auto" w:fill="auto"/>
        <w:ind w:left="426" w:hanging="426"/>
        <w:jc w:val="both"/>
        <w:rPr>
          <w:sz w:val="22"/>
          <w:szCs w:val="22"/>
        </w:rPr>
      </w:pPr>
      <w:r>
        <w:rPr>
          <w:sz w:val="22"/>
          <w:szCs w:val="22"/>
        </w:rPr>
        <w:t>neįprastai ir stipriai kraujuoja iš makšties;</w:t>
      </w:r>
    </w:p>
    <w:p w:rsidR="009B7E2A" w:rsidRDefault="009B7E2A" w:rsidP="009B7E2A">
      <w:pPr>
        <w:numPr>
          <w:ilvl w:val="0"/>
          <w:numId w:val="7"/>
        </w:numPr>
        <w:pBdr>
          <w:top w:val="single" w:sz="4" w:space="1" w:color="auto"/>
          <w:left w:val="single" w:sz="4" w:space="4" w:color="auto"/>
          <w:bottom w:val="single" w:sz="4" w:space="0" w:color="auto"/>
          <w:right w:val="single" w:sz="4" w:space="4" w:color="auto"/>
        </w:pBdr>
        <w:shd w:val="pct5" w:color="auto" w:fill="auto"/>
        <w:ind w:left="426" w:hanging="426"/>
        <w:jc w:val="both"/>
        <w:rPr>
          <w:sz w:val="22"/>
          <w:szCs w:val="22"/>
        </w:rPr>
      </w:pPr>
      <w:r>
        <w:rPr>
          <w:sz w:val="22"/>
          <w:szCs w:val="22"/>
        </w:rPr>
        <w:t xml:space="preserve">įtariate, kad </w:t>
      </w:r>
      <w:r>
        <w:rPr>
          <w:b/>
          <w:sz w:val="22"/>
          <w:szCs w:val="22"/>
        </w:rPr>
        <w:t>pastojote</w:t>
      </w:r>
      <w:r>
        <w:rPr>
          <w:sz w:val="22"/>
          <w:szCs w:val="22"/>
        </w:rPr>
        <w:t>.</w:t>
      </w:r>
    </w:p>
    <w:p w:rsidR="009B7E2A" w:rsidRDefault="009B7E2A" w:rsidP="009B7E2A">
      <w:pPr>
        <w:jc w:val="both"/>
        <w:rPr>
          <w:b/>
          <w:sz w:val="22"/>
          <w:szCs w:val="22"/>
          <w:u w:val="single"/>
        </w:rPr>
      </w:pPr>
    </w:p>
    <w:p w:rsidR="009B7E2A" w:rsidRDefault="009B7E2A" w:rsidP="009B7E2A">
      <w:pPr>
        <w:jc w:val="both"/>
        <w:rPr>
          <w:b/>
          <w:sz w:val="22"/>
          <w:szCs w:val="22"/>
          <w:u w:val="single"/>
        </w:rPr>
      </w:pPr>
    </w:p>
    <w:p w:rsidR="009B7E2A" w:rsidRDefault="009B7E2A" w:rsidP="009B7E2A">
      <w:pPr>
        <w:autoSpaceDE w:val="0"/>
        <w:autoSpaceDN w:val="0"/>
        <w:adjustRightInd w:val="0"/>
        <w:rPr>
          <w:b/>
          <w:bCs/>
          <w:sz w:val="22"/>
          <w:szCs w:val="22"/>
        </w:rPr>
      </w:pPr>
      <w:r>
        <w:rPr>
          <w:b/>
          <w:bCs/>
          <w:sz w:val="22"/>
          <w:szCs w:val="22"/>
        </w:rPr>
        <w:t>3.</w:t>
      </w:r>
      <w:r>
        <w:rPr>
          <w:b/>
          <w:bCs/>
          <w:sz w:val="22"/>
          <w:szCs w:val="22"/>
        </w:rPr>
        <w:tab/>
        <w:t>Kaip vartoti Cerazette</w:t>
      </w:r>
    </w:p>
    <w:p w:rsidR="009B7E2A" w:rsidRDefault="009B7E2A" w:rsidP="009B7E2A">
      <w:pPr>
        <w:autoSpaceDE w:val="0"/>
        <w:autoSpaceDN w:val="0"/>
        <w:adjustRightInd w:val="0"/>
        <w:rPr>
          <w:b/>
          <w:bCs/>
          <w:sz w:val="22"/>
          <w:szCs w:val="22"/>
        </w:rPr>
      </w:pPr>
    </w:p>
    <w:p w:rsidR="009B7E2A" w:rsidRDefault="009B7E2A" w:rsidP="009B7E2A">
      <w:pPr>
        <w:autoSpaceDE w:val="0"/>
        <w:autoSpaceDN w:val="0"/>
        <w:adjustRightInd w:val="0"/>
        <w:rPr>
          <w:noProof/>
          <w:sz w:val="22"/>
          <w:szCs w:val="22"/>
        </w:rPr>
      </w:pPr>
      <w:r>
        <w:rPr>
          <w:noProof/>
          <w:sz w:val="22"/>
          <w:szCs w:val="22"/>
        </w:rPr>
        <w:t>Visada vartokite šį vaistą tiksliai kaip nurodė gydytojas. Jeigu abejojate, kreipkitės į gydytoją arba vaistininką.</w:t>
      </w:r>
    </w:p>
    <w:p w:rsidR="009B7E2A" w:rsidRDefault="009B7E2A" w:rsidP="009B7E2A">
      <w:pPr>
        <w:autoSpaceDE w:val="0"/>
        <w:autoSpaceDN w:val="0"/>
        <w:adjustRightInd w:val="0"/>
        <w:rPr>
          <w:b/>
          <w:bCs/>
          <w:sz w:val="22"/>
          <w:szCs w:val="22"/>
        </w:rPr>
      </w:pPr>
    </w:p>
    <w:p w:rsidR="009B7E2A" w:rsidRDefault="009B7E2A" w:rsidP="009B7E2A">
      <w:pPr>
        <w:rPr>
          <w:i/>
          <w:sz w:val="22"/>
          <w:szCs w:val="22"/>
        </w:rPr>
      </w:pPr>
      <w:r>
        <w:rPr>
          <w:b/>
          <w:sz w:val="22"/>
          <w:szCs w:val="22"/>
        </w:rPr>
        <w:t>Kada ir kaip gerti tabletes</w:t>
      </w:r>
    </w:p>
    <w:p w:rsidR="009B7E2A" w:rsidRDefault="009B7E2A" w:rsidP="009B7E2A">
      <w:pPr>
        <w:rPr>
          <w:sz w:val="22"/>
          <w:szCs w:val="22"/>
        </w:rPr>
      </w:pPr>
      <w:r>
        <w:rPr>
          <w:sz w:val="22"/>
          <w:szCs w:val="22"/>
        </w:rPr>
        <w:t>Cerazette pakuotėje yra 28 tabletės. Pakuotės priekinėje pusėje tarp tablečių yra atspausdintos rodyklės. Apsukusi pakuotę ir pažiūrėjusi į kitą pusę, pamatysite ant folijos atspausdintas savaitės paras. Kiekviena tabletė atitinka vieną parą.</w:t>
      </w:r>
    </w:p>
    <w:p w:rsidR="009B7E2A" w:rsidRDefault="009B7E2A" w:rsidP="009B7E2A">
      <w:pPr>
        <w:rPr>
          <w:sz w:val="22"/>
          <w:szCs w:val="22"/>
        </w:rPr>
      </w:pPr>
    </w:p>
    <w:p w:rsidR="009B7E2A" w:rsidRDefault="009B7E2A" w:rsidP="009B7E2A">
      <w:pPr>
        <w:jc w:val="both"/>
        <w:rPr>
          <w:sz w:val="22"/>
          <w:szCs w:val="22"/>
        </w:rPr>
      </w:pPr>
      <w:r>
        <w:rPr>
          <w:sz w:val="22"/>
          <w:szCs w:val="22"/>
        </w:rPr>
        <w:t>Kiekvieną kartą pradėdama naują Cerazette pakuotę, išimkite tabletę iš viršutiniosios eilutės. Neimkite bet kurios tabletės. Pavyzdžiui, pradėdama tabletes gerti trečiadienį, privalote iš viršutiniosios eilutės imti tabletę, kurios kitoje pusėje pažymėta „T“. Vartokite po vieną tabletę per parą, kol pakuotė ištuštės. Tabletes iš pakuotės imkite rodyklės kryptimi. Pažiūrėjusi į kitą pakuotės pusę, kasdien galėsite lengvai įsitikinti, ar suvartojote tos paros tabletę.</w:t>
      </w:r>
    </w:p>
    <w:p w:rsidR="009B7E2A" w:rsidRDefault="009B7E2A" w:rsidP="009B7E2A">
      <w:pPr>
        <w:rPr>
          <w:sz w:val="22"/>
          <w:szCs w:val="22"/>
        </w:rPr>
      </w:pPr>
    </w:p>
    <w:p w:rsidR="009B7E2A" w:rsidRDefault="009B7E2A" w:rsidP="009B7E2A">
      <w:pPr>
        <w:rPr>
          <w:sz w:val="22"/>
          <w:szCs w:val="22"/>
        </w:rPr>
      </w:pPr>
      <w:r>
        <w:rPr>
          <w:sz w:val="22"/>
          <w:szCs w:val="22"/>
        </w:rPr>
        <w:t>Tabletes gerkite kasdien, maždaug tuo pačiu laiku. Nurykite tabletę nepažeistą, užsigerdama vandeniu. Vartojant Cerazette gali kiek pakraujuoti iš makšties, tačiau būtinai toliau gerkite tabletes įprasta tvarka. Pakuotei ištuštėjus, kitą parą turite pradėti naują Cerazette pakuotę, t.y., nedarykite pertraukos ir nelaukite mėnesinių kraujavimo.</w:t>
      </w:r>
    </w:p>
    <w:p w:rsidR="009B7E2A" w:rsidRDefault="009B7E2A" w:rsidP="009B7E2A">
      <w:pPr>
        <w:rPr>
          <w:sz w:val="22"/>
          <w:szCs w:val="22"/>
        </w:rPr>
      </w:pPr>
    </w:p>
    <w:p w:rsidR="009B7E2A" w:rsidRDefault="009B7E2A" w:rsidP="009B7E2A">
      <w:pPr>
        <w:keepNext/>
        <w:rPr>
          <w:b/>
          <w:sz w:val="22"/>
          <w:szCs w:val="22"/>
        </w:rPr>
      </w:pPr>
      <w:r>
        <w:rPr>
          <w:b/>
          <w:sz w:val="22"/>
          <w:szCs w:val="22"/>
        </w:rPr>
        <w:t>Kaip pradėti vartoti pirmosios Cerazette pakuotės tabletes</w:t>
      </w:r>
    </w:p>
    <w:p w:rsidR="009B7E2A" w:rsidRDefault="009B7E2A" w:rsidP="009B7E2A">
      <w:pPr>
        <w:keepNext/>
        <w:rPr>
          <w:iCs/>
          <w:sz w:val="22"/>
          <w:szCs w:val="22"/>
          <w:u w:val="single"/>
        </w:rPr>
      </w:pPr>
    </w:p>
    <w:p w:rsidR="009B7E2A" w:rsidRDefault="009B7E2A" w:rsidP="009B7E2A">
      <w:pPr>
        <w:keepNext/>
        <w:numPr>
          <w:ilvl w:val="0"/>
          <w:numId w:val="8"/>
        </w:numPr>
        <w:ind w:left="567" w:hanging="567"/>
        <w:rPr>
          <w:b/>
          <w:sz w:val="22"/>
          <w:szCs w:val="22"/>
        </w:rPr>
      </w:pPr>
      <w:r>
        <w:rPr>
          <w:b/>
          <w:sz w:val="22"/>
          <w:szCs w:val="22"/>
        </w:rPr>
        <w:t>Jeigu pastarąjį mėnesį nevartojote hormoninių kontraceptikų</w:t>
      </w:r>
    </w:p>
    <w:p w:rsidR="009B7E2A" w:rsidRDefault="009B7E2A" w:rsidP="009B7E2A">
      <w:pPr>
        <w:pStyle w:val="Pagrindinistekstas"/>
        <w:ind w:left="567"/>
        <w:rPr>
          <w:szCs w:val="22"/>
        </w:rPr>
      </w:pPr>
      <w:r>
        <w:rPr>
          <w:szCs w:val="22"/>
        </w:rPr>
        <w:t>Palaukite, kol prasidės mėnesinės. Pirmąją Cerazette tabletę išgerkite pirmąją mėnesinių ciklo, t.y., kraujavimo, parą. Papildomos kontracepcijos nereikia.</w:t>
      </w:r>
    </w:p>
    <w:p w:rsidR="009B7E2A" w:rsidRDefault="009B7E2A" w:rsidP="009B7E2A">
      <w:pPr>
        <w:pStyle w:val="Pagrindinistekstas"/>
        <w:autoSpaceDE/>
        <w:adjustRightInd/>
        <w:ind w:left="567"/>
        <w:rPr>
          <w:szCs w:val="22"/>
        </w:rPr>
      </w:pPr>
      <w:r>
        <w:rPr>
          <w:szCs w:val="22"/>
        </w:rPr>
        <w:t>Be to, galite pradėti gerti ir 2- 5-ąją kraujavimo parą, tačiau tada pirmojo ciklo pirmąsias 7 tablečių vartojimo paras reikia naudotis papildomu kontracepcijos metodu (barjeriniu).</w:t>
      </w:r>
    </w:p>
    <w:p w:rsidR="009B7E2A" w:rsidRDefault="009B7E2A" w:rsidP="009B7E2A">
      <w:pPr>
        <w:rPr>
          <w:i/>
          <w:sz w:val="22"/>
          <w:szCs w:val="22"/>
          <w:u w:val="single"/>
        </w:rPr>
      </w:pPr>
    </w:p>
    <w:p w:rsidR="009B7E2A" w:rsidRDefault="009B7E2A" w:rsidP="009B7E2A">
      <w:pPr>
        <w:numPr>
          <w:ilvl w:val="0"/>
          <w:numId w:val="8"/>
        </w:numPr>
        <w:ind w:left="567" w:hanging="567"/>
        <w:rPr>
          <w:b/>
          <w:sz w:val="22"/>
          <w:szCs w:val="22"/>
        </w:rPr>
      </w:pPr>
      <w:r>
        <w:rPr>
          <w:b/>
          <w:sz w:val="22"/>
          <w:szCs w:val="22"/>
        </w:rPr>
        <w:t>Pradedant vartoti vietoj sudėtinių kontraceptinių tablečių, makšties žiedo ar transderminio pleistro</w:t>
      </w:r>
    </w:p>
    <w:p w:rsidR="009B7E2A" w:rsidRDefault="009B7E2A" w:rsidP="009B7E2A">
      <w:pPr>
        <w:ind w:left="567"/>
        <w:rPr>
          <w:sz w:val="22"/>
          <w:szCs w:val="22"/>
        </w:rPr>
      </w:pPr>
      <w:r>
        <w:rPr>
          <w:sz w:val="22"/>
          <w:szCs w:val="22"/>
        </w:rPr>
        <w:t xml:space="preserve">Cerazette galite pradėti gerti iš karto po paskutiniosios ankstesniojo kontraceptiko tabletės, ištraukus makšties žiedą ar nuėmus transderminį pleistrą (t.y., be pertraukos po tablečių, žiedo ar pleistro vartojimo). Jeigu anksčiau vartoto </w:t>
      </w:r>
      <w:r w:rsidR="003B3D0F">
        <w:rPr>
          <w:sz w:val="22"/>
          <w:szCs w:val="22"/>
        </w:rPr>
        <w:t>vaisto</w:t>
      </w:r>
      <w:r>
        <w:rPr>
          <w:sz w:val="22"/>
          <w:szCs w:val="22"/>
        </w:rPr>
        <w:t xml:space="preserve"> pakuotėje yra ir neveikliųjų tablečių, Cerazette galite pradėti gerti po paskutiniosios veiklios tabletės (jeigu abejojate, kurios tabletės yra neveiklios, klauskite gydytojo arba vaistininko). Jeigu laikysitės šių nurodymų, papildomos kontracepcijos nereikės.</w:t>
      </w:r>
    </w:p>
    <w:p w:rsidR="009B7E2A" w:rsidRDefault="009B7E2A" w:rsidP="009B7E2A">
      <w:pPr>
        <w:ind w:left="567"/>
        <w:rPr>
          <w:sz w:val="22"/>
          <w:szCs w:val="22"/>
        </w:rPr>
      </w:pPr>
    </w:p>
    <w:p w:rsidR="009B7E2A" w:rsidRDefault="009B7E2A" w:rsidP="009B7E2A">
      <w:pPr>
        <w:ind w:left="567"/>
        <w:rPr>
          <w:sz w:val="22"/>
          <w:szCs w:val="22"/>
        </w:rPr>
      </w:pPr>
      <w:r>
        <w:rPr>
          <w:sz w:val="22"/>
          <w:szCs w:val="22"/>
        </w:rPr>
        <w:t>Be to, vėliausiai pradėti vartoti galite paskutiniąją laikotarpio be kontraceptinių tablečių, makšties žiedo ar transderminio pleistro parą, arba paskutinę placebo tablečių vartojimo parą. Jeigu laikysitės šių nurodymų, pirmąsias 7 tablečių vartojimo paras reikės naudotis papildomu kontracepcijos metodu (barjeriniu).</w:t>
      </w:r>
    </w:p>
    <w:p w:rsidR="009B7E2A" w:rsidRDefault="009B7E2A" w:rsidP="009B7E2A">
      <w:pPr>
        <w:rPr>
          <w:i/>
          <w:sz w:val="22"/>
          <w:szCs w:val="22"/>
          <w:u w:val="single"/>
        </w:rPr>
      </w:pPr>
    </w:p>
    <w:p w:rsidR="009B7E2A" w:rsidRDefault="009B7E2A" w:rsidP="009B7E2A">
      <w:pPr>
        <w:keepNext/>
        <w:keepLines/>
        <w:numPr>
          <w:ilvl w:val="0"/>
          <w:numId w:val="8"/>
        </w:numPr>
        <w:ind w:left="567" w:hanging="567"/>
        <w:rPr>
          <w:b/>
          <w:sz w:val="22"/>
          <w:szCs w:val="22"/>
        </w:rPr>
      </w:pPr>
      <w:r>
        <w:rPr>
          <w:b/>
          <w:sz w:val="22"/>
          <w:szCs w:val="22"/>
        </w:rPr>
        <w:lastRenderedPageBreak/>
        <w:t>Pradedant vartoti vietoj kitų tik progestageno turinčių tablečių</w:t>
      </w:r>
    </w:p>
    <w:p w:rsidR="009B7E2A" w:rsidRDefault="009B7E2A" w:rsidP="009B7E2A">
      <w:pPr>
        <w:keepNext/>
        <w:keepLines/>
        <w:ind w:left="567"/>
        <w:rPr>
          <w:sz w:val="22"/>
          <w:szCs w:val="22"/>
        </w:rPr>
      </w:pPr>
      <w:r>
        <w:rPr>
          <w:iCs/>
          <w:sz w:val="22"/>
          <w:szCs w:val="22"/>
        </w:rPr>
        <w:t xml:space="preserve">Jas </w:t>
      </w:r>
      <w:r>
        <w:rPr>
          <w:sz w:val="22"/>
          <w:szCs w:val="22"/>
        </w:rPr>
        <w:t>galite nustoti vartoti bet kurią parą, o kitą parą tuo pat laiku pradėti gerti Cerazette. Papildomos kontracepcijos nereikia.</w:t>
      </w:r>
    </w:p>
    <w:p w:rsidR="009B7E2A" w:rsidRDefault="009B7E2A" w:rsidP="009B7E2A">
      <w:pPr>
        <w:rPr>
          <w:i/>
          <w:sz w:val="22"/>
          <w:szCs w:val="22"/>
          <w:u w:val="single"/>
        </w:rPr>
      </w:pPr>
    </w:p>
    <w:p w:rsidR="009B7E2A" w:rsidRDefault="009B7E2A" w:rsidP="009B7E2A">
      <w:pPr>
        <w:numPr>
          <w:ilvl w:val="0"/>
          <w:numId w:val="8"/>
        </w:numPr>
        <w:ind w:left="567" w:hanging="567"/>
        <w:rPr>
          <w:b/>
          <w:sz w:val="22"/>
          <w:szCs w:val="22"/>
        </w:rPr>
      </w:pPr>
      <w:r>
        <w:rPr>
          <w:b/>
          <w:sz w:val="22"/>
          <w:szCs w:val="22"/>
        </w:rPr>
        <w:t>Pradedant vartoti vietoj švirkščiamųjų, implantuojamųjų kontraceptikų arba progestageną atpalaiduojančios vartojimo į gimdą sistemos</w:t>
      </w:r>
    </w:p>
    <w:p w:rsidR="009B7E2A" w:rsidRDefault="009B7E2A" w:rsidP="009B7E2A">
      <w:pPr>
        <w:ind w:left="567"/>
        <w:rPr>
          <w:sz w:val="22"/>
          <w:szCs w:val="22"/>
        </w:rPr>
      </w:pPr>
      <w:r>
        <w:rPr>
          <w:sz w:val="22"/>
          <w:szCs w:val="22"/>
        </w:rPr>
        <w:t>Cerazette pradėkite gerti tada, kai reikia švirkšti kitą kontraceptiko dozę, arba implanto ar gimdos spiralės išėmimo parą. Papildomos kontracepcijos nereikia.</w:t>
      </w:r>
    </w:p>
    <w:p w:rsidR="009B7E2A" w:rsidRDefault="009B7E2A" w:rsidP="009B7E2A">
      <w:pPr>
        <w:rPr>
          <w:i/>
          <w:sz w:val="22"/>
          <w:szCs w:val="22"/>
          <w:u w:val="single"/>
        </w:rPr>
      </w:pPr>
    </w:p>
    <w:p w:rsidR="009B7E2A" w:rsidRDefault="009B7E2A" w:rsidP="009B7E2A">
      <w:pPr>
        <w:numPr>
          <w:ilvl w:val="0"/>
          <w:numId w:val="9"/>
        </w:numPr>
        <w:ind w:left="567" w:hanging="567"/>
        <w:rPr>
          <w:b/>
          <w:sz w:val="22"/>
          <w:szCs w:val="22"/>
        </w:rPr>
      </w:pPr>
      <w:r>
        <w:rPr>
          <w:b/>
          <w:sz w:val="22"/>
          <w:szCs w:val="22"/>
        </w:rPr>
        <w:t>Po gimdymo</w:t>
      </w:r>
    </w:p>
    <w:p w:rsidR="009B7E2A" w:rsidRDefault="009B7E2A" w:rsidP="009B7E2A">
      <w:pPr>
        <w:pStyle w:val="Pagrindinistekstas"/>
        <w:ind w:left="567"/>
        <w:rPr>
          <w:bCs/>
          <w:szCs w:val="22"/>
        </w:rPr>
      </w:pPr>
      <w:r>
        <w:rPr>
          <w:bCs/>
          <w:szCs w:val="22"/>
        </w:rPr>
        <w:t>Cerazette galite pradėti gerti po gimdymo praėjus 21-28 paroms. Jeigu pradedate vėliau, pirmąsias 7 </w:t>
      </w:r>
      <w:r>
        <w:rPr>
          <w:iCs/>
          <w:color w:val="000000"/>
          <w:szCs w:val="22"/>
        </w:rPr>
        <w:t>tablečių vartojimo paras reikia naudotis papildomu kontracepcijos metodu (barjeriniu metodu)</w:t>
      </w:r>
      <w:r>
        <w:rPr>
          <w:iCs/>
          <w:szCs w:val="22"/>
        </w:rPr>
        <w:t xml:space="preserve">. Jeigu jau turėjote lytinių santykių, prieš pradėdama vartoti Cerazette įsitikinkite, ar nesate pastojusi. </w:t>
      </w:r>
      <w:r>
        <w:rPr>
          <w:iCs/>
          <w:color w:val="000000"/>
          <w:szCs w:val="22"/>
        </w:rPr>
        <w:t>Daugiau informacijos žindyvėms rasite 2 skyriaus poskyryje „</w:t>
      </w:r>
      <w:r>
        <w:rPr>
          <w:color w:val="000000"/>
          <w:szCs w:val="22"/>
        </w:rPr>
        <w:t>Nėštumas ir žindymo laikotarpis</w:t>
      </w:r>
      <w:r>
        <w:rPr>
          <w:iCs/>
          <w:color w:val="000000"/>
          <w:szCs w:val="22"/>
        </w:rPr>
        <w:t>“. Be to, Jums gali p</w:t>
      </w:r>
      <w:r>
        <w:rPr>
          <w:bCs/>
          <w:szCs w:val="22"/>
        </w:rPr>
        <w:t>atarti gydytojas.</w:t>
      </w:r>
    </w:p>
    <w:p w:rsidR="009B7E2A" w:rsidRDefault="009B7E2A" w:rsidP="009B7E2A">
      <w:pPr>
        <w:rPr>
          <w:i/>
          <w:sz w:val="22"/>
          <w:szCs w:val="22"/>
          <w:u w:val="single"/>
        </w:rPr>
      </w:pPr>
    </w:p>
    <w:p w:rsidR="009B7E2A" w:rsidRDefault="009B7E2A" w:rsidP="009B7E2A">
      <w:pPr>
        <w:numPr>
          <w:ilvl w:val="0"/>
          <w:numId w:val="9"/>
        </w:numPr>
        <w:ind w:left="567" w:hanging="567"/>
        <w:rPr>
          <w:b/>
          <w:sz w:val="22"/>
          <w:szCs w:val="22"/>
        </w:rPr>
      </w:pPr>
      <w:r>
        <w:rPr>
          <w:b/>
          <w:sz w:val="22"/>
          <w:szCs w:val="22"/>
        </w:rPr>
        <w:t>Po persileidimo arba nėštumo nutraukimo</w:t>
      </w:r>
    </w:p>
    <w:p w:rsidR="009B7E2A" w:rsidRDefault="009B7E2A" w:rsidP="009B7E2A">
      <w:pPr>
        <w:ind w:left="567"/>
        <w:rPr>
          <w:sz w:val="22"/>
          <w:szCs w:val="22"/>
        </w:rPr>
      </w:pPr>
      <w:r>
        <w:rPr>
          <w:sz w:val="22"/>
          <w:szCs w:val="22"/>
        </w:rPr>
        <w:t>Pasitarkite su savo gydytoju.</w:t>
      </w:r>
    </w:p>
    <w:p w:rsidR="009B7E2A" w:rsidRDefault="009B7E2A" w:rsidP="009B7E2A">
      <w:pPr>
        <w:rPr>
          <w:b/>
          <w:iCs/>
          <w:sz w:val="22"/>
          <w:szCs w:val="22"/>
        </w:rPr>
      </w:pPr>
    </w:p>
    <w:p w:rsidR="009B7E2A" w:rsidRDefault="009B7E2A" w:rsidP="009B7E2A">
      <w:pPr>
        <w:rPr>
          <w:b/>
          <w:bCs/>
          <w:sz w:val="22"/>
          <w:szCs w:val="22"/>
        </w:rPr>
      </w:pPr>
      <w:r>
        <w:rPr>
          <w:b/>
          <w:bCs/>
          <w:iCs/>
          <w:sz w:val="22"/>
          <w:szCs w:val="22"/>
        </w:rPr>
        <w:t xml:space="preserve">Pamiršus pavartoti </w:t>
      </w:r>
      <w:r>
        <w:rPr>
          <w:b/>
          <w:bCs/>
          <w:sz w:val="22"/>
          <w:szCs w:val="22"/>
        </w:rPr>
        <w:t>Cerazette</w:t>
      </w:r>
    </w:p>
    <w:p w:rsidR="009B7E2A" w:rsidRDefault="009B7E2A" w:rsidP="009B7E2A">
      <w:pPr>
        <w:pStyle w:val="Sraopastraipa"/>
        <w:numPr>
          <w:ilvl w:val="0"/>
          <w:numId w:val="10"/>
        </w:numPr>
        <w:rPr>
          <w:sz w:val="22"/>
          <w:szCs w:val="22"/>
        </w:rPr>
      </w:pPr>
      <w:r>
        <w:rPr>
          <w:sz w:val="22"/>
          <w:szCs w:val="22"/>
        </w:rPr>
        <w:t xml:space="preserve">Jeigu praėjo </w:t>
      </w:r>
      <w:r>
        <w:rPr>
          <w:b/>
          <w:sz w:val="22"/>
          <w:szCs w:val="22"/>
        </w:rPr>
        <w:t>mažiau kaip 12 valandų</w:t>
      </w:r>
      <w:r>
        <w:rPr>
          <w:sz w:val="22"/>
          <w:szCs w:val="22"/>
        </w:rPr>
        <w:t>, Cerazette tabletė dar veikia. Išgerkite užmirštą tabletę tuoj pat prisiminusi, o kitas tabletes vartokite įprastai.</w:t>
      </w:r>
    </w:p>
    <w:p w:rsidR="009B7E2A" w:rsidRDefault="009B7E2A" w:rsidP="009B7E2A">
      <w:pPr>
        <w:rPr>
          <w:b/>
          <w:bCs/>
          <w:sz w:val="22"/>
          <w:szCs w:val="22"/>
        </w:rPr>
      </w:pPr>
    </w:p>
    <w:p w:rsidR="009B7E2A" w:rsidRDefault="009B7E2A" w:rsidP="009B7E2A">
      <w:pPr>
        <w:numPr>
          <w:ilvl w:val="0"/>
          <w:numId w:val="11"/>
        </w:numPr>
        <w:rPr>
          <w:sz w:val="22"/>
          <w:szCs w:val="22"/>
        </w:rPr>
      </w:pPr>
      <w:r>
        <w:rPr>
          <w:sz w:val="22"/>
          <w:szCs w:val="22"/>
        </w:rPr>
        <w:t xml:space="preserve">Jeigu praėjo </w:t>
      </w:r>
      <w:r>
        <w:rPr>
          <w:b/>
          <w:sz w:val="22"/>
          <w:szCs w:val="22"/>
        </w:rPr>
        <w:t>daugiau kaip 12 valandų</w:t>
      </w:r>
      <w:r>
        <w:rPr>
          <w:sz w:val="22"/>
          <w:szCs w:val="22"/>
        </w:rPr>
        <w:t>, Cerazette tabletė gali veikti silpniau. Kuo daugiau tablečių iš eilės neišgėrėte, tuo silpnesnis bus kontraceptinis poveikis. Išgerkite paskutinę užmirštą tabletę tuoj pat prisiminusi, o kitas tabletes vartokite įprastai. Kitas 7 vaisto vartojimo paras naudokitės papildoma kontracepcija (barjeriniu metodu). Pastojimo galimybė padidėja pamiršus išgerti vieną ar daugiau tablečių pirmąją vartojimo savaitę ir lytiškai santykiavus per savaitę iki praleistųjų tablečių.</w:t>
      </w:r>
      <w:r>
        <w:rPr>
          <w:bCs/>
          <w:sz w:val="22"/>
          <w:szCs w:val="22"/>
        </w:rPr>
        <w:t xml:space="preserve"> Pasitarkite su savo gydytoju.</w:t>
      </w:r>
    </w:p>
    <w:p w:rsidR="009B7E2A" w:rsidRDefault="009B7E2A" w:rsidP="009B7E2A">
      <w:pPr>
        <w:rPr>
          <w:i/>
          <w:iCs/>
          <w:sz w:val="22"/>
          <w:szCs w:val="22"/>
        </w:rPr>
      </w:pPr>
    </w:p>
    <w:p w:rsidR="009B7E2A" w:rsidRDefault="009B7E2A" w:rsidP="009B7E2A">
      <w:pPr>
        <w:pStyle w:val="Antrat6"/>
        <w:spacing w:before="0" w:after="0" w:line="240" w:lineRule="auto"/>
        <w:rPr>
          <w:szCs w:val="22"/>
          <w:lang w:val="lt-LT"/>
        </w:rPr>
      </w:pPr>
      <w:r>
        <w:rPr>
          <w:rFonts w:ascii="Times New Roman" w:hAnsi="Times New Roman"/>
          <w:b/>
          <w:i w:val="0"/>
          <w:szCs w:val="22"/>
          <w:lang w:val="lt-LT"/>
        </w:rPr>
        <w:t xml:space="preserve">Jeigu yra virškinamojo trakto sutrikimų (pvz., </w:t>
      </w:r>
      <w:r>
        <w:rPr>
          <w:rFonts w:ascii="Times New Roman" w:hAnsi="Times New Roman"/>
          <w:b/>
          <w:i w:val="0"/>
          <w:iCs/>
          <w:szCs w:val="22"/>
          <w:lang w:val="lt-LT"/>
        </w:rPr>
        <w:t>vėmimas</w:t>
      </w:r>
      <w:r>
        <w:rPr>
          <w:rFonts w:ascii="Times New Roman" w:hAnsi="Times New Roman"/>
          <w:b/>
          <w:i w:val="0"/>
          <w:szCs w:val="22"/>
          <w:lang w:val="lt-LT"/>
        </w:rPr>
        <w:t xml:space="preserve"> ar </w:t>
      </w:r>
      <w:r>
        <w:rPr>
          <w:rFonts w:ascii="Times New Roman" w:hAnsi="Times New Roman"/>
          <w:b/>
          <w:i w:val="0"/>
          <w:iCs/>
          <w:szCs w:val="22"/>
          <w:lang w:val="lt-LT"/>
        </w:rPr>
        <w:t>stiprus viduriavimas)</w:t>
      </w:r>
    </w:p>
    <w:p w:rsidR="009B7E2A" w:rsidRDefault="009B7E2A" w:rsidP="009B7E2A">
      <w:pPr>
        <w:pStyle w:val="Pagrindinistekstas"/>
        <w:autoSpaceDE/>
        <w:adjustRightInd/>
        <w:rPr>
          <w:iCs/>
          <w:szCs w:val="22"/>
        </w:rPr>
      </w:pPr>
      <w:r>
        <w:rPr>
          <w:szCs w:val="22"/>
        </w:rPr>
        <w:t>Tokiu atveju elkitės taip, kaip pamiršus išgerti tabletę, kaip nurodyta skyriuje aukščiau. Jeigu vemiate per 3-4 valandas po Cerazette pavartojimo arba gausiai viduriuojate, į organizmą tabletės veikliosios medžiagos gali patekti nepakankamai.</w:t>
      </w:r>
    </w:p>
    <w:p w:rsidR="009B7E2A" w:rsidRDefault="009B7E2A" w:rsidP="009B7E2A">
      <w:pPr>
        <w:jc w:val="both"/>
        <w:rPr>
          <w:i/>
          <w:sz w:val="22"/>
          <w:szCs w:val="22"/>
        </w:rPr>
      </w:pPr>
    </w:p>
    <w:p w:rsidR="009B7E2A" w:rsidRDefault="009B7E2A" w:rsidP="009B7E2A">
      <w:pPr>
        <w:jc w:val="both"/>
        <w:rPr>
          <w:iCs/>
          <w:sz w:val="22"/>
          <w:szCs w:val="22"/>
        </w:rPr>
      </w:pPr>
      <w:r>
        <w:rPr>
          <w:b/>
          <w:iCs/>
          <w:sz w:val="22"/>
          <w:szCs w:val="22"/>
        </w:rPr>
        <w:t xml:space="preserve">Pavartojus per didelę </w:t>
      </w:r>
      <w:r>
        <w:rPr>
          <w:b/>
          <w:bCs/>
          <w:sz w:val="22"/>
          <w:szCs w:val="22"/>
        </w:rPr>
        <w:t>Cerazette</w:t>
      </w:r>
      <w:r>
        <w:rPr>
          <w:b/>
          <w:iCs/>
          <w:sz w:val="22"/>
          <w:szCs w:val="22"/>
        </w:rPr>
        <w:t xml:space="preserve"> dozę</w:t>
      </w:r>
    </w:p>
    <w:p w:rsidR="009B7E2A" w:rsidRDefault="009B7E2A" w:rsidP="009B7E2A">
      <w:pPr>
        <w:rPr>
          <w:iCs/>
          <w:sz w:val="22"/>
          <w:szCs w:val="22"/>
        </w:rPr>
      </w:pPr>
      <w:r>
        <w:rPr>
          <w:iCs/>
          <w:sz w:val="22"/>
          <w:szCs w:val="22"/>
        </w:rPr>
        <w:t xml:space="preserve">Išgėrus iš karto per daug </w:t>
      </w:r>
      <w:r>
        <w:rPr>
          <w:sz w:val="22"/>
          <w:szCs w:val="22"/>
        </w:rPr>
        <w:t xml:space="preserve">Cerazette </w:t>
      </w:r>
      <w:r>
        <w:rPr>
          <w:iCs/>
          <w:sz w:val="22"/>
          <w:szCs w:val="22"/>
        </w:rPr>
        <w:t>tablečių, pavojingų komplikacijų nepastebėta. Gali atsirasti pykinimas, vėmimas, moterims ar mergaitėms – nestiprus kraujavimas iš makšties. Daugiau informacijos Jums suteiks gydytojas.</w:t>
      </w:r>
    </w:p>
    <w:p w:rsidR="009B7E2A" w:rsidRDefault="009B7E2A" w:rsidP="009B7E2A">
      <w:pPr>
        <w:rPr>
          <w:sz w:val="22"/>
          <w:szCs w:val="22"/>
        </w:rPr>
      </w:pPr>
    </w:p>
    <w:p w:rsidR="009B7E2A" w:rsidRDefault="009B7E2A" w:rsidP="009B7E2A">
      <w:pPr>
        <w:jc w:val="both"/>
        <w:rPr>
          <w:b/>
          <w:sz w:val="22"/>
          <w:szCs w:val="22"/>
        </w:rPr>
      </w:pPr>
      <w:r>
        <w:rPr>
          <w:b/>
          <w:sz w:val="22"/>
          <w:szCs w:val="22"/>
        </w:rPr>
        <w:t>Nustojus vartoti Cerazette</w:t>
      </w:r>
    </w:p>
    <w:p w:rsidR="009B7E2A" w:rsidRDefault="009B7E2A" w:rsidP="009B7E2A">
      <w:pPr>
        <w:rPr>
          <w:sz w:val="22"/>
          <w:szCs w:val="22"/>
        </w:rPr>
      </w:pPr>
      <w:r>
        <w:rPr>
          <w:sz w:val="22"/>
          <w:szCs w:val="22"/>
        </w:rPr>
        <w:t>Cerazette galite nustoti vartoti bet kada. Nuo tos paros, kai nustosite gerti tabletes, nebebūsite apsaugota nuo pastojimo.</w:t>
      </w:r>
    </w:p>
    <w:p w:rsidR="009B7E2A" w:rsidRDefault="009B7E2A" w:rsidP="009B7E2A">
      <w:pPr>
        <w:rPr>
          <w:sz w:val="22"/>
          <w:szCs w:val="22"/>
        </w:rPr>
      </w:pPr>
    </w:p>
    <w:p w:rsidR="009B7E2A" w:rsidRDefault="009B7E2A" w:rsidP="009B7E2A">
      <w:pPr>
        <w:pStyle w:val="Pagrindinistekstas"/>
        <w:autoSpaceDE/>
        <w:adjustRightInd/>
        <w:rPr>
          <w:iCs/>
          <w:szCs w:val="22"/>
        </w:rPr>
      </w:pPr>
      <w:r>
        <w:rPr>
          <w:szCs w:val="22"/>
        </w:rPr>
        <w:t>Jeigu kiltų daugiau klausimų dėl vaisto vartojimo, kreipkitės į gydytoją arba vaistininką.</w:t>
      </w:r>
    </w:p>
    <w:p w:rsidR="009B7E2A" w:rsidRDefault="009B7E2A" w:rsidP="009B7E2A">
      <w:pPr>
        <w:rPr>
          <w:sz w:val="22"/>
          <w:szCs w:val="22"/>
        </w:rPr>
      </w:pPr>
    </w:p>
    <w:p w:rsidR="009B7E2A" w:rsidRDefault="009B7E2A" w:rsidP="009B7E2A">
      <w:pPr>
        <w:tabs>
          <w:tab w:val="left" w:pos="567"/>
        </w:tabs>
        <w:autoSpaceDE w:val="0"/>
        <w:autoSpaceDN w:val="0"/>
        <w:adjustRightInd w:val="0"/>
        <w:rPr>
          <w:b/>
          <w:bCs/>
          <w:sz w:val="22"/>
          <w:szCs w:val="22"/>
        </w:rPr>
      </w:pPr>
      <w:r>
        <w:rPr>
          <w:b/>
          <w:bCs/>
          <w:sz w:val="22"/>
          <w:szCs w:val="22"/>
        </w:rPr>
        <w:t>4.</w:t>
      </w:r>
      <w:r>
        <w:rPr>
          <w:b/>
          <w:bCs/>
          <w:sz w:val="22"/>
          <w:szCs w:val="22"/>
        </w:rPr>
        <w:tab/>
        <w:t>Galimas šalutinis poveikis</w:t>
      </w:r>
    </w:p>
    <w:p w:rsidR="009B7E2A" w:rsidRDefault="009B7E2A" w:rsidP="009B7E2A">
      <w:pPr>
        <w:autoSpaceDE w:val="0"/>
        <w:autoSpaceDN w:val="0"/>
        <w:adjustRightInd w:val="0"/>
        <w:rPr>
          <w:b/>
          <w:bCs/>
          <w:sz w:val="22"/>
          <w:szCs w:val="22"/>
        </w:rPr>
      </w:pPr>
    </w:p>
    <w:p w:rsidR="009B7E2A" w:rsidRDefault="009B7E2A" w:rsidP="009B7E2A">
      <w:pPr>
        <w:rPr>
          <w:sz w:val="22"/>
          <w:szCs w:val="22"/>
        </w:rPr>
      </w:pPr>
      <w:r>
        <w:rPr>
          <w:sz w:val="22"/>
          <w:szCs w:val="22"/>
        </w:rPr>
        <w:t>Šis vaistas, kaip ir visi kiti, gali sukelti šalutinį poveikį, nors jis pasireiškia ne visiems žmonėms.</w:t>
      </w:r>
    </w:p>
    <w:p w:rsidR="009B7E2A" w:rsidRDefault="009B7E2A" w:rsidP="009B7E2A">
      <w:pPr>
        <w:rPr>
          <w:sz w:val="22"/>
          <w:szCs w:val="22"/>
        </w:rPr>
      </w:pPr>
    </w:p>
    <w:p w:rsidR="009B7E2A" w:rsidRDefault="009B7E2A" w:rsidP="009B7E2A">
      <w:pPr>
        <w:rPr>
          <w:sz w:val="22"/>
          <w:szCs w:val="22"/>
        </w:rPr>
      </w:pPr>
      <w:r>
        <w:rPr>
          <w:sz w:val="22"/>
          <w:szCs w:val="22"/>
        </w:rPr>
        <w:lastRenderedPageBreak/>
        <w:t xml:space="preserve">Sunkūs nepageidaujami poveikiai, susiję su Cerazette vartojimu, yra išvardyti 2 skyriaus „Kas žinotina prieš vartojant Cerazette“ </w:t>
      </w:r>
      <w:r>
        <w:rPr>
          <w:iCs/>
          <w:sz w:val="22"/>
          <w:szCs w:val="22"/>
        </w:rPr>
        <w:t>pastraipose „Krūties vėžys“ ir „Trombozė“</w:t>
      </w:r>
      <w:r>
        <w:rPr>
          <w:i/>
          <w:iCs/>
          <w:sz w:val="22"/>
          <w:szCs w:val="22"/>
        </w:rPr>
        <w:t>.</w:t>
      </w:r>
      <w:r>
        <w:rPr>
          <w:sz w:val="22"/>
          <w:szCs w:val="22"/>
        </w:rPr>
        <w:t xml:space="preserve"> Jį atidžiai perskaitykite, o prireikus kreipkitės į gydytoją.</w:t>
      </w:r>
    </w:p>
    <w:p w:rsidR="009B7E2A" w:rsidRDefault="009B7E2A" w:rsidP="009B7E2A">
      <w:pPr>
        <w:rPr>
          <w:sz w:val="22"/>
          <w:szCs w:val="22"/>
        </w:rPr>
      </w:pPr>
    </w:p>
    <w:p w:rsidR="009B7E2A" w:rsidRDefault="009B7E2A" w:rsidP="009B7E2A">
      <w:pPr>
        <w:rPr>
          <w:sz w:val="22"/>
          <w:szCs w:val="22"/>
        </w:rPr>
      </w:pPr>
      <w:r>
        <w:rPr>
          <w:sz w:val="22"/>
          <w:szCs w:val="22"/>
        </w:rPr>
        <w:t>Vartojant Cerazette, gali nereguliariai pakraujuoti iš makšties. Tai gali būti tik tepliojimas, dėl kurio net nebūtinas įklotas, arba stipresnis kraujavimas, panašiai kaip negausios mėnesinės, kai prireikia higienos priemonių. Gali ir iš viso nekraujuoti. Toks nereguliarus kraujavimas nereiškia, kad kontraceptinis Cerazette poveikis yra susilpnėjęs. Įprastai Jums nieko nereikia imtis; tiesiog vartokite Cerazette toliau. Tačiau kraujavimui labai sustiprėjus arba užsitęsus, kreipkitės į savo gydytoją.</w:t>
      </w:r>
    </w:p>
    <w:p w:rsidR="009B7E2A" w:rsidRDefault="009B7E2A" w:rsidP="009B7E2A">
      <w:pPr>
        <w:rPr>
          <w:sz w:val="22"/>
          <w:szCs w:val="22"/>
        </w:rPr>
      </w:pPr>
    </w:p>
    <w:p w:rsidR="009B7E2A" w:rsidRDefault="009B7E2A" w:rsidP="009B7E2A">
      <w:pPr>
        <w:rPr>
          <w:sz w:val="22"/>
          <w:szCs w:val="22"/>
        </w:rPr>
      </w:pPr>
      <w:r>
        <w:rPr>
          <w:sz w:val="22"/>
          <w:szCs w:val="22"/>
        </w:rPr>
        <w:t>Cerazette vartojusios moterys pranešė apie šiuos šalutinius poveikius.</w:t>
      </w:r>
    </w:p>
    <w:p w:rsidR="009B7E2A" w:rsidRDefault="009B7E2A" w:rsidP="009B7E2A">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2980"/>
        <w:gridCol w:w="2942"/>
      </w:tblGrid>
      <w:tr w:rsidR="009B7E2A" w:rsidTr="00C5042B">
        <w:trPr>
          <w:trHeight w:val="128"/>
        </w:trPr>
        <w:tc>
          <w:tcPr>
            <w:tcW w:w="1908" w:type="pct"/>
            <w:tcBorders>
              <w:top w:val="single" w:sz="4" w:space="0" w:color="auto"/>
              <w:left w:val="single" w:sz="4" w:space="0" w:color="auto"/>
              <w:bottom w:val="single" w:sz="4" w:space="0" w:color="auto"/>
              <w:right w:val="single" w:sz="4" w:space="0" w:color="auto"/>
            </w:tcBorders>
            <w:hideMark/>
          </w:tcPr>
          <w:p w:rsidR="009B7E2A" w:rsidRDefault="009B7E2A" w:rsidP="00C5042B">
            <w:pPr>
              <w:autoSpaceDE w:val="0"/>
              <w:autoSpaceDN w:val="0"/>
              <w:adjustRightInd w:val="0"/>
              <w:spacing w:line="276" w:lineRule="auto"/>
              <w:jc w:val="both"/>
            </w:pPr>
            <w:r>
              <w:rPr>
                <w:sz w:val="22"/>
                <w:szCs w:val="22"/>
              </w:rPr>
              <w:t>Dažni (pasireiškia daugiau kaip vienai iš 100 vartotojų)</w:t>
            </w:r>
          </w:p>
        </w:tc>
        <w:tc>
          <w:tcPr>
            <w:tcW w:w="1556" w:type="pct"/>
            <w:tcBorders>
              <w:top w:val="single" w:sz="4" w:space="0" w:color="auto"/>
              <w:left w:val="single" w:sz="4" w:space="0" w:color="auto"/>
              <w:bottom w:val="single" w:sz="4" w:space="0" w:color="auto"/>
              <w:right w:val="single" w:sz="4" w:space="0" w:color="auto"/>
            </w:tcBorders>
            <w:hideMark/>
          </w:tcPr>
          <w:p w:rsidR="009B7E2A" w:rsidRDefault="009B7E2A" w:rsidP="00C5042B">
            <w:pPr>
              <w:autoSpaceDE w:val="0"/>
              <w:autoSpaceDN w:val="0"/>
              <w:adjustRightInd w:val="0"/>
              <w:spacing w:line="276" w:lineRule="auto"/>
              <w:jc w:val="both"/>
            </w:pPr>
            <w:r>
              <w:rPr>
                <w:sz w:val="22"/>
                <w:szCs w:val="22"/>
              </w:rPr>
              <w:t>Nedažni (pasireiškia daugiau kaip vienai iš 1000, bet mažiau nei vienai iš 100 vartotojų)</w:t>
            </w:r>
          </w:p>
        </w:tc>
        <w:tc>
          <w:tcPr>
            <w:tcW w:w="1536" w:type="pct"/>
            <w:tcBorders>
              <w:top w:val="single" w:sz="4" w:space="0" w:color="auto"/>
              <w:left w:val="single" w:sz="4" w:space="0" w:color="auto"/>
              <w:bottom w:val="single" w:sz="4" w:space="0" w:color="auto"/>
              <w:right w:val="single" w:sz="4" w:space="0" w:color="auto"/>
            </w:tcBorders>
            <w:hideMark/>
          </w:tcPr>
          <w:p w:rsidR="009B7E2A" w:rsidRDefault="009B7E2A" w:rsidP="00C5042B">
            <w:pPr>
              <w:autoSpaceDE w:val="0"/>
              <w:autoSpaceDN w:val="0"/>
              <w:adjustRightInd w:val="0"/>
              <w:spacing w:line="276" w:lineRule="auto"/>
            </w:pPr>
            <w:r>
              <w:rPr>
                <w:sz w:val="22"/>
                <w:szCs w:val="22"/>
              </w:rPr>
              <w:t>Reti (pasireiškia mažiau kaip vienai iš 1000 vartotojų)</w:t>
            </w:r>
          </w:p>
        </w:tc>
      </w:tr>
      <w:tr w:rsidR="009B7E2A" w:rsidTr="00C5042B">
        <w:trPr>
          <w:trHeight w:val="127"/>
        </w:trPr>
        <w:tc>
          <w:tcPr>
            <w:tcW w:w="1908" w:type="pct"/>
            <w:tcBorders>
              <w:top w:val="single" w:sz="4" w:space="0" w:color="auto"/>
              <w:left w:val="single" w:sz="4" w:space="0" w:color="auto"/>
              <w:bottom w:val="single" w:sz="4" w:space="0" w:color="auto"/>
              <w:right w:val="single" w:sz="4" w:space="0" w:color="auto"/>
            </w:tcBorders>
            <w:hideMark/>
          </w:tcPr>
          <w:p w:rsidR="009B7E2A" w:rsidRDefault="009B7E2A" w:rsidP="009B7E2A">
            <w:pPr>
              <w:numPr>
                <w:ilvl w:val="0"/>
                <w:numId w:val="12"/>
              </w:numPr>
              <w:spacing w:line="276" w:lineRule="auto"/>
            </w:pPr>
            <w:r>
              <w:rPr>
                <w:sz w:val="22"/>
                <w:szCs w:val="22"/>
              </w:rPr>
              <w:t>pakitusi nuotaika, prislėgta nuotaika, susilpnėjęs lytinis potraukis (libido);</w:t>
            </w:r>
          </w:p>
          <w:p w:rsidR="009B7E2A" w:rsidRDefault="009B7E2A" w:rsidP="009B7E2A">
            <w:pPr>
              <w:numPr>
                <w:ilvl w:val="0"/>
                <w:numId w:val="12"/>
              </w:numPr>
              <w:spacing w:line="276" w:lineRule="auto"/>
            </w:pPr>
            <w:r>
              <w:rPr>
                <w:sz w:val="22"/>
                <w:szCs w:val="22"/>
              </w:rPr>
              <w:t>galvos skausmas;</w:t>
            </w:r>
          </w:p>
          <w:p w:rsidR="009B7E2A" w:rsidRDefault="009B7E2A" w:rsidP="009B7E2A">
            <w:pPr>
              <w:numPr>
                <w:ilvl w:val="0"/>
                <w:numId w:val="12"/>
              </w:numPr>
              <w:spacing w:line="276" w:lineRule="auto"/>
            </w:pPr>
            <w:r>
              <w:rPr>
                <w:sz w:val="22"/>
                <w:szCs w:val="22"/>
              </w:rPr>
              <w:t>pykinimas;</w:t>
            </w:r>
          </w:p>
          <w:p w:rsidR="009B7E2A" w:rsidRDefault="009B7E2A" w:rsidP="009B7E2A">
            <w:pPr>
              <w:numPr>
                <w:ilvl w:val="0"/>
                <w:numId w:val="12"/>
              </w:numPr>
              <w:spacing w:line="276" w:lineRule="auto"/>
            </w:pPr>
            <w:r>
              <w:rPr>
                <w:sz w:val="22"/>
                <w:szCs w:val="22"/>
              </w:rPr>
              <w:t>spuogai;</w:t>
            </w:r>
          </w:p>
          <w:p w:rsidR="009B7E2A" w:rsidRDefault="009B7E2A" w:rsidP="009B7E2A">
            <w:pPr>
              <w:numPr>
                <w:ilvl w:val="0"/>
                <w:numId w:val="12"/>
              </w:numPr>
              <w:spacing w:line="276" w:lineRule="auto"/>
            </w:pPr>
            <w:r>
              <w:rPr>
                <w:sz w:val="22"/>
                <w:szCs w:val="22"/>
              </w:rPr>
              <w:t>krūtų skausmas, nereguliarios menstruacijos, menstruacijų nebuvimas;</w:t>
            </w:r>
          </w:p>
          <w:p w:rsidR="009B7E2A" w:rsidRDefault="009B7E2A" w:rsidP="009B7E2A">
            <w:pPr>
              <w:numPr>
                <w:ilvl w:val="0"/>
                <w:numId w:val="12"/>
              </w:numPr>
              <w:spacing w:line="276" w:lineRule="auto"/>
            </w:pPr>
            <w:r>
              <w:rPr>
                <w:sz w:val="22"/>
                <w:szCs w:val="22"/>
              </w:rPr>
              <w:t>kūno masės padidėjimas.</w:t>
            </w:r>
          </w:p>
        </w:tc>
        <w:tc>
          <w:tcPr>
            <w:tcW w:w="1556" w:type="pct"/>
            <w:tcBorders>
              <w:top w:val="single" w:sz="4" w:space="0" w:color="auto"/>
              <w:left w:val="single" w:sz="4" w:space="0" w:color="auto"/>
              <w:bottom w:val="single" w:sz="4" w:space="0" w:color="auto"/>
              <w:right w:val="single" w:sz="4" w:space="0" w:color="auto"/>
            </w:tcBorders>
            <w:hideMark/>
          </w:tcPr>
          <w:p w:rsidR="009B7E2A" w:rsidRDefault="009B7E2A" w:rsidP="009B7E2A">
            <w:pPr>
              <w:numPr>
                <w:ilvl w:val="0"/>
                <w:numId w:val="12"/>
              </w:numPr>
              <w:spacing w:line="276" w:lineRule="auto"/>
            </w:pPr>
            <w:r>
              <w:rPr>
                <w:sz w:val="22"/>
                <w:szCs w:val="22"/>
              </w:rPr>
              <w:t>makšties infekcija;</w:t>
            </w:r>
          </w:p>
          <w:p w:rsidR="009B7E2A" w:rsidRDefault="009B7E2A" w:rsidP="009B7E2A">
            <w:pPr>
              <w:numPr>
                <w:ilvl w:val="0"/>
                <w:numId w:val="12"/>
              </w:numPr>
              <w:spacing w:line="276" w:lineRule="auto"/>
            </w:pPr>
            <w:r>
              <w:rPr>
                <w:sz w:val="22"/>
                <w:szCs w:val="22"/>
              </w:rPr>
              <w:t>glaustinių lęšių netoleravimas;</w:t>
            </w:r>
          </w:p>
          <w:p w:rsidR="009B7E2A" w:rsidRDefault="009B7E2A" w:rsidP="009B7E2A">
            <w:pPr>
              <w:numPr>
                <w:ilvl w:val="0"/>
                <w:numId w:val="12"/>
              </w:numPr>
              <w:spacing w:line="276" w:lineRule="auto"/>
            </w:pPr>
            <w:r>
              <w:rPr>
                <w:sz w:val="22"/>
                <w:szCs w:val="22"/>
              </w:rPr>
              <w:t>vėmimas;</w:t>
            </w:r>
          </w:p>
          <w:p w:rsidR="009B7E2A" w:rsidRDefault="009B7E2A" w:rsidP="009B7E2A">
            <w:pPr>
              <w:numPr>
                <w:ilvl w:val="0"/>
                <w:numId w:val="12"/>
              </w:numPr>
              <w:spacing w:line="276" w:lineRule="auto"/>
            </w:pPr>
            <w:r>
              <w:rPr>
                <w:sz w:val="22"/>
                <w:szCs w:val="22"/>
              </w:rPr>
              <w:t>plaukų slinkimas;</w:t>
            </w:r>
          </w:p>
          <w:p w:rsidR="009B7E2A" w:rsidRDefault="009B7E2A" w:rsidP="009B7E2A">
            <w:pPr>
              <w:numPr>
                <w:ilvl w:val="0"/>
                <w:numId w:val="12"/>
              </w:numPr>
              <w:spacing w:line="276" w:lineRule="auto"/>
            </w:pPr>
            <w:r>
              <w:rPr>
                <w:sz w:val="22"/>
                <w:szCs w:val="22"/>
              </w:rPr>
              <w:t>skausmingos mėnesinės, kiaušidės cista;</w:t>
            </w:r>
          </w:p>
          <w:p w:rsidR="009B7E2A" w:rsidRDefault="009B7E2A" w:rsidP="009B7E2A">
            <w:pPr>
              <w:numPr>
                <w:ilvl w:val="0"/>
                <w:numId w:val="12"/>
              </w:numPr>
              <w:spacing w:line="276" w:lineRule="auto"/>
            </w:pPr>
            <w:r>
              <w:rPr>
                <w:sz w:val="22"/>
                <w:szCs w:val="22"/>
              </w:rPr>
              <w:t>nuovargis.</w:t>
            </w:r>
          </w:p>
        </w:tc>
        <w:tc>
          <w:tcPr>
            <w:tcW w:w="1536" w:type="pct"/>
            <w:tcBorders>
              <w:top w:val="single" w:sz="4" w:space="0" w:color="auto"/>
              <w:left w:val="single" w:sz="4" w:space="0" w:color="auto"/>
              <w:bottom w:val="single" w:sz="4" w:space="0" w:color="auto"/>
              <w:right w:val="single" w:sz="4" w:space="0" w:color="auto"/>
            </w:tcBorders>
            <w:hideMark/>
          </w:tcPr>
          <w:p w:rsidR="009B7E2A" w:rsidRDefault="009B7E2A" w:rsidP="009B7E2A">
            <w:pPr>
              <w:numPr>
                <w:ilvl w:val="0"/>
                <w:numId w:val="12"/>
              </w:numPr>
              <w:spacing w:line="276" w:lineRule="auto"/>
            </w:pPr>
            <w:r>
              <w:rPr>
                <w:sz w:val="22"/>
                <w:szCs w:val="22"/>
              </w:rPr>
              <w:t>išbėrimas, dilgėlinė, melsvai rausvi mazgai odoje (mazginė eritema) (įvairios odos būklės).</w:t>
            </w:r>
          </w:p>
        </w:tc>
      </w:tr>
    </w:tbl>
    <w:p w:rsidR="009B7E2A" w:rsidRDefault="009B7E2A" w:rsidP="009B7E2A">
      <w:pPr>
        <w:rPr>
          <w:sz w:val="22"/>
          <w:szCs w:val="22"/>
        </w:rPr>
      </w:pPr>
    </w:p>
    <w:p w:rsidR="009B7E2A" w:rsidRDefault="009B7E2A" w:rsidP="009B7E2A">
      <w:pPr>
        <w:rPr>
          <w:sz w:val="22"/>
          <w:szCs w:val="22"/>
        </w:rPr>
      </w:pPr>
      <w:r>
        <w:rPr>
          <w:sz w:val="22"/>
          <w:szCs w:val="22"/>
        </w:rPr>
        <w:t>Be minėtų nepageidaujamų reiškinių, gali atsirasti išskyrų iš krūtų.</w:t>
      </w:r>
    </w:p>
    <w:p w:rsidR="009B7E2A" w:rsidRDefault="009B7E2A" w:rsidP="009B7E2A">
      <w:pPr>
        <w:rPr>
          <w:sz w:val="22"/>
          <w:szCs w:val="22"/>
        </w:rPr>
      </w:pPr>
    </w:p>
    <w:p w:rsidR="009B7E2A" w:rsidRDefault="009B7E2A" w:rsidP="009B7E2A">
      <w:pPr>
        <w:rPr>
          <w:sz w:val="22"/>
          <w:szCs w:val="22"/>
        </w:rPr>
      </w:pPr>
      <w:r>
        <w:rPr>
          <w:sz w:val="22"/>
          <w:szCs w:val="22"/>
        </w:rPr>
        <w:t>Skubiai kreipkitės į gydytoją, jeigu Jums pasireiškia angioedemos simptomai, tokie kaip patinęs veidas, liežuvis ar ryklė; sunku ryti; dilgėlinė ir sunku kvėpuoti.</w:t>
      </w:r>
    </w:p>
    <w:p w:rsidR="009B7E2A" w:rsidRDefault="009B7E2A" w:rsidP="009B7E2A">
      <w:pPr>
        <w:pStyle w:val="Pagrindinistekstas"/>
        <w:autoSpaceDE/>
        <w:adjustRightInd/>
        <w:rPr>
          <w:rStyle w:val="Puslapionumeris"/>
          <w:rFonts w:eastAsia="Calibri"/>
        </w:rPr>
      </w:pPr>
    </w:p>
    <w:p w:rsidR="009B7E2A" w:rsidRDefault="009B7E2A" w:rsidP="009B7E2A">
      <w:pPr>
        <w:autoSpaceDE w:val="0"/>
        <w:autoSpaceDN w:val="0"/>
        <w:adjustRightInd w:val="0"/>
        <w:rPr>
          <w:b/>
          <w:sz w:val="22"/>
        </w:rPr>
      </w:pPr>
      <w:r>
        <w:rPr>
          <w:b/>
          <w:sz w:val="22"/>
          <w:szCs w:val="22"/>
        </w:rPr>
        <w:t>Pranešimas apie šalutinį poveikį</w:t>
      </w:r>
    </w:p>
    <w:p w:rsidR="009B7E2A" w:rsidRDefault="009B7E2A" w:rsidP="009B7E2A">
      <w:pPr>
        <w:ind w:right="-449"/>
        <w:rPr>
          <w:sz w:val="22"/>
          <w:szCs w:val="22"/>
        </w:rPr>
      </w:pPr>
      <w:r>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2" w:history="1">
        <w:r>
          <w:rPr>
            <w:rStyle w:val="Hipersaitas"/>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Pr>
            <w:rStyle w:val="Hipersaitas"/>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14" w:history="1">
        <w:r>
          <w:rPr>
            <w:rStyle w:val="Hipersaitas"/>
            <w:sz w:val="22"/>
            <w:szCs w:val="22"/>
          </w:rPr>
          <w:t>http://www.vvkt.lt</w:t>
        </w:r>
      </w:hyperlink>
      <w:r>
        <w:rPr>
          <w:sz w:val="22"/>
          <w:szCs w:val="22"/>
        </w:rPr>
        <w:t>). Pranešdami apie šalutinį poveikį galite mums padėti gauti daugiau informacijos apie šio vaisto saugumą.</w:t>
      </w:r>
    </w:p>
    <w:p w:rsidR="009B7E2A" w:rsidRDefault="009B7E2A" w:rsidP="009B7E2A">
      <w:pPr>
        <w:jc w:val="both"/>
        <w:rPr>
          <w:b/>
          <w:sz w:val="22"/>
          <w:szCs w:val="22"/>
        </w:rPr>
      </w:pPr>
    </w:p>
    <w:p w:rsidR="009B7E2A" w:rsidRDefault="009B7E2A" w:rsidP="009B7E2A">
      <w:pPr>
        <w:tabs>
          <w:tab w:val="left" w:pos="567"/>
        </w:tabs>
        <w:autoSpaceDE w:val="0"/>
        <w:autoSpaceDN w:val="0"/>
        <w:adjustRightInd w:val="0"/>
        <w:jc w:val="both"/>
        <w:rPr>
          <w:b/>
          <w:bCs/>
          <w:sz w:val="22"/>
          <w:szCs w:val="22"/>
        </w:rPr>
      </w:pPr>
      <w:r>
        <w:rPr>
          <w:b/>
          <w:bCs/>
          <w:sz w:val="22"/>
          <w:szCs w:val="22"/>
        </w:rPr>
        <w:t>5.</w:t>
      </w:r>
      <w:r>
        <w:rPr>
          <w:b/>
          <w:bCs/>
          <w:sz w:val="22"/>
          <w:szCs w:val="22"/>
        </w:rPr>
        <w:tab/>
        <w:t>Kaip laikyti Cerazette</w:t>
      </w:r>
    </w:p>
    <w:p w:rsidR="009B7E2A" w:rsidRDefault="009B7E2A" w:rsidP="009B7E2A">
      <w:pPr>
        <w:autoSpaceDE w:val="0"/>
        <w:autoSpaceDN w:val="0"/>
        <w:adjustRightInd w:val="0"/>
        <w:rPr>
          <w:b/>
          <w:bCs/>
          <w:sz w:val="22"/>
          <w:szCs w:val="22"/>
        </w:rPr>
      </w:pPr>
    </w:p>
    <w:p w:rsidR="009B7E2A" w:rsidRDefault="009B7E2A" w:rsidP="009B7E2A">
      <w:pPr>
        <w:rPr>
          <w:sz w:val="22"/>
          <w:szCs w:val="22"/>
        </w:rPr>
      </w:pPr>
      <w:r>
        <w:rPr>
          <w:sz w:val="22"/>
          <w:szCs w:val="22"/>
        </w:rPr>
        <w:t>Šį vaistą laikykite vaikams nepastebimoje ir nepasiekiamoje vietoje.</w:t>
      </w:r>
    </w:p>
    <w:p w:rsidR="009B7E2A" w:rsidRDefault="009B7E2A" w:rsidP="009B7E2A">
      <w:pPr>
        <w:rPr>
          <w:sz w:val="22"/>
          <w:szCs w:val="22"/>
        </w:rPr>
      </w:pPr>
    </w:p>
    <w:p w:rsidR="009B7E2A" w:rsidRDefault="009B7E2A" w:rsidP="009B7E2A">
      <w:pPr>
        <w:pStyle w:val="BTEMEASMCA"/>
        <w:rPr>
          <w:noProof w:val="0"/>
        </w:rPr>
      </w:pPr>
      <w:r>
        <w:t xml:space="preserve">Ant dėžutės, lizdinės plokštelės ir paketėlio po „EXP“ nurodytam tinkamumo laikui pasibaigus, šio vaisto vartoti negalima. </w:t>
      </w:r>
      <w:r>
        <w:rPr>
          <w:noProof w:val="0"/>
        </w:rPr>
        <w:t>Vaistas tinkamas vartoti iki paskutinės nurodyto mėnesio dienos.</w:t>
      </w:r>
    </w:p>
    <w:p w:rsidR="009B7E2A" w:rsidRDefault="009B7E2A" w:rsidP="009B7E2A">
      <w:pPr>
        <w:pStyle w:val="BTEMEASMCA"/>
        <w:rPr>
          <w:noProof w:val="0"/>
        </w:rPr>
      </w:pPr>
    </w:p>
    <w:p w:rsidR="009B7E2A" w:rsidRDefault="009B7E2A" w:rsidP="009B7E2A">
      <w:pPr>
        <w:rPr>
          <w:sz w:val="22"/>
          <w:szCs w:val="22"/>
        </w:rPr>
      </w:pPr>
      <w:r>
        <w:rPr>
          <w:sz w:val="22"/>
          <w:szCs w:val="22"/>
        </w:rPr>
        <w:t>Šio vaisto laikymui specialių temperatūros sąlygų nereikalaujama. Lizdinę plokštelę laikyti gamintojo pakuotėje, kad vaistas būtų apsaugotas nuo šviesos ir drėgmės. Tinkamumo laikas pirmą kartą atidarius paketėlį: 1 mėnuo.</w:t>
      </w:r>
    </w:p>
    <w:p w:rsidR="009B7E2A" w:rsidRDefault="009B7E2A" w:rsidP="009B7E2A">
      <w:pPr>
        <w:rPr>
          <w:sz w:val="22"/>
          <w:szCs w:val="22"/>
        </w:rPr>
      </w:pPr>
    </w:p>
    <w:p w:rsidR="009B7E2A" w:rsidRDefault="009B7E2A" w:rsidP="009B7E2A">
      <w:pPr>
        <w:keepNext/>
        <w:rPr>
          <w:color w:val="000000"/>
          <w:spacing w:val="-3"/>
          <w:sz w:val="22"/>
          <w:szCs w:val="22"/>
        </w:rPr>
      </w:pPr>
      <w:r>
        <w:rPr>
          <w:color w:val="000000"/>
          <w:spacing w:val="-3"/>
          <w:sz w:val="22"/>
          <w:szCs w:val="22"/>
        </w:rPr>
        <w:t>Veiklioji medžiaga kelia pavojų žuvų aplinkai.</w:t>
      </w:r>
    </w:p>
    <w:p w:rsidR="009B7E2A" w:rsidRDefault="009B7E2A" w:rsidP="009B7E2A">
      <w:pPr>
        <w:keepNext/>
        <w:rPr>
          <w:sz w:val="22"/>
          <w:szCs w:val="22"/>
        </w:rPr>
      </w:pPr>
      <w:r>
        <w:rPr>
          <w:sz w:val="22"/>
          <w:szCs w:val="22"/>
        </w:rPr>
        <w:t>Vaistų negalima išmesti į kanalizaciją arba su buitinėmis atliekomis. Kaip išmesti nereikalingus vaistus, klauskite vaistininko. Šios priemonės padės apsaugoti aplinką.</w:t>
      </w:r>
    </w:p>
    <w:p w:rsidR="009B7E2A" w:rsidRDefault="009B7E2A" w:rsidP="009B7E2A">
      <w:pPr>
        <w:rPr>
          <w:sz w:val="22"/>
          <w:szCs w:val="22"/>
        </w:rPr>
      </w:pPr>
    </w:p>
    <w:p w:rsidR="009B7E2A" w:rsidRDefault="009B7E2A" w:rsidP="009B7E2A">
      <w:pPr>
        <w:rPr>
          <w:sz w:val="22"/>
          <w:szCs w:val="22"/>
        </w:rPr>
      </w:pPr>
    </w:p>
    <w:p w:rsidR="009B7E2A" w:rsidRDefault="009B7E2A" w:rsidP="009B7E2A">
      <w:pPr>
        <w:keepNext/>
        <w:keepLines/>
        <w:rPr>
          <w:b/>
          <w:sz w:val="22"/>
          <w:szCs w:val="22"/>
        </w:rPr>
      </w:pPr>
      <w:r>
        <w:rPr>
          <w:b/>
          <w:sz w:val="22"/>
          <w:szCs w:val="22"/>
        </w:rPr>
        <w:t>6.</w:t>
      </w:r>
      <w:r>
        <w:rPr>
          <w:b/>
          <w:sz w:val="22"/>
          <w:szCs w:val="22"/>
        </w:rPr>
        <w:tab/>
        <w:t>Pakuotės turinys ir kita informacija</w:t>
      </w:r>
    </w:p>
    <w:p w:rsidR="009B7E2A" w:rsidRDefault="009B7E2A" w:rsidP="009B7E2A">
      <w:pPr>
        <w:keepNext/>
        <w:keepLines/>
        <w:rPr>
          <w:bCs/>
          <w:sz w:val="22"/>
          <w:szCs w:val="22"/>
        </w:rPr>
      </w:pPr>
    </w:p>
    <w:p w:rsidR="009B7E2A" w:rsidRDefault="009B7E2A" w:rsidP="009B7E2A">
      <w:pPr>
        <w:keepNext/>
        <w:keepLines/>
        <w:rPr>
          <w:sz w:val="22"/>
          <w:szCs w:val="22"/>
        </w:rPr>
      </w:pPr>
      <w:r>
        <w:rPr>
          <w:b/>
          <w:bCs/>
          <w:sz w:val="22"/>
          <w:szCs w:val="22"/>
        </w:rPr>
        <w:t>Cerazette sudėtis</w:t>
      </w:r>
    </w:p>
    <w:p w:rsidR="009B7E2A" w:rsidRDefault="009B7E2A" w:rsidP="009B7E2A">
      <w:pPr>
        <w:tabs>
          <w:tab w:val="left" w:pos="567"/>
        </w:tabs>
        <w:ind w:left="567" w:hanging="567"/>
        <w:rPr>
          <w:sz w:val="22"/>
          <w:szCs w:val="22"/>
        </w:rPr>
      </w:pPr>
      <w:r>
        <w:rPr>
          <w:sz w:val="22"/>
          <w:szCs w:val="22"/>
        </w:rPr>
        <w:t>-</w:t>
      </w:r>
      <w:r>
        <w:rPr>
          <w:sz w:val="22"/>
          <w:szCs w:val="22"/>
        </w:rPr>
        <w:tab/>
        <w:t>Veiklioji medžiaga yra dezogestrelis. Kiekvienoje tabletėje jo yra 75 mikrogramai.</w:t>
      </w:r>
    </w:p>
    <w:p w:rsidR="009B7E2A" w:rsidRDefault="009B7E2A" w:rsidP="009B7E2A">
      <w:pPr>
        <w:tabs>
          <w:tab w:val="left" w:pos="567"/>
        </w:tabs>
        <w:ind w:left="567" w:hanging="567"/>
        <w:rPr>
          <w:sz w:val="22"/>
          <w:szCs w:val="22"/>
        </w:rPr>
      </w:pPr>
      <w:r>
        <w:rPr>
          <w:sz w:val="22"/>
          <w:szCs w:val="22"/>
        </w:rPr>
        <w:t>-</w:t>
      </w:r>
      <w:r>
        <w:rPr>
          <w:sz w:val="22"/>
          <w:szCs w:val="22"/>
        </w:rPr>
        <w:tab/>
        <w:t xml:space="preserve">Pagalbinės medžiagos. </w:t>
      </w:r>
      <w:r>
        <w:rPr>
          <w:i/>
          <w:sz w:val="22"/>
          <w:szCs w:val="22"/>
        </w:rPr>
        <w:t>Tabletės branduolys</w:t>
      </w:r>
      <w:r>
        <w:rPr>
          <w:sz w:val="22"/>
          <w:szCs w:val="22"/>
        </w:rPr>
        <w:t>: bevandenis koloidinis silicio dioksidas, visų racematų alfa-tokoferolis, laktozė</w:t>
      </w:r>
      <w:r w:rsidR="00486F1E">
        <w:rPr>
          <w:sz w:val="22"/>
          <w:szCs w:val="22"/>
        </w:rPr>
        <w:t>s</w:t>
      </w:r>
      <w:r>
        <w:rPr>
          <w:sz w:val="22"/>
          <w:szCs w:val="22"/>
        </w:rPr>
        <w:t xml:space="preserve"> monohidratas (žr. 2 skyriuje „</w:t>
      </w:r>
      <w:r>
        <w:rPr>
          <w:bCs/>
          <w:sz w:val="22"/>
          <w:szCs w:val="22"/>
        </w:rPr>
        <w:t>Cerazette sudėtyje yra laktozės“</w:t>
      </w:r>
      <w:r>
        <w:rPr>
          <w:sz w:val="22"/>
          <w:szCs w:val="22"/>
        </w:rPr>
        <w:t xml:space="preserve">), kukurūzų krakmolas, povidonas, stearino rūgštis. </w:t>
      </w:r>
      <w:r>
        <w:rPr>
          <w:i/>
          <w:sz w:val="22"/>
          <w:szCs w:val="22"/>
        </w:rPr>
        <w:t>Tabletės plėvelė:</w:t>
      </w:r>
      <w:r>
        <w:rPr>
          <w:sz w:val="22"/>
          <w:szCs w:val="22"/>
        </w:rPr>
        <w:t xml:space="preserve"> hipromeliozė, makrogolis 400, talkas, titano dioksidas (E171).</w:t>
      </w:r>
    </w:p>
    <w:p w:rsidR="009B7E2A" w:rsidRDefault="009B7E2A" w:rsidP="009B7E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rsidR="009B7E2A" w:rsidRDefault="009B7E2A" w:rsidP="009B7E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Pr>
          <w:b/>
          <w:bCs/>
          <w:sz w:val="22"/>
          <w:szCs w:val="22"/>
        </w:rPr>
        <w:t>Cerazette išvaizda ir kiekis pakuotėje</w:t>
      </w:r>
    </w:p>
    <w:p w:rsidR="009B7E2A" w:rsidRDefault="009B7E2A" w:rsidP="009B7E2A">
      <w:pPr>
        <w:rPr>
          <w:spacing w:val="-3"/>
          <w:sz w:val="22"/>
          <w:szCs w:val="22"/>
        </w:rPr>
      </w:pPr>
      <w:r>
        <w:rPr>
          <w:sz w:val="22"/>
          <w:szCs w:val="22"/>
        </w:rPr>
        <w:t xml:space="preserve">Vienoje </w:t>
      </w:r>
      <w:r>
        <w:rPr>
          <w:bCs/>
          <w:sz w:val="22"/>
          <w:szCs w:val="22"/>
        </w:rPr>
        <w:t xml:space="preserve">Cerazette </w:t>
      </w:r>
      <w:r>
        <w:rPr>
          <w:sz w:val="22"/>
          <w:szCs w:val="22"/>
        </w:rPr>
        <w:t>lizdinėje plokštelėje yra 28 baltos, apvalios plėvele dengtos tabletės. Ant šių tablečių vienos pusės yra užrašyta „2“ ir aukščiau „KV“</w:t>
      </w:r>
      <w:r>
        <w:rPr>
          <w:spacing w:val="-3"/>
          <w:sz w:val="22"/>
          <w:szCs w:val="22"/>
        </w:rPr>
        <w:t>, kitoje –„</w:t>
      </w:r>
      <w:r>
        <w:rPr>
          <w:sz w:val="22"/>
          <w:szCs w:val="22"/>
        </w:rPr>
        <w:t xml:space="preserve">ORGANON*“. </w:t>
      </w:r>
      <w:r>
        <w:rPr>
          <w:spacing w:val="-3"/>
          <w:sz w:val="22"/>
          <w:szCs w:val="22"/>
        </w:rPr>
        <w:t>Kiekvienoje kartono dėžutėje yra 1 arba 3 lizdinės plokštelės, kurių kiekviena atskirai įdėtos į aliuminio paketėlius.</w:t>
      </w:r>
    </w:p>
    <w:p w:rsidR="009B7E2A" w:rsidRDefault="009B7E2A" w:rsidP="009B7E2A">
      <w:pPr>
        <w:autoSpaceDE w:val="0"/>
        <w:autoSpaceDN w:val="0"/>
        <w:adjustRightInd w:val="0"/>
        <w:rPr>
          <w:sz w:val="22"/>
          <w:szCs w:val="22"/>
        </w:rPr>
      </w:pPr>
    </w:p>
    <w:p w:rsidR="009B7E2A" w:rsidRDefault="009B7E2A" w:rsidP="009B7E2A">
      <w:pPr>
        <w:rPr>
          <w:spacing w:val="-3"/>
          <w:sz w:val="22"/>
          <w:szCs w:val="22"/>
        </w:rPr>
      </w:pPr>
      <w:r>
        <w:rPr>
          <w:spacing w:val="-3"/>
          <w:sz w:val="22"/>
          <w:szCs w:val="22"/>
        </w:rPr>
        <w:t>Gali būti tiekiamos ne visų dydžių pakuotės.</w:t>
      </w:r>
    </w:p>
    <w:p w:rsidR="009B7E2A" w:rsidRDefault="009B7E2A" w:rsidP="009B7E2A">
      <w:pPr>
        <w:autoSpaceDE w:val="0"/>
        <w:autoSpaceDN w:val="0"/>
        <w:adjustRightInd w:val="0"/>
        <w:jc w:val="both"/>
        <w:rPr>
          <w:sz w:val="22"/>
          <w:szCs w:val="22"/>
        </w:rPr>
      </w:pPr>
    </w:p>
    <w:p w:rsidR="009B7E2A" w:rsidRDefault="009B7E2A" w:rsidP="009B7E2A">
      <w:pPr>
        <w:autoSpaceDE w:val="0"/>
        <w:autoSpaceDN w:val="0"/>
        <w:adjustRightInd w:val="0"/>
        <w:rPr>
          <w:sz w:val="22"/>
          <w:szCs w:val="22"/>
        </w:rPr>
      </w:pPr>
      <w:r>
        <w:rPr>
          <w:b/>
          <w:bCs/>
          <w:sz w:val="22"/>
          <w:szCs w:val="22"/>
        </w:rPr>
        <w:t>Registruotojas ir gamintojas</w:t>
      </w:r>
    </w:p>
    <w:p w:rsidR="009B7E2A" w:rsidRDefault="009B7E2A" w:rsidP="009B7E2A">
      <w:pPr>
        <w:autoSpaceDE w:val="0"/>
        <w:autoSpaceDN w:val="0"/>
        <w:adjustRightInd w:val="0"/>
        <w:rPr>
          <w:i/>
          <w:iCs/>
          <w:sz w:val="22"/>
          <w:szCs w:val="22"/>
        </w:rPr>
      </w:pPr>
      <w:r>
        <w:rPr>
          <w:i/>
          <w:iCs/>
          <w:sz w:val="22"/>
          <w:szCs w:val="22"/>
        </w:rPr>
        <w:t>Registruotojas</w:t>
      </w:r>
    </w:p>
    <w:p w:rsidR="009B7E2A" w:rsidRDefault="009B7E2A" w:rsidP="009B7E2A">
      <w:pPr>
        <w:jc w:val="both"/>
        <w:rPr>
          <w:sz w:val="22"/>
          <w:szCs w:val="22"/>
        </w:rPr>
      </w:pPr>
      <w:r>
        <w:rPr>
          <w:sz w:val="22"/>
          <w:szCs w:val="22"/>
        </w:rPr>
        <w:t xml:space="preserve">Merck Sharp &amp; Dohme B.V. </w:t>
      </w:r>
    </w:p>
    <w:p w:rsidR="009B7E2A" w:rsidRDefault="009B7E2A" w:rsidP="009B7E2A">
      <w:pPr>
        <w:jc w:val="both"/>
        <w:rPr>
          <w:sz w:val="22"/>
          <w:szCs w:val="22"/>
        </w:rPr>
      </w:pPr>
      <w:r>
        <w:rPr>
          <w:sz w:val="22"/>
          <w:szCs w:val="22"/>
        </w:rPr>
        <w:t xml:space="preserve">Waarderweg 39 </w:t>
      </w:r>
    </w:p>
    <w:p w:rsidR="009B7E2A" w:rsidRDefault="009B7E2A" w:rsidP="009B7E2A">
      <w:pPr>
        <w:jc w:val="both"/>
        <w:rPr>
          <w:sz w:val="22"/>
          <w:szCs w:val="22"/>
        </w:rPr>
      </w:pPr>
      <w:r>
        <w:rPr>
          <w:sz w:val="22"/>
          <w:szCs w:val="22"/>
        </w:rPr>
        <w:t xml:space="preserve">2031 BN Haarlem </w:t>
      </w:r>
    </w:p>
    <w:p w:rsidR="009B7E2A" w:rsidRDefault="009B7E2A" w:rsidP="009B7E2A">
      <w:pPr>
        <w:jc w:val="both"/>
        <w:rPr>
          <w:sz w:val="22"/>
          <w:szCs w:val="22"/>
        </w:rPr>
      </w:pPr>
      <w:r>
        <w:rPr>
          <w:sz w:val="22"/>
          <w:szCs w:val="22"/>
        </w:rPr>
        <w:t>Nyderlandai</w:t>
      </w:r>
    </w:p>
    <w:p w:rsidR="009B7E2A" w:rsidRDefault="009B7E2A" w:rsidP="009B7E2A">
      <w:pPr>
        <w:autoSpaceDE w:val="0"/>
        <w:autoSpaceDN w:val="0"/>
        <w:adjustRightInd w:val="0"/>
        <w:rPr>
          <w:sz w:val="22"/>
          <w:szCs w:val="22"/>
        </w:rPr>
      </w:pPr>
    </w:p>
    <w:p w:rsidR="009B7E2A" w:rsidRDefault="009B7E2A" w:rsidP="009B7E2A">
      <w:pPr>
        <w:autoSpaceDE w:val="0"/>
        <w:autoSpaceDN w:val="0"/>
        <w:adjustRightInd w:val="0"/>
        <w:rPr>
          <w:sz w:val="22"/>
          <w:szCs w:val="22"/>
        </w:rPr>
      </w:pPr>
      <w:r>
        <w:rPr>
          <w:i/>
          <w:iCs/>
          <w:sz w:val="22"/>
          <w:szCs w:val="22"/>
        </w:rPr>
        <w:t>Gamintojai</w:t>
      </w:r>
    </w:p>
    <w:p w:rsidR="009B7E2A" w:rsidRDefault="009B7E2A" w:rsidP="009B7E2A">
      <w:pPr>
        <w:autoSpaceDE w:val="0"/>
        <w:autoSpaceDN w:val="0"/>
        <w:adjustRightInd w:val="0"/>
        <w:rPr>
          <w:sz w:val="22"/>
          <w:szCs w:val="22"/>
        </w:rPr>
      </w:pPr>
      <w:r>
        <w:rPr>
          <w:sz w:val="22"/>
          <w:szCs w:val="22"/>
          <w:shd w:val="clear" w:color="auto" w:fill="BFBFBF" w:themeFill="background1" w:themeFillShade="BF"/>
        </w:rPr>
        <w:t>N.V. Organon, P. O. Box 20, 5340 BH Oss, Nyderlandai.</w:t>
      </w:r>
    </w:p>
    <w:p w:rsidR="009B7E2A" w:rsidRDefault="009B7E2A" w:rsidP="009B7E2A">
      <w:pPr>
        <w:ind w:left="567" w:hanging="567"/>
        <w:rPr>
          <w:sz w:val="22"/>
          <w:szCs w:val="22"/>
          <w:shd w:val="clear" w:color="auto" w:fill="BFBFBF" w:themeFill="background1" w:themeFillShade="BF"/>
        </w:rPr>
      </w:pPr>
    </w:p>
    <w:p w:rsidR="009B7E2A" w:rsidRDefault="009B7E2A" w:rsidP="009B7E2A">
      <w:pPr>
        <w:ind w:left="567" w:hanging="567"/>
        <w:rPr>
          <w:sz w:val="22"/>
          <w:szCs w:val="22"/>
          <w:shd w:val="clear" w:color="auto" w:fill="BFBFBF" w:themeFill="background1" w:themeFillShade="BF"/>
        </w:rPr>
      </w:pPr>
      <w:r>
        <w:rPr>
          <w:sz w:val="22"/>
          <w:szCs w:val="22"/>
          <w:shd w:val="clear" w:color="auto" w:fill="BFBFBF" w:themeFill="background1" w:themeFillShade="BF"/>
        </w:rPr>
        <w:t>arba</w:t>
      </w:r>
    </w:p>
    <w:p w:rsidR="009B7E2A" w:rsidRDefault="009B7E2A" w:rsidP="009B7E2A">
      <w:pPr>
        <w:ind w:left="567" w:hanging="567"/>
        <w:rPr>
          <w:sz w:val="22"/>
          <w:szCs w:val="22"/>
        </w:rPr>
      </w:pPr>
    </w:p>
    <w:p w:rsidR="009B7E2A" w:rsidRDefault="009B7E2A" w:rsidP="009B7E2A">
      <w:pPr>
        <w:ind w:left="567" w:hanging="567"/>
        <w:rPr>
          <w:sz w:val="22"/>
          <w:szCs w:val="22"/>
        </w:rPr>
      </w:pPr>
      <w:r>
        <w:rPr>
          <w:sz w:val="22"/>
          <w:szCs w:val="22"/>
          <w:shd w:val="clear" w:color="auto" w:fill="BFBFBF" w:themeFill="background1" w:themeFillShade="BF"/>
        </w:rPr>
        <w:t>Organon (Ireland) Limited., P.O.Box 2857, Drynam Road Swords Co. Dublin, Airija.</w:t>
      </w:r>
    </w:p>
    <w:p w:rsidR="009B7E2A" w:rsidRDefault="009B7E2A" w:rsidP="009B7E2A">
      <w:pPr>
        <w:autoSpaceDE w:val="0"/>
        <w:autoSpaceDN w:val="0"/>
        <w:adjustRightInd w:val="0"/>
        <w:rPr>
          <w:sz w:val="22"/>
          <w:szCs w:val="22"/>
        </w:rPr>
      </w:pPr>
    </w:p>
    <w:p w:rsidR="009B7E2A" w:rsidRDefault="009B7E2A" w:rsidP="009B7E2A">
      <w:pPr>
        <w:autoSpaceDE w:val="0"/>
        <w:autoSpaceDN w:val="0"/>
        <w:adjustRightInd w:val="0"/>
        <w:rPr>
          <w:b/>
          <w:bCs/>
          <w:sz w:val="22"/>
          <w:szCs w:val="22"/>
        </w:rPr>
      </w:pPr>
      <w:r>
        <w:rPr>
          <w:bCs/>
          <w:sz w:val="22"/>
          <w:szCs w:val="22"/>
        </w:rPr>
        <w:t>Jeigu apie šį vaistą norite sužinoti daugiau, kreipkitės į vietinį registruotojo atstovą.</w:t>
      </w:r>
    </w:p>
    <w:p w:rsidR="009B7E2A" w:rsidRDefault="009B7E2A" w:rsidP="009B7E2A">
      <w:pPr>
        <w:autoSpaceDE w:val="0"/>
        <w:autoSpaceDN w:val="0"/>
        <w:adjustRightInd w:val="0"/>
        <w:rPr>
          <w:b/>
          <w:bCs/>
          <w:sz w:val="22"/>
          <w:szCs w:val="22"/>
        </w:rPr>
      </w:pPr>
    </w:p>
    <w:p w:rsidR="009B7E2A" w:rsidRDefault="009B7E2A" w:rsidP="009B7E2A">
      <w:pPr>
        <w:rPr>
          <w:sz w:val="22"/>
          <w:szCs w:val="22"/>
        </w:rPr>
      </w:pPr>
      <w:r>
        <w:rPr>
          <w:sz w:val="22"/>
          <w:szCs w:val="22"/>
        </w:rPr>
        <w:t>UAB „Merck Sharp &amp; Dohme“</w:t>
      </w:r>
    </w:p>
    <w:p w:rsidR="009B7E2A" w:rsidRDefault="009B7E2A" w:rsidP="009B7E2A">
      <w:pPr>
        <w:rPr>
          <w:sz w:val="22"/>
          <w:szCs w:val="22"/>
        </w:rPr>
      </w:pPr>
      <w:r>
        <w:rPr>
          <w:sz w:val="22"/>
          <w:szCs w:val="22"/>
        </w:rPr>
        <w:t>Kęstučio g. 59/27</w:t>
      </w:r>
    </w:p>
    <w:p w:rsidR="009B7E2A" w:rsidRDefault="009B7E2A" w:rsidP="009B7E2A">
      <w:pPr>
        <w:rPr>
          <w:sz w:val="22"/>
          <w:szCs w:val="22"/>
        </w:rPr>
      </w:pPr>
      <w:r>
        <w:rPr>
          <w:sz w:val="22"/>
          <w:szCs w:val="22"/>
        </w:rPr>
        <w:t>LT-08124 Vilnius</w:t>
      </w:r>
    </w:p>
    <w:p w:rsidR="009B7E2A" w:rsidRDefault="009B7E2A" w:rsidP="009B7E2A">
      <w:pPr>
        <w:jc w:val="both"/>
        <w:rPr>
          <w:bCs/>
          <w:sz w:val="22"/>
          <w:szCs w:val="22"/>
        </w:rPr>
      </w:pPr>
      <w:r>
        <w:rPr>
          <w:sz w:val="22"/>
          <w:szCs w:val="22"/>
        </w:rPr>
        <w:t>Tel. +370 5 278 02 47</w:t>
      </w:r>
    </w:p>
    <w:p w:rsidR="009B7E2A" w:rsidRDefault="009B7E2A" w:rsidP="009B7E2A">
      <w:pPr>
        <w:jc w:val="both"/>
        <w:rPr>
          <w:bCs/>
          <w:sz w:val="22"/>
          <w:szCs w:val="22"/>
        </w:rPr>
      </w:pPr>
    </w:p>
    <w:p w:rsidR="009B7E2A" w:rsidRDefault="009B7E2A" w:rsidP="009B7E2A">
      <w:pPr>
        <w:jc w:val="both"/>
        <w:rPr>
          <w:b/>
          <w:bCs/>
          <w:sz w:val="22"/>
          <w:szCs w:val="22"/>
        </w:rPr>
      </w:pPr>
      <w:r>
        <w:rPr>
          <w:b/>
          <w:bCs/>
          <w:sz w:val="22"/>
          <w:szCs w:val="22"/>
        </w:rPr>
        <w:t xml:space="preserve">Šis pakuotės lapelis paskutinį kartą peržiūrėtas </w:t>
      </w:r>
      <w:r w:rsidR="007C2775">
        <w:rPr>
          <w:b/>
          <w:bCs/>
          <w:sz w:val="22"/>
          <w:szCs w:val="22"/>
        </w:rPr>
        <w:t>2019-03-28.</w:t>
      </w:r>
      <w:bookmarkStart w:id="0" w:name="_GoBack"/>
      <w:bookmarkEnd w:id="0"/>
    </w:p>
    <w:p w:rsidR="009B7E2A" w:rsidRDefault="009B7E2A" w:rsidP="009B7E2A">
      <w:pPr>
        <w:jc w:val="both"/>
        <w:rPr>
          <w:b/>
          <w:bCs/>
          <w:sz w:val="22"/>
          <w:szCs w:val="22"/>
        </w:rPr>
      </w:pPr>
    </w:p>
    <w:p w:rsidR="0070294F" w:rsidRPr="009B7E2A" w:rsidRDefault="009B7E2A" w:rsidP="009B7E2A">
      <w:pPr>
        <w:rPr>
          <w:rFonts w:eastAsia="SimSun"/>
          <w:color w:val="0000FF"/>
          <w:u w:val="single"/>
        </w:rPr>
      </w:pPr>
      <w:r>
        <w:rPr>
          <w:sz w:val="22"/>
          <w:szCs w:val="22"/>
        </w:rPr>
        <w:t xml:space="preserve">Išsami informacija apie šį vaistą pateikiama Valstybinės vaistų kontrolės tarnybos prie Lietuvos Respublikos sveikatos apsaugos ministerijos tinklalapyje </w:t>
      </w:r>
      <w:hyperlink r:id="rId15" w:history="1">
        <w:r>
          <w:rPr>
            <w:rStyle w:val="Hipersaitas"/>
            <w:rFonts w:eastAsia="SimSun"/>
            <w:sz w:val="22"/>
            <w:szCs w:val="22"/>
          </w:rPr>
          <w:t>http://www.vvkt.lt/</w:t>
        </w:r>
      </w:hyperlink>
    </w:p>
    <w:sectPr w:rsidR="0070294F" w:rsidRPr="009B7E2A" w:rsidSect="00187A4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A20" w:rsidRDefault="00403A20" w:rsidP="003532BC">
      <w:r>
        <w:separator/>
      </w:r>
    </w:p>
  </w:endnote>
  <w:endnote w:type="continuationSeparator" w:id="0">
    <w:p w:rsidR="00403A20" w:rsidRDefault="00403A20" w:rsidP="0035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21E" w:rsidRDefault="00700635" w:rsidP="00200960">
    <w:pPr>
      <w:pStyle w:val="Porat"/>
      <w:framePr w:w="316" w:wrap="around" w:vAnchor="text" w:hAnchor="margin" w:xAlign="center" w:y="-2"/>
      <w:rPr>
        <w:rStyle w:val="Puslapionumeris"/>
        <w:rFonts w:asciiTheme="minorBidi" w:hAnsiTheme="minorBidi" w:cstheme="minorBidi"/>
        <w:sz w:val="16"/>
        <w:szCs w:val="16"/>
      </w:rPr>
    </w:pPr>
    <w:r>
      <w:rPr>
        <w:rStyle w:val="Puslapionumeris"/>
        <w:rFonts w:asciiTheme="minorBidi" w:hAnsiTheme="minorBidi" w:cstheme="minorBidi"/>
        <w:sz w:val="16"/>
        <w:szCs w:val="16"/>
      </w:rPr>
      <w:fldChar w:fldCharType="begin"/>
    </w:r>
    <w:r w:rsidR="000F421E">
      <w:rPr>
        <w:rStyle w:val="Puslapionumeris"/>
        <w:rFonts w:asciiTheme="minorBidi" w:hAnsiTheme="minorBidi" w:cstheme="minorBidi"/>
        <w:sz w:val="16"/>
        <w:szCs w:val="16"/>
      </w:rPr>
      <w:instrText xml:space="preserve">PAGE  </w:instrText>
    </w:r>
    <w:r>
      <w:rPr>
        <w:rStyle w:val="Puslapionumeris"/>
        <w:rFonts w:asciiTheme="minorBidi" w:hAnsiTheme="minorBidi" w:cstheme="minorBidi"/>
        <w:sz w:val="16"/>
        <w:szCs w:val="16"/>
      </w:rPr>
      <w:fldChar w:fldCharType="separate"/>
    </w:r>
    <w:r w:rsidR="007C2775">
      <w:rPr>
        <w:rStyle w:val="Puslapionumeris"/>
        <w:rFonts w:asciiTheme="minorBidi" w:hAnsiTheme="minorBidi" w:cstheme="minorBidi"/>
        <w:noProof/>
        <w:sz w:val="16"/>
        <w:szCs w:val="16"/>
      </w:rPr>
      <w:t>30</w:t>
    </w:r>
    <w:r>
      <w:rPr>
        <w:rStyle w:val="Puslapionumeris"/>
        <w:rFonts w:asciiTheme="minorBidi" w:hAnsiTheme="minorBidi" w:cstheme="minorBidi"/>
        <w:sz w:val="16"/>
        <w:szCs w:val="16"/>
      </w:rPr>
      <w:fldChar w:fldCharType="end"/>
    </w:r>
  </w:p>
  <w:p w:rsidR="000F421E" w:rsidRDefault="000F421E" w:rsidP="003532BC">
    <w:pPr>
      <w:pStyle w:val="Porat"/>
    </w:pPr>
  </w:p>
  <w:p w:rsidR="000F421E" w:rsidRDefault="000F42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A20" w:rsidRDefault="00403A20" w:rsidP="003532BC">
      <w:r>
        <w:separator/>
      </w:r>
    </w:p>
  </w:footnote>
  <w:footnote w:type="continuationSeparator" w:id="0">
    <w:p w:rsidR="00403A20" w:rsidRDefault="00403A20" w:rsidP="00353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067"/>
    <w:multiLevelType w:val="hybridMultilevel"/>
    <w:tmpl w:val="DC8693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F01C5E"/>
    <w:multiLevelType w:val="hybridMultilevel"/>
    <w:tmpl w:val="10165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725B12"/>
    <w:multiLevelType w:val="hybridMultilevel"/>
    <w:tmpl w:val="B1A0DD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2409C6"/>
    <w:multiLevelType w:val="hybridMultilevel"/>
    <w:tmpl w:val="20E8B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4B4E6C"/>
    <w:multiLevelType w:val="hybridMultilevel"/>
    <w:tmpl w:val="9EB05902"/>
    <w:lvl w:ilvl="0" w:tplc="19701E82">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1E478C"/>
    <w:multiLevelType w:val="hybridMultilevel"/>
    <w:tmpl w:val="2B06E5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291D78"/>
    <w:multiLevelType w:val="hybridMultilevel"/>
    <w:tmpl w:val="7CE61948"/>
    <w:lvl w:ilvl="0" w:tplc="19701E82">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B350DD"/>
    <w:multiLevelType w:val="hybridMultilevel"/>
    <w:tmpl w:val="F6D25F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C2E17C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9" w15:restartNumberingAfterBreak="0">
    <w:nsid w:val="32D667D1"/>
    <w:multiLevelType w:val="hybridMultilevel"/>
    <w:tmpl w:val="53E4C8B8"/>
    <w:lvl w:ilvl="0" w:tplc="0C090001">
      <w:start w:val="1"/>
      <w:numFmt w:val="bullet"/>
      <w:lvlText w:val=""/>
      <w:lvlJc w:val="left"/>
      <w:pPr>
        <w:tabs>
          <w:tab w:val="num" w:pos="360"/>
        </w:tabs>
        <w:ind w:left="360" w:hanging="360"/>
      </w:pPr>
      <w:rPr>
        <w:rFonts w:ascii="Symbol" w:hAnsi="Symbol" w:hint="default"/>
      </w:rPr>
    </w:lvl>
    <w:lvl w:ilvl="1" w:tplc="ADB2FF3C">
      <w:numFmt w:val="bullet"/>
      <w:lvlText w:val=""/>
      <w:lvlJc w:val="left"/>
      <w:pPr>
        <w:tabs>
          <w:tab w:val="num" w:pos="1500"/>
        </w:tabs>
        <w:ind w:left="1500" w:hanging="420"/>
      </w:pPr>
      <w:rPr>
        <w:rFonts w:ascii="Symbol" w:eastAsia="Times New Roman"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E40456"/>
    <w:multiLevelType w:val="hybridMultilevel"/>
    <w:tmpl w:val="1388A658"/>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37870268"/>
    <w:multiLevelType w:val="hybridMultilevel"/>
    <w:tmpl w:val="4B44D0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AFA581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B15BF7"/>
    <w:multiLevelType w:val="hybridMultilevel"/>
    <w:tmpl w:val="54B65308"/>
    <w:lvl w:ilvl="0" w:tplc="184C7C8C">
      <w:start w:val="1"/>
      <w:numFmt w:val="bullet"/>
      <w:lvlText w:val=""/>
      <w:lvlJc w:val="left"/>
      <w:pPr>
        <w:tabs>
          <w:tab w:val="num" w:pos="360"/>
        </w:tabs>
        <w:ind w:left="360" w:hanging="360"/>
      </w:pPr>
      <w:rPr>
        <w:rFonts w:ascii="Symbol" w:hAnsi="Symbol" w:hint="default"/>
        <w:sz w:val="24"/>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803C06"/>
    <w:multiLevelType w:val="hybridMultilevel"/>
    <w:tmpl w:val="6534F61C"/>
    <w:lvl w:ilvl="0" w:tplc="9C40D7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F3205"/>
    <w:multiLevelType w:val="hybridMultilevel"/>
    <w:tmpl w:val="27E27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A55686C"/>
    <w:multiLevelType w:val="hybridMultilevel"/>
    <w:tmpl w:val="AA7AB7A8"/>
    <w:lvl w:ilvl="0" w:tplc="0427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001296"/>
    <w:multiLevelType w:val="hybridMultilevel"/>
    <w:tmpl w:val="5D141C8A"/>
    <w:lvl w:ilvl="0" w:tplc="934C316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1A15788"/>
    <w:multiLevelType w:val="hybridMultilevel"/>
    <w:tmpl w:val="6B26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E1C41"/>
    <w:multiLevelType w:val="hybridMultilevel"/>
    <w:tmpl w:val="B1468218"/>
    <w:lvl w:ilvl="0" w:tplc="1EF4FF4C">
      <w:start w:val="1"/>
      <w:numFmt w:val="bullet"/>
      <w:lvlText w:val=""/>
      <w:lvlJc w:val="left"/>
      <w:pPr>
        <w:tabs>
          <w:tab w:val="num" w:pos="567"/>
        </w:tabs>
        <w:ind w:left="567" w:hanging="567"/>
      </w:pPr>
      <w:rPr>
        <w:rFonts w:ascii="Symbol" w:hAnsi="Symbol" w:hint="default"/>
        <w:color w:val="auto"/>
        <w:sz w:val="22"/>
        <w:szCs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1E74B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3"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3C36FFC"/>
    <w:multiLevelType w:val="hybridMultilevel"/>
    <w:tmpl w:val="CFA0C2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9D3C21"/>
    <w:multiLevelType w:val="hybridMultilevel"/>
    <w:tmpl w:val="F07672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67D22AA9"/>
    <w:multiLevelType w:val="hybridMultilevel"/>
    <w:tmpl w:val="92566EBA"/>
    <w:lvl w:ilvl="0" w:tplc="19701E82">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522E42"/>
    <w:multiLevelType w:val="hybridMultilevel"/>
    <w:tmpl w:val="CAF25F80"/>
    <w:lvl w:ilvl="0" w:tplc="934C31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2433E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3071AD"/>
    <w:multiLevelType w:val="hybridMultilevel"/>
    <w:tmpl w:val="0AA482E2"/>
    <w:lvl w:ilvl="0" w:tplc="35460D5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7102B9"/>
    <w:multiLevelType w:val="hybridMultilevel"/>
    <w:tmpl w:val="5E6CC22C"/>
    <w:lvl w:ilvl="0" w:tplc="934C316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BAB248B"/>
    <w:multiLevelType w:val="hybridMultilevel"/>
    <w:tmpl w:val="2AA8C0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24"/>
  </w:num>
  <w:num w:numId="4">
    <w:abstractNumId w:val="0"/>
  </w:num>
  <w:num w:numId="5">
    <w:abstractNumId w:val="17"/>
  </w:num>
  <w:num w:numId="6">
    <w:abstractNumId w:val="13"/>
  </w:num>
  <w:num w:numId="7">
    <w:abstractNumId w:val="30"/>
  </w:num>
  <w:num w:numId="8">
    <w:abstractNumId w:val="25"/>
  </w:num>
  <w:num w:numId="9">
    <w:abstractNumId w:val="11"/>
  </w:num>
  <w:num w:numId="10">
    <w:abstractNumId w:val="7"/>
  </w:num>
  <w:num w:numId="11">
    <w:abstractNumId w:val="10"/>
  </w:num>
  <w:num w:numId="12">
    <w:abstractNumId w:val="21"/>
  </w:num>
  <w:num w:numId="13">
    <w:abstractNumId w:val="9"/>
  </w:num>
  <w:num w:numId="14">
    <w:abstractNumId w:val="12"/>
  </w:num>
  <w:num w:numId="15">
    <w:abstractNumId w:val="22"/>
  </w:num>
  <w:num w:numId="16">
    <w:abstractNumId w:val="8"/>
  </w:num>
  <w:num w:numId="17">
    <w:abstractNumId w:val="5"/>
  </w:num>
  <w:num w:numId="18">
    <w:abstractNumId w:val="14"/>
  </w:num>
  <w:num w:numId="19">
    <w:abstractNumId w:val="29"/>
  </w:num>
  <w:num w:numId="20">
    <w:abstractNumId w:val="15"/>
  </w:num>
  <w:num w:numId="21">
    <w:abstractNumId w:val="6"/>
  </w:num>
  <w:num w:numId="22">
    <w:abstractNumId w:val="4"/>
  </w:num>
  <w:num w:numId="23">
    <w:abstractNumId w:val="28"/>
  </w:num>
  <w:num w:numId="24">
    <w:abstractNumId w:val="2"/>
  </w:num>
  <w:num w:numId="25">
    <w:abstractNumId w:val="27"/>
  </w:num>
  <w:num w:numId="26">
    <w:abstractNumId w:val="18"/>
  </w:num>
  <w:num w:numId="27">
    <w:abstractNumId w:val="31"/>
  </w:num>
  <w:num w:numId="28">
    <w:abstractNumId w:val="20"/>
  </w:num>
  <w:num w:numId="29">
    <w:abstractNumId w:val="16"/>
  </w:num>
  <w:num w:numId="30">
    <w:abstractNumId w:val="23"/>
  </w:num>
  <w:num w:numId="31">
    <w:abstractNumId w:val="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44BA0"/>
    <w:rsid w:val="000218BB"/>
    <w:rsid w:val="00023672"/>
    <w:rsid w:val="000F421E"/>
    <w:rsid w:val="00125717"/>
    <w:rsid w:val="00136267"/>
    <w:rsid w:val="00187A4C"/>
    <w:rsid w:val="001B2FB0"/>
    <w:rsid w:val="001E3C26"/>
    <w:rsid w:val="001F616E"/>
    <w:rsid w:val="00200960"/>
    <w:rsid w:val="00263CBD"/>
    <w:rsid w:val="003532BC"/>
    <w:rsid w:val="0037146B"/>
    <w:rsid w:val="00380A43"/>
    <w:rsid w:val="003A229F"/>
    <w:rsid w:val="003A3004"/>
    <w:rsid w:val="003B3D0F"/>
    <w:rsid w:val="00402FD0"/>
    <w:rsid w:val="00403A20"/>
    <w:rsid w:val="00486F1E"/>
    <w:rsid w:val="0049043E"/>
    <w:rsid w:val="00521AC5"/>
    <w:rsid w:val="005C6BB4"/>
    <w:rsid w:val="005E2FCF"/>
    <w:rsid w:val="00690DDE"/>
    <w:rsid w:val="006F7FBF"/>
    <w:rsid w:val="00700635"/>
    <w:rsid w:val="0070294F"/>
    <w:rsid w:val="0073185C"/>
    <w:rsid w:val="007805E4"/>
    <w:rsid w:val="007C151A"/>
    <w:rsid w:val="007C2775"/>
    <w:rsid w:val="008010C3"/>
    <w:rsid w:val="008414CA"/>
    <w:rsid w:val="008E368A"/>
    <w:rsid w:val="00906780"/>
    <w:rsid w:val="0094670D"/>
    <w:rsid w:val="009B7E2A"/>
    <w:rsid w:val="009C2A89"/>
    <w:rsid w:val="00B15ECF"/>
    <w:rsid w:val="00B37B45"/>
    <w:rsid w:val="00BC6A0C"/>
    <w:rsid w:val="00BD738A"/>
    <w:rsid w:val="00C031F2"/>
    <w:rsid w:val="00C14F70"/>
    <w:rsid w:val="00C5042B"/>
    <w:rsid w:val="00C514E1"/>
    <w:rsid w:val="00CD1FBD"/>
    <w:rsid w:val="00CD6BF3"/>
    <w:rsid w:val="00CE2906"/>
    <w:rsid w:val="00D14530"/>
    <w:rsid w:val="00ED7624"/>
    <w:rsid w:val="00F44BA0"/>
    <w:rsid w:val="00F7333A"/>
    <w:rsid w:val="00F9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3ABC5"/>
  <w15:docId w15:val="{4029391E-E244-4313-9582-6A34AAEA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32BC"/>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3532BC"/>
    <w:pPr>
      <w:keepNext/>
      <w:autoSpaceDE w:val="0"/>
      <w:autoSpaceDN w:val="0"/>
      <w:adjustRightInd w:val="0"/>
      <w:outlineLvl w:val="0"/>
    </w:pPr>
    <w:rPr>
      <w:b/>
      <w:bCs/>
      <w:sz w:val="22"/>
      <w:szCs w:val="22"/>
    </w:rPr>
  </w:style>
  <w:style w:type="paragraph" w:styleId="Antrat2">
    <w:name w:val="heading 2"/>
    <w:basedOn w:val="prastasis"/>
    <w:next w:val="prastasis"/>
    <w:link w:val="Antrat2Diagrama"/>
    <w:semiHidden/>
    <w:unhideWhenUsed/>
    <w:qFormat/>
    <w:rsid w:val="003532BC"/>
    <w:pPr>
      <w:keepNext/>
      <w:spacing w:before="240" w:after="60"/>
      <w:outlineLvl w:val="1"/>
    </w:pPr>
    <w:rPr>
      <w:rFonts w:ascii="Cambria" w:hAnsi="Cambria"/>
      <w:b/>
      <w:bCs/>
      <w:i/>
      <w:iCs/>
      <w:sz w:val="28"/>
      <w:szCs w:val="28"/>
    </w:rPr>
  </w:style>
  <w:style w:type="paragraph" w:styleId="Antrat4">
    <w:name w:val="heading 4"/>
    <w:basedOn w:val="prastasis"/>
    <w:next w:val="prastasis"/>
    <w:link w:val="Antrat4Diagrama"/>
    <w:semiHidden/>
    <w:unhideWhenUsed/>
    <w:qFormat/>
    <w:rsid w:val="003532BC"/>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unhideWhenUsed/>
    <w:qFormat/>
    <w:rsid w:val="003532BC"/>
    <w:pPr>
      <w:spacing w:before="240" w:after="60" w:line="300" w:lineRule="atLeast"/>
      <w:outlineLvl w:val="5"/>
    </w:pPr>
    <w:rPr>
      <w:rFonts w:ascii="Arial" w:hAnsi="Arial"/>
      <w:i/>
      <w:sz w:val="22"/>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3532BC"/>
    <w:pPr>
      <w:tabs>
        <w:tab w:val="center" w:pos="4680"/>
        <w:tab w:val="right" w:pos="9360"/>
      </w:tabs>
    </w:pPr>
  </w:style>
  <w:style w:type="character" w:customStyle="1" w:styleId="AntratsDiagrama">
    <w:name w:val="Antraštės Diagrama"/>
    <w:basedOn w:val="Numatytasispastraiposriftas"/>
    <w:link w:val="Antrats"/>
    <w:rsid w:val="003532BC"/>
  </w:style>
  <w:style w:type="paragraph" w:styleId="Porat">
    <w:name w:val="footer"/>
    <w:basedOn w:val="prastasis"/>
    <w:link w:val="PoratDiagrama"/>
    <w:unhideWhenUsed/>
    <w:rsid w:val="003532BC"/>
    <w:pPr>
      <w:tabs>
        <w:tab w:val="center" w:pos="4680"/>
        <w:tab w:val="right" w:pos="9360"/>
      </w:tabs>
    </w:pPr>
  </w:style>
  <w:style w:type="character" w:customStyle="1" w:styleId="PoratDiagrama">
    <w:name w:val="Poraštė Diagrama"/>
    <w:basedOn w:val="Numatytasispastraiposriftas"/>
    <w:link w:val="Porat"/>
    <w:rsid w:val="003532BC"/>
  </w:style>
  <w:style w:type="character" w:customStyle="1" w:styleId="Antrat1Diagrama">
    <w:name w:val="Antraštė 1 Diagrama"/>
    <w:basedOn w:val="Numatytasispastraiposriftas"/>
    <w:link w:val="Antrat1"/>
    <w:rsid w:val="003532BC"/>
    <w:rPr>
      <w:rFonts w:ascii="Times New Roman" w:eastAsia="Times New Roman" w:hAnsi="Times New Roman" w:cs="Times New Roman"/>
      <w:b/>
      <w:bCs/>
      <w:lang w:val="lt-LT"/>
    </w:rPr>
  </w:style>
  <w:style w:type="character" w:customStyle="1" w:styleId="Antrat2Diagrama">
    <w:name w:val="Antraštė 2 Diagrama"/>
    <w:basedOn w:val="Numatytasispastraiposriftas"/>
    <w:link w:val="Antrat2"/>
    <w:semiHidden/>
    <w:rsid w:val="003532BC"/>
    <w:rPr>
      <w:rFonts w:ascii="Cambria" w:eastAsia="Times New Roman" w:hAnsi="Cambria" w:cs="Times New Roman"/>
      <w:b/>
      <w:bCs/>
      <w:i/>
      <w:iCs/>
      <w:sz w:val="28"/>
      <w:szCs w:val="28"/>
      <w:lang w:val="lt-LT"/>
    </w:rPr>
  </w:style>
  <w:style w:type="character" w:customStyle="1" w:styleId="Antrat4Diagrama">
    <w:name w:val="Antraštė 4 Diagrama"/>
    <w:basedOn w:val="Numatytasispastraiposriftas"/>
    <w:link w:val="Antrat4"/>
    <w:semiHidden/>
    <w:rsid w:val="003532BC"/>
    <w:rPr>
      <w:rFonts w:ascii="Calibri" w:eastAsia="Times New Roman" w:hAnsi="Calibri" w:cs="Times New Roman"/>
      <w:b/>
      <w:bCs/>
      <w:sz w:val="28"/>
      <w:szCs w:val="28"/>
      <w:lang w:val="lt-LT"/>
    </w:rPr>
  </w:style>
  <w:style w:type="character" w:customStyle="1" w:styleId="Antrat6Diagrama">
    <w:name w:val="Antraštė 6 Diagrama"/>
    <w:basedOn w:val="Numatytasispastraiposriftas"/>
    <w:link w:val="Antrat6"/>
    <w:rsid w:val="003532BC"/>
    <w:rPr>
      <w:rFonts w:ascii="Arial" w:eastAsia="Times New Roman" w:hAnsi="Arial" w:cs="Times New Roman"/>
      <w:i/>
      <w:szCs w:val="20"/>
    </w:rPr>
  </w:style>
  <w:style w:type="character" w:styleId="Hipersaitas">
    <w:name w:val="Hyperlink"/>
    <w:uiPriority w:val="99"/>
    <w:unhideWhenUsed/>
    <w:rsid w:val="003532BC"/>
    <w:rPr>
      <w:color w:val="0000FF"/>
      <w:u w:val="single"/>
    </w:rPr>
  </w:style>
  <w:style w:type="character" w:styleId="Perirtashipersaitas">
    <w:name w:val="FollowedHyperlink"/>
    <w:basedOn w:val="Numatytasispastraiposriftas"/>
    <w:uiPriority w:val="99"/>
    <w:semiHidden/>
    <w:unhideWhenUsed/>
    <w:rsid w:val="003532BC"/>
    <w:rPr>
      <w:color w:val="954F72" w:themeColor="followedHyperlink"/>
      <w:u w:val="single"/>
    </w:rPr>
  </w:style>
  <w:style w:type="paragraph" w:customStyle="1" w:styleId="msonormal0">
    <w:name w:val="msonormal"/>
    <w:basedOn w:val="prastasis"/>
    <w:rsid w:val="003532BC"/>
    <w:pPr>
      <w:spacing w:before="100" w:beforeAutospacing="1" w:after="100" w:afterAutospacing="1"/>
    </w:pPr>
    <w:rPr>
      <w:lang w:val="en-US"/>
    </w:rPr>
  </w:style>
  <w:style w:type="paragraph" w:styleId="Puslapioinaostekstas">
    <w:name w:val="footnote text"/>
    <w:basedOn w:val="prastasis"/>
    <w:link w:val="PuslapioinaostekstasDiagrama"/>
    <w:uiPriority w:val="99"/>
    <w:semiHidden/>
    <w:unhideWhenUsed/>
    <w:rsid w:val="003532BC"/>
    <w:pPr>
      <w:spacing w:after="200" w:line="276" w:lineRule="auto"/>
    </w:pPr>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3532BC"/>
    <w:rPr>
      <w:rFonts w:ascii="Calibri" w:eastAsia="Calibri" w:hAnsi="Calibri" w:cs="Times New Roman"/>
      <w:sz w:val="20"/>
      <w:szCs w:val="20"/>
      <w:lang w:val="lt-LT" w:eastAsia="lt-LT"/>
    </w:rPr>
  </w:style>
  <w:style w:type="paragraph" w:styleId="Komentarotekstas">
    <w:name w:val="annotation text"/>
    <w:basedOn w:val="prastasis"/>
    <w:link w:val="KomentarotekstasDiagrama"/>
    <w:unhideWhenUsed/>
    <w:rsid w:val="003532BC"/>
    <w:rPr>
      <w:sz w:val="20"/>
      <w:szCs w:val="20"/>
    </w:rPr>
  </w:style>
  <w:style w:type="character" w:customStyle="1" w:styleId="KomentarotekstasDiagrama">
    <w:name w:val="Komentaro tekstas Diagrama"/>
    <w:basedOn w:val="Numatytasispastraiposriftas"/>
    <w:link w:val="Komentarotekstas"/>
    <w:rsid w:val="003532BC"/>
    <w:rPr>
      <w:rFonts w:ascii="Times New Roman" w:eastAsia="Times New Roman" w:hAnsi="Times New Roman" w:cs="Times New Roman"/>
      <w:sz w:val="20"/>
      <w:szCs w:val="20"/>
      <w:lang w:val="lt-LT"/>
    </w:rPr>
  </w:style>
  <w:style w:type="paragraph" w:styleId="Pagrindinistekstas">
    <w:name w:val="Body Text"/>
    <w:basedOn w:val="prastasis"/>
    <w:link w:val="PagrindinistekstasDiagrama"/>
    <w:unhideWhenUsed/>
    <w:rsid w:val="003532BC"/>
    <w:pPr>
      <w:autoSpaceDE w:val="0"/>
      <w:autoSpaceDN w:val="0"/>
      <w:adjustRightInd w:val="0"/>
    </w:pPr>
    <w:rPr>
      <w:sz w:val="22"/>
    </w:rPr>
  </w:style>
  <w:style w:type="character" w:customStyle="1" w:styleId="PagrindinistekstasDiagrama">
    <w:name w:val="Pagrindinis tekstas Diagrama"/>
    <w:basedOn w:val="Numatytasispastraiposriftas"/>
    <w:link w:val="Pagrindinistekstas"/>
    <w:rsid w:val="003532BC"/>
    <w:rPr>
      <w:rFonts w:ascii="Times New Roman" w:eastAsia="Times New Roman" w:hAnsi="Times New Roman" w:cs="Times New Roman"/>
      <w:szCs w:val="24"/>
      <w:lang w:val="lt-LT"/>
    </w:rPr>
  </w:style>
  <w:style w:type="paragraph" w:styleId="Pagrindinistekstas2">
    <w:name w:val="Body Text 2"/>
    <w:basedOn w:val="prastasis"/>
    <w:link w:val="Pagrindinistekstas2Diagrama"/>
    <w:unhideWhenUsed/>
    <w:rsid w:val="003532BC"/>
    <w:rPr>
      <w:color w:val="FF0000"/>
      <w:szCs w:val="20"/>
    </w:rPr>
  </w:style>
  <w:style w:type="character" w:customStyle="1" w:styleId="Pagrindinistekstas2Diagrama">
    <w:name w:val="Pagrindinis tekstas 2 Diagrama"/>
    <w:basedOn w:val="Numatytasispastraiposriftas"/>
    <w:link w:val="Pagrindinistekstas2"/>
    <w:rsid w:val="003532BC"/>
    <w:rPr>
      <w:rFonts w:ascii="Times New Roman" w:eastAsia="Times New Roman" w:hAnsi="Times New Roman" w:cs="Times New Roman"/>
      <w:color w:val="FF0000"/>
      <w:sz w:val="24"/>
      <w:szCs w:val="20"/>
      <w:lang w:val="lt-LT"/>
    </w:rPr>
  </w:style>
  <w:style w:type="paragraph" w:styleId="Paprastasistekstas">
    <w:name w:val="Plain Text"/>
    <w:basedOn w:val="prastasis"/>
    <w:link w:val="PaprastasistekstasDiagrama"/>
    <w:uiPriority w:val="99"/>
    <w:unhideWhenUsed/>
    <w:rsid w:val="003532BC"/>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3532BC"/>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nhideWhenUsed/>
    <w:rsid w:val="003532BC"/>
    <w:rPr>
      <w:b/>
      <w:bCs/>
    </w:rPr>
  </w:style>
  <w:style w:type="character" w:customStyle="1" w:styleId="KomentarotemaDiagrama">
    <w:name w:val="Komentaro tema Diagrama"/>
    <w:basedOn w:val="KomentarotekstasDiagrama"/>
    <w:link w:val="Komentarotema"/>
    <w:rsid w:val="003532BC"/>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nhideWhenUsed/>
    <w:rsid w:val="003532BC"/>
    <w:rPr>
      <w:rFonts w:ascii="Tahoma" w:hAnsi="Tahoma" w:cs="Tahoma"/>
      <w:sz w:val="16"/>
      <w:szCs w:val="16"/>
    </w:rPr>
  </w:style>
  <w:style w:type="character" w:customStyle="1" w:styleId="DebesliotekstasDiagrama">
    <w:name w:val="Debesėlio tekstas Diagrama"/>
    <w:basedOn w:val="Numatytasispastraiposriftas"/>
    <w:link w:val="Debesliotekstas"/>
    <w:rsid w:val="003532BC"/>
    <w:rPr>
      <w:rFonts w:ascii="Tahoma" w:eastAsia="Times New Roman" w:hAnsi="Tahoma" w:cs="Tahoma"/>
      <w:sz w:val="16"/>
      <w:szCs w:val="16"/>
      <w:lang w:val="lt-LT"/>
    </w:rPr>
  </w:style>
  <w:style w:type="paragraph" w:styleId="Pataisymai">
    <w:name w:val="Revision"/>
    <w:uiPriority w:val="99"/>
    <w:semiHidden/>
    <w:rsid w:val="003532BC"/>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3532BC"/>
    <w:pPr>
      <w:ind w:left="720"/>
      <w:contextualSpacing/>
    </w:pPr>
  </w:style>
  <w:style w:type="paragraph" w:customStyle="1" w:styleId="Indent1">
    <w:name w:val="Indent1"/>
    <w:basedOn w:val="prastasis"/>
    <w:rsid w:val="003532BC"/>
    <w:pPr>
      <w:spacing w:after="120" w:line="300" w:lineRule="atLeast"/>
      <w:ind w:left="709"/>
    </w:pPr>
    <w:rPr>
      <w:rFonts w:ascii="Arial" w:hAnsi="Arial"/>
      <w:sz w:val="22"/>
      <w:szCs w:val="20"/>
      <w:lang w:val="en-US" w:eastAsia="nl-NL"/>
    </w:rPr>
  </w:style>
  <w:style w:type="paragraph" w:customStyle="1" w:styleId="Paragraph">
    <w:name w:val="Paragraph"/>
    <w:basedOn w:val="prastasis"/>
    <w:rsid w:val="003532BC"/>
    <w:pPr>
      <w:spacing w:after="120" w:line="300" w:lineRule="atLeast"/>
    </w:pPr>
    <w:rPr>
      <w:rFonts w:ascii="Arial" w:hAnsi="Arial"/>
      <w:sz w:val="22"/>
      <w:szCs w:val="20"/>
      <w:lang w:val="en-US"/>
    </w:rPr>
  </w:style>
  <w:style w:type="paragraph" w:customStyle="1" w:styleId="covercap">
    <w:name w:val="covercap"/>
    <w:basedOn w:val="prastasis"/>
    <w:rsid w:val="003532BC"/>
    <w:pPr>
      <w:spacing w:before="240" w:after="240" w:line="300" w:lineRule="atLeast"/>
      <w:jc w:val="center"/>
    </w:pPr>
    <w:rPr>
      <w:rFonts w:ascii="Arial" w:hAnsi="Arial"/>
      <w:b/>
      <w:sz w:val="22"/>
      <w:szCs w:val="20"/>
      <w:lang w:val="en-US"/>
    </w:rPr>
  </w:style>
  <w:style w:type="character" w:customStyle="1" w:styleId="BTEMEASMCAChar">
    <w:name w:val="BT EMEA_SMCA Char"/>
    <w:link w:val="BTEMEASMCA"/>
    <w:locked/>
    <w:rsid w:val="003532BC"/>
    <w:rPr>
      <w:rFonts w:ascii="Times New Roman" w:eastAsia="Times New Roman" w:hAnsi="Times New Roman" w:cs="Times New Roman"/>
      <w:noProof/>
      <w:lang w:val="lt-LT"/>
    </w:rPr>
  </w:style>
  <w:style w:type="paragraph" w:customStyle="1" w:styleId="BTEMEASMCA">
    <w:name w:val="BT EMEA_SMCA"/>
    <w:basedOn w:val="prastasis"/>
    <w:link w:val="BTEMEASMCAChar"/>
    <w:autoRedefine/>
    <w:rsid w:val="003532BC"/>
    <w:rPr>
      <w:noProof/>
      <w:sz w:val="22"/>
      <w:szCs w:val="22"/>
    </w:rPr>
  </w:style>
  <w:style w:type="character" w:styleId="Komentaronuoroda">
    <w:name w:val="annotation reference"/>
    <w:unhideWhenUsed/>
    <w:rsid w:val="003532BC"/>
    <w:rPr>
      <w:sz w:val="16"/>
      <w:szCs w:val="16"/>
    </w:rPr>
  </w:style>
  <w:style w:type="character" w:styleId="Puslapionumeris">
    <w:name w:val="page number"/>
    <w:basedOn w:val="Numatytasispastraiposriftas"/>
    <w:unhideWhenUsed/>
    <w:rsid w:val="003532BC"/>
  </w:style>
  <w:style w:type="character" w:styleId="Emfaz">
    <w:name w:val="Emphasis"/>
    <w:qFormat/>
    <w:rsid w:val="009B7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03890">
      <w:bodyDiv w:val="1"/>
      <w:marLeft w:val="0"/>
      <w:marRight w:val="0"/>
      <w:marTop w:val="0"/>
      <w:marBottom w:val="0"/>
      <w:divBdr>
        <w:top w:val="none" w:sz="0" w:space="0" w:color="auto"/>
        <w:left w:val="none" w:sz="0" w:space="0" w:color="auto"/>
        <w:bottom w:val="none" w:sz="0" w:space="0" w:color="auto"/>
        <w:right w:val="none" w:sz="0" w:space="0" w:color="auto"/>
      </w:divBdr>
    </w:div>
    <w:div w:id="70139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4" Type="http://schemas.openxmlformats.org/officeDocument/2006/relationships/styles" Target="style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A7C11-F820-4748-8415-67A30175D1E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C3A363A-302B-4890-9F12-27D567E37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32956</Words>
  <Characters>18786</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Stulgaitiene, Agata</dc:creator>
  <cp:keywords/>
  <dc:description/>
  <cp:lastModifiedBy>Sigita Žentelienė</cp:lastModifiedBy>
  <cp:revision>14</cp:revision>
  <dcterms:created xsi:type="dcterms:W3CDTF">2019-01-30T15:39:00Z</dcterms:created>
  <dcterms:modified xsi:type="dcterms:W3CDTF">2019-03-28T12:10:00Z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5730c9bd-35f1-4bc8-b4dc-265ee2120db3</vt:lpwstr>
  </property>
  <property fmtid="{D5CDD505-2E9C-101B-9397-08002B2CF9AE}" pid="3" name="bjSaver">
    <vt:lpwstr>e8Af50BoJ/pbENC/Zv9F7E/52EbSPKfO</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ies>
</file>