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063F2" w14:textId="77777777" w:rsidR="008C68EE" w:rsidRPr="008C68EE" w:rsidRDefault="008C68EE" w:rsidP="008C68EE">
      <w:pPr>
        <w:pStyle w:val="BTEMEASMCA"/>
        <w:tabs>
          <w:tab w:val="left" w:pos="567"/>
        </w:tabs>
        <w:ind w:left="567" w:hanging="567"/>
        <w:jc w:val="center"/>
        <w:outlineLvl w:val="0"/>
        <w:rPr>
          <w:b/>
        </w:rPr>
      </w:pPr>
      <w:r w:rsidRPr="008C68EE">
        <w:rPr>
          <w:b/>
        </w:rPr>
        <w:t>Pakuotės lapelis: informacija pacientui</w:t>
      </w:r>
    </w:p>
    <w:p w14:paraId="6FD718CC" w14:textId="77777777" w:rsidR="008C68EE" w:rsidRPr="008C68EE" w:rsidRDefault="008C68EE" w:rsidP="008C68EE">
      <w:pPr>
        <w:pStyle w:val="BTEMEASMCA"/>
        <w:tabs>
          <w:tab w:val="left" w:pos="567"/>
        </w:tabs>
        <w:ind w:left="567" w:hanging="567"/>
        <w:jc w:val="center"/>
        <w:outlineLvl w:val="0"/>
        <w:rPr>
          <w:b/>
        </w:rPr>
      </w:pPr>
    </w:p>
    <w:p w14:paraId="29DF3ACE" w14:textId="77777777" w:rsidR="008C68EE" w:rsidRPr="008C68EE" w:rsidRDefault="008C68EE" w:rsidP="008C68EE">
      <w:pPr>
        <w:pStyle w:val="Komentarotekstas"/>
        <w:jc w:val="center"/>
        <w:rPr>
          <w:b/>
          <w:sz w:val="22"/>
          <w:szCs w:val="22"/>
        </w:rPr>
      </w:pPr>
      <w:proofErr w:type="spellStart"/>
      <w:r w:rsidRPr="008C68EE">
        <w:rPr>
          <w:b/>
          <w:sz w:val="22"/>
          <w:szCs w:val="22"/>
        </w:rPr>
        <w:t>Regulax</w:t>
      </w:r>
      <w:proofErr w:type="spellEnd"/>
      <w:r w:rsidRPr="008C68EE">
        <w:rPr>
          <w:b/>
          <w:sz w:val="22"/>
          <w:szCs w:val="22"/>
        </w:rPr>
        <w:t xml:space="preserve"> </w:t>
      </w:r>
      <w:proofErr w:type="spellStart"/>
      <w:r w:rsidRPr="008C68EE">
        <w:rPr>
          <w:b/>
          <w:sz w:val="22"/>
          <w:szCs w:val="22"/>
        </w:rPr>
        <w:t>Picosulphate</w:t>
      </w:r>
      <w:proofErr w:type="spellEnd"/>
      <w:r w:rsidRPr="008C68EE">
        <w:rPr>
          <w:b/>
          <w:sz w:val="22"/>
          <w:szCs w:val="22"/>
        </w:rPr>
        <w:t xml:space="preserve"> 7,23 mg/ml</w:t>
      </w:r>
      <w:r w:rsidRPr="008C68EE">
        <w:rPr>
          <w:sz w:val="22"/>
          <w:szCs w:val="22"/>
        </w:rPr>
        <w:t xml:space="preserve"> </w:t>
      </w:r>
      <w:r w:rsidRPr="008C68EE">
        <w:rPr>
          <w:b/>
          <w:sz w:val="22"/>
          <w:szCs w:val="22"/>
        </w:rPr>
        <w:t>geriamieji lašai, tirpalas</w:t>
      </w:r>
    </w:p>
    <w:p w14:paraId="73DFAB81" w14:textId="77777777" w:rsidR="008C68EE" w:rsidRPr="008C68EE" w:rsidRDefault="008C68EE" w:rsidP="008C68EE">
      <w:pPr>
        <w:pStyle w:val="Komentarotekstas"/>
        <w:jc w:val="center"/>
        <w:rPr>
          <w:sz w:val="22"/>
          <w:szCs w:val="22"/>
        </w:rPr>
      </w:pPr>
      <w:r w:rsidRPr="008C68EE">
        <w:rPr>
          <w:sz w:val="22"/>
          <w:szCs w:val="22"/>
        </w:rPr>
        <w:t xml:space="preserve">natrio </w:t>
      </w:r>
      <w:proofErr w:type="spellStart"/>
      <w:r w:rsidRPr="008C68EE">
        <w:rPr>
          <w:sz w:val="22"/>
          <w:szCs w:val="22"/>
        </w:rPr>
        <w:t>pikosulfatas</w:t>
      </w:r>
      <w:proofErr w:type="spellEnd"/>
    </w:p>
    <w:p w14:paraId="66C35651" w14:textId="77777777" w:rsidR="008C68EE" w:rsidRPr="008C68EE" w:rsidRDefault="008C68EE" w:rsidP="008C68EE">
      <w:pPr>
        <w:pStyle w:val="Pagrindinistekstas"/>
        <w:spacing w:after="0"/>
        <w:jc w:val="center"/>
        <w:rPr>
          <w:szCs w:val="22"/>
        </w:rPr>
      </w:pPr>
    </w:p>
    <w:p w14:paraId="6ED35556" w14:textId="77777777" w:rsidR="008C68EE" w:rsidRPr="008C68EE" w:rsidRDefault="008C68EE" w:rsidP="008C68EE">
      <w:pPr>
        <w:keepNext/>
        <w:numPr>
          <w:ilvl w:val="12"/>
          <w:numId w:val="0"/>
        </w:numPr>
        <w:ind w:right="-2"/>
        <w:rPr>
          <w:szCs w:val="22"/>
        </w:rPr>
      </w:pPr>
      <w:r w:rsidRPr="008C68EE">
        <w:rPr>
          <w:b/>
          <w:szCs w:val="22"/>
        </w:rPr>
        <w:t>Atidžiai perskaitykite visą šį lapelį, prieš pradėdami vartoti vaistą, nes jame pateikiama Jums svarbi informacija.</w:t>
      </w:r>
    </w:p>
    <w:p w14:paraId="3C7DC45F" w14:textId="77777777" w:rsidR="008C68EE" w:rsidRPr="008C68EE" w:rsidRDefault="008C68EE" w:rsidP="008C68EE">
      <w:pPr>
        <w:numPr>
          <w:ilvl w:val="12"/>
          <w:numId w:val="0"/>
        </w:numPr>
        <w:ind w:right="-2"/>
        <w:rPr>
          <w:szCs w:val="22"/>
        </w:rPr>
      </w:pPr>
      <w:r w:rsidRPr="008C68EE">
        <w:rPr>
          <w:szCs w:val="22"/>
        </w:rPr>
        <w:t xml:space="preserve">Visada vartokite šį vaistą tiksliai kaip aprašyta šiame lapelyje arba kaip nurodė gydytojas arba vaistininkas. </w:t>
      </w:r>
    </w:p>
    <w:p w14:paraId="3FE33B5E" w14:textId="77777777" w:rsidR="008C68EE" w:rsidRPr="008C68EE" w:rsidRDefault="008C68EE" w:rsidP="008C68EE">
      <w:pPr>
        <w:numPr>
          <w:ilvl w:val="0"/>
          <w:numId w:val="2"/>
        </w:numPr>
        <w:tabs>
          <w:tab w:val="left" w:pos="567"/>
        </w:tabs>
        <w:ind w:left="567" w:hanging="567"/>
        <w:rPr>
          <w:szCs w:val="22"/>
        </w:rPr>
      </w:pPr>
      <w:r w:rsidRPr="008C68EE">
        <w:rPr>
          <w:szCs w:val="22"/>
        </w:rPr>
        <w:t xml:space="preserve">Neišmeskite šio lapelio, nes vėl gali prireikti jį perskaityti. </w:t>
      </w:r>
    </w:p>
    <w:p w14:paraId="0B694A3C" w14:textId="77777777" w:rsidR="008C68EE" w:rsidRPr="008C68EE" w:rsidRDefault="008C68EE" w:rsidP="008C68EE">
      <w:pPr>
        <w:numPr>
          <w:ilvl w:val="0"/>
          <w:numId w:val="2"/>
        </w:numPr>
        <w:tabs>
          <w:tab w:val="left" w:pos="567"/>
        </w:tabs>
        <w:ind w:left="567" w:hanging="567"/>
        <w:rPr>
          <w:szCs w:val="22"/>
        </w:rPr>
      </w:pPr>
      <w:r w:rsidRPr="008C68EE">
        <w:rPr>
          <w:szCs w:val="22"/>
        </w:rPr>
        <w:t>Jeigu norite sužinoti daugiau arba pasitarti, kreipkitės į vaistininką.</w:t>
      </w:r>
    </w:p>
    <w:p w14:paraId="6151A567" w14:textId="77777777" w:rsidR="008C68EE" w:rsidRPr="008C68EE" w:rsidRDefault="008C68EE" w:rsidP="008C68EE">
      <w:pPr>
        <w:numPr>
          <w:ilvl w:val="0"/>
          <w:numId w:val="2"/>
        </w:numPr>
        <w:tabs>
          <w:tab w:val="left" w:pos="567"/>
        </w:tabs>
        <w:ind w:left="567" w:hanging="567"/>
        <w:rPr>
          <w:szCs w:val="22"/>
        </w:rPr>
      </w:pPr>
      <w:r w:rsidRPr="008C68EE">
        <w:rPr>
          <w:szCs w:val="22"/>
        </w:rPr>
        <w:t>Jeigu pasireiškė šalutinis poveikis (net jeigu jis šiame lapelyje nenurodytas), kreipkitės į gydytoją arba vaistininką. Žr. 4 skyrių.</w:t>
      </w:r>
    </w:p>
    <w:p w14:paraId="144356CF" w14:textId="77777777" w:rsidR="008C68EE" w:rsidRPr="008C68EE" w:rsidRDefault="008C68EE" w:rsidP="008C68EE">
      <w:pPr>
        <w:numPr>
          <w:ilvl w:val="0"/>
          <w:numId w:val="2"/>
        </w:numPr>
        <w:tabs>
          <w:tab w:val="left" w:pos="567"/>
        </w:tabs>
        <w:ind w:left="567" w:hanging="567"/>
        <w:rPr>
          <w:szCs w:val="22"/>
        </w:rPr>
      </w:pPr>
      <w:r w:rsidRPr="008C68EE">
        <w:rPr>
          <w:szCs w:val="22"/>
        </w:rPr>
        <w:t>Jeigu 3 dienas Jūsų savijauta nepagerėjo arba net pablogėjo, kreipkitės į gydytoją.</w:t>
      </w:r>
    </w:p>
    <w:p w14:paraId="7665F65F" w14:textId="77777777" w:rsidR="008C68EE" w:rsidRPr="008C68EE" w:rsidRDefault="008C68EE" w:rsidP="008C68EE">
      <w:pPr>
        <w:pStyle w:val="Pagrindinistekstas"/>
        <w:spacing w:after="0"/>
        <w:rPr>
          <w:szCs w:val="22"/>
        </w:rPr>
      </w:pPr>
    </w:p>
    <w:p w14:paraId="40A99D09" w14:textId="77777777" w:rsidR="008C68EE" w:rsidRPr="008C68EE" w:rsidRDefault="008C68EE" w:rsidP="008C68EE">
      <w:pPr>
        <w:keepNext/>
        <w:numPr>
          <w:ilvl w:val="12"/>
          <w:numId w:val="0"/>
        </w:numPr>
        <w:ind w:right="-2"/>
        <w:outlineLvl w:val="0"/>
        <w:rPr>
          <w:szCs w:val="22"/>
        </w:rPr>
      </w:pPr>
      <w:r w:rsidRPr="008C68EE">
        <w:rPr>
          <w:b/>
          <w:szCs w:val="22"/>
        </w:rPr>
        <w:t>Apie ką rašoma šiame lapelyje?</w:t>
      </w:r>
    </w:p>
    <w:p w14:paraId="45FA4C4B" w14:textId="77777777" w:rsidR="008C68EE" w:rsidRPr="008C68EE" w:rsidRDefault="008C68EE" w:rsidP="008C68EE">
      <w:pPr>
        <w:keepNext/>
        <w:numPr>
          <w:ilvl w:val="12"/>
          <w:numId w:val="0"/>
        </w:numPr>
        <w:ind w:right="-2"/>
        <w:outlineLvl w:val="0"/>
        <w:rPr>
          <w:szCs w:val="22"/>
        </w:rPr>
      </w:pPr>
    </w:p>
    <w:p w14:paraId="2E4DB3E9" w14:textId="77777777" w:rsidR="008C68EE" w:rsidRPr="008C68EE" w:rsidRDefault="008C68EE" w:rsidP="008C68EE">
      <w:pPr>
        <w:pStyle w:val="Sraopastraipa1"/>
        <w:numPr>
          <w:ilvl w:val="0"/>
          <w:numId w:val="3"/>
        </w:numPr>
        <w:tabs>
          <w:tab w:val="clear" w:pos="567"/>
          <w:tab w:val="left" w:pos="426"/>
        </w:tabs>
        <w:spacing w:line="240" w:lineRule="auto"/>
        <w:ind w:left="426" w:right="-29"/>
        <w:rPr>
          <w:szCs w:val="22"/>
        </w:rPr>
      </w:pPr>
      <w:r w:rsidRPr="008C68EE">
        <w:rPr>
          <w:szCs w:val="22"/>
        </w:rPr>
        <w:t xml:space="preserve">Kas yra </w:t>
      </w:r>
      <w:proofErr w:type="spellStart"/>
      <w:r w:rsidRPr="008C68EE">
        <w:rPr>
          <w:szCs w:val="22"/>
        </w:rPr>
        <w:t>Regulax</w:t>
      </w:r>
      <w:proofErr w:type="spellEnd"/>
      <w:r w:rsidRPr="008C68EE">
        <w:rPr>
          <w:szCs w:val="22"/>
        </w:rPr>
        <w:t xml:space="preserve"> </w:t>
      </w:r>
      <w:proofErr w:type="spellStart"/>
      <w:r w:rsidRPr="008C68EE">
        <w:rPr>
          <w:szCs w:val="22"/>
        </w:rPr>
        <w:t>Picosulphate</w:t>
      </w:r>
      <w:proofErr w:type="spellEnd"/>
      <w:r w:rsidRPr="008C68EE">
        <w:rPr>
          <w:szCs w:val="22"/>
        </w:rPr>
        <w:t xml:space="preserve"> ir kam jis vartojamas </w:t>
      </w:r>
    </w:p>
    <w:p w14:paraId="75FBC33D" w14:textId="77777777" w:rsidR="008C68EE" w:rsidRPr="008C68EE" w:rsidRDefault="008C68EE" w:rsidP="008C68EE">
      <w:pPr>
        <w:pStyle w:val="Sraopastraipa1"/>
        <w:numPr>
          <w:ilvl w:val="0"/>
          <w:numId w:val="3"/>
        </w:numPr>
        <w:tabs>
          <w:tab w:val="clear" w:pos="567"/>
          <w:tab w:val="left" w:pos="426"/>
        </w:tabs>
        <w:spacing w:line="240" w:lineRule="auto"/>
        <w:ind w:left="426" w:right="-29"/>
        <w:rPr>
          <w:szCs w:val="22"/>
        </w:rPr>
      </w:pPr>
      <w:r w:rsidRPr="008C68EE">
        <w:rPr>
          <w:szCs w:val="22"/>
        </w:rPr>
        <w:t xml:space="preserve">Kas žinotina prieš vartojant </w:t>
      </w:r>
      <w:proofErr w:type="spellStart"/>
      <w:r w:rsidRPr="008C68EE">
        <w:rPr>
          <w:szCs w:val="22"/>
        </w:rPr>
        <w:t>Regulax</w:t>
      </w:r>
      <w:proofErr w:type="spellEnd"/>
      <w:r w:rsidRPr="008C68EE">
        <w:rPr>
          <w:szCs w:val="22"/>
        </w:rPr>
        <w:t xml:space="preserve"> </w:t>
      </w:r>
      <w:proofErr w:type="spellStart"/>
      <w:r w:rsidRPr="008C68EE">
        <w:rPr>
          <w:szCs w:val="22"/>
        </w:rPr>
        <w:t>Picosulphate</w:t>
      </w:r>
      <w:proofErr w:type="spellEnd"/>
      <w:r w:rsidRPr="008C68EE">
        <w:rPr>
          <w:szCs w:val="22"/>
        </w:rPr>
        <w:t xml:space="preserve"> </w:t>
      </w:r>
    </w:p>
    <w:p w14:paraId="567DF3F2" w14:textId="77777777" w:rsidR="008C68EE" w:rsidRPr="008C68EE" w:rsidRDefault="008C68EE" w:rsidP="008C68EE">
      <w:pPr>
        <w:pStyle w:val="Sraopastraipa1"/>
        <w:numPr>
          <w:ilvl w:val="0"/>
          <w:numId w:val="3"/>
        </w:numPr>
        <w:tabs>
          <w:tab w:val="clear" w:pos="567"/>
          <w:tab w:val="left" w:pos="426"/>
        </w:tabs>
        <w:spacing w:line="240" w:lineRule="auto"/>
        <w:ind w:left="426" w:right="-29"/>
        <w:rPr>
          <w:szCs w:val="22"/>
        </w:rPr>
      </w:pPr>
      <w:r w:rsidRPr="008C68EE">
        <w:rPr>
          <w:szCs w:val="22"/>
        </w:rPr>
        <w:t xml:space="preserve">Kaip vartoti </w:t>
      </w:r>
      <w:proofErr w:type="spellStart"/>
      <w:r w:rsidRPr="008C68EE">
        <w:rPr>
          <w:szCs w:val="22"/>
        </w:rPr>
        <w:t>Regulax</w:t>
      </w:r>
      <w:proofErr w:type="spellEnd"/>
      <w:r w:rsidRPr="008C68EE">
        <w:rPr>
          <w:szCs w:val="22"/>
        </w:rPr>
        <w:t xml:space="preserve"> </w:t>
      </w:r>
      <w:proofErr w:type="spellStart"/>
      <w:r w:rsidRPr="008C68EE">
        <w:rPr>
          <w:szCs w:val="22"/>
        </w:rPr>
        <w:t>Picosulphate</w:t>
      </w:r>
      <w:proofErr w:type="spellEnd"/>
      <w:r w:rsidRPr="008C68EE">
        <w:rPr>
          <w:szCs w:val="22"/>
        </w:rPr>
        <w:t xml:space="preserve"> </w:t>
      </w:r>
    </w:p>
    <w:p w14:paraId="39045D43" w14:textId="77777777" w:rsidR="008C68EE" w:rsidRPr="008C68EE" w:rsidRDefault="008C68EE" w:rsidP="008C68EE">
      <w:pPr>
        <w:pStyle w:val="Sraopastraipa1"/>
        <w:numPr>
          <w:ilvl w:val="0"/>
          <w:numId w:val="3"/>
        </w:numPr>
        <w:tabs>
          <w:tab w:val="clear" w:pos="567"/>
          <w:tab w:val="left" w:pos="426"/>
        </w:tabs>
        <w:spacing w:line="240" w:lineRule="auto"/>
        <w:ind w:left="426" w:right="-29"/>
        <w:rPr>
          <w:szCs w:val="22"/>
        </w:rPr>
      </w:pPr>
      <w:r w:rsidRPr="008C68EE">
        <w:rPr>
          <w:szCs w:val="22"/>
        </w:rPr>
        <w:t xml:space="preserve">Galimas šalutinis poveikis </w:t>
      </w:r>
    </w:p>
    <w:p w14:paraId="777A9EB7" w14:textId="77777777" w:rsidR="008C68EE" w:rsidRPr="008C68EE" w:rsidRDefault="008C68EE" w:rsidP="008C68EE">
      <w:pPr>
        <w:pStyle w:val="Sraopastraipa1"/>
        <w:numPr>
          <w:ilvl w:val="0"/>
          <w:numId w:val="3"/>
        </w:numPr>
        <w:tabs>
          <w:tab w:val="clear" w:pos="567"/>
          <w:tab w:val="left" w:pos="426"/>
        </w:tabs>
        <w:spacing w:line="240" w:lineRule="auto"/>
        <w:ind w:left="426" w:right="-29"/>
        <w:rPr>
          <w:szCs w:val="22"/>
        </w:rPr>
      </w:pPr>
      <w:r w:rsidRPr="008C68EE">
        <w:rPr>
          <w:szCs w:val="22"/>
        </w:rPr>
        <w:t xml:space="preserve">Kaip laikyti </w:t>
      </w:r>
      <w:proofErr w:type="spellStart"/>
      <w:r w:rsidRPr="008C68EE">
        <w:rPr>
          <w:szCs w:val="22"/>
        </w:rPr>
        <w:t>Regulax</w:t>
      </w:r>
      <w:proofErr w:type="spellEnd"/>
      <w:r w:rsidRPr="008C68EE">
        <w:rPr>
          <w:szCs w:val="22"/>
        </w:rPr>
        <w:t xml:space="preserve"> </w:t>
      </w:r>
      <w:proofErr w:type="spellStart"/>
      <w:r w:rsidRPr="008C68EE">
        <w:rPr>
          <w:szCs w:val="22"/>
        </w:rPr>
        <w:t>Picosulphate</w:t>
      </w:r>
      <w:proofErr w:type="spellEnd"/>
      <w:r w:rsidRPr="008C68EE">
        <w:rPr>
          <w:szCs w:val="22"/>
        </w:rPr>
        <w:t xml:space="preserve"> </w:t>
      </w:r>
    </w:p>
    <w:p w14:paraId="3627C858" w14:textId="77777777" w:rsidR="008C68EE" w:rsidRPr="008C68EE" w:rsidRDefault="008C68EE" w:rsidP="008C68EE">
      <w:pPr>
        <w:pStyle w:val="Sraopastraipa1"/>
        <w:numPr>
          <w:ilvl w:val="0"/>
          <w:numId w:val="3"/>
        </w:numPr>
        <w:tabs>
          <w:tab w:val="clear" w:pos="567"/>
          <w:tab w:val="left" w:pos="426"/>
        </w:tabs>
        <w:spacing w:line="240" w:lineRule="auto"/>
        <w:ind w:left="426" w:right="-29"/>
        <w:rPr>
          <w:szCs w:val="22"/>
        </w:rPr>
      </w:pPr>
      <w:r w:rsidRPr="008C68EE">
        <w:rPr>
          <w:szCs w:val="22"/>
        </w:rPr>
        <w:t>Pakuotės turinys ir kita informacija</w:t>
      </w:r>
    </w:p>
    <w:p w14:paraId="2F3DA72B" w14:textId="77777777" w:rsidR="008C68EE" w:rsidRPr="008C68EE" w:rsidRDefault="008C68EE" w:rsidP="008C68EE">
      <w:pPr>
        <w:pStyle w:val="Pagrindinistekstas"/>
        <w:spacing w:after="0"/>
        <w:rPr>
          <w:szCs w:val="22"/>
        </w:rPr>
      </w:pPr>
    </w:p>
    <w:p w14:paraId="6B42F63C" w14:textId="77777777" w:rsidR="008C68EE" w:rsidRPr="008C68EE" w:rsidRDefault="008C68EE" w:rsidP="008C68EE">
      <w:pPr>
        <w:pStyle w:val="Pagrindinistekstas"/>
        <w:spacing w:after="0"/>
        <w:rPr>
          <w:szCs w:val="22"/>
        </w:rPr>
      </w:pPr>
    </w:p>
    <w:p w14:paraId="02ED3EEE" w14:textId="77777777" w:rsidR="008C68EE" w:rsidRPr="008C68EE" w:rsidRDefault="008C68EE" w:rsidP="008C68EE">
      <w:pPr>
        <w:keepNext/>
        <w:numPr>
          <w:ilvl w:val="0"/>
          <w:numId w:val="4"/>
        </w:numPr>
        <w:tabs>
          <w:tab w:val="left" w:pos="567"/>
        </w:tabs>
        <w:ind w:left="567" w:right="-2"/>
        <w:rPr>
          <w:b/>
          <w:szCs w:val="22"/>
        </w:rPr>
      </w:pPr>
      <w:r w:rsidRPr="008C68EE">
        <w:rPr>
          <w:b/>
          <w:szCs w:val="22"/>
        </w:rPr>
        <w:t xml:space="preserve">Kas yra </w:t>
      </w:r>
      <w:proofErr w:type="spellStart"/>
      <w:r w:rsidRPr="008C68EE">
        <w:rPr>
          <w:b/>
          <w:szCs w:val="22"/>
        </w:rPr>
        <w:t>Regulax</w:t>
      </w:r>
      <w:proofErr w:type="spellEnd"/>
      <w:r w:rsidRPr="008C68EE">
        <w:rPr>
          <w:b/>
          <w:szCs w:val="22"/>
        </w:rPr>
        <w:t xml:space="preserve"> </w:t>
      </w:r>
      <w:proofErr w:type="spellStart"/>
      <w:r w:rsidRPr="008C68EE">
        <w:rPr>
          <w:b/>
          <w:szCs w:val="22"/>
        </w:rPr>
        <w:t>Picosulphate</w:t>
      </w:r>
      <w:proofErr w:type="spellEnd"/>
      <w:r w:rsidRPr="008C68EE">
        <w:rPr>
          <w:b/>
          <w:szCs w:val="22"/>
        </w:rPr>
        <w:t xml:space="preserve"> ir kam jis vartojamas</w:t>
      </w:r>
    </w:p>
    <w:p w14:paraId="6293EFEC" w14:textId="77777777" w:rsidR="008C68EE" w:rsidRPr="008C68EE" w:rsidRDefault="008C68EE" w:rsidP="008C68EE">
      <w:pPr>
        <w:pStyle w:val="Pagrindinistekstas"/>
        <w:spacing w:after="0"/>
        <w:rPr>
          <w:szCs w:val="22"/>
        </w:rPr>
      </w:pPr>
    </w:p>
    <w:p w14:paraId="60682B2B" w14:textId="77777777" w:rsidR="008C68EE" w:rsidRPr="008C68EE" w:rsidRDefault="008C68EE" w:rsidP="008C68EE">
      <w:pPr>
        <w:tabs>
          <w:tab w:val="left" w:pos="0"/>
        </w:tabs>
        <w:rPr>
          <w:szCs w:val="22"/>
        </w:rPr>
      </w:pPr>
      <w:r w:rsidRPr="008C68EE">
        <w:rPr>
          <w:szCs w:val="22"/>
        </w:rPr>
        <w:t xml:space="preserve">Veiklioji vaisto medžiaga natrio </w:t>
      </w:r>
      <w:proofErr w:type="spellStart"/>
      <w:r w:rsidRPr="008C68EE">
        <w:rPr>
          <w:szCs w:val="22"/>
        </w:rPr>
        <w:t>pikosulfatas</w:t>
      </w:r>
      <w:proofErr w:type="spellEnd"/>
      <w:r w:rsidRPr="008C68EE">
        <w:rPr>
          <w:szCs w:val="22"/>
        </w:rPr>
        <w:t xml:space="preserve"> yra lokaliai veikianti vidurių laisvinamoji medžiaga. Storojoje žarnoje ji, veikiant bakterijoms, suskyla ir skatina storosios žarnos peristaltiką, stimuliuodama jos gleivinę. </w:t>
      </w:r>
    </w:p>
    <w:p w14:paraId="174CF9D3" w14:textId="77777777" w:rsidR="008C68EE" w:rsidRPr="008C68EE" w:rsidRDefault="008C68EE" w:rsidP="008C68EE">
      <w:pPr>
        <w:tabs>
          <w:tab w:val="left" w:pos="0"/>
        </w:tabs>
        <w:jc w:val="both"/>
        <w:rPr>
          <w:szCs w:val="22"/>
        </w:rPr>
      </w:pPr>
    </w:p>
    <w:p w14:paraId="7F18C806" w14:textId="77777777" w:rsidR="008C68EE" w:rsidRPr="008C68EE" w:rsidRDefault="008C68EE" w:rsidP="008C68EE">
      <w:pPr>
        <w:tabs>
          <w:tab w:val="left" w:pos="0"/>
        </w:tabs>
        <w:jc w:val="both"/>
        <w:rPr>
          <w:szCs w:val="22"/>
        </w:rPr>
      </w:pPr>
      <w:r w:rsidRPr="008C68EE">
        <w:rPr>
          <w:szCs w:val="22"/>
        </w:rPr>
        <w:t>Jeigu 3 dienas Jūsų savijauta nepagerėjo arba net pablogėjo, kreipkitės į gydytoją.</w:t>
      </w:r>
    </w:p>
    <w:p w14:paraId="74BE8D1B" w14:textId="77777777" w:rsidR="008C68EE" w:rsidRPr="008C68EE" w:rsidRDefault="008C68EE" w:rsidP="008C68EE">
      <w:pPr>
        <w:tabs>
          <w:tab w:val="left" w:pos="0"/>
        </w:tabs>
        <w:jc w:val="both"/>
        <w:rPr>
          <w:szCs w:val="22"/>
        </w:rPr>
      </w:pPr>
    </w:p>
    <w:p w14:paraId="4D38399F" w14:textId="77777777" w:rsidR="008C68EE" w:rsidRPr="008C68EE" w:rsidRDefault="008C68EE" w:rsidP="008C68EE">
      <w:pPr>
        <w:tabs>
          <w:tab w:val="left" w:pos="0"/>
        </w:tabs>
        <w:jc w:val="both"/>
        <w:rPr>
          <w:szCs w:val="22"/>
        </w:rPr>
      </w:pPr>
    </w:p>
    <w:p w14:paraId="01076980" w14:textId="77777777" w:rsidR="008C68EE" w:rsidRPr="008C68EE" w:rsidRDefault="008C68EE" w:rsidP="008C68EE">
      <w:pPr>
        <w:keepNext/>
        <w:numPr>
          <w:ilvl w:val="0"/>
          <w:numId w:val="4"/>
        </w:numPr>
        <w:tabs>
          <w:tab w:val="left" w:pos="567"/>
        </w:tabs>
        <w:ind w:left="567" w:right="-2"/>
        <w:rPr>
          <w:b/>
          <w:szCs w:val="22"/>
        </w:rPr>
      </w:pPr>
      <w:r w:rsidRPr="008C68EE">
        <w:rPr>
          <w:b/>
          <w:szCs w:val="22"/>
        </w:rPr>
        <w:t xml:space="preserve">Kas žinotina prieš vartojant </w:t>
      </w:r>
      <w:proofErr w:type="spellStart"/>
      <w:r w:rsidRPr="008C68EE">
        <w:rPr>
          <w:b/>
          <w:szCs w:val="22"/>
        </w:rPr>
        <w:t>Regulax</w:t>
      </w:r>
      <w:proofErr w:type="spellEnd"/>
      <w:r w:rsidRPr="008C68EE">
        <w:rPr>
          <w:b/>
          <w:szCs w:val="22"/>
        </w:rPr>
        <w:t xml:space="preserve"> </w:t>
      </w:r>
      <w:proofErr w:type="spellStart"/>
      <w:r w:rsidRPr="008C68EE">
        <w:rPr>
          <w:b/>
          <w:szCs w:val="22"/>
        </w:rPr>
        <w:t>Picosulphate</w:t>
      </w:r>
      <w:proofErr w:type="spellEnd"/>
      <w:r w:rsidRPr="008C68EE">
        <w:rPr>
          <w:szCs w:val="22"/>
        </w:rPr>
        <w:t xml:space="preserve"> </w:t>
      </w:r>
    </w:p>
    <w:p w14:paraId="1466F3B9" w14:textId="77777777" w:rsidR="008C68EE" w:rsidRPr="008C68EE" w:rsidRDefault="008C68EE" w:rsidP="008C68EE">
      <w:pPr>
        <w:pStyle w:val="Pagrindinistekstas"/>
        <w:spacing w:after="0"/>
        <w:rPr>
          <w:szCs w:val="22"/>
        </w:rPr>
      </w:pPr>
    </w:p>
    <w:p w14:paraId="4CA0B7BB" w14:textId="77777777" w:rsidR="008C68EE" w:rsidRPr="008C68EE" w:rsidRDefault="008C68EE" w:rsidP="008C68EE">
      <w:pPr>
        <w:pStyle w:val="Antrat3"/>
        <w:spacing w:before="0" w:after="0"/>
        <w:rPr>
          <w:rFonts w:ascii="Times New Roman" w:hAnsi="Times New Roman" w:cs="Times New Roman"/>
          <w:color w:val="auto"/>
          <w:sz w:val="22"/>
          <w:szCs w:val="22"/>
        </w:rPr>
      </w:pPr>
      <w:proofErr w:type="spellStart"/>
      <w:r w:rsidRPr="008C68EE">
        <w:rPr>
          <w:rFonts w:ascii="Times New Roman" w:hAnsi="Times New Roman" w:cs="Times New Roman"/>
          <w:color w:val="auto"/>
          <w:sz w:val="22"/>
          <w:szCs w:val="22"/>
        </w:rPr>
        <w:t>Regulax</w:t>
      </w:r>
      <w:proofErr w:type="spellEnd"/>
      <w:r w:rsidRPr="008C68EE">
        <w:rPr>
          <w:rFonts w:ascii="Times New Roman" w:hAnsi="Times New Roman" w:cs="Times New Roman"/>
          <w:color w:val="auto"/>
          <w:sz w:val="22"/>
          <w:szCs w:val="22"/>
        </w:rPr>
        <w:t xml:space="preserve"> </w:t>
      </w:r>
      <w:proofErr w:type="spellStart"/>
      <w:r w:rsidRPr="008C68EE">
        <w:rPr>
          <w:rFonts w:ascii="Times New Roman" w:hAnsi="Times New Roman" w:cs="Times New Roman"/>
          <w:color w:val="auto"/>
          <w:sz w:val="22"/>
          <w:szCs w:val="22"/>
        </w:rPr>
        <w:t>Picosulphate</w:t>
      </w:r>
      <w:proofErr w:type="spellEnd"/>
      <w:r w:rsidRPr="008C68EE" w:rsidDel="00E6739B">
        <w:rPr>
          <w:rFonts w:ascii="Times New Roman" w:hAnsi="Times New Roman" w:cs="Times New Roman"/>
          <w:color w:val="auto"/>
          <w:sz w:val="22"/>
          <w:szCs w:val="22"/>
        </w:rPr>
        <w:t xml:space="preserve"> </w:t>
      </w:r>
      <w:r w:rsidRPr="008C68EE">
        <w:rPr>
          <w:rFonts w:ascii="Times New Roman" w:hAnsi="Times New Roman" w:cs="Times New Roman"/>
          <w:color w:val="auto"/>
          <w:sz w:val="22"/>
          <w:szCs w:val="22"/>
        </w:rPr>
        <w:t>vartoti draudžiama</w:t>
      </w:r>
    </w:p>
    <w:p w14:paraId="4CB556C3" w14:textId="77777777" w:rsidR="008C68EE" w:rsidRPr="008C68EE" w:rsidRDefault="008C68EE" w:rsidP="008C68EE">
      <w:pPr>
        <w:ind w:left="567" w:hanging="567"/>
        <w:rPr>
          <w:noProof/>
          <w:szCs w:val="22"/>
        </w:rPr>
      </w:pPr>
      <w:r w:rsidRPr="008C68EE">
        <w:rPr>
          <w:noProof/>
          <w:szCs w:val="22"/>
        </w:rPr>
        <w:t>-</w:t>
      </w:r>
      <w:r w:rsidRPr="008C68EE">
        <w:rPr>
          <w:noProof/>
          <w:szCs w:val="22"/>
        </w:rPr>
        <w:tab/>
        <w:t xml:space="preserve">jeigu yra alergija natrio pikosulfatui, kitiems triarilmetano grupės preparatams arba bet kuriai </w:t>
      </w:r>
      <w:r w:rsidRPr="008C68EE">
        <w:rPr>
          <w:szCs w:val="22"/>
        </w:rPr>
        <w:t>pagalbinei šio vaisto medžiagai (jos išvardytos 6 skyriuje)</w:t>
      </w:r>
      <w:r w:rsidRPr="008C68EE">
        <w:rPr>
          <w:noProof/>
          <w:szCs w:val="22"/>
        </w:rPr>
        <w:t xml:space="preserve">; </w:t>
      </w:r>
    </w:p>
    <w:p w14:paraId="63CE667B" w14:textId="77777777" w:rsidR="008C68EE" w:rsidRPr="008C68EE" w:rsidRDefault="008C68EE" w:rsidP="008C68EE">
      <w:pPr>
        <w:numPr>
          <w:ilvl w:val="12"/>
          <w:numId w:val="0"/>
        </w:numPr>
        <w:tabs>
          <w:tab w:val="left" w:pos="567"/>
        </w:tabs>
        <w:ind w:left="567" w:hanging="567"/>
        <w:rPr>
          <w:noProof/>
          <w:szCs w:val="22"/>
        </w:rPr>
      </w:pPr>
      <w:r w:rsidRPr="008C68EE">
        <w:rPr>
          <w:noProof/>
          <w:szCs w:val="22"/>
        </w:rPr>
        <w:t>-</w:t>
      </w:r>
      <w:r w:rsidRPr="008C68EE">
        <w:rPr>
          <w:noProof/>
          <w:szCs w:val="22"/>
        </w:rPr>
        <w:tab/>
        <w:t>jeigu yra žarnų nepraeinamumas ar obstrukcija, ūminė pilvo liga, kurią reikia operuoti, įskaitant apendicitą ir žarnų nepraeinamumą, ūminis žarnų uždegimas ar didelė dehidracija;</w:t>
      </w:r>
    </w:p>
    <w:p w14:paraId="003E6F41" w14:textId="77777777" w:rsidR="008C68EE" w:rsidRPr="008C68EE" w:rsidRDefault="008C68EE" w:rsidP="008C68EE">
      <w:pPr>
        <w:numPr>
          <w:ilvl w:val="0"/>
          <w:numId w:val="1"/>
        </w:numPr>
        <w:tabs>
          <w:tab w:val="clear" w:pos="360"/>
          <w:tab w:val="num" w:pos="567"/>
        </w:tabs>
        <w:ind w:left="567" w:hanging="567"/>
        <w:rPr>
          <w:noProof/>
          <w:szCs w:val="22"/>
        </w:rPr>
      </w:pPr>
      <w:r w:rsidRPr="008C68EE">
        <w:rPr>
          <w:noProof/>
          <w:szCs w:val="22"/>
        </w:rPr>
        <w:t>vaikams iki 4 metų.</w:t>
      </w:r>
    </w:p>
    <w:p w14:paraId="763EB9AC" w14:textId="77777777" w:rsidR="008C68EE" w:rsidRPr="008C68EE" w:rsidRDefault="008C68EE" w:rsidP="008C68EE">
      <w:pPr>
        <w:numPr>
          <w:ilvl w:val="12"/>
          <w:numId w:val="0"/>
        </w:numPr>
        <w:tabs>
          <w:tab w:val="left" w:pos="567"/>
        </w:tabs>
        <w:ind w:left="567" w:hanging="567"/>
        <w:rPr>
          <w:noProof/>
          <w:szCs w:val="22"/>
        </w:rPr>
      </w:pPr>
    </w:p>
    <w:p w14:paraId="5F65EA01" w14:textId="77777777" w:rsidR="008C68EE" w:rsidRPr="008C68EE" w:rsidRDefault="008C68EE" w:rsidP="008C68EE">
      <w:pPr>
        <w:numPr>
          <w:ilvl w:val="12"/>
          <w:numId w:val="0"/>
        </w:numPr>
        <w:tabs>
          <w:tab w:val="left" w:pos="567"/>
        </w:tabs>
        <w:rPr>
          <w:noProof/>
          <w:szCs w:val="22"/>
        </w:rPr>
      </w:pPr>
      <w:r w:rsidRPr="008C68EE">
        <w:rPr>
          <w:szCs w:val="22"/>
        </w:rPr>
        <w:t>Jeigu gydytojas Jums yra sakęs, kad netoleruojate kokių nors angliavandenių, kreipkitės į jį prieš pradėdami vartoti šį vaistą.</w:t>
      </w:r>
    </w:p>
    <w:p w14:paraId="63CF0D97" w14:textId="77777777" w:rsidR="008C68EE" w:rsidRPr="008C68EE" w:rsidRDefault="008C68EE" w:rsidP="008C68EE">
      <w:pPr>
        <w:pStyle w:val="Antrat3"/>
        <w:spacing w:before="0" w:after="0"/>
        <w:rPr>
          <w:rFonts w:ascii="Times New Roman" w:hAnsi="Times New Roman" w:cs="Times New Roman"/>
          <w:color w:val="auto"/>
          <w:sz w:val="22"/>
          <w:szCs w:val="22"/>
        </w:rPr>
      </w:pPr>
    </w:p>
    <w:p w14:paraId="194942E8" w14:textId="77777777" w:rsidR="008C68EE" w:rsidRPr="008C68EE" w:rsidRDefault="008C68EE" w:rsidP="008C68EE">
      <w:pPr>
        <w:numPr>
          <w:ilvl w:val="12"/>
          <w:numId w:val="0"/>
        </w:numPr>
        <w:outlineLvl w:val="0"/>
        <w:rPr>
          <w:b/>
          <w:szCs w:val="22"/>
        </w:rPr>
      </w:pPr>
      <w:r w:rsidRPr="008C68EE">
        <w:rPr>
          <w:b/>
          <w:szCs w:val="22"/>
        </w:rPr>
        <w:t xml:space="preserve">Įspėjimai ir atsargumo priemonės </w:t>
      </w:r>
    </w:p>
    <w:p w14:paraId="2A988B16" w14:textId="77777777" w:rsidR="008C68EE" w:rsidRPr="008C68EE" w:rsidRDefault="008C68EE" w:rsidP="008C68EE">
      <w:pPr>
        <w:numPr>
          <w:ilvl w:val="12"/>
          <w:numId w:val="0"/>
        </w:numPr>
        <w:rPr>
          <w:szCs w:val="22"/>
        </w:rPr>
      </w:pPr>
      <w:r w:rsidRPr="008C68EE">
        <w:rPr>
          <w:szCs w:val="22"/>
        </w:rPr>
        <w:t xml:space="preserve">Pasitarkite su gydytoju arba vaistininku, prieš pradėdami vartoti </w:t>
      </w:r>
      <w:proofErr w:type="spellStart"/>
      <w:r w:rsidRPr="008C68EE">
        <w:rPr>
          <w:szCs w:val="22"/>
        </w:rPr>
        <w:t>Regulax</w:t>
      </w:r>
      <w:proofErr w:type="spellEnd"/>
      <w:r w:rsidRPr="008C68EE">
        <w:rPr>
          <w:szCs w:val="22"/>
        </w:rPr>
        <w:t xml:space="preserve"> </w:t>
      </w:r>
      <w:proofErr w:type="spellStart"/>
      <w:r w:rsidRPr="008C68EE">
        <w:rPr>
          <w:szCs w:val="22"/>
        </w:rPr>
        <w:t>Picosulphate</w:t>
      </w:r>
      <w:proofErr w:type="spellEnd"/>
      <w:r w:rsidRPr="008C68EE">
        <w:rPr>
          <w:szCs w:val="22"/>
        </w:rPr>
        <w:t>.</w:t>
      </w:r>
    </w:p>
    <w:p w14:paraId="391C8570" w14:textId="77777777" w:rsidR="008C68EE" w:rsidRPr="008C68EE" w:rsidRDefault="008C68EE" w:rsidP="008C68EE">
      <w:pPr>
        <w:tabs>
          <w:tab w:val="left" w:pos="0"/>
        </w:tabs>
        <w:ind w:left="720" w:hanging="720"/>
        <w:rPr>
          <w:szCs w:val="22"/>
        </w:rPr>
      </w:pPr>
      <w:r w:rsidRPr="008C68EE">
        <w:rPr>
          <w:szCs w:val="22"/>
        </w:rPr>
        <w:t>-</w:t>
      </w:r>
      <w:r w:rsidRPr="008C68EE">
        <w:rPr>
          <w:szCs w:val="22"/>
        </w:rPr>
        <w:tab/>
        <w:t xml:space="preserve">Jeigu yra liga, kurios metu sutrinka vandens ir elektrolitų pusiausvyra, pvz., labai susilpnėjusi inkstų funkcija, </w:t>
      </w:r>
      <w:proofErr w:type="spellStart"/>
      <w:r w:rsidRPr="008C68EE">
        <w:rPr>
          <w:szCs w:val="22"/>
        </w:rPr>
        <w:t>Regulax</w:t>
      </w:r>
      <w:proofErr w:type="spellEnd"/>
      <w:r w:rsidRPr="008C68EE">
        <w:rPr>
          <w:szCs w:val="22"/>
        </w:rPr>
        <w:t xml:space="preserve"> </w:t>
      </w:r>
      <w:proofErr w:type="spellStart"/>
      <w:r w:rsidRPr="008C68EE">
        <w:rPr>
          <w:szCs w:val="22"/>
        </w:rPr>
        <w:t>Picosulphate</w:t>
      </w:r>
      <w:proofErr w:type="spellEnd"/>
      <w:r w:rsidRPr="008C68EE">
        <w:rPr>
          <w:szCs w:val="22"/>
        </w:rPr>
        <w:t xml:space="preserve"> galima vartoti tik gydytojui prižiūrint. </w:t>
      </w:r>
    </w:p>
    <w:p w14:paraId="1637E73E" w14:textId="77777777" w:rsidR="008C68EE" w:rsidRPr="008C68EE" w:rsidRDefault="008C68EE" w:rsidP="008C68EE">
      <w:pPr>
        <w:tabs>
          <w:tab w:val="left" w:pos="0"/>
        </w:tabs>
        <w:ind w:left="720" w:hanging="720"/>
        <w:rPr>
          <w:szCs w:val="22"/>
        </w:rPr>
      </w:pPr>
      <w:r w:rsidRPr="008C68EE">
        <w:rPr>
          <w:szCs w:val="22"/>
        </w:rPr>
        <w:t>-</w:t>
      </w:r>
      <w:r w:rsidRPr="008C68EE">
        <w:rPr>
          <w:szCs w:val="22"/>
        </w:rPr>
        <w:tab/>
        <w:t xml:space="preserve">Jeigu vidurių užkietėjimas ilgalaikis, prieš </w:t>
      </w:r>
      <w:proofErr w:type="spellStart"/>
      <w:r w:rsidRPr="008C68EE">
        <w:rPr>
          <w:szCs w:val="22"/>
        </w:rPr>
        <w:t>Regulax</w:t>
      </w:r>
      <w:proofErr w:type="spellEnd"/>
      <w:r w:rsidRPr="008C68EE">
        <w:rPr>
          <w:szCs w:val="22"/>
        </w:rPr>
        <w:t xml:space="preserve"> </w:t>
      </w:r>
      <w:proofErr w:type="spellStart"/>
      <w:r w:rsidRPr="008C68EE">
        <w:rPr>
          <w:szCs w:val="22"/>
        </w:rPr>
        <w:t>Picosulphate</w:t>
      </w:r>
      <w:proofErr w:type="spellEnd"/>
      <w:r w:rsidRPr="008C68EE">
        <w:rPr>
          <w:szCs w:val="22"/>
        </w:rPr>
        <w:t xml:space="preserve"> vartojimą reikia kreiptis į gydytoją patarimo, kadangi lėtinis virškinimo trakto veiklos sutrikimas gali būti sunkios ligos požymis.</w:t>
      </w:r>
    </w:p>
    <w:p w14:paraId="79AEE8EC" w14:textId="77777777" w:rsidR="008C68EE" w:rsidRPr="008C68EE" w:rsidRDefault="008C68EE" w:rsidP="008C68EE">
      <w:pPr>
        <w:ind w:left="720"/>
        <w:rPr>
          <w:szCs w:val="22"/>
        </w:rPr>
      </w:pPr>
      <w:r w:rsidRPr="008C68EE">
        <w:rPr>
          <w:szCs w:val="22"/>
        </w:rPr>
        <w:t xml:space="preserve">Vidurių laisvinamaisiais vaistais galima gydyti tik trumpalaikį vidurių užkietėjimą. Jų reikėtų pradėti vartoti tik tuo atveju, jeigu kitos ilgiau taikomos priemonės, pvz., dieta (t. y. valgymas maisto, kuriame yra rupių ir drėkinamųjų sudedamųjų dalių, bei didesnio kiekio skysčių vartojimas) ir gyvenimo būdas (reikiamas mankštinimasis), yra nepakankamai veiksmingos. </w:t>
      </w:r>
    </w:p>
    <w:p w14:paraId="462A96CD" w14:textId="77777777" w:rsidR="008C68EE" w:rsidRPr="008C68EE" w:rsidRDefault="008C68EE" w:rsidP="008C68EE">
      <w:pPr>
        <w:keepNext/>
        <w:numPr>
          <w:ilvl w:val="12"/>
          <w:numId w:val="0"/>
        </w:numPr>
        <w:ind w:right="-2"/>
        <w:rPr>
          <w:szCs w:val="22"/>
        </w:rPr>
      </w:pPr>
      <w:r w:rsidRPr="008C68EE">
        <w:rPr>
          <w:b/>
          <w:szCs w:val="22"/>
        </w:rPr>
        <w:lastRenderedPageBreak/>
        <w:t xml:space="preserve">Kiti vaistai ir </w:t>
      </w:r>
      <w:proofErr w:type="spellStart"/>
      <w:r w:rsidRPr="008C68EE">
        <w:rPr>
          <w:b/>
          <w:szCs w:val="22"/>
        </w:rPr>
        <w:t>Regulax</w:t>
      </w:r>
      <w:proofErr w:type="spellEnd"/>
      <w:r w:rsidRPr="008C68EE">
        <w:rPr>
          <w:b/>
          <w:szCs w:val="22"/>
        </w:rPr>
        <w:t xml:space="preserve"> </w:t>
      </w:r>
      <w:proofErr w:type="spellStart"/>
      <w:r w:rsidRPr="008C68EE">
        <w:rPr>
          <w:b/>
          <w:szCs w:val="22"/>
        </w:rPr>
        <w:t>Picosulphate</w:t>
      </w:r>
      <w:proofErr w:type="spellEnd"/>
    </w:p>
    <w:p w14:paraId="6AE8140E" w14:textId="77777777" w:rsidR="008C68EE" w:rsidRPr="008C68EE" w:rsidRDefault="008C68EE" w:rsidP="008C68EE">
      <w:pPr>
        <w:pStyle w:val="Pagrindinistekstas"/>
        <w:spacing w:after="0"/>
        <w:rPr>
          <w:szCs w:val="22"/>
        </w:rPr>
      </w:pPr>
      <w:r w:rsidRPr="008C68EE">
        <w:rPr>
          <w:szCs w:val="22"/>
        </w:rPr>
        <w:t>Jeigu vartojate arba neseniai vartojote kitų vaistų arba dėl to nesate tikri, pasakykite gydytojui arba vaistininkui.</w:t>
      </w:r>
    </w:p>
    <w:p w14:paraId="64565844" w14:textId="77777777" w:rsidR="008C68EE" w:rsidRPr="008C68EE" w:rsidRDefault="008C68EE" w:rsidP="008C68EE">
      <w:pPr>
        <w:rPr>
          <w:szCs w:val="22"/>
        </w:rPr>
      </w:pPr>
    </w:p>
    <w:p w14:paraId="5F851A38" w14:textId="77777777" w:rsidR="008C68EE" w:rsidRPr="008C68EE" w:rsidRDefault="008C68EE" w:rsidP="008C68EE">
      <w:pPr>
        <w:rPr>
          <w:szCs w:val="22"/>
        </w:rPr>
      </w:pPr>
      <w:proofErr w:type="spellStart"/>
      <w:r w:rsidRPr="008C68EE">
        <w:rPr>
          <w:szCs w:val="22"/>
        </w:rPr>
        <w:t>Regulax</w:t>
      </w:r>
      <w:proofErr w:type="spellEnd"/>
      <w:r w:rsidRPr="008C68EE">
        <w:rPr>
          <w:szCs w:val="22"/>
        </w:rPr>
        <w:t xml:space="preserve"> </w:t>
      </w:r>
      <w:proofErr w:type="spellStart"/>
      <w:r w:rsidRPr="008C68EE">
        <w:rPr>
          <w:szCs w:val="22"/>
        </w:rPr>
        <w:t>Picosulphate</w:t>
      </w:r>
      <w:proofErr w:type="spellEnd"/>
      <w:r w:rsidRPr="008C68EE">
        <w:rPr>
          <w:szCs w:val="22"/>
        </w:rPr>
        <w:t xml:space="preserve"> vidurių laisvinamąjį poveikį gali silpninti arba naikinti kartu vartojami antibiotikai (bakterijas naikinantys preparatai).</w:t>
      </w:r>
    </w:p>
    <w:p w14:paraId="104BB74E" w14:textId="77777777" w:rsidR="008C68EE" w:rsidRPr="008C68EE" w:rsidRDefault="008C68EE" w:rsidP="008C68EE">
      <w:pPr>
        <w:rPr>
          <w:szCs w:val="22"/>
        </w:rPr>
      </w:pPr>
    </w:p>
    <w:p w14:paraId="43C3E076" w14:textId="77777777" w:rsidR="008C68EE" w:rsidRPr="008C68EE" w:rsidRDefault="008C68EE" w:rsidP="008C68EE">
      <w:pPr>
        <w:rPr>
          <w:szCs w:val="22"/>
        </w:rPr>
      </w:pPr>
      <w:proofErr w:type="spellStart"/>
      <w:r w:rsidRPr="008C68EE">
        <w:rPr>
          <w:szCs w:val="22"/>
        </w:rPr>
        <w:t>Regulax</w:t>
      </w:r>
      <w:proofErr w:type="spellEnd"/>
      <w:r w:rsidRPr="008C68EE">
        <w:rPr>
          <w:szCs w:val="22"/>
        </w:rPr>
        <w:t xml:space="preserve"> </w:t>
      </w:r>
      <w:proofErr w:type="spellStart"/>
      <w:r w:rsidRPr="008C68EE">
        <w:rPr>
          <w:szCs w:val="22"/>
        </w:rPr>
        <w:t>Picosulphate</w:t>
      </w:r>
      <w:proofErr w:type="spellEnd"/>
      <w:r w:rsidRPr="008C68EE">
        <w:rPr>
          <w:szCs w:val="22"/>
        </w:rPr>
        <w:t xml:space="preserve"> didina kalio išsiskyrimą su išmatomis. Lašų vartojant kartu su kitais vaistiniais preparatais (pvz., diuretikais, kortikosteroidais), organizme gali atsirasti kalio trūkumas. Dėl to gali sutrikti širdies veikla, pasireikšti raumenų silpnumas, didėti organizmo jautrumas širdies veiklą stiprinantiems vaistams (širdies glikozidams).  </w:t>
      </w:r>
    </w:p>
    <w:p w14:paraId="4C86E064" w14:textId="77777777" w:rsidR="008C68EE" w:rsidRPr="008C68EE" w:rsidRDefault="008C68EE" w:rsidP="008C68EE">
      <w:pPr>
        <w:tabs>
          <w:tab w:val="left" w:pos="567"/>
        </w:tabs>
        <w:rPr>
          <w:szCs w:val="22"/>
        </w:rPr>
      </w:pPr>
    </w:p>
    <w:p w14:paraId="6D5B27C7" w14:textId="77777777" w:rsidR="008C68EE" w:rsidRPr="008C68EE" w:rsidRDefault="008C68EE" w:rsidP="008C68EE">
      <w:pPr>
        <w:tabs>
          <w:tab w:val="left" w:pos="567"/>
        </w:tabs>
        <w:rPr>
          <w:szCs w:val="22"/>
        </w:rPr>
      </w:pPr>
      <w:r w:rsidRPr="008C68EE">
        <w:rPr>
          <w:szCs w:val="22"/>
          <w:u w:val="single"/>
        </w:rPr>
        <w:t>Pastaba</w:t>
      </w:r>
      <w:r w:rsidRPr="008C68EE">
        <w:rPr>
          <w:szCs w:val="22"/>
        </w:rPr>
        <w:t xml:space="preserve">. Ši informacija tinka ir tuo atveju, jeigu minėtų vaistų buvo vartota neseniai. </w:t>
      </w:r>
    </w:p>
    <w:p w14:paraId="5D11FA1F" w14:textId="77777777" w:rsidR="008C68EE" w:rsidRPr="008C68EE" w:rsidRDefault="008C68EE" w:rsidP="008C68EE">
      <w:pPr>
        <w:tabs>
          <w:tab w:val="left" w:pos="567"/>
        </w:tabs>
        <w:ind w:left="567" w:hanging="567"/>
        <w:rPr>
          <w:b/>
          <w:szCs w:val="22"/>
        </w:rPr>
      </w:pPr>
    </w:p>
    <w:p w14:paraId="15B568C8" w14:textId="77777777" w:rsidR="008C68EE" w:rsidRPr="00D012BD" w:rsidRDefault="008C68EE" w:rsidP="008C68EE">
      <w:pPr>
        <w:pStyle w:val="Antrat3"/>
        <w:spacing w:before="0" w:after="0"/>
        <w:rPr>
          <w:rFonts w:ascii="Times New Roman" w:hAnsi="Times New Roman" w:cs="Times New Roman"/>
          <w:b/>
          <w:bCs/>
          <w:color w:val="auto"/>
          <w:sz w:val="22"/>
          <w:szCs w:val="22"/>
        </w:rPr>
      </w:pPr>
      <w:r w:rsidRPr="00D012BD">
        <w:rPr>
          <w:rFonts w:ascii="Times New Roman" w:hAnsi="Times New Roman" w:cs="Times New Roman"/>
          <w:b/>
          <w:bCs/>
          <w:color w:val="auto"/>
          <w:sz w:val="22"/>
          <w:szCs w:val="22"/>
        </w:rPr>
        <w:t>Nėštumas ir žindymo laikotarpis</w:t>
      </w:r>
    </w:p>
    <w:p w14:paraId="6B817B3F" w14:textId="77777777" w:rsidR="008C68EE" w:rsidRPr="008C68EE" w:rsidRDefault="008C68EE" w:rsidP="008C68EE">
      <w:pPr>
        <w:numPr>
          <w:ilvl w:val="12"/>
          <w:numId w:val="0"/>
        </w:numPr>
        <w:rPr>
          <w:szCs w:val="22"/>
        </w:rPr>
      </w:pPr>
      <w:r w:rsidRPr="008C68EE">
        <w:rPr>
          <w:szCs w:val="22"/>
        </w:rPr>
        <w:t>Jeigu esate nėščia, žindote kūdikį, manote, kad galbūt esate nėščia arba planuojate pastoti, tai prieš vartodama šį vaistą pasitarkite su gydytoju arba vaistininku.</w:t>
      </w:r>
    </w:p>
    <w:p w14:paraId="616221BC" w14:textId="77777777" w:rsidR="008C68EE" w:rsidRPr="008C68EE" w:rsidRDefault="008C68EE" w:rsidP="008C68EE">
      <w:pPr>
        <w:numPr>
          <w:ilvl w:val="12"/>
          <w:numId w:val="0"/>
        </w:numPr>
        <w:rPr>
          <w:szCs w:val="22"/>
        </w:rPr>
      </w:pPr>
    </w:p>
    <w:p w14:paraId="0CB52143" w14:textId="77777777" w:rsidR="008C68EE" w:rsidRPr="008C68EE" w:rsidRDefault="008C68EE" w:rsidP="008C68EE">
      <w:pPr>
        <w:numPr>
          <w:ilvl w:val="12"/>
          <w:numId w:val="0"/>
        </w:numPr>
        <w:rPr>
          <w:szCs w:val="22"/>
          <w:u w:val="single"/>
        </w:rPr>
      </w:pPr>
      <w:r w:rsidRPr="008C68EE">
        <w:rPr>
          <w:szCs w:val="22"/>
          <w:u w:val="single"/>
        </w:rPr>
        <w:t>Nėštumas</w:t>
      </w:r>
    </w:p>
    <w:p w14:paraId="1BC9B366" w14:textId="77777777" w:rsidR="008C68EE" w:rsidRPr="008C68EE" w:rsidRDefault="008C68EE" w:rsidP="008C68EE">
      <w:pPr>
        <w:rPr>
          <w:szCs w:val="22"/>
        </w:rPr>
      </w:pPr>
      <w:r w:rsidRPr="008C68EE">
        <w:rPr>
          <w:szCs w:val="22"/>
        </w:rPr>
        <w:t xml:space="preserve">Nėštumo laikotarpiu </w:t>
      </w:r>
      <w:proofErr w:type="spellStart"/>
      <w:r w:rsidRPr="008C68EE">
        <w:rPr>
          <w:szCs w:val="22"/>
        </w:rPr>
        <w:t>Regulax</w:t>
      </w:r>
      <w:proofErr w:type="spellEnd"/>
      <w:r w:rsidRPr="008C68EE">
        <w:rPr>
          <w:szCs w:val="22"/>
        </w:rPr>
        <w:t xml:space="preserve"> </w:t>
      </w:r>
      <w:proofErr w:type="spellStart"/>
      <w:r w:rsidRPr="008C68EE">
        <w:rPr>
          <w:szCs w:val="22"/>
        </w:rPr>
        <w:t>Picosulphate</w:t>
      </w:r>
      <w:proofErr w:type="spellEnd"/>
      <w:r w:rsidRPr="008C68EE" w:rsidDel="008A6435">
        <w:rPr>
          <w:szCs w:val="22"/>
        </w:rPr>
        <w:t xml:space="preserve"> </w:t>
      </w:r>
      <w:r w:rsidRPr="008C68EE">
        <w:rPr>
          <w:szCs w:val="22"/>
        </w:rPr>
        <w:t xml:space="preserve">galima vartoti tik gydytojo skyrimu, kadangi nėščių moterų gydymo šiuo vaistu patirtis yra nepakankama. </w:t>
      </w:r>
    </w:p>
    <w:p w14:paraId="23F42267" w14:textId="77777777" w:rsidR="008C68EE" w:rsidRPr="008C68EE" w:rsidRDefault="008C68EE" w:rsidP="008C68EE">
      <w:pPr>
        <w:pStyle w:val="Pagrindinistekstas"/>
        <w:spacing w:after="0"/>
        <w:rPr>
          <w:szCs w:val="22"/>
        </w:rPr>
      </w:pPr>
    </w:p>
    <w:p w14:paraId="67D894CB" w14:textId="77777777" w:rsidR="008C68EE" w:rsidRPr="008C68EE" w:rsidRDefault="008C68EE" w:rsidP="008C68EE">
      <w:pPr>
        <w:pStyle w:val="Antrat3"/>
        <w:spacing w:before="0" w:after="0"/>
        <w:rPr>
          <w:rFonts w:ascii="Times New Roman" w:hAnsi="Times New Roman" w:cs="Times New Roman"/>
          <w:b/>
          <w:bCs/>
          <w:color w:val="auto"/>
          <w:sz w:val="22"/>
          <w:szCs w:val="22"/>
          <w:u w:val="single"/>
        </w:rPr>
      </w:pPr>
      <w:r w:rsidRPr="008C68EE">
        <w:rPr>
          <w:rFonts w:ascii="Times New Roman" w:hAnsi="Times New Roman" w:cs="Times New Roman"/>
          <w:bCs/>
          <w:color w:val="auto"/>
          <w:sz w:val="22"/>
          <w:szCs w:val="22"/>
          <w:u w:val="single"/>
        </w:rPr>
        <w:t>Žindymo laikotarpis</w:t>
      </w:r>
    </w:p>
    <w:p w14:paraId="7AD1259B" w14:textId="77777777" w:rsidR="008C68EE" w:rsidRPr="008C68EE" w:rsidRDefault="008C68EE" w:rsidP="008C68EE">
      <w:pPr>
        <w:tabs>
          <w:tab w:val="left" w:pos="0"/>
        </w:tabs>
        <w:jc w:val="both"/>
        <w:rPr>
          <w:szCs w:val="22"/>
        </w:rPr>
      </w:pPr>
      <w:r w:rsidRPr="008C68EE">
        <w:rPr>
          <w:szCs w:val="22"/>
        </w:rPr>
        <w:t xml:space="preserve">Nors duomenų, rodančių, kad veiklioji </w:t>
      </w:r>
      <w:proofErr w:type="spellStart"/>
      <w:r w:rsidRPr="008C68EE">
        <w:rPr>
          <w:szCs w:val="22"/>
        </w:rPr>
        <w:t>Regulax</w:t>
      </w:r>
      <w:proofErr w:type="spellEnd"/>
      <w:r w:rsidRPr="008C68EE">
        <w:rPr>
          <w:szCs w:val="22"/>
        </w:rPr>
        <w:t xml:space="preserve"> </w:t>
      </w:r>
      <w:proofErr w:type="spellStart"/>
      <w:r w:rsidRPr="008C68EE">
        <w:rPr>
          <w:szCs w:val="22"/>
        </w:rPr>
        <w:t>Picosulphate</w:t>
      </w:r>
      <w:proofErr w:type="spellEnd"/>
      <w:r w:rsidRPr="008C68EE">
        <w:rPr>
          <w:szCs w:val="22"/>
        </w:rPr>
        <w:t xml:space="preserve"> medžiaga patenka į motinos pieną, tačiau šio vaisto vartojančioms moterims kūdikio krūtimi maitinti nepatariama. </w:t>
      </w:r>
    </w:p>
    <w:p w14:paraId="449CA0CC" w14:textId="77777777" w:rsidR="008C68EE" w:rsidRPr="008C68EE" w:rsidRDefault="008C68EE" w:rsidP="008C68EE">
      <w:pPr>
        <w:pStyle w:val="Pagrindinistekstas"/>
        <w:spacing w:after="0"/>
        <w:rPr>
          <w:szCs w:val="22"/>
        </w:rPr>
      </w:pPr>
    </w:p>
    <w:p w14:paraId="47D184C1" w14:textId="77777777" w:rsidR="008C68EE" w:rsidRPr="00D012BD" w:rsidRDefault="008C68EE" w:rsidP="008C68EE">
      <w:pPr>
        <w:pStyle w:val="Antrat3"/>
        <w:spacing w:before="0" w:after="0"/>
        <w:rPr>
          <w:rFonts w:ascii="Times New Roman" w:hAnsi="Times New Roman" w:cs="Times New Roman"/>
          <w:b/>
          <w:bCs/>
          <w:color w:val="auto"/>
          <w:sz w:val="22"/>
          <w:szCs w:val="22"/>
        </w:rPr>
      </w:pPr>
      <w:r w:rsidRPr="00D012BD">
        <w:rPr>
          <w:rFonts w:ascii="Times New Roman" w:hAnsi="Times New Roman" w:cs="Times New Roman"/>
          <w:b/>
          <w:bCs/>
          <w:color w:val="auto"/>
          <w:sz w:val="22"/>
          <w:szCs w:val="22"/>
        </w:rPr>
        <w:t>Vairavimas ir mechanizmų valdymas</w:t>
      </w:r>
    </w:p>
    <w:p w14:paraId="4BDEC75D" w14:textId="77777777" w:rsidR="008C68EE" w:rsidRPr="008C68EE" w:rsidRDefault="008C68EE" w:rsidP="008C68EE">
      <w:pPr>
        <w:tabs>
          <w:tab w:val="left" w:pos="567"/>
        </w:tabs>
        <w:ind w:left="567" w:hanging="567"/>
        <w:rPr>
          <w:szCs w:val="22"/>
        </w:rPr>
      </w:pPr>
      <w:proofErr w:type="spellStart"/>
      <w:r w:rsidRPr="008C68EE">
        <w:rPr>
          <w:szCs w:val="22"/>
        </w:rPr>
        <w:t>Regulax</w:t>
      </w:r>
      <w:proofErr w:type="spellEnd"/>
      <w:r w:rsidRPr="008C68EE">
        <w:rPr>
          <w:szCs w:val="22"/>
        </w:rPr>
        <w:t xml:space="preserve"> </w:t>
      </w:r>
      <w:proofErr w:type="spellStart"/>
      <w:r w:rsidRPr="008C68EE">
        <w:rPr>
          <w:szCs w:val="22"/>
        </w:rPr>
        <w:t>Picosulphate</w:t>
      </w:r>
      <w:proofErr w:type="spellEnd"/>
      <w:r w:rsidRPr="008C68EE">
        <w:rPr>
          <w:szCs w:val="22"/>
        </w:rPr>
        <w:t xml:space="preserve"> poveikio gebėjimui vairuoti ir valdyti mechanizmus neturi.</w:t>
      </w:r>
    </w:p>
    <w:p w14:paraId="3C93202A" w14:textId="77777777" w:rsidR="008C68EE" w:rsidRPr="008C68EE" w:rsidRDefault="008C68EE" w:rsidP="008C68EE">
      <w:pPr>
        <w:pStyle w:val="Pagrindinistekstas"/>
        <w:spacing w:after="0"/>
        <w:rPr>
          <w:szCs w:val="22"/>
        </w:rPr>
      </w:pPr>
    </w:p>
    <w:p w14:paraId="7345BBE1" w14:textId="77777777" w:rsidR="008C68EE" w:rsidRPr="008C68EE" w:rsidRDefault="008C68EE" w:rsidP="008C68EE">
      <w:pPr>
        <w:pStyle w:val="PI-3EMEASMCA"/>
        <w:spacing w:line="240" w:lineRule="auto"/>
      </w:pPr>
      <w:proofErr w:type="spellStart"/>
      <w:r w:rsidRPr="008C68EE">
        <w:t>Regulax</w:t>
      </w:r>
      <w:proofErr w:type="spellEnd"/>
      <w:r w:rsidRPr="008C68EE">
        <w:rPr>
          <w:noProof/>
        </w:rPr>
        <w:t xml:space="preserve"> </w:t>
      </w:r>
      <w:proofErr w:type="spellStart"/>
      <w:r w:rsidRPr="008C68EE">
        <w:t>Picosulphate</w:t>
      </w:r>
      <w:proofErr w:type="spellEnd"/>
      <w:r w:rsidRPr="008C68EE">
        <w:t xml:space="preserve"> sudėtyje yra natrio, </w:t>
      </w:r>
      <w:proofErr w:type="spellStart"/>
      <w:r w:rsidRPr="008C68EE">
        <w:t>sorbitolio</w:t>
      </w:r>
      <w:proofErr w:type="spellEnd"/>
      <w:r w:rsidRPr="008C68EE">
        <w:t xml:space="preserve"> ir </w:t>
      </w:r>
      <w:proofErr w:type="spellStart"/>
      <w:r w:rsidRPr="008C68EE">
        <w:t>propilenglikolio</w:t>
      </w:r>
      <w:proofErr w:type="spellEnd"/>
    </w:p>
    <w:p w14:paraId="554591A9" w14:textId="77777777" w:rsidR="008C68EE" w:rsidRPr="008C68EE" w:rsidRDefault="008C68EE" w:rsidP="008C68EE">
      <w:pPr>
        <w:rPr>
          <w:szCs w:val="22"/>
        </w:rPr>
      </w:pPr>
      <w:r w:rsidRPr="008C68EE">
        <w:rPr>
          <w:szCs w:val="22"/>
        </w:rPr>
        <w:t xml:space="preserve">Šio vaisto 27 lašuose yra mažiau kaip 1 </w:t>
      </w:r>
      <w:proofErr w:type="spellStart"/>
      <w:r w:rsidRPr="008C68EE">
        <w:rPr>
          <w:szCs w:val="22"/>
        </w:rPr>
        <w:t>mmol</w:t>
      </w:r>
      <w:proofErr w:type="spellEnd"/>
      <w:r w:rsidRPr="008C68EE">
        <w:rPr>
          <w:szCs w:val="22"/>
        </w:rPr>
        <w:t xml:space="preserve"> natrio (23 mg), </w:t>
      </w:r>
      <w:proofErr w:type="spellStart"/>
      <w:r w:rsidRPr="008C68EE">
        <w:rPr>
          <w:szCs w:val="22"/>
        </w:rPr>
        <w:t>t.y</w:t>
      </w:r>
      <w:proofErr w:type="spellEnd"/>
      <w:r w:rsidRPr="008C68EE">
        <w:rPr>
          <w:szCs w:val="22"/>
        </w:rPr>
        <w:t>., jis beveik neturi reikšmės.</w:t>
      </w:r>
    </w:p>
    <w:p w14:paraId="68F1E206" w14:textId="77777777" w:rsidR="008C68EE" w:rsidRPr="008C68EE" w:rsidRDefault="008C68EE" w:rsidP="008C68EE">
      <w:pPr>
        <w:pStyle w:val="PI-3EMEASMCA"/>
        <w:spacing w:line="240" w:lineRule="auto"/>
      </w:pPr>
    </w:p>
    <w:p w14:paraId="2278F405" w14:textId="77777777" w:rsidR="008C68EE" w:rsidRPr="008C68EE" w:rsidRDefault="008C68EE" w:rsidP="008C68EE">
      <w:pPr>
        <w:autoSpaceDE w:val="0"/>
        <w:autoSpaceDN w:val="0"/>
        <w:adjustRightInd w:val="0"/>
        <w:rPr>
          <w:szCs w:val="22"/>
        </w:rPr>
      </w:pPr>
      <w:r w:rsidRPr="008C68EE">
        <w:rPr>
          <w:iCs/>
          <w:szCs w:val="22"/>
        </w:rPr>
        <w:t xml:space="preserve">Šio vaisto 27 lašuose yra 615,6 mg </w:t>
      </w:r>
      <w:proofErr w:type="spellStart"/>
      <w:r w:rsidRPr="008C68EE">
        <w:rPr>
          <w:iCs/>
          <w:szCs w:val="22"/>
        </w:rPr>
        <w:t>sorbitolio</w:t>
      </w:r>
      <w:proofErr w:type="spellEnd"/>
      <w:r w:rsidRPr="008C68EE">
        <w:rPr>
          <w:iCs/>
          <w:szCs w:val="22"/>
        </w:rPr>
        <w:t>, atitinkančio 456 mg/ml.</w:t>
      </w:r>
    </w:p>
    <w:p w14:paraId="1536369D" w14:textId="77777777" w:rsidR="008C68EE" w:rsidRPr="008C68EE" w:rsidRDefault="008C68EE" w:rsidP="008C68EE">
      <w:pPr>
        <w:rPr>
          <w:szCs w:val="22"/>
        </w:rPr>
      </w:pPr>
      <w:proofErr w:type="spellStart"/>
      <w:r w:rsidRPr="008C68EE">
        <w:rPr>
          <w:szCs w:val="22"/>
        </w:rPr>
        <w:t>Sorbitolis</w:t>
      </w:r>
      <w:proofErr w:type="spellEnd"/>
      <w:r w:rsidRPr="008C68EE">
        <w:rPr>
          <w:szCs w:val="22"/>
        </w:rPr>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5BD9F3DC" w14:textId="77777777" w:rsidR="008C68EE" w:rsidRPr="008C68EE" w:rsidRDefault="008C68EE" w:rsidP="008C68EE">
      <w:pPr>
        <w:pStyle w:val="PI-3EMEASMCA"/>
        <w:spacing w:line="240" w:lineRule="auto"/>
      </w:pPr>
    </w:p>
    <w:p w14:paraId="536D1C0F" w14:textId="77777777" w:rsidR="008C68EE" w:rsidRPr="008C68EE" w:rsidRDefault="008C68EE" w:rsidP="008C68EE">
      <w:pPr>
        <w:autoSpaceDE w:val="0"/>
        <w:autoSpaceDN w:val="0"/>
        <w:adjustRightInd w:val="0"/>
        <w:rPr>
          <w:szCs w:val="22"/>
        </w:rPr>
      </w:pPr>
      <w:r w:rsidRPr="008C68EE">
        <w:rPr>
          <w:iCs/>
          <w:szCs w:val="22"/>
        </w:rPr>
        <w:t xml:space="preserve">Šio vaisto 27 lašuose yra 270 mg </w:t>
      </w:r>
      <w:proofErr w:type="spellStart"/>
      <w:r w:rsidRPr="008C68EE">
        <w:rPr>
          <w:iCs/>
          <w:szCs w:val="22"/>
        </w:rPr>
        <w:t>propilenglikolio</w:t>
      </w:r>
      <w:proofErr w:type="spellEnd"/>
      <w:r w:rsidRPr="008C68EE">
        <w:rPr>
          <w:iCs/>
          <w:szCs w:val="22"/>
        </w:rPr>
        <w:t>, atitinkančio 200 mg/ml.</w:t>
      </w:r>
    </w:p>
    <w:p w14:paraId="1BDA3CD3" w14:textId="77777777" w:rsidR="008C68EE" w:rsidRPr="008C68EE" w:rsidRDefault="008C68EE" w:rsidP="008C68EE">
      <w:pPr>
        <w:pStyle w:val="PI-3EMEASMCA"/>
        <w:spacing w:line="240" w:lineRule="auto"/>
      </w:pPr>
    </w:p>
    <w:p w14:paraId="1E5C282C" w14:textId="77777777" w:rsidR="008C68EE" w:rsidRPr="008C68EE" w:rsidRDefault="008C68EE" w:rsidP="008C68EE">
      <w:pPr>
        <w:rPr>
          <w:b/>
          <w:szCs w:val="22"/>
        </w:rPr>
      </w:pPr>
      <w:r w:rsidRPr="008C68EE">
        <w:rPr>
          <w:szCs w:val="22"/>
        </w:rPr>
        <w:t xml:space="preserve">PASTABA DIABETIKAMS. </w:t>
      </w:r>
      <w:proofErr w:type="spellStart"/>
      <w:r w:rsidRPr="008C68EE">
        <w:rPr>
          <w:szCs w:val="22"/>
        </w:rPr>
        <w:t>Regulax</w:t>
      </w:r>
      <w:proofErr w:type="spellEnd"/>
      <w:r w:rsidRPr="008C68EE">
        <w:rPr>
          <w:szCs w:val="22"/>
        </w:rPr>
        <w:t xml:space="preserve"> </w:t>
      </w:r>
      <w:proofErr w:type="spellStart"/>
      <w:r w:rsidRPr="008C68EE">
        <w:rPr>
          <w:szCs w:val="22"/>
        </w:rPr>
        <w:t>Picosulphate</w:t>
      </w:r>
      <w:proofErr w:type="spellEnd"/>
      <w:r w:rsidRPr="008C68EE">
        <w:rPr>
          <w:szCs w:val="22"/>
        </w:rPr>
        <w:t xml:space="preserve"> lašuose yra cukraus pakaitalų: 1 ml lašų atitinka 0,03 duonos vienetų. </w:t>
      </w:r>
    </w:p>
    <w:p w14:paraId="507DD854" w14:textId="77777777" w:rsidR="008C68EE" w:rsidRPr="008C68EE" w:rsidRDefault="008C68EE" w:rsidP="008C68EE">
      <w:pPr>
        <w:pStyle w:val="PI-3EMEASMCA"/>
        <w:spacing w:line="240" w:lineRule="auto"/>
      </w:pPr>
    </w:p>
    <w:p w14:paraId="06E0FF23" w14:textId="77777777" w:rsidR="008C68EE" w:rsidRPr="008C68EE" w:rsidRDefault="008C68EE" w:rsidP="008C68EE">
      <w:pPr>
        <w:numPr>
          <w:ilvl w:val="12"/>
          <w:numId w:val="0"/>
        </w:numPr>
        <w:ind w:right="-2"/>
        <w:rPr>
          <w:szCs w:val="22"/>
        </w:rPr>
      </w:pPr>
    </w:p>
    <w:p w14:paraId="00A8956B" w14:textId="77777777" w:rsidR="008C68EE" w:rsidRPr="008C68EE" w:rsidRDefault="008C68EE" w:rsidP="008C68EE">
      <w:pPr>
        <w:keepNext/>
        <w:numPr>
          <w:ilvl w:val="0"/>
          <w:numId w:val="4"/>
        </w:numPr>
        <w:tabs>
          <w:tab w:val="left" w:pos="567"/>
        </w:tabs>
        <w:ind w:left="567" w:right="-2"/>
        <w:rPr>
          <w:b/>
          <w:szCs w:val="22"/>
        </w:rPr>
      </w:pPr>
      <w:r w:rsidRPr="008C68EE">
        <w:rPr>
          <w:b/>
          <w:szCs w:val="22"/>
        </w:rPr>
        <w:t xml:space="preserve">Kaip vartoti </w:t>
      </w:r>
      <w:proofErr w:type="spellStart"/>
      <w:r w:rsidRPr="008C68EE">
        <w:rPr>
          <w:b/>
          <w:szCs w:val="22"/>
        </w:rPr>
        <w:t>Regulax</w:t>
      </w:r>
      <w:proofErr w:type="spellEnd"/>
      <w:r w:rsidRPr="008C68EE">
        <w:rPr>
          <w:b/>
          <w:szCs w:val="22"/>
        </w:rPr>
        <w:t xml:space="preserve"> </w:t>
      </w:r>
      <w:proofErr w:type="spellStart"/>
      <w:r w:rsidRPr="008C68EE">
        <w:rPr>
          <w:b/>
          <w:szCs w:val="22"/>
        </w:rPr>
        <w:t>Picosulphate</w:t>
      </w:r>
      <w:proofErr w:type="spellEnd"/>
    </w:p>
    <w:p w14:paraId="5E78EA15" w14:textId="77777777" w:rsidR="008C68EE" w:rsidRPr="008C68EE" w:rsidRDefault="008C68EE" w:rsidP="008C68EE">
      <w:pPr>
        <w:keepNext/>
        <w:numPr>
          <w:ilvl w:val="12"/>
          <w:numId w:val="0"/>
        </w:numPr>
        <w:ind w:right="-2"/>
        <w:rPr>
          <w:szCs w:val="22"/>
        </w:rPr>
      </w:pPr>
    </w:p>
    <w:p w14:paraId="5FB91B05" w14:textId="77777777" w:rsidR="008C68EE" w:rsidRPr="008C68EE" w:rsidRDefault="008C68EE" w:rsidP="008C68EE">
      <w:pPr>
        <w:numPr>
          <w:ilvl w:val="12"/>
          <w:numId w:val="0"/>
        </w:numPr>
        <w:ind w:right="-2"/>
        <w:rPr>
          <w:szCs w:val="22"/>
        </w:rPr>
      </w:pPr>
      <w:r w:rsidRPr="008C68EE">
        <w:rPr>
          <w:szCs w:val="22"/>
        </w:rPr>
        <w:t>Visada vartokite šį vaistą tiksliai kaip nurodė gydytojas arba vaistininkas. Jeigu abejojate, kreipkitės į gydytoją arba vaistininką.</w:t>
      </w:r>
    </w:p>
    <w:p w14:paraId="5B4E69A1" w14:textId="77777777" w:rsidR="008C68EE" w:rsidRPr="008C68EE" w:rsidRDefault="008C68EE" w:rsidP="008C68EE">
      <w:pPr>
        <w:tabs>
          <w:tab w:val="left" w:pos="567"/>
        </w:tabs>
        <w:rPr>
          <w:noProof/>
          <w:szCs w:val="22"/>
        </w:rPr>
      </w:pPr>
    </w:p>
    <w:p w14:paraId="6A372505" w14:textId="77777777" w:rsidR="008C68EE" w:rsidRPr="008C68EE" w:rsidRDefault="008C68EE" w:rsidP="008C68EE">
      <w:pPr>
        <w:pStyle w:val="Pagrindinistekstas"/>
        <w:tabs>
          <w:tab w:val="left" w:pos="0"/>
        </w:tabs>
        <w:spacing w:after="0"/>
        <w:rPr>
          <w:szCs w:val="22"/>
        </w:rPr>
      </w:pPr>
      <w:r w:rsidRPr="008C68EE">
        <w:rPr>
          <w:noProof/>
          <w:szCs w:val="22"/>
        </w:rPr>
        <w:t xml:space="preserve">Jei gydytojo neskirta kitaip, suaugusiems žmonėms ir vyresniems nei 12 metų paaugliams rekomenduojama dozė yra </w:t>
      </w:r>
      <w:r w:rsidRPr="008C68EE">
        <w:rPr>
          <w:szCs w:val="22"/>
        </w:rPr>
        <w:t xml:space="preserve">14 - 27 lašai (atitinka 5 – 10 mg natrio </w:t>
      </w:r>
      <w:proofErr w:type="spellStart"/>
      <w:r w:rsidRPr="008C68EE">
        <w:rPr>
          <w:szCs w:val="22"/>
        </w:rPr>
        <w:t>pikosulfato</w:t>
      </w:r>
      <w:proofErr w:type="spellEnd"/>
      <w:r w:rsidRPr="008C68EE">
        <w:rPr>
          <w:szCs w:val="22"/>
        </w:rPr>
        <w:t>).</w:t>
      </w:r>
    </w:p>
    <w:p w14:paraId="6094215B" w14:textId="77777777" w:rsidR="008C68EE" w:rsidRPr="008C68EE" w:rsidRDefault="008C68EE" w:rsidP="008C68EE">
      <w:pPr>
        <w:pStyle w:val="Pagrindinistekstas"/>
        <w:tabs>
          <w:tab w:val="left" w:pos="0"/>
        </w:tabs>
        <w:spacing w:after="0"/>
        <w:rPr>
          <w:szCs w:val="22"/>
        </w:rPr>
      </w:pPr>
    </w:p>
    <w:p w14:paraId="2DD09985" w14:textId="77777777" w:rsidR="008C68EE" w:rsidRPr="008C68EE" w:rsidRDefault="008C68EE" w:rsidP="008C68EE">
      <w:pPr>
        <w:pStyle w:val="Pagrindinistekstas"/>
        <w:tabs>
          <w:tab w:val="left" w:pos="0"/>
        </w:tabs>
        <w:spacing w:after="0"/>
        <w:rPr>
          <w:szCs w:val="22"/>
        </w:rPr>
      </w:pPr>
      <w:r w:rsidRPr="008C68EE">
        <w:rPr>
          <w:noProof/>
          <w:szCs w:val="22"/>
        </w:rPr>
        <w:t xml:space="preserve">4 - 12 metų vaikams vaisto vartoti galima tik gydytojui paskyrus! Vienkartinė dozė yra  </w:t>
      </w:r>
      <w:r w:rsidRPr="008C68EE">
        <w:rPr>
          <w:szCs w:val="22"/>
        </w:rPr>
        <w:t xml:space="preserve">7 - 14 lašų (atitinka 2,5 – 5 mg natrio </w:t>
      </w:r>
      <w:proofErr w:type="spellStart"/>
      <w:r w:rsidRPr="008C68EE">
        <w:rPr>
          <w:szCs w:val="22"/>
        </w:rPr>
        <w:t>pikosulfato</w:t>
      </w:r>
      <w:proofErr w:type="spellEnd"/>
      <w:r w:rsidRPr="008C68EE">
        <w:rPr>
          <w:szCs w:val="22"/>
        </w:rPr>
        <w:t xml:space="preserve">). </w:t>
      </w:r>
    </w:p>
    <w:p w14:paraId="369E47A7" w14:textId="77777777" w:rsidR="008C68EE" w:rsidRPr="008C68EE" w:rsidRDefault="008C68EE" w:rsidP="008C68EE">
      <w:pPr>
        <w:tabs>
          <w:tab w:val="left" w:pos="0"/>
        </w:tabs>
        <w:jc w:val="both"/>
        <w:rPr>
          <w:szCs w:val="22"/>
        </w:rPr>
      </w:pPr>
    </w:p>
    <w:p w14:paraId="712F9E51" w14:textId="77777777" w:rsidR="008C68EE" w:rsidRPr="008C68EE" w:rsidRDefault="008C68EE" w:rsidP="008C68EE">
      <w:pPr>
        <w:tabs>
          <w:tab w:val="left" w:pos="0"/>
        </w:tabs>
        <w:jc w:val="both"/>
        <w:rPr>
          <w:szCs w:val="22"/>
        </w:rPr>
      </w:pPr>
      <w:proofErr w:type="spellStart"/>
      <w:r w:rsidRPr="008C68EE">
        <w:rPr>
          <w:szCs w:val="22"/>
        </w:rPr>
        <w:t>Regulax</w:t>
      </w:r>
      <w:proofErr w:type="spellEnd"/>
      <w:r w:rsidRPr="008C68EE">
        <w:rPr>
          <w:szCs w:val="22"/>
        </w:rPr>
        <w:t xml:space="preserve"> </w:t>
      </w:r>
      <w:proofErr w:type="spellStart"/>
      <w:r w:rsidRPr="008C68EE">
        <w:rPr>
          <w:szCs w:val="22"/>
        </w:rPr>
        <w:t>Picosulphate</w:t>
      </w:r>
      <w:proofErr w:type="spellEnd"/>
      <w:r w:rsidRPr="008C68EE">
        <w:rPr>
          <w:szCs w:val="22"/>
        </w:rPr>
        <w:t xml:space="preserve"> patariama gerti vakare. Jo poveikis pasireiškia po 10 - 12 val. </w:t>
      </w:r>
    </w:p>
    <w:p w14:paraId="4AD982A9" w14:textId="77777777" w:rsidR="008C68EE" w:rsidRPr="008C68EE" w:rsidRDefault="008C68EE" w:rsidP="008C68EE">
      <w:pPr>
        <w:rPr>
          <w:i/>
          <w:szCs w:val="22"/>
        </w:rPr>
      </w:pPr>
    </w:p>
    <w:p w14:paraId="15766357" w14:textId="77777777" w:rsidR="008C68EE" w:rsidRPr="008C68EE" w:rsidRDefault="008C68EE" w:rsidP="008C68EE">
      <w:pPr>
        <w:rPr>
          <w:szCs w:val="22"/>
        </w:rPr>
      </w:pPr>
      <w:r w:rsidRPr="008C68EE">
        <w:rPr>
          <w:szCs w:val="22"/>
        </w:rPr>
        <w:lastRenderedPageBreak/>
        <w:t xml:space="preserve">Be gydytojo leidimo </w:t>
      </w:r>
      <w:proofErr w:type="spellStart"/>
      <w:r w:rsidRPr="008C68EE">
        <w:rPr>
          <w:szCs w:val="22"/>
        </w:rPr>
        <w:t>Regulax</w:t>
      </w:r>
      <w:proofErr w:type="spellEnd"/>
      <w:r w:rsidRPr="008C68EE">
        <w:rPr>
          <w:szCs w:val="22"/>
        </w:rPr>
        <w:t xml:space="preserve"> </w:t>
      </w:r>
      <w:proofErr w:type="spellStart"/>
      <w:r w:rsidRPr="008C68EE">
        <w:rPr>
          <w:szCs w:val="22"/>
        </w:rPr>
        <w:t>Picosulphate</w:t>
      </w:r>
      <w:proofErr w:type="spellEnd"/>
      <w:r w:rsidRPr="008C68EE">
        <w:rPr>
          <w:szCs w:val="22"/>
        </w:rPr>
        <w:t xml:space="preserve"> lašų galima vartoti tik trumpai. Jeigu vidurių užkietėjimas trunka ilgai, būtina kreiptis į gydytoją. </w:t>
      </w:r>
    </w:p>
    <w:p w14:paraId="79CDC131" w14:textId="77777777" w:rsidR="008C68EE" w:rsidRPr="008C68EE" w:rsidRDefault="008C68EE" w:rsidP="008C68EE">
      <w:pPr>
        <w:pStyle w:val="Pagrindinistekstas"/>
        <w:spacing w:after="0"/>
        <w:rPr>
          <w:szCs w:val="22"/>
        </w:rPr>
      </w:pPr>
    </w:p>
    <w:p w14:paraId="657964AB" w14:textId="77777777" w:rsidR="008C68EE" w:rsidRPr="008C68EE" w:rsidRDefault="008C68EE" w:rsidP="008C68EE">
      <w:pPr>
        <w:rPr>
          <w:b/>
          <w:szCs w:val="22"/>
        </w:rPr>
      </w:pPr>
      <w:r w:rsidRPr="008C68EE">
        <w:rPr>
          <w:b/>
          <w:szCs w:val="22"/>
        </w:rPr>
        <w:t xml:space="preserve">Ką daryti pavartojus per didelę </w:t>
      </w:r>
      <w:proofErr w:type="spellStart"/>
      <w:r w:rsidRPr="008C68EE">
        <w:rPr>
          <w:b/>
          <w:szCs w:val="22"/>
        </w:rPr>
        <w:t>Regulax</w:t>
      </w:r>
      <w:proofErr w:type="spellEnd"/>
      <w:r w:rsidRPr="008C68EE">
        <w:rPr>
          <w:b/>
          <w:szCs w:val="22"/>
        </w:rPr>
        <w:t xml:space="preserve"> </w:t>
      </w:r>
      <w:proofErr w:type="spellStart"/>
      <w:r w:rsidRPr="008C68EE">
        <w:rPr>
          <w:b/>
          <w:szCs w:val="22"/>
        </w:rPr>
        <w:t>Picosulphate</w:t>
      </w:r>
      <w:proofErr w:type="spellEnd"/>
      <w:r w:rsidRPr="008C68EE">
        <w:rPr>
          <w:b/>
          <w:szCs w:val="22"/>
        </w:rPr>
        <w:t xml:space="preserve"> dozę</w:t>
      </w:r>
    </w:p>
    <w:p w14:paraId="7D17D54D" w14:textId="77777777" w:rsidR="008C68EE" w:rsidRPr="008C68EE" w:rsidRDefault="008C68EE" w:rsidP="008C68EE">
      <w:pPr>
        <w:pStyle w:val="Antrat1"/>
        <w:spacing w:before="0" w:after="0"/>
        <w:rPr>
          <w:rFonts w:ascii="Times New Roman" w:hAnsi="Times New Roman" w:cs="Times New Roman"/>
          <w:b/>
          <w:color w:val="auto"/>
          <w:sz w:val="22"/>
          <w:szCs w:val="22"/>
        </w:rPr>
      </w:pPr>
      <w:r w:rsidRPr="008C68EE">
        <w:rPr>
          <w:rFonts w:ascii="Times New Roman" w:hAnsi="Times New Roman" w:cs="Times New Roman"/>
          <w:color w:val="auto"/>
          <w:sz w:val="22"/>
          <w:szCs w:val="22"/>
        </w:rPr>
        <w:t xml:space="preserve">Pavartojus per didelę dozę, būtina nedelsiant kreiptis į gydytoją. </w:t>
      </w:r>
    </w:p>
    <w:p w14:paraId="165EDB5E" w14:textId="77777777" w:rsidR="008C68EE" w:rsidRPr="008C68EE" w:rsidRDefault="008C68EE" w:rsidP="008C68EE">
      <w:pPr>
        <w:pStyle w:val="Pagrindinistekstas"/>
        <w:spacing w:after="0"/>
        <w:rPr>
          <w:szCs w:val="22"/>
        </w:rPr>
      </w:pPr>
      <w:r w:rsidRPr="008C68EE">
        <w:rPr>
          <w:szCs w:val="22"/>
        </w:rPr>
        <w:t xml:space="preserve">Vaisto perdozavus, gali prasidėti viduriavimas, todėl gali prireikti </w:t>
      </w:r>
      <w:proofErr w:type="spellStart"/>
      <w:r w:rsidRPr="008C68EE">
        <w:rPr>
          <w:szCs w:val="22"/>
        </w:rPr>
        <w:t>sunormalinti</w:t>
      </w:r>
      <w:proofErr w:type="spellEnd"/>
      <w:r w:rsidRPr="008C68EE">
        <w:rPr>
          <w:szCs w:val="22"/>
        </w:rPr>
        <w:t xml:space="preserve"> vandens ir elektrolitų kiekį organizme. </w:t>
      </w:r>
    </w:p>
    <w:p w14:paraId="50126A4E" w14:textId="77777777" w:rsidR="008C68EE" w:rsidRPr="008C68EE" w:rsidRDefault="008C68EE" w:rsidP="008C68EE">
      <w:pPr>
        <w:pStyle w:val="Pagrindinistekstas"/>
        <w:spacing w:after="0"/>
        <w:rPr>
          <w:szCs w:val="22"/>
        </w:rPr>
      </w:pPr>
    </w:p>
    <w:p w14:paraId="6D852546" w14:textId="77777777" w:rsidR="008C68EE" w:rsidRPr="008C68EE" w:rsidRDefault="008C68EE" w:rsidP="008C68EE">
      <w:pPr>
        <w:pStyle w:val="Pagrindinistekstas"/>
        <w:spacing w:after="0"/>
        <w:rPr>
          <w:b/>
          <w:szCs w:val="22"/>
        </w:rPr>
      </w:pPr>
      <w:r w:rsidRPr="008C68EE">
        <w:rPr>
          <w:b/>
          <w:szCs w:val="22"/>
        </w:rPr>
        <w:t xml:space="preserve">Pamiršus pavartoti </w:t>
      </w:r>
      <w:proofErr w:type="spellStart"/>
      <w:r w:rsidRPr="008C68EE">
        <w:rPr>
          <w:b/>
          <w:szCs w:val="22"/>
        </w:rPr>
        <w:t>Regulax</w:t>
      </w:r>
      <w:proofErr w:type="spellEnd"/>
      <w:r w:rsidRPr="008C68EE">
        <w:rPr>
          <w:b/>
          <w:szCs w:val="22"/>
        </w:rPr>
        <w:t xml:space="preserve"> </w:t>
      </w:r>
      <w:proofErr w:type="spellStart"/>
      <w:r w:rsidRPr="008C68EE">
        <w:rPr>
          <w:b/>
          <w:szCs w:val="22"/>
        </w:rPr>
        <w:t>Picosulphate</w:t>
      </w:r>
      <w:proofErr w:type="spellEnd"/>
    </w:p>
    <w:p w14:paraId="27F3E0B2" w14:textId="77777777" w:rsidR="008C68EE" w:rsidRPr="008C68EE" w:rsidRDefault="008C68EE" w:rsidP="008C68EE">
      <w:pPr>
        <w:pStyle w:val="Pagrindinistekstas"/>
        <w:spacing w:after="0"/>
        <w:rPr>
          <w:szCs w:val="22"/>
        </w:rPr>
      </w:pPr>
      <w:r w:rsidRPr="008C68EE">
        <w:rPr>
          <w:szCs w:val="22"/>
        </w:rPr>
        <w:t>Negalima vartoti dvigubos dozės norint kompensuoti praleistą dozę.</w:t>
      </w:r>
    </w:p>
    <w:p w14:paraId="51FFE6A7" w14:textId="77777777" w:rsidR="008C68EE" w:rsidRPr="008C68EE" w:rsidRDefault="008C68EE" w:rsidP="008C68EE">
      <w:pPr>
        <w:pStyle w:val="Pagrindinistekstas"/>
        <w:spacing w:after="0"/>
        <w:rPr>
          <w:szCs w:val="22"/>
        </w:rPr>
      </w:pPr>
    </w:p>
    <w:p w14:paraId="61407446" w14:textId="77777777" w:rsidR="008C68EE" w:rsidRPr="008C68EE" w:rsidRDefault="008C68EE" w:rsidP="008C68EE">
      <w:pPr>
        <w:pStyle w:val="Pagrindinistekstas"/>
        <w:spacing w:after="0"/>
        <w:rPr>
          <w:szCs w:val="22"/>
        </w:rPr>
      </w:pPr>
      <w:r w:rsidRPr="008C68EE">
        <w:rPr>
          <w:szCs w:val="22"/>
        </w:rPr>
        <w:t>Jeigu kiltų daugiau klausimų dėl šio vaisto vartojimo, kreipkitės į gydytoją arba vaistininką.</w:t>
      </w:r>
    </w:p>
    <w:p w14:paraId="00B998F2" w14:textId="77777777" w:rsidR="008C68EE" w:rsidRPr="008C68EE" w:rsidRDefault="008C68EE" w:rsidP="008C68EE">
      <w:pPr>
        <w:pStyle w:val="Pagrindinistekstas"/>
        <w:spacing w:after="0"/>
        <w:rPr>
          <w:szCs w:val="22"/>
        </w:rPr>
      </w:pPr>
    </w:p>
    <w:p w14:paraId="6B2D2486" w14:textId="77777777" w:rsidR="008C68EE" w:rsidRPr="008C68EE" w:rsidRDefault="008C68EE" w:rsidP="008C68EE">
      <w:pPr>
        <w:numPr>
          <w:ilvl w:val="12"/>
          <w:numId w:val="0"/>
        </w:numPr>
        <w:rPr>
          <w:szCs w:val="22"/>
        </w:rPr>
      </w:pPr>
    </w:p>
    <w:p w14:paraId="3DDF13C1" w14:textId="77777777" w:rsidR="008C68EE" w:rsidRPr="008C68EE" w:rsidRDefault="008C68EE" w:rsidP="008C68EE">
      <w:pPr>
        <w:keepNext/>
        <w:numPr>
          <w:ilvl w:val="0"/>
          <w:numId w:val="4"/>
        </w:numPr>
        <w:tabs>
          <w:tab w:val="left" w:pos="567"/>
        </w:tabs>
        <w:ind w:left="567" w:right="-2"/>
        <w:rPr>
          <w:szCs w:val="22"/>
        </w:rPr>
      </w:pPr>
      <w:r w:rsidRPr="008C68EE">
        <w:rPr>
          <w:b/>
          <w:szCs w:val="22"/>
        </w:rPr>
        <w:t>Galimas šalutinis poveikis</w:t>
      </w:r>
    </w:p>
    <w:p w14:paraId="3205A7DC" w14:textId="77777777" w:rsidR="008C68EE" w:rsidRPr="008C68EE" w:rsidRDefault="008C68EE" w:rsidP="008C68EE">
      <w:pPr>
        <w:keepNext/>
        <w:numPr>
          <w:ilvl w:val="12"/>
          <w:numId w:val="0"/>
        </w:numPr>
        <w:rPr>
          <w:szCs w:val="22"/>
        </w:rPr>
      </w:pPr>
    </w:p>
    <w:p w14:paraId="1E05671C" w14:textId="77777777" w:rsidR="008C68EE" w:rsidRPr="008C68EE" w:rsidRDefault="008C68EE" w:rsidP="008C68EE">
      <w:pPr>
        <w:numPr>
          <w:ilvl w:val="12"/>
          <w:numId w:val="0"/>
        </w:numPr>
        <w:ind w:right="-29"/>
        <w:rPr>
          <w:szCs w:val="22"/>
        </w:rPr>
      </w:pPr>
      <w:r w:rsidRPr="008C68EE">
        <w:rPr>
          <w:szCs w:val="22"/>
        </w:rPr>
        <w:t>Šis vaistas, kaip ir visi kiti, gali sukelti šalutinį poveikį, nors jis pasireiškia ne visiems žmonėms.</w:t>
      </w:r>
    </w:p>
    <w:p w14:paraId="50515BE3" w14:textId="77777777" w:rsidR="008C68EE" w:rsidRPr="008C68EE" w:rsidRDefault="008C68EE" w:rsidP="008C68EE">
      <w:pPr>
        <w:autoSpaceDE w:val="0"/>
        <w:autoSpaceDN w:val="0"/>
        <w:adjustRightInd w:val="0"/>
        <w:rPr>
          <w:szCs w:val="22"/>
        </w:rPr>
      </w:pPr>
    </w:p>
    <w:p w14:paraId="5C3EEE94" w14:textId="77777777" w:rsidR="008C68EE" w:rsidRPr="008C68EE" w:rsidRDefault="008C68EE" w:rsidP="008C68EE">
      <w:pPr>
        <w:rPr>
          <w:szCs w:val="22"/>
        </w:rPr>
      </w:pPr>
      <w:r w:rsidRPr="008C68EE">
        <w:rPr>
          <w:b/>
          <w:bCs/>
          <w:noProof/>
          <w:snapToGrid w:val="0"/>
          <w:szCs w:val="22"/>
        </w:rPr>
        <w:t>Reti šalutinio poveikio reiškiniai (gali pasireikšti rečiau kaip 1 iš 1 000 asmenų):</w:t>
      </w:r>
    </w:p>
    <w:p w14:paraId="755378CE" w14:textId="77777777" w:rsidR="008C68EE" w:rsidRPr="008C68EE" w:rsidRDefault="008C68EE" w:rsidP="008C68EE">
      <w:pPr>
        <w:rPr>
          <w:szCs w:val="22"/>
        </w:rPr>
      </w:pPr>
      <w:r w:rsidRPr="008C68EE">
        <w:rPr>
          <w:szCs w:val="22"/>
        </w:rPr>
        <w:t xml:space="preserve">Trumpai vartojant </w:t>
      </w:r>
      <w:proofErr w:type="spellStart"/>
      <w:r w:rsidRPr="008C68EE">
        <w:rPr>
          <w:szCs w:val="22"/>
        </w:rPr>
        <w:t>Regulax</w:t>
      </w:r>
      <w:proofErr w:type="spellEnd"/>
      <w:r w:rsidRPr="008C68EE">
        <w:rPr>
          <w:szCs w:val="22"/>
        </w:rPr>
        <w:t xml:space="preserve"> </w:t>
      </w:r>
      <w:proofErr w:type="spellStart"/>
      <w:r w:rsidRPr="008C68EE">
        <w:rPr>
          <w:szCs w:val="22"/>
        </w:rPr>
        <w:t>Picosulphate</w:t>
      </w:r>
      <w:proofErr w:type="spellEnd"/>
      <w:r w:rsidRPr="008C68EE">
        <w:rPr>
          <w:szCs w:val="22"/>
        </w:rPr>
        <w:t xml:space="preserve">, šalutinis poveikis yra retas ir dažniausiai pasireiškia vidurių pūtimu, silpnu skrandžio skausmu ar padažnėjusiu tuštinimusi.  </w:t>
      </w:r>
    </w:p>
    <w:p w14:paraId="1E4E7D42" w14:textId="77777777" w:rsidR="008C68EE" w:rsidRPr="008C68EE" w:rsidRDefault="008C68EE" w:rsidP="008C68EE">
      <w:pPr>
        <w:rPr>
          <w:b/>
          <w:bCs/>
          <w:noProof/>
          <w:snapToGrid w:val="0"/>
          <w:szCs w:val="22"/>
        </w:rPr>
      </w:pPr>
    </w:p>
    <w:p w14:paraId="442821B8" w14:textId="77777777" w:rsidR="008C68EE" w:rsidRPr="008C68EE" w:rsidRDefault="008C68EE" w:rsidP="008C68EE">
      <w:pPr>
        <w:rPr>
          <w:szCs w:val="22"/>
        </w:rPr>
      </w:pPr>
      <w:r w:rsidRPr="008C68EE">
        <w:rPr>
          <w:b/>
          <w:bCs/>
          <w:noProof/>
          <w:snapToGrid w:val="0"/>
          <w:szCs w:val="22"/>
        </w:rPr>
        <w:t>Labai reti šalutinio poveikio reiškiniai (gali pasireikšti rečiau kaip 1 iš 10 000 asmenų:</w:t>
      </w:r>
    </w:p>
    <w:p w14:paraId="52A27A64" w14:textId="77777777" w:rsidR="008C68EE" w:rsidRPr="008C68EE" w:rsidRDefault="008C68EE" w:rsidP="008C68EE">
      <w:pPr>
        <w:rPr>
          <w:szCs w:val="22"/>
        </w:rPr>
      </w:pPr>
      <w:r w:rsidRPr="008C68EE">
        <w:rPr>
          <w:szCs w:val="22"/>
        </w:rPr>
        <w:t xml:space="preserve">Padidėjusio jautrumo reakcija. </w:t>
      </w:r>
    </w:p>
    <w:p w14:paraId="3E3E3368" w14:textId="77777777" w:rsidR="008C68EE" w:rsidRPr="008C68EE" w:rsidRDefault="008C68EE" w:rsidP="008C68EE">
      <w:pPr>
        <w:rPr>
          <w:szCs w:val="22"/>
        </w:rPr>
      </w:pPr>
    </w:p>
    <w:p w14:paraId="7346F7E4" w14:textId="77777777" w:rsidR="008C68EE" w:rsidRPr="008C68EE" w:rsidRDefault="008C68EE" w:rsidP="008C68EE">
      <w:pPr>
        <w:rPr>
          <w:szCs w:val="22"/>
        </w:rPr>
      </w:pPr>
      <w:r w:rsidRPr="008C68EE">
        <w:rPr>
          <w:szCs w:val="22"/>
        </w:rPr>
        <w:t xml:space="preserve">Ilgiau vartojant </w:t>
      </w:r>
      <w:proofErr w:type="spellStart"/>
      <w:r w:rsidRPr="008C68EE">
        <w:rPr>
          <w:szCs w:val="22"/>
        </w:rPr>
        <w:t>Regulax</w:t>
      </w:r>
      <w:proofErr w:type="spellEnd"/>
      <w:r w:rsidRPr="008C68EE">
        <w:rPr>
          <w:szCs w:val="22"/>
        </w:rPr>
        <w:t xml:space="preserve"> </w:t>
      </w:r>
      <w:proofErr w:type="spellStart"/>
      <w:r w:rsidRPr="008C68EE">
        <w:rPr>
          <w:szCs w:val="22"/>
        </w:rPr>
        <w:t>Picosulphate</w:t>
      </w:r>
      <w:proofErr w:type="spellEnd"/>
      <w:r w:rsidRPr="008C68EE">
        <w:rPr>
          <w:szCs w:val="22"/>
        </w:rPr>
        <w:t xml:space="preserve">, gali atsirasti skysčių ir elektrolitų, ypač kalio, trūkumas, didėti vidurių užkietėjimas, todėl preparato galima vartoti tik trumpai. </w:t>
      </w:r>
    </w:p>
    <w:p w14:paraId="04A0E13D" w14:textId="77777777" w:rsidR="008C68EE" w:rsidRPr="008C68EE" w:rsidRDefault="008C68EE" w:rsidP="008C68EE">
      <w:pPr>
        <w:rPr>
          <w:szCs w:val="22"/>
        </w:rPr>
      </w:pPr>
    </w:p>
    <w:p w14:paraId="2AED9AEE" w14:textId="77777777" w:rsidR="008C68EE" w:rsidRPr="008C68EE" w:rsidRDefault="008C68EE" w:rsidP="008C68EE">
      <w:pPr>
        <w:pStyle w:val="Pagrindinistekstas"/>
        <w:spacing w:after="0"/>
        <w:rPr>
          <w:szCs w:val="22"/>
        </w:rPr>
      </w:pPr>
      <w:r w:rsidRPr="008C68EE">
        <w:rPr>
          <w:szCs w:val="22"/>
        </w:rPr>
        <w:t xml:space="preserve">Vartojant didelę vaisto  dozę arba  vaistu gydantis ilgai, labai dažnai gali padidėti vandens, kalio ir kitų elektrolitų trūkumas, todėl gali sutrikti širdies funkcija, pasireikšti raumenų silpnumas, ypač tuo atveju, jeigu kartu vartojama širdies glikozidų, diuretikų ar kortikosteroidų. </w:t>
      </w:r>
    </w:p>
    <w:p w14:paraId="785D7805" w14:textId="77777777" w:rsidR="008C68EE" w:rsidRPr="008C68EE" w:rsidRDefault="008C68EE" w:rsidP="008C68EE">
      <w:pPr>
        <w:pStyle w:val="Pagrindinistekstas"/>
        <w:spacing w:after="0"/>
        <w:rPr>
          <w:szCs w:val="22"/>
        </w:rPr>
      </w:pPr>
    </w:p>
    <w:p w14:paraId="34D256AC" w14:textId="77777777" w:rsidR="008C68EE" w:rsidRPr="008C68EE" w:rsidRDefault="008C68EE" w:rsidP="008C68EE">
      <w:pPr>
        <w:pStyle w:val="Pagrindinistekstas"/>
        <w:spacing w:after="0"/>
        <w:rPr>
          <w:szCs w:val="22"/>
        </w:rPr>
      </w:pPr>
      <w:r w:rsidRPr="008C68EE">
        <w:rPr>
          <w:szCs w:val="22"/>
        </w:rPr>
        <w:t>Jeigu atsiranda šiame lapelyje neminėtas šalutinis poveikis, pasakykite gydytojui arba vaistininkui.</w:t>
      </w:r>
    </w:p>
    <w:p w14:paraId="0453CBE5" w14:textId="77777777" w:rsidR="008C68EE" w:rsidRPr="008C68EE" w:rsidRDefault="008C68EE" w:rsidP="008C68EE">
      <w:pPr>
        <w:pStyle w:val="Pagrindinistekstas"/>
        <w:spacing w:after="0"/>
        <w:rPr>
          <w:szCs w:val="22"/>
        </w:rPr>
      </w:pPr>
    </w:p>
    <w:p w14:paraId="1DC1C7A4" w14:textId="77777777" w:rsidR="008C68EE" w:rsidRPr="008C68EE" w:rsidRDefault="008C68EE" w:rsidP="008C68EE">
      <w:pPr>
        <w:rPr>
          <w:b/>
          <w:bCs/>
          <w:szCs w:val="22"/>
        </w:rPr>
      </w:pPr>
      <w:r w:rsidRPr="008C68EE">
        <w:rPr>
          <w:b/>
          <w:bCs/>
          <w:noProof/>
          <w:szCs w:val="22"/>
        </w:rPr>
        <w:t>Pranešimas apie šalutinį poveikį</w:t>
      </w:r>
    </w:p>
    <w:p w14:paraId="2E14A1F1" w14:textId="77777777" w:rsidR="008C68EE" w:rsidRPr="008C68EE" w:rsidRDefault="008C68EE" w:rsidP="008C68EE">
      <w:pPr>
        <w:pStyle w:val="Pagrindinistekstas"/>
        <w:spacing w:after="0"/>
        <w:rPr>
          <w:snapToGrid w:val="0"/>
          <w:szCs w:val="22"/>
          <w:lang w:eastAsia="en-US"/>
        </w:rPr>
      </w:pPr>
      <w:r w:rsidRPr="008C68EE">
        <w:rPr>
          <w:snapToGrid w:val="0"/>
          <w:szCs w:val="22"/>
          <w:lang w:eastAsia="en-US"/>
        </w:rPr>
        <w:t xml:space="preserve">Jeigu pasireiškė šalutinis poveikis, įskaitant šiame lapelyje nenurodytą, pasakykite gydytojui arba vaistininkui. </w:t>
      </w:r>
      <w:r w:rsidRPr="008C68EE">
        <w:rPr>
          <w:szCs w:val="22"/>
        </w:rPr>
        <w:t xml:space="preserve">Pranešimą apie šalutinį poveikį galite užpildyti ir pateikti Valstybinės vaistų kontrolės tarnybos prie Lietuvos Respublikos sveikatos apsaugos ministerijos tinklalapyje </w:t>
      </w:r>
      <w:r w:rsidRPr="008C68EE">
        <w:rPr>
          <w:szCs w:val="22"/>
          <w:u w:val="single"/>
        </w:rPr>
        <w:t>https://vvkt.lrv.lt/lt/</w:t>
      </w:r>
      <w:r w:rsidRPr="008C68EE">
        <w:rPr>
          <w:szCs w:val="22"/>
        </w:rPr>
        <w:t xml:space="preserve"> nurodytais būdais arba paskambinti nemokamu telefonu 8 800 73 568. </w:t>
      </w:r>
      <w:r w:rsidRPr="008C68EE">
        <w:rPr>
          <w:snapToGrid w:val="0"/>
          <w:szCs w:val="22"/>
          <w:lang w:eastAsia="en-US"/>
        </w:rPr>
        <w:t xml:space="preserve"> Pranešdami apie šalutinį poveikį galite mums padėti gauti daugiau informacijos apie šio vaisto saugumą.</w:t>
      </w:r>
    </w:p>
    <w:p w14:paraId="68955957" w14:textId="77777777" w:rsidR="008C68EE" w:rsidRPr="008C68EE" w:rsidRDefault="008C68EE" w:rsidP="008C68EE">
      <w:pPr>
        <w:autoSpaceDE w:val="0"/>
        <w:autoSpaceDN w:val="0"/>
        <w:adjustRightInd w:val="0"/>
        <w:rPr>
          <w:szCs w:val="22"/>
        </w:rPr>
      </w:pPr>
    </w:p>
    <w:p w14:paraId="449140B0" w14:textId="77777777" w:rsidR="008C68EE" w:rsidRPr="008C68EE" w:rsidRDefault="008C68EE" w:rsidP="008C68EE">
      <w:pPr>
        <w:keepNext/>
        <w:numPr>
          <w:ilvl w:val="0"/>
          <w:numId w:val="4"/>
        </w:numPr>
        <w:tabs>
          <w:tab w:val="left" w:pos="567"/>
        </w:tabs>
        <w:ind w:left="567" w:right="-2"/>
        <w:rPr>
          <w:b/>
          <w:szCs w:val="22"/>
        </w:rPr>
      </w:pPr>
      <w:r w:rsidRPr="008C68EE">
        <w:rPr>
          <w:b/>
          <w:szCs w:val="22"/>
        </w:rPr>
        <w:t xml:space="preserve">Kaip laikyti </w:t>
      </w:r>
      <w:proofErr w:type="spellStart"/>
      <w:r w:rsidRPr="008C68EE">
        <w:rPr>
          <w:b/>
          <w:szCs w:val="22"/>
        </w:rPr>
        <w:t>Regulax</w:t>
      </w:r>
      <w:proofErr w:type="spellEnd"/>
      <w:r w:rsidRPr="008C68EE">
        <w:rPr>
          <w:b/>
          <w:szCs w:val="22"/>
        </w:rPr>
        <w:t xml:space="preserve"> </w:t>
      </w:r>
      <w:proofErr w:type="spellStart"/>
      <w:r w:rsidRPr="008C68EE">
        <w:rPr>
          <w:b/>
          <w:szCs w:val="22"/>
        </w:rPr>
        <w:t>Picosulphate</w:t>
      </w:r>
      <w:proofErr w:type="spellEnd"/>
    </w:p>
    <w:p w14:paraId="136B70DD" w14:textId="77777777" w:rsidR="008C68EE" w:rsidRPr="008C68EE" w:rsidRDefault="008C68EE" w:rsidP="008C68EE">
      <w:pPr>
        <w:keepNext/>
        <w:numPr>
          <w:ilvl w:val="12"/>
          <w:numId w:val="0"/>
        </w:numPr>
        <w:ind w:right="-2"/>
        <w:rPr>
          <w:szCs w:val="22"/>
        </w:rPr>
      </w:pPr>
    </w:p>
    <w:p w14:paraId="1BD5885B" w14:textId="77777777" w:rsidR="008C68EE" w:rsidRPr="008C68EE" w:rsidRDefault="008C68EE" w:rsidP="008C68EE">
      <w:pPr>
        <w:numPr>
          <w:ilvl w:val="12"/>
          <w:numId w:val="0"/>
        </w:numPr>
        <w:ind w:right="-2"/>
        <w:rPr>
          <w:szCs w:val="22"/>
        </w:rPr>
      </w:pPr>
      <w:r w:rsidRPr="008C68EE">
        <w:rPr>
          <w:szCs w:val="22"/>
        </w:rPr>
        <w:t>Šį vaistą laikykite vaikams nepastebimoje ir nepasiekiamoje vietoje.</w:t>
      </w:r>
    </w:p>
    <w:p w14:paraId="69DCDC21" w14:textId="77777777" w:rsidR="008C68EE" w:rsidRPr="008C68EE" w:rsidRDefault="008C68EE" w:rsidP="008C68EE">
      <w:pPr>
        <w:rPr>
          <w:szCs w:val="22"/>
        </w:rPr>
      </w:pPr>
      <w:r w:rsidRPr="008C68EE">
        <w:rPr>
          <w:szCs w:val="22"/>
        </w:rPr>
        <w:t>Laikyti ne aukštesnėje kaip 25 °C temperatūroje.</w:t>
      </w:r>
    </w:p>
    <w:p w14:paraId="58F5CC5B" w14:textId="77777777" w:rsidR="008C68EE" w:rsidRPr="008C68EE" w:rsidRDefault="008C68EE" w:rsidP="008C68EE">
      <w:pPr>
        <w:rPr>
          <w:szCs w:val="22"/>
        </w:rPr>
      </w:pPr>
      <w:r w:rsidRPr="008C68EE">
        <w:rPr>
          <w:szCs w:val="22"/>
        </w:rPr>
        <w:t>Ant buteliuko etiketės po „EXP“ ir kartono dėžutės po „Tinka iki“ nurodytam tinkamumo laikui pasibaigus, šio vaisto vartoti negalima. Vaistas tinkamas vartoti iki paskutinės nurodyto mėnesio dienos.</w:t>
      </w:r>
    </w:p>
    <w:p w14:paraId="68ADAE40" w14:textId="77777777" w:rsidR="008C68EE" w:rsidRPr="008C68EE" w:rsidRDefault="008C68EE" w:rsidP="008C68EE">
      <w:pPr>
        <w:rPr>
          <w:szCs w:val="22"/>
        </w:rPr>
      </w:pPr>
      <w:r w:rsidRPr="008C68EE">
        <w:rPr>
          <w:szCs w:val="22"/>
        </w:rPr>
        <w:t>Pirmą kartą atidarius buteliuką, tirpalo tinkamumo laikas yra 6 mėn.</w:t>
      </w:r>
    </w:p>
    <w:p w14:paraId="6A02BC5E" w14:textId="77777777" w:rsidR="008C68EE" w:rsidRPr="008C68EE" w:rsidRDefault="008C68EE" w:rsidP="008C68EE">
      <w:pPr>
        <w:pStyle w:val="BTEMEASMCA"/>
        <w:rPr>
          <w:noProof w:val="0"/>
        </w:rPr>
      </w:pPr>
    </w:p>
    <w:p w14:paraId="06014A4D" w14:textId="77777777" w:rsidR="008C68EE" w:rsidRPr="008C68EE" w:rsidRDefault="008C68EE" w:rsidP="008C68EE">
      <w:pPr>
        <w:numPr>
          <w:ilvl w:val="12"/>
          <w:numId w:val="0"/>
        </w:numPr>
        <w:ind w:right="-2"/>
        <w:rPr>
          <w:i/>
          <w:iCs/>
          <w:szCs w:val="22"/>
        </w:rPr>
      </w:pPr>
      <w:r w:rsidRPr="008C68EE">
        <w:rPr>
          <w:szCs w:val="22"/>
        </w:rPr>
        <w:t>Vaistų negalima išmesti į kanalizaciją arba su buitinėmis atliekomis. Kaip išmesti nereikalingus vaistus, klauskite vaistininko. Šios priemonės padės apsaugoti aplinką.</w:t>
      </w:r>
    </w:p>
    <w:p w14:paraId="7A8C31E1" w14:textId="77777777" w:rsidR="008C68EE" w:rsidRPr="008C68EE" w:rsidRDefault="008C68EE" w:rsidP="008C68EE">
      <w:pPr>
        <w:pStyle w:val="Antrat2"/>
        <w:spacing w:before="0" w:after="0"/>
        <w:rPr>
          <w:rFonts w:ascii="Times New Roman" w:hAnsi="Times New Roman" w:cs="Times New Roman"/>
          <w:color w:val="auto"/>
          <w:sz w:val="22"/>
          <w:szCs w:val="22"/>
        </w:rPr>
      </w:pPr>
    </w:p>
    <w:p w14:paraId="6F6270A2" w14:textId="77777777" w:rsidR="008C68EE" w:rsidRPr="008C68EE" w:rsidRDefault="008C68EE" w:rsidP="008C68EE">
      <w:pPr>
        <w:numPr>
          <w:ilvl w:val="12"/>
          <w:numId w:val="0"/>
        </w:numPr>
        <w:ind w:right="-2"/>
        <w:rPr>
          <w:szCs w:val="22"/>
        </w:rPr>
      </w:pPr>
    </w:p>
    <w:p w14:paraId="2E87E645" w14:textId="77777777" w:rsidR="008C68EE" w:rsidRPr="008C68EE" w:rsidRDefault="008C68EE" w:rsidP="008C68EE">
      <w:pPr>
        <w:keepNext/>
        <w:numPr>
          <w:ilvl w:val="0"/>
          <w:numId w:val="4"/>
        </w:numPr>
        <w:tabs>
          <w:tab w:val="left" w:pos="567"/>
        </w:tabs>
        <w:ind w:left="567" w:right="-2"/>
        <w:rPr>
          <w:b/>
          <w:szCs w:val="22"/>
        </w:rPr>
      </w:pPr>
      <w:r w:rsidRPr="008C68EE">
        <w:rPr>
          <w:b/>
          <w:szCs w:val="22"/>
        </w:rPr>
        <w:t>Pakuotės turinys ir kita informacija</w:t>
      </w:r>
    </w:p>
    <w:p w14:paraId="2E99C2CE" w14:textId="77777777" w:rsidR="008C68EE" w:rsidRPr="008C68EE" w:rsidRDefault="008C68EE" w:rsidP="008C68EE">
      <w:pPr>
        <w:keepNext/>
        <w:numPr>
          <w:ilvl w:val="12"/>
          <w:numId w:val="0"/>
        </w:numPr>
        <w:rPr>
          <w:szCs w:val="22"/>
        </w:rPr>
      </w:pPr>
    </w:p>
    <w:p w14:paraId="5BD3153A" w14:textId="77777777" w:rsidR="008C68EE" w:rsidRPr="008C68EE" w:rsidRDefault="008C68EE" w:rsidP="008C68EE">
      <w:pPr>
        <w:pStyle w:val="Pagrindinistekstas"/>
        <w:spacing w:after="0"/>
        <w:rPr>
          <w:szCs w:val="22"/>
        </w:rPr>
      </w:pPr>
      <w:proofErr w:type="spellStart"/>
      <w:r w:rsidRPr="008C68EE">
        <w:rPr>
          <w:b/>
          <w:szCs w:val="22"/>
        </w:rPr>
        <w:t>Regulax</w:t>
      </w:r>
      <w:proofErr w:type="spellEnd"/>
      <w:r w:rsidRPr="008C68EE">
        <w:rPr>
          <w:b/>
          <w:szCs w:val="22"/>
        </w:rPr>
        <w:t xml:space="preserve"> </w:t>
      </w:r>
      <w:proofErr w:type="spellStart"/>
      <w:r w:rsidRPr="008C68EE">
        <w:rPr>
          <w:b/>
          <w:szCs w:val="22"/>
        </w:rPr>
        <w:t>Picosulphate</w:t>
      </w:r>
      <w:proofErr w:type="spellEnd"/>
      <w:r w:rsidRPr="008C68EE">
        <w:rPr>
          <w:b/>
          <w:szCs w:val="22"/>
        </w:rPr>
        <w:t xml:space="preserve"> sudėtis</w:t>
      </w:r>
    </w:p>
    <w:p w14:paraId="4BE23B58" w14:textId="77777777" w:rsidR="008C68EE" w:rsidRPr="008C68EE" w:rsidRDefault="008C68EE" w:rsidP="008C68EE">
      <w:pPr>
        <w:pStyle w:val="Pagrindinistekstas"/>
        <w:spacing w:after="0"/>
        <w:ind w:left="567" w:hanging="567"/>
        <w:rPr>
          <w:szCs w:val="22"/>
        </w:rPr>
      </w:pPr>
      <w:r w:rsidRPr="008C68EE">
        <w:rPr>
          <w:szCs w:val="22"/>
        </w:rPr>
        <w:lastRenderedPageBreak/>
        <w:t>-</w:t>
      </w:r>
      <w:r w:rsidRPr="008C68EE">
        <w:rPr>
          <w:szCs w:val="22"/>
        </w:rPr>
        <w:tab/>
        <w:t>Veiklioji (-</w:t>
      </w:r>
      <w:proofErr w:type="spellStart"/>
      <w:r w:rsidRPr="008C68EE">
        <w:rPr>
          <w:szCs w:val="22"/>
        </w:rPr>
        <w:t>sios</w:t>
      </w:r>
      <w:proofErr w:type="spellEnd"/>
      <w:r w:rsidRPr="008C68EE">
        <w:rPr>
          <w:szCs w:val="22"/>
        </w:rPr>
        <w:t>) medžiaga (-</w:t>
      </w:r>
      <w:proofErr w:type="spellStart"/>
      <w:r w:rsidRPr="008C68EE">
        <w:rPr>
          <w:szCs w:val="22"/>
        </w:rPr>
        <w:t>os</w:t>
      </w:r>
      <w:proofErr w:type="spellEnd"/>
      <w:r w:rsidRPr="008C68EE">
        <w:rPr>
          <w:szCs w:val="22"/>
        </w:rPr>
        <w:t xml:space="preserve">) yra natrio </w:t>
      </w:r>
      <w:proofErr w:type="spellStart"/>
      <w:r w:rsidRPr="008C68EE">
        <w:rPr>
          <w:szCs w:val="22"/>
        </w:rPr>
        <w:t>pikosulfatas</w:t>
      </w:r>
      <w:proofErr w:type="spellEnd"/>
      <w:r w:rsidRPr="008C68EE">
        <w:rPr>
          <w:szCs w:val="22"/>
        </w:rPr>
        <w:t xml:space="preserve">. 1 ml (20 lašų) tirpalo yra 7,5 mg natrio </w:t>
      </w:r>
      <w:proofErr w:type="spellStart"/>
      <w:r w:rsidRPr="008C68EE">
        <w:rPr>
          <w:szCs w:val="22"/>
        </w:rPr>
        <w:t>pikosulfato</w:t>
      </w:r>
      <w:proofErr w:type="spellEnd"/>
      <w:r w:rsidRPr="008C68EE">
        <w:rPr>
          <w:szCs w:val="22"/>
        </w:rPr>
        <w:t xml:space="preserve"> </w:t>
      </w:r>
      <w:proofErr w:type="spellStart"/>
      <w:r w:rsidRPr="008C68EE">
        <w:rPr>
          <w:szCs w:val="22"/>
        </w:rPr>
        <w:t>monohidrato</w:t>
      </w:r>
      <w:proofErr w:type="spellEnd"/>
      <w:r w:rsidRPr="008C68EE">
        <w:rPr>
          <w:szCs w:val="22"/>
        </w:rPr>
        <w:t xml:space="preserve"> (atitinka 7,23 mg natrio </w:t>
      </w:r>
      <w:proofErr w:type="spellStart"/>
      <w:r w:rsidRPr="008C68EE">
        <w:rPr>
          <w:szCs w:val="22"/>
        </w:rPr>
        <w:t>pikosulfato</w:t>
      </w:r>
      <w:proofErr w:type="spellEnd"/>
      <w:r w:rsidRPr="008C68EE">
        <w:rPr>
          <w:szCs w:val="22"/>
        </w:rPr>
        <w:t xml:space="preserve">). </w:t>
      </w:r>
    </w:p>
    <w:p w14:paraId="410B80AD" w14:textId="77777777" w:rsidR="008C68EE" w:rsidRPr="008C68EE" w:rsidRDefault="008C68EE" w:rsidP="008C68EE">
      <w:pPr>
        <w:pStyle w:val="Pagrindinistekstas"/>
        <w:spacing w:after="0"/>
        <w:ind w:left="567" w:hanging="567"/>
        <w:rPr>
          <w:szCs w:val="22"/>
        </w:rPr>
      </w:pPr>
      <w:r w:rsidRPr="008C68EE">
        <w:rPr>
          <w:szCs w:val="22"/>
        </w:rPr>
        <w:t>-</w:t>
      </w:r>
      <w:r w:rsidRPr="008C68EE">
        <w:rPr>
          <w:szCs w:val="22"/>
        </w:rPr>
        <w:tab/>
        <w:t>Pagalbinė (-ės) medžiaga (-</w:t>
      </w:r>
      <w:proofErr w:type="spellStart"/>
      <w:r w:rsidRPr="008C68EE">
        <w:rPr>
          <w:szCs w:val="22"/>
        </w:rPr>
        <w:t>os</w:t>
      </w:r>
      <w:proofErr w:type="spellEnd"/>
      <w:r w:rsidRPr="008C68EE">
        <w:rPr>
          <w:szCs w:val="22"/>
        </w:rPr>
        <w:t>) yra</w:t>
      </w:r>
      <w:r w:rsidRPr="008C68EE" w:rsidDel="001B4A3C">
        <w:rPr>
          <w:szCs w:val="22"/>
        </w:rPr>
        <w:t xml:space="preserve"> </w:t>
      </w:r>
      <w:r w:rsidRPr="008C68EE">
        <w:rPr>
          <w:szCs w:val="22"/>
        </w:rPr>
        <w:t xml:space="preserve">skystasis </w:t>
      </w:r>
      <w:proofErr w:type="spellStart"/>
      <w:r w:rsidRPr="008C68EE">
        <w:rPr>
          <w:szCs w:val="22"/>
        </w:rPr>
        <w:t>sorbitolis</w:t>
      </w:r>
      <w:proofErr w:type="spellEnd"/>
      <w:r w:rsidRPr="008C68EE">
        <w:rPr>
          <w:szCs w:val="22"/>
        </w:rPr>
        <w:t xml:space="preserve"> (nesikristalizuojantis), </w:t>
      </w:r>
      <w:proofErr w:type="spellStart"/>
      <w:r w:rsidRPr="008C68EE">
        <w:rPr>
          <w:szCs w:val="22"/>
        </w:rPr>
        <w:t>propilenglikolis</w:t>
      </w:r>
      <w:proofErr w:type="spellEnd"/>
      <w:r w:rsidRPr="008C68EE">
        <w:rPr>
          <w:szCs w:val="22"/>
        </w:rPr>
        <w:t xml:space="preserve"> ir išgrynintas vanduo. </w:t>
      </w:r>
    </w:p>
    <w:p w14:paraId="7154414A" w14:textId="77777777" w:rsidR="008C68EE" w:rsidRPr="008C68EE" w:rsidRDefault="008C68EE" w:rsidP="008C68EE">
      <w:pPr>
        <w:pStyle w:val="Pagrindinistekstas"/>
        <w:spacing w:after="0"/>
        <w:rPr>
          <w:szCs w:val="22"/>
        </w:rPr>
      </w:pPr>
    </w:p>
    <w:p w14:paraId="4859A8EC" w14:textId="77777777" w:rsidR="008C68EE" w:rsidRPr="008C68EE" w:rsidRDefault="008C68EE" w:rsidP="008C68EE">
      <w:pPr>
        <w:jc w:val="both"/>
        <w:rPr>
          <w:b/>
          <w:szCs w:val="22"/>
        </w:rPr>
      </w:pPr>
      <w:proofErr w:type="spellStart"/>
      <w:r w:rsidRPr="008C68EE">
        <w:rPr>
          <w:b/>
          <w:szCs w:val="22"/>
        </w:rPr>
        <w:t>Regulax</w:t>
      </w:r>
      <w:proofErr w:type="spellEnd"/>
      <w:r w:rsidRPr="008C68EE">
        <w:rPr>
          <w:b/>
          <w:szCs w:val="22"/>
        </w:rPr>
        <w:t xml:space="preserve"> </w:t>
      </w:r>
      <w:proofErr w:type="spellStart"/>
      <w:r w:rsidRPr="008C68EE">
        <w:rPr>
          <w:b/>
          <w:szCs w:val="22"/>
        </w:rPr>
        <w:t>Picosulphate</w:t>
      </w:r>
      <w:proofErr w:type="spellEnd"/>
      <w:r w:rsidRPr="008C68EE">
        <w:rPr>
          <w:b/>
          <w:szCs w:val="22"/>
        </w:rPr>
        <w:t xml:space="preserve"> išvaizda ir kiekis pakuotėje</w:t>
      </w:r>
    </w:p>
    <w:p w14:paraId="32B23516" w14:textId="77777777" w:rsidR="008C68EE" w:rsidRPr="008C68EE" w:rsidRDefault="008C68EE" w:rsidP="008C68EE">
      <w:pPr>
        <w:jc w:val="both"/>
        <w:rPr>
          <w:szCs w:val="22"/>
        </w:rPr>
      </w:pPr>
      <w:proofErr w:type="spellStart"/>
      <w:r w:rsidRPr="008C68EE">
        <w:rPr>
          <w:szCs w:val="22"/>
        </w:rPr>
        <w:t>Regulax</w:t>
      </w:r>
      <w:proofErr w:type="spellEnd"/>
      <w:r w:rsidRPr="008C68EE">
        <w:rPr>
          <w:szCs w:val="22"/>
        </w:rPr>
        <w:t xml:space="preserve"> </w:t>
      </w:r>
      <w:proofErr w:type="spellStart"/>
      <w:r w:rsidRPr="008C68EE">
        <w:rPr>
          <w:szCs w:val="22"/>
        </w:rPr>
        <w:t>Picosulphate</w:t>
      </w:r>
      <w:proofErr w:type="spellEnd"/>
      <w:r w:rsidRPr="008C68EE">
        <w:rPr>
          <w:szCs w:val="22"/>
        </w:rPr>
        <w:t xml:space="preserve"> yra skaidrus ir bespalvis tirpalas.</w:t>
      </w:r>
    </w:p>
    <w:p w14:paraId="79AB4E2D" w14:textId="77777777" w:rsidR="008C68EE" w:rsidRPr="008C68EE" w:rsidRDefault="008C68EE" w:rsidP="008C68EE">
      <w:pPr>
        <w:jc w:val="both"/>
        <w:rPr>
          <w:szCs w:val="22"/>
        </w:rPr>
      </w:pPr>
      <w:r w:rsidRPr="008C68EE">
        <w:rPr>
          <w:szCs w:val="22"/>
        </w:rPr>
        <w:t>Kartono dėžutėje yra buteliukas, kuriame yra 20 ml arba 50 ml tirpalo.</w:t>
      </w:r>
    </w:p>
    <w:p w14:paraId="3BE31599" w14:textId="77777777" w:rsidR="008C68EE" w:rsidRPr="008C68EE" w:rsidRDefault="008C68EE" w:rsidP="008C68EE">
      <w:pPr>
        <w:jc w:val="both"/>
        <w:rPr>
          <w:szCs w:val="22"/>
        </w:rPr>
      </w:pPr>
    </w:p>
    <w:p w14:paraId="11C07529" w14:textId="77777777" w:rsidR="008C68EE" w:rsidRPr="008C68EE" w:rsidRDefault="008C68EE" w:rsidP="008C68EE">
      <w:pPr>
        <w:pStyle w:val="BTEMEASMCA"/>
      </w:pPr>
      <w:r w:rsidRPr="008C68EE">
        <w:t>Gali būti tiekiamos ne visų dydžių pakuotės.</w:t>
      </w:r>
    </w:p>
    <w:p w14:paraId="1F5B72EC" w14:textId="77777777" w:rsidR="008C68EE" w:rsidRPr="008C68EE" w:rsidRDefault="008C68EE" w:rsidP="008C68EE">
      <w:pPr>
        <w:pStyle w:val="Pagrindinistekstas"/>
        <w:spacing w:after="0"/>
        <w:rPr>
          <w:szCs w:val="22"/>
        </w:rPr>
      </w:pPr>
    </w:p>
    <w:p w14:paraId="12549716" w14:textId="77777777" w:rsidR="008C68EE" w:rsidRPr="008C68EE" w:rsidRDefault="008C68EE" w:rsidP="008C68EE">
      <w:pPr>
        <w:pStyle w:val="PI-3EMEASMCA"/>
      </w:pPr>
      <w:r w:rsidRPr="008C68EE">
        <w:t>Registruotojas ir gamintojas</w:t>
      </w:r>
    </w:p>
    <w:p w14:paraId="5234E82E" w14:textId="77777777" w:rsidR="008C68EE" w:rsidRPr="008C68EE" w:rsidRDefault="008C68EE" w:rsidP="008C68EE">
      <w:pPr>
        <w:pStyle w:val="Pagrindinistekstas"/>
        <w:spacing w:after="0"/>
        <w:rPr>
          <w:bCs/>
          <w:i/>
          <w:iCs/>
          <w:szCs w:val="22"/>
        </w:rPr>
      </w:pPr>
      <w:r w:rsidRPr="008C68EE">
        <w:rPr>
          <w:bCs/>
          <w:i/>
          <w:iCs/>
          <w:szCs w:val="22"/>
        </w:rPr>
        <w:t>Registruotojas</w:t>
      </w:r>
    </w:p>
    <w:p w14:paraId="52BC0799" w14:textId="77777777" w:rsidR="008C68EE" w:rsidRPr="008C68EE" w:rsidRDefault="008C68EE" w:rsidP="008C68EE">
      <w:pPr>
        <w:pStyle w:val="BTEMEASMCA"/>
      </w:pPr>
      <w:r w:rsidRPr="008C68EE">
        <w:t>Dr. Theiss Naturwaren GmbH</w:t>
      </w:r>
    </w:p>
    <w:p w14:paraId="127C5F16" w14:textId="77777777" w:rsidR="008C68EE" w:rsidRPr="008C68EE" w:rsidRDefault="008C68EE" w:rsidP="008C68EE">
      <w:pPr>
        <w:pStyle w:val="BTEMEASMCA"/>
      </w:pPr>
      <w:r w:rsidRPr="008C68EE">
        <w:t>Michelinstraße 10</w:t>
      </w:r>
    </w:p>
    <w:p w14:paraId="4858950D" w14:textId="77777777" w:rsidR="008C68EE" w:rsidRPr="008C68EE" w:rsidRDefault="008C68EE" w:rsidP="008C68EE">
      <w:pPr>
        <w:pStyle w:val="BTEMEASMCA"/>
      </w:pPr>
      <w:r w:rsidRPr="008C68EE">
        <w:t>66424 Homburg</w:t>
      </w:r>
    </w:p>
    <w:p w14:paraId="095AE732" w14:textId="77777777" w:rsidR="008C68EE" w:rsidRPr="008C68EE" w:rsidRDefault="008C68EE" w:rsidP="008C68EE">
      <w:pPr>
        <w:rPr>
          <w:szCs w:val="22"/>
        </w:rPr>
      </w:pPr>
      <w:r w:rsidRPr="008C68EE">
        <w:rPr>
          <w:szCs w:val="22"/>
        </w:rPr>
        <w:t xml:space="preserve">Vokietija </w:t>
      </w:r>
    </w:p>
    <w:p w14:paraId="7F6429F9" w14:textId="77777777" w:rsidR="008C68EE" w:rsidRPr="008C68EE" w:rsidRDefault="008C68EE" w:rsidP="008C68EE">
      <w:pPr>
        <w:pStyle w:val="Pagrindinistekstas"/>
        <w:spacing w:after="0"/>
        <w:rPr>
          <w:szCs w:val="22"/>
        </w:rPr>
      </w:pPr>
    </w:p>
    <w:p w14:paraId="40AB3A3B" w14:textId="77777777" w:rsidR="008C68EE" w:rsidRPr="008C68EE" w:rsidRDefault="008C68EE" w:rsidP="008C68EE">
      <w:pPr>
        <w:tabs>
          <w:tab w:val="left" w:pos="567"/>
        </w:tabs>
        <w:ind w:left="567" w:hanging="567"/>
        <w:rPr>
          <w:bCs/>
          <w:i/>
          <w:iCs/>
          <w:szCs w:val="22"/>
        </w:rPr>
      </w:pPr>
      <w:r w:rsidRPr="008C68EE">
        <w:rPr>
          <w:bCs/>
          <w:i/>
          <w:iCs/>
          <w:szCs w:val="22"/>
        </w:rPr>
        <w:t>Gamintojas</w:t>
      </w:r>
    </w:p>
    <w:p w14:paraId="03E5BE2E" w14:textId="77777777" w:rsidR="008C68EE" w:rsidRPr="008C68EE" w:rsidRDefault="008C68EE" w:rsidP="008C68EE">
      <w:pPr>
        <w:tabs>
          <w:tab w:val="left" w:pos="567"/>
        </w:tabs>
        <w:ind w:left="567" w:hanging="567"/>
        <w:rPr>
          <w:szCs w:val="22"/>
        </w:rPr>
      </w:pPr>
      <w:r w:rsidRPr="008C68EE">
        <w:rPr>
          <w:szCs w:val="22"/>
        </w:rPr>
        <w:t xml:space="preserve">KM Pharma </w:t>
      </w:r>
      <w:proofErr w:type="spellStart"/>
      <w:r w:rsidRPr="008C68EE">
        <w:rPr>
          <w:szCs w:val="22"/>
        </w:rPr>
        <w:t>GmbH</w:t>
      </w:r>
      <w:proofErr w:type="spellEnd"/>
    </w:p>
    <w:p w14:paraId="1FBDAEE6" w14:textId="77777777" w:rsidR="008C68EE" w:rsidRPr="008C68EE" w:rsidRDefault="008C68EE" w:rsidP="008C68EE">
      <w:pPr>
        <w:tabs>
          <w:tab w:val="left" w:pos="567"/>
        </w:tabs>
        <w:ind w:left="567" w:hanging="567"/>
        <w:rPr>
          <w:szCs w:val="22"/>
        </w:rPr>
      </w:pPr>
      <w:proofErr w:type="spellStart"/>
      <w:r w:rsidRPr="008C68EE">
        <w:rPr>
          <w:szCs w:val="22"/>
        </w:rPr>
        <w:t>Xavier-Vorbrüggen</w:t>
      </w:r>
      <w:proofErr w:type="spellEnd"/>
      <w:r w:rsidRPr="008C68EE">
        <w:rPr>
          <w:szCs w:val="22"/>
        </w:rPr>
        <w:t xml:space="preserve"> Str. 6</w:t>
      </w:r>
    </w:p>
    <w:p w14:paraId="4AEB6C45" w14:textId="77777777" w:rsidR="008C68EE" w:rsidRPr="008C68EE" w:rsidRDefault="008C68EE" w:rsidP="008C68EE">
      <w:pPr>
        <w:tabs>
          <w:tab w:val="left" w:pos="567"/>
        </w:tabs>
        <w:ind w:left="567" w:hanging="567"/>
        <w:rPr>
          <w:szCs w:val="22"/>
        </w:rPr>
      </w:pPr>
      <w:r w:rsidRPr="008C68EE">
        <w:rPr>
          <w:szCs w:val="22"/>
        </w:rPr>
        <w:t xml:space="preserve">98694 </w:t>
      </w:r>
      <w:proofErr w:type="spellStart"/>
      <w:r w:rsidRPr="008C68EE">
        <w:rPr>
          <w:szCs w:val="22"/>
        </w:rPr>
        <w:t>Ilmenau</w:t>
      </w:r>
      <w:proofErr w:type="spellEnd"/>
    </w:p>
    <w:p w14:paraId="44A56E2E" w14:textId="77777777" w:rsidR="008C68EE" w:rsidRPr="008C68EE" w:rsidRDefault="008C68EE" w:rsidP="008C68EE">
      <w:pPr>
        <w:tabs>
          <w:tab w:val="left" w:pos="567"/>
        </w:tabs>
        <w:ind w:left="567" w:hanging="567"/>
        <w:rPr>
          <w:szCs w:val="22"/>
        </w:rPr>
      </w:pPr>
      <w:r w:rsidRPr="008C68EE">
        <w:rPr>
          <w:szCs w:val="22"/>
        </w:rPr>
        <w:t>Vokietija</w:t>
      </w:r>
    </w:p>
    <w:p w14:paraId="1980AFC2" w14:textId="77777777" w:rsidR="008C68EE" w:rsidRPr="008C68EE" w:rsidRDefault="008C68EE" w:rsidP="008C68EE">
      <w:pPr>
        <w:pStyle w:val="Pagrindinistekstas"/>
        <w:spacing w:after="0"/>
        <w:rPr>
          <w:szCs w:val="22"/>
        </w:rPr>
      </w:pPr>
    </w:p>
    <w:p w14:paraId="78E35F2B" w14:textId="77777777" w:rsidR="008C68EE" w:rsidRPr="008C68EE" w:rsidRDefault="008C68EE" w:rsidP="008C68EE">
      <w:pPr>
        <w:jc w:val="both"/>
        <w:rPr>
          <w:szCs w:val="22"/>
        </w:rPr>
      </w:pPr>
    </w:p>
    <w:p w14:paraId="45C6EF94" w14:textId="77777777" w:rsidR="008C68EE" w:rsidRPr="008C68EE" w:rsidRDefault="008C68EE" w:rsidP="008C68EE">
      <w:pPr>
        <w:pStyle w:val="Pagrindinistekstas"/>
        <w:spacing w:after="0"/>
        <w:rPr>
          <w:szCs w:val="22"/>
        </w:rPr>
      </w:pPr>
    </w:p>
    <w:p w14:paraId="7BE1DD73" w14:textId="77777777" w:rsidR="008C68EE" w:rsidRPr="008C68EE" w:rsidRDefault="008C68EE" w:rsidP="008C68EE">
      <w:pPr>
        <w:pStyle w:val="BTbEMEASMCA"/>
      </w:pPr>
      <w:r w:rsidRPr="008C68EE">
        <w:t>Šis pakuotės lapelis paskutinį kartą peržiūrėtas 2026-05-01.</w:t>
      </w:r>
    </w:p>
    <w:p w14:paraId="22F97911" w14:textId="77777777" w:rsidR="008C68EE" w:rsidRPr="008C68EE" w:rsidRDefault="008C68EE" w:rsidP="008C68EE">
      <w:pPr>
        <w:pStyle w:val="Pagrindinistekstas"/>
        <w:spacing w:after="0"/>
        <w:rPr>
          <w:b/>
          <w:szCs w:val="22"/>
        </w:rPr>
      </w:pPr>
    </w:p>
    <w:p w14:paraId="57A6576B" w14:textId="77777777" w:rsidR="008C68EE" w:rsidRPr="008C68EE" w:rsidRDefault="008C68EE" w:rsidP="008C68EE">
      <w:pPr>
        <w:pStyle w:val="Pagrindinistekstas"/>
        <w:spacing w:after="0"/>
        <w:rPr>
          <w:b/>
          <w:szCs w:val="22"/>
        </w:rPr>
      </w:pPr>
    </w:p>
    <w:p w14:paraId="23748056" w14:textId="77777777" w:rsidR="008C68EE" w:rsidRPr="008C68EE" w:rsidRDefault="008C68EE" w:rsidP="008C68EE">
      <w:pPr>
        <w:rPr>
          <w:noProof/>
          <w:szCs w:val="22"/>
          <w:lang w:eastAsia="en-US"/>
        </w:rPr>
      </w:pPr>
      <w:r w:rsidRPr="008C68EE">
        <w:rPr>
          <w:noProof/>
          <w:szCs w:val="22"/>
          <w:lang w:eastAsia="en-US"/>
        </w:rPr>
        <w:t>Išsami informacija apie šį vaistą pateikiama Valstybinės vaistų kontrolės tarnybos prie Lietuvos Respublikos sveikatos apsaugos ministerijos tinklalapyje</w:t>
      </w:r>
      <w:r w:rsidRPr="008C68EE">
        <w:rPr>
          <w:i/>
          <w:noProof/>
          <w:szCs w:val="22"/>
          <w:lang w:eastAsia="en-US"/>
        </w:rPr>
        <w:t xml:space="preserve"> </w:t>
      </w:r>
      <w:r w:rsidRPr="008C68EE">
        <w:rPr>
          <w:szCs w:val="22"/>
        </w:rPr>
        <w:t>https://vvkt.lrv.lt/lt/</w:t>
      </w:r>
      <w:r w:rsidRPr="008C68EE">
        <w:rPr>
          <w:noProof/>
          <w:szCs w:val="22"/>
          <w:lang w:eastAsia="en-US"/>
        </w:rPr>
        <w:t>.</w:t>
      </w:r>
    </w:p>
    <w:p w14:paraId="476C1C43" w14:textId="77777777" w:rsidR="008C68EE" w:rsidRPr="008C68EE" w:rsidRDefault="008C68EE" w:rsidP="008C68EE">
      <w:pPr>
        <w:rPr>
          <w:noProof/>
          <w:szCs w:val="22"/>
          <w:lang w:eastAsia="en-US"/>
        </w:rPr>
      </w:pPr>
    </w:p>
    <w:p w14:paraId="198518F3" w14:textId="77777777" w:rsidR="008C68EE" w:rsidRPr="008C68EE" w:rsidRDefault="008C68EE" w:rsidP="008C68EE">
      <w:pPr>
        <w:rPr>
          <w:szCs w:val="22"/>
        </w:rPr>
      </w:pPr>
    </w:p>
    <w:p w14:paraId="2BE0BB23" w14:textId="77777777" w:rsidR="00222FED" w:rsidRPr="008C68EE" w:rsidRDefault="00222FED" w:rsidP="008C68EE">
      <w:pPr>
        <w:rPr>
          <w:szCs w:val="22"/>
        </w:rPr>
      </w:pPr>
    </w:p>
    <w:sectPr w:rsidR="00222FED" w:rsidRPr="008C68EE" w:rsidSect="008C68EE">
      <w:footerReference w:type="even" r:id="rId5"/>
      <w:footerReference w:type="default" r:id="rId6"/>
      <w:pgSz w:w="11906" w:h="16838"/>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D741" w14:textId="77777777" w:rsidR="008C68EE" w:rsidRDefault="008C68E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7AC09C32" w14:textId="77777777" w:rsidR="008C68EE" w:rsidRDefault="008C68E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747F" w14:textId="77777777" w:rsidR="008C68EE" w:rsidRDefault="008C68E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7</w:t>
    </w:r>
    <w:r>
      <w:rPr>
        <w:rStyle w:val="Puslapionumeris"/>
      </w:rPr>
      <w:fldChar w:fldCharType="end"/>
    </w:r>
  </w:p>
  <w:p w14:paraId="79712B83" w14:textId="77777777" w:rsidR="008C68EE" w:rsidRDefault="008C68EE">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940658C"/>
    <w:multiLevelType w:val="hybridMultilevel"/>
    <w:tmpl w:val="7E46A112"/>
    <w:lvl w:ilvl="0" w:tplc="EA3A432C">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D3F14CF"/>
    <w:multiLevelType w:val="hybridMultilevel"/>
    <w:tmpl w:val="6FC0A652"/>
    <w:lvl w:ilvl="0" w:tplc="1A2C93A2">
      <w:start w:val="1"/>
      <w:numFmt w:val="decimal"/>
      <w:lvlText w:val="%1."/>
      <w:lvlJc w:val="left"/>
      <w:pPr>
        <w:ind w:left="780" w:hanging="420"/>
      </w:pPr>
      <w:rPr>
        <w:rFonts w:hint="default"/>
      </w:rPr>
    </w:lvl>
    <w:lvl w:ilvl="1" w:tplc="4FFAA41C" w:tentative="1">
      <w:start w:val="1"/>
      <w:numFmt w:val="lowerLetter"/>
      <w:lvlText w:val="%2."/>
      <w:lvlJc w:val="left"/>
      <w:pPr>
        <w:ind w:left="1440" w:hanging="360"/>
      </w:pPr>
    </w:lvl>
    <w:lvl w:ilvl="2" w:tplc="3EC21218" w:tentative="1">
      <w:start w:val="1"/>
      <w:numFmt w:val="lowerRoman"/>
      <w:lvlText w:val="%3."/>
      <w:lvlJc w:val="right"/>
      <w:pPr>
        <w:ind w:left="2160" w:hanging="180"/>
      </w:pPr>
    </w:lvl>
    <w:lvl w:ilvl="3" w:tplc="9244D226" w:tentative="1">
      <w:start w:val="1"/>
      <w:numFmt w:val="decimal"/>
      <w:lvlText w:val="%4."/>
      <w:lvlJc w:val="left"/>
      <w:pPr>
        <w:ind w:left="2880" w:hanging="360"/>
      </w:pPr>
    </w:lvl>
    <w:lvl w:ilvl="4" w:tplc="BC547FF8" w:tentative="1">
      <w:start w:val="1"/>
      <w:numFmt w:val="lowerLetter"/>
      <w:lvlText w:val="%5."/>
      <w:lvlJc w:val="left"/>
      <w:pPr>
        <w:ind w:left="3600" w:hanging="360"/>
      </w:pPr>
    </w:lvl>
    <w:lvl w:ilvl="5" w:tplc="F490D78C" w:tentative="1">
      <w:start w:val="1"/>
      <w:numFmt w:val="lowerRoman"/>
      <w:lvlText w:val="%6."/>
      <w:lvlJc w:val="right"/>
      <w:pPr>
        <w:ind w:left="4320" w:hanging="180"/>
      </w:pPr>
    </w:lvl>
    <w:lvl w:ilvl="6" w:tplc="BB8EEA04" w:tentative="1">
      <w:start w:val="1"/>
      <w:numFmt w:val="decimal"/>
      <w:lvlText w:val="%7."/>
      <w:lvlJc w:val="left"/>
      <w:pPr>
        <w:ind w:left="5040" w:hanging="360"/>
      </w:pPr>
    </w:lvl>
    <w:lvl w:ilvl="7" w:tplc="3F006494" w:tentative="1">
      <w:start w:val="1"/>
      <w:numFmt w:val="lowerLetter"/>
      <w:lvlText w:val="%8."/>
      <w:lvlJc w:val="left"/>
      <w:pPr>
        <w:ind w:left="5760" w:hanging="360"/>
      </w:pPr>
    </w:lvl>
    <w:lvl w:ilvl="8" w:tplc="1D407C0C" w:tentative="1">
      <w:start w:val="1"/>
      <w:numFmt w:val="lowerRoman"/>
      <w:lvlText w:val="%9."/>
      <w:lvlJc w:val="right"/>
      <w:pPr>
        <w:ind w:left="6480" w:hanging="180"/>
      </w:pPr>
    </w:lvl>
  </w:abstractNum>
  <w:abstractNum w:abstractNumId="3" w15:restartNumberingAfterBreak="0">
    <w:nsid w:val="309C0446"/>
    <w:multiLevelType w:val="hybridMultilevel"/>
    <w:tmpl w:val="B20E620E"/>
    <w:lvl w:ilvl="0" w:tplc="438CE830">
      <w:start w:val="1"/>
      <w:numFmt w:val="decimal"/>
      <w:lvlText w:val="%1."/>
      <w:lvlJc w:val="left"/>
      <w:pPr>
        <w:ind w:left="930" w:hanging="570"/>
      </w:pPr>
      <w:rPr>
        <w:rFonts w:hint="default"/>
        <w:b/>
      </w:rPr>
    </w:lvl>
    <w:lvl w:ilvl="1" w:tplc="13505FE6" w:tentative="1">
      <w:start w:val="1"/>
      <w:numFmt w:val="lowerLetter"/>
      <w:lvlText w:val="%2."/>
      <w:lvlJc w:val="left"/>
      <w:pPr>
        <w:ind w:left="1440" w:hanging="360"/>
      </w:pPr>
    </w:lvl>
    <w:lvl w:ilvl="2" w:tplc="85AC8486" w:tentative="1">
      <w:start w:val="1"/>
      <w:numFmt w:val="lowerRoman"/>
      <w:lvlText w:val="%3."/>
      <w:lvlJc w:val="right"/>
      <w:pPr>
        <w:ind w:left="2160" w:hanging="180"/>
      </w:pPr>
    </w:lvl>
    <w:lvl w:ilvl="3" w:tplc="8944646E" w:tentative="1">
      <w:start w:val="1"/>
      <w:numFmt w:val="decimal"/>
      <w:lvlText w:val="%4."/>
      <w:lvlJc w:val="left"/>
      <w:pPr>
        <w:ind w:left="2880" w:hanging="360"/>
      </w:pPr>
    </w:lvl>
    <w:lvl w:ilvl="4" w:tplc="6BAE79D8" w:tentative="1">
      <w:start w:val="1"/>
      <w:numFmt w:val="lowerLetter"/>
      <w:lvlText w:val="%5."/>
      <w:lvlJc w:val="left"/>
      <w:pPr>
        <w:ind w:left="3600" w:hanging="360"/>
      </w:pPr>
    </w:lvl>
    <w:lvl w:ilvl="5" w:tplc="E0747872" w:tentative="1">
      <w:start w:val="1"/>
      <w:numFmt w:val="lowerRoman"/>
      <w:lvlText w:val="%6."/>
      <w:lvlJc w:val="right"/>
      <w:pPr>
        <w:ind w:left="4320" w:hanging="180"/>
      </w:pPr>
    </w:lvl>
    <w:lvl w:ilvl="6" w:tplc="34D401B4" w:tentative="1">
      <w:start w:val="1"/>
      <w:numFmt w:val="decimal"/>
      <w:lvlText w:val="%7."/>
      <w:lvlJc w:val="left"/>
      <w:pPr>
        <w:ind w:left="5040" w:hanging="360"/>
      </w:pPr>
    </w:lvl>
    <w:lvl w:ilvl="7" w:tplc="AD22890E" w:tentative="1">
      <w:start w:val="1"/>
      <w:numFmt w:val="lowerLetter"/>
      <w:lvlText w:val="%8."/>
      <w:lvlJc w:val="left"/>
      <w:pPr>
        <w:ind w:left="5760" w:hanging="360"/>
      </w:pPr>
    </w:lvl>
    <w:lvl w:ilvl="8" w:tplc="4A90E21A" w:tentative="1">
      <w:start w:val="1"/>
      <w:numFmt w:val="lowerRoman"/>
      <w:lvlText w:val="%9."/>
      <w:lvlJc w:val="right"/>
      <w:pPr>
        <w:ind w:left="6480" w:hanging="180"/>
      </w:pPr>
    </w:lvl>
  </w:abstractNum>
  <w:num w:numId="1" w16cid:durableId="1476215995">
    <w:abstractNumId w:val="1"/>
  </w:num>
  <w:num w:numId="2" w16cid:durableId="2107264326">
    <w:abstractNumId w:val="0"/>
    <w:lvlOverride w:ilvl="0">
      <w:lvl w:ilvl="0">
        <w:start w:val="1"/>
        <w:numFmt w:val="bullet"/>
        <w:lvlText w:val="-"/>
        <w:legacy w:legacy="1" w:legacySpace="0" w:legacyIndent="360"/>
        <w:lvlJc w:val="left"/>
        <w:pPr>
          <w:ind w:left="360" w:hanging="360"/>
        </w:pPr>
      </w:lvl>
    </w:lvlOverride>
  </w:num>
  <w:num w:numId="3" w16cid:durableId="534343460">
    <w:abstractNumId w:val="2"/>
  </w:num>
  <w:num w:numId="4" w16cid:durableId="738020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EE"/>
    <w:rsid w:val="00222FED"/>
    <w:rsid w:val="005F173E"/>
    <w:rsid w:val="008B3AD4"/>
    <w:rsid w:val="008C68EE"/>
    <w:rsid w:val="00984A0A"/>
    <w:rsid w:val="00B56A02"/>
    <w:rsid w:val="00D012BD"/>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3B6C"/>
  <w15:chartTrackingRefBased/>
  <w15:docId w15:val="{FF8ABC8F-585C-4F2D-9D57-AB73AE93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68EE"/>
    <w:pPr>
      <w:spacing w:after="0" w:line="240" w:lineRule="auto"/>
    </w:pPr>
    <w:rPr>
      <w:rFonts w:eastAsia="Times New Roman"/>
      <w:kern w:val="0"/>
      <w:szCs w:val="20"/>
      <w:lang w:eastAsia="lt-LT"/>
      <w14:ligatures w14:val="none"/>
    </w:rPr>
  </w:style>
  <w:style w:type="paragraph" w:styleId="Antrat1">
    <w:name w:val="heading 1"/>
    <w:basedOn w:val="prastasis"/>
    <w:next w:val="prastasis"/>
    <w:link w:val="Antrat1Diagrama"/>
    <w:qFormat/>
    <w:rsid w:val="008C6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8C6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8C68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C68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C68E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C68E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68E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C68E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68E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C68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8C68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8C68E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68E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68E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C68E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68E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C68E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68E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C68E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68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68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68E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68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68EE"/>
    <w:rPr>
      <w:i/>
      <w:iCs/>
      <w:color w:val="404040" w:themeColor="text1" w:themeTint="BF"/>
    </w:rPr>
  </w:style>
  <w:style w:type="paragraph" w:styleId="Sraopastraipa">
    <w:name w:val="List Paragraph"/>
    <w:basedOn w:val="prastasis"/>
    <w:uiPriority w:val="34"/>
    <w:qFormat/>
    <w:rsid w:val="008C68EE"/>
    <w:pPr>
      <w:ind w:left="720"/>
      <w:contextualSpacing/>
    </w:pPr>
  </w:style>
  <w:style w:type="character" w:styleId="Rykuspabraukimas">
    <w:name w:val="Intense Emphasis"/>
    <w:basedOn w:val="Numatytasispastraiposriftas"/>
    <w:uiPriority w:val="21"/>
    <w:qFormat/>
    <w:rsid w:val="008C68EE"/>
    <w:rPr>
      <w:i/>
      <w:iCs/>
      <w:color w:val="0F4761" w:themeColor="accent1" w:themeShade="BF"/>
    </w:rPr>
  </w:style>
  <w:style w:type="paragraph" w:styleId="Iskirtacitata">
    <w:name w:val="Intense Quote"/>
    <w:basedOn w:val="prastasis"/>
    <w:next w:val="prastasis"/>
    <w:link w:val="IskirtacitataDiagrama"/>
    <w:uiPriority w:val="30"/>
    <w:qFormat/>
    <w:rsid w:val="008C6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C68EE"/>
    <w:rPr>
      <w:i/>
      <w:iCs/>
      <w:color w:val="0F4761" w:themeColor="accent1" w:themeShade="BF"/>
    </w:rPr>
  </w:style>
  <w:style w:type="character" w:styleId="Rykinuoroda">
    <w:name w:val="Intense Reference"/>
    <w:basedOn w:val="Numatytasispastraiposriftas"/>
    <w:uiPriority w:val="32"/>
    <w:qFormat/>
    <w:rsid w:val="008C68EE"/>
    <w:rPr>
      <w:b/>
      <w:bCs/>
      <w:smallCaps/>
      <w:color w:val="0F4761" w:themeColor="accent1" w:themeShade="BF"/>
      <w:spacing w:val="5"/>
    </w:rPr>
  </w:style>
  <w:style w:type="paragraph" w:styleId="Pagrindinistekstas">
    <w:name w:val="Body Text"/>
    <w:basedOn w:val="prastasis"/>
    <w:link w:val="PagrindinistekstasDiagrama"/>
    <w:rsid w:val="008C68EE"/>
    <w:pPr>
      <w:spacing w:after="120"/>
    </w:pPr>
  </w:style>
  <w:style w:type="character" w:customStyle="1" w:styleId="PagrindinistekstasDiagrama">
    <w:name w:val="Pagrindinis tekstas Diagrama"/>
    <w:basedOn w:val="Numatytasispastraiposriftas"/>
    <w:link w:val="Pagrindinistekstas"/>
    <w:rsid w:val="008C68EE"/>
    <w:rPr>
      <w:rFonts w:eastAsia="Times New Roman"/>
      <w:kern w:val="0"/>
      <w:szCs w:val="20"/>
      <w:lang w:eastAsia="lt-LT"/>
      <w14:ligatures w14:val="none"/>
    </w:rPr>
  </w:style>
  <w:style w:type="paragraph" w:styleId="Porat">
    <w:name w:val="footer"/>
    <w:basedOn w:val="prastasis"/>
    <w:link w:val="PoratDiagrama"/>
    <w:rsid w:val="008C68EE"/>
    <w:pPr>
      <w:tabs>
        <w:tab w:val="center" w:pos="4153"/>
        <w:tab w:val="right" w:pos="8306"/>
      </w:tabs>
    </w:pPr>
  </w:style>
  <w:style w:type="character" w:customStyle="1" w:styleId="PoratDiagrama">
    <w:name w:val="Poraštė Diagrama"/>
    <w:basedOn w:val="Numatytasispastraiposriftas"/>
    <w:link w:val="Porat"/>
    <w:rsid w:val="008C68EE"/>
    <w:rPr>
      <w:rFonts w:eastAsia="Times New Roman"/>
      <w:kern w:val="0"/>
      <w:szCs w:val="20"/>
      <w:lang w:eastAsia="lt-LT"/>
      <w14:ligatures w14:val="none"/>
    </w:rPr>
  </w:style>
  <w:style w:type="character" w:styleId="Puslapionumeris">
    <w:name w:val="page number"/>
    <w:basedOn w:val="Numatytasispastraiposriftas"/>
    <w:rsid w:val="008C68EE"/>
  </w:style>
  <w:style w:type="paragraph" w:styleId="Komentarotekstas">
    <w:name w:val="annotation text"/>
    <w:basedOn w:val="prastasis"/>
    <w:link w:val="KomentarotekstasDiagrama"/>
    <w:uiPriority w:val="99"/>
    <w:semiHidden/>
    <w:rsid w:val="008C68EE"/>
    <w:rPr>
      <w:sz w:val="20"/>
    </w:rPr>
  </w:style>
  <w:style w:type="character" w:customStyle="1" w:styleId="KomentarotekstasDiagrama">
    <w:name w:val="Komentaro tekstas Diagrama"/>
    <w:basedOn w:val="Numatytasispastraiposriftas"/>
    <w:link w:val="Komentarotekstas"/>
    <w:uiPriority w:val="99"/>
    <w:semiHidden/>
    <w:rsid w:val="008C68EE"/>
    <w:rPr>
      <w:rFonts w:eastAsia="Times New Roman"/>
      <w:kern w:val="0"/>
      <w:sz w:val="20"/>
      <w:szCs w:val="20"/>
      <w:lang w:eastAsia="lt-LT"/>
      <w14:ligatures w14:val="none"/>
    </w:rPr>
  </w:style>
  <w:style w:type="paragraph" w:customStyle="1" w:styleId="BTEMEASMCA">
    <w:name w:val="BT EMEA_SMCA"/>
    <w:basedOn w:val="prastasis"/>
    <w:link w:val="BTEMEASMCAChar"/>
    <w:autoRedefine/>
    <w:rsid w:val="008C68EE"/>
    <w:rPr>
      <w:noProof/>
      <w:szCs w:val="22"/>
      <w:lang w:eastAsia="en-US"/>
    </w:rPr>
  </w:style>
  <w:style w:type="character" w:customStyle="1" w:styleId="BTEMEASMCAChar">
    <w:name w:val="BT EMEA_SMCA Char"/>
    <w:link w:val="BTEMEASMCA"/>
    <w:rsid w:val="008C68EE"/>
    <w:rPr>
      <w:rFonts w:eastAsia="Times New Roman"/>
      <w:noProof/>
      <w:kern w:val="0"/>
      <w14:ligatures w14:val="none"/>
    </w:rPr>
  </w:style>
  <w:style w:type="paragraph" w:customStyle="1" w:styleId="BTbEMEASMCA">
    <w:name w:val="BT(b) EMEA_SMCA"/>
    <w:basedOn w:val="BTEMEASMCA"/>
    <w:autoRedefine/>
    <w:rsid w:val="008C68EE"/>
    <w:rPr>
      <w:b/>
    </w:rPr>
  </w:style>
  <w:style w:type="paragraph" w:customStyle="1" w:styleId="PI-3EMEASMCA">
    <w:name w:val="PI-3 EMEA_SMCA"/>
    <w:basedOn w:val="prastasis"/>
    <w:autoRedefine/>
    <w:rsid w:val="008C68EE"/>
    <w:pPr>
      <w:spacing w:line="220" w:lineRule="exact"/>
    </w:pPr>
    <w:rPr>
      <w:b/>
      <w:bCs/>
      <w:szCs w:val="22"/>
      <w:lang w:eastAsia="en-US"/>
    </w:rPr>
  </w:style>
  <w:style w:type="paragraph" w:customStyle="1" w:styleId="Sraopastraipa1">
    <w:name w:val="Sąrašo pastraipa1"/>
    <w:basedOn w:val="prastasis"/>
    <w:uiPriority w:val="34"/>
    <w:qFormat/>
    <w:rsid w:val="008C68EE"/>
    <w:pPr>
      <w:tabs>
        <w:tab w:val="left" w:pos="567"/>
      </w:tabs>
      <w:spacing w:line="260" w:lineRule="exac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5964</Words>
  <Characters>3400</Characters>
  <Application>Microsoft Office Word</Application>
  <DocSecurity>0</DocSecurity>
  <Lines>28</Lines>
  <Paragraphs>18</Paragraphs>
  <ScaleCrop>false</ScaleCrop>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2026-05-04T05:06:00Z</dcterms:created>
  <dcterms:modified xsi:type="dcterms:W3CDTF">2026-05-04T05:08:00Z</dcterms:modified>
</cp:coreProperties>
</file>