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D67" w:rsidRDefault="00821D67" w:rsidP="00821D67">
      <w:pPr>
        <w:pStyle w:val="BTEMEASMCA"/>
        <w:jc w:val="center"/>
        <w:rPr>
          <w:b/>
        </w:rPr>
      </w:pPr>
      <w:r w:rsidRPr="008C6E37">
        <w:rPr>
          <w:b/>
        </w:rPr>
        <w:t>Pakuotės lapelis:</w:t>
      </w:r>
      <w:r w:rsidRPr="008C6E37">
        <w:rPr>
          <w:b/>
          <w:bCs/>
          <w:iCs/>
        </w:rPr>
        <w:t xml:space="preserve"> </w:t>
      </w:r>
      <w:r w:rsidRPr="008C6E37">
        <w:rPr>
          <w:b/>
        </w:rPr>
        <w:t>informacija vartotojui</w:t>
      </w:r>
    </w:p>
    <w:p w:rsidR="00821D67" w:rsidRPr="00DF4173" w:rsidRDefault="00821D67" w:rsidP="00821D67">
      <w:pPr>
        <w:pStyle w:val="BTEMEASMCA"/>
        <w:jc w:val="center"/>
        <w:rPr>
          <w:noProof w:val="0"/>
        </w:rPr>
      </w:pPr>
    </w:p>
    <w:p w:rsidR="00821D67" w:rsidRPr="00DF4173" w:rsidRDefault="00821D67" w:rsidP="00821D67">
      <w:pPr>
        <w:pStyle w:val="BTbeEMEASMCA"/>
        <w:rPr>
          <w:noProof w:val="0"/>
        </w:rPr>
      </w:pPr>
      <w:r>
        <w:rPr>
          <w:noProof w:val="0"/>
        </w:rPr>
        <w:t xml:space="preserve">HJERTEMAGNYL </w:t>
      </w:r>
      <w:r>
        <w:t>150</w:t>
      </w:r>
      <w:r w:rsidRPr="00F44F89">
        <w:t xml:space="preserve"> mg tabletės</w:t>
      </w:r>
    </w:p>
    <w:p w:rsidR="00821D67" w:rsidRPr="00DF4173" w:rsidRDefault="00821D67" w:rsidP="00821D67">
      <w:pPr>
        <w:pStyle w:val="BTeEMEASMCA"/>
        <w:rPr>
          <w:noProof w:val="0"/>
        </w:rPr>
      </w:pPr>
      <w:proofErr w:type="spellStart"/>
      <w:r>
        <w:rPr>
          <w:noProof w:val="0"/>
        </w:rPr>
        <w:t>A</w:t>
      </w:r>
      <w:r w:rsidRPr="00BF1CD7">
        <w:t>cetilsalicilo</w:t>
      </w:r>
      <w:proofErr w:type="spellEnd"/>
      <w:r w:rsidRPr="00F44F89">
        <w:t xml:space="preserve"> </w:t>
      </w:r>
      <w:r w:rsidRPr="00BF1CD7">
        <w:t>rūgštis</w:t>
      </w:r>
    </w:p>
    <w:p w:rsidR="00821D67" w:rsidRPr="00DF4173" w:rsidRDefault="00821D67" w:rsidP="00821D67">
      <w:pPr>
        <w:pStyle w:val="BTEMEASMCA"/>
        <w:rPr>
          <w:noProof w:val="0"/>
        </w:rPr>
      </w:pPr>
    </w:p>
    <w:p w:rsidR="00821D67" w:rsidRPr="00553E11" w:rsidRDefault="00821D67" w:rsidP="00821D67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553E11">
        <w:rPr>
          <w:b/>
          <w:noProof/>
          <w:sz w:val="22"/>
          <w:szCs w:val="22"/>
        </w:rPr>
        <w:t>Atidžiai perskaitykite visą šį lapelį, prieš pradėdami vartoti šį vaistą, nes jame pateikiama Jums svarbi informacija.</w:t>
      </w:r>
    </w:p>
    <w:p w:rsidR="00821D67" w:rsidRPr="000150D1" w:rsidRDefault="00821D67" w:rsidP="00821D67">
      <w:pPr>
        <w:numPr>
          <w:ilvl w:val="12"/>
          <w:numId w:val="0"/>
        </w:numPr>
        <w:rPr>
          <w:sz w:val="22"/>
          <w:szCs w:val="22"/>
        </w:rPr>
      </w:pPr>
      <w:r w:rsidRPr="00301E97">
        <w:rPr>
          <w:noProof/>
          <w:sz w:val="22"/>
          <w:szCs w:val="22"/>
        </w:rPr>
        <w:t>Visada vartokite šį vaistą tiksliai kaip aprašyta šiame lapelyje arba kaip nurodė gydytojas arba vaistininkas.</w:t>
      </w:r>
    </w:p>
    <w:p w:rsidR="00821D67" w:rsidRPr="000150D1" w:rsidRDefault="00821D67" w:rsidP="00821D67">
      <w:pPr>
        <w:numPr>
          <w:ilvl w:val="0"/>
          <w:numId w:val="2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0150D1">
        <w:rPr>
          <w:noProof/>
          <w:sz w:val="22"/>
          <w:szCs w:val="22"/>
        </w:rPr>
        <w:t>Neišmeskite šio lapelio, nes vėl gali prireikti jį perskaityti.</w:t>
      </w:r>
      <w:r w:rsidRPr="000150D1">
        <w:rPr>
          <w:sz w:val="22"/>
          <w:szCs w:val="22"/>
        </w:rPr>
        <w:t xml:space="preserve"> </w:t>
      </w:r>
    </w:p>
    <w:p w:rsidR="00821D67" w:rsidRPr="003A2DBD" w:rsidRDefault="00821D67" w:rsidP="00821D67">
      <w:pPr>
        <w:numPr>
          <w:ilvl w:val="0"/>
          <w:numId w:val="2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0150D1">
        <w:rPr>
          <w:noProof/>
          <w:sz w:val="22"/>
          <w:szCs w:val="22"/>
        </w:rPr>
        <w:t>Jeigu norite sužinoti daugiau arba pasitarti, kreipkitės į vaistininką.</w:t>
      </w:r>
    </w:p>
    <w:p w:rsidR="00821D67" w:rsidRDefault="00821D67" w:rsidP="00821D67">
      <w:pPr>
        <w:numPr>
          <w:ilvl w:val="0"/>
          <w:numId w:val="2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1B4449">
        <w:rPr>
          <w:noProof/>
          <w:sz w:val="22"/>
          <w:szCs w:val="22"/>
        </w:rPr>
        <w:t>Jeigu pasireiškė šalutinis poveikis (net jeigu jis šiame lapelyje nenurodytas), kreipkitės į gydytoją arba vaistininką</w:t>
      </w:r>
      <w:r w:rsidRPr="00157647">
        <w:rPr>
          <w:noProof/>
          <w:sz w:val="22"/>
          <w:szCs w:val="22"/>
        </w:rPr>
        <w:t>.</w:t>
      </w:r>
      <w:r w:rsidRPr="00C46E86">
        <w:rPr>
          <w:noProof/>
          <w:sz w:val="22"/>
          <w:szCs w:val="22"/>
        </w:rPr>
        <w:t xml:space="preserve"> Žr. 4 skyrių.</w:t>
      </w:r>
    </w:p>
    <w:p w:rsidR="00821D67" w:rsidRPr="00F3754E" w:rsidRDefault="00821D67" w:rsidP="00821D67">
      <w:pPr>
        <w:tabs>
          <w:tab w:val="left" w:pos="567"/>
        </w:tabs>
        <w:rPr>
          <w:sz w:val="22"/>
          <w:szCs w:val="22"/>
        </w:rPr>
      </w:pPr>
      <w:r w:rsidRPr="00F71F4D">
        <w:rPr>
          <w:noProof/>
          <w:sz w:val="22"/>
          <w:szCs w:val="22"/>
        </w:rPr>
        <w:t>Je</w:t>
      </w:r>
      <w:r>
        <w:rPr>
          <w:noProof/>
          <w:sz w:val="22"/>
          <w:szCs w:val="22"/>
        </w:rPr>
        <w:t>igu</w:t>
      </w:r>
      <w:r w:rsidRPr="00F71F4D">
        <w:rPr>
          <w:noProof/>
          <w:sz w:val="22"/>
          <w:szCs w:val="22"/>
        </w:rPr>
        <w:t xml:space="preserve"> Jūsų savijauta nepagerėjo arba net pablogėjo, kreipkitės į gydytoją.</w:t>
      </w:r>
    </w:p>
    <w:p w:rsidR="00821D67" w:rsidRPr="00DF4173" w:rsidRDefault="00821D67" w:rsidP="00821D67">
      <w:pPr>
        <w:pStyle w:val="BTEMEASMCA"/>
        <w:rPr>
          <w:noProof w:val="0"/>
        </w:rPr>
      </w:pPr>
    </w:p>
    <w:p w:rsidR="00821D67" w:rsidRPr="00DF4173" w:rsidRDefault="00821D67" w:rsidP="00821D67">
      <w:pPr>
        <w:pStyle w:val="BTEMEASMCA"/>
        <w:rPr>
          <w:noProof w:val="0"/>
        </w:rPr>
      </w:pPr>
    </w:p>
    <w:p w:rsidR="00821D67" w:rsidRPr="00803477" w:rsidRDefault="00821D67" w:rsidP="00821D67">
      <w:pPr>
        <w:pStyle w:val="BTbEMEASMCA"/>
      </w:pPr>
      <w:r w:rsidRPr="00803477">
        <w:t>Apie ką rašoma šiame lapelyje?</w:t>
      </w:r>
    </w:p>
    <w:p w:rsidR="00821D67" w:rsidRPr="00DF4173" w:rsidRDefault="00821D67" w:rsidP="00821D67">
      <w:pPr>
        <w:pStyle w:val="BTEMEASMCA"/>
        <w:tabs>
          <w:tab w:val="left" w:pos="720"/>
        </w:tabs>
        <w:rPr>
          <w:noProof w:val="0"/>
        </w:rPr>
      </w:pPr>
      <w:r w:rsidRPr="00DF4173">
        <w:rPr>
          <w:noProof w:val="0"/>
        </w:rPr>
        <w:t>1.</w:t>
      </w:r>
      <w:r w:rsidRPr="00DF4173">
        <w:rPr>
          <w:noProof w:val="0"/>
        </w:rPr>
        <w:tab/>
        <w:t xml:space="preserve">Kas yra </w:t>
      </w:r>
      <w:r>
        <w:rPr>
          <w:noProof w:val="0"/>
        </w:rPr>
        <w:t>HJERTEMAGNYL</w:t>
      </w:r>
      <w:r w:rsidRPr="00DF4173">
        <w:rPr>
          <w:noProof w:val="0"/>
        </w:rPr>
        <w:t xml:space="preserve"> ir </w:t>
      </w:r>
      <w:r>
        <w:rPr>
          <w:noProof w:val="0"/>
        </w:rPr>
        <w:t>kam</w:t>
      </w:r>
      <w:r w:rsidRPr="00DF4173">
        <w:rPr>
          <w:noProof w:val="0"/>
        </w:rPr>
        <w:t xml:space="preserve"> jis vartojamas</w:t>
      </w:r>
    </w:p>
    <w:p w:rsidR="00821D67" w:rsidRPr="00DF4173" w:rsidRDefault="00821D67" w:rsidP="00821D67">
      <w:pPr>
        <w:pStyle w:val="BTEMEASMCA"/>
        <w:tabs>
          <w:tab w:val="left" w:pos="720"/>
        </w:tabs>
        <w:rPr>
          <w:noProof w:val="0"/>
        </w:rPr>
      </w:pPr>
      <w:r w:rsidRPr="00DF4173">
        <w:rPr>
          <w:noProof w:val="0"/>
        </w:rPr>
        <w:t>2.</w:t>
      </w:r>
      <w:r w:rsidRPr="00DF4173">
        <w:rPr>
          <w:noProof w:val="0"/>
        </w:rPr>
        <w:tab/>
        <w:t xml:space="preserve">Kas žinotina prieš vartojant </w:t>
      </w:r>
      <w:r>
        <w:rPr>
          <w:noProof w:val="0"/>
        </w:rPr>
        <w:t>HJERTEMAGNYL</w:t>
      </w:r>
    </w:p>
    <w:p w:rsidR="00821D67" w:rsidRPr="00DF4173" w:rsidRDefault="00821D67" w:rsidP="00821D67">
      <w:pPr>
        <w:pStyle w:val="BTEMEASMCA"/>
        <w:tabs>
          <w:tab w:val="left" w:pos="720"/>
        </w:tabs>
        <w:rPr>
          <w:noProof w:val="0"/>
        </w:rPr>
      </w:pPr>
      <w:r w:rsidRPr="00DF4173">
        <w:rPr>
          <w:noProof w:val="0"/>
        </w:rPr>
        <w:t>3.</w:t>
      </w:r>
      <w:r w:rsidRPr="00DF4173">
        <w:rPr>
          <w:noProof w:val="0"/>
        </w:rPr>
        <w:tab/>
        <w:t xml:space="preserve">Kaip vartoti </w:t>
      </w:r>
      <w:r>
        <w:rPr>
          <w:noProof w:val="0"/>
        </w:rPr>
        <w:t>HJERTEMAGNYL</w:t>
      </w:r>
    </w:p>
    <w:p w:rsidR="00821D67" w:rsidRPr="00DF4173" w:rsidRDefault="00821D67" w:rsidP="00821D67">
      <w:pPr>
        <w:pStyle w:val="BTEMEASMCA"/>
        <w:tabs>
          <w:tab w:val="left" w:pos="720"/>
        </w:tabs>
        <w:rPr>
          <w:noProof w:val="0"/>
        </w:rPr>
      </w:pPr>
      <w:r w:rsidRPr="00DF4173">
        <w:rPr>
          <w:noProof w:val="0"/>
        </w:rPr>
        <w:t>4.</w:t>
      </w:r>
      <w:r w:rsidRPr="00DF4173">
        <w:rPr>
          <w:noProof w:val="0"/>
        </w:rPr>
        <w:tab/>
        <w:t>Galimas šalutinis poveikis</w:t>
      </w:r>
    </w:p>
    <w:p w:rsidR="00821D67" w:rsidRPr="00DF4173" w:rsidRDefault="00821D67" w:rsidP="00821D67">
      <w:pPr>
        <w:pStyle w:val="BTEMEASMCA"/>
        <w:tabs>
          <w:tab w:val="left" w:pos="720"/>
        </w:tabs>
        <w:rPr>
          <w:noProof w:val="0"/>
        </w:rPr>
      </w:pPr>
      <w:r w:rsidRPr="00DF4173">
        <w:rPr>
          <w:noProof w:val="0"/>
        </w:rPr>
        <w:t>5.</w:t>
      </w:r>
      <w:r w:rsidRPr="00DF4173">
        <w:rPr>
          <w:noProof w:val="0"/>
        </w:rPr>
        <w:tab/>
        <w:t xml:space="preserve">Kaip laikyti </w:t>
      </w:r>
      <w:r>
        <w:rPr>
          <w:noProof w:val="0"/>
        </w:rPr>
        <w:t>HJERTEMAGNYL</w:t>
      </w:r>
    </w:p>
    <w:p w:rsidR="00821D67" w:rsidRPr="00DF4173" w:rsidRDefault="00821D67" w:rsidP="00821D67">
      <w:pPr>
        <w:pStyle w:val="BTEMEASMCA"/>
        <w:tabs>
          <w:tab w:val="left" w:pos="720"/>
        </w:tabs>
        <w:rPr>
          <w:noProof w:val="0"/>
        </w:rPr>
      </w:pPr>
      <w:r w:rsidRPr="00DF4173">
        <w:rPr>
          <w:noProof w:val="0"/>
        </w:rPr>
        <w:t>6.</w:t>
      </w:r>
      <w:r w:rsidRPr="00DF4173">
        <w:rPr>
          <w:noProof w:val="0"/>
        </w:rPr>
        <w:tab/>
      </w:r>
      <w:r>
        <w:rPr>
          <w:noProof w:val="0"/>
        </w:rPr>
        <w:t>Pakuotės turinys ir kita informacija</w:t>
      </w:r>
    </w:p>
    <w:p w:rsidR="00821D67" w:rsidRPr="00DF4173" w:rsidRDefault="00821D67" w:rsidP="00821D67">
      <w:pPr>
        <w:pStyle w:val="BTEMEASMCA"/>
        <w:rPr>
          <w:noProof w:val="0"/>
        </w:rPr>
      </w:pPr>
    </w:p>
    <w:p w:rsidR="00821D67" w:rsidRPr="00DF4173" w:rsidRDefault="00821D67" w:rsidP="00821D67">
      <w:pPr>
        <w:pStyle w:val="BTEMEASMCA"/>
        <w:rPr>
          <w:noProof w:val="0"/>
        </w:rPr>
      </w:pPr>
    </w:p>
    <w:p w:rsidR="00821D67" w:rsidRPr="00287490" w:rsidRDefault="00821D67" w:rsidP="00821D67">
      <w:pPr>
        <w:pStyle w:val="PI-1EMEASMCA"/>
      </w:pPr>
      <w:bookmarkStart w:id="0" w:name="_Toc129243139"/>
      <w:bookmarkStart w:id="1" w:name="_Toc129243264"/>
      <w:r w:rsidRPr="00DF4173">
        <w:t>1.</w:t>
      </w:r>
      <w:r w:rsidRPr="00DF4173">
        <w:tab/>
      </w:r>
      <w:r w:rsidRPr="00CC5CBE">
        <w:t xml:space="preserve">Kas yra </w:t>
      </w:r>
      <w:r w:rsidRPr="00EB5561">
        <w:t>HJERTEMAGNYL ir kam jis vartojamas</w:t>
      </w:r>
    </w:p>
    <w:bookmarkEnd w:id="0"/>
    <w:bookmarkEnd w:id="1"/>
    <w:p w:rsidR="00821D67" w:rsidRPr="00DF4173" w:rsidRDefault="00821D67" w:rsidP="00821D67">
      <w:pPr>
        <w:pStyle w:val="PI-1EMEASMCA"/>
      </w:pPr>
    </w:p>
    <w:p w:rsidR="00821D67" w:rsidRPr="000922CC" w:rsidRDefault="00821D67" w:rsidP="00821D67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Vais</w:t>
      </w:r>
      <w:r w:rsidRPr="000922CC">
        <w:rPr>
          <w:sz w:val="22"/>
          <w:szCs w:val="22"/>
        </w:rPr>
        <w:t>to vartojama esant toliau nurodytoms būklėms.</w:t>
      </w:r>
    </w:p>
    <w:p w:rsidR="00821D67" w:rsidRDefault="00821D67" w:rsidP="00821D67">
      <w:pPr>
        <w:tabs>
          <w:tab w:val="left" w:pos="567"/>
        </w:tabs>
        <w:rPr>
          <w:sz w:val="22"/>
          <w:szCs w:val="22"/>
        </w:rPr>
      </w:pPr>
      <w:r w:rsidRPr="000922CC">
        <w:rPr>
          <w:sz w:val="22"/>
          <w:szCs w:val="22"/>
        </w:rPr>
        <w:t>Trombozės</w:t>
      </w:r>
      <w:r>
        <w:rPr>
          <w:sz w:val="22"/>
          <w:szCs w:val="22"/>
        </w:rPr>
        <w:t xml:space="preserve"> (infarkto, insulto)</w:t>
      </w:r>
      <w:r w:rsidRPr="000922CC">
        <w:rPr>
          <w:sz w:val="22"/>
          <w:szCs w:val="22"/>
        </w:rPr>
        <w:t xml:space="preserve"> profilaktika, sergant </w:t>
      </w:r>
      <w:r>
        <w:rPr>
          <w:sz w:val="22"/>
          <w:szCs w:val="22"/>
        </w:rPr>
        <w:t>išemine</w:t>
      </w:r>
      <w:r w:rsidRPr="000922CC">
        <w:rPr>
          <w:sz w:val="22"/>
          <w:szCs w:val="22"/>
        </w:rPr>
        <w:t xml:space="preserve"> širdies liga, </w:t>
      </w:r>
      <w:r>
        <w:rPr>
          <w:sz w:val="22"/>
          <w:szCs w:val="22"/>
        </w:rPr>
        <w:t xml:space="preserve">po </w:t>
      </w:r>
      <w:r w:rsidRPr="000922CC">
        <w:rPr>
          <w:sz w:val="22"/>
          <w:szCs w:val="22"/>
        </w:rPr>
        <w:t>miokardo</w:t>
      </w:r>
      <w:r>
        <w:rPr>
          <w:sz w:val="22"/>
          <w:szCs w:val="22"/>
        </w:rPr>
        <w:t xml:space="preserve"> infarkto,</w:t>
      </w:r>
      <w:r w:rsidRPr="000922C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išeminio </w:t>
      </w:r>
      <w:r w:rsidRPr="000922CC">
        <w:rPr>
          <w:sz w:val="22"/>
          <w:szCs w:val="22"/>
        </w:rPr>
        <w:t>smegenų in</w:t>
      </w:r>
      <w:r>
        <w:rPr>
          <w:sz w:val="22"/>
          <w:szCs w:val="22"/>
        </w:rPr>
        <w:t>sulto ar praeinančio smegenų išemijos priepuolio (kraujotakos sutrikimo priepuolio)</w:t>
      </w:r>
      <w:r w:rsidRPr="000922CC">
        <w:rPr>
          <w:sz w:val="22"/>
          <w:szCs w:val="22"/>
        </w:rPr>
        <w:t>.</w:t>
      </w:r>
    </w:p>
    <w:p w:rsidR="00821D67" w:rsidRPr="000922CC" w:rsidRDefault="00821D67" w:rsidP="00821D67">
      <w:pPr>
        <w:tabs>
          <w:tab w:val="left" w:pos="567"/>
        </w:tabs>
        <w:rPr>
          <w:sz w:val="22"/>
          <w:szCs w:val="22"/>
        </w:rPr>
      </w:pPr>
    </w:p>
    <w:p w:rsidR="00821D67" w:rsidRPr="00DF4173" w:rsidRDefault="00821D67" w:rsidP="00821D67">
      <w:pPr>
        <w:pStyle w:val="BTEMEASMCA"/>
        <w:rPr>
          <w:noProof w:val="0"/>
        </w:rPr>
      </w:pPr>
      <w:r w:rsidRPr="000922CC">
        <w:t xml:space="preserve">Preparatas </w:t>
      </w:r>
      <w:r>
        <w:t xml:space="preserve">slopina trombocitų agregaciją (sukibimą), </w:t>
      </w:r>
      <w:r w:rsidRPr="000922CC">
        <w:t>todėl jo vartojama trombocitų agregacijos sukelto krešulio atsiradimo rizikai mažinti</w:t>
      </w:r>
      <w:r>
        <w:t>.</w:t>
      </w:r>
    </w:p>
    <w:p w:rsidR="00821D67" w:rsidRPr="00DF4173" w:rsidRDefault="00821D67" w:rsidP="00821D67">
      <w:pPr>
        <w:pStyle w:val="BTEMEASMCA"/>
        <w:rPr>
          <w:noProof w:val="0"/>
        </w:rPr>
      </w:pPr>
    </w:p>
    <w:p w:rsidR="00821D67" w:rsidRPr="00DF4173" w:rsidRDefault="00821D67" w:rsidP="00821D67">
      <w:pPr>
        <w:pStyle w:val="BTEMEASMCA"/>
        <w:rPr>
          <w:noProof w:val="0"/>
        </w:rPr>
      </w:pPr>
    </w:p>
    <w:p w:rsidR="00821D67" w:rsidRPr="00DF4173" w:rsidRDefault="00821D67" w:rsidP="00821D67">
      <w:pPr>
        <w:pStyle w:val="PI-1EMEASMCA"/>
      </w:pPr>
      <w:bookmarkStart w:id="2" w:name="_Toc129243140"/>
      <w:bookmarkStart w:id="3" w:name="_Toc129243265"/>
      <w:r w:rsidRPr="00DF4173">
        <w:t>2.</w:t>
      </w:r>
      <w:r w:rsidRPr="00DF4173">
        <w:tab/>
      </w:r>
      <w:r w:rsidRPr="00F3754E">
        <w:t>Kas žinotina prieš vartojant HJERTEMAGNYL</w:t>
      </w:r>
      <w:bookmarkEnd w:id="2"/>
      <w:bookmarkEnd w:id="3"/>
    </w:p>
    <w:p w:rsidR="00821D67" w:rsidRPr="00DF4173" w:rsidRDefault="00821D67" w:rsidP="00821D67">
      <w:pPr>
        <w:pStyle w:val="BTEMEASMCA"/>
        <w:rPr>
          <w:noProof w:val="0"/>
        </w:rPr>
      </w:pPr>
    </w:p>
    <w:p w:rsidR="00821D67" w:rsidRPr="00126948" w:rsidRDefault="00821D67" w:rsidP="00821D67">
      <w:pPr>
        <w:pStyle w:val="PI-3EMEASMCA"/>
      </w:pPr>
      <w:r>
        <w:t>HJERTEMAGNYL</w:t>
      </w:r>
      <w:r w:rsidRPr="00126948">
        <w:t xml:space="preserve"> vartoti negalima:</w:t>
      </w:r>
    </w:p>
    <w:p w:rsidR="00821D67" w:rsidRPr="00DF4173" w:rsidRDefault="00821D67" w:rsidP="00821D67">
      <w:pPr>
        <w:pStyle w:val="BT-EMEASMCA"/>
        <w:tabs>
          <w:tab w:val="clear" w:pos="360"/>
          <w:tab w:val="num" w:pos="720"/>
        </w:tabs>
        <w:ind w:left="720" w:hanging="363"/>
        <w:rPr>
          <w:noProof w:val="0"/>
        </w:rPr>
      </w:pPr>
      <w:r w:rsidRPr="00DF4173">
        <w:rPr>
          <w:noProof w:val="0"/>
        </w:rPr>
        <w:t xml:space="preserve">jeigu yra </w:t>
      </w:r>
      <w:r w:rsidRPr="000922CC">
        <w:t>yra padidėjęs jautrumas acetilsalic</w:t>
      </w:r>
      <w:r>
        <w:t>ilo rūgščiai,</w:t>
      </w:r>
      <w:r w:rsidRPr="000922CC">
        <w:t xml:space="preserve"> pagalbinėms preparato medžiagoms</w:t>
      </w:r>
      <w:r>
        <w:t xml:space="preserve"> ar salicilatams</w:t>
      </w:r>
      <w:r w:rsidRPr="000922CC">
        <w:t>;</w:t>
      </w:r>
    </w:p>
    <w:p w:rsidR="00821D67" w:rsidRDefault="00821D67" w:rsidP="00821D67">
      <w:pPr>
        <w:pStyle w:val="BT-EMEASMCA"/>
        <w:tabs>
          <w:tab w:val="clear" w:pos="360"/>
          <w:tab w:val="num" w:pos="720"/>
        </w:tabs>
        <w:ind w:left="720" w:hanging="363"/>
        <w:rPr>
          <w:noProof w:val="0"/>
        </w:rPr>
      </w:pPr>
      <w:r>
        <w:rPr>
          <w:noProof w:val="0"/>
        </w:rPr>
        <w:t xml:space="preserve">jeigu </w:t>
      </w:r>
      <w:r w:rsidRPr="000922CC">
        <w:t>neseniai kraujavo į virškinamąjį traktą</w:t>
      </w:r>
      <w:r>
        <w:t>;</w:t>
      </w:r>
    </w:p>
    <w:p w:rsidR="00821D67" w:rsidRDefault="00821D67" w:rsidP="00821D67">
      <w:pPr>
        <w:pStyle w:val="BT-EMEASMCA"/>
        <w:tabs>
          <w:tab w:val="clear" w:pos="360"/>
          <w:tab w:val="num" w:pos="720"/>
        </w:tabs>
        <w:ind w:left="720" w:hanging="363"/>
        <w:rPr>
          <w:noProof w:val="0"/>
        </w:rPr>
      </w:pPr>
      <w:r>
        <w:t xml:space="preserve">jeigu kraujyje sumažėjęs </w:t>
      </w:r>
      <w:r w:rsidRPr="000922CC">
        <w:t>trombocit</w:t>
      </w:r>
      <w:r>
        <w:t>ų kiekis,</w:t>
      </w:r>
      <w:r w:rsidRPr="000922CC">
        <w:t xml:space="preserve"> </w:t>
      </w:r>
      <w:r>
        <w:t xml:space="preserve">yra </w:t>
      </w:r>
      <w:r w:rsidRPr="000922CC">
        <w:t>polinkis į kraujavimą</w:t>
      </w:r>
      <w:r>
        <w:t>;</w:t>
      </w:r>
    </w:p>
    <w:p w:rsidR="00821D67" w:rsidRDefault="00821D67" w:rsidP="00821D67">
      <w:pPr>
        <w:pStyle w:val="BT-EMEASMCA"/>
        <w:tabs>
          <w:tab w:val="clear" w:pos="360"/>
          <w:tab w:val="num" w:pos="720"/>
        </w:tabs>
        <w:ind w:left="720" w:hanging="363"/>
        <w:rPr>
          <w:noProof w:val="0"/>
        </w:rPr>
      </w:pPr>
      <w:r>
        <w:t xml:space="preserve">jeigu </w:t>
      </w:r>
      <w:r w:rsidRPr="000922CC">
        <w:t xml:space="preserve">sergama ūmine pepsine opa, hemofilija, </w:t>
      </w:r>
      <w:r>
        <w:t xml:space="preserve">sunkiu </w:t>
      </w:r>
      <w:r w:rsidRPr="000922CC">
        <w:t xml:space="preserve">inkstų </w:t>
      </w:r>
      <w:r>
        <w:t xml:space="preserve">ar kepenų </w:t>
      </w:r>
      <w:r w:rsidRPr="000922CC">
        <w:t>funkcijos nepakankamumu</w:t>
      </w:r>
      <w:r>
        <w:t>;</w:t>
      </w:r>
    </w:p>
    <w:p w:rsidR="00821D67" w:rsidRDefault="00821D67" w:rsidP="00821D67">
      <w:pPr>
        <w:pStyle w:val="BT-EMEASMCA"/>
        <w:tabs>
          <w:tab w:val="clear" w:pos="360"/>
          <w:tab w:val="num" w:pos="720"/>
        </w:tabs>
        <w:ind w:left="720" w:hanging="363"/>
        <w:rPr>
          <w:noProof w:val="0"/>
        </w:rPr>
      </w:pPr>
      <w:r>
        <w:t>jeigu šlapime padaugėjo oksalatų;</w:t>
      </w:r>
    </w:p>
    <w:p w:rsidR="00821D67" w:rsidRDefault="00821D67" w:rsidP="00821D67">
      <w:pPr>
        <w:pStyle w:val="BT-EMEASMCA"/>
        <w:tabs>
          <w:tab w:val="clear" w:pos="360"/>
          <w:tab w:val="num" w:pos="720"/>
        </w:tabs>
        <w:ind w:left="720" w:hanging="363"/>
        <w:rPr>
          <w:noProof w:val="0"/>
        </w:rPr>
      </w:pPr>
      <w:r>
        <w:t>jeigu yra trys paskutiniai nėštumo menesiai;</w:t>
      </w:r>
    </w:p>
    <w:p w:rsidR="00821D67" w:rsidRPr="00DF4173" w:rsidRDefault="00821D67" w:rsidP="00821D67">
      <w:pPr>
        <w:pStyle w:val="BT-EMEASMCA"/>
        <w:tabs>
          <w:tab w:val="clear" w:pos="360"/>
          <w:tab w:val="num" w:pos="720"/>
        </w:tabs>
        <w:ind w:left="720" w:hanging="363"/>
        <w:rPr>
          <w:noProof w:val="0"/>
        </w:rPr>
      </w:pPr>
      <w:r>
        <w:t>vaikams ir paaugliams, jaunesniems kaip 16 metų.</w:t>
      </w:r>
    </w:p>
    <w:p w:rsidR="00821D67" w:rsidRPr="00DF4173" w:rsidRDefault="00821D67" w:rsidP="00821D67">
      <w:pPr>
        <w:pStyle w:val="BTEMEASMCA"/>
        <w:rPr>
          <w:noProof w:val="0"/>
        </w:rPr>
      </w:pPr>
    </w:p>
    <w:p w:rsidR="00821D67" w:rsidRPr="00E15D44" w:rsidRDefault="00821D67" w:rsidP="00821D67">
      <w:pPr>
        <w:pStyle w:val="PI-3EMEASMCA"/>
      </w:pPr>
      <w:r w:rsidRPr="00803477">
        <w:t>Įspėjimai ir atsargumo priemonės</w:t>
      </w:r>
    </w:p>
    <w:p w:rsidR="00821D67" w:rsidRPr="003632F2" w:rsidRDefault="00821D67" w:rsidP="00821D67">
      <w:pPr>
        <w:pStyle w:val="PI-3EMEASMCA"/>
        <w:rPr>
          <w:b w:val="0"/>
          <w:noProof/>
        </w:rPr>
      </w:pPr>
      <w:r w:rsidRPr="00E15D44">
        <w:rPr>
          <w:b w:val="0"/>
          <w:noProof/>
        </w:rPr>
        <w:t>Pasitarkite su gydytoju arba vaistininku</w:t>
      </w:r>
      <w:r>
        <w:rPr>
          <w:b w:val="0"/>
          <w:noProof/>
        </w:rPr>
        <w:t>,</w:t>
      </w:r>
      <w:r w:rsidRPr="00E15D44">
        <w:rPr>
          <w:b w:val="0"/>
          <w:noProof/>
        </w:rPr>
        <w:t xml:space="preserve"> prieš pradėdami vartoti </w:t>
      </w:r>
      <w:r w:rsidRPr="003632F2">
        <w:rPr>
          <w:b w:val="0"/>
          <w:noProof/>
        </w:rPr>
        <w:t>HJERTEMAGNYL.</w:t>
      </w:r>
    </w:p>
    <w:p w:rsidR="00821D67" w:rsidRPr="000751E3" w:rsidRDefault="00821D67" w:rsidP="00821D67">
      <w:pPr>
        <w:pStyle w:val="PI-3EMEASMCA"/>
        <w:rPr>
          <w:b w:val="0"/>
        </w:rPr>
      </w:pPr>
      <w:r w:rsidRPr="004030AC">
        <w:rPr>
          <w:b w:val="0"/>
          <w:noProof/>
        </w:rPr>
        <w:t>Atsagumo priemonių reikia:</w:t>
      </w:r>
    </w:p>
    <w:p w:rsidR="00821D67" w:rsidRDefault="00821D67" w:rsidP="00821D67">
      <w:pPr>
        <w:pStyle w:val="BT-EMEASMCA"/>
        <w:tabs>
          <w:tab w:val="clear" w:pos="360"/>
          <w:tab w:val="num" w:pos="720"/>
        </w:tabs>
        <w:ind w:left="720" w:hanging="363"/>
        <w:rPr>
          <w:noProof w:val="0"/>
        </w:rPr>
      </w:pPr>
      <w:r>
        <w:t xml:space="preserve">jei </w:t>
      </w:r>
      <w:r w:rsidRPr="000922CC">
        <w:t>serga</w:t>
      </w:r>
      <w:r>
        <w:t>te</w:t>
      </w:r>
      <w:r w:rsidRPr="000922CC">
        <w:t xml:space="preserve"> </w:t>
      </w:r>
      <w:r>
        <w:t>bronchų astma arba Jūsų</w:t>
      </w:r>
      <w:r w:rsidRPr="000922CC">
        <w:t xml:space="preserve"> jautrumas skausmą malšinantiems preparatams yra padidėjęs, nes </w:t>
      </w:r>
      <w:r>
        <w:t>HJERTEMAGNYL</w:t>
      </w:r>
      <w:r w:rsidRPr="000922CC">
        <w:t xml:space="preserve"> gali sukelti bro</w:t>
      </w:r>
      <w:r>
        <w:t>nchų astmos priepuolį</w:t>
      </w:r>
      <w:r>
        <w:rPr>
          <w:noProof w:val="0"/>
        </w:rPr>
        <w:t>;</w:t>
      </w:r>
    </w:p>
    <w:p w:rsidR="00821D67" w:rsidRDefault="00821D67" w:rsidP="00821D67">
      <w:pPr>
        <w:pStyle w:val="BT-EMEASMCA"/>
        <w:tabs>
          <w:tab w:val="clear" w:pos="360"/>
          <w:tab w:val="num" w:pos="720"/>
        </w:tabs>
        <w:ind w:left="720" w:hanging="363"/>
        <w:rPr>
          <w:noProof w:val="0"/>
        </w:rPr>
      </w:pPr>
      <w:r>
        <w:rPr>
          <w:noProof w:val="0"/>
        </w:rPr>
        <w:t xml:space="preserve">jei </w:t>
      </w:r>
      <w:r>
        <w:t>sergate</w:t>
      </w:r>
      <w:r w:rsidRPr="000922CC">
        <w:t xml:space="preserve"> gydymui nepasiduod</w:t>
      </w:r>
      <w:r>
        <w:t>ančia hipertenzija;</w:t>
      </w:r>
    </w:p>
    <w:p w:rsidR="00821D67" w:rsidRPr="00DF4173" w:rsidRDefault="00821D67" w:rsidP="00821D67">
      <w:pPr>
        <w:pStyle w:val="BT-EMEASMCA"/>
        <w:tabs>
          <w:tab w:val="clear" w:pos="360"/>
          <w:tab w:val="num" w:pos="720"/>
        </w:tabs>
        <w:ind w:left="720" w:hanging="363"/>
        <w:rPr>
          <w:noProof w:val="0"/>
        </w:rPr>
      </w:pPr>
      <w:r>
        <w:t>jei sergate</w:t>
      </w:r>
      <w:r w:rsidRPr="000922CC">
        <w:t xml:space="preserve"> hemolizine anemija, yra sutrikusi kepenų ir</w:t>
      </w:r>
      <w:r>
        <w:t xml:space="preserve"> (ar) inkstų funkcija arba</w:t>
      </w:r>
      <w:r w:rsidRPr="000922CC">
        <w:t xml:space="preserve"> </w:t>
      </w:r>
      <w:r>
        <w:t>yra virškinimo trakto sutrikimų;</w:t>
      </w:r>
    </w:p>
    <w:p w:rsidR="00821D67" w:rsidRDefault="00821D67" w:rsidP="00821D67">
      <w:pPr>
        <w:pStyle w:val="BT-EMEASMCA"/>
        <w:tabs>
          <w:tab w:val="clear" w:pos="360"/>
          <w:tab w:val="num" w:pos="720"/>
        </w:tabs>
        <w:ind w:left="720" w:hanging="363"/>
        <w:rPr>
          <w:noProof w:val="0"/>
        </w:rPr>
      </w:pPr>
      <w:r>
        <w:t>l</w:t>
      </w:r>
      <w:r w:rsidRPr="000922CC">
        <w:t xml:space="preserve">ikus 10 parų iki chirurginės operacijos </w:t>
      </w:r>
      <w:r>
        <w:t>HJERTEMAGNYL</w:t>
      </w:r>
      <w:r w:rsidRPr="000922CC">
        <w:t xml:space="preserve"> vartojimą būtina nutraukti</w:t>
      </w:r>
      <w:r>
        <w:t>;</w:t>
      </w:r>
    </w:p>
    <w:p w:rsidR="00821D67" w:rsidRPr="00DF4173" w:rsidRDefault="00821D67" w:rsidP="00821D67">
      <w:pPr>
        <w:pStyle w:val="BT-EMEASMCA"/>
        <w:tabs>
          <w:tab w:val="clear" w:pos="360"/>
          <w:tab w:val="num" w:pos="720"/>
        </w:tabs>
        <w:ind w:left="720" w:hanging="363"/>
        <w:rPr>
          <w:noProof w:val="0"/>
        </w:rPr>
      </w:pPr>
      <w:r>
        <w:lastRenderedPageBreak/>
        <w:t>senyvo amžiaus pacientams nepatartina ilgai vartoti preparato dėl galimos kraujavimo iš virškinamojo trakto rizikos.</w:t>
      </w:r>
    </w:p>
    <w:p w:rsidR="00821D67" w:rsidRPr="00DF4173" w:rsidRDefault="00821D67" w:rsidP="00821D67">
      <w:pPr>
        <w:pStyle w:val="BTEMEASMCA"/>
        <w:rPr>
          <w:noProof w:val="0"/>
        </w:rPr>
      </w:pPr>
    </w:p>
    <w:p w:rsidR="00821D67" w:rsidRPr="00893BED" w:rsidRDefault="00821D67" w:rsidP="00821D67">
      <w:pPr>
        <w:pStyle w:val="PI-3EMEASMCA"/>
      </w:pPr>
      <w:r w:rsidRPr="00893BED">
        <w:t>Kiti vaistai ir HJERTEMAGNYL</w:t>
      </w:r>
    </w:p>
    <w:p w:rsidR="00821D67" w:rsidRDefault="00821D67" w:rsidP="00821D67">
      <w:pPr>
        <w:pStyle w:val="BTEMEASMCA"/>
        <w:rPr>
          <w:noProof w:val="0"/>
        </w:rPr>
      </w:pPr>
      <w:r w:rsidRPr="00DF4173">
        <w:rPr>
          <w:noProof w:val="0"/>
        </w:rPr>
        <w:t>Jeigu vartojate arba neseniai vartojote kitų vaistų, įskaitant įsigytus be recepto, pasakykite gydytojui arba vaisti</w:t>
      </w:r>
      <w:r>
        <w:rPr>
          <w:noProof w:val="0"/>
        </w:rPr>
        <w:t>ninkui.</w:t>
      </w:r>
    </w:p>
    <w:p w:rsidR="00821D67" w:rsidRPr="000922CC" w:rsidRDefault="00821D67" w:rsidP="00821D67">
      <w:pPr>
        <w:pStyle w:val="Pagrindinistekstas"/>
        <w:tabs>
          <w:tab w:val="left" w:pos="567"/>
        </w:tabs>
        <w:rPr>
          <w:sz w:val="22"/>
          <w:szCs w:val="22"/>
        </w:rPr>
      </w:pPr>
      <w:r w:rsidRPr="000922CC">
        <w:rPr>
          <w:sz w:val="22"/>
          <w:szCs w:val="22"/>
        </w:rPr>
        <w:t xml:space="preserve">Kumarino grupės antikoaguliantų arba heparino poveikis stiprėja, jei jų vartojama kartu su didele </w:t>
      </w:r>
      <w:r>
        <w:rPr>
          <w:sz w:val="22"/>
          <w:szCs w:val="22"/>
        </w:rPr>
        <w:t>HJERTEMAGNYL</w:t>
      </w:r>
      <w:r w:rsidRPr="000922CC">
        <w:rPr>
          <w:sz w:val="22"/>
          <w:szCs w:val="22"/>
        </w:rPr>
        <w:t xml:space="preserve"> doze. </w:t>
      </w:r>
    </w:p>
    <w:p w:rsidR="00821D67" w:rsidRPr="000922CC" w:rsidRDefault="00821D67" w:rsidP="00821D67">
      <w:pPr>
        <w:pStyle w:val="Pagrindinistekstas"/>
        <w:tabs>
          <w:tab w:val="left" w:pos="567"/>
        </w:tabs>
        <w:rPr>
          <w:sz w:val="22"/>
          <w:szCs w:val="22"/>
        </w:rPr>
      </w:pPr>
      <w:proofErr w:type="spellStart"/>
      <w:r w:rsidRPr="000922CC">
        <w:rPr>
          <w:sz w:val="22"/>
          <w:szCs w:val="22"/>
        </w:rPr>
        <w:t>Acetilsalicilinės</w:t>
      </w:r>
      <w:proofErr w:type="spellEnd"/>
      <w:r w:rsidRPr="000922CC">
        <w:rPr>
          <w:sz w:val="22"/>
          <w:szCs w:val="22"/>
        </w:rPr>
        <w:t xml:space="preserve"> rūgšties vartojimas kartu su </w:t>
      </w:r>
      <w:proofErr w:type="spellStart"/>
      <w:r w:rsidRPr="000922CC">
        <w:rPr>
          <w:sz w:val="22"/>
          <w:szCs w:val="22"/>
        </w:rPr>
        <w:t>gliukokortikoidais</w:t>
      </w:r>
      <w:proofErr w:type="spellEnd"/>
      <w:r w:rsidRPr="000922CC">
        <w:rPr>
          <w:sz w:val="22"/>
          <w:szCs w:val="22"/>
        </w:rPr>
        <w:t xml:space="preserve"> gali didinti kraujavimo iš virškinimo trakto atsiradimo riziką.</w:t>
      </w:r>
    </w:p>
    <w:p w:rsidR="00821D67" w:rsidRPr="000922CC" w:rsidRDefault="00821D67" w:rsidP="00821D67">
      <w:pPr>
        <w:pStyle w:val="Pagrindinistekstas"/>
        <w:tabs>
          <w:tab w:val="left" w:pos="567"/>
        </w:tabs>
        <w:rPr>
          <w:sz w:val="22"/>
          <w:szCs w:val="22"/>
        </w:rPr>
      </w:pPr>
      <w:proofErr w:type="spellStart"/>
      <w:r w:rsidRPr="000922CC">
        <w:rPr>
          <w:sz w:val="22"/>
          <w:szCs w:val="22"/>
        </w:rPr>
        <w:t>Metotreksato</w:t>
      </w:r>
      <w:proofErr w:type="spellEnd"/>
      <w:r w:rsidRPr="000922CC">
        <w:rPr>
          <w:sz w:val="22"/>
          <w:szCs w:val="22"/>
        </w:rPr>
        <w:t xml:space="preserve"> ir geriamųjų vaistų nuo diabeto poveikis, įskaitant ir šalutinį poveikį, stiprėja, jei jų vartojama kartu su </w:t>
      </w:r>
      <w:proofErr w:type="spellStart"/>
      <w:r w:rsidRPr="000922CC">
        <w:rPr>
          <w:sz w:val="22"/>
          <w:szCs w:val="22"/>
        </w:rPr>
        <w:t>acetilsalicilo</w:t>
      </w:r>
      <w:proofErr w:type="spellEnd"/>
      <w:r w:rsidRPr="000922CC">
        <w:rPr>
          <w:sz w:val="22"/>
          <w:szCs w:val="22"/>
        </w:rPr>
        <w:t xml:space="preserve"> rūgštimi. </w:t>
      </w:r>
    </w:p>
    <w:p w:rsidR="00821D67" w:rsidRPr="000922CC" w:rsidRDefault="00821D67" w:rsidP="00821D67">
      <w:pPr>
        <w:pStyle w:val="Pagrindinistekstas"/>
        <w:tabs>
          <w:tab w:val="left" w:pos="567"/>
        </w:tabs>
        <w:rPr>
          <w:sz w:val="22"/>
          <w:szCs w:val="22"/>
        </w:rPr>
      </w:pPr>
      <w:r w:rsidRPr="000922CC">
        <w:rPr>
          <w:sz w:val="22"/>
          <w:szCs w:val="22"/>
        </w:rPr>
        <w:t>Nesteroidini</w:t>
      </w:r>
      <w:r>
        <w:rPr>
          <w:sz w:val="22"/>
          <w:szCs w:val="22"/>
        </w:rPr>
        <w:t>ai</w:t>
      </w:r>
      <w:r w:rsidRPr="000922CC">
        <w:rPr>
          <w:sz w:val="22"/>
          <w:szCs w:val="22"/>
        </w:rPr>
        <w:t xml:space="preserve"> vaist</w:t>
      </w:r>
      <w:r>
        <w:rPr>
          <w:sz w:val="22"/>
          <w:szCs w:val="22"/>
        </w:rPr>
        <w:t xml:space="preserve">ai nuo uždegimo </w:t>
      </w:r>
      <w:r w:rsidRPr="000922CC">
        <w:rPr>
          <w:sz w:val="22"/>
          <w:szCs w:val="22"/>
        </w:rPr>
        <w:t xml:space="preserve">gali daryti įtaką šalutiniam </w:t>
      </w:r>
      <w:r>
        <w:rPr>
          <w:sz w:val="22"/>
          <w:szCs w:val="22"/>
        </w:rPr>
        <w:t xml:space="preserve">HJERTEMAGNYL </w:t>
      </w:r>
      <w:r w:rsidRPr="000922CC">
        <w:rPr>
          <w:sz w:val="22"/>
          <w:szCs w:val="22"/>
        </w:rPr>
        <w:t>poveikiui</w:t>
      </w:r>
      <w:r>
        <w:rPr>
          <w:sz w:val="22"/>
          <w:szCs w:val="22"/>
        </w:rPr>
        <w:t>, todėl šiuos preparatus nepatariama vartoti kartu</w:t>
      </w:r>
    </w:p>
    <w:p w:rsidR="00821D67" w:rsidRPr="000922CC" w:rsidRDefault="00821D67" w:rsidP="00821D67">
      <w:pPr>
        <w:pStyle w:val="Pagrindinistekstas"/>
        <w:tabs>
          <w:tab w:val="left" w:pos="567"/>
        </w:tabs>
        <w:rPr>
          <w:sz w:val="22"/>
          <w:szCs w:val="22"/>
        </w:rPr>
      </w:pPr>
      <w:proofErr w:type="spellStart"/>
      <w:r w:rsidRPr="000922CC">
        <w:rPr>
          <w:sz w:val="22"/>
          <w:szCs w:val="22"/>
        </w:rPr>
        <w:t>Acetilsalicilo</w:t>
      </w:r>
      <w:proofErr w:type="spellEnd"/>
      <w:r w:rsidRPr="000922CC">
        <w:rPr>
          <w:sz w:val="22"/>
          <w:szCs w:val="22"/>
        </w:rPr>
        <w:t xml:space="preserve"> rūgštis gali slopinti </w:t>
      </w:r>
      <w:proofErr w:type="spellStart"/>
      <w:r w:rsidRPr="000922CC">
        <w:rPr>
          <w:sz w:val="22"/>
          <w:szCs w:val="22"/>
        </w:rPr>
        <w:t>spironolaktono</w:t>
      </w:r>
      <w:proofErr w:type="spellEnd"/>
      <w:r w:rsidRPr="000922CC">
        <w:rPr>
          <w:sz w:val="22"/>
          <w:szCs w:val="22"/>
        </w:rPr>
        <w:t xml:space="preserve">, </w:t>
      </w:r>
      <w:proofErr w:type="spellStart"/>
      <w:r w:rsidRPr="000922CC">
        <w:rPr>
          <w:sz w:val="22"/>
          <w:szCs w:val="22"/>
        </w:rPr>
        <w:t>furosemido</w:t>
      </w:r>
      <w:proofErr w:type="spellEnd"/>
      <w:r w:rsidRPr="000922CC">
        <w:rPr>
          <w:sz w:val="22"/>
          <w:szCs w:val="22"/>
        </w:rPr>
        <w:t xml:space="preserve">, šlapimo rūgšties išsiskyrimą skatinantį vaistų nuo podagros bei </w:t>
      </w:r>
      <w:proofErr w:type="spellStart"/>
      <w:r w:rsidRPr="000922CC">
        <w:rPr>
          <w:sz w:val="22"/>
          <w:szCs w:val="22"/>
        </w:rPr>
        <w:t>probenecido</w:t>
      </w:r>
      <w:proofErr w:type="spellEnd"/>
      <w:r w:rsidRPr="000922CC">
        <w:rPr>
          <w:sz w:val="22"/>
          <w:szCs w:val="22"/>
        </w:rPr>
        <w:t xml:space="preserve"> sukeliamą poveikį.</w:t>
      </w:r>
    </w:p>
    <w:p w:rsidR="00821D67" w:rsidRDefault="00821D67" w:rsidP="00821D67">
      <w:pPr>
        <w:pStyle w:val="BTEMEASMCA"/>
      </w:pPr>
      <w:r w:rsidRPr="000922CC">
        <w:t>Fenitoinas, droperidonas gali keisti acetilsalicilo rūgšties veiksmingumą</w:t>
      </w:r>
      <w:r>
        <w:t>.</w:t>
      </w:r>
    </w:p>
    <w:p w:rsidR="00821D67" w:rsidRPr="0042150C" w:rsidRDefault="00821D67" w:rsidP="00821D67">
      <w:pPr>
        <w:numPr>
          <w:ilvl w:val="12"/>
          <w:numId w:val="0"/>
        </w:numPr>
        <w:ind w:right="-2"/>
        <w:rPr>
          <w:rFonts w:eastAsia="MS Mincho"/>
          <w:noProof/>
          <w:sz w:val="22"/>
          <w:szCs w:val="22"/>
        </w:rPr>
      </w:pPr>
      <w:r w:rsidRPr="0042150C">
        <w:rPr>
          <w:rFonts w:eastAsia="MS Mincho"/>
          <w:noProof/>
          <w:sz w:val="22"/>
          <w:szCs w:val="22"/>
        </w:rPr>
        <w:t>Metamizolas (vaistas skausmui mal</w:t>
      </w:r>
      <w:r w:rsidRPr="00016BF3">
        <w:rPr>
          <w:rFonts w:eastAsia="DengXian"/>
          <w:sz w:val="22"/>
          <w:szCs w:val="22"/>
        </w:rPr>
        <w:t>š</w:t>
      </w:r>
      <w:r w:rsidRPr="0042150C">
        <w:rPr>
          <w:rFonts w:eastAsia="MS Mincho"/>
          <w:noProof/>
          <w:sz w:val="22"/>
          <w:szCs w:val="22"/>
        </w:rPr>
        <w:t>inti ir karčiavimui suma</w:t>
      </w:r>
      <w:r w:rsidRPr="0042150C">
        <w:rPr>
          <w:rFonts w:eastAsia="MS Mincho"/>
          <w:sz w:val="22"/>
          <w:szCs w:val="22"/>
        </w:rPr>
        <w:t>žinti</w:t>
      </w:r>
      <w:r w:rsidRPr="0042150C">
        <w:rPr>
          <w:rFonts w:eastAsia="MS Mincho"/>
          <w:noProof/>
          <w:sz w:val="22"/>
          <w:szCs w:val="22"/>
        </w:rPr>
        <w:t xml:space="preserve">) gali susilpninti </w:t>
      </w:r>
      <w:proofErr w:type="spellStart"/>
      <w:r w:rsidRPr="00016BF3">
        <w:rPr>
          <w:rFonts w:eastAsia="DengXian"/>
          <w:sz w:val="22"/>
          <w:szCs w:val="22"/>
        </w:rPr>
        <w:t>acetilsalicilo</w:t>
      </w:r>
      <w:proofErr w:type="spellEnd"/>
      <w:r w:rsidRPr="00016BF3">
        <w:rPr>
          <w:rFonts w:eastAsia="DengXian"/>
          <w:sz w:val="22"/>
          <w:szCs w:val="22"/>
        </w:rPr>
        <w:t xml:space="preserve"> rūgšties poveikį trombocitų </w:t>
      </w:r>
      <w:proofErr w:type="spellStart"/>
      <w:r w:rsidRPr="00016BF3">
        <w:rPr>
          <w:rFonts w:eastAsia="DengXian"/>
          <w:sz w:val="22"/>
          <w:szCs w:val="22"/>
        </w:rPr>
        <w:t>agregacijai</w:t>
      </w:r>
      <w:proofErr w:type="spellEnd"/>
      <w:r>
        <w:rPr>
          <w:rFonts w:eastAsia="DengXian"/>
          <w:sz w:val="22"/>
          <w:szCs w:val="22"/>
        </w:rPr>
        <w:t xml:space="preserve"> (trombocitų sukibimui ir krešulio susiformavimui)</w:t>
      </w:r>
      <w:r w:rsidRPr="0042150C">
        <w:rPr>
          <w:rFonts w:eastAsia="MS Mincho"/>
          <w:noProof/>
          <w:sz w:val="22"/>
          <w:szCs w:val="22"/>
        </w:rPr>
        <w:t xml:space="preserve">, jei vartojama kartu. </w:t>
      </w:r>
      <w:r w:rsidRPr="00016BF3">
        <w:rPr>
          <w:rFonts w:eastAsia="DengXian"/>
          <w:sz w:val="22"/>
          <w:szCs w:val="22"/>
        </w:rPr>
        <w:t xml:space="preserve">Todėl pacientams, vartojantiems mažas </w:t>
      </w:r>
      <w:proofErr w:type="spellStart"/>
      <w:r w:rsidRPr="00016BF3">
        <w:rPr>
          <w:rFonts w:eastAsia="DengXian"/>
          <w:sz w:val="22"/>
          <w:szCs w:val="22"/>
        </w:rPr>
        <w:t>acetilsalicilo</w:t>
      </w:r>
      <w:proofErr w:type="spellEnd"/>
      <w:r w:rsidRPr="00016BF3">
        <w:rPr>
          <w:rFonts w:eastAsia="DengXian"/>
          <w:sz w:val="22"/>
          <w:szCs w:val="22"/>
        </w:rPr>
        <w:t xml:space="preserve"> rūgšties dozes, šis derinys turi būti </w:t>
      </w:r>
      <w:r>
        <w:rPr>
          <w:rFonts w:eastAsia="DengXian"/>
          <w:sz w:val="22"/>
          <w:szCs w:val="22"/>
        </w:rPr>
        <w:t>vartojama</w:t>
      </w:r>
      <w:r w:rsidRPr="00016BF3">
        <w:rPr>
          <w:rFonts w:eastAsia="DengXian"/>
          <w:sz w:val="22"/>
          <w:szCs w:val="22"/>
        </w:rPr>
        <w:t>s atsargiai.</w:t>
      </w:r>
    </w:p>
    <w:p w:rsidR="00821D67" w:rsidRPr="00DF4173" w:rsidRDefault="00821D67" w:rsidP="00821D67">
      <w:pPr>
        <w:pStyle w:val="BTEMEASMCA"/>
        <w:rPr>
          <w:noProof w:val="0"/>
        </w:rPr>
      </w:pPr>
    </w:p>
    <w:p w:rsidR="00821D67" w:rsidRPr="00DF4173" w:rsidRDefault="00821D67" w:rsidP="00821D67">
      <w:pPr>
        <w:pStyle w:val="PI-3EMEASMCA"/>
      </w:pPr>
      <w:r>
        <w:t>HJERTEMAGNYL</w:t>
      </w:r>
      <w:r w:rsidRPr="00DF4173">
        <w:t xml:space="preserve"> vartojimas su maistu ir gėrimais</w:t>
      </w:r>
    </w:p>
    <w:p w:rsidR="00821D67" w:rsidRDefault="00821D67" w:rsidP="00821D67">
      <w:pPr>
        <w:pStyle w:val="BTEMEASMCA"/>
        <w:rPr>
          <w:noProof w:val="0"/>
        </w:rPr>
      </w:pPr>
      <w:r>
        <w:rPr>
          <w:noProof w:val="0"/>
        </w:rPr>
        <w:t>Kartu vartojami maistas ir gėrimai HJERTEMAGNYL poveikiui įtakos nedaro.</w:t>
      </w:r>
    </w:p>
    <w:p w:rsidR="00821D67" w:rsidRPr="00DF4173" w:rsidRDefault="00821D67" w:rsidP="00821D67">
      <w:pPr>
        <w:pStyle w:val="BTEMEASMCA"/>
        <w:rPr>
          <w:noProof w:val="0"/>
        </w:rPr>
      </w:pPr>
    </w:p>
    <w:p w:rsidR="00821D67" w:rsidRPr="00112DF4" w:rsidRDefault="00821D67" w:rsidP="00821D67">
      <w:pPr>
        <w:pStyle w:val="PI-3EMEASMCA"/>
      </w:pPr>
      <w:r w:rsidRPr="00F3754E">
        <w:t>Nėštumas, žindymo laikotarpis</w:t>
      </w:r>
      <w:r w:rsidRPr="00112DF4">
        <w:t xml:space="preserve"> ir vaisingumas</w:t>
      </w:r>
    </w:p>
    <w:p w:rsidR="00821D67" w:rsidRDefault="00821D67" w:rsidP="00821D67">
      <w:pPr>
        <w:pStyle w:val="BTEMEASMCA"/>
        <w:rPr>
          <w:noProof w:val="0"/>
        </w:rPr>
      </w:pPr>
      <w:r w:rsidRPr="00803477">
        <w:t>Jeigu esate nėščia, žindote kūdikį, manote, kad galbūt esate nėščia, arba planuojate pastoti, tai prieš vartodama šį vaistą, pasitarkite su gydytoju arba vaistininku</w:t>
      </w:r>
      <w:r w:rsidRPr="00803477">
        <w:rPr>
          <w:noProof w:val="0"/>
        </w:rPr>
        <w:t>.</w:t>
      </w:r>
    </w:p>
    <w:p w:rsidR="00821D67" w:rsidRPr="00DF4173" w:rsidRDefault="00821D67" w:rsidP="00821D67">
      <w:pPr>
        <w:pStyle w:val="BTEMEASMCA"/>
        <w:rPr>
          <w:noProof w:val="0"/>
        </w:rPr>
      </w:pPr>
      <w:r w:rsidRPr="000922CC">
        <w:t xml:space="preserve">Žindymo laikotarpiu </w:t>
      </w:r>
      <w:r>
        <w:t>ir likus trims mėnesiams iki gimdymo HJERTEMAGNYL</w:t>
      </w:r>
      <w:r w:rsidRPr="000922CC">
        <w:t xml:space="preserve"> vartoti </w:t>
      </w:r>
      <w:r>
        <w:t>negalima.</w:t>
      </w:r>
    </w:p>
    <w:p w:rsidR="00821D67" w:rsidRPr="00DF4173" w:rsidRDefault="00821D67" w:rsidP="00821D67">
      <w:pPr>
        <w:pStyle w:val="BTEMEASMCA"/>
        <w:rPr>
          <w:noProof w:val="0"/>
        </w:rPr>
      </w:pPr>
    </w:p>
    <w:p w:rsidR="00821D67" w:rsidRPr="00DF4173" w:rsidRDefault="00821D67" w:rsidP="00821D67">
      <w:pPr>
        <w:pStyle w:val="PI-3EMEASMCA"/>
      </w:pPr>
      <w:r w:rsidRPr="00DF4173">
        <w:t>Vairavimas ir mechanizmų valdymas</w:t>
      </w:r>
    </w:p>
    <w:p w:rsidR="00821D67" w:rsidRPr="00893BED" w:rsidRDefault="00821D67" w:rsidP="00821D67">
      <w:pPr>
        <w:pStyle w:val="BTEMEASMCA"/>
        <w:rPr>
          <w:noProof w:val="0"/>
        </w:rPr>
      </w:pPr>
      <w:r w:rsidRPr="00F3754E">
        <w:t>HJERTEMAGNYL gebėjim</w:t>
      </w:r>
      <w:r>
        <w:t>o</w:t>
      </w:r>
      <w:r w:rsidRPr="00893BED">
        <w:t xml:space="preserve"> vairuoti ir valdyti mechanizmus </w:t>
      </w:r>
      <w:r>
        <w:t>neveikia arba veikia nereikšmingai</w:t>
      </w:r>
      <w:r w:rsidRPr="00893BED">
        <w:t>.</w:t>
      </w:r>
    </w:p>
    <w:p w:rsidR="00821D67" w:rsidRPr="00DF4173" w:rsidRDefault="00821D67" w:rsidP="00821D67">
      <w:pPr>
        <w:pStyle w:val="BTEMEASMCA"/>
        <w:rPr>
          <w:noProof w:val="0"/>
        </w:rPr>
      </w:pPr>
    </w:p>
    <w:p w:rsidR="00821D67" w:rsidRPr="00DF4173" w:rsidRDefault="00821D67" w:rsidP="00821D67">
      <w:pPr>
        <w:pStyle w:val="BTEMEASMCA"/>
        <w:rPr>
          <w:noProof w:val="0"/>
        </w:rPr>
      </w:pPr>
    </w:p>
    <w:p w:rsidR="00821D67" w:rsidRPr="00DF4173" w:rsidRDefault="00821D67" w:rsidP="00821D67">
      <w:pPr>
        <w:pStyle w:val="PI-1EMEASMCA"/>
      </w:pPr>
      <w:bookmarkStart w:id="4" w:name="_Toc129243141"/>
      <w:bookmarkStart w:id="5" w:name="_Toc129243266"/>
      <w:r w:rsidRPr="00DF4173">
        <w:t>3.</w:t>
      </w:r>
      <w:r w:rsidRPr="00DF4173">
        <w:tab/>
      </w:r>
      <w:r w:rsidRPr="00F3754E">
        <w:t>Kaip vartoti HJERTEMAGNYL</w:t>
      </w:r>
      <w:bookmarkEnd w:id="4"/>
      <w:bookmarkEnd w:id="5"/>
    </w:p>
    <w:p w:rsidR="00821D67" w:rsidRPr="00DF4173" w:rsidRDefault="00821D67" w:rsidP="00821D67">
      <w:pPr>
        <w:pStyle w:val="BTEMEASMCA"/>
        <w:rPr>
          <w:noProof w:val="0"/>
        </w:rPr>
      </w:pPr>
    </w:p>
    <w:p w:rsidR="00821D67" w:rsidRDefault="00821D67" w:rsidP="00821D67">
      <w:pPr>
        <w:pStyle w:val="BTEMEASMCA"/>
        <w:rPr>
          <w:noProof w:val="0"/>
        </w:rPr>
      </w:pPr>
      <w:r>
        <w:t>Prieš gydymo pradžią būtina pasitarti su gydytoju.</w:t>
      </w:r>
    </w:p>
    <w:p w:rsidR="00821D67" w:rsidRDefault="00821D67" w:rsidP="00821D67">
      <w:pPr>
        <w:pStyle w:val="BTEMEASMCA"/>
        <w:rPr>
          <w:noProof w:val="0"/>
        </w:rPr>
      </w:pPr>
      <w:r>
        <w:rPr>
          <w:noProof w:val="0"/>
        </w:rPr>
        <w:t>HJERTEMAGNYL</w:t>
      </w:r>
      <w:r w:rsidRPr="00DF4173">
        <w:rPr>
          <w:noProof w:val="0"/>
        </w:rPr>
        <w:t xml:space="preserve"> visada vartokite tiksliai</w:t>
      </w:r>
      <w:r>
        <w:rPr>
          <w:noProof w:val="0"/>
        </w:rPr>
        <w:t>,</w:t>
      </w:r>
      <w:r w:rsidRPr="00DF4173">
        <w:rPr>
          <w:noProof w:val="0"/>
        </w:rPr>
        <w:t xml:space="preserve"> kaip nurodė gydytojas. Jeigu abejojate, kreipkitės į gydytoją arba vaistininką</w:t>
      </w:r>
      <w:r>
        <w:rPr>
          <w:noProof w:val="0"/>
        </w:rPr>
        <w:t>.</w:t>
      </w:r>
    </w:p>
    <w:p w:rsidR="00821D67" w:rsidRDefault="00821D67" w:rsidP="00821D67">
      <w:pPr>
        <w:pStyle w:val="Pagrindinistekstas"/>
        <w:tabs>
          <w:tab w:val="left" w:pos="567"/>
        </w:tabs>
        <w:rPr>
          <w:sz w:val="22"/>
          <w:szCs w:val="22"/>
        </w:rPr>
      </w:pPr>
    </w:p>
    <w:p w:rsidR="00821D67" w:rsidRDefault="00821D67" w:rsidP="00821D67">
      <w:pPr>
        <w:pStyle w:val="Pagrindinistekstas"/>
        <w:tabs>
          <w:tab w:val="left" w:pos="567"/>
        </w:tabs>
        <w:rPr>
          <w:sz w:val="22"/>
          <w:szCs w:val="22"/>
        </w:rPr>
      </w:pPr>
      <w:r w:rsidRPr="000922CC">
        <w:rPr>
          <w:sz w:val="22"/>
          <w:szCs w:val="22"/>
        </w:rPr>
        <w:t xml:space="preserve">Suaugusių žmonių </w:t>
      </w:r>
      <w:r>
        <w:rPr>
          <w:sz w:val="22"/>
          <w:szCs w:val="22"/>
        </w:rPr>
        <w:t>įprasta</w:t>
      </w:r>
      <w:r w:rsidRPr="000922CC">
        <w:rPr>
          <w:sz w:val="22"/>
          <w:szCs w:val="22"/>
        </w:rPr>
        <w:t xml:space="preserve"> paros dozė yra </w:t>
      </w:r>
      <w:r>
        <w:rPr>
          <w:sz w:val="22"/>
          <w:szCs w:val="22"/>
        </w:rPr>
        <w:t>75 -</w:t>
      </w:r>
      <w:r w:rsidRPr="000922CC">
        <w:rPr>
          <w:sz w:val="22"/>
          <w:szCs w:val="22"/>
        </w:rPr>
        <w:t>150 mg.</w:t>
      </w:r>
      <w:r w:rsidRPr="00CD414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Jei reikalinga mažesnė nei 150 mg dozė, reikia vartoti kito stiprumo tabletes. </w:t>
      </w:r>
    </w:p>
    <w:p w:rsidR="00821D67" w:rsidRDefault="00821D67" w:rsidP="00821D67">
      <w:pPr>
        <w:pStyle w:val="BTEMEASMCA"/>
      </w:pPr>
      <w:r>
        <w:t>Esant kai kurioms būklėms, dozė gali būti padidinta, bet tik gydytojui nurodžius.</w:t>
      </w:r>
    </w:p>
    <w:p w:rsidR="00821D67" w:rsidRDefault="00821D67" w:rsidP="00821D67">
      <w:pPr>
        <w:pStyle w:val="BTEMEASMCA"/>
      </w:pPr>
    </w:p>
    <w:p w:rsidR="00821D67" w:rsidRPr="00DF4173" w:rsidRDefault="00821D67" w:rsidP="00821D67">
      <w:pPr>
        <w:pStyle w:val="BTEMEASMCA"/>
        <w:rPr>
          <w:noProof w:val="0"/>
        </w:rPr>
      </w:pPr>
      <w:r w:rsidRPr="000922CC">
        <w:t xml:space="preserve">Tabletę reikia užsigerti stikline vandens. Tabletę galima nuryti visą, </w:t>
      </w:r>
      <w:r>
        <w:t>kad būtų lengviau nuryti</w:t>
      </w:r>
      <w:r w:rsidRPr="000922CC">
        <w:t xml:space="preserve"> ją </w:t>
      </w:r>
      <w:r>
        <w:t xml:space="preserve">galima </w:t>
      </w:r>
      <w:r w:rsidRPr="000922CC">
        <w:t>padalyti į dvi dalis</w:t>
      </w:r>
      <w:r>
        <w:t xml:space="preserve"> ar</w:t>
      </w:r>
      <w:r w:rsidRPr="000922CC">
        <w:t xml:space="preserve"> </w:t>
      </w:r>
      <w:r>
        <w:t>su</w:t>
      </w:r>
      <w:r w:rsidRPr="000922CC">
        <w:t>kramtyti</w:t>
      </w:r>
      <w:r>
        <w:t>.</w:t>
      </w:r>
    </w:p>
    <w:p w:rsidR="00821D67" w:rsidRPr="00DF4173" w:rsidRDefault="00821D67" w:rsidP="00821D67">
      <w:pPr>
        <w:pStyle w:val="BTEMEASMCA"/>
        <w:rPr>
          <w:noProof w:val="0"/>
        </w:rPr>
      </w:pPr>
    </w:p>
    <w:p w:rsidR="00821D67" w:rsidRDefault="00821D67" w:rsidP="00821D67">
      <w:pPr>
        <w:pStyle w:val="PI-3EMEASMCA"/>
      </w:pPr>
      <w:r w:rsidRPr="00DF4173">
        <w:t xml:space="preserve">Pavartojus per didelę </w:t>
      </w:r>
      <w:r>
        <w:t>HJERTEMAGNYL</w:t>
      </w:r>
      <w:r w:rsidRPr="00DF4173">
        <w:t xml:space="preserve"> dozę</w:t>
      </w:r>
    </w:p>
    <w:p w:rsidR="00821D67" w:rsidRPr="00FC1BEE" w:rsidRDefault="00821D67" w:rsidP="00821D67">
      <w:pPr>
        <w:pStyle w:val="PI-3EMEASMCA"/>
        <w:rPr>
          <w:b w:val="0"/>
        </w:rPr>
      </w:pPr>
      <w:r w:rsidRPr="00FC1BEE">
        <w:rPr>
          <w:b w:val="0"/>
        </w:rPr>
        <w:t>Jei išgėrėte daugia</w:t>
      </w:r>
      <w:r>
        <w:rPr>
          <w:b w:val="0"/>
        </w:rPr>
        <w:t>u tablečių, negu nurody</w:t>
      </w:r>
      <w:r w:rsidRPr="00FC1BEE">
        <w:rPr>
          <w:b w:val="0"/>
        </w:rPr>
        <w:t>ta, iš karto kreipkitės į gydytoją</w:t>
      </w:r>
      <w:r>
        <w:rPr>
          <w:b w:val="0"/>
        </w:rPr>
        <w:t>.</w:t>
      </w:r>
    </w:p>
    <w:p w:rsidR="00821D67" w:rsidRPr="00DF4173" w:rsidRDefault="00821D67" w:rsidP="00821D67">
      <w:pPr>
        <w:pStyle w:val="BTEMEASMCA"/>
        <w:rPr>
          <w:b/>
          <w:noProof w:val="0"/>
        </w:rPr>
      </w:pPr>
    </w:p>
    <w:p w:rsidR="00821D67" w:rsidRPr="00DF4173" w:rsidRDefault="00821D67" w:rsidP="00821D67">
      <w:pPr>
        <w:pStyle w:val="PI-3EMEASMCA"/>
      </w:pPr>
      <w:r w:rsidRPr="00DF4173">
        <w:t xml:space="preserve">Pamiršus pavartoti </w:t>
      </w:r>
      <w:r>
        <w:t>HJERTEMAGNYL</w:t>
      </w:r>
    </w:p>
    <w:p w:rsidR="00821D67" w:rsidRPr="00DF4173" w:rsidRDefault="00821D67" w:rsidP="00821D67">
      <w:pPr>
        <w:pStyle w:val="BTEMEASMCA"/>
        <w:rPr>
          <w:noProof w:val="0"/>
        </w:rPr>
      </w:pPr>
      <w:r>
        <w:t>Jei pamiršote išgerti HJERTEMAGNYL tabletę, ją išgerkite iš karto, kai prisiminsite, tada tabletes vartokite įprastu laiku.</w:t>
      </w:r>
      <w:r w:rsidRPr="00DF4173">
        <w:rPr>
          <w:noProof w:val="0"/>
        </w:rPr>
        <w:t xml:space="preserve"> Negalima vartoti dvigubos dozės norint ko</w:t>
      </w:r>
      <w:r>
        <w:rPr>
          <w:noProof w:val="0"/>
        </w:rPr>
        <w:t>mpensuoti praleistą tabletę.</w:t>
      </w:r>
    </w:p>
    <w:p w:rsidR="00821D67" w:rsidRPr="00DF4173" w:rsidRDefault="00821D67" w:rsidP="00821D67">
      <w:pPr>
        <w:pStyle w:val="BTEMEASMCA"/>
        <w:rPr>
          <w:noProof w:val="0"/>
        </w:rPr>
      </w:pPr>
    </w:p>
    <w:p w:rsidR="00821D67" w:rsidRPr="00DF4173" w:rsidRDefault="00821D67" w:rsidP="00821D67">
      <w:pPr>
        <w:pStyle w:val="PI-3EMEASMCA"/>
      </w:pPr>
      <w:r w:rsidRPr="00DF4173">
        <w:t xml:space="preserve">Nustojus vartoti </w:t>
      </w:r>
      <w:proofErr w:type="spellStart"/>
      <w:r>
        <w:t>Hjertemagnyl</w:t>
      </w:r>
      <w:proofErr w:type="spellEnd"/>
    </w:p>
    <w:p w:rsidR="00821D67" w:rsidRPr="00DF4173" w:rsidRDefault="00821D67" w:rsidP="00821D67">
      <w:pPr>
        <w:pStyle w:val="BTEMEASMCA"/>
        <w:rPr>
          <w:noProof w:val="0"/>
        </w:rPr>
      </w:pPr>
      <w:r>
        <w:rPr>
          <w:noProof w:val="0"/>
        </w:rPr>
        <w:t>Nustojus vartoti HJERTEMAGNYL, pasakykite apie tai savo gydytojui.</w:t>
      </w:r>
    </w:p>
    <w:p w:rsidR="00821D67" w:rsidRPr="00DF4173" w:rsidRDefault="00821D67" w:rsidP="00821D67">
      <w:pPr>
        <w:pStyle w:val="BTEMEASMCA"/>
        <w:rPr>
          <w:noProof w:val="0"/>
        </w:rPr>
      </w:pPr>
      <w:r w:rsidRPr="00DF4173">
        <w:rPr>
          <w:noProof w:val="0"/>
        </w:rPr>
        <w:t xml:space="preserve">Jeigu kiltų </w:t>
      </w:r>
      <w:r>
        <w:rPr>
          <w:noProof w:val="0"/>
        </w:rPr>
        <w:t xml:space="preserve">daugiau </w:t>
      </w:r>
      <w:r w:rsidRPr="00DF4173">
        <w:rPr>
          <w:noProof w:val="0"/>
        </w:rPr>
        <w:t>klausimų dėl šio vaisto vartojimo, kreipkitės į gydytoją arba vaistininką</w:t>
      </w:r>
    </w:p>
    <w:p w:rsidR="00821D67" w:rsidRPr="00DF4173" w:rsidRDefault="00821D67" w:rsidP="00821D67">
      <w:pPr>
        <w:pStyle w:val="BTEMEASMCA"/>
        <w:rPr>
          <w:noProof w:val="0"/>
        </w:rPr>
      </w:pPr>
    </w:p>
    <w:p w:rsidR="00821D67" w:rsidRPr="00DF4173" w:rsidRDefault="00821D67" w:rsidP="00821D67">
      <w:pPr>
        <w:pStyle w:val="BTEMEASMCA"/>
        <w:rPr>
          <w:noProof w:val="0"/>
        </w:rPr>
      </w:pPr>
    </w:p>
    <w:p w:rsidR="00821D67" w:rsidRPr="00DF4173" w:rsidRDefault="00821D67" w:rsidP="00821D67">
      <w:pPr>
        <w:pStyle w:val="PI-1EMEASMCA"/>
      </w:pPr>
      <w:bookmarkStart w:id="6" w:name="_Toc129243142"/>
      <w:bookmarkStart w:id="7" w:name="_Toc129243267"/>
      <w:r w:rsidRPr="00DF4173">
        <w:t>4.</w:t>
      </w:r>
      <w:r w:rsidRPr="00DF4173">
        <w:tab/>
      </w:r>
      <w:r w:rsidRPr="00803477">
        <w:t>Galimas šalutinis poveikis</w:t>
      </w:r>
      <w:r w:rsidRPr="00DF4173" w:rsidDel="00324F07">
        <w:t xml:space="preserve"> </w:t>
      </w:r>
      <w:bookmarkEnd w:id="6"/>
      <w:bookmarkEnd w:id="7"/>
    </w:p>
    <w:p w:rsidR="00821D67" w:rsidRPr="004030AC" w:rsidRDefault="00821D67" w:rsidP="00821D67">
      <w:pPr>
        <w:pStyle w:val="BTEMEASMCA"/>
        <w:rPr>
          <w:noProof w:val="0"/>
        </w:rPr>
      </w:pPr>
      <w:r w:rsidRPr="00E15D44">
        <w:rPr>
          <w:noProof w:val="0"/>
        </w:rPr>
        <w:t>Šis vaistas, kaip ir visi kiti</w:t>
      </w:r>
      <w:r w:rsidRPr="004030AC">
        <w:rPr>
          <w:noProof w:val="0"/>
        </w:rPr>
        <w:t>, gali sukelti šalutinį poveikį, nors jis pasireiškia ne visiems žmonėms.</w:t>
      </w:r>
    </w:p>
    <w:p w:rsidR="00821D67" w:rsidRDefault="00821D67" w:rsidP="00821D67">
      <w:pPr>
        <w:pStyle w:val="BTEMEASMCA"/>
        <w:rPr>
          <w:noProof w:val="0"/>
        </w:rPr>
      </w:pPr>
    </w:p>
    <w:p w:rsidR="00821D67" w:rsidRPr="00096C19" w:rsidRDefault="00821D67" w:rsidP="00821D67">
      <w:pPr>
        <w:pStyle w:val="Pagrindinistekstas"/>
        <w:rPr>
          <w:i/>
          <w:sz w:val="22"/>
          <w:szCs w:val="22"/>
        </w:rPr>
      </w:pPr>
      <w:r w:rsidRPr="00096C19">
        <w:rPr>
          <w:i/>
          <w:sz w:val="22"/>
          <w:szCs w:val="22"/>
        </w:rPr>
        <w:t xml:space="preserve">Labai dažnas šalutinis poveikis </w:t>
      </w:r>
      <w:r w:rsidRPr="00096C19">
        <w:rPr>
          <w:i/>
          <w:sz w:val="22"/>
          <w:szCs w:val="22"/>
        </w:rPr>
        <w:sym w:font="Symbol" w:char="F028"/>
      </w:r>
      <w:r w:rsidRPr="00096C19">
        <w:rPr>
          <w:i/>
          <w:sz w:val="22"/>
          <w:szCs w:val="22"/>
        </w:rPr>
        <w:t>atsiranda daugiau  kaip 1 iš 10 vaisto vartojančių pacientų</w:t>
      </w:r>
      <w:r w:rsidRPr="00096C19">
        <w:rPr>
          <w:i/>
          <w:sz w:val="22"/>
          <w:szCs w:val="22"/>
        </w:rPr>
        <w:sym w:font="Symbol" w:char="F029"/>
      </w:r>
    </w:p>
    <w:p w:rsidR="00821D67" w:rsidRPr="00096C19" w:rsidRDefault="00821D67" w:rsidP="00821D67">
      <w:pPr>
        <w:tabs>
          <w:tab w:val="left" w:pos="567"/>
        </w:tabs>
        <w:rPr>
          <w:sz w:val="22"/>
          <w:szCs w:val="22"/>
        </w:rPr>
      </w:pPr>
      <w:r w:rsidRPr="00096C19">
        <w:rPr>
          <w:sz w:val="22"/>
          <w:szCs w:val="22"/>
        </w:rPr>
        <w:t>Pailgėjęs kraujavimo laikas, rėmuo, raugulys.</w:t>
      </w:r>
    </w:p>
    <w:p w:rsidR="00821D67" w:rsidRPr="00096C19" w:rsidRDefault="00821D67" w:rsidP="00821D67">
      <w:pPr>
        <w:tabs>
          <w:tab w:val="left" w:pos="567"/>
        </w:tabs>
        <w:rPr>
          <w:sz w:val="22"/>
          <w:szCs w:val="22"/>
        </w:rPr>
      </w:pPr>
    </w:p>
    <w:p w:rsidR="00821D67" w:rsidRPr="00096C19" w:rsidRDefault="00821D67" w:rsidP="00821D67">
      <w:pPr>
        <w:pStyle w:val="Pagrindinistekstas"/>
        <w:rPr>
          <w:i/>
          <w:sz w:val="22"/>
          <w:szCs w:val="22"/>
        </w:rPr>
      </w:pPr>
      <w:r w:rsidRPr="00096C19">
        <w:rPr>
          <w:i/>
          <w:sz w:val="22"/>
          <w:szCs w:val="22"/>
        </w:rPr>
        <w:t xml:space="preserve">Dažnas šalutinis poveikis </w:t>
      </w:r>
      <w:r w:rsidRPr="00096C19">
        <w:rPr>
          <w:i/>
          <w:sz w:val="22"/>
          <w:szCs w:val="22"/>
        </w:rPr>
        <w:sym w:font="Symbol" w:char="F028"/>
      </w:r>
      <w:r w:rsidRPr="00096C19">
        <w:rPr>
          <w:i/>
          <w:sz w:val="22"/>
          <w:szCs w:val="22"/>
        </w:rPr>
        <w:t>atsiranda mažiau kaip 1 iš 10, bet daugiau kaip 1 iš 100 vaisto vartojančių pacientų</w:t>
      </w:r>
      <w:r w:rsidRPr="00096C19">
        <w:rPr>
          <w:i/>
          <w:sz w:val="22"/>
          <w:szCs w:val="22"/>
        </w:rPr>
        <w:sym w:font="Symbol" w:char="F029"/>
      </w:r>
    </w:p>
    <w:p w:rsidR="00821D67" w:rsidRPr="00096C19" w:rsidRDefault="00821D67" w:rsidP="00821D67">
      <w:pPr>
        <w:pStyle w:val="Pagrindinistekstas"/>
        <w:rPr>
          <w:sz w:val="22"/>
          <w:szCs w:val="22"/>
        </w:rPr>
      </w:pPr>
      <w:r w:rsidRPr="00096C19">
        <w:rPr>
          <w:sz w:val="22"/>
          <w:szCs w:val="22"/>
        </w:rPr>
        <w:t xml:space="preserve">Galvos skausmas, nemiga, </w:t>
      </w:r>
      <w:proofErr w:type="spellStart"/>
      <w:r w:rsidRPr="00096C19">
        <w:rPr>
          <w:sz w:val="22"/>
          <w:szCs w:val="22"/>
        </w:rPr>
        <w:t>bronchospazmas</w:t>
      </w:r>
      <w:proofErr w:type="spellEnd"/>
      <w:r w:rsidRPr="00096C19">
        <w:rPr>
          <w:sz w:val="22"/>
          <w:szCs w:val="22"/>
        </w:rPr>
        <w:t xml:space="preserve"> sergantiems bronchų astma, </w:t>
      </w:r>
      <w:r w:rsidRPr="00096C19">
        <w:rPr>
          <w:color w:val="000000"/>
          <w:sz w:val="22"/>
          <w:szCs w:val="22"/>
        </w:rPr>
        <w:t>viršutinės virškinimo trakto dalies paraudimas ir erozijos, pykinimas, sutrikęs virškinimas, vėmimas, viduriavimas</w:t>
      </w:r>
      <w:r w:rsidRPr="00096C19">
        <w:rPr>
          <w:sz w:val="22"/>
          <w:szCs w:val="22"/>
        </w:rPr>
        <w:t>.</w:t>
      </w:r>
    </w:p>
    <w:p w:rsidR="00821D67" w:rsidRPr="00096C19" w:rsidRDefault="00821D67" w:rsidP="00821D67">
      <w:pPr>
        <w:pStyle w:val="Pagrindinistekstas"/>
        <w:rPr>
          <w:strike/>
          <w:sz w:val="22"/>
          <w:szCs w:val="22"/>
        </w:rPr>
      </w:pPr>
    </w:p>
    <w:p w:rsidR="00821D67" w:rsidRPr="00096C19" w:rsidRDefault="00821D67" w:rsidP="00821D67">
      <w:pPr>
        <w:rPr>
          <w:i/>
          <w:sz w:val="22"/>
          <w:szCs w:val="22"/>
        </w:rPr>
      </w:pPr>
      <w:r w:rsidRPr="00096C19">
        <w:rPr>
          <w:i/>
          <w:sz w:val="22"/>
          <w:szCs w:val="22"/>
        </w:rPr>
        <w:t xml:space="preserve">Nedažnas šalutinis poveikis </w:t>
      </w:r>
      <w:r w:rsidRPr="00096C19">
        <w:rPr>
          <w:i/>
          <w:sz w:val="22"/>
          <w:szCs w:val="22"/>
        </w:rPr>
        <w:sym w:font="Symbol" w:char="F028"/>
      </w:r>
      <w:r w:rsidRPr="00096C19">
        <w:rPr>
          <w:i/>
          <w:sz w:val="22"/>
          <w:szCs w:val="22"/>
        </w:rPr>
        <w:t>atsiranda mažiau kaip 1 iš 100, bet daugiau kaip 1 iš 1000 vaisto vartojančių pacientų</w:t>
      </w:r>
      <w:r w:rsidRPr="00096C19">
        <w:rPr>
          <w:i/>
          <w:sz w:val="22"/>
          <w:szCs w:val="22"/>
        </w:rPr>
        <w:sym w:font="Symbol" w:char="F029"/>
      </w:r>
    </w:p>
    <w:p w:rsidR="00821D67" w:rsidRPr="00096C19" w:rsidRDefault="00821D67" w:rsidP="00821D67">
      <w:pPr>
        <w:pStyle w:val="Pagrindinistekstas"/>
        <w:rPr>
          <w:sz w:val="22"/>
          <w:szCs w:val="22"/>
        </w:rPr>
      </w:pPr>
      <w:r w:rsidRPr="00096C19">
        <w:rPr>
          <w:color w:val="000000"/>
          <w:sz w:val="22"/>
          <w:szCs w:val="22"/>
        </w:rPr>
        <w:t xml:space="preserve">Mieguistumas, svaigulys, zvimbimas ausyse, viršutinės virškinimo trakto dalies opos ir kraujavimas, įskaitant vėmimą ir tuštinimąsi krauju, padidėjusio jautrumo reakcijos (dilgėlinė ir </w:t>
      </w:r>
      <w:proofErr w:type="spellStart"/>
      <w:r w:rsidRPr="00096C19">
        <w:rPr>
          <w:color w:val="000000"/>
          <w:sz w:val="22"/>
          <w:szCs w:val="22"/>
        </w:rPr>
        <w:t>angioedema</w:t>
      </w:r>
      <w:proofErr w:type="spellEnd"/>
      <w:r w:rsidRPr="00096C19">
        <w:rPr>
          <w:color w:val="000000"/>
          <w:sz w:val="22"/>
          <w:szCs w:val="22"/>
        </w:rPr>
        <w:t>) alergiškiems pacientams, anafilaksinė reakcija.</w:t>
      </w:r>
    </w:p>
    <w:p w:rsidR="00821D67" w:rsidRPr="00096C19" w:rsidRDefault="00821D67" w:rsidP="00821D67">
      <w:pPr>
        <w:pStyle w:val="Pagrindinistekstas"/>
        <w:rPr>
          <w:strike/>
          <w:sz w:val="22"/>
          <w:szCs w:val="22"/>
        </w:rPr>
      </w:pPr>
    </w:p>
    <w:p w:rsidR="00821D67" w:rsidRPr="00096C19" w:rsidRDefault="00821D67" w:rsidP="00821D67">
      <w:pPr>
        <w:rPr>
          <w:i/>
          <w:sz w:val="22"/>
          <w:szCs w:val="22"/>
        </w:rPr>
      </w:pPr>
      <w:r w:rsidRPr="00096C19">
        <w:rPr>
          <w:i/>
          <w:sz w:val="22"/>
          <w:szCs w:val="22"/>
        </w:rPr>
        <w:t xml:space="preserve">Retas šalutinis poveikis </w:t>
      </w:r>
      <w:r w:rsidRPr="00096C19">
        <w:rPr>
          <w:i/>
          <w:sz w:val="22"/>
          <w:szCs w:val="22"/>
        </w:rPr>
        <w:sym w:font="Symbol" w:char="F028"/>
      </w:r>
      <w:r w:rsidRPr="00096C19">
        <w:rPr>
          <w:i/>
          <w:sz w:val="22"/>
          <w:szCs w:val="22"/>
        </w:rPr>
        <w:t>atsiranda mažiau kaip 1 iš 100, bet daugiau kaip 1 iš 1000 vaisto vartojančių pacientų</w:t>
      </w:r>
      <w:r w:rsidRPr="00096C19">
        <w:rPr>
          <w:i/>
          <w:sz w:val="22"/>
          <w:szCs w:val="22"/>
        </w:rPr>
        <w:sym w:font="Symbol" w:char="F029"/>
      </w:r>
    </w:p>
    <w:p w:rsidR="00821D67" w:rsidRPr="00096C19" w:rsidRDefault="00821D67" w:rsidP="00821D67">
      <w:pPr>
        <w:pStyle w:val="Pagrindinistekstas"/>
        <w:rPr>
          <w:strike/>
          <w:sz w:val="22"/>
          <w:szCs w:val="22"/>
        </w:rPr>
      </w:pPr>
      <w:r w:rsidRPr="00096C19">
        <w:rPr>
          <w:color w:val="000000"/>
          <w:sz w:val="22"/>
          <w:szCs w:val="22"/>
        </w:rPr>
        <w:t>Kraujavimas į smegenis, grįžtamasis, nuo dozės priklausomas klausos susilpnėjimas arba kurtumas, gausus viršutinės virškinimo trakto dalies kraujavimas, perforacija, cukraus kiekio kraujyje sumažėjimas, kepenų fermentų kiekio kraujyje padidėjimas.</w:t>
      </w:r>
    </w:p>
    <w:p w:rsidR="00821D67" w:rsidRPr="00096C19" w:rsidRDefault="00821D67" w:rsidP="00821D67">
      <w:pPr>
        <w:pStyle w:val="Pagrindinistekstas"/>
        <w:rPr>
          <w:strike/>
          <w:sz w:val="22"/>
          <w:szCs w:val="22"/>
        </w:rPr>
      </w:pPr>
    </w:p>
    <w:p w:rsidR="00821D67" w:rsidRPr="00096C19" w:rsidRDefault="00821D67" w:rsidP="00821D67">
      <w:pPr>
        <w:rPr>
          <w:i/>
          <w:sz w:val="22"/>
          <w:szCs w:val="22"/>
        </w:rPr>
      </w:pPr>
      <w:r w:rsidRPr="00096C19">
        <w:rPr>
          <w:i/>
          <w:sz w:val="22"/>
          <w:szCs w:val="22"/>
        </w:rPr>
        <w:t xml:space="preserve">Labai retas šalutinis poveikis </w:t>
      </w:r>
      <w:r w:rsidRPr="00096C19">
        <w:rPr>
          <w:i/>
          <w:sz w:val="22"/>
          <w:szCs w:val="22"/>
        </w:rPr>
        <w:sym w:font="Symbol" w:char="F028"/>
      </w:r>
      <w:r w:rsidRPr="00096C19">
        <w:rPr>
          <w:i/>
          <w:sz w:val="22"/>
          <w:szCs w:val="22"/>
        </w:rPr>
        <w:t>atsiranda mažiau kaip 1 iš 10000 vaisto vartojančių pacientų</w:t>
      </w:r>
      <w:r w:rsidRPr="00096C19">
        <w:rPr>
          <w:i/>
          <w:sz w:val="22"/>
          <w:szCs w:val="22"/>
        </w:rPr>
        <w:sym w:font="Symbol" w:char="F029"/>
      </w:r>
    </w:p>
    <w:p w:rsidR="00821D67" w:rsidRPr="00096C19" w:rsidRDefault="00821D67" w:rsidP="00821D67">
      <w:pPr>
        <w:tabs>
          <w:tab w:val="left" w:pos="567"/>
        </w:tabs>
        <w:rPr>
          <w:sz w:val="22"/>
          <w:szCs w:val="22"/>
        </w:rPr>
      </w:pPr>
      <w:r w:rsidRPr="00096C19">
        <w:rPr>
          <w:color w:val="000000"/>
          <w:sz w:val="22"/>
          <w:szCs w:val="22"/>
        </w:rPr>
        <w:t xml:space="preserve">Burnos gleivinės arba stemplės uždegimas, apatinės virškinimo trakto dalies pažeidimas, išopėjimas arba susiaurėjimas, žarnų uždegimas arba žarnų uždegiminės ligos paūmėjimas, purpura (ryškiai raudonas bėrimas), hemoraginis </w:t>
      </w:r>
      <w:proofErr w:type="spellStart"/>
      <w:r w:rsidRPr="00096C19">
        <w:rPr>
          <w:color w:val="000000"/>
          <w:sz w:val="22"/>
          <w:szCs w:val="22"/>
        </w:rPr>
        <w:t>vaskulitas</w:t>
      </w:r>
      <w:proofErr w:type="spellEnd"/>
      <w:r w:rsidRPr="00096C19">
        <w:rPr>
          <w:color w:val="000000"/>
          <w:sz w:val="22"/>
          <w:szCs w:val="22"/>
        </w:rPr>
        <w:t xml:space="preserve"> (smulkiųjų kraujagyslių uždegimas), </w:t>
      </w:r>
      <w:proofErr w:type="spellStart"/>
      <w:r w:rsidRPr="00096C19">
        <w:rPr>
          <w:color w:val="000000"/>
          <w:sz w:val="22"/>
          <w:szCs w:val="22"/>
        </w:rPr>
        <w:t>Stivenso</w:t>
      </w:r>
      <w:proofErr w:type="spellEnd"/>
      <w:r w:rsidRPr="00096C19">
        <w:rPr>
          <w:color w:val="000000"/>
          <w:sz w:val="22"/>
          <w:szCs w:val="22"/>
        </w:rPr>
        <w:t xml:space="preserve"> ir Džonso sindromas, </w:t>
      </w:r>
      <w:proofErr w:type="spellStart"/>
      <w:r w:rsidRPr="00096C19">
        <w:rPr>
          <w:color w:val="000000"/>
          <w:sz w:val="22"/>
          <w:szCs w:val="22"/>
        </w:rPr>
        <w:t>Lajelio</w:t>
      </w:r>
      <w:proofErr w:type="spellEnd"/>
      <w:r w:rsidRPr="00096C19">
        <w:rPr>
          <w:color w:val="000000"/>
          <w:sz w:val="22"/>
          <w:szCs w:val="22"/>
        </w:rPr>
        <w:t xml:space="preserve"> sindromas (toksinė </w:t>
      </w:r>
      <w:proofErr w:type="spellStart"/>
      <w:r w:rsidRPr="00096C19">
        <w:rPr>
          <w:color w:val="000000"/>
          <w:sz w:val="22"/>
          <w:szCs w:val="22"/>
        </w:rPr>
        <w:t>epidermolizė</w:t>
      </w:r>
      <w:proofErr w:type="spellEnd"/>
      <w:r w:rsidRPr="00096C19">
        <w:rPr>
          <w:color w:val="000000"/>
          <w:sz w:val="22"/>
          <w:szCs w:val="22"/>
        </w:rPr>
        <w:t xml:space="preserve">), </w:t>
      </w:r>
      <w:r w:rsidRPr="00096C19">
        <w:rPr>
          <w:sz w:val="22"/>
          <w:szCs w:val="22"/>
        </w:rPr>
        <w:t>grįžtamasis, nuo dozės priklausomas, lengvas toksinis hepatitas, jei sergama kai kuriomis virusinėmis ligomis (ypač gripo virusų A, B ir vėjaraupių virusų sukeltomis</w:t>
      </w:r>
      <w:r>
        <w:rPr>
          <w:sz w:val="22"/>
          <w:szCs w:val="22"/>
        </w:rPr>
        <w:t>)</w:t>
      </w:r>
      <w:r w:rsidRPr="00096C19">
        <w:rPr>
          <w:color w:val="000000"/>
          <w:sz w:val="22"/>
          <w:szCs w:val="22"/>
        </w:rPr>
        <w:t>.</w:t>
      </w:r>
    </w:p>
    <w:p w:rsidR="00821D67" w:rsidRPr="00096C19" w:rsidRDefault="00821D67" w:rsidP="00821D67">
      <w:pPr>
        <w:tabs>
          <w:tab w:val="left" w:pos="567"/>
        </w:tabs>
        <w:rPr>
          <w:sz w:val="22"/>
          <w:szCs w:val="22"/>
        </w:rPr>
      </w:pPr>
    </w:p>
    <w:p w:rsidR="00821D67" w:rsidRPr="00DF4173" w:rsidRDefault="00821D67" w:rsidP="00821D67">
      <w:pPr>
        <w:pStyle w:val="BTEMEASMCA"/>
        <w:rPr>
          <w:noProof w:val="0"/>
        </w:rPr>
      </w:pPr>
      <w:r w:rsidRPr="00096C19">
        <w:t>Gydant vaikus HJERTEMAGNYL gali atsirasti Reye sindromas. Reye sindromas yra labai reta liga, pažeidžianti smegenis ir kepenis ir galinti sukelti mirtį</w:t>
      </w:r>
    </w:p>
    <w:p w:rsidR="00821D67" w:rsidRPr="00DF4173" w:rsidRDefault="00821D67" w:rsidP="00821D67">
      <w:pPr>
        <w:pStyle w:val="BTEMEASMCA"/>
        <w:rPr>
          <w:noProof w:val="0"/>
        </w:rPr>
      </w:pPr>
    </w:p>
    <w:p w:rsidR="00821D67" w:rsidRPr="00DF4173" w:rsidRDefault="00821D67" w:rsidP="00821D67">
      <w:pPr>
        <w:pStyle w:val="BTEMEASMCA"/>
        <w:rPr>
          <w:noProof w:val="0"/>
        </w:rPr>
      </w:pPr>
      <w:r w:rsidRPr="00DF4173">
        <w:rPr>
          <w:noProof w:val="0"/>
        </w:rPr>
        <w:t>Jeigu pasireiškė sunkus šalutinis poveikis arba pastebėjote šiame lapelyje nenurodytą šalutinį poveikį, pasakykite gydytojui</w:t>
      </w:r>
      <w:r>
        <w:rPr>
          <w:noProof w:val="0"/>
        </w:rPr>
        <w:t xml:space="preserve"> </w:t>
      </w:r>
      <w:r w:rsidRPr="00DF4173">
        <w:rPr>
          <w:noProof w:val="0"/>
        </w:rPr>
        <w:t xml:space="preserve">arba </w:t>
      </w:r>
      <w:r>
        <w:rPr>
          <w:noProof w:val="0"/>
        </w:rPr>
        <w:t>vaistininkui</w:t>
      </w:r>
      <w:r w:rsidRPr="00DF4173">
        <w:rPr>
          <w:noProof w:val="0"/>
        </w:rPr>
        <w:t>.</w:t>
      </w:r>
    </w:p>
    <w:p w:rsidR="00821D67" w:rsidRDefault="00821D67" w:rsidP="00821D67">
      <w:pPr>
        <w:pStyle w:val="BTEMEASMCA"/>
        <w:rPr>
          <w:noProof w:val="0"/>
        </w:rPr>
      </w:pPr>
    </w:p>
    <w:p w:rsidR="00821D67" w:rsidRPr="000F58B1" w:rsidRDefault="00821D67" w:rsidP="00821D67">
      <w:pPr>
        <w:tabs>
          <w:tab w:val="left" w:pos="567"/>
        </w:tabs>
        <w:rPr>
          <w:b/>
          <w:snapToGrid w:val="0"/>
          <w:sz w:val="22"/>
        </w:rPr>
      </w:pPr>
      <w:r w:rsidRPr="000F58B1">
        <w:rPr>
          <w:b/>
          <w:noProof/>
          <w:snapToGrid w:val="0"/>
          <w:sz w:val="22"/>
        </w:rPr>
        <w:t>Pranešimas apie šalutinį poveikį</w:t>
      </w:r>
    </w:p>
    <w:p w:rsidR="00821D67" w:rsidRPr="000F58B1" w:rsidRDefault="00821D67" w:rsidP="00821D67">
      <w:pPr>
        <w:tabs>
          <w:tab w:val="left" w:pos="567"/>
        </w:tabs>
        <w:spacing w:line="260" w:lineRule="exact"/>
        <w:ind w:right="-449"/>
        <w:rPr>
          <w:noProof/>
          <w:snapToGrid w:val="0"/>
          <w:sz w:val="22"/>
        </w:rPr>
      </w:pPr>
      <w:r w:rsidRPr="00A447FB">
        <w:rPr>
          <w:snapToGrid w:val="0"/>
          <w:sz w:val="22"/>
          <w:szCs w:val="20"/>
        </w:rPr>
        <w:t>Jeigu pasireiškė šalutinis poveikis, įskaitant šiame lapelyje nenurodytą, pasakykite gydytojui arba vaistininkui. Apie šalutinį poveikį taip pat galite pranešti Valstybinei vaistų kontrolės tarnybai prie Lietuvos Respublikos sveikatos apsaugos ministerijos nemokamu t</w:t>
      </w:r>
      <w:r w:rsidRPr="00A447FB">
        <w:rPr>
          <w:snapToGrid w:val="0"/>
          <w:sz w:val="22"/>
          <w:szCs w:val="20"/>
          <w:lang w:eastAsia="zh-CN"/>
        </w:rPr>
        <w:t>elefonu 8 800 73568</w:t>
      </w:r>
      <w:r w:rsidRPr="00A447FB">
        <w:rPr>
          <w:snapToGrid w:val="0"/>
          <w:sz w:val="22"/>
          <w:szCs w:val="20"/>
        </w:rPr>
        <w:t xml:space="preserve"> arba užpildyti interneto svetainėje </w:t>
      </w:r>
      <w:hyperlink r:id="rId5" w:history="1">
        <w:r w:rsidRPr="00A447FB">
          <w:rPr>
            <w:rFonts w:eastAsia="SimSun"/>
            <w:snapToGrid w:val="0"/>
            <w:color w:val="0000FF"/>
            <w:sz w:val="22"/>
            <w:szCs w:val="20"/>
            <w:u w:val="single"/>
          </w:rPr>
          <w:t>www.vvkt.lt</w:t>
        </w:r>
      </w:hyperlink>
      <w:r w:rsidRPr="00A447FB">
        <w:rPr>
          <w:snapToGrid w:val="0"/>
          <w:sz w:val="22"/>
          <w:szCs w:val="20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A447FB">
        <w:rPr>
          <w:snapToGrid w:val="0"/>
          <w:sz w:val="22"/>
          <w:szCs w:val="20"/>
          <w:lang w:eastAsia="zh-CN"/>
        </w:rPr>
        <w:t xml:space="preserve">nemokamu </w:t>
      </w:r>
      <w:r w:rsidRPr="00A447FB">
        <w:rPr>
          <w:snapToGrid w:val="0"/>
          <w:sz w:val="22"/>
          <w:szCs w:val="20"/>
        </w:rPr>
        <w:t>fakso numeriu 8 800 20131</w:t>
      </w:r>
      <w:r w:rsidRPr="00A447FB">
        <w:rPr>
          <w:snapToGrid w:val="0"/>
          <w:sz w:val="22"/>
          <w:szCs w:val="20"/>
          <w:lang w:eastAsia="zh-CN"/>
        </w:rPr>
        <w:t xml:space="preserve">, </w:t>
      </w:r>
      <w:r w:rsidRPr="00A447FB">
        <w:rPr>
          <w:snapToGrid w:val="0"/>
          <w:sz w:val="22"/>
          <w:szCs w:val="20"/>
        </w:rPr>
        <w:t xml:space="preserve">el. paštu </w:t>
      </w:r>
      <w:hyperlink r:id="rId6" w:history="1">
        <w:r w:rsidRPr="00A447FB">
          <w:rPr>
            <w:rFonts w:eastAsia="SimSun"/>
            <w:snapToGrid w:val="0"/>
            <w:color w:val="0000FF"/>
            <w:sz w:val="22"/>
            <w:szCs w:val="20"/>
            <w:u w:val="single"/>
          </w:rPr>
          <w:t>NepageidaujamaR@vvkt.lt</w:t>
        </w:r>
      </w:hyperlink>
      <w:r w:rsidRPr="00A447FB">
        <w:rPr>
          <w:snapToGrid w:val="0"/>
          <w:sz w:val="22"/>
          <w:szCs w:val="20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A447FB">
          <w:rPr>
            <w:rFonts w:eastAsia="SimSun"/>
            <w:snapToGrid w:val="0"/>
            <w:color w:val="0000FF"/>
            <w:sz w:val="22"/>
            <w:szCs w:val="20"/>
            <w:u w:val="single"/>
          </w:rPr>
          <w:t>http://www.vvkt.lt</w:t>
        </w:r>
      </w:hyperlink>
      <w:r w:rsidRPr="00A447FB">
        <w:rPr>
          <w:snapToGrid w:val="0"/>
          <w:sz w:val="22"/>
          <w:szCs w:val="20"/>
        </w:rPr>
        <w:t>). Pranešdami apie šalutinį poveikį galite mums padėti gauti daugiau informacijos apie šio vaisto saugumą.</w:t>
      </w:r>
    </w:p>
    <w:p w:rsidR="00821D67" w:rsidRPr="00DF4173" w:rsidRDefault="00821D67" w:rsidP="00821D67">
      <w:pPr>
        <w:pStyle w:val="BTEMEASMCA"/>
        <w:rPr>
          <w:noProof w:val="0"/>
        </w:rPr>
      </w:pPr>
    </w:p>
    <w:p w:rsidR="00821D67" w:rsidRPr="00DF4173" w:rsidRDefault="00821D67" w:rsidP="00821D67">
      <w:pPr>
        <w:pStyle w:val="BTEMEASMCA"/>
        <w:rPr>
          <w:noProof w:val="0"/>
        </w:rPr>
      </w:pPr>
    </w:p>
    <w:p w:rsidR="00821D67" w:rsidRPr="000150D1" w:rsidRDefault="00821D67" w:rsidP="00821D67">
      <w:pPr>
        <w:pStyle w:val="PI-1EMEASMCA"/>
      </w:pPr>
      <w:bookmarkStart w:id="8" w:name="_Toc129243143"/>
      <w:bookmarkStart w:id="9" w:name="_Toc129243268"/>
      <w:r w:rsidRPr="00DF4173">
        <w:t>5.</w:t>
      </w:r>
      <w:r w:rsidRPr="00DF4173">
        <w:tab/>
      </w:r>
      <w:r w:rsidRPr="000150D1">
        <w:t>Kaip laikyti HJERTEMAGNYL</w:t>
      </w:r>
    </w:p>
    <w:bookmarkEnd w:id="8"/>
    <w:bookmarkEnd w:id="9"/>
    <w:p w:rsidR="00821D67" w:rsidRPr="00DF4173" w:rsidRDefault="00821D67" w:rsidP="00821D67">
      <w:pPr>
        <w:pStyle w:val="PI-1EMEASMCA"/>
      </w:pPr>
    </w:p>
    <w:p w:rsidR="00821D67" w:rsidRPr="00893BED" w:rsidRDefault="00821D67" w:rsidP="00821D67">
      <w:pPr>
        <w:pStyle w:val="BTEMEASMCA"/>
        <w:rPr>
          <w:noProof w:val="0"/>
        </w:rPr>
      </w:pPr>
      <w:r>
        <w:rPr>
          <w:noProof w:val="0"/>
        </w:rPr>
        <w:t>Šį vaistą laikykite</w:t>
      </w:r>
      <w:r w:rsidRPr="000150D1">
        <w:rPr>
          <w:noProof w:val="0"/>
        </w:rPr>
        <w:t xml:space="preserve"> vaikams </w:t>
      </w:r>
      <w:r w:rsidRPr="003A2DBD">
        <w:rPr>
          <w:noProof w:val="0"/>
        </w:rPr>
        <w:t xml:space="preserve">nepastebimoje </w:t>
      </w:r>
      <w:r w:rsidRPr="001B4449">
        <w:rPr>
          <w:noProof w:val="0"/>
        </w:rPr>
        <w:t xml:space="preserve">ir nepasiekiamoje </w:t>
      </w:r>
      <w:r w:rsidRPr="00893BED">
        <w:rPr>
          <w:noProof w:val="0"/>
        </w:rPr>
        <w:t>vietoje.</w:t>
      </w:r>
    </w:p>
    <w:p w:rsidR="00821D67" w:rsidRDefault="00821D67" w:rsidP="00821D67">
      <w:pPr>
        <w:pStyle w:val="BTEMEASMCA"/>
      </w:pPr>
      <w:r w:rsidRPr="000922CC">
        <w:t>Laikyti ne aukštesnėje kaip 25 °C temperatūroje</w:t>
      </w:r>
      <w:r>
        <w:t>.</w:t>
      </w:r>
    </w:p>
    <w:p w:rsidR="00821D67" w:rsidRPr="00DF4173" w:rsidRDefault="00821D67" w:rsidP="00821D67">
      <w:pPr>
        <w:pStyle w:val="BTEMEASMCA"/>
        <w:rPr>
          <w:noProof w:val="0"/>
        </w:rPr>
      </w:pPr>
      <w:r>
        <w:t>Buteliuką laikyti sandarų.</w:t>
      </w:r>
    </w:p>
    <w:p w:rsidR="00821D67" w:rsidRPr="00DF4173" w:rsidRDefault="00821D67" w:rsidP="00821D67">
      <w:pPr>
        <w:pStyle w:val="BTEMEASMCA"/>
        <w:rPr>
          <w:noProof w:val="0"/>
        </w:rPr>
      </w:pPr>
      <w:r w:rsidRPr="000922CC">
        <w:lastRenderedPageBreak/>
        <w:t xml:space="preserve">Ant </w:t>
      </w:r>
      <w:r>
        <w:t>dėžutės ir buteliuko</w:t>
      </w:r>
      <w:r w:rsidRPr="000922CC">
        <w:t xml:space="preserve"> </w:t>
      </w:r>
      <w:r>
        <w:t xml:space="preserve">po „Tinka iki“ </w:t>
      </w:r>
      <w:r w:rsidRPr="000922CC">
        <w:t>nurodytam tinkam</w:t>
      </w:r>
      <w:r>
        <w:t xml:space="preserve">umo laikui pasibaigus, šio vaisto </w:t>
      </w:r>
      <w:r w:rsidRPr="000922CC">
        <w:t>vartoti negalima</w:t>
      </w:r>
      <w:r>
        <w:rPr>
          <w:noProof w:val="0"/>
        </w:rPr>
        <w:t>.</w:t>
      </w:r>
      <w:r w:rsidRPr="00B71E68">
        <w:rPr>
          <w:noProof w:val="0"/>
        </w:rPr>
        <w:t xml:space="preserve"> </w:t>
      </w:r>
      <w:r w:rsidRPr="00DF4173">
        <w:rPr>
          <w:noProof w:val="0"/>
        </w:rPr>
        <w:t>Vaistas tinka</w:t>
      </w:r>
      <w:r>
        <w:rPr>
          <w:noProof w:val="0"/>
        </w:rPr>
        <w:t>mas</w:t>
      </w:r>
      <w:r w:rsidRPr="00DF4173">
        <w:rPr>
          <w:noProof w:val="0"/>
        </w:rPr>
        <w:t xml:space="preserve"> vartoti iki paskutinės nurodyto mėnesio dienos.</w:t>
      </w:r>
    </w:p>
    <w:p w:rsidR="00821D67" w:rsidRPr="00DF4173" w:rsidRDefault="00821D67" w:rsidP="00821D67">
      <w:pPr>
        <w:pStyle w:val="BTEMEASMCA"/>
        <w:rPr>
          <w:noProof w:val="0"/>
        </w:rPr>
      </w:pPr>
    </w:p>
    <w:p w:rsidR="00821D67" w:rsidRPr="00DF4173" w:rsidRDefault="00821D67" w:rsidP="00821D67">
      <w:pPr>
        <w:pStyle w:val="BTEMEASMCA"/>
        <w:rPr>
          <w:noProof w:val="0"/>
        </w:rPr>
      </w:pPr>
      <w:r w:rsidRPr="00DF4173">
        <w:rPr>
          <w:noProof w:val="0"/>
        </w:rPr>
        <w:t xml:space="preserve">Vaistų negalima </w:t>
      </w:r>
      <w:r>
        <w:rPr>
          <w:noProof w:val="0"/>
        </w:rPr>
        <w:t>išmesti</w:t>
      </w:r>
      <w:r w:rsidRPr="00DF4173">
        <w:rPr>
          <w:noProof w:val="0"/>
        </w:rPr>
        <w:t xml:space="preserve"> į kanalizaciją arba su buitinėmis atliekomis. Kaip </w:t>
      </w:r>
      <w:r>
        <w:rPr>
          <w:noProof w:val="0"/>
        </w:rPr>
        <w:t xml:space="preserve">išmesti </w:t>
      </w:r>
      <w:r w:rsidRPr="00DF4173">
        <w:rPr>
          <w:noProof w:val="0"/>
        </w:rPr>
        <w:t>nereikalingus vaistus, klauskite vaistininko. Šios pri</w:t>
      </w:r>
      <w:r>
        <w:rPr>
          <w:noProof w:val="0"/>
        </w:rPr>
        <w:t>emonės padės apsaugoti aplinką.</w:t>
      </w:r>
    </w:p>
    <w:p w:rsidR="00821D67" w:rsidRPr="00DF4173" w:rsidRDefault="00821D67" w:rsidP="00821D67">
      <w:pPr>
        <w:pStyle w:val="BTEMEASMCA"/>
        <w:rPr>
          <w:noProof w:val="0"/>
        </w:rPr>
      </w:pPr>
    </w:p>
    <w:p w:rsidR="00821D67" w:rsidRPr="00DF4173" w:rsidRDefault="00821D67" w:rsidP="00821D67">
      <w:pPr>
        <w:pStyle w:val="BTEMEASMCA"/>
        <w:rPr>
          <w:noProof w:val="0"/>
        </w:rPr>
      </w:pPr>
    </w:p>
    <w:p w:rsidR="00821D67" w:rsidRPr="000150D1" w:rsidRDefault="00821D67" w:rsidP="00821D67">
      <w:pPr>
        <w:pStyle w:val="PI-1EMEASMCA"/>
      </w:pPr>
      <w:bookmarkStart w:id="10" w:name="_Toc129243144"/>
      <w:bookmarkStart w:id="11" w:name="_Toc129243269"/>
      <w:r w:rsidRPr="00DF4173">
        <w:t>6.</w:t>
      </w:r>
      <w:r w:rsidRPr="00DF4173">
        <w:tab/>
      </w:r>
      <w:r w:rsidRPr="000150D1">
        <w:t>Pakuotės turinys ir kita informacija</w:t>
      </w:r>
    </w:p>
    <w:bookmarkEnd w:id="10"/>
    <w:bookmarkEnd w:id="11"/>
    <w:p w:rsidR="00821D67" w:rsidRPr="00DF4173" w:rsidRDefault="00821D67" w:rsidP="00821D67">
      <w:pPr>
        <w:pStyle w:val="PI-1EMEASMCA"/>
      </w:pPr>
    </w:p>
    <w:p w:rsidR="00821D67" w:rsidRPr="00DF4173" w:rsidRDefault="00821D67" w:rsidP="00821D67">
      <w:pPr>
        <w:pStyle w:val="BTEMEASMCA"/>
        <w:rPr>
          <w:noProof w:val="0"/>
        </w:rPr>
      </w:pPr>
    </w:p>
    <w:p w:rsidR="00821D67" w:rsidRPr="00DF4173" w:rsidRDefault="00821D67" w:rsidP="00821D67">
      <w:pPr>
        <w:pStyle w:val="PI-3EMEASMCA"/>
      </w:pPr>
      <w:r>
        <w:t>HJERTEMAGNYL</w:t>
      </w:r>
      <w:r w:rsidRPr="00DF4173">
        <w:t xml:space="preserve"> sudėtis</w:t>
      </w:r>
    </w:p>
    <w:p w:rsidR="00821D67" w:rsidRPr="00DF4173" w:rsidRDefault="00821D67" w:rsidP="00821D67">
      <w:pPr>
        <w:pStyle w:val="BTEMEASMCA"/>
        <w:rPr>
          <w:noProof w:val="0"/>
          <w:u w:val="single"/>
        </w:rPr>
      </w:pPr>
    </w:p>
    <w:p w:rsidR="00821D67" w:rsidRPr="00466683" w:rsidRDefault="00821D67" w:rsidP="00821D67">
      <w:pPr>
        <w:pStyle w:val="BT-EMEASMCA"/>
        <w:tabs>
          <w:tab w:val="clear" w:pos="360"/>
          <w:tab w:val="num" w:pos="720"/>
        </w:tabs>
        <w:ind w:left="720" w:hanging="363"/>
      </w:pPr>
      <w:r>
        <w:t xml:space="preserve">Veiklioji medžiaga yra acetilsalicilo rūgštis. Kiekvienoje tabletėje </w:t>
      </w:r>
      <w:r w:rsidRPr="000922CC">
        <w:t>yra 150 mg acetilsalicilo rūgšties</w:t>
      </w:r>
      <w:r>
        <w:t>.</w:t>
      </w:r>
    </w:p>
    <w:p w:rsidR="00821D67" w:rsidRPr="00DF4173" w:rsidRDefault="00821D67" w:rsidP="00821D67">
      <w:pPr>
        <w:pStyle w:val="BT-EMEASMCA"/>
        <w:tabs>
          <w:tab w:val="clear" w:pos="360"/>
          <w:tab w:val="num" w:pos="720"/>
        </w:tabs>
        <w:ind w:left="720" w:hanging="363"/>
      </w:pPr>
      <w:r w:rsidRPr="00DF4173">
        <w:t>Pagalbinė</w:t>
      </w:r>
      <w:r>
        <w:t>s</w:t>
      </w:r>
      <w:r w:rsidRPr="00DF4173">
        <w:t xml:space="preserve"> </w:t>
      </w:r>
      <w:r>
        <w:t>medžiagos yra magnio hidroksidas, magnio stearatas, bulvių krakmolas, kukurūzų krakmolas, mikrokristalinė celiuliozė.</w:t>
      </w:r>
    </w:p>
    <w:p w:rsidR="00821D67" w:rsidRPr="00DF4173" w:rsidRDefault="00821D67" w:rsidP="00821D67">
      <w:pPr>
        <w:pStyle w:val="BTEMEASMCA"/>
        <w:rPr>
          <w:noProof w:val="0"/>
        </w:rPr>
      </w:pPr>
    </w:p>
    <w:p w:rsidR="00821D67" w:rsidRPr="00DF4173" w:rsidRDefault="00821D67" w:rsidP="00821D67">
      <w:pPr>
        <w:pStyle w:val="PI-3EMEASMCA"/>
      </w:pPr>
      <w:r>
        <w:t>HJERTEMAGNYL</w:t>
      </w:r>
      <w:r w:rsidRPr="00DF4173">
        <w:t xml:space="preserve"> išvaizda ir kiekis pakuotėje</w:t>
      </w:r>
    </w:p>
    <w:p w:rsidR="00821D67" w:rsidRDefault="00821D67" w:rsidP="00821D67">
      <w:pPr>
        <w:pStyle w:val="BTEMEASMCA"/>
      </w:pPr>
    </w:p>
    <w:p w:rsidR="00821D67" w:rsidRPr="00DF4173" w:rsidRDefault="00821D67" w:rsidP="00821D67">
      <w:pPr>
        <w:pStyle w:val="BTEMEASMCA"/>
        <w:rPr>
          <w:noProof w:val="0"/>
          <w:u w:val="single"/>
        </w:rPr>
      </w:pPr>
      <w:r>
        <w:t>HJERTEMAGNYL</w:t>
      </w:r>
      <w:r w:rsidRPr="000922CC">
        <w:t xml:space="preserve"> yra </w:t>
      </w:r>
      <w:r>
        <w:t>b</w:t>
      </w:r>
      <w:r w:rsidRPr="00B32511">
        <w:t>altos, apvalios, plokščios, nuožulniais kraštais tabletės, vienoje pusėje turinčios vagelę</w:t>
      </w:r>
      <w:r>
        <w:t>.</w:t>
      </w:r>
      <w:r w:rsidRPr="000E6380">
        <w:t xml:space="preserve"> </w:t>
      </w:r>
      <w:r w:rsidRPr="00BF1CD7">
        <w:t>Tabletės tiekiamos supakuotos į rudo stiklo buteliuk</w:t>
      </w:r>
      <w:r>
        <w:t>us, esančius kartono dėžutėse. Buteliuke</w:t>
      </w:r>
      <w:r w:rsidRPr="00BF1CD7">
        <w:t xml:space="preserve"> </w:t>
      </w:r>
      <w:r>
        <w:t>yra</w:t>
      </w:r>
      <w:r w:rsidRPr="00BF1CD7">
        <w:t xml:space="preserve"> 30 arba 90 tablečių</w:t>
      </w:r>
      <w:r>
        <w:t>.</w:t>
      </w:r>
    </w:p>
    <w:p w:rsidR="00821D67" w:rsidRPr="00DF4173" w:rsidRDefault="00821D67" w:rsidP="00821D67">
      <w:pPr>
        <w:pStyle w:val="BTEMEASMCA"/>
        <w:rPr>
          <w:noProof w:val="0"/>
        </w:rPr>
      </w:pPr>
    </w:p>
    <w:p w:rsidR="00821D67" w:rsidRPr="00DF4173" w:rsidRDefault="00821D67" w:rsidP="00821D67">
      <w:pPr>
        <w:pStyle w:val="PI-3EMEASMCA"/>
      </w:pPr>
      <w:r>
        <w:t>Registruotojas</w:t>
      </w:r>
      <w:r w:rsidRPr="00301E97">
        <w:t xml:space="preserve"> </w:t>
      </w:r>
      <w:r w:rsidRPr="00DF4173">
        <w:t>ir gamintojas</w:t>
      </w:r>
    </w:p>
    <w:p w:rsidR="00821D67" w:rsidRPr="00DF4173" w:rsidRDefault="00821D67" w:rsidP="00821D67">
      <w:pPr>
        <w:pStyle w:val="BTEMEASMCA"/>
        <w:rPr>
          <w:noProof w:val="0"/>
        </w:rPr>
      </w:pPr>
    </w:p>
    <w:p w:rsidR="00821D67" w:rsidRPr="00301E97" w:rsidRDefault="00821D67" w:rsidP="00821D67">
      <w:pPr>
        <w:pStyle w:val="PI-3EMEASMCA"/>
      </w:pPr>
      <w:r>
        <w:t>Registruotojas</w:t>
      </w:r>
      <w:r w:rsidRPr="00301E97">
        <w:t xml:space="preserve"> </w:t>
      </w:r>
    </w:p>
    <w:p w:rsidR="00821D67" w:rsidRPr="002A6140" w:rsidRDefault="00821D67" w:rsidP="00821D67">
      <w:pPr>
        <w:rPr>
          <w:sz w:val="22"/>
          <w:szCs w:val="22"/>
        </w:rPr>
      </w:pPr>
      <w:proofErr w:type="spellStart"/>
      <w:r w:rsidRPr="002A6140">
        <w:rPr>
          <w:sz w:val="22"/>
          <w:szCs w:val="22"/>
        </w:rPr>
        <w:t>Orifarm</w:t>
      </w:r>
      <w:proofErr w:type="spellEnd"/>
      <w:r w:rsidRPr="002A6140">
        <w:rPr>
          <w:sz w:val="22"/>
          <w:szCs w:val="22"/>
        </w:rPr>
        <w:t xml:space="preserve"> </w:t>
      </w:r>
      <w:proofErr w:type="spellStart"/>
      <w:r w:rsidRPr="002A6140">
        <w:rPr>
          <w:sz w:val="22"/>
          <w:szCs w:val="22"/>
        </w:rPr>
        <w:t>Healthcare</w:t>
      </w:r>
      <w:proofErr w:type="spellEnd"/>
      <w:r w:rsidRPr="002A6140">
        <w:rPr>
          <w:sz w:val="22"/>
          <w:szCs w:val="22"/>
        </w:rPr>
        <w:t xml:space="preserve"> A/S</w:t>
      </w:r>
    </w:p>
    <w:p w:rsidR="00821D67" w:rsidRPr="002A6140" w:rsidRDefault="00821D67" w:rsidP="00821D67">
      <w:pPr>
        <w:rPr>
          <w:sz w:val="22"/>
          <w:szCs w:val="22"/>
        </w:rPr>
      </w:pPr>
      <w:proofErr w:type="spellStart"/>
      <w:r w:rsidRPr="002A6140">
        <w:rPr>
          <w:sz w:val="22"/>
          <w:szCs w:val="22"/>
        </w:rPr>
        <w:t>Energivej</w:t>
      </w:r>
      <w:proofErr w:type="spellEnd"/>
      <w:r w:rsidRPr="002A6140">
        <w:rPr>
          <w:sz w:val="22"/>
          <w:szCs w:val="22"/>
        </w:rPr>
        <w:t xml:space="preserve"> 15</w:t>
      </w:r>
    </w:p>
    <w:p w:rsidR="00821D67" w:rsidRPr="002A6140" w:rsidRDefault="00821D67" w:rsidP="00821D67">
      <w:pPr>
        <w:rPr>
          <w:sz w:val="22"/>
          <w:szCs w:val="22"/>
        </w:rPr>
      </w:pPr>
      <w:r w:rsidRPr="002A6140">
        <w:rPr>
          <w:sz w:val="22"/>
          <w:szCs w:val="22"/>
        </w:rPr>
        <w:t>5260 Odense S</w:t>
      </w:r>
    </w:p>
    <w:p w:rsidR="00821D67" w:rsidRPr="002A6140" w:rsidRDefault="00821D67" w:rsidP="00821D67">
      <w:pPr>
        <w:rPr>
          <w:sz w:val="22"/>
          <w:szCs w:val="22"/>
        </w:rPr>
      </w:pPr>
      <w:r w:rsidRPr="002A6140">
        <w:rPr>
          <w:sz w:val="22"/>
          <w:szCs w:val="22"/>
        </w:rPr>
        <w:t>Danija</w:t>
      </w:r>
    </w:p>
    <w:p w:rsidR="00821D67" w:rsidRDefault="00821D67" w:rsidP="00821D67">
      <w:pPr>
        <w:rPr>
          <w:sz w:val="22"/>
          <w:szCs w:val="22"/>
        </w:rPr>
      </w:pPr>
      <w:hyperlink r:id="rId8" w:history="1">
        <w:r w:rsidRPr="008A3BD2">
          <w:rPr>
            <w:rStyle w:val="Hipersaitas"/>
            <w:sz w:val="22"/>
            <w:szCs w:val="22"/>
          </w:rPr>
          <w:t>info-baltics@orifarm.com</w:t>
        </w:r>
      </w:hyperlink>
    </w:p>
    <w:p w:rsidR="00821D67" w:rsidRDefault="00821D67" w:rsidP="00821D67">
      <w:pPr>
        <w:pStyle w:val="BTEMEASMCA"/>
      </w:pPr>
    </w:p>
    <w:p w:rsidR="00821D67" w:rsidRPr="00843321" w:rsidRDefault="00821D67" w:rsidP="00821D67">
      <w:pPr>
        <w:pStyle w:val="BTEMEASMCA"/>
        <w:rPr>
          <w:b/>
        </w:rPr>
      </w:pPr>
      <w:r>
        <w:rPr>
          <w:b/>
        </w:rPr>
        <w:t>Gamintojas</w:t>
      </w:r>
    </w:p>
    <w:p w:rsidR="00821D67" w:rsidRPr="0042562B" w:rsidRDefault="00821D67" w:rsidP="00821D67">
      <w:pPr>
        <w:autoSpaceDE w:val="0"/>
        <w:autoSpaceDN w:val="0"/>
        <w:adjustRightInd w:val="0"/>
        <w:rPr>
          <w:sz w:val="22"/>
          <w:szCs w:val="22"/>
          <w:lang w:eastAsia="lt-LT"/>
        </w:rPr>
      </w:pPr>
      <w:proofErr w:type="spellStart"/>
      <w:r w:rsidRPr="0042562B">
        <w:rPr>
          <w:sz w:val="22"/>
          <w:szCs w:val="22"/>
          <w:lang w:eastAsia="lt-LT"/>
        </w:rPr>
        <w:t>Takeda</w:t>
      </w:r>
      <w:proofErr w:type="spellEnd"/>
      <w:r w:rsidRPr="0042562B">
        <w:rPr>
          <w:sz w:val="22"/>
          <w:szCs w:val="22"/>
          <w:lang w:eastAsia="lt-LT"/>
        </w:rPr>
        <w:t xml:space="preserve"> </w:t>
      </w:r>
      <w:proofErr w:type="spellStart"/>
      <w:r w:rsidRPr="0042562B">
        <w:rPr>
          <w:sz w:val="22"/>
          <w:szCs w:val="22"/>
          <w:lang w:eastAsia="lt-LT"/>
        </w:rPr>
        <w:t>Pharma</w:t>
      </w:r>
      <w:proofErr w:type="spellEnd"/>
      <w:r w:rsidRPr="0042562B">
        <w:rPr>
          <w:sz w:val="22"/>
          <w:szCs w:val="22"/>
          <w:lang w:eastAsia="lt-LT"/>
        </w:rPr>
        <w:t xml:space="preserve"> AS </w:t>
      </w:r>
    </w:p>
    <w:p w:rsidR="00821D67" w:rsidRDefault="00821D67" w:rsidP="00821D67">
      <w:pPr>
        <w:pStyle w:val="Pagrindinistekstas"/>
        <w:tabs>
          <w:tab w:val="left" w:pos="567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Jaama</w:t>
      </w:r>
      <w:proofErr w:type="spellEnd"/>
      <w:r>
        <w:rPr>
          <w:sz w:val="22"/>
          <w:szCs w:val="22"/>
        </w:rPr>
        <w:t xml:space="preserve"> 55B, 63308 </w:t>
      </w:r>
      <w:proofErr w:type="spellStart"/>
      <w:r>
        <w:rPr>
          <w:sz w:val="22"/>
          <w:szCs w:val="22"/>
        </w:rPr>
        <w:t>Polva</w:t>
      </w:r>
      <w:proofErr w:type="spellEnd"/>
    </w:p>
    <w:p w:rsidR="00821D67" w:rsidRDefault="00821D67" w:rsidP="00821D67">
      <w:pPr>
        <w:pStyle w:val="Pagrindinistekstas"/>
        <w:tabs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>Estija</w:t>
      </w:r>
    </w:p>
    <w:p w:rsidR="00821D67" w:rsidRDefault="00821D67" w:rsidP="00821D67">
      <w:pPr>
        <w:pStyle w:val="Pagrindinistekstas"/>
        <w:tabs>
          <w:tab w:val="left" w:pos="567"/>
        </w:tabs>
        <w:jc w:val="both"/>
        <w:rPr>
          <w:i/>
          <w:sz w:val="22"/>
          <w:szCs w:val="22"/>
        </w:rPr>
      </w:pPr>
    </w:p>
    <w:p w:rsidR="00821D67" w:rsidRDefault="00821D67" w:rsidP="00821D67">
      <w:pPr>
        <w:pStyle w:val="Pagrindinistekstas"/>
        <w:tabs>
          <w:tab w:val="left" w:pos="567"/>
        </w:tabs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a</w:t>
      </w:r>
      <w:r w:rsidRPr="00283555">
        <w:rPr>
          <w:i/>
          <w:sz w:val="22"/>
          <w:szCs w:val="22"/>
        </w:rPr>
        <w:t>rba</w:t>
      </w:r>
    </w:p>
    <w:p w:rsidR="00821D67" w:rsidRPr="00283555" w:rsidRDefault="00821D67" w:rsidP="00821D67">
      <w:pPr>
        <w:pStyle w:val="Pagrindinistekstas"/>
        <w:tabs>
          <w:tab w:val="left" w:pos="567"/>
        </w:tabs>
        <w:jc w:val="both"/>
        <w:rPr>
          <w:i/>
          <w:sz w:val="22"/>
          <w:szCs w:val="22"/>
        </w:rPr>
      </w:pPr>
    </w:p>
    <w:p w:rsidR="00821D67" w:rsidRDefault="00821D67" w:rsidP="00821D67">
      <w:pPr>
        <w:pStyle w:val="Pagrindinistekstas"/>
        <w:tabs>
          <w:tab w:val="left" w:pos="567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Nycomed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Danmark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ApS</w:t>
      </w:r>
      <w:proofErr w:type="spellEnd"/>
    </w:p>
    <w:p w:rsidR="00821D67" w:rsidRDefault="00821D67" w:rsidP="00821D67">
      <w:pPr>
        <w:pStyle w:val="Pagrindinistekstas"/>
        <w:tabs>
          <w:tab w:val="left" w:pos="567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Langebjerg</w:t>
      </w:r>
      <w:proofErr w:type="spellEnd"/>
      <w:r>
        <w:rPr>
          <w:sz w:val="22"/>
          <w:szCs w:val="22"/>
        </w:rPr>
        <w:t xml:space="preserve"> 1, DK-4000 </w:t>
      </w:r>
      <w:proofErr w:type="spellStart"/>
      <w:r>
        <w:rPr>
          <w:sz w:val="22"/>
          <w:szCs w:val="22"/>
        </w:rPr>
        <w:t>Roskilde</w:t>
      </w:r>
      <w:proofErr w:type="spellEnd"/>
    </w:p>
    <w:p w:rsidR="00821D67" w:rsidRDefault="00821D67" w:rsidP="00821D67">
      <w:pPr>
        <w:pStyle w:val="BTEMEASMCA"/>
      </w:pPr>
      <w:r>
        <w:t>Danija</w:t>
      </w:r>
    </w:p>
    <w:p w:rsidR="00821D67" w:rsidRPr="00DF4173" w:rsidRDefault="00821D67" w:rsidP="00821D67">
      <w:pPr>
        <w:pStyle w:val="BTEMEASMCA"/>
        <w:rPr>
          <w:noProof w:val="0"/>
        </w:rPr>
      </w:pPr>
    </w:p>
    <w:p w:rsidR="00821D67" w:rsidRPr="00DF4173" w:rsidRDefault="00821D67" w:rsidP="00821D67">
      <w:pPr>
        <w:pStyle w:val="BTEMEASMCA"/>
        <w:rPr>
          <w:noProof w:val="0"/>
        </w:rPr>
      </w:pPr>
    </w:p>
    <w:p w:rsidR="00821D67" w:rsidRPr="009A1542" w:rsidRDefault="00821D67" w:rsidP="00821D67">
      <w:pPr>
        <w:pStyle w:val="BTbEMEASMCA"/>
        <w:rPr>
          <w:noProof w:val="0"/>
        </w:rPr>
      </w:pPr>
      <w:r>
        <w:rPr>
          <w:bCs/>
          <w:noProof w:val="0"/>
        </w:rPr>
        <w:t xml:space="preserve">Šis </w:t>
      </w:r>
      <w:r w:rsidRPr="00DF4173">
        <w:rPr>
          <w:bCs/>
          <w:noProof w:val="0"/>
        </w:rPr>
        <w:t>pakuotės lapelis</w:t>
      </w:r>
      <w:r w:rsidRPr="00DF4173">
        <w:rPr>
          <w:noProof w:val="0"/>
        </w:rPr>
        <w:t xml:space="preserve"> paskutinį kartą p</w:t>
      </w:r>
      <w:r>
        <w:rPr>
          <w:noProof w:val="0"/>
        </w:rPr>
        <w:t>eržiūrėtas 2022-02-01.</w:t>
      </w:r>
    </w:p>
    <w:p w:rsidR="00821D67" w:rsidRDefault="00821D67" w:rsidP="00821D67"/>
    <w:p w:rsidR="00821D67" w:rsidRDefault="00821D67" w:rsidP="00821D67"/>
    <w:p w:rsidR="00821D67" w:rsidRPr="009456C8" w:rsidRDefault="00821D67" w:rsidP="00821D67">
      <w:pPr>
        <w:numPr>
          <w:ilvl w:val="12"/>
          <w:numId w:val="0"/>
        </w:numPr>
        <w:ind w:right="-2"/>
        <w:rPr>
          <w:sz w:val="22"/>
          <w:szCs w:val="22"/>
        </w:rPr>
      </w:pPr>
      <w:r w:rsidRPr="000150D1">
        <w:rPr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 w:rsidRPr="000150D1">
        <w:rPr>
          <w:i/>
          <w:sz w:val="22"/>
          <w:szCs w:val="22"/>
        </w:rPr>
        <w:t xml:space="preserve"> </w:t>
      </w:r>
      <w:hyperlink r:id="rId9" w:history="1">
        <w:r w:rsidRPr="009456C8">
          <w:rPr>
            <w:rStyle w:val="Hipersaitas"/>
            <w:rFonts w:eastAsia="SimSun"/>
            <w:sz w:val="22"/>
            <w:szCs w:val="22"/>
          </w:rPr>
          <w:t>http://www.vvkt.lt/</w:t>
        </w:r>
      </w:hyperlink>
      <w:r w:rsidRPr="009456C8">
        <w:rPr>
          <w:sz w:val="22"/>
          <w:szCs w:val="22"/>
        </w:rPr>
        <w:t>.</w:t>
      </w:r>
    </w:p>
    <w:p w:rsidR="00821D67" w:rsidRPr="00DF4173" w:rsidRDefault="00821D67" w:rsidP="00821D67">
      <w:pPr>
        <w:pStyle w:val="BTEMEASMCA"/>
      </w:pPr>
    </w:p>
    <w:p w:rsidR="009041DB" w:rsidRDefault="009041DB">
      <w:bookmarkStart w:id="12" w:name="_GoBack"/>
      <w:bookmarkEnd w:id="12"/>
    </w:p>
    <w:sectPr w:rsidR="009041DB" w:rsidSect="00234094">
      <w:pgSz w:w="11910" w:h="16840"/>
      <w:pgMar w:top="1134" w:right="1418" w:bottom="1134" w:left="1418" w:header="737" w:footer="737" w:gutter="0"/>
      <w:cols w:space="129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0F02CEA"/>
    <w:multiLevelType w:val="hybridMultilevel"/>
    <w:tmpl w:val="25B02EFC"/>
    <w:lvl w:ilvl="0" w:tplc="C100AFC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D67"/>
    <w:rsid w:val="00234094"/>
    <w:rsid w:val="00821D67"/>
    <w:rsid w:val="009041D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71E304-A468-4478-A716-ED7CFAB3E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21D6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21D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rsid w:val="00821D67"/>
    <w:rPr>
      <w:color w:val="0000FF"/>
      <w:u w:val="single"/>
    </w:rPr>
  </w:style>
  <w:style w:type="paragraph" w:customStyle="1" w:styleId="PI-1EMEASMCA">
    <w:name w:val="PI-1 EMEA_SMCA"/>
    <w:basedOn w:val="Antrat2"/>
    <w:autoRedefine/>
    <w:rsid w:val="00821D67"/>
    <w:pPr>
      <w:keepLines w:val="0"/>
      <w:tabs>
        <w:tab w:val="left" w:pos="567"/>
      </w:tabs>
      <w:spacing w:before="0"/>
      <w:ind w:left="567" w:hanging="567"/>
    </w:pPr>
    <w:rPr>
      <w:rFonts w:ascii="Times New Roman" w:eastAsia="Times New Roman" w:hAnsi="Times New Roman" w:cs="Times New Roman"/>
      <w:b/>
      <w:color w:val="auto"/>
      <w:sz w:val="22"/>
      <w:szCs w:val="22"/>
    </w:rPr>
  </w:style>
  <w:style w:type="paragraph" w:customStyle="1" w:styleId="BTEMEASMCA">
    <w:name w:val="BT EMEA_SMCA"/>
    <w:basedOn w:val="prastasis"/>
    <w:link w:val="BTEMEASMCAChar"/>
    <w:autoRedefine/>
    <w:rsid w:val="00821D67"/>
    <w:rPr>
      <w:noProof/>
      <w:sz w:val="22"/>
      <w:szCs w:val="22"/>
    </w:rPr>
  </w:style>
  <w:style w:type="paragraph" w:customStyle="1" w:styleId="BT-EMEASMCA">
    <w:name w:val="BT- EMEA_SMCA"/>
    <w:basedOn w:val="BTEMEASMCA"/>
    <w:autoRedefine/>
    <w:rsid w:val="00821D67"/>
    <w:pPr>
      <w:numPr>
        <w:numId w:val="1"/>
      </w:numPr>
      <w:tabs>
        <w:tab w:val="clear" w:pos="720"/>
        <w:tab w:val="num" w:pos="360"/>
      </w:tabs>
      <w:ind w:left="0" w:firstLine="0"/>
    </w:pPr>
  </w:style>
  <w:style w:type="paragraph" w:customStyle="1" w:styleId="PI-3EMEASMCA">
    <w:name w:val="PI-3 EMEA_SMCA"/>
    <w:basedOn w:val="prastasis"/>
    <w:autoRedefine/>
    <w:rsid w:val="00821D67"/>
    <w:pPr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BTEMEASMCA"/>
    <w:autoRedefine/>
    <w:rsid w:val="00821D67"/>
    <w:rPr>
      <w:b/>
    </w:rPr>
  </w:style>
  <w:style w:type="paragraph" w:customStyle="1" w:styleId="BTbeEMEASMCA">
    <w:name w:val="BT(be) EMEA_SMCA"/>
    <w:basedOn w:val="BTEMEASMCA"/>
    <w:autoRedefine/>
    <w:rsid w:val="00821D67"/>
    <w:pPr>
      <w:jc w:val="center"/>
    </w:pPr>
    <w:rPr>
      <w:b/>
    </w:rPr>
  </w:style>
  <w:style w:type="paragraph" w:customStyle="1" w:styleId="BTeEMEASMCA">
    <w:name w:val="BT(e) EMEA_SMCA"/>
    <w:basedOn w:val="BTEMEASMCA"/>
    <w:autoRedefine/>
    <w:rsid w:val="00821D67"/>
    <w:pPr>
      <w:jc w:val="center"/>
    </w:pPr>
  </w:style>
  <w:style w:type="character" w:customStyle="1" w:styleId="BTEMEASMCAChar">
    <w:name w:val="BT EMEA_SMCA Char"/>
    <w:link w:val="BTEMEASMCA"/>
    <w:rsid w:val="00821D67"/>
    <w:rPr>
      <w:rFonts w:ascii="Times New Roman" w:hAnsi="Times New Roman" w:cs="Times New Roman"/>
      <w:noProof/>
    </w:rPr>
  </w:style>
  <w:style w:type="paragraph" w:styleId="Pagrindinistekstas">
    <w:name w:val="Body Text"/>
    <w:basedOn w:val="prastasis"/>
    <w:link w:val="PagrindinistekstasDiagrama"/>
    <w:rsid w:val="00821D67"/>
    <w:rPr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21D67"/>
    <w:rPr>
      <w:rFonts w:ascii="Times New Roman" w:hAnsi="Times New Roman" w:cs="Times New Roman"/>
      <w:sz w:val="24"/>
      <w:szCs w:val="20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21D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baltics@orifarm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vvkt.lt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ma.europa.eu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6580</Words>
  <Characters>3752</Characters>
  <Application>Microsoft Office Word</Application>
  <DocSecurity>0</DocSecurity>
  <Lines>31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2022-01-31T08:15:00Z</dcterms:created>
  <dcterms:modified xsi:type="dcterms:W3CDTF">2022-01-31T08:16:00Z</dcterms:modified>
</cp:coreProperties>
</file>