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03" w:rsidRDefault="00A06603" w:rsidP="00A06603">
      <w:pPr>
        <w:tabs>
          <w:tab w:val="left" w:pos="567"/>
        </w:tabs>
        <w:jc w:val="center"/>
        <w:outlineLvl w:val="0"/>
        <w:rPr>
          <w:b/>
          <w:sz w:val="22"/>
          <w:szCs w:val="22"/>
        </w:rPr>
      </w:pPr>
      <w:r w:rsidRPr="003F7229">
        <w:rPr>
          <w:b/>
          <w:caps/>
          <w:sz w:val="22"/>
          <w:szCs w:val="22"/>
        </w:rPr>
        <w:t>P</w:t>
      </w:r>
      <w:r w:rsidRPr="003F7229">
        <w:rPr>
          <w:b/>
          <w:sz w:val="22"/>
          <w:szCs w:val="22"/>
        </w:rPr>
        <w:t>akuotės lapelis</w:t>
      </w:r>
      <w:r w:rsidRPr="003F7229">
        <w:rPr>
          <w:b/>
          <w:caps/>
          <w:sz w:val="22"/>
          <w:szCs w:val="22"/>
        </w:rPr>
        <w:t xml:space="preserve">: </w:t>
      </w:r>
      <w:r w:rsidRPr="003F7229">
        <w:rPr>
          <w:b/>
          <w:sz w:val="22"/>
          <w:szCs w:val="22"/>
        </w:rPr>
        <w:t>informacija vartotojui</w:t>
      </w:r>
    </w:p>
    <w:p w:rsidR="00A06603" w:rsidRPr="003F7229" w:rsidRDefault="00A06603" w:rsidP="00A06603">
      <w:pPr>
        <w:tabs>
          <w:tab w:val="left" w:pos="567"/>
        </w:tabs>
        <w:jc w:val="center"/>
        <w:outlineLvl w:val="0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 w:rsidRPr="003F7229">
        <w:rPr>
          <w:b/>
          <w:sz w:val="22"/>
          <w:szCs w:val="22"/>
        </w:rPr>
        <w:t>Piracetamum-Olpha</w:t>
      </w:r>
      <w:proofErr w:type="spellEnd"/>
      <w:r w:rsidRPr="003F7229">
        <w:rPr>
          <w:b/>
          <w:sz w:val="22"/>
          <w:szCs w:val="22"/>
        </w:rPr>
        <w:t xml:space="preserve"> 400 mg kietosios kapsulės</w:t>
      </w:r>
    </w:p>
    <w:p w:rsidR="00A06603" w:rsidRPr="003F7229" w:rsidRDefault="00A06603" w:rsidP="00A06603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 w:rsidRPr="003F7229">
        <w:rPr>
          <w:sz w:val="22"/>
          <w:szCs w:val="22"/>
        </w:rPr>
        <w:t>piracetamas</w:t>
      </w:r>
      <w:proofErr w:type="spellEnd"/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rFonts w:eastAsiaTheme="minorHAnsi"/>
          <w:sz w:val="22"/>
          <w:szCs w:val="22"/>
          <w:lang w:val="lv-LV"/>
        </w:rPr>
      </w:pPr>
      <w:r w:rsidRPr="003F7229">
        <w:rPr>
          <w:rFonts w:eastAsiaTheme="minorHAnsi"/>
          <w:b/>
          <w:spacing w:val="-3"/>
          <w:sz w:val="22"/>
          <w:szCs w:val="22"/>
          <w:lang w:val="lv-LV"/>
        </w:rPr>
        <w:t>Atidžiai perskaitykite visą šį lapelį, prieš pradėdami vartoti vaistą, nes jame pateikiama Jums svarbi informacija.</w:t>
      </w:r>
    </w:p>
    <w:p w:rsidR="00A06603" w:rsidRPr="0076788D" w:rsidRDefault="00A06603" w:rsidP="00A06603">
      <w:pPr>
        <w:pStyle w:val="Sraopastraipa"/>
        <w:numPr>
          <w:ilvl w:val="0"/>
          <w:numId w:val="4"/>
        </w:numPr>
        <w:ind w:left="426" w:hanging="426"/>
        <w:rPr>
          <w:rFonts w:eastAsiaTheme="minorHAnsi"/>
          <w:sz w:val="22"/>
          <w:szCs w:val="22"/>
        </w:rPr>
      </w:pPr>
      <w:r w:rsidRPr="0076788D">
        <w:rPr>
          <w:rFonts w:eastAsiaTheme="minorHAnsi"/>
          <w:sz w:val="22"/>
          <w:szCs w:val="22"/>
        </w:rPr>
        <w:t>Neišmeskite šio lapelio, nes vėl gali prireikti jį perskaityti.</w:t>
      </w:r>
    </w:p>
    <w:p w:rsidR="00A06603" w:rsidRPr="0076788D" w:rsidRDefault="00A06603" w:rsidP="00A06603">
      <w:pPr>
        <w:pStyle w:val="Sraopastraipa"/>
        <w:numPr>
          <w:ilvl w:val="0"/>
          <w:numId w:val="4"/>
        </w:numPr>
        <w:ind w:left="426" w:hanging="426"/>
        <w:rPr>
          <w:rFonts w:eastAsiaTheme="minorHAnsi"/>
          <w:sz w:val="22"/>
          <w:szCs w:val="22"/>
        </w:rPr>
      </w:pPr>
      <w:r w:rsidRPr="0076788D">
        <w:rPr>
          <w:rFonts w:eastAsiaTheme="minorHAnsi"/>
          <w:sz w:val="22"/>
          <w:szCs w:val="22"/>
        </w:rPr>
        <w:t>Jeigu kiltų daugiau klausimų, kreipkitės į gydytoją arba vaistininką.</w:t>
      </w:r>
    </w:p>
    <w:p w:rsidR="00A06603" w:rsidRPr="0076788D" w:rsidRDefault="00A06603" w:rsidP="00A06603">
      <w:pPr>
        <w:pStyle w:val="Sraopastraipa"/>
        <w:numPr>
          <w:ilvl w:val="0"/>
          <w:numId w:val="4"/>
        </w:numPr>
        <w:ind w:left="426" w:hanging="426"/>
        <w:rPr>
          <w:rFonts w:eastAsiaTheme="minorHAnsi"/>
          <w:sz w:val="22"/>
          <w:szCs w:val="22"/>
        </w:rPr>
      </w:pPr>
      <w:r w:rsidRPr="0076788D">
        <w:rPr>
          <w:rFonts w:eastAsiaTheme="minorHAnsi"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A06603" w:rsidRPr="003F7229" w:rsidRDefault="00A06603" w:rsidP="00A06603">
      <w:pPr>
        <w:pStyle w:val="Sraopastraipa"/>
        <w:numPr>
          <w:ilvl w:val="0"/>
          <w:numId w:val="4"/>
        </w:numPr>
        <w:ind w:left="426" w:hanging="426"/>
        <w:rPr>
          <w:rFonts w:eastAsiaTheme="minorHAnsi"/>
          <w:sz w:val="22"/>
          <w:szCs w:val="22"/>
        </w:rPr>
      </w:pPr>
      <w:r w:rsidRPr="003F7229">
        <w:rPr>
          <w:rFonts w:eastAsiaTheme="minorHAnsi"/>
          <w:sz w:val="22"/>
          <w:szCs w:val="22"/>
        </w:rPr>
        <w:t xml:space="preserve">Jeigu pasireiškė šalutinis poveikis (net jeigu jis šiame lapelyje nenurodytas), kreipkitės į gydytoją arba vaistininką. Žr. 4 skyrių.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rFonts w:eastAsiaTheme="minorHAnsi"/>
          <w:sz w:val="22"/>
          <w:szCs w:val="22"/>
          <w:lang w:val="lv-LV"/>
        </w:rPr>
      </w:pPr>
      <w:r w:rsidRPr="003F7229">
        <w:rPr>
          <w:rFonts w:eastAsiaTheme="minorHAnsi"/>
          <w:b/>
          <w:spacing w:val="-3"/>
          <w:sz w:val="22"/>
          <w:szCs w:val="22"/>
          <w:lang w:val="lv-LV"/>
        </w:rPr>
        <w:t>Apie ką rašoma šiame lapelyje?</w:t>
      </w:r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1.</w:t>
      </w:r>
      <w:r w:rsidRPr="003F7229">
        <w:rPr>
          <w:sz w:val="22"/>
          <w:szCs w:val="22"/>
        </w:rPr>
        <w:tab/>
        <w:t xml:space="preserve">Kas yra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ir kam jis vartojamas</w:t>
      </w:r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2.</w:t>
      </w:r>
      <w:r w:rsidRPr="003F7229">
        <w:rPr>
          <w:sz w:val="22"/>
          <w:szCs w:val="22"/>
        </w:rPr>
        <w:tab/>
        <w:t xml:space="preserve">Kas žinotina prieš vartojant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</w:t>
      </w:r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3.</w:t>
      </w:r>
      <w:r w:rsidRPr="003F7229">
        <w:rPr>
          <w:sz w:val="22"/>
          <w:szCs w:val="22"/>
        </w:rPr>
        <w:tab/>
        <w:t xml:space="preserve">Kaip vartoti </w:t>
      </w:r>
      <w:proofErr w:type="spellStart"/>
      <w:r w:rsidRPr="003F7229">
        <w:rPr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4.</w:t>
      </w:r>
      <w:r w:rsidRPr="003F7229">
        <w:rPr>
          <w:sz w:val="22"/>
          <w:szCs w:val="22"/>
        </w:rPr>
        <w:tab/>
        <w:t>Galimas šalutinis poveikis</w:t>
      </w:r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5.</w:t>
      </w:r>
      <w:r w:rsidRPr="003F7229">
        <w:rPr>
          <w:sz w:val="22"/>
          <w:szCs w:val="22"/>
        </w:rPr>
        <w:tab/>
        <w:t xml:space="preserve">Kaip laikyti </w:t>
      </w:r>
      <w:proofErr w:type="spellStart"/>
      <w:r w:rsidRPr="003F7229">
        <w:rPr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3F7229">
        <w:rPr>
          <w:sz w:val="22"/>
          <w:szCs w:val="22"/>
        </w:rPr>
        <w:t>6.</w:t>
      </w:r>
      <w:r w:rsidRPr="003F7229">
        <w:rPr>
          <w:sz w:val="22"/>
          <w:szCs w:val="22"/>
        </w:rPr>
        <w:tab/>
      </w:r>
      <w:r w:rsidRPr="003F7229">
        <w:rPr>
          <w:sz w:val="22"/>
          <w:szCs w:val="22"/>
          <w:lang w:bidi="lt-LT"/>
        </w:rPr>
        <w:t>Pakuotės turinys ir k</w:t>
      </w:r>
      <w:r w:rsidRPr="003F7229">
        <w:rPr>
          <w:sz w:val="22"/>
          <w:szCs w:val="22"/>
        </w:rPr>
        <w:t>ita informacija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  <w:bookmarkStart w:id="0" w:name="_Toc129243139"/>
      <w:bookmarkStart w:id="1" w:name="_Toc129243264"/>
      <w:r w:rsidRPr="003F7229">
        <w:rPr>
          <w:b/>
          <w:sz w:val="22"/>
          <w:szCs w:val="22"/>
        </w:rPr>
        <w:t>1.</w:t>
      </w:r>
      <w:r w:rsidRPr="003F7229">
        <w:rPr>
          <w:b/>
          <w:sz w:val="22"/>
          <w:szCs w:val="22"/>
        </w:rPr>
        <w:tab/>
        <w:t xml:space="preserve">Kas yra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  <w:r w:rsidRPr="003F7229">
        <w:rPr>
          <w:b/>
          <w:sz w:val="22"/>
          <w:szCs w:val="22"/>
        </w:rPr>
        <w:t xml:space="preserve"> ir kam jis vartojamas</w:t>
      </w:r>
    </w:p>
    <w:bookmarkEnd w:id="0"/>
    <w:bookmarkEnd w:id="1"/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kietųjų kapsulių veiklioji medžiaga </w:t>
      </w:r>
      <w:proofErr w:type="spellStart"/>
      <w:r w:rsidRPr="003F7229">
        <w:rPr>
          <w:sz w:val="22"/>
          <w:szCs w:val="22"/>
        </w:rPr>
        <w:t>piracetamas</w:t>
      </w:r>
      <w:proofErr w:type="spellEnd"/>
      <w:r w:rsidRPr="003F7229">
        <w:rPr>
          <w:sz w:val="22"/>
          <w:szCs w:val="22"/>
        </w:rPr>
        <w:t xml:space="preserve"> yra psichotropinių vaistų grupės, vadinamos </w:t>
      </w:r>
      <w:proofErr w:type="spellStart"/>
      <w:r w:rsidRPr="003F7229">
        <w:rPr>
          <w:sz w:val="22"/>
          <w:szCs w:val="22"/>
        </w:rPr>
        <w:t>nootropais</w:t>
      </w:r>
      <w:proofErr w:type="spellEnd"/>
      <w:r w:rsidRPr="003F7229">
        <w:rPr>
          <w:sz w:val="22"/>
          <w:szCs w:val="22"/>
        </w:rPr>
        <w:t xml:space="preserve">, preparatas. </w:t>
      </w:r>
      <w:proofErr w:type="spellStart"/>
      <w:r w:rsidRPr="003F7229">
        <w:rPr>
          <w:sz w:val="22"/>
          <w:szCs w:val="22"/>
        </w:rPr>
        <w:t>Nootropų</w:t>
      </w:r>
      <w:proofErr w:type="spellEnd"/>
      <w:r w:rsidRPr="003F7229">
        <w:rPr>
          <w:sz w:val="22"/>
          <w:szCs w:val="22"/>
        </w:rPr>
        <w:t xml:space="preserve"> grupės medikamentai specifiškai aktyvina integracinę smegenų veiklą. Jie vadinami </w:t>
      </w:r>
      <w:proofErr w:type="spellStart"/>
      <w:r w:rsidRPr="003F7229">
        <w:rPr>
          <w:sz w:val="22"/>
          <w:szCs w:val="22"/>
        </w:rPr>
        <w:t>psichometabolizmo</w:t>
      </w:r>
      <w:proofErr w:type="spellEnd"/>
      <w:r w:rsidRPr="003F7229">
        <w:rPr>
          <w:sz w:val="22"/>
          <w:szCs w:val="22"/>
        </w:rPr>
        <w:t xml:space="preserve"> stimuliatoriais, kadangi daro palankų poveikį smegenų medžiagų apykaitai ir kraujo cirkuliacijai. Dėl </w:t>
      </w:r>
      <w:proofErr w:type="spellStart"/>
      <w:r w:rsidRPr="003F7229">
        <w:rPr>
          <w:sz w:val="22"/>
          <w:szCs w:val="22"/>
        </w:rPr>
        <w:t>piracetamo</w:t>
      </w:r>
      <w:proofErr w:type="spellEnd"/>
      <w:r w:rsidRPr="003F7229">
        <w:rPr>
          <w:sz w:val="22"/>
          <w:szCs w:val="22"/>
        </w:rPr>
        <w:t xml:space="preserve"> poveikio energetiniams procesams smegenų audiniai tampa atsparesni hipoksijai bei apsinuodijimui. Medikamentas gerina funkcines smegenų pusrutulių sąsajas bei </w:t>
      </w:r>
      <w:proofErr w:type="spellStart"/>
      <w:r w:rsidRPr="003F7229">
        <w:rPr>
          <w:sz w:val="22"/>
          <w:szCs w:val="22"/>
        </w:rPr>
        <w:t>sinapsinį</w:t>
      </w:r>
      <w:proofErr w:type="spellEnd"/>
      <w:r w:rsidRPr="003F7229">
        <w:rPr>
          <w:sz w:val="22"/>
          <w:szCs w:val="22"/>
        </w:rPr>
        <w:t xml:space="preserve"> signalo perdavimą naujosios žievės struktūrose, atnaujina ir stabilizuoja smegenų veiklą, ypač sąmonę, atmintį ir kalbą, didina protinį darbingumą.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Vaistas vartojamas:</w:t>
      </w:r>
    </w:p>
    <w:p w:rsidR="00A06603" w:rsidRPr="003F7229" w:rsidRDefault="00A06603" w:rsidP="00A06603">
      <w:pPr>
        <w:numPr>
          <w:ilvl w:val="0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papildomam senyvų žmonių pažintinių funkcijų sutrikimų - atminties netekimo, susilpnėjusios dėmesio koncentracijos ir energijos stokos ( išskyrus Alzheimerio ligos ir kitų silpnaprotysčių sukeltus) - gydymui.</w:t>
      </w:r>
    </w:p>
    <w:p w:rsidR="00A06603" w:rsidRPr="003F7229" w:rsidRDefault="00A06603" w:rsidP="00A06603">
      <w:pPr>
        <w:numPr>
          <w:ilvl w:val="0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galvos svaigimo ir pusiausvyros sutrikimo (išskyrus galvos svaigulį dėl kraujotakos sutrikimų ir psichinių priežasčių) gydymui.</w:t>
      </w:r>
    </w:p>
    <w:p w:rsidR="00A06603" w:rsidRPr="003F7229" w:rsidRDefault="00A06603" w:rsidP="00A06603">
      <w:pPr>
        <w:numPr>
          <w:ilvl w:val="0"/>
          <w:numId w:val="2"/>
        </w:numPr>
        <w:tabs>
          <w:tab w:val="left" w:pos="567"/>
        </w:tabs>
        <w:ind w:left="426" w:hanging="426"/>
        <w:jc w:val="both"/>
        <w:rPr>
          <w:b/>
          <w:i/>
          <w:sz w:val="22"/>
          <w:szCs w:val="22"/>
        </w:rPr>
      </w:pPr>
      <w:r w:rsidRPr="003F7229">
        <w:rPr>
          <w:sz w:val="22"/>
          <w:szCs w:val="22"/>
        </w:rPr>
        <w:t xml:space="preserve">vyresnių kaip 8 metų vaikų skaitymo sutrikimo gydymui, derinant su kitais gydymo metodais, pavyzdžiui, </w:t>
      </w:r>
      <w:proofErr w:type="spellStart"/>
      <w:r w:rsidRPr="003F7229">
        <w:rPr>
          <w:sz w:val="22"/>
          <w:szCs w:val="22"/>
        </w:rPr>
        <w:t>logopedija</w:t>
      </w:r>
      <w:proofErr w:type="spellEnd"/>
      <w:r w:rsidRPr="003F7229">
        <w:rPr>
          <w:sz w:val="22"/>
          <w:szCs w:val="22"/>
        </w:rPr>
        <w:t>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  <w:bookmarkStart w:id="2" w:name="_Toc129243140"/>
      <w:bookmarkStart w:id="3" w:name="_Toc129243265"/>
      <w:r w:rsidRPr="003F7229">
        <w:rPr>
          <w:b/>
          <w:sz w:val="22"/>
          <w:szCs w:val="22"/>
        </w:rPr>
        <w:t>2.</w:t>
      </w:r>
      <w:r w:rsidRPr="003F7229">
        <w:rPr>
          <w:b/>
          <w:sz w:val="22"/>
          <w:szCs w:val="22"/>
        </w:rPr>
        <w:tab/>
        <w:t xml:space="preserve">Kas žinotina prieš vartojant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</w:p>
    <w:bookmarkEnd w:id="2"/>
    <w:bookmarkEnd w:id="3"/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b/>
          <w:sz w:val="22"/>
          <w:szCs w:val="22"/>
        </w:rPr>
        <w:t>Piracetamum-Olpha</w:t>
      </w:r>
      <w:proofErr w:type="spellEnd"/>
      <w:r w:rsidRPr="003F7229">
        <w:rPr>
          <w:b/>
          <w:sz w:val="22"/>
          <w:szCs w:val="22"/>
        </w:rPr>
        <w:t xml:space="preserve"> vartoti draudžiama: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jeigu yra alergija </w:t>
      </w:r>
      <w:proofErr w:type="spellStart"/>
      <w:r w:rsidRPr="003F7229">
        <w:rPr>
          <w:sz w:val="22"/>
          <w:szCs w:val="22"/>
        </w:rPr>
        <w:t>piracetamui</w:t>
      </w:r>
      <w:proofErr w:type="spellEnd"/>
      <w:r w:rsidRPr="003F7229">
        <w:rPr>
          <w:sz w:val="22"/>
          <w:szCs w:val="22"/>
        </w:rPr>
        <w:t xml:space="preserve"> arba bet kuriai pagalbinei šio vaisto medžiagai (jos išvardytos 6 skyriuje);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labai sutrikusi inkstų veikla;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ligonis serga kepenų liga;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yra depresija, kurios metu būna sujaudinimas;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pacientas serga sunkia nervų sistemos liga;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į smegenis išsiliejo kraujas (ištiko hemoraginis insultas);</w:t>
      </w:r>
    </w:p>
    <w:p w:rsidR="00A06603" w:rsidRPr="003F7229" w:rsidRDefault="00A06603" w:rsidP="00A06603">
      <w:pPr>
        <w:numPr>
          <w:ilvl w:val="0"/>
          <w:numId w:val="3"/>
        </w:numPr>
        <w:tabs>
          <w:tab w:val="left" w:pos="567"/>
        </w:tabs>
        <w:ind w:left="357" w:hanging="357"/>
        <w:contextualSpacing/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jeigu pacientė nėščia arba žindyvė.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lastRenderedPageBreak/>
        <w:t>Įspėjimai ir atsargumo priemonės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  <w:lang w:eastAsia="lt-LT"/>
        </w:rPr>
      </w:pPr>
      <w:r w:rsidRPr="003F7229">
        <w:rPr>
          <w:sz w:val="22"/>
          <w:szCs w:val="22"/>
          <w:lang w:eastAsia="lt-LT" w:bidi="lt-LT"/>
        </w:rPr>
        <w:t xml:space="preserve">Pasitarkite su gydytoju arba vaistininku, prieš pradėdami vartoti </w:t>
      </w:r>
      <w:proofErr w:type="spellStart"/>
      <w:r w:rsidRPr="003F7229">
        <w:rPr>
          <w:sz w:val="22"/>
          <w:szCs w:val="22"/>
          <w:lang w:eastAsia="lt-LT" w:bidi="lt-LT"/>
        </w:rPr>
        <w:t>Piracetamum-Olpha</w:t>
      </w:r>
      <w:proofErr w:type="spellEnd"/>
      <w:r w:rsidRPr="003F7229">
        <w:rPr>
          <w:sz w:val="22"/>
          <w:szCs w:val="22"/>
          <w:lang w:eastAsia="lt-LT" w:bidi="lt-LT"/>
        </w:rPr>
        <w:t>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Pacientams, kuriems sutrikusi inkstų veikla, reikia vartoti gydytojo nurodytą mažesnę dozę. Jei sutrikimas lengvas gydytojas paprastai skirs pusę, jei jis yra vidutinio sunkimo – ketvirtį įprastinės dozės. Jeigu yra sunkus inkstų veiklos sutrikimas, vaisto vartoti draudžiama.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Vaistas iš pagyvenusių žmonių organizmo šalinamas lėčiau, todėl pagyvenusiems pacientams reikia vartoti mažesnę dozę. Be to, mažesnę dozę turėtų vartoti ligoniai, gydomi tam tikrais vaistais nuo epilepsijos.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Jei yra nemiga, rekomenduojama preparato vakare negerti, o paros dozę suvartoti per du kartus, t. y. iš ryto ir po pietų.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 xml:space="preserve">Kiti vaistai ir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Jeigu vartojate </w:t>
      </w:r>
      <w:r w:rsidRPr="003F7229">
        <w:rPr>
          <w:sz w:val="22"/>
          <w:szCs w:val="22"/>
          <w:lang w:eastAsia="lt-LT" w:bidi="lt-LT"/>
        </w:rPr>
        <w:t>ar</w:t>
      </w:r>
      <w:r w:rsidRPr="003F7229">
        <w:rPr>
          <w:sz w:val="22"/>
          <w:szCs w:val="22"/>
        </w:rPr>
        <w:t xml:space="preserve"> neseniai vartojote kitų vaistų</w:t>
      </w:r>
      <w:r w:rsidRPr="003F7229">
        <w:rPr>
          <w:sz w:val="22"/>
          <w:szCs w:val="22"/>
          <w:lang w:eastAsia="lt-LT" w:bidi="lt-LT"/>
        </w:rPr>
        <w:t xml:space="preserve"> arba dėl to nesate tikri, apie tai</w:t>
      </w:r>
      <w:r w:rsidRPr="003F7229">
        <w:rPr>
          <w:sz w:val="22"/>
          <w:szCs w:val="22"/>
        </w:rPr>
        <w:t xml:space="preserve"> pasakykite gydytojui arba vaistininkui.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Nors </w:t>
      </w:r>
      <w:proofErr w:type="spellStart"/>
      <w:r w:rsidRPr="003F7229">
        <w:rPr>
          <w:sz w:val="22"/>
          <w:szCs w:val="22"/>
        </w:rPr>
        <w:t>piracetamas</w:t>
      </w:r>
      <w:proofErr w:type="spellEnd"/>
      <w:r w:rsidRPr="003F7229">
        <w:rPr>
          <w:sz w:val="22"/>
          <w:szCs w:val="22"/>
        </w:rPr>
        <w:t xml:space="preserve"> gali sąveikauti su vaistais, stimuliuojančiais smegenų veiklą (pasireiškia stipresnis poveikis) ar medikamentais nuo psichozės, t. y. </w:t>
      </w:r>
      <w:proofErr w:type="spellStart"/>
      <w:r w:rsidRPr="003F7229">
        <w:rPr>
          <w:sz w:val="22"/>
          <w:szCs w:val="22"/>
        </w:rPr>
        <w:t>neuroleptikais</w:t>
      </w:r>
      <w:proofErr w:type="spellEnd"/>
      <w:r w:rsidRPr="003F7229">
        <w:rPr>
          <w:sz w:val="22"/>
          <w:szCs w:val="22"/>
        </w:rPr>
        <w:t xml:space="preserve"> (stiprėja judesių sutrikimas), jo vartoti kartu su psichotropiniais ir kitokiais vaistais galima.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Ligoniams, kuriems susilpnėjusi skydliaukės veikla, </w:t>
      </w:r>
      <w:proofErr w:type="spellStart"/>
      <w:r w:rsidRPr="003F7229">
        <w:rPr>
          <w:sz w:val="22"/>
          <w:szCs w:val="22"/>
        </w:rPr>
        <w:t>piracetamo</w:t>
      </w:r>
      <w:proofErr w:type="spellEnd"/>
      <w:r w:rsidRPr="003F7229">
        <w:rPr>
          <w:sz w:val="22"/>
          <w:szCs w:val="22"/>
        </w:rPr>
        <w:t xml:space="preserve"> vartojant kartu su skydliaukės hormonų preparatais (</w:t>
      </w:r>
      <w:proofErr w:type="spellStart"/>
      <w:r w:rsidRPr="003F7229">
        <w:rPr>
          <w:sz w:val="22"/>
          <w:szCs w:val="22"/>
        </w:rPr>
        <w:t>trijodtironinu</w:t>
      </w:r>
      <w:proofErr w:type="spellEnd"/>
      <w:r w:rsidRPr="003F7229">
        <w:rPr>
          <w:sz w:val="22"/>
          <w:szCs w:val="22"/>
        </w:rPr>
        <w:t xml:space="preserve">, </w:t>
      </w:r>
      <w:proofErr w:type="spellStart"/>
      <w:r w:rsidRPr="003F7229">
        <w:rPr>
          <w:sz w:val="22"/>
          <w:szCs w:val="22"/>
        </w:rPr>
        <w:t>tetrajodtironinu</w:t>
      </w:r>
      <w:proofErr w:type="spellEnd"/>
      <w:r w:rsidRPr="003F7229">
        <w:rPr>
          <w:sz w:val="22"/>
          <w:szCs w:val="22"/>
        </w:rPr>
        <w:t>), pasireiškė stipresnis nepageidaujamas poveikis, pvz., nemiga, nerimas, sujaudinimas.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b/>
          <w:sz w:val="22"/>
          <w:szCs w:val="22"/>
        </w:rPr>
        <w:t>Piracetamum-Olpha</w:t>
      </w:r>
      <w:proofErr w:type="spellEnd"/>
      <w:r w:rsidRPr="003F7229">
        <w:rPr>
          <w:b/>
          <w:sz w:val="22"/>
          <w:szCs w:val="22"/>
        </w:rPr>
        <w:t xml:space="preserve"> vartojimas su maistu ir gėrimais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Paprastai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kapsulių reikia gerti prieš valgį. Medikamento veiksmingumui maistas įtakos nedaro.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>Nėštumas ir žindymo laikotarpis</w:t>
      </w:r>
    </w:p>
    <w:p w:rsidR="00A06603" w:rsidRPr="003F7229" w:rsidRDefault="00A06603" w:rsidP="00A06603">
      <w:pPr>
        <w:numPr>
          <w:ilvl w:val="12"/>
          <w:numId w:val="0"/>
        </w:numPr>
        <w:rPr>
          <w:sz w:val="22"/>
          <w:szCs w:val="22"/>
        </w:rPr>
      </w:pPr>
      <w:bookmarkStart w:id="4" w:name="_Hlk529524758"/>
      <w:r w:rsidRPr="003F7229">
        <w:rPr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bookmarkEnd w:id="4"/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Gerai kontroliuojamų </w:t>
      </w:r>
      <w:proofErr w:type="spellStart"/>
      <w:r w:rsidRPr="003F7229">
        <w:rPr>
          <w:sz w:val="22"/>
          <w:szCs w:val="22"/>
        </w:rPr>
        <w:t>piracetamo</w:t>
      </w:r>
      <w:proofErr w:type="spellEnd"/>
      <w:r w:rsidRPr="003F7229">
        <w:rPr>
          <w:sz w:val="22"/>
          <w:szCs w:val="22"/>
        </w:rPr>
        <w:t xml:space="preserve"> saugumo nėštumo ir žindymo laikotarpiu klinikinių tyrimų neatlikta, todėl nėščioms moterims šio medikamento vartoti negalima.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kapsulių veiklioji medžiaga </w:t>
      </w:r>
      <w:proofErr w:type="spellStart"/>
      <w:r w:rsidRPr="003F7229">
        <w:rPr>
          <w:sz w:val="22"/>
          <w:szCs w:val="22"/>
        </w:rPr>
        <w:t>piracetamas</w:t>
      </w:r>
      <w:proofErr w:type="spellEnd"/>
      <w:r w:rsidRPr="003F7229">
        <w:rPr>
          <w:sz w:val="22"/>
          <w:szCs w:val="22"/>
        </w:rPr>
        <w:t xml:space="preserve"> išsiskiria su žindyvės pienu, todėl žindymo laikotarpiu šio medikamento vartoti negalima.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>Vairavimas ir mechanizmų valdymas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Duomenų, kad gydomosios </w:t>
      </w:r>
      <w:proofErr w:type="spellStart"/>
      <w:r w:rsidRPr="003F7229">
        <w:rPr>
          <w:sz w:val="22"/>
          <w:szCs w:val="22"/>
        </w:rPr>
        <w:t>piracetamo</w:t>
      </w:r>
      <w:proofErr w:type="spellEnd"/>
      <w:r w:rsidRPr="003F7229">
        <w:rPr>
          <w:sz w:val="22"/>
          <w:szCs w:val="22"/>
        </w:rPr>
        <w:t xml:space="preserve"> dozės daro neigiamą įtaką gebėjimui vairuoti, nėra.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Gydymo pradžioje ir padidinus dozę gali atsirasti mieguistumas ir kitokių nervų sistemos sutrikimų. Tokiu atveju vairuoti ir valdyti mechanizmus reikia atsisakyti arba nutraukti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kapsulių vartojimą.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  <w:bookmarkStart w:id="5" w:name="_Toc129243141"/>
      <w:bookmarkStart w:id="6" w:name="_Toc129243266"/>
      <w:r w:rsidRPr="003F7229">
        <w:rPr>
          <w:b/>
          <w:sz w:val="22"/>
          <w:szCs w:val="22"/>
        </w:rPr>
        <w:t>3.</w:t>
      </w:r>
      <w:r w:rsidRPr="003F7229">
        <w:rPr>
          <w:b/>
          <w:sz w:val="22"/>
          <w:szCs w:val="22"/>
        </w:rPr>
        <w:tab/>
        <w:t xml:space="preserve">Kaip vartoti </w:t>
      </w:r>
      <w:proofErr w:type="spellStart"/>
      <w:r w:rsidRPr="003F7229">
        <w:rPr>
          <w:b/>
          <w:sz w:val="22"/>
          <w:szCs w:val="22"/>
        </w:rPr>
        <w:t>Piracetamum-</w:t>
      </w:r>
      <w:bookmarkEnd w:id="5"/>
      <w:bookmarkEnd w:id="6"/>
      <w:r w:rsidRPr="003F7229">
        <w:rPr>
          <w:b/>
          <w:sz w:val="22"/>
          <w:szCs w:val="22"/>
        </w:rPr>
        <w:t>Olpha</w:t>
      </w:r>
      <w:proofErr w:type="spellEnd"/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  <w:lang w:eastAsia="lt-LT" w:bidi="lt-LT"/>
        </w:rPr>
        <w:t>Visada</w:t>
      </w:r>
      <w:r w:rsidRPr="003F7229">
        <w:rPr>
          <w:sz w:val="22"/>
          <w:szCs w:val="22"/>
        </w:rPr>
        <w:t xml:space="preserve"> vartokite </w:t>
      </w:r>
      <w:r w:rsidRPr="003F7229">
        <w:rPr>
          <w:sz w:val="22"/>
          <w:szCs w:val="22"/>
          <w:lang w:eastAsia="lt-LT" w:bidi="lt-LT"/>
        </w:rPr>
        <w:t xml:space="preserve">šį vaistą </w:t>
      </w:r>
      <w:r w:rsidRPr="003F7229">
        <w:rPr>
          <w:sz w:val="22"/>
          <w:szCs w:val="22"/>
        </w:rPr>
        <w:t>tiksliai kaip nurodė gydytojas</w:t>
      </w:r>
      <w:r w:rsidRPr="003F7229">
        <w:rPr>
          <w:sz w:val="22"/>
          <w:szCs w:val="22"/>
          <w:lang w:eastAsia="lt-LT" w:bidi="lt-LT"/>
        </w:rPr>
        <w:t xml:space="preserve"> arba vaistininkas.</w:t>
      </w:r>
      <w:r w:rsidRPr="003F7229">
        <w:rPr>
          <w:sz w:val="22"/>
          <w:szCs w:val="22"/>
        </w:rPr>
        <w:t xml:space="preserve"> Jeigu abejojate, kreipkitės į gydytoją arba vaistininką.</w:t>
      </w:r>
      <w:r w:rsidRPr="003F7229">
        <w:rPr>
          <w:sz w:val="22"/>
          <w:szCs w:val="22"/>
          <w:lang w:eastAsia="lt-LT" w:bidi="lt-LT"/>
        </w:rPr>
        <w:t xml:space="preserve"> </w:t>
      </w:r>
    </w:p>
    <w:p w:rsidR="00A06603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400 mg kietosios kapsulės tinka ilgalaikei palaikomajai terapijai bei lėtinių ligų gydymui. Paprastai vaisto geriama prieš valgį, du kartus per parą, tačiau jo galima vartoti ir 3 – 4 kartus per parą. Kapsulę reikia nuryti nepažeistą, gausiai užsigeriant skysčiu.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i/>
          <w:sz w:val="22"/>
          <w:szCs w:val="22"/>
        </w:rPr>
        <w:t>Simptominis smegenų veiklos susilpnėjimo gydymas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Paros dozė yra 1,2 – 4,8 g. Ją reikia gerti per 2 – 3 kartus. Iš pradžių per parą reikia gerti 1,2 g (tris kartus per parą po 400 mg), vėliau dozę galima didinti iki 2,4 g, kai kuriais atvejais – net iki 3,2 g ar daugiau. Vaisto vartojimą reikia nutraukti laipsniškai mažinant paros dozę iki 1,2 - 1,6 g (gerti 3 – 4 kartus per parą po 400 mg). Gydomasis poveikis dažniausiai pastebimas vaisto vartojant 2 – 3 savaites. Gydymo kursas trunka nuo 2 – 3 savaičių iki 2 – 6 mėnesių. Prireikus po 6 – 8 savaičių jį galima kartoti.</w:t>
      </w:r>
    </w:p>
    <w:p w:rsidR="00A06603" w:rsidRDefault="00A06603" w:rsidP="00A06603">
      <w:pPr>
        <w:tabs>
          <w:tab w:val="left" w:pos="567"/>
        </w:tabs>
        <w:jc w:val="both"/>
        <w:rPr>
          <w:i/>
          <w:sz w:val="22"/>
          <w:szCs w:val="22"/>
        </w:rPr>
      </w:pPr>
    </w:p>
    <w:p w:rsidR="00A06603" w:rsidRDefault="00A06603" w:rsidP="00A06603">
      <w:pPr>
        <w:tabs>
          <w:tab w:val="left" w:pos="567"/>
        </w:tabs>
        <w:jc w:val="both"/>
        <w:rPr>
          <w:i/>
          <w:sz w:val="22"/>
          <w:szCs w:val="22"/>
        </w:rPr>
      </w:pPr>
      <w:r w:rsidRPr="003F7229">
        <w:rPr>
          <w:i/>
          <w:sz w:val="22"/>
          <w:szCs w:val="22"/>
        </w:rPr>
        <w:t xml:space="preserve">Vyresni kaip 8 metų vaikai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Paros dozė yra 30 – 50 mg/kg kūno svorio. Ją reikia gerti per kelis kartus. Gydymo trukmė nustatoma kiekvienam pacientui. Jei reikalinga ilgesnė terapija, per metus rekomenduojami trys gydymo kursai.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Jeigu manote, kad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veikia per stipriai arba per silpnai, kreipkitės į gydytoją arba vaistininką.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 xml:space="preserve">Ką daryti pavartojus per didelę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  <w:r w:rsidRPr="003F7229">
        <w:rPr>
          <w:b/>
          <w:sz w:val="22"/>
          <w:szCs w:val="22"/>
        </w:rPr>
        <w:t xml:space="preserve"> dozę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Preparatas, net vartojamas didelėmis dozėmis, toksinio poveikio nesukelia.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Vaisto perdozavus, reikia išplauti skrandį, gerti aktyvuotos anglies ir daug skysčio. Jeigu atsiranda šalutinis poveikis, reikia kreiptis į gydytoją. Apsinuodijimo gydymas yra simptominis.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 xml:space="preserve">Pamiršus pavartoti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  <w:lang w:eastAsia="lt-LT" w:bidi="lt-LT"/>
        </w:rPr>
        <w:t xml:space="preserve">Negalima vartoti </w:t>
      </w:r>
      <w:r w:rsidRPr="003F7229">
        <w:rPr>
          <w:sz w:val="22"/>
          <w:szCs w:val="22"/>
        </w:rPr>
        <w:t xml:space="preserve">dvigubos dozės </w:t>
      </w:r>
      <w:r w:rsidRPr="003F7229">
        <w:rPr>
          <w:sz w:val="22"/>
          <w:szCs w:val="22"/>
          <w:lang w:eastAsia="lt-LT" w:bidi="lt-LT"/>
        </w:rPr>
        <w:t>norint kompensuoti praleistą dozę</w:t>
      </w:r>
      <w:r w:rsidRPr="003F7229">
        <w:rPr>
          <w:sz w:val="22"/>
          <w:szCs w:val="22"/>
        </w:rPr>
        <w:t>. Toliau vaisto reikia gerti taip, kaip įprasta.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 xml:space="preserve">Nustojus vartoti </w:t>
      </w:r>
      <w:proofErr w:type="spellStart"/>
      <w:r w:rsidRPr="003F7229">
        <w:rPr>
          <w:b/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Savo nuožiūra pertraukus arba per anksti baigus gydymą, gali vėl atsirasti ar pasunkėti ligos simptomai, todėl prieš nutraukiant vaisto vartojimą reikia pasitarti su gydytoju.</w:t>
      </w:r>
    </w:p>
    <w:p w:rsidR="00A06603" w:rsidRPr="003F7229" w:rsidRDefault="00A06603" w:rsidP="00A06603">
      <w:pPr>
        <w:numPr>
          <w:ilvl w:val="12"/>
          <w:numId w:val="0"/>
        </w:numPr>
        <w:ind w:right="-29"/>
        <w:rPr>
          <w:sz w:val="22"/>
          <w:szCs w:val="22"/>
        </w:rPr>
      </w:pPr>
      <w:r w:rsidRPr="003F7229">
        <w:rPr>
          <w:sz w:val="22"/>
          <w:szCs w:val="22"/>
        </w:rPr>
        <w:t>Jeigu kiltų daugiau klausimų dėl šio vaisto vartojimo, kreipkitės į gydytoją arba vaistininką.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jc w:val="both"/>
        <w:outlineLvl w:val="2"/>
        <w:rPr>
          <w:b/>
          <w:sz w:val="22"/>
          <w:szCs w:val="22"/>
        </w:rPr>
      </w:pPr>
      <w:r w:rsidRPr="003F7229">
        <w:rPr>
          <w:b/>
          <w:sz w:val="22"/>
          <w:szCs w:val="22"/>
        </w:rPr>
        <w:t>4.</w:t>
      </w:r>
      <w:r w:rsidRPr="003F7229">
        <w:rPr>
          <w:b/>
          <w:sz w:val="22"/>
          <w:szCs w:val="22"/>
        </w:rPr>
        <w:tab/>
        <w:t>Galimas šalutinis poveikis</w:t>
      </w:r>
    </w:p>
    <w:p w:rsidR="00A06603" w:rsidRPr="003F7229" w:rsidRDefault="00A06603" w:rsidP="00A06603">
      <w:pPr>
        <w:keepNext/>
        <w:tabs>
          <w:tab w:val="left" w:pos="567"/>
        </w:tabs>
        <w:ind w:left="360"/>
        <w:jc w:val="both"/>
        <w:outlineLvl w:val="1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  <w:lang w:bidi="lt-LT"/>
        </w:rPr>
      </w:pPr>
      <w:r w:rsidRPr="003F7229">
        <w:rPr>
          <w:sz w:val="22"/>
          <w:szCs w:val="22"/>
          <w:lang w:bidi="lt-LT"/>
        </w:rPr>
        <w:t>Šis vaistas, kaip ir visi kiti, gali sukelti šalutinį poveikį, nors jis pasireiškia ne visiems žmonėms.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Nepageidaujami poveikiai, kurie buvo nustatyti klinikinių tyrimų metu ir po vaisto patekimo į rinką, yra išvardyti žemiau pateikiamoje lentelėje pagal organų sistemų klases bei pagal dažnį. Dažnis apibūdinamas taip: labai dažni (≥1/10); dažni (≥1/100, &lt;1/10); nedažni (≥1/1 000, &lt;1/100); reti (≥1/10 000, &lt;1/1 000); labai reti (&lt;1/10 000); dažnis nežinomas (negali būti įvertintas pagal turimus duomenis). Kad būtų patvirtintas dažnis gydomiems pacientams populiacijoje, duomenų, sukauptų po vaisto patekimo į rinką, nepakanka.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, kaip ir visi kiti vaistai, gali sukelti šalutinį poveikį, nors jis pasireiškia ne visiems žmonėms. </w:t>
      </w:r>
      <w:proofErr w:type="spellStart"/>
      <w:r w:rsidRPr="003F7229">
        <w:rPr>
          <w:sz w:val="22"/>
          <w:szCs w:val="22"/>
        </w:rPr>
        <w:t>Piracetamum-Olpha</w:t>
      </w:r>
      <w:proofErr w:type="spellEnd"/>
      <w:r w:rsidRPr="003F7229">
        <w:rPr>
          <w:sz w:val="22"/>
          <w:szCs w:val="22"/>
        </w:rPr>
        <w:t xml:space="preserve"> kapsulės yra gerai toleruojamos. Nepageidaujamas poveikis pastebimas daug dažniau, jei vartojama didesnė negu 5 g paros dozė arba jei ligonis senyvas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Kraujo ir limfinės sistemos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Dažnis nežinomas: didelė </w:t>
      </w:r>
      <w:proofErr w:type="spellStart"/>
      <w:r w:rsidRPr="003F7229">
        <w:rPr>
          <w:sz w:val="22"/>
          <w:szCs w:val="22"/>
        </w:rPr>
        <w:t>piracetamo</w:t>
      </w:r>
      <w:proofErr w:type="spellEnd"/>
      <w:r w:rsidRPr="003F7229">
        <w:rPr>
          <w:sz w:val="22"/>
          <w:szCs w:val="22"/>
        </w:rPr>
        <w:t xml:space="preserve"> dozė slopina trombocitų </w:t>
      </w:r>
      <w:proofErr w:type="spellStart"/>
      <w:r w:rsidRPr="003F7229">
        <w:rPr>
          <w:sz w:val="22"/>
          <w:szCs w:val="22"/>
        </w:rPr>
        <w:t>agregaciją</w:t>
      </w:r>
      <w:proofErr w:type="spellEnd"/>
      <w:r w:rsidRPr="003F7229">
        <w:rPr>
          <w:sz w:val="22"/>
          <w:szCs w:val="22"/>
        </w:rPr>
        <w:t xml:space="preserve"> ir mažina kraujo klampumą.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Odos ir poodinio audinio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Dažnis nežinomas: </w:t>
      </w:r>
      <w:proofErr w:type="spellStart"/>
      <w:r w:rsidRPr="003F7229">
        <w:rPr>
          <w:sz w:val="22"/>
          <w:szCs w:val="22"/>
        </w:rPr>
        <w:t>angioneurozinė</w:t>
      </w:r>
      <w:proofErr w:type="spellEnd"/>
      <w:r w:rsidRPr="003F7229">
        <w:rPr>
          <w:sz w:val="22"/>
          <w:szCs w:val="22"/>
        </w:rPr>
        <w:t xml:space="preserve"> edema(padidėjusio jautrumo reakcija, kuriai būdingas staigus lūpų, veido ir kaklo tinimas, taip pat gali tinti plaštakos ir pėdos, atsirasti dusulys, užkimti balsas), odos uždegimas, niežulys, dilgėlinė.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Imuninės sistemos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Dažnis nežinomas: galima padidėjusio jautrumo reakcija (išbėrimas, niežulys).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Psichikos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Dažni: nervingumas.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Nedažni: depresija.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Dažnis nežinomas: nerimas, pasimetimas, haliucinacijos.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Nervų sistemos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lastRenderedPageBreak/>
        <w:t>Dažni: nevalingi įvairių kūno dalių judesiai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Nedažni: mieguistumas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Dažnis nežinomas: padidėjęs sujaudinimas, galvos sukimasis, nemiga, galvos skausmas, depresija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Ausų ir labirintų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Dažnis nežinomas: galvos svaigimas.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Kraujagyslių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Reti: krešulio susidarymas kraujagyslės spindyje (tiktai švirkščiant į veną), sumažėjęs kraujospūdis (tiktai švirkščiant į veną).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Virškinimo trakto sutrikimai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Dažni: kūno svorio padidėjimas.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Dažnis nežinomas: pilvo skausmas, viršutinės pilvo dalies skausmas, viduriavimas, pykinimas, vėmimas.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Bendrieji sutrikimai ir vartojimo vietos pažeidimai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Nedažni: </w:t>
      </w:r>
      <w:proofErr w:type="spellStart"/>
      <w:r w:rsidRPr="003F7229">
        <w:rPr>
          <w:sz w:val="22"/>
          <w:szCs w:val="22"/>
        </w:rPr>
        <w:t>astenija</w:t>
      </w:r>
      <w:proofErr w:type="spellEnd"/>
      <w:r w:rsidRPr="003F7229">
        <w:rPr>
          <w:sz w:val="22"/>
          <w:szCs w:val="22"/>
        </w:rPr>
        <w:t xml:space="preserve"> (jėgų nusilpimas, greitas nuovargis, nervinis išsekimas).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Reti: injekcijos vietos skausmas (tiktai švirkščiant į veną), karščiavimas (tiktai švirkščiant į veną).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i/>
          <w:sz w:val="22"/>
          <w:szCs w:val="22"/>
          <w:u w:val="single"/>
        </w:rPr>
      </w:pPr>
      <w:r w:rsidRPr="003F7229">
        <w:rPr>
          <w:i/>
          <w:sz w:val="22"/>
          <w:szCs w:val="22"/>
          <w:u w:val="single"/>
        </w:rPr>
        <w:t>Tyrimai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Dažni: kūno svorio padidėjimas.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b/>
          <w:sz w:val="22"/>
          <w:szCs w:val="22"/>
        </w:rPr>
      </w:pPr>
      <w:r w:rsidRPr="003F7229">
        <w:rPr>
          <w:b/>
          <w:sz w:val="22"/>
          <w:szCs w:val="22"/>
        </w:rPr>
        <w:t>Šalutinis poveikis vaikams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Vaikams, ypač protiškai atsilikusiems, pastebėta </w:t>
      </w:r>
      <w:proofErr w:type="spellStart"/>
      <w:r w:rsidRPr="003F7229">
        <w:rPr>
          <w:sz w:val="22"/>
          <w:szCs w:val="22"/>
        </w:rPr>
        <w:t>nenustygstamumo</w:t>
      </w:r>
      <w:proofErr w:type="spellEnd"/>
      <w:r w:rsidRPr="003F7229">
        <w:rPr>
          <w:sz w:val="22"/>
          <w:szCs w:val="22"/>
        </w:rPr>
        <w:t xml:space="preserve">, nerimo, nerūpestingumo, pablogėjusio gebėjimo susikaupti, sutrikusios psichinės pusiausvyros bei polinkio į konfliktus atvejų. Sumažinus dozę ar nutraukus vaisto vartojimą šie sutrikimai išnyko.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3F7229">
        <w:rPr>
          <w:b/>
          <w:noProof/>
          <w:snapToGrid w:val="0"/>
          <w:sz w:val="22"/>
          <w:szCs w:val="22"/>
        </w:rPr>
        <w:t>Pranešimas apie šalutinį poveikį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bookmarkStart w:id="7" w:name="_Hlk127440884"/>
      <w:r w:rsidRPr="003F7229">
        <w:rPr>
          <w:sz w:val="22"/>
          <w:szCs w:val="22"/>
        </w:rPr>
        <w:t xml:space="preserve">Jeigu pasireiškė šalutinis poveikis, įskaitant šiame lapelyje nenurodytą, pasakykite gydytojui arba vaistininkui. </w:t>
      </w:r>
      <w:bookmarkEnd w:id="7"/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A06603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  <w:bookmarkStart w:id="8" w:name="_Toc129243143"/>
      <w:bookmarkStart w:id="9" w:name="_Toc129243268"/>
      <w:r w:rsidRPr="003F7229">
        <w:rPr>
          <w:b/>
          <w:sz w:val="22"/>
          <w:szCs w:val="22"/>
        </w:rPr>
        <w:t>5.</w:t>
      </w:r>
      <w:r w:rsidRPr="003F7229">
        <w:rPr>
          <w:b/>
          <w:sz w:val="22"/>
          <w:szCs w:val="22"/>
        </w:rPr>
        <w:tab/>
        <w:t xml:space="preserve">Kaip laikyti </w:t>
      </w:r>
      <w:bookmarkEnd w:id="8"/>
      <w:bookmarkEnd w:id="9"/>
      <w:proofErr w:type="spellStart"/>
      <w:r w:rsidRPr="003F7229">
        <w:rPr>
          <w:b/>
          <w:sz w:val="22"/>
          <w:szCs w:val="22"/>
        </w:rPr>
        <w:t>Piracetamum-Olpha</w:t>
      </w:r>
      <w:proofErr w:type="spellEnd"/>
    </w:p>
    <w:p w:rsidR="00A06603" w:rsidRPr="003F7229" w:rsidRDefault="00A06603" w:rsidP="00A06603">
      <w:pPr>
        <w:keepNext/>
        <w:tabs>
          <w:tab w:val="left" w:pos="567"/>
        </w:tabs>
        <w:jc w:val="both"/>
        <w:outlineLvl w:val="1"/>
        <w:rPr>
          <w:sz w:val="22"/>
          <w:szCs w:val="22"/>
        </w:rPr>
      </w:pPr>
    </w:p>
    <w:p w:rsidR="00A06603" w:rsidRPr="003F7229" w:rsidRDefault="00A06603" w:rsidP="00A06603">
      <w:pPr>
        <w:pStyle w:val="Pagrindinistekstas"/>
        <w:tabs>
          <w:tab w:val="left" w:pos="567"/>
        </w:tabs>
        <w:spacing w:after="0"/>
        <w:rPr>
          <w:szCs w:val="22"/>
          <w:lang w:eastAsia="en-US"/>
        </w:rPr>
      </w:pPr>
      <w:bookmarkStart w:id="10" w:name="_Hlk529441907"/>
      <w:r w:rsidRPr="003F7229">
        <w:rPr>
          <w:szCs w:val="22"/>
        </w:rPr>
        <w:t>Šį vaistą laikykite</w:t>
      </w:r>
      <w:r w:rsidRPr="003F7229">
        <w:rPr>
          <w:szCs w:val="22"/>
          <w:lang w:eastAsia="en-US"/>
        </w:rPr>
        <w:t xml:space="preserve"> vaikams </w:t>
      </w:r>
      <w:r w:rsidRPr="003F7229">
        <w:rPr>
          <w:szCs w:val="22"/>
        </w:rPr>
        <w:t xml:space="preserve">nepastebimoje ir </w:t>
      </w:r>
      <w:r w:rsidRPr="003F7229">
        <w:rPr>
          <w:szCs w:val="22"/>
          <w:lang w:eastAsia="en-US"/>
        </w:rPr>
        <w:t>nepasiekiamoje vietoje.</w:t>
      </w:r>
    </w:p>
    <w:bookmarkEnd w:id="10"/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Laikyti ne aukštesnėje kaip 25 °C temperatūroje.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 xml:space="preserve">Laikyti gamintojo pakuotėje, kad </w:t>
      </w:r>
      <w:r>
        <w:rPr>
          <w:sz w:val="22"/>
          <w:szCs w:val="22"/>
        </w:rPr>
        <w:t>vaistas</w:t>
      </w:r>
      <w:r w:rsidRPr="003F7229">
        <w:rPr>
          <w:sz w:val="22"/>
          <w:szCs w:val="22"/>
        </w:rPr>
        <w:t xml:space="preserve"> būtų apsaugotas nuo šviesos ir drėgmės.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Ant dėžutės po „EXP“ nurodytam tinkamumo laikui pasibaigus, šio vaisto vartoti negalima. Vaistas tinkamas vartoti iki paskutinės nurodyto mėnesio dienos.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keepNext/>
        <w:tabs>
          <w:tab w:val="left" w:pos="567"/>
        </w:tabs>
        <w:ind w:left="567" w:hanging="567"/>
        <w:jc w:val="both"/>
        <w:outlineLvl w:val="1"/>
        <w:rPr>
          <w:sz w:val="22"/>
          <w:szCs w:val="22"/>
        </w:rPr>
      </w:pPr>
      <w:bookmarkStart w:id="11" w:name="_Toc129243144"/>
      <w:bookmarkStart w:id="12" w:name="_Toc129243269"/>
      <w:r w:rsidRPr="003F7229">
        <w:rPr>
          <w:b/>
          <w:sz w:val="22"/>
          <w:szCs w:val="22"/>
        </w:rPr>
        <w:t>6.</w:t>
      </w:r>
      <w:r w:rsidRPr="003F7229">
        <w:rPr>
          <w:b/>
          <w:sz w:val="22"/>
          <w:szCs w:val="22"/>
        </w:rPr>
        <w:tab/>
        <w:t>Pakuotės turinys ir kita informacija</w:t>
      </w:r>
      <w:bookmarkEnd w:id="11"/>
      <w:bookmarkEnd w:id="12"/>
    </w:p>
    <w:p w:rsidR="00A06603" w:rsidRPr="003F7229" w:rsidRDefault="00A06603" w:rsidP="00A06603">
      <w:pPr>
        <w:keepNext/>
        <w:tabs>
          <w:tab w:val="left" w:pos="567"/>
        </w:tabs>
        <w:jc w:val="both"/>
        <w:rPr>
          <w:sz w:val="22"/>
          <w:szCs w:val="22"/>
        </w:rPr>
      </w:pPr>
    </w:p>
    <w:p w:rsidR="00A06603" w:rsidRPr="00707941" w:rsidRDefault="00A06603" w:rsidP="00A06603">
      <w:pPr>
        <w:rPr>
          <w:b/>
          <w:bCs/>
          <w:sz w:val="22"/>
          <w:szCs w:val="22"/>
        </w:rPr>
      </w:pPr>
      <w:proofErr w:type="spellStart"/>
      <w:r w:rsidRPr="00707941">
        <w:rPr>
          <w:b/>
          <w:bCs/>
          <w:sz w:val="22"/>
          <w:szCs w:val="22"/>
        </w:rPr>
        <w:t>Piracetamum-Olpha</w:t>
      </w:r>
      <w:proofErr w:type="spellEnd"/>
      <w:r w:rsidRPr="00707941">
        <w:rPr>
          <w:b/>
          <w:bCs/>
          <w:sz w:val="22"/>
          <w:szCs w:val="22"/>
        </w:rPr>
        <w:t xml:space="preserve"> sudėtis</w:t>
      </w:r>
    </w:p>
    <w:p w:rsidR="00A06603" w:rsidRPr="0076788D" w:rsidRDefault="00A06603" w:rsidP="00A06603">
      <w:pPr>
        <w:pStyle w:val="Sraopastraipa"/>
        <w:numPr>
          <w:ilvl w:val="0"/>
          <w:numId w:val="5"/>
        </w:numPr>
        <w:ind w:left="284" w:hanging="284"/>
        <w:rPr>
          <w:rFonts w:eastAsiaTheme="minorHAnsi"/>
          <w:sz w:val="22"/>
          <w:szCs w:val="22"/>
        </w:rPr>
      </w:pPr>
      <w:r w:rsidRPr="0076788D">
        <w:rPr>
          <w:rFonts w:eastAsiaTheme="minorHAnsi"/>
          <w:sz w:val="22"/>
          <w:szCs w:val="22"/>
        </w:rPr>
        <w:t xml:space="preserve">Veiklioji medžiaga yra </w:t>
      </w:r>
      <w:proofErr w:type="spellStart"/>
      <w:r w:rsidRPr="0076788D">
        <w:rPr>
          <w:rFonts w:eastAsiaTheme="minorHAnsi"/>
          <w:sz w:val="22"/>
          <w:szCs w:val="22"/>
        </w:rPr>
        <w:t>piracetamas</w:t>
      </w:r>
      <w:proofErr w:type="spellEnd"/>
      <w:r w:rsidRPr="0076788D">
        <w:rPr>
          <w:rFonts w:eastAsiaTheme="minorHAnsi"/>
          <w:sz w:val="22"/>
          <w:szCs w:val="22"/>
        </w:rPr>
        <w:t xml:space="preserve">. Kiekvienoje kietojoje kapsulėje yra 400 mg </w:t>
      </w:r>
      <w:proofErr w:type="spellStart"/>
      <w:r w:rsidRPr="0076788D">
        <w:rPr>
          <w:rFonts w:eastAsiaTheme="minorHAnsi"/>
          <w:sz w:val="22"/>
          <w:szCs w:val="22"/>
        </w:rPr>
        <w:t>piracetamo</w:t>
      </w:r>
      <w:proofErr w:type="spellEnd"/>
      <w:r w:rsidRPr="0076788D">
        <w:rPr>
          <w:rFonts w:eastAsiaTheme="minorHAnsi"/>
          <w:sz w:val="22"/>
          <w:szCs w:val="22"/>
        </w:rPr>
        <w:t>.</w:t>
      </w:r>
    </w:p>
    <w:p w:rsidR="00A06603" w:rsidRPr="0076788D" w:rsidRDefault="00A06603" w:rsidP="00A06603">
      <w:pPr>
        <w:pStyle w:val="Sraopastraipa"/>
        <w:numPr>
          <w:ilvl w:val="0"/>
          <w:numId w:val="5"/>
        </w:numPr>
        <w:ind w:left="284" w:hanging="284"/>
        <w:rPr>
          <w:rFonts w:eastAsiaTheme="minorHAnsi"/>
          <w:sz w:val="22"/>
          <w:szCs w:val="22"/>
        </w:rPr>
      </w:pPr>
      <w:r w:rsidRPr="0076788D">
        <w:rPr>
          <w:rFonts w:eastAsiaTheme="minorHAnsi"/>
          <w:sz w:val="22"/>
          <w:szCs w:val="22"/>
        </w:rPr>
        <w:lastRenderedPageBreak/>
        <w:t xml:space="preserve">Pagalbinės medžiagos kapsulės turinyje yra sunkusis magnio </w:t>
      </w:r>
      <w:proofErr w:type="spellStart"/>
      <w:r w:rsidRPr="0076788D">
        <w:rPr>
          <w:rFonts w:eastAsiaTheme="minorHAnsi"/>
          <w:sz w:val="22"/>
          <w:szCs w:val="22"/>
        </w:rPr>
        <w:t>subkarbonatas</w:t>
      </w:r>
      <w:proofErr w:type="spellEnd"/>
      <w:r w:rsidRPr="0076788D">
        <w:rPr>
          <w:rFonts w:eastAsiaTheme="minorHAnsi"/>
          <w:sz w:val="22"/>
          <w:szCs w:val="22"/>
        </w:rPr>
        <w:t xml:space="preserve"> ir kalcio </w:t>
      </w:r>
      <w:proofErr w:type="spellStart"/>
      <w:r w:rsidRPr="0076788D">
        <w:rPr>
          <w:rFonts w:eastAsiaTheme="minorHAnsi"/>
          <w:sz w:val="22"/>
          <w:szCs w:val="22"/>
        </w:rPr>
        <w:t>stearatas</w:t>
      </w:r>
      <w:proofErr w:type="spellEnd"/>
      <w:r w:rsidRPr="0076788D">
        <w:rPr>
          <w:rFonts w:eastAsiaTheme="minorHAnsi"/>
          <w:sz w:val="22"/>
          <w:szCs w:val="22"/>
        </w:rPr>
        <w:t>, kapsulės apvalkale – želatina ir titano dioksidas (E171).</w:t>
      </w:r>
    </w:p>
    <w:p w:rsidR="00A06603" w:rsidRPr="00707941" w:rsidRDefault="00A06603" w:rsidP="00A06603">
      <w:pPr>
        <w:rPr>
          <w:sz w:val="22"/>
          <w:szCs w:val="22"/>
        </w:rPr>
      </w:pPr>
    </w:p>
    <w:p w:rsidR="00A06603" w:rsidRPr="00707941" w:rsidRDefault="00A06603" w:rsidP="00A06603">
      <w:pPr>
        <w:rPr>
          <w:b/>
          <w:bCs/>
          <w:sz w:val="22"/>
          <w:szCs w:val="22"/>
        </w:rPr>
      </w:pPr>
      <w:proofErr w:type="spellStart"/>
      <w:r w:rsidRPr="00707941">
        <w:rPr>
          <w:b/>
          <w:bCs/>
          <w:sz w:val="22"/>
          <w:szCs w:val="22"/>
        </w:rPr>
        <w:t>Piracetamum-Olpha</w:t>
      </w:r>
      <w:proofErr w:type="spellEnd"/>
      <w:r w:rsidRPr="00707941">
        <w:rPr>
          <w:b/>
          <w:bCs/>
          <w:sz w:val="22"/>
          <w:szCs w:val="22"/>
        </w:rPr>
        <w:t xml:space="preserve"> išvaizda ir kiekis pakuotėje</w:t>
      </w:r>
    </w:p>
    <w:p w:rsidR="00A06603" w:rsidRPr="00707941" w:rsidRDefault="00A06603" w:rsidP="00A06603">
      <w:pPr>
        <w:rPr>
          <w:sz w:val="22"/>
          <w:szCs w:val="22"/>
        </w:rPr>
      </w:pPr>
      <w:r w:rsidRPr="00707941">
        <w:rPr>
          <w:rFonts w:eastAsiaTheme="minorHAnsi"/>
          <w:sz w:val="22"/>
          <w:szCs w:val="22"/>
        </w:rPr>
        <w:t xml:space="preserve">Baltos spalvos, kietos, želatininės kapsulės, užpildytos baltos arba </w:t>
      </w:r>
      <w:proofErr w:type="spellStart"/>
      <w:r w:rsidRPr="00707941">
        <w:rPr>
          <w:rFonts w:eastAsiaTheme="minorHAnsi"/>
          <w:sz w:val="22"/>
          <w:szCs w:val="22"/>
        </w:rPr>
        <w:t>balkšos</w:t>
      </w:r>
      <w:proofErr w:type="spellEnd"/>
      <w:r w:rsidRPr="00707941">
        <w:rPr>
          <w:rFonts w:eastAsiaTheme="minorHAnsi"/>
          <w:sz w:val="22"/>
          <w:szCs w:val="22"/>
        </w:rPr>
        <w:t xml:space="preserve"> spalvos milteliais.</w:t>
      </w:r>
    </w:p>
    <w:p w:rsidR="00A06603" w:rsidRPr="00707941" w:rsidRDefault="00A06603" w:rsidP="00A06603">
      <w:pPr>
        <w:rPr>
          <w:sz w:val="22"/>
          <w:szCs w:val="22"/>
        </w:rPr>
      </w:pPr>
      <w:r w:rsidRPr="00707941">
        <w:rPr>
          <w:sz w:val="22"/>
          <w:szCs w:val="22"/>
        </w:rPr>
        <w:t>PVC/aliuminio lizdinė plokštelė, kurioje yra 10 kietųjų kapsulių. Kartono dėžutėje yra 60 kapsulių.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  <w:r w:rsidRPr="003F7229">
        <w:rPr>
          <w:b/>
          <w:sz w:val="22"/>
          <w:szCs w:val="22"/>
        </w:rPr>
        <w:t>Registruotojas ir gamintojas</w:t>
      </w:r>
    </w:p>
    <w:p w:rsidR="00A06603" w:rsidRPr="003F7229" w:rsidRDefault="00A06603" w:rsidP="00A06603">
      <w:pPr>
        <w:pStyle w:val="Pagrindinistekstas"/>
        <w:spacing w:after="0"/>
        <w:rPr>
          <w:szCs w:val="22"/>
        </w:rPr>
      </w:pPr>
      <w:proofErr w:type="spellStart"/>
      <w:r w:rsidRPr="003F7229">
        <w:rPr>
          <w:szCs w:val="22"/>
        </w:rPr>
        <w:t>Olpha</w:t>
      </w:r>
      <w:proofErr w:type="spellEnd"/>
      <w:r w:rsidRPr="003F7229">
        <w:rPr>
          <w:szCs w:val="22"/>
        </w:rPr>
        <w:t xml:space="preserve"> AS,</w:t>
      </w:r>
      <w:r w:rsidRPr="003F7229">
        <w:rPr>
          <w:szCs w:val="22"/>
        </w:rPr>
        <w:br/>
      </w:r>
      <w:proofErr w:type="spellStart"/>
      <w:r w:rsidRPr="003F7229">
        <w:rPr>
          <w:szCs w:val="22"/>
        </w:rPr>
        <w:t>Rupnicu</w:t>
      </w:r>
      <w:proofErr w:type="spellEnd"/>
      <w:r w:rsidRPr="003F7229">
        <w:rPr>
          <w:szCs w:val="22"/>
        </w:rPr>
        <w:t xml:space="preserve"> </w:t>
      </w:r>
      <w:proofErr w:type="spellStart"/>
      <w:r w:rsidRPr="003F7229">
        <w:rPr>
          <w:szCs w:val="22"/>
        </w:rPr>
        <w:t>iela</w:t>
      </w:r>
      <w:proofErr w:type="spellEnd"/>
      <w:r w:rsidRPr="003F7229">
        <w:rPr>
          <w:szCs w:val="22"/>
        </w:rPr>
        <w:t xml:space="preserve"> 5, </w:t>
      </w:r>
      <w:r w:rsidRPr="003F7229">
        <w:rPr>
          <w:szCs w:val="22"/>
        </w:rPr>
        <w:br/>
      </w:r>
      <w:proofErr w:type="spellStart"/>
      <w:r w:rsidRPr="003F7229">
        <w:rPr>
          <w:szCs w:val="22"/>
        </w:rPr>
        <w:t>Olaine</w:t>
      </w:r>
      <w:proofErr w:type="spellEnd"/>
      <w:r w:rsidRPr="003F7229">
        <w:rPr>
          <w:szCs w:val="22"/>
        </w:rPr>
        <w:t xml:space="preserve">, </w:t>
      </w:r>
      <w:proofErr w:type="spellStart"/>
      <w:r w:rsidRPr="003F7229">
        <w:rPr>
          <w:szCs w:val="22"/>
        </w:rPr>
        <w:t>Olaines</w:t>
      </w:r>
      <w:proofErr w:type="spellEnd"/>
      <w:r w:rsidRPr="003F7229">
        <w:rPr>
          <w:szCs w:val="22"/>
        </w:rPr>
        <w:t xml:space="preserve"> </w:t>
      </w:r>
      <w:proofErr w:type="spellStart"/>
      <w:r w:rsidRPr="003F7229">
        <w:rPr>
          <w:szCs w:val="22"/>
        </w:rPr>
        <w:t>novads</w:t>
      </w:r>
      <w:proofErr w:type="spellEnd"/>
      <w:r w:rsidRPr="003F7229">
        <w:rPr>
          <w:szCs w:val="22"/>
        </w:rPr>
        <w:t xml:space="preserve">, LV-2114, </w:t>
      </w:r>
    </w:p>
    <w:p w:rsidR="00A06603" w:rsidRPr="003F7229" w:rsidRDefault="00A06603" w:rsidP="00A06603">
      <w:pPr>
        <w:pStyle w:val="Pagrindinistekstas"/>
        <w:spacing w:after="0"/>
        <w:rPr>
          <w:szCs w:val="22"/>
        </w:rPr>
      </w:pPr>
      <w:r w:rsidRPr="003F7229">
        <w:rPr>
          <w:szCs w:val="22"/>
        </w:rPr>
        <w:t>Latvija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tabs>
          <w:tab w:val="left" w:pos="567"/>
        </w:tabs>
        <w:jc w:val="both"/>
        <w:rPr>
          <w:b/>
          <w:sz w:val="22"/>
          <w:szCs w:val="22"/>
        </w:rPr>
      </w:pPr>
      <w:r w:rsidRPr="003F7229">
        <w:rPr>
          <w:b/>
          <w:bCs/>
          <w:sz w:val="22"/>
          <w:szCs w:val="22"/>
        </w:rPr>
        <w:t>Šis pakuotės lapelis</w:t>
      </w:r>
      <w:r w:rsidRPr="003F7229">
        <w:rPr>
          <w:b/>
          <w:sz w:val="22"/>
          <w:szCs w:val="22"/>
        </w:rPr>
        <w:t xml:space="preserve"> paskutinį kartą </w:t>
      </w:r>
      <w:r>
        <w:rPr>
          <w:b/>
          <w:sz w:val="22"/>
          <w:szCs w:val="22"/>
        </w:rPr>
        <w:t>peržiūrėtas 2024-11-22.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</w:rPr>
      </w:pPr>
    </w:p>
    <w:p w:rsidR="00A06603" w:rsidRPr="003F7229" w:rsidRDefault="00A06603" w:rsidP="00A0660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r w:rsidRPr="003F7229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3F7229">
        <w:rPr>
          <w:i/>
          <w:sz w:val="22"/>
          <w:szCs w:val="22"/>
        </w:rPr>
        <w:t xml:space="preserve"> </w:t>
      </w:r>
      <w:hyperlink r:id="rId5" w:history="1">
        <w:r w:rsidRPr="00AD50D5">
          <w:rPr>
            <w:rStyle w:val="Hipersaitas"/>
            <w:sz w:val="22"/>
            <w:szCs w:val="22"/>
          </w:rPr>
          <w:t>https://vvkt.;rv.lt/lt</w:t>
        </w:r>
      </w:hyperlink>
      <w:r w:rsidRPr="003F7229">
        <w:rPr>
          <w:sz w:val="22"/>
          <w:szCs w:val="22"/>
        </w:rPr>
        <w:t xml:space="preserve"> </w:t>
      </w:r>
    </w:p>
    <w:p w:rsidR="00A06603" w:rsidRPr="003F7229" w:rsidRDefault="00A06603" w:rsidP="00A06603">
      <w:pPr>
        <w:tabs>
          <w:tab w:val="left" w:pos="567"/>
        </w:tabs>
        <w:jc w:val="both"/>
        <w:rPr>
          <w:sz w:val="22"/>
          <w:szCs w:val="22"/>
          <w:highlight w:val="yellow"/>
        </w:rPr>
      </w:pPr>
    </w:p>
    <w:p w:rsidR="00A06603" w:rsidRPr="003F7229" w:rsidRDefault="00A06603" w:rsidP="00A06603">
      <w:pPr>
        <w:rPr>
          <w:sz w:val="22"/>
          <w:szCs w:val="22"/>
        </w:rPr>
      </w:pPr>
    </w:p>
    <w:p w:rsidR="00BA6577" w:rsidRDefault="00BA6577">
      <w:bookmarkStart w:id="13" w:name="_GoBack"/>
      <w:bookmarkEnd w:id="13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3C3"/>
    <w:multiLevelType w:val="hybridMultilevel"/>
    <w:tmpl w:val="1F7E7CD8"/>
    <w:lvl w:ilvl="0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605781"/>
    <w:multiLevelType w:val="hybridMultilevel"/>
    <w:tmpl w:val="51882E16"/>
    <w:lvl w:ilvl="0" w:tplc="F708879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C184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88756A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3623E79"/>
    <w:multiLevelType w:val="hybridMultilevel"/>
    <w:tmpl w:val="B1B640E2"/>
    <w:lvl w:ilvl="0" w:tplc="F708879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03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06603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2D249-B513-4B79-9BBE-D5A4A8A4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6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A06603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A06603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06603"/>
    <w:rPr>
      <w:rFonts w:ascii="Times New Roman" w:eastAsia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99"/>
    <w:qFormat/>
    <w:rsid w:val="00A06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;rv.lt/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7564</Words>
  <Characters>4312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11</vt:i4>
      </vt:variant>
    </vt:vector>
  </HeadingPairs>
  <TitlesOfParts>
    <vt:vector size="12" baseType="lpstr">
      <vt:lpstr/>
      <vt:lpstr>Pakuotės lapelis: informacija vartotojui</vt:lpstr>
      <vt:lpstr/>
      <vt:lpstr>    1.	Kas yra Piracetamum-Olpha ir kam jis vartojamas</vt:lpstr>
      <vt:lpstr>    </vt:lpstr>
      <vt:lpstr>    2.	Kas žinotina prieš vartojant Piracetamum-Olpha</vt:lpstr>
      <vt:lpstr>    3.	Kaip vartoti Piracetamum-Olpha</vt:lpstr>
      <vt:lpstr>        4.	Galimas šalutinis poveikis</vt:lpstr>
      <vt:lpstr>    </vt:lpstr>
      <vt:lpstr>    5.	Kaip laikyti Piracetamum-Olpha</vt:lpstr>
      <vt:lpstr>    </vt:lpstr>
      <vt:lpstr>    6.	Pakuotės turinys ir kita informacija</vt:lpstr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2024-11-27T12:07:00Z</dcterms:created>
  <dcterms:modified xsi:type="dcterms:W3CDTF">2024-11-27T12:08:00Z</dcterms:modified>
</cp:coreProperties>
</file>