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603" w:rsidRDefault="00A06603" w:rsidP="00A06603">
      <w:pPr>
        <w:tabs>
          <w:tab w:val="left" w:pos="567"/>
        </w:tabs>
        <w:jc w:val="center"/>
        <w:outlineLvl w:val="0"/>
        <w:rPr>
          <w:b/>
          <w:sz w:val="22"/>
          <w:szCs w:val="22"/>
        </w:rPr>
      </w:pPr>
      <w:r w:rsidRPr="003F7229">
        <w:rPr>
          <w:b/>
          <w:caps/>
          <w:sz w:val="22"/>
          <w:szCs w:val="22"/>
        </w:rPr>
        <w:t>P</w:t>
      </w:r>
      <w:r w:rsidRPr="003F7229">
        <w:rPr>
          <w:b/>
          <w:sz w:val="22"/>
          <w:szCs w:val="22"/>
        </w:rPr>
        <w:t>akuotės lapelis</w:t>
      </w:r>
      <w:r w:rsidRPr="003F7229">
        <w:rPr>
          <w:b/>
          <w:caps/>
          <w:sz w:val="22"/>
          <w:szCs w:val="22"/>
        </w:rPr>
        <w:t xml:space="preserve">: </w:t>
      </w:r>
      <w:r w:rsidRPr="003F7229">
        <w:rPr>
          <w:b/>
          <w:sz w:val="22"/>
          <w:szCs w:val="22"/>
        </w:rPr>
        <w:t>informacija vartotojui</w:t>
      </w:r>
    </w:p>
    <w:p w:rsidR="00A06603" w:rsidRPr="003F7229" w:rsidRDefault="00A06603" w:rsidP="00A06603">
      <w:pPr>
        <w:tabs>
          <w:tab w:val="left" w:pos="567"/>
        </w:tabs>
        <w:jc w:val="center"/>
        <w:outlineLvl w:val="0"/>
        <w:rPr>
          <w:sz w:val="22"/>
          <w:szCs w:val="22"/>
        </w:rPr>
      </w:pPr>
    </w:p>
    <w:p w:rsidR="00A06603" w:rsidRPr="003F7229" w:rsidRDefault="00A06603" w:rsidP="00A06603">
      <w:pPr>
        <w:tabs>
          <w:tab w:val="left" w:pos="567"/>
        </w:tabs>
        <w:jc w:val="center"/>
        <w:rPr>
          <w:sz w:val="22"/>
          <w:szCs w:val="22"/>
        </w:rPr>
      </w:pPr>
      <w:proofErr w:type="spellStart"/>
      <w:r w:rsidRPr="003F7229">
        <w:rPr>
          <w:b/>
          <w:sz w:val="22"/>
          <w:szCs w:val="22"/>
        </w:rPr>
        <w:t>Piracetamum-Olpha</w:t>
      </w:r>
      <w:proofErr w:type="spellEnd"/>
      <w:r w:rsidRPr="003F7229">
        <w:rPr>
          <w:b/>
          <w:sz w:val="22"/>
          <w:szCs w:val="22"/>
        </w:rPr>
        <w:t xml:space="preserve"> 400 mg kietosios kapsulės</w:t>
      </w:r>
    </w:p>
    <w:p w:rsidR="00A06603" w:rsidRPr="003F7229" w:rsidRDefault="00A06603" w:rsidP="00A06603">
      <w:pPr>
        <w:tabs>
          <w:tab w:val="left" w:pos="567"/>
        </w:tabs>
        <w:jc w:val="center"/>
        <w:rPr>
          <w:sz w:val="22"/>
          <w:szCs w:val="22"/>
        </w:rPr>
      </w:pPr>
      <w:proofErr w:type="spellStart"/>
      <w:r w:rsidRPr="003F7229">
        <w:rPr>
          <w:sz w:val="22"/>
          <w:szCs w:val="22"/>
        </w:rPr>
        <w:t>piracetamas</w:t>
      </w:r>
      <w:proofErr w:type="spellEnd"/>
    </w:p>
    <w:p w:rsidR="00A06603" w:rsidRPr="003F7229" w:rsidRDefault="00A06603" w:rsidP="00A06603">
      <w:pPr>
        <w:tabs>
          <w:tab w:val="left" w:pos="567"/>
        </w:tabs>
        <w:jc w:val="both"/>
        <w:rPr>
          <w:sz w:val="22"/>
          <w:szCs w:val="22"/>
        </w:rPr>
      </w:pPr>
    </w:p>
    <w:p w:rsidR="00A06603" w:rsidRPr="003F7229" w:rsidRDefault="00A06603" w:rsidP="00A06603">
      <w:pPr>
        <w:tabs>
          <w:tab w:val="left" w:pos="567"/>
        </w:tabs>
        <w:jc w:val="both"/>
        <w:rPr>
          <w:rFonts w:eastAsiaTheme="minorHAnsi"/>
          <w:sz w:val="22"/>
          <w:szCs w:val="22"/>
          <w:lang w:val="lv-LV"/>
        </w:rPr>
      </w:pPr>
      <w:r w:rsidRPr="003F7229">
        <w:rPr>
          <w:rFonts w:eastAsiaTheme="minorHAnsi"/>
          <w:b/>
          <w:spacing w:val="-3"/>
          <w:sz w:val="22"/>
          <w:szCs w:val="22"/>
          <w:lang w:val="lv-LV"/>
        </w:rPr>
        <w:t>Atidžiai perskaitykite visą šį lapelį, prieš pradėdami vartoti vaistą, nes jame pateikiama Jums svarbi informacija.</w:t>
      </w:r>
    </w:p>
    <w:p w:rsidR="00A06603" w:rsidRPr="0076788D" w:rsidRDefault="00A06603" w:rsidP="00A06603">
      <w:pPr>
        <w:pStyle w:val="Sraopastraipa"/>
        <w:numPr>
          <w:ilvl w:val="0"/>
          <w:numId w:val="4"/>
        </w:numPr>
        <w:ind w:left="426" w:hanging="426"/>
        <w:rPr>
          <w:rFonts w:eastAsiaTheme="minorHAnsi"/>
          <w:sz w:val="22"/>
          <w:szCs w:val="22"/>
        </w:rPr>
      </w:pPr>
      <w:r w:rsidRPr="0076788D">
        <w:rPr>
          <w:rFonts w:eastAsiaTheme="minorHAnsi"/>
          <w:sz w:val="22"/>
          <w:szCs w:val="22"/>
        </w:rPr>
        <w:t>Neišmeskite šio lapelio, nes vėl gali prireikti jį perskaityti.</w:t>
      </w:r>
    </w:p>
    <w:p w:rsidR="00A06603" w:rsidRPr="0076788D" w:rsidRDefault="00A06603" w:rsidP="00A06603">
      <w:pPr>
        <w:pStyle w:val="Sraopastraipa"/>
        <w:numPr>
          <w:ilvl w:val="0"/>
          <w:numId w:val="4"/>
        </w:numPr>
        <w:ind w:left="426" w:hanging="426"/>
        <w:rPr>
          <w:rFonts w:eastAsiaTheme="minorHAnsi"/>
          <w:sz w:val="22"/>
          <w:szCs w:val="22"/>
        </w:rPr>
      </w:pPr>
      <w:r w:rsidRPr="0076788D">
        <w:rPr>
          <w:rFonts w:eastAsiaTheme="minorHAnsi"/>
          <w:sz w:val="22"/>
          <w:szCs w:val="22"/>
        </w:rPr>
        <w:t>Jeigu kiltų daugiau klausimų, kreipkitės į gydytoją arba vaistininką.</w:t>
      </w:r>
    </w:p>
    <w:p w:rsidR="00A06603" w:rsidRPr="0076788D" w:rsidRDefault="00A06603" w:rsidP="00A06603">
      <w:pPr>
        <w:pStyle w:val="Sraopastraipa"/>
        <w:numPr>
          <w:ilvl w:val="0"/>
          <w:numId w:val="4"/>
        </w:numPr>
        <w:ind w:left="426" w:hanging="426"/>
        <w:rPr>
          <w:rFonts w:eastAsiaTheme="minorHAnsi"/>
          <w:sz w:val="22"/>
          <w:szCs w:val="22"/>
        </w:rPr>
      </w:pPr>
      <w:r w:rsidRPr="0076788D">
        <w:rPr>
          <w:rFonts w:eastAsiaTheme="minorHAnsi"/>
          <w:sz w:val="22"/>
          <w:szCs w:val="22"/>
        </w:rPr>
        <w:t>Šis vaistas skirtas tik Jums, todėl kitiems žmonėms jo duoti negalima. Vaistas gali jiems pakenkti (net tiems, kurių ligos požymiai yra tokie patys kaip Jūsų).</w:t>
      </w:r>
    </w:p>
    <w:p w:rsidR="00A06603" w:rsidRPr="003F7229" w:rsidRDefault="00A06603" w:rsidP="00A06603">
      <w:pPr>
        <w:pStyle w:val="Sraopastraipa"/>
        <w:numPr>
          <w:ilvl w:val="0"/>
          <w:numId w:val="4"/>
        </w:numPr>
        <w:ind w:left="426" w:hanging="426"/>
        <w:rPr>
          <w:rFonts w:eastAsiaTheme="minorHAnsi"/>
          <w:sz w:val="22"/>
          <w:szCs w:val="22"/>
        </w:rPr>
      </w:pPr>
      <w:r w:rsidRPr="003F7229">
        <w:rPr>
          <w:rFonts w:eastAsiaTheme="minorHAnsi"/>
          <w:sz w:val="22"/>
          <w:szCs w:val="22"/>
        </w:rPr>
        <w:t xml:space="preserve">Jeigu pasireiškė šalutinis poveikis (net jeigu jis šiame lapelyje nenurodytas), kreipkitės į gydytoją arba vaistininką. Žr. 4 skyrių. </w:t>
      </w:r>
    </w:p>
    <w:p w:rsidR="00A06603" w:rsidRPr="003F7229" w:rsidRDefault="00A06603" w:rsidP="00A06603">
      <w:pPr>
        <w:tabs>
          <w:tab w:val="left" w:pos="567"/>
        </w:tabs>
        <w:jc w:val="both"/>
        <w:rPr>
          <w:sz w:val="22"/>
          <w:szCs w:val="22"/>
        </w:rPr>
      </w:pPr>
    </w:p>
    <w:p w:rsidR="00A06603" w:rsidRPr="003F7229" w:rsidRDefault="00A06603" w:rsidP="00A06603">
      <w:pPr>
        <w:tabs>
          <w:tab w:val="left" w:pos="567"/>
        </w:tabs>
        <w:jc w:val="both"/>
        <w:rPr>
          <w:rFonts w:eastAsiaTheme="minorHAnsi"/>
          <w:sz w:val="22"/>
          <w:szCs w:val="22"/>
          <w:lang w:val="lv-LV"/>
        </w:rPr>
      </w:pPr>
      <w:r w:rsidRPr="003F7229">
        <w:rPr>
          <w:rFonts w:eastAsiaTheme="minorHAnsi"/>
          <w:b/>
          <w:spacing w:val="-3"/>
          <w:sz w:val="22"/>
          <w:szCs w:val="22"/>
          <w:lang w:val="lv-LV"/>
        </w:rPr>
        <w:t>Apie ką rašoma šiame lapelyje?</w:t>
      </w:r>
    </w:p>
    <w:p w:rsidR="00A06603" w:rsidRPr="003F7229" w:rsidRDefault="00A06603" w:rsidP="00A06603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3F7229">
        <w:rPr>
          <w:sz w:val="22"/>
          <w:szCs w:val="22"/>
        </w:rPr>
        <w:t>1.</w:t>
      </w:r>
      <w:r w:rsidRPr="003F7229">
        <w:rPr>
          <w:sz w:val="22"/>
          <w:szCs w:val="22"/>
        </w:rPr>
        <w:tab/>
        <w:t xml:space="preserve">Kas yra </w:t>
      </w:r>
      <w:proofErr w:type="spellStart"/>
      <w:r w:rsidRPr="003F7229">
        <w:rPr>
          <w:sz w:val="22"/>
          <w:szCs w:val="22"/>
        </w:rPr>
        <w:t>Piracetamum-Olpha</w:t>
      </w:r>
      <w:proofErr w:type="spellEnd"/>
      <w:r w:rsidRPr="003F7229">
        <w:rPr>
          <w:sz w:val="22"/>
          <w:szCs w:val="22"/>
        </w:rPr>
        <w:t xml:space="preserve"> ir kam jis vartojamas</w:t>
      </w:r>
    </w:p>
    <w:p w:rsidR="00A06603" w:rsidRPr="003F7229" w:rsidRDefault="00A06603" w:rsidP="00A06603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3F7229">
        <w:rPr>
          <w:sz w:val="22"/>
          <w:szCs w:val="22"/>
        </w:rPr>
        <w:t>2.</w:t>
      </w:r>
      <w:r w:rsidRPr="003F7229">
        <w:rPr>
          <w:sz w:val="22"/>
          <w:szCs w:val="22"/>
        </w:rPr>
        <w:tab/>
        <w:t xml:space="preserve">Kas žinotina prieš vartojant </w:t>
      </w:r>
      <w:proofErr w:type="spellStart"/>
      <w:r w:rsidRPr="003F7229">
        <w:rPr>
          <w:sz w:val="22"/>
          <w:szCs w:val="22"/>
        </w:rPr>
        <w:t>Piracetamum-Olpha</w:t>
      </w:r>
      <w:proofErr w:type="spellEnd"/>
      <w:r w:rsidRPr="003F7229">
        <w:rPr>
          <w:sz w:val="22"/>
          <w:szCs w:val="22"/>
        </w:rPr>
        <w:t xml:space="preserve"> </w:t>
      </w:r>
    </w:p>
    <w:p w:rsidR="00A06603" w:rsidRPr="003F7229" w:rsidRDefault="00A06603" w:rsidP="00A06603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3F7229">
        <w:rPr>
          <w:sz w:val="22"/>
          <w:szCs w:val="22"/>
        </w:rPr>
        <w:t>3.</w:t>
      </w:r>
      <w:r w:rsidRPr="003F7229">
        <w:rPr>
          <w:sz w:val="22"/>
          <w:szCs w:val="22"/>
        </w:rPr>
        <w:tab/>
        <w:t xml:space="preserve">Kaip vartoti </w:t>
      </w:r>
      <w:proofErr w:type="spellStart"/>
      <w:r w:rsidRPr="003F7229">
        <w:rPr>
          <w:sz w:val="22"/>
          <w:szCs w:val="22"/>
        </w:rPr>
        <w:t>Piracetamum-Olpha</w:t>
      </w:r>
      <w:proofErr w:type="spellEnd"/>
    </w:p>
    <w:p w:rsidR="00A06603" w:rsidRPr="003F7229" w:rsidRDefault="00A06603" w:rsidP="00A06603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3F7229">
        <w:rPr>
          <w:sz w:val="22"/>
          <w:szCs w:val="22"/>
        </w:rPr>
        <w:t>4.</w:t>
      </w:r>
      <w:r w:rsidRPr="003F7229">
        <w:rPr>
          <w:sz w:val="22"/>
          <w:szCs w:val="22"/>
        </w:rPr>
        <w:tab/>
        <w:t>Galimas šalutinis poveikis</w:t>
      </w:r>
    </w:p>
    <w:p w:rsidR="00A06603" w:rsidRPr="003F7229" w:rsidRDefault="00A06603" w:rsidP="00A06603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3F7229">
        <w:rPr>
          <w:sz w:val="22"/>
          <w:szCs w:val="22"/>
        </w:rPr>
        <w:t>5.</w:t>
      </w:r>
      <w:r w:rsidRPr="003F7229">
        <w:rPr>
          <w:sz w:val="22"/>
          <w:szCs w:val="22"/>
        </w:rPr>
        <w:tab/>
        <w:t xml:space="preserve">Kaip laikyti </w:t>
      </w:r>
      <w:proofErr w:type="spellStart"/>
      <w:r w:rsidRPr="003F7229">
        <w:rPr>
          <w:sz w:val="22"/>
          <w:szCs w:val="22"/>
        </w:rPr>
        <w:t>Piracetamum-Olpha</w:t>
      </w:r>
      <w:proofErr w:type="spellEnd"/>
    </w:p>
    <w:p w:rsidR="00A06603" w:rsidRPr="003F7229" w:rsidRDefault="00A06603" w:rsidP="00A06603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3F7229">
        <w:rPr>
          <w:sz w:val="22"/>
          <w:szCs w:val="22"/>
        </w:rPr>
        <w:t>6.</w:t>
      </w:r>
      <w:r w:rsidRPr="003F7229">
        <w:rPr>
          <w:sz w:val="22"/>
          <w:szCs w:val="22"/>
        </w:rPr>
        <w:tab/>
      </w:r>
      <w:r w:rsidRPr="003F7229">
        <w:rPr>
          <w:sz w:val="22"/>
          <w:szCs w:val="22"/>
          <w:lang w:bidi="lt-LT"/>
        </w:rPr>
        <w:t>Pakuotės turinys ir k</w:t>
      </w:r>
      <w:r w:rsidRPr="003F7229">
        <w:rPr>
          <w:sz w:val="22"/>
          <w:szCs w:val="22"/>
        </w:rPr>
        <w:t>ita informacija</w:t>
      </w:r>
    </w:p>
    <w:p w:rsidR="00A06603" w:rsidRPr="003F7229" w:rsidRDefault="00A06603" w:rsidP="00A06603">
      <w:pPr>
        <w:tabs>
          <w:tab w:val="left" w:pos="567"/>
        </w:tabs>
        <w:jc w:val="both"/>
        <w:rPr>
          <w:sz w:val="22"/>
          <w:szCs w:val="22"/>
        </w:rPr>
      </w:pPr>
    </w:p>
    <w:p w:rsidR="00A06603" w:rsidRPr="003F7229" w:rsidRDefault="00A06603" w:rsidP="00A06603">
      <w:pPr>
        <w:tabs>
          <w:tab w:val="left" w:pos="567"/>
        </w:tabs>
        <w:jc w:val="both"/>
        <w:rPr>
          <w:sz w:val="22"/>
          <w:szCs w:val="22"/>
        </w:rPr>
      </w:pPr>
    </w:p>
    <w:p w:rsidR="00A06603" w:rsidRPr="003F7229" w:rsidRDefault="00A06603" w:rsidP="00A06603">
      <w:pPr>
        <w:keepNext/>
        <w:tabs>
          <w:tab w:val="left" w:pos="567"/>
        </w:tabs>
        <w:ind w:left="567" w:hanging="567"/>
        <w:jc w:val="both"/>
        <w:outlineLvl w:val="1"/>
        <w:rPr>
          <w:sz w:val="22"/>
          <w:szCs w:val="22"/>
        </w:rPr>
      </w:pPr>
      <w:bookmarkStart w:id="0" w:name="_Toc129243139"/>
      <w:bookmarkStart w:id="1" w:name="_Toc129243264"/>
      <w:r w:rsidRPr="003F7229">
        <w:rPr>
          <w:b/>
          <w:sz w:val="22"/>
          <w:szCs w:val="22"/>
        </w:rPr>
        <w:t>1.</w:t>
      </w:r>
      <w:r w:rsidRPr="003F7229">
        <w:rPr>
          <w:b/>
          <w:sz w:val="22"/>
          <w:szCs w:val="22"/>
        </w:rPr>
        <w:tab/>
        <w:t xml:space="preserve">Kas yra </w:t>
      </w:r>
      <w:proofErr w:type="spellStart"/>
      <w:r w:rsidRPr="003F7229">
        <w:rPr>
          <w:b/>
          <w:sz w:val="22"/>
          <w:szCs w:val="22"/>
        </w:rPr>
        <w:t>Piracetamum-Olpha</w:t>
      </w:r>
      <w:proofErr w:type="spellEnd"/>
      <w:r w:rsidRPr="003F7229">
        <w:rPr>
          <w:b/>
          <w:sz w:val="22"/>
          <w:szCs w:val="22"/>
        </w:rPr>
        <w:t xml:space="preserve"> ir kam jis vartojamas</w:t>
      </w:r>
    </w:p>
    <w:bookmarkEnd w:id="0"/>
    <w:bookmarkEnd w:id="1"/>
    <w:p w:rsidR="00A06603" w:rsidRPr="003F7229" w:rsidRDefault="00A06603" w:rsidP="00A06603">
      <w:pPr>
        <w:keepNext/>
        <w:tabs>
          <w:tab w:val="left" w:pos="567"/>
        </w:tabs>
        <w:ind w:left="567" w:hanging="567"/>
        <w:jc w:val="both"/>
        <w:outlineLvl w:val="1"/>
        <w:rPr>
          <w:sz w:val="22"/>
          <w:szCs w:val="22"/>
        </w:rPr>
      </w:pPr>
    </w:p>
    <w:p w:rsidR="00A06603" w:rsidRPr="003F7229" w:rsidRDefault="00A06603" w:rsidP="00A06603">
      <w:pPr>
        <w:tabs>
          <w:tab w:val="left" w:pos="567"/>
        </w:tabs>
        <w:jc w:val="both"/>
        <w:rPr>
          <w:sz w:val="22"/>
          <w:szCs w:val="22"/>
        </w:rPr>
      </w:pPr>
      <w:proofErr w:type="spellStart"/>
      <w:r w:rsidRPr="003F7229">
        <w:rPr>
          <w:sz w:val="22"/>
          <w:szCs w:val="22"/>
        </w:rPr>
        <w:t>Piracetamum-Olpha</w:t>
      </w:r>
      <w:proofErr w:type="spellEnd"/>
      <w:r w:rsidRPr="003F7229">
        <w:rPr>
          <w:sz w:val="22"/>
          <w:szCs w:val="22"/>
        </w:rPr>
        <w:t xml:space="preserve"> kietųjų kapsulių veiklioji medžiaga </w:t>
      </w:r>
      <w:proofErr w:type="spellStart"/>
      <w:r w:rsidRPr="003F7229">
        <w:rPr>
          <w:sz w:val="22"/>
          <w:szCs w:val="22"/>
        </w:rPr>
        <w:t>piracetamas</w:t>
      </w:r>
      <w:proofErr w:type="spellEnd"/>
      <w:r w:rsidRPr="003F7229">
        <w:rPr>
          <w:sz w:val="22"/>
          <w:szCs w:val="22"/>
        </w:rPr>
        <w:t xml:space="preserve"> yra psichotropinių vaistų grupės, vadinamos </w:t>
      </w:r>
      <w:proofErr w:type="spellStart"/>
      <w:r w:rsidRPr="003F7229">
        <w:rPr>
          <w:sz w:val="22"/>
          <w:szCs w:val="22"/>
        </w:rPr>
        <w:t>nootropais</w:t>
      </w:r>
      <w:proofErr w:type="spellEnd"/>
      <w:r w:rsidRPr="003F7229">
        <w:rPr>
          <w:sz w:val="22"/>
          <w:szCs w:val="22"/>
        </w:rPr>
        <w:t xml:space="preserve">, preparatas. </w:t>
      </w:r>
      <w:proofErr w:type="spellStart"/>
      <w:r w:rsidRPr="003F7229">
        <w:rPr>
          <w:sz w:val="22"/>
          <w:szCs w:val="22"/>
        </w:rPr>
        <w:t>Nootropų</w:t>
      </w:r>
      <w:proofErr w:type="spellEnd"/>
      <w:r w:rsidRPr="003F7229">
        <w:rPr>
          <w:sz w:val="22"/>
          <w:szCs w:val="22"/>
        </w:rPr>
        <w:t xml:space="preserve"> grupės medikamentai specifiškai aktyvina integracinę smegenų veiklą. Jie vadinami </w:t>
      </w:r>
      <w:proofErr w:type="spellStart"/>
      <w:r w:rsidRPr="003F7229">
        <w:rPr>
          <w:sz w:val="22"/>
          <w:szCs w:val="22"/>
        </w:rPr>
        <w:t>psichometabolizmo</w:t>
      </w:r>
      <w:proofErr w:type="spellEnd"/>
      <w:r w:rsidRPr="003F7229">
        <w:rPr>
          <w:sz w:val="22"/>
          <w:szCs w:val="22"/>
        </w:rPr>
        <w:t xml:space="preserve"> stimuliatoriais, kadangi daro palankų poveikį smegenų medžiagų apykaitai ir kraujo cirkuliacijai. Dėl </w:t>
      </w:r>
      <w:proofErr w:type="spellStart"/>
      <w:r w:rsidRPr="003F7229">
        <w:rPr>
          <w:sz w:val="22"/>
          <w:szCs w:val="22"/>
        </w:rPr>
        <w:t>piracetamo</w:t>
      </w:r>
      <w:proofErr w:type="spellEnd"/>
      <w:r w:rsidRPr="003F7229">
        <w:rPr>
          <w:sz w:val="22"/>
          <w:szCs w:val="22"/>
        </w:rPr>
        <w:t xml:space="preserve"> poveikio energetiniams procesams smegenų audiniai tampa atsparesni hipoksijai bei apsinuodijimui. Medikamentas gerina funkcines smegenų pusrutulių sąsajas bei </w:t>
      </w:r>
      <w:proofErr w:type="spellStart"/>
      <w:r w:rsidRPr="003F7229">
        <w:rPr>
          <w:sz w:val="22"/>
          <w:szCs w:val="22"/>
        </w:rPr>
        <w:t>sinapsinį</w:t>
      </w:r>
      <w:proofErr w:type="spellEnd"/>
      <w:r w:rsidRPr="003F7229">
        <w:rPr>
          <w:sz w:val="22"/>
          <w:szCs w:val="22"/>
        </w:rPr>
        <w:t xml:space="preserve"> signalo perdavimą naujosios žievės struktūrose, atnaujina ir stabilizuoja smegenų veiklą, ypač sąmonę, atmintį ir kalbą, didina protinį darbingumą.</w:t>
      </w:r>
    </w:p>
    <w:p w:rsidR="00A06603" w:rsidRPr="003F7229" w:rsidRDefault="00A06603" w:rsidP="00A06603">
      <w:pPr>
        <w:tabs>
          <w:tab w:val="left" w:pos="567"/>
        </w:tabs>
        <w:jc w:val="both"/>
        <w:rPr>
          <w:sz w:val="22"/>
          <w:szCs w:val="22"/>
        </w:rPr>
      </w:pPr>
      <w:r w:rsidRPr="003F7229">
        <w:rPr>
          <w:sz w:val="22"/>
          <w:szCs w:val="22"/>
        </w:rPr>
        <w:t>Vaistas vartojamas:</w:t>
      </w:r>
    </w:p>
    <w:p w:rsidR="00A06603" w:rsidRPr="003F7229" w:rsidRDefault="00A06603" w:rsidP="00A06603">
      <w:pPr>
        <w:numPr>
          <w:ilvl w:val="0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3F7229">
        <w:rPr>
          <w:sz w:val="22"/>
          <w:szCs w:val="22"/>
        </w:rPr>
        <w:t>papildomam senyvų žmonių pažintinių funkcijų sutrikimų - atminties netekimo, susilpnėjusios dėmesio koncentracijos ir energijos stokos ( išskyrus Alzheimerio ligos ir kitų silpnaprotysčių sukeltus) - gydymui.</w:t>
      </w:r>
    </w:p>
    <w:p w:rsidR="00A06603" w:rsidRPr="003F7229" w:rsidRDefault="00A06603" w:rsidP="00A06603">
      <w:pPr>
        <w:numPr>
          <w:ilvl w:val="0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3F7229">
        <w:rPr>
          <w:sz w:val="22"/>
          <w:szCs w:val="22"/>
        </w:rPr>
        <w:t>galvos svaigimo ir pusiausvyros sutrikimo (išskyrus galvos svaigulį dėl kraujotakos sutrikimų ir psichinių priežasčių) gydymui.</w:t>
      </w:r>
    </w:p>
    <w:p w:rsidR="00A06603" w:rsidRPr="003F7229" w:rsidRDefault="00A06603" w:rsidP="00A06603">
      <w:pPr>
        <w:numPr>
          <w:ilvl w:val="0"/>
          <w:numId w:val="2"/>
        </w:numPr>
        <w:tabs>
          <w:tab w:val="left" w:pos="567"/>
        </w:tabs>
        <w:ind w:left="426" w:hanging="426"/>
        <w:jc w:val="both"/>
        <w:rPr>
          <w:b/>
          <w:i/>
          <w:sz w:val="22"/>
          <w:szCs w:val="22"/>
        </w:rPr>
      </w:pPr>
      <w:r w:rsidRPr="003F7229">
        <w:rPr>
          <w:sz w:val="22"/>
          <w:szCs w:val="22"/>
        </w:rPr>
        <w:t xml:space="preserve">vyresnių kaip 8 metų vaikų skaitymo sutrikimo gydymui, derinant su kitais gydymo metodais, pavyzdžiui, </w:t>
      </w:r>
      <w:proofErr w:type="spellStart"/>
      <w:r w:rsidRPr="003F7229">
        <w:rPr>
          <w:sz w:val="22"/>
          <w:szCs w:val="22"/>
        </w:rPr>
        <w:t>logopedija</w:t>
      </w:r>
      <w:proofErr w:type="spellEnd"/>
      <w:r w:rsidRPr="003F7229">
        <w:rPr>
          <w:sz w:val="22"/>
          <w:szCs w:val="22"/>
        </w:rPr>
        <w:t>.</w:t>
      </w:r>
    </w:p>
    <w:p w:rsidR="00A06603" w:rsidRPr="003F7229" w:rsidRDefault="00A06603" w:rsidP="00A06603">
      <w:pPr>
        <w:tabs>
          <w:tab w:val="left" w:pos="567"/>
        </w:tabs>
        <w:jc w:val="both"/>
        <w:rPr>
          <w:sz w:val="22"/>
          <w:szCs w:val="22"/>
        </w:rPr>
      </w:pPr>
    </w:p>
    <w:p w:rsidR="00A06603" w:rsidRPr="003F7229" w:rsidRDefault="00A06603" w:rsidP="00A06603">
      <w:pPr>
        <w:tabs>
          <w:tab w:val="left" w:pos="567"/>
        </w:tabs>
        <w:jc w:val="both"/>
        <w:rPr>
          <w:sz w:val="22"/>
          <w:szCs w:val="22"/>
        </w:rPr>
      </w:pPr>
    </w:p>
    <w:p w:rsidR="00A06603" w:rsidRPr="003F7229" w:rsidRDefault="00A06603" w:rsidP="00A06603">
      <w:pPr>
        <w:keepNext/>
        <w:tabs>
          <w:tab w:val="left" w:pos="567"/>
        </w:tabs>
        <w:ind w:left="567" w:hanging="567"/>
        <w:jc w:val="both"/>
        <w:outlineLvl w:val="1"/>
        <w:rPr>
          <w:sz w:val="22"/>
          <w:szCs w:val="22"/>
        </w:rPr>
      </w:pPr>
      <w:bookmarkStart w:id="2" w:name="_Toc129243140"/>
      <w:bookmarkStart w:id="3" w:name="_Toc129243265"/>
      <w:r w:rsidRPr="003F7229">
        <w:rPr>
          <w:b/>
          <w:sz w:val="22"/>
          <w:szCs w:val="22"/>
        </w:rPr>
        <w:t>2.</w:t>
      </w:r>
      <w:r w:rsidRPr="003F7229">
        <w:rPr>
          <w:b/>
          <w:sz w:val="22"/>
          <w:szCs w:val="22"/>
        </w:rPr>
        <w:tab/>
        <w:t xml:space="preserve">Kas žinotina prieš vartojant </w:t>
      </w:r>
      <w:proofErr w:type="spellStart"/>
      <w:r w:rsidRPr="003F7229">
        <w:rPr>
          <w:b/>
          <w:sz w:val="22"/>
          <w:szCs w:val="22"/>
        </w:rPr>
        <w:t>Piracetamum-Olpha</w:t>
      </w:r>
      <w:proofErr w:type="spellEnd"/>
    </w:p>
    <w:bookmarkEnd w:id="2"/>
    <w:bookmarkEnd w:id="3"/>
    <w:p w:rsidR="00A06603" w:rsidRPr="003F7229" w:rsidRDefault="00A06603" w:rsidP="00A06603">
      <w:pPr>
        <w:tabs>
          <w:tab w:val="left" w:pos="567"/>
        </w:tabs>
        <w:jc w:val="both"/>
        <w:rPr>
          <w:sz w:val="22"/>
          <w:szCs w:val="22"/>
        </w:rPr>
      </w:pPr>
    </w:p>
    <w:p w:rsidR="00A06603" w:rsidRPr="003F7229" w:rsidRDefault="00A06603" w:rsidP="00A06603">
      <w:pPr>
        <w:tabs>
          <w:tab w:val="left" w:pos="567"/>
        </w:tabs>
        <w:jc w:val="both"/>
        <w:rPr>
          <w:sz w:val="22"/>
          <w:szCs w:val="22"/>
        </w:rPr>
      </w:pPr>
      <w:proofErr w:type="spellStart"/>
      <w:r w:rsidRPr="003F7229">
        <w:rPr>
          <w:b/>
          <w:sz w:val="22"/>
          <w:szCs w:val="22"/>
        </w:rPr>
        <w:t>Piracetamum-Olpha</w:t>
      </w:r>
      <w:proofErr w:type="spellEnd"/>
      <w:r w:rsidRPr="003F7229">
        <w:rPr>
          <w:b/>
          <w:sz w:val="22"/>
          <w:szCs w:val="22"/>
        </w:rPr>
        <w:t xml:space="preserve"> vartoti draudžiama:</w:t>
      </w:r>
    </w:p>
    <w:p w:rsidR="00A06603" w:rsidRPr="003F7229" w:rsidRDefault="00A06603" w:rsidP="00A06603">
      <w:pPr>
        <w:numPr>
          <w:ilvl w:val="0"/>
          <w:numId w:val="3"/>
        </w:numPr>
        <w:tabs>
          <w:tab w:val="left" w:pos="567"/>
        </w:tabs>
        <w:ind w:left="357" w:hanging="357"/>
        <w:contextualSpacing/>
        <w:jc w:val="both"/>
        <w:rPr>
          <w:sz w:val="22"/>
          <w:szCs w:val="22"/>
        </w:rPr>
      </w:pPr>
      <w:r w:rsidRPr="003F7229">
        <w:rPr>
          <w:sz w:val="22"/>
          <w:szCs w:val="22"/>
        </w:rPr>
        <w:t xml:space="preserve">jeigu yra alergija </w:t>
      </w:r>
      <w:proofErr w:type="spellStart"/>
      <w:r w:rsidRPr="003F7229">
        <w:rPr>
          <w:sz w:val="22"/>
          <w:szCs w:val="22"/>
        </w:rPr>
        <w:t>piracetamui</w:t>
      </w:r>
      <w:proofErr w:type="spellEnd"/>
      <w:r w:rsidRPr="003F7229">
        <w:rPr>
          <w:sz w:val="22"/>
          <w:szCs w:val="22"/>
        </w:rPr>
        <w:t xml:space="preserve"> arba bet kuriai pagalbinei šio vaisto medžiagai (jos išvardytos 6 skyriuje);</w:t>
      </w:r>
    </w:p>
    <w:p w:rsidR="00A06603" w:rsidRPr="003F7229" w:rsidRDefault="00A06603" w:rsidP="00A06603">
      <w:pPr>
        <w:numPr>
          <w:ilvl w:val="0"/>
          <w:numId w:val="3"/>
        </w:numPr>
        <w:tabs>
          <w:tab w:val="left" w:pos="567"/>
        </w:tabs>
        <w:ind w:left="357" w:hanging="357"/>
        <w:contextualSpacing/>
        <w:jc w:val="both"/>
        <w:rPr>
          <w:sz w:val="22"/>
          <w:szCs w:val="22"/>
        </w:rPr>
      </w:pPr>
      <w:r w:rsidRPr="003F7229">
        <w:rPr>
          <w:sz w:val="22"/>
          <w:szCs w:val="22"/>
        </w:rPr>
        <w:t>jeigu labai sutrikusi inkstų veikla;</w:t>
      </w:r>
    </w:p>
    <w:p w:rsidR="00A06603" w:rsidRPr="003F7229" w:rsidRDefault="00A06603" w:rsidP="00A06603">
      <w:pPr>
        <w:numPr>
          <w:ilvl w:val="0"/>
          <w:numId w:val="3"/>
        </w:numPr>
        <w:tabs>
          <w:tab w:val="left" w:pos="567"/>
        </w:tabs>
        <w:ind w:left="357" w:hanging="357"/>
        <w:contextualSpacing/>
        <w:jc w:val="both"/>
        <w:rPr>
          <w:sz w:val="22"/>
          <w:szCs w:val="22"/>
        </w:rPr>
      </w:pPr>
      <w:r w:rsidRPr="003F7229">
        <w:rPr>
          <w:sz w:val="22"/>
          <w:szCs w:val="22"/>
        </w:rPr>
        <w:t>jeigu ligonis serga kepenų liga;</w:t>
      </w:r>
    </w:p>
    <w:p w:rsidR="00A06603" w:rsidRPr="003F7229" w:rsidRDefault="00A06603" w:rsidP="00A06603">
      <w:pPr>
        <w:numPr>
          <w:ilvl w:val="0"/>
          <w:numId w:val="3"/>
        </w:numPr>
        <w:tabs>
          <w:tab w:val="left" w:pos="567"/>
        </w:tabs>
        <w:ind w:left="357" w:hanging="357"/>
        <w:contextualSpacing/>
        <w:jc w:val="both"/>
        <w:rPr>
          <w:sz w:val="22"/>
          <w:szCs w:val="22"/>
        </w:rPr>
      </w:pPr>
      <w:r w:rsidRPr="003F7229">
        <w:rPr>
          <w:sz w:val="22"/>
          <w:szCs w:val="22"/>
        </w:rPr>
        <w:t>jeigu yra depresija, kurios metu būna sujaudinimas;</w:t>
      </w:r>
    </w:p>
    <w:p w:rsidR="00A06603" w:rsidRPr="003F7229" w:rsidRDefault="00A06603" w:rsidP="00A06603">
      <w:pPr>
        <w:numPr>
          <w:ilvl w:val="0"/>
          <w:numId w:val="3"/>
        </w:numPr>
        <w:tabs>
          <w:tab w:val="left" w:pos="567"/>
        </w:tabs>
        <w:ind w:left="357" w:hanging="357"/>
        <w:contextualSpacing/>
        <w:jc w:val="both"/>
        <w:rPr>
          <w:sz w:val="22"/>
          <w:szCs w:val="22"/>
        </w:rPr>
      </w:pPr>
      <w:r w:rsidRPr="003F7229">
        <w:rPr>
          <w:sz w:val="22"/>
          <w:szCs w:val="22"/>
        </w:rPr>
        <w:t>jeigu pacientas serga sunkia nervų sistemos liga;</w:t>
      </w:r>
    </w:p>
    <w:p w:rsidR="00A06603" w:rsidRPr="003F7229" w:rsidRDefault="00A06603" w:rsidP="00A06603">
      <w:pPr>
        <w:numPr>
          <w:ilvl w:val="0"/>
          <w:numId w:val="3"/>
        </w:numPr>
        <w:tabs>
          <w:tab w:val="left" w:pos="567"/>
        </w:tabs>
        <w:ind w:left="357" w:hanging="357"/>
        <w:contextualSpacing/>
        <w:jc w:val="both"/>
        <w:rPr>
          <w:sz w:val="22"/>
          <w:szCs w:val="22"/>
        </w:rPr>
      </w:pPr>
      <w:r w:rsidRPr="003F7229">
        <w:rPr>
          <w:sz w:val="22"/>
          <w:szCs w:val="22"/>
        </w:rPr>
        <w:t>jeigu į smegenis išsiliejo kraujas (ištiko hemoraginis insultas);</w:t>
      </w:r>
    </w:p>
    <w:p w:rsidR="00A06603" w:rsidRPr="003F7229" w:rsidRDefault="00A06603" w:rsidP="00A06603">
      <w:pPr>
        <w:numPr>
          <w:ilvl w:val="0"/>
          <w:numId w:val="3"/>
        </w:numPr>
        <w:tabs>
          <w:tab w:val="left" w:pos="567"/>
        </w:tabs>
        <w:ind w:left="357" w:hanging="357"/>
        <w:contextualSpacing/>
        <w:jc w:val="both"/>
        <w:rPr>
          <w:sz w:val="22"/>
          <w:szCs w:val="22"/>
        </w:rPr>
      </w:pPr>
      <w:r w:rsidRPr="003F7229">
        <w:rPr>
          <w:sz w:val="22"/>
          <w:szCs w:val="22"/>
        </w:rPr>
        <w:t>jeigu pacientė nėščia arba žindyvė.</w:t>
      </w:r>
    </w:p>
    <w:p w:rsidR="00A06603" w:rsidRPr="003F7229" w:rsidRDefault="00A06603" w:rsidP="00A06603">
      <w:pPr>
        <w:tabs>
          <w:tab w:val="left" w:pos="567"/>
        </w:tabs>
        <w:jc w:val="both"/>
        <w:rPr>
          <w:sz w:val="22"/>
          <w:szCs w:val="22"/>
        </w:rPr>
      </w:pPr>
    </w:p>
    <w:p w:rsidR="00A06603" w:rsidRPr="003F7229" w:rsidRDefault="00A06603" w:rsidP="00A06603">
      <w:pPr>
        <w:tabs>
          <w:tab w:val="left" w:pos="567"/>
        </w:tabs>
        <w:jc w:val="both"/>
        <w:rPr>
          <w:sz w:val="22"/>
          <w:szCs w:val="22"/>
        </w:rPr>
      </w:pPr>
      <w:r w:rsidRPr="003F7229">
        <w:rPr>
          <w:b/>
          <w:sz w:val="22"/>
          <w:szCs w:val="22"/>
        </w:rPr>
        <w:lastRenderedPageBreak/>
        <w:t>Įspėjimai ir atsargumo priemonės</w:t>
      </w:r>
    </w:p>
    <w:p w:rsidR="00A06603" w:rsidRPr="003F7229" w:rsidRDefault="00A06603" w:rsidP="00A06603">
      <w:pPr>
        <w:tabs>
          <w:tab w:val="left" w:pos="567"/>
        </w:tabs>
        <w:jc w:val="both"/>
        <w:rPr>
          <w:sz w:val="22"/>
          <w:szCs w:val="22"/>
          <w:lang w:eastAsia="lt-LT"/>
        </w:rPr>
      </w:pPr>
      <w:r w:rsidRPr="003F7229">
        <w:rPr>
          <w:sz w:val="22"/>
          <w:szCs w:val="22"/>
          <w:lang w:eastAsia="lt-LT" w:bidi="lt-LT"/>
        </w:rPr>
        <w:t xml:space="preserve">Pasitarkite su gydytoju arba vaistininku, prieš pradėdami vartoti </w:t>
      </w:r>
      <w:proofErr w:type="spellStart"/>
      <w:r w:rsidRPr="003F7229">
        <w:rPr>
          <w:sz w:val="22"/>
          <w:szCs w:val="22"/>
          <w:lang w:eastAsia="lt-LT" w:bidi="lt-LT"/>
        </w:rPr>
        <w:t>Piracetamum-Olpha</w:t>
      </w:r>
      <w:proofErr w:type="spellEnd"/>
      <w:r w:rsidRPr="003F7229">
        <w:rPr>
          <w:sz w:val="22"/>
          <w:szCs w:val="22"/>
          <w:lang w:eastAsia="lt-LT" w:bidi="lt-LT"/>
        </w:rPr>
        <w:t>.</w:t>
      </w:r>
    </w:p>
    <w:p w:rsidR="00A06603" w:rsidRPr="003F7229" w:rsidRDefault="00A06603" w:rsidP="00A06603">
      <w:pPr>
        <w:tabs>
          <w:tab w:val="left" w:pos="567"/>
        </w:tabs>
        <w:jc w:val="both"/>
        <w:rPr>
          <w:sz w:val="22"/>
          <w:szCs w:val="22"/>
        </w:rPr>
      </w:pPr>
      <w:r w:rsidRPr="003F7229">
        <w:rPr>
          <w:sz w:val="22"/>
          <w:szCs w:val="22"/>
        </w:rPr>
        <w:t>Pacientams, kuriems sutrikusi inkstų veikla, reikia vartoti gydytojo nurodytą mažesnę dozę. Jei sutrikimas lengvas gydytojas paprastai skirs pusę, jei jis yra vidutinio sunkimo – ketvirtį įprastinės dozės. Jeigu yra sunkus inkstų veiklos sutrikimas, vaisto vartoti draudžiama.</w:t>
      </w:r>
    </w:p>
    <w:p w:rsidR="00A06603" w:rsidRPr="003F7229" w:rsidRDefault="00A06603" w:rsidP="00A06603">
      <w:pPr>
        <w:tabs>
          <w:tab w:val="left" w:pos="567"/>
        </w:tabs>
        <w:jc w:val="both"/>
        <w:rPr>
          <w:sz w:val="22"/>
          <w:szCs w:val="22"/>
        </w:rPr>
      </w:pPr>
      <w:r w:rsidRPr="003F7229">
        <w:rPr>
          <w:sz w:val="22"/>
          <w:szCs w:val="22"/>
        </w:rPr>
        <w:t>Vaistas iš pagyvenusių žmonių organizmo šalinamas lėčiau, todėl pagyvenusiems pacientams reikia vartoti mažesnę dozę. Be to, mažesnę dozę turėtų vartoti ligoniai, gydomi tam tikrais vaistais nuo epilepsijos.</w:t>
      </w:r>
    </w:p>
    <w:p w:rsidR="00A06603" w:rsidRPr="003F7229" w:rsidRDefault="00A06603" w:rsidP="00A06603">
      <w:pPr>
        <w:tabs>
          <w:tab w:val="left" w:pos="567"/>
        </w:tabs>
        <w:jc w:val="both"/>
        <w:rPr>
          <w:sz w:val="22"/>
          <w:szCs w:val="22"/>
        </w:rPr>
      </w:pPr>
      <w:r w:rsidRPr="003F7229">
        <w:rPr>
          <w:sz w:val="22"/>
          <w:szCs w:val="22"/>
        </w:rPr>
        <w:t>Jei yra nemiga, rekomenduojama preparato vakare negerti, o paros dozę suvartoti per du kartus, t. y. iš ryto ir po pietų.</w:t>
      </w:r>
    </w:p>
    <w:p w:rsidR="00A06603" w:rsidRPr="003F7229" w:rsidRDefault="00A06603" w:rsidP="00A06603">
      <w:pPr>
        <w:tabs>
          <w:tab w:val="left" w:pos="567"/>
        </w:tabs>
        <w:jc w:val="both"/>
        <w:rPr>
          <w:sz w:val="22"/>
          <w:szCs w:val="22"/>
        </w:rPr>
      </w:pPr>
    </w:p>
    <w:p w:rsidR="00A06603" w:rsidRPr="003F7229" w:rsidRDefault="00A06603" w:rsidP="00A06603">
      <w:pPr>
        <w:tabs>
          <w:tab w:val="left" w:pos="567"/>
        </w:tabs>
        <w:jc w:val="both"/>
        <w:rPr>
          <w:sz w:val="22"/>
          <w:szCs w:val="22"/>
        </w:rPr>
      </w:pPr>
      <w:r w:rsidRPr="003F7229">
        <w:rPr>
          <w:b/>
          <w:sz w:val="22"/>
          <w:szCs w:val="22"/>
        </w:rPr>
        <w:t xml:space="preserve">Kiti vaistai ir </w:t>
      </w:r>
      <w:proofErr w:type="spellStart"/>
      <w:r w:rsidRPr="003F7229">
        <w:rPr>
          <w:b/>
          <w:sz w:val="22"/>
          <w:szCs w:val="22"/>
        </w:rPr>
        <w:t>Piracetamum-Olpha</w:t>
      </w:r>
      <w:proofErr w:type="spellEnd"/>
    </w:p>
    <w:p w:rsidR="00A06603" w:rsidRPr="003F7229" w:rsidRDefault="00A06603" w:rsidP="00A06603">
      <w:pPr>
        <w:tabs>
          <w:tab w:val="left" w:pos="567"/>
        </w:tabs>
        <w:jc w:val="both"/>
        <w:rPr>
          <w:sz w:val="22"/>
          <w:szCs w:val="22"/>
        </w:rPr>
      </w:pPr>
      <w:r w:rsidRPr="003F7229">
        <w:rPr>
          <w:sz w:val="22"/>
          <w:szCs w:val="22"/>
        </w:rPr>
        <w:t xml:space="preserve">Jeigu vartojate </w:t>
      </w:r>
      <w:r w:rsidRPr="003F7229">
        <w:rPr>
          <w:sz w:val="22"/>
          <w:szCs w:val="22"/>
          <w:lang w:eastAsia="lt-LT" w:bidi="lt-LT"/>
        </w:rPr>
        <w:t>ar</w:t>
      </w:r>
      <w:r w:rsidRPr="003F7229">
        <w:rPr>
          <w:sz w:val="22"/>
          <w:szCs w:val="22"/>
        </w:rPr>
        <w:t xml:space="preserve"> neseniai vartojote kitų vaistų</w:t>
      </w:r>
      <w:r w:rsidRPr="003F7229">
        <w:rPr>
          <w:sz w:val="22"/>
          <w:szCs w:val="22"/>
          <w:lang w:eastAsia="lt-LT" w:bidi="lt-LT"/>
        </w:rPr>
        <w:t xml:space="preserve"> arba dėl to nesate tikri, apie tai</w:t>
      </w:r>
      <w:r w:rsidRPr="003F7229">
        <w:rPr>
          <w:sz w:val="22"/>
          <w:szCs w:val="22"/>
        </w:rPr>
        <w:t xml:space="preserve"> pasakykite gydytojui arba vaistininkui.</w:t>
      </w:r>
    </w:p>
    <w:p w:rsidR="00A06603" w:rsidRPr="003F7229" w:rsidRDefault="00A06603" w:rsidP="00A06603">
      <w:pPr>
        <w:tabs>
          <w:tab w:val="left" w:pos="567"/>
        </w:tabs>
        <w:jc w:val="both"/>
        <w:rPr>
          <w:sz w:val="22"/>
          <w:szCs w:val="22"/>
        </w:rPr>
      </w:pPr>
      <w:r w:rsidRPr="003F7229">
        <w:rPr>
          <w:sz w:val="22"/>
          <w:szCs w:val="22"/>
        </w:rPr>
        <w:t xml:space="preserve">Nors </w:t>
      </w:r>
      <w:proofErr w:type="spellStart"/>
      <w:r w:rsidRPr="003F7229">
        <w:rPr>
          <w:sz w:val="22"/>
          <w:szCs w:val="22"/>
        </w:rPr>
        <w:t>piracetamas</w:t>
      </w:r>
      <w:proofErr w:type="spellEnd"/>
      <w:r w:rsidRPr="003F7229">
        <w:rPr>
          <w:sz w:val="22"/>
          <w:szCs w:val="22"/>
        </w:rPr>
        <w:t xml:space="preserve"> gali sąveikauti su vaistais, stimuliuojančiais smegenų veiklą (pasireiškia stipresnis poveikis) ar medikamentais nuo psichozės, t. y. </w:t>
      </w:r>
      <w:proofErr w:type="spellStart"/>
      <w:r w:rsidRPr="003F7229">
        <w:rPr>
          <w:sz w:val="22"/>
          <w:szCs w:val="22"/>
        </w:rPr>
        <w:t>neuroleptikais</w:t>
      </w:r>
      <w:proofErr w:type="spellEnd"/>
      <w:r w:rsidRPr="003F7229">
        <w:rPr>
          <w:sz w:val="22"/>
          <w:szCs w:val="22"/>
        </w:rPr>
        <w:t xml:space="preserve"> (stiprėja judesių sutrikimas), jo vartoti kartu su psichotropiniais ir kitokiais vaistais galima. </w:t>
      </w:r>
    </w:p>
    <w:p w:rsidR="00A06603" w:rsidRPr="003F7229" w:rsidRDefault="00A06603" w:rsidP="00A06603">
      <w:pPr>
        <w:tabs>
          <w:tab w:val="left" w:pos="567"/>
        </w:tabs>
        <w:jc w:val="both"/>
        <w:rPr>
          <w:sz w:val="22"/>
          <w:szCs w:val="22"/>
        </w:rPr>
      </w:pPr>
      <w:r w:rsidRPr="003F7229">
        <w:rPr>
          <w:sz w:val="22"/>
          <w:szCs w:val="22"/>
        </w:rPr>
        <w:t xml:space="preserve">Ligoniams, kuriems susilpnėjusi skydliaukės veikla, </w:t>
      </w:r>
      <w:proofErr w:type="spellStart"/>
      <w:r w:rsidRPr="003F7229">
        <w:rPr>
          <w:sz w:val="22"/>
          <w:szCs w:val="22"/>
        </w:rPr>
        <w:t>piracetamo</w:t>
      </w:r>
      <w:proofErr w:type="spellEnd"/>
      <w:r w:rsidRPr="003F7229">
        <w:rPr>
          <w:sz w:val="22"/>
          <w:szCs w:val="22"/>
        </w:rPr>
        <w:t xml:space="preserve"> vartojant kartu su skydliaukės hormonų preparatais (</w:t>
      </w:r>
      <w:proofErr w:type="spellStart"/>
      <w:r w:rsidRPr="003F7229">
        <w:rPr>
          <w:sz w:val="22"/>
          <w:szCs w:val="22"/>
        </w:rPr>
        <w:t>trijodtironinu</w:t>
      </w:r>
      <w:proofErr w:type="spellEnd"/>
      <w:r w:rsidRPr="003F7229">
        <w:rPr>
          <w:sz w:val="22"/>
          <w:szCs w:val="22"/>
        </w:rPr>
        <w:t xml:space="preserve">, </w:t>
      </w:r>
      <w:proofErr w:type="spellStart"/>
      <w:r w:rsidRPr="003F7229">
        <w:rPr>
          <w:sz w:val="22"/>
          <w:szCs w:val="22"/>
        </w:rPr>
        <w:t>tetrajodtironinu</w:t>
      </w:r>
      <w:proofErr w:type="spellEnd"/>
      <w:r w:rsidRPr="003F7229">
        <w:rPr>
          <w:sz w:val="22"/>
          <w:szCs w:val="22"/>
        </w:rPr>
        <w:t>), pasireiškė stipresnis nepageidaujamas poveikis, pvz., nemiga, nerimas, sujaudinimas.</w:t>
      </w:r>
    </w:p>
    <w:p w:rsidR="00A06603" w:rsidRPr="003F7229" w:rsidRDefault="00A06603" w:rsidP="00A06603">
      <w:pPr>
        <w:tabs>
          <w:tab w:val="left" w:pos="567"/>
        </w:tabs>
        <w:jc w:val="both"/>
        <w:rPr>
          <w:sz w:val="22"/>
          <w:szCs w:val="22"/>
        </w:rPr>
      </w:pPr>
    </w:p>
    <w:p w:rsidR="00A06603" w:rsidRPr="003F7229" w:rsidRDefault="00A06603" w:rsidP="00A06603">
      <w:pPr>
        <w:tabs>
          <w:tab w:val="left" w:pos="567"/>
        </w:tabs>
        <w:jc w:val="both"/>
        <w:rPr>
          <w:sz w:val="22"/>
          <w:szCs w:val="22"/>
        </w:rPr>
      </w:pPr>
      <w:proofErr w:type="spellStart"/>
      <w:r w:rsidRPr="003F7229">
        <w:rPr>
          <w:b/>
          <w:sz w:val="22"/>
          <w:szCs w:val="22"/>
        </w:rPr>
        <w:t>Piracetamum-Olpha</w:t>
      </w:r>
      <w:proofErr w:type="spellEnd"/>
      <w:r w:rsidRPr="003F7229">
        <w:rPr>
          <w:b/>
          <w:sz w:val="22"/>
          <w:szCs w:val="22"/>
        </w:rPr>
        <w:t xml:space="preserve"> vartojimas su maistu ir gėrimais</w:t>
      </w:r>
    </w:p>
    <w:p w:rsidR="00A06603" w:rsidRPr="003F7229" w:rsidRDefault="00A06603" w:rsidP="00A06603">
      <w:pPr>
        <w:tabs>
          <w:tab w:val="left" w:pos="567"/>
        </w:tabs>
        <w:jc w:val="both"/>
        <w:rPr>
          <w:sz w:val="22"/>
          <w:szCs w:val="22"/>
        </w:rPr>
      </w:pPr>
      <w:r w:rsidRPr="003F7229">
        <w:rPr>
          <w:sz w:val="22"/>
          <w:szCs w:val="22"/>
        </w:rPr>
        <w:t xml:space="preserve">Paprastai </w:t>
      </w:r>
      <w:proofErr w:type="spellStart"/>
      <w:r w:rsidRPr="003F7229">
        <w:rPr>
          <w:sz w:val="22"/>
          <w:szCs w:val="22"/>
        </w:rPr>
        <w:t>Piracetamum-Olpha</w:t>
      </w:r>
      <w:proofErr w:type="spellEnd"/>
      <w:r w:rsidRPr="003F7229">
        <w:rPr>
          <w:sz w:val="22"/>
          <w:szCs w:val="22"/>
        </w:rPr>
        <w:t xml:space="preserve"> kapsulių reikia gerti prieš valgį. Medikamento veiksmingumui maistas įtakos nedaro.</w:t>
      </w:r>
    </w:p>
    <w:p w:rsidR="00A06603" w:rsidRPr="003F7229" w:rsidRDefault="00A06603" w:rsidP="00A06603">
      <w:pPr>
        <w:tabs>
          <w:tab w:val="left" w:pos="567"/>
        </w:tabs>
        <w:jc w:val="both"/>
        <w:rPr>
          <w:sz w:val="22"/>
          <w:szCs w:val="22"/>
        </w:rPr>
      </w:pPr>
    </w:p>
    <w:p w:rsidR="00A06603" w:rsidRPr="003F7229" w:rsidRDefault="00A06603" w:rsidP="00A06603">
      <w:pPr>
        <w:tabs>
          <w:tab w:val="left" w:pos="567"/>
        </w:tabs>
        <w:jc w:val="both"/>
        <w:rPr>
          <w:sz w:val="22"/>
          <w:szCs w:val="22"/>
        </w:rPr>
      </w:pPr>
      <w:r w:rsidRPr="003F7229">
        <w:rPr>
          <w:b/>
          <w:sz w:val="22"/>
          <w:szCs w:val="22"/>
        </w:rPr>
        <w:t>Nėštumas ir žindymo laikotarpis</w:t>
      </w:r>
    </w:p>
    <w:p w:rsidR="00A06603" w:rsidRPr="003F7229" w:rsidRDefault="00A06603" w:rsidP="00A06603">
      <w:pPr>
        <w:numPr>
          <w:ilvl w:val="12"/>
          <w:numId w:val="0"/>
        </w:numPr>
        <w:rPr>
          <w:sz w:val="22"/>
          <w:szCs w:val="22"/>
        </w:rPr>
      </w:pPr>
      <w:bookmarkStart w:id="4" w:name="_Hlk529524758"/>
      <w:r w:rsidRPr="003F7229">
        <w:rPr>
          <w:sz w:val="22"/>
          <w:szCs w:val="22"/>
        </w:rPr>
        <w:t>Jeigu esate nėščia, žindote kūdikį, manote, kad galbūt esate nėščia arba planuojate pastoti, tai prieš vartodama šį vaistą pasitarkite su gydytoju arba vaistininku.</w:t>
      </w:r>
    </w:p>
    <w:bookmarkEnd w:id="4"/>
    <w:p w:rsidR="00A06603" w:rsidRPr="003F7229" w:rsidRDefault="00A06603" w:rsidP="00A06603">
      <w:pPr>
        <w:tabs>
          <w:tab w:val="left" w:pos="567"/>
        </w:tabs>
        <w:jc w:val="both"/>
        <w:rPr>
          <w:sz w:val="22"/>
          <w:szCs w:val="22"/>
        </w:rPr>
      </w:pPr>
      <w:r w:rsidRPr="003F7229">
        <w:rPr>
          <w:sz w:val="22"/>
          <w:szCs w:val="22"/>
        </w:rPr>
        <w:t xml:space="preserve">Gerai kontroliuojamų </w:t>
      </w:r>
      <w:proofErr w:type="spellStart"/>
      <w:r w:rsidRPr="003F7229">
        <w:rPr>
          <w:sz w:val="22"/>
          <w:szCs w:val="22"/>
        </w:rPr>
        <w:t>piracetamo</w:t>
      </w:r>
      <w:proofErr w:type="spellEnd"/>
      <w:r w:rsidRPr="003F7229">
        <w:rPr>
          <w:sz w:val="22"/>
          <w:szCs w:val="22"/>
        </w:rPr>
        <w:t xml:space="preserve"> saugumo nėštumo ir žindymo laikotarpiu klinikinių tyrimų neatlikta, todėl nėščioms moterims šio medikamento vartoti negalima. </w:t>
      </w:r>
    </w:p>
    <w:p w:rsidR="00A06603" w:rsidRPr="003F7229" w:rsidRDefault="00A06603" w:rsidP="00A06603">
      <w:pPr>
        <w:tabs>
          <w:tab w:val="left" w:pos="567"/>
        </w:tabs>
        <w:jc w:val="both"/>
        <w:rPr>
          <w:sz w:val="22"/>
          <w:szCs w:val="22"/>
        </w:rPr>
      </w:pPr>
      <w:proofErr w:type="spellStart"/>
      <w:r w:rsidRPr="003F7229">
        <w:rPr>
          <w:sz w:val="22"/>
          <w:szCs w:val="22"/>
        </w:rPr>
        <w:t>Piracetamum-Olpha</w:t>
      </w:r>
      <w:proofErr w:type="spellEnd"/>
      <w:r w:rsidRPr="003F7229">
        <w:rPr>
          <w:sz w:val="22"/>
          <w:szCs w:val="22"/>
        </w:rPr>
        <w:t xml:space="preserve"> kapsulių veiklioji medžiaga </w:t>
      </w:r>
      <w:proofErr w:type="spellStart"/>
      <w:r w:rsidRPr="003F7229">
        <w:rPr>
          <w:sz w:val="22"/>
          <w:szCs w:val="22"/>
        </w:rPr>
        <w:t>piracetamas</w:t>
      </w:r>
      <w:proofErr w:type="spellEnd"/>
      <w:r w:rsidRPr="003F7229">
        <w:rPr>
          <w:sz w:val="22"/>
          <w:szCs w:val="22"/>
        </w:rPr>
        <w:t xml:space="preserve"> išsiskiria su žindyvės pienu, todėl žindymo laikotarpiu šio medikamento vartoti negalima.</w:t>
      </w:r>
    </w:p>
    <w:p w:rsidR="00A06603" w:rsidRPr="003F7229" w:rsidRDefault="00A06603" w:rsidP="00A06603">
      <w:pPr>
        <w:tabs>
          <w:tab w:val="left" w:pos="567"/>
        </w:tabs>
        <w:jc w:val="both"/>
        <w:rPr>
          <w:sz w:val="22"/>
          <w:szCs w:val="22"/>
        </w:rPr>
      </w:pPr>
    </w:p>
    <w:p w:rsidR="00A06603" w:rsidRPr="003F7229" w:rsidRDefault="00A06603" w:rsidP="00A06603">
      <w:pPr>
        <w:tabs>
          <w:tab w:val="left" w:pos="567"/>
        </w:tabs>
        <w:jc w:val="both"/>
        <w:rPr>
          <w:sz w:val="22"/>
          <w:szCs w:val="22"/>
        </w:rPr>
      </w:pPr>
      <w:r w:rsidRPr="003F7229">
        <w:rPr>
          <w:b/>
          <w:sz w:val="22"/>
          <w:szCs w:val="22"/>
        </w:rPr>
        <w:t>Vairavimas ir mechanizmų valdymas</w:t>
      </w:r>
    </w:p>
    <w:p w:rsidR="00A06603" w:rsidRPr="003F7229" w:rsidRDefault="00A06603" w:rsidP="00A06603">
      <w:pPr>
        <w:tabs>
          <w:tab w:val="left" w:pos="567"/>
        </w:tabs>
        <w:jc w:val="both"/>
        <w:rPr>
          <w:sz w:val="22"/>
          <w:szCs w:val="22"/>
        </w:rPr>
      </w:pPr>
      <w:r w:rsidRPr="003F7229">
        <w:rPr>
          <w:sz w:val="22"/>
          <w:szCs w:val="22"/>
        </w:rPr>
        <w:t xml:space="preserve">Duomenų, kad gydomosios </w:t>
      </w:r>
      <w:proofErr w:type="spellStart"/>
      <w:r w:rsidRPr="003F7229">
        <w:rPr>
          <w:sz w:val="22"/>
          <w:szCs w:val="22"/>
        </w:rPr>
        <w:t>piracetamo</w:t>
      </w:r>
      <w:proofErr w:type="spellEnd"/>
      <w:r w:rsidRPr="003F7229">
        <w:rPr>
          <w:sz w:val="22"/>
          <w:szCs w:val="22"/>
        </w:rPr>
        <w:t xml:space="preserve"> dozės daro neigiamą įtaką gebėjimui vairuoti, nėra.</w:t>
      </w:r>
    </w:p>
    <w:p w:rsidR="00A06603" w:rsidRPr="003F7229" w:rsidRDefault="00A06603" w:rsidP="00A06603">
      <w:pPr>
        <w:tabs>
          <w:tab w:val="left" w:pos="567"/>
        </w:tabs>
        <w:jc w:val="both"/>
        <w:rPr>
          <w:sz w:val="22"/>
          <w:szCs w:val="22"/>
        </w:rPr>
      </w:pPr>
      <w:r w:rsidRPr="003F7229">
        <w:rPr>
          <w:sz w:val="22"/>
          <w:szCs w:val="22"/>
        </w:rPr>
        <w:t xml:space="preserve">Gydymo pradžioje ir padidinus dozę gali atsirasti mieguistumas ir kitokių nervų sistemos sutrikimų. Tokiu atveju vairuoti ir valdyti mechanizmus reikia atsisakyti arba nutraukti </w:t>
      </w:r>
      <w:proofErr w:type="spellStart"/>
      <w:r w:rsidRPr="003F7229">
        <w:rPr>
          <w:sz w:val="22"/>
          <w:szCs w:val="22"/>
        </w:rPr>
        <w:t>Piracetamum-Olpha</w:t>
      </w:r>
      <w:proofErr w:type="spellEnd"/>
      <w:r w:rsidRPr="003F7229">
        <w:rPr>
          <w:sz w:val="22"/>
          <w:szCs w:val="22"/>
        </w:rPr>
        <w:t xml:space="preserve"> kapsulių vartojimą.</w:t>
      </w:r>
    </w:p>
    <w:p w:rsidR="00A06603" w:rsidRPr="003F7229" w:rsidRDefault="00A06603" w:rsidP="00A06603">
      <w:pPr>
        <w:tabs>
          <w:tab w:val="left" w:pos="567"/>
        </w:tabs>
        <w:jc w:val="both"/>
        <w:rPr>
          <w:sz w:val="22"/>
          <w:szCs w:val="22"/>
        </w:rPr>
      </w:pPr>
    </w:p>
    <w:p w:rsidR="00A06603" w:rsidRPr="003F7229" w:rsidRDefault="00A06603" w:rsidP="00A06603">
      <w:pPr>
        <w:tabs>
          <w:tab w:val="left" w:pos="567"/>
        </w:tabs>
        <w:jc w:val="both"/>
        <w:rPr>
          <w:sz w:val="22"/>
          <w:szCs w:val="22"/>
        </w:rPr>
      </w:pPr>
    </w:p>
    <w:p w:rsidR="00A06603" w:rsidRPr="003F7229" w:rsidRDefault="00A06603" w:rsidP="00A06603">
      <w:pPr>
        <w:keepNext/>
        <w:tabs>
          <w:tab w:val="left" w:pos="567"/>
        </w:tabs>
        <w:ind w:left="567" w:hanging="567"/>
        <w:jc w:val="both"/>
        <w:outlineLvl w:val="1"/>
        <w:rPr>
          <w:sz w:val="22"/>
          <w:szCs w:val="22"/>
        </w:rPr>
      </w:pPr>
      <w:bookmarkStart w:id="5" w:name="_Toc129243141"/>
      <w:bookmarkStart w:id="6" w:name="_Toc129243266"/>
      <w:r w:rsidRPr="003F7229">
        <w:rPr>
          <w:b/>
          <w:sz w:val="22"/>
          <w:szCs w:val="22"/>
        </w:rPr>
        <w:t>3.</w:t>
      </w:r>
      <w:r w:rsidRPr="003F7229">
        <w:rPr>
          <w:b/>
          <w:sz w:val="22"/>
          <w:szCs w:val="22"/>
        </w:rPr>
        <w:tab/>
        <w:t xml:space="preserve">Kaip vartoti </w:t>
      </w:r>
      <w:proofErr w:type="spellStart"/>
      <w:r w:rsidRPr="003F7229">
        <w:rPr>
          <w:b/>
          <w:sz w:val="22"/>
          <w:szCs w:val="22"/>
        </w:rPr>
        <w:t>Piracetamum-</w:t>
      </w:r>
      <w:bookmarkEnd w:id="5"/>
      <w:bookmarkEnd w:id="6"/>
      <w:r w:rsidRPr="003F7229">
        <w:rPr>
          <w:b/>
          <w:sz w:val="22"/>
          <w:szCs w:val="22"/>
        </w:rPr>
        <w:t>Olpha</w:t>
      </w:r>
      <w:proofErr w:type="spellEnd"/>
    </w:p>
    <w:p w:rsidR="00A06603" w:rsidRPr="003F7229" w:rsidRDefault="00A06603" w:rsidP="00A06603">
      <w:pPr>
        <w:tabs>
          <w:tab w:val="left" w:pos="567"/>
        </w:tabs>
        <w:jc w:val="both"/>
        <w:rPr>
          <w:sz w:val="22"/>
          <w:szCs w:val="22"/>
        </w:rPr>
      </w:pPr>
    </w:p>
    <w:p w:rsidR="00A06603" w:rsidRPr="003F7229" w:rsidRDefault="00A06603" w:rsidP="00A06603">
      <w:pPr>
        <w:tabs>
          <w:tab w:val="left" w:pos="567"/>
        </w:tabs>
        <w:jc w:val="both"/>
        <w:rPr>
          <w:sz w:val="22"/>
          <w:szCs w:val="22"/>
        </w:rPr>
      </w:pPr>
      <w:r w:rsidRPr="003F7229">
        <w:rPr>
          <w:sz w:val="22"/>
          <w:szCs w:val="22"/>
          <w:lang w:eastAsia="lt-LT" w:bidi="lt-LT"/>
        </w:rPr>
        <w:t>Visada</w:t>
      </w:r>
      <w:r w:rsidRPr="003F7229">
        <w:rPr>
          <w:sz w:val="22"/>
          <w:szCs w:val="22"/>
        </w:rPr>
        <w:t xml:space="preserve"> vartokite </w:t>
      </w:r>
      <w:r w:rsidRPr="003F7229">
        <w:rPr>
          <w:sz w:val="22"/>
          <w:szCs w:val="22"/>
          <w:lang w:eastAsia="lt-LT" w:bidi="lt-LT"/>
        </w:rPr>
        <w:t xml:space="preserve">šį vaistą </w:t>
      </w:r>
      <w:r w:rsidRPr="003F7229">
        <w:rPr>
          <w:sz w:val="22"/>
          <w:szCs w:val="22"/>
        </w:rPr>
        <w:t>tiksliai kaip nurodė gydytojas</w:t>
      </w:r>
      <w:r w:rsidRPr="003F7229">
        <w:rPr>
          <w:sz w:val="22"/>
          <w:szCs w:val="22"/>
          <w:lang w:eastAsia="lt-LT" w:bidi="lt-LT"/>
        </w:rPr>
        <w:t xml:space="preserve"> arba vaistininkas.</w:t>
      </w:r>
      <w:r w:rsidRPr="003F7229">
        <w:rPr>
          <w:sz w:val="22"/>
          <w:szCs w:val="22"/>
        </w:rPr>
        <w:t xml:space="preserve"> Jeigu abejojate, kreipkitės į gydytoją arba vaistininką.</w:t>
      </w:r>
      <w:r w:rsidRPr="003F7229">
        <w:rPr>
          <w:sz w:val="22"/>
          <w:szCs w:val="22"/>
          <w:lang w:eastAsia="lt-LT" w:bidi="lt-LT"/>
        </w:rPr>
        <w:t xml:space="preserve"> </w:t>
      </w:r>
    </w:p>
    <w:p w:rsidR="00A06603" w:rsidRDefault="00A06603" w:rsidP="00A06603">
      <w:pPr>
        <w:tabs>
          <w:tab w:val="left" w:pos="567"/>
        </w:tabs>
        <w:jc w:val="both"/>
        <w:rPr>
          <w:sz w:val="22"/>
          <w:szCs w:val="22"/>
        </w:rPr>
      </w:pPr>
      <w:proofErr w:type="spellStart"/>
      <w:r w:rsidRPr="003F7229">
        <w:rPr>
          <w:sz w:val="22"/>
          <w:szCs w:val="22"/>
        </w:rPr>
        <w:t>Piracetamum-Olpha</w:t>
      </w:r>
      <w:proofErr w:type="spellEnd"/>
      <w:r w:rsidRPr="003F7229">
        <w:rPr>
          <w:sz w:val="22"/>
          <w:szCs w:val="22"/>
        </w:rPr>
        <w:t xml:space="preserve"> 400 mg kietosios kapsulės tinka ilgalaikei palaikomajai terapijai bei lėtinių ligų gydymui. Paprastai vaisto geriama prieš valgį, du kartus per parą, tačiau jo galima vartoti ir 3 – 4 kartus per parą. Kapsulę reikia nuryti nepažeistą, gausiai užsigeriant skysčiu.</w:t>
      </w:r>
    </w:p>
    <w:p w:rsidR="00A06603" w:rsidRPr="003F7229" w:rsidRDefault="00A06603" w:rsidP="00A06603">
      <w:pPr>
        <w:tabs>
          <w:tab w:val="left" w:pos="567"/>
        </w:tabs>
        <w:jc w:val="both"/>
        <w:rPr>
          <w:sz w:val="22"/>
          <w:szCs w:val="22"/>
        </w:rPr>
      </w:pPr>
    </w:p>
    <w:p w:rsidR="00A06603" w:rsidRDefault="00A06603" w:rsidP="00A06603">
      <w:pPr>
        <w:tabs>
          <w:tab w:val="left" w:pos="567"/>
        </w:tabs>
        <w:jc w:val="both"/>
        <w:rPr>
          <w:sz w:val="22"/>
          <w:szCs w:val="22"/>
        </w:rPr>
      </w:pPr>
      <w:r w:rsidRPr="003F7229">
        <w:rPr>
          <w:i/>
          <w:sz w:val="22"/>
          <w:szCs w:val="22"/>
        </w:rPr>
        <w:t>Simptominis smegenų veiklos susilpnėjimo gydymas</w:t>
      </w:r>
    </w:p>
    <w:p w:rsidR="00A06603" w:rsidRPr="003F7229" w:rsidRDefault="00A06603" w:rsidP="00A06603">
      <w:pPr>
        <w:tabs>
          <w:tab w:val="left" w:pos="567"/>
        </w:tabs>
        <w:jc w:val="both"/>
        <w:rPr>
          <w:sz w:val="22"/>
          <w:szCs w:val="22"/>
        </w:rPr>
      </w:pPr>
      <w:r w:rsidRPr="003F7229">
        <w:rPr>
          <w:sz w:val="22"/>
          <w:szCs w:val="22"/>
        </w:rPr>
        <w:t>Paros dozė yra 1,2 – 4,8 g. Ją reikia gerti per 2 – 3 kartus. Iš pradžių per parą reikia gerti 1,2 g (tris kartus per parą po 400 mg), vėliau dozę galima didinti iki 2,4 g, kai kuriais atvejais – net iki 3,2 g ar daugiau. Vaisto vartojimą reikia nutraukti laipsniškai mažinant paros dozę iki 1,2 - 1,6 g (gerti 3 – 4 kartus per parą po 400 mg). Gydomasis poveikis dažniausiai pastebimas vaisto vartojant 2 – 3 savaites. Gydymo kursas trunka nuo 2 – 3 savaičių iki 2 – 6 mėnesių. Prireikus po 6 – 8 savaičių jį galima kartoti.</w:t>
      </w:r>
    </w:p>
    <w:p w:rsidR="00A06603" w:rsidRDefault="00A06603" w:rsidP="00A06603">
      <w:pPr>
        <w:tabs>
          <w:tab w:val="left" w:pos="567"/>
        </w:tabs>
        <w:jc w:val="both"/>
        <w:rPr>
          <w:i/>
          <w:sz w:val="22"/>
          <w:szCs w:val="22"/>
        </w:rPr>
      </w:pPr>
    </w:p>
    <w:p w:rsidR="00A06603" w:rsidRDefault="00A06603" w:rsidP="00A06603">
      <w:pPr>
        <w:tabs>
          <w:tab w:val="left" w:pos="567"/>
        </w:tabs>
        <w:jc w:val="both"/>
        <w:rPr>
          <w:i/>
          <w:sz w:val="22"/>
          <w:szCs w:val="22"/>
        </w:rPr>
      </w:pPr>
      <w:r w:rsidRPr="003F7229">
        <w:rPr>
          <w:i/>
          <w:sz w:val="22"/>
          <w:szCs w:val="22"/>
        </w:rPr>
        <w:t xml:space="preserve">Vyresni kaip 8 metų vaikai </w:t>
      </w:r>
    </w:p>
    <w:p w:rsidR="00A06603" w:rsidRPr="003F7229" w:rsidRDefault="00A06603" w:rsidP="00A06603">
      <w:pPr>
        <w:tabs>
          <w:tab w:val="left" w:pos="567"/>
        </w:tabs>
        <w:jc w:val="both"/>
        <w:rPr>
          <w:sz w:val="22"/>
          <w:szCs w:val="22"/>
        </w:rPr>
      </w:pPr>
      <w:r w:rsidRPr="003F7229">
        <w:rPr>
          <w:sz w:val="22"/>
          <w:szCs w:val="22"/>
        </w:rPr>
        <w:t>Paros dozė yra 30 – 50 mg/kg kūno svorio. Ją reikia gerti per kelis kartus. Gydymo trukmė nustatoma kiekvienam pacientui. Jei reikalinga ilgesnė terapija, per metus rekomenduojami trys gydymo kursai.</w:t>
      </w:r>
    </w:p>
    <w:p w:rsidR="00A06603" w:rsidRPr="003F7229" w:rsidRDefault="00A06603" w:rsidP="00A06603">
      <w:pPr>
        <w:tabs>
          <w:tab w:val="left" w:pos="567"/>
        </w:tabs>
        <w:jc w:val="both"/>
        <w:rPr>
          <w:sz w:val="22"/>
          <w:szCs w:val="22"/>
        </w:rPr>
      </w:pPr>
      <w:r w:rsidRPr="003F7229">
        <w:rPr>
          <w:sz w:val="22"/>
          <w:szCs w:val="22"/>
        </w:rPr>
        <w:t xml:space="preserve">Jeigu manote, kad </w:t>
      </w:r>
      <w:proofErr w:type="spellStart"/>
      <w:r w:rsidRPr="003F7229">
        <w:rPr>
          <w:sz w:val="22"/>
          <w:szCs w:val="22"/>
        </w:rPr>
        <w:t>Piracetamum-Olpha</w:t>
      </w:r>
      <w:proofErr w:type="spellEnd"/>
      <w:r w:rsidRPr="003F7229">
        <w:rPr>
          <w:sz w:val="22"/>
          <w:szCs w:val="22"/>
        </w:rPr>
        <w:t xml:space="preserve"> veikia per stipriai arba per silpnai, kreipkitės į gydytoją arba vaistininką.</w:t>
      </w:r>
    </w:p>
    <w:p w:rsidR="00A06603" w:rsidRPr="003F7229" w:rsidRDefault="00A06603" w:rsidP="00A06603">
      <w:pPr>
        <w:tabs>
          <w:tab w:val="left" w:pos="567"/>
        </w:tabs>
        <w:jc w:val="both"/>
        <w:rPr>
          <w:sz w:val="22"/>
          <w:szCs w:val="22"/>
        </w:rPr>
      </w:pPr>
    </w:p>
    <w:p w:rsidR="00A06603" w:rsidRPr="003F7229" w:rsidRDefault="00A06603" w:rsidP="00A06603">
      <w:pPr>
        <w:tabs>
          <w:tab w:val="left" w:pos="567"/>
        </w:tabs>
        <w:jc w:val="both"/>
        <w:rPr>
          <w:sz w:val="22"/>
          <w:szCs w:val="22"/>
        </w:rPr>
      </w:pPr>
      <w:r w:rsidRPr="003F7229">
        <w:rPr>
          <w:b/>
          <w:sz w:val="22"/>
          <w:szCs w:val="22"/>
        </w:rPr>
        <w:t xml:space="preserve">Ką daryti pavartojus per didelę </w:t>
      </w:r>
      <w:proofErr w:type="spellStart"/>
      <w:r w:rsidRPr="003F7229">
        <w:rPr>
          <w:b/>
          <w:sz w:val="22"/>
          <w:szCs w:val="22"/>
        </w:rPr>
        <w:t>Piracetamum-Olpha</w:t>
      </w:r>
      <w:proofErr w:type="spellEnd"/>
      <w:r w:rsidRPr="003F7229">
        <w:rPr>
          <w:b/>
          <w:sz w:val="22"/>
          <w:szCs w:val="22"/>
        </w:rPr>
        <w:t xml:space="preserve"> dozę</w:t>
      </w:r>
    </w:p>
    <w:p w:rsidR="00A06603" w:rsidRPr="003F7229" w:rsidRDefault="00A06603" w:rsidP="00A06603">
      <w:pPr>
        <w:tabs>
          <w:tab w:val="left" w:pos="567"/>
        </w:tabs>
        <w:jc w:val="both"/>
        <w:rPr>
          <w:sz w:val="22"/>
          <w:szCs w:val="22"/>
        </w:rPr>
      </w:pPr>
      <w:r w:rsidRPr="003F7229">
        <w:rPr>
          <w:sz w:val="22"/>
          <w:szCs w:val="22"/>
        </w:rPr>
        <w:t>Preparatas, net vartojamas didelėmis dozėmis, toksinio poveikio nesukelia.</w:t>
      </w:r>
    </w:p>
    <w:p w:rsidR="00A06603" w:rsidRPr="003F7229" w:rsidRDefault="00A06603" w:rsidP="00A06603">
      <w:pPr>
        <w:tabs>
          <w:tab w:val="left" w:pos="567"/>
        </w:tabs>
        <w:jc w:val="both"/>
        <w:rPr>
          <w:sz w:val="22"/>
          <w:szCs w:val="22"/>
        </w:rPr>
      </w:pPr>
      <w:r w:rsidRPr="003F7229">
        <w:rPr>
          <w:sz w:val="22"/>
          <w:szCs w:val="22"/>
        </w:rPr>
        <w:t>Vaisto perdozavus, reikia išplauti skrandį, gerti aktyvuotos anglies ir daug skysčio. Jeigu atsiranda šalutinis poveikis, reikia kreiptis į gydytoją. Apsinuodijimo gydymas yra simptominis.</w:t>
      </w:r>
    </w:p>
    <w:p w:rsidR="00A06603" w:rsidRPr="003F7229" w:rsidRDefault="00A06603" w:rsidP="00A06603">
      <w:pPr>
        <w:tabs>
          <w:tab w:val="left" w:pos="567"/>
        </w:tabs>
        <w:jc w:val="both"/>
        <w:rPr>
          <w:sz w:val="22"/>
          <w:szCs w:val="22"/>
        </w:rPr>
      </w:pPr>
    </w:p>
    <w:p w:rsidR="00A06603" w:rsidRPr="003F7229" w:rsidRDefault="00A06603" w:rsidP="00A06603">
      <w:pPr>
        <w:tabs>
          <w:tab w:val="left" w:pos="567"/>
        </w:tabs>
        <w:jc w:val="both"/>
        <w:rPr>
          <w:sz w:val="22"/>
          <w:szCs w:val="22"/>
        </w:rPr>
      </w:pPr>
      <w:r w:rsidRPr="003F7229">
        <w:rPr>
          <w:b/>
          <w:sz w:val="22"/>
          <w:szCs w:val="22"/>
        </w:rPr>
        <w:t xml:space="preserve">Pamiršus pavartoti </w:t>
      </w:r>
      <w:proofErr w:type="spellStart"/>
      <w:r w:rsidRPr="003F7229">
        <w:rPr>
          <w:b/>
          <w:sz w:val="22"/>
          <w:szCs w:val="22"/>
        </w:rPr>
        <w:t>Piracetamum-Olpha</w:t>
      </w:r>
      <w:proofErr w:type="spellEnd"/>
    </w:p>
    <w:p w:rsidR="00A06603" w:rsidRPr="003F7229" w:rsidRDefault="00A06603" w:rsidP="00A06603">
      <w:pPr>
        <w:tabs>
          <w:tab w:val="left" w:pos="567"/>
        </w:tabs>
        <w:jc w:val="both"/>
        <w:rPr>
          <w:sz w:val="22"/>
          <w:szCs w:val="22"/>
        </w:rPr>
      </w:pPr>
      <w:r w:rsidRPr="003F7229">
        <w:rPr>
          <w:sz w:val="22"/>
          <w:szCs w:val="22"/>
          <w:lang w:eastAsia="lt-LT" w:bidi="lt-LT"/>
        </w:rPr>
        <w:t xml:space="preserve">Negalima vartoti </w:t>
      </w:r>
      <w:r w:rsidRPr="003F7229">
        <w:rPr>
          <w:sz w:val="22"/>
          <w:szCs w:val="22"/>
        </w:rPr>
        <w:t xml:space="preserve">dvigubos dozės </w:t>
      </w:r>
      <w:r w:rsidRPr="003F7229">
        <w:rPr>
          <w:sz w:val="22"/>
          <w:szCs w:val="22"/>
          <w:lang w:eastAsia="lt-LT" w:bidi="lt-LT"/>
        </w:rPr>
        <w:t>norint kompensuoti praleistą dozę</w:t>
      </w:r>
      <w:r w:rsidRPr="003F7229">
        <w:rPr>
          <w:sz w:val="22"/>
          <w:szCs w:val="22"/>
        </w:rPr>
        <w:t>. Toliau vaisto reikia gerti taip, kaip įprasta.</w:t>
      </w:r>
    </w:p>
    <w:p w:rsidR="00A06603" w:rsidRPr="003F7229" w:rsidRDefault="00A06603" w:rsidP="00A06603">
      <w:pPr>
        <w:tabs>
          <w:tab w:val="left" w:pos="567"/>
        </w:tabs>
        <w:jc w:val="both"/>
        <w:rPr>
          <w:sz w:val="22"/>
          <w:szCs w:val="22"/>
        </w:rPr>
      </w:pPr>
    </w:p>
    <w:p w:rsidR="00A06603" w:rsidRPr="003F7229" w:rsidRDefault="00A06603" w:rsidP="00A06603">
      <w:pPr>
        <w:tabs>
          <w:tab w:val="left" w:pos="567"/>
        </w:tabs>
        <w:jc w:val="both"/>
        <w:rPr>
          <w:sz w:val="22"/>
          <w:szCs w:val="22"/>
        </w:rPr>
      </w:pPr>
      <w:r w:rsidRPr="003F7229">
        <w:rPr>
          <w:b/>
          <w:sz w:val="22"/>
          <w:szCs w:val="22"/>
        </w:rPr>
        <w:t xml:space="preserve">Nustojus vartoti </w:t>
      </w:r>
      <w:proofErr w:type="spellStart"/>
      <w:r w:rsidRPr="003F7229">
        <w:rPr>
          <w:b/>
          <w:sz w:val="22"/>
          <w:szCs w:val="22"/>
        </w:rPr>
        <w:t>Piracetamum-Olpha</w:t>
      </w:r>
      <w:proofErr w:type="spellEnd"/>
    </w:p>
    <w:p w:rsidR="00A06603" w:rsidRPr="003F7229" w:rsidRDefault="00A06603" w:rsidP="00A06603">
      <w:pPr>
        <w:tabs>
          <w:tab w:val="left" w:pos="567"/>
        </w:tabs>
        <w:jc w:val="both"/>
        <w:rPr>
          <w:sz w:val="22"/>
          <w:szCs w:val="22"/>
        </w:rPr>
      </w:pPr>
      <w:r w:rsidRPr="003F7229">
        <w:rPr>
          <w:sz w:val="22"/>
          <w:szCs w:val="22"/>
        </w:rPr>
        <w:t>Savo nuožiūra pertraukus arba per anksti baigus gydymą, gali vėl atsirasti ar pasunkėti ligos simptomai, todėl prieš nutraukiant vaisto vartojimą reikia pasitarti su gydytoju.</w:t>
      </w:r>
    </w:p>
    <w:p w:rsidR="00A06603" w:rsidRPr="003F7229" w:rsidRDefault="00A06603" w:rsidP="00A06603">
      <w:pPr>
        <w:numPr>
          <w:ilvl w:val="12"/>
          <w:numId w:val="0"/>
        </w:numPr>
        <w:ind w:right="-29"/>
        <w:rPr>
          <w:sz w:val="22"/>
          <w:szCs w:val="22"/>
        </w:rPr>
      </w:pPr>
      <w:r w:rsidRPr="003F7229">
        <w:rPr>
          <w:sz w:val="22"/>
          <w:szCs w:val="22"/>
        </w:rPr>
        <w:t>Jeigu kiltų daugiau klausimų dėl šio vaisto vartojimo, kreipkitės į gydytoją arba vaistininką.</w:t>
      </w:r>
    </w:p>
    <w:p w:rsidR="00A06603" w:rsidRPr="003F7229" w:rsidRDefault="00A06603" w:rsidP="00A06603">
      <w:pPr>
        <w:tabs>
          <w:tab w:val="left" w:pos="567"/>
        </w:tabs>
        <w:jc w:val="both"/>
        <w:rPr>
          <w:sz w:val="22"/>
          <w:szCs w:val="22"/>
        </w:rPr>
      </w:pPr>
    </w:p>
    <w:p w:rsidR="00A06603" w:rsidRPr="003F7229" w:rsidRDefault="00A06603" w:rsidP="00A06603">
      <w:pPr>
        <w:tabs>
          <w:tab w:val="left" w:pos="567"/>
        </w:tabs>
        <w:jc w:val="both"/>
        <w:rPr>
          <w:sz w:val="22"/>
          <w:szCs w:val="22"/>
        </w:rPr>
      </w:pPr>
    </w:p>
    <w:p w:rsidR="00A06603" w:rsidRPr="003F7229" w:rsidRDefault="00A06603" w:rsidP="00A06603">
      <w:pPr>
        <w:keepNext/>
        <w:tabs>
          <w:tab w:val="left" w:pos="567"/>
        </w:tabs>
        <w:jc w:val="both"/>
        <w:outlineLvl w:val="2"/>
        <w:rPr>
          <w:b/>
          <w:sz w:val="22"/>
          <w:szCs w:val="22"/>
        </w:rPr>
      </w:pPr>
      <w:r w:rsidRPr="003F7229">
        <w:rPr>
          <w:b/>
          <w:sz w:val="22"/>
          <w:szCs w:val="22"/>
        </w:rPr>
        <w:t>4.</w:t>
      </w:r>
      <w:r w:rsidRPr="003F7229">
        <w:rPr>
          <w:b/>
          <w:sz w:val="22"/>
          <w:szCs w:val="22"/>
        </w:rPr>
        <w:tab/>
        <w:t>Galimas šalutinis poveikis</w:t>
      </w:r>
    </w:p>
    <w:p w:rsidR="00A06603" w:rsidRPr="003F7229" w:rsidRDefault="00A06603" w:rsidP="00A06603">
      <w:pPr>
        <w:keepNext/>
        <w:tabs>
          <w:tab w:val="left" w:pos="567"/>
        </w:tabs>
        <w:ind w:left="360"/>
        <w:jc w:val="both"/>
        <w:outlineLvl w:val="1"/>
        <w:rPr>
          <w:sz w:val="22"/>
          <w:szCs w:val="22"/>
        </w:rPr>
      </w:pPr>
    </w:p>
    <w:p w:rsidR="00A06603" w:rsidRPr="003F7229" w:rsidRDefault="00A06603" w:rsidP="00A06603">
      <w:pPr>
        <w:tabs>
          <w:tab w:val="left" w:pos="567"/>
        </w:tabs>
        <w:jc w:val="both"/>
        <w:rPr>
          <w:sz w:val="22"/>
          <w:szCs w:val="22"/>
          <w:lang w:bidi="lt-LT"/>
        </w:rPr>
      </w:pPr>
      <w:r w:rsidRPr="003F7229">
        <w:rPr>
          <w:sz w:val="22"/>
          <w:szCs w:val="22"/>
          <w:lang w:bidi="lt-LT"/>
        </w:rPr>
        <w:t>Šis vaistas, kaip ir visi kiti, gali sukelti šalutinį poveikį, nors jis pasireiškia ne visiems žmonėms.</w:t>
      </w:r>
    </w:p>
    <w:p w:rsidR="00A06603" w:rsidRPr="003F7229" w:rsidRDefault="00A06603" w:rsidP="00A06603">
      <w:pPr>
        <w:tabs>
          <w:tab w:val="left" w:pos="567"/>
        </w:tabs>
        <w:jc w:val="both"/>
        <w:rPr>
          <w:sz w:val="22"/>
          <w:szCs w:val="22"/>
        </w:rPr>
      </w:pPr>
      <w:r w:rsidRPr="003F7229">
        <w:rPr>
          <w:sz w:val="22"/>
          <w:szCs w:val="22"/>
        </w:rPr>
        <w:t>Nepageidaujami poveikiai, kurie buvo nustatyti klinikinių tyrimų metu ir po vaisto patekimo į rinką, yra išvardyti žemiau pateikiamoje lentelėje pagal organų sistemų klases bei pagal dažnį. Dažnis apibūdinamas taip: labai dažni (≥1/10); dažni (≥1/100, &lt;1/10); nedažni (≥1/1 000, &lt;1/100); reti (≥1/10 000, &lt;1/1 000); labai reti (&lt;1/10 000); dažnis nežinomas (negali būti įvertintas pagal turimus duomenis). Kad būtų patvirtintas dažnis gydomiems pacientams populiacijoje, duomenų, sukauptų po vaisto patekimo į rinką, nepakanka.</w:t>
      </w:r>
    </w:p>
    <w:p w:rsidR="00A06603" w:rsidRPr="003F7229" w:rsidRDefault="00A06603" w:rsidP="00A06603">
      <w:pPr>
        <w:tabs>
          <w:tab w:val="left" w:pos="567"/>
        </w:tabs>
        <w:jc w:val="both"/>
        <w:rPr>
          <w:sz w:val="22"/>
          <w:szCs w:val="22"/>
        </w:rPr>
      </w:pPr>
    </w:p>
    <w:p w:rsidR="00A06603" w:rsidRPr="003F7229" w:rsidRDefault="00A06603" w:rsidP="00A06603">
      <w:pPr>
        <w:tabs>
          <w:tab w:val="left" w:pos="567"/>
        </w:tabs>
        <w:jc w:val="both"/>
        <w:rPr>
          <w:sz w:val="22"/>
          <w:szCs w:val="22"/>
        </w:rPr>
      </w:pPr>
      <w:proofErr w:type="spellStart"/>
      <w:r w:rsidRPr="003F7229">
        <w:rPr>
          <w:sz w:val="22"/>
          <w:szCs w:val="22"/>
        </w:rPr>
        <w:t>Piracetamum-Olpha</w:t>
      </w:r>
      <w:proofErr w:type="spellEnd"/>
      <w:r w:rsidRPr="003F7229">
        <w:rPr>
          <w:sz w:val="22"/>
          <w:szCs w:val="22"/>
        </w:rPr>
        <w:t xml:space="preserve">, kaip ir visi kiti vaistai, gali sukelti šalutinį poveikį, nors jis pasireiškia ne visiems žmonėms. </w:t>
      </w:r>
      <w:proofErr w:type="spellStart"/>
      <w:r w:rsidRPr="003F7229">
        <w:rPr>
          <w:sz w:val="22"/>
          <w:szCs w:val="22"/>
        </w:rPr>
        <w:t>Piracetamum-Olpha</w:t>
      </w:r>
      <w:proofErr w:type="spellEnd"/>
      <w:r w:rsidRPr="003F7229">
        <w:rPr>
          <w:sz w:val="22"/>
          <w:szCs w:val="22"/>
        </w:rPr>
        <w:t xml:space="preserve"> kapsulės yra gerai toleruojamos. Nepageidaujamas poveikis pastebimas daug dažniau, jei vartojama didesnė negu 5 g paros dozė arba jei ligonis senyvas</w:t>
      </w:r>
    </w:p>
    <w:p w:rsidR="00A06603" w:rsidRPr="003F7229" w:rsidRDefault="00A06603" w:rsidP="00A06603">
      <w:pPr>
        <w:tabs>
          <w:tab w:val="left" w:pos="567"/>
        </w:tabs>
        <w:jc w:val="both"/>
        <w:rPr>
          <w:sz w:val="22"/>
          <w:szCs w:val="22"/>
        </w:rPr>
      </w:pPr>
    </w:p>
    <w:p w:rsidR="00A06603" w:rsidRPr="003F7229" w:rsidRDefault="00A06603" w:rsidP="00A06603">
      <w:pPr>
        <w:tabs>
          <w:tab w:val="left" w:pos="567"/>
        </w:tabs>
        <w:jc w:val="both"/>
        <w:rPr>
          <w:i/>
          <w:sz w:val="22"/>
          <w:szCs w:val="22"/>
          <w:u w:val="single"/>
        </w:rPr>
      </w:pPr>
      <w:r w:rsidRPr="003F7229">
        <w:rPr>
          <w:i/>
          <w:sz w:val="22"/>
          <w:szCs w:val="22"/>
          <w:u w:val="single"/>
        </w:rPr>
        <w:t>Kraujo ir limfinės sistemos sutrikimai</w:t>
      </w:r>
    </w:p>
    <w:p w:rsidR="00A06603" w:rsidRPr="003F7229" w:rsidRDefault="00A06603" w:rsidP="00A06603">
      <w:pPr>
        <w:tabs>
          <w:tab w:val="left" w:pos="567"/>
        </w:tabs>
        <w:jc w:val="both"/>
        <w:rPr>
          <w:sz w:val="22"/>
          <w:szCs w:val="22"/>
        </w:rPr>
      </w:pPr>
      <w:r w:rsidRPr="003F7229">
        <w:rPr>
          <w:sz w:val="22"/>
          <w:szCs w:val="22"/>
        </w:rPr>
        <w:t xml:space="preserve">Dažnis nežinomas: didelė </w:t>
      </w:r>
      <w:proofErr w:type="spellStart"/>
      <w:r w:rsidRPr="003F7229">
        <w:rPr>
          <w:sz w:val="22"/>
          <w:szCs w:val="22"/>
        </w:rPr>
        <w:t>piracetamo</w:t>
      </w:r>
      <w:proofErr w:type="spellEnd"/>
      <w:r w:rsidRPr="003F7229">
        <w:rPr>
          <w:sz w:val="22"/>
          <w:szCs w:val="22"/>
        </w:rPr>
        <w:t xml:space="preserve"> dozė slopina trombocitų </w:t>
      </w:r>
      <w:proofErr w:type="spellStart"/>
      <w:r w:rsidRPr="003F7229">
        <w:rPr>
          <w:sz w:val="22"/>
          <w:szCs w:val="22"/>
        </w:rPr>
        <w:t>agregaciją</w:t>
      </w:r>
      <w:proofErr w:type="spellEnd"/>
      <w:r w:rsidRPr="003F7229">
        <w:rPr>
          <w:sz w:val="22"/>
          <w:szCs w:val="22"/>
        </w:rPr>
        <w:t xml:space="preserve"> ir mažina kraujo klampumą.</w:t>
      </w:r>
    </w:p>
    <w:p w:rsidR="00A06603" w:rsidRPr="003F7229" w:rsidRDefault="00A06603" w:rsidP="00A06603">
      <w:pPr>
        <w:tabs>
          <w:tab w:val="left" w:pos="567"/>
        </w:tabs>
        <w:jc w:val="both"/>
        <w:rPr>
          <w:sz w:val="22"/>
          <w:szCs w:val="22"/>
        </w:rPr>
      </w:pPr>
    </w:p>
    <w:p w:rsidR="00A06603" w:rsidRPr="003F7229" w:rsidRDefault="00A06603" w:rsidP="00A06603">
      <w:pPr>
        <w:tabs>
          <w:tab w:val="left" w:pos="567"/>
        </w:tabs>
        <w:jc w:val="both"/>
        <w:rPr>
          <w:i/>
          <w:sz w:val="22"/>
          <w:szCs w:val="22"/>
          <w:u w:val="single"/>
        </w:rPr>
      </w:pPr>
      <w:r w:rsidRPr="003F7229">
        <w:rPr>
          <w:i/>
          <w:sz w:val="22"/>
          <w:szCs w:val="22"/>
          <w:u w:val="single"/>
        </w:rPr>
        <w:t>Odos ir poodinio audinio sutrikimai</w:t>
      </w:r>
    </w:p>
    <w:p w:rsidR="00A06603" w:rsidRPr="003F7229" w:rsidRDefault="00A06603" w:rsidP="00A06603">
      <w:pPr>
        <w:tabs>
          <w:tab w:val="left" w:pos="567"/>
        </w:tabs>
        <w:jc w:val="both"/>
        <w:rPr>
          <w:sz w:val="22"/>
          <w:szCs w:val="22"/>
        </w:rPr>
      </w:pPr>
      <w:r w:rsidRPr="003F7229">
        <w:rPr>
          <w:sz w:val="22"/>
          <w:szCs w:val="22"/>
        </w:rPr>
        <w:t xml:space="preserve">Dažnis nežinomas: </w:t>
      </w:r>
      <w:proofErr w:type="spellStart"/>
      <w:r w:rsidRPr="003F7229">
        <w:rPr>
          <w:sz w:val="22"/>
          <w:szCs w:val="22"/>
        </w:rPr>
        <w:t>angioneurozinė</w:t>
      </w:r>
      <w:proofErr w:type="spellEnd"/>
      <w:r w:rsidRPr="003F7229">
        <w:rPr>
          <w:sz w:val="22"/>
          <w:szCs w:val="22"/>
        </w:rPr>
        <w:t xml:space="preserve"> edema(padidėjusio jautrumo reakcija, kuriai būdingas staigus lūpų, veido ir kaklo tinimas, taip pat gali tinti plaštakos ir pėdos, atsirasti dusulys, užkimti balsas), odos uždegimas, niežulys, dilgėlinė.</w:t>
      </w:r>
    </w:p>
    <w:p w:rsidR="00A06603" w:rsidRPr="003F7229" w:rsidRDefault="00A06603" w:rsidP="00A06603">
      <w:pPr>
        <w:tabs>
          <w:tab w:val="left" w:pos="567"/>
        </w:tabs>
        <w:jc w:val="both"/>
        <w:rPr>
          <w:sz w:val="22"/>
          <w:szCs w:val="22"/>
        </w:rPr>
      </w:pPr>
    </w:p>
    <w:p w:rsidR="00A06603" w:rsidRPr="003F7229" w:rsidRDefault="00A06603" w:rsidP="00A06603">
      <w:pPr>
        <w:tabs>
          <w:tab w:val="left" w:pos="567"/>
        </w:tabs>
        <w:jc w:val="both"/>
        <w:rPr>
          <w:i/>
          <w:sz w:val="22"/>
          <w:szCs w:val="22"/>
          <w:u w:val="single"/>
        </w:rPr>
      </w:pPr>
      <w:r w:rsidRPr="003F7229">
        <w:rPr>
          <w:i/>
          <w:sz w:val="22"/>
          <w:szCs w:val="22"/>
          <w:u w:val="single"/>
        </w:rPr>
        <w:t>Imuninės sistemos sutrikimai</w:t>
      </w:r>
    </w:p>
    <w:p w:rsidR="00A06603" w:rsidRPr="003F7229" w:rsidRDefault="00A06603" w:rsidP="00A06603">
      <w:pPr>
        <w:tabs>
          <w:tab w:val="left" w:pos="567"/>
        </w:tabs>
        <w:jc w:val="both"/>
        <w:rPr>
          <w:sz w:val="22"/>
          <w:szCs w:val="22"/>
        </w:rPr>
      </w:pPr>
      <w:r w:rsidRPr="003F7229">
        <w:rPr>
          <w:sz w:val="22"/>
          <w:szCs w:val="22"/>
        </w:rPr>
        <w:t>Dažnis nežinomas: galima padidėjusio jautrumo reakcija (išbėrimas, niežulys).</w:t>
      </w:r>
    </w:p>
    <w:p w:rsidR="00A06603" w:rsidRPr="003F7229" w:rsidRDefault="00A06603" w:rsidP="00A06603">
      <w:pPr>
        <w:tabs>
          <w:tab w:val="left" w:pos="567"/>
        </w:tabs>
        <w:jc w:val="both"/>
        <w:rPr>
          <w:sz w:val="22"/>
          <w:szCs w:val="22"/>
        </w:rPr>
      </w:pPr>
    </w:p>
    <w:p w:rsidR="00A06603" w:rsidRPr="003F7229" w:rsidRDefault="00A06603" w:rsidP="00A06603">
      <w:pPr>
        <w:tabs>
          <w:tab w:val="left" w:pos="567"/>
        </w:tabs>
        <w:jc w:val="both"/>
        <w:rPr>
          <w:i/>
          <w:sz w:val="22"/>
          <w:szCs w:val="22"/>
          <w:u w:val="single"/>
        </w:rPr>
      </w:pPr>
      <w:r w:rsidRPr="003F7229">
        <w:rPr>
          <w:i/>
          <w:sz w:val="22"/>
          <w:szCs w:val="22"/>
          <w:u w:val="single"/>
        </w:rPr>
        <w:t>Psichikos sutrikimai</w:t>
      </w:r>
    </w:p>
    <w:p w:rsidR="00A06603" w:rsidRPr="003F7229" w:rsidRDefault="00A06603" w:rsidP="00A06603">
      <w:pPr>
        <w:tabs>
          <w:tab w:val="left" w:pos="567"/>
        </w:tabs>
        <w:jc w:val="both"/>
        <w:rPr>
          <w:sz w:val="22"/>
          <w:szCs w:val="22"/>
        </w:rPr>
      </w:pPr>
      <w:r w:rsidRPr="003F7229">
        <w:rPr>
          <w:sz w:val="22"/>
          <w:szCs w:val="22"/>
        </w:rPr>
        <w:t>Dažni: nervingumas.</w:t>
      </w:r>
    </w:p>
    <w:p w:rsidR="00A06603" w:rsidRPr="003F7229" w:rsidRDefault="00A06603" w:rsidP="00A06603">
      <w:pPr>
        <w:tabs>
          <w:tab w:val="left" w:pos="567"/>
        </w:tabs>
        <w:jc w:val="both"/>
        <w:rPr>
          <w:sz w:val="22"/>
          <w:szCs w:val="22"/>
        </w:rPr>
      </w:pPr>
      <w:r w:rsidRPr="003F7229">
        <w:rPr>
          <w:sz w:val="22"/>
          <w:szCs w:val="22"/>
        </w:rPr>
        <w:t>Nedažni: depresija.</w:t>
      </w:r>
    </w:p>
    <w:p w:rsidR="00A06603" w:rsidRPr="003F7229" w:rsidRDefault="00A06603" w:rsidP="00A06603">
      <w:pPr>
        <w:tabs>
          <w:tab w:val="left" w:pos="567"/>
        </w:tabs>
        <w:jc w:val="both"/>
        <w:rPr>
          <w:sz w:val="22"/>
          <w:szCs w:val="22"/>
        </w:rPr>
      </w:pPr>
      <w:r w:rsidRPr="003F7229">
        <w:rPr>
          <w:sz w:val="22"/>
          <w:szCs w:val="22"/>
        </w:rPr>
        <w:t>Dažnis nežinomas: nerimas, pasimetimas, haliucinacijos.</w:t>
      </w:r>
    </w:p>
    <w:p w:rsidR="00A06603" w:rsidRPr="003F7229" w:rsidRDefault="00A06603" w:rsidP="00A06603">
      <w:pPr>
        <w:tabs>
          <w:tab w:val="left" w:pos="567"/>
        </w:tabs>
        <w:jc w:val="both"/>
        <w:rPr>
          <w:sz w:val="22"/>
          <w:szCs w:val="22"/>
        </w:rPr>
      </w:pPr>
    </w:p>
    <w:p w:rsidR="00A06603" w:rsidRPr="003F7229" w:rsidRDefault="00A06603" w:rsidP="00A06603">
      <w:pPr>
        <w:tabs>
          <w:tab w:val="left" w:pos="567"/>
        </w:tabs>
        <w:jc w:val="both"/>
        <w:rPr>
          <w:i/>
          <w:sz w:val="22"/>
          <w:szCs w:val="22"/>
          <w:u w:val="single"/>
        </w:rPr>
      </w:pPr>
      <w:r w:rsidRPr="003F7229">
        <w:rPr>
          <w:i/>
          <w:sz w:val="22"/>
          <w:szCs w:val="22"/>
          <w:u w:val="single"/>
        </w:rPr>
        <w:t>Nervų sistemos sutrikimai</w:t>
      </w:r>
    </w:p>
    <w:p w:rsidR="00A06603" w:rsidRPr="003F7229" w:rsidRDefault="00A06603" w:rsidP="00A06603">
      <w:pPr>
        <w:tabs>
          <w:tab w:val="left" w:pos="567"/>
        </w:tabs>
        <w:jc w:val="both"/>
        <w:rPr>
          <w:sz w:val="22"/>
          <w:szCs w:val="22"/>
        </w:rPr>
      </w:pPr>
      <w:r w:rsidRPr="003F7229">
        <w:rPr>
          <w:sz w:val="22"/>
          <w:szCs w:val="22"/>
        </w:rPr>
        <w:lastRenderedPageBreak/>
        <w:t>Dažni: nevalingi įvairių kūno dalių judesiai</w:t>
      </w:r>
    </w:p>
    <w:p w:rsidR="00A06603" w:rsidRPr="003F7229" w:rsidRDefault="00A06603" w:rsidP="00A06603">
      <w:pPr>
        <w:tabs>
          <w:tab w:val="left" w:pos="567"/>
        </w:tabs>
        <w:jc w:val="both"/>
        <w:rPr>
          <w:sz w:val="22"/>
          <w:szCs w:val="22"/>
        </w:rPr>
      </w:pPr>
      <w:r w:rsidRPr="003F7229">
        <w:rPr>
          <w:sz w:val="22"/>
          <w:szCs w:val="22"/>
        </w:rPr>
        <w:t>Nedažni: mieguistumas</w:t>
      </w:r>
    </w:p>
    <w:p w:rsidR="00A06603" w:rsidRPr="003F7229" w:rsidRDefault="00A06603" w:rsidP="00A06603">
      <w:pPr>
        <w:tabs>
          <w:tab w:val="left" w:pos="567"/>
        </w:tabs>
        <w:jc w:val="both"/>
        <w:rPr>
          <w:sz w:val="22"/>
          <w:szCs w:val="22"/>
        </w:rPr>
      </w:pPr>
      <w:r w:rsidRPr="003F7229">
        <w:rPr>
          <w:sz w:val="22"/>
          <w:szCs w:val="22"/>
        </w:rPr>
        <w:t xml:space="preserve">Dažnis nežinomas: padidėjęs sujaudinimas, galvos sukimasis, nemiga, galvos skausmas, depresija </w:t>
      </w:r>
    </w:p>
    <w:p w:rsidR="00A06603" w:rsidRPr="003F7229" w:rsidRDefault="00A06603" w:rsidP="00A06603">
      <w:pPr>
        <w:tabs>
          <w:tab w:val="left" w:pos="567"/>
        </w:tabs>
        <w:jc w:val="both"/>
        <w:rPr>
          <w:sz w:val="22"/>
          <w:szCs w:val="22"/>
        </w:rPr>
      </w:pPr>
    </w:p>
    <w:p w:rsidR="00A06603" w:rsidRPr="003F7229" w:rsidRDefault="00A06603" w:rsidP="00A06603">
      <w:pPr>
        <w:tabs>
          <w:tab w:val="left" w:pos="567"/>
        </w:tabs>
        <w:jc w:val="both"/>
        <w:rPr>
          <w:i/>
          <w:sz w:val="22"/>
          <w:szCs w:val="22"/>
          <w:u w:val="single"/>
        </w:rPr>
      </w:pPr>
      <w:r w:rsidRPr="003F7229">
        <w:rPr>
          <w:i/>
          <w:sz w:val="22"/>
          <w:szCs w:val="22"/>
          <w:u w:val="single"/>
        </w:rPr>
        <w:t>Ausų ir labirintų sutrikimai</w:t>
      </w:r>
    </w:p>
    <w:p w:rsidR="00A06603" w:rsidRPr="003F7229" w:rsidRDefault="00A06603" w:rsidP="00A06603">
      <w:pPr>
        <w:tabs>
          <w:tab w:val="left" w:pos="567"/>
        </w:tabs>
        <w:jc w:val="both"/>
        <w:rPr>
          <w:sz w:val="22"/>
          <w:szCs w:val="22"/>
        </w:rPr>
      </w:pPr>
      <w:r w:rsidRPr="003F7229">
        <w:rPr>
          <w:sz w:val="22"/>
          <w:szCs w:val="22"/>
        </w:rPr>
        <w:t>Dažnis nežinomas: galvos svaigimas.</w:t>
      </w:r>
    </w:p>
    <w:p w:rsidR="00A06603" w:rsidRPr="003F7229" w:rsidRDefault="00A06603" w:rsidP="00A06603">
      <w:pPr>
        <w:tabs>
          <w:tab w:val="left" w:pos="567"/>
        </w:tabs>
        <w:jc w:val="both"/>
        <w:rPr>
          <w:sz w:val="22"/>
          <w:szCs w:val="22"/>
        </w:rPr>
      </w:pPr>
    </w:p>
    <w:p w:rsidR="00A06603" w:rsidRPr="003F7229" w:rsidRDefault="00A06603" w:rsidP="00A06603">
      <w:pPr>
        <w:tabs>
          <w:tab w:val="left" w:pos="567"/>
        </w:tabs>
        <w:jc w:val="both"/>
        <w:rPr>
          <w:i/>
          <w:sz w:val="22"/>
          <w:szCs w:val="22"/>
          <w:u w:val="single"/>
        </w:rPr>
      </w:pPr>
      <w:r w:rsidRPr="003F7229">
        <w:rPr>
          <w:i/>
          <w:sz w:val="22"/>
          <w:szCs w:val="22"/>
          <w:u w:val="single"/>
        </w:rPr>
        <w:t>Kraujagyslių sutrikimai</w:t>
      </w:r>
    </w:p>
    <w:p w:rsidR="00A06603" w:rsidRPr="003F7229" w:rsidRDefault="00A06603" w:rsidP="00A06603">
      <w:pPr>
        <w:tabs>
          <w:tab w:val="left" w:pos="567"/>
        </w:tabs>
        <w:jc w:val="both"/>
        <w:rPr>
          <w:sz w:val="22"/>
          <w:szCs w:val="22"/>
        </w:rPr>
      </w:pPr>
      <w:r w:rsidRPr="003F7229">
        <w:rPr>
          <w:sz w:val="22"/>
          <w:szCs w:val="22"/>
        </w:rPr>
        <w:t>Reti: krešulio susidarymas kraujagyslės spindyje (tiktai švirkščiant į veną), sumažėjęs kraujospūdis (tiktai švirkščiant į veną).</w:t>
      </w:r>
    </w:p>
    <w:p w:rsidR="00A06603" w:rsidRPr="003F7229" w:rsidRDefault="00A06603" w:rsidP="00A06603">
      <w:pPr>
        <w:tabs>
          <w:tab w:val="left" w:pos="567"/>
        </w:tabs>
        <w:jc w:val="both"/>
        <w:rPr>
          <w:sz w:val="22"/>
          <w:szCs w:val="22"/>
        </w:rPr>
      </w:pPr>
    </w:p>
    <w:p w:rsidR="00A06603" w:rsidRPr="003F7229" w:rsidRDefault="00A06603" w:rsidP="00A06603">
      <w:pPr>
        <w:tabs>
          <w:tab w:val="left" w:pos="567"/>
        </w:tabs>
        <w:jc w:val="both"/>
        <w:rPr>
          <w:i/>
          <w:sz w:val="22"/>
          <w:szCs w:val="22"/>
          <w:u w:val="single"/>
        </w:rPr>
      </w:pPr>
      <w:r w:rsidRPr="003F7229">
        <w:rPr>
          <w:i/>
          <w:sz w:val="22"/>
          <w:szCs w:val="22"/>
          <w:u w:val="single"/>
        </w:rPr>
        <w:t>Virškinimo trakto sutrikimai</w:t>
      </w:r>
    </w:p>
    <w:p w:rsidR="00A06603" w:rsidRPr="003F7229" w:rsidRDefault="00A06603" w:rsidP="00A06603">
      <w:pPr>
        <w:tabs>
          <w:tab w:val="left" w:pos="567"/>
        </w:tabs>
        <w:jc w:val="both"/>
        <w:rPr>
          <w:sz w:val="22"/>
          <w:szCs w:val="22"/>
        </w:rPr>
      </w:pPr>
      <w:r w:rsidRPr="003F7229">
        <w:rPr>
          <w:sz w:val="22"/>
          <w:szCs w:val="22"/>
        </w:rPr>
        <w:t>Dažni: kūno svorio padidėjimas.</w:t>
      </w:r>
    </w:p>
    <w:p w:rsidR="00A06603" w:rsidRPr="003F7229" w:rsidRDefault="00A06603" w:rsidP="00A06603">
      <w:pPr>
        <w:tabs>
          <w:tab w:val="left" w:pos="567"/>
        </w:tabs>
        <w:jc w:val="both"/>
        <w:rPr>
          <w:sz w:val="22"/>
          <w:szCs w:val="22"/>
        </w:rPr>
      </w:pPr>
      <w:r w:rsidRPr="003F7229">
        <w:rPr>
          <w:sz w:val="22"/>
          <w:szCs w:val="22"/>
        </w:rPr>
        <w:t>Dažnis nežinomas: pilvo skausmas, viršutinės pilvo dalies skausmas, viduriavimas, pykinimas, vėmimas.</w:t>
      </w:r>
    </w:p>
    <w:p w:rsidR="00A06603" w:rsidRPr="003F7229" w:rsidRDefault="00A06603" w:rsidP="00A06603">
      <w:pPr>
        <w:tabs>
          <w:tab w:val="left" w:pos="567"/>
        </w:tabs>
        <w:jc w:val="both"/>
        <w:rPr>
          <w:sz w:val="22"/>
          <w:szCs w:val="22"/>
        </w:rPr>
      </w:pPr>
    </w:p>
    <w:p w:rsidR="00A06603" w:rsidRPr="003F7229" w:rsidRDefault="00A06603" w:rsidP="00A06603">
      <w:pPr>
        <w:tabs>
          <w:tab w:val="left" w:pos="567"/>
        </w:tabs>
        <w:jc w:val="both"/>
        <w:rPr>
          <w:i/>
          <w:sz w:val="22"/>
          <w:szCs w:val="22"/>
          <w:u w:val="single"/>
        </w:rPr>
      </w:pPr>
      <w:r w:rsidRPr="003F7229">
        <w:rPr>
          <w:i/>
          <w:sz w:val="22"/>
          <w:szCs w:val="22"/>
          <w:u w:val="single"/>
        </w:rPr>
        <w:t>Bendrieji sutrikimai ir vartojimo vietos pažeidimai</w:t>
      </w:r>
    </w:p>
    <w:p w:rsidR="00A06603" w:rsidRPr="003F7229" w:rsidRDefault="00A06603" w:rsidP="00A06603">
      <w:pPr>
        <w:tabs>
          <w:tab w:val="left" w:pos="567"/>
        </w:tabs>
        <w:jc w:val="both"/>
        <w:rPr>
          <w:sz w:val="22"/>
          <w:szCs w:val="22"/>
        </w:rPr>
      </w:pPr>
      <w:r w:rsidRPr="003F7229">
        <w:rPr>
          <w:sz w:val="22"/>
          <w:szCs w:val="22"/>
        </w:rPr>
        <w:t xml:space="preserve">Nedažni: </w:t>
      </w:r>
      <w:proofErr w:type="spellStart"/>
      <w:r w:rsidRPr="003F7229">
        <w:rPr>
          <w:sz w:val="22"/>
          <w:szCs w:val="22"/>
        </w:rPr>
        <w:t>astenija</w:t>
      </w:r>
      <w:proofErr w:type="spellEnd"/>
      <w:r w:rsidRPr="003F7229">
        <w:rPr>
          <w:sz w:val="22"/>
          <w:szCs w:val="22"/>
        </w:rPr>
        <w:t xml:space="preserve"> (jėgų nusilpimas, greitas nuovargis, nervinis išsekimas).</w:t>
      </w:r>
    </w:p>
    <w:p w:rsidR="00A06603" w:rsidRPr="003F7229" w:rsidRDefault="00A06603" w:rsidP="00A06603">
      <w:pPr>
        <w:tabs>
          <w:tab w:val="left" w:pos="567"/>
        </w:tabs>
        <w:jc w:val="both"/>
        <w:rPr>
          <w:sz w:val="22"/>
          <w:szCs w:val="22"/>
        </w:rPr>
      </w:pPr>
      <w:r w:rsidRPr="003F7229">
        <w:rPr>
          <w:sz w:val="22"/>
          <w:szCs w:val="22"/>
        </w:rPr>
        <w:t>Reti: injekcijos vietos skausmas (tiktai švirkščiant į veną), karščiavimas (tiktai švirkščiant į veną).</w:t>
      </w:r>
    </w:p>
    <w:p w:rsidR="00A06603" w:rsidRPr="003F7229" w:rsidRDefault="00A06603" w:rsidP="00A06603">
      <w:pPr>
        <w:tabs>
          <w:tab w:val="left" w:pos="567"/>
        </w:tabs>
        <w:jc w:val="both"/>
        <w:rPr>
          <w:sz w:val="22"/>
          <w:szCs w:val="22"/>
        </w:rPr>
      </w:pPr>
    </w:p>
    <w:p w:rsidR="00A06603" w:rsidRPr="003F7229" w:rsidRDefault="00A06603" w:rsidP="00A06603">
      <w:pPr>
        <w:tabs>
          <w:tab w:val="left" w:pos="567"/>
        </w:tabs>
        <w:jc w:val="both"/>
        <w:rPr>
          <w:i/>
          <w:sz w:val="22"/>
          <w:szCs w:val="22"/>
          <w:u w:val="single"/>
        </w:rPr>
      </w:pPr>
      <w:r w:rsidRPr="003F7229">
        <w:rPr>
          <w:i/>
          <w:sz w:val="22"/>
          <w:szCs w:val="22"/>
          <w:u w:val="single"/>
        </w:rPr>
        <w:t>Tyrimai</w:t>
      </w:r>
    </w:p>
    <w:p w:rsidR="00A06603" w:rsidRPr="003F7229" w:rsidRDefault="00A06603" w:rsidP="00A06603">
      <w:pPr>
        <w:tabs>
          <w:tab w:val="left" w:pos="567"/>
        </w:tabs>
        <w:jc w:val="both"/>
        <w:rPr>
          <w:sz w:val="22"/>
          <w:szCs w:val="22"/>
        </w:rPr>
      </w:pPr>
      <w:r w:rsidRPr="003F7229">
        <w:rPr>
          <w:sz w:val="22"/>
          <w:szCs w:val="22"/>
        </w:rPr>
        <w:t>Dažni: kūno svorio padidėjimas.</w:t>
      </w:r>
    </w:p>
    <w:p w:rsidR="00A06603" w:rsidRPr="003F7229" w:rsidRDefault="00A06603" w:rsidP="00A06603">
      <w:pPr>
        <w:tabs>
          <w:tab w:val="left" w:pos="567"/>
        </w:tabs>
        <w:jc w:val="both"/>
        <w:rPr>
          <w:sz w:val="22"/>
          <w:szCs w:val="22"/>
        </w:rPr>
      </w:pPr>
    </w:p>
    <w:p w:rsidR="00A06603" w:rsidRPr="003F7229" w:rsidRDefault="00A06603" w:rsidP="00A06603">
      <w:pPr>
        <w:tabs>
          <w:tab w:val="left" w:pos="567"/>
        </w:tabs>
        <w:jc w:val="both"/>
        <w:rPr>
          <w:b/>
          <w:sz w:val="22"/>
          <w:szCs w:val="22"/>
        </w:rPr>
      </w:pPr>
      <w:r w:rsidRPr="003F7229">
        <w:rPr>
          <w:b/>
          <w:sz w:val="22"/>
          <w:szCs w:val="22"/>
        </w:rPr>
        <w:t>Šalutinis poveikis vaikams</w:t>
      </w:r>
    </w:p>
    <w:p w:rsidR="00A06603" w:rsidRPr="003F7229" w:rsidRDefault="00A06603" w:rsidP="00A06603">
      <w:pPr>
        <w:tabs>
          <w:tab w:val="left" w:pos="567"/>
        </w:tabs>
        <w:jc w:val="both"/>
        <w:rPr>
          <w:sz w:val="22"/>
          <w:szCs w:val="22"/>
        </w:rPr>
      </w:pPr>
      <w:r w:rsidRPr="003F7229">
        <w:rPr>
          <w:sz w:val="22"/>
          <w:szCs w:val="22"/>
        </w:rPr>
        <w:t xml:space="preserve">Vaikams, ypač protiškai atsilikusiems, pastebėta </w:t>
      </w:r>
      <w:proofErr w:type="spellStart"/>
      <w:r w:rsidRPr="003F7229">
        <w:rPr>
          <w:sz w:val="22"/>
          <w:szCs w:val="22"/>
        </w:rPr>
        <w:t>nenustygstamumo</w:t>
      </w:r>
      <w:proofErr w:type="spellEnd"/>
      <w:r w:rsidRPr="003F7229">
        <w:rPr>
          <w:sz w:val="22"/>
          <w:szCs w:val="22"/>
        </w:rPr>
        <w:t xml:space="preserve">, nerimo, nerūpestingumo, pablogėjusio gebėjimo susikaupti, sutrikusios psichinės pusiausvyros bei polinkio į konfliktus atvejų. Sumažinus dozę ar nutraukus vaisto vartojimą šie sutrikimai išnyko. </w:t>
      </w:r>
    </w:p>
    <w:p w:rsidR="00A06603" w:rsidRPr="003F7229" w:rsidRDefault="00A06603" w:rsidP="00A06603">
      <w:pPr>
        <w:tabs>
          <w:tab w:val="left" w:pos="567"/>
        </w:tabs>
        <w:jc w:val="both"/>
        <w:rPr>
          <w:sz w:val="22"/>
          <w:szCs w:val="22"/>
        </w:rPr>
      </w:pPr>
    </w:p>
    <w:p w:rsidR="00A06603" w:rsidRPr="003F7229" w:rsidRDefault="00A06603" w:rsidP="00A06603">
      <w:pPr>
        <w:tabs>
          <w:tab w:val="left" w:pos="567"/>
        </w:tabs>
        <w:rPr>
          <w:b/>
          <w:snapToGrid w:val="0"/>
          <w:sz w:val="22"/>
          <w:szCs w:val="22"/>
        </w:rPr>
      </w:pPr>
      <w:r w:rsidRPr="003F7229">
        <w:rPr>
          <w:b/>
          <w:noProof/>
          <w:snapToGrid w:val="0"/>
          <w:sz w:val="22"/>
          <w:szCs w:val="22"/>
        </w:rPr>
        <w:t>Pranešimas apie šalutinį poveikį</w:t>
      </w:r>
    </w:p>
    <w:p w:rsidR="00A06603" w:rsidRPr="003F7229" w:rsidRDefault="00A06603" w:rsidP="00A06603">
      <w:pPr>
        <w:tabs>
          <w:tab w:val="left" w:pos="567"/>
        </w:tabs>
        <w:jc w:val="both"/>
        <w:rPr>
          <w:sz w:val="22"/>
          <w:szCs w:val="22"/>
        </w:rPr>
      </w:pPr>
      <w:bookmarkStart w:id="7" w:name="_Hlk127440884"/>
      <w:r w:rsidRPr="003F7229">
        <w:rPr>
          <w:sz w:val="22"/>
          <w:szCs w:val="22"/>
        </w:rPr>
        <w:t xml:space="preserve">Jeigu pasireiškė šalutinis poveikis, įskaitant šiame lapelyje nenurodytą, pasakykite gydytojui arba vaistininkui. </w:t>
      </w:r>
      <w:bookmarkEnd w:id="7"/>
      <w:r>
        <w:rPr>
          <w:sz w:val="22"/>
          <w:szCs w:val="22"/>
          <w:lang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>
        <w:rPr>
          <w:color w:val="0000EE"/>
          <w:sz w:val="22"/>
          <w:szCs w:val="22"/>
          <w:u w:val="single"/>
          <w:lang w:eastAsia="lt-LT"/>
        </w:rPr>
        <w:t>https://vvkt.lrv.lt/lt/</w:t>
      </w:r>
      <w:r>
        <w:rPr>
          <w:sz w:val="22"/>
          <w:szCs w:val="22"/>
          <w:lang w:eastAsia="lt-LT"/>
        </w:rPr>
        <w:t xml:space="preserve"> nurodytais būdais arba paskambinti nemokamu telefonu 8 800 73 568. Pranešdami apie šalutinį poveikį galite mums padėti gauti daugiau informacijos apie šio vaisto saugumą.</w:t>
      </w:r>
    </w:p>
    <w:p w:rsidR="00A06603" w:rsidRDefault="00A06603" w:rsidP="00A06603">
      <w:pPr>
        <w:tabs>
          <w:tab w:val="left" w:pos="567"/>
        </w:tabs>
        <w:jc w:val="both"/>
        <w:rPr>
          <w:sz w:val="22"/>
          <w:szCs w:val="22"/>
        </w:rPr>
      </w:pPr>
    </w:p>
    <w:p w:rsidR="00A06603" w:rsidRPr="003F7229" w:rsidRDefault="00A06603" w:rsidP="00A06603">
      <w:pPr>
        <w:tabs>
          <w:tab w:val="left" w:pos="567"/>
        </w:tabs>
        <w:jc w:val="both"/>
        <w:rPr>
          <w:sz w:val="22"/>
          <w:szCs w:val="22"/>
        </w:rPr>
      </w:pPr>
    </w:p>
    <w:p w:rsidR="00A06603" w:rsidRPr="003F7229" w:rsidRDefault="00A06603" w:rsidP="00A06603">
      <w:pPr>
        <w:keepNext/>
        <w:tabs>
          <w:tab w:val="left" w:pos="567"/>
        </w:tabs>
        <w:ind w:left="567" w:hanging="567"/>
        <w:jc w:val="both"/>
        <w:outlineLvl w:val="1"/>
        <w:rPr>
          <w:sz w:val="22"/>
          <w:szCs w:val="22"/>
        </w:rPr>
      </w:pPr>
      <w:bookmarkStart w:id="8" w:name="_Toc129243143"/>
      <w:bookmarkStart w:id="9" w:name="_Toc129243268"/>
      <w:r w:rsidRPr="003F7229">
        <w:rPr>
          <w:b/>
          <w:sz w:val="22"/>
          <w:szCs w:val="22"/>
        </w:rPr>
        <w:t>5.</w:t>
      </w:r>
      <w:r w:rsidRPr="003F7229">
        <w:rPr>
          <w:b/>
          <w:sz w:val="22"/>
          <w:szCs w:val="22"/>
        </w:rPr>
        <w:tab/>
        <w:t xml:space="preserve">Kaip laikyti </w:t>
      </w:r>
      <w:bookmarkEnd w:id="8"/>
      <w:bookmarkEnd w:id="9"/>
      <w:proofErr w:type="spellStart"/>
      <w:r w:rsidRPr="003F7229">
        <w:rPr>
          <w:b/>
          <w:sz w:val="22"/>
          <w:szCs w:val="22"/>
        </w:rPr>
        <w:t>Piracetamum-Olpha</w:t>
      </w:r>
      <w:proofErr w:type="spellEnd"/>
    </w:p>
    <w:p w:rsidR="00A06603" w:rsidRPr="003F7229" w:rsidRDefault="00A06603" w:rsidP="00A06603">
      <w:pPr>
        <w:keepNext/>
        <w:tabs>
          <w:tab w:val="left" w:pos="567"/>
        </w:tabs>
        <w:jc w:val="both"/>
        <w:outlineLvl w:val="1"/>
        <w:rPr>
          <w:sz w:val="22"/>
          <w:szCs w:val="22"/>
        </w:rPr>
      </w:pPr>
    </w:p>
    <w:p w:rsidR="00A06603" w:rsidRPr="003F7229" w:rsidRDefault="00A06603" w:rsidP="00A06603">
      <w:pPr>
        <w:pStyle w:val="Pagrindinistekstas"/>
        <w:tabs>
          <w:tab w:val="left" w:pos="567"/>
        </w:tabs>
        <w:spacing w:after="0"/>
        <w:rPr>
          <w:szCs w:val="22"/>
          <w:lang w:eastAsia="en-US"/>
        </w:rPr>
      </w:pPr>
      <w:bookmarkStart w:id="10" w:name="_Hlk529441907"/>
      <w:r w:rsidRPr="003F7229">
        <w:rPr>
          <w:szCs w:val="22"/>
        </w:rPr>
        <w:t>Šį vaistą laikykite</w:t>
      </w:r>
      <w:r w:rsidRPr="003F7229">
        <w:rPr>
          <w:szCs w:val="22"/>
          <w:lang w:eastAsia="en-US"/>
        </w:rPr>
        <w:t xml:space="preserve"> vaikams </w:t>
      </w:r>
      <w:r w:rsidRPr="003F7229">
        <w:rPr>
          <w:szCs w:val="22"/>
        </w:rPr>
        <w:t xml:space="preserve">nepastebimoje ir </w:t>
      </w:r>
      <w:r w:rsidRPr="003F7229">
        <w:rPr>
          <w:szCs w:val="22"/>
          <w:lang w:eastAsia="en-US"/>
        </w:rPr>
        <w:t>nepasiekiamoje vietoje.</w:t>
      </w:r>
    </w:p>
    <w:bookmarkEnd w:id="10"/>
    <w:p w:rsidR="00A06603" w:rsidRPr="003F7229" w:rsidRDefault="00A06603" w:rsidP="00A06603">
      <w:pPr>
        <w:tabs>
          <w:tab w:val="left" w:pos="567"/>
        </w:tabs>
        <w:jc w:val="both"/>
        <w:rPr>
          <w:sz w:val="22"/>
          <w:szCs w:val="22"/>
        </w:rPr>
      </w:pPr>
    </w:p>
    <w:p w:rsidR="00A06603" w:rsidRPr="003F7229" w:rsidRDefault="00A06603" w:rsidP="00A06603">
      <w:pPr>
        <w:tabs>
          <w:tab w:val="left" w:pos="567"/>
        </w:tabs>
        <w:jc w:val="both"/>
        <w:rPr>
          <w:sz w:val="22"/>
          <w:szCs w:val="22"/>
        </w:rPr>
      </w:pPr>
      <w:r w:rsidRPr="003F7229">
        <w:rPr>
          <w:sz w:val="22"/>
          <w:szCs w:val="22"/>
        </w:rPr>
        <w:t>Laikyti ne aukštesnėje kaip 25 °C temperatūroje.</w:t>
      </w:r>
    </w:p>
    <w:p w:rsidR="00A06603" w:rsidRPr="003F7229" w:rsidRDefault="00A06603" w:rsidP="00A06603">
      <w:pPr>
        <w:tabs>
          <w:tab w:val="left" w:pos="567"/>
        </w:tabs>
        <w:jc w:val="both"/>
        <w:rPr>
          <w:sz w:val="22"/>
          <w:szCs w:val="22"/>
        </w:rPr>
      </w:pPr>
      <w:r w:rsidRPr="003F7229">
        <w:rPr>
          <w:sz w:val="22"/>
          <w:szCs w:val="22"/>
        </w:rPr>
        <w:t xml:space="preserve">Laikyti gamintojo pakuotėje, kad </w:t>
      </w:r>
      <w:r>
        <w:rPr>
          <w:sz w:val="22"/>
          <w:szCs w:val="22"/>
        </w:rPr>
        <w:t>vaistas</w:t>
      </w:r>
      <w:r w:rsidRPr="003F7229">
        <w:rPr>
          <w:sz w:val="22"/>
          <w:szCs w:val="22"/>
        </w:rPr>
        <w:t xml:space="preserve"> būtų apsaugotas nuo šviesos ir drėgmės.</w:t>
      </w:r>
    </w:p>
    <w:p w:rsidR="00A06603" w:rsidRPr="003F7229" w:rsidRDefault="00A06603" w:rsidP="00A06603">
      <w:pPr>
        <w:tabs>
          <w:tab w:val="left" w:pos="567"/>
        </w:tabs>
        <w:jc w:val="both"/>
        <w:rPr>
          <w:sz w:val="22"/>
          <w:szCs w:val="22"/>
        </w:rPr>
      </w:pPr>
    </w:p>
    <w:p w:rsidR="00A06603" w:rsidRPr="003F7229" w:rsidRDefault="00A06603" w:rsidP="00A06603">
      <w:pPr>
        <w:tabs>
          <w:tab w:val="left" w:pos="567"/>
        </w:tabs>
        <w:jc w:val="both"/>
        <w:rPr>
          <w:sz w:val="22"/>
          <w:szCs w:val="22"/>
        </w:rPr>
      </w:pPr>
      <w:r w:rsidRPr="003F7229">
        <w:rPr>
          <w:sz w:val="22"/>
          <w:szCs w:val="22"/>
        </w:rPr>
        <w:t>Ant dėžutės po „EXP“ nurodytam tinkamumo laikui pasibaigus, šio vaisto vartoti negalima. Vaistas tinkamas vartoti iki paskutinės nurodyto mėnesio dienos.</w:t>
      </w:r>
    </w:p>
    <w:p w:rsidR="00A06603" w:rsidRPr="003F7229" w:rsidRDefault="00A06603" w:rsidP="00A06603">
      <w:pPr>
        <w:tabs>
          <w:tab w:val="left" w:pos="567"/>
        </w:tabs>
        <w:jc w:val="both"/>
        <w:rPr>
          <w:sz w:val="22"/>
          <w:szCs w:val="22"/>
        </w:rPr>
      </w:pPr>
    </w:p>
    <w:p w:rsidR="00A06603" w:rsidRPr="003F7229" w:rsidRDefault="00A06603" w:rsidP="00A06603">
      <w:pPr>
        <w:tabs>
          <w:tab w:val="left" w:pos="567"/>
        </w:tabs>
        <w:jc w:val="both"/>
        <w:rPr>
          <w:sz w:val="22"/>
          <w:szCs w:val="22"/>
        </w:rPr>
      </w:pPr>
      <w:r w:rsidRPr="003F7229">
        <w:rPr>
          <w:sz w:val="22"/>
          <w:szCs w:val="22"/>
        </w:rPr>
        <w:t>Vaistų negalima išmesti į kanalizaciją arba su buitinėmis atliekomis. Kaip išmesti nereikalingus vaistus, klauskite vaistininko. Šios priemonės padės apsaugoti aplinką.</w:t>
      </w:r>
    </w:p>
    <w:p w:rsidR="00A06603" w:rsidRPr="003F7229" w:rsidRDefault="00A06603" w:rsidP="00A06603">
      <w:pPr>
        <w:tabs>
          <w:tab w:val="left" w:pos="567"/>
        </w:tabs>
        <w:jc w:val="both"/>
        <w:rPr>
          <w:sz w:val="22"/>
          <w:szCs w:val="22"/>
        </w:rPr>
      </w:pPr>
    </w:p>
    <w:p w:rsidR="00A06603" w:rsidRPr="003F7229" w:rsidRDefault="00A06603" w:rsidP="00A06603">
      <w:pPr>
        <w:tabs>
          <w:tab w:val="left" w:pos="567"/>
        </w:tabs>
        <w:jc w:val="both"/>
        <w:rPr>
          <w:sz w:val="22"/>
          <w:szCs w:val="22"/>
        </w:rPr>
      </w:pPr>
    </w:p>
    <w:p w:rsidR="00A06603" w:rsidRPr="003F7229" w:rsidRDefault="00A06603" w:rsidP="00A06603">
      <w:pPr>
        <w:keepNext/>
        <w:tabs>
          <w:tab w:val="left" w:pos="567"/>
        </w:tabs>
        <w:ind w:left="567" w:hanging="567"/>
        <w:jc w:val="both"/>
        <w:outlineLvl w:val="1"/>
        <w:rPr>
          <w:sz w:val="22"/>
          <w:szCs w:val="22"/>
        </w:rPr>
      </w:pPr>
      <w:bookmarkStart w:id="11" w:name="_Toc129243144"/>
      <w:bookmarkStart w:id="12" w:name="_Toc129243269"/>
      <w:r w:rsidRPr="003F7229">
        <w:rPr>
          <w:b/>
          <w:sz w:val="22"/>
          <w:szCs w:val="22"/>
        </w:rPr>
        <w:t>6.</w:t>
      </w:r>
      <w:r w:rsidRPr="003F7229">
        <w:rPr>
          <w:b/>
          <w:sz w:val="22"/>
          <w:szCs w:val="22"/>
        </w:rPr>
        <w:tab/>
        <w:t>Pakuotės turinys ir kita informacija</w:t>
      </w:r>
      <w:bookmarkEnd w:id="11"/>
      <w:bookmarkEnd w:id="12"/>
    </w:p>
    <w:p w:rsidR="00A06603" w:rsidRPr="003F7229" w:rsidRDefault="00A06603" w:rsidP="00A06603">
      <w:pPr>
        <w:keepNext/>
        <w:tabs>
          <w:tab w:val="left" w:pos="567"/>
        </w:tabs>
        <w:jc w:val="both"/>
        <w:rPr>
          <w:sz w:val="22"/>
          <w:szCs w:val="22"/>
        </w:rPr>
      </w:pPr>
    </w:p>
    <w:p w:rsidR="00A06603" w:rsidRPr="00707941" w:rsidRDefault="00A06603" w:rsidP="00A06603">
      <w:pPr>
        <w:rPr>
          <w:b/>
          <w:bCs/>
          <w:sz w:val="22"/>
          <w:szCs w:val="22"/>
        </w:rPr>
      </w:pPr>
      <w:proofErr w:type="spellStart"/>
      <w:r w:rsidRPr="00707941">
        <w:rPr>
          <w:b/>
          <w:bCs/>
          <w:sz w:val="22"/>
          <w:szCs w:val="22"/>
        </w:rPr>
        <w:t>Piracetamum-Olpha</w:t>
      </w:r>
      <w:proofErr w:type="spellEnd"/>
      <w:r w:rsidRPr="00707941">
        <w:rPr>
          <w:b/>
          <w:bCs/>
          <w:sz w:val="22"/>
          <w:szCs w:val="22"/>
        </w:rPr>
        <w:t xml:space="preserve"> sudėtis</w:t>
      </w:r>
    </w:p>
    <w:p w:rsidR="00A06603" w:rsidRPr="0076788D" w:rsidRDefault="00A06603" w:rsidP="00A06603">
      <w:pPr>
        <w:pStyle w:val="Sraopastraipa"/>
        <w:numPr>
          <w:ilvl w:val="0"/>
          <w:numId w:val="5"/>
        </w:numPr>
        <w:ind w:left="284" w:hanging="284"/>
        <w:rPr>
          <w:rFonts w:eastAsiaTheme="minorHAnsi"/>
          <w:sz w:val="22"/>
          <w:szCs w:val="22"/>
        </w:rPr>
      </w:pPr>
      <w:r w:rsidRPr="0076788D">
        <w:rPr>
          <w:rFonts w:eastAsiaTheme="minorHAnsi"/>
          <w:sz w:val="22"/>
          <w:szCs w:val="22"/>
        </w:rPr>
        <w:t xml:space="preserve">Veiklioji medžiaga yra </w:t>
      </w:r>
      <w:proofErr w:type="spellStart"/>
      <w:r w:rsidRPr="0076788D">
        <w:rPr>
          <w:rFonts w:eastAsiaTheme="minorHAnsi"/>
          <w:sz w:val="22"/>
          <w:szCs w:val="22"/>
        </w:rPr>
        <w:t>piracetamas</w:t>
      </w:r>
      <w:proofErr w:type="spellEnd"/>
      <w:r w:rsidRPr="0076788D">
        <w:rPr>
          <w:rFonts w:eastAsiaTheme="minorHAnsi"/>
          <w:sz w:val="22"/>
          <w:szCs w:val="22"/>
        </w:rPr>
        <w:t xml:space="preserve">. Kiekvienoje kietojoje kapsulėje yra 400 mg </w:t>
      </w:r>
      <w:proofErr w:type="spellStart"/>
      <w:r w:rsidRPr="0076788D">
        <w:rPr>
          <w:rFonts w:eastAsiaTheme="minorHAnsi"/>
          <w:sz w:val="22"/>
          <w:szCs w:val="22"/>
        </w:rPr>
        <w:t>piracetamo</w:t>
      </w:r>
      <w:proofErr w:type="spellEnd"/>
      <w:r w:rsidRPr="0076788D">
        <w:rPr>
          <w:rFonts w:eastAsiaTheme="minorHAnsi"/>
          <w:sz w:val="22"/>
          <w:szCs w:val="22"/>
        </w:rPr>
        <w:t>.</w:t>
      </w:r>
    </w:p>
    <w:p w:rsidR="00A06603" w:rsidRPr="0076788D" w:rsidRDefault="00A06603" w:rsidP="00A06603">
      <w:pPr>
        <w:pStyle w:val="Sraopastraipa"/>
        <w:numPr>
          <w:ilvl w:val="0"/>
          <w:numId w:val="5"/>
        </w:numPr>
        <w:ind w:left="284" w:hanging="284"/>
        <w:rPr>
          <w:rFonts w:eastAsiaTheme="minorHAnsi"/>
          <w:sz w:val="22"/>
          <w:szCs w:val="22"/>
        </w:rPr>
      </w:pPr>
      <w:r w:rsidRPr="0076788D">
        <w:rPr>
          <w:rFonts w:eastAsiaTheme="minorHAnsi"/>
          <w:sz w:val="22"/>
          <w:szCs w:val="22"/>
        </w:rPr>
        <w:lastRenderedPageBreak/>
        <w:t xml:space="preserve">Pagalbinės medžiagos kapsulės turinyje yra sunkusis magnio </w:t>
      </w:r>
      <w:proofErr w:type="spellStart"/>
      <w:r w:rsidRPr="0076788D">
        <w:rPr>
          <w:rFonts w:eastAsiaTheme="minorHAnsi"/>
          <w:sz w:val="22"/>
          <w:szCs w:val="22"/>
        </w:rPr>
        <w:t>subkarbonatas</w:t>
      </w:r>
      <w:proofErr w:type="spellEnd"/>
      <w:r w:rsidRPr="0076788D">
        <w:rPr>
          <w:rFonts w:eastAsiaTheme="minorHAnsi"/>
          <w:sz w:val="22"/>
          <w:szCs w:val="22"/>
        </w:rPr>
        <w:t xml:space="preserve"> ir kalcio </w:t>
      </w:r>
      <w:proofErr w:type="spellStart"/>
      <w:r w:rsidRPr="0076788D">
        <w:rPr>
          <w:rFonts w:eastAsiaTheme="minorHAnsi"/>
          <w:sz w:val="22"/>
          <w:szCs w:val="22"/>
        </w:rPr>
        <w:t>stearatas</w:t>
      </w:r>
      <w:proofErr w:type="spellEnd"/>
      <w:r w:rsidRPr="0076788D">
        <w:rPr>
          <w:rFonts w:eastAsiaTheme="minorHAnsi"/>
          <w:sz w:val="22"/>
          <w:szCs w:val="22"/>
        </w:rPr>
        <w:t>, kapsulės apvalkale – želatina ir titano dioksidas (E171).</w:t>
      </w:r>
    </w:p>
    <w:p w:rsidR="00A06603" w:rsidRPr="00707941" w:rsidRDefault="00A06603" w:rsidP="00A06603">
      <w:pPr>
        <w:rPr>
          <w:sz w:val="22"/>
          <w:szCs w:val="22"/>
        </w:rPr>
      </w:pPr>
    </w:p>
    <w:p w:rsidR="00A06603" w:rsidRPr="00707941" w:rsidRDefault="00A06603" w:rsidP="00A06603">
      <w:pPr>
        <w:rPr>
          <w:b/>
          <w:bCs/>
          <w:sz w:val="22"/>
          <w:szCs w:val="22"/>
        </w:rPr>
      </w:pPr>
      <w:proofErr w:type="spellStart"/>
      <w:r w:rsidRPr="00707941">
        <w:rPr>
          <w:b/>
          <w:bCs/>
          <w:sz w:val="22"/>
          <w:szCs w:val="22"/>
        </w:rPr>
        <w:t>Piracetamum-Olpha</w:t>
      </w:r>
      <w:proofErr w:type="spellEnd"/>
      <w:r w:rsidRPr="00707941">
        <w:rPr>
          <w:b/>
          <w:bCs/>
          <w:sz w:val="22"/>
          <w:szCs w:val="22"/>
        </w:rPr>
        <w:t xml:space="preserve"> išvaizda ir kiekis pakuotėje</w:t>
      </w:r>
    </w:p>
    <w:p w:rsidR="00A06603" w:rsidRPr="00707941" w:rsidRDefault="00A06603" w:rsidP="00A06603">
      <w:pPr>
        <w:rPr>
          <w:sz w:val="22"/>
          <w:szCs w:val="22"/>
        </w:rPr>
      </w:pPr>
      <w:r w:rsidRPr="00707941">
        <w:rPr>
          <w:rFonts w:eastAsiaTheme="minorHAnsi"/>
          <w:sz w:val="22"/>
          <w:szCs w:val="22"/>
        </w:rPr>
        <w:t xml:space="preserve">Baltos spalvos, kietos, želatininės kapsulės, užpildytos baltos arba </w:t>
      </w:r>
      <w:proofErr w:type="spellStart"/>
      <w:r w:rsidRPr="00707941">
        <w:rPr>
          <w:rFonts w:eastAsiaTheme="minorHAnsi"/>
          <w:sz w:val="22"/>
          <w:szCs w:val="22"/>
        </w:rPr>
        <w:t>balkšos</w:t>
      </w:r>
      <w:proofErr w:type="spellEnd"/>
      <w:r w:rsidRPr="00707941">
        <w:rPr>
          <w:rFonts w:eastAsiaTheme="minorHAnsi"/>
          <w:sz w:val="22"/>
          <w:szCs w:val="22"/>
        </w:rPr>
        <w:t xml:space="preserve"> spalvos milteliais.</w:t>
      </w:r>
    </w:p>
    <w:p w:rsidR="00A06603" w:rsidRPr="00707941" w:rsidRDefault="00A06603" w:rsidP="00A06603">
      <w:pPr>
        <w:rPr>
          <w:sz w:val="22"/>
          <w:szCs w:val="22"/>
        </w:rPr>
      </w:pPr>
      <w:r w:rsidRPr="00707941">
        <w:rPr>
          <w:sz w:val="22"/>
          <w:szCs w:val="22"/>
        </w:rPr>
        <w:t>PVC/aliuminio lizdinė plokštelė, kurioje yra 10 kietųjų kapsulių. Kartono dėžutėje yra 60 kapsulių.</w:t>
      </w:r>
    </w:p>
    <w:p w:rsidR="00A06603" w:rsidRPr="003F7229" w:rsidRDefault="00A06603" w:rsidP="00A06603">
      <w:pPr>
        <w:tabs>
          <w:tab w:val="left" w:pos="567"/>
        </w:tabs>
        <w:jc w:val="both"/>
        <w:rPr>
          <w:sz w:val="22"/>
          <w:szCs w:val="22"/>
        </w:rPr>
      </w:pPr>
    </w:p>
    <w:p w:rsidR="00A06603" w:rsidRPr="003F7229" w:rsidRDefault="00A06603" w:rsidP="00A06603">
      <w:pPr>
        <w:tabs>
          <w:tab w:val="left" w:pos="567"/>
        </w:tabs>
        <w:jc w:val="both"/>
        <w:rPr>
          <w:sz w:val="22"/>
          <w:szCs w:val="22"/>
        </w:rPr>
      </w:pPr>
      <w:r w:rsidRPr="003F7229">
        <w:rPr>
          <w:b/>
          <w:sz w:val="22"/>
          <w:szCs w:val="22"/>
        </w:rPr>
        <w:t>Registruotojas ir gamintojas</w:t>
      </w:r>
    </w:p>
    <w:p w:rsidR="00A06603" w:rsidRPr="003F7229" w:rsidRDefault="00A06603" w:rsidP="00A06603">
      <w:pPr>
        <w:pStyle w:val="Pagrindinistekstas"/>
        <w:spacing w:after="0"/>
        <w:rPr>
          <w:szCs w:val="22"/>
        </w:rPr>
      </w:pPr>
      <w:proofErr w:type="spellStart"/>
      <w:r w:rsidRPr="003F7229">
        <w:rPr>
          <w:szCs w:val="22"/>
        </w:rPr>
        <w:t>Olpha</w:t>
      </w:r>
      <w:proofErr w:type="spellEnd"/>
      <w:r w:rsidRPr="003F7229">
        <w:rPr>
          <w:szCs w:val="22"/>
        </w:rPr>
        <w:t xml:space="preserve"> AS,</w:t>
      </w:r>
      <w:r w:rsidRPr="003F7229">
        <w:rPr>
          <w:szCs w:val="22"/>
        </w:rPr>
        <w:br/>
      </w:r>
      <w:proofErr w:type="spellStart"/>
      <w:r w:rsidRPr="003F7229">
        <w:rPr>
          <w:szCs w:val="22"/>
        </w:rPr>
        <w:t>Rupnicu</w:t>
      </w:r>
      <w:proofErr w:type="spellEnd"/>
      <w:r w:rsidRPr="003F7229">
        <w:rPr>
          <w:szCs w:val="22"/>
        </w:rPr>
        <w:t xml:space="preserve"> </w:t>
      </w:r>
      <w:proofErr w:type="spellStart"/>
      <w:r w:rsidRPr="003F7229">
        <w:rPr>
          <w:szCs w:val="22"/>
        </w:rPr>
        <w:t>iela</w:t>
      </w:r>
      <w:proofErr w:type="spellEnd"/>
      <w:r w:rsidRPr="003F7229">
        <w:rPr>
          <w:szCs w:val="22"/>
        </w:rPr>
        <w:t xml:space="preserve"> 5, </w:t>
      </w:r>
      <w:r w:rsidRPr="003F7229">
        <w:rPr>
          <w:szCs w:val="22"/>
        </w:rPr>
        <w:br/>
      </w:r>
      <w:proofErr w:type="spellStart"/>
      <w:r w:rsidRPr="003F7229">
        <w:rPr>
          <w:szCs w:val="22"/>
        </w:rPr>
        <w:t>Olaine</w:t>
      </w:r>
      <w:proofErr w:type="spellEnd"/>
      <w:r w:rsidRPr="003F7229">
        <w:rPr>
          <w:szCs w:val="22"/>
        </w:rPr>
        <w:t xml:space="preserve">, </w:t>
      </w:r>
      <w:proofErr w:type="spellStart"/>
      <w:r w:rsidRPr="003F7229">
        <w:rPr>
          <w:szCs w:val="22"/>
        </w:rPr>
        <w:t>Olaines</w:t>
      </w:r>
      <w:proofErr w:type="spellEnd"/>
      <w:r w:rsidRPr="003F7229">
        <w:rPr>
          <w:szCs w:val="22"/>
        </w:rPr>
        <w:t xml:space="preserve"> </w:t>
      </w:r>
      <w:proofErr w:type="spellStart"/>
      <w:r w:rsidRPr="003F7229">
        <w:rPr>
          <w:szCs w:val="22"/>
        </w:rPr>
        <w:t>novads</w:t>
      </w:r>
      <w:proofErr w:type="spellEnd"/>
      <w:r w:rsidRPr="003F7229">
        <w:rPr>
          <w:szCs w:val="22"/>
        </w:rPr>
        <w:t xml:space="preserve">, LV-2114, </w:t>
      </w:r>
    </w:p>
    <w:p w:rsidR="00A06603" w:rsidRPr="003F7229" w:rsidRDefault="00A06603" w:rsidP="00A06603">
      <w:pPr>
        <w:pStyle w:val="Pagrindinistekstas"/>
        <w:spacing w:after="0"/>
        <w:rPr>
          <w:szCs w:val="22"/>
        </w:rPr>
      </w:pPr>
      <w:r w:rsidRPr="003F7229">
        <w:rPr>
          <w:szCs w:val="22"/>
        </w:rPr>
        <w:t>Latvija</w:t>
      </w:r>
    </w:p>
    <w:p w:rsidR="00A06603" w:rsidRPr="003F7229" w:rsidRDefault="00A06603" w:rsidP="00A06603">
      <w:pPr>
        <w:tabs>
          <w:tab w:val="left" w:pos="567"/>
        </w:tabs>
        <w:jc w:val="both"/>
        <w:rPr>
          <w:sz w:val="22"/>
          <w:szCs w:val="22"/>
        </w:rPr>
      </w:pPr>
    </w:p>
    <w:p w:rsidR="00A06603" w:rsidRPr="003F7229" w:rsidRDefault="00A06603" w:rsidP="00A06603">
      <w:pPr>
        <w:tabs>
          <w:tab w:val="left" w:pos="567"/>
        </w:tabs>
        <w:jc w:val="both"/>
        <w:rPr>
          <w:b/>
          <w:sz w:val="22"/>
          <w:szCs w:val="22"/>
        </w:rPr>
      </w:pPr>
      <w:r w:rsidRPr="003F7229">
        <w:rPr>
          <w:b/>
          <w:bCs/>
          <w:sz w:val="22"/>
          <w:szCs w:val="22"/>
        </w:rPr>
        <w:t>Šis pakuotės lapelis</w:t>
      </w:r>
      <w:r w:rsidRPr="003F7229">
        <w:rPr>
          <w:b/>
          <w:sz w:val="22"/>
          <w:szCs w:val="22"/>
        </w:rPr>
        <w:t xml:space="preserve"> paskutinį kartą </w:t>
      </w:r>
      <w:r>
        <w:rPr>
          <w:b/>
          <w:sz w:val="22"/>
          <w:szCs w:val="22"/>
        </w:rPr>
        <w:t>peržiūrėtas 2024-11-22.</w:t>
      </w:r>
    </w:p>
    <w:p w:rsidR="00A06603" w:rsidRPr="003F7229" w:rsidRDefault="00A06603" w:rsidP="00A06603">
      <w:pPr>
        <w:tabs>
          <w:tab w:val="left" w:pos="567"/>
        </w:tabs>
        <w:jc w:val="both"/>
        <w:rPr>
          <w:sz w:val="22"/>
          <w:szCs w:val="22"/>
        </w:rPr>
      </w:pPr>
    </w:p>
    <w:p w:rsidR="00A06603" w:rsidRPr="003F7229" w:rsidRDefault="00A06603" w:rsidP="00A06603">
      <w:pPr>
        <w:numPr>
          <w:ilvl w:val="12"/>
          <w:numId w:val="0"/>
        </w:numPr>
        <w:tabs>
          <w:tab w:val="left" w:pos="567"/>
        </w:tabs>
        <w:ind w:right="-2"/>
        <w:rPr>
          <w:sz w:val="22"/>
          <w:szCs w:val="22"/>
        </w:rPr>
      </w:pPr>
      <w:r w:rsidRPr="003F7229">
        <w:rPr>
          <w:sz w:val="22"/>
          <w:szCs w:val="22"/>
        </w:rPr>
        <w:t>Išsami informacija apie šį vaistą pateikiama Valstybinės vaistų kontrolės tarnybos prie Lietuvos Respublikos sveikatos apsaugos ministerijos tinklalapyje</w:t>
      </w:r>
      <w:r w:rsidRPr="003F7229">
        <w:rPr>
          <w:i/>
          <w:sz w:val="22"/>
          <w:szCs w:val="22"/>
        </w:rPr>
        <w:t xml:space="preserve"> </w:t>
      </w:r>
      <w:hyperlink r:id="rId5" w:history="1">
        <w:r w:rsidRPr="00AD50D5">
          <w:rPr>
            <w:rStyle w:val="Hipersaitas"/>
            <w:sz w:val="22"/>
            <w:szCs w:val="22"/>
          </w:rPr>
          <w:t>https://vvkt.;rv.lt/lt</w:t>
        </w:r>
      </w:hyperlink>
      <w:r w:rsidRPr="003F7229">
        <w:rPr>
          <w:sz w:val="22"/>
          <w:szCs w:val="22"/>
        </w:rPr>
        <w:t xml:space="preserve"> </w:t>
      </w:r>
    </w:p>
    <w:p w:rsidR="00A06603" w:rsidRPr="003F7229" w:rsidRDefault="00A06603" w:rsidP="00A06603">
      <w:pPr>
        <w:tabs>
          <w:tab w:val="left" w:pos="567"/>
        </w:tabs>
        <w:jc w:val="both"/>
        <w:rPr>
          <w:sz w:val="22"/>
          <w:szCs w:val="22"/>
          <w:highlight w:val="yellow"/>
        </w:rPr>
      </w:pPr>
    </w:p>
    <w:p w:rsidR="00A06603" w:rsidRPr="003F7229" w:rsidRDefault="00A06603" w:rsidP="00A06603">
      <w:pPr>
        <w:rPr>
          <w:sz w:val="22"/>
          <w:szCs w:val="22"/>
        </w:rPr>
      </w:pPr>
    </w:p>
    <w:p w:rsidR="00BA6577" w:rsidRDefault="00BA6577">
      <w:bookmarkStart w:id="13" w:name="_GoBack"/>
      <w:bookmarkEnd w:id="13"/>
    </w:p>
    <w:sectPr w:rsidR="00BA6577" w:rsidSect="00E76721">
      <w:pgSz w:w="12240" w:h="15840"/>
      <w:pgMar w:top="1134" w:right="1418" w:bottom="1134" w:left="1418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A33C3"/>
    <w:multiLevelType w:val="hybridMultilevel"/>
    <w:tmpl w:val="1F7E7CD8"/>
    <w:lvl w:ilvl="0" w:tplc="FFFFFFFF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D605781"/>
    <w:multiLevelType w:val="hybridMultilevel"/>
    <w:tmpl w:val="51882E16"/>
    <w:lvl w:ilvl="0" w:tplc="F708879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CC1849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688756A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3623E79"/>
    <w:multiLevelType w:val="hybridMultilevel"/>
    <w:tmpl w:val="B1B640E2"/>
    <w:lvl w:ilvl="0" w:tplc="F708879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603"/>
    <w:rsid w:val="00072F85"/>
    <w:rsid w:val="000A5E72"/>
    <w:rsid w:val="000A7B60"/>
    <w:rsid w:val="00181364"/>
    <w:rsid w:val="002945D9"/>
    <w:rsid w:val="00305C48"/>
    <w:rsid w:val="003362C6"/>
    <w:rsid w:val="00497D4D"/>
    <w:rsid w:val="00742EBF"/>
    <w:rsid w:val="00A06603"/>
    <w:rsid w:val="00B4219F"/>
    <w:rsid w:val="00BA6577"/>
    <w:rsid w:val="00C30905"/>
    <w:rsid w:val="00D358F2"/>
    <w:rsid w:val="00E76721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32D249-B513-4B79-9BBE-D5A4A8A49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066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rsid w:val="00A06603"/>
    <w:rPr>
      <w:rFonts w:cs="Times New Roman"/>
      <w:color w:val="0000FF"/>
      <w:u w:val="single"/>
    </w:rPr>
  </w:style>
  <w:style w:type="paragraph" w:styleId="Pagrindinistekstas">
    <w:name w:val="Body Text"/>
    <w:basedOn w:val="prastasis"/>
    <w:link w:val="PagrindinistekstasDiagrama"/>
    <w:uiPriority w:val="99"/>
    <w:rsid w:val="00A06603"/>
    <w:pPr>
      <w:spacing w:after="120"/>
    </w:pPr>
    <w:rPr>
      <w:sz w:val="22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06603"/>
    <w:rPr>
      <w:rFonts w:ascii="Times New Roman" w:eastAsia="Times New Roman" w:hAnsi="Times New Roman" w:cs="Times New Roman"/>
      <w:szCs w:val="20"/>
      <w:lang w:eastAsia="lt-LT"/>
    </w:rPr>
  </w:style>
  <w:style w:type="paragraph" w:styleId="Sraopastraipa">
    <w:name w:val="List Paragraph"/>
    <w:basedOn w:val="prastasis"/>
    <w:uiPriority w:val="99"/>
    <w:qFormat/>
    <w:rsid w:val="00A066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vkt.;rv.lt/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7564</Words>
  <Characters>4312</Characters>
  <Application>Microsoft Office Word</Application>
  <DocSecurity>0</DocSecurity>
  <Lines>35</Lines>
  <Paragraphs>23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11</vt:i4>
      </vt:variant>
    </vt:vector>
  </HeadingPairs>
  <TitlesOfParts>
    <vt:vector size="12" baseType="lpstr">
      <vt:lpstr/>
      <vt:lpstr>Pakuotės lapelis: informacija vartotojui</vt:lpstr>
      <vt:lpstr/>
      <vt:lpstr>    1.	Kas yra Piracetamum-Olpha ir kam jis vartojamas</vt:lpstr>
      <vt:lpstr>    </vt:lpstr>
      <vt:lpstr>    2.	Kas žinotina prieš vartojant Piracetamum-Olpha</vt:lpstr>
      <vt:lpstr>    3.	Kaip vartoti Piracetamum-Olpha</vt:lpstr>
      <vt:lpstr>        4.	Galimas šalutinis poveikis</vt:lpstr>
      <vt:lpstr>    </vt:lpstr>
      <vt:lpstr>    5.	Kaip laikyti Piracetamum-Olpha</vt:lpstr>
      <vt:lpstr>    </vt:lpstr>
      <vt:lpstr>    6.	Pakuotės turinys ir kita informacija</vt:lpstr>
    </vt:vector>
  </TitlesOfParts>
  <Company/>
  <LinksUpToDate>false</LinksUpToDate>
  <CharactersWithSpaces>11853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2024-11-27T12:07:00Z</dcterms:created>
  <dcterms:modified xsi:type="dcterms:W3CDTF">2024-11-27T12:08:00Z</dcterms:modified>
</cp:coreProperties>
</file>