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40" w:rsidRPr="009A686B" w:rsidRDefault="00A03540" w:rsidP="00A03540">
      <w:pPr>
        <w:pStyle w:val="TTEMEASMCA"/>
        <w:rPr>
          <w:rFonts w:cs="Times New Roman"/>
          <w:caps w:val="0"/>
        </w:rPr>
      </w:pPr>
      <w:bookmarkStart w:id="0" w:name="_Toc129243138"/>
      <w:bookmarkStart w:id="1" w:name="_Toc129243263"/>
      <w:r w:rsidRPr="009A686B">
        <w:rPr>
          <w:rFonts w:cs="Times New Roman"/>
          <w:caps w:val="0"/>
        </w:rPr>
        <w:t xml:space="preserve">Pakuotės lapelis: </w:t>
      </w:r>
      <w:bookmarkEnd w:id="0"/>
      <w:bookmarkEnd w:id="1"/>
      <w:r w:rsidRPr="009A686B">
        <w:rPr>
          <w:rFonts w:cs="Times New Roman"/>
          <w:caps w:val="0"/>
        </w:rPr>
        <w:t>informacija vartotojui</w:t>
      </w:r>
    </w:p>
    <w:p w:rsidR="00A03540" w:rsidRPr="009A686B" w:rsidRDefault="00A03540" w:rsidP="00A03540">
      <w:pPr>
        <w:pStyle w:val="TTEMEASMCA"/>
        <w:rPr>
          <w:rFonts w:cs="Times New Roman"/>
          <w:caps w:val="0"/>
        </w:rPr>
      </w:pPr>
      <w:r w:rsidRPr="009A686B">
        <w:rPr>
          <w:rFonts w:cs="Times New Roman"/>
          <w:caps w:val="0"/>
        </w:rPr>
        <w:t>ISDN-</w:t>
      </w:r>
      <w:proofErr w:type="spellStart"/>
      <w:r w:rsidRPr="009A686B">
        <w:rPr>
          <w:rFonts w:cs="Times New Roman"/>
          <w:caps w:val="0"/>
        </w:rPr>
        <w:t>ratiopharm</w:t>
      </w:r>
      <w:proofErr w:type="spellEnd"/>
      <w:r w:rsidRPr="009A686B">
        <w:rPr>
          <w:rFonts w:cs="Times New Roman"/>
          <w:caps w:val="0"/>
        </w:rPr>
        <w:t xml:space="preserve"> 20</w:t>
      </w:r>
      <w:r>
        <w:rPr>
          <w:rFonts w:cs="Times New Roman"/>
          <w:caps w:val="0"/>
        </w:rPr>
        <w:t> </w:t>
      </w:r>
      <w:r w:rsidRPr="009A686B">
        <w:rPr>
          <w:rFonts w:cs="Times New Roman"/>
          <w:caps w:val="0"/>
        </w:rPr>
        <w:t>mg pailginto atpalaidavimo kietosios kapsulės</w:t>
      </w:r>
    </w:p>
    <w:p w:rsidR="00A03540" w:rsidRPr="009A686B" w:rsidRDefault="00A03540" w:rsidP="00A03540">
      <w:pPr>
        <w:pStyle w:val="TTEMEASMCA"/>
        <w:rPr>
          <w:rFonts w:cs="Times New Roman"/>
          <w:b w:val="0"/>
        </w:rPr>
      </w:pPr>
      <w:proofErr w:type="spellStart"/>
      <w:r w:rsidRPr="009A686B">
        <w:rPr>
          <w:rFonts w:cs="Times New Roman"/>
          <w:b w:val="0"/>
          <w:caps w:val="0"/>
        </w:rPr>
        <w:t>Izosorbido</w:t>
      </w:r>
      <w:proofErr w:type="spellEnd"/>
      <w:r w:rsidRPr="009A686B">
        <w:rPr>
          <w:rFonts w:cs="Times New Roman"/>
          <w:b w:val="0"/>
          <w:caps w:val="0"/>
        </w:rPr>
        <w:t xml:space="preserve"> </w:t>
      </w:r>
      <w:proofErr w:type="spellStart"/>
      <w:r w:rsidRPr="009A686B">
        <w:rPr>
          <w:rFonts w:cs="Times New Roman"/>
          <w:b w:val="0"/>
          <w:caps w:val="0"/>
        </w:rPr>
        <w:t>dinitratas</w:t>
      </w:r>
      <w:proofErr w:type="spellEnd"/>
    </w:p>
    <w:p w:rsidR="00A03540" w:rsidRPr="009A686B" w:rsidRDefault="00A03540" w:rsidP="00A03540">
      <w:pPr>
        <w:pStyle w:val="TTEMEASMCA"/>
        <w:rPr>
          <w:rFonts w:cs="Times New Roman"/>
        </w:rPr>
      </w:pPr>
    </w:p>
    <w:p w:rsidR="00A03540" w:rsidRPr="009A686B" w:rsidRDefault="00A03540" w:rsidP="00A03540">
      <w:pPr>
        <w:pStyle w:val="Porat"/>
        <w:rPr>
          <w:b/>
          <w:sz w:val="22"/>
          <w:szCs w:val="22"/>
        </w:rPr>
      </w:pPr>
      <w:r w:rsidRPr="009A686B">
        <w:rPr>
          <w:b/>
          <w:sz w:val="22"/>
          <w:szCs w:val="22"/>
        </w:rPr>
        <w:t>Atidžiai perskaitykite visą šį lapelį, prieš pradėdami vartoti vaistą, nes jame pateikiama Jums svarbi informacija</w:t>
      </w:r>
    </w:p>
    <w:p w:rsidR="00A03540" w:rsidRPr="009A686B" w:rsidRDefault="00A03540" w:rsidP="00A03540">
      <w:pPr>
        <w:pStyle w:val="Text"/>
        <w:numPr>
          <w:ilvl w:val="0"/>
          <w:numId w:val="1"/>
        </w:numPr>
        <w:ind w:left="567" w:hanging="567"/>
      </w:pPr>
      <w:r w:rsidRPr="009A686B">
        <w:rPr>
          <w:lang w:val="lt-LT"/>
        </w:rPr>
        <w:t>Neišmeskite šio lapelio, nes</w:t>
      </w:r>
      <w:r w:rsidRPr="009A686B">
        <w:t xml:space="preserve"> </w:t>
      </w:r>
      <w:proofErr w:type="spellStart"/>
      <w:r w:rsidRPr="009A686B">
        <w:t>vėl</w:t>
      </w:r>
      <w:proofErr w:type="spellEnd"/>
      <w:r w:rsidRPr="009A686B">
        <w:t xml:space="preserve"> </w:t>
      </w:r>
      <w:proofErr w:type="spellStart"/>
      <w:r w:rsidRPr="009A686B">
        <w:t>gali</w:t>
      </w:r>
      <w:proofErr w:type="spellEnd"/>
      <w:r w:rsidRPr="009A686B">
        <w:t xml:space="preserve"> </w:t>
      </w:r>
      <w:proofErr w:type="spellStart"/>
      <w:r w:rsidRPr="009A686B">
        <w:t>prireikti</w:t>
      </w:r>
      <w:proofErr w:type="spellEnd"/>
      <w:r w:rsidRPr="009A686B">
        <w:t xml:space="preserve"> </w:t>
      </w:r>
      <w:proofErr w:type="spellStart"/>
      <w:r w:rsidRPr="009A686B">
        <w:t>jį</w:t>
      </w:r>
      <w:proofErr w:type="spellEnd"/>
      <w:r w:rsidRPr="009A686B">
        <w:t xml:space="preserve"> </w:t>
      </w:r>
      <w:proofErr w:type="spellStart"/>
      <w:r w:rsidRPr="009A686B">
        <w:t>perskaityti</w:t>
      </w:r>
      <w:proofErr w:type="spellEnd"/>
      <w:r w:rsidRPr="009A686B">
        <w:t>.</w:t>
      </w:r>
    </w:p>
    <w:p w:rsidR="00A03540" w:rsidRPr="009A686B" w:rsidRDefault="00A03540" w:rsidP="00A03540">
      <w:pPr>
        <w:pStyle w:val="Text"/>
        <w:numPr>
          <w:ilvl w:val="0"/>
          <w:numId w:val="1"/>
        </w:numPr>
        <w:ind w:left="567" w:hanging="567"/>
      </w:pPr>
      <w:r w:rsidRPr="009A686B">
        <w:rPr>
          <w:lang w:val="lt-LT"/>
        </w:rPr>
        <w:t>Jeigu kiltų daugiau klausimų,</w:t>
      </w:r>
      <w:r w:rsidRPr="009A686B">
        <w:t xml:space="preserve"> </w:t>
      </w:r>
      <w:proofErr w:type="spellStart"/>
      <w:r w:rsidRPr="009A686B">
        <w:t>kreipkitės</w:t>
      </w:r>
      <w:proofErr w:type="spellEnd"/>
      <w:r w:rsidRPr="009A686B">
        <w:t xml:space="preserve"> į </w:t>
      </w:r>
      <w:proofErr w:type="spellStart"/>
      <w:r w:rsidRPr="009A686B">
        <w:t>gydytoją</w:t>
      </w:r>
      <w:proofErr w:type="spellEnd"/>
      <w:r w:rsidRPr="009A686B">
        <w:t xml:space="preserve"> </w:t>
      </w:r>
      <w:proofErr w:type="spellStart"/>
      <w:r w:rsidRPr="009A686B">
        <w:t>arba</w:t>
      </w:r>
      <w:proofErr w:type="spellEnd"/>
      <w:r w:rsidRPr="009A686B">
        <w:t xml:space="preserve"> </w:t>
      </w:r>
      <w:proofErr w:type="spellStart"/>
      <w:r w:rsidRPr="009A686B">
        <w:t>vaistininką</w:t>
      </w:r>
      <w:proofErr w:type="spellEnd"/>
      <w:r w:rsidRPr="009A686B">
        <w:t>.</w:t>
      </w:r>
    </w:p>
    <w:p w:rsidR="00A03540" w:rsidRPr="009A686B" w:rsidRDefault="00A03540" w:rsidP="00A03540">
      <w:pPr>
        <w:pStyle w:val="Text"/>
        <w:numPr>
          <w:ilvl w:val="0"/>
          <w:numId w:val="1"/>
        </w:numPr>
        <w:ind w:left="567" w:hanging="567"/>
      </w:pPr>
      <w:r w:rsidRPr="009A686B">
        <w:rPr>
          <w:lang w:val="lt-LT"/>
        </w:rPr>
        <w:t>Šis vaistas skirtas tik Jums, todėl kitiems</w:t>
      </w:r>
      <w:r w:rsidRPr="009A686B">
        <w:t xml:space="preserve"> </w:t>
      </w:r>
      <w:proofErr w:type="spellStart"/>
      <w:r w:rsidRPr="009A686B">
        <w:t>žmonėms</w:t>
      </w:r>
      <w:proofErr w:type="spellEnd"/>
      <w:r w:rsidRPr="009A686B">
        <w:t xml:space="preserve"> </w:t>
      </w:r>
      <w:proofErr w:type="spellStart"/>
      <w:r w:rsidRPr="009A686B">
        <w:t>jo</w:t>
      </w:r>
      <w:proofErr w:type="spellEnd"/>
      <w:r w:rsidRPr="009A686B">
        <w:t xml:space="preserve"> </w:t>
      </w:r>
      <w:proofErr w:type="spellStart"/>
      <w:r w:rsidRPr="009A686B">
        <w:t>duoti</w:t>
      </w:r>
      <w:proofErr w:type="spellEnd"/>
      <w:r w:rsidRPr="009A686B">
        <w:t xml:space="preserve"> </w:t>
      </w:r>
      <w:proofErr w:type="spellStart"/>
      <w:r w:rsidRPr="009A686B">
        <w:t>negalima</w:t>
      </w:r>
      <w:proofErr w:type="spellEnd"/>
      <w:r w:rsidRPr="009A686B">
        <w:t xml:space="preserve">. </w:t>
      </w:r>
      <w:proofErr w:type="spellStart"/>
      <w:r w:rsidRPr="009A686B">
        <w:t>Vaistas</w:t>
      </w:r>
      <w:proofErr w:type="spellEnd"/>
      <w:r w:rsidRPr="009A686B">
        <w:t xml:space="preserve"> </w:t>
      </w:r>
      <w:proofErr w:type="spellStart"/>
      <w:r w:rsidRPr="009A686B">
        <w:t>gali</w:t>
      </w:r>
      <w:proofErr w:type="spellEnd"/>
      <w:r w:rsidRPr="009A686B">
        <w:t xml:space="preserve"> </w:t>
      </w:r>
      <w:proofErr w:type="spellStart"/>
      <w:r w:rsidRPr="009A686B">
        <w:t>jiems</w:t>
      </w:r>
      <w:proofErr w:type="spellEnd"/>
      <w:r w:rsidRPr="009A686B">
        <w:t xml:space="preserve"> </w:t>
      </w:r>
      <w:proofErr w:type="spellStart"/>
      <w:r w:rsidRPr="009A686B">
        <w:t>pakenkti</w:t>
      </w:r>
      <w:proofErr w:type="spellEnd"/>
      <w:r w:rsidRPr="009A686B">
        <w:t xml:space="preserve"> (</w:t>
      </w:r>
      <w:proofErr w:type="spellStart"/>
      <w:r w:rsidRPr="009A686B">
        <w:t>net</w:t>
      </w:r>
      <w:proofErr w:type="spellEnd"/>
      <w:r w:rsidRPr="009A686B">
        <w:t xml:space="preserve"> </w:t>
      </w:r>
      <w:proofErr w:type="spellStart"/>
      <w:r w:rsidRPr="009A686B">
        <w:t>tiems</w:t>
      </w:r>
      <w:proofErr w:type="spellEnd"/>
      <w:r w:rsidRPr="009A686B">
        <w:t xml:space="preserve">, </w:t>
      </w:r>
      <w:proofErr w:type="spellStart"/>
      <w:r w:rsidRPr="009A686B">
        <w:t>kurių</w:t>
      </w:r>
      <w:proofErr w:type="spellEnd"/>
      <w:r w:rsidRPr="009A686B">
        <w:t xml:space="preserve"> </w:t>
      </w:r>
      <w:proofErr w:type="spellStart"/>
      <w:r w:rsidRPr="009A686B">
        <w:t>ligos</w:t>
      </w:r>
      <w:proofErr w:type="spellEnd"/>
      <w:r w:rsidRPr="009A686B">
        <w:t xml:space="preserve"> </w:t>
      </w:r>
      <w:r w:rsidRPr="00C30FD0">
        <w:rPr>
          <w:noProof/>
          <w:szCs w:val="24"/>
          <w:lang w:val="lt-LT" w:eastAsia="en-US"/>
        </w:rPr>
        <w:t>požymiai</w:t>
      </w:r>
      <w:r w:rsidRPr="009A686B">
        <w:t xml:space="preserve"> </w:t>
      </w:r>
      <w:proofErr w:type="spellStart"/>
      <w:r w:rsidRPr="009A686B">
        <w:t>yra</w:t>
      </w:r>
      <w:proofErr w:type="spellEnd"/>
      <w:r w:rsidRPr="009A686B">
        <w:t xml:space="preserve"> </w:t>
      </w:r>
      <w:proofErr w:type="spellStart"/>
      <w:r w:rsidRPr="009A686B">
        <w:t>tokie</w:t>
      </w:r>
      <w:proofErr w:type="spellEnd"/>
      <w:r w:rsidRPr="009A686B">
        <w:t xml:space="preserve"> </w:t>
      </w:r>
      <w:proofErr w:type="spellStart"/>
      <w:r w:rsidRPr="009A686B">
        <w:t>patys</w:t>
      </w:r>
      <w:proofErr w:type="spellEnd"/>
      <w:r w:rsidRPr="009A686B">
        <w:t xml:space="preserve"> </w:t>
      </w:r>
      <w:proofErr w:type="spellStart"/>
      <w:r w:rsidRPr="009A686B">
        <w:t>kaip</w:t>
      </w:r>
      <w:proofErr w:type="spellEnd"/>
      <w:r w:rsidRPr="009A686B">
        <w:t xml:space="preserve"> </w:t>
      </w:r>
      <w:proofErr w:type="spellStart"/>
      <w:r w:rsidRPr="009A686B">
        <w:t>Jūsų</w:t>
      </w:r>
      <w:proofErr w:type="spellEnd"/>
      <w:r w:rsidRPr="009A686B">
        <w:t>).</w:t>
      </w:r>
    </w:p>
    <w:p w:rsidR="00A03540" w:rsidRPr="009A686B" w:rsidRDefault="00A03540" w:rsidP="00A03540">
      <w:pPr>
        <w:pStyle w:val="Text"/>
        <w:numPr>
          <w:ilvl w:val="0"/>
          <w:numId w:val="1"/>
        </w:numPr>
        <w:ind w:left="567" w:hanging="567"/>
      </w:pPr>
      <w:r w:rsidRPr="009A686B">
        <w:rPr>
          <w:lang w:val="lt-LT"/>
        </w:rPr>
        <w:t>Jeigu pasireiškė šalutinis poveikis (net jeigu jis šiame lapelyje nenurodytas), kreipkitės į gydytoją arba vaistininką. Žr. 4 skyrių</w:t>
      </w:r>
      <w:r w:rsidRPr="009A686B">
        <w:t>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Default="00A03540" w:rsidP="00A03540">
      <w:pPr>
        <w:pStyle w:val="Porat"/>
        <w:rPr>
          <w:b/>
          <w:sz w:val="22"/>
          <w:szCs w:val="22"/>
        </w:rPr>
      </w:pPr>
      <w:r w:rsidRPr="009A686B">
        <w:rPr>
          <w:b/>
          <w:sz w:val="22"/>
          <w:szCs w:val="22"/>
        </w:rPr>
        <w:t>Apie ką rašoma šiame lapelyje?</w:t>
      </w:r>
    </w:p>
    <w:p w:rsidR="00A03540" w:rsidRPr="009A686B" w:rsidRDefault="00A03540" w:rsidP="00A03540">
      <w:pPr>
        <w:pStyle w:val="Porat"/>
        <w:rPr>
          <w:b/>
          <w:sz w:val="22"/>
          <w:szCs w:val="22"/>
        </w:rPr>
      </w:pP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1.</w:t>
      </w:r>
      <w:r w:rsidRPr="009A686B">
        <w:rPr>
          <w:sz w:val="22"/>
          <w:szCs w:val="22"/>
        </w:rPr>
        <w:tab/>
        <w:t xml:space="preserve">Kas yra </w:t>
      </w: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sz w:val="22"/>
          <w:szCs w:val="22"/>
        </w:rPr>
        <w:t xml:space="preserve"> ir kam jis vartojamas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2.</w:t>
      </w:r>
      <w:r w:rsidRPr="009A686B">
        <w:rPr>
          <w:sz w:val="22"/>
          <w:szCs w:val="22"/>
        </w:rPr>
        <w:tab/>
        <w:t xml:space="preserve">Kas žinotina prieš vartojant </w:t>
      </w: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rStyle w:val="Heading2Char"/>
          <w:szCs w:val="22"/>
        </w:rPr>
        <w:t xml:space="preserve"> 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3.</w:t>
      </w:r>
      <w:r w:rsidRPr="009A686B">
        <w:rPr>
          <w:sz w:val="22"/>
          <w:szCs w:val="22"/>
        </w:rPr>
        <w:tab/>
        <w:t xml:space="preserve">Kaip vartoti </w:t>
      </w: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rStyle w:val="Heading2Char"/>
          <w:szCs w:val="22"/>
        </w:rPr>
        <w:t xml:space="preserve"> 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4.</w:t>
      </w:r>
      <w:r w:rsidRPr="009A686B">
        <w:rPr>
          <w:sz w:val="22"/>
          <w:szCs w:val="22"/>
        </w:rPr>
        <w:tab/>
        <w:t>Galimas šalutinis poveikis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5.</w:t>
      </w:r>
      <w:r w:rsidRPr="009A686B">
        <w:rPr>
          <w:sz w:val="22"/>
          <w:szCs w:val="22"/>
        </w:rPr>
        <w:tab/>
        <w:t xml:space="preserve">Kaip laikyti </w:t>
      </w: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rStyle w:val="Heading2Char"/>
          <w:szCs w:val="22"/>
        </w:rPr>
        <w:t xml:space="preserve"> 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  <w:r w:rsidRPr="009A686B">
        <w:rPr>
          <w:sz w:val="22"/>
          <w:szCs w:val="22"/>
        </w:rPr>
        <w:t>6.</w:t>
      </w:r>
      <w:r w:rsidRPr="009A686B">
        <w:rPr>
          <w:sz w:val="22"/>
          <w:szCs w:val="22"/>
        </w:rPr>
        <w:tab/>
      </w:r>
      <w:r w:rsidRPr="00C30FD0">
        <w:rPr>
          <w:noProof/>
          <w:snapToGrid w:val="0"/>
          <w:sz w:val="22"/>
        </w:rPr>
        <w:t>Pakuotės turinys ir kita informacija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2" w:name="_Toc129243139"/>
      <w:bookmarkStart w:id="3" w:name="_Toc129243264"/>
      <w:r w:rsidRPr="009A686B">
        <w:t>1.</w:t>
      </w:r>
      <w:r w:rsidRPr="009A686B">
        <w:tab/>
      </w:r>
      <w:bookmarkEnd w:id="2"/>
      <w:bookmarkEnd w:id="3"/>
      <w:r w:rsidRPr="009A686B">
        <w:t>Kas yra ISDN-</w:t>
      </w:r>
      <w:proofErr w:type="spellStart"/>
      <w:r w:rsidRPr="009A686B">
        <w:t>ratiopharm</w:t>
      </w:r>
      <w:proofErr w:type="spellEnd"/>
      <w:r w:rsidRPr="009A686B">
        <w:t xml:space="preserve"> ir kam jis vartojamas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rStyle w:val="Heading2Char"/>
          <w:szCs w:val="22"/>
        </w:rPr>
        <w:t xml:space="preserve"> yra</w:t>
      </w:r>
      <w:r w:rsidRPr="009A686B">
        <w:rPr>
          <w:sz w:val="22"/>
          <w:szCs w:val="22"/>
        </w:rPr>
        <w:t xml:space="preserve"> organinių nitratų grupės vaistas. Organiniai nitratai plečia kraujagysles, todėl pagerina širdies aprūpinimą krauju ir deguonimi.</w:t>
      </w:r>
      <w:r w:rsidRPr="009A686B">
        <w:rPr>
          <w:b/>
          <w:bCs/>
          <w:sz w:val="22"/>
          <w:szCs w:val="22"/>
        </w:rPr>
        <w:t xml:space="preserve"> 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rStyle w:val="Heading2Char"/>
          <w:szCs w:val="22"/>
        </w:rPr>
        <w:t>ISDN-</w:t>
      </w:r>
      <w:proofErr w:type="spellStart"/>
      <w:r w:rsidRPr="009A686B">
        <w:rPr>
          <w:rStyle w:val="Heading2Char"/>
          <w:szCs w:val="22"/>
        </w:rPr>
        <w:t>ratiopharm</w:t>
      </w:r>
      <w:proofErr w:type="spellEnd"/>
      <w:r w:rsidRPr="009A686B">
        <w:rPr>
          <w:szCs w:val="22"/>
        </w:rPr>
        <w:t xml:space="preserve"> vartojamas krūtinės anginai gydyti ir jos priepuolių profilaktikai.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4" w:name="_Toc129243140"/>
      <w:bookmarkStart w:id="5" w:name="_Toc129243265"/>
      <w:r w:rsidRPr="009A686B">
        <w:t>2.</w:t>
      </w:r>
      <w:r w:rsidRPr="009A686B">
        <w:tab/>
        <w:t xml:space="preserve">Kas žinotina prieš vartojant </w:t>
      </w:r>
      <w:bookmarkEnd w:id="4"/>
      <w:bookmarkEnd w:id="5"/>
      <w:r w:rsidRPr="009A686B">
        <w:t>ISDN-</w:t>
      </w:r>
      <w:proofErr w:type="spellStart"/>
      <w:r w:rsidRPr="009A686B">
        <w:t>ratiopharm</w:t>
      </w:r>
      <w:proofErr w:type="spellEnd"/>
      <w:r w:rsidRPr="009A686B">
        <w:t xml:space="preserve"> 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b/>
          <w:sz w:val="22"/>
          <w:szCs w:val="22"/>
        </w:rPr>
      </w:pPr>
      <w:r w:rsidRPr="009A686B">
        <w:rPr>
          <w:b/>
          <w:sz w:val="22"/>
          <w:szCs w:val="22"/>
        </w:rPr>
        <w:t>ISDN-</w:t>
      </w:r>
      <w:proofErr w:type="spellStart"/>
      <w:r w:rsidRPr="009A686B">
        <w:rPr>
          <w:b/>
          <w:sz w:val="22"/>
          <w:szCs w:val="22"/>
        </w:rPr>
        <w:t>ratiopharm</w:t>
      </w:r>
      <w:proofErr w:type="spellEnd"/>
      <w:r w:rsidRPr="009A686B">
        <w:rPr>
          <w:b/>
          <w:sz w:val="22"/>
          <w:szCs w:val="22"/>
        </w:rPr>
        <w:t xml:space="preserve"> vartoti negalima:</w:t>
      </w:r>
    </w:p>
    <w:p w:rsidR="00A03540" w:rsidRPr="009A686B" w:rsidRDefault="00A03540" w:rsidP="00A03540">
      <w:pPr>
        <w:pStyle w:val="Pagrindinistekstas"/>
        <w:spacing w:after="0"/>
        <w:ind w:left="567" w:hanging="567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</w:t>
      </w:r>
      <w:r>
        <w:rPr>
          <w:szCs w:val="22"/>
        </w:rPr>
        <w:t>yra alergija veikliajai medžiagai</w:t>
      </w:r>
      <w:r w:rsidRPr="009A686B">
        <w:rPr>
          <w:szCs w:val="22"/>
        </w:rPr>
        <w:t xml:space="preserve">, bet kuriam kitam organiniam nitratui arba </w:t>
      </w:r>
      <w:r w:rsidRPr="00674771">
        <w:rPr>
          <w:noProof/>
          <w:snapToGrid w:val="0"/>
          <w:szCs w:val="24"/>
          <w:lang w:eastAsia="en-US"/>
        </w:rPr>
        <w:t>bet kuriai pagalbinei šio vaisto medžiagai (jos išvardytos 6 skyriuje)</w:t>
      </w:r>
      <w:r w:rsidRPr="009A686B">
        <w:rPr>
          <w:szCs w:val="22"/>
        </w:rPr>
        <w:t>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ištiko ūminis kraujotakos nepakankamumas (šokas, </w:t>
      </w:r>
      <w:proofErr w:type="spellStart"/>
      <w:r w:rsidRPr="009A686B">
        <w:rPr>
          <w:szCs w:val="22"/>
        </w:rPr>
        <w:t>kolapsas</w:t>
      </w:r>
      <w:proofErr w:type="spellEnd"/>
      <w:r w:rsidRPr="009A686B">
        <w:rPr>
          <w:szCs w:val="22"/>
        </w:rPr>
        <w:t>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ind w:left="567" w:hanging="567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ištiko </w:t>
      </w:r>
      <w:proofErr w:type="spellStart"/>
      <w:r w:rsidRPr="009A686B">
        <w:rPr>
          <w:szCs w:val="22"/>
        </w:rPr>
        <w:t>kardiogeninis</w:t>
      </w:r>
      <w:proofErr w:type="spellEnd"/>
      <w:r w:rsidRPr="009A686B">
        <w:rPr>
          <w:szCs w:val="22"/>
        </w:rPr>
        <w:t xml:space="preserve"> šokas, jei </w:t>
      </w:r>
      <w:proofErr w:type="spellStart"/>
      <w:r w:rsidRPr="009A686B">
        <w:rPr>
          <w:szCs w:val="22"/>
        </w:rPr>
        <w:t>intraaortine</w:t>
      </w:r>
      <w:proofErr w:type="spellEnd"/>
      <w:r w:rsidRPr="009A686B">
        <w:rPr>
          <w:szCs w:val="22"/>
        </w:rPr>
        <w:t xml:space="preserve"> priešine pulsacija ar teigiamu </w:t>
      </w:r>
      <w:proofErr w:type="spellStart"/>
      <w:r w:rsidRPr="009A686B">
        <w:rPr>
          <w:szCs w:val="22"/>
        </w:rPr>
        <w:t>inotropiniu</w:t>
      </w:r>
      <w:proofErr w:type="spellEnd"/>
      <w:r w:rsidRPr="009A686B">
        <w:rPr>
          <w:szCs w:val="22"/>
        </w:rPr>
        <w:t xml:space="preserve"> poveikiu pasižyminčiais vaistais negalima užtikrinti pakankamo kraujospūdžio kairiajame skilvelyje </w:t>
      </w:r>
      <w:proofErr w:type="spellStart"/>
      <w:r w:rsidRPr="009A686B">
        <w:rPr>
          <w:szCs w:val="22"/>
        </w:rPr>
        <w:t>diastolės</w:t>
      </w:r>
      <w:proofErr w:type="spellEnd"/>
      <w:r w:rsidRPr="009A686B">
        <w:rPr>
          <w:szCs w:val="22"/>
        </w:rPr>
        <w:t xml:space="preserve"> pabaigoje (kraujotakos nepakankamumas dėl širdies sutrikimų);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per didelė </w:t>
      </w:r>
      <w:proofErr w:type="spellStart"/>
      <w:r w:rsidRPr="009A686B">
        <w:rPr>
          <w:szCs w:val="22"/>
        </w:rPr>
        <w:t>hipotenzija</w:t>
      </w:r>
      <w:proofErr w:type="spellEnd"/>
      <w:r w:rsidRPr="009A686B">
        <w:rPr>
          <w:szCs w:val="22"/>
        </w:rPr>
        <w:t xml:space="preserve"> (</w:t>
      </w:r>
      <w:proofErr w:type="spellStart"/>
      <w:r w:rsidRPr="009A686B">
        <w:rPr>
          <w:szCs w:val="22"/>
        </w:rPr>
        <w:t>sistolinis</w:t>
      </w:r>
      <w:proofErr w:type="spellEnd"/>
      <w:r w:rsidRPr="009A686B">
        <w:rPr>
          <w:szCs w:val="22"/>
        </w:rPr>
        <w:t xml:space="preserve"> kraujospūdis mažesnis nei 90 mm </w:t>
      </w:r>
      <w:proofErr w:type="spellStart"/>
      <w:r w:rsidRPr="009A686B">
        <w:rPr>
          <w:szCs w:val="22"/>
        </w:rPr>
        <w:t>Hg</w:t>
      </w:r>
      <w:proofErr w:type="spellEnd"/>
      <w:r w:rsidRPr="009A686B">
        <w:rPr>
          <w:szCs w:val="22"/>
        </w:rPr>
        <w:t>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</w:t>
      </w:r>
      <w:proofErr w:type="spellStart"/>
      <w:r w:rsidRPr="009A686B">
        <w:rPr>
          <w:szCs w:val="22"/>
        </w:rPr>
        <w:t>hipovolemija</w:t>
      </w:r>
      <w:proofErr w:type="spellEnd"/>
      <w:r w:rsidRPr="009A686B">
        <w:rPr>
          <w:szCs w:val="22"/>
        </w:rPr>
        <w:t xml:space="preserve"> (sumažėjęs kraujo tūris);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</w:t>
      </w:r>
      <w:proofErr w:type="spellStart"/>
      <w:r w:rsidRPr="009A686B">
        <w:rPr>
          <w:szCs w:val="22"/>
        </w:rPr>
        <w:t>hipertrofinė</w:t>
      </w:r>
      <w:proofErr w:type="spellEnd"/>
      <w:r w:rsidRPr="009A686B">
        <w:rPr>
          <w:szCs w:val="22"/>
        </w:rPr>
        <w:t xml:space="preserve"> kardiomiopatija (širdies liga);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aortos arba </w:t>
      </w:r>
      <w:proofErr w:type="spellStart"/>
      <w:r w:rsidRPr="009A686B">
        <w:rPr>
          <w:szCs w:val="22"/>
        </w:rPr>
        <w:t>mitralinė</w:t>
      </w:r>
      <w:proofErr w:type="spellEnd"/>
      <w:r w:rsidRPr="009A686B">
        <w:rPr>
          <w:szCs w:val="22"/>
        </w:rPr>
        <w:t xml:space="preserve"> stenozė (širdies ligos);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širdies </w:t>
      </w:r>
      <w:proofErr w:type="spellStart"/>
      <w:r w:rsidRPr="009A686B">
        <w:rPr>
          <w:szCs w:val="22"/>
        </w:rPr>
        <w:t>tamponada</w:t>
      </w:r>
      <w:proofErr w:type="spellEnd"/>
      <w:r w:rsidRPr="009A686B">
        <w:rPr>
          <w:szCs w:val="22"/>
        </w:rPr>
        <w:t xml:space="preserve"> (kraujotakos sutrikimas, sukeliantis širdies suspaudimą);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</w:t>
      </w:r>
      <w:proofErr w:type="spellStart"/>
      <w:r w:rsidRPr="009A686B">
        <w:rPr>
          <w:szCs w:val="22"/>
        </w:rPr>
        <w:t>konstrikcinis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perikarditas</w:t>
      </w:r>
      <w:proofErr w:type="spellEnd"/>
      <w:r w:rsidRPr="009A686B">
        <w:rPr>
          <w:szCs w:val="22"/>
        </w:rPr>
        <w:t xml:space="preserve"> (</w:t>
      </w:r>
      <w:proofErr w:type="spellStart"/>
      <w:r w:rsidRPr="009A686B">
        <w:rPr>
          <w:szCs w:val="22"/>
        </w:rPr>
        <w:t>širdiplėvės</w:t>
      </w:r>
      <w:proofErr w:type="spellEnd"/>
      <w:r w:rsidRPr="009A686B">
        <w:rPr>
          <w:szCs w:val="22"/>
        </w:rPr>
        <w:t xml:space="preserve"> liga);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jeigu yra </w:t>
      </w:r>
      <w:r w:rsidRPr="00AC79C3">
        <w:rPr>
          <w:szCs w:val="22"/>
        </w:rPr>
        <w:t>reikšminga</w:t>
      </w:r>
      <w:r w:rsidRPr="009A686B">
        <w:rPr>
          <w:szCs w:val="22"/>
        </w:rPr>
        <w:t xml:space="preserve"> anemija;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ind w:left="567" w:hanging="567"/>
        <w:rPr>
          <w:szCs w:val="22"/>
        </w:rPr>
      </w:pPr>
      <w:r w:rsidRPr="009A686B">
        <w:rPr>
          <w:szCs w:val="22"/>
        </w:rPr>
        <w:t>-</w:t>
      </w:r>
      <w:r w:rsidRPr="009A686B">
        <w:rPr>
          <w:szCs w:val="22"/>
        </w:rPr>
        <w:tab/>
        <w:t xml:space="preserve">vartojimas kartu su fosfodiesterazės-5-inhibitoriais (pvz., </w:t>
      </w:r>
      <w:proofErr w:type="spellStart"/>
      <w:r w:rsidRPr="009A686B">
        <w:rPr>
          <w:szCs w:val="22"/>
        </w:rPr>
        <w:t>sildenafiliu</w:t>
      </w:r>
      <w:proofErr w:type="spellEnd"/>
      <w:r w:rsidRPr="009A686B">
        <w:rPr>
          <w:szCs w:val="22"/>
        </w:rPr>
        <w:t xml:space="preserve">, </w:t>
      </w:r>
      <w:proofErr w:type="spellStart"/>
      <w:r w:rsidRPr="009A686B">
        <w:rPr>
          <w:szCs w:val="22"/>
        </w:rPr>
        <w:t>tadalafiliu</w:t>
      </w:r>
      <w:proofErr w:type="spellEnd"/>
      <w:r w:rsidRPr="009A686B">
        <w:rPr>
          <w:szCs w:val="22"/>
        </w:rPr>
        <w:t xml:space="preserve"> arba </w:t>
      </w:r>
      <w:proofErr w:type="spellStart"/>
      <w:r w:rsidRPr="009A686B">
        <w:rPr>
          <w:szCs w:val="22"/>
        </w:rPr>
        <w:t>vardenafiliu</w:t>
      </w:r>
      <w:proofErr w:type="spellEnd"/>
      <w:r w:rsidRPr="009A686B">
        <w:rPr>
          <w:szCs w:val="22"/>
        </w:rPr>
        <w:t>).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ISDN-</w:t>
      </w:r>
      <w:proofErr w:type="spellStart"/>
      <w:r w:rsidRPr="009A686B">
        <w:rPr>
          <w:szCs w:val="22"/>
        </w:rPr>
        <w:t>ratiopharm</w:t>
      </w:r>
      <w:proofErr w:type="spellEnd"/>
      <w:r w:rsidRPr="009A686B">
        <w:rPr>
          <w:szCs w:val="22"/>
        </w:rPr>
        <w:t xml:space="preserve"> netinka ūmiam krūtinės anginos priepuoliui ir miokardo infarktui gydyti.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Default="00A03540" w:rsidP="00A03540">
      <w:pPr>
        <w:rPr>
          <w:b/>
          <w:sz w:val="22"/>
          <w:szCs w:val="22"/>
        </w:rPr>
      </w:pPr>
      <w:r w:rsidRPr="009A686B">
        <w:rPr>
          <w:b/>
          <w:sz w:val="22"/>
          <w:szCs w:val="22"/>
        </w:rPr>
        <w:t>Įspėjimai ir atsargumo priemonės</w:t>
      </w:r>
    </w:p>
    <w:p w:rsidR="00A03540" w:rsidRPr="00674771" w:rsidRDefault="00A03540" w:rsidP="00A03540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674771">
        <w:rPr>
          <w:noProof/>
          <w:snapToGrid w:val="0"/>
          <w:sz w:val="22"/>
        </w:rPr>
        <w:t xml:space="preserve">Pasitarkite su gydytoju prieš pradėdami vartoti </w:t>
      </w:r>
      <w:r>
        <w:rPr>
          <w:noProof/>
          <w:snapToGrid w:val="0"/>
          <w:sz w:val="22"/>
        </w:rPr>
        <w:t>ISDN-ratiopharm: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lastRenderedPageBreak/>
        <w:t>jeigu jums</w:t>
      </w:r>
      <w:r w:rsidRPr="009A686B">
        <w:rPr>
          <w:szCs w:val="22"/>
        </w:rPr>
        <w:t xml:space="preserve"> </w:t>
      </w:r>
      <w:r>
        <w:rPr>
          <w:szCs w:val="22"/>
        </w:rPr>
        <w:t xml:space="preserve">yra </w:t>
      </w:r>
      <w:r w:rsidRPr="009A686B">
        <w:rPr>
          <w:szCs w:val="22"/>
        </w:rPr>
        <w:t xml:space="preserve">sumažėjęs prisipildymo spaudimas, pvz., esant ūmiam miokardo infarktui, nepakankamai kairiojo skilvelio funkcijai (kairiosios širdies nepakankamumas). Reikia </w:t>
      </w:r>
      <w:r w:rsidRPr="00AC79C3">
        <w:rPr>
          <w:szCs w:val="22"/>
        </w:rPr>
        <w:t>stebėti,</w:t>
      </w:r>
      <w:r w:rsidRPr="009A686B">
        <w:rPr>
          <w:szCs w:val="22"/>
        </w:rPr>
        <w:t xml:space="preserve"> kad </w:t>
      </w:r>
      <w:proofErr w:type="spellStart"/>
      <w:r w:rsidRPr="009A686B">
        <w:rPr>
          <w:szCs w:val="22"/>
        </w:rPr>
        <w:t>sistolinis</w:t>
      </w:r>
      <w:proofErr w:type="spellEnd"/>
      <w:r w:rsidRPr="009A686B">
        <w:rPr>
          <w:szCs w:val="22"/>
        </w:rPr>
        <w:t xml:space="preserve"> kraujospūdis netaptų mažesnis negu 90 mm </w:t>
      </w:r>
      <w:proofErr w:type="spellStart"/>
      <w:r w:rsidRPr="009A686B">
        <w:rPr>
          <w:szCs w:val="22"/>
        </w:rPr>
        <w:t>Hg</w:t>
      </w:r>
      <w:proofErr w:type="spellEnd"/>
      <w:r w:rsidRPr="009A686B">
        <w:rPr>
          <w:szCs w:val="22"/>
        </w:rPr>
        <w:t>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jeigu </w:t>
      </w:r>
      <w:proofErr w:type="spellStart"/>
      <w:r>
        <w:rPr>
          <w:szCs w:val="22"/>
        </w:rPr>
        <w:t>jūs</w:t>
      </w:r>
      <w:r w:rsidRPr="009A686B">
        <w:rPr>
          <w:szCs w:val="22"/>
        </w:rPr>
        <w:t>link</w:t>
      </w:r>
      <w:r>
        <w:rPr>
          <w:szCs w:val="22"/>
        </w:rPr>
        <w:t>ęs</w:t>
      </w:r>
      <w:proofErr w:type="spellEnd"/>
      <w:r w:rsidRPr="009A686B">
        <w:rPr>
          <w:szCs w:val="22"/>
        </w:rPr>
        <w:t xml:space="preserve"> į </w:t>
      </w:r>
      <w:proofErr w:type="spellStart"/>
      <w:r w:rsidRPr="009A686B">
        <w:rPr>
          <w:szCs w:val="22"/>
        </w:rPr>
        <w:t>ortostatinį</w:t>
      </w:r>
      <w:proofErr w:type="spellEnd"/>
      <w:r w:rsidRPr="009A686B">
        <w:rPr>
          <w:szCs w:val="22"/>
        </w:rPr>
        <w:t xml:space="preserve"> kraujotakos reguliacijos sutrikimą;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jūs</w:t>
      </w:r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sergant</w:t>
      </w:r>
      <w:r>
        <w:rPr>
          <w:szCs w:val="22"/>
        </w:rPr>
        <w:t>e</w:t>
      </w:r>
      <w:proofErr w:type="spellEnd"/>
      <w:r w:rsidRPr="009A686B">
        <w:rPr>
          <w:szCs w:val="22"/>
        </w:rPr>
        <w:t xml:space="preserve"> ligomis, kurių metu padidėja kaukolės vidaus spaudimas (iki šiol kaukolės vidaus spaudimo padidėjimas nustatytas tik tuo atveju, kai didelės </w:t>
      </w:r>
      <w:proofErr w:type="spellStart"/>
      <w:r w:rsidRPr="009A686B">
        <w:rPr>
          <w:szCs w:val="22"/>
        </w:rPr>
        <w:t>glicerolio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trinitrato</w:t>
      </w:r>
      <w:proofErr w:type="spellEnd"/>
      <w:r w:rsidRPr="009A686B">
        <w:rPr>
          <w:szCs w:val="22"/>
        </w:rPr>
        <w:t xml:space="preserve"> dozės buvo sušvirkštos į veną);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jūs</w:t>
      </w:r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sergant</w:t>
      </w:r>
      <w:r>
        <w:rPr>
          <w:szCs w:val="22"/>
        </w:rPr>
        <w:t>e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hipotiroze</w:t>
      </w:r>
      <w:proofErr w:type="spellEnd"/>
      <w:r w:rsidRPr="009A686B">
        <w:rPr>
          <w:szCs w:val="22"/>
        </w:rPr>
        <w:t xml:space="preserve"> (per silpna skydliaukės veikla);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jums</w:t>
      </w:r>
      <w:r w:rsidRPr="009A686B">
        <w:rPr>
          <w:szCs w:val="22"/>
        </w:rPr>
        <w:t xml:space="preserve"> yra hipotermija (per maža kūno temperatūra), hipoksija (deguonies trūkumas) arba kitoks ventiliacijos ar </w:t>
      </w:r>
      <w:proofErr w:type="spellStart"/>
      <w:r w:rsidRPr="009A686B">
        <w:rPr>
          <w:szCs w:val="22"/>
        </w:rPr>
        <w:t>perfuzijos</w:t>
      </w:r>
      <w:proofErr w:type="spellEnd"/>
      <w:r w:rsidRPr="009A686B">
        <w:rPr>
          <w:szCs w:val="22"/>
        </w:rPr>
        <w:t xml:space="preserve"> sutrikimas;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jums</w:t>
      </w:r>
      <w:r w:rsidRPr="009A686B">
        <w:rPr>
          <w:szCs w:val="22"/>
        </w:rPr>
        <w:t xml:space="preserve"> įvyko galvos trauma arba yra smegenų </w:t>
      </w:r>
      <w:proofErr w:type="spellStart"/>
      <w:r w:rsidRPr="009A686B">
        <w:rPr>
          <w:szCs w:val="22"/>
        </w:rPr>
        <w:t>hemoragija</w:t>
      </w:r>
      <w:proofErr w:type="spellEnd"/>
      <w:r w:rsidRPr="009A686B">
        <w:rPr>
          <w:szCs w:val="22"/>
        </w:rPr>
        <w:t xml:space="preserve">;  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jus</w:t>
      </w:r>
      <w:r w:rsidRPr="009A686B">
        <w:rPr>
          <w:szCs w:val="22"/>
        </w:rPr>
        <w:t xml:space="preserve"> neseniai ištiko miokardo infarktas;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jūs</w:t>
      </w:r>
      <w:r w:rsidRPr="009A686B">
        <w:rPr>
          <w:szCs w:val="22"/>
        </w:rPr>
        <w:t xml:space="preserve"> link</w:t>
      </w:r>
      <w:r>
        <w:rPr>
          <w:szCs w:val="22"/>
        </w:rPr>
        <w:t>ęs</w:t>
      </w:r>
      <w:r w:rsidRPr="009A686B">
        <w:rPr>
          <w:szCs w:val="22"/>
        </w:rPr>
        <w:t xml:space="preserve"> į uždaro kampo glaukomą (padidėjęs akispūdis);</w:t>
      </w:r>
    </w:p>
    <w:p w:rsidR="00A03540" w:rsidRPr="009A686B" w:rsidRDefault="00A03540" w:rsidP="00A03540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jums</w:t>
      </w:r>
      <w:r w:rsidRPr="009A686B">
        <w:rPr>
          <w:szCs w:val="22"/>
        </w:rPr>
        <w:t xml:space="preserve"> yra sunkus inkstų ar kepenų </w:t>
      </w:r>
      <w:r w:rsidRPr="00AC79C3">
        <w:rPr>
          <w:szCs w:val="22"/>
        </w:rPr>
        <w:t>funkcijos</w:t>
      </w:r>
      <w:r w:rsidRPr="009A686B">
        <w:rPr>
          <w:szCs w:val="22"/>
        </w:rPr>
        <w:t xml:space="preserve"> sutrikimas.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 xml:space="preserve">Vartojant organinių nitratų </w:t>
      </w:r>
      <w:r>
        <w:rPr>
          <w:sz w:val="22"/>
          <w:szCs w:val="22"/>
        </w:rPr>
        <w:t>turinčių vaistų</w:t>
      </w:r>
      <w:r w:rsidRPr="009A686B">
        <w:rPr>
          <w:sz w:val="22"/>
          <w:szCs w:val="22"/>
        </w:rPr>
        <w:t xml:space="preserve">, galima tolerancija ir kryžminė tolerancija. Kad jos rizika sumažėtų, reikia dozuoti taip, kad per parą bent 8 val. kraujyje būtų tik mažas nitratų kiekis arba jo visai nebūtų. </w:t>
      </w:r>
    </w:p>
    <w:p w:rsidR="00A03540" w:rsidRPr="007D5F71" w:rsidRDefault="00A03540" w:rsidP="00A03540">
      <w:pPr>
        <w:rPr>
          <w:bCs/>
          <w:sz w:val="22"/>
          <w:szCs w:val="22"/>
        </w:rPr>
      </w:pPr>
      <w:proofErr w:type="spellStart"/>
      <w:r w:rsidRPr="007D5F71">
        <w:rPr>
          <w:bCs/>
          <w:sz w:val="22"/>
          <w:szCs w:val="22"/>
        </w:rPr>
        <w:t>Vartojant</w:t>
      </w:r>
      <w:r>
        <w:rPr>
          <w:bCs/>
          <w:sz w:val="22"/>
          <w:szCs w:val="22"/>
        </w:rPr>
        <w:t>izosorbido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dinitrato</w:t>
      </w:r>
      <w:proofErr w:type="spellEnd"/>
      <w:r w:rsidRPr="007D5F71">
        <w:rPr>
          <w:bCs/>
          <w:sz w:val="22"/>
          <w:szCs w:val="22"/>
        </w:rPr>
        <w:t xml:space="preserve">, dėl santykinio kraujotakos persiskirstymo į mažiau vėdinamas alveolių sritis, arteriniame kraujyje gali laikinai sumažėti deguonies (atsirasti </w:t>
      </w:r>
      <w:proofErr w:type="spellStart"/>
      <w:r w:rsidRPr="007D5F71">
        <w:rPr>
          <w:bCs/>
          <w:sz w:val="22"/>
          <w:szCs w:val="22"/>
        </w:rPr>
        <w:t>hipoksemija</w:t>
      </w:r>
      <w:proofErr w:type="spellEnd"/>
      <w:r w:rsidRPr="007D5F71">
        <w:rPr>
          <w:bCs/>
          <w:sz w:val="22"/>
          <w:szCs w:val="22"/>
        </w:rPr>
        <w:t xml:space="preserve">). Jeigu yra širdies vainikinių kraujagyslių kraujotakos sutrikimų, gali atsirasti </w:t>
      </w:r>
      <w:r>
        <w:rPr>
          <w:bCs/>
          <w:sz w:val="22"/>
          <w:szCs w:val="22"/>
        </w:rPr>
        <w:t xml:space="preserve">sumažėjusio kraujo pritekėjimo į širdies raumenį </w:t>
      </w:r>
      <w:r w:rsidRPr="007D5F71">
        <w:rPr>
          <w:bCs/>
          <w:sz w:val="22"/>
          <w:szCs w:val="22"/>
        </w:rPr>
        <w:t>simptomų.</w:t>
      </w:r>
    </w:p>
    <w:p w:rsidR="00A03540" w:rsidRPr="007D5F71" w:rsidRDefault="00A03540" w:rsidP="00A03540">
      <w:pPr>
        <w:rPr>
          <w:bCs/>
          <w:sz w:val="22"/>
          <w:szCs w:val="22"/>
        </w:rPr>
      </w:pPr>
      <w:r w:rsidRPr="007D5F71">
        <w:rPr>
          <w:bCs/>
          <w:sz w:val="22"/>
          <w:szCs w:val="22"/>
        </w:rPr>
        <w:t xml:space="preserve">Atsiradus pirmųjų </w:t>
      </w:r>
      <w:r>
        <w:rPr>
          <w:bCs/>
          <w:sz w:val="22"/>
          <w:szCs w:val="22"/>
        </w:rPr>
        <w:t xml:space="preserve">krūtinės anginos </w:t>
      </w:r>
      <w:r w:rsidRPr="007D5F71">
        <w:rPr>
          <w:bCs/>
          <w:sz w:val="22"/>
          <w:szCs w:val="22"/>
        </w:rPr>
        <w:t xml:space="preserve"> požymių, reikia nedelsiant kreiptis į gydytoją, kuris nustatys požymių sunkumą ir patars kokių priemonių reikėtų imtis.</w:t>
      </w:r>
    </w:p>
    <w:p w:rsidR="00A03540" w:rsidRDefault="00A03540" w:rsidP="00A03540">
      <w:pPr>
        <w:rPr>
          <w:bCs/>
          <w:sz w:val="22"/>
          <w:szCs w:val="22"/>
        </w:rPr>
      </w:pPr>
    </w:p>
    <w:p w:rsidR="00A03540" w:rsidRPr="009A686B" w:rsidRDefault="00A03540" w:rsidP="00A03540">
      <w:pPr>
        <w:rPr>
          <w:bCs/>
          <w:sz w:val="22"/>
          <w:szCs w:val="22"/>
        </w:rPr>
      </w:pPr>
      <w:r w:rsidRPr="007D5F71">
        <w:rPr>
          <w:bCs/>
          <w:sz w:val="22"/>
          <w:szCs w:val="22"/>
        </w:rPr>
        <w:t>Atsiradus padidėjusio jautrumo vaistui požymių, reikia nedelsiant nutraukti ISDN-</w:t>
      </w:r>
      <w:proofErr w:type="spellStart"/>
      <w:r w:rsidRPr="007D5F71">
        <w:rPr>
          <w:bCs/>
          <w:sz w:val="22"/>
          <w:szCs w:val="22"/>
        </w:rPr>
        <w:t>ratiopharm</w:t>
      </w:r>
      <w:proofErr w:type="spellEnd"/>
      <w:r w:rsidRPr="007D5F71">
        <w:rPr>
          <w:bCs/>
          <w:sz w:val="22"/>
          <w:szCs w:val="22"/>
        </w:rPr>
        <w:t xml:space="preserve"> vartojimą.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ISDN-</w:t>
      </w:r>
      <w:proofErr w:type="spellStart"/>
      <w:r w:rsidRPr="009A686B">
        <w:rPr>
          <w:szCs w:val="22"/>
        </w:rPr>
        <w:t>ratiopharm</w:t>
      </w:r>
      <w:proofErr w:type="spellEnd"/>
      <w:r w:rsidRPr="00A74759">
        <w:rPr>
          <w:szCs w:val="22"/>
        </w:rPr>
        <w:t xml:space="preserve"> </w:t>
      </w:r>
      <w:r w:rsidRPr="009A686B">
        <w:rPr>
          <w:szCs w:val="22"/>
        </w:rPr>
        <w:t xml:space="preserve"> netinka </w:t>
      </w:r>
      <w:r w:rsidRPr="00AC79C3">
        <w:rPr>
          <w:szCs w:val="22"/>
        </w:rPr>
        <w:t>ūminiam</w:t>
      </w:r>
      <w:r w:rsidRPr="009A686B">
        <w:rPr>
          <w:szCs w:val="22"/>
        </w:rPr>
        <w:t xml:space="preserve"> krūtinės anginos priepuoliui ir miokardo infarktui gydyti.</w:t>
      </w:r>
    </w:p>
    <w:p w:rsidR="00A03540" w:rsidRPr="00A74759" w:rsidRDefault="00A03540" w:rsidP="00A03540">
      <w:pPr>
        <w:pStyle w:val="Antrat4"/>
        <w:rPr>
          <w:rFonts w:ascii="Times New Roman" w:hAnsi="Times New Roman"/>
          <w:i w:val="0"/>
          <w:color w:val="auto"/>
          <w:sz w:val="22"/>
        </w:rPr>
      </w:pPr>
      <w:r w:rsidRPr="00A74759">
        <w:rPr>
          <w:rFonts w:ascii="Times New Roman" w:hAnsi="Times New Roman"/>
          <w:i w:val="0"/>
          <w:color w:val="auto"/>
          <w:sz w:val="22"/>
        </w:rPr>
        <w:t>Vaikams ir paaugliams</w:t>
      </w:r>
    </w:p>
    <w:p w:rsidR="00A03540" w:rsidRPr="007679D1" w:rsidRDefault="00A03540" w:rsidP="00A03540">
      <w:pPr>
        <w:rPr>
          <w:bCs/>
          <w:sz w:val="22"/>
          <w:szCs w:val="22"/>
        </w:rPr>
      </w:pPr>
      <w:r w:rsidRPr="007679D1">
        <w:rPr>
          <w:bCs/>
          <w:sz w:val="22"/>
          <w:szCs w:val="22"/>
        </w:rPr>
        <w:t>ISDN-</w:t>
      </w:r>
      <w:proofErr w:type="spellStart"/>
      <w:r w:rsidRPr="007679D1">
        <w:rPr>
          <w:bCs/>
          <w:sz w:val="22"/>
          <w:szCs w:val="22"/>
        </w:rPr>
        <w:t>ratiopharm</w:t>
      </w:r>
      <w:proofErr w:type="spellEnd"/>
      <w:r w:rsidRPr="007679D1">
        <w:rPr>
          <w:bCs/>
          <w:sz w:val="22"/>
          <w:szCs w:val="22"/>
        </w:rPr>
        <w:t xml:space="preserve">  nerekomenduojama vartoti vaikams, nes duomenų apie saugumą ir veiksmingumą nėra.</w:t>
      </w:r>
    </w:p>
    <w:p w:rsidR="00A03540" w:rsidRDefault="00A03540" w:rsidP="00A03540">
      <w:pPr>
        <w:rPr>
          <w:bCs/>
          <w:sz w:val="22"/>
          <w:szCs w:val="22"/>
        </w:rPr>
      </w:pPr>
    </w:p>
    <w:p w:rsidR="00A03540" w:rsidRPr="009A686B" w:rsidRDefault="00A03540" w:rsidP="00A03540">
      <w:pPr>
        <w:pStyle w:val="PI-3EMEASMCA"/>
      </w:pPr>
    </w:p>
    <w:p w:rsidR="00A03540" w:rsidRPr="009A686B" w:rsidRDefault="00A03540" w:rsidP="00A03540">
      <w:pPr>
        <w:pStyle w:val="PI-3EMEASMCA"/>
      </w:pPr>
      <w:r w:rsidRPr="009A686B">
        <w:t>Kiti vaistai ir ISDN-</w:t>
      </w:r>
      <w:proofErr w:type="spellStart"/>
      <w:r w:rsidRPr="009A686B">
        <w:t>ratiopharm</w:t>
      </w:r>
      <w:proofErr w:type="spellEnd"/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E33807">
        <w:rPr>
          <w:noProof/>
          <w:snapToGrid w:val="0"/>
          <w:szCs w:val="24"/>
          <w:lang w:eastAsia="en-US"/>
        </w:rPr>
        <w:t>Jeigu vartojate ar neseniai vartojote kitų vaistų arba dėl to nes</w:t>
      </w:r>
      <w:r>
        <w:rPr>
          <w:noProof/>
          <w:snapToGrid w:val="0"/>
          <w:szCs w:val="24"/>
          <w:lang w:eastAsia="en-US"/>
        </w:rPr>
        <w:t xml:space="preserve">ate tikri, apie tai pasakykite </w:t>
      </w:r>
      <w:r w:rsidRPr="00E33807">
        <w:rPr>
          <w:noProof/>
          <w:snapToGrid w:val="0"/>
          <w:szCs w:val="24"/>
          <w:lang w:eastAsia="en-US"/>
        </w:rPr>
        <w:t>gydytojui</w:t>
      </w:r>
      <w:r>
        <w:rPr>
          <w:noProof/>
          <w:snapToGrid w:val="0"/>
          <w:szCs w:val="24"/>
          <w:lang w:eastAsia="en-US"/>
        </w:rPr>
        <w:t xml:space="preserve"> </w:t>
      </w:r>
      <w:r w:rsidRPr="00E33807">
        <w:rPr>
          <w:noProof/>
          <w:snapToGrid w:val="0"/>
          <w:szCs w:val="24"/>
          <w:lang w:eastAsia="en-US"/>
        </w:rPr>
        <w:t>arba</w:t>
      </w:r>
      <w:r>
        <w:rPr>
          <w:noProof/>
          <w:snapToGrid w:val="0"/>
          <w:szCs w:val="24"/>
          <w:lang w:eastAsia="en-US"/>
        </w:rPr>
        <w:t xml:space="preserve"> </w:t>
      </w:r>
      <w:r w:rsidRPr="00E33807">
        <w:rPr>
          <w:noProof/>
          <w:snapToGrid w:val="0"/>
          <w:szCs w:val="24"/>
          <w:lang w:eastAsia="en-US"/>
        </w:rPr>
        <w:t>vaistininkui.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ISDN-</w:t>
      </w:r>
      <w:proofErr w:type="spellStart"/>
      <w:r w:rsidRPr="009A686B">
        <w:rPr>
          <w:szCs w:val="22"/>
        </w:rPr>
        <w:t>ratiopharm</w:t>
      </w:r>
      <w:proofErr w:type="spellEnd"/>
      <w:r>
        <w:rPr>
          <w:szCs w:val="22"/>
          <w:vertAlign w:val="superscript"/>
        </w:rPr>
        <w:t xml:space="preserve"> </w:t>
      </w:r>
      <w:r w:rsidRPr="009A686B">
        <w:rPr>
          <w:szCs w:val="22"/>
        </w:rPr>
        <w:t>20</w:t>
      </w:r>
      <w:r>
        <w:rPr>
          <w:szCs w:val="22"/>
        </w:rPr>
        <w:t> </w:t>
      </w:r>
      <w:r w:rsidRPr="009A686B">
        <w:rPr>
          <w:szCs w:val="22"/>
        </w:rPr>
        <w:t xml:space="preserve">mg pailginto atpalaidavimo kietųjų kapsulių kraujospūdį mažinantis poveikis gali sustiprėti, kai jo vartojama kartu su kitais kraujagysles plečiančiais , kraujospūdį mažinančiais vaistais, beta </w:t>
      </w:r>
      <w:proofErr w:type="spellStart"/>
      <w:r w:rsidRPr="009A686B">
        <w:rPr>
          <w:szCs w:val="22"/>
        </w:rPr>
        <w:t>adrenoreceptorių</w:t>
      </w:r>
      <w:proofErr w:type="spellEnd"/>
      <w:r w:rsidRPr="009A686B">
        <w:rPr>
          <w:szCs w:val="22"/>
        </w:rPr>
        <w:t xml:space="preserve"> blokatoriais, kalcio kanalų blokatoriais, </w:t>
      </w:r>
      <w:proofErr w:type="spellStart"/>
      <w:r w:rsidRPr="009A686B">
        <w:rPr>
          <w:szCs w:val="22"/>
        </w:rPr>
        <w:t>neuroleptikais</w:t>
      </w:r>
      <w:proofErr w:type="spellEnd"/>
      <w:r w:rsidRPr="009A686B">
        <w:rPr>
          <w:szCs w:val="22"/>
        </w:rPr>
        <w:t xml:space="preserve"> arba </w:t>
      </w:r>
      <w:proofErr w:type="spellStart"/>
      <w:r w:rsidRPr="009A686B">
        <w:rPr>
          <w:szCs w:val="22"/>
        </w:rPr>
        <w:t>tricikliais</w:t>
      </w:r>
      <w:proofErr w:type="spellEnd"/>
      <w:r w:rsidRPr="009A686B">
        <w:rPr>
          <w:szCs w:val="22"/>
        </w:rPr>
        <w:t xml:space="preserve"> antidepresantais ar alkoholiu.</w:t>
      </w:r>
    </w:p>
    <w:p w:rsidR="00A03540" w:rsidRPr="009A686B" w:rsidRDefault="00A03540" w:rsidP="00A03540">
      <w:pPr>
        <w:pStyle w:val="Pagrindinistekstas"/>
        <w:spacing w:after="0"/>
        <w:rPr>
          <w:i/>
          <w:szCs w:val="22"/>
        </w:rPr>
      </w:pPr>
      <w:r w:rsidRPr="009A686B">
        <w:rPr>
          <w:szCs w:val="22"/>
        </w:rPr>
        <w:t>Kartu su ISDN-</w:t>
      </w:r>
      <w:proofErr w:type="spellStart"/>
      <w:r w:rsidRPr="009A686B">
        <w:rPr>
          <w:szCs w:val="22"/>
        </w:rPr>
        <w:t>ratiopharm</w:t>
      </w:r>
      <w:proofErr w:type="spellEnd"/>
      <w:r w:rsidRPr="009A686B">
        <w:rPr>
          <w:szCs w:val="22"/>
        </w:rPr>
        <w:t xml:space="preserve"> vartojant ir fosfodiesterazės-5-inhibitorių (pvz., </w:t>
      </w:r>
      <w:proofErr w:type="spellStart"/>
      <w:r w:rsidRPr="009A686B">
        <w:rPr>
          <w:szCs w:val="22"/>
        </w:rPr>
        <w:t>sildenafilio</w:t>
      </w:r>
      <w:proofErr w:type="spellEnd"/>
      <w:r w:rsidRPr="009A686B">
        <w:rPr>
          <w:szCs w:val="22"/>
        </w:rPr>
        <w:t xml:space="preserve">, </w:t>
      </w:r>
      <w:proofErr w:type="spellStart"/>
      <w:r w:rsidRPr="009A686B">
        <w:rPr>
          <w:szCs w:val="22"/>
        </w:rPr>
        <w:t>tadalafilio</w:t>
      </w:r>
      <w:proofErr w:type="spellEnd"/>
      <w:r w:rsidRPr="009A686B">
        <w:rPr>
          <w:szCs w:val="22"/>
        </w:rPr>
        <w:t xml:space="preserve"> arba </w:t>
      </w:r>
      <w:proofErr w:type="spellStart"/>
      <w:r w:rsidRPr="009A686B">
        <w:rPr>
          <w:szCs w:val="22"/>
        </w:rPr>
        <w:t>vardenafilio</w:t>
      </w:r>
      <w:proofErr w:type="spellEnd"/>
      <w:r w:rsidRPr="009A686B">
        <w:rPr>
          <w:szCs w:val="22"/>
        </w:rPr>
        <w:t>), gali stiprėti kraujospūdį mažinantis poveikis</w:t>
      </w:r>
      <w:r w:rsidRPr="009A686B">
        <w:rPr>
          <w:i/>
          <w:szCs w:val="22"/>
        </w:rPr>
        <w:t>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ISDN-</w:t>
      </w:r>
      <w:proofErr w:type="spellStart"/>
      <w:r w:rsidRPr="009A686B">
        <w:rPr>
          <w:szCs w:val="22"/>
        </w:rPr>
        <w:t>ratiopharm</w:t>
      </w:r>
      <w:proofErr w:type="spellEnd"/>
      <w:r w:rsidRPr="009A686B">
        <w:rPr>
          <w:szCs w:val="22"/>
          <w:vertAlign w:val="superscript"/>
        </w:rPr>
        <w:t xml:space="preserve"> </w:t>
      </w:r>
      <w:r w:rsidRPr="009A686B">
        <w:rPr>
          <w:szCs w:val="22"/>
        </w:rPr>
        <w:t xml:space="preserve">vartojant kartu su </w:t>
      </w:r>
      <w:proofErr w:type="spellStart"/>
      <w:r w:rsidRPr="009A686B">
        <w:rPr>
          <w:szCs w:val="22"/>
        </w:rPr>
        <w:t>dihidroergotaminu</w:t>
      </w:r>
      <w:proofErr w:type="spellEnd"/>
      <w:r w:rsidRPr="009A686B">
        <w:rPr>
          <w:szCs w:val="22"/>
        </w:rPr>
        <w:t xml:space="preserve">, gali padidėti pastarojo </w:t>
      </w:r>
      <w:r w:rsidRPr="00AC79C3">
        <w:rPr>
          <w:szCs w:val="22"/>
        </w:rPr>
        <w:t>vaisto</w:t>
      </w:r>
      <w:r w:rsidRPr="009A686B">
        <w:rPr>
          <w:szCs w:val="22"/>
        </w:rPr>
        <w:t xml:space="preserve"> koncentracija kraujyje ir sustiprėti jo kraujospūdį didinantis poveikis. 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3EMEASMCA"/>
      </w:pPr>
      <w:r w:rsidRPr="009A686B">
        <w:t>Nėštumas ir žindymo laikotarpis</w:t>
      </w:r>
    </w:p>
    <w:p w:rsidR="00A03540" w:rsidRPr="009A686B" w:rsidRDefault="00A03540" w:rsidP="00A03540">
      <w:pPr>
        <w:rPr>
          <w:sz w:val="22"/>
          <w:szCs w:val="22"/>
        </w:rPr>
      </w:pPr>
      <w:r w:rsidRPr="00707F40">
        <w:rPr>
          <w:noProof/>
          <w:snapToGrid w:val="0"/>
          <w:sz w:val="22"/>
        </w:rPr>
        <w:t>Jeigu esate nėščia, žindote kūdikį, manote, kad galbūt esate nėščia, arba planuojate pastoti, tai prieš vartodama šį vaistą,</w:t>
      </w:r>
      <w:r>
        <w:rPr>
          <w:noProof/>
          <w:snapToGrid w:val="0"/>
          <w:sz w:val="22"/>
        </w:rPr>
        <w:t xml:space="preserve"> pasitarkite su gydytoju arba </w:t>
      </w:r>
      <w:r w:rsidRPr="00707F40">
        <w:rPr>
          <w:noProof/>
          <w:snapToGrid w:val="0"/>
          <w:sz w:val="22"/>
        </w:rPr>
        <w:t>vaistininku</w:t>
      </w:r>
      <w:r>
        <w:rPr>
          <w:noProof/>
          <w:snapToGrid w:val="0"/>
          <w:sz w:val="22"/>
        </w:rPr>
        <w:t>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 xml:space="preserve">Nėštumo ir žindymo laikotarpiu </w:t>
      </w:r>
      <w:proofErr w:type="spellStart"/>
      <w:r w:rsidRPr="009A686B">
        <w:rPr>
          <w:szCs w:val="22"/>
        </w:rPr>
        <w:t>izosorbido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dinitrato</w:t>
      </w:r>
      <w:proofErr w:type="spellEnd"/>
      <w:r w:rsidRPr="009A686B">
        <w:rPr>
          <w:szCs w:val="22"/>
        </w:rPr>
        <w:t xml:space="preserve"> galima vartoti tik labai atsargiai ir tik gydytojui nustačius, kad gydymas šiuo vaistu yra neabejotinai būtinas. 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3EMEASMCA"/>
      </w:pPr>
      <w:r w:rsidRPr="009A686B">
        <w:t>Vairavimas ir mechanizmų valdymas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 xml:space="preserve">Šis </w:t>
      </w:r>
      <w:r>
        <w:rPr>
          <w:szCs w:val="22"/>
        </w:rPr>
        <w:t>vaistas</w:t>
      </w:r>
      <w:r w:rsidRPr="009A686B">
        <w:rPr>
          <w:szCs w:val="22"/>
        </w:rPr>
        <w:t>, vartojamas net ir gydytojo nurodymu, gali tiek pakeisti reakcijos laiką, kad gali sutrikti gebėjimas vairuoti, valdyti mechanizmus ar dirbti be tinkamų saugos priemonių.</w:t>
      </w:r>
      <w:r>
        <w:rPr>
          <w:szCs w:val="22"/>
        </w:rPr>
        <w:t xml:space="preserve"> </w:t>
      </w:r>
      <w:r w:rsidRPr="009A686B">
        <w:rPr>
          <w:szCs w:val="22"/>
        </w:rPr>
        <w:t xml:space="preserve">Toks poveikis stipresnis gydymo pradžioje, didinant vaisto dozę, keičiant kitu </w:t>
      </w:r>
      <w:r>
        <w:rPr>
          <w:szCs w:val="22"/>
        </w:rPr>
        <w:t>vaistu</w:t>
      </w:r>
      <w:r w:rsidRPr="009A686B">
        <w:rPr>
          <w:szCs w:val="22"/>
        </w:rPr>
        <w:t>, taip pat pasireiškus sąveikai su alkoholiu.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F72B1D" w:rsidRDefault="00A03540" w:rsidP="00A03540">
      <w:pPr>
        <w:pStyle w:val="PI-3EMEASMCA"/>
        <w:spacing w:line="240" w:lineRule="auto"/>
      </w:pPr>
      <w:r w:rsidRPr="00F72B1D">
        <w:t>ISDN-</w:t>
      </w:r>
      <w:proofErr w:type="spellStart"/>
      <w:r w:rsidRPr="00F72B1D">
        <w:t>ratiopharm</w:t>
      </w:r>
      <w:proofErr w:type="spellEnd"/>
      <w:r w:rsidRPr="00F72B1D">
        <w:t xml:space="preserve"> sudėtyje yra laktozės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826CD5">
        <w:rPr>
          <w:szCs w:val="22"/>
        </w:rPr>
        <w:lastRenderedPageBreak/>
        <w:t>Jeigu gydytojas Jums yra sakęs, kad netoleruojate kokių nors angliavandenių, kreipkitės į jį prieš pradėdami vartoti šį vaistą.</w:t>
      </w:r>
    </w:p>
    <w:p w:rsidR="00A03540" w:rsidRDefault="00A03540" w:rsidP="00A03540">
      <w:pPr>
        <w:tabs>
          <w:tab w:val="left" w:pos="567"/>
        </w:tabs>
        <w:rPr>
          <w:sz w:val="22"/>
          <w:szCs w:val="22"/>
          <w:lang w:eastAsia="lt-LT"/>
        </w:rPr>
      </w:pPr>
    </w:p>
    <w:p w:rsidR="00A03540" w:rsidRPr="00826CD5" w:rsidRDefault="00A03540" w:rsidP="00A03540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826CD5">
        <w:rPr>
          <w:b/>
          <w:sz w:val="22"/>
          <w:szCs w:val="22"/>
          <w:lang w:eastAsia="lt-LT"/>
        </w:rPr>
        <w:t>ISDN-</w:t>
      </w:r>
      <w:proofErr w:type="spellStart"/>
      <w:r w:rsidRPr="00826CD5">
        <w:rPr>
          <w:b/>
          <w:sz w:val="22"/>
          <w:szCs w:val="22"/>
          <w:lang w:eastAsia="lt-LT"/>
        </w:rPr>
        <w:t>ratiopharm</w:t>
      </w:r>
      <w:proofErr w:type="spellEnd"/>
      <w:r w:rsidRPr="00826CD5">
        <w:rPr>
          <w:b/>
          <w:sz w:val="22"/>
          <w:szCs w:val="22"/>
          <w:lang w:eastAsia="lt-LT"/>
        </w:rPr>
        <w:t xml:space="preserve"> sudėtyje yra natrio</w:t>
      </w:r>
    </w:p>
    <w:p w:rsidR="00A03540" w:rsidRPr="003374E8" w:rsidRDefault="00A03540" w:rsidP="00A03540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Šio vaisto vienoje kietojoje kapsulėje</w:t>
      </w:r>
      <w:r w:rsidRPr="003374E8">
        <w:rPr>
          <w:sz w:val="22"/>
          <w:szCs w:val="22"/>
          <w:lang w:eastAsia="lt-LT"/>
        </w:rPr>
        <w:t xml:space="preserve"> yra mažiau kaip 1 </w:t>
      </w:r>
      <w:proofErr w:type="spellStart"/>
      <w:r w:rsidRPr="003374E8">
        <w:rPr>
          <w:sz w:val="22"/>
          <w:szCs w:val="22"/>
          <w:lang w:eastAsia="lt-LT"/>
        </w:rPr>
        <w:t>mmol</w:t>
      </w:r>
      <w:proofErr w:type="spellEnd"/>
      <w:r w:rsidRPr="003374E8">
        <w:rPr>
          <w:sz w:val="22"/>
          <w:szCs w:val="22"/>
          <w:lang w:eastAsia="lt-LT"/>
        </w:rPr>
        <w:t xml:space="preserve"> (23 mg) natrio, </w:t>
      </w:r>
      <w:proofErr w:type="spellStart"/>
      <w:r w:rsidRPr="003374E8">
        <w:rPr>
          <w:sz w:val="22"/>
          <w:szCs w:val="22"/>
          <w:lang w:eastAsia="lt-LT"/>
        </w:rPr>
        <w:t>t.y</w:t>
      </w:r>
      <w:proofErr w:type="spellEnd"/>
      <w:r w:rsidRPr="003374E8">
        <w:rPr>
          <w:sz w:val="22"/>
          <w:szCs w:val="22"/>
          <w:lang w:eastAsia="lt-LT"/>
        </w:rPr>
        <w:t>. jis beveik neturi reikšmės.</w:t>
      </w:r>
    </w:p>
    <w:p w:rsidR="00A03540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6" w:name="_Toc129243141"/>
      <w:bookmarkStart w:id="7" w:name="_Toc129243266"/>
      <w:r w:rsidRPr="009A686B">
        <w:t>3.</w:t>
      </w:r>
      <w:r w:rsidRPr="009A686B">
        <w:tab/>
        <w:t xml:space="preserve">Kaip vartoti </w:t>
      </w:r>
      <w:bookmarkEnd w:id="6"/>
      <w:bookmarkEnd w:id="7"/>
      <w:r w:rsidRPr="009A686B">
        <w:t>ISDN-</w:t>
      </w:r>
      <w:proofErr w:type="spellStart"/>
      <w:r w:rsidRPr="009A686B">
        <w:t>ratiopharm</w:t>
      </w:r>
      <w:proofErr w:type="spellEnd"/>
      <w:r w:rsidRPr="009A686B">
        <w:t xml:space="preserve"> 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707F40">
        <w:rPr>
          <w:noProof/>
          <w:snapToGrid w:val="0"/>
          <w:szCs w:val="24"/>
          <w:lang w:eastAsia="en-US"/>
        </w:rPr>
        <w:t>Visada vartokite šį vaistą tiksliai</w:t>
      </w:r>
      <w:r w:rsidRPr="009A686B">
        <w:rPr>
          <w:szCs w:val="22"/>
        </w:rPr>
        <w:t xml:space="preserve"> kaip nurodė gydytojas. Jeigu abejojate, kreipkitės į gydytoją arba vaistininką.</w:t>
      </w:r>
    </w:p>
    <w:p w:rsidR="00A03540" w:rsidRDefault="00A03540" w:rsidP="00A03540">
      <w:pPr>
        <w:rPr>
          <w:i/>
          <w:sz w:val="22"/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>
        <w:rPr>
          <w:szCs w:val="22"/>
        </w:rPr>
        <w:t>Rekomenduojama</w:t>
      </w:r>
      <w:r w:rsidRPr="009A686B">
        <w:rPr>
          <w:szCs w:val="22"/>
        </w:rPr>
        <w:t xml:space="preserve"> dozė yra viena  20 mg pailginto atpalaidavimo kapsulė 2 kartus per parą (</w:t>
      </w:r>
      <w:r>
        <w:rPr>
          <w:szCs w:val="22"/>
        </w:rPr>
        <w:t xml:space="preserve">tai </w:t>
      </w:r>
      <w:r w:rsidRPr="009A686B">
        <w:rPr>
          <w:szCs w:val="22"/>
        </w:rPr>
        <w:t>atitinka 40</w:t>
      </w:r>
      <w:r>
        <w:rPr>
          <w:szCs w:val="22"/>
        </w:rPr>
        <w:t> </w:t>
      </w:r>
      <w:r w:rsidRPr="009A686B">
        <w:rPr>
          <w:szCs w:val="22"/>
        </w:rPr>
        <w:t xml:space="preserve">mg </w:t>
      </w:r>
      <w:proofErr w:type="spellStart"/>
      <w:r w:rsidRPr="009A686B">
        <w:rPr>
          <w:szCs w:val="22"/>
        </w:rPr>
        <w:t>izosorbido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dinitrato</w:t>
      </w:r>
      <w:proofErr w:type="spellEnd"/>
      <w:r w:rsidRPr="009A686B">
        <w:rPr>
          <w:szCs w:val="22"/>
        </w:rPr>
        <w:t>).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Jei nitratų poreikis didesnis, gydytojas dozę gali padidinti ir skirti gerti po vieną  20 mg pailginto atpalaidavimo</w:t>
      </w:r>
      <w:r>
        <w:rPr>
          <w:szCs w:val="22"/>
        </w:rPr>
        <w:t xml:space="preserve"> </w:t>
      </w:r>
      <w:r w:rsidRPr="009A686B">
        <w:rPr>
          <w:szCs w:val="22"/>
        </w:rPr>
        <w:t>kapsulę 3 kartus per parą (atitinka 60</w:t>
      </w:r>
      <w:r>
        <w:rPr>
          <w:szCs w:val="22"/>
        </w:rPr>
        <w:t> </w:t>
      </w:r>
      <w:r w:rsidRPr="009A686B">
        <w:rPr>
          <w:szCs w:val="22"/>
        </w:rPr>
        <w:t xml:space="preserve">mg </w:t>
      </w:r>
      <w:proofErr w:type="spellStart"/>
      <w:r w:rsidRPr="009A686B">
        <w:rPr>
          <w:szCs w:val="22"/>
        </w:rPr>
        <w:t>izosorbido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dinitrato</w:t>
      </w:r>
      <w:proofErr w:type="spellEnd"/>
      <w:r w:rsidRPr="009A686B">
        <w:rPr>
          <w:szCs w:val="22"/>
        </w:rPr>
        <w:t>).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A74759" w:rsidRDefault="00A03540" w:rsidP="00A03540">
      <w:pPr>
        <w:rPr>
          <w:bCs/>
          <w:sz w:val="22"/>
          <w:szCs w:val="22"/>
          <w:u w:val="single"/>
        </w:rPr>
      </w:pPr>
      <w:r w:rsidRPr="00A74759">
        <w:rPr>
          <w:bCs/>
          <w:sz w:val="22"/>
          <w:szCs w:val="22"/>
          <w:u w:val="single"/>
        </w:rPr>
        <w:t>Pastaba</w:t>
      </w:r>
    </w:p>
    <w:p w:rsidR="00A03540" w:rsidRPr="009A686B" w:rsidRDefault="00A03540" w:rsidP="00A03540">
      <w:pPr>
        <w:rPr>
          <w:bCs/>
          <w:sz w:val="22"/>
          <w:szCs w:val="22"/>
        </w:rPr>
      </w:pPr>
      <w:r w:rsidRPr="009A686B">
        <w:rPr>
          <w:bCs/>
          <w:sz w:val="22"/>
          <w:szCs w:val="22"/>
        </w:rPr>
        <w:t xml:space="preserve">Norint palaikyti visą </w:t>
      </w:r>
      <w:r>
        <w:rPr>
          <w:bCs/>
          <w:sz w:val="22"/>
          <w:szCs w:val="22"/>
        </w:rPr>
        <w:t>vaisto</w:t>
      </w:r>
      <w:r w:rsidRPr="009A686B">
        <w:rPr>
          <w:bCs/>
          <w:sz w:val="22"/>
          <w:szCs w:val="22"/>
        </w:rPr>
        <w:t xml:space="preserve"> poveikį, vartojant 2 kartus per parą po vieną pailginto atpalaidavimo kietąją kapsulę, tarp pirmos ir antros kapsulės </w:t>
      </w:r>
      <w:r>
        <w:rPr>
          <w:bCs/>
          <w:sz w:val="22"/>
          <w:szCs w:val="22"/>
        </w:rPr>
        <w:t xml:space="preserve">vartojimo </w:t>
      </w:r>
      <w:r w:rsidRPr="009A686B">
        <w:rPr>
          <w:bCs/>
          <w:sz w:val="22"/>
          <w:szCs w:val="22"/>
        </w:rPr>
        <w:t>reikia daryti ne ilgesnę kaip 6 valandų pertrauką.</w:t>
      </w:r>
    </w:p>
    <w:p w:rsidR="00A03540" w:rsidRPr="009A686B" w:rsidRDefault="00A03540" w:rsidP="00A03540">
      <w:pPr>
        <w:rPr>
          <w:bCs/>
          <w:sz w:val="22"/>
          <w:szCs w:val="22"/>
        </w:rPr>
      </w:pPr>
    </w:p>
    <w:p w:rsidR="00A03540" w:rsidRDefault="00A03540" w:rsidP="00A03540">
      <w:pPr>
        <w:rPr>
          <w:bCs/>
          <w:sz w:val="22"/>
          <w:szCs w:val="22"/>
        </w:rPr>
      </w:pPr>
      <w:r w:rsidRPr="00E943DE">
        <w:rPr>
          <w:i/>
          <w:iCs/>
          <w:snapToGrid w:val="0"/>
          <w:color w:val="000000"/>
          <w:sz w:val="22"/>
          <w:szCs w:val="22"/>
        </w:rPr>
        <w:t xml:space="preserve">Pacientams, kurių </w:t>
      </w:r>
      <w:r>
        <w:rPr>
          <w:i/>
          <w:iCs/>
          <w:snapToGrid w:val="0"/>
          <w:color w:val="000000"/>
          <w:sz w:val="22"/>
          <w:szCs w:val="22"/>
        </w:rPr>
        <w:t xml:space="preserve">inkstų </w:t>
      </w:r>
      <w:r w:rsidRPr="00E943DE">
        <w:rPr>
          <w:i/>
          <w:iCs/>
          <w:snapToGrid w:val="0"/>
          <w:color w:val="000000"/>
          <w:sz w:val="22"/>
          <w:szCs w:val="22"/>
        </w:rPr>
        <w:t>funkcija sutrikusi</w:t>
      </w:r>
    </w:p>
    <w:p w:rsidR="00A03540" w:rsidRPr="009A686B" w:rsidRDefault="00A03540" w:rsidP="00A03540">
      <w:pPr>
        <w:rPr>
          <w:bCs/>
          <w:sz w:val="22"/>
          <w:szCs w:val="22"/>
        </w:rPr>
      </w:pPr>
      <w:r w:rsidRPr="009A686B">
        <w:rPr>
          <w:bCs/>
          <w:sz w:val="22"/>
          <w:szCs w:val="22"/>
        </w:rPr>
        <w:t xml:space="preserve">Jeigu </w:t>
      </w:r>
      <w:r w:rsidRPr="00AC79C3">
        <w:rPr>
          <w:bCs/>
          <w:sz w:val="22"/>
          <w:szCs w:val="22"/>
        </w:rPr>
        <w:t>sutrikusi</w:t>
      </w:r>
      <w:r w:rsidRPr="009A686B">
        <w:rPr>
          <w:bCs/>
          <w:sz w:val="22"/>
          <w:szCs w:val="22"/>
        </w:rPr>
        <w:t xml:space="preserve"> inkstų funkcija, gydytojas kiekvienam pacientui dozę nustatys atskirai.</w:t>
      </w:r>
    </w:p>
    <w:p w:rsidR="00A03540" w:rsidRDefault="00A03540" w:rsidP="00A03540">
      <w:pPr>
        <w:rPr>
          <w:bCs/>
          <w:sz w:val="22"/>
          <w:szCs w:val="22"/>
        </w:rPr>
      </w:pPr>
    </w:p>
    <w:p w:rsidR="00A03540" w:rsidRDefault="00A03540" w:rsidP="00A03540">
      <w:pPr>
        <w:rPr>
          <w:bCs/>
          <w:sz w:val="22"/>
          <w:szCs w:val="22"/>
        </w:rPr>
      </w:pPr>
      <w:r w:rsidRPr="00E943DE">
        <w:rPr>
          <w:i/>
          <w:iCs/>
          <w:snapToGrid w:val="0"/>
          <w:color w:val="000000"/>
          <w:sz w:val="22"/>
          <w:szCs w:val="22"/>
        </w:rPr>
        <w:t>Pacientams, kurių kepenų funkcija sutrikusi</w:t>
      </w:r>
    </w:p>
    <w:p w:rsidR="00A03540" w:rsidRPr="009A686B" w:rsidRDefault="00A03540" w:rsidP="00A03540">
      <w:pPr>
        <w:rPr>
          <w:bCs/>
          <w:sz w:val="22"/>
          <w:szCs w:val="22"/>
        </w:rPr>
      </w:pPr>
      <w:r w:rsidRPr="00AC79C3">
        <w:rPr>
          <w:bCs/>
          <w:sz w:val="22"/>
          <w:szCs w:val="22"/>
        </w:rPr>
        <w:t>Jeigu sutrikusi kepenų funkcija, gydytojas kiekvienam pacientui dozę nustatys atskirai.</w:t>
      </w:r>
    </w:p>
    <w:p w:rsidR="00A03540" w:rsidRDefault="00A03540" w:rsidP="00A03540">
      <w:pPr>
        <w:rPr>
          <w:bCs/>
          <w:sz w:val="22"/>
          <w:szCs w:val="22"/>
        </w:rPr>
      </w:pPr>
    </w:p>
    <w:p w:rsidR="00A03540" w:rsidRPr="00A74759" w:rsidRDefault="00A03540" w:rsidP="00A03540">
      <w:pPr>
        <w:rPr>
          <w:bCs/>
          <w:i/>
          <w:sz w:val="22"/>
          <w:szCs w:val="22"/>
        </w:rPr>
      </w:pPr>
      <w:r w:rsidRPr="00A74759">
        <w:rPr>
          <w:bCs/>
          <w:i/>
          <w:sz w:val="22"/>
          <w:szCs w:val="22"/>
        </w:rPr>
        <w:t>Senyvi pacientai</w:t>
      </w:r>
    </w:p>
    <w:p w:rsidR="00A03540" w:rsidRPr="009A686B" w:rsidRDefault="00A03540" w:rsidP="00A03540">
      <w:pPr>
        <w:rPr>
          <w:bCs/>
          <w:sz w:val="22"/>
          <w:szCs w:val="22"/>
        </w:rPr>
      </w:pPr>
      <w:r w:rsidRPr="009A686B">
        <w:rPr>
          <w:bCs/>
          <w:sz w:val="22"/>
          <w:szCs w:val="22"/>
        </w:rPr>
        <w:t>Nėra duomenų rodančių, kad senyviems pacientams vaisto dozę reikėtų koreguoti.</w:t>
      </w:r>
    </w:p>
    <w:p w:rsidR="00A03540" w:rsidRPr="009A686B" w:rsidRDefault="00A03540" w:rsidP="00A03540">
      <w:pPr>
        <w:rPr>
          <w:bCs/>
          <w:sz w:val="22"/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bCs/>
          <w:i/>
          <w:szCs w:val="22"/>
        </w:rPr>
      </w:pPr>
      <w:r w:rsidRPr="009A686B">
        <w:rPr>
          <w:bCs/>
          <w:i/>
          <w:szCs w:val="22"/>
        </w:rPr>
        <w:t>Vartojimo būdas ir trukmė</w:t>
      </w:r>
    </w:p>
    <w:p w:rsidR="00A03540" w:rsidRPr="009A686B" w:rsidRDefault="00A03540" w:rsidP="00A03540">
      <w:pPr>
        <w:pStyle w:val="Pagrindinistekstas"/>
        <w:spacing w:after="0"/>
        <w:rPr>
          <w:bCs/>
          <w:szCs w:val="22"/>
        </w:rPr>
      </w:pPr>
      <w:r w:rsidRPr="009A686B">
        <w:rPr>
          <w:bCs/>
          <w:szCs w:val="22"/>
        </w:rPr>
        <w:t xml:space="preserve">Reikia nuryti visą </w:t>
      </w:r>
      <w:r>
        <w:rPr>
          <w:szCs w:val="22"/>
        </w:rPr>
        <w:t xml:space="preserve">pailginto atpalaidavimo </w:t>
      </w:r>
      <w:r w:rsidRPr="009A686B">
        <w:rPr>
          <w:bCs/>
          <w:szCs w:val="22"/>
        </w:rPr>
        <w:t xml:space="preserve">kapsulę, užgeriant pakankamu </w:t>
      </w:r>
      <w:r w:rsidRPr="00707F40">
        <w:rPr>
          <w:bCs/>
          <w:szCs w:val="22"/>
        </w:rPr>
        <w:t xml:space="preserve">skysčio </w:t>
      </w:r>
      <w:r w:rsidRPr="009A686B">
        <w:rPr>
          <w:bCs/>
          <w:szCs w:val="22"/>
        </w:rPr>
        <w:t>kiekiu (pvz., stikline vandens).</w:t>
      </w:r>
    </w:p>
    <w:p w:rsidR="00A03540" w:rsidRPr="009A686B" w:rsidRDefault="00A03540" w:rsidP="00A03540">
      <w:pPr>
        <w:pStyle w:val="Pagrindinistekstas"/>
        <w:spacing w:after="0"/>
        <w:rPr>
          <w:bCs/>
          <w:szCs w:val="22"/>
        </w:rPr>
      </w:pPr>
      <w:r w:rsidRPr="009A686B">
        <w:rPr>
          <w:bCs/>
          <w:szCs w:val="22"/>
        </w:rPr>
        <w:t>Gydyti reikia pradėti maža doze, kurią reikia palaipsniui didinti iki reikiamos dozės.</w:t>
      </w:r>
    </w:p>
    <w:p w:rsidR="00A03540" w:rsidRPr="009A686B" w:rsidRDefault="00A03540" w:rsidP="00A03540">
      <w:pPr>
        <w:pStyle w:val="Pagrindinistekstas"/>
        <w:spacing w:after="0"/>
        <w:rPr>
          <w:bCs/>
          <w:szCs w:val="22"/>
        </w:rPr>
      </w:pPr>
      <w:r w:rsidRPr="009A686B">
        <w:rPr>
          <w:bCs/>
          <w:szCs w:val="22"/>
        </w:rPr>
        <w:t>Gydymo trukmę nustato gydytojas.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Jeigu manote, kad ISDN-</w:t>
      </w:r>
      <w:proofErr w:type="spellStart"/>
      <w:r w:rsidRPr="009A686B">
        <w:rPr>
          <w:szCs w:val="22"/>
        </w:rPr>
        <w:t>ratiopharm</w:t>
      </w:r>
      <w:proofErr w:type="spellEnd"/>
      <w:r>
        <w:rPr>
          <w:szCs w:val="22"/>
        </w:rPr>
        <w:t xml:space="preserve"> </w:t>
      </w:r>
      <w:r w:rsidRPr="009A686B">
        <w:rPr>
          <w:szCs w:val="22"/>
        </w:rPr>
        <w:t>veikia per stipriai arba per silpnai, kreipkitės į gydytoją arba vaistininką.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9A686B" w:rsidRDefault="00A03540" w:rsidP="00A03540">
      <w:pPr>
        <w:pStyle w:val="PI-3EMEASMCA"/>
      </w:pPr>
      <w:r>
        <w:t>Ką daryti p</w:t>
      </w:r>
      <w:r w:rsidRPr="009A686B">
        <w:t>avartojus per didelę ISDN-</w:t>
      </w:r>
      <w:proofErr w:type="spellStart"/>
      <w:r w:rsidRPr="009A686B">
        <w:t>ratiopharm</w:t>
      </w:r>
      <w:proofErr w:type="spellEnd"/>
      <w:r w:rsidRPr="009A686B">
        <w:t xml:space="preserve"> dozę</w:t>
      </w:r>
      <w:r>
        <w:t>?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9A686B">
        <w:rPr>
          <w:szCs w:val="22"/>
        </w:rPr>
        <w:t>Jeigu įtar</w:t>
      </w:r>
      <w:r>
        <w:rPr>
          <w:szCs w:val="22"/>
        </w:rPr>
        <w:t>iate</w:t>
      </w:r>
      <w:r w:rsidRPr="009A686B">
        <w:rPr>
          <w:szCs w:val="22"/>
        </w:rPr>
        <w:t xml:space="preserve">, kad </w:t>
      </w:r>
      <w:r w:rsidRPr="00AC79C3">
        <w:rPr>
          <w:szCs w:val="22"/>
        </w:rPr>
        <w:t>išgėrę</w:t>
      </w:r>
      <w:r w:rsidRPr="00BD7B9F">
        <w:rPr>
          <w:szCs w:val="22"/>
        </w:rPr>
        <w:t xml:space="preserve"> per didelę ISDN-</w:t>
      </w:r>
      <w:proofErr w:type="spellStart"/>
      <w:r w:rsidRPr="00BD7B9F">
        <w:rPr>
          <w:szCs w:val="22"/>
        </w:rPr>
        <w:t>ratiopharm</w:t>
      </w:r>
      <w:proofErr w:type="spellEnd"/>
      <w:r w:rsidRPr="00BD7B9F">
        <w:rPr>
          <w:szCs w:val="22"/>
        </w:rPr>
        <w:t xml:space="preserve"> dozę vaisto perdozavote</w:t>
      </w:r>
      <w:r w:rsidRPr="00AC79C3">
        <w:rPr>
          <w:szCs w:val="22"/>
        </w:rPr>
        <w:t>, nedelsiant</w:t>
      </w:r>
      <w:r w:rsidRPr="009A686B">
        <w:rPr>
          <w:szCs w:val="22"/>
        </w:rPr>
        <w:t xml:space="preserve"> kreipkitės į gydytoją.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AC79C3">
        <w:rPr>
          <w:szCs w:val="22"/>
        </w:rPr>
        <w:t>N</w:t>
      </w:r>
      <w:r w:rsidRPr="006312F6">
        <w:rPr>
          <w:szCs w:val="22"/>
        </w:rPr>
        <w:t>uo</w:t>
      </w:r>
      <w:r w:rsidRPr="009A686B">
        <w:rPr>
          <w:szCs w:val="22"/>
        </w:rPr>
        <w:t xml:space="preserve"> išgerto vaisto kiekio gali labai sumažėti kraujospūdis (</w:t>
      </w:r>
      <w:proofErr w:type="spellStart"/>
      <w:r w:rsidRPr="009A686B">
        <w:rPr>
          <w:szCs w:val="22"/>
        </w:rPr>
        <w:t>hipotenzija</w:t>
      </w:r>
      <w:proofErr w:type="spellEnd"/>
      <w:r w:rsidRPr="009A686B">
        <w:rPr>
          <w:szCs w:val="22"/>
        </w:rPr>
        <w:t xml:space="preserve">), pasireikšti refleksinė </w:t>
      </w:r>
      <w:proofErr w:type="spellStart"/>
      <w:r w:rsidRPr="009A686B">
        <w:rPr>
          <w:szCs w:val="22"/>
        </w:rPr>
        <w:t>tachikardija</w:t>
      </w:r>
      <w:proofErr w:type="spellEnd"/>
      <w:r w:rsidRPr="009A686B">
        <w:rPr>
          <w:szCs w:val="22"/>
        </w:rPr>
        <w:t xml:space="preserve"> (dažnas širdies ritmas), silpnumas, galvos svaigimas, sumišimas, galvos skausmas, odos paraudimas, pykinimas, vėmimas ir viduriavimas.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3EMEASMCA"/>
      </w:pPr>
      <w:r w:rsidRPr="009A686B">
        <w:t>Pamiršus pavartoti ISDN-</w:t>
      </w:r>
      <w:proofErr w:type="spellStart"/>
      <w:r w:rsidRPr="009A686B">
        <w:t>ratiopharm</w:t>
      </w:r>
      <w:proofErr w:type="spellEnd"/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Negalima vartoti dvigubos dozės norint kompensuoti praleistą dozę.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Jeigu kiltų daugiau klausimų dėl šio vaisto vartojimo, kreipkitės į gydytoją arba vaistininką.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8" w:name="_Toc129243142"/>
      <w:bookmarkStart w:id="9" w:name="_Toc129243267"/>
      <w:r w:rsidRPr="009A686B">
        <w:t>4.</w:t>
      </w:r>
      <w:r w:rsidRPr="009A686B">
        <w:tab/>
        <w:t>Galimas šalutinis poveikis</w:t>
      </w:r>
      <w:bookmarkEnd w:id="8"/>
      <w:bookmarkEnd w:id="9"/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>
        <w:rPr>
          <w:sz w:val="22"/>
          <w:szCs w:val="22"/>
        </w:rPr>
        <w:t>Šis vaistas</w:t>
      </w:r>
      <w:r w:rsidRPr="009A686B">
        <w:rPr>
          <w:sz w:val="22"/>
          <w:szCs w:val="22"/>
        </w:rPr>
        <w:t>, kaip ir visi kiti</w:t>
      </w:r>
      <w:r w:rsidRPr="00EF6533">
        <w:rPr>
          <w:sz w:val="22"/>
          <w:szCs w:val="22"/>
        </w:rPr>
        <w:t>,</w:t>
      </w:r>
      <w:r w:rsidRPr="009A686B">
        <w:rPr>
          <w:sz w:val="22"/>
          <w:szCs w:val="22"/>
        </w:rPr>
        <w:t xml:space="preserve"> gali sukelti šalutinį poveikį, nors jis pasireiškia ne visiems žmonėms.</w:t>
      </w: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Jeigu pasireiškė sunkus šalutinis poveikis arba pastebėjote šiame lapelyje nenurodytą šalutinį poveikį, pasakykite gydytojui arba vaistininkui.</w:t>
      </w:r>
    </w:p>
    <w:p w:rsidR="00A03540" w:rsidRPr="009A686B" w:rsidRDefault="00A03540" w:rsidP="00A03540">
      <w:pPr>
        <w:pStyle w:val="Pagrindinistekstas"/>
        <w:spacing w:after="0"/>
        <w:rPr>
          <w:i/>
          <w:szCs w:val="22"/>
        </w:rPr>
      </w:pPr>
    </w:p>
    <w:p w:rsidR="00A03540" w:rsidRPr="00A74759" w:rsidRDefault="00A03540" w:rsidP="00A03540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A74759">
        <w:rPr>
          <w:bCs/>
          <w:i/>
          <w:noProof/>
          <w:sz w:val="22"/>
          <w:szCs w:val="22"/>
        </w:rPr>
        <w:t>Dažnas</w:t>
      </w:r>
      <w:r w:rsidRPr="00A74759">
        <w:rPr>
          <w:i/>
          <w:sz w:val="22"/>
          <w:szCs w:val="22"/>
        </w:rPr>
        <w:t xml:space="preserve"> (gali pasireikšti ne daugiau kaip 1 iš 10 vartojusiųjų):</w:t>
      </w:r>
    </w:p>
    <w:p w:rsidR="00A03540" w:rsidRPr="00A74759" w:rsidRDefault="00A03540" w:rsidP="00A03540">
      <w:pPr>
        <w:pStyle w:val="Sraopastraipa"/>
        <w:numPr>
          <w:ilvl w:val="0"/>
          <w:numId w:val="2"/>
        </w:numPr>
        <w:ind w:right="-2"/>
        <w:rPr>
          <w:b/>
          <w:bCs/>
          <w:noProof/>
          <w:sz w:val="22"/>
          <w:szCs w:val="22"/>
        </w:rPr>
      </w:pPr>
      <w:r w:rsidRPr="00A74759">
        <w:rPr>
          <w:sz w:val="22"/>
          <w:szCs w:val="22"/>
        </w:rPr>
        <w:t>galvos skausmas (vadinamasis nitratinis galvos skausmas), ypač gydymo pradžioje, kuris vaisto vartojant toliau, po kelių dienų dažniausiai išnyksta.</w:t>
      </w:r>
    </w:p>
    <w:p w:rsidR="00A03540" w:rsidRDefault="00A03540" w:rsidP="00A03540">
      <w:pPr>
        <w:pStyle w:val="Pagrindinistekstas"/>
        <w:spacing w:after="0"/>
        <w:rPr>
          <w:b/>
          <w:noProof/>
        </w:rPr>
      </w:pPr>
    </w:p>
    <w:p w:rsidR="00A03540" w:rsidRPr="00A74759" w:rsidRDefault="00A03540" w:rsidP="00A03540">
      <w:pPr>
        <w:pStyle w:val="Pagrindinistekstas"/>
        <w:spacing w:after="0"/>
        <w:rPr>
          <w:i/>
          <w:szCs w:val="22"/>
        </w:rPr>
      </w:pPr>
      <w:r w:rsidRPr="00A74759">
        <w:rPr>
          <w:i/>
          <w:noProof/>
        </w:rPr>
        <w:t>Nedažnas</w:t>
      </w:r>
      <w:r w:rsidRPr="00A74759">
        <w:rPr>
          <w:i/>
          <w:szCs w:val="22"/>
        </w:rPr>
        <w:t xml:space="preserve"> (gali pasireikšti rečiau kaip 1 iš 100 vartojusiųjų):</w:t>
      </w:r>
    </w:p>
    <w:p w:rsidR="00A03540" w:rsidRDefault="00A03540" w:rsidP="00A03540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9A686B">
        <w:rPr>
          <w:szCs w:val="22"/>
        </w:rPr>
        <w:t>silpnas galvos svaigimas arba silpnumas, ypač po pirmos dozės pavartojimo, kuris tolesnio g</w:t>
      </w:r>
      <w:r>
        <w:rPr>
          <w:szCs w:val="22"/>
        </w:rPr>
        <w:t>ydymo metu paprastai susilpnėja;</w:t>
      </w:r>
    </w:p>
    <w:p w:rsidR="00A03540" w:rsidRDefault="00A03540" w:rsidP="00A03540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proofErr w:type="spellStart"/>
      <w:r w:rsidRPr="009A686B">
        <w:rPr>
          <w:szCs w:val="22"/>
        </w:rPr>
        <w:t>hipotenzija</w:t>
      </w:r>
      <w:proofErr w:type="spellEnd"/>
      <w:r w:rsidRPr="009A686B">
        <w:rPr>
          <w:szCs w:val="22"/>
        </w:rPr>
        <w:t xml:space="preserve"> (įskaitant </w:t>
      </w:r>
      <w:proofErr w:type="spellStart"/>
      <w:r w:rsidRPr="009A686B">
        <w:rPr>
          <w:szCs w:val="22"/>
        </w:rPr>
        <w:t>ortostatinę</w:t>
      </w:r>
      <w:proofErr w:type="spellEnd"/>
      <w:r w:rsidRPr="009A686B">
        <w:rPr>
          <w:szCs w:val="22"/>
        </w:rPr>
        <w:t xml:space="preserve">), ypač gydymo pradžioje, </w:t>
      </w:r>
      <w:proofErr w:type="spellStart"/>
      <w:r w:rsidRPr="009A686B">
        <w:rPr>
          <w:szCs w:val="22"/>
        </w:rPr>
        <w:t>tachikardija</w:t>
      </w:r>
      <w:proofErr w:type="spellEnd"/>
      <w:r w:rsidRPr="009A686B">
        <w:rPr>
          <w:szCs w:val="22"/>
        </w:rPr>
        <w:t xml:space="preserve">, </w:t>
      </w:r>
      <w:r w:rsidRPr="007B04D0">
        <w:rPr>
          <w:szCs w:val="22"/>
        </w:rPr>
        <w:t>paraudimas, kurie</w:t>
      </w:r>
      <w:r w:rsidRPr="009A686B">
        <w:rPr>
          <w:szCs w:val="22"/>
        </w:rPr>
        <w:t xml:space="preserve"> tolesnio g</w:t>
      </w:r>
      <w:r>
        <w:rPr>
          <w:szCs w:val="22"/>
        </w:rPr>
        <w:t>ydymo metu paprastai palengvėja;</w:t>
      </w:r>
    </w:p>
    <w:p w:rsidR="00A03540" w:rsidRDefault="00A03540" w:rsidP="00A03540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9A686B">
        <w:rPr>
          <w:szCs w:val="22"/>
        </w:rPr>
        <w:t>pykinimas, vėmimas.</w:t>
      </w:r>
    </w:p>
    <w:p w:rsidR="00A03540" w:rsidRPr="00A74759" w:rsidRDefault="00A03540" w:rsidP="00A03540">
      <w:pPr>
        <w:pStyle w:val="Pagrindinistekstas"/>
        <w:spacing w:after="0"/>
        <w:rPr>
          <w:i/>
          <w:szCs w:val="22"/>
        </w:rPr>
      </w:pPr>
    </w:p>
    <w:p w:rsidR="00A03540" w:rsidRPr="00A74759" w:rsidRDefault="00A03540" w:rsidP="00A03540">
      <w:pPr>
        <w:ind w:right="-2"/>
        <w:rPr>
          <w:i/>
          <w:noProof/>
          <w:sz w:val="22"/>
          <w:szCs w:val="22"/>
        </w:rPr>
      </w:pPr>
      <w:r w:rsidRPr="00A74759">
        <w:rPr>
          <w:i/>
          <w:noProof/>
          <w:sz w:val="22"/>
          <w:szCs w:val="22"/>
        </w:rPr>
        <w:t xml:space="preserve">Retas (gali pasireikšti </w:t>
      </w:r>
      <w:r w:rsidRPr="00A74759">
        <w:rPr>
          <w:i/>
          <w:sz w:val="22"/>
          <w:szCs w:val="22"/>
        </w:rPr>
        <w:t>rečiau</w:t>
      </w:r>
      <w:r w:rsidRPr="00A74759">
        <w:rPr>
          <w:i/>
          <w:noProof/>
          <w:sz w:val="22"/>
          <w:szCs w:val="22"/>
        </w:rPr>
        <w:t xml:space="preserve"> kaip 1 iš 1000 vartojusiųjų</w:t>
      </w:r>
      <w:r w:rsidRPr="00A74759">
        <w:rPr>
          <w:i/>
          <w:sz w:val="22"/>
          <w:szCs w:val="22"/>
        </w:rPr>
        <w:t>):</w:t>
      </w:r>
    </w:p>
    <w:p w:rsidR="00A03540" w:rsidRDefault="00A03540" w:rsidP="00A03540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proofErr w:type="spellStart"/>
      <w:r w:rsidRPr="009A686B">
        <w:rPr>
          <w:szCs w:val="22"/>
        </w:rPr>
        <w:t>eksfoliacinis</w:t>
      </w:r>
      <w:proofErr w:type="spellEnd"/>
      <w:r w:rsidRPr="009A686B">
        <w:rPr>
          <w:szCs w:val="22"/>
        </w:rPr>
        <w:t xml:space="preserve"> dermatitas, trumpalaikis odos parau</w:t>
      </w:r>
      <w:r>
        <w:rPr>
          <w:szCs w:val="22"/>
        </w:rPr>
        <w:t>dimas, alerginės odos reakcijos;</w:t>
      </w:r>
    </w:p>
    <w:p w:rsidR="00A03540" w:rsidRDefault="00A03540" w:rsidP="00A03540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proofErr w:type="spellStart"/>
      <w:r w:rsidRPr="00A35A36">
        <w:rPr>
          <w:szCs w:val="22"/>
        </w:rPr>
        <w:t>kolapsas</w:t>
      </w:r>
      <w:proofErr w:type="spellEnd"/>
      <w:r w:rsidRPr="00A35A36">
        <w:rPr>
          <w:szCs w:val="22"/>
        </w:rPr>
        <w:t xml:space="preserve">, kartais susijęs su </w:t>
      </w:r>
      <w:proofErr w:type="spellStart"/>
      <w:r w:rsidRPr="00A35A36">
        <w:rPr>
          <w:szCs w:val="22"/>
        </w:rPr>
        <w:t>bradikardija</w:t>
      </w:r>
      <w:proofErr w:type="spellEnd"/>
      <w:r w:rsidRPr="00A35A36">
        <w:rPr>
          <w:szCs w:val="22"/>
        </w:rPr>
        <w:t xml:space="preserve"> ir sinkope. Dėl stipraus kraujospūdžio sumažėjimo gali sustiprėti krūtinės anginos simptomai.</w:t>
      </w:r>
    </w:p>
    <w:p w:rsidR="00A03540" w:rsidRDefault="00A03540" w:rsidP="00A03540">
      <w:pPr>
        <w:pStyle w:val="Pagrindinistekstas"/>
        <w:spacing w:after="0"/>
        <w:ind w:left="720"/>
        <w:rPr>
          <w:szCs w:val="22"/>
        </w:rPr>
      </w:pP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  <w:r w:rsidRPr="00AC79C3">
        <w:rPr>
          <w:szCs w:val="22"/>
        </w:rPr>
        <w:t>Pastebėta</w:t>
      </w:r>
      <w:r w:rsidRPr="009A686B">
        <w:rPr>
          <w:szCs w:val="22"/>
        </w:rPr>
        <w:t xml:space="preserve"> tolerancija bei kryžminė tolerancija kitiems organiniams nitratams. Norint, kad vaisto poveikis nesusilpnėtų arba visai neišnyktų, reikia vengti be pertraukos vartoti dideles dozes.</w:t>
      </w:r>
    </w:p>
    <w:p w:rsidR="00A03540" w:rsidRPr="009A686B" w:rsidRDefault="00A03540" w:rsidP="00A03540">
      <w:pPr>
        <w:pStyle w:val="Pagrindinistekstas"/>
        <w:spacing w:after="0"/>
        <w:rPr>
          <w:szCs w:val="22"/>
        </w:rPr>
      </w:pPr>
    </w:p>
    <w:p w:rsidR="00A03540" w:rsidRPr="00C76788" w:rsidRDefault="00A03540" w:rsidP="00A03540">
      <w:pPr>
        <w:tabs>
          <w:tab w:val="left" w:pos="567"/>
        </w:tabs>
        <w:rPr>
          <w:b/>
          <w:snapToGrid w:val="0"/>
          <w:sz w:val="22"/>
        </w:rPr>
      </w:pPr>
      <w:r w:rsidRPr="00C76788">
        <w:rPr>
          <w:b/>
          <w:noProof/>
          <w:snapToGrid w:val="0"/>
          <w:sz w:val="22"/>
        </w:rPr>
        <w:t>Pranešimas apie šalutinį poveikį</w:t>
      </w:r>
    </w:p>
    <w:p w:rsidR="00A03540" w:rsidRPr="00C76788" w:rsidRDefault="00A03540" w:rsidP="00A03540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C76788">
        <w:rPr>
          <w:snapToGrid w:val="0"/>
          <w:sz w:val="22"/>
          <w:szCs w:val="20"/>
        </w:rPr>
        <w:t>Jeigu pasireiškė šalutinis poveikis, įskaitant šiame l</w:t>
      </w:r>
      <w:r>
        <w:rPr>
          <w:snapToGrid w:val="0"/>
          <w:sz w:val="22"/>
          <w:szCs w:val="20"/>
        </w:rPr>
        <w:t xml:space="preserve">apelyje nenurodytą, pasakykite </w:t>
      </w:r>
      <w:r w:rsidRPr="00C76788">
        <w:rPr>
          <w:snapToGrid w:val="0"/>
          <w:sz w:val="22"/>
          <w:szCs w:val="20"/>
        </w:rPr>
        <w:t>gydytojui</w:t>
      </w:r>
      <w:r>
        <w:rPr>
          <w:snapToGrid w:val="0"/>
          <w:sz w:val="22"/>
          <w:szCs w:val="20"/>
        </w:rPr>
        <w:t xml:space="preserve"> </w:t>
      </w:r>
      <w:r w:rsidRPr="00C76788">
        <w:rPr>
          <w:snapToGrid w:val="0"/>
          <w:sz w:val="22"/>
          <w:szCs w:val="20"/>
        </w:rPr>
        <w:t>arba</w:t>
      </w:r>
      <w:r>
        <w:rPr>
          <w:snapToGrid w:val="0"/>
          <w:sz w:val="22"/>
          <w:szCs w:val="20"/>
        </w:rPr>
        <w:t xml:space="preserve"> </w:t>
      </w:r>
      <w:r w:rsidRPr="00C76788">
        <w:rPr>
          <w:snapToGrid w:val="0"/>
          <w:sz w:val="22"/>
          <w:szCs w:val="20"/>
        </w:rPr>
        <w:t>vaistininkui</w:t>
      </w:r>
      <w:r>
        <w:rPr>
          <w:snapToGrid w:val="0"/>
          <w:sz w:val="22"/>
          <w:szCs w:val="20"/>
        </w:rPr>
        <w:t xml:space="preserve">. </w:t>
      </w:r>
      <w:r w:rsidRPr="00C76788">
        <w:rPr>
          <w:snapToGrid w:val="0"/>
          <w:sz w:val="22"/>
          <w:szCs w:val="20"/>
        </w:rPr>
        <w:t>Apie šalutinį poveikį taip pat galite pranešti Valstybinei vaistų kontrolės tarnybai prie Lietuvos Respublikos sveikatos apsaugos ministerijos nemokamu t</w:t>
      </w:r>
      <w:r w:rsidRPr="00C76788">
        <w:rPr>
          <w:snapToGrid w:val="0"/>
          <w:sz w:val="22"/>
          <w:szCs w:val="20"/>
          <w:lang w:eastAsia="zh-CN"/>
        </w:rPr>
        <w:t>elefonu 8 800 73568</w:t>
      </w:r>
      <w:r w:rsidRPr="00C76788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C76788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C76788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76788">
        <w:rPr>
          <w:snapToGrid w:val="0"/>
          <w:sz w:val="22"/>
          <w:szCs w:val="20"/>
          <w:lang w:eastAsia="zh-CN"/>
        </w:rPr>
        <w:t xml:space="preserve">nemokamu </w:t>
      </w:r>
      <w:r w:rsidRPr="00C76788">
        <w:rPr>
          <w:snapToGrid w:val="0"/>
          <w:sz w:val="22"/>
          <w:szCs w:val="20"/>
        </w:rPr>
        <w:t>fakso numeriu 8 800 20131</w:t>
      </w:r>
      <w:r w:rsidRPr="00C76788">
        <w:rPr>
          <w:snapToGrid w:val="0"/>
          <w:sz w:val="22"/>
          <w:szCs w:val="20"/>
          <w:lang w:eastAsia="zh-CN"/>
        </w:rPr>
        <w:t xml:space="preserve">, </w:t>
      </w:r>
      <w:r w:rsidRPr="00C76788">
        <w:rPr>
          <w:snapToGrid w:val="0"/>
          <w:sz w:val="22"/>
          <w:szCs w:val="20"/>
        </w:rPr>
        <w:t xml:space="preserve">el. paštu </w:t>
      </w:r>
      <w:hyperlink r:id="rId6" w:history="1">
        <w:r w:rsidRPr="00C76788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C76788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C76788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C76788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10" w:name="_Toc129243143"/>
      <w:bookmarkStart w:id="11" w:name="_Toc129243268"/>
      <w:r w:rsidRPr="009A686B">
        <w:t>5.</w:t>
      </w:r>
      <w:r w:rsidRPr="009A686B">
        <w:tab/>
        <w:t xml:space="preserve">Kaip laikyti </w:t>
      </w:r>
      <w:bookmarkEnd w:id="10"/>
      <w:bookmarkEnd w:id="11"/>
      <w:r w:rsidRPr="009A686B">
        <w:t>ISDN-</w:t>
      </w:r>
      <w:proofErr w:type="spellStart"/>
      <w:r w:rsidRPr="009A686B">
        <w:t>ratiopharm</w:t>
      </w:r>
      <w:proofErr w:type="spellEnd"/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 xml:space="preserve">Šį vaistą laikykite vaikams nepastebimoje ir nepasiekiamoje vietoje. 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Laikyti ne aukštesnėje kaip 30</w:t>
      </w:r>
      <w:r>
        <w:rPr>
          <w:sz w:val="22"/>
          <w:szCs w:val="22"/>
        </w:rPr>
        <w:t> </w:t>
      </w:r>
      <w:r w:rsidRPr="009A686B">
        <w:rPr>
          <w:sz w:val="22"/>
          <w:szCs w:val="22"/>
        </w:rPr>
        <w:t>°C temperatūroje.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Ant dėžutės ir lizdinės plokštelės po „Tinka iki</w:t>
      </w:r>
      <w:r>
        <w:rPr>
          <w:sz w:val="22"/>
          <w:szCs w:val="22"/>
        </w:rPr>
        <w:t>/EXP</w:t>
      </w:r>
      <w:r w:rsidRPr="009A686B">
        <w:rPr>
          <w:sz w:val="22"/>
          <w:szCs w:val="22"/>
        </w:rPr>
        <w:t xml:space="preserve">“ nurodytam tinkamumo laikui pasibaigus, </w:t>
      </w:r>
      <w:r>
        <w:rPr>
          <w:sz w:val="22"/>
          <w:szCs w:val="22"/>
        </w:rPr>
        <w:t>šio vaisto</w:t>
      </w:r>
      <w:r w:rsidRPr="009A686B">
        <w:rPr>
          <w:sz w:val="22"/>
          <w:szCs w:val="22"/>
        </w:rPr>
        <w:t xml:space="preserve"> vartoti negalima. Vaistas tinka vartoti iki paskutinės nurodyto mėnesio dienos.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>Vaistų negalima iš</w:t>
      </w:r>
      <w:r>
        <w:rPr>
          <w:sz w:val="22"/>
          <w:szCs w:val="22"/>
        </w:rPr>
        <w:t>mesti</w:t>
      </w:r>
      <w:r w:rsidRPr="009A686B">
        <w:rPr>
          <w:sz w:val="22"/>
          <w:szCs w:val="22"/>
        </w:rPr>
        <w:t xml:space="preserve"> į kanalizaciją arba su buitinėmis atliekomis. Kaip </w:t>
      </w:r>
      <w:r>
        <w:rPr>
          <w:sz w:val="22"/>
          <w:szCs w:val="22"/>
        </w:rPr>
        <w:t>išmesti</w:t>
      </w:r>
      <w:r w:rsidRPr="009A686B">
        <w:rPr>
          <w:sz w:val="22"/>
          <w:szCs w:val="22"/>
        </w:rPr>
        <w:t xml:space="preserve"> nereikalingus vaistus, klauskite vaistininko. Šios priemonės padės apsaugoti aplinką.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1EMEASMCA"/>
      </w:pPr>
      <w:bookmarkStart w:id="12" w:name="_Toc129243144"/>
      <w:bookmarkStart w:id="13" w:name="_Toc129243269"/>
      <w:r w:rsidRPr="009A686B">
        <w:t>6.</w:t>
      </w:r>
      <w:r w:rsidRPr="009A686B">
        <w:tab/>
        <w:t>Pakuotės turinys ir kita informacija</w:t>
      </w:r>
      <w:bookmarkEnd w:id="12"/>
      <w:bookmarkEnd w:id="13"/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3EMEASMCA"/>
      </w:pPr>
      <w:r w:rsidRPr="009A686B">
        <w:t>ISDN-</w:t>
      </w:r>
      <w:proofErr w:type="spellStart"/>
      <w:r w:rsidRPr="009A686B">
        <w:t>ratiopharm</w:t>
      </w:r>
      <w:proofErr w:type="spellEnd"/>
      <w:r w:rsidRPr="009A686B">
        <w:t xml:space="preserve"> sudėtis</w:t>
      </w:r>
    </w:p>
    <w:p w:rsidR="00A03540" w:rsidRPr="009A686B" w:rsidRDefault="00A03540" w:rsidP="00A03540">
      <w:pPr>
        <w:pStyle w:val="Pagrindinistekstas"/>
        <w:numPr>
          <w:ilvl w:val="0"/>
          <w:numId w:val="3"/>
        </w:numPr>
        <w:tabs>
          <w:tab w:val="left" w:pos="0"/>
        </w:tabs>
        <w:spacing w:after="0"/>
        <w:ind w:left="567" w:hanging="567"/>
        <w:rPr>
          <w:szCs w:val="22"/>
        </w:rPr>
      </w:pPr>
      <w:r w:rsidRPr="009A686B">
        <w:rPr>
          <w:szCs w:val="22"/>
        </w:rPr>
        <w:t xml:space="preserve">Veiklioji medžiaga yra </w:t>
      </w:r>
      <w:proofErr w:type="spellStart"/>
      <w:r w:rsidRPr="009A686B">
        <w:rPr>
          <w:szCs w:val="22"/>
        </w:rPr>
        <w:t>izosorbido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dinitratas</w:t>
      </w:r>
      <w:proofErr w:type="spellEnd"/>
      <w:r w:rsidRPr="009A686B">
        <w:rPr>
          <w:szCs w:val="22"/>
        </w:rPr>
        <w:t xml:space="preserve">. Vienoje </w:t>
      </w:r>
      <w:r>
        <w:rPr>
          <w:szCs w:val="22"/>
        </w:rPr>
        <w:t xml:space="preserve">pailginto atpalaidavimo </w:t>
      </w:r>
      <w:r w:rsidRPr="009A686B">
        <w:rPr>
          <w:szCs w:val="22"/>
        </w:rPr>
        <w:t>kapsulėje  yra 20</w:t>
      </w:r>
      <w:r>
        <w:rPr>
          <w:szCs w:val="22"/>
        </w:rPr>
        <w:t> </w:t>
      </w:r>
      <w:r w:rsidRPr="009A686B">
        <w:rPr>
          <w:szCs w:val="22"/>
        </w:rPr>
        <w:t xml:space="preserve">mg </w:t>
      </w:r>
      <w:proofErr w:type="spellStart"/>
      <w:r w:rsidRPr="009A686B">
        <w:rPr>
          <w:szCs w:val="22"/>
        </w:rPr>
        <w:t>izosorbido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dinitrato</w:t>
      </w:r>
      <w:proofErr w:type="spellEnd"/>
      <w:r w:rsidRPr="009A686B">
        <w:rPr>
          <w:szCs w:val="22"/>
        </w:rPr>
        <w:t>.</w:t>
      </w:r>
    </w:p>
    <w:p w:rsidR="00A03540" w:rsidRPr="009A686B" w:rsidRDefault="00A03540" w:rsidP="00A03540">
      <w:pPr>
        <w:pStyle w:val="Pagrindinistekstas"/>
        <w:numPr>
          <w:ilvl w:val="0"/>
          <w:numId w:val="4"/>
        </w:numPr>
        <w:tabs>
          <w:tab w:val="left" w:pos="0"/>
        </w:tabs>
        <w:spacing w:after="0"/>
        <w:ind w:left="567" w:hanging="567"/>
        <w:rPr>
          <w:szCs w:val="22"/>
        </w:rPr>
      </w:pPr>
      <w:r w:rsidRPr="009A686B">
        <w:rPr>
          <w:szCs w:val="22"/>
        </w:rPr>
        <w:t xml:space="preserve">Pagalbinės medžiagos. </w:t>
      </w:r>
      <w:r>
        <w:rPr>
          <w:szCs w:val="22"/>
        </w:rPr>
        <w:t>Pailginto atpalaidavimo k</w:t>
      </w:r>
      <w:r w:rsidRPr="009A686B">
        <w:rPr>
          <w:szCs w:val="22"/>
        </w:rPr>
        <w:t xml:space="preserve">apsulės turinyje yra laktozės </w:t>
      </w:r>
      <w:proofErr w:type="spellStart"/>
      <w:r w:rsidRPr="009A686B">
        <w:rPr>
          <w:szCs w:val="22"/>
        </w:rPr>
        <w:t>monohidrato</w:t>
      </w:r>
      <w:proofErr w:type="spellEnd"/>
      <w:r w:rsidRPr="009A686B">
        <w:rPr>
          <w:szCs w:val="22"/>
        </w:rPr>
        <w:t xml:space="preserve">, </w:t>
      </w:r>
      <w:proofErr w:type="spellStart"/>
      <w:r w:rsidRPr="009A686B">
        <w:rPr>
          <w:szCs w:val="22"/>
        </w:rPr>
        <w:t>mikrokristalinės</w:t>
      </w:r>
      <w:proofErr w:type="spellEnd"/>
      <w:r w:rsidRPr="009A686B">
        <w:rPr>
          <w:szCs w:val="22"/>
        </w:rPr>
        <w:t xml:space="preserve"> celiuliozės ir </w:t>
      </w:r>
      <w:proofErr w:type="spellStart"/>
      <w:r w:rsidRPr="009A686B">
        <w:rPr>
          <w:szCs w:val="22"/>
        </w:rPr>
        <w:t>karmeliozės</w:t>
      </w:r>
      <w:proofErr w:type="spellEnd"/>
      <w:r w:rsidRPr="009A686B">
        <w:rPr>
          <w:szCs w:val="22"/>
        </w:rPr>
        <w:t xml:space="preserve"> natrio druskos, </w:t>
      </w:r>
      <w:proofErr w:type="spellStart"/>
      <w:r w:rsidRPr="009A686B">
        <w:rPr>
          <w:szCs w:val="22"/>
        </w:rPr>
        <w:t>mikrokristalinės</w:t>
      </w:r>
      <w:proofErr w:type="spellEnd"/>
      <w:r w:rsidRPr="009A686B">
        <w:rPr>
          <w:szCs w:val="22"/>
        </w:rPr>
        <w:t xml:space="preserve"> celiuliozės, amonio </w:t>
      </w:r>
      <w:proofErr w:type="spellStart"/>
      <w:r w:rsidRPr="009A686B">
        <w:rPr>
          <w:szCs w:val="22"/>
        </w:rPr>
        <w:t>metakrilato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kopolimero</w:t>
      </w:r>
      <w:proofErr w:type="spellEnd"/>
      <w:r w:rsidRPr="009A686B">
        <w:rPr>
          <w:szCs w:val="22"/>
        </w:rPr>
        <w:t xml:space="preserve"> A, amonio </w:t>
      </w:r>
      <w:proofErr w:type="spellStart"/>
      <w:r w:rsidRPr="009A686B">
        <w:rPr>
          <w:szCs w:val="22"/>
        </w:rPr>
        <w:t>metakrilato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kopolimero</w:t>
      </w:r>
      <w:proofErr w:type="spellEnd"/>
      <w:r w:rsidRPr="009A686B">
        <w:rPr>
          <w:szCs w:val="22"/>
        </w:rPr>
        <w:t xml:space="preserve"> B, </w:t>
      </w:r>
      <w:proofErr w:type="spellStart"/>
      <w:r w:rsidRPr="009A686B">
        <w:rPr>
          <w:szCs w:val="22"/>
        </w:rPr>
        <w:t>trietilo</w:t>
      </w:r>
      <w:proofErr w:type="spellEnd"/>
      <w:r w:rsidRPr="009A686B">
        <w:rPr>
          <w:szCs w:val="22"/>
        </w:rPr>
        <w:t xml:space="preserve"> citrato, bevandenio koloidinio silicio dioksido, </w:t>
      </w:r>
      <w:proofErr w:type="spellStart"/>
      <w:r w:rsidRPr="009A686B">
        <w:rPr>
          <w:szCs w:val="22"/>
        </w:rPr>
        <w:t>hipromeliozės</w:t>
      </w:r>
      <w:proofErr w:type="spellEnd"/>
      <w:r w:rsidRPr="009A686B">
        <w:rPr>
          <w:szCs w:val="22"/>
        </w:rPr>
        <w:t xml:space="preserve">, magnio </w:t>
      </w:r>
      <w:proofErr w:type="spellStart"/>
      <w:r w:rsidRPr="009A686B">
        <w:rPr>
          <w:szCs w:val="22"/>
        </w:rPr>
        <w:t>stearato</w:t>
      </w:r>
      <w:proofErr w:type="spellEnd"/>
      <w:r w:rsidRPr="009A686B">
        <w:rPr>
          <w:szCs w:val="22"/>
        </w:rPr>
        <w:t xml:space="preserve">. </w:t>
      </w:r>
      <w:r>
        <w:rPr>
          <w:szCs w:val="22"/>
        </w:rPr>
        <w:t>Pailginto atpalaidavimo k</w:t>
      </w:r>
      <w:r w:rsidRPr="009A686B">
        <w:rPr>
          <w:szCs w:val="22"/>
        </w:rPr>
        <w:t>apsulės apvalkale yra želatinos, titano dioksido (E171), geltonojo geležies oksido (E172).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pStyle w:val="PI-3EMEASMCA"/>
      </w:pPr>
      <w:r w:rsidRPr="009A686B">
        <w:lastRenderedPageBreak/>
        <w:t>ISDN-</w:t>
      </w:r>
      <w:proofErr w:type="spellStart"/>
      <w:r w:rsidRPr="009A686B">
        <w:t>ratiopharm</w:t>
      </w:r>
      <w:proofErr w:type="spellEnd"/>
      <w:r w:rsidRPr="009A686B">
        <w:t xml:space="preserve"> išvaizda ir kiekis pakuotėje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Pailginto atpalaidavimo k</w:t>
      </w:r>
      <w:r w:rsidRPr="009A686B">
        <w:rPr>
          <w:szCs w:val="22"/>
        </w:rPr>
        <w:t xml:space="preserve">apsulės cilindro formos, 4 dydžio, šviesiai geltonos spalvos, nepermatomos. Ant kiekvienos </w:t>
      </w:r>
      <w:r>
        <w:rPr>
          <w:szCs w:val="22"/>
        </w:rPr>
        <w:t xml:space="preserve">pailginto atpalaidavimo </w:t>
      </w:r>
      <w:r w:rsidRPr="009A686B">
        <w:rPr>
          <w:szCs w:val="22"/>
        </w:rPr>
        <w:t>kapsulės užrašyta ISD 20.</w:t>
      </w: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 xml:space="preserve">Kartono dėžutėje yra 50 </w:t>
      </w:r>
      <w:r>
        <w:rPr>
          <w:sz w:val="22"/>
          <w:szCs w:val="22"/>
        </w:rPr>
        <w:t xml:space="preserve">pailginto atpalaidavimo </w:t>
      </w:r>
      <w:r w:rsidRPr="009A686B">
        <w:rPr>
          <w:sz w:val="22"/>
          <w:szCs w:val="22"/>
        </w:rPr>
        <w:t>kapsulių.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keepNext/>
        <w:tabs>
          <w:tab w:val="left" w:pos="567"/>
        </w:tabs>
        <w:spacing w:line="260" w:lineRule="exact"/>
        <w:jc w:val="both"/>
        <w:outlineLvl w:val="3"/>
      </w:pPr>
      <w:r w:rsidRPr="00C76788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:rsidR="00A03540" w:rsidRPr="00A74759" w:rsidRDefault="00A03540" w:rsidP="00A03540">
      <w:pPr>
        <w:rPr>
          <w:b/>
          <w:sz w:val="22"/>
          <w:szCs w:val="22"/>
        </w:rPr>
      </w:pPr>
      <w:r w:rsidRPr="00A74759">
        <w:rPr>
          <w:b/>
          <w:sz w:val="22"/>
          <w:szCs w:val="22"/>
        </w:rPr>
        <w:t>Registruotojas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9A686B">
        <w:rPr>
          <w:szCs w:val="22"/>
        </w:rPr>
        <w:t>ratiopharm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GmbH</w:t>
      </w:r>
      <w:proofErr w:type="spellEnd"/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9A686B">
        <w:rPr>
          <w:szCs w:val="22"/>
        </w:rPr>
        <w:t>Graf</w:t>
      </w:r>
      <w:proofErr w:type="spellEnd"/>
      <w:r w:rsidRPr="009A686B">
        <w:rPr>
          <w:szCs w:val="22"/>
        </w:rPr>
        <w:t>-</w:t>
      </w:r>
      <w:proofErr w:type="spellStart"/>
      <w:r w:rsidRPr="009A686B">
        <w:rPr>
          <w:szCs w:val="22"/>
        </w:rPr>
        <w:t>Arco</w:t>
      </w:r>
      <w:proofErr w:type="spellEnd"/>
      <w:r w:rsidRPr="009A686B">
        <w:rPr>
          <w:szCs w:val="22"/>
        </w:rPr>
        <w:t>-Str. 3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 xml:space="preserve">D-89079 </w:t>
      </w:r>
      <w:proofErr w:type="spellStart"/>
      <w:r w:rsidRPr="009A686B">
        <w:rPr>
          <w:szCs w:val="22"/>
        </w:rPr>
        <w:t>Ulm</w:t>
      </w:r>
      <w:proofErr w:type="spellEnd"/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Vokietija</w:t>
      </w:r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03540" w:rsidRPr="00A74759" w:rsidRDefault="00A03540" w:rsidP="00A03540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A74759">
        <w:rPr>
          <w:b/>
          <w:szCs w:val="22"/>
        </w:rPr>
        <w:t>Gamintojas</w:t>
      </w:r>
    </w:p>
    <w:p w:rsidR="00A03540" w:rsidRPr="009A686B" w:rsidRDefault="00A03540" w:rsidP="00A03540">
      <w:pPr>
        <w:pStyle w:val="Pagrindinistekstas"/>
        <w:tabs>
          <w:tab w:val="left" w:pos="567"/>
          <w:tab w:val="left" w:pos="9000"/>
        </w:tabs>
        <w:spacing w:after="0"/>
        <w:ind w:right="99"/>
        <w:rPr>
          <w:szCs w:val="22"/>
        </w:rPr>
      </w:pPr>
      <w:proofErr w:type="spellStart"/>
      <w:r w:rsidRPr="009A686B">
        <w:rPr>
          <w:szCs w:val="22"/>
        </w:rPr>
        <w:t>Merckle</w:t>
      </w:r>
      <w:proofErr w:type="spellEnd"/>
      <w:r w:rsidRPr="009A686B">
        <w:rPr>
          <w:szCs w:val="22"/>
        </w:rPr>
        <w:t xml:space="preserve"> </w:t>
      </w:r>
      <w:proofErr w:type="spellStart"/>
      <w:r w:rsidRPr="009A686B">
        <w:rPr>
          <w:szCs w:val="22"/>
        </w:rPr>
        <w:t>GmbH</w:t>
      </w:r>
      <w:proofErr w:type="spellEnd"/>
      <w:r w:rsidRPr="009A686B">
        <w:rPr>
          <w:szCs w:val="22"/>
        </w:rPr>
        <w:br/>
      </w:r>
      <w:proofErr w:type="spellStart"/>
      <w:r w:rsidRPr="009A686B">
        <w:rPr>
          <w:szCs w:val="22"/>
        </w:rPr>
        <w:t>Ludwig</w:t>
      </w:r>
      <w:proofErr w:type="spellEnd"/>
      <w:r w:rsidRPr="009A686B">
        <w:rPr>
          <w:szCs w:val="22"/>
        </w:rPr>
        <w:t>-</w:t>
      </w:r>
      <w:proofErr w:type="spellStart"/>
      <w:r w:rsidRPr="009A686B">
        <w:rPr>
          <w:szCs w:val="22"/>
        </w:rPr>
        <w:t>Merckle</w:t>
      </w:r>
      <w:proofErr w:type="spellEnd"/>
      <w:r w:rsidRPr="009A686B">
        <w:rPr>
          <w:szCs w:val="22"/>
        </w:rPr>
        <w:t>-Str. 3</w:t>
      </w:r>
    </w:p>
    <w:p w:rsidR="00A03540" w:rsidRPr="009A686B" w:rsidRDefault="00A03540" w:rsidP="00A03540">
      <w:pPr>
        <w:pStyle w:val="Pagrindinistekstas"/>
        <w:tabs>
          <w:tab w:val="left" w:pos="567"/>
          <w:tab w:val="left" w:pos="9000"/>
        </w:tabs>
        <w:spacing w:after="0"/>
        <w:ind w:right="99"/>
        <w:rPr>
          <w:szCs w:val="22"/>
        </w:rPr>
      </w:pPr>
      <w:r w:rsidRPr="009A686B">
        <w:rPr>
          <w:szCs w:val="22"/>
        </w:rPr>
        <w:t xml:space="preserve">D-89143 </w:t>
      </w:r>
      <w:proofErr w:type="spellStart"/>
      <w:r w:rsidRPr="009A686B">
        <w:rPr>
          <w:szCs w:val="22"/>
        </w:rPr>
        <w:t>Blaubeuren</w:t>
      </w:r>
      <w:proofErr w:type="spellEnd"/>
    </w:p>
    <w:p w:rsidR="00A03540" w:rsidRPr="009A686B" w:rsidRDefault="00A03540" w:rsidP="00A035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A686B">
        <w:rPr>
          <w:szCs w:val="22"/>
        </w:rPr>
        <w:t>Vokietija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9A686B" w:rsidRDefault="00A03540" w:rsidP="00A03540">
      <w:pPr>
        <w:rPr>
          <w:sz w:val="22"/>
          <w:szCs w:val="22"/>
        </w:rPr>
      </w:pPr>
      <w:r w:rsidRPr="009A686B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 w:rsidRPr="009A686B">
        <w:rPr>
          <w:sz w:val="22"/>
          <w:szCs w:val="22"/>
        </w:rPr>
        <w:t xml:space="preserve"> atstovą:</w:t>
      </w:r>
    </w:p>
    <w:p w:rsidR="00A03540" w:rsidRPr="009A686B" w:rsidRDefault="00A03540" w:rsidP="00A03540">
      <w:pPr>
        <w:tabs>
          <w:tab w:val="left" w:pos="567"/>
        </w:tabs>
        <w:rPr>
          <w:sz w:val="22"/>
          <w:szCs w:val="22"/>
        </w:rPr>
      </w:pPr>
    </w:p>
    <w:p w:rsidR="00A03540" w:rsidRPr="00141D72" w:rsidRDefault="00A03540" w:rsidP="00A03540">
      <w:pPr>
        <w:rPr>
          <w:sz w:val="22"/>
          <w:szCs w:val="22"/>
          <w:lang w:eastAsia="lt-LT"/>
        </w:rPr>
      </w:pPr>
      <w:r w:rsidRPr="00141D72">
        <w:rPr>
          <w:sz w:val="22"/>
          <w:szCs w:val="22"/>
          <w:lang w:eastAsia="lt-LT"/>
        </w:rPr>
        <w:t xml:space="preserve">UAB </w:t>
      </w:r>
      <w:proofErr w:type="spellStart"/>
      <w:r>
        <w:rPr>
          <w:sz w:val="22"/>
          <w:szCs w:val="22"/>
          <w:lang w:eastAsia="lt-LT"/>
        </w:rPr>
        <w:t>Teva</w:t>
      </w:r>
      <w:proofErr w:type="spellEnd"/>
      <w:r>
        <w:rPr>
          <w:sz w:val="22"/>
          <w:szCs w:val="22"/>
          <w:lang w:eastAsia="lt-LT"/>
        </w:rPr>
        <w:t xml:space="preserve"> Baltics</w:t>
      </w:r>
    </w:p>
    <w:p w:rsidR="00A03540" w:rsidRPr="00141D72" w:rsidRDefault="00A03540" w:rsidP="00A03540">
      <w:pPr>
        <w:rPr>
          <w:sz w:val="22"/>
          <w:szCs w:val="22"/>
          <w:lang w:eastAsia="lt-LT"/>
        </w:rPr>
      </w:pPr>
      <w:r w:rsidRPr="00141D72">
        <w:rPr>
          <w:sz w:val="22"/>
          <w:szCs w:val="22"/>
          <w:lang w:eastAsia="lt-LT"/>
        </w:rPr>
        <w:t>Molėtų pl. 5,</w:t>
      </w:r>
    </w:p>
    <w:p w:rsidR="00A03540" w:rsidRPr="00141D72" w:rsidRDefault="00A03540" w:rsidP="00A03540">
      <w:pPr>
        <w:rPr>
          <w:sz w:val="22"/>
          <w:szCs w:val="22"/>
          <w:lang w:eastAsia="lt-LT"/>
        </w:rPr>
      </w:pPr>
      <w:r w:rsidRPr="00141D72">
        <w:rPr>
          <w:sz w:val="22"/>
          <w:szCs w:val="22"/>
          <w:lang w:eastAsia="lt-LT"/>
        </w:rPr>
        <w:t>LT-08409 Vilnius</w:t>
      </w:r>
    </w:p>
    <w:p w:rsidR="00A03540" w:rsidRPr="00141D72" w:rsidRDefault="00A03540" w:rsidP="00A03540">
      <w:pPr>
        <w:rPr>
          <w:sz w:val="22"/>
          <w:szCs w:val="22"/>
          <w:lang w:eastAsia="lt-LT"/>
        </w:rPr>
      </w:pPr>
      <w:r w:rsidRPr="00141D72">
        <w:rPr>
          <w:sz w:val="22"/>
          <w:szCs w:val="22"/>
          <w:lang w:eastAsia="lt-LT"/>
        </w:rPr>
        <w:t>Tel. +370 5 266 02 03</w:t>
      </w:r>
    </w:p>
    <w:p w:rsidR="00A03540" w:rsidRPr="009A686B" w:rsidRDefault="00A03540" w:rsidP="00A03540">
      <w:pPr>
        <w:rPr>
          <w:sz w:val="22"/>
          <w:szCs w:val="22"/>
        </w:rPr>
      </w:pPr>
    </w:p>
    <w:p w:rsidR="00A03540" w:rsidRPr="00CF7865" w:rsidRDefault="00A03540" w:rsidP="00A03540">
      <w:pPr>
        <w:pStyle w:val="Porat"/>
        <w:rPr>
          <w:b/>
          <w:sz w:val="22"/>
          <w:szCs w:val="22"/>
        </w:rPr>
      </w:pPr>
      <w:r w:rsidRPr="00CF7865">
        <w:rPr>
          <w:b/>
          <w:bCs/>
          <w:sz w:val="22"/>
          <w:szCs w:val="22"/>
        </w:rPr>
        <w:t>Šis pakuotės lapelis</w:t>
      </w:r>
      <w:r w:rsidRPr="00CF7865">
        <w:rPr>
          <w:b/>
          <w:sz w:val="22"/>
          <w:szCs w:val="22"/>
        </w:rPr>
        <w:t xml:space="preserve"> paskutinį kartą peržiūrėtas 2021-02-08</w:t>
      </w:r>
      <w:r>
        <w:rPr>
          <w:b/>
          <w:sz w:val="22"/>
          <w:szCs w:val="22"/>
        </w:rPr>
        <w:t>.</w:t>
      </w:r>
    </w:p>
    <w:p w:rsidR="00A03540" w:rsidRPr="00CF7865" w:rsidRDefault="00A03540" w:rsidP="00A03540">
      <w:pPr>
        <w:tabs>
          <w:tab w:val="left" w:pos="567"/>
        </w:tabs>
        <w:rPr>
          <w:sz w:val="22"/>
          <w:szCs w:val="22"/>
        </w:rPr>
      </w:pPr>
    </w:p>
    <w:p w:rsidR="00A03540" w:rsidRDefault="00A03540" w:rsidP="00A03540">
      <w:pPr>
        <w:pStyle w:val="TTEMEASMCA"/>
        <w:ind w:left="0" w:firstLine="0"/>
        <w:jc w:val="left"/>
        <w:rPr>
          <w:b w:val="0"/>
          <w:color w:val="3333FF"/>
          <w:u w:val="single"/>
        </w:rPr>
      </w:pPr>
      <w:r w:rsidRPr="00CF7865">
        <w:rPr>
          <w:b w:val="0"/>
          <w:caps w:val="0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CF7865">
          <w:rPr>
            <w:b w:val="0"/>
            <w:caps w:val="0"/>
            <w:color w:val="3333FF"/>
            <w:u w:val="single"/>
          </w:rPr>
          <w:t>http://www.vvkt.lt/</w:t>
        </w:r>
      </w:hyperlink>
      <w:r w:rsidRPr="00CF7865">
        <w:rPr>
          <w:b w:val="0"/>
          <w:color w:val="3333FF"/>
          <w:u w:val="single"/>
        </w:rPr>
        <w:t>.</w:t>
      </w:r>
    </w:p>
    <w:p w:rsidR="00A03540" w:rsidRDefault="00A03540" w:rsidP="00A03540">
      <w:pPr>
        <w:pStyle w:val="TTEMEASMCA"/>
        <w:ind w:left="0" w:firstLine="0"/>
        <w:jc w:val="left"/>
        <w:rPr>
          <w:b w:val="0"/>
          <w:color w:val="3333FF"/>
          <w:u w:val="single"/>
        </w:rPr>
      </w:pPr>
    </w:p>
    <w:p w:rsidR="009041DB" w:rsidRDefault="009041DB">
      <w:bookmarkStart w:id="14" w:name="_GoBack"/>
      <w:bookmarkEnd w:id="1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1AFF"/>
    <w:multiLevelType w:val="hybridMultilevel"/>
    <w:tmpl w:val="B9161808"/>
    <w:lvl w:ilvl="0" w:tplc="4476DB5C">
      <w:start w:val="2"/>
      <w:numFmt w:val="bullet"/>
      <w:lvlText w:val="-"/>
      <w:lvlJc w:val="left"/>
      <w:pPr>
        <w:ind w:left="144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 w15:restartNumberingAfterBreak="0">
    <w:nsid w:val="321D31B5"/>
    <w:multiLevelType w:val="hybridMultilevel"/>
    <w:tmpl w:val="3A48295A"/>
    <w:lvl w:ilvl="0" w:tplc="4476DB5C">
      <w:start w:val="2"/>
      <w:numFmt w:val="bullet"/>
      <w:lvlText w:val="-"/>
      <w:lvlJc w:val="left"/>
      <w:pPr>
        <w:ind w:left="144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54547079"/>
    <w:multiLevelType w:val="hybridMultilevel"/>
    <w:tmpl w:val="25A220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900DF"/>
    <w:multiLevelType w:val="hybridMultilevel"/>
    <w:tmpl w:val="0BE0D2BA"/>
    <w:lvl w:ilvl="0" w:tplc="4476DB5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40"/>
    <w:rsid w:val="009041DB"/>
    <w:rsid w:val="00A03540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3D57-9224-4CD3-93D4-A244161C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35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3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5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54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PI-1EMEASMCA">
    <w:name w:val="PI-1 EMEA_SMCA"/>
    <w:basedOn w:val="Antrat2"/>
    <w:autoRedefine/>
    <w:rsid w:val="00A03540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A03540"/>
    <w:pPr>
      <w:keepNext w:val="0"/>
      <w:keepLines w:val="0"/>
      <w:tabs>
        <w:tab w:val="left" w:pos="567"/>
      </w:tabs>
      <w:spacing w:before="0" w:after="60"/>
      <w:ind w:left="567" w:hanging="567"/>
      <w:jc w:val="center"/>
    </w:pPr>
    <w:rPr>
      <w:rFonts w:ascii="Times New Roman" w:eastAsia="Times New Roman" w:hAnsi="Times New Roman" w:cs="Arial"/>
      <w:b/>
      <w:caps/>
      <w:color w:val="auto"/>
      <w:kern w:val="32"/>
      <w:sz w:val="22"/>
      <w:szCs w:val="22"/>
      <w:lang w:eastAsia="x-none"/>
    </w:rPr>
  </w:style>
  <w:style w:type="character" w:customStyle="1" w:styleId="TTEMEASMCAChar">
    <w:name w:val="TT EMEA_SMCA Char"/>
    <w:link w:val="TTEMEASMCA"/>
    <w:rsid w:val="00A03540"/>
    <w:rPr>
      <w:rFonts w:ascii="Times New Roman" w:hAnsi="Times New Roman" w:cs="Arial"/>
      <w:b/>
      <w:caps/>
      <w:kern w:val="32"/>
      <w:lang w:eastAsia="x-none"/>
    </w:rPr>
  </w:style>
  <w:style w:type="paragraph" w:styleId="Pagrindinistekstas">
    <w:name w:val="Body Text"/>
    <w:basedOn w:val="prastasis"/>
    <w:link w:val="PagrindinistekstasDiagrama"/>
    <w:rsid w:val="00A0354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3540"/>
    <w:rPr>
      <w:rFonts w:ascii="Times New Roman" w:hAnsi="Times New Roman" w:cs="Times New Roman"/>
      <w:szCs w:val="20"/>
      <w:lang w:eastAsia="lt-LT"/>
    </w:rPr>
  </w:style>
  <w:style w:type="paragraph" w:customStyle="1" w:styleId="Text">
    <w:name w:val="Text"/>
    <w:link w:val="TextZchn"/>
    <w:rsid w:val="00A03540"/>
    <w:pPr>
      <w:spacing w:after="0" w:line="240" w:lineRule="atLeast"/>
      <w:ind w:left="568"/>
    </w:pPr>
    <w:rPr>
      <w:rFonts w:ascii="Times New Roman" w:hAnsi="Times New Roman" w:cs="Times New Roman"/>
      <w:snapToGrid w:val="0"/>
      <w:lang w:val="de-DE" w:eastAsia="lt-LT"/>
    </w:rPr>
  </w:style>
  <w:style w:type="character" w:customStyle="1" w:styleId="TextZchn">
    <w:name w:val="Text Zchn"/>
    <w:link w:val="Text"/>
    <w:rsid w:val="00A03540"/>
    <w:rPr>
      <w:rFonts w:ascii="Times New Roman" w:hAnsi="Times New Roman" w:cs="Times New Roman"/>
      <w:snapToGrid w:val="0"/>
      <w:lang w:val="de-DE" w:eastAsia="lt-LT"/>
    </w:rPr>
  </w:style>
  <w:style w:type="paragraph" w:customStyle="1" w:styleId="PI-3EMEASMCA">
    <w:name w:val="PI-3 EMEA_SMCA"/>
    <w:basedOn w:val="prastasis"/>
    <w:autoRedefine/>
    <w:rsid w:val="00A03540"/>
    <w:pPr>
      <w:spacing w:line="220" w:lineRule="exact"/>
    </w:pPr>
    <w:rPr>
      <w:b/>
      <w:bCs/>
      <w:sz w:val="22"/>
      <w:szCs w:val="22"/>
    </w:rPr>
  </w:style>
  <w:style w:type="character" w:customStyle="1" w:styleId="Heading2Char">
    <w:name w:val="Heading 2 Char"/>
    <w:rsid w:val="00A03540"/>
    <w:rPr>
      <w:b/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A035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540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0354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3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8122</Words>
  <Characters>4630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2021-02-08T14:27:00Z</dcterms:created>
  <dcterms:modified xsi:type="dcterms:W3CDTF">2021-02-08T14:28:00Z</dcterms:modified>
</cp:coreProperties>
</file>