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F9" w:rsidRPr="00985585" w:rsidRDefault="005C13F9" w:rsidP="005C13F9">
      <w:pPr>
        <w:spacing w:after="0" w:line="240" w:lineRule="auto"/>
        <w:jc w:val="center"/>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b/>
          <w:bCs/>
          <w:kern w:val="0"/>
          <w:sz w:val="22"/>
          <w:szCs w:val="20"/>
          <w:lang w:eastAsia="lt-LT"/>
          <w14:ligatures w14:val="none"/>
        </w:rPr>
        <w:t>Pakuotės lapelis: informacija vartotojui</w:t>
      </w:r>
    </w:p>
    <w:p w:rsidR="005C13F9" w:rsidRPr="00985585" w:rsidRDefault="005C13F9" w:rsidP="005C13F9">
      <w:pPr>
        <w:spacing w:after="0" w:line="240" w:lineRule="auto"/>
        <w:jc w:val="center"/>
        <w:rPr>
          <w:rFonts w:ascii="Times New Roman" w:eastAsia="Times New Roman" w:hAnsi="Times New Roman" w:cs="Times New Roman"/>
          <w:b/>
          <w:bCs/>
          <w:kern w:val="0"/>
          <w:sz w:val="22"/>
          <w:szCs w:val="20"/>
          <w:lang w:eastAsia="lt-LT"/>
          <w14:ligatures w14:val="none"/>
        </w:rPr>
      </w:pPr>
    </w:p>
    <w:p w:rsidR="005C13F9" w:rsidRPr="00985585" w:rsidRDefault="005C13F9" w:rsidP="005C13F9">
      <w:pPr>
        <w:spacing w:after="0" w:line="240" w:lineRule="auto"/>
        <w:jc w:val="center"/>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Amantadin-ratiopharm 100 mg plėvele dengtos tabletės</w:t>
      </w:r>
    </w:p>
    <w:p w:rsidR="005C13F9" w:rsidRPr="00985585" w:rsidRDefault="005C13F9" w:rsidP="005C13F9">
      <w:pPr>
        <w:spacing w:after="0" w:line="240" w:lineRule="auto"/>
        <w:jc w:val="center"/>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Amantadino hidrochloridas</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uppressAutoHyphens/>
        <w:spacing w:after="0" w:line="240" w:lineRule="auto"/>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rsidR="005C13F9" w:rsidRPr="00985585" w:rsidRDefault="005C13F9" w:rsidP="005C13F9">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Neišmeskite šio lapelio, nes vėl gali prireikti jį perskaityti.</w:t>
      </w:r>
      <w:r w:rsidRPr="00985585">
        <w:rPr>
          <w:rFonts w:ascii="Times New Roman" w:eastAsia="Times New Roman" w:hAnsi="Times New Roman" w:cs="Times New Roman"/>
          <w:snapToGrid w:val="0"/>
          <w:kern w:val="0"/>
          <w:sz w:val="22"/>
          <w14:ligatures w14:val="none"/>
        </w:rPr>
        <w:t xml:space="preserve"> </w:t>
      </w:r>
    </w:p>
    <w:p w:rsidR="005C13F9" w:rsidRPr="00985585" w:rsidRDefault="005C13F9" w:rsidP="005C13F9">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Jeigu kiltų daugiau klausimų, kreipkitės į gydytoją arba vaistininką.</w:t>
      </w:r>
    </w:p>
    <w:p w:rsidR="005C13F9" w:rsidRPr="00985585" w:rsidRDefault="005C13F9" w:rsidP="005C13F9">
      <w:pPr>
        <w:tabs>
          <w:tab w:val="left" w:pos="567"/>
        </w:tabs>
        <w:spacing w:after="0" w:line="240" w:lineRule="auto"/>
        <w:ind w:left="567" w:right="-2"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snapToGrid w:val="0"/>
          <w:kern w:val="0"/>
          <w:sz w:val="22"/>
          <w14:ligatures w14:val="none"/>
        </w:rPr>
        <w:t>-</w:t>
      </w:r>
      <w:r w:rsidRPr="00985585">
        <w:rPr>
          <w:rFonts w:ascii="Times New Roman" w:eastAsia="Times New Roman" w:hAnsi="Times New Roman" w:cs="Times New Roman"/>
          <w:snapToGrid w:val="0"/>
          <w:kern w:val="0"/>
          <w:sz w:val="22"/>
          <w14:ligatures w14:val="none"/>
        </w:rPr>
        <w:tab/>
      </w:r>
      <w:r w:rsidRPr="00985585">
        <w:rPr>
          <w:rFonts w:ascii="Times New Roman" w:eastAsia="Times New Roman" w:hAnsi="Times New Roman" w:cs="Times New Roman"/>
          <w:noProof/>
          <w:snapToGrid w:val="0"/>
          <w:kern w:val="0"/>
          <w:sz w:val="22"/>
          <w14:ligatures w14:val="none"/>
        </w:rPr>
        <w:t>Šis vaistas skirtas tik Jums, todėl kitiems žmonėms jo duoti negalima.</w:t>
      </w:r>
      <w:r w:rsidRPr="00985585">
        <w:rPr>
          <w:rFonts w:ascii="Times New Roman" w:eastAsia="Times New Roman" w:hAnsi="Times New Roman" w:cs="Times New Roman"/>
          <w:snapToGrid w:val="0"/>
          <w:kern w:val="0"/>
          <w:sz w:val="22"/>
          <w14:ligatures w14:val="none"/>
        </w:rPr>
        <w:t xml:space="preserve"> </w:t>
      </w:r>
      <w:r w:rsidRPr="00985585">
        <w:rPr>
          <w:rFonts w:ascii="Times New Roman" w:eastAsia="Times New Roman" w:hAnsi="Times New Roman" w:cs="Times New Roman"/>
          <w:noProof/>
          <w:snapToGrid w:val="0"/>
          <w:kern w:val="0"/>
          <w:sz w:val="22"/>
          <w14:ligatures w14:val="none"/>
        </w:rPr>
        <w:t>Vaistas gali jiems pakenkti (net tiems, kurių ligos požymiai yra tokie patys kaip Jūsų).</w:t>
      </w:r>
      <w:r w:rsidRPr="00985585">
        <w:rPr>
          <w:rFonts w:ascii="Times New Roman" w:eastAsia="Times New Roman" w:hAnsi="Times New Roman" w:cs="Times New Roman"/>
          <w:snapToGrid w:val="0"/>
          <w:color w:val="008000"/>
          <w:kern w:val="0"/>
          <w:sz w:val="22"/>
          <w14:ligatures w14:val="none"/>
        </w:rPr>
        <w:t xml:space="preserve"> </w:t>
      </w:r>
    </w:p>
    <w:p w:rsidR="005C13F9" w:rsidRPr="00985585" w:rsidRDefault="005C13F9" w:rsidP="005C13F9">
      <w:pPr>
        <w:numPr>
          <w:ilvl w:val="0"/>
          <w:numId w:val="1"/>
        </w:numPr>
        <w:tabs>
          <w:tab w:val="left" w:pos="567"/>
        </w:tabs>
        <w:spacing w:after="0" w:line="260" w:lineRule="exact"/>
        <w:ind w:left="567" w:hanging="567"/>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985585">
        <w:rPr>
          <w:rFonts w:ascii="Times New Roman" w:eastAsia="Times New Roman" w:hAnsi="Times New Roman" w:cs="Times New Roman"/>
          <w:b/>
          <w:bCs/>
          <w:snapToGrid w:val="0"/>
          <w:kern w:val="0"/>
          <w:sz w:val="22"/>
          <w:szCs w:val="28"/>
          <w:lang w:eastAsia="x-none"/>
          <w14:ligatures w14:val="none"/>
        </w:rPr>
        <w:t>Apie ką rašoma šiame lapelyje?</w:t>
      </w:r>
      <w:r>
        <w:rPr>
          <w:rFonts w:ascii="Times New Roman" w:eastAsia="Times New Roman" w:hAnsi="Times New Roman" w:cs="Times New Roman"/>
          <w:b/>
          <w:bCs/>
          <w:snapToGrid w:val="0"/>
          <w:kern w:val="0"/>
          <w:sz w:val="22"/>
          <w:szCs w:val="28"/>
          <w:lang w:eastAsia="x-none"/>
          <w14:ligatures w14:val="none"/>
        </w:rPr>
        <w:fldChar w:fldCharType="begin"/>
      </w:r>
      <w:r>
        <w:rPr>
          <w:rFonts w:ascii="Times New Roman" w:eastAsia="Times New Roman" w:hAnsi="Times New Roman" w:cs="Times New Roman"/>
          <w:b/>
          <w:bCs/>
          <w:snapToGrid w:val="0"/>
          <w:kern w:val="0"/>
          <w:sz w:val="22"/>
          <w:szCs w:val="28"/>
          <w:lang w:eastAsia="x-none"/>
          <w14:ligatures w14:val="none"/>
        </w:rPr>
        <w:instrText xml:space="preserve"> DOCVARIABLE vault_nd_2200670d-8550-4527-8628-b420b99486d7 \* MERGEFORMAT </w:instrText>
      </w:r>
      <w:r>
        <w:rPr>
          <w:rFonts w:ascii="Times New Roman" w:eastAsia="Times New Roman" w:hAnsi="Times New Roman" w:cs="Times New Roman"/>
          <w:b/>
          <w:bCs/>
          <w:snapToGrid w:val="0"/>
          <w:kern w:val="0"/>
          <w:sz w:val="22"/>
          <w:szCs w:val="28"/>
          <w:lang w:eastAsia="x-none"/>
          <w14:ligatures w14:val="none"/>
        </w:rPr>
        <w:fldChar w:fldCharType="separate"/>
      </w:r>
      <w:r>
        <w:rPr>
          <w:rFonts w:ascii="Times New Roman" w:eastAsia="Times New Roman" w:hAnsi="Times New Roman" w:cs="Times New Roman"/>
          <w:b/>
          <w:bCs/>
          <w:snapToGrid w:val="0"/>
          <w:kern w:val="0"/>
          <w:sz w:val="22"/>
          <w:szCs w:val="28"/>
          <w:lang w:eastAsia="x-none"/>
          <w14:ligatures w14:val="none"/>
        </w:rPr>
        <w:t xml:space="preserve"> </w:t>
      </w:r>
      <w:r>
        <w:rPr>
          <w:rFonts w:ascii="Times New Roman" w:eastAsia="Times New Roman" w:hAnsi="Times New Roman" w:cs="Times New Roman"/>
          <w:b/>
          <w:bCs/>
          <w:snapToGrid w:val="0"/>
          <w:kern w:val="0"/>
          <w:sz w:val="22"/>
          <w:szCs w:val="28"/>
          <w:lang w:eastAsia="x-none"/>
          <w14:ligatures w14:val="none"/>
        </w:rPr>
        <w:fldChar w:fldCharType="end"/>
      </w:r>
    </w:p>
    <w:p w:rsidR="005C13F9" w:rsidRPr="00985585" w:rsidRDefault="005C13F9" w:rsidP="005C13F9">
      <w:pPr>
        <w:spacing w:after="0" w:line="240" w:lineRule="auto"/>
        <w:ind w:left="567" w:hanging="567"/>
        <w:rPr>
          <w:rFonts w:ascii="Times New Roman" w:eastAsia="Times New Roman" w:hAnsi="Times New Roman" w:cs="Times New Roman"/>
          <w:b/>
          <w:kern w:val="0"/>
          <w:sz w:val="22"/>
          <w:szCs w:val="20"/>
          <w:lang w:eastAsia="lt-LT"/>
          <w14:ligatures w14:val="none"/>
        </w:rPr>
      </w:pPr>
    </w:p>
    <w:p w:rsidR="005C13F9" w:rsidRPr="00985585" w:rsidRDefault="005C13F9" w:rsidP="005C13F9">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1.</w:t>
      </w:r>
      <w:r w:rsidRPr="00985585">
        <w:rPr>
          <w:rFonts w:ascii="Times New Roman" w:eastAsia="Times New Roman" w:hAnsi="Times New Roman" w:cs="Times New Roman"/>
          <w:kern w:val="0"/>
          <w:sz w:val="22"/>
          <w:szCs w:val="20"/>
          <w:lang w:eastAsia="lt-LT"/>
          <w14:ligatures w14:val="none"/>
        </w:rPr>
        <w:tab/>
        <w:t xml:space="preserve">Kas yra </w:t>
      </w:r>
      <w:r w:rsidRPr="00985585">
        <w:rPr>
          <w:rFonts w:ascii="Times New Roman" w:eastAsia="Times New Roman" w:hAnsi="Times New Roman" w:cs="Times New Roman"/>
          <w:bCs/>
          <w:kern w:val="0"/>
          <w:sz w:val="22"/>
          <w:szCs w:val="22"/>
          <w:lang w:eastAsia="lt-LT"/>
          <w14:ligatures w14:val="none"/>
        </w:rPr>
        <w:t>Amantadin-ratiopharm</w:t>
      </w:r>
      <w:r w:rsidRPr="00985585">
        <w:rPr>
          <w:rFonts w:ascii="Times New Roman" w:eastAsia="Times New Roman" w:hAnsi="Times New Roman" w:cs="Times New Roman"/>
          <w:kern w:val="0"/>
          <w:sz w:val="22"/>
          <w:szCs w:val="20"/>
          <w:lang w:eastAsia="lt-LT"/>
          <w14:ligatures w14:val="none"/>
        </w:rPr>
        <w:t xml:space="preserve"> ir kam jis vartojamas</w:t>
      </w:r>
    </w:p>
    <w:p w:rsidR="005C13F9" w:rsidRPr="00985585" w:rsidRDefault="005C13F9" w:rsidP="005C13F9">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2.</w:t>
      </w:r>
      <w:r w:rsidRPr="00985585">
        <w:rPr>
          <w:rFonts w:ascii="Times New Roman" w:eastAsia="Times New Roman" w:hAnsi="Times New Roman" w:cs="Times New Roman"/>
          <w:kern w:val="0"/>
          <w:sz w:val="22"/>
          <w:szCs w:val="20"/>
          <w:lang w:eastAsia="lt-LT"/>
          <w14:ligatures w14:val="none"/>
        </w:rPr>
        <w:tab/>
        <w:t xml:space="preserve">Kas žinotina prieš vartojant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kern w:val="0"/>
          <w:sz w:val="22"/>
          <w:szCs w:val="22"/>
          <w:lang w:eastAsia="lt-LT"/>
          <w14:ligatures w14:val="none"/>
        </w:rPr>
        <w:t>-ratiopharm</w:t>
      </w:r>
    </w:p>
    <w:p w:rsidR="005C13F9" w:rsidRPr="00985585" w:rsidRDefault="005C13F9" w:rsidP="005C13F9">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3.</w:t>
      </w:r>
      <w:r w:rsidRPr="00985585">
        <w:rPr>
          <w:rFonts w:ascii="Times New Roman" w:eastAsia="Times New Roman" w:hAnsi="Times New Roman" w:cs="Times New Roman"/>
          <w:kern w:val="0"/>
          <w:sz w:val="22"/>
          <w:szCs w:val="20"/>
          <w:lang w:eastAsia="lt-LT"/>
          <w14:ligatures w14:val="none"/>
        </w:rPr>
        <w:tab/>
        <w:t xml:space="preserve">Kaip vartoti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kern w:val="0"/>
          <w:sz w:val="22"/>
          <w:szCs w:val="22"/>
          <w:lang w:eastAsia="lt-LT"/>
          <w14:ligatures w14:val="none"/>
        </w:rPr>
        <w:t>-ratiopharm</w:t>
      </w:r>
    </w:p>
    <w:p w:rsidR="005C13F9" w:rsidRPr="00985585" w:rsidRDefault="005C13F9" w:rsidP="005C13F9">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4.</w:t>
      </w:r>
      <w:r w:rsidRPr="00985585">
        <w:rPr>
          <w:rFonts w:ascii="Times New Roman" w:eastAsia="Times New Roman" w:hAnsi="Times New Roman" w:cs="Times New Roman"/>
          <w:kern w:val="0"/>
          <w:sz w:val="22"/>
          <w:szCs w:val="20"/>
          <w:lang w:eastAsia="lt-LT"/>
          <w14:ligatures w14:val="none"/>
        </w:rPr>
        <w:tab/>
        <w:t>Galimas šalutinis poveikis</w:t>
      </w:r>
    </w:p>
    <w:p w:rsidR="005C13F9" w:rsidRPr="00985585" w:rsidRDefault="005C13F9" w:rsidP="005C13F9">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5.</w:t>
      </w:r>
      <w:r w:rsidRPr="00985585">
        <w:rPr>
          <w:rFonts w:ascii="Times New Roman" w:eastAsia="Times New Roman" w:hAnsi="Times New Roman" w:cs="Times New Roman"/>
          <w:kern w:val="0"/>
          <w:sz w:val="22"/>
          <w:szCs w:val="20"/>
          <w:lang w:eastAsia="lt-LT"/>
          <w14:ligatures w14:val="none"/>
        </w:rPr>
        <w:tab/>
        <w:t xml:space="preserve">Kaip laikyti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kern w:val="0"/>
          <w:sz w:val="22"/>
          <w:szCs w:val="22"/>
          <w:lang w:eastAsia="lt-LT"/>
          <w14:ligatures w14:val="none"/>
        </w:rPr>
        <w:t>-ratiopharm</w:t>
      </w:r>
    </w:p>
    <w:p w:rsidR="005C13F9" w:rsidRPr="00985585" w:rsidRDefault="005C13F9" w:rsidP="005C13F9">
      <w:pPr>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6.</w:t>
      </w:r>
      <w:r w:rsidRPr="00985585">
        <w:rPr>
          <w:rFonts w:ascii="Times New Roman" w:eastAsia="Times New Roman" w:hAnsi="Times New Roman" w:cs="Times New Roman"/>
          <w:kern w:val="0"/>
          <w:sz w:val="22"/>
          <w:szCs w:val="20"/>
          <w:lang w:eastAsia="lt-LT"/>
          <w14:ligatures w14:val="none"/>
        </w:rPr>
        <w:tab/>
      </w:r>
      <w:r w:rsidRPr="00985585">
        <w:rPr>
          <w:rFonts w:ascii="Times New Roman" w:eastAsia="Times New Roman" w:hAnsi="Times New Roman" w:cs="Times New Roman"/>
          <w:noProof/>
          <w:kern w:val="0"/>
          <w:sz w:val="22"/>
          <w:lang w:eastAsia="lt-LT"/>
          <w14:ligatures w14:val="none"/>
        </w:rPr>
        <w:t>Pakuotės turinys ir kita informacija</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ind w:left="540" w:hanging="540"/>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1.</w:t>
      </w:r>
      <w:r w:rsidRPr="00985585">
        <w:rPr>
          <w:rFonts w:ascii="Times New Roman" w:eastAsia="Times New Roman" w:hAnsi="Times New Roman" w:cs="Times New Roman"/>
          <w:b/>
          <w:kern w:val="0"/>
          <w:sz w:val="22"/>
          <w:szCs w:val="20"/>
          <w:lang w:eastAsia="lt-LT"/>
          <w14:ligatures w14:val="none"/>
        </w:rPr>
        <w:tab/>
        <w:t>Kas yra Amantadin-ratiopharm ir kam jis vartojamas</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bCs/>
          <w:kern w:val="0"/>
          <w:sz w:val="22"/>
          <w:szCs w:val="20"/>
          <w:lang w:eastAsia="lt-LT"/>
          <w14:ligatures w14:val="none"/>
        </w:rPr>
      </w:pPr>
      <w:r w:rsidRPr="00985585">
        <w:rPr>
          <w:rFonts w:ascii="Times New Roman" w:eastAsia="Times New Roman" w:hAnsi="Times New Roman" w:cs="Times New Roman"/>
          <w:bCs/>
          <w:kern w:val="0"/>
          <w:sz w:val="22"/>
          <w:szCs w:val="20"/>
          <w:lang w:eastAsia="lt-LT"/>
          <w14:ligatures w14:val="none"/>
        </w:rPr>
        <w:t>Amantadin-ratiopharm yra vaistas, turintis dvejopą veikimą. Jis didina cheminės medžiagos dopamino išsiskyrimą smegenyse ir veikia prieš gripo virusus. Todėl jis ir vartojamas dviem tikslais.</w:t>
      </w:r>
    </w:p>
    <w:p w:rsidR="005C13F9" w:rsidRPr="00985585" w:rsidRDefault="005C13F9" w:rsidP="005C13F9">
      <w:pPr>
        <w:spacing w:after="0" w:line="240" w:lineRule="auto"/>
        <w:rPr>
          <w:rFonts w:ascii="Times New Roman" w:eastAsia="Times New Roman" w:hAnsi="Times New Roman" w:cs="Times New Roman"/>
          <w:bCs/>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Parkinsono sindromas</w:t>
      </w:r>
    </w:p>
    <w:p w:rsidR="005C13F9" w:rsidRPr="00985585" w:rsidRDefault="005C13F9" w:rsidP="005C13F9">
      <w:pPr>
        <w:numPr>
          <w:ilvl w:val="0"/>
          <w:numId w:val="2"/>
        </w:num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Parkinsono ligos simptomams, pvz., sustingimui, drebėjimui (tremorui), sumažėjusiam judėjimui (</w:t>
      </w:r>
      <w:r w:rsidRPr="00985585">
        <w:rPr>
          <w:rFonts w:ascii="Times New Roman" w:eastAsia="Times New Roman" w:hAnsi="Times New Roman" w:cs="Times New Roman"/>
          <w:color w:val="000000"/>
          <w:kern w:val="0"/>
          <w:sz w:val="22"/>
          <w:szCs w:val="22"/>
          <w:lang w:eastAsia="lt-LT"/>
          <w14:ligatures w14:val="none"/>
        </w:rPr>
        <w:t xml:space="preserve">hipokinezei) </w:t>
      </w:r>
      <w:r w:rsidRPr="00985585">
        <w:rPr>
          <w:rFonts w:ascii="Times New Roman" w:eastAsia="Times New Roman" w:hAnsi="Times New Roman" w:cs="Times New Roman"/>
          <w:kern w:val="0"/>
          <w:sz w:val="22"/>
          <w:szCs w:val="20"/>
          <w:lang w:eastAsia="lt-LT"/>
          <w14:ligatures w14:val="none"/>
        </w:rPr>
        <w:t>ar išnykusiems judesiams (</w:t>
      </w:r>
      <w:r w:rsidRPr="00985585">
        <w:rPr>
          <w:rFonts w:ascii="Times New Roman" w:eastAsia="Times New Roman" w:hAnsi="Times New Roman" w:cs="Times New Roman"/>
          <w:color w:val="000000"/>
          <w:kern w:val="0"/>
          <w:sz w:val="22"/>
          <w:szCs w:val="22"/>
          <w:lang w:eastAsia="lt-LT"/>
          <w14:ligatures w14:val="none"/>
        </w:rPr>
        <w:t>akinezijai)</w:t>
      </w:r>
      <w:r w:rsidRPr="00985585">
        <w:rPr>
          <w:rFonts w:ascii="Times New Roman" w:eastAsia="Times New Roman" w:hAnsi="Times New Roman" w:cs="Times New Roman"/>
          <w:kern w:val="0"/>
          <w:sz w:val="22"/>
          <w:szCs w:val="20"/>
          <w:lang w:eastAsia="lt-LT"/>
          <w14:ligatures w14:val="none"/>
        </w:rPr>
        <w:t xml:space="preserve"> gydyti.</w:t>
      </w:r>
    </w:p>
    <w:p w:rsidR="005C13F9" w:rsidRPr="00985585" w:rsidRDefault="005C13F9" w:rsidP="005C13F9">
      <w:pPr>
        <w:numPr>
          <w:ilvl w:val="0"/>
          <w:numId w:val="2"/>
        </w:num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Neuroleptikų ar kitokių panašiai veikiančių vaistų sukeltiems ekstrapiramidiniams simptomams, pvz., ankstyvajai diskinezijai, akatizijai, parkinsonoidui gydyti.</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A tipo gripo viruso sukelto gripo chemoprofilaktika ir chemoterapija</w:t>
      </w:r>
    </w:p>
    <w:p w:rsidR="005C13F9" w:rsidRPr="00985585" w:rsidRDefault="005C13F9" w:rsidP="005C13F9">
      <w:pPr>
        <w:numPr>
          <w:ilvl w:val="0"/>
          <w:numId w:val="3"/>
        </w:num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 tipo virusinio gripo profilaktikai pavieniams žmonėms bei jų grupėms - vartojama, jei yra pavojus susirgti gripu, tol, kol šis pavojus išlieka.</w:t>
      </w:r>
    </w:p>
    <w:p w:rsidR="005C13F9" w:rsidRPr="00985585" w:rsidRDefault="005C13F9" w:rsidP="005C13F9">
      <w:pPr>
        <w:numPr>
          <w:ilvl w:val="0"/>
          <w:numId w:val="3"/>
        </w:num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A tipo viruso sukelto gripo gydymas. A tipo viruso sukeltam gripui gydyti </w:t>
      </w:r>
      <w:r w:rsidRPr="00985585">
        <w:rPr>
          <w:rFonts w:ascii="Times New Roman" w:eastAsia="Times New Roman" w:hAnsi="Times New Roman" w:cs="Times New Roman"/>
          <w:bCs/>
          <w:kern w:val="0"/>
          <w:sz w:val="22"/>
          <w:szCs w:val="22"/>
          <w:lang w:eastAsia="lt-LT"/>
          <w14:ligatures w14:val="none"/>
        </w:rPr>
        <w:t>Amantadin</w:t>
      </w:r>
      <w:r w:rsidRPr="00985585">
        <w:rPr>
          <w:rFonts w:ascii="Times New Roman" w:eastAsia="Times New Roman" w:hAnsi="Times New Roman" w:cs="Times New Roman"/>
          <w:color w:val="000000"/>
          <w:kern w:val="0"/>
          <w:sz w:val="22"/>
          <w:szCs w:val="22"/>
          <w:lang w:eastAsia="lt-LT"/>
          <w14:ligatures w14:val="none"/>
        </w:rPr>
        <w:t>-ratiopharm reikia pradėti vartoti kiek įmanoma anksčiau (prasidėjus ligai) ir skirti vartoti jo dar 1-2 dienas po to, kai pranyksta ligos simptomai.</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ind w:left="540" w:hanging="540"/>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2.</w:t>
      </w:r>
      <w:r w:rsidRPr="00985585">
        <w:rPr>
          <w:rFonts w:ascii="Times New Roman" w:eastAsia="Times New Roman" w:hAnsi="Times New Roman" w:cs="Times New Roman"/>
          <w:b/>
          <w:kern w:val="0"/>
          <w:sz w:val="22"/>
          <w:szCs w:val="20"/>
          <w:lang w:eastAsia="lt-LT"/>
          <w14:ligatures w14:val="none"/>
        </w:rPr>
        <w:tab/>
        <w:t>Kas žinotina prieš vartojant Amantadin-ratiopharm</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 xml:space="preserve">Amantadin-ratiopharm tablečių vartoti </w:t>
      </w:r>
      <w:r>
        <w:rPr>
          <w:rFonts w:ascii="Times New Roman" w:eastAsia="Times New Roman" w:hAnsi="Times New Roman" w:cs="Times New Roman"/>
          <w:b/>
          <w:kern w:val="0"/>
          <w:sz w:val="22"/>
          <w:szCs w:val="20"/>
          <w:lang w:eastAsia="lt-LT"/>
          <w14:ligatures w14:val="none"/>
        </w:rPr>
        <w:t>draudžiama</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jeigu yra alergija veikliajai medžiagai arba bet kuriai pagalbinei </w:t>
      </w:r>
      <w:r w:rsidRPr="00985585">
        <w:rPr>
          <w:rFonts w:ascii="Times New Roman" w:eastAsia="Times New Roman" w:hAnsi="Times New Roman" w:cs="Times New Roman"/>
          <w:bCs/>
          <w:kern w:val="0"/>
          <w:sz w:val="22"/>
          <w:szCs w:val="20"/>
          <w:lang w:eastAsia="lt-LT"/>
          <w14:ligatures w14:val="none"/>
        </w:rPr>
        <w:t>šio vaisto</w:t>
      </w:r>
      <w:r w:rsidRPr="00985585">
        <w:rPr>
          <w:rFonts w:ascii="Times New Roman" w:eastAsia="Times New Roman" w:hAnsi="Times New Roman" w:cs="Times New Roman"/>
          <w:color w:val="000000"/>
          <w:kern w:val="0"/>
          <w:sz w:val="22"/>
          <w:szCs w:val="22"/>
          <w:lang w:eastAsia="lt-LT"/>
          <w14:ligatures w14:val="none"/>
        </w:rPr>
        <w:t xml:space="preserve"> medžiagai (jos išvardytos 6 skyriuje);</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yra sunkus, nekompensuotas širdies veiklos nepakankamumas;</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sergama kardiomiopatija ir miokarditu;</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nustatyta II ir III laipsnio atrioventrikulinė blokada;</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yra bradikardija – širdies susitraukimai retesni nei 55 k./min.;</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jeigu elektrokardiogramoje nustatytas ilgas QT intervalas (QTc pagal </w:t>
      </w:r>
      <w:r w:rsidRPr="00985585">
        <w:rPr>
          <w:rFonts w:ascii="Times New Roman" w:eastAsia="Times New Roman" w:hAnsi="Times New Roman" w:cs="Times New Roman"/>
          <w:i/>
          <w:color w:val="000000"/>
          <w:kern w:val="0"/>
          <w:sz w:val="22"/>
          <w:szCs w:val="22"/>
          <w:lang w:eastAsia="lt-LT"/>
          <w14:ligatures w14:val="none"/>
        </w:rPr>
        <w:t>Bazett</w:t>
      </w:r>
      <w:r w:rsidRPr="00985585">
        <w:rPr>
          <w:rFonts w:ascii="Times New Roman" w:eastAsia="Times New Roman" w:hAnsi="Times New Roman" w:cs="Times New Roman"/>
          <w:color w:val="000000"/>
          <w:kern w:val="0"/>
          <w:sz w:val="22"/>
          <w:szCs w:val="22"/>
          <w:lang w:eastAsia="lt-LT"/>
          <w14:ligatures w14:val="none"/>
        </w:rPr>
        <w:t>&gt; 420 ms) arba aiškios U bangos, arba šeimoje nustatytas įgimtas QT sindromas;</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 xml:space="preserve">jeigu yra buvusi sunki skilvelinė aritmija, įskaitant </w:t>
      </w:r>
      <w:r w:rsidRPr="00985585">
        <w:rPr>
          <w:rFonts w:ascii="Times New Roman" w:eastAsia="Times New Roman" w:hAnsi="Times New Roman" w:cs="Times New Roman"/>
          <w:i/>
          <w:color w:val="000000"/>
          <w:kern w:val="0"/>
          <w:sz w:val="22"/>
          <w:szCs w:val="22"/>
          <w:lang w:eastAsia="lt-LT"/>
          <w14:ligatures w14:val="none"/>
        </w:rPr>
        <w:t>torsades de pointes</w:t>
      </w:r>
      <w:r w:rsidRPr="00985585">
        <w:rPr>
          <w:rFonts w:ascii="Times New Roman" w:eastAsia="Times New Roman" w:hAnsi="Times New Roman" w:cs="Times New Roman"/>
          <w:color w:val="000000"/>
          <w:kern w:val="0"/>
          <w:sz w:val="22"/>
          <w:szCs w:val="22"/>
          <w:lang w:eastAsia="lt-LT"/>
          <w14:ligatures w14:val="none"/>
        </w:rPr>
        <w:t xml:space="preserve"> tipo;</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yra hipokalemija arba hipomagnezemija;</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kartu vartojamas budipinas arba kiti QT intervalą ilginantys vaistai.</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985585">
        <w:rPr>
          <w:rFonts w:ascii="Times New Roman" w:eastAsia="Times New Roman" w:hAnsi="Times New Roman" w:cs="Times New Roman"/>
          <w:b/>
          <w:bCs/>
          <w:snapToGrid w:val="0"/>
          <w:kern w:val="0"/>
          <w:sz w:val="22"/>
          <w:szCs w:val="28"/>
          <w:lang w:eastAsia="x-none"/>
          <w14:ligatures w14:val="none"/>
        </w:rPr>
        <w:t>Įspėjimai ir atsargumo priemonės</w:t>
      </w:r>
      <w:r>
        <w:rPr>
          <w:rFonts w:ascii="Times New Roman" w:eastAsia="Times New Roman" w:hAnsi="Times New Roman" w:cs="Times New Roman"/>
          <w:b/>
          <w:bCs/>
          <w:snapToGrid w:val="0"/>
          <w:kern w:val="0"/>
          <w:sz w:val="22"/>
          <w:szCs w:val="28"/>
          <w:lang w:eastAsia="x-none"/>
          <w14:ligatures w14:val="none"/>
        </w:rPr>
        <w:fldChar w:fldCharType="begin"/>
      </w:r>
      <w:r>
        <w:rPr>
          <w:rFonts w:ascii="Times New Roman" w:eastAsia="Times New Roman" w:hAnsi="Times New Roman" w:cs="Times New Roman"/>
          <w:b/>
          <w:bCs/>
          <w:snapToGrid w:val="0"/>
          <w:kern w:val="0"/>
          <w:sz w:val="22"/>
          <w:szCs w:val="28"/>
          <w:lang w:eastAsia="x-none"/>
          <w14:ligatures w14:val="none"/>
        </w:rPr>
        <w:instrText xml:space="preserve"> DOCVARIABLE vault_nd_446fcb6d-1a1d-4985-ac72-9d6bd4ec0883 \* MERGEFORMAT </w:instrText>
      </w:r>
      <w:r>
        <w:rPr>
          <w:rFonts w:ascii="Times New Roman" w:eastAsia="Times New Roman" w:hAnsi="Times New Roman" w:cs="Times New Roman"/>
          <w:b/>
          <w:bCs/>
          <w:snapToGrid w:val="0"/>
          <w:kern w:val="0"/>
          <w:sz w:val="22"/>
          <w:szCs w:val="28"/>
          <w:lang w:eastAsia="x-none"/>
          <w14:ligatures w14:val="none"/>
        </w:rPr>
        <w:fldChar w:fldCharType="separate"/>
      </w:r>
      <w:r>
        <w:rPr>
          <w:rFonts w:ascii="Times New Roman" w:eastAsia="Times New Roman" w:hAnsi="Times New Roman" w:cs="Times New Roman"/>
          <w:b/>
          <w:bCs/>
          <w:snapToGrid w:val="0"/>
          <w:kern w:val="0"/>
          <w:sz w:val="22"/>
          <w:szCs w:val="28"/>
          <w:lang w:eastAsia="x-none"/>
          <w14:ligatures w14:val="none"/>
        </w:rPr>
        <w:t xml:space="preserve"> </w:t>
      </w:r>
      <w:r>
        <w:rPr>
          <w:rFonts w:ascii="Times New Roman" w:eastAsia="Times New Roman" w:hAnsi="Times New Roman" w:cs="Times New Roman"/>
          <w:b/>
          <w:bCs/>
          <w:snapToGrid w:val="0"/>
          <w:kern w:val="0"/>
          <w:sz w:val="22"/>
          <w:szCs w:val="28"/>
          <w:lang w:eastAsia="x-none"/>
          <w14:ligatures w14:val="none"/>
        </w:rPr>
        <w:fldChar w:fldCharType="end"/>
      </w:r>
    </w:p>
    <w:p w:rsidR="005C13F9" w:rsidRPr="00985585" w:rsidRDefault="005C13F9" w:rsidP="005C13F9">
      <w:pPr>
        <w:numPr>
          <w:ilvl w:val="12"/>
          <w:numId w:val="0"/>
        </w:numPr>
        <w:spacing w:after="0" w:line="240" w:lineRule="auto"/>
        <w:ind w:right="-2"/>
        <w:rPr>
          <w:rFonts w:ascii="Times New Roman" w:eastAsia="Times New Roman" w:hAnsi="Times New Roman" w:cs="Times New Roman"/>
          <w:kern w:val="0"/>
          <w:sz w:val="22"/>
          <w:lang w:eastAsia="lt-LT"/>
          <w14:ligatures w14:val="none"/>
        </w:rPr>
      </w:pPr>
      <w:r w:rsidRPr="00985585">
        <w:rPr>
          <w:rFonts w:ascii="Times New Roman" w:eastAsia="Times New Roman" w:hAnsi="Times New Roman" w:cs="Times New Roman"/>
          <w:noProof/>
          <w:kern w:val="0"/>
          <w:sz w:val="22"/>
          <w:lang w:eastAsia="lt-LT"/>
          <w14:ligatures w14:val="none"/>
        </w:rPr>
        <w:t xml:space="preserve">Pasitarkite su gydytoju arba vaistininku, prieš pradėdami vartoti </w:t>
      </w:r>
      <w:r w:rsidRPr="00985585">
        <w:rPr>
          <w:rFonts w:ascii="Times New Roman" w:eastAsia="Times New Roman" w:hAnsi="Times New Roman" w:cs="Times New Roman"/>
          <w:color w:val="000000"/>
          <w:kern w:val="0"/>
          <w:sz w:val="22"/>
          <w:szCs w:val="22"/>
          <w:lang w:eastAsia="lt-LT"/>
          <w14:ligatures w14:val="none"/>
        </w:rPr>
        <w:t>Amantadin-ratiopharm</w:t>
      </w:r>
      <w:r w:rsidRPr="00985585">
        <w:rPr>
          <w:rFonts w:ascii="Times New Roman" w:eastAsia="Times New Roman" w:hAnsi="Times New Roman" w:cs="Times New Roman"/>
          <w:noProof/>
          <w:kern w:val="0"/>
          <w:sz w:val="22"/>
          <w:lang w:eastAsia="lt-LT"/>
          <w14:ligatures w14:val="none"/>
        </w:rPr>
        <w:t>.</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yra prostatos (priešinės liaukos) hipertrofija (išvešėjimas);</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nustatyta uždarojo kampo glaukoma;</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yra įvairaus laipsnio inkstų funkcijos nepakankamumas; šiuo atveju dėl sumažėjusios inkstų filtracijos vaisto gali susikaupti organizme;</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buvo arba yra susijaudinimo ar sumišimo būsena;</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kada nors anksčiau pacientas sirgo kliedesių sindromu, taip pat egzogenine psichoze;</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jeigu vartojamas memantinas.</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u w:val="single"/>
          <w:lang w:eastAsia="lt-LT"/>
          <w14:ligatures w14:val="none"/>
        </w:rPr>
      </w:pPr>
    </w:p>
    <w:p w:rsidR="005C13F9" w:rsidRDefault="005C13F9" w:rsidP="005C13F9">
      <w:pPr>
        <w:autoSpaceDE w:val="0"/>
        <w:autoSpaceDN w:val="0"/>
        <w:adjustRightInd w:val="0"/>
        <w:spacing w:after="0" w:line="240" w:lineRule="auto"/>
        <w:rPr>
          <w:rFonts w:ascii="Times New Roman" w:eastAsia="Times New Roman" w:hAnsi="Times New Roman" w:cs="Times New Roman"/>
          <w:iCs/>
          <w:color w:val="000000"/>
          <w:kern w:val="0"/>
          <w:sz w:val="22"/>
          <w:szCs w:val="22"/>
          <w:lang w:eastAsia="lt-LT"/>
          <w14:ligatures w14:val="none"/>
        </w:rPr>
      </w:pPr>
      <w:r w:rsidRPr="00FB1F49">
        <w:rPr>
          <w:rFonts w:ascii="Times New Roman" w:eastAsia="Times New Roman" w:hAnsi="Times New Roman" w:cs="Times New Roman"/>
          <w:iCs/>
          <w:color w:val="000000"/>
          <w:kern w:val="0"/>
          <w:sz w:val="22"/>
          <w:szCs w:val="22"/>
          <w:lang w:eastAsia="lt-LT"/>
          <w14:ligatures w14:val="none"/>
        </w:rPr>
        <w:t>Taikant gydymą amantadinu, gauta pranešimų apie savižudiškų minčių ir elgesio atvejus. Jeigu turite minčių apie savęs žalojimą arba savižudybę, nedelsdami kreipkitės į savo gydytoją.</w:t>
      </w:r>
    </w:p>
    <w:p w:rsidR="005C13F9" w:rsidRDefault="005C13F9" w:rsidP="005C13F9">
      <w:pPr>
        <w:autoSpaceDE w:val="0"/>
        <w:autoSpaceDN w:val="0"/>
        <w:adjustRightInd w:val="0"/>
        <w:spacing w:after="0" w:line="240" w:lineRule="auto"/>
        <w:rPr>
          <w:rFonts w:ascii="Times New Roman" w:eastAsia="Times New Roman" w:hAnsi="Times New Roman" w:cs="Times New Roman"/>
          <w:iCs/>
          <w:color w:val="000000"/>
          <w:kern w:val="0"/>
          <w:sz w:val="22"/>
          <w:szCs w:val="22"/>
          <w:lang w:eastAsia="lt-LT"/>
          <w14:ligatures w14:val="none"/>
        </w:rPr>
      </w:pPr>
    </w:p>
    <w:p w:rsidR="005C13F9" w:rsidRPr="00985585" w:rsidRDefault="005C13F9" w:rsidP="005C13F9">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iCs/>
          <w:color w:val="000000"/>
          <w:kern w:val="0"/>
          <w:sz w:val="22"/>
          <w:szCs w:val="22"/>
          <w:lang w:eastAsia="lt-LT"/>
          <w14:ligatures w14:val="none"/>
        </w:rPr>
        <w:t xml:space="preserve">Pasakykite savo gydytojui, jei Jūs arba Jūsų šeimos narys ar globėjas pastebėjo, kad Jums vystosi poreikis arba nenumaldomas noras elgtis taip, kaip Jums neįprasta, ir Jūs negalite atsispirti impulsui, potraukiui arba pagundai užsiimti tam tikra veikla, kuri Jums arba kitiems gali pakenkti. Tai vadinama impulsų kontrolės sutrikimais ir tai gali būti toks elgesys kaip priklausomybė nuo lošimų, besaikis </w:t>
      </w:r>
    </w:p>
    <w:p w:rsidR="005C13F9" w:rsidRPr="00985585" w:rsidRDefault="005C13F9" w:rsidP="005C13F9">
      <w:pPr>
        <w:spacing w:after="0" w:line="240" w:lineRule="auto"/>
        <w:rPr>
          <w:rFonts w:ascii="Times New Roman" w:eastAsia="Times New Roman" w:hAnsi="Times New Roman" w:cs="Times New Roman"/>
          <w:iCs/>
          <w:kern w:val="0"/>
          <w:sz w:val="22"/>
          <w:szCs w:val="22"/>
          <w:lang w:eastAsia="lt-LT"/>
          <w14:ligatures w14:val="none"/>
        </w:rPr>
      </w:pPr>
      <w:r w:rsidRPr="00985585">
        <w:rPr>
          <w:rFonts w:ascii="Times New Roman" w:eastAsia="Times New Roman" w:hAnsi="Times New Roman" w:cs="Times New Roman"/>
          <w:iCs/>
          <w:kern w:val="0"/>
          <w:sz w:val="22"/>
          <w:szCs w:val="22"/>
          <w:lang w:eastAsia="lt-LT"/>
          <w14:ligatures w14:val="none"/>
        </w:rPr>
        <w:t>valgymas arba išlaidavimas, nenormaliai stiprus lytinis potraukis arba padažnėjusios su lytiniais santykiais susijusios mintys ar pojūčiai. Jūsų gydytojui gali prireikti pakeisti vaisto dozę arba nutraukti Amantadin-ratiopharm vartojimą.</w:t>
      </w:r>
    </w:p>
    <w:p w:rsidR="005C13F9" w:rsidRPr="00985585" w:rsidRDefault="005C13F9" w:rsidP="005C13F9">
      <w:pPr>
        <w:spacing w:after="0" w:line="240" w:lineRule="auto"/>
        <w:rPr>
          <w:rFonts w:ascii="Times New Roman" w:eastAsia="Times New Roman" w:hAnsi="Times New Roman" w:cs="Times New Roman"/>
          <w:iCs/>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iCs/>
          <w:kern w:val="0"/>
          <w:sz w:val="22"/>
          <w:szCs w:val="22"/>
          <w:lang w:eastAsia="lt-LT"/>
          <w14:ligatures w14:val="none"/>
        </w:rPr>
        <w:t>Jei pasireiškė neryškus matymas arba kiti regėjimo sutrikimai, nedelsdami kreipkitės į akių gydytoją.</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u w:val="single"/>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Kiti vaistai ir Amantadin-ratiopharm</w:t>
      </w:r>
    </w:p>
    <w:p w:rsidR="005C13F9" w:rsidRPr="00985585" w:rsidRDefault="005C13F9" w:rsidP="005C13F9">
      <w:pPr>
        <w:spacing w:after="0" w:line="240" w:lineRule="auto"/>
        <w:rPr>
          <w:rFonts w:ascii="Times New Roman" w:eastAsia="Times New Roman" w:hAnsi="Times New Roman" w:cs="Times New Roman"/>
          <w:noProof/>
          <w:kern w:val="0"/>
          <w:sz w:val="22"/>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Jeigu vartojate arba neseniai vartojote kitų vaistų </w:t>
      </w:r>
      <w:r w:rsidRPr="00985585">
        <w:rPr>
          <w:rFonts w:ascii="Times New Roman" w:eastAsia="Times New Roman" w:hAnsi="Times New Roman" w:cs="Times New Roman"/>
          <w:noProof/>
          <w:kern w:val="0"/>
          <w:sz w:val="22"/>
          <w:lang w:eastAsia="lt-LT"/>
          <w14:ligatures w14:val="none"/>
        </w:rPr>
        <w:t>arba dėl to nesate tikri, apie tai pasakykite gydytojui arba vaistininkui.</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Amantadin-ratiopharm negalima vartoti kartu su vaistais, kurie pailgina QT intervalą, pavyzdžiui:</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IA klasės (chinidinu, dizopiramidu, prokainamidu) ir III klasės (amjodaronu, sotaloliu) antiaritminiais vaistais;</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antipsichoziniais vaistais (pvz., tioridazinu, chlorpromazinu, haloperidoliu, pimozidu);</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tricikliais ir tetracikliais antidepresiniais vaistais (pvz., amitriptilinu);</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antihistamininiais vaistais (astemizoliu, terfenidinu);</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makrolidų grupės antibiotikais (pvz., eritromicinu, klaritromicinu);</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kai kuriais girazės inhibitoriais (pvz., sparfloksacinu);</w:t>
      </w:r>
    </w:p>
    <w:p w:rsidR="005C13F9" w:rsidRPr="00985585" w:rsidRDefault="005C13F9" w:rsidP="005C13F9">
      <w:pPr>
        <w:spacing w:after="0" w:line="240" w:lineRule="auto"/>
        <w:ind w:left="567" w:hanging="567"/>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w:t>
      </w:r>
      <w:r w:rsidRPr="00985585">
        <w:rPr>
          <w:rFonts w:ascii="Times New Roman" w:eastAsia="Times New Roman" w:hAnsi="Times New Roman" w:cs="Times New Roman"/>
          <w:color w:val="000000"/>
          <w:kern w:val="0"/>
          <w:sz w:val="22"/>
          <w:szCs w:val="22"/>
          <w:lang w:eastAsia="lt-LT"/>
          <w14:ligatures w14:val="none"/>
        </w:rPr>
        <w:tab/>
        <w:t>azolo grupės vaistais nuo grybelių sukeltų ligų, pvz., budipinu, halofantrinu, kotrimoksazolu, pentamidinu, cizapridu arba bepridiliu.</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Amantadiną galima derinti su kitais vaistais nuo parkinsonizmo. Siekiant, kad nepasireikštų nepageidaujamas poveikis (pavyzdžiui, psichozinė reakcija), gali prireikti sumažinti kito vaisto ar abiejų kartu vartojamų vaistų dozes.</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Kartu vartojant Amantadin-ratiopharm ir toliau išvardytas vaistų grupes arba vaistus, galima tokia jų sąveika.</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Amantadino negalima vartoti kartu su kai kuriais šlapimo išsiskyrimą skatinančiais vaistais (pvz., vaistais, kuriuose yra triamterono ir hidrochlorotiazido), nes gali susidaryti toksinė amantadino koncentracija kraujo plazmoje. </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b/>
          <w:kern w:val="0"/>
          <w:sz w:val="22"/>
          <w:szCs w:val="22"/>
          <w:lang w:eastAsia="lt-LT"/>
          <w14:ligatures w14:val="none"/>
        </w:rPr>
        <w:t>Nėštumas ir žindymo laikotarpis</w:t>
      </w:r>
    </w:p>
    <w:p w:rsidR="005C13F9" w:rsidRPr="00985585" w:rsidRDefault="005C13F9" w:rsidP="005C13F9">
      <w:pPr>
        <w:spacing w:after="0" w:line="240" w:lineRule="auto"/>
        <w:rPr>
          <w:rFonts w:ascii="Times New Roman" w:eastAsia="Times New Roman" w:hAnsi="Times New Roman" w:cs="Times New Roman"/>
          <w:noProof/>
          <w:kern w:val="0"/>
          <w:sz w:val="22"/>
          <w:lang w:eastAsia="lt-LT"/>
          <w14:ligatures w14:val="none"/>
        </w:rPr>
      </w:pPr>
      <w:r w:rsidRPr="00985585">
        <w:rPr>
          <w:rFonts w:ascii="Times New Roman" w:eastAsia="Times New Roman" w:hAnsi="Times New Roman" w:cs="Times New Roman"/>
          <w:noProof/>
          <w:kern w:val="0"/>
          <w:sz w:val="22"/>
          <w:lang w:eastAsia="lt-LT"/>
          <w14:ligatures w14:val="none"/>
        </w:rPr>
        <w:t>Jeigu esate nėščia, žindote kūdikį, manote, kad galbūt esate nėščia, arba planuojate pastoti, tai prieš vartodama šį vaistą, pasitarkite su gydytoju arba vaistininku.</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 xml:space="preserve">Nėštumo laikotarpiu amantadino galima skirti tik gyvybiškai būtinu atveju ir atidžiai įvertinus vaisto naudą ir galimus pavojus. </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Amantadino patenka į motinos pieną. Jei žindymo laikotarpiu motinai šį vaistą vartoti būtina, reikia stebėti, ar vaikui neišryškėja kokių nors vaisto poveikio simptomų (išbėrimo, šlapimo susilaikymo, vėmimo) ir prireikus žindymą nutraukti.</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bCs/>
          <w:kern w:val="0"/>
          <w:sz w:val="22"/>
          <w:szCs w:val="20"/>
          <w:lang w:eastAsia="lt-LT"/>
          <w14:ligatures w14:val="none"/>
        </w:rPr>
      </w:pPr>
      <w:r w:rsidRPr="00985585">
        <w:rPr>
          <w:rFonts w:ascii="Times New Roman" w:eastAsia="Times New Roman" w:hAnsi="Times New Roman" w:cs="Times New Roman"/>
          <w:b/>
          <w:bCs/>
          <w:kern w:val="0"/>
          <w:sz w:val="22"/>
          <w:szCs w:val="20"/>
          <w:lang w:eastAsia="lt-LT"/>
          <w14:ligatures w14:val="none"/>
        </w:rPr>
        <w:t>Vairavimas ir mechanizmų valdymas</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Negalima atmesti galimybės, kad vaistas gali paveikti paciento budrumą ir regėjimą (akomodaciją). Toks poveikis galimas ir dėl amantadino sąveikos su kitais vaistais nuo parkinsonizmo. Pradėjus vartoti vaisto, gali sumažėti žmogaus gebėjimas vairuoti ar valdyti mechanizmus. Toks poveikis yra dar didesnis, jeigu vaisto vartojama su alkoholiu.</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3.</w:t>
      </w:r>
      <w:r w:rsidRPr="00985585">
        <w:rPr>
          <w:rFonts w:ascii="Times New Roman" w:eastAsia="Times New Roman" w:hAnsi="Times New Roman" w:cs="Times New Roman"/>
          <w:b/>
          <w:kern w:val="0"/>
          <w:sz w:val="22"/>
          <w:szCs w:val="20"/>
          <w:lang w:eastAsia="lt-LT"/>
          <w14:ligatures w14:val="none"/>
        </w:rPr>
        <w:tab/>
        <w:t xml:space="preserve">Kaip vartoti Amantadin-ratiopharm </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Visada vartokite šį vaistą tiksliai, kaip nurodė gydytojas. Jeigu abejojate, kreipkitės į gydytoją arba vaistininką.</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Tabletes reikia praryti užsigeriant pakankamu skysčio kiekiu (pvz., stikline vandens), geriausiai iš ryto ir po pietų. Paskutiniąją paros dozę reikia išgerti ne vėliau kaip iki 16 valandos.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Prieš pradedant vartoti vaisto ir praėjus 1 ir 3 savaitėms nuo gydymo pradžios, reikia užrašyti elektrokardiogramą.</w:t>
      </w: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color w:val="000000"/>
          <w:kern w:val="0"/>
          <w:sz w:val="22"/>
          <w:szCs w:val="22"/>
          <w:u w:val="single"/>
          <w:lang w:eastAsia="lt-LT"/>
          <w14:ligatures w14:val="none"/>
        </w:rPr>
      </w:pPr>
      <w:r w:rsidRPr="00985585">
        <w:rPr>
          <w:rFonts w:ascii="Times New Roman" w:eastAsia="Times New Roman" w:hAnsi="Times New Roman" w:cs="Times New Roman"/>
          <w:i/>
          <w:color w:val="000000"/>
          <w:kern w:val="0"/>
          <w:sz w:val="22"/>
          <w:szCs w:val="22"/>
          <w:u w:val="single"/>
          <w:lang w:eastAsia="lt-LT"/>
          <w14:ligatures w14:val="none"/>
        </w:rPr>
        <w:t>Parkinsono sindromas</w:t>
      </w:r>
    </w:p>
    <w:p w:rsidR="005C13F9" w:rsidRPr="00985585" w:rsidRDefault="005C13F9" w:rsidP="005C13F9">
      <w:pPr>
        <w:spacing w:after="0" w:line="240" w:lineRule="auto"/>
        <w:rPr>
          <w:rFonts w:ascii="Times New Roman" w:eastAsia="Times New Roman" w:hAnsi="Times New Roman" w:cs="Times New Roman"/>
          <w:i/>
          <w:color w:val="000000"/>
          <w:kern w:val="0"/>
          <w:sz w:val="22"/>
          <w:szCs w:val="22"/>
          <w:u w:val="single"/>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color w:val="000000"/>
          <w:kern w:val="0"/>
          <w:sz w:val="22"/>
          <w:szCs w:val="22"/>
          <w:lang w:eastAsia="lt-LT"/>
          <w14:ligatures w14:val="none"/>
        </w:rPr>
      </w:pPr>
      <w:r w:rsidRPr="00985585">
        <w:rPr>
          <w:rFonts w:ascii="Times New Roman" w:eastAsia="Times New Roman" w:hAnsi="Times New Roman" w:cs="Times New Roman"/>
          <w:i/>
          <w:color w:val="000000"/>
          <w:kern w:val="0"/>
          <w:sz w:val="22"/>
          <w:szCs w:val="22"/>
          <w:lang w:eastAsia="lt-LT"/>
          <w14:ligatures w14:val="none"/>
        </w:rPr>
        <w:t>Suaugusiesiems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Pirmąsias 4–7 dienas rekomenduojama 1 kartą per parą gerti po vieną tabletę (tai atitinka 100 mg amantadino hidrochlorido per parą). Vėliau kas savaitę dozė didinama tokiu pat kiekiu (1 tablete), kol pasiekiama tinkama palaikomoji dozė t.y. 1-2 tabletės, vartojamos 2 kartus per parą (tai atitinka 200–400 </w:t>
      </w:r>
      <w:r w:rsidRPr="00985585">
        <w:rPr>
          <w:rFonts w:ascii="Times New Roman" w:eastAsia="Times New Roman" w:hAnsi="Times New Roman" w:cs="Times New Roman"/>
          <w:kern w:val="0"/>
          <w:sz w:val="22"/>
          <w:szCs w:val="22"/>
          <w:lang w:eastAsia="lt-LT"/>
          <w14:ligatures w14:val="none"/>
        </w:rPr>
        <w:t xml:space="preserve">mg amantadino hidrochlorido per parą). </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Gydymo trukmė priklauso nuo ligos pobūdžio ir sunkumo, ją nustato gydantis gydytojas. Pacientui savavališkai nutraukti gydymo negalima.</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Senyviems pacientams (&gt;65 metų)</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Senyviems pacientams, ypač tiems, kuriems pasireiškia sujaudinimo ar sumišimo būsena, taip pat </w:t>
      </w:r>
      <w:r w:rsidRPr="00985585">
        <w:rPr>
          <w:rFonts w:ascii="Times New Roman" w:eastAsia="Times New Roman" w:hAnsi="Times New Roman" w:cs="Times New Roman"/>
          <w:color w:val="000000"/>
          <w:kern w:val="0"/>
          <w:sz w:val="22"/>
          <w:szCs w:val="22"/>
          <w:lang w:eastAsia="lt-LT"/>
          <w14:ligatures w14:val="none"/>
        </w:rPr>
        <w:t>kliedesių sindromas, reikia pradėti vartoti mažesnę dozę.</w:t>
      </w:r>
    </w:p>
    <w:p w:rsidR="005C13F9" w:rsidRPr="00985585" w:rsidRDefault="005C13F9" w:rsidP="005C13F9">
      <w:pPr>
        <w:spacing w:after="0" w:line="240" w:lineRule="auto"/>
        <w:rPr>
          <w:rFonts w:ascii="Times New Roman" w:eastAsia="Times New Roman" w:hAnsi="Times New Roman" w:cs="Times New Roman"/>
          <w:b/>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Vartojimas vaikams ir paaugliams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Amantadin-ratiopharm nėra skirtas vaikams ir paaugliams Parkinsosno sindromo gydymui.</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u w:val="single"/>
          <w:lang w:eastAsia="lt-LT"/>
          <w14:ligatures w14:val="none"/>
        </w:rPr>
      </w:pPr>
      <w:r w:rsidRPr="00985585">
        <w:rPr>
          <w:rFonts w:ascii="Times New Roman" w:eastAsia="Times New Roman" w:hAnsi="Times New Roman" w:cs="Times New Roman"/>
          <w:i/>
          <w:kern w:val="0"/>
          <w:sz w:val="22"/>
          <w:szCs w:val="22"/>
          <w:u w:val="single"/>
          <w:lang w:eastAsia="lt-LT"/>
          <w14:ligatures w14:val="none"/>
        </w:rPr>
        <w:t xml:space="preserve">A tipo gripo viruso sukeltas gripas </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Amantadin-ratiopharm reikia pradėti vartoti, jei galima, prieš virusui patenkant arba kiek įmanoma anksčiau po pirmojo kontakto su gripu sergančiu žmogumi. Gydymą tęsti 10 dienų. </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Suaugusiesiems  (ne vyresniems kaip 64 metų) pacientams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 kartus per parą reikia gerti po vieną tabletę arba 1 kartą per parą po 2 tabletes (t.y. 200 mg amantadino hidrochlorido per parą).</w:t>
      </w:r>
    </w:p>
    <w:p w:rsidR="005C13F9" w:rsidRPr="00985585" w:rsidRDefault="005C13F9" w:rsidP="005C13F9">
      <w:pPr>
        <w:spacing w:after="0" w:line="240" w:lineRule="auto"/>
        <w:rPr>
          <w:rFonts w:ascii="Times New Roman" w:eastAsia="Times New Roman" w:hAnsi="Times New Roman" w:cs="Times New Roman"/>
          <w:b/>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Senyviems (vyresniems kaip 65 metų) pacientams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 tipo gripo viruso sukeliamo gripo profilaktikai ir gydymo metu 1 kartą per parą reikia gerti po vieną tabletę (t.y. 100 mg amantadino hidrochlorido per parą), nes mažiausiai 50 % šio amžiaus pacientų būna nepakankama inkstų funkcija.</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
          <w:kern w:val="0"/>
          <w:sz w:val="22"/>
          <w:szCs w:val="22"/>
          <w:lang w:eastAsia="lt-LT"/>
          <w14:ligatures w14:val="none"/>
        </w:rPr>
        <w:t>Vartojimas vaikams ir paaugliams</w:t>
      </w:r>
      <w:r w:rsidRPr="00985585">
        <w:rPr>
          <w:rFonts w:ascii="Times New Roman" w:eastAsia="Times New Roman" w:hAnsi="Times New Roman" w:cs="Times New Roman"/>
          <w:kern w:val="0"/>
          <w:sz w:val="22"/>
          <w:szCs w:val="22"/>
          <w:lang w:eastAsia="lt-LT"/>
          <w14:ligatures w14:val="none"/>
        </w:rPr>
        <w:t>:</w:t>
      </w: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Vyresniems  kaip 9 metų arba daugiau kaip 45 kg sveriantiems  vaikams ir paaugliams </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2 kartus per parą reikia gerti po vieną</w:t>
      </w:r>
      <w:r w:rsidRPr="00985585">
        <w:rPr>
          <w:rFonts w:ascii="Times New Roman" w:eastAsia="Times New Roman" w:hAnsi="Times New Roman" w:cs="Times New Roman"/>
          <w:color w:val="000000"/>
          <w:kern w:val="0"/>
          <w:sz w:val="22"/>
          <w:szCs w:val="22"/>
          <w:lang w:eastAsia="lt-LT"/>
          <w14:ligatures w14:val="none"/>
        </w:rPr>
        <w:t xml:space="preserve"> </w:t>
      </w:r>
      <w:r w:rsidRPr="00985585">
        <w:rPr>
          <w:rFonts w:ascii="Times New Roman" w:eastAsia="Times New Roman" w:hAnsi="Times New Roman" w:cs="Times New Roman"/>
          <w:kern w:val="0"/>
          <w:sz w:val="22"/>
          <w:szCs w:val="22"/>
          <w:lang w:eastAsia="lt-LT"/>
          <w14:ligatures w14:val="none"/>
        </w:rPr>
        <w:t>tabletę (t.y. 200 mg amantadino hidrochlorido per parą).</w:t>
      </w: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5–9 metų vaikams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1 kartą per parą duodama gerti po vieną tabletę (t.y. 100 mg amantadino hidrochlorido per parą).</w:t>
      </w: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Jaunesniems kaip 5 metų vaikams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lastRenderedPageBreak/>
        <w:t>Amantadin-ratiopharm jaunesniems, kaip 5 metų vaikams vartoti negalima.</w:t>
      </w:r>
    </w:p>
    <w:p w:rsidR="005C13F9" w:rsidRPr="00985585" w:rsidRDefault="005C13F9" w:rsidP="005C13F9">
      <w:pPr>
        <w:spacing w:after="0" w:line="240" w:lineRule="auto"/>
        <w:rPr>
          <w:rFonts w:ascii="Times New Roman" w:eastAsia="Times New Roman" w:hAnsi="Times New Roman" w:cs="Times New Roman"/>
          <w:kern w:val="0"/>
          <w:sz w:val="22"/>
          <w:szCs w:val="22"/>
          <w:u w:val="single"/>
          <w:lang w:eastAsia="lt-LT"/>
          <w14:ligatures w14:val="none"/>
        </w:rPr>
      </w:pPr>
    </w:p>
    <w:p w:rsidR="005C13F9" w:rsidRPr="00985585" w:rsidRDefault="005C13F9" w:rsidP="005C13F9">
      <w:pPr>
        <w:spacing w:after="0" w:line="240" w:lineRule="auto"/>
        <w:rPr>
          <w:rFonts w:ascii="Times New Roman" w:eastAsia="Times New Roman" w:hAnsi="Times New Roman" w:cs="Times New Roman"/>
          <w:color w:val="000000"/>
          <w:kern w:val="0"/>
          <w:sz w:val="22"/>
          <w:szCs w:val="22"/>
          <w:u w:val="single"/>
          <w:lang w:eastAsia="lt-LT"/>
          <w14:ligatures w14:val="none"/>
        </w:rPr>
      </w:pPr>
      <w:r w:rsidRPr="00985585">
        <w:rPr>
          <w:rFonts w:ascii="Times New Roman" w:eastAsia="Times New Roman" w:hAnsi="Times New Roman" w:cs="Times New Roman"/>
          <w:color w:val="000000"/>
          <w:kern w:val="0"/>
          <w:sz w:val="22"/>
          <w:szCs w:val="22"/>
          <w:u w:val="single"/>
          <w:lang w:eastAsia="lt-LT"/>
          <w14:ligatures w14:val="none"/>
        </w:rPr>
        <w:t>Vartojimo metodas</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Tabletes reikia praryti užsigeriant pakankamu skysčio kiekiu (pvz., stikline vandens), geriausiai iš ryto ir po pietų. Paskutiniąją paros dozę reikia išgerti ne vėliau kaip iki 16 valandos.</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Jeigu manote, kad </w:t>
      </w:r>
      <w:r w:rsidRPr="00985585">
        <w:rPr>
          <w:rFonts w:ascii="Times New Roman" w:eastAsia="Times New Roman" w:hAnsi="Times New Roman" w:cs="Times New Roman"/>
          <w:bCs/>
          <w:kern w:val="0"/>
          <w:sz w:val="22"/>
          <w:szCs w:val="22"/>
          <w:lang w:eastAsia="lt-LT"/>
          <w14:ligatures w14:val="none"/>
        </w:rPr>
        <w:t xml:space="preserve">Amantadin-ratiopharm </w:t>
      </w:r>
      <w:r w:rsidRPr="00985585">
        <w:rPr>
          <w:rFonts w:ascii="Times New Roman" w:eastAsia="Times New Roman" w:hAnsi="Times New Roman" w:cs="Times New Roman"/>
          <w:kern w:val="0"/>
          <w:sz w:val="22"/>
          <w:szCs w:val="20"/>
          <w:lang w:eastAsia="lt-LT"/>
          <w14:ligatures w14:val="none"/>
        </w:rPr>
        <w:t>veikia per stipriai arba per silpnai, kreipkitės į gydytoją arba vaistininką.</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Ką daryti pavartojus per didelę Amantadin-ratiopharm dozę?</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Vaisto perdozavus ir ūmiai juo apsinuodijus pykina, vemiama, padidėja dirglumas, atsiranda drebulys, sutrinka pusiausvyra, atsiranda mieguistumas, depresija, kalba tampa neaiški (dizartrija) ir gali būti traukulių priepuoliai, būna neryškus matymas, labai retai – širdies aritmija.</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 xml:space="preserve">Pamiršus pavartoti Amantadin-ratiopharm </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Negalima vartoti dvigubos dozės, norint kompensuoti praleistą dozę.</w:t>
      </w:r>
    </w:p>
    <w:p w:rsidR="005C13F9" w:rsidRPr="00985585" w:rsidRDefault="005C13F9" w:rsidP="005C13F9">
      <w:pPr>
        <w:spacing w:after="0" w:line="240" w:lineRule="auto"/>
        <w:rPr>
          <w:rFonts w:ascii="Times New Roman" w:eastAsia="Times New Roman" w:hAnsi="Times New Roman" w:cs="Times New Roman"/>
          <w:noProof/>
          <w:kern w:val="0"/>
          <w:sz w:val="22"/>
          <w:szCs w:val="20"/>
          <w14:ligatures w14:val="none"/>
        </w:rPr>
      </w:pPr>
      <w:r w:rsidRPr="00985585">
        <w:rPr>
          <w:rFonts w:ascii="Times New Roman" w:eastAsia="Times New Roman" w:hAnsi="Times New Roman" w:cs="Times New Roman"/>
          <w:noProof/>
          <w:kern w:val="0"/>
          <w:sz w:val="22"/>
          <w:szCs w:val="20"/>
          <w14:ligatures w14:val="none"/>
        </w:rPr>
        <w:t>Jeigu kiltų daugiau klausimų dėl šio vaisto vartojimo, kreipkitės į gydytoją arba vaistininką.</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b/>
          <w:bCs/>
          <w:kern w:val="0"/>
          <w:sz w:val="22"/>
          <w:szCs w:val="20"/>
          <w:lang w:eastAsia="lt-LT"/>
          <w14:ligatures w14:val="none"/>
        </w:rPr>
        <w:t xml:space="preserve">Nustojus vartoti Amantadin-ratiopharm </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color w:val="000000"/>
          <w:kern w:val="0"/>
          <w:sz w:val="22"/>
          <w:szCs w:val="22"/>
          <w:lang w:eastAsia="lt-LT"/>
          <w14:ligatures w14:val="none"/>
        </w:rPr>
        <w:t>Reikia vengti staigiai nutraukti amantadino vartojimą Parkinsono liga sergantiems pacientams, nes gali pasunkėti ekstrapiramidiniai simptomai, gali ištikti net akinezinė krizė, pasireikšti kliedesys.</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4.</w:t>
      </w:r>
      <w:r w:rsidRPr="00985585">
        <w:rPr>
          <w:rFonts w:ascii="Times New Roman" w:eastAsia="Times New Roman" w:hAnsi="Times New Roman" w:cs="Times New Roman"/>
          <w:b/>
          <w:kern w:val="0"/>
          <w:sz w:val="22"/>
          <w:szCs w:val="20"/>
          <w:lang w:eastAsia="lt-LT"/>
          <w14:ligatures w14:val="none"/>
        </w:rPr>
        <w:tab/>
        <w:t>Galimas šalutinis poveikis</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color w:val="000000"/>
          <w:kern w:val="0"/>
          <w:sz w:val="22"/>
          <w:szCs w:val="20"/>
          <w:lang w:eastAsia="lt-LT"/>
          <w14:ligatures w14:val="none"/>
        </w:rPr>
      </w:pPr>
      <w:r w:rsidRPr="00985585">
        <w:rPr>
          <w:rFonts w:ascii="Times New Roman" w:eastAsia="Times New Roman" w:hAnsi="Times New Roman" w:cs="Times New Roman"/>
          <w:bCs/>
          <w:color w:val="000000"/>
          <w:kern w:val="0"/>
          <w:sz w:val="22"/>
          <w:szCs w:val="20"/>
          <w:lang w:eastAsia="lt-LT"/>
          <w14:ligatures w14:val="none"/>
        </w:rPr>
        <w:t>Šis vaistas</w:t>
      </w:r>
      <w:r w:rsidRPr="00985585">
        <w:rPr>
          <w:rFonts w:ascii="Times New Roman" w:eastAsia="Times New Roman" w:hAnsi="Times New Roman" w:cs="Times New Roman"/>
          <w:color w:val="000000"/>
          <w:kern w:val="0"/>
          <w:sz w:val="22"/>
          <w:szCs w:val="20"/>
          <w:lang w:eastAsia="lt-LT"/>
          <w14:ligatures w14:val="none"/>
        </w:rPr>
        <w:t>, kaip ir kiti, gali sukelti šalutinį poveikį, nors jis pasireiškia ne visiems žmonėms.</w:t>
      </w:r>
    </w:p>
    <w:p w:rsidR="005C13F9" w:rsidRPr="00985585" w:rsidRDefault="005C13F9" w:rsidP="005C13F9">
      <w:pPr>
        <w:spacing w:after="0" w:line="240" w:lineRule="auto"/>
        <w:rPr>
          <w:rFonts w:ascii="Times New Roman" w:eastAsia="Times New Roman" w:hAnsi="Times New Roman" w:cs="Times New Roman"/>
          <w:color w:val="000000"/>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Toliau pateikti šalutiniai poveikiai suskirstyti pagal dažnį.</w:t>
      </w:r>
    </w:p>
    <w:p w:rsidR="005C13F9" w:rsidRPr="00985585" w:rsidRDefault="005C13F9" w:rsidP="005C13F9">
      <w:pPr>
        <w:spacing w:after="0" w:line="240" w:lineRule="auto"/>
        <w:rPr>
          <w:rFonts w:ascii="Times New Roman" w:eastAsia="Times New Roman" w:hAnsi="Times New Roman" w:cs="Times New Roman"/>
          <w:kern w:val="0"/>
          <w:sz w:val="22"/>
          <w:szCs w:val="22"/>
          <w:u w:val="single"/>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Dažni šalutinio poveikio reiškiniai </w:t>
      </w:r>
      <w:r w:rsidRPr="00985585">
        <w:rPr>
          <w:rFonts w:ascii="Times New Roman" w:eastAsia="Times New Roman" w:hAnsi="Times New Roman" w:cs="Times New Roman"/>
          <w:i/>
          <w:kern w:val="0"/>
          <w:sz w:val="22"/>
          <w:szCs w:val="20"/>
          <w:lang w:eastAsia="lt-LT"/>
          <w14:ligatures w14:val="none"/>
        </w:rPr>
        <w:t>(</w:t>
      </w:r>
      <w:r w:rsidRPr="00985585">
        <w:rPr>
          <w:rFonts w:ascii="Times New Roman" w:eastAsia="Times New Roman" w:hAnsi="Times New Roman" w:cs="Times New Roman"/>
          <w:bCs/>
          <w:i/>
          <w:kern w:val="0"/>
          <w:sz w:val="22"/>
          <w:szCs w:val="20"/>
          <w:lang w:eastAsia="lt-LT"/>
          <w14:ligatures w14:val="none"/>
        </w:rPr>
        <w:t>gali pasireikšti rečiau kaip 1 iš 10 asmenų</w:t>
      </w:r>
      <w:r w:rsidRPr="00985585">
        <w:rPr>
          <w:rFonts w:ascii="Times New Roman" w:eastAsia="Times New Roman" w:hAnsi="Times New Roman" w:cs="Times New Roman"/>
          <w:i/>
          <w:kern w:val="0"/>
          <w:sz w:val="22"/>
          <w:szCs w:val="20"/>
          <w:lang w:eastAsia="lt-LT"/>
          <w14:ligatures w14:val="none"/>
        </w:rPr>
        <w:t>)</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Miego sutrikimai, motorinis sujaudinimas ir psichinis nerimas, atminties sutrikimai, dėmesio koncentracijos sutrikimas.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Galvos svaigimas.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Ortostatinės reguliacijos sutrikimas.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Pykinimas, burnos džiūvimas.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Atsiranda „marmurinės odos“ vaizdas, kartais kartu patinsta blauzdos ir kulkšnys.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Esant priešinės liaukos hipertrofijai, gali susilaikyti šlapimas.</w:t>
      </w:r>
    </w:p>
    <w:p w:rsidR="005C13F9" w:rsidRPr="00985585" w:rsidRDefault="005C13F9" w:rsidP="005C13F9">
      <w:pPr>
        <w:spacing w:after="0" w:line="240" w:lineRule="auto"/>
        <w:rPr>
          <w:rFonts w:ascii="Times New Roman" w:eastAsia="Times New Roman" w:hAnsi="Times New Roman" w:cs="Times New Roman"/>
          <w:kern w:val="0"/>
          <w:sz w:val="22"/>
          <w:szCs w:val="22"/>
          <w:u w:val="single"/>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Pacientams, ypač senyviems, jau linkusiems į panašias reakcijas, vaistas gali sukelti paranoją primenančią egzogeninę psichozę, lydimą regos haliucinacijų. Toks nepageidaujamas poveikis gali pasireikšti dažniau, jei </w:t>
      </w:r>
      <w:r w:rsidRPr="00985585">
        <w:rPr>
          <w:rFonts w:ascii="Times New Roman" w:eastAsia="Times New Roman" w:hAnsi="Times New Roman" w:cs="Times New Roman"/>
          <w:iCs/>
          <w:color w:val="000000"/>
          <w:kern w:val="0"/>
          <w:sz w:val="22"/>
          <w:szCs w:val="22"/>
          <w:lang w:eastAsia="lt-LT"/>
          <w14:ligatures w14:val="none"/>
        </w:rPr>
        <w:t xml:space="preserve">Amantadin-ratiopharm </w:t>
      </w:r>
      <w:r w:rsidRPr="00985585">
        <w:rPr>
          <w:rFonts w:ascii="Times New Roman" w:eastAsia="Times New Roman" w:hAnsi="Times New Roman" w:cs="Times New Roman"/>
          <w:kern w:val="0"/>
          <w:sz w:val="22"/>
          <w:szCs w:val="22"/>
          <w:lang w:eastAsia="lt-LT"/>
          <w14:ligatures w14:val="none"/>
        </w:rPr>
        <w:t>vartojamas kartu su kitais vaistais  nuo parkinsonizmo (pavyzdžiui, levodopa, bromokriptinu, memantinu).</w:t>
      </w:r>
    </w:p>
    <w:p w:rsidR="005C13F9" w:rsidRPr="00985585" w:rsidRDefault="005C13F9" w:rsidP="005C13F9">
      <w:pPr>
        <w:spacing w:after="0" w:line="240" w:lineRule="auto"/>
        <w:rPr>
          <w:rFonts w:ascii="Times New Roman" w:eastAsia="Times New Roman" w:hAnsi="Times New Roman" w:cs="Times New Roman"/>
          <w:kern w:val="0"/>
          <w:sz w:val="22"/>
          <w:szCs w:val="22"/>
          <w:u w:val="single"/>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Nedažni šalutinio poveikio reiškiniai (gali pasireikšti rečiau kaip 1 iš 100 asmenų)</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Neryškus matymas.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Reti šalutinio poveikio reiškiniai </w:t>
      </w:r>
      <w:r w:rsidRPr="00985585">
        <w:rPr>
          <w:rFonts w:ascii="Times New Roman" w:eastAsia="Times New Roman" w:hAnsi="Times New Roman" w:cs="Times New Roman"/>
          <w:i/>
          <w:kern w:val="0"/>
          <w:sz w:val="22"/>
          <w:szCs w:val="20"/>
          <w:lang w:eastAsia="lt-LT"/>
          <w14:ligatures w14:val="none"/>
        </w:rPr>
        <w:t>(</w:t>
      </w:r>
      <w:r w:rsidRPr="00985585">
        <w:rPr>
          <w:rFonts w:ascii="Times New Roman" w:eastAsia="Times New Roman" w:hAnsi="Times New Roman" w:cs="Times New Roman"/>
          <w:bCs/>
          <w:i/>
          <w:kern w:val="0"/>
          <w:sz w:val="22"/>
          <w:szCs w:val="20"/>
          <w:lang w:eastAsia="lt-LT"/>
          <w14:ligatures w14:val="none"/>
        </w:rPr>
        <w:t>gali pasireikšti rečiau kaip 1 iš 1 000 asmenų</w:t>
      </w:r>
      <w:r w:rsidRPr="00985585">
        <w:rPr>
          <w:rFonts w:ascii="Times New Roman" w:eastAsia="Times New Roman" w:hAnsi="Times New Roman" w:cs="Times New Roman"/>
          <w:i/>
          <w:kern w:val="0"/>
          <w:sz w:val="22"/>
          <w:szCs w:val="20"/>
          <w:lang w:eastAsia="lt-LT"/>
          <w14:ligatures w14:val="none"/>
        </w:rPr>
        <w:t>)</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Leukopenija, trombocitopenija. </w:t>
      </w:r>
    </w:p>
    <w:p w:rsidR="005C13F9" w:rsidRPr="00985585" w:rsidRDefault="005C13F9" w:rsidP="005C13F9">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ragenos pažeidimas, ragenos edema, sumažėjęs regos aštrumas. </w:t>
      </w:r>
    </w:p>
    <w:p w:rsidR="005C13F9" w:rsidRPr="00985585" w:rsidRDefault="005C13F9" w:rsidP="005C13F9">
      <w:pPr>
        <w:spacing w:after="0" w:line="240" w:lineRule="auto"/>
        <w:rPr>
          <w:rFonts w:ascii="Times New Roman" w:eastAsia="Times New Roman" w:hAnsi="Times New Roman" w:cs="Times New Roman"/>
          <w:kern w:val="0"/>
          <w:sz w:val="22"/>
          <w:szCs w:val="22"/>
          <w:u w:val="single"/>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2"/>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Labai reti šalutinio poveikio reiškiniai </w:t>
      </w:r>
      <w:r w:rsidRPr="00985585">
        <w:rPr>
          <w:rFonts w:ascii="Times New Roman" w:eastAsia="Times New Roman" w:hAnsi="Times New Roman" w:cs="Times New Roman"/>
          <w:i/>
          <w:kern w:val="0"/>
          <w:sz w:val="22"/>
          <w:szCs w:val="20"/>
          <w:lang w:eastAsia="lt-LT"/>
          <w14:ligatures w14:val="none"/>
        </w:rPr>
        <w:t>(</w:t>
      </w:r>
      <w:r w:rsidRPr="00985585">
        <w:rPr>
          <w:rFonts w:ascii="Times New Roman" w:eastAsia="Times New Roman" w:hAnsi="Times New Roman" w:cs="Times New Roman"/>
          <w:bCs/>
          <w:i/>
          <w:kern w:val="0"/>
          <w:sz w:val="22"/>
          <w:szCs w:val="20"/>
          <w:lang w:eastAsia="lt-LT"/>
          <w14:ligatures w14:val="none"/>
        </w:rPr>
        <w:t>gali pasireikšti rečiau kaip 1 iš 10 000 asmenų</w:t>
      </w:r>
      <w:r w:rsidRPr="00985585">
        <w:rPr>
          <w:rFonts w:ascii="Times New Roman" w:eastAsia="Times New Roman" w:hAnsi="Times New Roman" w:cs="Times New Roman"/>
          <w:i/>
          <w:kern w:val="0"/>
          <w:sz w:val="22"/>
          <w:szCs w:val="20"/>
          <w:lang w:eastAsia="lt-LT"/>
          <w14:ligatures w14:val="none"/>
        </w:rPr>
        <w:t>)</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Mioklonija (raumenų traukuliai), periferinė neuropatija. </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Regos išnykimas, padidėja akių jautrumas šviesai (fotofobija).</w:t>
      </w:r>
    </w:p>
    <w:p w:rsidR="005C13F9" w:rsidRPr="00985585" w:rsidRDefault="005C13F9" w:rsidP="005C13F9">
      <w:pPr>
        <w:spacing w:after="0" w:line="240" w:lineRule="auto"/>
        <w:rPr>
          <w:rFonts w:ascii="Times New Roman" w:eastAsia="Times New Roman" w:hAnsi="Times New Roman" w:cs="Times New Roman"/>
          <w:kern w:val="0"/>
          <w:sz w:val="22"/>
          <w:szCs w:val="22"/>
          <w:u w:val="single"/>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Širdies aritmija (skilvelinė tachikardija, skilvelių virpėjimas, </w:t>
      </w:r>
      <w:r w:rsidRPr="00985585">
        <w:rPr>
          <w:rFonts w:ascii="Times New Roman" w:eastAsia="Times New Roman" w:hAnsi="Times New Roman" w:cs="Times New Roman"/>
          <w:i/>
          <w:kern w:val="0"/>
          <w:sz w:val="22"/>
          <w:szCs w:val="22"/>
          <w:lang w:eastAsia="lt-LT"/>
          <w14:ligatures w14:val="none"/>
        </w:rPr>
        <w:t xml:space="preserve">torsade de pointes, </w:t>
      </w:r>
      <w:r w:rsidRPr="00985585">
        <w:rPr>
          <w:rFonts w:ascii="Times New Roman" w:eastAsia="Times New Roman" w:hAnsi="Times New Roman" w:cs="Times New Roman"/>
          <w:kern w:val="0"/>
          <w:sz w:val="22"/>
          <w:szCs w:val="22"/>
          <w:lang w:eastAsia="lt-LT"/>
          <w14:ligatures w14:val="none"/>
        </w:rPr>
        <w:t>pailgėja QT intervalas). Dažniausiai taip atsitinka, kai vaisto  perdozuojama, kartu vartojami kai kurie kiti vaistai arba yra širdies ritmo sutrikimų rizikos faktorių (žr. poskyrius „</w:t>
      </w:r>
      <w:r w:rsidRPr="00985585">
        <w:rPr>
          <w:rFonts w:ascii="Times New Roman" w:eastAsia="Times New Roman" w:hAnsi="Times New Roman" w:cs="Times New Roman"/>
          <w:i/>
          <w:kern w:val="0"/>
          <w:sz w:val="22"/>
          <w:szCs w:val="20"/>
          <w:lang w:eastAsia="lt-LT"/>
          <w14:ligatures w14:val="none"/>
        </w:rPr>
        <w:t xml:space="preserve">Amantadin-ratiopharm tablečių vartoti negalima“ </w:t>
      </w:r>
      <w:r w:rsidRPr="00985585">
        <w:rPr>
          <w:rFonts w:ascii="Times New Roman" w:eastAsia="Times New Roman" w:hAnsi="Times New Roman" w:cs="Times New Roman"/>
          <w:kern w:val="0"/>
          <w:sz w:val="22"/>
          <w:szCs w:val="20"/>
          <w:lang w:eastAsia="lt-LT"/>
          <w14:ligatures w14:val="none"/>
        </w:rPr>
        <w:t>ir „</w:t>
      </w:r>
      <w:r w:rsidRPr="00985585">
        <w:rPr>
          <w:rFonts w:ascii="Times New Roman" w:eastAsia="Times New Roman" w:hAnsi="Times New Roman" w:cs="Times New Roman"/>
          <w:i/>
          <w:kern w:val="0"/>
          <w:sz w:val="22"/>
          <w:szCs w:val="20"/>
          <w:lang w:eastAsia="lt-LT"/>
          <w14:ligatures w14:val="none"/>
        </w:rPr>
        <w:t>Kiti vaistai ir Amantadin-ratiopharm“</w:t>
      </w:r>
      <w:r w:rsidRPr="00985585">
        <w:rPr>
          <w:rFonts w:ascii="Times New Roman" w:eastAsia="Times New Roman" w:hAnsi="Times New Roman" w:cs="Times New Roman"/>
          <w:kern w:val="0"/>
          <w:sz w:val="22"/>
          <w:szCs w:val="22"/>
          <w:lang w:eastAsia="lt-LT"/>
          <w14:ligatures w14:val="none"/>
        </w:rPr>
        <w:t>).</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Yra buvę pavienių atvejų (dažniausiai, kai dozė didesnė nei rekomenduojama) kai prasideda epilepsijos priepuoliai.</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2"/>
          <w:lang w:eastAsia="lt-LT"/>
          <w14:ligatures w14:val="none"/>
        </w:rPr>
        <w:t xml:space="preserve">Dažnis nežinomas </w:t>
      </w:r>
      <w:r w:rsidRPr="00985585">
        <w:rPr>
          <w:rFonts w:ascii="Times New Roman" w:eastAsia="Times New Roman" w:hAnsi="Times New Roman" w:cs="Times New Roman"/>
          <w:i/>
          <w:kern w:val="0"/>
          <w:sz w:val="22"/>
          <w:szCs w:val="20"/>
          <w:lang w:eastAsia="lt-LT"/>
          <w14:ligatures w14:val="none"/>
        </w:rPr>
        <w:t>(negali būti apskaičiuotas pagal turimus duomenis)</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Viduriavimas, pilvo skausmas, anoreksija.</w:t>
      </w:r>
    </w:p>
    <w:p w:rsidR="005C13F9" w:rsidRPr="00985585" w:rsidRDefault="005C13F9" w:rsidP="005C13F9">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985585">
        <w:rPr>
          <w:rFonts w:ascii="Times New Roman" w:eastAsia="Times New Roman" w:hAnsi="Times New Roman" w:cs="Times New Roman"/>
          <w:iCs/>
          <w:color w:val="000000"/>
          <w:kern w:val="0"/>
          <w:sz w:val="22"/>
          <w:szCs w:val="22"/>
          <w:lang w:eastAsia="lt-LT"/>
          <w14:ligatures w14:val="none"/>
        </w:rPr>
        <w:t>Nenumaldomas noras neįprastai elgtis – stiprus impulsas be saiko lošti, pakitęs arba padidėjęs lytinis potraukis, nekontroliuojamas besaikis apsipirkimas arba išlaidavimas, priepuolinis persivalgymas (kai per trumpą laiką suvalgoma daug maisto) arba nuolatinis noras valgyti (kai suvalgoma daugiau maisto negu įprastai ir daugiau nei reikia numalšinti alkį).</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b/>
          <w:noProof/>
          <w:snapToGrid w:val="0"/>
          <w:kern w:val="0"/>
          <w:sz w:val="22"/>
          <w14:ligatures w14:val="none"/>
        </w:rPr>
      </w:pPr>
      <w:r w:rsidRPr="00985585">
        <w:rPr>
          <w:rFonts w:ascii="Times New Roman" w:eastAsia="Times New Roman" w:hAnsi="Times New Roman" w:cs="Times New Roman"/>
          <w:b/>
          <w:noProof/>
          <w:snapToGrid w:val="0"/>
          <w:kern w:val="0"/>
          <w:sz w:val="22"/>
          <w14:ligatures w14:val="none"/>
        </w:rPr>
        <w:t>Pranešimas apie šalutinį poveikį</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noProof/>
          <w:snapToGrid w:val="0"/>
          <w:kern w:val="0"/>
          <w:sz w:val="22"/>
          <w14:ligatures w14:val="none"/>
        </w:rPr>
        <w:t xml:space="preserve">Jeigu pasireiškė šalutinis poveikis, įskaitant šiame lapelyje nenurodytą, pasakykite gydytojui arba vaistininkui. </w:t>
      </w:r>
      <w:r w:rsidRPr="00FB1F49">
        <w:rPr>
          <w:rFonts w:ascii="Times New Roman" w:eastAsia="Times New Roman" w:hAnsi="Times New Roman" w:cs="Times New Roman"/>
          <w:snapToGrid w:val="0"/>
          <w:kern w:val="0"/>
          <w:sz w:val="22"/>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5.</w:t>
      </w:r>
      <w:r w:rsidRPr="00985585">
        <w:rPr>
          <w:rFonts w:ascii="Times New Roman" w:eastAsia="Times New Roman" w:hAnsi="Times New Roman" w:cs="Times New Roman"/>
          <w:b/>
          <w:kern w:val="0"/>
          <w:sz w:val="22"/>
          <w:szCs w:val="20"/>
          <w:lang w:eastAsia="lt-LT"/>
          <w14:ligatures w14:val="none"/>
        </w:rPr>
        <w:tab/>
        <w:t xml:space="preserve">Kaip laikyti Amantadin-ratiopharm </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985585">
        <w:rPr>
          <w:rFonts w:ascii="Times New Roman" w:eastAsia="Times New Roman" w:hAnsi="Times New Roman" w:cs="Times New Roman"/>
          <w:noProof/>
          <w:snapToGrid w:val="0"/>
          <w:kern w:val="0"/>
          <w:sz w:val="22"/>
          <w14:ligatures w14:val="none"/>
        </w:rPr>
        <w:t>Šį vaistą laikykite vaikams nepastebimoje ir nepasiekiamoje vietoje.</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Šiam vaistui specialių laikymo sąlygų nereikia.</w:t>
      </w:r>
    </w:p>
    <w:p w:rsidR="005C13F9" w:rsidRPr="00985585" w:rsidRDefault="005C13F9" w:rsidP="005C13F9">
      <w:pPr>
        <w:spacing w:after="0" w:line="240" w:lineRule="auto"/>
        <w:rPr>
          <w:rFonts w:ascii="Times New Roman" w:eastAsia="Times New Roman" w:hAnsi="Times New Roman" w:cs="Times New Roman"/>
          <w:noProof/>
          <w:kern w:val="0"/>
          <w:sz w:val="22"/>
          <w:szCs w:val="22"/>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14:ligatures w14:val="none"/>
        </w:rPr>
      </w:pPr>
      <w:r w:rsidRPr="00985585">
        <w:rPr>
          <w:rFonts w:ascii="Times New Roman" w:eastAsia="Times New Roman" w:hAnsi="Times New Roman" w:cs="Times New Roman"/>
          <w:noProof/>
          <w:kern w:val="0"/>
          <w:sz w:val="22"/>
          <w:szCs w:val="22"/>
          <w14:ligatures w14:val="none"/>
        </w:rPr>
        <w:t xml:space="preserve">Ant dėžutės ir lizdinės plokštelės </w:t>
      </w:r>
      <w:r w:rsidRPr="00985585">
        <w:rPr>
          <w:rFonts w:ascii="Times New Roman" w:eastAsia="Times New Roman" w:hAnsi="Times New Roman" w:cs="Times New Roman"/>
          <w:kern w:val="0"/>
          <w:sz w:val="22"/>
          <w:szCs w:val="22"/>
          <w14:ligatures w14:val="none"/>
        </w:rPr>
        <w:t xml:space="preserve">po „Tinka iki/EXP“ </w:t>
      </w:r>
      <w:r w:rsidRPr="00985585">
        <w:rPr>
          <w:rFonts w:ascii="Times New Roman" w:eastAsia="Times New Roman" w:hAnsi="Times New Roman" w:cs="Times New Roman"/>
          <w:noProof/>
          <w:kern w:val="0"/>
          <w:sz w:val="22"/>
          <w:szCs w:val="22"/>
          <w14:ligatures w14:val="none"/>
        </w:rPr>
        <w:t xml:space="preserve">nurodytam tinkamumo laikui pasibaigus, </w:t>
      </w:r>
      <w:r w:rsidRPr="00985585">
        <w:rPr>
          <w:rFonts w:ascii="Times New Roman" w:eastAsia="Times New Roman" w:hAnsi="Times New Roman" w:cs="Times New Roman"/>
          <w:noProof/>
          <w:color w:val="000000"/>
          <w:kern w:val="0"/>
          <w:sz w:val="22"/>
          <w:szCs w:val="22"/>
          <w14:ligatures w14:val="none"/>
        </w:rPr>
        <w:t xml:space="preserve">šio vaisto </w:t>
      </w:r>
      <w:r w:rsidRPr="00985585">
        <w:rPr>
          <w:rFonts w:ascii="Times New Roman" w:eastAsia="Times New Roman" w:hAnsi="Times New Roman" w:cs="Times New Roman"/>
          <w:noProof/>
          <w:kern w:val="0"/>
          <w:sz w:val="22"/>
          <w:szCs w:val="22"/>
          <w14:ligatures w14:val="none"/>
        </w:rPr>
        <w:t xml:space="preserve">vartoti negalima. </w:t>
      </w:r>
      <w:r w:rsidRPr="00985585">
        <w:rPr>
          <w:rFonts w:ascii="Times New Roman" w:eastAsia="Times New Roman" w:hAnsi="Times New Roman" w:cs="Times New Roman"/>
          <w:kern w:val="0"/>
          <w:sz w:val="22"/>
          <w:szCs w:val="22"/>
          <w14:ligatures w14:val="none"/>
        </w:rPr>
        <w:t>Vaistas tinkamas vartoti iki paskutinės nurodyto mėnesio dienos.</w:t>
      </w:r>
    </w:p>
    <w:p w:rsidR="005C13F9" w:rsidRPr="00985585" w:rsidRDefault="005C13F9" w:rsidP="005C13F9">
      <w:pPr>
        <w:spacing w:after="0" w:line="240" w:lineRule="auto"/>
        <w:rPr>
          <w:rFonts w:ascii="Times New Roman" w:eastAsia="Times New Roman" w:hAnsi="Times New Roman" w:cs="Times New Roman"/>
          <w:kern w:val="0"/>
          <w:sz w:val="22"/>
          <w:szCs w:val="22"/>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14:ligatures w14:val="none"/>
        </w:rPr>
      </w:pPr>
      <w:r w:rsidRPr="00985585">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ind w:left="567" w:hanging="567"/>
        <w:rPr>
          <w:rFonts w:ascii="Times New Roman" w:eastAsia="Times New Roman" w:hAnsi="Times New Roman" w:cs="Times New Roman"/>
          <w:b/>
          <w:kern w:val="0"/>
          <w:sz w:val="22"/>
          <w:szCs w:val="20"/>
          <w:lang w:eastAsia="lt-LT"/>
          <w14:ligatures w14:val="none"/>
        </w:rPr>
      </w:pPr>
      <w:r w:rsidRPr="00985585">
        <w:rPr>
          <w:rFonts w:ascii="Times New Roman" w:eastAsia="Times New Roman" w:hAnsi="Times New Roman" w:cs="Times New Roman"/>
          <w:b/>
          <w:kern w:val="0"/>
          <w:sz w:val="22"/>
          <w:szCs w:val="20"/>
          <w:lang w:eastAsia="lt-LT"/>
          <w14:ligatures w14:val="none"/>
        </w:rPr>
        <w:t>6.</w:t>
      </w:r>
      <w:r w:rsidRPr="00985585">
        <w:rPr>
          <w:rFonts w:ascii="Times New Roman" w:eastAsia="Times New Roman" w:hAnsi="Times New Roman" w:cs="Times New Roman"/>
          <w:b/>
          <w:kern w:val="0"/>
          <w:sz w:val="22"/>
          <w:szCs w:val="20"/>
          <w:lang w:eastAsia="lt-LT"/>
          <w14:ligatures w14:val="none"/>
        </w:rPr>
        <w:tab/>
        <w:t>Pakuotės turinys ir kita informacija</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20" w:lineRule="exact"/>
        <w:rPr>
          <w:rFonts w:ascii="Times New Roman" w:eastAsia="Times New Roman" w:hAnsi="Times New Roman" w:cs="Times New Roman"/>
          <w:b/>
          <w:bCs/>
          <w:kern w:val="0"/>
          <w:sz w:val="22"/>
          <w:szCs w:val="22"/>
          <w14:ligatures w14:val="none"/>
        </w:rPr>
      </w:pPr>
      <w:r w:rsidRPr="00985585">
        <w:rPr>
          <w:rFonts w:ascii="Times New Roman" w:eastAsia="Times New Roman" w:hAnsi="Times New Roman" w:cs="Times New Roman"/>
          <w:b/>
          <w:color w:val="000000"/>
          <w:kern w:val="0"/>
          <w:sz w:val="22"/>
          <w:szCs w:val="22"/>
          <w14:ligatures w14:val="none"/>
        </w:rPr>
        <w:t>Amantadin-ratiopharm</w:t>
      </w:r>
      <w:r w:rsidRPr="00985585">
        <w:rPr>
          <w:rFonts w:ascii="Times New Roman" w:eastAsia="Times New Roman" w:hAnsi="Times New Roman" w:cs="Times New Roman"/>
          <w:b/>
          <w:bCs/>
          <w:kern w:val="0"/>
          <w:sz w:val="22"/>
          <w:szCs w:val="22"/>
          <w14:ligatures w14:val="none"/>
        </w:rPr>
        <w:t xml:space="preserve"> sudėtis</w:t>
      </w:r>
    </w:p>
    <w:p w:rsidR="005C13F9" w:rsidRPr="00985585" w:rsidRDefault="005C13F9" w:rsidP="005C13F9">
      <w:pPr>
        <w:numPr>
          <w:ilvl w:val="0"/>
          <w:numId w:val="4"/>
        </w:numPr>
        <w:tabs>
          <w:tab w:val="left" w:pos="567"/>
        </w:tabs>
        <w:spacing w:after="0" w:line="240" w:lineRule="auto"/>
        <w:ind w:left="567" w:hanging="567"/>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Veiklioji medžiaga yra amantadino hidrochloridas. Vienoje </w:t>
      </w:r>
      <w:r w:rsidRPr="00985585">
        <w:rPr>
          <w:rFonts w:ascii="Times New Roman" w:eastAsia="Times New Roman" w:hAnsi="Times New Roman" w:cs="Times New Roman"/>
          <w:kern w:val="0"/>
          <w:sz w:val="22"/>
          <w:szCs w:val="22"/>
          <w:lang w:eastAsia="lt-LT"/>
          <w14:ligatures w14:val="none"/>
        </w:rPr>
        <w:t>plėvele dengtoje tabletėje yra 100 mg amantadino hidrochlorido.</w:t>
      </w:r>
    </w:p>
    <w:p w:rsidR="005C13F9" w:rsidRPr="00985585" w:rsidRDefault="005C13F9" w:rsidP="005C13F9">
      <w:pPr>
        <w:numPr>
          <w:ilvl w:val="0"/>
          <w:numId w:val="4"/>
        </w:numPr>
        <w:tabs>
          <w:tab w:val="left" w:pos="567"/>
        </w:tabs>
        <w:spacing w:after="0" w:line="240" w:lineRule="auto"/>
        <w:ind w:left="567"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Pagalbinės medžiagos.</w:t>
      </w:r>
    </w:p>
    <w:p w:rsidR="005C13F9" w:rsidRPr="00985585" w:rsidRDefault="005C13F9" w:rsidP="005C13F9">
      <w:pPr>
        <w:tabs>
          <w:tab w:val="left" w:pos="567"/>
        </w:tabs>
        <w:spacing w:after="0" w:line="240" w:lineRule="auto"/>
        <w:ind w:left="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 xml:space="preserve">Tabletės branduolyje yra </w:t>
      </w:r>
      <w:r w:rsidRPr="00985585">
        <w:rPr>
          <w:rFonts w:ascii="Times New Roman" w:eastAsia="Times New Roman" w:hAnsi="Times New Roman" w:cs="Times New Roman"/>
          <w:kern w:val="0"/>
          <w:sz w:val="22"/>
          <w:szCs w:val="22"/>
          <w:lang w:eastAsia="lt-LT"/>
          <w14:ligatures w14:val="none"/>
        </w:rPr>
        <w:t xml:space="preserve">kukurūzų krakmolo, mikrokristalinės celiuliozės, kopovidono, talko, makrogolio 6000, bevandenio koloidinio silicio dioksido, magnio stearato. </w:t>
      </w:r>
    </w:p>
    <w:p w:rsidR="005C13F9" w:rsidRPr="00985585" w:rsidRDefault="005C13F9" w:rsidP="005C13F9">
      <w:pPr>
        <w:spacing w:after="0" w:line="240" w:lineRule="auto"/>
        <w:ind w:left="567"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 xml:space="preserve">Tabletės plėvelėje yra bazinis </w:t>
      </w:r>
      <w:r w:rsidRPr="00985585">
        <w:rPr>
          <w:rFonts w:ascii="Times New Roman" w:eastAsia="Times New Roman" w:hAnsi="Times New Roman" w:cs="Times New Roman"/>
          <w:kern w:val="0"/>
          <w:sz w:val="22"/>
          <w:szCs w:val="20"/>
          <w:lang w:eastAsia="lt-LT"/>
          <w14:ligatures w14:val="none"/>
        </w:rPr>
        <w:t>butilintas metakrilato</w:t>
      </w:r>
      <w:r w:rsidRPr="00985585">
        <w:rPr>
          <w:rFonts w:ascii="Times New Roman" w:eastAsia="Times New Roman" w:hAnsi="Times New Roman" w:cs="Times New Roman"/>
          <w:kern w:val="0"/>
          <w:sz w:val="22"/>
          <w:szCs w:val="22"/>
          <w:lang w:eastAsia="lt-LT"/>
          <w14:ligatures w14:val="none"/>
        </w:rPr>
        <w:t xml:space="preserve"> kopolimeras, titano dioksido (E171), raudonojo geležies oksido (E172), geltonojo geležies oksido (E172).</w:t>
      </w:r>
    </w:p>
    <w:p w:rsidR="005C13F9" w:rsidRPr="00985585" w:rsidRDefault="005C13F9" w:rsidP="005C13F9">
      <w:pPr>
        <w:spacing w:after="0" w:line="240" w:lineRule="auto"/>
        <w:rPr>
          <w:rFonts w:ascii="Times New Roman" w:eastAsia="Times New Roman" w:hAnsi="Times New Roman" w:cs="Times New Roman"/>
          <w:kern w:val="0"/>
          <w:sz w:val="22"/>
          <w:szCs w:val="22"/>
          <w14:ligatures w14:val="none"/>
        </w:rPr>
      </w:pPr>
    </w:p>
    <w:p w:rsidR="005C13F9" w:rsidRPr="00985585" w:rsidRDefault="005C13F9" w:rsidP="005C13F9">
      <w:pPr>
        <w:spacing w:after="0" w:line="220" w:lineRule="exact"/>
        <w:rPr>
          <w:rFonts w:ascii="Times New Roman" w:eastAsia="Times New Roman" w:hAnsi="Times New Roman" w:cs="Times New Roman"/>
          <w:b/>
          <w:bCs/>
          <w:kern w:val="0"/>
          <w:sz w:val="22"/>
          <w:szCs w:val="22"/>
          <w14:ligatures w14:val="none"/>
        </w:rPr>
      </w:pPr>
      <w:r w:rsidRPr="00985585">
        <w:rPr>
          <w:rFonts w:ascii="Times New Roman" w:eastAsia="Times New Roman" w:hAnsi="Times New Roman" w:cs="Times New Roman"/>
          <w:b/>
          <w:color w:val="000000"/>
          <w:kern w:val="0"/>
          <w:sz w:val="22"/>
          <w:szCs w:val="22"/>
          <w14:ligatures w14:val="none"/>
        </w:rPr>
        <w:t>Amantadin-ratiopharm</w:t>
      </w:r>
      <w:r w:rsidRPr="00985585">
        <w:rPr>
          <w:rFonts w:ascii="Times New Roman" w:eastAsia="Times New Roman" w:hAnsi="Times New Roman" w:cs="Times New Roman"/>
          <w:b/>
          <w:bCs/>
          <w:kern w:val="0"/>
          <w:sz w:val="22"/>
          <w:szCs w:val="22"/>
          <w14:ligatures w14:val="none"/>
        </w:rPr>
        <w:t xml:space="preserve"> išvaizda ir kiekis pakuotėje</w:t>
      </w:r>
    </w:p>
    <w:p w:rsidR="005C13F9" w:rsidRPr="00985585" w:rsidRDefault="005C13F9" w:rsidP="005C13F9">
      <w:pPr>
        <w:spacing w:after="0" w:line="240" w:lineRule="auto"/>
        <w:ind w:right="-81"/>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bCs/>
          <w:kern w:val="0"/>
          <w:sz w:val="22"/>
          <w:szCs w:val="20"/>
          <w:lang w:eastAsia="lt-LT"/>
          <w14:ligatures w14:val="none"/>
        </w:rPr>
        <w:t xml:space="preserve">Amantadin-ratiopharm 100 mg plėvele </w:t>
      </w:r>
      <w:r w:rsidRPr="00985585">
        <w:rPr>
          <w:rFonts w:ascii="Times New Roman" w:eastAsia="Times New Roman" w:hAnsi="Times New Roman" w:cs="Times New Roman"/>
          <w:kern w:val="0"/>
          <w:sz w:val="22"/>
          <w:szCs w:val="20"/>
          <w:lang w:eastAsia="lt-LT"/>
          <w14:ligatures w14:val="none"/>
        </w:rPr>
        <w:t>dengtos tabletės yra</w:t>
      </w:r>
      <w:r w:rsidRPr="00985585">
        <w:rPr>
          <w:rFonts w:ascii="Times New Roman" w:eastAsia="Times New Roman" w:hAnsi="Times New Roman" w:cs="Times New Roman"/>
          <w:kern w:val="0"/>
          <w:sz w:val="22"/>
          <w:szCs w:val="22"/>
          <w:lang w:eastAsia="lt-LT"/>
          <w14:ligatures w14:val="none"/>
        </w:rPr>
        <w:t xml:space="preserve"> šviesiai oranžinės spalvos, apvalios, abipus išgaubtos, vienoje pusėje yra įranta. </w:t>
      </w:r>
      <w:r w:rsidRPr="00985585">
        <w:rPr>
          <w:rFonts w:ascii="Times New Roman" w:eastAsia="Times New Roman" w:hAnsi="Times New Roman" w:cs="Times New Roman"/>
          <w:kern w:val="0"/>
          <w:sz w:val="22"/>
          <w:szCs w:val="20"/>
          <w:lang w:eastAsia="lt-LT"/>
          <w14:ligatures w14:val="none"/>
        </w:rPr>
        <w:t>Vagelė skirta tik tabletei perlaužti, kad būtų lengviau nuryti, bet ne jai padalyti į lygias dozes.</w:t>
      </w:r>
    </w:p>
    <w:p w:rsidR="005C13F9" w:rsidRPr="00985585" w:rsidRDefault="005C13F9" w:rsidP="005C13F9">
      <w:pPr>
        <w:spacing w:after="0" w:line="240" w:lineRule="auto"/>
        <w:rPr>
          <w:rFonts w:ascii="Times New Roman" w:eastAsia="Times New Roman" w:hAnsi="Times New Roman" w:cs="Times New Roman"/>
          <w:b/>
          <w:kern w:val="0"/>
          <w:sz w:val="22"/>
          <w:szCs w:val="20"/>
          <w:lang w:eastAsia="lt-LT"/>
          <w14:ligatures w14:val="none"/>
        </w:rPr>
      </w:pPr>
    </w:p>
    <w:p w:rsidR="005C13F9" w:rsidRPr="00985585" w:rsidRDefault="005C13F9" w:rsidP="005C13F9">
      <w:pPr>
        <w:spacing w:after="0" w:line="240" w:lineRule="auto"/>
        <w:ind w:left="567" w:right="-81" w:hanging="567"/>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Kartono dėžutėje yra 100 tablečių.</w:t>
      </w:r>
    </w:p>
    <w:p w:rsidR="005C13F9" w:rsidRPr="00985585" w:rsidRDefault="005C13F9" w:rsidP="005C13F9">
      <w:pPr>
        <w:spacing w:after="0" w:line="240" w:lineRule="auto"/>
        <w:rPr>
          <w:rFonts w:ascii="Times New Roman" w:eastAsia="Times New Roman" w:hAnsi="Times New Roman" w:cs="Times New Roman"/>
          <w:kern w:val="0"/>
          <w:sz w:val="22"/>
          <w:szCs w:val="22"/>
          <w14:ligatures w14:val="none"/>
        </w:rPr>
      </w:pPr>
    </w:p>
    <w:p w:rsidR="005C13F9" w:rsidRPr="00985585" w:rsidRDefault="005C13F9" w:rsidP="005C13F9">
      <w:pPr>
        <w:spacing w:after="0" w:line="220" w:lineRule="exact"/>
        <w:rPr>
          <w:rFonts w:ascii="Times New Roman" w:eastAsia="Times New Roman" w:hAnsi="Times New Roman" w:cs="Times New Roman"/>
          <w:b/>
          <w:bCs/>
          <w:kern w:val="0"/>
          <w:sz w:val="22"/>
          <w:szCs w:val="22"/>
          <w14:ligatures w14:val="none"/>
        </w:rPr>
      </w:pPr>
      <w:r w:rsidRPr="00985585">
        <w:rPr>
          <w:rFonts w:ascii="Times New Roman" w:eastAsia="Times New Roman" w:hAnsi="Times New Roman" w:cs="Times New Roman"/>
          <w:b/>
          <w:bCs/>
          <w:kern w:val="0"/>
          <w:sz w:val="22"/>
          <w:szCs w:val="22"/>
          <w14:ligatures w14:val="none"/>
        </w:rPr>
        <w:t>Registruotojas ir gamintojas</w:t>
      </w:r>
    </w:p>
    <w:p w:rsidR="005C13F9" w:rsidRPr="00985585" w:rsidRDefault="005C13F9" w:rsidP="005C13F9">
      <w:pPr>
        <w:tabs>
          <w:tab w:val="left" w:pos="9000"/>
        </w:tabs>
        <w:spacing w:after="0" w:line="240" w:lineRule="auto"/>
        <w:ind w:right="99"/>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 xml:space="preserve">Registruotojas </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ratiopharm GmbH</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89079 Ulm</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Vokietija</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i/>
          <w:kern w:val="0"/>
          <w:sz w:val="22"/>
          <w:szCs w:val="20"/>
          <w:lang w:eastAsia="lt-LT"/>
          <w14:ligatures w14:val="none"/>
        </w:rPr>
      </w:pPr>
      <w:r w:rsidRPr="00985585">
        <w:rPr>
          <w:rFonts w:ascii="Times New Roman" w:eastAsia="Times New Roman" w:hAnsi="Times New Roman" w:cs="Times New Roman"/>
          <w:i/>
          <w:kern w:val="0"/>
          <w:sz w:val="22"/>
          <w:szCs w:val="20"/>
          <w:lang w:eastAsia="lt-LT"/>
          <w14:ligatures w14:val="none"/>
        </w:rPr>
        <w:t>Gamintojas</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t>Merckle GmbH</w:t>
      </w:r>
      <w:r w:rsidRPr="00985585">
        <w:rPr>
          <w:rFonts w:ascii="Times New Roman" w:eastAsia="Times New Roman" w:hAnsi="Times New Roman" w:cs="Times New Roman"/>
          <w:kern w:val="0"/>
          <w:sz w:val="22"/>
          <w:szCs w:val="22"/>
          <w:lang w:eastAsia="lt-LT"/>
          <w14:ligatures w14:val="none"/>
        </w:rPr>
        <w:t xml:space="preserve"> </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0"/>
          <w:lang w:eastAsia="lt-LT"/>
          <w14:ligatures w14:val="none"/>
        </w:rPr>
      </w:pPr>
      <w:r w:rsidRPr="00985585">
        <w:rPr>
          <w:rFonts w:ascii="Times New Roman" w:eastAsia="Times New Roman" w:hAnsi="Times New Roman" w:cs="Times New Roman"/>
          <w:kern w:val="0"/>
          <w:sz w:val="22"/>
          <w:szCs w:val="20"/>
          <w:lang w:eastAsia="lt-LT"/>
          <w14:ligatures w14:val="none"/>
        </w:rPr>
        <w:lastRenderedPageBreak/>
        <w:t xml:space="preserve">Ludwig-Merckle-Str. 3 </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0"/>
          <w:lang w:eastAsia="lt-LT"/>
          <w14:ligatures w14:val="none"/>
        </w:rPr>
        <w:t>D-89143 Blaubeuren</w:t>
      </w:r>
      <w:r w:rsidRPr="00985585">
        <w:rPr>
          <w:rFonts w:ascii="Times New Roman" w:eastAsia="Times New Roman" w:hAnsi="Times New Roman" w:cs="Times New Roman"/>
          <w:kern w:val="0"/>
          <w:sz w:val="22"/>
          <w:szCs w:val="22"/>
          <w:lang w:eastAsia="lt-LT"/>
          <w14:ligatures w14:val="none"/>
        </w:rPr>
        <w:t xml:space="preserve"> </w:t>
      </w:r>
    </w:p>
    <w:p w:rsidR="005C13F9" w:rsidRPr="00985585" w:rsidRDefault="005C13F9" w:rsidP="005C13F9">
      <w:pPr>
        <w:tabs>
          <w:tab w:val="left" w:pos="9000"/>
        </w:tabs>
        <w:spacing w:after="0" w:line="240" w:lineRule="auto"/>
        <w:ind w:right="99"/>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Vokietija</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2"/>
          <w14:ligatures w14:val="none"/>
        </w:rPr>
      </w:pPr>
      <w:r w:rsidRPr="00985585">
        <w:rPr>
          <w:rFonts w:ascii="Times New Roman" w:eastAsia="Times New Roman" w:hAnsi="Times New Roman" w:cs="Times New Roman"/>
          <w:kern w:val="0"/>
          <w:sz w:val="22"/>
          <w:szCs w:val="22"/>
          <w14:ligatures w14:val="none"/>
        </w:rPr>
        <w:t>Jeigu apie šį vaistą norite sužinoti daugiau, kreipkitės į vietinį registruotojo atstovą.</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tbl>
      <w:tblPr>
        <w:tblW w:w="4678" w:type="dxa"/>
        <w:tblInd w:w="-34" w:type="dxa"/>
        <w:tblLayout w:type="fixed"/>
        <w:tblLook w:val="0000" w:firstRow="0" w:lastRow="0" w:firstColumn="0" w:lastColumn="0" w:noHBand="0" w:noVBand="0"/>
      </w:tblPr>
      <w:tblGrid>
        <w:gridCol w:w="4678"/>
      </w:tblGrid>
      <w:tr w:rsidR="005C13F9" w:rsidRPr="00985585" w:rsidTr="0021795B">
        <w:tc>
          <w:tcPr>
            <w:tcW w:w="4678" w:type="dxa"/>
          </w:tcPr>
          <w:p w:rsidR="005C13F9" w:rsidRPr="00985585" w:rsidRDefault="005C13F9" w:rsidP="0021795B">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UAB Teva Baltics</w:t>
            </w:r>
          </w:p>
          <w:p w:rsidR="005C13F9" w:rsidRPr="00985585" w:rsidRDefault="005C13F9" w:rsidP="0021795B">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Molėtų pl. 5,</w:t>
            </w:r>
          </w:p>
          <w:p w:rsidR="005C13F9" w:rsidRPr="00985585" w:rsidRDefault="005C13F9" w:rsidP="0021795B">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LT-08409 Vilnius</w:t>
            </w:r>
          </w:p>
          <w:p w:rsidR="005C13F9" w:rsidRPr="00985585" w:rsidRDefault="005C13F9" w:rsidP="0021795B">
            <w:pPr>
              <w:spacing w:after="0" w:line="240" w:lineRule="auto"/>
              <w:rPr>
                <w:rFonts w:ascii="Times New Roman" w:eastAsia="Times New Roman" w:hAnsi="Times New Roman" w:cs="Times New Roman"/>
                <w:kern w:val="0"/>
                <w:sz w:val="22"/>
                <w:szCs w:val="22"/>
                <w:lang w:eastAsia="lt-LT"/>
                <w14:ligatures w14:val="none"/>
              </w:rPr>
            </w:pPr>
            <w:r w:rsidRPr="00985585">
              <w:rPr>
                <w:rFonts w:ascii="Times New Roman" w:eastAsia="Times New Roman" w:hAnsi="Times New Roman" w:cs="Times New Roman"/>
                <w:kern w:val="0"/>
                <w:sz w:val="22"/>
                <w:szCs w:val="22"/>
                <w:lang w:eastAsia="lt-LT"/>
                <w14:ligatures w14:val="none"/>
              </w:rPr>
              <w:t>Tel. +370 5 266 02 03</w:t>
            </w:r>
          </w:p>
          <w:p w:rsidR="005C13F9" w:rsidRPr="00985585" w:rsidRDefault="005C13F9" w:rsidP="0021795B">
            <w:pPr>
              <w:spacing w:after="0" w:line="240" w:lineRule="auto"/>
              <w:jc w:val="center"/>
              <w:rPr>
                <w:rFonts w:ascii="Times New Roman" w:eastAsia="Times New Roman" w:hAnsi="Times New Roman" w:cs="Times New Roman"/>
                <w:kern w:val="0"/>
                <w:sz w:val="22"/>
                <w:szCs w:val="20"/>
                <w:lang w:eastAsia="lt-LT"/>
                <w14:ligatures w14:val="none"/>
              </w:rPr>
            </w:pPr>
          </w:p>
        </w:tc>
      </w:tr>
    </w:tbl>
    <w:p w:rsidR="005C13F9" w:rsidRPr="00985585" w:rsidRDefault="005C13F9" w:rsidP="005C13F9">
      <w:pPr>
        <w:spacing w:after="0" w:line="240" w:lineRule="auto"/>
        <w:rPr>
          <w:rFonts w:ascii="Times New Roman" w:eastAsia="Times New Roman" w:hAnsi="Times New Roman" w:cs="Times New Roman"/>
          <w:kern w:val="0"/>
          <w:sz w:val="22"/>
          <w:szCs w:val="22"/>
          <w14:ligatures w14:val="none"/>
        </w:rPr>
      </w:pPr>
    </w:p>
    <w:p w:rsidR="005C13F9" w:rsidRPr="00985585" w:rsidRDefault="005C13F9" w:rsidP="005C13F9">
      <w:pPr>
        <w:spacing w:after="0" w:line="240" w:lineRule="auto"/>
        <w:rPr>
          <w:rFonts w:ascii="Times New Roman" w:eastAsia="Times New Roman" w:hAnsi="Times New Roman" w:cs="Times New Roman"/>
          <w:b/>
          <w:kern w:val="0"/>
          <w:sz w:val="22"/>
          <w:szCs w:val="22"/>
          <w14:ligatures w14:val="none"/>
        </w:rPr>
      </w:pPr>
      <w:r w:rsidRPr="00985585">
        <w:rPr>
          <w:rFonts w:ascii="Times New Roman" w:eastAsia="Times New Roman" w:hAnsi="Times New Roman" w:cs="Times New Roman"/>
          <w:b/>
          <w:bCs/>
          <w:kern w:val="0"/>
          <w:sz w:val="22"/>
          <w:szCs w:val="22"/>
          <w14:ligatures w14:val="none"/>
        </w:rPr>
        <w:t>Šis pakuotės lapelis</w:t>
      </w:r>
      <w:r w:rsidRPr="00985585">
        <w:rPr>
          <w:rFonts w:ascii="Times New Roman" w:eastAsia="Times New Roman" w:hAnsi="Times New Roman" w:cs="Times New Roman"/>
          <w:b/>
          <w:kern w:val="0"/>
          <w:sz w:val="22"/>
          <w:szCs w:val="22"/>
          <w14:ligatures w14:val="none"/>
        </w:rPr>
        <w:t xml:space="preserve"> paskutinį kartą peržiūrėtas</w:t>
      </w:r>
      <w:r>
        <w:rPr>
          <w:rFonts w:ascii="Times New Roman" w:eastAsia="Times New Roman" w:hAnsi="Times New Roman" w:cs="Times New Roman"/>
          <w:b/>
          <w:kern w:val="0"/>
          <w:sz w:val="22"/>
          <w:szCs w:val="22"/>
          <w14:ligatures w14:val="none"/>
        </w:rPr>
        <w:t xml:space="preserve"> 2024-12-19.</w:t>
      </w: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Pr="00985585" w:rsidRDefault="005C13F9" w:rsidP="005C13F9">
      <w:pPr>
        <w:spacing w:after="0" w:line="240" w:lineRule="auto"/>
        <w:rPr>
          <w:rFonts w:ascii="Times New Roman" w:eastAsia="Times New Roman" w:hAnsi="Times New Roman" w:cs="Times New Roman"/>
          <w:snapToGrid w:val="0"/>
          <w:kern w:val="0"/>
          <w:sz w:val="22"/>
          <w:szCs w:val="20"/>
          <w:lang w:eastAsia="lt-LT"/>
          <w14:ligatures w14:val="none"/>
        </w:rPr>
      </w:pPr>
      <w:r w:rsidRPr="00985585">
        <w:rPr>
          <w:rFonts w:ascii="Times New Roman" w:eastAsia="Times New Roman" w:hAnsi="Times New Roman" w:cs="Times New Roman"/>
          <w:snapToGrid w:val="0"/>
          <w:kern w:val="0"/>
          <w:sz w:val="22"/>
          <w:szCs w:val="20"/>
          <w:lang w:eastAsia="lt-LT"/>
          <w14:ligatures w14:val="none"/>
        </w:rPr>
        <w:t xml:space="preserve">Išsami informacija apie šį </w:t>
      </w:r>
      <w:r w:rsidRPr="00985585">
        <w:rPr>
          <w:rFonts w:ascii="Times New Roman" w:eastAsia="Times New Roman" w:hAnsi="Times New Roman" w:cs="Times New Roman"/>
          <w:snapToGrid w:val="0"/>
          <w:kern w:val="0"/>
          <w:sz w:val="22"/>
          <w:lang w:eastAsia="lt-LT"/>
          <w14:ligatures w14:val="none"/>
        </w:rPr>
        <w:t>vaistą</w:t>
      </w:r>
      <w:r w:rsidRPr="00985585">
        <w:rPr>
          <w:rFonts w:ascii="Times New Roman" w:eastAsia="Times New Roman" w:hAnsi="Times New Roman" w:cs="Times New Roman"/>
          <w:snapToGrid w:val="0"/>
          <w:kern w:val="0"/>
          <w:sz w:val="22"/>
          <w:szCs w:val="20"/>
          <w:lang w:eastAsia="lt-LT"/>
          <w14:ligatures w14:val="none"/>
        </w:rPr>
        <w:t xml:space="preserve"> pateikiama Valstybinės vaistų kontrolės tarnybos prie Lietuvos Respublikos sveikatos apsaugos ministerijos tinklalapyje</w:t>
      </w:r>
      <w:r w:rsidRPr="00985585">
        <w:rPr>
          <w:rFonts w:ascii="Times New Roman" w:eastAsia="Times New Roman" w:hAnsi="Times New Roman" w:cs="Times New Roman"/>
          <w:i/>
          <w:snapToGrid w:val="0"/>
          <w:kern w:val="0"/>
          <w:sz w:val="22"/>
          <w:lang w:eastAsia="lt-LT"/>
          <w14:ligatures w14:val="none"/>
        </w:rPr>
        <w:t xml:space="preserve"> </w:t>
      </w:r>
      <w:r>
        <w:rPr>
          <w:color w:val="0000EE"/>
          <w:sz w:val="22"/>
          <w:szCs w:val="22"/>
          <w:u w:val="single"/>
          <w:lang w:eastAsia="lt-LT"/>
        </w:rPr>
        <w:t>https://vvkt.lrv.lt/lt/</w:t>
      </w:r>
      <w:r>
        <w:rPr>
          <w:sz w:val="22"/>
          <w:szCs w:val="22"/>
          <w:lang w:eastAsia="lt-LT"/>
        </w:rPr>
        <w:t>.</w:t>
      </w:r>
    </w:p>
    <w:p w:rsidR="005C13F9" w:rsidRPr="00985585" w:rsidRDefault="005C13F9" w:rsidP="005C13F9">
      <w:pPr>
        <w:spacing w:after="0" w:line="240" w:lineRule="auto"/>
        <w:rPr>
          <w:rFonts w:ascii="Times New Roman" w:eastAsia="Times New Roman" w:hAnsi="Times New Roman" w:cs="Times New Roman"/>
          <w:kern w:val="0"/>
          <w:sz w:val="22"/>
          <w:szCs w:val="22"/>
          <w:lang w:eastAsia="lt-LT"/>
          <w14:ligatures w14:val="none"/>
        </w:rPr>
      </w:pPr>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bookmarkStart w:id="0" w:name="_GoBack"/>
      <w:bookmarkEnd w:id="0"/>
    </w:p>
    <w:p w:rsidR="005C13F9" w:rsidRPr="00985585" w:rsidRDefault="005C13F9" w:rsidP="005C13F9">
      <w:pPr>
        <w:spacing w:after="0" w:line="240" w:lineRule="auto"/>
        <w:rPr>
          <w:rFonts w:ascii="Times New Roman" w:eastAsia="Times New Roman" w:hAnsi="Times New Roman" w:cs="Times New Roman"/>
          <w:kern w:val="0"/>
          <w:sz w:val="22"/>
          <w:szCs w:val="20"/>
          <w:lang w:eastAsia="lt-LT"/>
          <w14:ligatures w14:val="none"/>
        </w:rPr>
      </w:pPr>
    </w:p>
    <w:p w:rsidR="005C13F9" w:rsidRDefault="005C13F9" w:rsidP="005C13F9"/>
    <w:p w:rsidR="00BA6577" w:rsidRDefault="00BA6577"/>
    <w:sectPr w:rsidR="00BA6577" w:rsidSect="00985585">
      <w:headerReference w:type="default" r:id="rId5"/>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18" w:rsidRPr="00985585" w:rsidRDefault="005C13F9">
    <w:pPr>
      <w:pStyle w:val="Porat"/>
      <w:framePr w:wrap="around" w:vAnchor="text" w:hAnchor="margin" w:xAlign="right" w:y="1"/>
      <w:rPr>
        <w:rStyle w:val="Puslapionumeris"/>
      </w:rPr>
    </w:pPr>
    <w:r w:rsidRPr="00985585">
      <w:rPr>
        <w:rStyle w:val="Puslapionumeris"/>
      </w:rPr>
      <w:fldChar w:fldCharType="begin"/>
    </w:r>
    <w:r w:rsidRPr="00985585">
      <w:rPr>
        <w:rStyle w:val="Puslapionumeris"/>
      </w:rPr>
      <w:instrText xml:space="preserve">PAGE  </w:instrText>
    </w:r>
    <w:r w:rsidRPr="00985585">
      <w:rPr>
        <w:rStyle w:val="Puslapionumeris"/>
      </w:rPr>
      <w:fldChar w:fldCharType="separate"/>
    </w:r>
    <w:r w:rsidRPr="00985585">
      <w:rPr>
        <w:rStyle w:val="Puslapionumeris"/>
        <w:noProof/>
      </w:rPr>
      <w:t>1</w:t>
    </w:r>
    <w:r w:rsidRPr="00985585">
      <w:rPr>
        <w:rStyle w:val="Puslapionumeris"/>
      </w:rPr>
      <w:fldChar w:fldCharType="end"/>
    </w:r>
  </w:p>
  <w:p w:rsidR="00650918" w:rsidRDefault="005C13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18" w:rsidRPr="00985585" w:rsidRDefault="005C13F9">
    <w:pPr>
      <w:pStyle w:val="Porat"/>
      <w:framePr w:wrap="around" w:vAnchor="text" w:hAnchor="margin" w:xAlign="right" w:y="1"/>
      <w:rPr>
        <w:rStyle w:val="Puslapionumeris"/>
      </w:rPr>
    </w:pPr>
    <w:r w:rsidRPr="00985585">
      <w:rPr>
        <w:rStyle w:val="Puslapionumeris"/>
      </w:rPr>
      <w:fldChar w:fldCharType="begin"/>
    </w:r>
    <w:r w:rsidRPr="00985585">
      <w:rPr>
        <w:rStyle w:val="Puslapionumeris"/>
      </w:rPr>
      <w:instrText xml:space="preserve">PAGE  </w:instrText>
    </w:r>
    <w:r w:rsidRPr="00985585">
      <w:rPr>
        <w:rStyle w:val="Puslapionumeris"/>
      </w:rPr>
      <w:fldChar w:fldCharType="separate"/>
    </w:r>
    <w:r>
      <w:rPr>
        <w:rStyle w:val="Puslapionumeris"/>
        <w:noProof/>
      </w:rPr>
      <w:t>6</w:t>
    </w:r>
    <w:r w:rsidRPr="00985585">
      <w:rPr>
        <w:rStyle w:val="Puslapionumeris"/>
      </w:rPr>
      <w:fldChar w:fldCharType="end"/>
    </w:r>
  </w:p>
  <w:p w:rsidR="00650918" w:rsidRDefault="005C13F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9C1" w:rsidRDefault="005C13F9" w:rsidP="0051043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CEB06DB"/>
    <w:multiLevelType w:val="hybridMultilevel"/>
    <w:tmpl w:val="565805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058D8"/>
    <w:multiLevelType w:val="hybridMultilevel"/>
    <w:tmpl w:val="198463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640FBE"/>
    <w:multiLevelType w:val="hybridMultilevel"/>
    <w:tmpl w:val="440E4E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F9"/>
    <w:rsid w:val="00072F85"/>
    <w:rsid w:val="000A5E72"/>
    <w:rsid w:val="000A7B60"/>
    <w:rsid w:val="00181364"/>
    <w:rsid w:val="002945D9"/>
    <w:rsid w:val="00305C48"/>
    <w:rsid w:val="003362C6"/>
    <w:rsid w:val="00497D4D"/>
    <w:rsid w:val="005C13F9"/>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29D45-3882-41F5-B831-604DA95E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13F9"/>
    <w:pPr>
      <w:spacing w:line="278" w:lineRule="auto"/>
    </w:pPr>
    <w:rPr>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C13F9"/>
    <w:pPr>
      <w:tabs>
        <w:tab w:val="center" w:pos="4153"/>
        <w:tab w:val="right" w:pos="8306"/>
      </w:tabs>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PoratDiagrama">
    <w:name w:val="Poraštė Diagrama"/>
    <w:basedOn w:val="Numatytasispastraiposriftas"/>
    <w:link w:val="Porat"/>
    <w:rsid w:val="005C13F9"/>
    <w:rPr>
      <w:rFonts w:ascii="Times New Roman" w:eastAsia="Times New Roman" w:hAnsi="Times New Roman" w:cs="Times New Roman"/>
      <w:szCs w:val="20"/>
      <w:lang w:eastAsia="lt-LT"/>
    </w:rPr>
  </w:style>
  <w:style w:type="character" w:styleId="Puslapionumeris">
    <w:name w:val="page number"/>
    <w:basedOn w:val="Numatytasispastraiposriftas"/>
    <w:rsid w:val="005C13F9"/>
  </w:style>
  <w:style w:type="paragraph" w:styleId="Antrats">
    <w:name w:val="header"/>
    <w:basedOn w:val="prastasis"/>
    <w:link w:val="AntratsDiagrama"/>
    <w:rsid w:val="005C13F9"/>
    <w:pPr>
      <w:tabs>
        <w:tab w:val="center" w:pos="4819"/>
        <w:tab w:val="right" w:pos="9638"/>
      </w:tabs>
      <w:spacing w:after="0" w:line="240" w:lineRule="auto"/>
    </w:pPr>
    <w:rPr>
      <w:rFonts w:ascii="Times New Roman" w:eastAsia="Times New Roman" w:hAnsi="Times New Roman" w:cs="Times New Roman"/>
      <w:kern w:val="0"/>
      <w:sz w:val="22"/>
      <w:szCs w:val="20"/>
      <w:lang w:eastAsia="lt-LT"/>
      <w14:ligatures w14:val="none"/>
    </w:rPr>
  </w:style>
  <w:style w:type="character" w:customStyle="1" w:styleId="AntratsDiagrama">
    <w:name w:val="Antraštės Diagrama"/>
    <w:basedOn w:val="Numatytasispastraiposriftas"/>
    <w:link w:val="Antrats"/>
    <w:rsid w:val="005C13F9"/>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9760</Words>
  <Characters>5564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2025-03-24T09:39:00Z</dcterms:created>
  <dcterms:modified xsi:type="dcterms:W3CDTF">2025-03-24T09:39:00Z</dcterms:modified>
</cp:coreProperties>
</file>