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9DE" w:rsidRPr="0091616D" w:rsidRDefault="009419DE" w:rsidP="009419DE">
      <w:pPr>
        <w:tabs>
          <w:tab w:val="left" w:pos="567"/>
        </w:tabs>
        <w:jc w:val="center"/>
        <w:rPr>
          <w:b/>
          <w:szCs w:val="22"/>
        </w:rPr>
      </w:pPr>
      <w:r w:rsidRPr="0091616D">
        <w:rPr>
          <w:b/>
          <w:szCs w:val="22"/>
        </w:rPr>
        <w:t>Pakuotės lapelis: informacija vartotojui</w:t>
      </w:r>
    </w:p>
    <w:p w:rsidR="009419DE" w:rsidRPr="0091616D" w:rsidRDefault="009419DE" w:rsidP="009419DE">
      <w:pPr>
        <w:tabs>
          <w:tab w:val="left" w:pos="567"/>
        </w:tabs>
        <w:jc w:val="center"/>
        <w:rPr>
          <w:b/>
          <w:szCs w:val="22"/>
        </w:rPr>
      </w:pPr>
    </w:p>
    <w:p w:rsidR="009419DE" w:rsidRPr="0091616D" w:rsidRDefault="009419DE" w:rsidP="009419DE">
      <w:pPr>
        <w:tabs>
          <w:tab w:val="left" w:pos="567"/>
        </w:tabs>
        <w:jc w:val="center"/>
        <w:rPr>
          <w:b/>
          <w:szCs w:val="22"/>
        </w:rPr>
      </w:pPr>
      <w:r w:rsidRPr="0091616D">
        <w:rPr>
          <w:b/>
          <w:szCs w:val="22"/>
        </w:rPr>
        <w:t>PERSEN FORTE kietosios kapsulės</w:t>
      </w:r>
    </w:p>
    <w:p w:rsidR="009419DE" w:rsidRPr="0091616D" w:rsidRDefault="009419DE" w:rsidP="009419DE">
      <w:pPr>
        <w:jc w:val="center"/>
        <w:rPr>
          <w:bCs/>
          <w:szCs w:val="22"/>
        </w:rPr>
      </w:pPr>
      <w:r>
        <w:rPr>
          <w:bCs/>
          <w:szCs w:val="22"/>
        </w:rPr>
        <w:t>v</w:t>
      </w:r>
      <w:r w:rsidRPr="0091616D">
        <w:rPr>
          <w:bCs/>
          <w:szCs w:val="22"/>
        </w:rPr>
        <w:t xml:space="preserve">alerijonų  sausasis </w:t>
      </w:r>
      <w:r w:rsidRPr="0091616D">
        <w:rPr>
          <w:szCs w:val="22"/>
        </w:rPr>
        <w:t xml:space="preserve">alkoholinis </w:t>
      </w:r>
      <w:r w:rsidRPr="0091616D">
        <w:rPr>
          <w:bCs/>
          <w:szCs w:val="22"/>
        </w:rPr>
        <w:t>ekstraktas, melisų lapų</w:t>
      </w:r>
    </w:p>
    <w:p w:rsidR="009419DE" w:rsidRPr="0091616D" w:rsidRDefault="009419DE" w:rsidP="009419DE">
      <w:pPr>
        <w:jc w:val="center"/>
        <w:rPr>
          <w:bCs/>
          <w:szCs w:val="22"/>
        </w:rPr>
      </w:pPr>
      <w:r w:rsidRPr="0091616D">
        <w:rPr>
          <w:bCs/>
          <w:szCs w:val="22"/>
        </w:rPr>
        <w:t>sausasis ekstraktas, pipirmėčių lapų sausasis ekstraktas</w:t>
      </w:r>
    </w:p>
    <w:p w:rsidR="009419DE" w:rsidRPr="0091616D" w:rsidRDefault="009419DE" w:rsidP="009419DE">
      <w:pPr>
        <w:tabs>
          <w:tab w:val="left" w:pos="567"/>
        </w:tabs>
        <w:jc w:val="center"/>
        <w:rPr>
          <w:b/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>Atidžiai perskaitykite visą šį lapelį, prieš pradėdami vartoti šį vaistą, nes jame pateikiama Jums svarbi informacija.</w:t>
      </w:r>
    </w:p>
    <w:p w:rsidR="009419DE" w:rsidRPr="0091616D" w:rsidRDefault="009419DE" w:rsidP="009419DE">
      <w:pPr>
        <w:widowControl w:val="0"/>
        <w:tabs>
          <w:tab w:val="left" w:pos="567"/>
        </w:tabs>
        <w:suppressAutoHyphens/>
        <w:rPr>
          <w:rFonts w:eastAsia="Lucida Sans Unicode"/>
          <w:szCs w:val="22"/>
          <w:lang w:eastAsia="en-US"/>
        </w:rPr>
      </w:pPr>
      <w:r w:rsidRPr="0091616D">
        <w:rPr>
          <w:rFonts w:eastAsia="Lucida Sans Unicode"/>
          <w:szCs w:val="22"/>
          <w:lang w:eastAsia="en-US"/>
        </w:rPr>
        <w:t>Visada vartokite šį vaistą tiksliai kaip aprašyta šiame lapelyje arba kaip nurodė gydytojas arba vaistininkas.</w:t>
      </w:r>
    </w:p>
    <w:p w:rsidR="009419DE" w:rsidRPr="0091616D" w:rsidRDefault="009419DE" w:rsidP="009419DE">
      <w:pPr>
        <w:numPr>
          <w:ilvl w:val="0"/>
          <w:numId w:val="1"/>
        </w:numPr>
        <w:tabs>
          <w:tab w:val="left" w:pos="567"/>
        </w:tabs>
        <w:rPr>
          <w:szCs w:val="22"/>
        </w:rPr>
      </w:pPr>
      <w:r w:rsidRPr="0091616D">
        <w:rPr>
          <w:szCs w:val="22"/>
        </w:rPr>
        <w:t>Neišmeskite šio lapelio, nes vėl gali prireikti jį perskaityti.</w:t>
      </w:r>
    </w:p>
    <w:p w:rsidR="009419DE" w:rsidRPr="0091616D" w:rsidRDefault="009419DE" w:rsidP="009419DE">
      <w:pPr>
        <w:numPr>
          <w:ilvl w:val="0"/>
          <w:numId w:val="1"/>
        </w:numPr>
        <w:tabs>
          <w:tab w:val="left" w:pos="567"/>
        </w:tabs>
        <w:rPr>
          <w:szCs w:val="22"/>
        </w:rPr>
      </w:pPr>
      <w:r w:rsidRPr="0091616D">
        <w:rPr>
          <w:szCs w:val="22"/>
        </w:rPr>
        <w:t>Jeigu norite sužinoti daugiau arba pasitarti, kreipkitės į vaistininką.</w:t>
      </w:r>
    </w:p>
    <w:p w:rsidR="009419DE" w:rsidRPr="0091616D" w:rsidRDefault="009419DE" w:rsidP="009419DE">
      <w:pPr>
        <w:numPr>
          <w:ilvl w:val="0"/>
          <w:numId w:val="1"/>
        </w:numPr>
        <w:tabs>
          <w:tab w:val="left" w:pos="567"/>
        </w:tabs>
        <w:rPr>
          <w:szCs w:val="22"/>
        </w:rPr>
      </w:pPr>
      <w:r w:rsidRPr="0091616D">
        <w:rPr>
          <w:szCs w:val="22"/>
        </w:rPr>
        <w:t>Jeigu pasireiškė šalutinis poveikis (net jeigu jis šiame lapelyje nenurodytas), kreipkitės į gydytoją arba vaistininką. Žr. 4 skyrių.</w:t>
      </w:r>
    </w:p>
    <w:p w:rsidR="009419DE" w:rsidRPr="0091616D" w:rsidRDefault="009419DE" w:rsidP="009419DE">
      <w:pPr>
        <w:numPr>
          <w:ilvl w:val="0"/>
          <w:numId w:val="1"/>
        </w:numPr>
        <w:tabs>
          <w:tab w:val="left" w:pos="567"/>
        </w:tabs>
        <w:rPr>
          <w:szCs w:val="22"/>
        </w:rPr>
      </w:pPr>
      <w:r w:rsidRPr="0091616D">
        <w:rPr>
          <w:szCs w:val="22"/>
        </w:rPr>
        <w:t>Jeigu per 14 dienų Jūsų savijauta nepagerėjo arba net pablogėjo, kreipkitės į gydytoją.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Default="009419DE" w:rsidP="009419DE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>Apie ką rašoma šiame lapelyje?</w:t>
      </w:r>
    </w:p>
    <w:p w:rsidR="009419DE" w:rsidRPr="0091616D" w:rsidRDefault="009419DE" w:rsidP="009419DE">
      <w:pPr>
        <w:tabs>
          <w:tab w:val="left" w:pos="567"/>
        </w:tabs>
        <w:rPr>
          <w:b/>
          <w:szCs w:val="22"/>
        </w:rPr>
      </w:pPr>
    </w:p>
    <w:p w:rsidR="009419DE" w:rsidRPr="0091616D" w:rsidRDefault="009419DE" w:rsidP="009419DE">
      <w:pPr>
        <w:tabs>
          <w:tab w:val="left" w:pos="567"/>
        </w:tabs>
        <w:ind w:left="540" w:hanging="540"/>
        <w:rPr>
          <w:szCs w:val="22"/>
        </w:rPr>
      </w:pPr>
      <w:r w:rsidRPr="0091616D">
        <w:rPr>
          <w:szCs w:val="22"/>
        </w:rPr>
        <w:t>1.</w:t>
      </w:r>
      <w:r w:rsidRPr="0091616D">
        <w:rPr>
          <w:szCs w:val="22"/>
        </w:rPr>
        <w:tab/>
        <w:t>Kas yra PERSEN FORTE ir kam jis vartojamas</w:t>
      </w:r>
    </w:p>
    <w:p w:rsidR="009419DE" w:rsidRPr="0091616D" w:rsidRDefault="009419DE" w:rsidP="009419DE">
      <w:pPr>
        <w:tabs>
          <w:tab w:val="left" w:pos="567"/>
        </w:tabs>
        <w:ind w:left="540" w:hanging="540"/>
        <w:rPr>
          <w:szCs w:val="22"/>
        </w:rPr>
      </w:pPr>
      <w:r w:rsidRPr="0091616D">
        <w:rPr>
          <w:szCs w:val="22"/>
        </w:rPr>
        <w:t>2.</w:t>
      </w:r>
      <w:r w:rsidRPr="0091616D">
        <w:rPr>
          <w:szCs w:val="22"/>
        </w:rPr>
        <w:tab/>
        <w:t>Kas žinotina prieš vartojant PERSEN FORTE</w:t>
      </w:r>
    </w:p>
    <w:p w:rsidR="009419DE" w:rsidRPr="0091616D" w:rsidRDefault="009419DE" w:rsidP="009419DE">
      <w:pPr>
        <w:tabs>
          <w:tab w:val="left" w:pos="567"/>
        </w:tabs>
        <w:ind w:left="540" w:hanging="540"/>
        <w:rPr>
          <w:szCs w:val="22"/>
        </w:rPr>
      </w:pPr>
      <w:r w:rsidRPr="0091616D">
        <w:rPr>
          <w:szCs w:val="22"/>
        </w:rPr>
        <w:t>3.</w:t>
      </w:r>
      <w:r w:rsidRPr="0091616D">
        <w:rPr>
          <w:szCs w:val="22"/>
        </w:rPr>
        <w:tab/>
        <w:t>Kaip vartoti PERSEN FORTE</w:t>
      </w:r>
    </w:p>
    <w:p w:rsidR="009419DE" w:rsidRPr="0091616D" w:rsidRDefault="009419DE" w:rsidP="009419DE">
      <w:pPr>
        <w:tabs>
          <w:tab w:val="left" w:pos="567"/>
        </w:tabs>
        <w:ind w:left="540" w:hanging="540"/>
        <w:rPr>
          <w:szCs w:val="22"/>
        </w:rPr>
      </w:pPr>
      <w:r w:rsidRPr="0091616D">
        <w:rPr>
          <w:szCs w:val="22"/>
        </w:rPr>
        <w:t>4.</w:t>
      </w:r>
      <w:r w:rsidRPr="0091616D">
        <w:rPr>
          <w:szCs w:val="22"/>
        </w:rPr>
        <w:tab/>
        <w:t>Galimas šalutinis poveikis</w:t>
      </w:r>
    </w:p>
    <w:p w:rsidR="009419DE" w:rsidRPr="0091616D" w:rsidRDefault="009419DE" w:rsidP="009419DE">
      <w:pPr>
        <w:tabs>
          <w:tab w:val="left" w:pos="567"/>
        </w:tabs>
        <w:ind w:left="540" w:hanging="540"/>
        <w:rPr>
          <w:szCs w:val="22"/>
        </w:rPr>
      </w:pPr>
      <w:r w:rsidRPr="0091616D">
        <w:rPr>
          <w:szCs w:val="22"/>
        </w:rPr>
        <w:t>5.</w:t>
      </w:r>
      <w:r w:rsidRPr="0091616D">
        <w:rPr>
          <w:szCs w:val="22"/>
        </w:rPr>
        <w:tab/>
        <w:t>Kaip laikyti PERSEN FORTE</w:t>
      </w:r>
    </w:p>
    <w:p w:rsidR="009419DE" w:rsidRPr="0091616D" w:rsidRDefault="009419DE" w:rsidP="009419DE">
      <w:pPr>
        <w:tabs>
          <w:tab w:val="left" w:pos="567"/>
        </w:tabs>
        <w:ind w:left="540" w:hanging="540"/>
        <w:rPr>
          <w:szCs w:val="22"/>
        </w:rPr>
      </w:pPr>
      <w:r w:rsidRPr="0091616D">
        <w:rPr>
          <w:szCs w:val="22"/>
        </w:rPr>
        <w:t>6.</w:t>
      </w:r>
      <w:r w:rsidRPr="0091616D">
        <w:rPr>
          <w:szCs w:val="22"/>
        </w:rPr>
        <w:tab/>
        <w:t>Pakuotės turinys ir kita informacija</w:t>
      </w:r>
    </w:p>
    <w:p w:rsidR="009419DE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keepNext/>
        <w:numPr>
          <w:ilvl w:val="0"/>
          <w:numId w:val="2"/>
        </w:numPr>
        <w:tabs>
          <w:tab w:val="left" w:pos="567"/>
        </w:tabs>
        <w:ind w:left="567" w:hanging="567"/>
        <w:outlineLvl w:val="0"/>
        <w:rPr>
          <w:b/>
          <w:szCs w:val="22"/>
        </w:rPr>
      </w:pPr>
      <w:r w:rsidRPr="0091616D">
        <w:rPr>
          <w:b/>
          <w:szCs w:val="22"/>
        </w:rPr>
        <w:t xml:space="preserve">Kas yra PERSEN FORTE ir kam jis vartojamas </w:t>
      </w:r>
    </w:p>
    <w:p w:rsidR="009419DE" w:rsidRPr="0091616D" w:rsidRDefault="009419DE" w:rsidP="009419DE">
      <w:pPr>
        <w:tabs>
          <w:tab w:val="left" w:pos="567"/>
        </w:tabs>
        <w:ind w:left="540" w:hanging="540"/>
        <w:rPr>
          <w:szCs w:val="22"/>
        </w:rPr>
      </w:pPr>
    </w:p>
    <w:p w:rsidR="009419DE" w:rsidRDefault="009419DE" w:rsidP="009419DE">
      <w:r w:rsidRPr="0091616D">
        <w:rPr>
          <w:szCs w:val="22"/>
        </w:rPr>
        <w:t xml:space="preserve">PERSEN FORTE – augalinės kilmės vaistas, sukeliantis švelnų raminamąjį poveikį. Jo sudėtyje yra </w:t>
      </w:r>
      <w:r w:rsidRPr="00DA6A9D">
        <w:rPr>
          <w:szCs w:val="22"/>
        </w:rPr>
        <w:t>valerijonų šaknų, melisos lapų ir pipirmėčių lapų ekstraktų</w:t>
      </w:r>
      <w:r w:rsidRPr="00157649">
        <w:rPr>
          <w:szCs w:val="22"/>
        </w:rPr>
        <w:t>.</w:t>
      </w:r>
      <w:r w:rsidRPr="0091616D">
        <w:rPr>
          <w:szCs w:val="22"/>
        </w:rPr>
        <w:t xml:space="preserve"> Vaistinių valerijonų šakn</w:t>
      </w:r>
      <w:r>
        <w:rPr>
          <w:szCs w:val="22"/>
        </w:rPr>
        <w:t>ų ekstrakte esančios veikliosios medžiagos</w:t>
      </w:r>
      <w:r w:rsidRPr="0091616D">
        <w:rPr>
          <w:szCs w:val="22"/>
        </w:rPr>
        <w:t xml:space="preserve"> sukelia raminamąjį poveikį, mažina nervinės įtampos simptomus ir nemigos atveju padeda užmigti. </w:t>
      </w:r>
      <w:r>
        <w:t>V</w:t>
      </w:r>
      <w:r w:rsidRPr="00883B11">
        <w:t xml:space="preserve">aistinių melisų </w:t>
      </w:r>
      <w:r>
        <w:t>ir p</w:t>
      </w:r>
      <w:r w:rsidRPr="00E84523">
        <w:t xml:space="preserve">ipirmėčių </w:t>
      </w:r>
      <w:r w:rsidRPr="00883B11">
        <w:t>lap</w:t>
      </w:r>
      <w:r>
        <w:t>ų ekstraktuose esančioms</w:t>
      </w:r>
      <w:r w:rsidRPr="00883B11">
        <w:t xml:space="preserve"> </w:t>
      </w:r>
      <w:r>
        <w:t xml:space="preserve">veikliosioms </w:t>
      </w:r>
      <w:r w:rsidRPr="00883B11">
        <w:t>medžiagoms yra būdingas raminamasis poveikis</w:t>
      </w:r>
      <w:r>
        <w:t xml:space="preserve">. </w:t>
      </w:r>
    </w:p>
    <w:p w:rsidR="009419DE" w:rsidRPr="0091616D" w:rsidRDefault="009419DE" w:rsidP="009419DE">
      <w:pPr>
        <w:rPr>
          <w:szCs w:val="22"/>
        </w:rPr>
      </w:pPr>
    </w:p>
    <w:p w:rsidR="009419DE" w:rsidRPr="00E128CD" w:rsidRDefault="009419DE" w:rsidP="009419DE">
      <w:pPr>
        <w:rPr>
          <w:szCs w:val="22"/>
        </w:rPr>
      </w:pPr>
      <w:r w:rsidRPr="0091616D">
        <w:rPr>
          <w:szCs w:val="22"/>
        </w:rPr>
        <w:t xml:space="preserve">PERSEN FORTE </w:t>
      </w:r>
      <w:r w:rsidRPr="00DA6A9D">
        <w:rPr>
          <w:szCs w:val="22"/>
        </w:rPr>
        <w:t>vartojamas laikinos nedidelės nervinės įtampos mažinimui ir (arba) laikinai pasunkėjusio užmigimo lengvinimui</w:t>
      </w:r>
      <w:r w:rsidRPr="00E128CD">
        <w:rPr>
          <w:szCs w:val="22"/>
        </w:rPr>
        <w:t xml:space="preserve">. </w:t>
      </w:r>
    </w:p>
    <w:p w:rsidR="009419DE" w:rsidRPr="00C1351E" w:rsidRDefault="009419DE" w:rsidP="009419DE">
      <w:pPr>
        <w:tabs>
          <w:tab w:val="left" w:pos="567"/>
        </w:tabs>
        <w:ind w:left="180"/>
      </w:pPr>
    </w:p>
    <w:p w:rsidR="009419DE" w:rsidRPr="001C2F8F" w:rsidRDefault="009419DE" w:rsidP="009419DE">
      <w:pPr>
        <w:numPr>
          <w:ilvl w:val="12"/>
          <w:numId w:val="0"/>
        </w:numPr>
        <w:ind w:right="-2"/>
        <w:rPr>
          <w:szCs w:val="24"/>
        </w:rPr>
      </w:pPr>
      <w:r w:rsidRPr="001C2F8F">
        <w:rPr>
          <w:noProof/>
          <w:szCs w:val="24"/>
        </w:rPr>
        <w:t>Jeigu 14 dienų Jūsų savijauta nepagerėjo arba net pablogėjo, kreipkitės į gydytoją.</w:t>
      </w:r>
    </w:p>
    <w:p w:rsidR="009419DE" w:rsidRPr="00E128C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keepNext/>
        <w:numPr>
          <w:ilvl w:val="0"/>
          <w:numId w:val="2"/>
        </w:numPr>
        <w:tabs>
          <w:tab w:val="left" w:pos="567"/>
        </w:tabs>
        <w:ind w:left="567" w:hanging="567"/>
        <w:outlineLvl w:val="1"/>
        <w:rPr>
          <w:b/>
          <w:szCs w:val="22"/>
          <w:lang w:val="de-DE"/>
        </w:rPr>
      </w:pPr>
      <w:r w:rsidRPr="00813C78">
        <w:rPr>
          <w:b/>
          <w:szCs w:val="22"/>
        </w:rPr>
        <w:t>Kas žinotina prieš vartojant</w:t>
      </w:r>
      <w:r w:rsidRPr="0091616D">
        <w:rPr>
          <w:b/>
          <w:szCs w:val="22"/>
          <w:lang w:val="de-DE"/>
        </w:rPr>
        <w:t xml:space="preserve"> PERSEN FORTE</w:t>
      </w:r>
    </w:p>
    <w:p w:rsidR="009419DE" w:rsidRPr="0091616D" w:rsidRDefault="009419DE" w:rsidP="009419DE">
      <w:pPr>
        <w:tabs>
          <w:tab w:val="left" w:pos="567"/>
        </w:tabs>
        <w:rPr>
          <w:szCs w:val="22"/>
          <w:lang w:val="de-DE"/>
        </w:rPr>
      </w:pPr>
    </w:p>
    <w:p w:rsidR="009419DE" w:rsidRPr="0091616D" w:rsidRDefault="009419DE" w:rsidP="009419DE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 xml:space="preserve">PERSEN FORTE vartoti </w:t>
      </w:r>
      <w:r>
        <w:rPr>
          <w:b/>
          <w:szCs w:val="22"/>
        </w:rPr>
        <w:t>draudžiama</w:t>
      </w:r>
      <w:r w:rsidRPr="0091616D">
        <w:rPr>
          <w:b/>
          <w:szCs w:val="22"/>
        </w:rPr>
        <w:t>:</w:t>
      </w:r>
    </w:p>
    <w:p w:rsidR="009419DE" w:rsidRPr="0091616D" w:rsidRDefault="009419DE" w:rsidP="009419DE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91616D">
        <w:rPr>
          <w:szCs w:val="22"/>
        </w:rPr>
        <w:t xml:space="preserve">jeigu yra alergija </w:t>
      </w:r>
      <w:r>
        <w:rPr>
          <w:szCs w:val="22"/>
        </w:rPr>
        <w:t>veikliosioms medžiagoms arba</w:t>
      </w:r>
      <w:r w:rsidRPr="0091616D">
        <w:rPr>
          <w:szCs w:val="22"/>
        </w:rPr>
        <w:t xml:space="preserve"> bet kuriai pagalbinei šio vaisto medžiagai (jos išvardytos 6 skyriuje).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b/>
          <w:bCs/>
          <w:szCs w:val="22"/>
          <w:lang w:eastAsia="en-US"/>
        </w:rPr>
      </w:pPr>
      <w:r w:rsidRPr="0091616D">
        <w:rPr>
          <w:b/>
          <w:bCs/>
          <w:szCs w:val="22"/>
          <w:lang w:eastAsia="en-US"/>
        </w:rPr>
        <w:t>Įspėjimai ir atsargumo priemonės</w:t>
      </w:r>
    </w:p>
    <w:p w:rsidR="009419DE" w:rsidRDefault="009419DE" w:rsidP="009419DE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Pasitarkite su gydytoju arba vaistininku, prieš pradėdami vartoti PERSEN FORTE.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A32D64" w:rsidRDefault="009419DE" w:rsidP="009419DE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Vaikams ir paaugliams</w:t>
      </w:r>
    </w:p>
    <w:p w:rsidR="009419DE" w:rsidRPr="00E128CD" w:rsidRDefault="009419DE" w:rsidP="009419DE">
      <w:pPr>
        <w:tabs>
          <w:tab w:val="left" w:pos="567"/>
        </w:tabs>
      </w:pPr>
      <w:r w:rsidRPr="00C1351E">
        <w:t xml:space="preserve">PERSEN </w:t>
      </w:r>
      <w:r>
        <w:t>nėra skirtas jaunesniems kaip 12 metų vaikams ir paaugliams.</w:t>
      </w:r>
      <w:r w:rsidRPr="0091616D">
        <w:rPr>
          <w:szCs w:val="22"/>
        </w:rPr>
        <w:t xml:space="preserve"> 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>Kiti vaistai ir PERSEN FORTE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Jeigu vartojate arba neseniai vartojote kitų vaistų arba dėl to nesate tikri, apie tai pasakykite gydytojui arba vaistininkui. 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  <w:r>
        <w:rPr>
          <w:szCs w:val="22"/>
        </w:rPr>
        <w:lastRenderedPageBreak/>
        <w:t xml:space="preserve">PERSEN FORTE sąveikos su kitais vaistais nenustatyta. </w:t>
      </w:r>
      <w:r w:rsidRPr="0091616D">
        <w:rPr>
          <w:szCs w:val="22"/>
        </w:rPr>
        <w:t>Vaist</w:t>
      </w:r>
      <w:r>
        <w:rPr>
          <w:szCs w:val="22"/>
        </w:rPr>
        <w:t>o</w:t>
      </w:r>
      <w:r w:rsidRPr="0091616D">
        <w:rPr>
          <w:szCs w:val="22"/>
        </w:rPr>
        <w:t xml:space="preserve"> vartoti kartu su sintetiniais raminamaisiais vaistais </w:t>
      </w:r>
      <w:r>
        <w:rPr>
          <w:szCs w:val="22"/>
        </w:rPr>
        <w:t>nerekomenduojama</w:t>
      </w:r>
      <w:r w:rsidRPr="0091616D">
        <w:rPr>
          <w:szCs w:val="22"/>
        </w:rPr>
        <w:t>.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 xml:space="preserve">PERSEN FORTE vartojimas su </w:t>
      </w:r>
      <w:r>
        <w:rPr>
          <w:b/>
          <w:szCs w:val="22"/>
        </w:rPr>
        <w:t>alkoholiu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Su alkoholiniais gėrimais PERSEN FORTE vartoti nerekomenduojama. 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keepNext/>
        <w:tabs>
          <w:tab w:val="left" w:pos="567"/>
        </w:tabs>
        <w:outlineLvl w:val="0"/>
        <w:rPr>
          <w:b/>
          <w:szCs w:val="22"/>
        </w:rPr>
      </w:pPr>
      <w:r w:rsidRPr="0091616D">
        <w:rPr>
          <w:b/>
          <w:szCs w:val="22"/>
        </w:rPr>
        <w:t>Nėštumas ir žindymo laikotarpis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Šio vaisto saugumas nėštumo ir žindymo laikotarpiu yra nenustatytas. Dėl atsargumo nerekomenduojama vartoti </w:t>
      </w:r>
      <w:r w:rsidRPr="0091616D">
        <w:rPr>
          <w:szCs w:val="22"/>
        </w:rPr>
        <w:t xml:space="preserve">PERSEN FORTE </w:t>
      </w:r>
      <w:r>
        <w:rPr>
          <w:szCs w:val="22"/>
        </w:rPr>
        <w:t>nėštumo ir žindymo laikotarpiais.</w:t>
      </w:r>
      <w:r w:rsidRPr="0091616D">
        <w:rPr>
          <w:szCs w:val="22"/>
        </w:rPr>
        <w:t xml:space="preserve"> </w:t>
      </w:r>
    </w:p>
    <w:p w:rsidR="009419DE" w:rsidRPr="0091616D" w:rsidRDefault="009419DE" w:rsidP="009419DE">
      <w:pPr>
        <w:keepNext/>
        <w:tabs>
          <w:tab w:val="left" w:pos="567"/>
        </w:tabs>
        <w:outlineLvl w:val="0"/>
        <w:rPr>
          <w:b/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>Vairavimas ir mechanizmų valdymas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  <w:r>
        <w:t>PERSEN gebėjimą vairuoti ir valdyti mechanizmus veikia vidutiniškai.</w:t>
      </w:r>
      <w:r w:rsidRPr="0091616D">
        <w:rPr>
          <w:szCs w:val="22"/>
        </w:rPr>
        <w:t xml:space="preserve"> </w:t>
      </w:r>
      <w:r>
        <w:rPr>
          <w:szCs w:val="22"/>
        </w:rPr>
        <w:t>Turite nevairuoti ir nedirbti su įrengimais, jeigu esate paveiktas</w:t>
      </w:r>
      <w:r w:rsidRPr="0091616D">
        <w:rPr>
          <w:szCs w:val="22"/>
        </w:rPr>
        <w:t xml:space="preserve">. 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>PERSEN FORTE sudėtyje yra laktozės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Jeigu gydytojas Jums yra sakęs, kad netoleruojate kokių nors angliavandenių, kreipkitės į jį prieš pradėdami vartoti šį vaistą. 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keepNext/>
        <w:numPr>
          <w:ilvl w:val="0"/>
          <w:numId w:val="2"/>
        </w:numPr>
        <w:tabs>
          <w:tab w:val="left" w:pos="567"/>
        </w:tabs>
        <w:ind w:left="567" w:hanging="567"/>
        <w:outlineLvl w:val="0"/>
        <w:rPr>
          <w:b/>
          <w:szCs w:val="22"/>
        </w:rPr>
      </w:pPr>
      <w:r w:rsidRPr="0091616D">
        <w:rPr>
          <w:b/>
          <w:szCs w:val="22"/>
        </w:rPr>
        <w:t>Kaip vartoti PERSEN FORTE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Visada vartokite šį vaistą tiksliai kaip aprašyta šiame lapelyje arba kaip nurodė gydytojas arba vaistininkas. Jeigu abejojate, kreipkitės į gydytoją arba vaistininką.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A32D64" w:rsidRDefault="009419DE" w:rsidP="009419DE">
      <w:pPr>
        <w:tabs>
          <w:tab w:val="left" w:pos="567"/>
        </w:tabs>
        <w:rPr>
          <w:i/>
          <w:szCs w:val="22"/>
        </w:rPr>
      </w:pPr>
      <w:r w:rsidRPr="00A32D64">
        <w:rPr>
          <w:i/>
          <w:szCs w:val="22"/>
        </w:rPr>
        <w:t xml:space="preserve">Suaugusiesiems ir vyresniems nei 12 metų vaikams: </w:t>
      </w:r>
    </w:p>
    <w:p w:rsidR="009419DE" w:rsidRPr="00D24158" w:rsidRDefault="009419DE" w:rsidP="009419DE">
      <w:pPr>
        <w:numPr>
          <w:ilvl w:val="0"/>
          <w:numId w:val="3"/>
        </w:numPr>
        <w:tabs>
          <w:tab w:val="left" w:pos="567"/>
        </w:tabs>
        <w:contextualSpacing/>
        <w:rPr>
          <w:szCs w:val="22"/>
        </w:rPr>
      </w:pPr>
      <w:r w:rsidRPr="0091616D">
        <w:rPr>
          <w:szCs w:val="22"/>
        </w:rPr>
        <w:t xml:space="preserve">esant nervinei įtampai, rekomenduojama </w:t>
      </w:r>
      <w:r>
        <w:rPr>
          <w:szCs w:val="22"/>
        </w:rPr>
        <w:t>gerti</w:t>
      </w:r>
      <w:r w:rsidRPr="0091616D">
        <w:rPr>
          <w:szCs w:val="22"/>
        </w:rPr>
        <w:t xml:space="preserve"> </w:t>
      </w:r>
      <w:r w:rsidRPr="00D24158">
        <w:rPr>
          <w:szCs w:val="22"/>
        </w:rPr>
        <w:t xml:space="preserve">po </w:t>
      </w:r>
      <w:r w:rsidRPr="00A32D64">
        <w:rPr>
          <w:szCs w:val="22"/>
        </w:rPr>
        <w:t>2 kapsules 2 kartus per parą</w:t>
      </w:r>
      <w:r w:rsidRPr="00D24158">
        <w:rPr>
          <w:szCs w:val="22"/>
        </w:rPr>
        <w:t>;</w:t>
      </w:r>
    </w:p>
    <w:p w:rsidR="009419DE" w:rsidRPr="00D24158" w:rsidRDefault="009419DE" w:rsidP="009419DE">
      <w:pPr>
        <w:numPr>
          <w:ilvl w:val="0"/>
          <w:numId w:val="3"/>
        </w:numPr>
        <w:tabs>
          <w:tab w:val="left" w:pos="567"/>
        </w:tabs>
        <w:rPr>
          <w:szCs w:val="22"/>
        </w:rPr>
      </w:pPr>
      <w:r w:rsidRPr="00D24158">
        <w:rPr>
          <w:szCs w:val="22"/>
        </w:rPr>
        <w:t xml:space="preserve">palengvinti užmigimui, rekomenduojama </w:t>
      </w:r>
      <w:r>
        <w:rPr>
          <w:szCs w:val="22"/>
        </w:rPr>
        <w:t>gerti</w:t>
      </w:r>
      <w:r w:rsidRPr="00D24158">
        <w:rPr>
          <w:szCs w:val="22"/>
        </w:rPr>
        <w:t xml:space="preserve"> po </w:t>
      </w:r>
      <w:r w:rsidRPr="00A32D64">
        <w:rPr>
          <w:szCs w:val="22"/>
        </w:rPr>
        <w:t>2 kapsules 1 valandą prieš miegą</w:t>
      </w:r>
      <w:r w:rsidRPr="00D24158">
        <w:rPr>
          <w:szCs w:val="22"/>
        </w:rPr>
        <w:t>.</w:t>
      </w:r>
    </w:p>
    <w:p w:rsidR="009419DE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Kapsulę reikia nuryti užsigeriant nedideliu kiekiu vandens, nepriklausomai nuo valgymo laiko.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Default="009419DE" w:rsidP="009419DE">
      <w:pPr>
        <w:tabs>
          <w:tab w:val="left" w:pos="567"/>
        </w:tabs>
        <w:rPr>
          <w:szCs w:val="22"/>
        </w:rPr>
      </w:pPr>
      <w:r w:rsidRPr="0091616D">
        <w:rPr>
          <w:bCs/>
          <w:szCs w:val="22"/>
        </w:rPr>
        <w:t xml:space="preserve">PERSEN FORTE pradeda veikti palaipsniui. Kad gydymo veiksmingumas būtų optimalus, vaisto rekomenduojama gerti mažiausiai </w:t>
      </w:r>
      <w:r w:rsidRPr="00A32D64">
        <w:rPr>
          <w:bCs/>
          <w:szCs w:val="22"/>
        </w:rPr>
        <w:t>14 dienų</w:t>
      </w:r>
      <w:r w:rsidRPr="00D24158">
        <w:rPr>
          <w:bCs/>
          <w:szCs w:val="22"/>
        </w:rPr>
        <w:t>.</w:t>
      </w:r>
      <w:r w:rsidRPr="00D24158">
        <w:rPr>
          <w:szCs w:val="22"/>
        </w:rPr>
        <w:t xml:space="preserve"> </w:t>
      </w:r>
      <w:r>
        <w:rPr>
          <w:szCs w:val="22"/>
        </w:rPr>
        <w:t>Gydymo trukmė neribojama.</w:t>
      </w:r>
      <w:r w:rsidRPr="00D24158">
        <w:rPr>
          <w:szCs w:val="22"/>
        </w:rPr>
        <w:t xml:space="preserve"> 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>Ką daryti pavartojus per didelę PERSEN FORTE dozę?</w:t>
      </w:r>
    </w:p>
    <w:p w:rsidR="009419DE" w:rsidRDefault="009419DE" w:rsidP="009419DE">
      <w:pPr>
        <w:rPr>
          <w:szCs w:val="22"/>
        </w:rPr>
      </w:pPr>
      <w:r w:rsidRPr="0091616D">
        <w:rPr>
          <w:szCs w:val="22"/>
        </w:rPr>
        <w:t>Vienkartinė 20 g vaistinių valerijonų šaknų dozė (atitinka maždaug 42 kapsules) gali sukelti nepavojingų simptomų: silpnumą, pilvo raižymą, spaudimą krūtinėje, nerimą, rankų drebėjimą, vyzdžių išsiplėtimą. Šie reiškiniai išnyksta per 24 valandas.</w:t>
      </w:r>
    </w:p>
    <w:p w:rsidR="009419DE" w:rsidRDefault="009419DE" w:rsidP="009419DE">
      <w:pPr>
        <w:rPr>
          <w:szCs w:val="22"/>
        </w:rPr>
      </w:pPr>
    </w:p>
    <w:p w:rsidR="009419DE" w:rsidRPr="00C1351E" w:rsidRDefault="009419DE" w:rsidP="009419DE">
      <w:pPr>
        <w:tabs>
          <w:tab w:val="left" w:pos="567"/>
        </w:tabs>
      </w:pPr>
      <w:r w:rsidRPr="00C1351E">
        <w:t>Pavartojus per didelę dozę, reikia nedelsiant kreiptis į gydytoją</w:t>
      </w:r>
      <w:r>
        <w:t>.</w:t>
      </w:r>
      <w:r w:rsidRPr="00C1351E">
        <w:t xml:space="preserve"> </w:t>
      </w:r>
    </w:p>
    <w:p w:rsidR="009419DE" w:rsidRPr="0091616D" w:rsidRDefault="009419DE" w:rsidP="009419DE">
      <w:pPr>
        <w:rPr>
          <w:b/>
          <w:bCs/>
          <w:szCs w:val="22"/>
          <w:lang w:eastAsia="en-US"/>
        </w:rPr>
      </w:pPr>
    </w:p>
    <w:p w:rsidR="009419DE" w:rsidRPr="0091616D" w:rsidRDefault="009419DE" w:rsidP="009419DE">
      <w:pPr>
        <w:tabs>
          <w:tab w:val="left" w:pos="567"/>
        </w:tabs>
        <w:rPr>
          <w:b/>
          <w:bCs/>
          <w:szCs w:val="22"/>
          <w:lang w:eastAsia="en-US"/>
        </w:rPr>
      </w:pPr>
      <w:r w:rsidRPr="0091616D">
        <w:rPr>
          <w:b/>
          <w:bCs/>
          <w:szCs w:val="22"/>
          <w:lang w:eastAsia="en-US"/>
        </w:rPr>
        <w:t>Pamiršus pavartoti PERSEN FORTE</w:t>
      </w:r>
    </w:p>
    <w:p w:rsidR="009419DE" w:rsidRPr="0091616D" w:rsidRDefault="009419DE" w:rsidP="009419DE">
      <w:pPr>
        <w:widowControl w:val="0"/>
        <w:tabs>
          <w:tab w:val="left" w:pos="567"/>
        </w:tabs>
        <w:suppressAutoHyphens/>
        <w:rPr>
          <w:rFonts w:eastAsia="Lucida Sans Unicode"/>
          <w:szCs w:val="22"/>
          <w:lang w:eastAsia="en-US"/>
        </w:rPr>
      </w:pPr>
      <w:r w:rsidRPr="0091616D">
        <w:rPr>
          <w:rFonts w:eastAsia="Lucida Sans Unicode"/>
          <w:szCs w:val="22"/>
          <w:lang w:eastAsia="en-US"/>
        </w:rPr>
        <w:t>Pamiršus pavartoti kapsulių, jų reikia išgerti kiek galima greičiau, tačiau jeigu yra beveik laikas gerti kitą dozę, pamirštą dozę reikia praleisti ir toliau vaisto vartoti taip, kaip įprasta.</w:t>
      </w:r>
    </w:p>
    <w:p w:rsidR="009419DE" w:rsidRPr="0091616D" w:rsidRDefault="009419DE" w:rsidP="009419DE">
      <w:pPr>
        <w:widowControl w:val="0"/>
        <w:tabs>
          <w:tab w:val="left" w:pos="567"/>
        </w:tabs>
        <w:suppressAutoHyphens/>
        <w:rPr>
          <w:rFonts w:eastAsia="Lucida Sans Unicode"/>
          <w:szCs w:val="22"/>
          <w:lang w:eastAsia="en-US"/>
        </w:rPr>
      </w:pPr>
      <w:r w:rsidRPr="0091616D">
        <w:rPr>
          <w:rFonts w:eastAsia="Lucida Sans Unicode"/>
          <w:szCs w:val="22"/>
          <w:lang w:eastAsia="en-US"/>
        </w:rPr>
        <w:t>Negalima vartoti dvigubos dozės norint kompensuoti praleistą dozę.</w:t>
      </w:r>
    </w:p>
    <w:p w:rsidR="009419DE" w:rsidRDefault="009419DE" w:rsidP="009419DE">
      <w:pPr>
        <w:tabs>
          <w:tab w:val="left" w:pos="567"/>
        </w:tabs>
        <w:rPr>
          <w:szCs w:val="22"/>
        </w:rPr>
      </w:pPr>
    </w:p>
    <w:p w:rsidR="009419DE" w:rsidRDefault="009419DE" w:rsidP="009419DE">
      <w:pPr>
        <w:tabs>
          <w:tab w:val="left" w:pos="567"/>
        </w:tabs>
        <w:rPr>
          <w:szCs w:val="22"/>
        </w:rPr>
      </w:pPr>
      <w:r w:rsidRPr="00B34FA1">
        <w:rPr>
          <w:noProof/>
          <w:szCs w:val="24"/>
        </w:rPr>
        <w:t>Jeigu kiltų daugiau klausimų dėl šio vaisto vartojimo, kreipkitės į gydytoją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vaistininką</w:t>
      </w:r>
      <w:r>
        <w:rPr>
          <w:noProof/>
          <w:szCs w:val="24"/>
        </w:rPr>
        <w:t>.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keepNext/>
        <w:numPr>
          <w:ilvl w:val="0"/>
          <w:numId w:val="2"/>
        </w:numPr>
        <w:tabs>
          <w:tab w:val="left" w:pos="567"/>
        </w:tabs>
        <w:ind w:left="567" w:hanging="567"/>
        <w:outlineLvl w:val="0"/>
        <w:rPr>
          <w:b/>
          <w:szCs w:val="22"/>
        </w:rPr>
      </w:pPr>
      <w:r w:rsidRPr="0091616D">
        <w:rPr>
          <w:b/>
          <w:szCs w:val="22"/>
        </w:rPr>
        <w:t>Galimas šalutinis poveikis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Šis vaistas, kaip ir visi kiti, gali sukelti šalutinį poveikį, nors jis pasireiškia ne visiems žmonėms. 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855B7D" w:rsidRDefault="009419DE" w:rsidP="009419DE">
      <w:pPr>
        <w:tabs>
          <w:tab w:val="left" w:pos="567"/>
        </w:tabs>
        <w:rPr>
          <w:b/>
          <w:bCs/>
          <w:iCs/>
          <w:szCs w:val="22"/>
        </w:rPr>
      </w:pPr>
      <w:r w:rsidRPr="00855B7D">
        <w:rPr>
          <w:b/>
          <w:bCs/>
          <w:iCs/>
          <w:szCs w:val="22"/>
        </w:rPr>
        <w:t>Šalutinio poveikio reiškiniai, kurių dažnis nežinomas (negali būti apskaičiuotas pagal turimus duomenis):</w:t>
      </w:r>
    </w:p>
    <w:p w:rsidR="009419DE" w:rsidRDefault="009419DE" w:rsidP="009419DE">
      <w:pPr>
        <w:numPr>
          <w:ilvl w:val="0"/>
          <w:numId w:val="6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lastRenderedPageBreak/>
        <w:t>šleikštulys (pykinimas);</w:t>
      </w:r>
    </w:p>
    <w:p w:rsidR="009419DE" w:rsidRDefault="009419DE" w:rsidP="009419DE">
      <w:pPr>
        <w:numPr>
          <w:ilvl w:val="0"/>
          <w:numId w:val="6"/>
        </w:numPr>
        <w:tabs>
          <w:tab w:val="left" w:pos="567"/>
        </w:tabs>
        <w:ind w:left="567" w:hanging="567"/>
        <w:rPr>
          <w:szCs w:val="22"/>
        </w:rPr>
      </w:pPr>
      <w:r w:rsidRPr="0091616D">
        <w:rPr>
          <w:szCs w:val="22"/>
        </w:rPr>
        <w:t>pilvo diegliai</w:t>
      </w:r>
      <w:r>
        <w:rPr>
          <w:szCs w:val="22"/>
        </w:rPr>
        <w:t>.</w:t>
      </w:r>
    </w:p>
    <w:p w:rsidR="009419DE" w:rsidRDefault="009419DE" w:rsidP="009419DE">
      <w:pPr>
        <w:tabs>
          <w:tab w:val="left" w:pos="567"/>
        </w:tabs>
        <w:rPr>
          <w:szCs w:val="22"/>
        </w:rPr>
      </w:pPr>
      <w:r>
        <w:rPr>
          <w:szCs w:val="22"/>
        </w:rPr>
        <w:t>Šie simptomai gali pasireikšti išgėrus valerijonų šaknų preparatų.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b/>
          <w:szCs w:val="22"/>
        </w:rPr>
      </w:pPr>
      <w:r w:rsidRPr="0091616D">
        <w:rPr>
          <w:b/>
          <w:noProof/>
          <w:szCs w:val="22"/>
        </w:rPr>
        <w:t>Pranešimas apie šalutinį poveikį</w:t>
      </w:r>
    </w:p>
    <w:p w:rsidR="009419DE" w:rsidRPr="00E807C7" w:rsidRDefault="009419DE" w:rsidP="009419DE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bCs/>
          <w:szCs w:val="22"/>
          <w:lang w:eastAsia="en-US"/>
        </w:rPr>
      </w:pPr>
      <w:r w:rsidRPr="00E807C7">
        <w:rPr>
          <w:noProof/>
          <w:snapToGrid w:val="0"/>
          <w:szCs w:val="22"/>
          <w:lang w:eastAsia="en-US"/>
        </w:rPr>
        <w:t xml:space="preserve">Jeigu pasireiškė šalutinis poveikis, įskaitant šiame lapelyje nenurodytą, pasakykite gydytojui arba vaistininkui. </w:t>
      </w:r>
      <w:r w:rsidRPr="00132892">
        <w:rPr>
          <w:color w:val="000000"/>
          <w:szCs w:val="18"/>
          <w:lang w:eastAsia="en-US"/>
        </w:rPr>
        <w:t xml:space="preserve">Pranešimą apie šalutinį poveikį galite užpildyti ir pateikti Valstybinės vaistų kontrolės tarnybos prie Lietuvos Respublikos sveikatos apsaugos ministerijos tinklalapyje </w:t>
      </w:r>
      <w:r w:rsidRPr="00132892">
        <w:rPr>
          <w:color w:val="0000EE"/>
          <w:szCs w:val="18"/>
          <w:u w:val="single"/>
          <w:lang w:eastAsia="en-US"/>
        </w:rPr>
        <w:t>https://vvkt.lrv.lt/lt/</w:t>
      </w:r>
      <w:r w:rsidRPr="00132892">
        <w:rPr>
          <w:color w:val="000000"/>
          <w:szCs w:val="18"/>
          <w:lang w:eastAsia="en-US"/>
        </w:rPr>
        <w:t xml:space="preserve"> nurodytais būdais arba paskambinti nemokamu telefonu </w:t>
      </w:r>
      <w:r>
        <w:rPr>
          <w:color w:val="000000"/>
          <w:szCs w:val="18"/>
          <w:lang w:eastAsia="en-US"/>
        </w:rPr>
        <w:t>+37</w:t>
      </w:r>
      <w:r w:rsidRPr="00132892">
        <w:rPr>
          <w:color w:val="000000"/>
          <w:szCs w:val="18"/>
          <w:lang w:eastAsia="en-US"/>
        </w:rPr>
        <w:t xml:space="preserve">0 73 568. </w:t>
      </w:r>
      <w:r w:rsidRPr="00E807C7">
        <w:rPr>
          <w:rFonts w:eastAsia="Calibri"/>
          <w:noProof/>
          <w:szCs w:val="24"/>
          <w:lang w:eastAsia="en-US"/>
        </w:rPr>
        <w:t>Pranešdami apie šalutinį poveikį galite mums padėti gauti daugiau informacijos apie šio vaisto saugumą.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b/>
          <w:szCs w:val="22"/>
        </w:rPr>
      </w:pPr>
    </w:p>
    <w:p w:rsidR="009419DE" w:rsidRPr="0091616D" w:rsidRDefault="009419DE" w:rsidP="009419DE">
      <w:pPr>
        <w:keepNext/>
        <w:numPr>
          <w:ilvl w:val="0"/>
          <w:numId w:val="2"/>
        </w:numPr>
        <w:tabs>
          <w:tab w:val="left" w:pos="567"/>
        </w:tabs>
        <w:ind w:left="567" w:hanging="567"/>
        <w:outlineLvl w:val="1"/>
        <w:rPr>
          <w:b/>
          <w:szCs w:val="22"/>
        </w:rPr>
      </w:pPr>
      <w:r w:rsidRPr="0091616D">
        <w:rPr>
          <w:b/>
          <w:szCs w:val="22"/>
        </w:rPr>
        <w:t>Kaip laikyti PERSEN FORTE</w:t>
      </w:r>
    </w:p>
    <w:p w:rsidR="009419DE" w:rsidRPr="0091616D" w:rsidRDefault="009419DE" w:rsidP="009419DE">
      <w:pPr>
        <w:keepNext/>
        <w:tabs>
          <w:tab w:val="left" w:pos="567"/>
        </w:tabs>
        <w:outlineLvl w:val="1"/>
        <w:rPr>
          <w:b/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Šį vaistą laikykite vaikams nepastebimoje ir nepasiekiamoje vietoje.</w:t>
      </w:r>
    </w:p>
    <w:p w:rsidR="009419DE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Laikyti ne aukštesnėje kaip 25 </w:t>
      </w:r>
      <w:r w:rsidRPr="0091616D">
        <w:rPr>
          <w:szCs w:val="22"/>
          <w:vertAlign w:val="superscript"/>
        </w:rPr>
        <w:t>o</w:t>
      </w:r>
      <w:r w:rsidRPr="0091616D">
        <w:rPr>
          <w:szCs w:val="22"/>
        </w:rPr>
        <w:t xml:space="preserve">C temperatūroje. 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Laikyti gamintojo pakuotėje, kad vaistas būtų apsaugotas nuo drėgmės.</w:t>
      </w:r>
    </w:p>
    <w:p w:rsidR="009419DE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Ant dėžutės po ,,</w:t>
      </w:r>
      <w:r>
        <w:rPr>
          <w:szCs w:val="22"/>
        </w:rPr>
        <w:t>EXP</w:t>
      </w:r>
      <w:r w:rsidRPr="0091616D">
        <w:rPr>
          <w:szCs w:val="22"/>
        </w:rPr>
        <w:t>“ ir lizdinės plokštelės nurodytam tinkamumo laikui pasibaigus, šio vaisto vartoti negalima. Vaistas tinkamas vartoti iki paskutinės nurodyto mėnesio dienos.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Vaistų negalima išmesti į kanalizaciją arba su buitinėmis atliekomis. Kaip išmesti nereikalingus vaistus, klauskite vaistininko. Šios priemonės padės apsaugoti aplinką. </w:t>
      </w:r>
    </w:p>
    <w:p w:rsidR="009419DE" w:rsidRPr="0091616D" w:rsidRDefault="009419DE" w:rsidP="009419DE">
      <w:pPr>
        <w:tabs>
          <w:tab w:val="left" w:pos="567"/>
        </w:tabs>
        <w:ind w:left="180"/>
        <w:rPr>
          <w:caps/>
          <w:szCs w:val="22"/>
        </w:rPr>
      </w:pPr>
    </w:p>
    <w:p w:rsidR="009419DE" w:rsidRPr="0091616D" w:rsidRDefault="009419DE" w:rsidP="009419DE">
      <w:pPr>
        <w:tabs>
          <w:tab w:val="left" w:pos="567"/>
        </w:tabs>
        <w:ind w:left="180"/>
        <w:rPr>
          <w:caps/>
          <w:szCs w:val="22"/>
        </w:rPr>
      </w:pPr>
    </w:p>
    <w:p w:rsidR="009419DE" w:rsidRPr="0091616D" w:rsidRDefault="009419DE" w:rsidP="009419DE">
      <w:pPr>
        <w:numPr>
          <w:ilvl w:val="0"/>
          <w:numId w:val="2"/>
        </w:numPr>
        <w:tabs>
          <w:tab w:val="left" w:pos="567"/>
        </w:tabs>
        <w:ind w:left="567" w:hanging="567"/>
        <w:contextualSpacing/>
        <w:rPr>
          <w:b/>
          <w:szCs w:val="22"/>
        </w:rPr>
      </w:pPr>
      <w:r w:rsidRPr="0091616D">
        <w:rPr>
          <w:b/>
          <w:szCs w:val="22"/>
        </w:rPr>
        <w:t>Pakuotės turinys ir kita informacija</w:t>
      </w:r>
    </w:p>
    <w:p w:rsidR="009419DE" w:rsidRPr="0091616D" w:rsidRDefault="009419DE" w:rsidP="009419DE">
      <w:pPr>
        <w:tabs>
          <w:tab w:val="left" w:pos="567"/>
        </w:tabs>
        <w:ind w:left="540" w:hanging="540"/>
        <w:rPr>
          <w:b/>
          <w:szCs w:val="22"/>
        </w:rPr>
      </w:pPr>
    </w:p>
    <w:p w:rsidR="009419DE" w:rsidRPr="0091616D" w:rsidRDefault="009419DE" w:rsidP="009419DE">
      <w:pPr>
        <w:tabs>
          <w:tab w:val="left" w:pos="567"/>
        </w:tabs>
        <w:ind w:left="540" w:hanging="540"/>
        <w:rPr>
          <w:b/>
          <w:szCs w:val="22"/>
        </w:rPr>
      </w:pPr>
      <w:r w:rsidRPr="0091616D">
        <w:rPr>
          <w:b/>
          <w:szCs w:val="22"/>
        </w:rPr>
        <w:t>PERSEN FORTE sudėtis</w:t>
      </w:r>
    </w:p>
    <w:p w:rsidR="009419DE" w:rsidRPr="0091616D" w:rsidRDefault="009419DE" w:rsidP="009419DE">
      <w:pPr>
        <w:numPr>
          <w:ilvl w:val="0"/>
          <w:numId w:val="4"/>
        </w:numPr>
        <w:ind w:left="567" w:hanging="567"/>
        <w:contextualSpacing/>
        <w:rPr>
          <w:szCs w:val="22"/>
        </w:rPr>
      </w:pPr>
      <w:r w:rsidRPr="0091616D">
        <w:rPr>
          <w:i/>
          <w:szCs w:val="22"/>
        </w:rPr>
        <w:t>Veikliosios medžiagos yra</w:t>
      </w:r>
      <w:r w:rsidRPr="0091616D">
        <w:rPr>
          <w:szCs w:val="22"/>
        </w:rPr>
        <w:t xml:space="preserve">  valerijonų  sausasis alkoholinis ekstraktas, melisų lapų sausasis ekstraktas, pipirmėčių lapų sausasis ekstraktas.</w:t>
      </w:r>
    </w:p>
    <w:p w:rsidR="009419DE" w:rsidRPr="0091616D" w:rsidRDefault="009419DE" w:rsidP="009419DE">
      <w:pPr>
        <w:ind w:left="720"/>
        <w:rPr>
          <w:szCs w:val="22"/>
        </w:rPr>
      </w:pPr>
      <w:r w:rsidRPr="0091616D">
        <w:rPr>
          <w:szCs w:val="22"/>
        </w:rPr>
        <w:t>Kiekvienoje kietojoje kapsulėje yra:</w:t>
      </w:r>
    </w:p>
    <w:p w:rsidR="009419DE" w:rsidRPr="0091616D" w:rsidRDefault="009419DE" w:rsidP="009419DE">
      <w:pPr>
        <w:numPr>
          <w:ilvl w:val="0"/>
          <w:numId w:val="5"/>
        </w:numPr>
        <w:contextualSpacing/>
        <w:rPr>
          <w:szCs w:val="22"/>
        </w:rPr>
      </w:pPr>
      <w:r w:rsidRPr="0091616D">
        <w:rPr>
          <w:szCs w:val="22"/>
        </w:rPr>
        <w:t xml:space="preserve">87,5 mg </w:t>
      </w:r>
      <w:r w:rsidRPr="0091616D">
        <w:rPr>
          <w:i/>
          <w:szCs w:val="22"/>
        </w:rPr>
        <w:t>Valeriana officinalis</w:t>
      </w:r>
      <w:r w:rsidRPr="0091616D">
        <w:rPr>
          <w:iCs/>
          <w:szCs w:val="22"/>
        </w:rPr>
        <w:t xml:space="preserve"> L.</w:t>
      </w:r>
      <w:r w:rsidRPr="00DA6A9D">
        <w:rPr>
          <w:i/>
          <w:iCs/>
          <w:szCs w:val="22"/>
        </w:rPr>
        <w:t>s.l</w:t>
      </w:r>
      <w:r>
        <w:rPr>
          <w:iCs/>
          <w:szCs w:val="22"/>
        </w:rPr>
        <w:t>.</w:t>
      </w:r>
      <w:r w:rsidRPr="0091616D">
        <w:rPr>
          <w:iCs/>
          <w:szCs w:val="22"/>
        </w:rPr>
        <w:t>,</w:t>
      </w:r>
      <w:r w:rsidRPr="0091616D">
        <w:rPr>
          <w:szCs w:val="22"/>
        </w:rPr>
        <w:t xml:space="preserve"> </w:t>
      </w:r>
      <w:r>
        <w:rPr>
          <w:szCs w:val="22"/>
        </w:rPr>
        <w:t xml:space="preserve">radix </w:t>
      </w:r>
      <w:r w:rsidRPr="0091616D">
        <w:rPr>
          <w:szCs w:val="22"/>
        </w:rPr>
        <w:t>(valerijonų</w:t>
      </w:r>
      <w:r>
        <w:rPr>
          <w:szCs w:val="22"/>
        </w:rPr>
        <w:t xml:space="preserve"> šaknų</w:t>
      </w:r>
      <w:r w:rsidRPr="0091616D">
        <w:rPr>
          <w:szCs w:val="22"/>
        </w:rPr>
        <w:t>) sausojo alkoholinio ekstrakto</w:t>
      </w:r>
      <w:r w:rsidRPr="0091616D">
        <w:rPr>
          <w:iCs/>
          <w:szCs w:val="22"/>
        </w:rPr>
        <w:t xml:space="preserve"> </w:t>
      </w:r>
      <w:r w:rsidRPr="0091616D">
        <w:rPr>
          <w:szCs w:val="22"/>
        </w:rPr>
        <w:t>(4-7:1), ekstrahentas 70 %</w:t>
      </w:r>
      <w:r>
        <w:rPr>
          <w:szCs w:val="22"/>
        </w:rPr>
        <w:t xml:space="preserve"> </w:t>
      </w:r>
      <w:r w:rsidRPr="0091616D">
        <w:rPr>
          <w:szCs w:val="22"/>
        </w:rPr>
        <w:t>(V/V) etanolis;</w:t>
      </w:r>
    </w:p>
    <w:p w:rsidR="009419DE" w:rsidRPr="0091616D" w:rsidRDefault="009419DE" w:rsidP="009419DE">
      <w:pPr>
        <w:numPr>
          <w:ilvl w:val="0"/>
          <w:numId w:val="5"/>
        </w:numPr>
        <w:contextualSpacing/>
        <w:rPr>
          <w:szCs w:val="22"/>
        </w:rPr>
      </w:pPr>
      <w:r w:rsidRPr="0091616D">
        <w:rPr>
          <w:szCs w:val="22"/>
        </w:rPr>
        <w:t xml:space="preserve">17,5 mg </w:t>
      </w:r>
      <w:r w:rsidRPr="0091616D">
        <w:rPr>
          <w:i/>
          <w:szCs w:val="22"/>
        </w:rPr>
        <w:t xml:space="preserve">Melissa officinalis </w:t>
      </w:r>
      <w:r w:rsidRPr="0091616D">
        <w:rPr>
          <w:iCs/>
          <w:szCs w:val="22"/>
        </w:rPr>
        <w:t>L., folium (</w:t>
      </w:r>
      <w:r w:rsidRPr="0091616D">
        <w:rPr>
          <w:szCs w:val="22"/>
        </w:rPr>
        <w:t xml:space="preserve"> melisų </w:t>
      </w:r>
      <w:r w:rsidRPr="0091616D">
        <w:rPr>
          <w:iCs/>
          <w:szCs w:val="22"/>
        </w:rPr>
        <w:t>lapų)</w:t>
      </w:r>
      <w:r w:rsidRPr="0091616D">
        <w:rPr>
          <w:szCs w:val="22"/>
        </w:rPr>
        <w:t xml:space="preserve"> sausojo ekstrakto (3-6:1), ekstrahentas 50 %</w:t>
      </w:r>
      <w:r>
        <w:rPr>
          <w:szCs w:val="22"/>
        </w:rPr>
        <w:t xml:space="preserve"> </w:t>
      </w:r>
      <w:r w:rsidRPr="0091616D">
        <w:rPr>
          <w:szCs w:val="22"/>
        </w:rPr>
        <w:t>(V/V) etanolis;</w:t>
      </w:r>
    </w:p>
    <w:p w:rsidR="009419DE" w:rsidRPr="0091616D" w:rsidRDefault="009419DE" w:rsidP="009419DE">
      <w:pPr>
        <w:numPr>
          <w:ilvl w:val="0"/>
          <w:numId w:val="5"/>
        </w:numPr>
        <w:contextualSpacing/>
        <w:rPr>
          <w:szCs w:val="22"/>
        </w:rPr>
      </w:pPr>
      <w:r w:rsidRPr="0091616D">
        <w:rPr>
          <w:szCs w:val="22"/>
        </w:rPr>
        <w:t xml:space="preserve">17,5 mg </w:t>
      </w:r>
      <w:r w:rsidRPr="0091616D">
        <w:rPr>
          <w:i/>
          <w:szCs w:val="22"/>
        </w:rPr>
        <w:t>Mentha piperita</w:t>
      </w:r>
      <w:r w:rsidRPr="0091616D">
        <w:rPr>
          <w:iCs/>
          <w:szCs w:val="22"/>
        </w:rPr>
        <w:t xml:space="preserve"> L., folium (</w:t>
      </w:r>
      <w:r w:rsidRPr="0091616D">
        <w:rPr>
          <w:szCs w:val="22"/>
        </w:rPr>
        <w:t>pipirmėčių lapų) sausojo ekstrakto (3-6:1), ekstrahentas 40 % (V/V) etanolis.</w:t>
      </w:r>
    </w:p>
    <w:p w:rsidR="009419DE" w:rsidRPr="0091616D" w:rsidRDefault="009419DE" w:rsidP="009419DE">
      <w:pPr>
        <w:numPr>
          <w:ilvl w:val="0"/>
          <w:numId w:val="4"/>
        </w:numPr>
        <w:tabs>
          <w:tab w:val="left" w:pos="567"/>
        </w:tabs>
        <w:ind w:left="709" w:hanging="709"/>
        <w:contextualSpacing/>
        <w:rPr>
          <w:szCs w:val="22"/>
        </w:rPr>
      </w:pPr>
      <w:r w:rsidRPr="0091616D">
        <w:rPr>
          <w:i/>
          <w:szCs w:val="22"/>
        </w:rPr>
        <w:t>Pagalbinės medžiagos yra</w:t>
      </w:r>
      <w:r w:rsidRPr="0091616D">
        <w:rPr>
          <w:szCs w:val="22"/>
        </w:rPr>
        <w:t xml:space="preserve">: </w:t>
      </w:r>
    </w:p>
    <w:p w:rsidR="009419DE" w:rsidRPr="0091616D" w:rsidRDefault="009419DE" w:rsidP="009419DE">
      <w:pPr>
        <w:tabs>
          <w:tab w:val="left" w:pos="567"/>
        </w:tabs>
        <w:ind w:left="567"/>
        <w:rPr>
          <w:szCs w:val="22"/>
        </w:rPr>
      </w:pPr>
      <w:r w:rsidRPr="0091616D">
        <w:rPr>
          <w:szCs w:val="22"/>
          <w:u w:val="single"/>
        </w:rPr>
        <w:t>Kapsulės turinys</w:t>
      </w:r>
      <w:r w:rsidRPr="0091616D">
        <w:rPr>
          <w:szCs w:val="22"/>
        </w:rPr>
        <w:t xml:space="preserve">: lengvasis magnio oksidas, magnio stearatas, laktozė monohidratas, talkas, bevandenis koloidinis silicio dioksidas. </w:t>
      </w:r>
    </w:p>
    <w:p w:rsidR="009419DE" w:rsidRPr="0091616D" w:rsidRDefault="009419DE" w:rsidP="009419DE">
      <w:pPr>
        <w:tabs>
          <w:tab w:val="left" w:pos="567"/>
        </w:tabs>
        <w:ind w:left="567"/>
        <w:rPr>
          <w:szCs w:val="22"/>
        </w:rPr>
      </w:pPr>
      <w:r w:rsidRPr="0091616D">
        <w:rPr>
          <w:szCs w:val="22"/>
          <w:u w:val="single"/>
        </w:rPr>
        <w:t>Kapsulės korpusas</w:t>
      </w:r>
      <w:r w:rsidRPr="0091616D">
        <w:rPr>
          <w:szCs w:val="22"/>
        </w:rPr>
        <w:t>: želatina, titano dioksidas (E171), geltonasis geležies oksidas (E172)</w:t>
      </w:r>
      <w:r>
        <w:rPr>
          <w:szCs w:val="22"/>
        </w:rPr>
        <w:t>,</w:t>
      </w:r>
      <w:r w:rsidRPr="0091616D">
        <w:rPr>
          <w:szCs w:val="22"/>
        </w:rPr>
        <w:t xml:space="preserve"> raudonasis geležies oksidas (E172).</w:t>
      </w:r>
    </w:p>
    <w:p w:rsidR="009419DE" w:rsidRPr="0091616D" w:rsidRDefault="009419DE" w:rsidP="009419DE">
      <w:pPr>
        <w:tabs>
          <w:tab w:val="left" w:pos="567"/>
        </w:tabs>
        <w:spacing w:before="120"/>
        <w:ind w:left="539" w:hanging="539"/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ind w:left="540" w:hanging="540"/>
        <w:rPr>
          <w:b/>
          <w:szCs w:val="22"/>
        </w:rPr>
      </w:pPr>
      <w:r w:rsidRPr="0091616D">
        <w:rPr>
          <w:b/>
          <w:szCs w:val="22"/>
        </w:rPr>
        <w:t>PERSEN FORTE išvaizda ir kiekis pakuotėje</w:t>
      </w:r>
    </w:p>
    <w:p w:rsidR="009419DE" w:rsidRPr="0091616D" w:rsidRDefault="009419DE" w:rsidP="009419DE">
      <w:pPr>
        <w:tabs>
          <w:tab w:val="left" w:pos="567"/>
        </w:tabs>
        <w:rPr>
          <w:b/>
          <w:szCs w:val="22"/>
        </w:rPr>
      </w:pPr>
      <w:r w:rsidRPr="0091616D">
        <w:rPr>
          <w:szCs w:val="22"/>
        </w:rPr>
        <w:t xml:space="preserve">Kietoji kapsulė, kurios korpusas ir dangtelis yra </w:t>
      </w:r>
      <w:r>
        <w:rPr>
          <w:szCs w:val="22"/>
        </w:rPr>
        <w:t>rausvai rudos</w:t>
      </w:r>
      <w:r w:rsidRPr="0091616D">
        <w:rPr>
          <w:szCs w:val="22"/>
        </w:rPr>
        <w:t xml:space="preserve"> spalvos, pripildyta rudomis margomis granulėmis ar presuotais milteliais.  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Kartono dėžutėje yra dvi lizdinės plokštelės po 10 kietųjų kapsulių.</w:t>
      </w:r>
    </w:p>
    <w:p w:rsidR="009419DE" w:rsidRPr="0091616D" w:rsidRDefault="009419DE" w:rsidP="009419DE">
      <w:pPr>
        <w:tabs>
          <w:tab w:val="left" w:pos="567"/>
        </w:tabs>
        <w:ind w:left="540" w:hanging="540"/>
        <w:rPr>
          <w:szCs w:val="22"/>
        </w:rPr>
      </w:pPr>
    </w:p>
    <w:p w:rsidR="009419DE" w:rsidRPr="0091616D" w:rsidRDefault="009419DE" w:rsidP="009419DE">
      <w:pPr>
        <w:keepNext/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Registruotojas</w:t>
      </w:r>
    </w:p>
    <w:p w:rsidR="009419DE" w:rsidRPr="0019517C" w:rsidRDefault="009419DE" w:rsidP="009419DE">
      <w:pPr>
        <w:keepNext/>
        <w:tabs>
          <w:tab w:val="left" w:pos="567"/>
        </w:tabs>
        <w:rPr>
          <w:szCs w:val="22"/>
        </w:rPr>
      </w:pPr>
      <w:r w:rsidRPr="0019517C">
        <w:rPr>
          <w:szCs w:val="22"/>
        </w:rPr>
        <w:t>Zentiva, k.s.</w:t>
      </w:r>
    </w:p>
    <w:p w:rsidR="009419DE" w:rsidRPr="0019517C" w:rsidRDefault="009419DE" w:rsidP="009419DE">
      <w:pPr>
        <w:keepNext/>
        <w:tabs>
          <w:tab w:val="left" w:pos="567"/>
        </w:tabs>
        <w:rPr>
          <w:szCs w:val="22"/>
        </w:rPr>
      </w:pPr>
      <w:r w:rsidRPr="0019517C">
        <w:rPr>
          <w:szCs w:val="22"/>
        </w:rPr>
        <w:t>U kabelovny 130</w:t>
      </w:r>
    </w:p>
    <w:p w:rsidR="009419DE" w:rsidRPr="0019517C" w:rsidRDefault="009419DE" w:rsidP="009419DE">
      <w:pPr>
        <w:keepNext/>
        <w:tabs>
          <w:tab w:val="left" w:pos="567"/>
        </w:tabs>
        <w:rPr>
          <w:szCs w:val="22"/>
        </w:rPr>
      </w:pPr>
      <w:r w:rsidRPr="0019517C">
        <w:rPr>
          <w:szCs w:val="22"/>
        </w:rPr>
        <w:t>Dolní Měcholupy</w:t>
      </w:r>
    </w:p>
    <w:p w:rsidR="009419DE" w:rsidRPr="0019517C" w:rsidRDefault="009419DE" w:rsidP="009419DE">
      <w:pPr>
        <w:keepNext/>
        <w:tabs>
          <w:tab w:val="left" w:pos="567"/>
        </w:tabs>
        <w:rPr>
          <w:szCs w:val="22"/>
        </w:rPr>
      </w:pPr>
      <w:r w:rsidRPr="0019517C">
        <w:rPr>
          <w:szCs w:val="22"/>
        </w:rPr>
        <w:t>102 37 Praha 10</w:t>
      </w:r>
    </w:p>
    <w:p w:rsidR="009419DE" w:rsidRPr="0019517C" w:rsidRDefault="009419DE" w:rsidP="009419DE">
      <w:pPr>
        <w:keepNext/>
        <w:tabs>
          <w:tab w:val="left" w:pos="567"/>
        </w:tabs>
        <w:rPr>
          <w:szCs w:val="22"/>
        </w:rPr>
      </w:pPr>
      <w:r w:rsidRPr="0019517C">
        <w:rPr>
          <w:szCs w:val="22"/>
        </w:rPr>
        <w:t>Čekija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lastRenderedPageBreak/>
        <w:t>Gamintojas</w:t>
      </w:r>
    </w:p>
    <w:p w:rsidR="009419DE" w:rsidRPr="006846D0" w:rsidRDefault="009419DE" w:rsidP="009419DE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6846D0">
        <w:rPr>
          <w:rFonts w:eastAsiaTheme="minorHAnsi"/>
          <w:szCs w:val="22"/>
          <w:lang w:eastAsia="en-US"/>
        </w:rPr>
        <w:t xml:space="preserve">ADIPHARM EAD </w:t>
      </w:r>
    </w:p>
    <w:p w:rsidR="009419DE" w:rsidRDefault="009419DE" w:rsidP="009419DE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6846D0">
        <w:rPr>
          <w:rFonts w:eastAsiaTheme="minorHAnsi"/>
          <w:szCs w:val="22"/>
          <w:lang w:eastAsia="en-US"/>
        </w:rPr>
        <w:t xml:space="preserve">130 Simeonovsko shose Blvd. </w:t>
      </w:r>
    </w:p>
    <w:p w:rsidR="009419DE" w:rsidRPr="006846D0" w:rsidRDefault="009419DE" w:rsidP="009419DE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6846D0">
        <w:rPr>
          <w:rFonts w:eastAsiaTheme="minorHAnsi"/>
          <w:szCs w:val="22"/>
          <w:lang w:eastAsia="en-US"/>
        </w:rPr>
        <w:t xml:space="preserve">Sofia 1700 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  <w:r w:rsidRPr="00855B7D">
        <w:rPr>
          <w:rFonts w:eastAsiaTheme="minorHAnsi"/>
          <w:szCs w:val="22"/>
          <w:lang w:eastAsia="en-US"/>
        </w:rPr>
        <w:t>Bulgarija</w:t>
      </w:r>
    </w:p>
    <w:p w:rsidR="009419DE" w:rsidRPr="0091616D" w:rsidRDefault="009419DE" w:rsidP="009419DE">
      <w:pPr>
        <w:tabs>
          <w:tab w:val="left" w:pos="567"/>
        </w:tabs>
        <w:rPr>
          <w:szCs w:val="22"/>
        </w:rPr>
      </w:pPr>
    </w:p>
    <w:p w:rsidR="009419DE" w:rsidRPr="0091616D" w:rsidRDefault="009419DE" w:rsidP="009419DE">
      <w:pPr>
        <w:tabs>
          <w:tab w:val="left" w:pos="567"/>
        </w:tabs>
        <w:rPr>
          <w:b/>
          <w:szCs w:val="22"/>
        </w:rPr>
      </w:pPr>
      <w:r w:rsidRPr="0091616D">
        <w:rPr>
          <w:b/>
          <w:bCs/>
          <w:szCs w:val="22"/>
        </w:rPr>
        <w:t>Šis pakuotės lapelis</w:t>
      </w:r>
      <w:r w:rsidRPr="0091616D">
        <w:rPr>
          <w:b/>
          <w:szCs w:val="22"/>
        </w:rPr>
        <w:t xml:space="preserve"> paskutinį kartą peržiūrėtas </w:t>
      </w:r>
      <w:r>
        <w:rPr>
          <w:b/>
          <w:szCs w:val="22"/>
        </w:rPr>
        <w:t>202</w:t>
      </w:r>
      <w:r w:rsidRPr="00690078">
        <w:rPr>
          <w:b/>
          <w:szCs w:val="22"/>
        </w:rPr>
        <w:t>4</w:t>
      </w:r>
      <w:r>
        <w:rPr>
          <w:b/>
          <w:szCs w:val="22"/>
        </w:rPr>
        <w:t>-12-18.</w:t>
      </w:r>
    </w:p>
    <w:p w:rsidR="009419DE" w:rsidRPr="0091616D" w:rsidRDefault="009419DE" w:rsidP="009419DE">
      <w:pPr>
        <w:tabs>
          <w:tab w:val="left" w:pos="567"/>
        </w:tabs>
        <w:rPr>
          <w:b/>
          <w:szCs w:val="22"/>
        </w:rPr>
      </w:pPr>
    </w:p>
    <w:p w:rsidR="009419DE" w:rsidRDefault="009419DE" w:rsidP="009419DE">
      <w:pPr>
        <w:tabs>
          <w:tab w:val="left" w:pos="567"/>
        </w:tabs>
        <w:rPr>
          <w:color w:val="0000FF"/>
          <w:szCs w:val="22"/>
        </w:rPr>
      </w:pPr>
      <w:r w:rsidRPr="0091616D">
        <w:rPr>
          <w:szCs w:val="22"/>
        </w:rPr>
        <w:t xml:space="preserve">Išsami informacija apie šį vaistą pateikiama Valstybinės vaistų kontrolės tarnybos prie Lietuvos Respublikos sveikatos apsaugos ministerijos (tinklalapyje </w:t>
      </w:r>
      <w:bookmarkStart w:id="0" w:name="_Hlk174378907"/>
      <w:r w:rsidRPr="00132892">
        <w:rPr>
          <w:rFonts w:eastAsia="SimSun"/>
          <w:color w:val="0000FF"/>
          <w:u w:val="single"/>
          <w:lang w:eastAsia="en-US"/>
        </w:rPr>
        <w:t>https://vvkt.lrv.lt/lt/</w:t>
      </w:r>
      <w:r w:rsidRPr="00132892">
        <w:rPr>
          <w:lang w:eastAsia="en-US"/>
        </w:rPr>
        <w:t>.</w:t>
      </w:r>
      <w:bookmarkEnd w:id="0"/>
    </w:p>
    <w:p w:rsidR="009419DE" w:rsidRDefault="009419DE" w:rsidP="009419DE">
      <w:pPr>
        <w:tabs>
          <w:tab w:val="left" w:pos="567"/>
        </w:tabs>
        <w:rPr>
          <w:color w:val="0000FF"/>
          <w:szCs w:val="22"/>
        </w:rPr>
      </w:pPr>
    </w:p>
    <w:p w:rsidR="009419DE" w:rsidRPr="0091616D" w:rsidRDefault="009419DE" w:rsidP="009419DE">
      <w:pPr>
        <w:tabs>
          <w:tab w:val="left" w:pos="567"/>
        </w:tabs>
      </w:pPr>
    </w:p>
    <w:p w:rsidR="009419DE" w:rsidRDefault="009419DE" w:rsidP="009419DE"/>
    <w:p w:rsidR="00BA6577" w:rsidRDefault="00BA6577">
      <w:bookmarkStart w:id="1" w:name="_GoBack"/>
      <w:bookmarkEnd w:id="1"/>
    </w:p>
    <w:sectPr w:rsidR="00BA6577" w:rsidSect="003C64A8">
      <w:footerReference w:type="even" r:id="rId5"/>
      <w:footerReference w:type="default" r:id="rId6"/>
      <w:pgSz w:w="11906" w:h="16838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8F" w:rsidRDefault="009419D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4078F" w:rsidRDefault="009419D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8F" w:rsidRDefault="009419D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F4078F" w:rsidRDefault="009419DE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426A"/>
    <w:multiLevelType w:val="hybridMultilevel"/>
    <w:tmpl w:val="5404B8C4"/>
    <w:lvl w:ilvl="0" w:tplc="A9E08EC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D7B21"/>
    <w:multiLevelType w:val="hybridMultilevel"/>
    <w:tmpl w:val="D34C8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33CF2"/>
    <w:multiLevelType w:val="hybridMultilevel"/>
    <w:tmpl w:val="374CB90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D21CF"/>
    <w:multiLevelType w:val="hybridMultilevel"/>
    <w:tmpl w:val="E23CC43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959F0"/>
    <w:multiLevelType w:val="hybridMultilevel"/>
    <w:tmpl w:val="2D4E63A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7202A3"/>
    <w:multiLevelType w:val="hybridMultilevel"/>
    <w:tmpl w:val="B7FCDF7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DE"/>
    <w:rsid w:val="00072F85"/>
    <w:rsid w:val="000A5E72"/>
    <w:rsid w:val="000A7B60"/>
    <w:rsid w:val="00181364"/>
    <w:rsid w:val="002945D9"/>
    <w:rsid w:val="00305C48"/>
    <w:rsid w:val="003362C6"/>
    <w:rsid w:val="00497D4D"/>
    <w:rsid w:val="005F6F06"/>
    <w:rsid w:val="00677BFD"/>
    <w:rsid w:val="00742EBF"/>
    <w:rsid w:val="009419DE"/>
    <w:rsid w:val="00B41370"/>
    <w:rsid w:val="00B4219F"/>
    <w:rsid w:val="00BA6577"/>
    <w:rsid w:val="00C30905"/>
    <w:rsid w:val="00D358F2"/>
    <w:rsid w:val="00DC6CF9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E1E91-A9F4-45DD-BBCC-5BDD339D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19DE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rsid w:val="00677BFD"/>
    <w:pPr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BFD"/>
    <w:rPr>
      <w:rFonts w:ascii="Times New Roman" w:eastAsiaTheme="majorEastAsia" w:hAnsi="Times New Roman" w:cstheme="majorBidi"/>
      <w:shadow/>
      <w:color w:val="000000" w:themeColor="text1"/>
      <w:spacing w:val="-10"/>
      <w:kern w:val="28"/>
      <w:sz w:val="24"/>
      <w:szCs w:val="56"/>
      <w:lang w:val="en-GB" w:eastAsia="lt-LT"/>
    </w:rPr>
  </w:style>
  <w:style w:type="paragraph" w:styleId="Porat">
    <w:name w:val="footer"/>
    <w:basedOn w:val="prastasis"/>
    <w:link w:val="PoratDiagrama"/>
    <w:uiPriority w:val="99"/>
    <w:rsid w:val="009419D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419DE"/>
    <w:rPr>
      <w:rFonts w:ascii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941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4856</Words>
  <Characters>2769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2025-04-30T05:10:00Z</dcterms:created>
  <dcterms:modified xsi:type="dcterms:W3CDTF">2025-04-30T05:10:00Z</dcterms:modified>
</cp:coreProperties>
</file>