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F5" w:rsidRPr="00A046F5" w:rsidRDefault="00A046F5" w:rsidP="00A046F5">
      <w:pPr>
        <w:spacing w:after="0" w:line="240" w:lineRule="auto"/>
        <w:rPr>
          <w:rFonts w:ascii="Times New Roman" w:eastAsia="Calibri" w:hAnsi="Times New Roman" w:cs="Times New Roman"/>
          <w:lang w:val="lt-LT" w:eastAsia="lt-LT"/>
        </w:rPr>
      </w:pPr>
      <w:bookmarkStart w:id="0" w:name="_GoBack"/>
      <w:bookmarkEnd w:id="0"/>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r w:rsidRPr="00A046F5">
        <w:rPr>
          <w:rFonts w:ascii="Times New Roman" w:eastAsia="Calibri" w:hAnsi="Times New Roman" w:cs="Times New Roman"/>
          <w:b/>
          <w:kern w:val="28"/>
          <w:lang w:val="lt-LT" w:eastAsia="lt-LT"/>
        </w:rPr>
        <w:t>I PRIEDAS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r w:rsidRPr="00A046F5">
        <w:rPr>
          <w:rFonts w:ascii="Times New Roman" w:eastAsia="Calibri" w:hAnsi="Times New Roman" w:cs="Times New Roman"/>
          <w:b/>
          <w:kern w:val="28"/>
          <w:lang w:val="lt-LT" w:eastAsia="lt-LT"/>
        </w:rPr>
        <w:t>PREPARATO CHARAKTERISTIKŲ SANTRAUKA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lang w:val="lt-LT" w:eastAsia="lt-LT"/>
        </w:rPr>
        <w:br w:type="page"/>
      </w:r>
      <w:r w:rsidRPr="00A046F5">
        <w:rPr>
          <w:rFonts w:ascii="Times New Roman" w:eastAsia="Calibri" w:hAnsi="Times New Roman" w:cs="Times New Roman"/>
          <w:b/>
          <w:lang w:val="lt-LT" w:eastAsia="lt-LT"/>
        </w:rPr>
        <w:lastRenderedPageBreak/>
        <w:t>1.</w:t>
      </w:r>
      <w:r w:rsidRPr="00A046F5">
        <w:rPr>
          <w:rFonts w:ascii="Times New Roman" w:eastAsia="Calibri" w:hAnsi="Times New Roman" w:cs="Times New Roman"/>
          <w:b/>
          <w:lang w:val="lt-LT" w:eastAsia="lt-LT"/>
        </w:rPr>
        <w:tab/>
        <w:t>VAISTINIO PREPARATO PAVADINIMAS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0,5 mmol/ml injekcinis tirpalas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2.</w:t>
      </w:r>
      <w:r w:rsidRPr="00A046F5">
        <w:rPr>
          <w:rFonts w:ascii="Times New Roman" w:eastAsia="Calibri" w:hAnsi="Times New Roman" w:cs="Times New Roman"/>
          <w:b/>
          <w:lang w:val="lt-LT" w:eastAsia="lt-LT"/>
        </w:rPr>
        <w:tab/>
        <w:t>KOKYBINĖ IR KIEKYBINĖ SUDĖTIS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 ml injekcinio tirpalo yra 0,5 mmol (tai atitinka 469 mg) gadopentetato dimegliumino.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Visos pagalbinės medžiagos išvardytos 6.1 skyriuje.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3.</w:t>
      </w:r>
      <w:r w:rsidRPr="00A046F5">
        <w:rPr>
          <w:rFonts w:ascii="Times New Roman" w:eastAsia="Calibri" w:hAnsi="Times New Roman" w:cs="Times New Roman"/>
          <w:b/>
          <w:lang w:val="lt-LT" w:eastAsia="lt-LT"/>
        </w:rPr>
        <w:tab/>
        <w:t>FARMACINĖ FORMA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Injekcinis tirpalas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Skaidrus, bespalvis ar gelsvas tirpalas.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fizikinės-cheminės savybės:</w:t>
      </w:r>
    </w:p>
    <w:p w:rsidR="00A046F5" w:rsidRPr="00A046F5" w:rsidRDefault="00A046F5" w:rsidP="00A046F5">
      <w:pPr>
        <w:spacing w:after="0" w:line="240" w:lineRule="auto"/>
        <w:rPr>
          <w:rFonts w:ascii="Times New Roman" w:eastAsia="Calibri" w:hAnsi="Times New Roman" w:cs="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3027"/>
      </w:tblGrid>
      <w:tr w:rsidR="00A046F5" w:rsidRPr="00A046F5" w:rsidTr="00A046F5">
        <w:tc>
          <w:tcPr>
            <w:tcW w:w="5495"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Osmoliališkumas (osm/kg H</w:t>
            </w:r>
            <w:r w:rsidRPr="00A046F5">
              <w:rPr>
                <w:rFonts w:ascii="Times New Roman" w:eastAsia="Calibri" w:hAnsi="Times New Roman" w:cs="Times New Roman"/>
                <w:vertAlign w:val="subscript"/>
                <w:lang w:val="lt-LT" w:eastAsia="lt-LT"/>
              </w:rPr>
              <w:t>2</w:t>
            </w:r>
            <w:r w:rsidRPr="00A046F5">
              <w:rPr>
                <w:rFonts w:ascii="Times New Roman" w:eastAsia="Calibri" w:hAnsi="Times New Roman" w:cs="Times New Roman"/>
                <w:lang w:val="lt-LT" w:eastAsia="lt-LT"/>
              </w:rPr>
              <w:t>O) 37 °C temperatūroje</w:t>
            </w:r>
          </w:p>
        </w:tc>
        <w:tc>
          <w:tcPr>
            <w:tcW w:w="3027"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jc w:val="center"/>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1,96</w:t>
            </w:r>
          </w:p>
        </w:tc>
      </w:tr>
      <w:tr w:rsidR="00A046F5" w:rsidRPr="00A046F5" w:rsidTr="00A046F5">
        <w:tc>
          <w:tcPr>
            <w:tcW w:w="5495"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Klampumas (mPa·s)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20 °C temperatūroje</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37 °C temperatūroje</w:t>
            </w:r>
          </w:p>
        </w:tc>
        <w:tc>
          <w:tcPr>
            <w:tcW w:w="3027"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spacing w:after="0" w:line="240" w:lineRule="auto"/>
              <w:jc w:val="center"/>
              <w:rPr>
                <w:rFonts w:ascii="Times New Roman" w:eastAsia="Calibri" w:hAnsi="Times New Roman" w:cs="Times New Roman"/>
                <w:lang w:val="lt-LT" w:eastAsia="lt-LT"/>
              </w:rPr>
            </w:pPr>
          </w:p>
          <w:p w:rsidR="00A046F5" w:rsidRPr="00A046F5" w:rsidRDefault="00A046F5" w:rsidP="00A046F5">
            <w:pPr>
              <w:spacing w:after="0" w:line="240" w:lineRule="auto"/>
              <w:jc w:val="center"/>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4,9</w:t>
            </w:r>
          </w:p>
          <w:p w:rsidR="00A046F5" w:rsidRPr="00A046F5" w:rsidRDefault="00A046F5" w:rsidP="00A046F5">
            <w:pPr>
              <w:spacing w:after="0" w:line="240" w:lineRule="auto"/>
              <w:jc w:val="center"/>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2,9</w:t>
            </w:r>
          </w:p>
        </w:tc>
      </w:tr>
      <w:tr w:rsidR="00A046F5" w:rsidRPr="00A046F5" w:rsidTr="00A046F5">
        <w:tc>
          <w:tcPr>
            <w:tcW w:w="5495"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Tankis (g/ml)</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20 °C temperatūroje</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37 °C temperatūroje</w:t>
            </w:r>
          </w:p>
        </w:tc>
        <w:tc>
          <w:tcPr>
            <w:tcW w:w="3027"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spacing w:after="0" w:line="240" w:lineRule="auto"/>
              <w:jc w:val="center"/>
              <w:rPr>
                <w:rFonts w:ascii="Times New Roman" w:eastAsia="Calibri" w:hAnsi="Times New Roman" w:cs="Times New Roman"/>
                <w:lang w:val="lt-LT" w:eastAsia="lt-LT"/>
              </w:rPr>
            </w:pPr>
          </w:p>
          <w:p w:rsidR="00A046F5" w:rsidRPr="00A046F5" w:rsidRDefault="00A046F5" w:rsidP="00A046F5">
            <w:pPr>
              <w:spacing w:after="0" w:line="240" w:lineRule="auto"/>
              <w:jc w:val="center"/>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1,210</w:t>
            </w:r>
          </w:p>
          <w:p w:rsidR="00A046F5" w:rsidRPr="00A046F5" w:rsidRDefault="00A046F5" w:rsidP="00A046F5">
            <w:pPr>
              <w:spacing w:after="0" w:line="240" w:lineRule="auto"/>
              <w:jc w:val="center"/>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1,195</w:t>
            </w:r>
          </w:p>
        </w:tc>
      </w:tr>
      <w:tr w:rsidR="00A046F5" w:rsidRPr="00A046F5" w:rsidTr="00A046F5">
        <w:tc>
          <w:tcPr>
            <w:tcW w:w="5495"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pH</w:t>
            </w:r>
          </w:p>
        </w:tc>
        <w:tc>
          <w:tcPr>
            <w:tcW w:w="3027"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jc w:val="center"/>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7,0</w:t>
            </w:r>
            <w:r w:rsidRPr="00A046F5">
              <w:rPr>
                <w:rFonts w:ascii="Times New Roman" w:eastAsia="Calibri" w:hAnsi="Times New Roman" w:cs="Times New Roman"/>
                <w:lang w:val="lt-LT" w:eastAsia="lt-LT"/>
              </w:rPr>
              <w:noBreakHyphen/>
              <w:t>7,9</w:t>
            </w:r>
          </w:p>
        </w:tc>
      </w:tr>
    </w:tbl>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caps/>
          <w:lang w:val="lt-LT" w:eastAsia="lt-LT"/>
        </w:rPr>
        <w:t>4.</w:t>
      </w:r>
      <w:r w:rsidRPr="00A046F5">
        <w:rPr>
          <w:rFonts w:ascii="Times New Roman" w:eastAsia="Calibri" w:hAnsi="Times New Roman" w:cs="Times New Roman"/>
          <w:b/>
          <w:caps/>
          <w:lang w:val="lt-LT" w:eastAsia="lt-LT"/>
        </w:rPr>
        <w:tab/>
      </w:r>
      <w:r w:rsidRPr="00A046F5">
        <w:rPr>
          <w:rFonts w:ascii="Times New Roman" w:eastAsia="Calibri" w:hAnsi="Times New Roman" w:cs="Times New Roman"/>
          <w:b/>
          <w:lang w:val="lt-LT" w:eastAsia="lt-LT"/>
        </w:rPr>
        <w:t>KLINIKINĖ INFORMACIJA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4.1</w:t>
      </w:r>
      <w:r w:rsidRPr="00A046F5">
        <w:rPr>
          <w:rFonts w:ascii="Times New Roman" w:eastAsia="Calibri" w:hAnsi="Times New Roman" w:cs="Times New Roman"/>
          <w:b/>
          <w:lang w:val="lt-LT" w:eastAsia="lt-LT"/>
        </w:rPr>
        <w:tab/>
        <w:t>Terapinės indikacijos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Šis vaistinis preparatas vartojamas tik diagnostikai: galvos, nugaros ir viso kūno magnetinio rezonanso tomografijai (MRT).</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4.2</w:t>
      </w:r>
      <w:r w:rsidRPr="00A046F5">
        <w:rPr>
          <w:rFonts w:ascii="Times New Roman" w:eastAsia="Calibri" w:hAnsi="Times New Roman" w:cs="Times New Roman"/>
          <w:b/>
          <w:lang w:val="lt-LT" w:eastAsia="lt-LT"/>
        </w:rPr>
        <w:tab/>
        <w:t>Dozavimas ir vartojimo metodas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Būtina laikytis įprastinių magnetinio rezonanso tomografijos saugumo taisyklių, pvz., įsitikinti, kad nėra implantuotų širdies stimuliatorių, feromagnetinių implantų.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Papildomus nurodymus skaitykite „Vartojimo ir darbo su vaistiniu preparatu instrukcijoje“.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ind w:left="567" w:hanging="567"/>
        <w:rPr>
          <w:rFonts w:ascii="Times New Roman" w:eastAsia="Calibri" w:hAnsi="Times New Roman" w:cs="Times New Roman"/>
          <w:u w:val="single"/>
          <w:lang w:val="lt-LT" w:eastAsia="lt-LT"/>
        </w:rPr>
      </w:pPr>
      <w:r w:rsidRPr="00A046F5">
        <w:rPr>
          <w:rFonts w:ascii="Times New Roman" w:eastAsia="Calibri" w:hAnsi="Times New Roman" w:cs="Times New Roman"/>
          <w:u w:val="single"/>
          <w:lang w:val="lt-LT" w:eastAsia="lt-LT"/>
        </w:rPr>
        <w:t>Dozavimas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Cs/>
          <w:i/>
          <w:lang w:val="lt-LT" w:eastAsia="lt-LT"/>
        </w:rPr>
      </w:pPr>
      <w:r w:rsidRPr="00D35371">
        <w:rPr>
          <w:rFonts w:ascii="Times New Roman" w:eastAsia="Calibri" w:hAnsi="Times New Roman" w:cs="Times New Roman"/>
          <w:i/>
          <w:u w:val="single"/>
          <w:lang w:val="lt-LT" w:eastAsia="lt-LT"/>
        </w:rPr>
        <w:t>Suaugusiesiems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i/>
          <w:lang w:val="lt-LT" w:eastAsia="lt-LT"/>
        </w:rPr>
        <w:t>Galvos ir nugaros MRT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Gerai sustiprinti kontrastą ir išsiaiškinti klinikinį atvejį dažniausiai pakanka suleisti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0,2 ml/kg kūno svorio (atitinkančio 0,1 mmol gadopentetato dimegliumino kilogramui kūno svorio).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lastRenderedPageBreak/>
        <w:t xml:space="preserve">Jei sustiprinto kontrasto MRT rezultatai normalūs, tačiau kliniškai vis dėlto įtariami pokyčiai, per 30 minučių dar kartą sušvirkštus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0,2 ml/kg, o suaugusiesiems – net 0,4 ml/kg kūno svorio ir iškart atlikus MRT, tyrimo tikslumas gali padidėti.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Suaugusiesiems sušvirkštus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0,6 ml/kg kūno svorio dažnai galima patikimiau paneigti navikų metastazes ar atkrytį.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Didžiausia vienkartinė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dozė: 0,6 ml/kg kūno svorio.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i/>
          <w:lang w:val="lt-LT" w:eastAsia="lt-LT"/>
        </w:rPr>
        <w:t>Viso kūno MRT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Siekiant gerai sustiprinti kontrastą ir išspręsti klinikinį neaiškumą, dažniausiai pakanka suleisti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0,2 ml/kg kūno svorio.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Tam tikrais atvejais, pavyzdžiui, kai pokyčių srityje mažai kraujagyslių ir (arba) mažas neląstelinis tarpas, tinkamam kontrastui sudaryti gali reikėti suleisti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0,4 ml/kg kūno svorio, ypač skenuojant kai kuriais T1 režimais.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Suaugusiesiems sušvirkštus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0,6 ml/kg kūno svorio, galima patikimiau paneigti pokyčius arba naviko atsinaujinimą.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Kraujagyslėms išryškinti suaugusiesiems gali reikėti sušvirkšti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iki 0,6 ml/kg kūno svorio, atsižvelgiant į tiriamąją vietą ir tyrimo techniką.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Didžiausia vienkartinė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dozė: 0,6 ml/kg kūno svorio.</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u w:val="single"/>
          <w:lang w:val="lt-LT"/>
        </w:rPr>
      </w:pPr>
      <w:r w:rsidRPr="00D35371">
        <w:rPr>
          <w:rFonts w:ascii="Times New Roman" w:eastAsia="Calibri" w:hAnsi="Times New Roman" w:cs="Times New Roman"/>
          <w:i/>
          <w:u w:val="single"/>
          <w:lang w:val="lt-LT"/>
        </w:rPr>
        <w:t>Ypatingos populiacijos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r w:rsidRPr="00A046F5">
        <w:rPr>
          <w:rFonts w:ascii="Times New Roman" w:eastAsia="Calibri" w:hAnsi="Times New Roman" w:cs="Times New Roman"/>
          <w:i/>
          <w:lang w:val="lt-LT"/>
        </w:rPr>
        <w:t>Vaikų populiacija</w:t>
      </w:r>
    </w:p>
    <w:p w:rsidR="00A046F5" w:rsidRPr="00D35371" w:rsidRDefault="00A046F5" w:rsidP="005968DF">
      <w:pPr>
        <w:numPr>
          <w:ilvl w:val="0"/>
          <w:numId w:val="4"/>
        </w:numPr>
        <w:autoSpaceDE w:val="0"/>
        <w:autoSpaceDN w:val="0"/>
        <w:adjustRightInd w:val="0"/>
        <w:spacing w:after="0" w:line="240" w:lineRule="auto"/>
        <w:rPr>
          <w:rFonts w:ascii="Times New Roman" w:eastAsia="Calibri" w:hAnsi="Times New Roman" w:cs="Times New Roman"/>
          <w:lang w:val="lt-LT"/>
        </w:rPr>
      </w:pPr>
      <w:r w:rsidRPr="00D35371">
        <w:rPr>
          <w:rFonts w:ascii="Times New Roman" w:eastAsia="Calibri" w:hAnsi="Times New Roman" w:cs="Times New Roman"/>
          <w:lang w:val="lt-LT"/>
        </w:rPr>
        <w:t xml:space="preserve">Visos indikacijos </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 xml:space="preserve">Vaikams: </w:t>
      </w:r>
      <w:r w:rsidRPr="00A046F5">
        <w:rPr>
          <w:rFonts w:ascii="Times New Roman" w:eastAsia="Calibri" w:hAnsi="Times New Roman" w:cs="Times New Roman"/>
          <w:lang w:val="lt-LT" w:eastAsia="lt-LT"/>
        </w:rPr>
        <w:t>0,2 ml/kg kūno svorio; didžiausia vienkartinė dozė: 0,4 ml/kg kūno svorio.</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Vaikams (iki dvejų metų): viso kūno MRT patirtis nedidelė.</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Siekiant išvengti sužalojimų, vaikams iki dvejų metų reikiamą dozę reikia leisti rankiniu būdu, nenaudojant automatinio švirkšto.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lang w:val="lt-LT"/>
        </w:rPr>
      </w:pPr>
      <w:r w:rsidRPr="00D35371">
        <w:rPr>
          <w:rFonts w:ascii="Times New Roman" w:eastAsia="Calibri" w:hAnsi="Times New Roman" w:cs="Times New Roman"/>
          <w:i/>
          <w:lang w:val="lt-LT"/>
        </w:rPr>
        <w:t>Naujagimiai iki 4 savaičių amžiaus ir kūdikiai iki 1 metų amžiaus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negalima skirti naujagimiams iki 4 savaičių amžiaus (žr. 4.3 skyrių). Magnevist kūdikiams iki 1 metų amžiaus reikia skirti tik kruopščiai apsvarsčius, ne didesne kaip 0,1 mmol/kg kūno svorio doze, nes šių pacientų inkstų funkcija yra nesubrendusi. Vienam tyrimui galima naudoti ne daugiau kaip vieną dozę. Informacijos apie kartotinį vartojimą trūksta, todėl Magnevist injekcijų kartoti negalima, nebent tarp jų būtų mažiausiai 7 paros.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r w:rsidRPr="00D35371">
        <w:rPr>
          <w:rFonts w:ascii="Times New Roman" w:eastAsia="Calibri" w:hAnsi="Times New Roman" w:cs="Times New Roman"/>
          <w:i/>
          <w:lang w:val="lt-LT"/>
        </w:rPr>
        <w:t>Senyviems ≥ 65 metų pacientams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 xml:space="preserve">Manoma, kad </w:t>
      </w:r>
      <w:bookmarkStart w:id="1" w:name="OLE_LINK3"/>
      <w:bookmarkStart w:id="2" w:name="OLE_LINK4"/>
      <w:r w:rsidRPr="00A046F5">
        <w:rPr>
          <w:rFonts w:ascii="Times New Roman" w:eastAsia="Calibri" w:hAnsi="Times New Roman" w:cs="Times New Roman"/>
          <w:lang w:val="lt-LT"/>
        </w:rPr>
        <w:t>dozės keisti nereikia</w:t>
      </w:r>
      <w:bookmarkEnd w:id="1"/>
      <w:bookmarkEnd w:id="2"/>
      <w:r w:rsidRPr="00A046F5">
        <w:rPr>
          <w:rFonts w:ascii="Times New Roman" w:eastAsia="Calibri" w:hAnsi="Times New Roman" w:cs="Times New Roman"/>
          <w:lang w:val="lt-LT"/>
        </w:rPr>
        <w:t>. Senyviems pacientams reikia skirti atsargiai (žr. 4.4 skyrių).</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D35371">
        <w:rPr>
          <w:rFonts w:ascii="Times New Roman" w:eastAsia="Calibri" w:hAnsi="Times New Roman" w:cs="Times New Roman"/>
          <w:i/>
          <w:lang w:val="lt-LT"/>
        </w:rPr>
        <w:t>Pacientams, kurių kepenų funkcija sutrikusi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r w:rsidRPr="00A046F5">
        <w:rPr>
          <w:rFonts w:ascii="Times New Roman" w:eastAsia="Calibri" w:hAnsi="Times New Roman" w:cs="Times New Roman"/>
          <w:lang w:val="lt-LT" w:eastAsia="lt-LT"/>
        </w:rPr>
        <w:t xml:space="preserve">Gadopentetatas nepakitęs išsiskiria tik per inkstus, todėl pacientams, kuriems yra vidutinio sunkumo kepenų funkcijos sutrikimas, </w:t>
      </w:r>
      <w:r w:rsidRPr="00A046F5">
        <w:rPr>
          <w:rFonts w:ascii="Times New Roman" w:eastAsia="Calibri" w:hAnsi="Times New Roman" w:cs="Times New Roman"/>
          <w:lang w:val="lt-LT"/>
        </w:rPr>
        <w:t>dozės keisti nereikia. Duomenų apie pacientus, kuriems yra sunkus kepenų funkcijos sutrikimas, nėra (žr. 5.2 skyrių).</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lang w:val="lt-LT"/>
        </w:rPr>
      </w:pPr>
      <w:r w:rsidRPr="00D35371">
        <w:rPr>
          <w:rFonts w:ascii="Times New Roman" w:eastAsia="Calibri" w:hAnsi="Times New Roman" w:cs="Times New Roman"/>
          <w:i/>
          <w:lang w:val="lt-LT"/>
        </w:rPr>
        <w:lastRenderedPageBreak/>
        <w:t>Pacientams, kurių inkstų funkcija sutrikusi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Magnevist negalima skirti pacientams, kuriems yra sunkus inkstų funkcijos sutrikimas (GFG &lt;30 ml/min/1,73 m²) ir (arba) ūminis inkstų pažeidimas, taip pat pacientams kepenų transplantacijos perioperaciniu laikotarpiu (žr. 4.3 skyrių). Pacientams, kuriems yra vidutinio sunkumo inkstų funkcijos sutrikimas (GFG 30</w:t>
      </w:r>
      <w:r w:rsidRPr="00A046F5">
        <w:rPr>
          <w:rFonts w:ascii="Times New Roman" w:eastAsia="Calibri" w:hAnsi="Times New Roman" w:cs="Times New Roman"/>
          <w:lang w:val="lt-LT" w:eastAsia="lt-LT"/>
        </w:rPr>
        <w:noBreakHyphen/>
      </w:r>
      <w:r w:rsidRPr="00A046F5">
        <w:rPr>
          <w:rFonts w:ascii="Times New Roman" w:eastAsia="Calibri" w:hAnsi="Times New Roman" w:cs="Times New Roman"/>
          <w:lang w:val="lt-LT"/>
        </w:rPr>
        <w:t>59 ml/min/1,73 </w:t>
      </w:r>
      <w:r w:rsidRPr="00A046F5">
        <w:rPr>
          <w:rFonts w:ascii="Times New Roman" w:eastAsia="Calibri" w:hAnsi="Times New Roman" w:cs="Times New Roman"/>
          <w:lang w:val="lt-LT" w:eastAsia="lt-LT"/>
        </w:rPr>
        <w:t>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rPr>
        <w:t>), Magnevist turi būti skiriamas tik kruopščiai įvertinus rizikos ir naudos santykį ne didesne kaip 0,1 mmol/kg kūno svorio doze (žr. 4.4 skyrių). Vienam tyrimui galima naudoti ne daugiau kaip vieną dozę. Informacijos apie kartotinį vartojimą trūksta, todėl Magnevist injekcijų kartoti negalima, nebent tarp jų būtų mažiausiai 7 paros.</w:t>
      </w:r>
    </w:p>
    <w:p w:rsidR="00A046F5" w:rsidRPr="00A046F5" w:rsidRDefault="00A046F5" w:rsidP="00A046F5">
      <w:pPr>
        <w:spacing w:after="0" w:line="240" w:lineRule="auto"/>
        <w:rPr>
          <w:rFonts w:ascii="Times New Roman" w:eastAsia="Calibri" w:hAnsi="Times New Roman" w:cs="Times New Roman"/>
          <w:noProof/>
          <w:u w:val="single"/>
          <w:lang w:val="lt-LT" w:eastAsia="lt-LT"/>
        </w:rPr>
      </w:pPr>
    </w:p>
    <w:p w:rsidR="00A046F5" w:rsidRPr="00A046F5" w:rsidRDefault="00A046F5" w:rsidP="00A046F5">
      <w:pPr>
        <w:spacing w:after="0" w:line="240" w:lineRule="auto"/>
        <w:rPr>
          <w:rFonts w:ascii="Times New Roman" w:eastAsia="Calibri" w:hAnsi="Times New Roman" w:cs="Times New Roman"/>
          <w:u w:val="single"/>
          <w:lang w:val="lt-LT" w:eastAsia="lt-LT"/>
        </w:rPr>
      </w:pPr>
      <w:r w:rsidRPr="00A046F5">
        <w:rPr>
          <w:rFonts w:ascii="Times New Roman" w:eastAsia="Calibri" w:hAnsi="Times New Roman" w:cs="Times New Roman"/>
          <w:noProof/>
          <w:u w:val="single"/>
          <w:lang w:val="lt-LT" w:eastAsia="lt-LT"/>
        </w:rPr>
        <w:t>Vartojimo metodas</w:t>
      </w:r>
      <w:r w:rsidRPr="00A046F5">
        <w:rPr>
          <w:rFonts w:ascii="Times New Roman" w:eastAsia="Calibri" w:hAnsi="Times New Roman" w:cs="Times New Roman"/>
          <w:u w:val="single"/>
          <w:lang w:val="lt-LT" w:eastAsia="lt-LT"/>
        </w:rPr>
        <w:t xml:space="preserve"> </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Šis vaistinis preparatas vartojamas tik leisti į veną.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4.3</w:t>
      </w:r>
      <w:r w:rsidRPr="00A046F5">
        <w:rPr>
          <w:rFonts w:ascii="Times New Roman" w:eastAsia="Calibri" w:hAnsi="Times New Roman" w:cs="Times New Roman"/>
          <w:b/>
          <w:lang w:val="lt-LT" w:eastAsia="lt-LT"/>
        </w:rPr>
        <w:tab/>
        <w:t>Kontraindikacijos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negalima skirti pacientams, kuriems yra sunkus inkstų funkcijos sutrikimas (GFG &lt; 30 ml/min/1,73 m²) ir (arba) ūminis inkstų pažeidimas, taip pat pacientams kepenų transplantacijos perioperaciniu laikotarpiu ir naujagimiams iki 4 savaičių amžiaus (žr. 4.4 skyrių).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4.4</w:t>
      </w:r>
      <w:r w:rsidRPr="00A046F5">
        <w:rPr>
          <w:rFonts w:ascii="Times New Roman" w:eastAsia="Calibri" w:hAnsi="Times New Roman" w:cs="Times New Roman"/>
          <w:b/>
          <w:lang w:val="lt-LT" w:eastAsia="lt-LT"/>
        </w:rPr>
        <w:tab/>
        <w:t>Specialūs įspėjimai ir atsargumo priemonės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D35371" w:rsidRDefault="00A046F5" w:rsidP="00986E23">
      <w:pPr>
        <w:numPr>
          <w:ilvl w:val="0"/>
          <w:numId w:val="6"/>
        </w:numPr>
        <w:tabs>
          <w:tab w:val="num" w:pos="567"/>
        </w:tabs>
        <w:spacing w:after="0" w:line="240" w:lineRule="auto"/>
        <w:rPr>
          <w:rFonts w:ascii="Times New Roman" w:eastAsia="Calibri" w:hAnsi="Times New Roman" w:cs="Times New Roman"/>
          <w:bCs/>
          <w:lang w:val="lt-LT" w:eastAsia="lt-LT"/>
        </w:rPr>
      </w:pPr>
      <w:r w:rsidRPr="00D35371">
        <w:rPr>
          <w:rFonts w:ascii="Times New Roman" w:eastAsia="Calibri" w:hAnsi="Times New Roman" w:cs="Times New Roman"/>
          <w:bCs/>
          <w:lang w:val="lt-LT" w:eastAsia="lt-LT"/>
        </w:rPr>
        <w:t>Padidėjęs jautrumas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 xml:space="preserve">Jei žinoma, kad ligonio jautrumas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yra padidėjęs, reikia labai rūpestingai apsvarstyti tyrimo naudą ir galimą pavojų.</w:t>
      </w: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bCs/>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kaip ir kitų į veną leidžiamų kontrastinių medžiagų, vartojimas gali būti susijęs su anafilaktoidinėmis / padidėjusio jautrumo ar kitokiomis idiosinkrazijos reakcijomis, kurios (kartais sunkios, net šokas) pasireiškia širdies ir kraujagyslių, kvėpavimo organų sistemos ar odos simptomais.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Padidėjusio jautrumo reakcijų pavojų didina: </w:t>
      </w:r>
    </w:p>
    <w:p w:rsidR="00A046F5" w:rsidRPr="00A046F5" w:rsidRDefault="00A046F5" w:rsidP="00A046F5">
      <w:pPr>
        <w:numPr>
          <w:ilvl w:val="0"/>
          <w:numId w:val="8"/>
        </w:numPr>
        <w:tabs>
          <w:tab w:val="num" w:pos="567"/>
        </w:tabs>
        <w:spacing w:after="0" w:line="240" w:lineRule="auto"/>
        <w:ind w:hanging="108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anksčiau buvusi reakcija į kontrastinę medžiagą,</w:t>
      </w:r>
    </w:p>
    <w:p w:rsidR="00A046F5" w:rsidRPr="00A046F5" w:rsidRDefault="00A046F5" w:rsidP="00A046F5">
      <w:pPr>
        <w:numPr>
          <w:ilvl w:val="0"/>
          <w:numId w:val="8"/>
        </w:numPr>
        <w:tabs>
          <w:tab w:val="num" w:pos="567"/>
        </w:tabs>
        <w:spacing w:after="0" w:line="240" w:lineRule="auto"/>
        <w:ind w:hanging="108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anksčiau buvusi bronchų astma, </w:t>
      </w:r>
    </w:p>
    <w:p w:rsidR="00A046F5" w:rsidRPr="00A046F5" w:rsidRDefault="00A046F5" w:rsidP="00A046F5">
      <w:pPr>
        <w:numPr>
          <w:ilvl w:val="0"/>
          <w:numId w:val="8"/>
        </w:numPr>
        <w:tabs>
          <w:tab w:val="num" w:pos="567"/>
        </w:tabs>
        <w:spacing w:after="0" w:line="240" w:lineRule="auto"/>
        <w:ind w:hanging="108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anksčiau buvusios alerginės ligos.</w:t>
      </w:r>
    </w:p>
    <w:p w:rsidR="00A046F5" w:rsidRPr="00A046F5" w:rsidRDefault="00A046F5" w:rsidP="00A046F5">
      <w:pPr>
        <w:spacing w:after="0" w:line="240" w:lineRule="auto"/>
        <w:ind w:left="1080"/>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Prieš skiriant Magnevist pacientams, turintiems polinkį alergijai (ypač kai yra aukščiau paminėtos būklės), reikia labai rūpestingai apsvarstyti laukiamos naudos ir galimos rizikos santykį.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Dauguma šių reakcijų pasireiškia per pusvalandį nuo suleidimo, todėl po procedūros rekomenduojama kurį laiką stebėti pacientą.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Pasireiškus padidėjusio jautrumo reakcijai, būtina nedelsiant liautis švirkšti kontrastinę medžiagą ir, jei reikia, pasinaudojant vena pradėti specifinį gydymą. Todėl kontrastinę medžiagą patariama leisti į veną per lanksčią nuolatinę kaniulę.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Pacientams, turintiems polinkį alergijai, prieš tyrimą gali būti tikslinga duoti antihistamininių vaistų ir (arba) gliukokortikoidų.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Būtina pasirūpinti vaistais padidėjusio jautrumo reakcijoms gydyti bei priemonėmis skubiai pagalbai teikti.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Retais atvejais po kelių valandų ar dienų pasireiškė vėlyvos reakcijos (žr. 4.8 skyrių).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lastRenderedPageBreak/>
        <w:t>Beta adrenoblokatorius vartojantys pacientai, kuriems atsiranda šių reakcijų, gali būti atsparūs gydymui beta adrenomimetikais.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Ligoniams, sergantiems širdies ir kraujagyslių ligomis, sunkių padidėjusio jautrumo reakcijų baigtis būna blogesnė, net mirtina.</w:t>
      </w:r>
    </w:p>
    <w:p w:rsidR="00A046F5" w:rsidRPr="00A046F5" w:rsidRDefault="00A046F5" w:rsidP="00A046F5">
      <w:pPr>
        <w:keepNext/>
        <w:spacing w:after="0" w:line="240" w:lineRule="auto"/>
        <w:outlineLvl w:val="0"/>
        <w:rPr>
          <w:rFonts w:ascii="Times New Roman" w:eastAsia="Calibri" w:hAnsi="Times New Roman" w:cs="Times New Roman"/>
          <w:b/>
          <w:bCs/>
          <w:iCs/>
          <w:lang w:val="lt-LT"/>
        </w:rPr>
      </w:pPr>
    </w:p>
    <w:p w:rsidR="00A046F5" w:rsidRPr="00D35371" w:rsidRDefault="00A046F5" w:rsidP="00B16E6C">
      <w:pPr>
        <w:numPr>
          <w:ilvl w:val="0"/>
          <w:numId w:val="10"/>
        </w:numPr>
        <w:autoSpaceDE w:val="0"/>
        <w:autoSpaceDN w:val="0"/>
        <w:adjustRightInd w:val="0"/>
        <w:spacing w:after="0" w:line="240" w:lineRule="auto"/>
        <w:ind w:left="567" w:hanging="567"/>
        <w:rPr>
          <w:rFonts w:ascii="Times New Roman" w:eastAsia="Calibri" w:hAnsi="Times New Roman" w:cs="Times New Roman"/>
          <w:b/>
          <w:bCs/>
          <w:lang w:val="lt-LT"/>
        </w:rPr>
      </w:pPr>
      <w:r w:rsidRPr="00D35371">
        <w:rPr>
          <w:rFonts w:ascii="Times New Roman" w:eastAsia="Calibri" w:hAnsi="Times New Roman" w:cs="Times New Roman"/>
          <w:u w:val="single"/>
          <w:lang w:val="lt-LT"/>
        </w:rPr>
        <w:t>Pacientai, kurių inkstų veikla sutrikusi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bCs/>
          <w:lang w:val="lt-LT"/>
        </w:rPr>
      </w:pPr>
      <w:r w:rsidRPr="00A046F5">
        <w:rPr>
          <w:rFonts w:ascii="Times New Roman" w:eastAsia="Calibri" w:hAnsi="Times New Roman" w:cs="Times New Roman"/>
          <w:b/>
          <w:bCs/>
          <w:lang w:val="lt-LT"/>
        </w:rPr>
        <w:t>Prieš skiriant Magnevist, visus pacientus būtina patikrinti dėl inkstų veiklos sutrikimo atliekant laboratorinius tyrimus.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Yra duomenų apie nefrogeninę sisteminę fibrozę (NSF), susijusią su Magnevist ir kai kurių kitų gadolinio turinčių kontrastinių medžiagų vartojimu pacientams, kuriems yra ūminis ar lėtinis sunkus inkstų funkcijos sutrikimas (GFG &lt; 30 ml/min/1,73 </w:t>
      </w:r>
      <w:r w:rsidRPr="00A046F5">
        <w:rPr>
          <w:rFonts w:ascii="Times New Roman" w:eastAsia="Calibri" w:hAnsi="Times New Roman" w:cs="Times New Roman"/>
          <w:lang w:val="lt-LT" w:eastAsia="lt-LT"/>
        </w:rPr>
        <w:t>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rPr>
        <w:t>)</w:t>
      </w:r>
      <w:r w:rsidRPr="00A046F5">
        <w:rPr>
          <w:rFonts w:ascii="Times New Roman" w:eastAsia="Calibri" w:hAnsi="Times New Roman" w:cs="Times New Roman"/>
          <w:color w:val="000000"/>
          <w:lang w:val="lt-LT"/>
        </w:rPr>
        <w:t xml:space="preserve"> </w:t>
      </w:r>
      <w:r w:rsidRPr="00A046F5">
        <w:rPr>
          <w:rFonts w:ascii="Times New Roman" w:eastAsia="Calibri" w:hAnsi="Times New Roman" w:cs="Times New Roman"/>
          <w:lang w:val="lt-LT"/>
        </w:rPr>
        <w:t>ir (arba) ūminis inkstų pažeidimas. Šiems pacientams vartoti Magnevist negalima (žr. 4.3 skyrių). Ypatinga rizika yra pacientams, kuriems atliekama kepenų transplantacija, nes šioje grupėje dažnai pasireiškia ūminis inkstų nepakankamumas. Todėl Magnevist negalima skirti pacientams kepenų transplantacijos perioperaciniu laikotarpiu ir naujagimiams (žr. 4.3 skyrių).</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Pacientams, kuriems yra vidutinio sunkumo inkstų funkcijos sutrikimas (GFG 30</w:t>
      </w:r>
      <w:r w:rsidRPr="00A046F5">
        <w:rPr>
          <w:rFonts w:ascii="Times New Roman" w:eastAsia="Calibri" w:hAnsi="Times New Roman" w:cs="Times New Roman"/>
          <w:lang w:val="lt-LT" w:eastAsia="lt-LT"/>
        </w:rPr>
        <w:noBreakHyphen/>
      </w:r>
      <w:r w:rsidRPr="00A046F5">
        <w:rPr>
          <w:rFonts w:ascii="Times New Roman" w:eastAsia="Calibri" w:hAnsi="Times New Roman" w:cs="Times New Roman"/>
          <w:lang w:val="lt-LT"/>
        </w:rPr>
        <w:t>59 ml/min/1,73</w:t>
      </w:r>
      <w:r w:rsidRPr="00A046F5">
        <w:rPr>
          <w:rFonts w:ascii="Times New Roman" w:eastAsia="Calibri" w:hAnsi="Times New Roman" w:cs="Times New Roman"/>
          <w:lang w:val="lt-LT" w:eastAsia="lt-LT"/>
        </w:rPr>
        <w:t> 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rPr>
        <w:t>), NSF išsivystymo rizika yra nežinoma, todėl šiems pacientams Magnevist turi būti skiriamas tik kruopščiai įvertinus rizikos ir naudos santykį.</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Suleidus preparato, netrukus gali būti naudinga atlikti hemodializę, kad Magnevist pasišalintų iš organizmo. Po 3 dializės procedūrų, kurių kiekviena trunka po 3 val., iš organizmo pašalinama maždaug 97 % paskirtosios dozės, t.y. maždaug iki 70 % per kiekvieną dializės procedūrą. Neįrodyta, kad hemodializę būtų naudinga pradėti šia procedūra dar negydomų pacientų NSF prevencijai ar gydymui.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D35371" w:rsidRDefault="00A046F5" w:rsidP="00AA7FED">
      <w:pPr>
        <w:numPr>
          <w:ilvl w:val="0"/>
          <w:numId w:val="12"/>
        </w:numPr>
        <w:tabs>
          <w:tab w:val="num" w:pos="567"/>
        </w:tabs>
        <w:spacing w:after="0" w:line="240" w:lineRule="auto"/>
        <w:rPr>
          <w:rFonts w:ascii="Times New Roman" w:eastAsia="Calibri" w:hAnsi="Times New Roman" w:cs="Times New Roman"/>
          <w:bCs/>
          <w:lang w:val="lt-LT" w:eastAsia="lt-LT"/>
        </w:rPr>
      </w:pPr>
      <w:r w:rsidRPr="00D35371">
        <w:rPr>
          <w:rFonts w:ascii="Times New Roman" w:eastAsia="Calibri" w:hAnsi="Times New Roman" w:cs="Times New Roman"/>
          <w:bCs/>
          <w:lang w:val="lt-LT" w:eastAsia="lt-LT"/>
        </w:rPr>
        <w:t>Traukuliai</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 xml:space="preserve">Ligoniams, kuriems būna traukulių ar yra kaukolės vidaus sutrikimų, gali būti didesnis traukulių suaktyvėjimo pavojus; esama retų pranešimų apie šio reiškinio ryšį su </w:t>
      </w:r>
      <w:r w:rsidRPr="00A046F5">
        <w:rPr>
          <w:rFonts w:ascii="Times New Roman" w:eastAsia="Calibri" w:hAnsi="Times New Roman" w:cs="Times New Roman"/>
          <w:lang w:val="lt-LT" w:eastAsia="lt-LT"/>
        </w:rPr>
        <w:t>Magnevist vartojimu (žr. 4.8 skyrių). Tiriant ligonius, kuriems yra didesnė traukulių tikimybė, reikia imtis atsargumo priemonių, pavyzdžiui, juos atidžiai stebėti, iš anksto turėti visų reikiamų priemonių ir vaistų traukuliams gydyti.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r w:rsidRPr="00A046F5">
        <w:rPr>
          <w:rFonts w:ascii="Times New Roman" w:eastAsia="Calibri" w:hAnsi="Times New Roman" w:cs="Times New Roman"/>
          <w:u w:val="single"/>
          <w:lang w:val="lt-LT"/>
        </w:rPr>
        <w:t>Naujagimiai ir kūdikiai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negalima skirti naujagimiams iki 4 savaičių amžiaus (žr. 4.3 skyrių). Magnevist kūdikiams iki 1 metų amžiaus reikia skirti tik kruopščiai apsvarsčius, nes šių pacientų inkstų funkcija yra nesubrendusi.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u w:val="single"/>
          <w:lang w:val="lt-LT"/>
        </w:rPr>
        <w:t>Senyvi pacientai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Senyviems pacientams gali būti sutrikęs </w:t>
      </w:r>
      <w:r w:rsidRPr="00A046F5">
        <w:rPr>
          <w:rFonts w:ascii="Times New Roman" w:eastAsia="Calibri" w:hAnsi="Times New Roman" w:cs="Times New Roman"/>
          <w:lang w:val="lt-LT" w:eastAsia="lt-LT"/>
        </w:rPr>
        <w:t>gadopentetato dimegliumino</w:t>
      </w:r>
      <w:r w:rsidRPr="00A046F5">
        <w:rPr>
          <w:rFonts w:ascii="Times New Roman" w:eastAsia="Calibri" w:hAnsi="Times New Roman" w:cs="Times New Roman"/>
          <w:lang w:val="lt-LT"/>
        </w:rPr>
        <w:t xml:space="preserve"> klirensas per inkstus, todėl ypač svarbu patikrinti, ar 65 metų ir vyresniems pacientams nėra inkstų veiklos sutrikimo.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4.5</w:t>
      </w:r>
      <w:r w:rsidRPr="00A046F5">
        <w:rPr>
          <w:rFonts w:ascii="Times New Roman" w:eastAsia="Calibri" w:hAnsi="Times New Roman" w:cs="Times New Roman"/>
          <w:b/>
          <w:lang w:val="lt-LT" w:eastAsia="lt-LT"/>
        </w:rPr>
        <w:tab/>
        <w:t>Sąveika su kitais vaistiniais preparatais ir kitokia sąveika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Sąveikos tyrimų neatlikta.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Poveikis laboratorinių tyrimų rezultatams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Iki 24 valandų po Magnevist švirkštimo geležies koncentracijos serume matavimo rezultatai gali būti klaidingai maži, jei tiriama kompleksų matavimo metodu (pvz., batofenantrolino), nes Magnevist būna laisvos DTPR.</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lastRenderedPageBreak/>
        <w:t>4.6</w:t>
      </w:r>
      <w:r w:rsidRPr="00A046F5">
        <w:rPr>
          <w:rFonts w:ascii="Times New Roman" w:eastAsia="Calibri" w:hAnsi="Times New Roman" w:cs="Times New Roman"/>
          <w:b/>
          <w:lang w:val="lt-LT" w:eastAsia="lt-LT"/>
        </w:rPr>
        <w:tab/>
        <w:t>Vaisingumas, nėštumo ir žindymo laikotarpis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Nėštumas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Duomenų apie </w:t>
      </w:r>
      <w:r w:rsidRPr="00A046F5">
        <w:rPr>
          <w:rFonts w:ascii="Times New Roman" w:eastAsia="Calibri" w:hAnsi="Times New Roman" w:cs="Times New Roman"/>
          <w:lang w:val="lt-LT" w:eastAsia="lt-LT"/>
        </w:rPr>
        <w:t xml:space="preserve">gadopentetato dimegliumino </w:t>
      </w:r>
      <w:r w:rsidRPr="00A046F5">
        <w:rPr>
          <w:rFonts w:ascii="Times New Roman" w:eastAsia="Calibri" w:hAnsi="Times New Roman" w:cs="Times New Roman"/>
          <w:lang w:val="lt-LT"/>
        </w:rPr>
        <w:t xml:space="preserve">vartojimą nėštumo metu nėra. Su gyvūnais atlikti tyrimai tiesioginio ar netiesioginio kenksmingo toksinio poveikio reprodukcijai neparodė (žr. 5.3 skyrių). Magnevist nėštumo metu vartoti negalima, nebent moters klinikinė būklė yra tokia, kad jai būtina skirti </w:t>
      </w:r>
      <w:r w:rsidRPr="00A046F5">
        <w:rPr>
          <w:rFonts w:ascii="Times New Roman" w:eastAsia="Calibri" w:hAnsi="Times New Roman" w:cs="Times New Roman"/>
          <w:lang w:val="lt-LT" w:eastAsia="lt-LT"/>
        </w:rPr>
        <w:t>gadopentetato dimegliumino</w:t>
      </w:r>
      <w:r w:rsidRPr="00A046F5">
        <w:rPr>
          <w:rFonts w:ascii="Times New Roman" w:eastAsia="Calibri" w:hAnsi="Times New Roman" w:cs="Times New Roman"/>
          <w:lang w:val="lt-LT"/>
        </w:rPr>
        <w:t>.</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Žindymas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Nežinoma, ar </w:t>
      </w:r>
      <w:r w:rsidRPr="00A046F5">
        <w:rPr>
          <w:rFonts w:ascii="Times New Roman" w:eastAsia="Calibri" w:hAnsi="Times New Roman" w:cs="Times New Roman"/>
          <w:lang w:val="lt-LT" w:eastAsia="lt-LT"/>
        </w:rPr>
        <w:t>gadopentetato dimegliumino</w:t>
      </w:r>
      <w:r w:rsidRPr="00A046F5">
        <w:rPr>
          <w:rFonts w:ascii="Times New Roman" w:eastAsia="Calibri" w:hAnsi="Times New Roman" w:cs="Times New Roman"/>
          <w:lang w:val="lt-LT"/>
        </w:rPr>
        <w:t xml:space="preserve"> išsiskiria į motinos pieną. Nėra pakankamai informacijos apie tai, ar </w:t>
      </w:r>
      <w:r w:rsidRPr="00A046F5">
        <w:rPr>
          <w:rFonts w:ascii="Times New Roman" w:eastAsia="Calibri" w:hAnsi="Times New Roman" w:cs="Times New Roman"/>
          <w:lang w:val="lt-LT" w:eastAsia="lt-LT"/>
        </w:rPr>
        <w:t xml:space="preserve">gadopentetato dimegliumino </w:t>
      </w:r>
      <w:r w:rsidRPr="00A046F5">
        <w:rPr>
          <w:rFonts w:ascii="Times New Roman" w:eastAsia="Calibri" w:hAnsi="Times New Roman" w:cs="Times New Roman"/>
          <w:lang w:val="lt-LT"/>
        </w:rPr>
        <w:t>išsiskiria į gyvūnų pieną. Pavojaus žindomiems kūdikiams negalima atmesti. Paskyrus Magnevist, kūdikio negalima žindyti bent 24 valandas.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4.7</w:t>
      </w:r>
      <w:r w:rsidRPr="00A046F5">
        <w:rPr>
          <w:rFonts w:ascii="Times New Roman" w:eastAsia="Calibri" w:hAnsi="Times New Roman" w:cs="Times New Roman"/>
          <w:b/>
          <w:lang w:val="lt-LT" w:eastAsia="lt-LT"/>
        </w:rPr>
        <w:tab/>
        <w:t>Poveikis gebėjimui vairuoti ir valdyti mechanizmus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Duomenys neaktualūs.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4.8</w:t>
      </w:r>
      <w:r w:rsidRPr="00A046F5">
        <w:rPr>
          <w:rFonts w:ascii="Times New Roman" w:eastAsia="Calibri" w:hAnsi="Times New Roman" w:cs="Times New Roman"/>
          <w:b/>
          <w:lang w:val="lt-LT" w:eastAsia="lt-LT"/>
        </w:rPr>
        <w:tab/>
        <w:t>Nepageidaujamas poveikis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Bendros Magnevist saugumo savybės pagrįstos stebėjimo, pateikus vaistą į rinką, duomenimis </w:t>
      </w:r>
      <w:r w:rsidRPr="00A046F5">
        <w:rPr>
          <w:rFonts w:ascii="Times New Roman" w:eastAsia="Calibri" w:hAnsi="Times New Roman" w:cs="Times New Roman"/>
          <w:color w:val="000000"/>
          <w:lang w:val="lt-LT" w:eastAsia="lt-LT"/>
        </w:rPr>
        <w:t>ir klinikiniais tyrimais, kuriuose dalyvavo daugiau nei 11 000 pacientų.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color w:val="000000"/>
          <w:lang w:val="lt-LT" w:eastAsia="lt-LT"/>
        </w:rPr>
      </w:pPr>
      <w:r w:rsidRPr="00A046F5">
        <w:rPr>
          <w:rFonts w:ascii="Times New Roman" w:eastAsia="Calibri" w:hAnsi="Times New Roman" w:cs="Times New Roman"/>
          <w:color w:val="000000"/>
          <w:lang w:val="lt-LT" w:eastAsia="lt-LT"/>
        </w:rPr>
        <w:t>Pacientams, klinikinių tyrimų metu vartojusiems Magnevist, dažniausiai pastebėtos šios nepageidaujamos reakcijos (≥ 0,4 %):</w:t>
      </w:r>
    </w:p>
    <w:p w:rsidR="00A046F5" w:rsidRPr="00A046F5" w:rsidRDefault="00A046F5" w:rsidP="00A046F5">
      <w:pPr>
        <w:numPr>
          <w:ilvl w:val="0"/>
          <w:numId w:val="14"/>
        </w:numPr>
        <w:tabs>
          <w:tab w:val="num" w:pos="540"/>
        </w:tabs>
        <w:spacing w:after="0" w:line="240" w:lineRule="auto"/>
        <w:ind w:hanging="720"/>
        <w:rPr>
          <w:rFonts w:ascii="Times New Roman" w:eastAsia="Calibri" w:hAnsi="Times New Roman" w:cs="Times New Roman"/>
          <w:color w:val="000000"/>
          <w:lang w:val="lt-LT" w:eastAsia="lt-LT"/>
        </w:rPr>
      </w:pPr>
      <w:r w:rsidRPr="00A046F5">
        <w:rPr>
          <w:rFonts w:ascii="Times New Roman" w:eastAsia="Calibri" w:hAnsi="Times New Roman" w:cs="Times New Roman"/>
          <w:lang w:val="lt-LT" w:eastAsia="lt-LT"/>
        </w:rPr>
        <w:t>įvairios injekcijos vietos reakcijos,</w:t>
      </w:r>
    </w:p>
    <w:p w:rsidR="00A046F5" w:rsidRPr="00A046F5" w:rsidRDefault="00A046F5" w:rsidP="00A046F5">
      <w:pPr>
        <w:numPr>
          <w:ilvl w:val="0"/>
          <w:numId w:val="14"/>
        </w:numPr>
        <w:tabs>
          <w:tab w:val="num" w:pos="540"/>
        </w:tabs>
        <w:spacing w:after="0" w:line="240" w:lineRule="auto"/>
        <w:ind w:hanging="720"/>
        <w:rPr>
          <w:rFonts w:ascii="Times New Roman" w:eastAsia="Calibri" w:hAnsi="Times New Roman" w:cs="Times New Roman"/>
          <w:color w:val="000000"/>
          <w:lang w:val="lt-LT" w:eastAsia="lt-LT"/>
        </w:rPr>
      </w:pPr>
      <w:r w:rsidRPr="00A046F5">
        <w:rPr>
          <w:rFonts w:ascii="Times New Roman" w:eastAsia="Calibri" w:hAnsi="Times New Roman" w:cs="Times New Roman"/>
          <w:lang w:val="lt-LT" w:eastAsia="lt-LT"/>
        </w:rPr>
        <w:t>galvos skausmas,</w:t>
      </w:r>
    </w:p>
    <w:p w:rsidR="00A046F5" w:rsidRPr="00A046F5" w:rsidRDefault="00A046F5" w:rsidP="00A046F5">
      <w:pPr>
        <w:numPr>
          <w:ilvl w:val="0"/>
          <w:numId w:val="14"/>
        </w:numPr>
        <w:tabs>
          <w:tab w:val="num" w:pos="540"/>
        </w:tabs>
        <w:spacing w:after="0" w:line="240" w:lineRule="auto"/>
        <w:ind w:hanging="720"/>
        <w:rPr>
          <w:rFonts w:ascii="Times New Roman" w:eastAsia="Calibri" w:hAnsi="Times New Roman" w:cs="Times New Roman"/>
          <w:color w:val="000000"/>
          <w:lang w:val="lt-LT" w:eastAsia="lt-LT"/>
        </w:rPr>
      </w:pPr>
      <w:r w:rsidRPr="00A046F5">
        <w:rPr>
          <w:rFonts w:ascii="Times New Roman" w:eastAsia="Calibri" w:hAnsi="Times New Roman" w:cs="Times New Roman"/>
          <w:lang w:val="lt-LT" w:eastAsia="lt-LT"/>
        </w:rPr>
        <w:t>pykinimas.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 </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Dauguma nepageidaujamų reakcijų buvo lengvo ar vidutinio stiprumo.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Sunkiausios nepageidaujamos reakcijos Magnevist vartojantiems pacientams yra šios:</w:t>
      </w:r>
    </w:p>
    <w:p w:rsidR="00A046F5" w:rsidRPr="00A046F5" w:rsidRDefault="00A046F5" w:rsidP="00A046F5">
      <w:pPr>
        <w:numPr>
          <w:ilvl w:val="0"/>
          <w:numId w:val="16"/>
        </w:numPr>
        <w:tabs>
          <w:tab w:val="num" w:pos="540"/>
        </w:tabs>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nefrogeninė sisteminė fibrozė,</w:t>
      </w:r>
    </w:p>
    <w:p w:rsidR="00A046F5" w:rsidRPr="00A046F5" w:rsidRDefault="00A046F5" w:rsidP="00A046F5">
      <w:pPr>
        <w:numPr>
          <w:ilvl w:val="0"/>
          <w:numId w:val="16"/>
        </w:numPr>
        <w:tabs>
          <w:tab w:val="num" w:pos="540"/>
        </w:tabs>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anafilaktoidinės reakcijos ir anafilaksinis šokas.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Vėlyvos padidėjusio jautrumo ar anafilaktoidinės reakcijos (po kelių valandų ar dienų) nustatytos retai (žr. 4.4 skyrių).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eastAsia="lt-LT"/>
        </w:rPr>
        <w:t xml:space="preserve">Nepageidaujami poveikiai vartojant Magnevist pateikiami </w:t>
      </w:r>
      <w:r w:rsidRPr="00A046F5">
        <w:rPr>
          <w:rFonts w:ascii="Times New Roman" w:eastAsia="Calibri" w:hAnsi="Times New Roman" w:cs="Times New Roman"/>
          <w:bCs/>
          <w:lang w:val="lt-LT" w:eastAsia="lt-LT"/>
        </w:rPr>
        <w:t xml:space="preserve">lentelėje </w:t>
      </w:r>
      <w:r w:rsidRPr="00A046F5">
        <w:rPr>
          <w:rFonts w:ascii="Times New Roman" w:eastAsia="Calibri" w:hAnsi="Times New Roman" w:cs="Times New Roman"/>
          <w:color w:val="000000"/>
          <w:lang w:val="lt-LT" w:eastAsia="lt-LT"/>
        </w:rPr>
        <w:t>ž</w:t>
      </w:r>
      <w:r w:rsidRPr="00A046F5">
        <w:rPr>
          <w:rFonts w:ascii="Times New Roman" w:eastAsia="Calibri" w:hAnsi="Times New Roman" w:cs="Times New Roman"/>
          <w:bCs/>
          <w:lang w:val="lt-LT" w:eastAsia="lt-LT"/>
        </w:rPr>
        <w:t>emiau. Jie suskirstyti pagal organų sistemų klases (12.1 MedDRA versija)</w:t>
      </w:r>
      <w:r w:rsidRPr="00A046F5">
        <w:rPr>
          <w:rFonts w:ascii="Times New Roman" w:eastAsia="Calibri" w:hAnsi="Times New Roman" w:cs="Times New Roman"/>
          <w:lang w:val="lt-LT" w:eastAsia="lt-LT"/>
        </w:rPr>
        <w:t>. Apibūdinti tam tikrą poveikį ir jo sinonimus bei susijusias būkles yra naudojamas tinkamiausias MedDRA terminas.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eastAsia="lt-LT"/>
        </w:rPr>
        <w:t xml:space="preserve">Klinikinių tyrimų metu nustatytas nepageidaujamas poveikis yra suskirstytas pagal dažnį. </w:t>
      </w:r>
      <w:r w:rsidRPr="00A046F5">
        <w:rPr>
          <w:rFonts w:ascii="Times New Roman" w:eastAsia="Calibri" w:hAnsi="Times New Roman" w:cs="Times New Roman"/>
          <w:lang w:val="lt-LT" w:eastAsia="lt-LT"/>
        </w:rPr>
        <w:t xml:space="preserve">Nepageidaujamo poveikio dažnis apibūdinamas taip: nedažnas (nuo </w:t>
      </w:r>
      <w:r w:rsidRPr="00A046F5">
        <w:rPr>
          <w:rFonts w:ascii="Times New Roman" w:eastAsia="Calibri" w:hAnsi="Times New Roman" w:cs="Times New Roman"/>
          <w:lang w:val="lt-LT" w:eastAsia="lt-LT"/>
        </w:rPr>
        <w:sym w:font="Symbol" w:char="F0B3"/>
      </w:r>
      <w:r w:rsidRPr="00A046F5">
        <w:rPr>
          <w:rFonts w:ascii="Times New Roman" w:eastAsia="Calibri" w:hAnsi="Times New Roman" w:cs="Times New Roman"/>
          <w:lang w:val="lt-LT" w:eastAsia="lt-LT"/>
        </w:rPr>
        <w:t xml:space="preserve"> 1/1 000 iki </w:t>
      </w:r>
      <w:r w:rsidRPr="00A046F5">
        <w:rPr>
          <w:rFonts w:ascii="Times New Roman" w:eastAsia="Calibri" w:hAnsi="Times New Roman" w:cs="Times New Roman"/>
          <w:lang w:val="lt-LT" w:eastAsia="lt-LT"/>
        </w:rPr>
        <w:sym w:font="Symbol" w:char="F03C"/>
      </w:r>
      <w:r w:rsidRPr="00A046F5">
        <w:rPr>
          <w:rFonts w:ascii="Times New Roman" w:eastAsia="Calibri" w:hAnsi="Times New Roman" w:cs="Times New Roman"/>
          <w:lang w:val="lt-LT" w:eastAsia="lt-LT"/>
        </w:rPr>
        <w:t xml:space="preserve"> 1/100), retas (nuo </w:t>
      </w:r>
      <w:r w:rsidRPr="00A046F5">
        <w:rPr>
          <w:rFonts w:ascii="Times New Roman" w:eastAsia="Calibri" w:hAnsi="Times New Roman" w:cs="Times New Roman"/>
          <w:lang w:val="lt-LT" w:eastAsia="lt-LT"/>
        </w:rPr>
        <w:sym w:font="Symbol" w:char="F0B3"/>
      </w:r>
      <w:r w:rsidRPr="00A046F5">
        <w:rPr>
          <w:rFonts w:ascii="Times New Roman" w:eastAsia="Calibri" w:hAnsi="Times New Roman" w:cs="Times New Roman"/>
          <w:lang w:val="lt-LT" w:eastAsia="lt-LT"/>
        </w:rPr>
        <w:t xml:space="preserve"> 1/10 000 iki </w:t>
      </w:r>
      <w:r w:rsidRPr="00A046F5">
        <w:rPr>
          <w:rFonts w:ascii="Times New Roman" w:eastAsia="Calibri" w:hAnsi="Times New Roman" w:cs="Times New Roman"/>
          <w:lang w:val="lt-LT" w:eastAsia="lt-LT"/>
        </w:rPr>
        <w:sym w:font="Symbol" w:char="F03C"/>
      </w:r>
      <w:r w:rsidRPr="00A046F5">
        <w:rPr>
          <w:rFonts w:ascii="Times New Roman" w:eastAsia="Calibri" w:hAnsi="Times New Roman" w:cs="Times New Roman"/>
          <w:lang w:val="lt-LT" w:eastAsia="lt-LT"/>
        </w:rPr>
        <w:t> 1/1000). Nepageidaujamas poveikis, kuris buvo nustatytas tik pateikus vaistą į rinką ir kurio dažnio negalima įvertinti, priskirtas grupei „dažnis nežinomas“.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tabs>
          <w:tab w:val="left" w:pos="11174"/>
          <w:tab w:val="left" w:pos="15142"/>
        </w:tabs>
        <w:suppressAutoHyphens/>
        <w:spacing w:after="0" w:line="240" w:lineRule="auto"/>
        <w:rPr>
          <w:rFonts w:ascii="Times New Roman" w:eastAsia="Calibri" w:hAnsi="Times New Roman" w:cs="Times New Roman"/>
          <w:lang w:val="lt-LT" w:eastAsia="de-DE"/>
        </w:rPr>
      </w:pPr>
      <w:r w:rsidRPr="00A046F5">
        <w:rPr>
          <w:rFonts w:ascii="Times New Roman" w:eastAsia="Calibri" w:hAnsi="Times New Roman" w:cs="Times New Roman"/>
          <w:b/>
          <w:snapToGrid w:val="0"/>
          <w:lang w:val="lt-LT" w:eastAsia="de-DE"/>
        </w:rPr>
        <w:t>1 lentelė. N</w:t>
      </w:r>
      <w:r w:rsidRPr="00A046F5">
        <w:rPr>
          <w:rFonts w:ascii="Times New Roman" w:eastAsia="Calibri" w:hAnsi="Times New Roman" w:cs="Times New Roman"/>
          <w:b/>
          <w:lang w:val="lt-LT"/>
        </w:rPr>
        <w:t xml:space="preserve">epageidaujamas poveikis, nustatytas </w:t>
      </w:r>
      <w:r w:rsidRPr="00A046F5">
        <w:rPr>
          <w:rFonts w:ascii="Times New Roman" w:eastAsia="Calibri" w:hAnsi="Times New Roman" w:cs="Times New Roman"/>
          <w:b/>
          <w:lang w:val="lt-LT" w:eastAsia="de-DE"/>
        </w:rPr>
        <w:t xml:space="preserve">Magnevist vartojusiems pacientams </w:t>
      </w:r>
      <w:r w:rsidRPr="00A046F5">
        <w:rPr>
          <w:rFonts w:ascii="Times New Roman" w:eastAsia="Calibri" w:hAnsi="Times New Roman" w:cs="Times New Roman"/>
          <w:b/>
          <w:lang w:val="lt-LT"/>
        </w:rPr>
        <w:t xml:space="preserve">klinikinių tyrimų metu arba pateikus vaistą į rinką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2255"/>
        <w:gridCol w:w="2543"/>
        <w:gridCol w:w="2639"/>
      </w:tblGrid>
      <w:tr w:rsidR="00A046F5" w:rsidRPr="00A046F5" w:rsidTr="00A046F5">
        <w:trPr>
          <w:cantSplit/>
          <w:trHeight w:val="458"/>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spacing w:after="0" w:line="240" w:lineRule="auto"/>
              <w:jc w:val="center"/>
              <w:rPr>
                <w:rFonts w:ascii="Times New Roman" w:eastAsia="Calibri" w:hAnsi="Times New Roman" w:cs="Times New Roman"/>
                <w:b/>
                <w:lang w:val="lt-LT"/>
              </w:rPr>
            </w:pPr>
            <w:r w:rsidRPr="00A046F5">
              <w:rPr>
                <w:rFonts w:ascii="Times New Roman" w:eastAsia="Calibri" w:hAnsi="Times New Roman" w:cs="Times New Roman"/>
                <w:b/>
                <w:lang w:val="lt-LT"/>
              </w:rPr>
              <w:lastRenderedPageBreak/>
              <w:t>Organų sistemų klasė</w:t>
            </w:r>
            <w:r w:rsidRPr="00A046F5">
              <w:rPr>
                <w:rFonts w:ascii="Times New Roman" w:eastAsia="Calibri" w:hAnsi="Times New Roman" w:cs="Times New Roman"/>
                <w:b/>
                <w:lang w:val="lt-LT"/>
              </w:rPr>
              <w:br/>
              <w:t>(MedDRA)</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spacing w:after="0" w:line="240" w:lineRule="auto"/>
              <w:jc w:val="center"/>
              <w:rPr>
                <w:rFonts w:ascii="Times New Roman" w:eastAsia="Calibri" w:hAnsi="Times New Roman" w:cs="Times New Roman"/>
                <w:b/>
                <w:lang w:val="lt-LT"/>
              </w:rPr>
            </w:pPr>
            <w:r w:rsidRPr="00A046F5">
              <w:rPr>
                <w:rFonts w:ascii="Times New Roman" w:eastAsia="Calibri" w:hAnsi="Times New Roman" w:cs="Times New Roman"/>
                <w:b/>
                <w:lang w:val="lt-LT"/>
              </w:rPr>
              <w:t>Nedažni</w:t>
            </w:r>
          </w:p>
          <w:p w:rsidR="00A046F5" w:rsidRPr="00A046F5" w:rsidRDefault="00A046F5" w:rsidP="00A046F5">
            <w:pPr>
              <w:keepNext/>
              <w:spacing w:after="0" w:line="240" w:lineRule="auto"/>
              <w:rPr>
                <w:rFonts w:ascii="Times New Roman" w:eastAsia="Calibri" w:hAnsi="Times New Roman" w:cs="Times New Roman"/>
                <w:b/>
                <w:lang w:val="lt-LT"/>
              </w:rPr>
            </w:pP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spacing w:after="0" w:line="240" w:lineRule="auto"/>
              <w:jc w:val="center"/>
              <w:rPr>
                <w:rFonts w:ascii="Times New Roman" w:eastAsia="Calibri" w:hAnsi="Times New Roman" w:cs="Times New Roman"/>
                <w:b/>
                <w:lang w:val="lt-LT"/>
              </w:rPr>
            </w:pPr>
            <w:r w:rsidRPr="00A046F5">
              <w:rPr>
                <w:rFonts w:ascii="Times New Roman" w:eastAsia="Calibri" w:hAnsi="Times New Roman" w:cs="Times New Roman"/>
                <w:b/>
                <w:lang w:val="lt-LT"/>
              </w:rPr>
              <w:t>Reti</w:t>
            </w:r>
          </w:p>
          <w:p w:rsidR="00A046F5" w:rsidRPr="00A046F5" w:rsidRDefault="00A046F5" w:rsidP="00A046F5">
            <w:pPr>
              <w:keepNext/>
              <w:spacing w:after="0" w:line="240" w:lineRule="auto"/>
              <w:jc w:val="center"/>
              <w:rPr>
                <w:rFonts w:ascii="Times New Roman" w:eastAsia="Calibri" w:hAnsi="Times New Roman" w:cs="Times New Roman"/>
                <w:b/>
                <w:lang w:val="lt-LT"/>
              </w:rPr>
            </w:pP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spacing w:before="120" w:after="120" w:line="240" w:lineRule="auto"/>
              <w:jc w:val="center"/>
              <w:rPr>
                <w:rFonts w:ascii="Times New Roman" w:eastAsia="Calibri" w:hAnsi="Times New Roman" w:cs="Times New Roman"/>
                <w:b/>
                <w:lang w:val="lt-LT"/>
              </w:rPr>
            </w:pPr>
            <w:r w:rsidRPr="00A046F5">
              <w:rPr>
                <w:rFonts w:ascii="Times New Roman" w:eastAsia="Calibri" w:hAnsi="Times New Roman" w:cs="Times New Roman"/>
                <w:b/>
                <w:lang w:val="lt-LT"/>
              </w:rPr>
              <w:t>Dažnis nežinomas</w:t>
            </w:r>
          </w:p>
        </w:tc>
      </w:tr>
      <w:tr w:rsidR="00A046F5" w:rsidRPr="00A046F5" w:rsidTr="00A046F5">
        <w:trPr>
          <w:cantSplit/>
          <w:trHeight w:val="380"/>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spacing w:after="0" w:line="240" w:lineRule="auto"/>
              <w:rPr>
                <w:rFonts w:ascii="Times New Roman" w:eastAsia="Calibri" w:hAnsi="Times New Roman" w:cs="Times New Roman"/>
                <w:b/>
                <w:bCs/>
                <w:lang w:val="lt-LT"/>
              </w:rPr>
            </w:pPr>
            <w:r w:rsidRPr="00A046F5">
              <w:rPr>
                <w:rFonts w:ascii="Times New Roman" w:eastAsia="Calibri" w:hAnsi="Times New Roman" w:cs="Times New Roman"/>
                <w:b/>
                <w:lang w:val="lt-LT"/>
              </w:rPr>
              <w:t>Kraujo ir limfinės sistemos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Padidėjusi geležies koncentracija serume *</w:t>
            </w:r>
          </w:p>
        </w:tc>
      </w:tr>
      <w:tr w:rsidR="00A046F5" w:rsidRPr="00284154"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Imuninės sistemos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Padidėjusio jautrumo arba anafilaktoidinė reakcija</w:t>
            </w:r>
            <w:r w:rsidRPr="00A046F5">
              <w:rPr>
                <w:rFonts w:ascii="Times New Roman" w:eastAsia="Calibri" w:hAnsi="Times New Roman" w:cs="Times New Roman"/>
                <w:lang w:val="lt-LT"/>
              </w:rPr>
              <w:br/>
              <w:t>(pvz., anafilaksinis šokas*, anafilaktoidinė  reakcija</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xml:space="preserve"> *, padidėjusio jautrumo reakcijos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xml:space="preserve"> *, šokas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xml:space="preserve"> *, h</w:t>
            </w:r>
            <w:r w:rsidRPr="00A046F5">
              <w:rPr>
                <w:rFonts w:ascii="Times New Roman" w:eastAsia="Calibri" w:hAnsi="Times New Roman" w:cs="Times New Roman"/>
                <w:bCs/>
                <w:lang w:val="lt-LT"/>
              </w:rPr>
              <w:t>ipotenzija</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xml:space="preserve"> *, konjunktyvitas, sąmonės netekimas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xml:space="preserve"> *, gerklų spazmas*, čiaudulys, dilgėlinė, niežulys, bėrimas, eritema, dusulys*, kvėpavimo sustojimas</w:t>
            </w:r>
            <w:r w:rsidRPr="00A046F5">
              <w:rPr>
                <w:rFonts w:ascii="Times New Roman" w:eastAsia="Calibri" w:hAnsi="Times New Roman" w:cs="Times New Roman"/>
                <w:b/>
                <w:vertAlign w:val="superscript"/>
                <w:lang w:val="lt-LT"/>
              </w:rPr>
              <w:t xml:space="preserve"> §</w:t>
            </w:r>
            <w:r w:rsidRPr="00A046F5">
              <w:rPr>
                <w:rFonts w:ascii="Times New Roman" w:eastAsia="Calibri" w:hAnsi="Times New Roman" w:cs="Times New Roman"/>
                <w:lang w:val="lt-LT"/>
              </w:rPr>
              <w:t xml:space="preserve"> *,  bronchospazmas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 švokštimas, gerklų spazmas</w:t>
            </w:r>
            <w:r w:rsidRPr="00A046F5">
              <w:rPr>
                <w:rFonts w:ascii="Times New Roman" w:eastAsia="Calibri" w:hAnsi="Times New Roman" w:cs="Times New Roman"/>
                <w:b/>
                <w:vertAlign w:val="superscript"/>
                <w:lang w:val="lt-LT"/>
              </w:rPr>
              <w:t>§ </w:t>
            </w:r>
            <w:r w:rsidRPr="00A046F5">
              <w:rPr>
                <w:rFonts w:ascii="Times New Roman" w:eastAsia="Calibri" w:hAnsi="Times New Roman" w:cs="Times New Roman"/>
                <w:lang w:val="lt-LT"/>
              </w:rPr>
              <w:t>*, gerklų paburkimas</w:t>
            </w:r>
            <w:r w:rsidRPr="00A046F5">
              <w:rPr>
                <w:rFonts w:ascii="Times New Roman" w:eastAsia="Calibri" w:hAnsi="Times New Roman" w:cs="Times New Roman"/>
                <w:b/>
                <w:vertAlign w:val="superscript"/>
                <w:lang w:val="lt-LT"/>
              </w:rPr>
              <w:t>§ </w:t>
            </w:r>
            <w:r w:rsidRPr="00A046F5">
              <w:rPr>
                <w:rFonts w:ascii="Times New Roman" w:eastAsia="Calibri" w:hAnsi="Times New Roman" w:cs="Times New Roman"/>
                <w:lang w:val="lt-LT"/>
              </w:rPr>
              <w:t>*, ryklės paburkimas</w:t>
            </w:r>
            <w:r w:rsidRPr="00A046F5">
              <w:rPr>
                <w:rFonts w:ascii="Times New Roman" w:eastAsia="Calibri" w:hAnsi="Times New Roman" w:cs="Times New Roman"/>
                <w:b/>
                <w:vertAlign w:val="superscript"/>
                <w:lang w:val="lt-LT"/>
              </w:rPr>
              <w:t>§ </w:t>
            </w:r>
            <w:r w:rsidRPr="00A046F5">
              <w:rPr>
                <w:rFonts w:ascii="Times New Roman" w:eastAsia="Calibri" w:hAnsi="Times New Roman" w:cs="Times New Roman"/>
                <w:lang w:val="lt-LT"/>
              </w:rPr>
              <w:t>*, cianozė</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 rinitas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angioneurozinė edema</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 veido edema*, refleksinė tachikardija</w:t>
            </w:r>
            <w:r w:rsidRPr="00A046F5">
              <w:rPr>
                <w:rFonts w:ascii="Times New Roman" w:eastAsia="Calibri" w:hAnsi="Times New Roman" w:cs="Times New Roman"/>
                <w:b/>
                <w:vertAlign w:val="superscript"/>
                <w:lang w:val="lt-LT"/>
              </w:rPr>
              <w:t xml:space="preserve"> §</w:t>
            </w:r>
            <w:r w:rsidRPr="00A046F5">
              <w:rPr>
                <w:rFonts w:ascii="Times New Roman" w:eastAsia="Calibri" w:hAnsi="Times New Roman" w:cs="Times New Roman"/>
                <w:lang w:val="lt-LT"/>
              </w:rPr>
              <w:t>)</w:t>
            </w:r>
          </w:p>
        </w:tc>
        <w:tc>
          <w:tcPr>
            <w:tcW w:w="2640"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p>
        </w:tc>
      </w:tr>
      <w:tr w:rsidR="00A046F5" w:rsidRPr="00A046F5"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Psichikos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Dezorientacija</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Ažitacija,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konfūzija</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 xml:space="preserve">Nervų sistemos sutrikimai </w:t>
            </w:r>
          </w:p>
        </w:tc>
        <w:tc>
          <w:tcPr>
            <w:tcW w:w="2256"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Svaigulys,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galvos skausmas, skonio sutrikimai</w:t>
            </w: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Traukuliai*,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parestezija,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deginimo pojūtis, drebulys</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Koma*,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mieguistumas*,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kalbos sutrikimas,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uoslės sutrikimai</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 xml:space="preserve">Akių sutrikimai </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Regos sutrikimai,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akies skausmas,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ašarojimas</w:t>
            </w:r>
          </w:p>
        </w:tc>
      </w:tr>
      <w:tr w:rsidR="00A046F5" w:rsidRPr="00A046F5"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 xml:space="preserve">Ausų ir labirintų sutrikimai </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Sutrikusi klausa, ausies skausmas</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Širdies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Tachikardija*,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aritmija</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Širdies sustojimas*,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širdies ritmo sulėtėjimas/ bradikardija*</w:t>
            </w:r>
          </w:p>
        </w:tc>
      </w:tr>
      <w:tr w:rsidR="00A046F5" w:rsidRPr="00284154"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lastRenderedPageBreak/>
              <w:t>Kraujagyslių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Tromboflebitas,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veido paraudimas, vazodilatacija</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Sinkopė*,</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vazovagalinė reakcija,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padidėjęs kraujospūdis</w:t>
            </w:r>
          </w:p>
        </w:tc>
      </w:tr>
      <w:tr w:rsidR="00A046F5" w:rsidRPr="00A046F5"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Kvėpavimo sistemos, krūtinės ląstos ir tarpuplaučio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Ryklės dirginimas,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ryklės ir gerklų skausmas ar ryklės diskomfortas, kosulys</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Kvėpavimo sutrikimas, padidėjęs ar sumažėjęs kvėpavimo dažnis,</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plaučių edema*</w:t>
            </w:r>
          </w:p>
        </w:tc>
      </w:tr>
      <w:tr w:rsidR="00A046F5" w:rsidRPr="00A046F5"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Virškinimo trakto sutrikimai</w:t>
            </w:r>
          </w:p>
        </w:tc>
        <w:tc>
          <w:tcPr>
            <w:tcW w:w="2256"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Vėmimas,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pykinimas</w:t>
            </w: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Pilvo skausmas, skrandžio diskomfortas, viduriavimas,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danties skausmas,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burnos džiūvimas,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burnos minkštųjų audinių skausmas ir parestezija</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Seilėtekis</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Kepenų, tulžies pūslės ir latakų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Padidėjusi bilirubino koncentracija serume, kepenų fermentų aktyvumo padidėjimas </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Odos ir poodinio audinio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br/>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Nefrogeninė sisteminė fibrozė (NSF) (žr. 4.4 skyrių)* </w:t>
            </w:r>
          </w:p>
        </w:tc>
      </w:tr>
      <w:tr w:rsidR="00A046F5" w:rsidRPr="00A046F5"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Skeleto, raumenų ir jungiamojo audinio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Galūnių skausmas</w:t>
            </w: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Nugaros skausmas, artralgija</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Inkstų ir šlapimo takų sutrikimai</w:t>
            </w:r>
          </w:p>
        </w:tc>
        <w:tc>
          <w:tcPr>
            <w:tcW w:w="2256"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p>
        </w:tc>
        <w:tc>
          <w:tcPr>
            <w:tcW w:w="2640"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Ūminis inkstų nepakankamumas*  **, </w:t>
            </w:r>
            <w:r w:rsidRPr="00A046F5">
              <w:rPr>
                <w:rFonts w:ascii="Times New Roman" w:eastAsia="Calibri" w:hAnsi="Times New Roman" w:cs="Times New Roman"/>
                <w:lang w:val="lt-LT"/>
              </w:rPr>
              <w:br/>
              <w:t>kreatinino koncentracijos serume padidėjimas**, šlapimo nelaikymas, primygtinis noras šlapintis.</w:t>
            </w:r>
          </w:p>
        </w:tc>
      </w:tr>
      <w:tr w:rsidR="00A046F5" w:rsidRPr="00282F9B" w:rsidTr="00A046F5">
        <w:trPr>
          <w:cantSplit/>
        </w:trPr>
        <w:tc>
          <w:tcPr>
            <w:tcW w:w="2388"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widowControl w:val="0"/>
              <w:spacing w:after="0" w:line="240" w:lineRule="auto"/>
              <w:rPr>
                <w:rFonts w:ascii="Times New Roman" w:eastAsia="Calibri" w:hAnsi="Times New Roman" w:cs="Times New Roman"/>
                <w:b/>
                <w:lang w:val="lt-LT"/>
              </w:rPr>
            </w:pPr>
            <w:r w:rsidRPr="00A046F5">
              <w:rPr>
                <w:rFonts w:ascii="Times New Roman" w:eastAsia="Calibri" w:hAnsi="Times New Roman" w:cs="Times New Roman"/>
                <w:b/>
                <w:lang w:val="lt-LT"/>
              </w:rPr>
              <w:t>Bendrieji sutrikimai ir vartojimo vietos pažeidimai</w:t>
            </w:r>
          </w:p>
        </w:tc>
        <w:tc>
          <w:tcPr>
            <w:tcW w:w="2256" w:type="dxa"/>
            <w:tcBorders>
              <w:top w:val="single" w:sz="4" w:space="0" w:color="auto"/>
              <w:left w:val="single" w:sz="4" w:space="0" w:color="auto"/>
              <w:bottom w:val="single" w:sz="4" w:space="0" w:color="auto"/>
              <w:right w:val="single" w:sz="4" w:space="0" w:color="auto"/>
            </w:tcBorders>
            <w:hideMark/>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Skausmas,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karščio jutimas,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šalčio jutimas,</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injekcijos vietos reakcijos (pvz., šalčio pojūtis injekcijos vietoje, parestezija,  tinimas, šiluma, skausmas, edema,  sudirginimas, hemoragija, eritema, diskomfortas, nekrozė</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tromboflebitas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flebitas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uždegimas</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 ekstravazacija</w:t>
            </w:r>
            <w:r w:rsidRPr="00A046F5">
              <w:rPr>
                <w:rFonts w:ascii="Times New Roman" w:eastAsia="Calibri" w:hAnsi="Times New Roman" w:cs="Times New Roman"/>
                <w:b/>
                <w:vertAlign w:val="superscript"/>
                <w:lang w:val="lt-LT"/>
              </w:rPr>
              <w:t>§</w:t>
            </w:r>
            <w:r w:rsidRPr="00A046F5">
              <w:rPr>
                <w:rFonts w:ascii="Times New Roman" w:eastAsia="Calibri" w:hAnsi="Times New Roman" w:cs="Times New Roman"/>
                <w:lang w:val="lt-LT"/>
              </w:rPr>
              <w:t>)</w:t>
            </w:r>
          </w:p>
        </w:tc>
        <w:tc>
          <w:tcPr>
            <w:tcW w:w="2544"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Krūtinės skausmas, karščiavimas,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periferinė edema, negalavimas,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nuovargis,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troškulys,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astenija</w:t>
            </w:r>
          </w:p>
          <w:p w:rsidR="00A046F5" w:rsidRPr="00A046F5" w:rsidRDefault="00A046F5" w:rsidP="00A046F5">
            <w:pPr>
              <w:spacing w:after="0" w:line="240" w:lineRule="auto"/>
              <w:rPr>
                <w:rFonts w:ascii="Times New Roman" w:eastAsia="Calibri" w:hAnsi="Times New Roman" w:cs="Times New Roman"/>
                <w:lang w:val="lt-LT"/>
              </w:rPr>
            </w:pPr>
          </w:p>
          <w:p w:rsidR="00A046F5" w:rsidRPr="00A046F5" w:rsidRDefault="00A046F5" w:rsidP="00A046F5">
            <w:pPr>
              <w:spacing w:after="0" w:line="240" w:lineRule="auto"/>
              <w:rPr>
                <w:rFonts w:ascii="Times New Roman" w:eastAsia="Calibri" w:hAnsi="Times New Roman" w:cs="Times New Roman"/>
                <w:lang w:val="lt-LT"/>
              </w:rPr>
            </w:pPr>
          </w:p>
        </w:tc>
        <w:tc>
          <w:tcPr>
            <w:tcW w:w="2640" w:type="dxa"/>
            <w:tcBorders>
              <w:top w:val="single" w:sz="4" w:space="0" w:color="auto"/>
              <w:left w:val="single" w:sz="4" w:space="0" w:color="auto"/>
              <w:bottom w:val="single" w:sz="4" w:space="0" w:color="auto"/>
              <w:right w:val="single" w:sz="4" w:space="0" w:color="auto"/>
            </w:tcBorders>
          </w:tcPr>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Šaltkrėtis,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prakaitavimas, </w:t>
            </w:r>
          </w:p>
          <w:p w:rsidR="00A046F5" w:rsidRPr="00A046F5" w:rsidRDefault="00A046F5" w:rsidP="00A046F5">
            <w:pPr>
              <w:keepNext/>
              <w:widowControl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padidėjusi arba sumažėjusi kūno temperatūra</w:t>
            </w:r>
            <w:r w:rsidRPr="00A046F5">
              <w:rPr>
                <w:rFonts w:ascii="Times New Roman" w:eastAsia="Calibri" w:hAnsi="Times New Roman" w:cs="Times New Roman"/>
                <w:lang w:val="lt-LT"/>
              </w:rPr>
              <w:br/>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rPr>
            </w:pPr>
          </w:p>
          <w:p w:rsidR="00A046F5" w:rsidRPr="00A046F5" w:rsidRDefault="00A046F5" w:rsidP="00A046F5">
            <w:pPr>
              <w:spacing w:after="0" w:line="240" w:lineRule="auto"/>
              <w:rPr>
                <w:rFonts w:ascii="Times New Roman" w:eastAsia="Calibri" w:hAnsi="Times New Roman" w:cs="Times New Roman"/>
                <w:lang w:val="lt-LT"/>
              </w:rPr>
            </w:pPr>
          </w:p>
        </w:tc>
      </w:tr>
    </w:tbl>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Buvo gauta pranešimų apie gyvybei pavojingas reakcijas ir (arba) mirties atvejus</w:t>
      </w: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Pacientams, kurių inkstų funkcija jau buvo sutrikusi</w:t>
      </w: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vertAlign w:val="superscript"/>
          <w:lang w:val="lt-LT" w:eastAsia="lt-LT"/>
        </w:rPr>
        <w:t>§</w:t>
      </w:r>
      <w:r w:rsidRPr="00A046F5">
        <w:rPr>
          <w:rFonts w:ascii="Times New Roman" w:eastAsia="Calibri" w:hAnsi="Times New Roman" w:cs="Times New Roman"/>
          <w:lang w:val="lt-LT" w:eastAsia="lt-LT"/>
        </w:rPr>
        <w:t xml:space="preserve">   Reakcijos nustatytos tik</w:t>
      </w:r>
      <w:r w:rsidRPr="00A046F5">
        <w:rPr>
          <w:rFonts w:ascii="Times New Roman" w:eastAsia="Calibri" w:hAnsi="Times New Roman" w:cs="Times New Roman"/>
          <w:b/>
          <w:lang w:val="lt-LT"/>
        </w:rPr>
        <w:t xml:space="preserve"> </w:t>
      </w:r>
      <w:r w:rsidRPr="00A046F5">
        <w:rPr>
          <w:rFonts w:ascii="Times New Roman" w:eastAsia="Calibri" w:hAnsi="Times New Roman" w:cs="Times New Roman"/>
          <w:lang w:val="lt-LT"/>
        </w:rPr>
        <w:t>pateikus vaistą į rinką (dažnis nežinomas)</w:t>
      </w:r>
      <w:r w:rsidRPr="00A046F5">
        <w:rPr>
          <w:rFonts w:ascii="Times New Roman" w:eastAsia="Calibri" w:hAnsi="Times New Roman" w:cs="Times New Roman"/>
          <w:b/>
          <w:lang w:val="lt-LT"/>
        </w:rPr>
        <w:t xml:space="preserve"> </w:t>
      </w: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lastRenderedPageBreak/>
        <w:t>Vartojant Magnevist, buvo pranešta apie nefrogeninės sisteminės fibrozės (NSF) atvejus (žr. 4.4 skyrių).</w:t>
      </w: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p>
    <w:p w:rsidR="00A046F5" w:rsidRPr="00A046F5" w:rsidRDefault="00A046F5" w:rsidP="00A046F5">
      <w:pPr>
        <w:tabs>
          <w:tab w:val="left" w:pos="720"/>
          <w:tab w:val="center" w:pos="4153"/>
          <w:tab w:val="right" w:pos="8306"/>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Dializuojamiems pacientams, esant inkstų nepakankamumui, paskyrus Magnevist, dažnai pasireiškė vėlyvos ir trumpalaikės į uždegimines panašios reakcijos: karščiavimas, šaltkrėtis ir </w:t>
      </w:r>
      <w:r w:rsidRPr="00A046F5">
        <w:rPr>
          <w:rFonts w:ascii="Times New Roman" w:eastAsia="Calibri" w:hAnsi="Times New Roman" w:cs="Times New Roman"/>
          <w:iCs/>
          <w:lang w:val="lt-LT" w:eastAsia="lt-LT"/>
        </w:rPr>
        <w:t xml:space="preserve">padidėjusi C reaktyviojo baltymo koncentracija. Šiems pacientams </w:t>
      </w:r>
      <w:r w:rsidRPr="00A046F5">
        <w:rPr>
          <w:rFonts w:ascii="Times New Roman" w:eastAsia="Calibri" w:hAnsi="Times New Roman" w:cs="Times New Roman"/>
          <w:lang w:val="lt-LT" w:eastAsia="lt-LT"/>
        </w:rPr>
        <w:t>magnetinio rezonanso tyrimas, skiriant Magnevist, buvo atliktas dieną prieš hemodializę.</w:t>
      </w:r>
      <w:r w:rsidRPr="00A046F5">
        <w:rPr>
          <w:rFonts w:ascii="Times New Roman" w:eastAsia="Calibri" w:hAnsi="Times New Roman" w:cs="Times New Roman"/>
          <w:iCs/>
          <w:lang w:val="lt-LT" w:eastAsia="lt-LT"/>
        </w:rPr>
        <w:t xml:space="preserve"> </w:t>
      </w:r>
    </w:p>
    <w:p w:rsidR="00A046F5" w:rsidRPr="00A046F5" w:rsidRDefault="00A046F5" w:rsidP="00A046F5">
      <w:pPr>
        <w:autoSpaceDE w:val="0"/>
        <w:autoSpaceDN w:val="0"/>
        <w:adjustRightInd w:val="0"/>
        <w:spacing w:after="0" w:line="240" w:lineRule="auto"/>
        <w:jc w:val="both"/>
        <w:rPr>
          <w:rFonts w:ascii="Times New Roman" w:eastAsia="Calibri" w:hAnsi="Times New Roman" w:cs="Times New Roman"/>
          <w:noProof/>
          <w:u w:val="single"/>
          <w:lang w:val="lt-LT" w:eastAsia="lt-LT"/>
        </w:rPr>
      </w:pPr>
    </w:p>
    <w:p w:rsidR="00A046F5" w:rsidRPr="00A046F5" w:rsidRDefault="00A046F5" w:rsidP="00A046F5">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A046F5">
        <w:rPr>
          <w:rFonts w:ascii="Times New Roman" w:eastAsia="Times New Roman" w:hAnsi="Times New Roman" w:cs="Times New Roman"/>
          <w:noProof/>
          <w:snapToGrid w:val="0"/>
          <w:szCs w:val="24"/>
          <w:u w:val="single"/>
          <w:lang w:val="lt-LT"/>
        </w:rPr>
        <w:t>Pranešimas apie įtariamas nepageidaujamas reakcijas</w:t>
      </w:r>
    </w:p>
    <w:p w:rsidR="00A046F5" w:rsidRPr="00A046F5" w:rsidRDefault="00A046F5" w:rsidP="00A046F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A046F5">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A046F5">
        <w:rPr>
          <w:rFonts w:ascii="Times New Roman" w:eastAsia="Times New Roman" w:hAnsi="Times New Roman" w:cs="Times New Roman"/>
          <w:snapToGrid w:val="0"/>
          <w:szCs w:val="24"/>
          <w:lang w:val="lt-LT"/>
        </w:rPr>
        <w:t xml:space="preserve"> </w:t>
      </w:r>
      <w:r w:rsidRPr="00A046F5">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5" w:history="1">
        <w:r w:rsidRPr="00A046F5">
          <w:rPr>
            <w:rFonts w:ascii="Times New Roman" w:eastAsia="SimSun" w:hAnsi="Times New Roman" w:cs="Times New Roman"/>
            <w:noProof/>
            <w:snapToGrid w:val="0"/>
            <w:color w:val="0000FF"/>
            <w:szCs w:val="24"/>
            <w:u w:val="single"/>
            <w:lang w:val="lt-LT"/>
          </w:rPr>
          <w:t>www.vvkt.lt</w:t>
        </w:r>
      </w:hyperlink>
      <w:r w:rsidRPr="00A046F5">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A046F5">
          <w:rPr>
            <w:rFonts w:ascii="Times New Roman" w:eastAsia="SimSun" w:hAnsi="Times New Roman" w:cs="Times New Roman"/>
            <w:noProof/>
            <w:snapToGrid w:val="0"/>
            <w:color w:val="0000FF"/>
            <w:szCs w:val="24"/>
            <w:u w:val="single"/>
            <w:lang w:val="lt-LT"/>
          </w:rPr>
          <w:t>NepageidaujamaR@vvkt.lt</w:t>
        </w:r>
      </w:hyperlink>
      <w:r w:rsidRPr="00A046F5">
        <w:rPr>
          <w:rFonts w:ascii="Times New Roman" w:eastAsia="Times New Roman" w:hAnsi="Times New Roman" w:cs="Times New Roman"/>
          <w:noProof/>
          <w:snapToGrid w:val="0"/>
          <w:szCs w:val="24"/>
          <w:lang w:val="lt-LT"/>
        </w:rPr>
        <w:t xml:space="preserve">), per interneto svetainę (adresu </w:t>
      </w:r>
      <w:hyperlink r:id="rId7" w:history="1">
        <w:r w:rsidR="00D35371" w:rsidRPr="001F349D">
          <w:rPr>
            <w:rStyle w:val="Hipersaitas"/>
            <w:rFonts w:eastAsia="Times New Roman"/>
            <w:noProof/>
            <w:snapToGrid w:val="0"/>
            <w:szCs w:val="24"/>
            <w:lang w:val="lt-LT"/>
          </w:rPr>
          <w:t>http://www.vvkt.lt</w:t>
        </w:r>
      </w:hyperlink>
      <w:r w:rsidR="00D35371">
        <w:rPr>
          <w:rFonts w:ascii="Times New Roman" w:eastAsia="Times New Roman" w:hAnsi="Times New Roman" w:cs="Times New Roman"/>
          <w:noProof/>
          <w:snapToGrid w:val="0"/>
          <w:szCs w:val="24"/>
          <w:lang w:val="lt-LT"/>
        </w:rPr>
        <w:t xml:space="preserve"> </w:t>
      </w:r>
      <w:r w:rsidRPr="00A046F5">
        <w:rPr>
          <w:rFonts w:ascii="Times New Roman" w:eastAsia="Times New Roman" w:hAnsi="Times New Roman" w:cs="Times New Roman"/>
          <w:noProof/>
          <w:snapToGrid w:val="0"/>
          <w:szCs w:val="24"/>
          <w:lang w:val="lt-LT"/>
        </w:rPr>
        <w:t>).</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4.9</w:t>
      </w:r>
      <w:r w:rsidRPr="00A046F5">
        <w:rPr>
          <w:rFonts w:ascii="Times New Roman" w:eastAsia="Calibri" w:hAnsi="Times New Roman" w:cs="Times New Roman"/>
          <w:b/>
          <w:lang w:val="lt-LT" w:eastAsia="lt-LT"/>
        </w:rPr>
        <w:tab/>
        <w:t>Perdozavimas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Kliniškai vartojant preparatą iki šiol nepastebėta intoksikacijos nuo atsitiktinio perdozavimo ir negauta apie ją pranešimų.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Pacientams, kurių sutrikusi inkstų funkcija, atsitiktinai perdozavus preparato, reikia stebėti šią funkciją.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Atsitiktinai perdozavus gali atsirasti tokių reiškinių nuo didelio Magnevist osmoliališkumo: plaučių arterijos slėgio padidėjimas, hipervolemija, osmosinė diurezė, dehidracija.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galima pašalinti atliekant hemodializę (žr. 4.4 skyrių). Tačiau duomenų, rodančių, kad hemodializė būtų tinkama nefrogeninės sisteminės fibrozės (NSF) profilaktikai, nėra.</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5.</w:t>
      </w:r>
      <w:r w:rsidRPr="00A046F5">
        <w:rPr>
          <w:rFonts w:ascii="Times New Roman" w:eastAsia="Calibri" w:hAnsi="Times New Roman" w:cs="Times New Roman"/>
          <w:b/>
          <w:lang w:val="lt-LT" w:eastAsia="lt-LT"/>
        </w:rPr>
        <w:tab/>
        <w:t>FARMAKOLOGINĖS SAVYBĖS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5.1</w:t>
      </w:r>
      <w:r w:rsidRPr="00A046F5">
        <w:rPr>
          <w:rFonts w:ascii="Times New Roman" w:eastAsia="Calibri" w:hAnsi="Times New Roman" w:cs="Times New Roman"/>
          <w:b/>
          <w:lang w:val="lt-LT" w:eastAsia="lt-LT"/>
        </w:rPr>
        <w:tab/>
        <w:t>Farmakodinaminės savybės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Farmakoterapinė grupė </w:t>
      </w:r>
      <w:r w:rsidRPr="00A046F5">
        <w:rPr>
          <w:rFonts w:ascii="Times New Roman" w:eastAsia="Calibri" w:hAnsi="Times New Roman" w:cs="Times New Roman"/>
          <w:lang w:val="lt-LT" w:eastAsia="lt-LT"/>
        </w:rPr>
        <w:sym w:font="Symbol" w:char="F02D"/>
      </w:r>
      <w:r w:rsidRPr="00A046F5">
        <w:rPr>
          <w:rFonts w:ascii="Times New Roman" w:eastAsia="Calibri" w:hAnsi="Times New Roman" w:cs="Times New Roman"/>
          <w:lang w:val="lt-LT" w:eastAsia="lt-LT"/>
        </w:rPr>
        <w:t xml:space="preserve"> paramagnetinės kontrastinės medžiagos, ATC kodas </w:t>
      </w:r>
      <w:r w:rsidRPr="00A046F5">
        <w:rPr>
          <w:rFonts w:ascii="Times New Roman" w:eastAsia="Calibri" w:hAnsi="Times New Roman" w:cs="Times New Roman"/>
          <w:lang w:val="lt-LT" w:eastAsia="lt-LT"/>
        </w:rPr>
        <w:sym w:font="Symbol" w:char="F02D"/>
      </w:r>
      <w:r w:rsidRPr="00A046F5">
        <w:rPr>
          <w:rFonts w:ascii="Times New Roman" w:eastAsia="Calibri" w:hAnsi="Times New Roman" w:cs="Times New Roman"/>
          <w:lang w:val="lt-LT" w:eastAsia="lt-LT"/>
        </w:rPr>
        <w:t xml:space="preserve"> V08C A01.</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Veikimo mechanizmas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Atliekant skenavimą T1 režimais protonų magnetinio rezonanso tyrimui, gadopentetato sukeltas sužadintų vandens protonų spinų relaksacijos laiko (T1) sutrumpėjimas didina signalo intensyvumą, kartu ir tam tikrų audinių vaizdo kontrastiškumą.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leidžia gauti diagnostikos duomenų:</w:t>
      </w:r>
    </w:p>
    <w:p w:rsidR="00A046F5" w:rsidRPr="00A046F5" w:rsidRDefault="00A046F5" w:rsidP="00A046F5">
      <w:pPr>
        <w:numPr>
          <w:ilvl w:val="0"/>
          <w:numId w:val="18"/>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patvirtinti arba paneigti navikus, uždegimą ir kraujagyslių pokyčius;</w:t>
      </w:r>
    </w:p>
    <w:p w:rsidR="00A046F5" w:rsidRPr="00A046F5" w:rsidRDefault="00A046F5" w:rsidP="00A046F5">
      <w:pPr>
        <w:numPr>
          <w:ilvl w:val="0"/>
          <w:numId w:val="18"/>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nustatyti pokyčių išplitimą ir ribas;</w:t>
      </w:r>
    </w:p>
    <w:p w:rsidR="00A046F5" w:rsidRPr="00A046F5" w:rsidRDefault="00A046F5" w:rsidP="00A046F5">
      <w:pPr>
        <w:numPr>
          <w:ilvl w:val="0"/>
          <w:numId w:val="18"/>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diferencijuoti pakitusių vietų vidinę struktūrą;</w:t>
      </w:r>
    </w:p>
    <w:p w:rsidR="00A046F5" w:rsidRPr="00A046F5" w:rsidRDefault="00A046F5" w:rsidP="00A046F5">
      <w:pPr>
        <w:numPr>
          <w:ilvl w:val="0"/>
          <w:numId w:val="18"/>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įvertinti normalių ir pakitusių audinių kraujotakos būklę;</w:t>
      </w:r>
    </w:p>
    <w:p w:rsidR="00A046F5" w:rsidRPr="00A046F5" w:rsidRDefault="00A046F5" w:rsidP="00A046F5">
      <w:pPr>
        <w:numPr>
          <w:ilvl w:val="0"/>
          <w:numId w:val="18"/>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atpažinti disko išvaržos pasikartojimą po operacijos;</w:t>
      </w:r>
    </w:p>
    <w:p w:rsidR="00A046F5" w:rsidRPr="00A046F5" w:rsidRDefault="00A046F5" w:rsidP="00A046F5">
      <w:pPr>
        <w:numPr>
          <w:ilvl w:val="0"/>
          <w:numId w:val="18"/>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pusiau kiekybiškai įvertinti inkstų veiklą kartu su anatominiais organo pokyčiais.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Farmakodinaminis poveikis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lastRenderedPageBreak/>
        <w:t>Gadopentetato dimegliuminas yra labai paramagnetiška medžiaga, net mažos jos koncentracijos ryškiai sutrumpina relaksacijos laiką. Paramagnetinis veiksmingumas, esant 1,5 teslų magnetinio lauko stiprumui ir 37 °C temperatūrai, relaksyvumas (r</w:t>
      </w:r>
      <w:r w:rsidRPr="00A046F5">
        <w:rPr>
          <w:rFonts w:ascii="Times New Roman" w:eastAsia="Calibri" w:hAnsi="Times New Roman" w:cs="Times New Roman"/>
          <w:vertAlign w:val="subscript"/>
          <w:lang w:val="lt-LT" w:eastAsia="lt-LT"/>
        </w:rPr>
        <w:t>1</w:t>
      </w:r>
      <w:r w:rsidRPr="00A046F5">
        <w:rPr>
          <w:rFonts w:ascii="Times New Roman" w:eastAsia="Calibri" w:hAnsi="Times New Roman" w:cs="Times New Roman"/>
          <w:lang w:val="lt-LT" w:eastAsia="lt-LT"/>
        </w:rPr>
        <w:t>), nustatomas pagal įtaką vandens protonų relaksacijos laikui plazmoje T1, ir relaksyvumas (r</w:t>
      </w:r>
      <w:r w:rsidRPr="00A046F5">
        <w:rPr>
          <w:rFonts w:ascii="Times New Roman" w:eastAsia="Calibri" w:hAnsi="Times New Roman" w:cs="Times New Roman"/>
          <w:vertAlign w:val="subscript"/>
          <w:lang w:val="lt-LT" w:eastAsia="lt-LT"/>
        </w:rPr>
        <w:t>2</w:t>
      </w:r>
      <w:r w:rsidRPr="00A046F5">
        <w:rPr>
          <w:rFonts w:ascii="Times New Roman" w:eastAsia="Calibri" w:hAnsi="Times New Roman" w:cs="Times New Roman"/>
          <w:lang w:val="lt-LT" w:eastAsia="lt-LT"/>
        </w:rPr>
        <w:t xml:space="preserve">), nustatomas pagal įtaką relaksacijos laikui T2, atitinkamai yra apie 4,1±0,2 l/(mmol·s) ir 4,6±0,8 l/(mmol·s). Relaksyvumas labai nedaug priklauso nuo magnetinio lauko stiprumo.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Dietilentriaminpentaacto rūgštis (DTPR) sudaro kompleksą su paramagnetiniu gadolinio jonu; jo stabilumas </w:t>
      </w:r>
      <w:r w:rsidRPr="00A046F5">
        <w:rPr>
          <w:rFonts w:ascii="Times New Roman" w:eastAsia="Calibri" w:hAnsi="Times New Roman" w:cs="Times New Roman"/>
          <w:i/>
          <w:lang w:val="lt-LT" w:eastAsia="lt-LT"/>
        </w:rPr>
        <w:t>in vivo</w:t>
      </w:r>
      <w:r w:rsidRPr="00A046F5">
        <w:rPr>
          <w:rFonts w:ascii="Times New Roman" w:eastAsia="Calibri" w:hAnsi="Times New Roman" w:cs="Times New Roman"/>
          <w:lang w:val="lt-LT" w:eastAsia="lt-LT"/>
        </w:rPr>
        <w:t xml:space="preserve"> ir </w:t>
      </w:r>
      <w:r w:rsidRPr="00A046F5">
        <w:rPr>
          <w:rFonts w:ascii="Times New Roman" w:eastAsia="Calibri" w:hAnsi="Times New Roman" w:cs="Times New Roman"/>
          <w:i/>
          <w:lang w:val="lt-LT" w:eastAsia="lt-LT"/>
        </w:rPr>
        <w:t>in vitro</w:t>
      </w:r>
      <w:r w:rsidRPr="00A046F5">
        <w:rPr>
          <w:rFonts w:ascii="Times New Roman" w:eastAsia="Calibri" w:hAnsi="Times New Roman" w:cs="Times New Roman"/>
          <w:lang w:val="lt-LT" w:eastAsia="lt-LT"/>
        </w:rPr>
        <w:t xml:space="preserve"> didelis (termodinaminio stabilumo konstanta log K = 22</w:t>
      </w:r>
      <w:r w:rsidRPr="00A046F5">
        <w:rPr>
          <w:rFonts w:ascii="Times New Roman" w:eastAsia="Calibri" w:hAnsi="Times New Roman" w:cs="Times New Roman"/>
          <w:lang w:val="lt-LT" w:eastAsia="lt-LT"/>
        </w:rPr>
        <w:sym w:font="Symbol" w:char="F02D"/>
      </w:r>
      <w:r w:rsidRPr="00A046F5">
        <w:rPr>
          <w:rFonts w:ascii="Times New Roman" w:eastAsia="Calibri" w:hAnsi="Times New Roman" w:cs="Times New Roman"/>
          <w:lang w:val="lt-LT" w:eastAsia="lt-LT"/>
        </w:rPr>
        <w:t>23). Gadopentetato dimegliuminas vandenyje labai tirpus, hidrofiliškas, jo pasiskirstymo tarp n-butanolio ir buferinio tirpalo koeficientas esant pH 7,6 yra apie 0,0001. Ši medžiaga reikšmingai neslopina fermentų (pvz., a</w:t>
      </w:r>
      <w:r w:rsidRPr="00A046F5">
        <w:rPr>
          <w:rFonts w:ascii="Times New Roman" w:eastAsia="Calibri" w:hAnsi="Times New Roman" w:cs="Times New Roman"/>
          <w:bCs/>
          <w:color w:val="000000"/>
          <w:lang w:val="lt-LT" w:eastAsia="lt-LT"/>
        </w:rPr>
        <w:t xml:space="preserve">cetilcholinesterazės ir lizocimo, esant </w:t>
      </w:r>
      <w:r w:rsidRPr="00A046F5">
        <w:rPr>
          <w:rFonts w:ascii="Times New Roman" w:eastAsia="Calibri" w:hAnsi="Times New Roman" w:cs="Times New Roman"/>
          <w:noProof/>
          <w:lang w:val="lt-LT" w:eastAsia="lt-LT"/>
        </w:rPr>
        <w:t>klinikinėms koncentracij</w:t>
      </w:r>
      <w:r w:rsidRPr="00A046F5">
        <w:rPr>
          <w:rFonts w:ascii="Times New Roman" w:eastAsia="Calibri" w:hAnsi="Times New Roman" w:cs="Times New Roman"/>
          <w:lang w:val="lt-LT" w:eastAsia="lt-LT"/>
        </w:rPr>
        <w:t xml:space="preserve">oms).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neaktyvina komplemento sistemos, taigi nelabai tikėtina, kad sukeltų anafilaktoidinių reakcijų.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Didesnės koncentracijos ir ilgiau inkubuojamas </w:t>
      </w:r>
      <w:r w:rsidRPr="00A046F5">
        <w:rPr>
          <w:rFonts w:ascii="Times New Roman" w:eastAsia="Calibri" w:hAnsi="Times New Roman" w:cs="Times New Roman"/>
          <w:i/>
          <w:lang w:val="lt-LT" w:eastAsia="lt-LT"/>
        </w:rPr>
        <w:t>in vitro</w:t>
      </w:r>
      <w:r w:rsidRPr="00A046F5">
        <w:rPr>
          <w:rFonts w:ascii="Times New Roman" w:eastAsia="Calibri" w:hAnsi="Times New Roman" w:cs="Times New Roman"/>
          <w:lang w:val="lt-LT" w:eastAsia="lt-LT"/>
        </w:rPr>
        <w:t xml:space="preserve"> gadopentetato dimegliuminas šiek tiek veikia eritrocitų morfologiją. Suleidus žmogui į veną Magnevist dėl to gali pasireikšti silpna laikina intravazalinė hemolizė; tuo galima paaiškinti nedidelį serumo bilirubino ir geležies koncentracijos padidėjimą, kartais pastebimą pirmosiomis valandomis po injekcijos.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5.2</w:t>
      </w:r>
      <w:r w:rsidRPr="00A046F5">
        <w:rPr>
          <w:rFonts w:ascii="Times New Roman" w:eastAsia="Calibri" w:hAnsi="Times New Roman" w:cs="Times New Roman"/>
          <w:b/>
          <w:lang w:val="lt-LT" w:eastAsia="lt-LT"/>
        </w:rPr>
        <w:tab/>
        <w:t>Farmakokinetinės savybės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Gadopentetato dimegliumino apykaita organizme panaši į kitų labai hidrofiliškų biologiškai inertinių medžiagų (pvz., manitolio arba inulino).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D35371">
      <w:pPr>
        <w:keepNext/>
        <w:tabs>
          <w:tab w:val="left" w:pos="1296"/>
        </w:tabs>
        <w:snapToGri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Absorbcija ir pasiskirstymas</w:t>
      </w:r>
    </w:p>
    <w:p w:rsidR="00A046F5" w:rsidRPr="00A046F5" w:rsidRDefault="00A046F5" w:rsidP="00A92F30">
      <w:pPr>
        <w:keepNext/>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Suleidus Magnevist į veną, koncentracija plazmoje greitai </w:t>
      </w:r>
      <w:r w:rsidRPr="00A046F5">
        <w:rPr>
          <w:rFonts w:ascii="Times New Roman" w:eastAsia="Calibri" w:hAnsi="Times New Roman" w:cs="Times New Roman"/>
          <w:bCs/>
          <w:color w:val="000000"/>
          <w:lang w:val="lt-LT" w:eastAsia="lt-LT"/>
        </w:rPr>
        <w:t>bieksponentiškai</w:t>
      </w:r>
      <w:r w:rsidRPr="00A046F5">
        <w:rPr>
          <w:rFonts w:ascii="Times New Roman" w:eastAsia="Calibri" w:hAnsi="Times New Roman" w:cs="Times New Roman"/>
          <w:lang w:val="lt-LT" w:eastAsia="lt-LT"/>
        </w:rPr>
        <w:t xml:space="preserve"> mažėja</w:t>
      </w:r>
      <w:r w:rsidRPr="00A046F5">
        <w:rPr>
          <w:rFonts w:ascii="Times New Roman" w:eastAsia="Calibri" w:hAnsi="Times New Roman" w:cs="Times New Roman"/>
          <w:bCs/>
          <w:color w:val="000000"/>
          <w:lang w:val="lt-LT" w:eastAsia="lt-LT"/>
        </w:rPr>
        <w:t xml:space="preserve">, </w:t>
      </w:r>
      <w:r w:rsidRPr="00A046F5">
        <w:rPr>
          <w:rFonts w:ascii="Times New Roman" w:eastAsia="Calibri" w:hAnsi="Times New Roman" w:cs="Times New Roman"/>
          <w:lang w:val="lt-LT" w:eastAsia="lt-LT"/>
        </w:rPr>
        <w:t>galutinis pusinės eliminacijos laikas yra maždaug 90 minučių.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Gadopentetatas greitai pasiskirsto neląsteliniame tarpe. Bendras gadopentetato pasiskirstymo tūris yra 0,26 l/kg. Prisijungimas prie plazmos baltymų nežymus.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Tyrimuose su žiurkėmis ir šunimis, suleidus radionuklidu žymėto gadopentetato, po 7 parų inkstuose buvo nustatyta palyginti didelė nepakitusio gadolinio komplekso koncentracija, prilygstanti 0,15 % suleistos dozės. Mažiau kaip 1 % suleistos dozės rasta kitose šių gyvūnų organizmo vietose.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Gadopentetatas neprasiskverbia per kraujo ir sėklidžių barjerą. Nedaug per placentos barjerą prasiskverbusio junginio iš vaisiaus greitai pasišalina.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rPr>
        <w:t>Žindančioms moterims (23–38 metų amžiaus) mažiau nei 0,04 % suleisto gadopentetato išsiskiria į pieną. Žiurkėms sušerto preparato absorbcija iš virškinimo trakto buvo maža – maždaug 4 %.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Biotransformacija</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Gadopentetatas nemetabolizuojamas.</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u w:val="single"/>
          <w:lang w:val="lt-LT" w:eastAsia="lt-LT"/>
        </w:rPr>
        <w:t>Eliminacija</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Gadopentetato dimegliuminas nepakitęs išsiskiria per inkstus glomerulų filtracijos būdu. Kitais būdais pasišalina 1 % suleistos dozės.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Vidutiniškai 83 % dozės išsiskiria per 6 valandas po injekcijos. Per pirmąsias 24 valandas su šlapimu pasišalina maždaug 91 % dozės. Gadopentetato dimegliumino klirensas per inkstus yra maždaug </w:t>
      </w:r>
      <w:r w:rsidRPr="00A046F5">
        <w:rPr>
          <w:rFonts w:ascii="Times New Roman" w:eastAsia="Calibri" w:hAnsi="Times New Roman" w:cs="Times New Roman"/>
          <w:lang w:val="lt-LT" w:eastAsia="lt-LT"/>
        </w:rPr>
        <w:lastRenderedPageBreak/>
        <w:t>120 ml/min/1,73 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eastAsia="lt-LT"/>
        </w:rPr>
        <w:t xml:space="preserve">, taigi panašus į medžiagų, kurios pasišalina glomerulų filtracijos būdu (pvz., inulino arba </w:t>
      </w:r>
      <w:r w:rsidRPr="00A046F5">
        <w:rPr>
          <w:rFonts w:ascii="Times New Roman" w:eastAsia="Calibri" w:hAnsi="Times New Roman" w:cs="Times New Roman"/>
          <w:vertAlign w:val="superscript"/>
          <w:lang w:val="lt-LT" w:eastAsia="lt-LT"/>
        </w:rPr>
        <w:t>51</w:t>
      </w:r>
      <w:r w:rsidRPr="00A046F5">
        <w:rPr>
          <w:rFonts w:ascii="Times New Roman" w:eastAsia="Calibri" w:hAnsi="Times New Roman" w:cs="Times New Roman"/>
          <w:lang w:val="lt-LT" w:eastAsia="lt-LT"/>
        </w:rPr>
        <w:t xml:space="preserve">Cr-EDTR), klirensą. </w:t>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u w:val="single"/>
          <w:lang w:val="lt-LT"/>
        </w:rPr>
        <w:t>Tiesinis / netiesinis pobūdis</w:t>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t xml:space="preserve">Gadopentetato farmakokinetika yra tiesinė, t.y. farmakokinetiniai parametrai (pvz., didžiausia koncentracija, plotas po koncentracijos ir laiko kreive) keičiasi proporcingai dozei arba yra nepriklausomi nuo dozės (pvz., pasiskirstymo tūris esant pusiausvyros apykaitai (susidarius pusiausvyrinei koncentracijai), </w:t>
      </w:r>
      <w:r w:rsidRPr="00A046F5">
        <w:rPr>
          <w:rFonts w:ascii="Times New Roman" w:eastAsia="Calibri" w:hAnsi="Times New Roman" w:cs="Times New Roman"/>
          <w:lang w:val="lt-LT" w:eastAsia="lt-LT"/>
        </w:rPr>
        <w:t>galutinis pusinės eliminacijos periodas</w:t>
      </w:r>
      <w:r w:rsidRPr="00A046F5">
        <w:rPr>
          <w:rFonts w:ascii="Times New Roman" w:eastAsia="Calibri" w:hAnsi="Times New Roman" w:cs="Times New Roman"/>
          <w:color w:val="000000"/>
          <w:lang w:val="lt-LT"/>
        </w:rPr>
        <w:t>), kai vartojama iki 0,25 mmol/kg kūno svorio (0,5 ml/kg) dozė.</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A046F5" w:rsidRDefault="00A046F5" w:rsidP="00A046F5">
      <w:pPr>
        <w:keepNext/>
        <w:spacing w:after="0" w:line="240" w:lineRule="auto"/>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u w:val="single"/>
          <w:lang w:val="lt-LT"/>
        </w:rPr>
        <w:t>Ypatingos populiacijos</w:t>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t>I fazės tyrime, skiriant 0,3 mmol Magnevist kilogramui kūno svorio, buvo lyginami pacientai, kurių kepenų funkcija vidutiniškai sutrikusi, sveiki jiems prilygstantys asmenys, sveiki ne senyvo amžiaus vyrai ir moterys ir sveiki senyvo amžiaus asmenys.</w:t>
      </w: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color w:val="000000"/>
          <w:lang w:val="lt-LT"/>
        </w:rPr>
        <w:br/>
        <w:t>II fazės tyrime, skiriant 0,1 mmol Magnevist kilogramui kūno svorio, buvo lyginami pacientai, kuriems nustatytas įvairaus sunkumo inkstų funkcijos sutrikimas, su sveikais asmenimis.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20"/>
        </w:numPr>
        <w:autoSpaceDE w:val="0"/>
        <w:autoSpaceDN w:val="0"/>
        <w:adjustRightInd w:val="0"/>
        <w:spacing w:after="0" w:line="240" w:lineRule="auto"/>
        <w:ind w:hanging="720"/>
        <w:rPr>
          <w:rFonts w:ascii="Times New Roman" w:eastAsia="Calibri" w:hAnsi="Times New Roman" w:cs="Times New Roman"/>
          <w:lang w:val="lt-LT"/>
        </w:rPr>
      </w:pPr>
      <w:r w:rsidRPr="00A046F5">
        <w:rPr>
          <w:rFonts w:ascii="Times New Roman" w:eastAsia="Calibri" w:hAnsi="Times New Roman" w:cs="Times New Roman"/>
          <w:lang w:val="lt-LT"/>
        </w:rPr>
        <w:t>Senyvi ≥ 65 metų pacientai</w:t>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color w:val="000000"/>
          <w:lang w:val="lt-LT"/>
        </w:rPr>
        <w:t xml:space="preserve">Palyginti su sveikais ne senyvo amžiaus asmenimis (18–57 metų vyrais), dėl fiziologinių su amžiumi siejamų inkstų funkcijos pokyčių sveikiems senyvo amžiaus asmenims (65 metų ir vyresniems vyrams) sisteminė ekspozicija ir </w:t>
      </w:r>
      <w:r w:rsidRPr="00A046F5">
        <w:rPr>
          <w:rFonts w:ascii="Times New Roman" w:eastAsia="Calibri" w:hAnsi="Times New Roman" w:cs="Times New Roman"/>
          <w:lang w:val="lt-LT" w:eastAsia="lt-LT"/>
        </w:rPr>
        <w:t>galutinis pusinės eliminacijos laikas</w:t>
      </w:r>
      <w:r w:rsidRPr="00A046F5">
        <w:rPr>
          <w:rFonts w:ascii="Times New Roman" w:eastAsia="Calibri" w:hAnsi="Times New Roman" w:cs="Times New Roman"/>
          <w:color w:val="000000"/>
          <w:lang w:val="lt-LT"/>
        </w:rPr>
        <w:t xml:space="preserve"> atitinkamai padidėjo nuo 3,3 mmol × val./l iki 4,7 mmol × val./l ir nuo 1,8 val. iki 2,2 val. Palyginti su ne senyvo amžiaus asmenimis, bendras klirensas senyvo amžiaus asmenims sumažėjo nuo 117 ml/min. iki 89 ml/min.</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20"/>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rPr>
        <w:t>Lytis</w:t>
      </w:r>
      <w:r w:rsidRPr="00A046F5">
        <w:rPr>
          <w:rFonts w:ascii="Times New Roman" w:eastAsia="Calibri" w:hAnsi="Times New Roman" w:cs="Times New Roman"/>
          <w:lang w:val="lt-LT" w:eastAsia="lt-LT"/>
        </w:rPr>
        <w:t xml:space="preserve"> </w:t>
      </w:r>
    </w:p>
    <w:p w:rsidR="00A046F5" w:rsidRPr="00A046F5" w:rsidRDefault="00A046F5" w:rsidP="00A046F5">
      <w:pPr>
        <w:spacing w:after="0" w:line="240" w:lineRule="auto"/>
        <w:rPr>
          <w:rFonts w:ascii="Times New Roman" w:eastAsia="Calibri" w:hAnsi="Times New Roman" w:cs="Times New Roman"/>
          <w:color w:val="000000"/>
          <w:lang w:val="lt-LT"/>
        </w:rPr>
      </w:pPr>
    </w:p>
    <w:p w:rsidR="00A046F5" w:rsidRPr="00A046F5" w:rsidRDefault="00A046F5" w:rsidP="00A046F5">
      <w:pPr>
        <w:spacing w:after="0" w:line="240" w:lineRule="auto"/>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t>Gadopentetato farmakokinetika ne senyvo amžiaus sveikiems vyrams ir moterims (nuo 18 iki 57 metų amžiaus) buvo panaši.</w:t>
      </w:r>
    </w:p>
    <w:p w:rsidR="00A046F5" w:rsidRPr="00A046F5" w:rsidRDefault="00A046F5" w:rsidP="00A046F5">
      <w:pPr>
        <w:spacing w:after="0" w:line="240" w:lineRule="auto"/>
        <w:rPr>
          <w:rFonts w:ascii="Times New Roman" w:eastAsia="Calibri" w:hAnsi="Times New Roman" w:cs="Times New Roman"/>
          <w:color w:val="000000"/>
          <w:lang w:val="lt-LT"/>
        </w:rPr>
      </w:pPr>
    </w:p>
    <w:p w:rsidR="00A046F5" w:rsidRPr="00A046F5" w:rsidRDefault="00A046F5" w:rsidP="00A046F5">
      <w:pPr>
        <w:numPr>
          <w:ilvl w:val="0"/>
          <w:numId w:val="20"/>
        </w:numPr>
        <w:spacing w:after="0" w:line="240" w:lineRule="auto"/>
        <w:ind w:hanging="720"/>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t>Sutrikusi kepenų funkcija</w:t>
      </w:r>
      <w:r w:rsidRPr="00A046F5">
        <w:rPr>
          <w:rFonts w:ascii="Times New Roman" w:eastAsia="Calibri" w:hAnsi="Times New Roman" w:cs="Times New Roman"/>
          <w:color w:val="000000"/>
          <w:lang w:val="lt-LT"/>
        </w:rPr>
        <w:br/>
      </w: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color w:val="000000"/>
          <w:lang w:val="lt-LT"/>
        </w:rPr>
        <w:t xml:space="preserve">Kadangi preparatas šalinamas beveik tik </w:t>
      </w:r>
      <w:r w:rsidRPr="00A046F5">
        <w:rPr>
          <w:rFonts w:ascii="Times New Roman" w:eastAsia="Calibri" w:hAnsi="Times New Roman" w:cs="Times New Roman"/>
          <w:noProof/>
          <w:color w:val="000000"/>
          <w:lang w:val="lt-LT" w:eastAsia="lt-LT"/>
        </w:rPr>
        <w:t xml:space="preserve">per inkstus, </w:t>
      </w:r>
      <w:r w:rsidRPr="00A046F5">
        <w:rPr>
          <w:rFonts w:ascii="Times New Roman" w:eastAsia="Calibri" w:hAnsi="Times New Roman" w:cs="Times New Roman"/>
          <w:color w:val="000000"/>
          <w:lang w:val="lt-LT"/>
        </w:rPr>
        <w:t>pacientams, kurių sutrikusi kepenų funkcija, palyginti su sveikais jiems prilygstančiais asmenimis, gadopentetato farmakokinetika nebuvo pakitusi (tyrimai atlikti pacientams, kurių Child-Pugh B). Duomenų apie pacientus, kuriems yra sunkus kepenų funkcijos sutrikimas (Child-Pugh C), nėra.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20"/>
        </w:numPr>
        <w:spacing w:after="0" w:line="240" w:lineRule="auto"/>
        <w:ind w:hanging="720"/>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t>Sutrikusi inkstų funkcija</w:t>
      </w:r>
      <w:r w:rsidRPr="00A046F5">
        <w:rPr>
          <w:rFonts w:ascii="Times New Roman" w:eastAsia="Calibri" w:hAnsi="Times New Roman" w:cs="Times New Roman"/>
          <w:color w:val="000000"/>
          <w:lang w:val="lt-LT"/>
        </w:rPr>
        <w:br/>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t xml:space="preserve">Pacientams, kurių inkstų funkcija sutrikusi, dėl sumažėjusio glomerulų filtracijos greičio pailgėja gadopentetato pusinės eliminacijos laikas. Suleidus į veną vienkartines dozes 10 pacientų, kurių sutrikusi inkstų funkcija (4 pacientams buvo lengvas inkstų funkcijos sutrikimas [kreatinino klirensas nuo </w:t>
      </w:r>
      <w:r w:rsidRPr="00A046F5">
        <w:rPr>
          <w:rFonts w:ascii="Times New Roman" w:eastAsia="Calibri" w:hAnsi="Times New Roman" w:cs="Times New Roman"/>
          <w:color w:val="000000"/>
          <w:lang w:val="lt-LT"/>
        </w:rPr>
        <w:sym w:font="Symbol" w:char="F0B3"/>
      </w:r>
      <w:r w:rsidRPr="00A046F5">
        <w:rPr>
          <w:rFonts w:ascii="Times New Roman" w:eastAsia="Calibri" w:hAnsi="Times New Roman" w:cs="Times New Roman"/>
          <w:color w:val="000000"/>
          <w:lang w:val="lt-LT"/>
        </w:rPr>
        <w:t> 60 iki &lt; 90 ml/min.] ir 6 pacientams buvo vidutinis inkstų funkcijos sutrikimas [kreatinino klirensas nuo ≥ 30 iki &lt; 60 ml/min.]), vidutinis pusinės eliminacijos laikas, esant lengvam ir vidutiniam inkstų funkcijos sutrikimui, atitinkamai buvo 2,6±1,2 val. ir 4,2±2,0 val., palyginti su 1,6±0,13 val. sveikiems asmenims. Pacientams, kuriems buvo sunkus inkstų nepakankamumas (kreatinino klirensas &lt; 30 ml/min.), bet netaikoma dializė, vidutinis pusinės eliminacijos laikas buvo dar labiau padidėjęs – iki 10,8±6,9 valandų.</w:t>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color w:val="000000"/>
          <w:lang w:val="lt-LT"/>
        </w:rPr>
        <w:lastRenderedPageBreak/>
        <w:t>Pacientams, kuriems yra lengvas ar vidutinis inkstų funkcijos sutrikimas (kreatinino klirensas &gt; 30 ml/min.), gadopentetatas per inkstus visiškai pašalina per dvi paras. Pacientams, kuriems yra sunkus inkstų funkcijos sutrikimas, per 2 paras su šlapimu išsiskyrė 73,3±16,1 % suleistos dozės.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color w:val="000000"/>
          <w:lang w:val="lt-LT"/>
        </w:rPr>
        <w:t>Pacientams, kurių inkstų funkcija sutrikusi, gadopentetatas gali būti pašalintas hemodialize. Klinikinio tyrimo metu pacientams, kurių sutrikusi inkstų funkcija, buvo skiriama 0,1 mmol/kg gadopentetato dimegliumino dozė. Jiems po 3 valandas kasdien 3 dienas iš eilės buvo atliekama dializė. Per kiekvieną dializės procedūrą gadopentetato</w:t>
      </w:r>
      <w:r w:rsidRPr="00A046F5">
        <w:rPr>
          <w:rFonts w:ascii="Times New Roman" w:eastAsia="Calibri" w:hAnsi="Times New Roman" w:cs="Times New Roman"/>
          <w:lang w:val="lt-LT" w:eastAsia="lt-LT"/>
        </w:rPr>
        <w:t xml:space="preserve"> koncentracija kraujo plazmoje </w:t>
      </w:r>
      <w:r w:rsidRPr="00A046F5">
        <w:rPr>
          <w:rFonts w:ascii="Times New Roman" w:eastAsia="Calibri" w:hAnsi="Times New Roman" w:cs="Times New Roman"/>
          <w:color w:val="000000"/>
          <w:lang w:val="lt-LT"/>
        </w:rPr>
        <w:t>sumažėdavo 70 %. Po paskutinės procedūros koncentracija kraujo plazmoje buvo mažesnė nei 5 % pradinės vertės.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numPr>
          <w:ilvl w:val="0"/>
          <w:numId w:val="20"/>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rPr>
        <w:t>Vaikų populiacija</w:t>
      </w:r>
    </w:p>
    <w:p w:rsidR="00A046F5" w:rsidRPr="00A046F5" w:rsidRDefault="00A046F5" w:rsidP="00A046F5">
      <w:pPr>
        <w:keepNext/>
        <w:spacing w:after="0" w:line="240" w:lineRule="auto"/>
        <w:textAlignment w:val="top"/>
        <w:rPr>
          <w:rFonts w:ascii="Times New Roman" w:eastAsia="Calibri" w:hAnsi="Times New Roman" w:cs="Times New Roman"/>
          <w:color w:val="000000"/>
          <w:lang w:val="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rPr>
        <w:t xml:space="preserve">Tyrime su pediatrinio amžiaus pacientais nuo 2 mėnesių iki &lt; 2 metų gadopentetato farmakokinetika (pagal kūno svorį apskaičiuotas klirensas, pasiskirstymo tūris, plotas po koncentracijos kreive ir </w:t>
      </w:r>
      <w:r w:rsidRPr="00A046F5">
        <w:rPr>
          <w:rFonts w:ascii="Times New Roman" w:eastAsia="Calibri" w:hAnsi="Times New Roman" w:cs="Times New Roman"/>
          <w:lang w:val="lt-LT" w:eastAsia="lt-LT"/>
        </w:rPr>
        <w:t>galutinis pusinės eliminacijos periodas</w:t>
      </w:r>
      <w:r w:rsidRPr="00A046F5">
        <w:rPr>
          <w:rFonts w:ascii="Times New Roman" w:eastAsia="Calibri" w:hAnsi="Times New Roman" w:cs="Times New Roman"/>
          <w:color w:val="000000"/>
          <w:lang w:val="lt-LT"/>
        </w:rPr>
        <w:t>) buvo panaši į suaugusiųjų.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vertAlign w:val="superscript"/>
          <w:lang w:val="lt-LT" w:eastAsia="lt-LT"/>
        </w:rPr>
      </w:pPr>
      <w:r w:rsidRPr="00A046F5">
        <w:rPr>
          <w:rFonts w:ascii="Times New Roman" w:eastAsia="Calibri" w:hAnsi="Times New Roman" w:cs="Times New Roman"/>
          <w:b/>
          <w:lang w:val="lt-LT" w:eastAsia="lt-LT"/>
        </w:rPr>
        <w:t>5.3</w:t>
      </w:r>
      <w:r w:rsidRPr="00A046F5">
        <w:rPr>
          <w:rFonts w:ascii="Times New Roman" w:eastAsia="Calibri" w:hAnsi="Times New Roman" w:cs="Times New Roman"/>
          <w:b/>
          <w:lang w:val="lt-LT" w:eastAsia="lt-LT"/>
        </w:rPr>
        <w:tab/>
        <w:t>Ikiklinikinių saugumo tyrimų duomenys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Įprastų farmakologinio saugumo, sisteminio toksiškumo, genotoksiškumo, galimo kancerogeniškumo ir kontaktinio jautrinimo galimybės ikiklinikinių tyrimų duomenys specifinio pavojaus žmogui nerodo.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Bendrasis toksiškumas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Eksperimentinių bendrojo toleravimo tyrimų duomenimis kasdien į veną leidžiamas preparatas nesukėlė jokių pokyčių, dėl kurių nebūtų galima diagnostikos tikslais vieną kartą jo suleisti žmogui.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Ūminio toksiškumo tyrimų duomenimis, vartojant Magnevist, ūminės suaugusių žmonių intoksikacijos pavojus nepaprastai mažas.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Genotoksiškumas ir galimas kancerogeniškumas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Gadopentetato dimegliumino genotoksinio poveikio (genų, chromosomų ir genomo mutacijų) tyrimais </w:t>
      </w:r>
      <w:r w:rsidRPr="00A046F5">
        <w:rPr>
          <w:rFonts w:ascii="Times New Roman" w:eastAsia="Calibri" w:hAnsi="Times New Roman" w:cs="Times New Roman"/>
          <w:i/>
          <w:lang w:val="lt-LT" w:eastAsia="lt-LT"/>
        </w:rPr>
        <w:t>in vivo</w:t>
      </w:r>
      <w:r w:rsidRPr="00A046F5">
        <w:rPr>
          <w:rFonts w:ascii="Times New Roman" w:eastAsia="Calibri" w:hAnsi="Times New Roman" w:cs="Times New Roman"/>
          <w:lang w:val="lt-LT" w:eastAsia="lt-LT"/>
        </w:rPr>
        <w:t xml:space="preserve"> ir </w:t>
      </w:r>
      <w:r w:rsidRPr="00A046F5">
        <w:rPr>
          <w:rFonts w:ascii="Times New Roman" w:eastAsia="Calibri" w:hAnsi="Times New Roman" w:cs="Times New Roman"/>
          <w:i/>
          <w:lang w:val="lt-LT" w:eastAsia="lt-LT"/>
        </w:rPr>
        <w:t>in vitro</w:t>
      </w:r>
      <w:r w:rsidRPr="00A046F5">
        <w:rPr>
          <w:rFonts w:ascii="Times New Roman" w:eastAsia="Calibri" w:hAnsi="Times New Roman" w:cs="Times New Roman"/>
          <w:lang w:val="lt-LT" w:eastAsia="lt-LT"/>
        </w:rPr>
        <w:t xml:space="preserve"> nenustatyta jokio galimo mutageninio poveikio.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Tiriant Magnevist kancerogeninį poveikį žiurkėms, nepastebėta jokių preparato sukeltų navikų. Atsižvelgiant į šį faktą ir į tai, kad preparatas nesukelia genotoksinio poveikio, toksiškai neveikia greitai augančių audinių, taip pat į jo farmakokinetiką ir į tai, kad jo švirkščiama tik vieną kartą, nėra jokio akivaizdaus kancerogeninio poveikio žmogui pavojaus.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Toksinis poveikis reprodukcijai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lang w:val="lt-LT" w:eastAsia="lt-LT"/>
        </w:rPr>
        <w:t xml:space="preserve">Toksinio poveikio dauginimosi funkcijai tyrimų duomenimis, kartotinai į veną leidžiant </w:t>
      </w:r>
      <w:r w:rsidRPr="00A046F5">
        <w:rPr>
          <w:rFonts w:ascii="Times New Roman" w:eastAsia="Calibri" w:hAnsi="Times New Roman" w:cs="Times New Roman"/>
          <w:color w:val="000000"/>
          <w:lang w:val="lt-LT"/>
        </w:rPr>
        <w:t>0,75 mmol /kg (triušiams) ir 1,25 mmol /kg (žiurkėms) dozes, kurios yra nuo 2 iki 2,4 karto</w:t>
      </w:r>
      <w:r w:rsidRPr="00A046F5">
        <w:rPr>
          <w:rFonts w:ascii="Times New Roman" w:eastAsia="Calibri" w:hAnsi="Times New Roman" w:cs="Times New Roman"/>
          <w:lang w:val="lt-LT" w:eastAsia="lt-LT"/>
        </w:rPr>
        <w:t xml:space="preserve"> </w:t>
      </w:r>
      <w:r w:rsidRPr="00A046F5">
        <w:rPr>
          <w:rFonts w:ascii="Times New Roman" w:eastAsia="Calibri" w:hAnsi="Times New Roman" w:cs="Times New Roman"/>
          <w:color w:val="000000"/>
          <w:lang w:val="lt-LT"/>
        </w:rPr>
        <w:t xml:space="preserve">(pagal kūno paviršiaus plotą) arba nuo 7,5 iki 12,5 karto (pagal kūno svorį) didesnės nei standartinė vienkartinė diagnostinė dozė žmogui, tai </w:t>
      </w:r>
      <w:r w:rsidRPr="00A046F5">
        <w:rPr>
          <w:rFonts w:ascii="Times New Roman" w:eastAsia="Calibri" w:hAnsi="Times New Roman" w:cs="Times New Roman"/>
          <w:lang w:val="lt-LT" w:eastAsia="lt-LT"/>
        </w:rPr>
        <w:t>sukėlė vaisiaus vystymosi sulėtėjimą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color w:val="000000"/>
          <w:lang w:val="lt-LT"/>
        </w:rPr>
        <w:t>Magnevist nesukėlė embriotoksinio poveikio žiurkėms ir triušiams, organogenezės metu kartotinai leidžiant 0,25 mmol /kg (triušiams) arba 0,75 mmol /kg (žiurkėms) dozes, kurios yra 2,5 arba 7,5 karto (pagal kūno svorį) didesnės nei standartinė vienkartinė diagnostinė dozė žmogui.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color w:val="000000"/>
          <w:lang w:val="lt-LT"/>
        </w:rPr>
      </w:pPr>
      <w:r w:rsidRPr="00A046F5">
        <w:rPr>
          <w:rFonts w:ascii="Times New Roman" w:eastAsia="Calibri" w:hAnsi="Times New Roman" w:cs="Times New Roman"/>
          <w:color w:val="000000"/>
          <w:lang w:val="lt-LT"/>
        </w:rPr>
        <w:lastRenderedPageBreak/>
        <w:t>Magnevist nesukėlė teratogeninio poveikio žiurkėms ir triušiams, netgi kartotinai organogenezės metu skiriant didžiausias tiriamąsias 3 mmol /kg (triušiams) arba 4,5 mmol /kg (žiurkėms) dozes, kurios yra 9,7 arba 7,3 karto (pagal kūno paviršiaus plotą) arba nuo 30 iki 45 kartų (pagal kūno svorį) didesnės nei standartinė vienkartinė diagnostinė dozė žmogui.</w:t>
      </w: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p>
    <w:p w:rsidR="00A046F5" w:rsidRPr="00A046F5" w:rsidRDefault="00A046F5" w:rsidP="00A046F5">
      <w:p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rPr>
        <w:t>Kasdien nuo 16 iki 18 dienų leidžiant 5 mmol /kg Magnevist dozę, kuri yra 8 kartus (pagal kūno paviršiaus plotą) arba 50 kartų (pagal kūno masę) didesnė už standartinę vienkartinę diagnostinę dozę žmogui, žiurkių patinams pasireiškė spermatogeninių ląstelių atrofija arba (ir) degeneracija. 4 savaites kartotinai skiriant 2,5 mmol /kg dozę, žiurkių ir šunų spermatogenezė nepakito.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Vietinis toleravimas ir kontaktinio jautrinimo galimybė</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Eksperimentiniais Magnevist vietinio toleravimo tyrimų duomenimis, vieną kartą arba kartotinai į veną ir vieną kartą į arteriją leidžiamas preparatas vietinio šalutinio poveikio nesukėlė.</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Atliekant eksperimentinius vietinio toleravimo tyrimus, vieną kartą preparato buvo švirkščiama šalia venos, po oda ir į raumenis; šių tyrimų duomenimis, netyčia jo suleidus šalia venos, galėtų pasireikšti neryški vietinė netoleravimo reakcija.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Kontaktinio jautrinimo tyrimais nenustatyta jokio Magnevist jautrinamojo poveikio.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w:t>
      </w:r>
      <w:r w:rsidRPr="00A046F5">
        <w:rPr>
          <w:rFonts w:ascii="Times New Roman" w:eastAsia="Calibri" w:hAnsi="Times New Roman" w:cs="Times New Roman"/>
          <w:b/>
          <w:lang w:val="lt-LT" w:eastAsia="lt-LT"/>
        </w:rPr>
        <w:tab/>
        <w:t>FARMACINĖ INFORMACIJA</w:t>
      </w:r>
    </w:p>
    <w:p w:rsidR="00A046F5" w:rsidRPr="00A046F5" w:rsidRDefault="00A046F5" w:rsidP="00A046F5">
      <w:pPr>
        <w:spacing w:after="0" w:line="240" w:lineRule="auto"/>
        <w:rPr>
          <w:rFonts w:ascii="Times New Roman" w:eastAsia="Calibri" w:hAnsi="Times New Roman" w:cs="Times New Roman"/>
          <w:b/>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6.1</w:t>
      </w:r>
      <w:r w:rsidRPr="00A046F5">
        <w:rPr>
          <w:rFonts w:ascii="Times New Roman" w:eastAsia="Calibri" w:hAnsi="Times New Roman" w:cs="Times New Roman"/>
          <w:b/>
          <w:lang w:val="lt-LT" w:eastAsia="lt-LT"/>
        </w:rPr>
        <w:tab/>
        <w:t>Pagalbinių medžiagų sąrašas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Megliuminas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Penteto rūgštis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Injekcinis vanduo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6.2</w:t>
      </w:r>
      <w:r w:rsidRPr="00A046F5">
        <w:rPr>
          <w:rFonts w:ascii="Times New Roman" w:eastAsia="Calibri" w:hAnsi="Times New Roman" w:cs="Times New Roman"/>
          <w:b/>
          <w:lang w:val="lt-LT" w:eastAsia="lt-LT"/>
        </w:rPr>
        <w:tab/>
        <w:t>Nesuderinamumas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Suderinamumo tyrimų neatlikta, todėl šio vaistinio preparato maišyti su kitais negalima.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6.3</w:t>
      </w:r>
      <w:r w:rsidRPr="00A046F5">
        <w:rPr>
          <w:rFonts w:ascii="Times New Roman" w:eastAsia="Calibri" w:hAnsi="Times New Roman" w:cs="Times New Roman"/>
          <w:b/>
          <w:lang w:val="lt-LT" w:eastAsia="lt-LT"/>
        </w:rPr>
        <w:tab/>
        <w:t>Tinkamumo laikas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5 metai.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Pirmą kartą atidarius pakuotę:</w:t>
      </w:r>
    </w:p>
    <w:p w:rsidR="00A046F5" w:rsidRPr="00A046F5" w:rsidRDefault="00A046F5" w:rsidP="00A046F5">
      <w:pPr>
        <w:spacing w:after="0" w:line="240" w:lineRule="auto"/>
        <w:rPr>
          <w:rFonts w:ascii="Times New Roman" w:eastAsia="Calibri" w:hAnsi="Times New Roman" w:cs="Times New Roman"/>
          <w:color w:val="000000"/>
          <w:lang w:val="lt-LT" w:eastAsia="lt-LT"/>
        </w:rPr>
      </w:pPr>
      <w:r w:rsidRPr="00A046F5">
        <w:rPr>
          <w:rFonts w:ascii="Times New Roman" w:eastAsia="Calibri" w:hAnsi="Times New Roman" w:cs="Times New Roman"/>
          <w:lang w:val="lt-LT" w:eastAsia="lt-LT"/>
        </w:rPr>
        <w:t>Atkimšus flakoną/ buteliuką, Magnevist fizinės, cheminės ir mikrobiologinės savybės išlieka stabilios 24 val., laikant ne aukštesnėje kaip 30 </w:t>
      </w:r>
      <w:r w:rsidRPr="00A046F5">
        <w:rPr>
          <w:rFonts w:ascii="Times New Roman" w:eastAsia="Calibri" w:hAnsi="Times New Roman" w:cs="Times New Roman"/>
          <w:lang w:val="lt-LT" w:eastAsia="lt-LT"/>
        </w:rPr>
        <w:sym w:font="Symbol" w:char="F0B0"/>
      </w:r>
      <w:r w:rsidRPr="00A046F5">
        <w:rPr>
          <w:rFonts w:ascii="Times New Roman" w:eastAsia="Calibri" w:hAnsi="Times New Roman" w:cs="Times New Roman"/>
          <w:lang w:val="lt-LT" w:eastAsia="lt-LT"/>
        </w:rPr>
        <w:t>C temperatūroje. Nesuvartotą injekcinį tirpalą reikia sunaikinti.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6.4</w:t>
      </w:r>
      <w:r w:rsidRPr="00A046F5">
        <w:rPr>
          <w:rFonts w:ascii="Times New Roman" w:eastAsia="Calibri" w:hAnsi="Times New Roman" w:cs="Times New Roman"/>
          <w:b/>
          <w:lang w:val="lt-LT" w:eastAsia="lt-LT"/>
        </w:rPr>
        <w:tab/>
        <w:t>Specialios laikymo sąlygos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Flakonus/buteliukus laikyti išorinėje dėžutėje, kad preparatas būtų apsaugotas nuo šviesos.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6.5</w:t>
      </w:r>
      <w:r w:rsidRPr="00A046F5">
        <w:rPr>
          <w:rFonts w:ascii="Times New Roman" w:eastAsia="Calibri" w:hAnsi="Times New Roman" w:cs="Times New Roman"/>
          <w:b/>
          <w:lang w:val="lt-LT" w:eastAsia="lt-LT"/>
        </w:rPr>
        <w:tab/>
        <w:t>Talpyklės pobūdis ir jos turinys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Flakonai/ buteliukai – I tipo bespalvio stiklo.</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Kamščiai – chloruotos butilo gumos (I tipo).</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Gaubteliai – iš vidaus ir išorės nulakuoto aliuminio, spalvoto plastiko (polipropileno).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Flakonai po 5, 10, 15, 20 ml</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Buteliukai po 100 ml leisti automatiniu švirkštu.</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Dėžutėje supakuota 10 flakonų arba buteliukų.</w:t>
      </w:r>
    </w:p>
    <w:p w:rsidR="00A046F5" w:rsidRPr="00A046F5" w:rsidRDefault="00A046F5" w:rsidP="00A046F5">
      <w:pPr>
        <w:spacing w:after="0" w:line="240" w:lineRule="auto"/>
        <w:rPr>
          <w:rFonts w:ascii="Times New Roman" w:eastAsia="Calibri" w:hAnsi="Times New Roman" w:cs="Times New Roman"/>
          <w:noProof/>
          <w:snapToGrid w:val="0"/>
          <w:lang w:val="lt-LT" w:eastAsia="lt-LT"/>
        </w:rPr>
      </w:pPr>
      <w:r w:rsidRPr="00A046F5">
        <w:rPr>
          <w:rFonts w:ascii="Times New Roman" w:eastAsia="Calibri" w:hAnsi="Times New Roman" w:cs="Times New Roman"/>
          <w:noProof/>
          <w:snapToGrid w:val="0"/>
          <w:lang w:val="lt-LT" w:eastAsia="lt-LT"/>
        </w:rPr>
        <w:t>Gali būti tiekiamos ne visų dydžių pakuotės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6.6</w:t>
      </w:r>
      <w:r w:rsidRPr="00A046F5">
        <w:rPr>
          <w:rFonts w:ascii="Times New Roman" w:eastAsia="Calibri" w:hAnsi="Times New Roman" w:cs="Times New Roman"/>
          <w:b/>
          <w:lang w:val="lt-LT" w:eastAsia="lt-LT"/>
        </w:rPr>
        <w:tab/>
        <w:t>Specialūs reikalavimai atliekoms tvarkyti ir vaistiniam preparatui ruošti</w:t>
      </w:r>
    </w:p>
    <w:p w:rsidR="00A046F5" w:rsidRPr="00A046F5" w:rsidRDefault="00A046F5" w:rsidP="00A046F5">
      <w:pPr>
        <w:spacing w:after="0" w:line="240" w:lineRule="auto"/>
        <w:textAlignment w:val="top"/>
        <w:rPr>
          <w:rFonts w:ascii="Times New Roman" w:eastAsia="Calibri" w:hAnsi="Times New Roman" w:cs="Times New Roman"/>
          <w:color w:val="000000"/>
          <w:lang w:val="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Paruošimo metu saugoti nuo šviesos nereikia. Daugiau informacijos pateikta 6.4 skyriuje.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Vizualus patikrinimas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Prieš vartojant šį vaistinį preparatą būtina patikrinti vizualiai. </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 esama žymių spalvos pakitimų, dalelių ar yra pažeista pakuotė, Magnevist vartoti negalima.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22"/>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Flakonai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reikia įtraukti į švirkštą tik prieš pat vartojimą.</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Guminio kamštelio negalima pradurti daugiau nei vieną kartą.</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Vieno tyrimo metu nesuvartotą kontrastinės medžiagos tirpalą išmesti.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22"/>
        </w:numPr>
        <w:tabs>
          <w:tab w:val="num" w:pos="567"/>
        </w:tabs>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Didelio tūrio pakuotės (100 ml buteliukai)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Kontrastinę medžiagą leisti automatiniu švirkštu arba kitu patvirtintu būdu, užtikrinančiu kontrastinės medžiagos sterilumą. </w:t>
      </w: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p>
    <w:p w:rsidR="00A046F5" w:rsidRPr="00A046F5" w:rsidRDefault="00A046F5" w:rsidP="00A046F5">
      <w:pPr>
        <w:spacing w:after="0" w:line="240" w:lineRule="auto"/>
        <w:textAlignment w:val="top"/>
        <w:rPr>
          <w:rFonts w:ascii="Times New Roman" w:eastAsia="Calibri" w:hAnsi="Times New Roman" w:cs="Times New Roman"/>
          <w:color w:val="888888"/>
          <w:lang w:val="lt-LT"/>
        </w:rPr>
      </w:pPr>
      <w:r w:rsidRPr="00A046F5">
        <w:rPr>
          <w:rFonts w:ascii="Times New Roman" w:eastAsia="Calibri" w:hAnsi="Times New Roman" w:cs="Times New Roman"/>
          <w:lang w:val="lt-LT" w:eastAsia="lt-LT"/>
        </w:rPr>
        <w:t xml:space="preserve">Vaikams iki dvejų metų reikiamą dozę reikia leisti rankiniu būdu. </w:t>
      </w:r>
      <w:r w:rsidRPr="00A046F5">
        <w:rPr>
          <w:rFonts w:ascii="Times New Roman" w:eastAsia="Calibri" w:hAnsi="Times New Roman" w:cs="Times New Roman"/>
          <w:color w:val="000000"/>
          <w:lang w:val="lt-LT" w:eastAsia="lt-LT"/>
        </w:rPr>
        <w:t xml:space="preserve">Automatinio švirkšto naudoti negalima, kad būtų </w:t>
      </w:r>
      <w:r w:rsidRPr="00A046F5">
        <w:rPr>
          <w:rFonts w:ascii="Times New Roman" w:eastAsia="Calibri" w:hAnsi="Times New Roman" w:cs="Times New Roman"/>
          <w:lang w:val="lt-LT" w:eastAsia="lt-LT"/>
        </w:rPr>
        <w:t>išvengta sužalojimų.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Kad būtų išvengta kryžminės taršos, vamzdelį, jungiantį švirkštą su paciento vena, būtina keisti po kiekvieno ligonio tyrimo.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Tyrimo dienos pabaigoje atidarytoje talpyklėje likusią kontrastinę medžiagą, jungiamuosius vamzdelius ir visas vienkartines injekcinės sistemos dalis išmesti.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Būtina laikytis vaistinio preparato gamintojo nurodymų.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Tyrimo dienos pabaigoje (vėliausiai po 24 val.) atidarytoje pakuotėje likusį Magnevist reikia sunaikinti. Daugiau informacijos pateikta 6.3 skyriuje.</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Ant paciento ligos istorijos reikia užklijuoti nuplėšiamą sekimo etiketę (nuo flakonų/ buteliukų), skirtą tiksliam naudotos gadolinio kontrastinės medžiagos registravimui.</w:t>
      </w:r>
    </w:p>
    <w:p w:rsidR="00A046F5" w:rsidRPr="00A046F5" w:rsidRDefault="00A046F5" w:rsidP="00A046F5">
      <w:pPr>
        <w:autoSpaceDE w:val="0"/>
        <w:autoSpaceDN w:val="0"/>
        <w:adjustRightInd w:val="0"/>
        <w:spacing w:after="0" w:line="240" w:lineRule="auto"/>
        <w:rPr>
          <w:rFonts w:ascii="Times New Roman" w:eastAsia="Times New Roman" w:hAnsi="Times New Roman" w:cs="Times New Roman"/>
          <w:lang w:val="lt-LT"/>
        </w:rPr>
      </w:pPr>
      <w:r w:rsidRPr="00A046F5">
        <w:rPr>
          <w:rFonts w:ascii="Times New Roman" w:eastAsia="Calibri" w:hAnsi="Times New Roman" w:cs="Times New Roman"/>
          <w:lang w:val="lt-LT"/>
        </w:rPr>
        <w:t>Taip pat reikia registruoti suvartotą dozę.</w:t>
      </w:r>
      <w:r w:rsidRPr="00A046F5">
        <w:rPr>
          <w:rFonts w:ascii="Times New Roman" w:eastAsia="Times New Roman" w:hAnsi="Times New Roman" w:cs="Times New Roman"/>
          <w:lang w:val="lt-LT"/>
        </w:rPr>
        <w:t xml:space="preserve"> Jeigu naudojama elektroninė paciento ligos istorija, į ją reikia įrašyti preparato pavadinimą, serijos numerį ir dozę.</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7.</w:t>
      </w:r>
      <w:r w:rsidRPr="00A046F5">
        <w:rPr>
          <w:rFonts w:ascii="Times New Roman" w:eastAsia="Calibri" w:hAnsi="Times New Roman" w:cs="Times New Roman"/>
          <w:b/>
          <w:lang w:val="lt-LT" w:eastAsia="lt-LT"/>
        </w:rPr>
        <w:tab/>
      </w:r>
      <w:r w:rsidRPr="00A046F5">
        <w:rPr>
          <w:rFonts w:ascii="Times New Roman" w:eastAsia="Times New Roman" w:hAnsi="Times New Roman" w:cs="Times New Roman"/>
          <w:b/>
          <w:lang w:val="lt-LT" w:eastAsia="lt-LT"/>
        </w:rPr>
        <w:t>REGISTRUOTOJAS</w:t>
      </w:r>
    </w:p>
    <w:p w:rsidR="00A046F5" w:rsidRPr="00A046F5" w:rsidRDefault="00A046F5" w:rsidP="00A046F5">
      <w:pPr>
        <w:spacing w:after="0" w:line="240" w:lineRule="auto"/>
        <w:rPr>
          <w:rFonts w:ascii="Times New Roman" w:eastAsia="Calibri" w:hAnsi="Times New Roman" w:cs="Times New Roman"/>
          <w:lang w:val="lt-LT" w:eastAsia="lt-LT"/>
        </w:rPr>
      </w:pP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 xml:space="preserve">Bayer AG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lang w:val="de-DE"/>
        </w:rPr>
        <w:t>Kaiser-Wilhelm-Allee 1</w:t>
      </w:r>
      <w:r w:rsidRPr="00213934">
        <w:rPr>
          <w:rFonts w:ascii="Times New Roman" w:hAnsi="Times New Roman" w:cs="Times New Roman"/>
        </w:rPr>
        <w:t xml:space="preserve">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 xml:space="preserve">51373 Leverkusen </w:t>
      </w:r>
    </w:p>
    <w:p w:rsidR="00284154" w:rsidRPr="0021393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Vokietija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8.</w:t>
      </w:r>
      <w:r w:rsidRPr="00A046F5">
        <w:rPr>
          <w:rFonts w:ascii="Times New Roman" w:eastAsia="Calibri" w:hAnsi="Times New Roman" w:cs="Times New Roman"/>
          <w:b/>
          <w:lang w:val="lt-LT" w:eastAsia="lt-LT"/>
        </w:rPr>
        <w:tab/>
      </w:r>
      <w:r w:rsidRPr="00A046F5">
        <w:rPr>
          <w:rFonts w:ascii="Times New Roman" w:eastAsia="Times New Roman" w:hAnsi="Times New Roman" w:cs="Times New Roman"/>
          <w:b/>
          <w:lang w:val="lt-LT" w:eastAsia="lt-LT"/>
        </w:rPr>
        <w:t>REGISTRACIJOS</w:t>
      </w:r>
      <w:r w:rsidRPr="00A046F5">
        <w:rPr>
          <w:rFonts w:ascii="Times New Roman" w:eastAsia="Calibri" w:hAnsi="Times New Roman" w:cs="Times New Roman"/>
          <w:b/>
          <w:lang w:val="lt-LT" w:eastAsia="lt-LT"/>
        </w:rPr>
        <w:t xml:space="preserve"> PAŽYMĖJIMO NUMERIAI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5 ml – LT/1/95/1060/001</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10 ml – LT/1/95/1060/002</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15 ml – LT/1/95/1060/003</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20 ml – LT/1/95/1060/004</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100 ml – LT/1/95/1060/005</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1"/>
        <w:rPr>
          <w:rFonts w:ascii="Times New Roman" w:eastAsia="Times New Roman" w:hAnsi="Times New Roman" w:cs="Times New Roman"/>
          <w:b/>
          <w:lang w:val="lt-LT" w:eastAsia="lt-LT"/>
        </w:rPr>
      </w:pPr>
      <w:r w:rsidRPr="00A046F5">
        <w:rPr>
          <w:rFonts w:ascii="Times New Roman" w:eastAsia="Calibri" w:hAnsi="Times New Roman" w:cs="Times New Roman"/>
          <w:b/>
          <w:lang w:val="lt-LT" w:eastAsia="lt-LT"/>
        </w:rPr>
        <w:t>9.</w:t>
      </w:r>
      <w:r w:rsidRPr="00A046F5">
        <w:rPr>
          <w:rFonts w:ascii="Times New Roman" w:eastAsia="Calibri" w:hAnsi="Times New Roman" w:cs="Times New Roman"/>
          <w:b/>
          <w:lang w:val="lt-LT" w:eastAsia="lt-LT"/>
        </w:rPr>
        <w:tab/>
      </w:r>
      <w:r w:rsidRPr="00A046F5">
        <w:rPr>
          <w:rFonts w:ascii="Times New Roman" w:eastAsia="Times New Roman" w:hAnsi="Times New Roman" w:cs="Times New Roman"/>
          <w:b/>
          <w:lang w:val="lt-LT" w:eastAsia="lt-LT"/>
        </w:rPr>
        <w:t>REGISTRAVIMO / PERREGISTRAVIMO DATA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Times New Roman" w:hAnsi="Times New Roman" w:cs="Times New Roman"/>
          <w:lang w:val="lt-LT" w:eastAsia="lt-LT"/>
        </w:rPr>
        <w:t xml:space="preserve">Registravimo data </w:t>
      </w:r>
      <w:r w:rsidRPr="00A046F5">
        <w:rPr>
          <w:rFonts w:ascii="Times New Roman" w:eastAsia="Calibri" w:hAnsi="Times New Roman" w:cs="Times New Roman"/>
          <w:lang w:val="lt-LT" w:eastAsia="lt-LT"/>
        </w:rPr>
        <w:t>1995 m. lapkričio mėn. 22 d.</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Times New Roman" w:hAnsi="Times New Roman" w:cs="Times New Roman"/>
          <w:lang w:val="lt-LT" w:eastAsia="lt-LT"/>
        </w:rPr>
        <w:t xml:space="preserve">Paskutinio perregistravimo data </w:t>
      </w:r>
      <w:r w:rsidRPr="00A046F5">
        <w:rPr>
          <w:rFonts w:ascii="Times New Roman" w:eastAsia="Calibri" w:hAnsi="Times New Roman" w:cs="Times New Roman"/>
          <w:lang w:val="lt-LT" w:eastAsia="lt-LT"/>
        </w:rPr>
        <w:t>2008 m. kovo mėn. 06 d.</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10.</w:t>
      </w:r>
      <w:r w:rsidRPr="00A046F5">
        <w:rPr>
          <w:rFonts w:ascii="Times New Roman" w:eastAsia="Calibri" w:hAnsi="Times New Roman" w:cs="Times New Roman"/>
          <w:b/>
          <w:lang w:val="lt-LT" w:eastAsia="lt-LT"/>
        </w:rPr>
        <w:tab/>
        <w:t>TEKSTO PERŽIŪROS DATA</w:t>
      </w:r>
    </w:p>
    <w:p w:rsidR="00A046F5" w:rsidRPr="00A046F5" w:rsidRDefault="00A046F5" w:rsidP="00A046F5">
      <w:pPr>
        <w:spacing w:after="0" w:line="240" w:lineRule="auto"/>
        <w:rPr>
          <w:rFonts w:ascii="Times New Roman" w:eastAsia="Calibri" w:hAnsi="Times New Roman" w:cs="Times New Roman"/>
          <w:lang w:val="lt-LT" w:eastAsia="lt-LT"/>
        </w:rPr>
      </w:pPr>
    </w:p>
    <w:p w:rsidR="005A2F19" w:rsidRDefault="00284154" w:rsidP="00A046F5">
      <w:pPr>
        <w:rPr>
          <w:rFonts w:ascii="Times New Roman" w:eastAsia="Calibri" w:hAnsi="Times New Roman" w:cs="Times New Roman"/>
          <w:noProof/>
          <w:lang w:val="lt-LT" w:eastAsia="lt-LT"/>
        </w:rPr>
      </w:pPr>
      <w:r>
        <w:rPr>
          <w:rFonts w:ascii="Times New Roman" w:eastAsia="Calibri" w:hAnsi="Times New Roman" w:cs="Times New Roman"/>
          <w:noProof/>
          <w:lang w:val="lt-LT" w:eastAsia="lt-LT"/>
        </w:rPr>
        <w:t>2017-10-15</w:t>
      </w:r>
    </w:p>
    <w:p w:rsidR="005A2F19" w:rsidRDefault="005A2F19" w:rsidP="00A046F5">
      <w:pPr>
        <w:rPr>
          <w:rFonts w:ascii="Times New Roman" w:eastAsia="Calibri" w:hAnsi="Times New Roman" w:cs="Times New Roman"/>
          <w:noProof/>
          <w:lang w:val="lt-LT" w:eastAsia="lt-LT"/>
        </w:rPr>
      </w:pPr>
    </w:p>
    <w:p w:rsidR="00A046F5" w:rsidRPr="00A046F5" w:rsidRDefault="00A046F5" w:rsidP="00A046F5">
      <w:pPr>
        <w:rPr>
          <w:rFonts w:ascii="Times New Roman" w:eastAsia="Calibri" w:hAnsi="Times New Roman" w:cs="Times New Roman"/>
          <w:lang w:val="lt-LT" w:eastAsia="lt-LT"/>
        </w:rPr>
      </w:pPr>
      <w:r w:rsidRPr="00A046F5">
        <w:rPr>
          <w:rFonts w:ascii="Times New Roman" w:eastAsia="Calibri" w:hAnsi="Times New Roman" w:cs="Times New Roman"/>
          <w:noProof/>
          <w:lang w:val="lt-LT" w:eastAsia="lt-LT"/>
        </w:rPr>
        <w:t>Išsami informacija apie šį vaistinį preparatą pateikiama Valstybinės vaistų kontrolės tarnybos prie Lietuvos Respublikos sveikatos apsaugos ministerijos tinklalapyje</w:t>
      </w:r>
      <w:r w:rsidRPr="00A046F5">
        <w:rPr>
          <w:rFonts w:ascii="Times New Roman" w:eastAsia="Calibri" w:hAnsi="Times New Roman" w:cs="Times New Roman"/>
          <w:lang w:val="lt-LT" w:eastAsia="lt-LT"/>
        </w:rPr>
        <w:t xml:space="preserve"> </w:t>
      </w:r>
      <w:hyperlink r:id="rId8" w:history="1">
        <w:r w:rsidRPr="00A046F5">
          <w:rPr>
            <w:rFonts w:ascii="Times New Roman" w:eastAsia="Calibri" w:hAnsi="Times New Roman" w:cs="Times New Roman"/>
            <w:color w:val="0000FF"/>
            <w:u w:val="single"/>
            <w:lang w:val="lt-LT"/>
          </w:rPr>
          <w:t>http://www.vvkt.lt/</w:t>
        </w:r>
      </w:hyperlink>
      <w:r w:rsidR="00D35371">
        <w:rPr>
          <w:rFonts w:ascii="Times New Roman" w:eastAsia="Calibri" w:hAnsi="Times New Roman" w:cs="Times New Roman"/>
          <w:color w:val="0000FF"/>
          <w:lang w:val="lt-LT"/>
        </w:rPr>
        <w:t>.</w:t>
      </w:r>
      <w:r w:rsidRPr="00A046F5">
        <w:rPr>
          <w:rFonts w:ascii="Times New Roman" w:eastAsia="Calibri" w:hAnsi="Times New Roman" w:cs="Times New Roman"/>
          <w:lang w:val="lt-LT" w:eastAsia="lt-LT"/>
        </w:rPr>
        <w:br w:type="page"/>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r w:rsidRPr="00A046F5">
        <w:rPr>
          <w:rFonts w:ascii="Times New Roman" w:eastAsia="Calibri" w:hAnsi="Times New Roman" w:cs="Times New Roman"/>
          <w:b/>
          <w:kern w:val="28"/>
          <w:lang w:val="lt-LT" w:eastAsia="lt-LT"/>
        </w:rPr>
        <w:t>II PRIEDAS</w:t>
      </w: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p>
    <w:p w:rsidR="00A046F5" w:rsidRPr="00A046F5" w:rsidRDefault="00A046F5" w:rsidP="00A046F5">
      <w:pPr>
        <w:tabs>
          <w:tab w:val="left" w:pos="567"/>
        </w:tabs>
        <w:spacing w:after="0" w:line="240" w:lineRule="auto"/>
        <w:ind w:left="567" w:hanging="567"/>
        <w:jc w:val="center"/>
        <w:outlineLvl w:val="0"/>
        <w:rPr>
          <w:rFonts w:ascii="Times New Roman" w:eastAsia="Calibri" w:hAnsi="Times New Roman" w:cs="Times New Roman"/>
          <w:b/>
          <w:caps/>
          <w:lang w:val="lt-LT"/>
        </w:rPr>
      </w:pPr>
      <w:r w:rsidRPr="00A046F5">
        <w:rPr>
          <w:rFonts w:ascii="Times New Roman" w:eastAsia="Calibri" w:hAnsi="Times New Roman" w:cs="Times New Roman"/>
          <w:b/>
          <w:caps/>
          <w:lang w:val="lt-LT"/>
        </w:rPr>
        <w:t>REGISTRACIJOS SĄLYGOS</w:t>
      </w: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720" w:firstLine="720"/>
        <w:outlineLvl w:val="0"/>
        <w:rPr>
          <w:rFonts w:ascii="Times New Roman" w:eastAsia="Calibri" w:hAnsi="Times New Roman" w:cs="Times New Roman"/>
          <w:b/>
          <w:bCs/>
          <w:iCs/>
          <w:lang w:val="lt-LT" w:eastAsia="lt-LT"/>
        </w:rPr>
      </w:pPr>
      <w:r w:rsidRPr="00A046F5">
        <w:rPr>
          <w:rFonts w:ascii="Times New Roman" w:eastAsia="Calibri" w:hAnsi="Times New Roman" w:cs="Times New Roman"/>
          <w:b/>
          <w:bCs/>
          <w:iCs/>
          <w:lang w:val="lt-LT" w:eastAsia="lt-LT"/>
        </w:rPr>
        <w:t>A. GAMINTOJAS, ATSAKINGAS UŽ SERIJŲ IŠLEIDIMĄ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1440"/>
        <w:outlineLvl w:val="0"/>
        <w:rPr>
          <w:rFonts w:ascii="Times New Roman" w:eastAsia="Calibri" w:hAnsi="Times New Roman" w:cs="Times New Roman"/>
          <w:b/>
          <w:bCs/>
          <w:iCs/>
          <w:lang w:val="lt-LT" w:eastAsia="lt-LT"/>
        </w:rPr>
      </w:pPr>
      <w:r w:rsidRPr="00A046F5">
        <w:rPr>
          <w:rFonts w:ascii="Times New Roman" w:eastAsia="Calibri" w:hAnsi="Times New Roman" w:cs="Times New Roman"/>
          <w:b/>
          <w:bCs/>
          <w:iCs/>
          <w:lang w:val="lt-LT" w:eastAsia="lt-LT"/>
        </w:rPr>
        <w:t>B. TIEKIMO IR VARTOJIMO SĄLYGOS AR APRIBOJIMAI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lang w:val="lt-LT" w:eastAsia="lt-LT"/>
        </w:rPr>
        <w:br w:type="page"/>
      </w:r>
      <w:r w:rsidRPr="00A046F5">
        <w:rPr>
          <w:rFonts w:ascii="Times New Roman" w:eastAsia="Calibri" w:hAnsi="Times New Roman" w:cs="Times New Roman"/>
          <w:b/>
          <w:lang w:val="lt-LT" w:eastAsia="lt-LT"/>
        </w:rPr>
        <w:lastRenderedPageBreak/>
        <w:t>A. GAMINTOJAS, ATSAKINGAS UŽ SERIJŲ IŠLEIDIMĄ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u w:val="single"/>
          <w:lang w:val="lt-LT" w:eastAsia="lt-LT"/>
        </w:rPr>
      </w:pPr>
      <w:r w:rsidRPr="00A046F5">
        <w:rPr>
          <w:rFonts w:ascii="Times New Roman" w:eastAsia="Calibri" w:hAnsi="Times New Roman" w:cs="Times New Roman"/>
          <w:u w:val="single"/>
          <w:lang w:val="lt-LT" w:eastAsia="lt-LT"/>
        </w:rPr>
        <w:t xml:space="preserve">Gamintojo, atsakingo už serijų išleidimą, pavadinimas ir adresas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Times New Roman" w:hAnsi="Times New Roman" w:cs="Times New Roman"/>
          <w:lang w:val="lt-LT"/>
        </w:rPr>
      </w:pPr>
      <w:r w:rsidRPr="00A046F5">
        <w:rPr>
          <w:rFonts w:ascii="Times New Roman" w:eastAsia="Calibri" w:hAnsi="Times New Roman" w:cs="Times New Roman"/>
          <w:lang w:val="lt-LT" w:eastAsia="lt-LT"/>
        </w:rPr>
        <w:t xml:space="preserve">Bayer Pharma AG, </w:t>
      </w:r>
      <w:r w:rsidRPr="00A046F5">
        <w:rPr>
          <w:rFonts w:ascii="Times New Roman" w:eastAsia="Times New Roman" w:hAnsi="Times New Roman" w:cs="Times New Roman"/>
          <w:lang w:val="lt-LT"/>
        </w:rPr>
        <w:t xml:space="preserve">Müllerstraße 178, </w:t>
      </w:r>
      <w:r w:rsidRPr="00A046F5">
        <w:rPr>
          <w:rFonts w:ascii="Times New Roman" w:eastAsia="Calibri" w:hAnsi="Times New Roman" w:cs="Times New Roman"/>
          <w:lang w:val="lt-LT" w:eastAsia="lt-LT"/>
        </w:rPr>
        <w:t>13353 Berlin, Vokietija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B. TIEKIMO IR VARTOJIMO SĄLYGOS AR APRIBOJIMAI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Receptinis vaistinis preparatas.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br w:type="page"/>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r w:rsidRPr="00A046F5">
        <w:rPr>
          <w:rFonts w:ascii="Times New Roman" w:eastAsia="Calibri" w:hAnsi="Times New Roman" w:cs="Times New Roman"/>
          <w:b/>
          <w:kern w:val="28"/>
          <w:lang w:val="lt-LT" w:eastAsia="lt-LT"/>
        </w:rPr>
        <w:t>III PRIEDAS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ŽENKLINIMAS IR PAKUOTĖS LAPELIS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br w:type="page"/>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r w:rsidRPr="00A046F5">
        <w:rPr>
          <w:rFonts w:ascii="Times New Roman" w:eastAsia="Calibri" w:hAnsi="Times New Roman" w:cs="Times New Roman"/>
          <w:b/>
          <w:kern w:val="28"/>
          <w:lang w:val="lt-LT" w:eastAsia="lt-LT"/>
        </w:rPr>
        <w:t>A. ŽENKLINIMAS</w:t>
      </w: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br w:type="page"/>
      </w: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noProof/>
          <w:snapToGrid w:val="0"/>
          <w:lang w:val="lt-LT"/>
        </w:rPr>
      </w:pPr>
      <w:r w:rsidRPr="00A046F5">
        <w:rPr>
          <w:rFonts w:ascii="Times New Roman" w:eastAsia="Times New Roman" w:hAnsi="Times New Roman" w:cs="Times New Roman"/>
          <w:b/>
          <w:noProof/>
          <w:snapToGrid w:val="0"/>
          <w:lang w:val="lt-LT"/>
        </w:rPr>
        <w:lastRenderedPageBreak/>
        <w:t>INFORMACIJA ANT IŠORINĖS (JEI JOS NĖRA – VIDINĖS) PAKUOTĖS</w:t>
      </w: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snapToGrid w:val="0"/>
          <w:lang w:val="lt-LT"/>
        </w:rPr>
      </w:pPr>
      <w:r w:rsidRPr="00A046F5">
        <w:rPr>
          <w:rFonts w:ascii="Times New Roman" w:eastAsia="Times New Roman" w:hAnsi="Times New Roman" w:cs="Times New Roman"/>
          <w:b/>
          <w:noProof/>
          <w:snapToGrid w:val="0"/>
          <w:lang w:val="lt-LT"/>
        </w:rPr>
        <w:t>DĖŽUTĖ</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1.</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caps/>
          <w:noProof/>
          <w:snapToGrid w:val="0"/>
          <w:lang w:val="lt-LT"/>
        </w:rPr>
        <w:t>VAISTINIO</w:t>
      </w:r>
      <w:r w:rsidRPr="00A046F5">
        <w:rPr>
          <w:rFonts w:ascii="Times New Roman" w:eastAsia="Times New Roman" w:hAnsi="Times New Roman" w:cs="Times New Roman"/>
          <w:b/>
          <w:noProof/>
          <w:snapToGrid w:val="0"/>
          <w:lang w:val="lt-LT"/>
        </w:rPr>
        <w:t xml:space="preserve"> PREPARATO PAVADINIMAS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0,5 mmol/ml injekcinis tirpalas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rPr>
        <w:t>Dimeglumini gadopentetas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2.</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 xml:space="preserve">VEIKLIOJI MEDŽIAGA IR JOS KIEKIS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 ml injekcinio tirpalo yra 0,5 mmol (469 mg) gadopentetato dimegliumino.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3.</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PAGALBINIŲ MEDŽIAGŲ SĄRAŠAS</w:t>
      </w: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Pagalbinės medžiagos: megliuminas, penteto rūgštis, injekcinis vanduo.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4.</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FARMACINĖ FORMA IR KIEKIS PAKUOTĖJE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Injekcinis tirpalas.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   5 ml × 10 flakonų</w:t>
      </w:r>
    </w:p>
    <w:p w:rsidR="00A046F5" w:rsidRPr="00A046F5" w:rsidRDefault="00A046F5" w:rsidP="00A046F5">
      <w:pPr>
        <w:spacing w:after="0" w:line="240" w:lineRule="auto"/>
        <w:rPr>
          <w:rFonts w:ascii="Times New Roman" w:eastAsia="Calibri" w:hAnsi="Times New Roman" w:cs="Times New Roman"/>
          <w:highlight w:val="lightGray"/>
          <w:lang w:val="lt-LT" w:eastAsia="lt-LT"/>
        </w:rPr>
      </w:pPr>
      <w:r w:rsidRPr="00A046F5">
        <w:rPr>
          <w:rFonts w:ascii="Times New Roman" w:eastAsia="Calibri" w:hAnsi="Times New Roman" w:cs="Times New Roman"/>
          <w:lang w:val="lt-LT" w:eastAsia="lt-LT"/>
        </w:rPr>
        <w:t xml:space="preserve"> </w:t>
      </w:r>
      <w:r w:rsidRPr="00A046F5">
        <w:rPr>
          <w:rFonts w:ascii="Times New Roman" w:eastAsia="Calibri" w:hAnsi="Times New Roman" w:cs="Times New Roman"/>
          <w:highlight w:val="lightGray"/>
          <w:lang w:val="lt-LT" w:eastAsia="lt-LT"/>
        </w:rPr>
        <w:t>10 ml × 10 flakonų</w:t>
      </w:r>
    </w:p>
    <w:p w:rsidR="00A046F5" w:rsidRPr="00A046F5" w:rsidRDefault="00A046F5" w:rsidP="00A046F5">
      <w:pPr>
        <w:spacing w:after="0" w:line="240" w:lineRule="auto"/>
        <w:rPr>
          <w:rFonts w:ascii="Times New Roman" w:eastAsia="Calibri" w:hAnsi="Times New Roman" w:cs="Times New Roman"/>
          <w:highlight w:val="lightGray"/>
          <w:lang w:val="lt-LT" w:eastAsia="lt-LT"/>
        </w:rPr>
      </w:pPr>
      <w:r w:rsidRPr="00A046F5">
        <w:rPr>
          <w:rFonts w:ascii="Times New Roman" w:eastAsia="Calibri" w:hAnsi="Times New Roman" w:cs="Times New Roman"/>
          <w:highlight w:val="lightGray"/>
          <w:lang w:val="lt-LT" w:eastAsia="lt-LT"/>
        </w:rPr>
        <w:t xml:space="preserve"> 15 ml × 10 flakonų</w:t>
      </w:r>
    </w:p>
    <w:p w:rsidR="00A046F5" w:rsidRPr="00A046F5" w:rsidRDefault="00A046F5" w:rsidP="00A046F5">
      <w:pPr>
        <w:spacing w:after="0" w:line="240" w:lineRule="auto"/>
        <w:rPr>
          <w:rFonts w:ascii="Times New Roman" w:eastAsia="Calibri" w:hAnsi="Times New Roman" w:cs="Times New Roman"/>
          <w:highlight w:val="lightGray"/>
          <w:lang w:val="lt-LT" w:eastAsia="lt-LT"/>
        </w:rPr>
      </w:pPr>
      <w:r w:rsidRPr="00A046F5">
        <w:rPr>
          <w:rFonts w:ascii="Times New Roman" w:eastAsia="Calibri" w:hAnsi="Times New Roman" w:cs="Times New Roman"/>
          <w:highlight w:val="lightGray"/>
          <w:lang w:val="lt-LT" w:eastAsia="lt-LT"/>
        </w:rPr>
        <w:t xml:space="preserve">  20 ml × 10 flakonų</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highlight w:val="lightGray"/>
          <w:lang w:val="lt-LT" w:eastAsia="lt-LT"/>
        </w:rPr>
        <w:t>100 ml ×10 buteliukų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5.</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 xml:space="preserve">VARTOJIMO METODAS IR BŪDAS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Leisti į veną. Prieš vartojimą perskaitykite pakuotės lapelį.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6.</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SPECIALUS ĮSPĖJIMAS, KAD VAISTINĮ PREPARATĄ BŪTINA LAIKYTI VAIKAMS NEPASTEBIMOJE IR NEPASIEKIAMOJE VIETOJE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Laikyti vaikams nepastebimoje ir nepasiekiamoje vietoje.</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7.</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KITAS SPECIALUS ĮSPĖJIMAS (JEI REIKIA)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Atidarius pakuotę, tirpalas lieka patvarus 24 val.</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lastRenderedPageBreak/>
        <w:t>8.</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TINKAMUMO LAIKAS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Tinka iki {mm/MMMM} [mėnuo, metai]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9.</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SPECIALIOS LAIKYMO SĄLYGOS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Flakonus/</w:t>
      </w:r>
      <w:r w:rsidRPr="00A046F5">
        <w:rPr>
          <w:rFonts w:ascii="Times New Roman" w:eastAsia="Calibri" w:hAnsi="Times New Roman" w:cs="Times New Roman"/>
          <w:highlight w:val="lightGray"/>
          <w:lang w:val="lt-LT" w:eastAsia="lt-LT"/>
        </w:rPr>
        <w:t>Buteliukus</w:t>
      </w:r>
      <w:r w:rsidRPr="00A046F5">
        <w:rPr>
          <w:rFonts w:ascii="Times New Roman" w:eastAsia="Calibri" w:hAnsi="Times New Roman" w:cs="Times New Roman"/>
          <w:lang w:val="lt-LT" w:eastAsia="lt-LT"/>
        </w:rPr>
        <w:t xml:space="preserve"> laikyti išorinėje dėžutėje, kad preparatas būtų apsaugotas nuo šviesos.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10.</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SPECIALIOS ATSARGUMO PRIEMONĖS DĖL NESUVARTOTO VAISTINIO PREPARATO AR JO ATLIEKŲ TVARKYMO (JEI REIKIA)</w:t>
      </w: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11.</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lang w:val="lt-LT" w:eastAsia="lt-LT"/>
        </w:rPr>
        <w:t>REGISTRUOTOJO</w:t>
      </w:r>
      <w:r w:rsidRPr="00A046F5">
        <w:rPr>
          <w:rFonts w:ascii="Times New Roman" w:eastAsia="Times New Roman" w:hAnsi="Times New Roman" w:cs="Times New Roman"/>
          <w:b/>
          <w:caps/>
          <w:noProof/>
          <w:snapToGrid w:val="0"/>
          <w:lang w:val="lt-LT"/>
        </w:rPr>
        <w:t xml:space="preserve"> PAVADINIMAS IR ADRESAS</w:t>
      </w:r>
    </w:p>
    <w:p w:rsidR="00A046F5" w:rsidRPr="00A046F5" w:rsidRDefault="00A046F5" w:rsidP="00A046F5">
      <w:pPr>
        <w:spacing w:after="0" w:line="240" w:lineRule="auto"/>
        <w:rPr>
          <w:rFonts w:ascii="Times New Roman" w:eastAsia="Calibri" w:hAnsi="Times New Roman" w:cs="Times New Roman"/>
          <w:lang w:val="lt-LT" w:eastAsia="lt-LT"/>
        </w:rPr>
      </w:pP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 xml:space="preserve">Bayer AG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lang w:val="de-DE"/>
        </w:rPr>
        <w:t>Kaiser-Wilhelm-Allee 1</w:t>
      </w:r>
      <w:r w:rsidRPr="00213934">
        <w:rPr>
          <w:rFonts w:ascii="Times New Roman" w:hAnsi="Times New Roman" w:cs="Times New Roman"/>
        </w:rPr>
        <w:t xml:space="preserve">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 xml:space="preserve">51373 Leverkusen </w:t>
      </w:r>
    </w:p>
    <w:p w:rsidR="00284154" w:rsidRPr="0021393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Vokietija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12.</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lang w:val="lt-LT" w:eastAsia="lt-LT"/>
        </w:rPr>
        <w:t>REGISTRACIJOS</w:t>
      </w:r>
      <w:r w:rsidRPr="00A046F5">
        <w:rPr>
          <w:rFonts w:ascii="Times New Roman" w:eastAsia="Times New Roman" w:hAnsi="Times New Roman" w:cs="Times New Roman"/>
          <w:b/>
          <w:noProof/>
          <w:snapToGrid w:val="0"/>
          <w:lang w:val="lt-LT"/>
        </w:rPr>
        <w:t xml:space="preserve"> PAŽYMĖJIMO NUMERIAI</w:t>
      </w:r>
      <w:r w:rsidRPr="00A046F5">
        <w:rPr>
          <w:rFonts w:ascii="Times New Roman" w:eastAsia="Times New Roman" w:hAnsi="Times New Roman" w:cs="Times New Roman"/>
          <w:b/>
          <w:snapToGrid w:val="0"/>
          <w:lang w:val="lt-LT"/>
        </w:rPr>
        <w:t xml:space="preserve">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sv-SE" w:eastAsia="lt-LT"/>
        </w:rPr>
      </w:pPr>
      <w:r w:rsidRPr="00A046F5">
        <w:rPr>
          <w:rFonts w:ascii="Times New Roman" w:eastAsia="Calibri" w:hAnsi="Times New Roman" w:cs="Times New Roman"/>
          <w:lang w:val="lt-LT" w:eastAsia="lt-LT"/>
        </w:rPr>
        <w:t>5 ml – LT/1/95/1060/001</w:t>
      </w:r>
    </w:p>
    <w:p w:rsidR="00A046F5" w:rsidRPr="00A046F5" w:rsidRDefault="00A046F5" w:rsidP="00A046F5">
      <w:pPr>
        <w:spacing w:after="0" w:line="240" w:lineRule="auto"/>
        <w:rPr>
          <w:rFonts w:ascii="Times New Roman" w:eastAsia="Calibri" w:hAnsi="Times New Roman" w:cs="Times New Roman"/>
          <w:lang w:val="sv-SE" w:eastAsia="lt-LT"/>
        </w:rPr>
      </w:pPr>
      <w:r w:rsidRPr="00A046F5">
        <w:rPr>
          <w:rFonts w:ascii="Times New Roman" w:eastAsia="Calibri" w:hAnsi="Times New Roman" w:cs="Times New Roman"/>
          <w:lang w:val="lt-LT" w:eastAsia="lt-LT"/>
        </w:rPr>
        <w:t>10 ml – LT/1/95/1060/002</w:t>
      </w:r>
    </w:p>
    <w:p w:rsidR="00A046F5" w:rsidRPr="00A046F5" w:rsidRDefault="00A046F5" w:rsidP="00A046F5">
      <w:pPr>
        <w:spacing w:after="0" w:line="240" w:lineRule="auto"/>
        <w:rPr>
          <w:rFonts w:ascii="Times New Roman" w:eastAsia="Calibri" w:hAnsi="Times New Roman" w:cs="Times New Roman"/>
          <w:lang w:val="sv-SE" w:eastAsia="lt-LT"/>
        </w:rPr>
      </w:pPr>
      <w:r w:rsidRPr="00A046F5">
        <w:rPr>
          <w:rFonts w:ascii="Times New Roman" w:eastAsia="Calibri" w:hAnsi="Times New Roman" w:cs="Times New Roman"/>
          <w:lang w:val="lt-LT" w:eastAsia="lt-LT"/>
        </w:rPr>
        <w:t>15 ml – LT/1/95/1060/003</w:t>
      </w:r>
    </w:p>
    <w:p w:rsidR="00A046F5" w:rsidRPr="00A046F5" w:rsidRDefault="00A046F5" w:rsidP="00A046F5">
      <w:pPr>
        <w:spacing w:after="0" w:line="240" w:lineRule="auto"/>
        <w:rPr>
          <w:rFonts w:ascii="Times New Roman" w:eastAsia="Calibri" w:hAnsi="Times New Roman" w:cs="Times New Roman"/>
          <w:lang w:val="sv-SE" w:eastAsia="lt-LT"/>
        </w:rPr>
      </w:pPr>
      <w:r w:rsidRPr="00A046F5">
        <w:rPr>
          <w:rFonts w:ascii="Times New Roman" w:eastAsia="Calibri" w:hAnsi="Times New Roman" w:cs="Times New Roman"/>
          <w:lang w:val="lt-LT" w:eastAsia="lt-LT"/>
        </w:rPr>
        <w:t>20 ml – LT/1/95/1060/004</w:t>
      </w:r>
    </w:p>
    <w:p w:rsidR="00A046F5" w:rsidRPr="00A046F5" w:rsidRDefault="00A046F5" w:rsidP="00A046F5">
      <w:pPr>
        <w:spacing w:after="0" w:line="240" w:lineRule="auto"/>
        <w:rPr>
          <w:rFonts w:ascii="Times New Roman" w:eastAsia="Calibri" w:hAnsi="Times New Roman" w:cs="Times New Roman"/>
          <w:lang w:val="sv-SE" w:eastAsia="lt-LT"/>
        </w:rPr>
      </w:pPr>
      <w:r w:rsidRPr="00A046F5">
        <w:rPr>
          <w:rFonts w:ascii="Times New Roman" w:eastAsia="Calibri" w:hAnsi="Times New Roman" w:cs="Times New Roman"/>
          <w:lang w:val="lt-LT" w:eastAsia="lt-LT"/>
        </w:rPr>
        <w:t>100 ml – LT/1/95/1060/005</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13.</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 xml:space="preserve">SERIJOS NUMERIS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Serija {numeris}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14.</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PARDAVIMO (IŠDAVIMO) TVARKA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Receptinis vaistinis preparatas.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lang w:val="lt-LT"/>
        </w:rPr>
      </w:pPr>
      <w:r w:rsidRPr="00A046F5">
        <w:rPr>
          <w:rFonts w:ascii="Times New Roman" w:eastAsia="Times New Roman" w:hAnsi="Times New Roman" w:cs="Times New Roman"/>
          <w:b/>
          <w:snapToGrid w:val="0"/>
          <w:lang w:val="lt-LT"/>
        </w:rPr>
        <w:t>15.</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VARTOJIMO INSTRUKCIJA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Times New Roman" w:hAnsi="Times New Roman" w:cs="Times New Roman"/>
          <w:lang w:val="lt-LT"/>
        </w:rPr>
      </w:pPr>
      <w:r w:rsidRPr="00A046F5">
        <w:rPr>
          <w:rFonts w:ascii="Times New Roman" w:eastAsia="Calibri" w:hAnsi="Times New Roman" w:cs="Times New Roman"/>
          <w:lang w:val="lt-LT"/>
        </w:rPr>
        <w:t>Ant paciento ligos istorijos reikia užklijuoti nuplėšiamą sekimo etiketę (nuo flakonų/ buteliukų), skirtą tiksliam naudotos gadolinio kontrastinės medžiagos registravimui,</w:t>
      </w:r>
      <w:r w:rsidRPr="00A046F5">
        <w:rPr>
          <w:rFonts w:ascii="Times New Roman" w:eastAsia="Times New Roman" w:hAnsi="Times New Roman" w:cs="Times New Roman"/>
          <w:lang w:val="lt-LT"/>
        </w:rPr>
        <w:t xml:space="preserve"> ir įrašykite į ją preparato dozę; kitu atveju naudokite elektroninę paciento ligos istoriją (į ją reikia įrašyti preparato pavadinimą, serijos numerį ir dozę).</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lang w:val="lt-LT"/>
        </w:rPr>
      </w:pPr>
      <w:r w:rsidRPr="00A046F5">
        <w:rPr>
          <w:rFonts w:ascii="Times New Roman" w:eastAsia="Times New Roman" w:hAnsi="Times New Roman" w:cs="Times New Roman"/>
          <w:b/>
          <w:snapToGrid w:val="0"/>
          <w:lang w:val="lt-LT"/>
        </w:rPr>
        <w:lastRenderedPageBreak/>
        <w:t>16.</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INFORMACIJA BRAILIO RAŠTU</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lang w:val="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highlight w:val="lightGray"/>
          <w:lang w:val="lt-LT" w:eastAsia="lt-LT"/>
        </w:rPr>
        <w:t>Priimtas pagrindimas informacijos Brailio raštu nepateikti.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napToGrid w:val="0"/>
          <w:lang w:val="lt-LT"/>
        </w:rPr>
      </w:pPr>
      <w:r w:rsidRPr="00A046F5">
        <w:rPr>
          <w:rFonts w:ascii="Times New Roman" w:eastAsia="Calibri" w:hAnsi="Times New Roman" w:cs="Times New Roman"/>
          <w:lang w:val="lt-LT" w:eastAsia="lt-LT"/>
        </w:rPr>
        <w:br w:type="page"/>
      </w:r>
      <w:r w:rsidRPr="00A046F5">
        <w:rPr>
          <w:rFonts w:ascii="Times New Roman" w:eastAsia="Times New Roman" w:hAnsi="Times New Roman" w:cs="Times New Roman"/>
          <w:b/>
          <w:noProof/>
          <w:snapToGrid w:val="0"/>
          <w:lang w:val="lt-LT"/>
        </w:rPr>
        <w:lastRenderedPageBreak/>
        <w:t>MINIMALI INFORMACIJA ANT MAŽŲ VIDINIŲ PAKUOČIŲ</w:t>
      </w: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lang w:val="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lang w:val="lt-LT"/>
        </w:rPr>
      </w:pPr>
      <w:r w:rsidRPr="00A046F5">
        <w:rPr>
          <w:rFonts w:ascii="Times New Roman" w:eastAsia="Times New Roman" w:hAnsi="Times New Roman" w:cs="Times New Roman"/>
          <w:b/>
          <w:noProof/>
          <w:snapToGrid w:val="0"/>
          <w:lang w:val="lt-LT"/>
        </w:rPr>
        <w:t>FLAKONAS, BUTELIUKAS</w:t>
      </w:r>
      <w:r w:rsidRPr="00A046F5">
        <w:rPr>
          <w:rFonts w:ascii="Times New Roman" w:eastAsia="Times New Roman" w:hAnsi="Times New Roman" w:cs="Times New Roman"/>
          <w:b/>
          <w:snapToGrid w:val="0"/>
          <w:lang w:val="lt-LT"/>
        </w:rPr>
        <w:t xml:space="preserve"> </w:t>
      </w:r>
    </w:p>
    <w:p w:rsidR="00A046F5" w:rsidRPr="00A046F5" w:rsidRDefault="00A046F5" w:rsidP="00A046F5">
      <w:pPr>
        <w:tabs>
          <w:tab w:val="left" w:pos="567"/>
        </w:tabs>
        <w:spacing w:after="0" w:line="260" w:lineRule="exact"/>
        <w:rPr>
          <w:rFonts w:ascii="Times New Roman" w:eastAsia="Times New Roman" w:hAnsi="Times New Roman" w:cs="Times New Roman"/>
          <w:snapToGrid w:val="0"/>
          <w:lang w:val="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1.</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caps/>
          <w:noProof/>
          <w:snapToGrid w:val="0"/>
          <w:lang w:val="lt-LT"/>
        </w:rPr>
        <w:t xml:space="preserve">Vaistinio preparato pavadinimas ir vartojimo būdas </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0,5 mmol/ml injekcinis tirpalas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Dimeglumini gadopentetas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Leisti į veną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2.</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VARTOJIMO METODAS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Prieš vartojimą perskaitykite pakuotės lapelį.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3.</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TINKAMUMO LAIKAS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Tinka iki {mm/MMMM} [mėnuo, metai]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4.</w:t>
      </w:r>
      <w:r w:rsidRPr="00A046F5">
        <w:rPr>
          <w:rFonts w:ascii="Times New Roman" w:eastAsia="Times New Roman" w:hAnsi="Times New Roman" w:cs="Times New Roman"/>
          <w:b/>
          <w:snapToGrid w:val="0"/>
          <w:lang w:val="lt-LT"/>
        </w:rPr>
        <w:tab/>
      </w:r>
      <w:r w:rsidRPr="00A046F5">
        <w:rPr>
          <w:rFonts w:ascii="Times New Roman" w:eastAsia="Times New Roman" w:hAnsi="Times New Roman" w:cs="Times New Roman"/>
          <w:b/>
          <w:noProof/>
          <w:snapToGrid w:val="0"/>
          <w:lang w:val="lt-LT"/>
        </w:rPr>
        <w:t xml:space="preserve">SERIJOS NUMERIS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Serija {numeris}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5.</w:t>
      </w:r>
      <w:r w:rsidRPr="00A046F5">
        <w:rPr>
          <w:rFonts w:ascii="Times New Roman" w:eastAsia="Times New Roman" w:hAnsi="Times New Roman" w:cs="Times New Roman"/>
          <w:b/>
          <w:snapToGrid w:val="0"/>
          <w:lang w:val="lt-LT"/>
        </w:rPr>
        <w:tab/>
        <w:t>KIEKIS (MASĖ, TŪRIS ARBA VIENETAI)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5 ml</w:t>
      </w:r>
    </w:p>
    <w:p w:rsidR="00A046F5" w:rsidRPr="00A046F5" w:rsidRDefault="00A046F5" w:rsidP="00A046F5">
      <w:pPr>
        <w:spacing w:after="0" w:line="240" w:lineRule="auto"/>
        <w:rPr>
          <w:rFonts w:ascii="Times New Roman" w:eastAsia="Calibri" w:hAnsi="Times New Roman" w:cs="Times New Roman"/>
          <w:highlight w:val="lightGray"/>
          <w:lang w:val="lt-LT" w:eastAsia="lt-LT"/>
        </w:rPr>
      </w:pPr>
      <w:r w:rsidRPr="00A046F5">
        <w:rPr>
          <w:rFonts w:ascii="Times New Roman" w:eastAsia="Calibri" w:hAnsi="Times New Roman" w:cs="Times New Roman"/>
          <w:highlight w:val="lightGray"/>
          <w:lang w:val="lt-LT" w:eastAsia="lt-LT"/>
        </w:rPr>
        <w:t>10 ml</w:t>
      </w:r>
    </w:p>
    <w:p w:rsidR="00A046F5" w:rsidRPr="00A046F5" w:rsidRDefault="00A046F5" w:rsidP="00A046F5">
      <w:pPr>
        <w:spacing w:after="0" w:line="240" w:lineRule="auto"/>
        <w:rPr>
          <w:rFonts w:ascii="Times New Roman" w:eastAsia="Calibri" w:hAnsi="Times New Roman" w:cs="Times New Roman"/>
          <w:highlight w:val="lightGray"/>
          <w:lang w:val="lt-LT" w:eastAsia="lt-LT"/>
        </w:rPr>
      </w:pPr>
      <w:r w:rsidRPr="00A046F5">
        <w:rPr>
          <w:rFonts w:ascii="Times New Roman" w:eastAsia="Calibri" w:hAnsi="Times New Roman" w:cs="Times New Roman"/>
          <w:highlight w:val="lightGray"/>
          <w:lang w:val="lt-LT" w:eastAsia="lt-LT"/>
        </w:rPr>
        <w:t>15 ml</w:t>
      </w:r>
    </w:p>
    <w:p w:rsidR="00A046F5" w:rsidRPr="00A046F5" w:rsidRDefault="00A046F5" w:rsidP="00A046F5">
      <w:pPr>
        <w:spacing w:after="0" w:line="240" w:lineRule="auto"/>
        <w:rPr>
          <w:rFonts w:ascii="Times New Roman" w:eastAsia="Calibri" w:hAnsi="Times New Roman" w:cs="Times New Roman"/>
          <w:highlight w:val="lightGray"/>
          <w:lang w:val="lt-LT" w:eastAsia="lt-LT"/>
        </w:rPr>
      </w:pPr>
      <w:r w:rsidRPr="00A046F5">
        <w:rPr>
          <w:rFonts w:ascii="Times New Roman" w:eastAsia="Calibri" w:hAnsi="Times New Roman" w:cs="Times New Roman"/>
          <w:highlight w:val="lightGray"/>
          <w:lang w:val="lt-LT" w:eastAsia="lt-LT"/>
        </w:rPr>
        <w:t>20 ml</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highlight w:val="lightGray"/>
          <w:lang w:val="lt-LT" w:eastAsia="lt-LT"/>
        </w:rPr>
        <w:t>100 ml</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A046F5">
        <w:rPr>
          <w:rFonts w:ascii="Times New Roman" w:eastAsia="Times New Roman" w:hAnsi="Times New Roman" w:cs="Times New Roman"/>
          <w:b/>
          <w:snapToGrid w:val="0"/>
          <w:lang w:val="lt-LT"/>
        </w:rPr>
        <w:t>6.</w:t>
      </w:r>
      <w:r w:rsidRPr="00A046F5">
        <w:rPr>
          <w:rFonts w:ascii="Times New Roman" w:eastAsia="Times New Roman" w:hAnsi="Times New Roman" w:cs="Times New Roman"/>
          <w:b/>
          <w:snapToGrid w:val="0"/>
          <w:lang w:val="lt-LT"/>
        </w:rPr>
        <w:tab/>
        <w:t>KITA</w:t>
      </w:r>
    </w:p>
    <w:p w:rsidR="00A046F5" w:rsidRPr="00A046F5" w:rsidRDefault="00A046F5" w:rsidP="00A046F5">
      <w:pPr>
        <w:spacing w:after="0" w:line="240" w:lineRule="auto"/>
        <w:rPr>
          <w:rFonts w:ascii="Times New Roman" w:eastAsia="Calibri" w:hAnsi="Times New Roman" w:cs="Times New Roman"/>
          <w:bCs/>
          <w:noProof/>
          <w:lang w:val="lt-LT" w:eastAsia="lt-LT"/>
        </w:rPr>
      </w:pPr>
    </w:p>
    <w:p w:rsidR="00A046F5" w:rsidRPr="00A046F5" w:rsidRDefault="00A046F5" w:rsidP="00A046F5">
      <w:pPr>
        <w:spacing w:after="0" w:line="240" w:lineRule="auto"/>
        <w:rPr>
          <w:rFonts w:ascii="Times New Roman" w:eastAsia="Calibri" w:hAnsi="Times New Roman" w:cs="Times New Roman"/>
          <w:noProof/>
          <w:lang w:val="lt-LT" w:eastAsia="lt-LT"/>
        </w:rPr>
      </w:pPr>
      <w:r w:rsidRPr="00A046F5">
        <w:rPr>
          <w:rFonts w:ascii="Times New Roman" w:eastAsia="Calibri" w:hAnsi="Times New Roman" w:cs="Times New Roman"/>
          <w:bCs/>
          <w:noProof/>
          <w:lang w:val="lt-LT" w:eastAsia="lt-LT"/>
        </w:rPr>
        <w:t>Lipni etiketė su preparato pavadinimu, pakuotės tūriu ir serijos numeriu.</w:t>
      </w:r>
    </w:p>
    <w:p w:rsidR="00A046F5" w:rsidRPr="00A046F5" w:rsidRDefault="00A046F5" w:rsidP="00A046F5">
      <w:pPr>
        <w:spacing w:after="0" w:line="240" w:lineRule="auto"/>
        <w:rPr>
          <w:rFonts w:ascii="Times New Roman" w:eastAsia="Calibri" w:hAnsi="Times New Roman" w:cs="Times New Roman"/>
          <w:noProof/>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br w:type="page"/>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outlineLvl w:val="0"/>
        <w:rPr>
          <w:rFonts w:ascii="Times New Roman" w:eastAsia="Calibri" w:hAnsi="Times New Roman" w:cs="Times New Roman"/>
          <w:b/>
          <w:kern w:val="28"/>
          <w:lang w:val="lt-LT" w:eastAsia="lt-LT"/>
        </w:rPr>
      </w:pPr>
      <w:r w:rsidRPr="00A046F5">
        <w:rPr>
          <w:rFonts w:ascii="Times New Roman" w:eastAsia="Calibri" w:hAnsi="Times New Roman" w:cs="Times New Roman"/>
          <w:b/>
          <w:kern w:val="28"/>
          <w:lang w:val="lt-LT" w:eastAsia="lt-LT"/>
        </w:rPr>
        <w:t>B. PAKUOTĖS LAPELIS</w:t>
      </w:r>
    </w:p>
    <w:p w:rsidR="00A046F5" w:rsidRPr="00A046F5" w:rsidRDefault="00A046F5" w:rsidP="00A046F5">
      <w:pPr>
        <w:spacing w:after="0" w:line="240" w:lineRule="auto"/>
        <w:jc w:val="center"/>
        <w:rPr>
          <w:rFonts w:ascii="Times New Roman" w:eastAsia="Calibri" w:hAnsi="Times New Roman" w:cs="Times New Roman"/>
          <w:b/>
          <w:lang w:val="lt-LT" w:eastAsia="lt-LT"/>
        </w:rPr>
      </w:pPr>
      <w:r w:rsidRPr="00A046F5">
        <w:rPr>
          <w:rFonts w:ascii="Times New Roman" w:eastAsia="Calibri" w:hAnsi="Times New Roman" w:cs="Times New Roman"/>
          <w:lang w:val="lt-LT" w:eastAsia="lt-LT"/>
        </w:rPr>
        <w:br w:type="page"/>
      </w:r>
      <w:r w:rsidRPr="00A046F5">
        <w:rPr>
          <w:rFonts w:ascii="Times New Roman" w:eastAsia="Calibri" w:hAnsi="Times New Roman" w:cs="Times New Roman"/>
          <w:b/>
          <w:iCs/>
          <w:lang w:val="lt-LT" w:eastAsia="lt-LT"/>
        </w:rPr>
        <w:lastRenderedPageBreak/>
        <w:t>Pakuotės lapelis: informacija vartotojui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center"/>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Magnevist 0,5 mmol/ml injekcinis tirpalas</w:t>
      </w:r>
    </w:p>
    <w:p w:rsidR="00A046F5" w:rsidRPr="00A046F5" w:rsidRDefault="00A046F5" w:rsidP="00A046F5">
      <w:pPr>
        <w:spacing w:after="0" w:line="240" w:lineRule="auto"/>
        <w:jc w:val="center"/>
        <w:rPr>
          <w:rFonts w:ascii="Times New Roman" w:eastAsia="Calibri" w:hAnsi="Times New Roman" w:cs="Times New Roman"/>
          <w:lang w:val="lt-LT" w:eastAsia="lt-LT"/>
        </w:rPr>
      </w:pPr>
      <w:bookmarkStart w:id="3" w:name="OLE_LINK2"/>
      <w:r w:rsidRPr="00A046F5">
        <w:rPr>
          <w:rFonts w:ascii="Times New Roman" w:eastAsia="Calibri" w:hAnsi="Times New Roman" w:cs="Times New Roman"/>
          <w:lang w:val="lt-LT" w:eastAsia="lt-LT"/>
        </w:rPr>
        <w:t>Gadopentetato dimegliuminas</w:t>
      </w:r>
    </w:p>
    <w:bookmarkEnd w:id="3"/>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Atidžiai perskaitykite visą šį lapelį, prieš pradėdami vartoti vaistą, nes jame pateikiama Jums svarbi informacija.</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w:t>
      </w:r>
      <w:r w:rsidRPr="00A046F5">
        <w:rPr>
          <w:rFonts w:ascii="Times New Roman" w:eastAsia="Calibri" w:hAnsi="Times New Roman" w:cs="Times New Roman"/>
          <w:lang w:val="lt-LT" w:eastAsia="lt-LT"/>
        </w:rPr>
        <w:tab/>
        <w:t>Neišmeskite lapelio, nes vėl gali prireikti jį perskaityti.</w:t>
      </w:r>
      <w:r w:rsidRPr="00A046F5">
        <w:rPr>
          <w:rFonts w:ascii="Times New Roman" w:eastAsia="Calibri" w:hAnsi="Times New Roman" w:cs="Times New Roman"/>
          <w:lang w:val="lt-LT" w:eastAsia="lt-LT"/>
        </w:rPr>
        <w:tab/>
      </w:r>
    </w:p>
    <w:p w:rsidR="00A046F5" w:rsidRPr="00A046F5" w:rsidRDefault="00A046F5" w:rsidP="00A046F5">
      <w:pPr>
        <w:numPr>
          <w:ilvl w:val="0"/>
          <w:numId w:val="24"/>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Jeigu kiltų klausimų, kreipkitės į gydytoją, paskyrusį Magnevist (radiologą), arba ligoninės MRT personalą.</w:t>
      </w:r>
    </w:p>
    <w:p w:rsidR="00A046F5" w:rsidRPr="00A046F5" w:rsidRDefault="00A046F5" w:rsidP="00A046F5">
      <w:pPr>
        <w:numPr>
          <w:ilvl w:val="0"/>
          <w:numId w:val="24"/>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iCs/>
          <w:lang w:val="lt-LT" w:eastAsia="lt-LT"/>
        </w:rPr>
        <w:t xml:space="preserve">Jeigu pasireiškė šalutinis poveikis </w:t>
      </w:r>
      <w:r w:rsidRPr="00A046F5">
        <w:rPr>
          <w:rFonts w:ascii="Times New Roman" w:eastAsia="Calibri" w:hAnsi="Times New Roman" w:cs="Times New Roman"/>
          <w:lang w:val="lt-LT" w:eastAsia="lt-LT"/>
        </w:rPr>
        <w:t xml:space="preserve">(net jeigu jis šiame lapelyje nenurodytas), kreipkitės į </w:t>
      </w:r>
      <w:r w:rsidRPr="00A046F5">
        <w:rPr>
          <w:rFonts w:ascii="Times New Roman" w:eastAsia="Calibri" w:hAnsi="Times New Roman" w:cs="Times New Roman"/>
          <w:iCs/>
          <w:lang w:val="lt-LT" w:eastAsia="lt-LT"/>
        </w:rPr>
        <w:t>gydytoją arba radiologą.</w:t>
      </w:r>
      <w:r w:rsidRPr="00A046F5">
        <w:rPr>
          <w:rFonts w:ascii="Times New Roman" w:eastAsia="Calibri" w:hAnsi="Times New Roman" w:cs="Times New Roman"/>
          <w:noProof/>
          <w:lang w:val="lt-LT"/>
        </w:rPr>
        <w:t xml:space="preserve"> Žr. 4 skyrių.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 xml:space="preserve"> Apie ką rašoma šiame lapelyje?</w:t>
      </w:r>
    </w:p>
    <w:p w:rsidR="00A046F5" w:rsidRPr="00A046F5" w:rsidRDefault="00A046F5" w:rsidP="00A046F5">
      <w:pPr>
        <w:spacing w:after="0" w:line="240" w:lineRule="auto"/>
        <w:rPr>
          <w:rFonts w:ascii="Times New Roman" w:eastAsia="Calibri" w:hAnsi="Times New Roman" w:cs="Times New Roman"/>
          <w:b/>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1.</w:t>
      </w:r>
      <w:r w:rsidRPr="00A046F5">
        <w:rPr>
          <w:rFonts w:ascii="Times New Roman" w:eastAsia="Calibri" w:hAnsi="Times New Roman" w:cs="Times New Roman"/>
          <w:lang w:val="lt-LT" w:eastAsia="lt-LT"/>
        </w:rPr>
        <w:tab/>
        <w:t>Kas yra Magnevist ir kam jis vartojamas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2.</w:t>
      </w:r>
      <w:r w:rsidRPr="00A046F5">
        <w:rPr>
          <w:rFonts w:ascii="Times New Roman" w:eastAsia="Calibri" w:hAnsi="Times New Roman" w:cs="Times New Roman"/>
          <w:lang w:val="lt-LT" w:eastAsia="lt-LT"/>
        </w:rPr>
        <w:tab/>
        <w:t>Kas žinotina prieš vartojant Magnevist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3.</w:t>
      </w:r>
      <w:r w:rsidRPr="00A046F5">
        <w:rPr>
          <w:rFonts w:ascii="Times New Roman" w:eastAsia="Calibri" w:hAnsi="Times New Roman" w:cs="Times New Roman"/>
          <w:lang w:val="lt-LT" w:eastAsia="lt-LT"/>
        </w:rPr>
        <w:tab/>
        <w:t>Kaip vartoti Magnevist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4.</w:t>
      </w:r>
      <w:r w:rsidRPr="00A046F5">
        <w:rPr>
          <w:rFonts w:ascii="Times New Roman" w:eastAsia="Calibri" w:hAnsi="Times New Roman" w:cs="Times New Roman"/>
          <w:lang w:val="lt-LT" w:eastAsia="lt-LT"/>
        </w:rPr>
        <w:tab/>
        <w:t>Galimas šalutinis poveikis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5.</w:t>
      </w:r>
      <w:r w:rsidRPr="00A046F5">
        <w:rPr>
          <w:rFonts w:ascii="Times New Roman" w:eastAsia="Calibri" w:hAnsi="Times New Roman" w:cs="Times New Roman"/>
          <w:lang w:val="lt-LT" w:eastAsia="lt-LT"/>
        </w:rPr>
        <w:tab/>
        <w:t xml:space="preserve">Kaip laikyti Magnevist </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6.</w:t>
      </w:r>
      <w:r w:rsidRPr="00A046F5">
        <w:rPr>
          <w:rFonts w:ascii="Times New Roman" w:eastAsia="Calibri" w:hAnsi="Times New Roman" w:cs="Times New Roman"/>
          <w:lang w:val="lt-LT" w:eastAsia="lt-LT"/>
        </w:rPr>
        <w:tab/>
        <w:t>Pakuotės turinys ir kita informacija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1.</w:t>
      </w:r>
      <w:r w:rsidRPr="00A046F5">
        <w:rPr>
          <w:rFonts w:ascii="Times New Roman" w:eastAsia="Calibri" w:hAnsi="Times New Roman" w:cs="Times New Roman"/>
          <w:b/>
          <w:lang w:val="lt-LT" w:eastAsia="lt-LT"/>
        </w:rPr>
        <w:tab/>
        <w:t>Kas yra Magnevist ir kam jis vartojamas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Magnevist yra kontrastinė medžiaga magnetinio rezonanso tomografijos (MRT) metodu tirti galvą, nugaros smegenis, kraujagysles ir kitas kūno sritis.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yra injekcinis tirpalas leisti į veną. Šis vaistinis preparatas vartojamas tik diagnostikai.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MRT yra diagnostikos būdas, kuriuo sukuriami vaizdai, nustačius vandens molekulių išsidėstymą normaliuose ir nesveikuose audiniuose. Tyrimas atliekamas sudėtinga magnetų ir radijo bangų sistema.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2.</w:t>
      </w:r>
      <w:r w:rsidRPr="00A046F5">
        <w:rPr>
          <w:rFonts w:ascii="Times New Roman" w:eastAsia="Calibri" w:hAnsi="Times New Roman" w:cs="Times New Roman"/>
          <w:b/>
          <w:lang w:val="lt-LT" w:eastAsia="lt-LT"/>
        </w:rPr>
        <w:tab/>
        <w:t>Kas žinotina prieš vartojant Magnevist</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Magnevist vartoti negalima:</w:t>
      </w:r>
    </w:p>
    <w:p w:rsidR="00A046F5" w:rsidRPr="00A046F5" w:rsidRDefault="00A046F5" w:rsidP="00A046F5">
      <w:pPr>
        <w:numPr>
          <w:ilvl w:val="0"/>
          <w:numId w:val="2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jeigu yra sunkus inkstų funkcijos sutrikimas,</w:t>
      </w:r>
    </w:p>
    <w:p w:rsidR="00A046F5" w:rsidRPr="00A046F5" w:rsidRDefault="00A046F5" w:rsidP="00A046F5">
      <w:pPr>
        <w:numPr>
          <w:ilvl w:val="0"/>
          <w:numId w:val="2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jeigu yra persodintos kepenys;</w:t>
      </w:r>
    </w:p>
    <w:p w:rsidR="00A046F5" w:rsidRPr="00A046F5" w:rsidRDefault="00A046F5" w:rsidP="00A046F5">
      <w:pPr>
        <w:numPr>
          <w:ilvl w:val="0"/>
          <w:numId w:val="2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jaunesniems kaip 4 savaičių amžiaus naujagimiams</w:t>
      </w:r>
      <w:r w:rsidRPr="00A046F5">
        <w:rPr>
          <w:rFonts w:ascii="Times New Roman" w:eastAsia="Calibri" w:hAnsi="Times New Roman" w:cs="Times New Roman"/>
          <w:lang w:val="lt-LT" w:eastAsia="lt-LT"/>
        </w:rPr>
        <w:t>.</w:t>
      </w:r>
    </w:p>
    <w:p w:rsidR="00A046F5" w:rsidRPr="00A046F5" w:rsidRDefault="00A046F5" w:rsidP="00A046F5">
      <w:pPr>
        <w:spacing w:after="0" w:line="240" w:lineRule="auto"/>
        <w:ind w:left="709" w:hanging="709"/>
        <w:rPr>
          <w:rFonts w:ascii="Times New Roman" w:eastAsia="Calibri" w:hAnsi="Times New Roman" w:cs="Times New Roman"/>
          <w:lang w:val="lt-LT" w:eastAsia="lt-LT"/>
        </w:rPr>
      </w:pPr>
    </w:p>
    <w:p w:rsidR="00A046F5" w:rsidRPr="00A046F5" w:rsidRDefault="00A046F5" w:rsidP="00D35371">
      <w:pPr>
        <w:spacing w:after="0" w:line="240" w:lineRule="auto"/>
        <w:jc w:val="both"/>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Įspėjimai ir atsargumo priemonės</w:t>
      </w:r>
    </w:p>
    <w:p w:rsidR="00A046F5" w:rsidRPr="00A046F5" w:rsidRDefault="00A046F5" w:rsidP="00A046F5">
      <w:pPr>
        <w:spacing w:after="0" w:line="240" w:lineRule="auto"/>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Prieš skirdamas Magnevist, gydytojas imsis specialių atsargumo priemonių. Pasakykite gydytojui, jeigu:</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yra alergija (padidėjęs jautrumas) gadopentetato dimegliuminui ar bet kuriai pagalbinei Magnevist medžiagai (žr. skyrių „Kita informacija“);</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anksčiau yra buvusi reakcija į kontrastinę medžiagą,</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Jums yra ar buvo alergija (pvz., šienligė, dilgėlinė) arba astma;</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sergate širdies ar kraujagyslių liga. Tuomet yra didesnė tikimybė, kad </w:t>
      </w:r>
      <w:r w:rsidRPr="00A046F5">
        <w:rPr>
          <w:rFonts w:ascii="Times New Roman" w:eastAsia="Calibri" w:hAnsi="Times New Roman" w:cs="Times New Roman"/>
          <w:color w:val="000000"/>
          <w:lang w:val="lt-LT"/>
        </w:rPr>
        <w:t>retais atvejais pasireiškianti alerginė reakcija Jums būtų sunkesnė ar mirtina;</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Jūsų inkstų veikla sutrikusi</w:t>
      </w:r>
      <w:r w:rsidRPr="00A046F5">
        <w:rPr>
          <w:rFonts w:ascii="Times New Roman" w:eastAsia="Calibri" w:hAnsi="Times New Roman" w:cs="Times New Roman"/>
          <w:lang w:val="lt-LT"/>
        </w:rPr>
        <w:t xml:space="preserve"> ir (arba) jeigu Jums staiga nustoja veikti inkstai</w:t>
      </w:r>
      <w:r w:rsidRPr="00A046F5">
        <w:rPr>
          <w:rFonts w:ascii="Times New Roman" w:eastAsia="Calibri" w:hAnsi="Times New Roman" w:cs="Times New Roman"/>
          <w:lang w:val="lt-LT" w:eastAsia="lt-LT"/>
        </w:rPr>
        <w:t>;</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rPr>
        <w:lastRenderedPageBreak/>
        <w:t>Jums neseniai buvo ar netrukus bus atliekamas kepenų persodinimas;</w:t>
      </w:r>
    </w:p>
    <w:p w:rsidR="00A046F5" w:rsidRPr="00A046F5" w:rsidRDefault="00A046F5" w:rsidP="00A046F5">
      <w:pPr>
        <w:numPr>
          <w:ilvl w:val="0"/>
          <w:numId w:val="2"/>
        </w:numPr>
        <w:spacing w:after="0" w:line="240" w:lineRule="auto"/>
        <w:ind w:left="567" w:hanging="567"/>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jeigu sergate epilepsija arba smegenų liga, dėl kurios būna traukulių ar Jums yra kitokių smegenų pažeidimų. Panašių būklių pacientams retais atvejais pasitaikė priepuoliai ar traukuliai.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28"/>
        </w:numPr>
        <w:spacing w:after="0" w:line="240" w:lineRule="auto"/>
        <w:ind w:left="357" w:hanging="357"/>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 xml:space="preserve">Prieš suleidžiant Magnevist, pasakykite gydytojui, radiologui ar MRT skyriaus personalui, jei Jums yra kuri nors iš minėtų būklių. Jūsų gydytojas spręs, ar galima atlikti numatomą tyrimą.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Suleidus Magnevist gali pasireikšti į alergines panašios reakcijos. Galimos sunkios reakcijos. Dauguma šių reakcijų pasireiškia per 30 min. po vartojimo, todėl po injekcijos Jus stebės mažiausiai 30 min.</w:t>
      </w:r>
    </w:p>
    <w:p w:rsidR="00A046F5" w:rsidRPr="00A046F5" w:rsidRDefault="00A046F5" w:rsidP="00A046F5">
      <w:pPr>
        <w:spacing w:after="0" w:line="240" w:lineRule="auto"/>
        <w:ind w:left="567" w:hanging="567"/>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Gali pasireikšti vėlyvos reakcijos (po kelių valandų ar dienų) (žr. 4 skyrių „Galimas šalutinis poveikis“).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rPr>
        <w:t>Prieš atliekant kraujo tyrimus, pasakykite gydytojui, kad vartojote Magnevist, nes kai kurie geležies kiekio kraujyje tyrimai gali būti klaidingi iki 24 valandų po Magnevist vartojimo.</w:t>
      </w:r>
      <w:r w:rsidRPr="00A046F5">
        <w:rPr>
          <w:rFonts w:ascii="Times New Roman" w:eastAsia="Calibri" w:hAnsi="Times New Roman" w:cs="Times New Roman"/>
          <w:lang w:val="lt-LT" w:eastAsia="lt-LT"/>
        </w:rPr>
        <w:t xml:space="preserve"> </w:t>
      </w:r>
    </w:p>
    <w:p w:rsidR="00A046F5" w:rsidRPr="00A046F5" w:rsidRDefault="00A046F5" w:rsidP="00A046F5">
      <w:pPr>
        <w:spacing w:after="0" w:line="240" w:lineRule="auto"/>
        <w:textAlignment w:val="top"/>
        <w:rPr>
          <w:rFonts w:ascii="Times New Roman" w:eastAsia="Calibri" w:hAnsi="Times New Roman" w:cs="Times New Roman"/>
          <w:bCs/>
          <w:lang w:val="lt-LT" w:eastAsia="lt-LT"/>
        </w:rPr>
      </w:pPr>
    </w:p>
    <w:p w:rsidR="00A046F5" w:rsidRPr="00A046F5" w:rsidRDefault="00A046F5" w:rsidP="00A046F5">
      <w:pPr>
        <w:numPr>
          <w:ilvl w:val="0"/>
          <w:numId w:val="30"/>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Prieš suleidžiant Magnevist, pasakykite gydytojui, radiologui ar MRT skyriaus personalui, jei Jums įsodintas širdies ritmo stimuliatorius arba koks nors implantas ar spaustukas, turintis geležies.</w:t>
      </w:r>
      <w:r w:rsidRPr="00A046F5">
        <w:rPr>
          <w:rFonts w:ascii="Times New Roman" w:eastAsia="Calibri" w:hAnsi="Times New Roman" w:cs="Times New Roman"/>
          <w:lang w:val="lt-LT" w:eastAsia="lt-LT"/>
        </w:rPr>
        <w:t xml:space="preserve"> Tokiu atveju Jums negalima būti stipriame magnetiniame lauke.</w:t>
      </w:r>
    </w:p>
    <w:p w:rsidR="00A046F5" w:rsidRPr="00A046F5" w:rsidRDefault="00A046F5" w:rsidP="00A046F5">
      <w:pPr>
        <w:spacing w:after="0" w:line="240" w:lineRule="auto"/>
        <w:textAlignment w:val="top"/>
        <w:rPr>
          <w:rFonts w:ascii="Times New Roman" w:eastAsia="Calibri" w:hAnsi="Times New Roman" w:cs="Times New Roman"/>
          <w:lang w:val="lt-LT" w:eastAsia="lt-LT"/>
        </w:rPr>
      </w:pPr>
    </w:p>
    <w:p w:rsidR="00A046F5" w:rsidRPr="00A046F5" w:rsidRDefault="00A046F5" w:rsidP="00D35371">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i/>
          <w:lang w:val="lt-LT" w:eastAsia="lt-LT"/>
        </w:rPr>
        <w:t>Inkstų veiklos sutrikimas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skirti negalima, jeigu Jums yra sunkių inkstų veiklos sutrikimų ir (arba) ūminis inkstų pažeidimas, arba Jums netrukus bus ar neseniai buvo atliekamas kepenų persodinimas, nes esant šioms sveikatos būklėms Magnevist vartojimas buvo susijęs su liga, vadinama nefrogenine sistemine fibroze (NSF). NSF – tai liga, dėl kurios sustorėja oda ir jungiamasis audinys. NSF gali sukelti sunkų sąnarių nejudrumą, raumenų silpnumą arba vidaus organų funkcijos sutrikimą, kuris gali būti grėsmingas gyvybei.</w:t>
      </w:r>
    </w:p>
    <w:p w:rsidR="00A046F5" w:rsidRPr="00A046F5" w:rsidRDefault="00A046F5" w:rsidP="00A046F5">
      <w:pPr>
        <w:spacing w:after="0" w:line="240" w:lineRule="auto"/>
        <w:ind w:left="283" w:hanging="283"/>
        <w:rPr>
          <w:rFonts w:ascii="Times New Roman" w:eastAsia="Calibri" w:hAnsi="Times New Roman" w:cs="Times New Roman"/>
          <w:lang w:val="lt-LT"/>
        </w:rPr>
      </w:pPr>
    </w:p>
    <w:p w:rsidR="00A046F5" w:rsidRPr="00A046F5" w:rsidRDefault="00A046F5" w:rsidP="00A046F5">
      <w:pPr>
        <w:spacing w:after="0" w:line="240" w:lineRule="auto"/>
        <w:ind w:left="283" w:hanging="283"/>
        <w:rPr>
          <w:rFonts w:ascii="Times New Roman" w:eastAsia="Calibri" w:hAnsi="Times New Roman" w:cs="Times New Roman"/>
          <w:lang w:val="lt-LT" w:eastAsia="lt-LT"/>
        </w:rPr>
      </w:pPr>
      <w:r w:rsidRPr="00A046F5">
        <w:rPr>
          <w:rFonts w:ascii="Times New Roman" w:eastAsia="Calibri" w:hAnsi="Times New Roman" w:cs="Times New Roman"/>
          <w:lang w:val="lt-LT"/>
        </w:rPr>
        <w:t>Magnevist negalima skirti naujagimiams ir kūdikiams iki 4 savaičių amžiaus.</w:t>
      </w:r>
    </w:p>
    <w:p w:rsidR="00A046F5" w:rsidRPr="00A046F5" w:rsidRDefault="00A046F5" w:rsidP="00A046F5">
      <w:pPr>
        <w:spacing w:after="0" w:line="240" w:lineRule="auto"/>
        <w:ind w:left="283" w:hanging="283"/>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Prieš paskiriant Magnevist, Jums turės būti atliekami kraujo tyrimai inkstų veiklai patikrinti.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
          <w:bCs/>
          <w:iCs/>
          <w:lang w:val="lt-LT" w:eastAsia="lt-LT"/>
        </w:rPr>
      </w:pPr>
      <w:r w:rsidRPr="00A046F5">
        <w:rPr>
          <w:rFonts w:ascii="Times New Roman" w:eastAsia="Calibri" w:hAnsi="Times New Roman" w:cs="Times New Roman"/>
          <w:b/>
          <w:bCs/>
          <w:iCs/>
          <w:lang w:val="lt-LT" w:eastAsia="lt-LT"/>
        </w:rPr>
        <w:t>Vaikams ir paaugliams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Magnevist negalima skirti naujagimiams iki 4 savaičių amžiaus. Kūdikių iki 1 metų amžiaus inkstų funkcija yra nesubrendusi, todėl Magnevist kūdikiams bus skiriamas tik gydytojui kruopščiai apsvarsčius.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Išskyrus galvos ir nugaros smegenų tyrimus, Magnevist vartojimo jaunesniems nei dvejų metų pacientams patirties yra nedaug.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Naujagimiams ir kūdikiams reikiamą dozę būtina švirkšti rankiniu būdu.</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Kiti vaistai ir Magnevist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Jeigu vartojate arba neseniai vartojote kitų vaistų</w:t>
      </w:r>
      <w:r w:rsidRPr="00A046F5">
        <w:rPr>
          <w:rFonts w:ascii="Times New Roman" w:eastAsia="Calibri" w:hAnsi="Times New Roman" w:cs="Times New Roman"/>
          <w:noProof/>
          <w:lang w:val="lt-LT" w:eastAsia="lt-LT"/>
        </w:rPr>
        <w:t xml:space="preserve"> arba dėl to nesate tikri, apie tai</w:t>
      </w:r>
      <w:r w:rsidRPr="00A046F5">
        <w:rPr>
          <w:rFonts w:ascii="Times New Roman" w:eastAsia="Calibri" w:hAnsi="Times New Roman" w:cs="Times New Roman"/>
          <w:lang w:val="lt-LT" w:eastAsia="lt-LT"/>
        </w:rPr>
        <w:t xml:space="preserve"> pasakykite gydytojui, radiologui ar MRT skyriaus personalui.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Jeigu vartojate </w:t>
      </w:r>
      <w:r w:rsidRPr="00A046F5">
        <w:rPr>
          <w:rFonts w:ascii="Times New Roman" w:eastAsia="Calibri" w:hAnsi="Times New Roman" w:cs="Times New Roman"/>
          <w:bCs/>
          <w:lang w:val="lt-LT" w:eastAsia="lt-LT"/>
        </w:rPr>
        <w:t xml:space="preserve">beta blokatorius (vaistus nuo per didelio kraujospūdžio </w:t>
      </w:r>
      <w:r w:rsidRPr="00A046F5">
        <w:rPr>
          <w:rFonts w:ascii="Times New Roman" w:eastAsia="Calibri" w:hAnsi="Times New Roman" w:cs="Times New Roman"/>
          <w:lang w:val="lt-LT" w:eastAsia="lt-LT"/>
        </w:rPr>
        <w:t xml:space="preserve">ar kitų širdies </w:t>
      </w:r>
      <w:r w:rsidRPr="00A046F5">
        <w:rPr>
          <w:rFonts w:ascii="Times New Roman" w:eastAsia="Calibri" w:hAnsi="Times New Roman" w:cs="Times New Roman"/>
          <w:bCs/>
          <w:lang w:val="lt-LT" w:eastAsia="lt-LT"/>
        </w:rPr>
        <w:t>sutrikimų),</w:t>
      </w:r>
      <w:r w:rsidRPr="00A046F5">
        <w:rPr>
          <w:rFonts w:ascii="Times New Roman" w:eastAsia="Calibri" w:hAnsi="Times New Roman" w:cs="Times New Roman"/>
          <w:lang w:val="lt-LT" w:eastAsia="lt-LT"/>
        </w:rPr>
        <w:t xml:space="preserve"> pasakykite gydytojui.</w:t>
      </w:r>
    </w:p>
    <w:p w:rsidR="00A046F5" w:rsidRPr="00A046F5" w:rsidRDefault="00A046F5" w:rsidP="00A046F5">
      <w:pPr>
        <w:spacing w:after="0" w:line="240" w:lineRule="auto"/>
        <w:rPr>
          <w:rFonts w:ascii="Times New Roman" w:eastAsia="Calibri" w:hAnsi="Times New Roman" w:cs="Times New Roman"/>
          <w:bCs/>
          <w:lang w:val="lt-LT" w:eastAsia="lt-LT"/>
        </w:rPr>
      </w:pPr>
    </w:p>
    <w:p w:rsidR="00A046F5" w:rsidRPr="00A046F5" w:rsidRDefault="00A046F5" w:rsidP="00A046F5">
      <w:pPr>
        <w:spacing w:after="0" w:line="240" w:lineRule="auto"/>
        <w:jc w:val="both"/>
        <w:rPr>
          <w:rFonts w:ascii="Times New Roman" w:eastAsia="Calibri" w:hAnsi="Times New Roman" w:cs="Times New Roman"/>
          <w:b/>
          <w:bCs/>
          <w:lang w:val="lt-LT" w:eastAsia="lt-LT"/>
        </w:rPr>
      </w:pPr>
      <w:r w:rsidRPr="00A046F5">
        <w:rPr>
          <w:rFonts w:ascii="Times New Roman" w:eastAsia="Calibri" w:hAnsi="Times New Roman" w:cs="Times New Roman"/>
          <w:b/>
          <w:bCs/>
          <w:lang w:val="lt-LT" w:eastAsia="lt-LT"/>
        </w:rPr>
        <w:t xml:space="preserve">Nėštumas ir žindymo laikotarpis </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eastAsia="lt-LT"/>
        </w:rPr>
        <w:t>Jeigu esate nėščia, žindote kūdikį, manote, kad galbūt esate nėščia arba planuojate pastoti, tai prieš vartodama šį vaistą pasitarkite su gydytoju.</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bCs/>
          <w:i/>
          <w:iCs/>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lastRenderedPageBreak/>
        <w:t>Pasakykite gydytojui, jeigu esate nėščia arba manote, kad galėjote pastoti, nes Magnevist negali būti skiriamas nėštumo metu, išskyrus neabejotinai būtinus atvejus.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Pasakykite gydytojui, jeigu žindote arba ruošiatės tai daryti. Po Magnevist skyrimo žindymą reikia nutraukti mažiausiai 24 valandoms.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3.</w:t>
      </w:r>
      <w:r w:rsidRPr="00A046F5">
        <w:rPr>
          <w:rFonts w:ascii="Times New Roman" w:eastAsia="Calibri" w:hAnsi="Times New Roman" w:cs="Times New Roman"/>
          <w:b/>
          <w:lang w:val="lt-LT" w:eastAsia="lt-LT"/>
        </w:rPr>
        <w:tab/>
        <w:t>Kaip vartoti Magnevist</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švirkščia gydytojas maža adata ar kateteriu į veną. Švirkščiama prieš pat magnetinio rezonanso tyrimą.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Jums tinkama Magnevist dozė nustatoma pagal kūno svorį ir tiriamą vietą.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Suaugusiesiems paprastai pakanka vienos 0,2 ml Magnevist injekcijos kilogramui kūno svorio (tai reiškia, kad žmogui, sveriančiam 70 kg dozė yra 14 mililitrų). Ypatingais atvejais suaugusiesiems ją galima padidinti iki 0,6 ml kilogramui kūno svorio ir vaikams iki 0,4 kilogramui kūno svorio – didžiausios galimos dozės. Radiologas nuspręs, kiek Magnevist reikia Jūsų tyrimui.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Išskyrus galvos ir nugaros smegenų tyrimus, Magnevist vartojimo jaunesniems nei dvejų metų pacientams patirties yra nedaug.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D35371">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i/>
          <w:iCs/>
          <w:lang w:val="lt-LT"/>
        </w:rPr>
        <w:t>Dozavimas ypatingų grupių pacientams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skirti negalima, jeigu Jums yra sunkių inkstų veiklos sutrikimų ir (arba) ūminis inkstų pažeidimas, arba Jums netrukus bus ar neseniai buvo atliekamas kepenų persodinimas. Magnevist negalima skirti naujagimiams ir kūdikiams iki 4 savaičių amžiaus.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Jeigu Jums yra vidutinio sunkumo inkstų veiklos sutrikimų, Jums turi būti skiriama tik viena Magnevist dozė per tyrimą, o antroji injekcija turi būti ne anksčiau kaip po 7 parų.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Kūdikių iki 1 metų amžiaus inkstų funkcija yra nesubrendusi, todėl tyrimo metu kūdikiams turi būti skiriama tik viena Magnevist dozė, ne didesne kaip 0,1 mmol/kg kūno svorio, o antroji injekcija turi būti ne anksčiau kaip po 7 parų.</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Jeigu esate 65 metų amžiaus ar vyresnis, Jūsų dozės keisti nebūtina, bet Jums bus atliekami kraujo tyrimai inkstų veiklai patikrinti.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Daugiau informacijos apie švirkštimą ir Magnevist laikymą yra pateikiama šio pakuotės lapelio pabaigoje.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Ką daryti pavartojus per didelę Magnevist dozę?</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Perdozavimo simptomų iki šiol nepastabėta. Jei būtų perdozuota, gydytojas gydys bet kuriuos atsirandančius simptomus ir tikrins inkstų veiklą. Jei inkstų veikla sutrikusi, galbūt taikys inkstų dializę, kad pašalintų Magnevist iš organizmo.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Jeigu kiltų daugiau klausimų dėl šio vaisto vartojimo, kreipkitės į gydytoją arba radiologą.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4.</w:t>
      </w:r>
      <w:r w:rsidRPr="00A046F5">
        <w:rPr>
          <w:rFonts w:ascii="Times New Roman" w:eastAsia="Calibri" w:hAnsi="Times New Roman" w:cs="Times New Roman"/>
          <w:b/>
          <w:lang w:val="lt-LT" w:eastAsia="lt-LT"/>
        </w:rPr>
        <w:tab/>
        <w:t>Galimas šalutinis poveikis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lastRenderedPageBreak/>
        <w:t>Šis vaistas, kaip ir visi kiti, gali sukelti šalutinį poveikį, nors jis pasireiškia ne visiems žmonėms.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Dauguma šalutinių reakcijų yra lengvo ar vidutinio stiprumo.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eastAsia="lt-LT"/>
        </w:rPr>
        <w:t xml:space="preserve">Dažniausiai pastebėtos šalutinės reakcijos vartojant Magnevist (pasireiškia 4 ar daugiau pacientams iš 1000) yra įvairios injekcijos vietos reakcijos, </w:t>
      </w:r>
      <w:r w:rsidRPr="00A046F5">
        <w:rPr>
          <w:rFonts w:ascii="Times New Roman" w:eastAsia="Calibri" w:hAnsi="Times New Roman" w:cs="Times New Roman"/>
          <w:lang w:val="lt-LT" w:eastAsia="lt-LT"/>
        </w:rPr>
        <w:t xml:space="preserve">galvos skausmas ir pykinimas (šleikštulys).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Sunkiausias šalutinis poveikis, </w:t>
      </w:r>
      <w:r w:rsidRPr="00A046F5">
        <w:rPr>
          <w:rFonts w:ascii="Times New Roman" w:eastAsia="Calibri" w:hAnsi="Times New Roman" w:cs="Times New Roman"/>
          <w:color w:val="000000"/>
          <w:lang w:val="lt-LT" w:eastAsia="lt-LT"/>
        </w:rPr>
        <w:t xml:space="preserve">vartojant Magnevist, </w:t>
      </w:r>
      <w:r w:rsidRPr="00A046F5">
        <w:rPr>
          <w:rFonts w:ascii="Times New Roman" w:eastAsia="Calibri" w:hAnsi="Times New Roman" w:cs="Times New Roman"/>
          <w:lang w:val="lt-LT" w:eastAsia="lt-LT"/>
        </w:rPr>
        <w:t xml:space="preserve">yra nefrogeninė sisteminė fibrozė (NSF) ir anafilaktoidinės reakcijos (į alergines panašios reakcijos), įskaitant sunkias reakcijas (pvz., šoką). NSF yra sunki reakcija, </w:t>
      </w:r>
      <w:r w:rsidRPr="00A046F5">
        <w:rPr>
          <w:rFonts w:ascii="Times New Roman" w:eastAsia="Calibri" w:hAnsi="Times New Roman" w:cs="Times New Roman"/>
          <w:lang w:val="lt-LT"/>
        </w:rPr>
        <w:t>dėl kurios sustorėja oda ir jungiamasis audinys; ji gali sukelti sunkų sąnarių nejudrumą, raumenų silpnumą arba vidaus organų funkcijos sutrikimą, kuris gali būti grėsmingas gyvybei.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Retais atvejais gali pasireikšti alerginės reakcijos, taip pat ir sunkios (pvz., šokas), dėl kurių gali prireikti skubios medicininės pagalbos. Jei atsirastų nedidelis veido, lūpų, liežuvio ar gerklės tinimas, kosulys ir čiaudėjimas, kvėpavimo pasunkėjimas, niežulys, sloga arba dilgėlinė, nedelsdami pasakykite gydytojui, radiologui ar MRT skyriaus personalui. Tai gali būti pirmieji sunkios reakcijos požymiai. Tyrimą gali tekti nutraukti, Jums gali prireikti papildomo gydymo.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Vėlyvos reakcijos, prasidėjusios po kelių valandų ar dienų nuo Magnevist vartojimo, pasireiškė retai. Jei Jums pasireikštų tokia reakcija, pasakykite gydytojui ar radiologui.</w:t>
      </w:r>
    </w:p>
    <w:p w:rsidR="00A046F5" w:rsidRPr="00A046F5" w:rsidRDefault="00A046F5" w:rsidP="00A046F5">
      <w:pPr>
        <w:spacing w:after="0" w:line="240" w:lineRule="auto"/>
        <w:rPr>
          <w:rFonts w:ascii="Times New Roman" w:eastAsia="Calibri" w:hAnsi="Times New Roman" w:cs="Times New Roman"/>
          <w:bCs/>
          <w:lang w:val="lt-LT" w:eastAsia="lt-LT"/>
        </w:rPr>
      </w:pPr>
    </w:p>
    <w:p w:rsidR="00A046F5" w:rsidRPr="00A046F5" w:rsidRDefault="00A046F5" w:rsidP="00A046F5">
      <w:pPr>
        <w:spacing w:after="0" w:line="240" w:lineRule="auto"/>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Toliau pateikiamas nustatytas šalutinis poveikis pagal dažnį.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jc w:val="both"/>
        <w:rPr>
          <w:rFonts w:ascii="Times New Roman" w:eastAsia="Calibri" w:hAnsi="Times New Roman" w:cs="Times New Roman"/>
          <w:i/>
          <w:iCs/>
          <w:lang w:val="lt-LT" w:eastAsia="lt-LT"/>
        </w:rPr>
      </w:pPr>
      <w:r w:rsidRPr="00A046F5">
        <w:rPr>
          <w:rFonts w:ascii="Times New Roman" w:eastAsia="Calibri" w:hAnsi="Times New Roman" w:cs="Times New Roman"/>
          <w:i/>
          <w:iCs/>
          <w:lang w:val="lt-LT" w:eastAsia="lt-LT"/>
        </w:rPr>
        <w:t>Nedažni (pasireiškia nuo 1 iki 10 pacientų iš 1000):</w:t>
      </w:r>
    </w:p>
    <w:p w:rsidR="00A046F5" w:rsidRPr="00A046F5" w:rsidRDefault="00A046F5" w:rsidP="00A046F5">
      <w:pPr>
        <w:keepNext/>
        <w:numPr>
          <w:ilvl w:val="0"/>
          <w:numId w:val="32"/>
        </w:numPr>
        <w:spacing w:after="0" w:line="240" w:lineRule="auto"/>
        <w:ind w:hanging="720"/>
        <w:jc w:val="both"/>
        <w:outlineLvl w:val="3"/>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galvos skausmas, svaigulys, skonio sutrikimai,</w:t>
      </w:r>
    </w:p>
    <w:p w:rsidR="00A046F5" w:rsidRPr="00A046F5" w:rsidRDefault="00A046F5" w:rsidP="00A046F5">
      <w:pPr>
        <w:numPr>
          <w:ilvl w:val="0"/>
          <w:numId w:val="32"/>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vėmimas, pykinimas (šleikštulys),</w:t>
      </w:r>
    </w:p>
    <w:p w:rsidR="00A046F5" w:rsidRPr="00A046F5" w:rsidRDefault="00A046F5" w:rsidP="00A046F5">
      <w:pPr>
        <w:numPr>
          <w:ilvl w:val="0"/>
          <w:numId w:val="32"/>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skausmas, karščio jutimas, šalčio jutimas,</w:t>
      </w:r>
    </w:p>
    <w:p w:rsidR="00A046F5" w:rsidRPr="00A046F5" w:rsidRDefault="00A046F5" w:rsidP="00A046F5">
      <w:pPr>
        <w:numPr>
          <w:ilvl w:val="0"/>
          <w:numId w:val="32"/>
        </w:numPr>
        <w:spacing w:after="0" w:line="240" w:lineRule="auto"/>
        <w:ind w:hanging="72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pojūčiai ir reakcijos injekcijos vietoje, pvz.: </w:t>
      </w:r>
    </w:p>
    <w:p w:rsidR="00A046F5" w:rsidRPr="00A046F5" w:rsidRDefault="00A046F5" w:rsidP="00A046F5">
      <w:p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šalčio pojūtis, parestezija </w:t>
      </w:r>
      <w:r w:rsidRPr="00A046F5">
        <w:rPr>
          <w:rFonts w:ascii="Times New Roman" w:eastAsia="Calibri" w:hAnsi="Times New Roman" w:cs="Times New Roman"/>
          <w:bCs/>
          <w:lang w:val="lt-LT" w:eastAsia="lt-LT"/>
        </w:rPr>
        <w:t>(„badymas adatėlėmis“)</w:t>
      </w:r>
      <w:r w:rsidRPr="00A046F5">
        <w:rPr>
          <w:rFonts w:ascii="Times New Roman" w:eastAsia="Calibri" w:hAnsi="Times New Roman" w:cs="Times New Roman"/>
          <w:lang w:val="lt-LT" w:eastAsia="lt-LT"/>
        </w:rPr>
        <w:t>, tinimas, šilumos pojūtis, skausmas, edema, sudirginimas, hemoragija (kraujavimas), eritema (raudona skausminga oda), diskomfortas, nekrozė (audinio žuvimas), tromboflebitas (venos uždegimas, sukeltas ar susijęs su kraujo krešuliu), flebitas (venos uždegimas), uždegimas, ekstravazacija (kraujavimas į audinį injekcijos vietoje), skausmas, mėlynės, odos spalvos pokytis.</w:t>
      </w:r>
    </w:p>
    <w:p w:rsidR="00A046F5" w:rsidRPr="00A046F5" w:rsidRDefault="00A046F5" w:rsidP="00A046F5">
      <w:pPr>
        <w:keepNext/>
        <w:spacing w:after="0" w:line="240" w:lineRule="auto"/>
        <w:jc w:val="both"/>
        <w:outlineLvl w:val="3"/>
        <w:rPr>
          <w:rFonts w:ascii="Times New Roman" w:eastAsia="Calibri" w:hAnsi="Times New Roman" w:cs="Times New Roman"/>
          <w:b/>
          <w:bCs/>
          <w:u w:val="single"/>
          <w:lang w:val="lt-LT" w:eastAsia="lt-LT"/>
        </w:rPr>
      </w:pPr>
    </w:p>
    <w:p w:rsidR="00A046F5" w:rsidRPr="00A046F5" w:rsidRDefault="00A046F5" w:rsidP="00A046F5">
      <w:pPr>
        <w:keepNext/>
        <w:spacing w:after="0" w:line="240" w:lineRule="auto"/>
        <w:jc w:val="both"/>
        <w:outlineLvl w:val="3"/>
        <w:rPr>
          <w:rFonts w:ascii="Times New Roman" w:eastAsia="Calibri" w:hAnsi="Times New Roman" w:cs="Times New Roman"/>
          <w:i/>
          <w:iCs/>
          <w:lang w:val="lt-LT" w:eastAsia="lt-LT"/>
        </w:rPr>
      </w:pPr>
      <w:r w:rsidRPr="00A046F5">
        <w:rPr>
          <w:rFonts w:ascii="Times New Roman" w:eastAsia="Calibri" w:hAnsi="Times New Roman" w:cs="Times New Roman"/>
          <w:i/>
          <w:iCs/>
          <w:lang w:val="lt-LT" w:eastAsia="lt-LT"/>
        </w:rPr>
        <w:t>Reti (pasireiškia nuo 1 iki 10 pacientų iš 10 000):</w:t>
      </w:r>
    </w:p>
    <w:p w:rsidR="00A046F5" w:rsidRPr="00A046F5" w:rsidRDefault="00A046F5" w:rsidP="00A046F5">
      <w:pPr>
        <w:keepNext/>
        <w:numPr>
          <w:ilvl w:val="0"/>
          <w:numId w:val="34"/>
        </w:numPr>
        <w:spacing w:after="0" w:line="240" w:lineRule="auto"/>
        <w:ind w:left="360"/>
        <w:outlineLvl w:val="3"/>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padidėjusio jautrumo (alerginės) arba anafilaktoidinės (į alergines panašios) reakcijos, pvz., anafilaksinis šokas (sunki į alerginę panaši reakcija su kraujospūdžio kritimu); šokas (kraujo apytakos kolapsas); h</w:t>
      </w:r>
      <w:r w:rsidRPr="00A046F5">
        <w:rPr>
          <w:rFonts w:ascii="Times New Roman" w:eastAsia="Calibri" w:hAnsi="Times New Roman" w:cs="Times New Roman"/>
          <w:bCs/>
          <w:lang w:val="lt-LT" w:eastAsia="lt-LT"/>
        </w:rPr>
        <w:t>ipotenzija (mažas kraujospūdis);</w:t>
      </w:r>
      <w:r w:rsidRPr="00A046F5">
        <w:rPr>
          <w:rFonts w:ascii="Times New Roman" w:eastAsia="Calibri" w:hAnsi="Times New Roman" w:cs="Times New Roman"/>
          <w:lang w:val="lt-LT" w:eastAsia="lt-LT"/>
        </w:rPr>
        <w:t xml:space="preserve"> konjunktyvitas (akies junginės uždegimas); sąmonės netekimas; gerklų spazmas; čiaudulys; dilgėlinė (nudilginimą primenantis bėrimas); niežulys; bėrimas; eritema (odos paraudimas), dusulys; kvėpavimo sustojimas; bronchų spazmas</w:t>
      </w:r>
      <w:r w:rsidRPr="00A046F5">
        <w:rPr>
          <w:rFonts w:ascii="Times New Roman" w:eastAsia="Calibri" w:hAnsi="Times New Roman" w:cs="Times New Roman"/>
          <w:b/>
          <w:vertAlign w:val="superscript"/>
          <w:lang w:val="lt-LT" w:eastAsia="lt-LT"/>
        </w:rPr>
        <w:t xml:space="preserve"> </w:t>
      </w:r>
      <w:r w:rsidRPr="00A046F5">
        <w:rPr>
          <w:rFonts w:ascii="Times New Roman" w:eastAsia="Calibri" w:hAnsi="Times New Roman" w:cs="Times New Roman"/>
          <w:lang w:val="lt-LT" w:eastAsia="lt-LT"/>
        </w:rPr>
        <w:t>(kvėpavimo sunkumas); švokštimas; gerklų spazmas; gerklų paburkimas; ryklės paburkimas; cianozė (pamėlynavusios lūpos); rinitas (sloga); angioneurozinė edema (pvz., veido, gerklės, burnos, lūpų ir (ar) liežuvio tinimas); veido tinimas; refleksinė tachikardija</w:t>
      </w:r>
      <w:r w:rsidRPr="00A046F5">
        <w:rPr>
          <w:rFonts w:ascii="Times New Roman" w:eastAsia="Calibri" w:hAnsi="Times New Roman" w:cs="Times New Roman"/>
          <w:b/>
          <w:vertAlign w:val="superscript"/>
          <w:lang w:val="lt-LT" w:eastAsia="lt-LT"/>
        </w:rPr>
        <w:t xml:space="preserve"> </w:t>
      </w:r>
      <w:r w:rsidRPr="00A046F5">
        <w:rPr>
          <w:rFonts w:ascii="Times New Roman" w:eastAsia="Calibri" w:hAnsi="Times New Roman" w:cs="Times New Roman"/>
          <w:lang w:val="lt-LT" w:eastAsia="lt-LT"/>
        </w:rPr>
        <w:t>(pernelyg dažnas širdies ritmas);</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dezorientacija,</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konvulsijos (priepuoliai ar traukuliai); parestezija (nutirpimas ir dilgčiojimas); deginimo pojūtis; drebulys;</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tachikardija (pernelyg dažnas širdies ritmas); aritmija (nereguliarus širdies ritmas),</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tromboflebitas (venos uždegimas, sukeltas ar susijęs su kraujo krešuliu); kraujo priplūdimas į veidą; vazodilatacija (kraujagyslių išsiplėtimas),</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lastRenderedPageBreak/>
        <w:t>gerklės dirginimas; ryklės ir gerklų skausmas ar diskomfortas (skausmas ar nemalonūs jutimai gerklėje); kosulys,</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pilvo skausmas ar nemalonūs jutimai skrandyje; viduriavimas; danties skausmas; burnos džiūvimas; burnos minkštųjų audinių skausmas ir parestezija (skausmas ar tirpimas ir dilgčiojimas burnoje);</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rankų, plaštakų, kojų ir pėdų skausmas;</w:t>
      </w:r>
    </w:p>
    <w:p w:rsidR="00A046F5" w:rsidRPr="00A046F5" w:rsidRDefault="00A046F5" w:rsidP="00A046F5">
      <w:pPr>
        <w:numPr>
          <w:ilvl w:val="0"/>
          <w:numId w:val="34"/>
        </w:numPr>
        <w:spacing w:after="0" w:line="240" w:lineRule="auto"/>
        <w:ind w:left="360"/>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krūtinės skausmas; karščiavimas; rankų, plaštakų, kojų ir pėdų tinimas (periferinė edema); bendra bloga savijauta (negalavimas); nuovargis; troškulys; silpnumas (astenija).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bCs/>
          <w:i/>
          <w:iCs/>
          <w:lang w:val="lt-LT" w:eastAsia="lt-LT"/>
        </w:rPr>
      </w:pPr>
      <w:r w:rsidRPr="00A046F5">
        <w:rPr>
          <w:rFonts w:ascii="Times New Roman" w:eastAsia="Calibri" w:hAnsi="Times New Roman" w:cs="Times New Roman"/>
          <w:bCs/>
          <w:i/>
          <w:iCs/>
          <w:lang w:val="lt-LT" w:eastAsia="lt-LT"/>
        </w:rPr>
        <w:t>Dažnis nežinomas (negali būti įvertintas pagal turimus duomenis):</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padidėjęs geležies kiekis kraujyje</w:t>
      </w:r>
      <w:r w:rsidRPr="00A046F5">
        <w:rPr>
          <w:rFonts w:ascii="Times New Roman" w:eastAsia="Calibri" w:hAnsi="Times New Roman" w:cs="Times New Roman"/>
          <w:color w:val="000000"/>
          <w:lang w:val="lt-LT"/>
        </w:rPr>
        <w:t xml:space="preserve"> (šiuos pokyčius galima nustatyti kraujo tyrimais),</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sujaudinimas; sumaištis;</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koma (sąmonės netekimas); mieguistumas; kalbos sutrikimai; uoslės sutrikimai;</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regos sutrikimai; ašarojimas; akių skausmas;</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sutrikusi klausa; ausies skausmas;</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staigus širdies sustojimas; bradikardija (sulėtėjęs širdies ritmas);</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alpimas; vazovagalinė reakcija</w:t>
      </w:r>
      <w:r w:rsidRPr="00A046F5">
        <w:rPr>
          <w:rFonts w:ascii="Times New Roman" w:eastAsia="Calibri" w:hAnsi="Times New Roman" w:cs="Times New Roman"/>
          <w:color w:val="000000"/>
          <w:lang w:val="lt-LT" w:eastAsia="lt-LT"/>
        </w:rPr>
        <w:t xml:space="preserve"> (staigus </w:t>
      </w:r>
      <w:r w:rsidRPr="00A046F5">
        <w:rPr>
          <w:rFonts w:ascii="Times New Roman" w:eastAsia="Calibri" w:hAnsi="Times New Roman" w:cs="Times New Roman"/>
          <w:lang w:val="lt-LT"/>
        </w:rPr>
        <w:t>laikinas kraujospūdžio sumažėjimas, blyškumas, dėl ko galima netekti sąmonės); p</w:t>
      </w:r>
      <w:r w:rsidRPr="00A046F5">
        <w:rPr>
          <w:rFonts w:ascii="Times New Roman" w:eastAsia="Calibri" w:hAnsi="Times New Roman" w:cs="Times New Roman"/>
          <w:lang w:val="lt-LT" w:eastAsia="lt-LT"/>
        </w:rPr>
        <w:t>adidėjęs kraujospūdis;</w:t>
      </w:r>
    </w:p>
    <w:p w:rsidR="00A046F5" w:rsidRPr="00A046F5" w:rsidRDefault="00A046F5" w:rsidP="00A046F5">
      <w:pPr>
        <w:numPr>
          <w:ilvl w:val="0"/>
          <w:numId w:val="36"/>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kvėpavimo sunkumas; padažnėjęs ar suretėjęs kvėpavimas; plaučių edema (plaučių pabrinkimas);</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seilėtekis;</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padidėjęs bilirubino (tulžies pigmento) ir (arba) kepenų fermentų aktyvumas </w:t>
      </w:r>
      <w:r w:rsidRPr="00A046F5">
        <w:rPr>
          <w:rFonts w:ascii="Times New Roman" w:eastAsia="Calibri" w:hAnsi="Times New Roman" w:cs="Times New Roman"/>
          <w:color w:val="000000"/>
          <w:lang w:val="lt-LT"/>
        </w:rPr>
        <w:t>(šiuos pokyčius galima nustatyti kraujo tyrimais);</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nefrogeninė sisteminė fibrozė (NSF, sunki reakcija, </w:t>
      </w:r>
      <w:r w:rsidRPr="00A046F5">
        <w:rPr>
          <w:rFonts w:ascii="Times New Roman" w:eastAsia="Calibri" w:hAnsi="Times New Roman" w:cs="Times New Roman"/>
          <w:lang w:val="lt-LT"/>
        </w:rPr>
        <w:t>dėl kurios sustorėja oda ir jungiamasis audinys; ji gali sukelti sunkų sąnarių nejudrumą, raumenų silpnumą arba vidaus organų funkcijos sutrikimą, kuris gali būti grėsmingas gyvybei</w:t>
      </w:r>
      <w:r w:rsidRPr="00A046F5">
        <w:rPr>
          <w:rFonts w:ascii="Times New Roman" w:eastAsia="Calibri" w:hAnsi="Times New Roman" w:cs="Times New Roman"/>
          <w:lang w:val="lt-LT" w:eastAsia="lt-LT"/>
        </w:rPr>
        <w:t>);</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nugaros skausmas; sąnarių skausmas;</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inkstų nepakankamumas pacientams, kurių inkstų veikla jau sutrikusi; padidėjęs kreatinino kiekis kraujyje (inkstų funkciją rodantis kraujo rodiklis; jo </w:t>
      </w:r>
      <w:r w:rsidRPr="00A046F5">
        <w:rPr>
          <w:rFonts w:ascii="Times New Roman" w:eastAsia="Calibri" w:hAnsi="Times New Roman" w:cs="Times New Roman"/>
          <w:color w:val="000000"/>
          <w:lang w:val="lt-LT"/>
        </w:rPr>
        <w:t>pokyčius galima nustatyti kraujo tyrimais); š</w:t>
      </w:r>
      <w:r w:rsidRPr="00A046F5">
        <w:rPr>
          <w:rFonts w:ascii="Times New Roman" w:eastAsia="Calibri" w:hAnsi="Times New Roman" w:cs="Times New Roman"/>
          <w:lang w:val="lt-LT" w:eastAsia="lt-LT"/>
        </w:rPr>
        <w:t>lapimo nelaikymas; primygtinis noras šlapintis;</w:t>
      </w:r>
    </w:p>
    <w:p w:rsidR="00A046F5" w:rsidRPr="00A046F5" w:rsidRDefault="00A046F5" w:rsidP="00A046F5">
      <w:pPr>
        <w:numPr>
          <w:ilvl w:val="0"/>
          <w:numId w:val="36"/>
        </w:num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šaltkrėtis; prakaitavimas; pakitusi kūno temperatūra.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Dializuojamiems pacientams, esant inkstų nepakankamumui, paskyrus Magnevist, dažnai pasireiškė vėlyvos ir trumpalaikės į uždegimines panašios reakcijos: karščiavimas, šaltkrėtis ir </w:t>
      </w:r>
      <w:r w:rsidRPr="00A046F5">
        <w:rPr>
          <w:rFonts w:ascii="Times New Roman" w:eastAsia="Calibri" w:hAnsi="Times New Roman" w:cs="Times New Roman"/>
          <w:iCs/>
          <w:lang w:val="lt-LT" w:eastAsia="lt-LT"/>
        </w:rPr>
        <w:t xml:space="preserve">padidėjusi C reaktyviojo baltymo koncentracija. Šiems pacientams </w:t>
      </w:r>
      <w:r w:rsidRPr="00A046F5">
        <w:rPr>
          <w:rFonts w:ascii="Times New Roman" w:eastAsia="Calibri" w:hAnsi="Times New Roman" w:cs="Times New Roman"/>
          <w:lang w:val="lt-LT" w:eastAsia="lt-LT"/>
        </w:rPr>
        <w:t>magnetinio rezonanso tyrimas skiriant Magnevist buvo atliktas dieną prieš hemodializę.</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textAlignment w:val="top"/>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Šis šalutinis poveikis kai kuriais atvejais buvo pavojingas gyvybei arba baigėsi mirtimi: nefrogeninė sisteminė fibrozė (NSF, sunki reakcija, </w:t>
      </w:r>
      <w:r w:rsidRPr="00A046F5">
        <w:rPr>
          <w:rFonts w:ascii="Times New Roman" w:eastAsia="Calibri" w:hAnsi="Times New Roman" w:cs="Times New Roman"/>
          <w:lang w:val="lt-LT"/>
        </w:rPr>
        <w:t>dėl kurios sustorėja oda ir kuri gali paveikti minkštuosius audinius bei vidaus organus)</w:t>
      </w:r>
      <w:r w:rsidRPr="00A046F5">
        <w:rPr>
          <w:rFonts w:ascii="Times New Roman" w:eastAsia="Calibri" w:hAnsi="Times New Roman" w:cs="Times New Roman"/>
          <w:lang w:val="lt-LT" w:eastAsia="lt-LT"/>
        </w:rPr>
        <w:t>, anafilaksinis šokas (sunki į alerginę panaši reakcija su kraujospūdžio kritimu), anafilaktoidinė (į alerginę panaši) reakcija, padidėjusio jautrumo reakcijos (alerginės), šokas (kraujo apytakos kolapsas), h</w:t>
      </w:r>
      <w:r w:rsidRPr="00A046F5">
        <w:rPr>
          <w:rFonts w:ascii="Times New Roman" w:eastAsia="Calibri" w:hAnsi="Times New Roman" w:cs="Times New Roman"/>
          <w:bCs/>
          <w:lang w:val="lt-LT" w:eastAsia="lt-LT"/>
        </w:rPr>
        <w:t>ipotenzija (mažas kraujospūdis),</w:t>
      </w:r>
      <w:r w:rsidRPr="00A046F5">
        <w:rPr>
          <w:rFonts w:ascii="Times New Roman" w:eastAsia="Calibri" w:hAnsi="Times New Roman" w:cs="Times New Roman"/>
          <w:lang w:val="lt-LT" w:eastAsia="lt-LT"/>
        </w:rPr>
        <w:t xml:space="preserve"> sąmonės netekimas, gerklės susiaurėjimas, dusulys, kvėpavimo sustojimas, bronchų spazmas</w:t>
      </w:r>
      <w:r w:rsidRPr="00A046F5">
        <w:rPr>
          <w:rFonts w:ascii="Times New Roman" w:eastAsia="Calibri" w:hAnsi="Times New Roman" w:cs="Times New Roman"/>
          <w:b/>
          <w:vertAlign w:val="superscript"/>
          <w:lang w:val="lt-LT" w:eastAsia="lt-LT"/>
        </w:rPr>
        <w:t xml:space="preserve"> </w:t>
      </w:r>
      <w:r w:rsidRPr="00A046F5">
        <w:rPr>
          <w:rFonts w:ascii="Times New Roman" w:eastAsia="Calibri" w:hAnsi="Times New Roman" w:cs="Times New Roman"/>
          <w:lang w:val="lt-LT" w:eastAsia="lt-LT"/>
        </w:rPr>
        <w:t>(kvėpavimo sunkumas), gerklų spazmas, gerklų paburkimas, ryklės paburkimas, cianozė (pamėlynavusios lūpos), angioneurozinė edema (pvz., veido, gerklės, burnos, lūpų ir (ar) liežuvio tinimas), veido tinimas, konvulsijos (priepuoliai ar traukuliai), tachikardija (pernelyg dažnas širdies ritmas), padidėjęs geležies kiekis kraujyje, koma, mieguistumas, staigus širdies sustojimas, bradikardija (pernelyg retas širdies ritmas) ir plaučių edema (plaučių pabrinkimas).</w:t>
      </w:r>
    </w:p>
    <w:p w:rsidR="00A046F5" w:rsidRPr="00A046F5" w:rsidRDefault="00A046F5" w:rsidP="00A046F5">
      <w:pPr>
        <w:spacing w:after="0" w:line="240" w:lineRule="auto"/>
        <w:jc w:val="both"/>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noProof/>
          <w:snapToGrid w:val="0"/>
          <w:lang w:val="lt-LT" w:eastAsia="lt-LT"/>
        </w:rPr>
        <w:t>Pranešimas apie šalutinį poveikį</w:t>
      </w:r>
    </w:p>
    <w:p w:rsidR="00A046F5" w:rsidRPr="00A046F5" w:rsidRDefault="00A046F5" w:rsidP="00A046F5">
      <w:pPr>
        <w:ind w:right="-449"/>
        <w:rPr>
          <w:rFonts w:ascii="Times New Roman" w:eastAsia="Calibri" w:hAnsi="Times New Roman" w:cs="Times New Roman"/>
          <w:noProof/>
          <w:lang w:val="lt-LT"/>
        </w:rPr>
      </w:pPr>
      <w:r w:rsidRPr="00A046F5">
        <w:rPr>
          <w:rFonts w:ascii="Times New Roman" w:eastAsia="Calibri" w:hAnsi="Times New Roman" w:cs="Times New Roman"/>
          <w:iCs/>
          <w:lang w:val="lt-LT" w:eastAsia="lt-LT"/>
        </w:rPr>
        <w:t xml:space="preserve">Jeigu pasireiškė šalutinis poveikis, </w:t>
      </w:r>
      <w:r w:rsidRPr="00A046F5">
        <w:rPr>
          <w:rFonts w:ascii="Times New Roman" w:eastAsia="Calibri" w:hAnsi="Times New Roman" w:cs="Times New Roman"/>
          <w:lang w:val="lt-LT" w:eastAsia="lt-LT"/>
        </w:rPr>
        <w:t xml:space="preserve">įskaitant šiame lapelyje nenurodytą, </w:t>
      </w:r>
      <w:r w:rsidRPr="00A046F5">
        <w:rPr>
          <w:rFonts w:ascii="Times New Roman" w:eastAsia="Calibri" w:hAnsi="Times New Roman" w:cs="Times New Roman"/>
          <w:iCs/>
          <w:lang w:val="lt-LT" w:eastAsia="lt-LT"/>
        </w:rPr>
        <w:t>pasakykite gydytojui arba radiologui.</w:t>
      </w:r>
      <w:r w:rsidRPr="00A046F5">
        <w:rPr>
          <w:rFonts w:ascii="Times New Roman" w:eastAsia="Calibri" w:hAnsi="Times New Roman" w:cs="Times New Roman"/>
          <w:noProof/>
          <w:snapToGrid w:val="0"/>
          <w:lang w:val="lt-LT" w:eastAsia="lt-LT"/>
        </w:rPr>
        <w:t xml:space="preserve"> </w:t>
      </w:r>
      <w:r w:rsidRPr="00A046F5">
        <w:rPr>
          <w:rFonts w:ascii="Times New Roman" w:eastAsia="Calibri" w:hAnsi="Times New Roman" w:cs="Times New Roman"/>
          <w:lang w:val="lt-LT"/>
        </w:rPr>
        <w:t>Apie šalutinį poveikį taip pat galite pranešti Valstybinei vaistų kontrolės tarnybai prie Lietuvos Respublikos sveikatos apsaugos ministerijos nemokamu t</w:t>
      </w:r>
      <w:r w:rsidRPr="00A046F5">
        <w:rPr>
          <w:rFonts w:ascii="Times New Roman" w:eastAsia="Calibri" w:hAnsi="Times New Roman" w:cs="Times New Roman"/>
          <w:lang w:val="lt-LT" w:eastAsia="zh-CN"/>
        </w:rPr>
        <w:t>elefonu 8 800 73568</w:t>
      </w:r>
      <w:r w:rsidRPr="00A046F5">
        <w:rPr>
          <w:rFonts w:ascii="Times New Roman" w:eastAsia="Calibri" w:hAnsi="Times New Roman" w:cs="Times New Roman"/>
          <w:lang w:val="lt-LT"/>
        </w:rPr>
        <w:t xml:space="preserve"> arba užpildyti interneto svetainėje </w:t>
      </w:r>
      <w:hyperlink r:id="rId9" w:history="1">
        <w:r w:rsidRPr="00A046F5">
          <w:rPr>
            <w:rFonts w:ascii="Times New Roman" w:eastAsia="SimSun" w:hAnsi="Times New Roman" w:cs="Times New Roman"/>
            <w:color w:val="0000FF"/>
            <w:u w:val="single"/>
            <w:lang w:val="lt-LT"/>
          </w:rPr>
          <w:t>www.vvkt.lt</w:t>
        </w:r>
      </w:hyperlink>
      <w:r w:rsidRPr="00A046F5">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A046F5">
        <w:rPr>
          <w:rFonts w:ascii="Times New Roman" w:eastAsia="Calibri" w:hAnsi="Times New Roman" w:cs="Times New Roman"/>
          <w:lang w:val="lt-LT" w:eastAsia="zh-CN"/>
        </w:rPr>
        <w:t xml:space="preserve">nemokamu </w:t>
      </w:r>
      <w:r w:rsidRPr="00A046F5">
        <w:rPr>
          <w:rFonts w:ascii="Times New Roman" w:eastAsia="Calibri" w:hAnsi="Times New Roman" w:cs="Times New Roman"/>
          <w:lang w:val="lt-LT"/>
        </w:rPr>
        <w:t>fakso numeriu 8 800 20131</w:t>
      </w:r>
      <w:r w:rsidRPr="00A046F5">
        <w:rPr>
          <w:rFonts w:ascii="Times New Roman" w:eastAsia="Calibri" w:hAnsi="Times New Roman" w:cs="Times New Roman"/>
          <w:lang w:val="lt-LT" w:eastAsia="zh-CN"/>
        </w:rPr>
        <w:t xml:space="preserve">, </w:t>
      </w:r>
      <w:r w:rsidRPr="00A046F5">
        <w:rPr>
          <w:rFonts w:ascii="Times New Roman" w:eastAsia="Calibri" w:hAnsi="Times New Roman" w:cs="Times New Roman"/>
          <w:lang w:val="lt-LT"/>
        </w:rPr>
        <w:t xml:space="preserve">el. paštu </w:t>
      </w:r>
      <w:hyperlink r:id="rId10" w:history="1">
        <w:r w:rsidRPr="00A046F5">
          <w:rPr>
            <w:rFonts w:ascii="Times New Roman" w:eastAsia="SimSun" w:hAnsi="Times New Roman" w:cs="Times New Roman"/>
            <w:color w:val="0000FF"/>
            <w:u w:val="single"/>
            <w:lang w:val="lt-LT"/>
          </w:rPr>
          <w:t>NepageidaujamaR@vvkt.lt</w:t>
        </w:r>
      </w:hyperlink>
      <w:r w:rsidRPr="00A046F5">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1" w:history="1">
        <w:r w:rsidRPr="00A046F5">
          <w:rPr>
            <w:rFonts w:ascii="Times New Roman" w:eastAsia="SimSun" w:hAnsi="Times New Roman" w:cs="Times New Roman"/>
            <w:color w:val="0000FF"/>
            <w:u w:val="single"/>
            <w:lang w:val="lt-LT"/>
          </w:rPr>
          <w:t>http://www.vvkt.lt</w:t>
        </w:r>
      </w:hyperlink>
      <w:r w:rsidRPr="00A046F5">
        <w:rPr>
          <w:rFonts w:ascii="Times New Roman" w:eastAsia="Calibri" w:hAnsi="Times New Roman" w:cs="Times New Roman"/>
          <w:lang w:val="lt-LT"/>
        </w:rPr>
        <w:t>). Pranešdami apie šalutinį poveikį galite mums padėti gauti daugiau informacijos apie šio vaisto saugumą.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5.</w:t>
      </w:r>
      <w:r w:rsidRPr="00A046F5">
        <w:rPr>
          <w:rFonts w:ascii="Times New Roman" w:eastAsia="Calibri" w:hAnsi="Times New Roman" w:cs="Times New Roman"/>
          <w:b/>
          <w:lang w:val="lt-LT" w:eastAsia="lt-LT"/>
        </w:rPr>
        <w:tab/>
        <w:t xml:space="preserve">Kaip laikyti Magnevist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12"/>
          <w:numId w:val="0"/>
        </w:numPr>
        <w:spacing w:after="0" w:line="240" w:lineRule="auto"/>
        <w:ind w:right="-2"/>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 Šį vaistą laikykite vaikams nepastebimoje ir nepasiekiamoje vietoje.</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yra jautrus šviesai. Flakonus/buteliukus laikyti išorinėje dėžutėje, kad vaistas būtų apsaugotas nuo šviesos. Paruošimo metu saugoti nuo šviesos nereikia.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Atkimšus buteliuką, Magnevist lieka stabilus 24 val., laikant ne aukštesnėje kaip 30 </w:t>
      </w:r>
      <w:r w:rsidRPr="00A046F5">
        <w:rPr>
          <w:rFonts w:ascii="Times New Roman" w:eastAsia="Calibri" w:hAnsi="Times New Roman" w:cs="Times New Roman"/>
          <w:lang w:val="lt-LT" w:eastAsia="lt-LT"/>
        </w:rPr>
        <w:sym w:font="Symbol" w:char="F0B0"/>
      </w:r>
      <w:r w:rsidRPr="00A046F5">
        <w:rPr>
          <w:rFonts w:ascii="Times New Roman" w:eastAsia="Calibri" w:hAnsi="Times New Roman" w:cs="Times New Roman"/>
          <w:lang w:val="lt-LT" w:eastAsia="lt-LT"/>
        </w:rPr>
        <w:t>C temperatūroje. Nesuvartotą injekcinį tirpalą reikia sunaikinti.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Ant dėžutės, flakono ar buteliuko po „Tinka iki“ nurodytam tinkamumo laikui pasibaigus, šio vaisto vartoti negalima. Vaistas tinkamas vartoti iki paskutinės nurodyto mėnesio dienos.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outlineLvl w:val="1"/>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6.</w:t>
      </w:r>
      <w:r w:rsidRPr="00A046F5">
        <w:rPr>
          <w:rFonts w:ascii="Times New Roman" w:eastAsia="Calibri" w:hAnsi="Times New Roman" w:cs="Times New Roman"/>
          <w:b/>
          <w:lang w:val="lt-LT" w:eastAsia="lt-LT"/>
        </w:rPr>
        <w:tab/>
      </w:r>
      <w:r w:rsidRPr="00A046F5">
        <w:rPr>
          <w:rFonts w:ascii="Times New Roman" w:eastAsia="Calibri" w:hAnsi="Times New Roman" w:cs="Times New Roman"/>
          <w:b/>
          <w:bCs/>
          <w:lang w:val="lt-LT" w:eastAsia="lt-LT"/>
        </w:rPr>
        <w:t>Pakuotės turinys ir kita informacija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bCs/>
          <w:lang w:val="lt-LT" w:eastAsia="lt-LT"/>
        </w:rPr>
        <w:t>Magnevist sudėtis</w:t>
      </w:r>
    </w:p>
    <w:p w:rsidR="00A046F5" w:rsidRPr="00A046F5" w:rsidRDefault="00A046F5" w:rsidP="00A046F5">
      <w:pPr>
        <w:numPr>
          <w:ilvl w:val="0"/>
          <w:numId w:val="38"/>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Veiklioji medžiaga yra gadopentetato dimegliuminas. 1 ml injekcinio tirpalo yra 0,5 mmol (469 mg) gadopentetato dimegliumino.</w:t>
      </w:r>
    </w:p>
    <w:p w:rsidR="00A046F5" w:rsidRPr="00A046F5" w:rsidRDefault="00A046F5" w:rsidP="00A046F5">
      <w:pPr>
        <w:numPr>
          <w:ilvl w:val="0"/>
          <w:numId w:val="38"/>
        </w:num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Pagalbinės medžiagos yra megliuminas, penteto rūgštis ir injekcinis vanduo.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keepNext/>
        <w:spacing w:after="0" w:line="240" w:lineRule="auto"/>
        <w:jc w:val="both"/>
        <w:outlineLvl w:val="3"/>
        <w:rPr>
          <w:rFonts w:ascii="Times New Roman" w:eastAsia="Calibri" w:hAnsi="Times New Roman" w:cs="Times New Roman"/>
          <w:u w:val="single"/>
          <w:lang w:val="lt-LT" w:eastAsia="lt-LT"/>
        </w:rPr>
      </w:pPr>
      <w:r w:rsidRPr="00A046F5">
        <w:rPr>
          <w:rFonts w:ascii="Times New Roman" w:eastAsia="Calibri" w:hAnsi="Times New Roman" w:cs="Times New Roman"/>
          <w:b/>
          <w:bCs/>
          <w:lang w:val="lt-LT" w:eastAsia="lt-LT"/>
        </w:rPr>
        <w:t>Magnevist išvaizda ir kiekis pakuotėje</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Magnevist yra skaidrus, bespalvis ar gelsvas tirpalas. </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Jis tiekiamas flakonais po 5 ml, 10 ml, 15 ml, 20 ml arba buteliukais po 100 ml (leisti automatiniu švirkštu). Dėžutėje supakuota 10 flakonų arba buteliukų.</w:t>
      </w:r>
    </w:p>
    <w:p w:rsidR="00A046F5" w:rsidRPr="00A046F5" w:rsidRDefault="00A046F5" w:rsidP="00A046F5">
      <w:pPr>
        <w:spacing w:after="0" w:line="240" w:lineRule="auto"/>
        <w:rPr>
          <w:rFonts w:ascii="Times New Roman" w:eastAsia="Calibri" w:hAnsi="Times New Roman" w:cs="Times New Roman"/>
          <w:noProof/>
          <w:snapToGrid w:val="0"/>
          <w:lang w:val="lt-LT" w:eastAsia="lt-LT"/>
        </w:rPr>
      </w:pPr>
      <w:r w:rsidRPr="00A046F5">
        <w:rPr>
          <w:rFonts w:ascii="Times New Roman" w:eastAsia="Calibri" w:hAnsi="Times New Roman" w:cs="Times New Roman"/>
          <w:noProof/>
          <w:snapToGrid w:val="0"/>
          <w:lang w:val="lt-LT" w:eastAsia="lt-LT"/>
        </w:rPr>
        <w:t>Gali būti tiekiamos ne visų dydžių pakuotės.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lang w:val="lt-LT"/>
        </w:rPr>
        <w:t>Registruotojas</w:t>
      </w:r>
      <w:r w:rsidRPr="00A046F5">
        <w:rPr>
          <w:rFonts w:ascii="Times New Roman" w:eastAsia="Times New Roman" w:hAnsi="Times New Roman" w:cs="Times New Roman"/>
          <w:b/>
          <w:bCs/>
          <w:lang w:val="lt-LT" w:eastAsia="lt-LT"/>
        </w:rPr>
        <w:t xml:space="preserve">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 xml:space="preserve">Bayer AG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lang w:val="de-DE"/>
        </w:rPr>
        <w:t>Kaiser-Wilhelm-Allee 1</w:t>
      </w:r>
      <w:r w:rsidRPr="00213934">
        <w:rPr>
          <w:rFonts w:ascii="Times New Roman" w:hAnsi="Times New Roman" w:cs="Times New Roman"/>
        </w:rPr>
        <w:t xml:space="preserve"> </w:t>
      </w:r>
    </w:p>
    <w:p w:rsidR="0028415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 xml:space="preserve">51373 Leverkusen </w:t>
      </w:r>
    </w:p>
    <w:p w:rsidR="00284154" w:rsidRPr="00213934" w:rsidRDefault="00284154" w:rsidP="00284154">
      <w:pPr>
        <w:spacing w:after="0" w:line="240" w:lineRule="auto"/>
        <w:jc w:val="both"/>
        <w:rPr>
          <w:rFonts w:ascii="Times New Roman" w:hAnsi="Times New Roman" w:cs="Times New Roman"/>
        </w:rPr>
      </w:pPr>
      <w:r w:rsidRPr="00213934">
        <w:rPr>
          <w:rFonts w:ascii="Times New Roman" w:hAnsi="Times New Roman" w:cs="Times New Roman"/>
        </w:rPr>
        <w:t>Vokietija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bCs/>
          <w:lang w:val="lt-LT" w:eastAsia="lt-LT"/>
        </w:rPr>
        <w:t>Gamintojas</w:t>
      </w:r>
    </w:p>
    <w:p w:rsidR="00A046F5" w:rsidRPr="00A046F5" w:rsidRDefault="00A046F5" w:rsidP="00A046F5">
      <w:pPr>
        <w:spacing w:after="0" w:line="240" w:lineRule="auto"/>
        <w:jc w:val="both"/>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Bayer Pharma AG</w:t>
      </w:r>
    </w:p>
    <w:p w:rsidR="00A046F5" w:rsidRPr="00A046F5" w:rsidRDefault="00A046F5" w:rsidP="00A046F5">
      <w:pPr>
        <w:spacing w:after="0" w:line="240" w:lineRule="auto"/>
        <w:rPr>
          <w:rFonts w:ascii="Times New Roman" w:eastAsia="Times New Roman" w:hAnsi="Times New Roman" w:cs="Times New Roman"/>
          <w:lang w:val="lt-LT"/>
        </w:rPr>
      </w:pPr>
      <w:r w:rsidRPr="00A046F5">
        <w:rPr>
          <w:rFonts w:ascii="Times New Roman" w:eastAsia="Times New Roman" w:hAnsi="Times New Roman" w:cs="Times New Roman"/>
          <w:lang w:val="lt-LT"/>
        </w:rPr>
        <w:t>Müllerstraße 178</w:t>
      </w:r>
    </w:p>
    <w:p w:rsidR="00A046F5" w:rsidRPr="00A046F5" w:rsidRDefault="00A046F5" w:rsidP="00A046F5">
      <w:pPr>
        <w:spacing w:after="0" w:line="240" w:lineRule="auto"/>
        <w:jc w:val="both"/>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13353 Berlin</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Vokietija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Jeigu apie šį vaistą norite sužinoti daugiau, kreipkitės į </w:t>
      </w:r>
      <w:r w:rsidRPr="00A046F5">
        <w:rPr>
          <w:rFonts w:ascii="Times New Roman" w:eastAsia="Times New Roman" w:hAnsi="Times New Roman" w:cs="Times New Roman"/>
          <w:lang w:val="lt-LT" w:eastAsia="lt-LT"/>
        </w:rPr>
        <w:t>vietinį registruotojo atstovą.</w:t>
      </w:r>
    </w:p>
    <w:p w:rsidR="00A046F5" w:rsidRPr="00A046F5" w:rsidRDefault="00A046F5" w:rsidP="00A046F5">
      <w:pPr>
        <w:spacing w:after="0" w:line="240" w:lineRule="auto"/>
        <w:rPr>
          <w:rFonts w:ascii="Times New Roman" w:eastAsia="Calibri" w:hAnsi="Times New Roman" w:cs="Times New Roman"/>
          <w:noProof/>
          <w:lang w:val="lt-LT" w:eastAsia="lt-LT"/>
        </w:rPr>
      </w:pPr>
    </w:p>
    <w:tbl>
      <w:tblPr>
        <w:tblW w:w="0" w:type="auto"/>
        <w:tblLayout w:type="fixed"/>
        <w:tblLook w:val="00A0" w:firstRow="1" w:lastRow="0" w:firstColumn="1" w:lastColumn="0" w:noHBand="0" w:noVBand="0"/>
      </w:tblPr>
      <w:tblGrid>
        <w:gridCol w:w="4678"/>
      </w:tblGrid>
      <w:tr w:rsidR="00A046F5" w:rsidRPr="00A046F5" w:rsidTr="00A046F5">
        <w:tc>
          <w:tcPr>
            <w:tcW w:w="4678" w:type="dxa"/>
            <w:hideMark/>
          </w:tcPr>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UAB „Bayer“</w:t>
            </w:r>
          </w:p>
          <w:p w:rsidR="00A046F5" w:rsidRPr="00A046F5" w:rsidRDefault="00A046F5" w:rsidP="00A046F5">
            <w:pPr>
              <w:spacing w:after="0" w:line="240" w:lineRule="auto"/>
              <w:rPr>
                <w:rFonts w:ascii="Times New Roman" w:eastAsia="Calibri" w:hAnsi="Times New Roman" w:cs="Times New Roman"/>
                <w:lang w:eastAsia="lt-LT"/>
              </w:rPr>
            </w:pPr>
            <w:r w:rsidRPr="00A046F5">
              <w:rPr>
                <w:rFonts w:ascii="Times New Roman" w:eastAsia="Calibri" w:hAnsi="Times New Roman" w:cs="Times New Roman"/>
                <w:lang w:val="lt-LT" w:eastAsia="lt-LT"/>
              </w:rPr>
              <w:t>Sporto 18</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LT-09238, Vilnius, </w:t>
            </w:r>
          </w:p>
          <w:p w:rsidR="00A046F5" w:rsidRPr="00A046F5" w:rsidRDefault="00A046F5" w:rsidP="00A046F5">
            <w:pPr>
              <w:spacing w:after="0" w:line="240" w:lineRule="auto"/>
              <w:rPr>
                <w:rFonts w:ascii="Times New Roman" w:eastAsia="Calibri" w:hAnsi="Times New Roman" w:cs="Times New Roman"/>
                <w:noProof/>
                <w:lang w:val="lt-LT" w:eastAsia="lt-LT"/>
              </w:rPr>
            </w:pPr>
            <w:r w:rsidRPr="00A046F5">
              <w:rPr>
                <w:rFonts w:ascii="Times New Roman" w:eastAsia="Calibri" w:hAnsi="Times New Roman" w:cs="Times New Roman"/>
                <w:lang w:val="lt-LT" w:eastAsia="lt-LT"/>
              </w:rPr>
              <w:t>Tel. (+370-5) 233 68 68</w:t>
            </w:r>
          </w:p>
        </w:tc>
      </w:tr>
    </w:tbl>
    <w:p w:rsidR="00A046F5" w:rsidRPr="00A046F5" w:rsidRDefault="00A046F5" w:rsidP="00A046F5">
      <w:pPr>
        <w:spacing w:after="0" w:line="240" w:lineRule="auto"/>
        <w:rPr>
          <w:rFonts w:ascii="Times New Roman" w:eastAsia="Calibri" w:hAnsi="Times New Roman" w:cs="Times New Roman"/>
          <w:noProof/>
          <w:lang w:val="lt-LT" w:eastAsia="lt-LT"/>
        </w:rPr>
      </w:pPr>
    </w:p>
    <w:p w:rsidR="00A046F5" w:rsidRPr="00A046F5" w:rsidRDefault="00A046F5" w:rsidP="00A046F5">
      <w:pPr>
        <w:spacing w:after="0" w:line="240" w:lineRule="auto"/>
        <w:rPr>
          <w:rFonts w:ascii="Times New Roman" w:eastAsia="Calibri" w:hAnsi="Times New Roman" w:cs="Times New Roman"/>
          <w:noProof/>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bCs/>
          <w:lang w:val="lt-LT" w:eastAsia="lt-LT"/>
        </w:rPr>
        <w:t>Šis p</w:t>
      </w:r>
      <w:r w:rsidRPr="00A046F5">
        <w:rPr>
          <w:rFonts w:ascii="Times New Roman" w:eastAsia="Calibri" w:hAnsi="Times New Roman" w:cs="Times New Roman"/>
          <w:b/>
          <w:lang w:val="lt-LT" w:eastAsia="lt-LT"/>
        </w:rPr>
        <w:t xml:space="preserve">akuotės lapelis paskutinį kartą peržiūrėtas </w:t>
      </w:r>
      <w:r w:rsidR="00284154">
        <w:rPr>
          <w:rFonts w:ascii="Times New Roman" w:eastAsia="Calibri" w:hAnsi="Times New Roman" w:cs="Times New Roman"/>
          <w:b/>
          <w:lang w:val="lt-LT" w:eastAsia="lt-LT"/>
        </w:rPr>
        <w:t>2017-10-15</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Išsami informacija apie šį vaistą pateikiama Valstybinės vaistų kontrolės tarnybos prie Lietuvos Respublikos sveikatos apsaugos ministerijos tinklalapyje</w:t>
      </w:r>
      <w:r w:rsidRPr="00A046F5">
        <w:rPr>
          <w:rFonts w:ascii="Times New Roman" w:eastAsia="Calibri" w:hAnsi="Times New Roman" w:cs="Times New Roman"/>
          <w:i/>
          <w:lang w:val="lt-LT" w:eastAsia="lt-LT"/>
        </w:rPr>
        <w:t xml:space="preserve"> </w:t>
      </w:r>
      <w:hyperlink r:id="rId12" w:history="1">
        <w:r w:rsidRPr="00A046F5">
          <w:rPr>
            <w:rFonts w:ascii="Times New Roman" w:eastAsia="SimSun" w:hAnsi="Times New Roman" w:cs="Times New Roman"/>
            <w:color w:val="0000FF"/>
            <w:u w:val="single"/>
            <w:lang w:val="lt-LT"/>
          </w:rPr>
          <w:t>http://www.vvkt.lt/</w:t>
        </w:r>
      </w:hyperlink>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_____________________________________________________________________________</w:t>
      </w:r>
    </w:p>
    <w:p w:rsidR="00A046F5" w:rsidRPr="00A046F5" w:rsidRDefault="00A046F5" w:rsidP="00A046F5">
      <w:pPr>
        <w:spacing w:after="0" w:line="240" w:lineRule="auto"/>
        <w:jc w:val="both"/>
        <w:rPr>
          <w:rFonts w:ascii="Times New Roman" w:eastAsia="Calibri" w:hAnsi="Times New Roman" w:cs="Times New Roman"/>
          <w:b/>
          <w:bCs/>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Toliau pateikta informacija skirta tik sveikatos priežiūros specialistams:</w:t>
      </w:r>
      <w:r w:rsidRPr="00A046F5">
        <w:rPr>
          <w:rFonts w:ascii="Times New Roman" w:eastAsia="Calibri" w:hAnsi="Times New Roman" w:cs="Times New Roman"/>
          <w:lang w:val="lt-LT" w:eastAsia="lt-LT"/>
        </w:rPr>
        <w:t xml:space="preserve"> </w:t>
      </w:r>
    </w:p>
    <w:p w:rsidR="00A046F5" w:rsidRPr="00A046F5" w:rsidRDefault="00A046F5" w:rsidP="00A046F5">
      <w:pPr>
        <w:spacing w:after="0" w:line="240" w:lineRule="auto"/>
        <w:rPr>
          <w:rFonts w:ascii="Times New Roman" w:eastAsia="Calibri" w:hAnsi="Times New Roman" w:cs="Times New Roman"/>
          <w:bCs/>
          <w:lang w:val="lt-LT" w:eastAsia="lt-LT"/>
        </w:rPr>
      </w:pPr>
      <w:r w:rsidRPr="00A046F5">
        <w:rPr>
          <w:rFonts w:ascii="Times New Roman" w:eastAsia="Calibri" w:hAnsi="Times New Roman" w:cs="Times New Roman"/>
          <w:lang w:val="lt-LT" w:eastAsia="lt-LT"/>
        </w:rPr>
        <w:t>Skaitykite ir 1–6 skyriuose pateiktą informaciją.</w:t>
      </w:r>
    </w:p>
    <w:p w:rsidR="00A046F5" w:rsidRPr="00A046F5" w:rsidRDefault="00A046F5" w:rsidP="00A046F5">
      <w:pPr>
        <w:spacing w:after="0" w:line="240" w:lineRule="auto"/>
        <w:rPr>
          <w:rFonts w:ascii="Times New Roman" w:eastAsia="Calibri" w:hAnsi="Times New Roman" w:cs="Times New Roman"/>
          <w:b/>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
          <w:lang w:val="lt-LT" w:eastAsia="lt-LT"/>
        </w:rPr>
        <w:t>Vartojimo būdas</w:t>
      </w: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lang w:val="lt-LT" w:eastAsia="lt-LT"/>
        </w:rPr>
        <w:t>Šis vaistinis preparatas vartojamas tik leisti į veną (žr. skyrių „Kaip vartoti Magnevist“).</w:t>
      </w:r>
    </w:p>
    <w:p w:rsidR="00A046F5" w:rsidRPr="00A046F5" w:rsidRDefault="00A046F5" w:rsidP="00A046F5">
      <w:pPr>
        <w:spacing w:after="0" w:line="240" w:lineRule="auto"/>
        <w:rPr>
          <w:rFonts w:ascii="Times New Roman" w:eastAsia="Calibri" w:hAnsi="Times New Roman" w:cs="Times New Roman"/>
          <w:b/>
          <w:lang w:val="lt-LT" w:eastAsia="lt-LT"/>
        </w:rPr>
      </w:pPr>
    </w:p>
    <w:p w:rsidR="00D35371"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Dozavimas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i/>
          <w:lang w:val="lt-LT" w:eastAsia="lt-LT"/>
        </w:rPr>
        <w:t>Galvos ir nugaros MRT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Gerai sustiprinti kontrastą ir išsiaiškinti klinikinį atvejį dažniausiai pakanka suleisti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0,2 ml/kg kūno svorio (atitinkančio 0,1 mmol gadopentetato dimegliumino kūno svorio).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Jei sustiprinto kontrasto MRT rezultatai normalūs, tačiau kliniškai vis tiek labai įtariami pokyčiai, per 30 minučių dar kartą sušvirkštus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0,2 ml/kg, o suaugusiesiems – net 0,4 ml/kg kūno svorio ir iškart atlikus MRT, tyrimo vertė gali padidėti.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Suaugusiesiems sušvirkštus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0,6 ml/kg kūno svorio dažnai galima patikimiau paneigti navikų metastazes ar atkrytį.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Didžiausia vienkartinė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dozė: 0,6 ml/kg kūno svorio.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i/>
          <w:lang w:val="lt-LT" w:eastAsia="lt-LT"/>
        </w:rPr>
        <w:t>Viso kūno MRT</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Gerai sustiprinti kontrastą ir išspręsti klinikinį neaiškumą dažniausiai pakanka suleisti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0,2 ml/kg kūno svorio.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Tam tikrais atvejais, pvz., kai pokyčių srityje mažai kraujagyslių ir (arba) mažas neląstelinis tarpas, tinkamam kontrastui sudaryti gali reikėti suleisti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0,4 ml/kg kūno svorio, ypač skenuojant kai kuriais T1 režimais.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Suaugusiesiems sušvirkštus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0,6 ml/kg kūno svorio, galima patikimiau paneigti pokyčius arba naviko atsinaujinimą.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Kraujagyslėms išryškinti suaugusiesiems gali reikėti sušvirkšti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iki 0,6 ml/kg kūno svorio, atsižvelgiant į tiriamąją vietą ir tyrimo techniką.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Didžiausia vienkartinė </w:t>
      </w:r>
      <w:r w:rsidRPr="00A046F5">
        <w:rPr>
          <w:rFonts w:ascii="Times New Roman" w:eastAsia="Calibri" w:hAnsi="Times New Roman" w:cs="Times New Roman"/>
          <w:iCs/>
          <w:lang w:val="lt-LT" w:eastAsia="lt-LT"/>
        </w:rPr>
        <w:t>Magnevist</w:t>
      </w:r>
      <w:r w:rsidRPr="00A046F5">
        <w:rPr>
          <w:rFonts w:ascii="Times New Roman" w:eastAsia="Calibri" w:hAnsi="Times New Roman" w:cs="Times New Roman"/>
          <w:lang w:val="lt-LT" w:eastAsia="lt-LT"/>
        </w:rPr>
        <w:t xml:space="preserve"> dozė: 0,6 ml/kg kūno svorio.</w:t>
      </w: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u w:val="single"/>
          <w:lang w:val="lt-LT"/>
        </w:rPr>
        <w:t>Ypatingos pacientų populiacijos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D35371">
        <w:rPr>
          <w:rFonts w:ascii="Times New Roman" w:eastAsia="Calibri" w:hAnsi="Times New Roman" w:cs="Times New Roman"/>
          <w:i/>
          <w:lang w:val="lt-LT"/>
        </w:rPr>
        <w:t>Vaikų populiacija</w:t>
      </w:r>
    </w:p>
    <w:p w:rsidR="00A046F5" w:rsidRPr="00A046F5" w:rsidRDefault="00A046F5" w:rsidP="00A046F5">
      <w:pPr>
        <w:numPr>
          <w:ilvl w:val="0"/>
          <w:numId w:val="4"/>
        </w:num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Visos indikacijos (žr. skyrių „Kas yra Magnevist ir kam jis vartojamas“)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 xml:space="preserve">Vaikams: </w:t>
      </w:r>
      <w:r w:rsidRPr="00A046F5">
        <w:rPr>
          <w:rFonts w:ascii="Times New Roman" w:eastAsia="Calibri" w:hAnsi="Times New Roman" w:cs="Times New Roman"/>
          <w:lang w:val="lt-LT" w:eastAsia="lt-LT"/>
        </w:rPr>
        <w:t>0,2 ml/kg kūno svorio; didžiausia vienkartinė dozė: 0,4 ml/kg kūno svorio.</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Vaikams (iki dvejų metų): viso kūno MRT patirtis nedidelė.</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Siekiant išvengti sužalojimų, vaikams iki dvejų metų reikiamą dozę reikia leisti rankiniu būdu, nenaudojant automatinio švirkšto. </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lang w:val="lt-LT"/>
        </w:rPr>
      </w:pPr>
      <w:r w:rsidRPr="00D35371">
        <w:rPr>
          <w:rFonts w:ascii="Times New Roman" w:eastAsia="Calibri" w:hAnsi="Times New Roman" w:cs="Times New Roman"/>
          <w:i/>
          <w:lang w:val="lt-LT"/>
        </w:rPr>
        <w:t>Naujagimiai iki 4 savaičių ir kūdikiai iki 1 metų</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kūdikiams iki 1 metų amžiaus reikia skirti tik kruopščiai apsvarsčius ne didesne kaip 0,1 mmol/kg kūno svorio doze, nes šių pacientų inkstų funkcija yra nesubrendusi. Vienam tyrimui galima naudoti ne daugiau kaip vieną dozę. Informacijos apie kartotinį vartojimą trūksta, todėl Magnevist injekcijų kartoti negalima, nebent tarp jų būtų mažiausiai 7 paros. Magnevist negalima skirti naujagimiams iki 4 savaičių amžiaus.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lang w:val="lt-LT"/>
        </w:rPr>
      </w:pPr>
      <w:r w:rsidRPr="00D35371">
        <w:rPr>
          <w:rFonts w:ascii="Times New Roman" w:eastAsia="Calibri" w:hAnsi="Times New Roman" w:cs="Times New Roman"/>
          <w:i/>
          <w:lang w:val="lt-LT"/>
        </w:rPr>
        <w:t xml:space="preserve">Senyviems ≥65 metų pacientams </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Manoma, kad dozės keisti nereikia. Senyviems pacientams reikia skirti atsargiai. Jiems gali būti sutrikęs </w:t>
      </w:r>
      <w:r w:rsidRPr="00A046F5">
        <w:rPr>
          <w:rFonts w:ascii="Times New Roman" w:eastAsia="Calibri" w:hAnsi="Times New Roman" w:cs="Times New Roman"/>
          <w:lang w:val="lt-LT" w:eastAsia="lt-LT"/>
        </w:rPr>
        <w:t xml:space="preserve">gadopentetato dimegliumino </w:t>
      </w:r>
      <w:r w:rsidRPr="00A046F5">
        <w:rPr>
          <w:rFonts w:ascii="Times New Roman" w:eastAsia="Calibri" w:hAnsi="Times New Roman" w:cs="Times New Roman"/>
          <w:lang w:val="lt-LT"/>
        </w:rPr>
        <w:t>klirensas per inkstus, todėl ypač svarbu patikrinti, ar 65 metų ir vyresniems pacientams nėra inkstų veiklos sutrikimo.</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lang w:val="lt-LT" w:eastAsia="lt-LT"/>
        </w:rPr>
      </w:pPr>
      <w:r w:rsidRPr="00D35371">
        <w:rPr>
          <w:rFonts w:ascii="Times New Roman" w:eastAsia="Calibri" w:hAnsi="Times New Roman" w:cs="Times New Roman"/>
          <w:i/>
          <w:lang w:val="lt-LT"/>
        </w:rPr>
        <w:t>Pacientams, kurių kepenų funkcija sutrikusi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u w:val="single"/>
          <w:lang w:val="lt-LT"/>
        </w:rPr>
      </w:pPr>
      <w:r w:rsidRPr="00A046F5">
        <w:rPr>
          <w:rFonts w:ascii="Times New Roman" w:eastAsia="Calibri" w:hAnsi="Times New Roman" w:cs="Times New Roman"/>
          <w:lang w:val="lt-LT" w:eastAsia="lt-LT"/>
        </w:rPr>
        <w:t xml:space="preserve">Gadopentetatas nepakitęs išsiskiria tik per inkstus, todėl pacientams, kuriems yra vidutinio sunkumo kepenų funkcijos sutrikimas, </w:t>
      </w:r>
      <w:r w:rsidRPr="00A046F5">
        <w:rPr>
          <w:rFonts w:ascii="Times New Roman" w:eastAsia="Calibri" w:hAnsi="Times New Roman" w:cs="Times New Roman"/>
          <w:lang w:val="lt-LT"/>
        </w:rPr>
        <w:t>dozės keisti nereikia. Duomenų apie pacientus, kuriems yra sunkus kepenų funkcijos sutrikimas, nėra.</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D35371" w:rsidRDefault="00A046F5" w:rsidP="00A046F5">
      <w:pPr>
        <w:autoSpaceDE w:val="0"/>
        <w:autoSpaceDN w:val="0"/>
        <w:adjustRightInd w:val="0"/>
        <w:spacing w:after="0" w:line="240" w:lineRule="auto"/>
        <w:rPr>
          <w:rFonts w:ascii="Times New Roman" w:eastAsia="Calibri" w:hAnsi="Times New Roman" w:cs="Times New Roman"/>
          <w:i/>
          <w:lang w:val="lt-LT"/>
        </w:rPr>
      </w:pPr>
      <w:r w:rsidRPr="00D35371">
        <w:rPr>
          <w:rFonts w:ascii="Times New Roman" w:eastAsia="Calibri" w:hAnsi="Times New Roman" w:cs="Times New Roman"/>
          <w:i/>
          <w:lang w:val="lt-LT"/>
        </w:rPr>
        <w:t>Pacientams, kurių inkstų funkcija sutrikusi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Magnevist negalima skirti pacientams, kuriems yra sunkus inkstų funkcijos sutrikimas (GFG &lt;30 ml/min/1,73 m²) ir pacientams kepenų transplantacijos perioperaciniu laikotarpiu. Pacientams, kuriems yra vidutinio sunkumo inkstų funkcijos sutrikimas (GFG 30</w:t>
      </w:r>
      <w:r w:rsidRPr="00A046F5">
        <w:rPr>
          <w:rFonts w:ascii="Times New Roman" w:eastAsia="Calibri" w:hAnsi="Times New Roman" w:cs="Times New Roman"/>
          <w:lang w:val="lt-LT" w:eastAsia="lt-LT"/>
        </w:rPr>
        <w:t>–</w:t>
      </w:r>
      <w:r w:rsidRPr="00A046F5">
        <w:rPr>
          <w:rFonts w:ascii="Times New Roman" w:eastAsia="Calibri" w:hAnsi="Times New Roman" w:cs="Times New Roman"/>
          <w:lang w:val="lt-LT"/>
        </w:rPr>
        <w:t>59 ml/min/1,73 </w:t>
      </w:r>
      <w:r w:rsidRPr="00A046F5">
        <w:rPr>
          <w:rFonts w:ascii="Times New Roman" w:eastAsia="Calibri" w:hAnsi="Times New Roman" w:cs="Times New Roman"/>
          <w:lang w:val="lt-LT" w:eastAsia="lt-LT"/>
        </w:rPr>
        <w:t>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rPr>
        <w:t>), Magnevist turi būti skiriamas tik kruopščiai įvertinus rizikos ir naudos santykį ne didesne kaip 0,1 mmol/kg kūno svorio doze. Vienam tyrimui galima naudoti ne daugiau kaip vieną dozę. Informacijos apie kartotinį vartojimą trūksta, todėl Magnevist injekcijų kartoti negalima, nebent tarp jų būtų mažiausiai 7 paros.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Specialūs įspėjimai ir atsargumo priemonės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6"/>
        </w:numPr>
        <w:tabs>
          <w:tab w:val="num" w:pos="567"/>
        </w:tabs>
        <w:spacing w:after="0" w:line="240" w:lineRule="auto"/>
        <w:rPr>
          <w:rFonts w:ascii="Times New Roman" w:eastAsia="Calibri" w:hAnsi="Times New Roman" w:cs="Times New Roman"/>
          <w:bCs/>
          <w:lang w:val="lt-LT" w:eastAsia="lt-LT"/>
        </w:rPr>
      </w:pPr>
      <w:r w:rsidRPr="00A046F5">
        <w:rPr>
          <w:rFonts w:ascii="Times New Roman" w:eastAsia="Calibri" w:hAnsi="Times New Roman" w:cs="Times New Roman"/>
          <w:bCs/>
          <w:lang w:val="lt-LT" w:eastAsia="lt-LT"/>
        </w:rPr>
        <w:t>Padidėjęs jautrumas</w:t>
      </w:r>
    </w:p>
    <w:p w:rsidR="00A046F5" w:rsidRPr="00A046F5" w:rsidRDefault="00A046F5" w:rsidP="00A046F5">
      <w:pPr>
        <w:spacing w:after="0" w:line="240" w:lineRule="auto"/>
        <w:rPr>
          <w:rFonts w:ascii="Times New Roman" w:eastAsia="Calibri" w:hAnsi="Times New Roman" w:cs="Times New Roman"/>
          <w:bCs/>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Prieš skiriant Magnevist pacientams, turintiems polinkį alergijai, reikia labai rūpestingai apsvarstyti laukiamos naudos ir galimos rizikos santykį.</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Po procedūros rekomenduojama kurį laiką stebėti pacientą.</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Būtina pasirūpinti vaistais padidėjusio jautrumo reakcijoms gydyti bei priemonėmis skubiai pagalbai teikti.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Pacientams, turintiems polinkį alergijai, prieš tyrimą gali būti tikslinga duoti antihistamininių vaistų ir (arba) gliukokortikoidų. </w:t>
      </w:r>
    </w:p>
    <w:p w:rsidR="00A046F5" w:rsidRPr="00A046F5" w:rsidRDefault="00A046F5" w:rsidP="00A046F5">
      <w:pPr>
        <w:keepNext/>
        <w:spacing w:after="0" w:line="240" w:lineRule="auto"/>
        <w:outlineLvl w:val="0"/>
        <w:rPr>
          <w:rFonts w:ascii="Times New Roman" w:eastAsia="Calibri" w:hAnsi="Times New Roman" w:cs="Times New Roman"/>
          <w:b/>
          <w:bCs/>
          <w:iCs/>
          <w:lang w:val="lt-LT"/>
        </w:rPr>
      </w:pPr>
    </w:p>
    <w:p w:rsidR="00A046F5" w:rsidRPr="00A046F5" w:rsidRDefault="00A046F5" w:rsidP="00A046F5">
      <w:pPr>
        <w:numPr>
          <w:ilvl w:val="0"/>
          <w:numId w:val="10"/>
        </w:numPr>
        <w:autoSpaceDE w:val="0"/>
        <w:autoSpaceDN w:val="0"/>
        <w:adjustRightInd w:val="0"/>
        <w:spacing w:after="0" w:line="240" w:lineRule="auto"/>
        <w:ind w:left="567" w:hanging="567"/>
        <w:rPr>
          <w:rFonts w:ascii="Times New Roman" w:eastAsia="Calibri" w:hAnsi="Times New Roman" w:cs="Times New Roman"/>
          <w:u w:val="single"/>
          <w:lang w:val="lt-LT"/>
        </w:rPr>
      </w:pPr>
      <w:r w:rsidRPr="00A046F5">
        <w:rPr>
          <w:rFonts w:ascii="Times New Roman" w:eastAsia="Calibri" w:hAnsi="Times New Roman" w:cs="Times New Roman"/>
          <w:u w:val="single"/>
          <w:lang w:val="lt-LT"/>
        </w:rPr>
        <w:t>Sutrikusi inkstų veikla</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bCs/>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b/>
          <w:bCs/>
          <w:lang w:val="lt-LT"/>
        </w:rPr>
      </w:pPr>
      <w:r w:rsidRPr="00A046F5">
        <w:rPr>
          <w:rFonts w:ascii="Times New Roman" w:eastAsia="Calibri" w:hAnsi="Times New Roman" w:cs="Times New Roman"/>
          <w:b/>
          <w:bCs/>
          <w:lang w:val="lt-LT"/>
        </w:rPr>
        <w:t>Prieš skiriant Magnevist, visus pacientus būtina patikrinti dėl inkstų veiklos sutrikimo atliekant laboratorinius tyrimus.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Yra duomenų apie nefrogeninę sisteminę fibrozę (NSF), susijusią su Magnevist ir kai kurių kitų gadolinio turinčių kontrastinių medžiagų vartojimu pacientams, kuriems yra ūminis ar lėtinis sunkus inkstų funkcijos sutrikimas (GFG &lt; 30 ml/min/1,73 </w:t>
      </w:r>
      <w:r w:rsidRPr="00A046F5">
        <w:rPr>
          <w:rFonts w:ascii="Times New Roman" w:eastAsia="Calibri" w:hAnsi="Times New Roman" w:cs="Times New Roman"/>
          <w:lang w:val="lt-LT" w:eastAsia="lt-LT"/>
        </w:rPr>
        <w:t>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rPr>
        <w:t>) ir (arba) ūmus inkstų pažeidimas. Magnevist šiems pacientams draudžiama vartoti. Ypatinga rizika yra pacientams, kuriems atliekama kepenų transplantacija, nes šioje grupėje dažnai pasireiškia ūminis inkstų nepakankamumas. Todėl Magnevist negalima skirti pacientams kepenų transplantacijos perioperaciniu laikotarpiu. Magnevist negalima skirti naujagimiams iki 4 savaičių amžiaus.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Pacientams, kuriems yra vidutinio sunkumo inkstų funkcijos sutrikimas (GFG 30</w:t>
      </w:r>
      <w:r w:rsidRPr="00A046F5">
        <w:rPr>
          <w:rFonts w:ascii="Times New Roman" w:eastAsia="Calibri" w:hAnsi="Times New Roman" w:cs="Times New Roman"/>
          <w:lang w:val="lt-LT" w:eastAsia="lt-LT"/>
        </w:rPr>
        <w:t>–</w:t>
      </w:r>
      <w:r w:rsidRPr="00A046F5">
        <w:rPr>
          <w:rFonts w:ascii="Times New Roman" w:eastAsia="Calibri" w:hAnsi="Times New Roman" w:cs="Times New Roman"/>
          <w:lang w:val="lt-LT"/>
        </w:rPr>
        <w:t>59 ml/min/1,73</w:t>
      </w:r>
      <w:r w:rsidRPr="00A046F5">
        <w:rPr>
          <w:rFonts w:ascii="Times New Roman" w:eastAsia="Calibri" w:hAnsi="Times New Roman" w:cs="Times New Roman"/>
          <w:lang w:val="lt-LT" w:eastAsia="lt-LT"/>
        </w:rPr>
        <w:t> m</w:t>
      </w:r>
      <w:r w:rsidRPr="00A046F5">
        <w:rPr>
          <w:rFonts w:ascii="Times New Roman" w:eastAsia="Calibri" w:hAnsi="Times New Roman" w:cs="Times New Roman"/>
          <w:vertAlign w:val="superscript"/>
          <w:lang w:val="lt-LT" w:eastAsia="lt-LT"/>
        </w:rPr>
        <w:t>2</w:t>
      </w:r>
      <w:r w:rsidRPr="00A046F5">
        <w:rPr>
          <w:rFonts w:ascii="Times New Roman" w:eastAsia="Calibri" w:hAnsi="Times New Roman" w:cs="Times New Roman"/>
          <w:lang w:val="lt-LT"/>
        </w:rPr>
        <w:t>), Magnevist galima skirti tik kruopščiai įvertinus rizikos ir naudos santykį ne didesne kaip 0,1 mmol/kg kūno svorio doze. Vienam tyrimui galima naudoti ne daugiau kaip vieną dozę. Informacijos apie kartotinį vartojimą trūksta, todėl Magnevist injekcijų kartoti negalima, nebent tarp jų būtų mažiausiai 7 paros.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Suleidus preparato, netrukus gali būti naudinga atlikti hemodializę, kad Magnevist pasišalintų iš organizmo. Po 3 dializės procedūrų, kurių kiekviena trunka po 3 val., iš organizmo pašalinama maždaug 97 % paskirtosios dozės, t.y. maždaug iki 70 % per kiekvieną dializės procedūrą. Neįrodyta, kad hemodializę būtų naudinga pradėti šia procedūra dar negydomų pacientų NSF prevencijai ar gydymui.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Traukuliai</w:t>
      </w:r>
    </w:p>
    <w:p w:rsidR="00A046F5" w:rsidRPr="00A046F5" w:rsidRDefault="00A046F5" w:rsidP="00A046F5">
      <w:pPr>
        <w:spacing w:after="0" w:line="240" w:lineRule="auto"/>
        <w:rPr>
          <w:rFonts w:ascii="Times New Roman" w:eastAsia="Calibri" w:hAnsi="Times New Roman" w:cs="Times New Roman"/>
          <w:bCs/>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bCs/>
          <w:lang w:val="lt-LT" w:eastAsia="lt-LT"/>
        </w:rPr>
        <w:t xml:space="preserve">Ligoniams, kuriems būna traukulių ar yra kaukolės vidaus sutrikimų, gali būti didesnis traukulių suaktyvėjimo pavojus; esama retų pranešimų apie šio reiškinio ryšį su </w:t>
      </w:r>
      <w:r w:rsidRPr="00A046F5">
        <w:rPr>
          <w:rFonts w:ascii="Times New Roman" w:eastAsia="Calibri" w:hAnsi="Times New Roman" w:cs="Times New Roman"/>
          <w:lang w:val="lt-LT" w:eastAsia="lt-LT"/>
        </w:rPr>
        <w:t>Magnevist vartojimu. Tiriant ligonius, kuriems yra didesnė traukulių tikimybė, reikia imtis atsargumo priemonių, pvz., juos atidžiai stebėti, iš anksto turėti visų reikiamų priemonių ir vaistų traukuliams gydyti.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p>
    <w:p w:rsidR="00A046F5" w:rsidRPr="00A046F5" w:rsidRDefault="00A046F5" w:rsidP="00A046F5">
      <w:pPr>
        <w:keepNext/>
        <w:spacing w:after="0" w:line="240" w:lineRule="auto"/>
        <w:ind w:left="567" w:hanging="567"/>
        <w:outlineLvl w:val="2"/>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t>Sąveika su kitais vaistiniais preparatais ir kitokia sąveika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numPr>
          <w:ilvl w:val="0"/>
          <w:numId w:val="12"/>
        </w:numPr>
        <w:tabs>
          <w:tab w:val="num" w:pos="567"/>
        </w:tabs>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Poveikis laboratorinių tyrimų rezultatams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eastAsia="lt-LT"/>
        </w:rPr>
        <w:t>Iki 24 valandų po Magnevist švirkštimo geležies koncentracijos serume matavimo rezultatai gali būti klaidingai maži, jei tiriama kompleksų matavimo metodu (pvz., batofenantrolino), nes Magnevist būna laisvos dietilentriaminpentaacto rūgšties (DTPR).</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lang w:val="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b/>
          <w:lang w:val="lt-LT"/>
        </w:rPr>
        <w:t>Nėštumas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 xml:space="preserve">Magnevist nėštumo metu vartoti negalima, nebent moters klinikinė būklė yra tokia, kad jai būtina skirti </w:t>
      </w:r>
      <w:r w:rsidRPr="00A046F5">
        <w:rPr>
          <w:rFonts w:ascii="Times New Roman" w:eastAsia="Calibri" w:hAnsi="Times New Roman" w:cs="Times New Roman"/>
          <w:lang w:val="lt-LT" w:eastAsia="lt-LT"/>
        </w:rPr>
        <w:t>gadopentetato dimegliumino</w:t>
      </w:r>
      <w:r w:rsidRPr="00A046F5">
        <w:rPr>
          <w:rFonts w:ascii="Times New Roman" w:eastAsia="Calibri" w:hAnsi="Times New Roman" w:cs="Times New Roman"/>
          <w:lang w:val="lt-LT"/>
        </w:rPr>
        <w:t>.</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b/>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b/>
          <w:lang w:val="lt-LT" w:eastAsia="lt-LT"/>
        </w:rPr>
        <w:t>Žindymas</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Paskyrus Magnevist, kūdikio negalima žindyti bent 24 valandas.</w:t>
      </w:r>
    </w:p>
    <w:p w:rsidR="00A046F5" w:rsidRPr="00A046F5" w:rsidRDefault="00A046F5" w:rsidP="00A046F5">
      <w:pPr>
        <w:spacing w:after="0" w:line="240" w:lineRule="auto"/>
        <w:rPr>
          <w:rFonts w:ascii="Times New Roman" w:eastAsia="Calibri" w:hAnsi="Times New Roman" w:cs="Times New Roman"/>
          <w:bCs/>
          <w:lang w:val="lt-LT" w:eastAsia="lt-LT"/>
        </w:rPr>
      </w:pPr>
    </w:p>
    <w:p w:rsidR="00A046F5" w:rsidRPr="00A046F5" w:rsidRDefault="00A046F5" w:rsidP="00A046F5">
      <w:pPr>
        <w:spacing w:after="0" w:line="240" w:lineRule="auto"/>
        <w:rPr>
          <w:rFonts w:ascii="Times New Roman" w:eastAsia="Calibri" w:hAnsi="Times New Roman" w:cs="Times New Roman"/>
          <w:b/>
          <w:bCs/>
          <w:lang w:val="lt-LT" w:eastAsia="lt-LT"/>
        </w:rPr>
      </w:pPr>
      <w:r w:rsidRPr="00A046F5">
        <w:rPr>
          <w:rFonts w:ascii="Times New Roman" w:eastAsia="Calibri" w:hAnsi="Times New Roman" w:cs="Times New Roman"/>
          <w:b/>
          <w:bCs/>
          <w:lang w:val="lt-LT" w:eastAsia="lt-LT"/>
        </w:rPr>
        <w:t>Šalutinis poveikis</w:t>
      </w:r>
    </w:p>
    <w:p w:rsidR="00A046F5" w:rsidRPr="00A046F5" w:rsidRDefault="00A046F5" w:rsidP="00A046F5">
      <w:pPr>
        <w:spacing w:after="0" w:line="240" w:lineRule="auto"/>
        <w:rPr>
          <w:rFonts w:ascii="Times New Roman" w:eastAsia="Calibri" w:hAnsi="Times New Roman" w:cs="Times New Roman"/>
          <w:color w:val="000000"/>
          <w:lang w:val="lt-LT" w:eastAsia="lt-LT"/>
        </w:rPr>
      </w:pPr>
      <w:r w:rsidRPr="00A046F5">
        <w:rPr>
          <w:rFonts w:ascii="Times New Roman" w:eastAsia="Calibri" w:hAnsi="Times New Roman" w:cs="Times New Roman"/>
          <w:lang w:val="lt-LT" w:eastAsia="lt-LT"/>
        </w:rPr>
        <w:t xml:space="preserve">Bendros Magnevist saugumo savybės pagrįstos stebėjimo, pateikus vaistą į rinką, duomenimis </w:t>
      </w:r>
      <w:r w:rsidRPr="00A046F5">
        <w:rPr>
          <w:rFonts w:ascii="Times New Roman" w:eastAsia="Calibri" w:hAnsi="Times New Roman" w:cs="Times New Roman"/>
          <w:color w:val="000000"/>
          <w:lang w:val="lt-LT" w:eastAsia="lt-LT"/>
        </w:rPr>
        <w:t>ir klinikiniais tyrimais, kuriuose dalyvavo daugiau nei 11 000 pacientų (žr. skyrių „Galimas šalutinis poveikis“).</w:t>
      </w:r>
    </w:p>
    <w:p w:rsidR="00A046F5" w:rsidRPr="00A046F5" w:rsidRDefault="00A046F5" w:rsidP="00A046F5">
      <w:pPr>
        <w:spacing w:after="0" w:line="240" w:lineRule="auto"/>
        <w:rPr>
          <w:rFonts w:ascii="Times New Roman" w:eastAsia="Calibri" w:hAnsi="Times New Roman" w:cs="Times New Roman"/>
          <w:bCs/>
          <w:lang w:val="lt-LT" w:eastAsia="lt-LT"/>
        </w:rPr>
      </w:pPr>
    </w:p>
    <w:p w:rsidR="00A046F5" w:rsidRPr="00A046F5" w:rsidRDefault="00A046F5" w:rsidP="00A046F5">
      <w:pPr>
        <w:spacing w:after="0" w:line="240" w:lineRule="auto"/>
        <w:rPr>
          <w:rFonts w:ascii="Times New Roman" w:eastAsia="Calibri" w:hAnsi="Times New Roman" w:cs="Times New Roman"/>
          <w:b/>
          <w:lang w:val="lt-LT" w:eastAsia="lt-LT"/>
        </w:rPr>
      </w:pPr>
      <w:r w:rsidRPr="00A046F5">
        <w:rPr>
          <w:rFonts w:ascii="Times New Roman" w:eastAsia="Calibri" w:hAnsi="Times New Roman" w:cs="Times New Roman"/>
          <w:b/>
          <w:lang w:val="lt-LT" w:eastAsia="lt-LT"/>
        </w:rPr>
        <w:lastRenderedPageBreak/>
        <w:t>Perdozavimas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Kliniškai vartojant preparatą iki šiol nepastebėta intoksikacijos nuo atsitiktinio perdozavimo ir negauta apie ją pranešimų.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Pacientams, kurių sutrikusi inkstų funkcija, atsitiktinai perdozavus preparato, reikia stebėti šią funkciją.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Magnevist galima pašalinti atliekant hemodializę. Tačiau duomenų, rodančių, kad hemodializė būtų tinkama nefrogeninės sisteminės fibrozės (NSF) profilaktikai, nėra.</w:t>
      </w:r>
    </w:p>
    <w:p w:rsidR="00A046F5" w:rsidRPr="00A046F5" w:rsidRDefault="00A046F5" w:rsidP="00A046F5">
      <w:pPr>
        <w:spacing w:after="0" w:line="240" w:lineRule="auto"/>
        <w:rPr>
          <w:rFonts w:ascii="Times New Roman" w:eastAsia="Calibri" w:hAnsi="Times New Roman" w:cs="Times New Roman"/>
          <w:b/>
          <w:bCs/>
          <w:lang w:val="lt-LT" w:eastAsia="lt-LT"/>
        </w:rPr>
      </w:pPr>
    </w:p>
    <w:p w:rsidR="00A046F5" w:rsidRPr="00A046F5" w:rsidRDefault="00A046F5" w:rsidP="00A046F5">
      <w:pPr>
        <w:spacing w:after="0" w:line="240" w:lineRule="auto"/>
        <w:rPr>
          <w:rFonts w:ascii="Times New Roman" w:eastAsia="Calibri" w:hAnsi="Times New Roman" w:cs="Times New Roman"/>
          <w:b/>
          <w:bCs/>
          <w:lang w:val="lt-LT" w:eastAsia="lt-LT"/>
        </w:rPr>
      </w:pPr>
      <w:r w:rsidRPr="00A046F5">
        <w:rPr>
          <w:rFonts w:ascii="Times New Roman" w:eastAsia="Calibri" w:hAnsi="Times New Roman" w:cs="Times New Roman"/>
          <w:b/>
          <w:bCs/>
          <w:lang w:val="lt-LT" w:eastAsia="lt-LT"/>
        </w:rPr>
        <w:t>Vartojimo ir darbo su vaistiniu preparatu instrukcija</w:t>
      </w:r>
    </w:p>
    <w:p w:rsidR="00A046F5" w:rsidRPr="00A046F5" w:rsidRDefault="00A046F5" w:rsidP="00A046F5">
      <w:pPr>
        <w:spacing w:after="0" w:line="240" w:lineRule="auto"/>
        <w:rPr>
          <w:rFonts w:ascii="Times New Roman" w:eastAsia="Calibri" w:hAnsi="Times New Roman" w:cs="Times New Roman"/>
          <w:b/>
          <w:lang w:val="lt-LT" w:eastAsia="lt-LT"/>
        </w:rPr>
      </w:pPr>
    </w:p>
    <w:p w:rsidR="00A046F5" w:rsidRPr="00A046F5" w:rsidRDefault="00A046F5" w:rsidP="00D35371">
      <w:pPr>
        <w:spacing w:after="0" w:line="240" w:lineRule="auto"/>
        <w:rPr>
          <w:rFonts w:ascii="Times New Roman" w:eastAsia="Calibri" w:hAnsi="Times New Roman" w:cs="Times New Roman"/>
          <w:u w:val="single"/>
          <w:lang w:val="lt-LT" w:eastAsia="lt-LT"/>
        </w:rPr>
      </w:pPr>
      <w:r w:rsidRPr="00A046F5">
        <w:rPr>
          <w:rFonts w:ascii="Times New Roman" w:eastAsia="Calibri" w:hAnsi="Times New Roman" w:cs="Times New Roman"/>
          <w:b/>
          <w:lang w:val="lt-LT" w:eastAsia="lt-LT"/>
        </w:rPr>
        <w:t>Vizualus patikrinimas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Prieš vartojant šį vaistinį preparatą būtina patikrinti vizualiai. Magnevist yra skaidrus, bespalvis ar gelsvas tirpalas. </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Jei esama žymių spalvos pakitimų, jei atsiranda dalelių ar pažeidžiama pakuotė, Magnevist naudoti negalima.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D35371">
      <w:pPr>
        <w:keepNext/>
        <w:spacing w:after="0" w:line="240" w:lineRule="auto"/>
        <w:outlineLvl w:val="0"/>
        <w:rPr>
          <w:rFonts w:ascii="Times New Roman" w:eastAsia="Calibri" w:hAnsi="Times New Roman" w:cs="Times New Roman"/>
          <w:lang w:val="lt-LT" w:eastAsia="lt-LT"/>
        </w:rPr>
      </w:pPr>
      <w:r w:rsidRPr="00A046F5">
        <w:rPr>
          <w:rFonts w:ascii="Times New Roman" w:eastAsia="Calibri" w:hAnsi="Times New Roman" w:cs="Times New Roman"/>
          <w:b/>
          <w:bCs/>
          <w:iCs/>
          <w:lang w:val="lt-LT" w:eastAsia="lt-LT"/>
        </w:rPr>
        <w:t>Flakonai</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Magnevist reikia įtraukti į švirkštą tik prieš pat vartojimą.</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Guminio kamštelio negalima pradurti daugiau nei vieną kartą.</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Vieno tyrimo metu nesuvartotą kontrastinės medžiagos tirpalą reikia sunaikinti.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D35371">
      <w:pPr>
        <w:keepNext/>
        <w:spacing w:after="0" w:line="240" w:lineRule="auto"/>
        <w:outlineLvl w:val="0"/>
        <w:rPr>
          <w:rFonts w:ascii="Times New Roman" w:eastAsia="Calibri" w:hAnsi="Times New Roman" w:cs="Times New Roman"/>
          <w:lang w:val="lt-LT" w:eastAsia="lt-LT"/>
        </w:rPr>
      </w:pPr>
      <w:r w:rsidRPr="00A046F5">
        <w:rPr>
          <w:rFonts w:ascii="Times New Roman" w:eastAsia="Calibri" w:hAnsi="Times New Roman" w:cs="Times New Roman"/>
          <w:b/>
          <w:bCs/>
          <w:iCs/>
          <w:lang w:val="lt-LT" w:eastAsia="lt-LT"/>
        </w:rPr>
        <w:t>Didelio tūrio pakuotės (100 ml)</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 xml:space="preserve">Kontrastinę medžiagą leisti patvirtintu būdu, užtikrinančiu kontrastinės medžiagos sterilumą. </w:t>
      </w:r>
      <w:r w:rsidRPr="00A046F5">
        <w:rPr>
          <w:rFonts w:ascii="Times New Roman" w:eastAsia="Calibri" w:hAnsi="Times New Roman" w:cs="Times New Roman"/>
          <w:color w:val="000000"/>
          <w:lang w:val="lt-LT"/>
        </w:rPr>
        <w:t>Jei naudojate specialų prietaisą, b</w:t>
      </w:r>
      <w:r w:rsidRPr="00A046F5">
        <w:rPr>
          <w:rFonts w:ascii="Times New Roman" w:eastAsia="Calibri" w:hAnsi="Times New Roman" w:cs="Times New Roman"/>
          <w:lang w:val="lt-LT" w:eastAsia="lt-LT"/>
        </w:rPr>
        <w:t xml:space="preserve">ūtina laikytis gamintojo nurodymų. </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Specialaus prietaiso negalima naudoti naujagimiams ir kūdikiams.</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color w:val="000000"/>
          <w:lang w:val="lt-LT" w:eastAsia="lt-LT"/>
        </w:rPr>
        <w:t xml:space="preserve">Vaikams iki 2 metų reikalingą dozę </w:t>
      </w:r>
      <w:r w:rsidRPr="00A046F5">
        <w:rPr>
          <w:rFonts w:ascii="Times New Roman" w:eastAsia="Calibri" w:hAnsi="Times New Roman" w:cs="Times New Roman"/>
          <w:lang w:val="lt-LT" w:eastAsia="lt-LT"/>
        </w:rPr>
        <w:t xml:space="preserve">reikia leisti </w:t>
      </w:r>
      <w:r w:rsidRPr="00A046F5">
        <w:rPr>
          <w:rFonts w:ascii="Times New Roman" w:eastAsia="Calibri" w:hAnsi="Times New Roman" w:cs="Times New Roman"/>
          <w:color w:val="000000"/>
          <w:lang w:val="lt-LT" w:eastAsia="lt-LT"/>
        </w:rPr>
        <w:t>rankiniu būdu. Automatinio švirkšto naudoti negalima, kad būtų išvengta sužalojimų.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Kad būtų išvengta kryžminės taršos, vamzdelį, jungiantį švirkštą su paciento vena, būtina keisti po kiekvieno ligonio tyrimo.</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Tyrimo dienos pabaigoje atidarytoje talpyklėje likusią kontrastinę medžiagą, jungiamuosius vamzdelius ir visas vienkartines injekcinės sistemos dalis reikia išmesti.</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Būtina laikytis vaisto gamintojo nurodymų.</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Tyrimo dienos pabaigoje (vėliausiai po 24 val.) atidarytoje pakuotėje likusį Magnevist reikia sunaikinti. Daugiau informacijos pateikta skyriuje „Kaip laikyti Magnevist“.</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D35371">
      <w:pPr>
        <w:keepNext/>
        <w:spacing w:after="0" w:line="240" w:lineRule="auto"/>
        <w:ind w:left="567" w:hanging="567"/>
        <w:outlineLvl w:val="2"/>
        <w:rPr>
          <w:rFonts w:ascii="Times New Roman" w:eastAsia="Calibri" w:hAnsi="Times New Roman" w:cs="Times New Roman"/>
          <w:lang w:val="lt-LT" w:eastAsia="lt-LT"/>
        </w:rPr>
      </w:pPr>
      <w:r w:rsidRPr="00A046F5">
        <w:rPr>
          <w:rFonts w:ascii="Times New Roman" w:eastAsia="Calibri" w:hAnsi="Times New Roman" w:cs="Times New Roman"/>
          <w:b/>
          <w:lang w:val="lt-LT" w:eastAsia="lt-LT"/>
        </w:rPr>
        <w:t>Nesuderinamumas</w:t>
      </w:r>
    </w:p>
    <w:p w:rsidR="00A046F5" w:rsidRPr="00A046F5" w:rsidRDefault="00A046F5" w:rsidP="00A046F5">
      <w:pPr>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eastAsia="lt-LT"/>
        </w:rPr>
        <w:t>Suderinamumo tyrimų neatlikta, todėl šio vaistinio preparato maišyti su kitais negalima.</w:t>
      </w:r>
    </w:p>
    <w:p w:rsidR="00A046F5" w:rsidRPr="00A046F5" w:rsidRDefault="00A046F5" w:rsidP="00A046F5">
      <w:pPr>
        <w:spacing w:after="0" w:line="240" w:lineRule="auto"/>
        <w:rPr>
          <w:rFonts w:ascii="Times New Roman" w:eastAsia="Calibri" w:hAnsi="Times New Roman" w:cs="Times New Roman"/>
          <w:lang w:val="lt-LT" w:eastAsia="lt-LT"/>
        </w:rPr>
      </w:pP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rPr>
      </w:pPr>
      <w:r w:rsidRPr="00A046F5">
        <w:rPr>
          <w:rFonts w:ascii="Times New Roman" w:eastAsia="Calibri" w:hAnsi="Times New Roman" w:cs="Times New Roman"/>
          <w:lang w:val="lt-LT"/>
        </w:rPr>
        <w:t>Ant paciento ligos istorijos reikia užklijuoti nuplėšiamą sekimo etiketę (nuo flakonų/ buteliukų), skirtą tiksliam naudotos gadolinio kontrastinės medžiagos registravimui.</w:t>
      </w:r>
    </w:p>
    <w:p w:rsidR="00A046F5" w:rsidRPr="00A046F5" w:rsidRDefault="00A046F5" w:rsidP="00A046F5">
      <w:pPr>
        <w:autoSpaceDE w:val="0"/>
        <w:autoSpaceDN w:val="0"/>
        <w:adjustRightInd w:val="0"/>
        <w:spacing w:after="0" w:line="240" w:lineRule="auto"/>
        <w:rPr>
          <w:rFonts w:ascii="Times New Roman" w:eastAsia="Calibri" w:hAnsi="Times New Roman" w:cs="Times New Roman"/>
          <w:lang w:val="lt-LT" w:eastAsia="lt-LT"/>
        </w:rPr>
      </w:pPr>
      <w:r w:rsidRPr="00A046F5">
        <w:rPr>
          <w:rFonts w:ascii="Times New Roman" w:eastAsia="Calibri" w:hAnsi="Times New Roman" w:cs="Times New Roman"/>
          <w:lang w:val="lt-LT"/>
        </w:rPr>
        <w:t>Taip pat reikia registruoti suvartotą dozę. Jeigu naudojama elektroninė paciento ligos istorija, į ją reikia įrašyti preparato pavadinimą, serijos numerį ir dozę.</w:t>
      </w:r>
    </w:p>
    <w:p w:rsidR="00AA5245" w:rsidRPr="00A046F5" w:rsidRDefault="00AA5245">
      <w:pPr>
        <w:rPr>
          <w:lang w:val="lt-LT"/>
        </w:rPr>
      </w:pPr>
      <w:permStart w:id="871132238" w:edGrp="everyone"/>
      <w:permEnd w:id="871132238"/>
    </w:p>
    <w:sectPr w:rsidR="00AA5245" w:rsidRPr="00A04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13B3"/>
    <w:multiLevelType w:val="hybridMultilevel"/>
    <w:tmpl w:val="FA3EE59E"/>
    <w:lvl w:ilvl="0" w:tplc="C144016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093B80"/>
    <w:multiLevelType w:val="hybridMultilevel"/>
    <w:tmpl w:val="B06821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5D39FC"/>
    <w:multiLevelType w:val="hybridMultilevel"/>
    <w:tmpl w:val="958A5728"/>
    <w:lvl w:ilvl="0" w:tplc="BF56DB7A">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AF6AE0"/>
    <w:multiLevelType w:val="hybridMultilevel"/>
    <w:tmpl w:val="C5B08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B089F"/>
    <w:multiLevelType w:val="hybridMultilevel"/>
    <w:tmpl w:val="772EA488"/>
    <w:lvl w:ilvl="0" w:tplc="F3B03BB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70175B"/>
    <w:multiLevelType w:val="hybridMultilevel"/>
    <w:tmpl w:val="A014BB80"/>
    <w:lvl w:ilvl="0" w:tplc="E7203E20">
      <w:start w:val="1"/>
      <w:numFmt w:val="bullet"/>
      <w:lvlText w:val="-"/>
      <w:lvlJc w:val="left"/>
      <w:pPr>
        <w:tabs>
          <w:tab w:val="num" w:pos="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053FF"/>
    <w:multiLevelType w:val="hybridMultilevel"/>
    <w:tmpl w:val="46605706"/>
    <w:lvl w:ilvl="0" w:tplc="A58461E6">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A6A45"/>
    <w:multiLevelType w:val="hybridMultilevel"/>
    <w:tmpl w:val="7354F8AE"/>
    <w:lvl w:ilvl="0" w:tplc="ED3E157E">
      <w:start w:val="1"/>
      <w:numFmt w:val="bullet"/>
      <w:lvlText w:val=""/>
      <w:lvlJc w:val="left"/>
      <w:pPr>
        <w:tabs>
          <w:tab w:val="num" w:pos="720"/>
        </w:tabs>
        <w:ind w:left="720" w:hanging="360"/>
      </w:pPr>
      <w:rPr>
        <w:rFonts w:ascii="Symbol" w:hAnsi="Symbol" w:hint="default"/>
      </w:rPr>
    </w:lvl>
    <w:lvl w:ilvl="1" w:tplc="917CB81E">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4F2F73"/>
    <w:multiLevelType w:val="hybridMultilevel"/>
    <w:tmpl w:val="26D2CC8E"/>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141959"/>
    <w:multiLevelType w:val="hybridMultilevel"/>
    <w:tmpl w:val="F44A4876"/>
    <w:lvl w:ilvl="0" w:tplc="04270001">
      <w:start w:val="1"/>
      <w:numFmt w:val="bullet"/>
      <w:lvlText w:val=""/>
      <w:lvlJc w:val="left"/>
      <w:pPr>
        <w:tabs>
          <w:tab w:val="num" w:pos="720"/>
        </w:tabs>
        <w:ind w:left="720" w:hanging="360"/>
      </w:pPr>
      <w:rPr>
        <w:rFonts w:ascii="Symbol" w:hAnsi="Symbol" w:hint="default"/>
      </w:rPr>
    </w:lvl>
    <w:lvl w:ilvl="1" w:tplc="ED3E157E">
      <w:start w:val="1"/>
      <w:numFmt w:val="bullet"/>
      <w:lvlText w:val=""/>
      <w:lvlJc w:val="left"/>
      <w:pPr>
        <w:tabs>
          <w:tab w:val="num" w:pos="1440"/>
        </w:tabs>
        <w:ind w:left="1440" w:hanging="360"/>
      </w:pPr>
      <w:rPr>
        <w:rFonts w:ascii="Symbol" w:hAnsi="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370BF2"/>
    <w:multiLevelType w:val="hybridMultilevel"/>
    <w:tmpl w:val="D826CD60"/>
    <w:lvl w:ilvl="0" w:tplc="F61E6146">
      <w:start w:val="2"/>
      <w:numFmt w:val="bullet"/>
      <w:lvlText w:val=""/>
      <w:lvlJc w:val="left"/>
      <w:pPr>
        <w:tabs>
          <w:tab w:val="num" w:pos="567"/>
        </w:tabs>
        <w:ind w:left="567" w:hanging="567"/>
      </w:pPr>
      <w:rPr>
        <w:rFonts w:ascii="Symbol" w:eastAsia="Times New Roman"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A93C45"/>
    <w:multiLevelType w:val="hybridMultilevel"/>
    <w:tmpl w:val="D72095B8"/>
    <w:lvl w:ilvl="0" w:tplc="87404BF8">
      <w:start w:val="1"/>
      <w:numFmt w:val="bullet"/>
      <w:pStyle w:val="Bullet0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F0054D0"/>
    <w:multiLevelType w:val="hybridMultilevel"/>
    <w:tmpl w:val="07D4BD42"/>
    <w:lvl w:ilvl="0" w:tplc="5A3289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0C05E2"/>
    <w:multiLevelType w:val="hybridMultilevel"/>
    <w:tmpl w:val="BBC87E28"/>
    <w:lvl w:ilvl="0" w:tplc="83304D88">
      <w:start w:val="2010"/>
      <w:numFmt w:val="bullet"/>
      <w:lvlText w:val="-"/>
      <w:lvlJc w:val="left"/>
      <w:pPr>
        <w:tabs>
          <w:tab w:val="num" w:pos="567"/>
        </w:tabs>
        <w:ind w:left="567" w:hanging="567"/>
      </w:pPr>
      <w:rPr>
        <w:rFonts w:ascii="Tms Rmn" w:eastAsia="Times New Roman" w:hAnsi="Tms Rm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5E1F6E"/>
    <w:multiLevelType w:val="hybridMultilevel"/>
    <w:tmpl w:val="970E7908"/>
    <w:lvl w:ilvl="0" w:tplc="5A32890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FD150B"/>
    <w:multiLevelType w:val="hybridMultilevel"/>
    <w:tmpl w:val="19205D00"/>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65997440"/>
    <w:multiLevelType w:val="hybridMultilevel"/>
    <w:tmpl w:val="3D50A2E4"/>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094AC0"/>
    <w:multiLevelType w:val="hybridMultilevel"/>
    <w:tmpl w:val="CC4C33F6"/>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DC376D"/>
    <w:multiLevelType w:val="hybridMultilevel"/>
    <w:tmpl w:val="20F0F81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0"/>
  </w:num>
  <w:num w:numId="4">
    <w:abstractNumId w:val="0"/>
  </w:num>
  <w:num w:numId="5">
    <w:abstractNumId w:val="1"/>
  </w:num>
  <w:num w:numId="6">
    <w:abstractNumId w:val="1"/>
  </w:num>
  <w:num w:numId="7">
    <w:abstractNumId w:val="2"/>
  </w:num>
  <w:num w:numId="8">
    <w:abstractNumId w:val="2"/>
  </w:num>
  <w:num w:numId="9">
    <w:abstractNumId w:val="18"/>
  </w:num>
  <w:num w:numId="10">
    <w:abstractNumId w:val="18"/>
  </w:num>
  <w:num w:numId="11">
    <w:abstractNumId w:val="7"/>
  </w:num>
  <w:num w:numId="12">
    <w:abstractNumId w:val="7"/>
  </w:num>
  <w:num w:numId="13">
    <w:abstractNumId w:val="8"/>
  </w:num>
  <w:num w:numId="14">
    <w:abstractNumId w:val="8"/>
  </w:num>
  <w:num w:numId="15">
    <w:abstractNumId w:val="17"/>
  </w:num>
  <w:num w:numId="16">
    <w:abstractNumId w:val="17"/>
  </w:num>
  <w:num w:numId="17">
    <w:abstractNumId w:val="3"/>
  </w:num>
  <w:num w:numId="18">
    <w:abstractNumId w:val="3"/>
  </w:num>
  <w:num w:numId="19">
    <w:abstractNumId w:val="16"/>
  </w:num>
  <w:num w:numId="20">
    <w:abstractNumId w:val="16"/>
  </w:num>
  <w:num w:numId="21">
    <w:abstractNumId w:val="9"/>
  </w:num>
  <w:num w:numId="22">
    <w:abstractNumId w:val="9"/>
  </w:num>
  <w:num w:numId="23">
    <w:abstractNumId w:val="6"/>
  </w:num>
  <w:num w:numId="24">
    <w:abstractNumId w:val="6"/>
  </w:num>
  <w:num w:numId="25">
    <w:abstractNumId w:val="10"/>
  </w:num>
  <w:num w:numId="26">
    <w:abstractNumId w:val="10"/>
  </w:num>
  <w:num w:numId="27">
    <w:abstractNumId w:val="15"/>
  </w:num>
  <w:num w:numId="28">
    <w:abstractNumId w:val="15"/>
  </w:num>
  <w:num w:numId="29">
    <w:abstractNumId w:val="4"/>
  </w:num>
  <w:num w:numId="30">
    <w:abstractNumId w:val="4"/>
  </w:num>
  <w:num w:numId="31">
    <w:abstractNumId w:val="12"/>
  </w:num>
  <w:num w:numId="32">
    <w:abstractNumId w:val="12"/>
  </w:num>
  <w:num w:numId="33">
    <w:abstractNumId w:val="14"/>
  </w:num>
  <w:num w:numId="34">
    <w:abstractNumId w:val="14"/>
  </w:num>
  <w:num w:numId="35">
    <w:abstractNumId w:val="5"/>
  </w:num>
  <w:num w:numId="36">
    <w:abstractNumId w:val="5"/>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HuGZ8x1IYVZZ2KdyUfoHV7BtmJ2n31H2Gf/uap2MlUmNjf3Yj3FRF0QpJ7JPYOpT21oyC2h+pooLvOk0Oy8w==" w:salt="x1gmhTBDA5ir8qkXMxS/f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31E"/>
    <w:rsid w:val="00282F9B"/>
    <w:rsid w:val="00284154"/>
    <w:rsid w:val="00376797"/>
    <w:rsid w:val="00403D34"/>
    <w:rsid w:val="005A2F19"/>
    <w:rsid w:val="005C0865"/>
    <w:rsid w:val="0084092D"/>
    <w:rsid w:val="008A5785"/>
    <w:rsid w:val="00A046F5"/>
    <w:rsid w:val="00A92F30"/>
    <w:rsid w:val="00AA5245"/>
    <w:rsid w:val="00B2231E"/>
    <w:rsid w:val="00C13997"/>
    <w:rsid w:val="00D34531"/>
    <w:rsid w:val="00D35371"/>
    <w:rsid w:val="00D97450"/>
    <w:rsid w:val="00F9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CEA48F-BCCA-4FDD-8A14-FF751936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A046F5"/>
    <w:pPr>
      <w:keepNext/>
      <w:spacing w:after="0" w:line="240" w:lineRule="auto"/>
      <w:outlineLvl w:val="0"/>
    </w:pPr>
    <w:rPr>
      <w:rFonts w:ascii="Times New Roman" w:eastAsia="Calibri" w:hAnsi="Times New Roman" w:cs="Times New Roman"/>
      <w:b/>
      <w:bCs/>
      <w:iCs/>
      <w:szCs w:val="20"/>
      <w:lang w:val="lt-LT" w:eastAsia="lt-LT"/>
    </w:rPr>
  </w:style>
  <w:style w:type="paragraph" w:styleId="Antrat2">
    <w:name w:val="heading 2"/>
    <w:basedOn w:val="prastasis"/>
    <w:next w:val="prastasis"/>
    <w:link w:val="Antrat2Diagrama"/>
    <w:autoRedefine/>
    <w:semiHidden/>
    <w:unhideWhenUsed/>
    <w:qFormat/>
    <w:rsid w:val="00A046F5"/>
    <w:pPr>
      <w:keepNext/>
      <w:spacing w:after="0" w:line="240" w:lineRule="auto"/>
      <w:outlineLvl w:val="1"/>
    </w:pPr>
    <w:rPr>
      <w:rFonts w:ascii="Times New Roman" w:eastAsia="Calibri" w:hAnsi="Times New Roman" w:cs="Times New Roman"/>
      <w:b/>
      <w:szCs w:val="20"/>
      <w:lang w:val="lt-LT" w:eastAsia="lt-LT"/>
    </w:rPr>
  </w:style>
  <w:style w:type="paragraph" w:styleId="Antrat3">
    <w:name w:val="heading 3"/>
    <w:basedOn w:val="prastasis"/>
    <w:next w:val="prastasis"/>
    <w:link w:val="Antrat3Diagrama"/>
    <w:autoRedefine/>
    <w:semiHidden/>
    <w:unhideWhenUsed/>
    <w:qFormat/>
    <w:rsid w:val="00A046F5"/>
    <w:pPr>
      <w:keepNext/>
      <w:spacing w:after="0" w:line="240" w:lineRule="auto"/>
      <w:ind w:left="567" w:hanging="567"/>
      <w:outlineLvl w:val="2"/>
    </w:pPr>
    <w:rPr>
      <w:rFonts w:ascii="Times New Roman" w:eastAsia="Calibri" w:hAnsi="Times New Roman" w:cs="Times New Roman"/>
      <w:b/>
      <w:lang w:val="lt-LT" w:eastAsia="lt-LT"/>
    </w:rPr>
  </w:style>
  <w:style w:type="paragraph" w:styleId="Antrat4">
    <w:name w:val="heading 4"/>
    <w:basedOn w:val="prastasis"/>
    <w:next w:val="prastasis"/>
    <w:link w:val="Antrat4Diagrama"/>
    <w:semiHidden/>
    <w:unhideWhenUsed/>
    <w:qFormat/>
    <w:rsid w:val="00A046F5"/>
    <w:pPr>
      <w:keepNext/>
      <w:spacing w:after="0" w:line="240" w:lineRule="auto"/>
      <w:jc w:val="both"/>
      <w:outlineLvl w:val="3"/>
    </w:pPr>
    <w:rPr>
      <w:rFonts w:ascii="Times New Roman" w:eastAsia="Calibri" w:hAnsi="Times New Roman" w:cs="Times New Roman"/>
      <w:szCs w:val="20"/>
      <w:u w:val="single"/>
      <w:lang w:val="lt-LT" w:eastAsia="lt-LT"/>
    </w:rPr>
  </w:style>
  <w:style w:type="paragraph" w:styleId="Antrat7">
    <w:name w:val="heading 7"/>
    <w:basedOn w:val="prastasis"/>
    <w:next w:val="prastasis"/>
    <w:link w:val="Antrat7Diagrama"/>
    <w:semiHidden/>
    <w:unhideWhenUsed/>
    <w:qFormat/>
    <w:rsid w:val="00A046F5"/>
    <w:pPr>
      <w:spacing w:before="240" w:after="60" w:line="240" w:lineRule="auto"/>
      <w:outlineLvl w:val="6"/>
    </w:pPr>
    <w:rPr>
      <w:rFonts w:ascii="Times New Roman" w:eastAsia="Calibri" w:hAnsi="Times New Roman" w:cs="Times New Roman"/>
      <w:sz w:val="24"/>
      <w:szCs w:val="24"/>
      <w:lang w:val="lt-LT" w:eastAsia="lt-LT"/>
    </w:rPr>
  </w:style>
  <w:style w:type="paragraph" w:styleId="Antrat9">
    <w:name w:val="heading 9"/>
    <w:basedOn w:val="prastasis"/>
    <w:next w:val="prastasis"/>
    <w:link w:val="Antrat9Diagrama"/>
    <w:semiHidden/>
    <w:unhideWhenUsed/>
    <w:qFormat/>
    <w:rsid w:val="00A046F5"/>
    <w:pPr>
      <w:spacing w:before="240" w:after="60" w:line="240" w:lineRule="auto"/>
      <w:outlineLvl w:val="8"/>
    </w:pPr>
    <w:rPr>
      <w:rFonts w:ascii="Arial" w:eastAsia="Calibri"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46F5"/>
    <w:rPr>
      <w:rFonts w:ascii="Times New Roman" w:eastAsia="Calibri" w:hAnsi="Times New Roman" w:cs="Times New Roman"/>
      <w:b/>
      <w:bCs/>
      <w:iCs/>
      <w:szCs w:val="20"/>
      <w:lang w:val="lt-LT" w:eastAsia="lt-LT"/>
    </w:rPr>
  </w:style>
  <w:style w:type="character" w:customStyle="1" w:styleId="Antrat2Diagrama">
    <w:name w:val="Antraštė 2 Diagrama"/>
    <w:basedOn w:val="Numatytasispastraiposriftas"/>
    <w:link w:val="Antrat2"/>
    <w:semiHidden/>
    <w:rsid w:val="00A046F5"/>
    <w:rPr>
      <w:rFonts w:ascii="Times New Roman" w:eastAsia="Calibri" w:hAnsi="Times New Roman" w:cs="Times New Roman"/>
      <w:b/>
      <w:szCs w:val="20"/>
      <w:lang w:val="lt-LT" w:eastAsia="lt-LT"/>
    </w:rPr>
  </w:style>
  <w:style w:type="character" w:customStyle="1" w:styleId="Antrat3Diagrama">
    <w:name w:val="Antraštė 3 Diagrama"/>
    <w:basedOn w:val="Numatytasispastraiposriftas"/>
    <w:link w:val="Antrat3"/>
    <w:semiHidden/>
    <w:rsid w:val="00A046F5"/>
    <w:rPr>
      <w:rFonts w:ascii="Times New Roman" w:eastAsia="Calibri" w:hAnsi="Times New Roman" w:cs="Times New Roman"/>
      <w:b/>
      <w:lang w:val="lt-LT" w:eastAsia="lt-LT"/>
    </w:rPr>
  </w:style>
  <w:style w:type="character" w:customStyle="1" w:styleId="Antrat4Diagrama">
    <w:name w:val="Antraštė 4 Diagrama"/>
    <w:basedOn w:val="Numatytasispastraiposriftas"/>
    <w:link w:val="Antrat4"/>
    <w:semiHidden/>
    <w:rsid w:val="00A046F5"/>
    <w:rPr>
      <w:rFonts w:ascii="Times New Roman" w:eastAsia="Calibri" w:hAnsi="Times New Roman" w:cs="Times New Roman"/>
      <w:szCs w:val="20"/>
      <w:u w:val="single"/>
      <w:lang w:val="lt-LT" w:eastAsia="lt-LT"/>
    </w:rPr>
  </w:style>
  <w:style w:type="character" w:customStyle="1" w:styleId="Antrat7Diagrama">
    <w:name w:val="Antraštė 7 Diagrama"/>
    <w:basedOn w:val="Numatytasispastraiposriftas"/>
    <w:link w:val="Antrat7"/>
    <w:semiHidden/>
    <w:rsid w:val="00A046F5"/>
    <w:rPr>
      <w:rFonts w:ascii="Times New Roman" w:eastAsia="Calibri" w:hAnsi="Times New Roman" w:cs="Times New Roman"/>
      <w:sz w:val="24"/>
      <w:szCs w:val="24"/>
      <w:lang w:val="lt-LT" w:eastAsia="lt-LT"/>
    </w:rPr>
  </w:style>
  <w:style w:type="character" w:customStyle="1" w:styleId="Antrat9Diagrama">
    <w:name w:val="Antraštė 9 Diagrama"/>
    <w:basedOn w:val="Numatytasispastraiposriftas"/>
    <w:link w:val="Antrat9"/>
    <w:semiHidden/>
    <w:rsid w:val="00A046F5"/>
    <w:rPr>
      <w:rFonts w:ascii="Arial" w:eastAsia="Calibri" w:hAnsi="Arial" w:cs="Arial"/>
      <w:lang w:val="lt-LT" w:eastAsia="lt-LT"/>
    </w:rPr>
  </w:style>
  <w:style w:type="numbering" w:customStyle="1" w:styleId="NoList1">
    <w:name w:val="No List1"/>
    <w:next w:val="Sraonra"/>
    <w:uiPriority w:val="99"/>
    <w:semiHidden/>
    <w:unhideWhenUsed/>
    <w:rsid w:val="00A046F5"/>
  </w:style>
  <w:style w:type="character" w:styleId="Hipersaitas">
    <w:name w:val="Hyperlink"/>
    <w:basedOn w:val="Numatytasispastraiposriftas"/>
    <w:unhideWhenUsed/>
    <w:rsid w:val="00A046F5"/>
    <w:rPr>
      <w:rFonts w:ascii="Times New Roman" w:hAnsi="Times New Roman" w:cs="Times New Roman" w:hint="default"/>
      <w:color w:val="0000FF"/>
      <w:u w:val="single"/>
    </w:rPr>
  </w:style>
  <w:style w:type="character" w:styleId="Perirtashipersaitas">
    <w:name w:val="FollowedHyperlink"/>
    <w:basedOn w:val="Numatytasispastraiposriftas"/>
    <w:semiHidden/>
    <w:unhideWhenUsed/>
    <w:rsid w:val="00A046F5"/>
    <w:rPr>
      <w:rFonts w:ascii="Times New Roman" w:hAnsi="Times New Roman" w:cs="Times New Roman" w:hint="default"/>
      <w:color w:val="800080"/>
      <w:u w:val="single"/>
    </w:rPr>
  </w:style>
  <w:style w:type="character" w:styleId="Emfaz">
    <w:name w:val="Emphasis"/>
    <w:basedOn w:val="Numatytasispastraiposriftas"/>
    <w:qFormat/>
    <w:rsid w:val="00A046F5"/>
    <w:rPr>
      <w:rFonts w:ascii="Times New Roman" w:hAnsi="Times New Roman" w:cs="Times New Roman" w:hint="default"/>
      <w:b/>
      <w:bCs/>
      <w:i w:val="0"/>
      <w:iCs w:val="0"/>
    </w:rPr>
  </w:style>
  <w:style w:type="paragraph" w:styleId="Komentarotekstas">
    <w:name w:val="annotation text"/>
    <w:basedOn w:val="prastasis"/>
    <w:link w:val="KomentarotekstasDiagrama"/>
    <w:semiHidden/>
    <w:unhideWhenUsed/>
    <w:rsid w:val="00A046F5"/>
    <w:pPr>
      <w:spacing w:after="0" w:line="240" w:lineRule="auto"/>
    </w:pPr>
    <w:rPr>
      <w:rFonts w:ascii="Times New Roman" w:eastAsia="Calibri"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A046F5"/>
    <w:rPr>
      <w:rFonts w:ascii="Times New Roman" w:eastAsia="Calibri" w:hAnsi="Times New Roman" w:cs="Times New Roman"/>
      <w:sz w:val="20"/>
      <w:szCs w:val="20"/>
      <w:lang w:val="lt-LT" w:eastAsia="lt-LT"/>
    </w:rPr>
  </w:style>
  <w:style w:type="paragraph" w:styleId="Antrats">
    <w:name w:val="header"/>
    <w:basedOn w:val="prastasis"/>
    <w:link w:val="AntratsDiagrama"/>
    <w:semiHidden/>
    <w:unhideWhenUsed/>
    <w:rsid w:val="00A046F5"/>
    <w:pPr>
      <w:tabs>
        <w:tab w:val="center" w:pos="4320"/>
        <w:tab w:val="right" w:pos="8640"/>
      </w:tabs>
      <w:spacing w:after="0" w:line="240" w:lineRule="auto"/>
    </w:pPr>
    <w:rPr>
      <w:rFonts w:ascii="Times New Roman" w:eastAsia="Calibri" w:hAnsi="Times New Roman" w:cs="Times New Roman"/>
      <w:szCs w:val="20"/>
      <w:lang w:val="lt-LT" w:eastAsia="lt-LT"/>
    </w:rPr>
  </w:style>
  <w:style w:type="character" w:customStyle="1" w:styleId="AntratsDiagrama">
    <w:name w:val="Antraštės Diagrama"/>
    <w:basedOn w:val="Numatytasispastraiposriftas"/>
    <w:link w:val="Antrats"/>
    <w:semiHidden/>
    <w:rsid w:val="00A046F5"/>
    <w:rPr>
      <w:rFonts w:ascii="Times New Roman" w:eastAsia="Calibri" w:hAnsi="Times New Roman" w:cs="Times New Roman"/>
      <w:szCs w:val="20"/>
      <w:lang w:val="lt-LT" w:eastAsia="lt-LT"/>
    </w:rPr>
  </w:style>
  <w:style w:type="paragraph" w:styleId="Porat">
    <w:name w:val="footer"/>
    <w:basedOn w:val="prastasis"/>
    <w:link w:val="PoratDiagrama"/>
    <w:semiHidden/>
    <w:unhideWhenUsed/>
    <w:rsid w:val="00A046F5"/>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semiHidden/>
    <w:rsid w:val="00A046F5"/>
    <w:rPr>
      <w:rFonts w:ascii="Times New Roman" w:eastAsia="Calibri" w:hAnsi="Times New Roman" w:cs="Times New Roman"/>
      <w:szCs w:val="20"/>
      <w:lang w:val="lt-LT" w:eastAsia="lt-LT"/>
    </w:rPr>
  </w:style>
  <w:style w:type="paragraph" w:styleId="Pavadinimas">
    <w:name w:val="Title"/>
    <w:basedOn w:val="prastasis"/>
    <w:link w:val="PavadinimasDiagrama"/>
    <w:autoRedefine/>
    <w:qFormat/>
    <w:rsid w:val="00A046F5"/>
    <w:pPr>
      <w:spacing w:after="0" w:line="240" w:lineRule="auto"/>
      <w:jc w:val="center"/>
      <w:outlineLvl w:val="0"/>
    </w:pPr>
    <w:rPr>
      <w:rFonts w:ascii="Times New Roman" w:eastAsia="Calibri"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046F5"/>
    <w:rPr>
      <w:rFonts w:ascii="Times New Roman" w:eastAsia="Calibri"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A046F5"/>
    <w:pPr>
      <w:spacing w:after="120" w:line="240" w:lineRule="auto"/>
    </w:pPr>
    <w:rPr>
      <w:rFonts w:ascii="Times New Roman" w:eastAsia="Calibri" w:hAnsi="Times New Roman" w:cs="Times New Roman"/>
      <w:szCs w:val="20"/>
      <w:lang w:val="lt-LT" w:eastAsia="lt-LT"/>
    </w:rPr>
  </w:style>
  <w:style w:type="character" w:customStyle="1" w:styleId="PagrindinistekstasDiagrama">
    <w:name w:val="Pagrindinis tekstas Diagrama"/>
    <w:basedOn w:val="Numatytasispastraiposriftas"/>
    <w:link w:val="Pagrindinistekstas"/>
    <w:semiHidden/>
    <w:rsid w:val="00A046F5"/>
    <w:rPr>
      <w:rFonts w:ascii="Times New Roman" w:eastAsia="Calibri"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A046F5"/>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A046F5"/>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semiHidden/>
    <w:unhideWhenUsed/>
    <w:rsid w:val="00A046F5"/>
    <w:pPr>
      <w:spacing w:after="0" w:line="240" w:lineRule="auto"/>
      <w:jc w:val="both"/>
    </w:pPr>
    <w:rPr>
      <w:rFonts w:ascii="Times New Roman" w:eastAsia="Calibri"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semiHidden/>
    <w:rsid w:val="00A046F5"/>
    <w:rPr>
      <w:rFonts w:ascii="Times New Roman" w:eastAsia="Calibri" w:hAnsi="Times New Roman" w:cs="Times New Roman"/>
      <w:szCs w:val="20"/>
      <w:lang w:val="lt-LT" w:eastAsia="lt-LT"/>
    </w:rPr>
  </w:style>
  <w:style w:type="paragraph" w:styleId="Pagrindiniotekstotrauka2">
    <w:name w:val="Body Text Indent 2"/>
    <w:basedOn w:val="prastasis"/>
    <w:link w:val="Pagrindiniotekstotrauka2Diagrama"/>
    <w:semiHidden/>
    <w:unhideWhenUsed/>
    <w:rsid w:val="00A046F5"/>
    <w:pPr>
      <w:spacing w:after="120" w:line="480" w:lineRule="auto"/>
      <w:ind w:left="283"/>
    </w:pPr>
    <w:rPr>
      <w:rFonts w:ascii="Times New Roman" w:eastAsia="Calibri" w:hAnsi="Times New Roman" w:cs="Times New Roman"/>
      <w:szCs w:val="20"/>
      <w:lang w:val="lt-LT" w:eastAsia="lt-LT"/>
    </w:rPr>
  </w:style>
  <w:style w:type="character" w:customStyle="1" w:styleId="Pagrindiniotekstotrauka2Diagrama">
    <w:name w:val="Pagrindinio teksto įtrauka 2 Diagrama"/>
    <w:basedOn w:val="Numatytasispastraiposriftas"/>
    <w:link w:val="Pagrindiniotekstotrauka2"/>
    <w:semiHidden/>
    <w:rsid w:val="00A046F5"/>
    <w:rPr>
      <w:rFonts w:ascii="Times New Roman" w:eastAsia="Calibri" w:hAnsi="Times New Roman" w:cs="Times New Roman"/>
      <w:szCs w:val="20"/>
      <w:lang w:val="lt-LT" w:eastAsia="lt-LT"/>
    </w:rPr>
  </w:style>
  <w:style w:type="paragraph" w:styleId="Komentarotema">
    <w:name w:val="annotation subject"/>
    <w:basedOn w:val="Komentarotekstas"/>
    <w:next w:val="Komentarotekstas"/>
    <w:link w:val="KomentarotemaDiagrama"/>
    <w:semiHidden/>
    <w:unhideWhenUsed/>
    <w:rsid w:val="00A046F5"/>
    <w:rPr>
      <w:b/>
      <w:bCs/>
    </w:rPr>
  </w:style>
  <w:style w:type="character" w:customStyle="1" w:styleId="KomentarotemaDiagrama">
    <w:name w:val="Komentaro tema Diagrama"/>
    <w:basedOn w:val="KomentarotekstasDiagrama"/>
    <w:link w:val="Komentarotema"/>
    <w:semiHidden/>
    <w:rsid w:val="00A046F5"/>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A046F5"/>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A046F5"/>
    <w:rPr>
      <w:rFonts w:ascii="Tahoma" w:eastAsia="Calibri" w:hAnsi="Tahoma" w:cs="Tahoma"/>
      <w:sz w:val="16"/>
      <w:szCs w:val="16"/>
      <w:lang w:val="lt-LT" w:eastAsia="lt-LT"/>
    </w:rPr>
  </w:style>
  <w:style w:type="paragraph" w:styleId="Pataisymai">
    <w:name w:val="Revision"/>
    <w:semiHidden/>
    <w:rsid w:val="00A046F5"/>
    <w:pPr>
      <w:spacing w:after="0" w:line="240" w:lineRule="auto"/>
    </w:pPr>
    <w:rPr>
      <w:rFonts w:ascii="Times New Roman" w:eastAsia="Calibri" w:hAnsi="Times New Roman" w:cs="Times New Roman"/>
      <w:szCs w:val="20"/>
      <w:lang w:val="lt-LT" w:eastAsia="lt-LT"/>
    </w:rPr>
  </w:style>
  <w:style w:type="character" w:customStyle="1" w:styleId="TTEMEASMCAChar">
    <w:name w:val="TT EMEA_SMCA Char"/>
    <w:basedOn w:val="Numatytasispastraiposriftas"/>
    <w:link w:val="TTEMEASMCA"/>
    <w:locked/>
    <w:rsid w:val="00A046F5"/>
    <w:rPr>
      <w:rFonts w:ascii="Times New Roman" w:hAnsi="Times New Roman" w:cs="Times New Roman"/>
      <w:b/>
      <w:caps/>
    </w:rPr>
  </w:style>
  <w:style w:type="paragraph" w:customStyle="1" w:styleId="TTEMEASMCA">
    <w:name w:val="TT EMEA_SMCA"/>
    <w:basedOn w:val="Antrat1"/>
    <w:link w:val="TTEMEASMCAChar"/>
    <w:autoRedefine/>
    <w:rsid w:val="00A046F5"/>
    <w:pPr>
      <w:keepNext w:val="0"/>
      <w:tabs>
        <w:tab w:val="left" w:pos="567"/>
      </w:tabs>
      <w:ind w:left="567" w:hanging="567"/>
      <w:jc w:val="center"/>
    </w:pPr>
    <w:rPr>
      <w:rFonts w:eastAsiaTheme="minorHAnsi"/>
      <w:bCs w:val="0"/>
      <w:iCs w:val="0"/>
      <w:caps/>
      <w:szCs w:val="22"/>
      <w:lang w:val="en-US" w:eastAsia="en-US"/>
    </w:rPr>
  </w:style>
  <w:style w:type="paragraph" w:customStyle="1" w:styleId="PI-2EMEASMCA">
    <w:name w:val="PI-2 EMEA_SMCA"/>
    <w:basedOn w:val="Antrat3"/>
    <w:autoRedefine/>
    <w:rsid w:val="00A046F5"/>
    <w:pPr>
      <w:keepLines/>
      <w:tabs>
        <w:tab w:val="left" w:pos="567"/>
      </w:tabs>
    </w:pPr>
    <w:rPr>
      <w:kern w:val="28"/>
      <w:lang w:eastAsia="en-US"/>
    </w:rPr>
  </w:style>
  <w:style w:type="character" w:customStyle="1" w:styleId="BTEMEASMCAChar">
    <w:name w:val="BT EMEA_SMCA Char"/>
    <w:basedOn w:val="Numatytasispastraiposriftas"/>
    <w:link w:val="BTEMEASMCA"/>
    <w:locked/>
    <w:rsid w:val="00A046F5"/>
    <w:rPr>
      <w:rFonts w:ascii="Times New Roman" w:hAnsi="Times New Roman" w:cs="Times New Roman"/>
      <w:noProof/>
      <w:lang w:val="lt-LT"/>
    </w:rPr>
  </w:style>
  <w:style w:type="paragraph" w:customStyle="1" w:styleId="BTEMEASMCA">
    <w:name w:val="BT EMEA_SMCA"/>
    <w:basedOn w:val="prastasis"/>
    <w:link w:val="BTEMEASMCAChar"/>
    <w:autoRedefine/>
    <w:rsid w:val="00A046F5"/>
    <w:pPr>
      <w:spacing w:after="0" w:line="240" w:lineRule="auto"/>
    </w:pPr>
    <w:rPr>
      <w:rFonts w:ascii="Times New Roman" w:hAnsi="Times New Roman" w:cs="Times New Roman"/>
      <w:noProof/>
      <w:lang w:val="lt-LT"/>
    </w:rPr>
  </w:style>
  <w:style w:type="paragraph" w:customStyle="1" w:styleId="BayerTableRowHeadings">
    <w:name w:val="Bayer Table Row Headings"/>
    <w:basedOn w:val="prastasis"/>
    <w:rsid w:val="00A046F5"/>
    <w:pPr>
      <w:keepNext/>
      <w:widowControl w:val="0"/>
      <w:spacing w:after="0" w:line="240" w:lineRule="auto"/>
    </w:pPr>
    <w:rPr>
      <w:rFonts w:ascii="Times New Roman" w:eastAsia="Calibri" w:hAnsi="Times New Roman" w:cs="Times New Roman"/>
      <w:szCs w:val="20"/>
    </w:rPr>
  </w:style>
  <w:style w:type="paragraph" w:customStyle="1" w:styleId="BayerTableColumnHeadings">
    <w:name w:val="Bayer Table Column Headings"/>
    <w:basedOn w:val="prastasis"/>
    <w:rsid w:val="00A046F5"/>
    <w:pPr>
      <w:spacing w:after="0" w:line="240" w:lineRule="auto"/>
      <w:jc w:val="center"/>
    </w:pPr>
    <w:rPr>
      <w:rFonts w:ascii="Times New Roman" w:eastAsia="Calibri" w:hAnsi="Times New Roman" w:cs="Times New Roman"/>
      <w:b/>
      <w:szCs w:val="20"/>
    </w:rPr>
  </w:style>
  <w:style w:type="paragraph" w:customStyle="1" w:styleId="BayerTableStyleLeftJustified">
    <w:name w:val="Bayer TableStyle Left Justified"/>
    <w:basedOn w:val="prastasis"/>
    <w:rsid w:val="00A046F5"/>
    <w:pPr>
      <w:keepNext/>
      <w:widowControl w:val="0"/>
      <w:spacing w:after="0" w:line="240" w:lineRule="auto"/>
    </w:pPr>
    <w:rPr>
      <w:rFonts w:ascii="Times New Roman" w:eastAsia="Calibri" w:hAnsi="Times New Roman" w:cs="Times New Roman"/>
      <w:szCs w:val="20"/>
    </w:rPr>
  </w:style>
  <w:style w:type="character" w:customStyle="1" w:styleId="GlobalBayerBodyTextChar">
    <w:name w:val="Global Bayer Body Text Char"/>
    <w:basedOn w:val="Numatytasispastraiposriftas"/>
    <w:link w:val="GlobalBayerBodyText"/>
    <w:locked/>
    <w:rsid w:val="00A046F5"/>
    <w:rPr>
      <w:rFonts w:ascii="Times New Roman" w:hAnsi="Times New Roman" w:cs="Times New Roman"/>
      <w:lang w:val="x-none" w:eastAsia="de-DE"/>
    </w:rPr>
  </w:style>
  <w:style w:type="paragraph" w:customStyle="1" w:styleId="GlobalBayerBodyText">
    <w:name w:val="Global Bayer Body Text"/>
    <w:basedOn w:val="prastasis"/>
    <w:link w:val="GlobalBayerBodyTextChar"/>
    <w:rsid w:val="00A046F5"/>
    <w:pPr>
      <w:tabs>
        <w:tab w:val="left" w:pos="11174"/>
        <w:tab w:val="left" w:pos="15142"/>
      </w:tabs>
      <w:suppressAutoHyphens/>
      <w:spacing w:before="120" w:after="240" w:line="240" w:lineRule="auto"/>
    </w:pPr>
    <w:rPr>
      <w:rFonts w:ascii="Times New Roman" w:hAnsi="Times New Roman" w:cs="Times New Roman"/>
      <w:lang w:val="x-none" w:eastAsia="de-DE"/>
    </w:rPr>
  </w:style>
  <w:style w:type="paragraph" w:customStyle="1" w:styleId="berschrift10">
    <w:name w:val="Überschrift 10"/>
    <w:basedOn w:val="Antrat9"/>
    <w:rsid w:val="00A046F5"/>
    <w:pPr>
      <w:keepNext/>
      <w:tabs>
        <w:tab w:val="num" w:pos="726"/>
      </w:tabs>
      <w:snapToGrid w:val="0"/>
      <w:spacing w:before="20" w:after="120"/>
      <w:ind w:left="726" w:hanging="726"/>
      <w:outlineLvl w:val="9"/>
    </w:pPr>
    <w:rPr>
      <w:rFonts w:ascii="Helvetica" w:hAnsi="Helvetica" w:cs="Times New Roman"/>
      <w:u w:val="single"/>
      <w:lang w:val="en-US"/>
    </w:rPr>
  </w:style>
  <w:style w:type="paragraph" w:customStyle="1" w:styleId="Bullet0s">
    <w:name w:val="Bullet:0:s"/>
    <w:basedOn w:val="prastasis"/>
    <w:rsid w:val="00A046F5"/>
    <w:pPr>
      <w:numPr>
        <w:numId w:val="1"/>
      </w:numPr>
      <w:spacing w:after="0" w:line="240" w:lineRule="auto"/>
    </w:pPr>
    <w:rPr>
      <w:rFonts w:ascii="Times New Roman" w:eastAsia="Calibri" w:hAnsi="Times New Roman" w:cs="Times New Roman"/>
      <w:szCs w:val="20"/>
      <w:lang w:val="lt-LT" w:eastAsia="lt-LT"/>
    </w:rPr>
  </w:style>
  <w:style w:type="character" w:customStyle="1" w:styleId="BayerBodyTextFullChar">
    <w:name w:val="Bayer Body Text Full Char"/>
    <w:basedOn w:val="Numatytasispastraiposriftas"/>
    <w:link w:val="BayerBodyTextFull"/>
    <w:locked/>
    <w:rsid w:val="00A046F5"/>
    <w:rPr>
      <w:rFonts w:ascii="Times New Roman" w:hAnsi="Times New Roman" w:cs="Times New Roman"/>
      <w:sz w:val="24"/>
    </w:rPr>
  </w:style>
  <w:style w:type="paragraph" w:customStyle="1" w:styleId="BayerBodyTextFull">
    <w:name w:val="Bayer Body Text Full"/>
    <w:basedOn w:val="prastasis"/>
    <w:link w:val="BayerBodyTextFullChar"/>
    <w:rsid w:val="00A046F5"/>
    <w:pPr>
      <w:spacing w:before="120" w:after="120" w:line="240" w:lineRule="auto"/>
    </w:pPr>
    <w:rPr>
      <w:rFonts w:ascii="Times New Roman" w:hAnsi="Times New Roman" w:cs="Times New Roman"/>
      <w:sz w:val="24"/>
    </w:rPr>
  </w:style>
  <w:style w:type="character" w:styleId="Komentaronuoroda">
    <w:name w:val="annotation reference"/>
    <w:basedOn w:val="Numatytasispastraiposriftas"/>
    <w:semiHidden/>
    <w:unhideWhenUsed/>
    <w:rsid w:val="00A046F5"/>
    <w:rPr>
      <w:rFonts w:ascii="Times New Roman" w:hAnsi="Times New Roman" w:cs="Times New Roman" w:hint="default"/>
      <w:sz w:val="16"/>
      <w:szCs w:val="16"/>
    </w:rPr>
  </w:style>
  <w:style w:type="character" w:styleId="Puslapionumeris">
    <w:name w:val="page number"/>
    <w:basedOn w:val="Numatytasispastraiposriftas"/>
    <w:semiHidden/>
    <w:unhideWhenUsed/>
    <w:rsid w:val="00A046F5"/>
    <w:rPr>
      <w:rFonts w:ascii="Times New Roman" w:hAnsi="Times New Roman" w:cs="Times New Roman" w:hint="default"/>
    </w:rPr>
  </w:style>
  <w:style w:type="character" w:customStyle="1" w:styleId="hps">
    <w:name w:val="hps"/>
    <w:basedOn w:val="Numatytasispastraiposriftas"/>
    <w:rsid w:val="00A046F5"/>
    <w:rPr>
      <w:rFonts w:ascii="Times New Roman" w:hAnsi="Times New Roman" w:cs="Times New Roman" w:hint="default"/>
    </w:rPr>
  </w:style>
  <w:style w:type="character" w:customStyle="1" w:styleId="hpsatn">
    <w:name w:val="hps atn"/>
    <w:basedOn w:val="Numatytasispastraiposriftas"/>
    <w:rsid w:val="00A046F5"/>
    <w:rPr>
      <w:rFonts w:ascii="Times New Roman" w:hAnsi="Times New Roman" w:cs="Times New Roman" w:hint="default"/>
    </w:rPr>
  </w:style>
  <w:style w:type="character" w:customStyle="1" w:styleId="atn">
    <w:name w:val="atn"/>
    <w:basedOn w:val="Numatytasispastraiposriftas"/>
    <w:rsid w:val="00A046F5"/>
    <w:rPr>
      <w:rFonts w:ascii="Times New Roman" w:hAnsi="Times New Roman" w:cs="Times New Roman" w:hint="default"/>
    </w:rPr>
  </w:style>
  <w:style w:type="character" w:customStyle="1" w:styleId="CharChar">
    <w:name w:val="Char Char"/>
    <w:basedOn w:val="Numatytasispastraiposriftas"/>
    <w:semiHidden/>
    <w:locked/>
    <w:rsid w:val="00A046F5"/>
    <w:rPr>
      <w:rFonts w:ascii="Times New Roman" w:hAnsi="Times New Roman" w:cs="Times New Roman" w:hint="default"/>
      <w:sz w:val="22"/>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05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38238</Words>
  <Characters>21797</Characters>
  <Application>Microsoft Office Word</Application>
  <DocSecurity>8</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Bayer</Company>
  <LinksUpToDate>false</LinksUpToDate>
  <CharactersWithSpaces>59916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Petruskeviciene</dc:creator>
  <cp:keywords/>
  <dc:description/>
  <cp:lastModifiedBy>Albina Burkauskaitė</cp:lastModifiedBy>
  <cp:revision>2</cp:revision>
  <dcterms:created xsi:type="dcterms:W3CDTF">2017-10-13T10:34:00Z</dcterms:created>
  <dcterms:modified xsi:type="dcterms:W3CDTF">2017-10-13T10:34:00Z</dcterms:modified>
</cp:coreProperties>
</file>