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23E" w:rsidRPr="008245D3" w:rsidRDefault="0079123E" w:rsidP="0079123E">
      <w:pPr>
        <w:pStyle w:val="TTEMEASMCA"/>
      </w:pPr>
      <w:bookmarkStart w:id="0" w:name="_Toc129243138"/>
      <w:bookmarkStart w:id="1" w:name="_Toc129243263"/>
      <w:r w:rsidRPr="008245D3">
        <w:t>Pakuotės lapelis: informacija vartotojui</w:t>
      </w:r>
      <w:bookmarkEnd w:id="0"/>
      <w:bookmarkEnd w:id="1"/>
    </w:p>
    <w:p w:rsidR="0079123E" w:rsidRPr="00EF3181" w:rsidRDefault="0079123E" w:rsidP="0079123E">
      <w:pPr>
        <w:pStyle w:val="TTEMEASMCA"/>
      </w:pPr>
    </w:p>
    <w:p w:rsidR="0079123E" w:rsidRDefault="0079123E" w:rsidP="0079123E">
      <w:pPr>
        <w:pStyle w:val="Pagrindinistekstas"/>
        <w:spacing w:after="0"/>
        <w:jc w:val="center"/>
        <w:rPr>
          <w:b/>
          <w:szCs w:val="22"/>
        </w:rPr>
      </w:pPr>
      <w:r w:rsidRPr="00EF3181">
        <w:rPr>
          <w:b/>
          <w:szCs w:val="22"/>
        </w:rPr>
        <w:t>Brontex</w:t>
      </w:r>
      <w:r>
        <w:rPr>
          <w:b/>
          <w:szCs w:val="22"/>
        </w:rPr>
        <w:t> </w:t>
      </w:r>
      <w:r w:rsidRPr="00EF3181">
        <w:rPr>
          <w:b/>
          <w:szCs w:val="22"/>
        </w:rPr>
        <w:t>15 mg/5</w:t>
      </w:r>
      <w:r>
        <w:rPr>
          <w:b/>
          <w:szCs w:val="22"/>
        </w:rPr>
        <w:t> </w:t>
      </w:r>
      <w:r w:rsidRPr="00EF3181">
        <w:rPr>
          <w:b/>
          <w:szCs w:val="22"/>
        </w:rPr>
        <w:t>ml sirupas</w:t>
      </w:r>
    </w:p>
    <w:p w:rsidR="0079123E" w:rsidRPr="00646F48" w:rsidRDefault="0079123E" w:rsidP="0079123E">
      <w:pPr>
        <w:pStyle w:val="Pagrindinistekstas"/>
        <w:spacing w:after="0"/>
        <w:jc w:val="center"/>
        <w:rPr>
          <w:bCs/>
          <w:szCs w:val="22"/>
        </w:rPr>
      </w:pPr>
      <w:r w:rsidRPr="00646F48">
        <w:rPr>
          <w:bCs/>
          <w:szCs w:val="22"/>
        </w:rPr>
        <w:t>ambroksolio hidrochloridas</w:t>
      </w:r>
    </w:p>
    <w:p w:rsidR="0079123E" w:rsidRPr="00EF3181" w:rsidRDefault="0079123E" w:rsidP="0079123E">
      <w:pPr>
        <w:pStyle w:val="BTEMEASMCA"/>
      </w:pPr>
    </w:p>
    <w:p w:rsidR="0079123E" w:rsidRPr="00EF3181" w:rsidRDefault="0079123E" w:rsidP="0079123E">
      <w:pPr>
        <w:pStyle w:val="BTEMEASMCA"/>
      </w:pPr>
    </w:p>
    <w:p w:rsidR="0079123E" w:rsidRPr="00EF3181" w:rsidRDefault="0079123E" w:rsidP="0079123E">
      <w:pPr>
        <w:pStyle w:val="BTEMEASMCA"/>
      </w:pPr>
    </w:p>
    <w:p w:rsidR="0079123E" w:rsidRPr="00EF3181" w:rsidRDefault="0079123E" w:rsidP="0079123E">
      <w:pPr>
        <w:pStyle w:val="BTbEMEASMCA"/>
      </w:pPr>
      <w:r w:rsidRPr="00EF3181">
        <w:t>Atidžiai perskaitykite visą šį lapelį, prieš pradėdami vartoti vaistą, nes jame pateikiama Jums svarbi informacija.</w:t>
      </w:r>
    </w:p>
    <w:p w:rsidR="0079123E" w:rsidRPr="00EF3181" w:rsidRDefault="0079123E" w:rsidP="0079123E">
      <w:pPr>
        <w:pStyle w:val="BTEMEASMCA"/>
      </w:pPr>
      <w:r w:rsidRPr="00EF3181">
        <w:t>Visada vartokite šį vaistą tiksliai kaip aprašyta šiame lapelyje arba kaip nurodė gydytojas arba vaistininkas.</w:t>
      </w:r>
    </w:p>
    <w:p w:rsidR="0079123E" w:rsidRPr="00EF3181" w:rsidRDefault="0079123E" w:rsidP="0079123E">
      <w:pPr>
        <w:pStyle w:val="BT-EMEASMCA"/>
      </w:pPr>
      <w:r w:rsidRPr="00EF3181">
        <w:t>Neišmeskite šio lapelio, nes vėl gali prireikti jį perskaityti.</w:t>
      </w:r>
    </w:p>
    <w:p w:rsidR="0079123E" w:rsidRPr="00EF3181" w:rsidRDefault="0079123E" w:rsidP="0079123E">
      <w:pPr>
        <w:pStyle w:val="BT-EMEASMCA"/>
      </w:pPr>
      <w:r w:rsidRPr="00EF3181">
        <w:t>Jeigu norite sužinoti daugiau arba pasitarti, kreipkitės į vaistininką.</w:t>
      </w:r>
    </w:p>
    <w:p w:rsidR="0079123E" w:rsidRPr="00EF3181" w:rsidRDefault="0079123E" w:rsidP="0079123E">
      <w:pPr>
        <w:pStyle w:val="BT-EMEASMCA"/>
      </w:pPr>
      <w:r w:rsidRPr="00EF3181">
        <w:t>Jeigu pasireiškė šalutinis poveikis (net jeigu jis šiame lapelyje nenurodytas), kreipkitės į gydytoją arba vaistininką. Žr. 4 skyrių.</w:t>
      </w:r>
    </w:p>
    <w:p w:rsidR="0079123E" w:rsidRPr="00EF3181" w:rsidRDefault="0079123E" w:rsidP="0079123E">
      <w:pPr>
        <w:pStyle w:val="BT-EMEASMCA"/>
      </w:pPr>
      <w:r w:rsidRPr="00EF3181">
        <w:t>Jeigu per 4-5 dienas Jūsų savijauta nepagerėjo arba net pablogėjo, kreipkitės į gydytoją.</w:t>
      </w:r>
    </w:p>
    <w:p w:rsidR="0079123E" w:rsidRPr="00EF3181" w:rsidRDefault="0079123E" w:rsidP="0079123E">
      <w:pPr>
        <w:pStyle w:val="BTEMEASMCA"/>
      </w:pPr>
    </w:p>
    <w:p w:rsidR="0079123E" w:rsidRPr="000E1D6D" w:rsidRDefault="0079123E" w:rsidP="0079123E">
      <w:pPr>
        <w:pStyle w:val="Antrat4"/>
        <w:spacing w:before="0"/>
        <w:rPr>
          <w:rFonts w:ascii="Times New Roman" w:hAnsi="Times New Roman"/>
          <w:i w:val="0"/>
          <w:color w:val="auto"/>
          <w:sz w:val="22"/>
        </w:rPr>
      </w:pPr>
      <w:r w:rsidRPr="000E1D6D">
        <w:rPr>
          <w:rFonts w:ascii="Times New Roman" w:hAnsi="Times New Roman"/>
          <w:i w:val="0"/>
          <w:color w:val="auto"/>
          <w:sz w:val="22"/>
        </w:rPr>
        <w:t>Apie ką rašoma šiame lapelyje?</w:t>
      </w:r>
    </w:p>
    <w:p w:rsidR="0079123E" w:rsidRPr="00EF3181" w:rsidRDefault="0079123E" w:rsidP="0079123E">
      <w:pPr>
        <w:pStyle w:val="BTEMEASMCA"/>
      </w:pPr>
      <w:r w:rsidRPr="00EF3181">
        <w:t>1.</w:t>
      </w:r>
      <w:r w:rsidRPr="00EF3181">
        <w:tab/>
        <w:t>Kas yra Brontex ir kam jis vartojamas</w:t>
      </w:r>
    </w:p>
    <w:p w:rsidR="0079123E" w:rsidRPr="00EF3181" w:rsidRDefault="0079123E" w:rsidP="0079123E">
      <w:pPr>
        <w:pStyle w:val="BTEMEASMCA"/>
      </w:pPr>
      <w:r w:rsidRPr="00EF3181">
        <w:t>2.</w:t>
      </w:r>
      <w:r w:rsidRPr="00EF3181">
        <w:tab/>
        <w:t>Kas žinotina prieš vartojant Brontex</w:t>
      </w:r>
    </w:p>
    <w:p w:rsidR="0079123E" w:rsidRPr="00EF3181" w:rsidRDefault="0079123E" w:rsidP="0079123E">
      <w:pPr>
        <w:pStyle w:val="BTEMEASMCA"/>
      </w:pPr>
      <w:r w:rsidRPr="00EF3181">
        <w:t>3.</w:t>
      </w:r>
      <w:r w:rsidRPr="00EF3181">
        <w:tab/>
        <w:t>Kaip vartoti Brontex</w:t>
      </w:r>
    </w:p>
    <w:p w:rsidR="0079123E" w:rsidRPr="00EF3181" w:rsidRDefault="0079123E" w:rsidP="0079123E">
      <w:pPr>
        <w:pStyle w:val="BTEMEASMCA"/>
      </w:pPr>
      <w:r w:rsidRPr="00EF3181">
        <w:t>4.</w:t>
      </w:r>
      <w:r w:rsidRPr="00EF3181">
        <w:tab/>
        <w:t>Galimas šalutinis poveikis</w:t>
      </w:r>
    </w:p>
    <w:p w:rsidR="0079123E" w:rsidRPr="00EF3181" w:rsidRDefault="0079123E" w:rsidP="0079123E">
      <w:pPr>
        <w:pStyle w:val="BTEMEASMCA"/>
      </w:pPr>
      <w:r w:rsidRPr="00EF3181">
        <w:t>5.</w:t>
      </w:r>
      <w:r w:rsidRPr="00EF3181">
        <w:tab/>
        <w:t>Kaip laikyti Brontex</w:t>
      </w:r>
    </w:p>
    <w:p w:rsidR="0079123E" w:rsidRPr="00EF3181" w:rsidRDefault="0079123E" w:rsidP="0079123E">
      <w:pPr>
        <w:pStyle w:val="BTEMEASMCA"/>
      </w:pPr>
      <w:r w:rsidRPr="00EF3181">
        <w:t>6.</w:t>
      </w:r>
      <w:r w:rsidRPr="00EF3181">
        <w:tab/>
        <w:t>Pakuotės turinys ir kita informacija</w:t>
      </w:r>
    </w:p>
    <w:p w:rsidR="0079123E" w:rsidRPr="00EF3181" w:rsidRDefault="0079123E" w:rsidP="0079123E">
      <w:pPr>
        <w:pStyle w:val="BTEMEASMCA"/>
      </w:pPr>
    </w:p>
    <w:p w:rsidR="0079123E" w:rsidRPr="00EF3181" w:rsidRDefault="0079123E" w:rsidP="0079123E">
      <w:pPr>
        <w:pStyle w:val="BTEMEASMCA"/>
      </w:pPr>
    </w:p>
    <w:p w:rsidR="0079123E" w:rsidRPr="00EF3181" w:rsidRDefault="0079123E" w:rsidP="0079123E">
      <w:pPr>
        <w:pStyle w:val="PI-1EMEASMCA"/>
      </w:pPr>
      <w:bookmarkStart w:id="2" w:name="_Toc129243139"/>
      <w:bookmarkStart w:id="3" w:name="_Toc129243264"/>
      <w:r w:rsidRPr="00EF3181">
        <w:t>1.</w:t>
      </w:r>
      <w:r w:rsidRPr="00EF3181">
        <w:tab/>
        <w:t>Kas yra Brontex ir kam jis vartojamas</w:t>
      </w:r>
      <w:bookmarkEnd w:id="2"/>
      <w:bookmarkEnd w:id="3"/>
    </w:p>
    <w:p w:rsidR="0079123E" w:rsidRPr="00EF3181" w:rsidRDefault="0079123E" w:rsidP="0079123E">
      <w:pPr>
        <w:pStyle w:val="BTEMEASMCA"/>
      </w:pPr>
    </w:p>
    <w:p w:rsidR="0079123E" w:rsidRPr="00EF3181" w:rsidRDefault="0079123E" w:rsidP="0079123E">
      <w:pPr>
        <w:pStyle w:val="BTEMEASMCA"/>
      </w:pPr>
      <w:r w:rsidRPr="0018262C">
        <w:t>Brontex vartojamas atsikosėjimui lengvinti, sergant ūminėmis bei lėtinėmis bronchų ir plaučių ligomis, kurių metu susidaro tąsaus sekreto.</w:t>
      </w:r>
    </w:p>
    <w:p w:rsidR="0079123E" w:rsidRPr="00EF3181" w:rsidRDefault="0079123E" w:rsidP="0079123E">
      <w:pPr>
        <w:pStyle w:val="BTEMEASMCA"/>
      </w:pPr>
      <w:r w:rsidRPr="00EF3181">
        <w:t>Jeigu per 4-5 dienas Jūsų savijauta nepagerėjo arba net pablogėjo, kreipkitės į gydytoją.</w:t>
      </w:r>
    </w:p>
    <w:p w:rsidR="0079123E" w:rsidRDefault="0079123E" w:rsidP="0079123E">
      <w:pPr>
        <w:pStyle w:val="BTEMEASMCA"/>
        <w:rPr>
          <w:lang w:val="lt-LT"/>
        </w:rPr>
      </w:pPr>
    </w:p>
    <w:p w:rsidR="0079123E" w:rsidRPr="00646F48" w:rsidRDefault="0079123E" w:rsidP="0079123E">
      <w:pPr>
        <w:pStyle w:val="BTEMEASMCA"/>
        <w:rPr>
          <w:lang w:val="lt-LT"/>
        </w:rPr>
      </w:pPr>
    </w:p>
    <w:p w:rsidR="0079123E" w:rsidRPr="00EF3181" w:rsidRDefault="0079123E" w:rsidP="0079123E">
      <w:pPr>
        <w:pStyle w:val="PI-1EMEASMCA"/>
      </w:pPr>
      <w:bookmarkStart w:id="4" w:name="_Toc129243140"/>
      <w:bookmarkStart w:id="5" w:name="_Toc129243265"/>
      <w:r w:rsidRPr="00EF3181">
        <w:t>2.</w:t>
      </w:r>
      <w:r w:rsidRPr="00EF3181">
        <w:tab/>
        <w:t xml:space="preserve">Kas žinotina prieš vartojant </w:t>
      </w:r>
      <w:bookmarkEnd w:id="4"/>
      <w:bookmarkEnd w:id="5"/>
      <w:r w:rsidRPr="00EF3181">
        <w:t>Brontex</w:t>
      </w:r>
    </w:p>
    <w:p w:rsidR="0079123E" w:rsidRPr="00EF3181" w:rsidRDefault="0079123E" w:rsidP="0079123E">
      <w:pPr>
        <w:pStyle w:val="BTEMEASMCA"/>
      </w:pPr>
    </w:p>
    <w:p w:rsidR="0079123E" w:rsidRPr="00EF3181" w:rsidRDefault="0079123E" w:rsidP="0079123E">
      <w:pPr>
        <w:pStyle w:val="PI-3EMEASMCA"/>
        <w:spacing w:line="240" w:lineRule="auto"/>
      </w:pPr>
      <w:r w:rsidRPr="00EF3181">
        <w:t xml:space="preserve">Brontex vartoti </w:t>
      </w:r>
      <w:r>
        <w:t>draudžiama</w:t>
      </w:r>
      <w:r w:rsidRPr="00EF3181">
        <w:t>:</w:t>
      </w:r>
    </w:p>
    <w:p w:rsidR="0079123E" w:rsidRPr="00EF3181" w:rsidRDefault="0079123E" w:rsidP="0079123E">
      <w:pPr>
        <w:pStyle w:val="BT-EMEASMCA"/>
      </w:pPr>
      <w:r w:rsidRPr="00EF3181">
        <w:t xml:space="preserve">jeigu yra alergija </w:t>
      </w:r>
      <w:r>
        <w:t xml:space="preserve">veikliajai medžiagai </w:t>
      </w:r>
      <w:r w:rsidRPr="00EF3181">
        <w:t xml:space="preserve">arba bet kuriai pagalbinei </w:t>
      </w:r>
      <w:r>
        <w:t>šio vaisto</w:t>
      </w:r>
      <w:r w:rsidRPr="00EF3181">
        <w:t xml:space="preserve"> medžiagai</w:t>
      </w:r>
      <w:r>
        <w:t xml:space="preserve"> </w:t>
      </w:r>
      <w:r w:rsidRPr="000632E5">
        <w:t>(jos išvardytos 6 skyriuje)</w:t>
      </w:r>
      <w:r w:rsidRPr="00EF3181">
        <w:t>;</w:t>
      </w:r>
    </w:p>
    <w:p w:rsidR="0079123E" w:rsidRPr="00EF3181" w:rsidRDefault="0079123E" w:rsidP="0079123E">
      <w:pPr>
        <w:pStyle w:val="BT-EMEASMCA"/>
      </w:pPr>
      <w:r w:rsidRPr="00EF3181">
        <w:t>Brontex negalima vartoti jaunesniems kaip 2 metų vaikams.</w:t>
      </w:r>
    </w:p>
    <w:p w:rsidR="0079123E" w:rsidRPr="00EF3181" w:rsidRDefault="0079123E" w:rsidP="0079123E">
      <w:pPr>
        <w:pStyle w:val="BTEMEASMCA"/>
      </w:pPr>
    </w:p>
    <w:p w:rsidR="0079123E" w:rsidRPr="000E1D6D" w:rsidRDefault="0079123E" w:rsidP="0079123E">
      <w:pPr>
        <w:pStyle w:val="Antrat4"/>
        <w:spacing w:before="0"/>
        <w:rPr>
          <w:rFonts w:ascii="Times New Roman" w:hAnsi="Times New Roman"/>
          <w:i w:val="0"/>
          <w:color w:val="auto"/>
          <w:sz w:val="22"/>
        </w:rPr>
      </w:pPr>
      <w:r w:rsidRPr="000E1D6D">
        <w:rPr>
          <w:rFonts w:ascii="Times New Roman" w:hAnsi="Times New Roman"/>
          <w:i w:val="0"/>
          <w:color w:val="auto"/>
          <w:sz w:val="22"/>
        </w:rPr>
        <w:t xml:space="preserve">Įspėjimai ir atsargumo priemonės </w:t>
      </w:r>
    </w:p>
    <w:p w:rsidR="0079123E" w:rsidRPr="00EF3181" w:rsidRDefault="0079123E" w:rsidP="0079123E">
      <w:pPr>
        <w:pStyle w:val="Pagrindinistekstas"/>
        <w:spacing w:after="0"/>
        <w:rPr>
          <w:bCs/>
          <w:noProof/>
          <w:szCs w:val="22"/>
        </w:rPr>
      </w:pPr>
      <w:r w:rsidRPr="00EF3181">
        <w:rPr>
          <w:bCs/>
          <w:noProof/>
          <w:szCs w:val="22"/>
        </w:rPr>
        <w:t>Pasitarkite su gydytoju arba vaistininku prieš pradėdami vartoti Brontex.</w:t>
      </w:r>
    </w:p>
    <w:p w:rsidR="0079123E" w:rsidRDefault="0079123E" w:rsidP="0079123E">
      <w:pPr>
        <w:pStyle w:val="Pagrindinistekstas"/>
        <w:spacing w:after="0"/>
        <w:rPr>
          <w:color w:val="000000"/>
          <w:szCs w:val="22"/>
        </w:rPr>
      </w:pPr>
    </w:p>
    <w:p w:rsidR="0079123E" w:rsidRPr="00EF3181" w:rsidRDefault="0079123E" w:rsidP="0079123E">
      <w:pPr>
        <w:pStyle w:val="Pagrindinistekstas"/>
        <w:spacing w:after="0"/>
        <w:rPr>
          <w:color w:val="000000"/>
          <w:szCs w:val="22"/>
          <w:highlight w:val="yellow"/>
        </w:rPr>
      </w:pPr>
      <w:r w:rsidRPr="005E2A69">
        <w:rPr>
          <w:color w:val="000000"/>
          <w:szCs w:val="22"/>
        </w:rPr>
        <w:t xml:space="preserve">Nustatyti sunkių odos reakcijų, susijusių su ambroksolio hidrochlorido vartojimu, atvejai. Jeigu Jums pasireiškė odos išbėrimas (įskaitant gleivinės, pvz., burnos, gerklės, nosies, akių, lyties organų, pažeidimus), nedelsdami nutraukite Brontex vartojimą ir kreipkitės į gydytoją. </w:t>
      </w:r>
    </w:p>
    <w:p w:rsidR="0079123E" w:rsidRDefault="0079123E" w:rsidP="0079123E">
      <w:pPr>
        <w:pStyle w:val="Pagrindinistekstas"/>
        <w:spacing w:after="0"/>
        <w:rPr>
          <w:b/>
          <w:color w:val="000000"/>
          <w:szCs w:val="22"/>
        </w:rPr>
      </w:pPr>
    </w:p>
    <w:p w:rsidR="0079123E" w:rsidRPr="00EF3181" w:rsidRDefault="0079123E" w:rsidP="0079123E">
      <w:pPr>
        <w:pStyle w:val="Pagrindinistekstas"/>
        <w:spacing w:after="0"/>
        <w:rPr>
          <w:b/>
          <w:color w:val="000000"/>
          <w:szCs w:val="22"/>
        </w:rPr>
      </w:pPr>
      <w:r w:rsidRPr="00EF3181">
        <w:rPr>
          <w:b/>
          <w:color w:val="000000"/>
          <w:szCs w:val="22"/>
        </w:rPr>
        <w:t>Sutrikusi inkstų funkcija</w:t>
      </w:r>
    </w:p>
    <w:p w:rsidR="0079123E" w:rsidRPr="00EF3181" w:rsidRDefault="0079123E" w:rsidP="0079123E">
      <w:pPr>
        <w:pStyle w:val="Pagrindinistekstas"/>
        <w:spacing w:after="0"/>
        <w:rPr>
          <w:color w:val="000000"/>
          <w:szCs w:val="22"/>
        </w:rPr>
      </w:pPr>
      <w:r w:rsidRPr="00EF3181">
        <w:rPr>
          <w:szCs w:val="22"/>
        </w:rPr>
        <w:t xml:space="preserve">Jei sutrikusi Jūsų inkstų funkcija, prieš tai pasitarus su gydytoju, </w:t>
      </w:r>
      <w:r w:rsidRPr="00EF3181">
        <w:rPr>
          <w:bCs/>
          <w:szCs w:val="22"/>
        </w:rPr>
        <w:t>Brontex</w:t>
      </w:r>
      <w:r w:rsidRPr="00EF3181">
        <w:rPr>
          <w:szCs w:val="22"/>
        </w:rPr>
        <w:t xml:space="preserve"> reikia vartoti labai atsargiai (tai yra mažesne doze</w:t>
      </w:r>
      <w:r w:rsidRPr="00EF3181">
        <w:rPr>
          <w:color w:val="000000"/>
          <w:szCs w:val="22"/>
        </w:rPr>
        <w:t xml:space="preserve"> arba darant tarp vaisto vartojimo ilgesnes pertraukas).</w:t>
      </w:r>
    </w:p>
    <w:p w:rsidR="0079123E" w:rsidRPr="00EF3181" w:rsidRDefault="0079123E" w:rsidP="0079123E">
      <w:pPr>
        <w:pStyle w:val="Pagrindinistekstas"/>
        <w:spacing w:after="0"/>
        <w:rPr>
          <w:i/>
          <w:color w:val="000000"/>
          <w:szCs w:val="22"/>
        </w:rPr>
      </w:pPr>
      <w:r w:rsidRPr="00EF3181">
        <w:rPr>
          <w:i/>
          <w:color w:val="000000"/>
          <w:szCs w:val="22"/>
        </w:rPr>
        <w:t>Sunkus inkstų nepakankamumas</w:t>
      </w:r>
    </w:p>
    <w:p w:rsidR="0079123E" w:rsidRPr="00EF3181" w:rsidRDefault="0079123E" w:rsidP="0079123E">
      <w:pPr>
        <w:pStyle w:val="Pagrindinistekstas"/>
        <w:spacing w:after="0"/>
        <w:rPr>
          <w:color w:val="000000"/>
          <w:szCs w:val="22"/>
        </w:rPr>
      </w:pPr>
      <w:r w:rsidRPr="00EF3181">
        <w:rPr>
          <w:color w:val="000000"/>
          <w:szCs w:val="22"/>
        </w:rPr>
        <w:t>Esant sunkiam inkstų nepakankamumui, kepenyse iš ambroksolio susidarantys metabolitai gali kauptis organizme.</w:t>
      </w:r>
    </w:p>
    <w:p w:rsidR="0079123E" w:rsidRPr="00EF3181" w:rsidRDefault="0079123E" w:rsidP="0079123E">
      <w:pPr>
        <w:pStyle w:val="Pagrindinistekstas"/>
        <w:spacing w:after="0"/>
        <w:rPr>
          <w:b/>
          <w:iCs/>
          <w:color w:val="000000"/>
          <w:szCs w:val="22"/>
        </w:rPr>
      </w:pPr>
    </w:p>
    <w:p w:rsidR="0079123E" w:rsidRPr="00EF3181" w:rsidRDefault="0079123E" w:rsidP="0079123E">
      <w:pPr>
        <w:pStyle w:val="Pagrindinistekstas"/>
        <w:spacing w:after="0"/>
        <w:rPr>
          <w:b/>
          <w:color w:val="000000"/>
          <w:szCs w:val="22"/>
        </w:rPr>
      </w:pPr>
      <w:r w:rsidRPr="00EF3181">
        <w:rPr>
          <w:b/>
          <w:iCs/>
          <w:color w:val="000000"/>
          <w:szCs w:val="22"/>
        </w:rPr>
        <w:t>Sutrikusi</w:t>
      </w:r>
      <w:r w:rsidRPr="00EF3181">
        <w:rPr>
          <w:b/>
          <w:color w:val="000000"/>
          <w:szCs w:val="22"/>
        </w:rPr>
        <w:t xml:space="preserve"> kepenų </w:t>
      </w:r>
      <w:r w:rsidRPr="00EF3181">
        <w:rPr>
          <w:b/>
          <w:iCs/>
          <w:color w:val="000000"/>
          <w:szCs w:val="22"/>
        </w:rPr>
        <w:t>funkcija</w:t>
      </w:r>
      <w:r w:rsidRPr="00EF3181">
        <w:rPr>
          <w:b/>
          <w:color w:val="000000"/>
          <w:szCs w:val="22"/>
        </w:rPr>
        <w:t xml:space="preserve"> </w:t>
      </w:r>
    </w:p>
    <w:p w:rsidR="0079123E" w:rsidRPr="00EF3181" w:rsidRDefault="0079123E" w:rsidP="0079123E">
      <w:pPr>
        <w:pStyle w:val="Pagrindinistekstas"/>
        <w:spacing w:after="0"/>
        <w:rPr>
          <w:color w:val="000000"/>
          <w:szCs w:val="22"/>
        </w:rPr>
      </w:pPr>
      <w:r w:rsidRPr="00EF3181">
        <w:rPr>
          <w:color w:val="000000"/>
          <w:szCs w:val="22"/>
        </w:rPr>
        <w:t xml:space="preserve">Jei Jūs sergate sunkia kepenų liga, </w:t>
      </w:r>
      <w:r w:rsidRPr="00EF3181">
        <w:rPr>
          <w:szCs w:val="22"/>
        </w:rPr>
        <w:t xml:space="preserve">prieš tai pasitarus su gydytoju, </w:t>
      </w:r>
      <w:r w:rsidRPr="00EF3181">
        <w:rPr>
          <w:color w:val="000000"/>
          <w:szCs w:val="22"/>
        </w:rPr>
        <w:t>Brontex galima vartoti tik labai atsargiai (</w:t>
      </w:r>
      <w:r w:rsidRPr="00EF3181">
        <w:rPr>
          <w:szCs w:val="22"/>
        </w:rPr>
        <w:t>tai yra mažesne doze</w:t>
      </w:r>
      <w:r w:rsidRPr="00EF3181">
        <w:rPr>
          <w:color w:val="000000"/>
          <w:szCs w:val="22"/>
        </w:rPr>
        <w:t xml:space="preserve"> arba darant tarp vaisto vartojimo ilgesnes pertraukas).</w:t>
      </w:r>
    </w:p>
    <w:p w:rsidR="0079123E" w:rsidRDefault="0079123E" w:rsidP="0079123E">
      <w:pPr>
        <w:pStyle w:val="Pagrindinistekstas"/>
        <w:spacing w:after="0"/>
        <w:rPr>
          <w:color w:val="000000"/>
          <w:szCs w:val="22"/>
        </w:rPr>
      </w:pPr>
    </w:p>
    <w:p w:rsidR="0079123E" w:rsidRPr="00EF3181" w:rsidRDefault="0079123E" w:rsidP="0079123E">
      <w:pPr>
        <w:pStyle w:val="Pagrindinistekstas"/>
        <w:spacing w:after="0"/>
        <w:rPr>
          <w:color w:val="000000"/>
          <w:szCs w:val="22"/>
        </w:rPr>
      </w:pPr>
      <w:r w:rsidRPr="00EF3181">
        <w:rPr>
          <w:color w:val="000000"/>
          <w:szCs w:val="22"/>
        </w:rPr>
        <w:t xml:space="preserve">Kai yra reta bronchų liga (pvz., piktybinis ciliarinis sindromas), kuri reiškiasi gausia skreplių sankaupa kvėpavimo takuose, </w:t>
      </w:r>
      <w:r w:rsidRPr="00EF3181">
        <w:rPr>
          <w:bCs/>
          <w:szCs w:val="22"/>
        </w:rPr>
        <w:t>Brontex</w:t>
      </w:r>
      <w:r w:rsidRPr="00EF3181">
        <w:rPr>
          <w:color w:val="000000"/>
          <w:szCs w:val="22"/>
        </w:rPr>
        <w:t xml:space="preserve"> reikėtų vartoti labai atsargiai, prižiūrint gydytojui, nes kvėpavimo takuose gali kauptis sekreto.</w:t>
      </w:r>
    </w:p>
    <w:p w:rsidR="0079123E" w:rsidRPr="00EF3181" w:rsidRDefault="0079123E" w:rsidP="0079123E">
      <w:pPr>
        <w:pStyle w:val="Pagrindinistekstas"/>
        <w:spacing w:after="0"/>
        <w:rPr>
          <w:color w:val="000000"/>
          <w:szCs w:val="22"/>
        </w:rPr>
      </w:pPr>
    </w:p>
    <w:p w:rsidR="0079123E" w:rsidRPr="00EF3181" w:rsidRDefault="0079123E" w:rsidP="0079123E">
      <w:pPr>
        <w:tabs>
          <w:tab w:val="left" w:pos="567"/>
        </w:tabs>
        <w:rPr>
          <w:sz w:val="22"/>
          <w:szCs w:val="22"/>
        </w:rPr>
      </w:pPr>
      <w:r w:rsidRPr="00EF3181">
        <w:rPr>
          <w:sz w:val="22"/>
          <w:szCs w:val="22"/>
        </w:rPr>
        <w:t>Kadangi ambroksolis gali dirginti virškinimo trakto gleivinę, vaisto atsargiai turėtų vartoti pacientai, kuriems yra ar yra buvusi pepsinė opa.</w:t>
      </w:r>
    </w:p>
    <w:p w:rsidR="0079123E" w:rsidRPr="00EF3181" w:rsidRDefault="0079123E" w:rsidP="0079123E">
      <w:pPr>
        <w:pStyle w:val="Pagrindinistekstas"/>
        <w:spacing w:after="0"/>
        <w:rPr>
          <w:szCs w:val="22"/>
        </w:rPr>
      </w:pPr>
    </w:p>
    <w:p w:rsidR="0079123E" w:rsidRPr="00EF3181" w:rsidRDefault="0079123E" w:rsidP="0079123E">
      <w:pPr>
        <w:pStyle w:val="Pagrindinistekstas"/>
        <w:spacing w:after="0"/>
        <w:rPr>
          <w:b/>
          <w:bCs/>
          <w:noProof/>
          <w:szCs w:val="22"/>
        </w:rPr>
      </w:pPr>
      <w:r w:rsidRPr="00EF3181">
        <w:rPr>
          <w:b/>
          <w:bCs/>
          <w:noProof/>
          <w:szCs w:val="22"/>
        </w:rPr>
        <w:t>Kiti vaistai ir Brontex</w:t>
      </w:r>
    </w:p>
    <w:p w:rsidR="0079123E" w:rsidRPr="00EF3181" w:rsidRDefault="0079123E" w:rsidP="0079123E">
      <w:pPr>
        <w:pStyle w:val="Pagrindinistekstas"/>
        <w:spacing w:after="0"/>
        <w:rPr>
          <w:szCs w:val="22"/>
        </w:rPr>
      </w:pPr>
      <w:r w:rsidRPr="00EF3181">
        <w:rPr>
          <w:szCs w:val="22"/>
        </w:rPr>
        <w:t xml:space="preserve">Jeigu vartojate arba neseniai vartojote kitų vaistų </w:t>
      </w:r>
      <w:r w:rsidRPr="00EF3181">
        <w:rPr>
          <w:noProof/>
          <w:szCs w:val="22"/>
        </w:rPr>
        <w:t xml:space="preserve">arba dėl to nesate tikri, apie tai </w:t>
      </w:r>
      <w:r w:rsidRPr="00EF3181">
        <w:rPr>
          <w:szCs w:val="22"/>
        </w:rPr>
        <w:t>pasakykite gydytojui arba vaistininkui.</w:t>
      </w:r>
    </w:p>
    <w:p w:rsidR="0079123E" w:rsidRPr="00EF3181" w:rsidRDefault="0079123E" w:rsidP="0079123E">
      <w:pPr>
        <w:pStyle w:val="Antrat2"/>
        <w:spacing w:before="0" w:after="0"/>
        <w:jc w:val="both"/>
        <w:rPr>
          <w:rFonts w:ascii="Times New Roman" w:hAnsi="Times New Roman"/>
          <w:b w:val="0"/>
          <w:iCs w:val="0"/>
          <w:sz w:val="22"/>
          <w:szCs w:val="22"/>
        </w:rPr>
      </w:pPr>
    </w:p>
    <w:p w:rsidR="0079123E" w:rsidRPr="00EF3181" w:rsidRDefault="0079123E" w:rsidP="0079123E">
      <w:pPr>
        <w:pStyle w:val="Antrat2"/>
        <w:spacing w:before="0" w:after="0"/>
        <w:jc w:val="both"/>
        <w:rPr>
          <w:rFonts w:ascii="Times New Roman" w:hAnsi="Times New Roman"/>
          <w:b w:val="0"/>
          <w:iCs w:val="0"/>
          <w:sz w:val="22"/>
          <w:szCs w:val="22"/>
        </w:rPr>
      </w:pPr>
      <w:r w:rsidRPr="00EF3181">
        <w:rPr>
          <w:rFonts w:ascii="Times New Roman" w:hAnsi="Times New Roman"/>
          <w:b w:val="0"/>
          <w:iCs w:val="0"/>
          <w:sz w:val="22"/>
          <w:szCs w:val="22"/>
        </w:rPr>
        <w:t>Vaistai nuo kosulio</w:t>
      </w:r>
    </w:p>
    <w:p w:rsidR="0079123E" w:rsidRPr="00EF3181" w:rsidRDefault="0079123E" w:rsidP="0079123E">
      <w:pPr>
        <w:rPr>
          <w:sz w:val="22"/>
          <w:szCs w:val="22"/>
        </w:rPr>
      </w:pPr>
      <w:r w:rsidRPr="00EF3181">
        <w:rPr>
          <w:sz w:val="22"/>
          <w:szCs w:val="22"/>
        </w:rPr>
        <w:t xml:space="preserve">Ambroksolio vartojant kartu su vaistais nuo kosulio, dėl kosulio reflekso slopinimo gali atsirasti pavojinga sekreto stazė, todėl minėtų vaistų vartoti kartu galima tik pagal labai tiksliai nustatytas indikacijas. </w:t>
      </w:r>
    </w:p>
    <w:p w:rsidR="0079123E" w:rsidRPr="00EF3181" w:rsidRDefault="0079123E" w:rsidP="0079123E">
      <w:pPr>
        <w:pStyle w:val="Antrat2"/>
        <w:spacing w:before="0" w:after="0"/>
        <w:jc w:val="both"/>
        <w:rPr>
          <w:rFonts w:ascii="Times New Roman" w:hAnsi="Times New Roman"/>
          <w:i w:val="0"/>
          <w:iCs w:val="0"/>
          <w:sz w:val="22"/>
          <w:szCs w:val="22"/>
          <w:u w:val="single"/>
        </w:rPr>
      </w:pPr>
    </w:p>
    <w:p w:rsidR="0079123E" w:rsidRPr="00EF3181" w:rsidRDefault="0079123E" w:rsidP="0079123E">
      <w:pPr>
        <w:pStyle w:val="Antrat2"/>
        <w:spacing w:before="0" w:after="0"/>
        <w:jc w:val="both"/>
        <w:rPr>
          <w:rFonts w:ascii="Times New Roman" w:hAnsi="Times New Roman"/>
          <w:b w:val="0"/>
          <w:iCs w:val="0"/>
          <w:sz w:val="22"/>
          <w:szCs w:val="22"/>
        </w:rPr>
      </w:pPr>
      <w:r w:rsidRPr="00EF3181">
        <w:rPr>
          <w:rFonts w:ascii="Times New Roman" w:hAnsi="Times New Roman"/>
          <w:b w:val="0"/>
          <w:iCs w:val="0"/>
          <w:sz w:val="22"/>
          <w:szCs w:val="22"/>
        </w:rPr>
        <w:t>Antibiotikai</w:t>
      </w:r>
    </w:p>
    <w:p w:rsidR="0079123E" w:rsidRPr="00EF3181" w:rsidRDefault="0079123E" w:rsidP="0079123E">
      <w:pPr>
        <w:rPr>
          <w:sz w:val="22"/>
          <w:szCs w:val="22"/>
        </w:rPr>
      </w:pPr>
      <w:r w:rsidRPr="00EF3181">
        <w:rPr>
          <w:sz w:val="22"/>
          <w:szCs w:val="22"/>
        </w:rPr>
        <w:t xml:space="preserve">Pastebėta, kad ambroksolis, vartojamas kartu su amoksicilinu, cefuroksimu, doksiciklinu ir eritromicinu, gerina minėtų antibiotikų skvarbumą į bronchų sekretą. </w:t>
      </w:r>
    </w:p>
    <w:p w:rsidR="0079123E" w:rsidRPr="00EF3181" w:rsidRDefault="0079123E" w:rsidP="0079123E">
      <w:pPr>
        <w:pStyle w:val="Pagrindinistekstas"/>
        <w:spacing w:after="0"/>
        <w:rPr>
          <w:szCs w:val="22"/>
        </w:rPr>
      </w:pPr>
    </w:p>
    <w:p w:rsidR="0079123E" w:rsidRPr="00EF3181" w:rsidRDefault="0079123E" w:rsidP="0079123E">
      <w:pPr>
        <w:pStyle w:val="PI-3EMEASMCA"/>
        <w:spacing w:line="240" w:lineRule="auto"/>
      </w:pPr>
      <w:r w:rsidRPr="00EF3181">
        <w:t>Nėštumas ir žindymo laikotarpis</w:t>
      </w:r>
    </w:p>
    <w:p w:rsidR="0079123E" w:rsidRPr="00EF3181" w:rsidRDefault="0079123E" w:rsidP="0079123E">
      <w:pPr>
        <w:rPr>
          <w:sz w:val="22"/>
          <w:szCs w:val="22"/>
        </w:rPr>
      </w:pPr>
      <w:r w:rsidRPr="00EF3181">
        <w:rPr>
          <w:sz w:val="22"/>
          <w:szCs w:val="22"/>
        </w:rPr>
        <w:t>Jeigu esate nėščia, žindote kūdikį, manote, kad galbūt esate nėščia, arba planuojate pastoti, tai prieš vartodama šį vaistą, pasitarkite su gydytoju arba vaistininku.</w:t>
      </w:r>
    </w:p>
    <w:p w:rsidR="0079123E" w:rsidRPr="00EF3181" w:rsidRDefault="0079123E" w:rsidP="0079123E">
      <w:pPr>
        <w:rPr>
          <w:sz w:val="22"/>
          <w:szCs w:val="22"/>
        </w:rPr>
      </w:pPr>
      <w:r w:rsidRPr="00EF3181">
        <w:rPr>
          <w:iCs/>
          <w:sz w:val="22"/>
          <w:szCs w:val="22"/>
        </w:rPr>
        <w:t>Ambroksolio hidrochloridas</w:t>
      </w:r>
      <w:r w:rsidRPr="00EF3181">
        <w:rPr>
          <w:sz w:val="22"/>
          <w:szCs w:val="22"/>
        </w:rPr>
        <w:t xml:space="preserve"> prasiskverbia per placentos barjerą. Tyrimai su gyvūnais tiesioginio ar netiesioginio kenksmingo poveikio nėštumo eigai, embriono ar vaisiaus vystymuisi, gimdymui ar postnataliniam vystymuisi neparodė. Pirmaisiais trimis nėštumo mėnesiais Brontex vartoti nerekomenduojama.</w:t>
      </w:r>
    </w:p>
    <w:p w:rsidR="0079123E" w:rsidRPr="00EF3181" w:rsidRDefault="0079123E" w:rsidP="0079123E">
      <w:pPr>
        <w:rPr>
          <w:sz w:val="22"/>
          <w:szCs w:val="22"/>
        </w:rPr>
      </w:pPr>
    </w:p>
    <w:p w:rsidR="0079123E" w:rsidRPr="00EF3181" w:rsidRDefault="0079123E" w:rsidP="0079123E">
      <w:pPr>
        <w:rPr>
          <w:sz w:val="22"/>
          <w:szCs w:val="22"/>
        </w:rPr>
      </w:pPr>
      <w:r w:rsidRPr="00EF3181">
        <w:rPr>
          <w:sz w:val="22"/>
          <w:szCs w:val="22"/>
        </w:rPr>
        <w:t>Veiklio</w:t>
      </w:r>
      <w:r>
        <w:rPr>
          <w:sz w:val="22"/>
          <w:szCs w:val="22"/>
        </w:rPr>
        <w:t>ji vaisto medžiaga ambroksolis</w:t>
      </w:r>
      <w:r w:rsidRPr="00EF3181">
        <w:rPr>
          <w:sz w:val="22"/>
          <w:szCs w:val="22"/>
        </w:rPr>
        <w:t xml:space="preserve"> patenka į motinos pieną. Žindyvėms Brontex vartoti nerekomenduojama, nors kūdikiui nepalankus poveikis pasireikšti neturėtų.</w:t>
      </w:r>
    </w:p>
    <w:p w:rsidR="0079123E" w:rsidRPr="00EF3181" w:rsidRDefault="0079123E" w:rsidP="0079123E">
      <w:pPr>
        <w:pStyle w:val="PI-3EMEASMCA"/>
        <w:spacing w:line="240" w:lineRule="auto"/>
      </w:pPr>
    </w:p>
    <w:p w:rsidR="0079123E" w:rsidRPr="00EF3181" w:rsidRDefault="0079123E" w:rsidP="0079123E">
      <w:pPr>
        <w:pStyle w:val="PI-3EMEASMCA"/>
        <w:spacing w:line="240" w:lineRule="auto"/>
      </w:pPr>
      <w:r w:rsidRPr="00EF3181">
        <w:t>Vairavimas ir mechanizmų valdymas</w:t>
      </w:r>
    </w:p>
    <w:p w:rsidR="0079123E" w:rsidRPr="00EF3181" w:rsidRDefault="0079123E" w:rsidP="0079123E">
      <w:pPr>
        <w:pStyle w:val="BTEMEASMCA"/>
      </w:pPr>
      <w:r w:rsidRPr="00EF3181">
        <w:t>Gebėjimo vairuoti ir valdyti mechanizmus Brontex neveikia.</w:t>
      </w:r>
    </w:p>
    <w:p w:rsidR="0079123E" w:rsidRPr="00EF3181" w:rsidRDefault="0079123E" w:rsidP="0079123E">
      <w:pPr>
        <w:pStyle w:val="BTEMEASMCA"/>
      </w:pPr>
      <w:r w:rsidRPr="00EF3181">
        <w:tab/>
      </w:r>
    </w:p>
    <w:p w:rsidR="0079123E" w:rsidRPr="00EF3181" w:rsidRDefault="0079123E" w:rsidP="0079123E">
      <w:pPr>
        <w:pStyle w:val="PI-3EMEASMCA"/>
        <w:spacing w:line="240" w:lineRule="auto"/>
      </w:pPr>
      <w:r w:rsidRPr="00EF3181">
        <w:t xml:space="preserve">Brontex sudėtyje yra sorbitolio </w:t>
      </w:r>
      <w:r>
        <w:t xml:space="preserve">(E420), </w:t>
      </w:r>
      <w:r w:rsidRPr="00643766">
        <w:t>propilenglikolio (E1520)</w:t>
      </w:r>
      <w:r>
        <w:t xml:space="preserve"> ir </w:t>
      </w:r>
      <w:r>
        <w:rPr>
          <w:rFonts w:eastAsia="Calibri"/>
          <w:color w:val="000000"/>
          <w:sz w:val="23"/>
          <w:szCs w:val="23"/>
          <w:lang w:eastAsia="lt-LT"/>
        </w:rPr>
        <w:t>b</w:t>
      </w:r>
      <w:r w:rsidRPr="00E1504A">
        <w:rPr>
          <w:rFonts w:eastAsia="Calibri"/>
          <w:color w:val="000000"/>
          <w:sz w:val="23"/>
          <w:szCs w:val="23"/>
          <w:lang w:eastAsia="lt-LT"/>
        </w:rPr>
        <w:t>enzenkarboksirūgšti</w:t>
      </w:r>
      <w:r>
        <w:rPr>
          <w:rFonts w:eastAsia="Calibri"/>
          <w:color w:val="000000"/>
          <w:sz w:val="23"/>
          <w:szCs w:val="23"/>
          <w:lang w:eastAsia="lt-LT"/>
        </w:rPr>
        <w:t>es (E210)</w:t>
      </w:r>
    </w:p>
    <w:p w:rsidR="0079123E" w:rsidRPr="00EF3181" w:rsidRDefault="0079123E" w:rsidP="0079123E">
      <w:pPr>
        <w:pStyle w:val="Pagrindinistekstas"/>
        <w:spacing w:after="0"/>
        <w:rPr>
          <w:color w:val="000000"/>
          <w:szCs w:val="22"/>
        </w:rPr>
      </w:pPr>
    </w:p>
    <w:p w:rsidR="0079123E" w:rsidRPr="00EF3181" w:rsidRDefault="0079123E" w:rsidP="0079123E">
      <w:pPr>
        <w:pStyle w:val="Pagrindinistekstas"/>
        <w:spacing w:after="0"/>
        <w:rPr>
          <w:color w:val="000000"/>
          <w:szCs w:val="22"/>
        </w:rPr>
      </w:pPr>
      <w:r>
        <w:rPr>
          <w:color w:val="000000"/>
          <w:szCs w:val="22"/>
        </w:rPr>
        <w:t xml:space="preserve">Šio vaisto sudėtyje yra sorbitolio. </w:t>
      </w:r>
      <w:r w:rsidRPr="00EF3181">
        <w:rPr>
          <w:color w:val="000000"/>
          <w:szCs w:val="22"/>
        </w:rPr>
        <w:t>Sorbitolio energinė vertė yra 2,6 k</w:t>
      </w:r>
      <w:r>
        <w:rPr>
          <w:color w:val="000000"/>
          <w:szCs w:val="22"/>
        </w:rPr>
        <w:t>c</w:t>
      </w:r>
      <w:r w:rsidRPr="00EF3181">
        <w:rPr>
          <w:color w:val="000000"/>
          <w:szCs w:val="22"/>
        </w:rPr>
        <w:t>al/kg kūno svorio. Vien</w:t>
      </w:r>
      <w:r>
        <w:rPr>
          <w:color w:val="000000"/>
          <w:szCs w:val="22"/>
        </w:rPr>
        <w:t>oje</w:t>
      </w:r>
      <w:r w:rsidRPr="00EF3181">
        <w:rPr>
          <w:color w:val="000000"/>
          <w:szCs w:val="22"/>
        </w:rPr>
        <w:t xml:space="preserve"> matavimo </w:t>
      </w:r>
      <w:r>
        <w:rPr>
          <w:szCs w:val="22"/>
        </w:rPr>
        <w:t>taurelėje (5 ml sirupo)</w:t>
      </w:r>
      <w:r w:rsidRPr="00EF3181">
        <w:rPr>
          <w:szCs w:val="22"/>
        </w:rPr>
        <w:t xml:space="preserve"> yra 2,1 g sorbitolio (tai atitinka 0,18 duonos vienetų).</w:t>
      </w:r>
    </w:p>
    <w:p w:rsidR="0079123E" w:rsidRPr="002721C3" w:rsidRDefault="0079123E" w:rsidP="0079123E">
      <w:pPr>
        <w:pStyle w:val="BTEMEASMCA"/>
      </w:pPr>
      <w:r>
        <w:rPr>
          <w:rFonts w:eastAsia="Calibri"/>
          <w:lang w:eastAsia="lt-LT"/>
        </w:rPr>
        <w:t xml:space="preserve">Kiekviename šio vaisto ml yra 600 mg sorbitolio. Sorbitolis yra fruktozės šaltinis. </w:t>
      </w:r>
      <w:r w:rsidRPr="0040262B">
        <w:t>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t xml:space="preserve"> </w:t>
      </w:r>
    </w:p>
    <w:p w:rsidR="0079123E" w:rsidRPr="00F32B89" w:rsidRDefault="0079123E" w:rsidP="0079123E">
      <w:pPr>
        <w:autoSpaceDE w:val="0"/>
        <w:autoSpaceDN w:val="0"/>
        <w:adjustRightInd w:val="0"/>
        <w:rPr>
          <w:rFonts w:eastAsia="Calibri"/>
          <w:sz w:val="22"/>
          <w:szCs w:val="22"/>
          <w:lang w:eastAsia="lt-LT"/>
        </w:rPr>
      </w:pPr>
      <w:r w:rsidRPr="00F32B89">
        <w:rPr>
          <w:rFonts w:eastAsia="Calibri"/>
          <w:sz w:val="22"/>
          <w:szCs w:val="22"/>
          <w:lang w:eastAsia="lt-LT"/>
        </w:rPr>
        <w:t>Prieš vartojant šio vaisto, turite pasakyti gydytojui, jeigu Jums (ar Jūsų vaikui) yra ĮFN arba Jūsų</w:t>
      </w:r>
    </w:p>
    <w:p w:rsidR="0079123E" w:rsidRPr="00F32B89" w:rsidRDefault="0079123E" w:rsidP="0079123E">
      <w:pPr>
        <w:autoSpaceDE w:val="0"/>
        <w:autoSpaceDN w:val="0"/>
        <w:adjustRightInd w:val="0"/>
        <w:rPr>
          <w:rFonts w:eastAsia="Calibri"/>
          <w:sz w:val="22"/>
          <w:szCs w:val="22"/>
          <w:lang w:eastAsia="lt-LT"/>
        </w:rPr>
      </w:pPr>
      <w:r w:rsidRPr="00F32B89">
        <w:rPr>
          <w:rFonts w:eastAsia="Calibri"/>
          <w:sz w:val="22"/>
          <w:szCs w:val="22"/>
          <w:lang w:eastAsia="lt-LT"/>
        </w:rPr>
        <w:t>vaikas daugiau negali vartoti saldaus maisto ar gėrimų dėl atsirandančio pykinimo, vėmimo, ar nemalonaus poveikio (pilvo pūtimo, skrandžio dieglių ar viduriavimo).</w:t>
      </w:r>
    </w:p>
    <w:p w:rsidR="0079123E" w:rsidRPr="0040262B" w:rsidRDefault="0079123E" w:rsidP="0079123E">
      <w:pPr>
        <w:pStyle w:val="BTEMEASMCA"/>
      </w:pPr>
      <w:r w:rsidRPr="0040262B">
        <w:t>Sorbitolis gali sukelti skrandžio ir žarnyno diskomfortą ir lengvą vidurius laisvinantį poveikį.</w:t>
      </w:r>
    </w:p>
    <w:p w:rsidR="0079123E" w:rsidRDefault="0079123E" w:rsidP="0079123E">
      <w:pPr>
        <w:pStyle w:val="BTEMEASMCA"/>
      </w:pPr>
    </w:p>
    <w:p w:rsidR="0079123E" w:rsidRPr="00643766" w:rsidRDefault="0079123E" w:rsidP="0079123E">
      <w:pPr>
        <w:pStyle w:val="BTEMEASMCA"/>
      </w:pPr>
      <w:r>
        <w:t>Šio vaisto</w:t>
      </w:r>
      <w:r w:rsidRPr="00643766">
        <w:t xml:space="preserve"> sudėtyje yra propilenglikolio (E1520)</w:t>
      </w:r>
      <w:r>
        <w:t>.</w:t>
      </w:r>
    </w:p>
    <w:p w:rsidR="0079123E" w:rsidRDefault="0079123E" w:rsidP="0079123E">
      <w:pPr>
        <w:pStyle w:val="BTEMEASMCA"/>
      </w:pPr>
      <w:r>
        <w:t>Kiekviename šio vaisto ml yra 50 mg propilenglikolio.</w:t>
      </w:r>
    </w:p>
    <w:p w:rsidR="0079123E" w:rsidRDefault="0079123E" w:rsidP="0079123E">
      <w:pPr>
        <w:pStyle w:val="BTEMEASMCA"/>
      </w:pPr>
    </w:p>
    <w:p w:rsidR="0079123E" w:rsidRPr="00691BB3" w:rsidRDefault="0079123E" w:rsidP="0079123E">
      <w:pPr>
        <w:rPr>
          <w:sz w:val="22"/>
          <w:szCs w:val="22"/>
        </w:rPr>
      </w:pPr>
      <w:r>
        <w:rPr>
          <w:sz w:val="22"/>
          <w:szCs w:val="22"/>
        </w:rPr>
        <w:t>Kiekviename šio vaist</w:t>
      </w:r>
      <w:r w:rsidRPr="0018746B">
        <w:rPr>
          <w:sz w:val="22"/>
          <w:szCs w:val="22"/>
        </w:rPr>
        <w:t xml:space="preserve">o </w:t>
      </w:r>
      <w:r>
        <w:rPr>
          <w:sz w:val="22"/>
          <w:szCs w:val="22"/>
        </w:rPr>
        <w:t xml:space="preserve">ml yra 1 mg benzenkarboksirūgšties, tai atitinka </w:t>
      </w:r>
      <w:r w:rsidRPr="0018746B">
        <w:rPr>
          <w:sz w:val="22"/>
          <w:szCs w:val="22"/>
        </w:rPr>
        <w:t>5 </w:t>
      </w:r>
      <w:r>
        <w:rPr>
          <w:sz w:val="22"/>
          <w:szCs w:val="22"/>
        </w:rPr>
        <w:t>mg/5 ml</w:t>
      </w:r>
      <w:r w:rsidRPr="00691BB3">
        <w:rPr>
          <w:sz w:val="22"/>
          <w:szCs w:val="22"/>
        </w:rPr>
        <w:t xml:space="preserve">. </w:t>
      </w:r>
      <w:r>
        <w:rPr>
          <w:rFonts w:eastAsia="Calibri"/>
          <w:color w:val="000000"/>
          <w:sz w:val="22"/>
          <w:szCs w:val="22"/>
          <w:lang w:eastAsia="lt-LT"/>
        </w:rPr>
        <w:t>B</w:t>
      </w:r>
      <w:r w:rsidRPr="00691BB3">
        <w:rPr>
          <w:rFonts w:eastAsia="Calibri"/>
          <w:color w:val="000000"/>
          <w:sz w:val="22"/>
          <w:szCs w:val="22"/>
          <w:lang w:eastAsia="lt-LT"/>
        </w:rPr>
        <w:t xml:space="preserve">enzenkarboksirūgštis </w:t>
      </w:r>
      <w:r w:rsidRPr="00691BB3">
        <w:rPr>
          <w:sz w:val="22"/>
          <w:szCs w:val="22"/>
        </w:rPr>
        <w:t>naujagimiams (iki 4 savaičių) gali sunkinti geltą (odos ir akių pageltimą).</w:t>
      </w:r>
    </w:p>
    <w:p w:rsidR="0079123E" w:rsidRDefault="0079123E" w:rsidP="0079123E">
      <w:pPr>
        <w:pStyle w:val="BTEMEASMCA"/>
        <w:rPr>
          <w:lang w:val="lt-LT"/>
        </w:rPr>
      </w:pPr>
    </w:p>
    <w:p w:rsidR="0079123E" w:rsidRPr="00646F48" w:rsidRDefault="0079123E" w:rsidP="0079123E">
      <w:pPr>
        <w:pStyle w:val="BTEMEASMCA"/>
        <w:rPr>
          <w:lang w:val="lt-LT"/>
        </w:rPr>
      </w:pPr>
    </w:p>
    <w:p w:rsidR="0079123E" w:rsidRPr="00EF3181" w:rsidRDefault="0079123E" w:rsidP="0079123E">
      <w:pPr>
        <w:pStyle w:val="PI-1EMEASMCA"/>
      </w:pPr>
      <w:bookmarkStart w:id="6" w:name="_Toc129243141"/>
      <w:bookmarkStart w:id="7" w:name="_Toc129243266"/>
      <w:r w:rsidRPr="00EF3181">
        <w:t>3.</w:t>
      </w:r>
      <w:r w:rsidRPr="00EF3181">
        <w:tab/>
        <w:t xml:space="preserve">Kaip vartoti </w:t>
      </w:r>
      <w:bookmarkEnd w:id="6"/>
      <w:bookmarkEnd w:id="7"/>
      <w:r w:rsidRPr="00EF3181">
        <w:t>Brontex</w:t>
      </w:r>
    </w:p>
    <w:p w:rsidR="0079123E" w:rsidRPr="00EF3181" w:rsidRDefault="0079123E" w:rsidP="0079123E">
      <w:pPr>
        <w:pStyle w:val="BTEMEASMCA"/>
      </w:pPr>
    </w:p>
    <w:p w:rsidR="0079123E" w:rsidRPr="00EF3181" w:rsidRDefault="0079123E" w:rsidP="0079123E">
      <w:pPr>
        <w:pStyle w:val="Pagrindinistekstas"/>
        <w:spacing w:after="0"/>
        <w:rPr>
          <w:szCs w:val="22"/>
        </w:rPr>
      </w:pPr>
      <w:r w:rsidRPr="00EF3181">
        <w:rPr>
          <w:noProof/>
          <w:szCs w:val="22"/>
        </w:rPr>
        <w:t>Visada vartokite šį vaistą tiksliai kaip aprašyta šiame lapelyje arba kaip nurodė gydytojas arba vaistininkas.</w:t>
      </w:r>
      <w:r w:rsidRPr="00EF3181">
        <w:rPr>
          <w:szCs w:val="22"/>
        </w:rPr>
        <w:t xml:space="preserve"> </w:t>
      </w:r>
      <w:r w:rsidRPr="00EF3181">
        <w:rPr>
          <w:noProof/>
          <w:szCs w:val="22"/>
        </w:rPr>
        <w:t>Jeigu abejojate, kreipkitės į gydytoją arba vaistininką.</w:t>
      </w:r>
    </w:p>
    <w:p w:rsidR="0079123E" w:rsidRPr="00EF3181" w:rsidRDefault="0079123E" w:rsidP="0079123E">
      <w:pPr>
        <w:pStyle w:val="Pagrindinistekstas"/>
        <w:spacing w:after="0"/>
        <w:rPr>
          <w:color w:val="000000"/>
          <w:szCs w:val="22"/>
        </w:rPr>
      </w:pPr>
    </w:p>
    <w:p w:rsidR="0079123E" w:rsidRPr="00EF3181" w:rsidRDefault="0079123E" w:rsidP="0079123E">
      <w:pPr>
        <w:pStyle w:val="Pagrindinistekstas"/>
        <w:spacing w:after="0"/>
        <w:rPr>
          <w:b/>
          <w:color w:val="000000"/>
          <w:szCs w:val="22"/>
        </w:rPr>
      </w:pPr>
      <w:r w:rsidRPr="00EF3181">
        <w:rPr>
          <w:b/>
          <w:color w:val="000000"/>
          <w:szCs w:val="22"/>
        </w:rPr>
        <w:t>Vartojimo metodas ir trukmė</w:t>
      </w:r>
    </w:p>
    <w:p w:rsidR="0079123E" w:rsidRPr="00EF3181" w:rsidRDefault="0079123E" w:rsidP="0079123E">
      <w:pPr>
        <w:pStyle w:val="Pagrindinistekstas"/>
        <w:spacing w:after="0"/>
        <w:rPr>
          <w:color w:val="000000"/>
          <w:szCs w:val="22"/>
          <w:u w:val="single"/>
        </w:rPr>
      </w:pPr>
      <w:r w:rsidRPr="00EF3181">
        <w:rPr>
          <w:color w:val="000000"/>
          <w:szCs w:val="22"/>
        </w:rPr>
        <w:t xml:space="preserve">Sirupą reikėtų gerti pavalgius, naudoti matavimo </w:t>
      </w:r>
      <w:r>
        <w:rPr>
          <w:color w:val="000000"/>
          <w:szCs w:val="22"/>
        </w:rPr>
        <w:t>taurelę</w:t>
      </w:r>
      <w:r w:rsidRPr="00EF3181">
        <w:rPr>
          <w:color w:val="000000"/>
          <w:szCs w:val="22"/>
        </w:rPr>
        <w:t>.</w:t>
      </w:r>
    </w:p>
    <w:p w:rsidR="0079123E" w:rsidRPr="00EF3181" w:rsidRDefault="0079123E" w:rsidP="0079123E">
      <w:pPr>
        <w:pStyle w:val="Pagrindinistekstas"/>
        <w:spacing w:after="0"/>
        <w:rPr>
          <w:color w:val="000000"/>
          <w:szCs w:val="22"/>
          <w:u w:val="single"/>
        </w:rPr>
      </w:pPr>
    </w:p>
    <w:p w:rsidR="0079123E" w:rsidRPr="00EF3181" w:rsidRDefault="0079123E" w:rsidP="0079123E">
      <w:pPr>
        <w:pStyle w:val="Pagrindinistekstas"/>
        <w:spacing w:after="0"/>
        <w:rPr>
          <w:color w:val="000000"/>
          <w:szCs w:val="22"/>
        </w:rPr>
      </w:pPr>
      <w:r w:rsidRPr="00EF3181">
        <w:rPr>
          <w:color w:val="000000"/>
          <w:szCs w:val="22"/>
          <w:u w:val="single"/>
        </w:rPr>
        <w:t>Nuoroda</w:t>
      </w:r>
    </w:p>
    <w:p w:rsidR="0079123E" w:rsidRPr="00EF3181" w:rsidRDefault="0079123E" w:rsidP="0079123E">
      <w:pPr>
        <w:pStyle w:val="Pagrindinistekstas"/>
        <w:spacing w:after="0"/>
        <w:rPr>
          <w:color w:val="000000"/>
          <w:szCs w:val="22"/>
        </w:rPr>
      </w:pPr>
      <w:r w:rsidRPr="00EF3181">
        <w:rPr>
          <w:color w:val="000000"/>
          <w:szCs w:val="22"/>
        </w:rPr>
        <w:t xml:space="preserve">Geriant pakankamai skysčių, sustiprėja </w:t>
      </w:r>
      <w:r w:rsidRPr="00EF3181">
        <w:rPr>
          <w:bCs/>
          <w:szCs w:val="22"/>
        </w:rPr>
        <w:t>Brontex</w:t>
      </w:r>
      <w:r w:rsidRPr="00EF3181">
        <w:rPr>
          <w:szCs w:val="22"/>
        </w:rPr>
        <w:t xml:space="preserve"> </w:t>
      </w:r>
      <w:r w:rsidRPr="00EF3181">
        <w:rPr>
          <w:color w:val="000000"/>
          <w:szCs w:val="22"/>
        </w:rPr>
        <w:t>sirupo poveikis sekreto skystėjimui. Todėl gydymosi metu reikia gerti pakankamai skysčių.</w:t>
      </w:r>
    </w:p>
    <w:p w:rsidR="0079123E" w:rsidRPr="00EF3181" w:rsidRDefault="0079123E" w:rsidP="0079123E">
      <w:pPr>
        <w:pStyle w:val="Pagrindinistekstas"/>
        <w:spacing w:after="0"/>
        <w:rPr>
          <w:color w:val="000000"/>
          <w:szCs w:val="22"/>
        </w:rPr>
      </w:pPr>
      <w:r w:rsidRPr="00EF3181">
        <w:rPr>
          <w:color w:val="000000"/>
          <w:szCs w:val="22"/>
        </w:rPr>
        <w:t>Vaisto vartojimo trukmę, atsižvelgiant į ligos sunkumą, nustato gydytojas. Jei vaisto geriate be gydytojo nurodymų, tai nevartokite</w:t>
      </w:r>
      <w:r w:rsidRPr="00EF3181">
        <w:rPr>
          <w:szCs w:val="22"/>
        </w:rPr>
        <w:t xml:space="preserve"> </w:t>
      </w:r>
      <w:r w:rsidRPr="00EF3181">
        <w:rPr>
          <w:bCs/>
          <w:szCs w:val="22"/>
        </w:rPr>
        <w:t>Brontex</w:t>
      </w:r>
      <w:r w:rsidRPr="00EF3181">
        <w:rPr>
          <w:color w:val="000000"/>
          <w:szCs w:val="22"/>
        </w:rPr>
        <w:t xml:space="preserve"> sirupo ilgiau negu 4-5 paras.</w:t>
      </w:r>
      <w:r w:rsidRPr="00EF3181">
        <w:rPr>
          <w:color w:val="000000"/>
          <w:szCs w:val="22"/>
        </w:rPr>
        <w:br/>
      </w:r>
    </w:p>
    <w:p w:rsidR="0079123E" w:rsidRPr="00EF3181" w:rsidRDefault="0079123E" w:rsidP="0079123E">
      <w:pPr>
        <w:pStyle w:val="Pagrindinistekstas"/>
        <w:spacing w:after="0"/>
        <w:rPr>
          <w:szCs w:val="22"/>
        </w:rPr>
      </w:pPr>
      <w:r w:rsidRPr="00EF3181">
        <w:rPr>
          <w:color w:val="000000"/>
          <w:szCs w:val="22"/>
        </w:rPr>
        <w:t>Jei gydytojas nenurodė kitaip, vaisto reikėtų vartoti tokiu būdu:</w:t>
      </w:r>
    </w:p>
    <w:p w:rsidR="0079123E" w:rsidRPr="00EF3181" w:rsidRDefault="0079123E" w:rsidP="0079123E">
      <w:pPr>
        <w:pStyle w:val="Pagrindinistekstas"/>
        <w:spacing w:after="0"/>
        <w:rPr>
          <w:color w:val="000000"/>
          <w:szCs w:val="22"/>
        </w:rPr>
      </w:pPr>
    </w:p>
    <w:p w:rsidR="0079123E" w:rsidRPr="00EF3181" w:rsidRDefault="0079123E" w:rsidP="0079123E">
      <w:pPr>
        <w:pStyle w:val="Pagrindinistekstas"/>
        <w:spacing w:after="0"/>
        <w:rPr>
          <w:color w:val="000000"/>
          <w:szCs w:val="22"/>
        </w:rPr>
      </w:pPr>
      <w:r w:rsidRPr="00EF3181">
        <w:rPr>
          <w:color w:val="000000"/>
          <w:szCs w:val="22"/>
          <w:u w:val="single"/>
        </w:rPr>
        <w:t>2-5 metų vaikai</w:t>
      </w:r>
    </w:p>
    <w:p w:rsidR="0079123E" w:rsidRPr="00EF3181" w:rsidRDefault="0079123E" w:rsidP="0079123E">
      <w:pPr>
        <w:pStyle w:val="Pagrindinistekstas"/>
        <w:spacing w:after="0"/>
        <w:rPr>
          <w:color w:val="000000"/>
          <w:szCs w:val="22"/>
          <w:u w:val="single"/>
        </w:rPr>
      </w:pPr>
      <w:r w:rsidRPr="00EF3181">
        <w:rPr>
          <w:color w:val="000000"/>
          <w:szCs w:val="22"/>
        </w:rPr>
        <w:t>Paprastai geriama 3 kartus per dieną po ½ matavimo taurelės - 2,5</w:t>
      </w:r>
      <w:r>
        <w:rPr>
          <w:color w:val="000000"/>
          <w:szCs w:val="22"/>
        </w:rPr>
        <w:t> </w:t>
      </w:r>
      <w:r w:rsidRPr="00EF3181">
        <w:rPr>
          <w:color w:val="000000"/>
          <w:szCs w:val="22"/>
        </w:rPr>
        <w:t>ml sirupo (tai atitinka 22,5</w:t>
      </w:r>
      <w:r>
        <w:rPr>
          <w:color w:val="000000"/>
          <w:szCs w:val="22"/>
        </w:rPr>
        <w:t> </w:t>
      </w:r>
      <w:r w:rsidRPr="00EF3181">
        <w:rPr>
          <w:color w:val="000000"/>
          <w:szCs w:val="22"/>
        </w:rPr>
        <w:t>mg ambroksolio hidrochlorido per parą).</w:t>
      </w:r>
    </w:p>
    <w:p w:rsidR="0079123E" w:rsidRPr="00EF3181" w:rsidRDefault="0079123E" w:rsidP="0079123E">
      <w:pPr>
        <w:pStyle w:val="Pagrindinistekstas"/>
        <w:spacing w:after="0"/>
        <w:rPr>
          <w:color w:val="000000"/>
          <w:szCs w:val="22"/>
          <w:u w:val="single"/>
        </w:rPr>
      </w:pPr>
    </w:p>
    <w:p w:rsidR="0079123E" w:rsidRPr="00EF3181" w:rsidRDefault="0079123E" w:rsidP="0079123E">
      <w:pPr>
        <w:pStyle w:val="Pagrindinistekstas"/>
        <w:spacing w:after="0"/>
        <w:rPr>
          <w:color w:val="000000"/>
          <w:szCs w:val="22"/>
        </w:rPr>
      </w:pPr>
      <w:r w:rsidRPr="00EF3181">
        <w:rPr>
          <w:color w:val="000000"/>
          <w:szCs w:val="22"/>
          <w:u w:val="single"/>
        </w:rPr>
        <w:t>6-12 metų vaikai</w:t>
      </w:r>
    </w:p>
    <w:p w:rsidR="0079123E" w:rsidRPr="00EF3181" w:rsidRDefault="0079123E" w:rsidP="0079123E">
      <w:pPr>
        <w:pStyle w:val="Pagrindinistekstas"/>
        <w:spacing w:after="0"/>
        <w:rPr>
          <w:color w:val="000000"/>
          <w:szCs w:val="22"/>
          <w:u w:val="single"/>
        </w:rPr>
      </w:pPr>
      <w:r w:rsidRPr="00EF3181">
        <w:rPr>
          <w:color w:val="000000"/>
          <w:szCs w:val="22"/>
        </w:rPr>
        <w:t>Paprastai vartojama 2-3 kartus per parą po vieną matavimo taurelę, kuri</w:t>
      </w:r>
      <w:r>
        <w:rPr>
          <w:color w:val="000000"/>
          <w:szCs w:val="22"/>
        </w:rPr>
        <w:t>oj</w:t>
      </w:r>
      <w:r w:rsidRPr="00EF3181">
        <w:rPr>
          <w:color w:val="000000"/>
          <w:szCs w:val="22"/>
        </w:rPr>
        <w:t>e yra 5</w:t>
      </w:r>
      <w:r>
        <w:rPr>
          <w:color w:val="000000"/>
          <w:szCs w:val="22"/>
        </w:rPr>
        <w:t> </w:t>
      </w:r>
      <w:r w:rsidRPr="00EF3181">
        <w:rPr>
          <w:color w:val="000000"/>
          <w:szCs w:val="22"/>
        </w:rPr>
        <w:t>ml sirupo (tai atitinka 30-45</w:t>
      </w:r>
      <w:r>
        <w:rPr>
          <w:color w:val="000000"/>
          <w:szCs w:val="22"/>
        </w:rPr>
        <w:t> </w:t>
      </w:r>
      <w:r w:rsidRPr="00EF3181">
        <w:rPr>
          <w:color w:val="000000"/>
          <w:szCs w:val="22"/>
        </w:rPr>
        <w:t>mg ambroksolio hidrochlorido per parą).</w:t>
      </w:r>
    </w:p>
    <w:p w:rsidR="0079123E" w:rsidRPr="00EF3181" w:rsidRDefault="0079123E" w:rsidP="0079123E">
      <w:pPr>
        <w:pStyle w:val="Pagrindinistekstas"/>
        <w:spacing w:after="0"/>
        <w:rPr>
          <w:color w:val="000000"/>
          <w:szCs w:val="22"/>
          <w:u w:val="single"/>
        </w:rPr>
      </w:pPr>
    </w:p>
    <w:p w:rsidR="0079123E" w:rsidRPr="00EF3181" w:rsidRDefault="0079123E" w:rsidP="0079123E">
      <w:pPr>
        <w:pStyle w:val="Pagrindinistekstas"/>
        <w:spacing w:after="0"/>
        <w:rPr>
          <w:color w:val="000000"/>
          <w:szCs w:val="22"/>
        </w:rPr>
      </w:pPr>
      <w:r w:rsidRPr="00EF3181">
        <w:rPr>
          <w:color w:val="000000"/>
          <w:szCs w:val="22"/>
          <w:u w:val="single"/>
        </w:rPr>
        <w:t>Suaugusieji ir vyresni kaip 12 metų vaikai</w:t>
      </w:r>
    </w:p>
    <w:p w:rsidR="0079123E" w:rsidRPr="00EF3181" w:rsidRDefault="0079123E" w:rsidP="0079123E">
      <w:pPr>
        <w:pStyle w:val="Pagrindinistekstas"/>
        <w:spacing w:after="0"/>
        <w:rPr>
          <w:color w:val="000000"/>
          <w:szCs w:val="22"/>
        </w:rPr>
      </w:pPr>
      <w:r w:rsidRPr="00EF3181">
        <w:rPr>
          <w:color w:val="000000"/>
          <w:szCs w:val="22"/>
        </w:rPr>
        <w:t>Paprastai geriama pirmąsias 2-3 paras 3 kartus per parą po 2 matavimo taureles, kiekvien</w:t>
      </w:r>
      <w:r>
        <w:rPr>
          <w:color w:val="000000"/>
          <w:szCs w:val="22"/>
        </w:rPr>
        <w:t>oje</w:t>
      </w:r>
      <w:r w:rsidRPr="00EF3181">
        <w:rPr>
          <w:color w:val="000000"/>
          <w:szCs w:val="22"/>
        </w:rPr>
        <w:t xml:space="preserve"> yra po 5</w:t>
      </w:r>
      <w:r>
        <w:rPr>
          <w:color w:val="000000"/>
          <w:szCs w:val="22"/>
        </w:rPr>
        <w:t> </w:t>
      </w:r>
      <w:r w:rsidRPr="00EF3181">
        <w:rPr>
          <w:color w:val="000000"/>
          <w:szCs w:val="22"/>
        </w:rPr>
        <w:t>ml sirupo (tai atitinka 60-90</w:t>
      </w:r>
      <w:r>
        <w:rPr>
          <w:color w:val="000000"/>
          <w:szCs w:val="22"/>
        </w:rPr>
        <w:t> </w:t>
      </w:r>
      <w:r w:rsidRPr="00EF3181">
        <w:rPr>
          <w:color w:val="000000"/>
          <w:szCs w:val="22"/>
        </w:rPr>
        <w:t xml:space="preserve">mg ambroksolio hidrochlorido per parą), paskui – 2 kartus per parą po 2 </w:t>
      </w:r>
      <w:r>
        <w:rPr>
          <w:color w:val="000000"/>
          <w:szCs w:val="22"/>
        </w:rPr>
        <w:t>matavimo</w:t>
      </w:r>
      <w:r w:rsidRPr="00EF3181">
        <w:rPr>
          <w:color w:val="000000"/>
          <w:szCs w:val="22"/>
        </w:rPr>
        <w:t xml:space="preserve"> taureles, kurių kiekvien</w:t>
      </w:r>
      <w:r>
        <w:rPr>
          <w:color w:val="000000"/>
          <w:szCs w:val="22"/>
        </w:rPr>
        <w:t>oje</w:t>
      </w:r>
      <w:r w:rsidRPr="00EF3181">
        <w:rPr>
          <w:color w:val="000000"/>
          <w:szCs w:val="22"/>
        </w:rPr>
        <w:t xml:space="preserve"> yra po 5</w:t>
      </w:r>
      <w:r>
        <w:rPr>
          <w:color w:val="000000"/>
          <w:szCs w:val="22"/>
        </w:rPr>
        <w:t> </w:t>
      </w:r>
      <w:r w:rsidRPr="00EF3181">
        <w:rPr>
          <w:color w:val="000000"/>
          <w:szCs w:val="22"/>
        </w:rPr>
        <w:t>ml sirupo (tai atitinka 60</w:t>
      </w:r>
      <w:r>
        <w:rPr>
          <w:color w:val="000000"/>
          <w:szCs w:val="22"/>
        </w:rPr>
        <w:t> </w:t>
      </w:r>
      <w:r w:rsidRPr="00EF3181">
        <w:rPr>
          <w:color w:val="000000"/>
          <w:szCs w:val="22"/>
        </w:rPr>
        <w:t>mg ambroksolio hidrochlorido per parą).</w:t>
      </w:r>
    </w:p>
    <w:p w:rsidR="0079123E" w:rsidRDefault="0079123E" w:rsidP="0079123E">
      <w:pPr>
        <w:pStyle w:val="Pagrindinistekstas"/>
        <w:spacing w:after="0"/>
        <w:rPr>
          <w:color w:val="000000"/>
          <w:szCs w:val="22"/>
          <w:u w:val="single"/>
        </w:rPr>
      </w:pPr>
    </w:p>
    <w:p w:rsidR="0079123E" w:rsidRPr="00EF3181" w:rsidRDefault="0079123E" w:rsidP="0079123E">
      <w:pPr>
        <w:pStyle w:val="Pagrindinistekstas"/>
        <w:spacing w:after="0"/>
        <w:rPr>
          <w:color w:val="000000"/>
          <w:szCs w:val="22"/>
          <w:u w:val="single"/>
        </w:rPr>
      </w:pPr>
      <w:r>
        <w:rPr>
          <w:color w:val="000000"/>
          <w:szCs w:val="22"/>
          <w:u w:val="single"/>
        </w:rPr>
        <w:t>Pakuotėje yra matavimo taurelė.</w:t>
      </w:r>
    </w:p>
    <w:p w:rsidR="0079123E" w:rsidRDefault="0079123E" w:rsidP="0079123E">
      <w:pPr>
        <w:pStyle w:val="Pagrindinistekstas"/>
        <w:spacing w:after="0"/>
        <w:rPr>
          <w:color w:val="000000"/>
          <w:szCs w:val="22"/>
          <w:u w:val="single"/>
        </w:rPr>
      </w:pPr>
    </w:p>
    <w:p w:rsidR="0079123E" w:rsidRPr="00EF3181" w:rsidRDefault="0079123E" w:rsidP="0079123E">
      <w:pPr>
        <w:pStyle w:val="Pagrindinistekstas"/>
        <w:spacing w:after="0"/>
        <w:rPr>
          <w:color w:val="000000"/>
          <w:szCs w:val="22"/>
        </w:rPr>
      </w:pPr>
      <w:r w:rsidRPr="00EF3181">
        <w:rPr>
          <w:color w:val="000000"/>
          <w:szCs w:val="22"/>
          <w:u w:val="single"/>
        </w:rPr>
        <w:t>Nuoroda</w:t>
      </w:r>
    </w:p>
    <w:p w:rsidR="0079123E" w:rsidRPr="00EF3181" w:rsidRDefault="0079123E" w:rsidP="0079123E">
      <w:pPr>
        <w:pStyle w:val="Pagrindinistekstas"/>
        <w:spacing w:after="0"/>
        <w:rPr>
          <w:szCs w:val="22"/>
        </w:rPr>
      </w:pPr>
      <w:r w:rsidRPr="00EF3181">
        <w:rPr>
          <w:color w:val="000000"/>
          <w:szCs w:val="22"/>
        </w:rPr>
        <w:t>Jei Jums sutrikusi inkstų funkcija arba sergate sunkia kepenų liga, gydytojui nurodžius, vaisto dozę reikia sumažinti arba tarp vaisto vartojimo daryti ilgesnes pertraukas.</w:t>
      </w:r>
    </w:p>
    <w:p w:rsidR="0079123E" w:rsidRPr="00EF3181" w:rsidRDefault="0079123E" w:rsidP="0079123E">
      <w:pPr>
        <w:pStyle w:val="Pagrindinistekstas"/>
        <w:spacing w:after="0"/>
        <w:rPr>
          <w:szCs w:val="22"/>
        </w:rPr>
      </w:pPr>
      <w:r w:rsidRPr="00EF3181">
        <w:rPr>
          <w:szCs w:val="22"/>
        </w:rPr>
        <w:t>Jeigu manote, kad Brontex veikia per stipriai arba per silpnai, kreipkitės į gydytoją arba vaistininką.</w:t>
      </w:r>
    </w:p>
    <w:p w:rsidR="0079123E" w:rsidRPr="00EF3181" w:rsidRDefault="0079123E" w:rsidP="0079123E">
      <w:pPr>
        <w:pStyle w:val="BTEMEASMCA"/>
      </w:pPr>
    </w:p>
    <w:p w:rsidR="0079123E" w:rsidRPr="00EF3181" w:rsidRDefault="0079123E" w:rsidP="0079123E">
      <w:pPr>
        <w:pStyle w:val="PI-3EMEASMCA"/>
      </w:pPr>
      <w:r w:rsidRPr="00EF3181">
        <w:t>Ką daryti pavartojus per didelę Brontex dozę?</w:t>
      </w:r>
    </w:p>
    <w:p w:rsidR="0079123E" w:rsidRPr="00EF3181" w:rsidRDefault="0079123E" w:rsidP="0079123E">
      <w:pPr>
        <w:pStyle w:val="Pagrindinistekstas"/>
        <w:spacing w:after="0"/>
        <w:rPr>
          <w:color w:val="000000"/>
          <w:szCs w:val="22"/>
        </w:rPr>
      </w:pPr>
      <w:r w:rsidRPr="00EF3181">
        <w:rPr>
          <w:color w:val="000000"/>
          <w:szCs w:val="22"/>
        </w:rPr>
        <w:t>Perdozavus ambroksolio, apsinuodijimo požymių nepastebėta. Pranešama apie trumpalaikį sujaudinimą ir viduriavimą. Atsitiktinai ar sąmoningai labai perdozavus vaisto, gali atsirasti šių požymių: gausus seilėtekis, springimas, vėmimas, sumažėjęs kraujospūdis.</w:t>
      </w:r>
    </w:p>
    <w:p w:rsidR="0079123E" w:rsidRPr="00EF3181" w:rsidRDefault="0079123E" w:rsidP="0079123E">
      <w:pPr>
        <w:pStyle w:val="Pagrindinistekstas"/>
        <w:spacing w:after="0"/>
        <w:rPr>
          <w:szCs w:val="22"/>
        </w:rPr>
      </w:pPr>
      <w:r w:rsidRPr="00EF3181">
        <w:rPr>
          <w:color w:val="000000"/>
          <w:szCs w:val="22"/>
        </w:rPr>
        <w:t xml:space="preserve">Jei </w:t>
      </w:r>
      <w:r w:rsidRPr="00EF3181">
        <w:rPr>
          <w:bCs/>
          <w:szCs w:val="22"/>
        </w:rPr>
        <w:t>Brontex</w:t>
      </w:r>
      <w:r w:rsidRPr="00EF3181">
        <w:rPr>
          <w:szCs w:val="22"/>
        </w:rPr>
        <w:t xml:space="preserve"> </w:t>
      </w:r>
      <w:r w:rsidRPr="00EF3181">
        <w:rPr>
          <w:color w:val="000000"/>
          <w:szCs w:val="22"/>
        </w:rPr>
        <w:t>išgėrėte pernelyg daug ir atsirado aukščiau minėtų požymių, kreipkitės į gydytoją. Perdozavus vaisto, kreipkitės į gydytoją. Skubios gydymo priemonės - vėmimo sukėlimas ir skrandžio plovimas - paprastai nėra tinkamos; jas galima bandyti taikyti tik atsiradus perdozavimo požymių. Reikėtų naudoti priemones, skirtas gydyti tiems simptomams, kurių atsiranda perdozavus vaisto.</w:t>
      </w:r>
    </w:p>
    <w:p w:rsidR="0079123E" w:rsidRPr="0018262C" w:rsidRDefault="0079123E" w:rsidP="0079123E">
      <w:pPr>
        <w:pStyle w:val="BTEMEASMCA"/>
      </w:pPr>
    </w:p>
    <w:p w:rsidR="0079123E" w:rsidRPr="00EF3181" w:rsidRDefault="0079123E" w:rsidP="0079123E">
      <w:pPr>
        <w:pStyle w:val="PI-3EMEASMCA"/>
      </w:pPr>
      <w:r w:rsidRPr="00EF3181">
        <w:t>Pamiršus pavartoti Brontex</w:t>
      </w:r>
    </w:p>
    <w:p w:rsidR="0079123E" w:rsidRPr="0018262C" w:rsidRDefault="0079123E" w:rsidP="0079123E">
      <w:pPr>
        <w:pStyle w:val="BTEMEASMCA"/>
      </w:pPr>
      <w:r w:rsidRPr="0018262C">
        <w:t xml:space="preserve">Jei pamirštama išgerti </w:t>
      </w:r>
      <w:r w:rsidRPr="00EF3181">
        <w:rPr>
          <w:bCs/>
        </w:rPr>
        <w:t>Brontex</w:t>
      </w:r>
      <w:r w:rsidRPr="0018262C">
        <w:t xml:space="preserve"> ar jo buvo išgerta pernelyg mažai, nereikia gerti jo daugiau; </w:t>
      </w:r>
      <w:r w:rsidRPr="00EF3181">
        <w:t>negalima vartoti dvigubos dozės norint kompensuoti praleistą dozę</w:t>
      </w:r>
      <w:r w:rsidRPr="0018262C">
        <w:t>. Toliau vartokite vaistą gydytojo nurodyta tvarka.</w:t>
      </w:r>
    </w:p>
    <w:p w:rsidR="0079123E" w:rsidRPr="00EF3181" w:rsidRDefault="0079123E" w:rsidP="0079123E">
      <w:pPr>
        <w:pStyle w:val="BTEMEASMCA"/>
      </w:pPr>
    </w:p>
    <w:p w:rsidR="0079123E" w:rsidRPr="00EF3181" w:rsidRDefault="0079123E" w:rsidP="0079123E">
      <w:pPr>
        <w:pStyle w:val="PI-3EMEASMCA"/>
      </w:pPr>
      <w:r w:rsidRPr="00EF3181">
        <w:t>Nustojus vartoti Brontex</w:t>
      </w:r>
    </w:p>
    <w:p w:rsidR="0079123E" w:rsidRPr="00EF3181" w:rsidRDefault="0079123E" w:rsidP="0079123E">
      <w:pPr>
        <w:pStyle w:val="Pagrindinistekstas"/>
        <w:spacing w:after="0"/>
        <w:rPr>
          <w:szCs w:val="22"/>
        </w:rPr>
      </w:pPr>
      <w:r w:rsidRPr="00EF3181">
        <w:rPr>
          <w:szCs w:val="22"/>
        </w:rPr>
        <w:t>Nepasitarę su gydytoju, nenutraukite vaisto vartojimo, nes gali pablogėti ligos eiga.</w:t>
      </w:r>
    </w:p>
    <w:p w:rsidR="0079123E" w:rsidRPr="00EF3181" w:rsidRDefault="0079123E" w:rsidP="0079123E">
      <w:pPr>
        <w:pStyle w:val="BTEMEASMCA"/>
      </w:pPr>
    </w:p>
    <w:p w:rsidR="0079123E" w:rsidRPr="00EF3181" w:rsidRDefault="0079123E" w:rsidP="0079123E">
      <w:pPr>
        <w:pStyle w:val="BTEMEASMCA"/>
      </w:pPr>
      <w:r w:rsidRPr="00EF3181">
        <w:t>Jeigu kiltų daugiau klausimų dėl šio vaisto vartojimo, kreipkitės į gydytoją arba vaistininką.</w:t>
      </w:r>
    </w:p>
    <w:p w:rsidR="0079123E" w:rsidRDefault="0079123E" w:rsidP="0079123E">
      <w:pPr>
        <w:pStyle w:val="BTEMEASMCA"/>
        <w:rPr>
          <w:lang w:val="lt-LT"/>
        </w:rPr>
      </w:pPr>
    </w:p>
    <w:p w:rsidR="0079123E" w:rsidRPr="00646F48" w:rsidRDefault="0079123E" w:rsidP="0079123E">
      <w:pPr>
        <w:pStyle w:val="BTEMEASMCA"/>
        <w:rPr>
          <w:lang w:val="lt-LT"/>
        </w:rPr>
      </w:pPr>
    </w:p>
    <w:p w:rsidR="0079123E" w:rsidRPr="00EF3181" w:rsidRDefault="0079123E" w:rsidP="0079123E">
      <w:pPr>
        <w:pStyle w:val="PI-1EMEASMCA"/>
      </w:pPr>
      <w:bookmarkStart w:id="8" w:name="_Toc129243142"/>
      <w:bookmarkStart w:id="9" w:name="_Toc129243267"/>
      <w:r w:rsidRPr="00EF3181">
        <w:t>4.</w:t>
      </w:r>
      <w:r w:rsidRPr="00EF3181">
        <w:tab/>
        <w:t>Galimas šalutinis poveikis</w:t>
      </w:r>
      <w:bookmarkEnd w:id="8"/>
      <w:bookmarkEnd w:id="9"/>
    </w:p>
    <w:p w:rsidR="0079123E" w:rsidRPr="00EF3181" w:rsidRDefault="0079123E" w:rsidP="0079123E">
      <w:pPr>
        <w:pStyle w:val="BTEMEASMCA"/>
      </w:pPr>
    </w:p>
    <w:p w:rsidR="0079123E" w:rsidRPr="00EF3181" w:rsidRDefault="0079123E" w:rsidP="0079123E">
      <w:pPr>
        <w:pStyle w:val="BTEMEASMCA"/>
      </w:pPr>
      <w:r w:rsidRPr="00EF3181">
        <w:t>Šis vaistas, kaip ir visi kiti, gali sukelti šalutinį poveikį, nors jis pasireiškia ne visiems žmonėms.</w:t>
      </w:r>
    </w:p>
    <w:p w:rsidR="0079123E" w:rsidRDefault="0079123E" w:rsidP="0079123E">
      <w:pPr>
        <w:rPr>
          <w:sz w:val="22"/>
          <w:szCs w:val="22"/>
        </w:rPr>
      </w:pPr>
    </w:p>
    <w:p w:rsidR="0079123E" w:rsidRPr="00EF3181" w:rsidRDefault="0079123E" w:rsidP="0079123E">
      <w:pPr>
        <w:rPr>
          <w:sz w:val="22"/>
          <w:szCs w:val="22"/>
        </w:rPr>
      </w:pPr>
      <w:r w:rsidRPr="00EF3181">
        <w:rPr>
          <w:sz w:val="22"/>
          <w:szCs w:val="22"/>
        </w:rPr>
        <w:t>Paprastai ambroksolio hidrochloridas toleruojamas gerai.</w:t>
      </w:r>
    </w:p>
    <w:p w:rsidR="0079123E" w:rsidRPr="00EF3181" w:rsidRDefault="0079123E" w:rsidP="0079123E">
      <w:pPr>
        <w:rPr>
          <w:sz w:val="22"/>
          <w:szCs w:val="22"/>
        </w:rPr>
      </w:pPr>
    </w:p>
    <w:p w:rsidR="0079123E" w:rsidRPr="00EF3181" w:rsidRDefault="0079123E" w:rsidP="0079123E">
      <w:pPr>
        <w:tabs>
          <w:tab w:val="left" w:pos="567"/>
        </w:tabs>
        <w:rPr>
          <w:i/>
          <w:sz w:val="22"/>
          <w:szCs w:val="22"/>
        </w:rPr>
      </w:pPr>
    </w:p>
    <w:p w:rsidR="0079123E" w:rsidRPr="00EF3181" w:rsidRDefault="0079123E" w:rsidP="0079123E">
      <w:pPr>
        <w:tabs>
          <w:tab w:val="left" w:pos="567"/>
        </w:tabs>
        <w:rPr>
          <w:sz w:val="22"/>
          <w:szCs w:val="22"/>
        </w:rPr>
      </w:pPr>
      <w:r w:rsidRPr="009458AA">
        <w:rPr>
          <w:b/>
          <w:bCs/>
          <w:sz w:val="22"/>
          <w:szCs w:val="22"/>
        </w:rPr>
        <w:t xml:space="preserve">Nedažni </w:t>
      </w:r>
      <w:r w:rsidRPr="008245D3">
        <w:rPr>
          <w:b/>
          <w:bCs/>
          <w:sz w:val="22"/>
          <w:szCs w:val="22"/>
        </w:rPr>
        <w:t>šalutinio poveikio reiškiniai (gali pasireikšti rečiau kaip 1 iš 100 asmenų)</w:t>
      </w:r>
      <w:r w:rsidRPr="009458AA">
        <w:rPr>
          <w:b/>
          <w:bCs/>
          <w:sz w:val="22"/>
          <w:szCs w:val="22"/>
        </w:rPr>
        <w:t>:</w:t>
      </w:r>
      <w:r w:rsidRPr="00EF3181">
        <w:rPr>
          <w:sz w:val="22"/>
          <w:szCs w:val="22"/>
        </w:rPr>
        <w:t xml:space="preserve"> </w:t>
      </w:r>
      <w:r>
        <w:rPr>
          <w:sz w:val="22"/>
          <w:szCs w:val="22"/>
        </w:rPr>
        <w:t>n</w:t>
      </w:r>
      <w:r w:rsidRPr="00EF3181">
        <w:rPr>
          <w:sz w:val="22"/>
          <w:szCs w:val="22"/>
        </w:rPr>
        <w:t xml:space="preserve">evirškinimas, bei kitokie silpni virškinimo trakto sutrikimo simptomai, pykinimas, vėmimas. </w:t>
      </w:r>
    </w:p>
    <w:p w:rsidR="0079123E" w:rsidRDefault="0079123E" w:rsidP="0079123E">
      <w:pPr>
        <w:tabs>
          <w:tab w:val="left" w:pos="567"/>
        </w:tabs>
        <w:rPr>
          <w:b/>
          <w:bCs/>
          <w:sz w:val="22"/>
          <w:szCs w:val="22"/>
        </w:rPr>
      </w:pPr>
    </w:p>
    <w:p w:rsidR="0079123E" w:rsidRPr="00EF3181" w:rsidRDefault="0079123E" w:rsidP="0079123E">
      <w:pPr>
        <w:tabs>
          <w:tab w:val="left" w:pos="567"/>
        </w:tabs>
        <w:rPr>
          <w:sz w:val="22"/>
          <w:szCs w:val="22"/>
        </w:rPr>
      </w:pPr>
      <w:r w:rsidRPr="00646F48">
        <w:rPr>
          <w:b/>
          <w:bCs/>
          <w:sz w:val="22"/>
          <w:szCs w:val="22"/>
        </w:rPr>
        <w:t xml:space="preserve">Reti šalutinio poveikio reiškiniai </w:t>
      </w:r>
      <w:r w:rsidRPr="008245D3">
        <w:rPr>
          <w:b/>
          <w:bCs/>
          <w:sz w:val="22"/>
          <w:szCs w:val="22"/>
        </w:rPr>
        <w:t>(gali pasireikšti rečiau kaip 1 iš 1 000 asmenų)</w:t>
      </w:r>
      <w:r w:rsidRPr="00646F48">
        <w:rPr>
          <w:b/>
          <w:bCs/>
          <w:sz w:val="22"/>
          <w:szCs w:val="22"/>
        </w:rPr>
        <w:t xml:space="preserve">: </w:t>
      </w:r>
      <w:r>
        <w:rPr>
          <w:sz w:val="22"/>
          <w:szCs w:val="22"/>
        </w:rPr>
        <w:t>padidėjusio jautrumo reakcijos,</w:t>
      </w:r>
      <w:r w:rsidRPr="00EF3181">
        <w:rPr>
          <w:sz w:val="22"/>
          <w:szCs w:val="22"/>
        </w:rPr>
        <w:t xml:space="preserve"> išbėrimas, dilgėlinė, angioneurozinė edema</w:t>
      </w:r>
      <w:r>
        <w:rPr>
          <w:sz w:val="22"/>
          <w:szCs w:val="22"/>
        </w:rPr>
        <w:t>,</w:t>
      </w:r>
      <w:r w:rsidRPr="008245D3">
        <w:rPr>
          <w:sz w:val="22"/>
          <w:szCs w:val="22"/>
        </w:rPr>
        <w:t xml:space="preserve"> </w:t>
      </w:r>
      <w:r>
        <w:rPr>
          <w:sz w:val="22"/>
          <w:szCs w:val="22"/>
        </w:rPr>
        <w:t>s</w:t>
      </w:r>
      <w:r w:rsidRPr="00EF3181">
        <w:rPr>
          <w:sz w:val="22"/>
          <w:szCs w:val="22"/>
        </w:rPr>
        <w:t>ekreto tekėjimas iš nosies</w:t>
      </w:r>
      <w:r>
        <w:rPr>
          <w:sz w:val="22"/>
          <w:szCs w:val="22"/>
        </w:rPr>
        <w:t>, s</w:t>
      </w:r>
      <w:r w:rsidRPr="00EF3181">
        <w:rPr>
          <w:sz w:val="22"/>
          <w:szCs w:val="22"/>
        </w:rPr>
        <w:t>eilėtekis, rėmuo, viduriavimas</w:t>
      </w:r>
      <w:r>
        <w:rPr>
          <w:sz w:val="22"/>
          <w:szCs w:val="22"/>
        </w:rPr>
        <w:t xml:space="preserve">, </w:t>
      </w:r>
      <w:r>
        <w:rPr>
          <w:sz w:val="22"/>
          <w:szCs w:val="22"/>
          <w:lang w:val="pt-PT"/>
        </w:rPr>
        <w:t>š</w:t>
      </w:r>
      <w:r w:rsidRPr="00EF3181">
        <w:rPr>
          <w:sz w:val="22"/>
          <w:szCs w:val="22"/>
          <w:lang w:val="pt-PT"/>
        </w:rPr>
        <w:t>lapinimosi sutrikimai</w:t>
      </w:r>
      <w:r>
        <w:rPr>
          <w:sz w:val="22"/>
          <w:szCs w:val="22"/>
          <w:lang w:val="pt-PT"/>
        </w:rPr>
        <w:t>,</w:t>
      </w:r>
      <w:r w:rsidRPr="008245D3">
        <w:rPr>
          <w:sz w:val="22"/>
          <w:szCs w:val="22"/>
        </w:rPr>
        <w:t xml:space="preserve"> </w:t>
      </w:r>
      <w:r w:rsidRPr="00056A1B">
        <w:rPr>
          <w:sz w:val="22"/>
          <w:szCs w:val="22"/>
        </w:rPr>
        <w:t>išbėrimas, dilgėlinė</w:t>
      </w:r>
      <w:r w:rsidRPr="00EF3181">
        <w:rPr>
          <w:sz w:val="22"/>
          <w:szCs w:val="22"/>
        </w:rPr>
        <w:t>.</w:t>
      </w:r>
    </w:p>
    <w:p w:rsidR="0079123E" w:rsidRDefault="0079123E" w:rsidP="0079123E">
      <w:pPr>
        <w:tabs>
          <w:tab w:val="left" w:pos="567"/>
        </w:tabs>
        <w:rPr>
          <w:sz w:val="22"/>
          <w:szCs w:val="22"/>
        </w:rPr>
      </w:pPr>
    </w:p>
    <w:p w:rsidR="0079123E" w:rsidRDefault="0079123E" w:rsidP="0079123E">
      <w:pPr>
        <w:tabs>
          <w:tab w:val="left" w:pos="567"/>
        </w:tabs>
        <w:rPr>
          <w:sz w:val="22"/>
          <w:szCs w:val="22"/>
        </w:rPr>
      </w:pPr>
    </w:p>
    <w:p w:rsidR="0079123E" w:rsidRPr="00EF3181" w:rsidRDefault="0079123E" w:rsidP="0079123E">
      <w:pPr>
        <w:tabs>
          <w:tab w:val="left" w:pos="567"/>
        </w:tabs>
        <w:rPr>
          <w:sz w:val="22"/>
          <w:szCs w:val="22"/>
        </w:rPr>
      </w:pPr>
      <w:r w:rsidRPr="00646F48">
        <w:rPr>
          <w:b/>
          <w:bCs/>
          <w:sz w:val="22"/>
          <w:szCs w:val="22"/>
        </w:rPr>
        <w:t xml:space="preserve">Labai reti </w:t>
      </w:r>
      <w:r w:rsidRPr="008245D3">
        <w:rPr>
          <w:b/>
          <w:bCs/>
          <w:sz w:val="22"/>
          <w:szCs w:val="22"/>
        </w:rPr>
        <w:t>šalutinio poveikio reiškiniai (gali pasireikšti rečiau kaip 1 iš 10 000 asmenų)</w:t>
      </w:r>
      <w:r w:rsidRPr="00646F48">
        <w:rPr>
          <w:b/>
          <w:bCs/>
          <w:sz w:val="22"/>
          <w:szCs w:val="22"/>
        </w:rPr>
        <w:t>:</w:t>
      </w:r>
      <w:r w:rsidRPr="00EF3181">
        <w:rPr>
          <w:sz w:val="22"/>
          <w:szCs w:val="22"/>
        </w:rPr>
        <w:t xml:space="preserve"> </w:t>
      </w:r>
      <w:r>
        <w:rPr>
          <w:sz w:val="22"/>
          <w:szCs w:val="22"/>
        </w:rPr>
        <w:t>a</w:t>
      </w:r>
      <w:r w:rsidRPr="00EF3181">
        <w:rPr>
          <w:sz w:val="22"/>
          <w:szCs w:val="22"/>
        </w:rPr>
        <w:t>nafilaksinės reakcijos, įskaitant anafilaksinį šoką (veido pabrinkimas, dusulys, temperatūros padidėjimas, drebulys), kitos alerginės reakcijos.</w:t>
      </w:r>
    </w:p>
    <w:p w:rsidR="0079123E" w:rsidRPr="00EF3181" w:rsidRDefault="0079123E" w:rsidP="0079123E">
      <w:pPr>
        <w:tabs>
          <w:tab w:val="left" w:pos="567"/>
        </w:tabs>
        <w:rPr>
          <w:i/>
          <w:noProof/>
          <w:sz w:val="22"/>
          <w:szCs w:val="22"/>
        </w:rPr>
      </w:pPr>
    </w:p>
    <w:p w:rsidR="0079123E" w:rsidRPr="00E543C9" w:rsidRDefault="0079123E" w:rsidP="0079123E">
      <w:pPr>
        <w:pStyle w:val="Default"/>
        <w:rPr>
          <w:rFonts w:ascii="Times New Roman" w:eastAsia="Times New Roman" w:hAnsi="Times New Roman" w:cs="Times New Roman"/>
          <w:color w:val="auto"/>
          <w:sz w:val="22"/>
          <w:szCs w:val="22"/>
          <w:lang w:val="pt-PT"/>
        </w:rPr>
      </w:pPr>
      <w:r w:rsidRPr="00646F48">
        <w:rPr>
          <w:rFonts w:ascii="Times New Roman" w:hAnsi="Times New Roman" w:cs="Times New Roman"/>
          <w:b/>
          <w:bCs/>
          <w:sz w:val="22"/>
          <w:szCs w:val="22"/>
          <w:lang w:val="lt-LT"/>
        </w:rPr>
        <w:t>Šalutinio poveikio reiškiniai, kurių</w:t>
      </w:r>
      <w:r w:rsidRPr="00646F48">
        <w:rPr>
          <w:rFonts w:ascii="Times New Roman" w:eastAsia="Times New Roman" w:hAnsi="Times New Roman" w:cs="Times New Roman"/>
          <w:b/>
          <w:bCs/>
          <w:color w:val="auto"/>
          <w:sz w:val="22"/>
          <w:szCs w:val="22"/>
          <w:lang w:val="pt-PT"/>
        </w:rPr>
        <w:t xml:space="preserve"> dažnis nežinomas </w:t>
      </w:r>
      <w:r w:rsidRPr="00646F48">
        <w:rPr>
          <w:rFonts w:ascii="Times New Roman" w:hAnsi="Times New Roman" w:cs="Times New Roman"/>
          <w:b/>
          <w:bCs/>
          <w:sz w:val="22"/>
          <w:szCs w:val="22"/>
          <w:lang w:val="lt-LT"/>
        </w:rPr>
        <w:t>(negali būti apskaičiuotas pagal turimus duomenis)</w:t>
      </w:r>
      <w:r w:rsidRPr="00646F48">
        <w:rPr>
          <w:rFonts w:ascii="Times New Roman" w:eastAsia="Times New Roman" w:hAnsi="Times New Roman" w:cs="Times New Roman"/>
          <w:b/>
          <w:bCs/>
          <w:color w:val="auto"/>
          <w:sz w:val="22"/>
          <w:szCs w:val="22"/>
          <w:lang w:val="pt-PT"/>
        </w:rPr>
        <w:t>:</w:t>
      </w:r>
      <w:r w:rsidRPr="00E543C9">
        <w:rPr>
          <w:rFonts w:ascii="Times New Roman" w:eastAsia="Times New Roman" w:hAnsi="Times New Roman" w:cs="Times New Roman"/>
          <w:color w:val="auto"/>
          <w:sz w:val="22"/>
          <w:szCs w:val="22"/>
          <w:lang w:val="pt-PT"/>
        </w:rPr>
        <w:t xml:space="preserve"> </w:t>
      </w:r>
      <w:r>
        <w:rPr>
          <w:rFonts w:ascii="Times New Roman" w:eastAsia="Times New Roman" w:hAnsi="Times New Roman" w:cs="Times New Roman"/>
          <w:color w:val="auto"/>
          <w:sz w:val="22"/>
          <w:szCs w:val="22"/>
          <w:lang w:val="pt-PT"/>
        </w:rPr>
        <w:t>a</w:t>
      </w:r>
      <w:r w:rsidRPr="00E543C9">
        <w:rPr>
          <w:rFonts w:ascii="Times New Roman" w:eastAsia="Times New Roman" w:hAnsi="Times New Roman" w:cs="Times New Roman"/>
          <w:color w:val="auto"/>
          <w:sz w:val="22"/>
          <w:szCs w:val="22"/>
          <w:lang w:val="pt-PT"/>
        </w:rPr>
        <w:t xml:space="preserve">nafilaksinės reakcijos, įskaitant anafilaksinį šoką, angioneurozinę edemą (greitai besivystantį odos, gleivinės, po oda ar gleivine esančių audinių tinimą) ir niežėjimą. </w:t>
      </w:r>
    </w:p>
    <w:p w:rsidR="0079123E" w:rsidRPr="00E543C9" w:rsidRDefault="0079123E" w:rsidP="0079123E">
      <w:pPr>
        <w:rPr>
          <w:sz w:val="22"/>
          <w:szCs w:val="22"/>
          <w:lang w:val="pt-PT"/>
        </w:rPr>
      </w:pPr>
      <w:r w:rsidRPr="00E543C9">
        <w:rPr>
          <w:sz w:val="22"/>
          <w:szCs w:val="22"/>
          <w:lang w:val="pt-PT"/>
        </w:rPr>
        <w:t>Sunkios nepageidaujamos poodinės reakcijos (įskaitant daugiaformę eritemą, Stivenso-Džonsono sindromą / toksinę epidermio nekrolizę ir ūminę generalizuotą egzanteminę pustuliozę).</w:t>
      </w:r>
    </w:p>
    <w:p w:rsidR="0079123E" w:rsidRPr="00EF3181" w:rsidRDefault="0079123E" w:rsidP="0079123E">
      <w:pPr>
        <w:tabs>
          <w:tab w:val="left" w:pos="567"/>
        </w:tabs>
        <w:rPr>
          <w:sz w:val="22"/>
          <w:szCs w:val="22"/>
        </w:rPr>
      </w:pPr>
    </w:p>
    <w:p w:rsidR="0079123E" w:rsidRPr="00EF3181" w:rsidRDefault="0079123E" w:rsidP="0079123E">
      <w:pPr>
        <w:rPr>
          <w:sz w:val="22"/>
          <w:szCs w:val="22"/>
        </w:rPr>
      </w:pPr>
    </w:p>
    <w:p w:rsidR="0079123E" w:rsidRPr="00EF3181" w:rsidRDefault="0079123E" w:rsidP="0079123E">
      <w:pPr>
        <w:rPr>
          <w:b/>
          <w:sz w:val="22"/>
          <w:szCs w:val="22"/>
        </w:rPr>
      </w:pPr>
      <w:r w:rsidRPr="00EF3181">
        <w:rPr>
          <w:b/>
          <w:noProof/>
          <w:sz w:val="22"/>
          <w:szCs w:val="22"/>
        </w:rPr>
        <w:t>Pranešimas apie šalutinį poveikį</w:t>
      </w:r>
    </w:p>
    <w:p w:rsidR="0079123E" w:rsidRDefault="0079123E" w:rsidP="0079123E">
      <w:pPr>
        <w:tabs>
          <w:tab w:val="left" w:pos="567"/>
        </w:tabs>
        <w:ind w:right="-29"/>
        <w:rPr>
          <w:noProof/>
          <w:snapToGrid w:val="0"/>
          <w:sz w:val="22"/>
        </w:rPr>
      </w:pPr>
      <w:r w:rsidRPr="00EF3181">
        <w:rPr>
          <w:noProof/>
          <w:sz w:val="22"/>
          <w:szCs w:val="22"/>
        </w:rPr>
        <w:t>Jeigu pasireiškė šalutinis poveikis, įskaitant šiame l</w:t>
      </w:r>
      <w:r w:rsidRPr="00EF3181">
        <w:rPr>
          <w:sz w:val="22"/>
          <w:szCs w:val="22"/>
        </w:rPr>
        <w:t xml:space="preserve">apelyje nenurodytą, pasakykite </w:t>
      </w:r>
      <w:r w:rsidRPr="00EF3181">
        <w:rPr>
          <w:noProof/>
          <w:sz w:val="22"/>
          <w:szCs w:val="22"/>
        </w:rPr>
        <w:t>gydytojui</w:t>
      </w:r>
      <w:r w:rsidRPr="00EF3181">
        <w:rPr>
          <w:sz w:val="22"/>
          <w:szCs w:val="22"/>
        </w:rPr>
        <w:t xml:space="preserve"> </w:t>
      </w:r>
      <w:r w:rsidRPr="00EF3181">
        <w:rPr>
          <w:noProof/>
          <w:sz w:val="22"/>
          <w:szCs w:val="22"/>
        </w:rPr>
        <w:t>arba</w:t>
      </w:r>
      <w:r w:rsidRPr="00EF3181">
        <w:rPr>
          <w:sz w:val="22"/>
          <w:szCs w:val="22"/>
        </w:rPr>
        <w:t xml:space="preserve"> </w:t>
      </w:r>
      <w:r w:rsidRPr="00EF3181">
        <w:rPr>
          <w:noProof/>
          <w:sz w:val="22"/>
          <w:szCs w:val="22"/>
        </w:rPr>
        <w:t>vaistininkui</w:t>
      </w:r>
      <w:r w:rsidRPr="00EF3181">
        <w:rPr>
          <w:sz w:val="22"/>
          <w:szCs w:val="22"/>
        </w:rPr>
        <w:t>.</w:t>
      </w:r>
      <w:r w:rsidRPr="00EF3181">
        <w:rPr>
          <w:noProof/>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79123E" w:rsidRDefault="0079123E" w:rsidP="0079123E">
      <w:pPr>
        <w:pStyle w:val="BTEMEASMCA"/>
        <w:rPr>
          <w:lang w:val="lt-LT"/>
        </w:rPr>
      </w:pPr>
    </w:p>
    <w:p w:rsidR="0079123E" w:rsidRPr="00646F48" w:rsidRDefault="0079123E" w:rsidP="0079123E">
      <w:pPr>
        <w:pStyle w:val="BTEMEASMCA"/>
        <w:rPr>
          <w:lang w:val="lt-LT"/>
        </w:rPr>
      </w:pPr>
    </w:p>
    <w:p w:rsidR="0079123E" w:rsidRPr="00EF3181" w:rsidRDefault="0079123E" w:rsidP="0079123E">
      <w:pPr>
        <w:pStyle w:val="PI-1EMEASMCA"/>
      </w:pPr>
      <w:bookmarkStart w:id="10" w:name="_Toc129243143"/>
      <w:bookmarkStart w:id="11" w:name="_Toc129243268"/>
      <w:r w:rsidRPr="00EF3181">
        <w:t>5.</w:t>
      </w:r>
      <w:r w:rsidRPr="00EF3181">
        <w:tab/>
        <w:t>Kaip laikyti Brontex</w:t>
      </w:r>
      <w:bookmarkEnd w:id="10"/>
      <w:bookmarkEnd w:id="11"/>
    </w:p>
    <w:p w:rsidR="0079123E" w:rsidRPr="00EF3181" w:rsidRDefault="0079123E" w:rsidP="0079123E">
      <w:pPr>
        <w:pStyle w:val="BTEMEASMCA"/>
      </w:pPr>
    </w:p>
    <w:p w:rsidR="0079123E" w:rsidRPr="00EF3181" w:rsidRDefault="0079123E" w:rsidP="0079123E">
      <w:pPr>
        <w:pStyle w:val="BTEMEASMCA"/>
      </w:pPr>
      <w:r w:rsidRPr="00EF3181">
        <w:t>Šį vaistą laikykite vaikams nepastebimoje ir nepasiekiamoje vietoje.</w:t>
      </w:r>
    </w:p>
    <w:p w:rsidR="0079123E" w:rsidRPr="00EF3181" w:rsidRDefault="0079123E" w:rsidP="0079123E">
      <w:pPr>
        <w:pStyle w:val="BTEMEASMCA"/>
      </w:pPr>
    </w:p>
    <w:p w:rsidR="0079123E" w:rsidRPr="00EF3181" w:rsidRDefault="0079123E" w:rsidP="0079123E">
      <w:pPr>
        <w:pStyle w:val="BTEMEASMCA"/>
      </w:pPr>
      <w:r w:rsidRPr="00EF3181">
        <w:t>Ant buteliuko etiketės ir dėžutės po „Tinka iki“ nurodytam tinkamumo laikui pasibaigus, šio vaisto vartoti negalima. Vaistas tinkamas vartoti iki paskutinės nurodyto mėnesio dienos.</w:t>
      </w:r>
    </w:p>
    <w:p w:rsidR="0079123E" w:rsidRPr="00EF3181" w:rsidRDefault="0079123E" w:rsidP="0079123E">
      <w:pPr>
        <w:pStyle w:val="BTEMEASMCA"/>
      </w:pPr>
      <w:r w:rsidRPr="00EF3181">
        <w:t>Šiam vaistui specialių laikymo sąlygų nereikia.</w:t>
      </w:r>
    </w:p>
    <w:p w:rsidR="0079123E" w:rsidRPr="00EF3181" w:rsidRDefault="0079123E" w:rsidP="0079123E">
      <w:pPr>
        <w:pStyle w:val="BTEMEASMCA"/>
      </w:pPr>
      <w:r w:rsidRPr="00EF3181">
        <w:t xml:space="preserve">Po pirmojo buteliuko atidarymo galima vartoti </w:t>
      </w:r>
      <w:r>
        <w:t>12 mėnesių</w:t>
      </w:r>
      <w:r w:rsidRPr="00EF3181">
        <w:t>.</w:t>
      </w:r>
    </w:p>
    <w:p w:rsidR="0079123E" w:rsidRPr="00EF3181" w:rsidRDefault="0079123E" w:rsidP="0079123E">
      <w:pPr>
        <w:numPr>
          <w:ilvl w:val="12"/>
          <w:numId w:val="0"/>
        </w:numPr>
        <w:outlineLvl w:val="0"/>
        <w:rPr>
          <w:sz w:val="22"/>
          <w:szCs w:val="22"/>
        </w:rPr>
      </w:pPr>
    </w:p>
    <w:p w:rsidR="0079123E" w:rsidRPr="00EF3181" w:rsidRDefault="0079123E" w:rsidP="0079123E">
      <w:pPr>
        <w:numPr>
          <w:ilvl w:val="12"/>
          <w:numId w:val="0"/>
        </w:numPr>
        <w:outlineLvl w:val="0"/>
        <w:rPr>
          <w:sz w:val="22"/>
          <w:szCs w:val="22"/>
        </w:rPr>
      </w:pPr>
      <w:r w:rsidRPr="00EF3181">
        <w:rPr>
          <w:noProof/>
          <w:sz w:val="22"/>
          <w:szCs w:val="22"/>
        </w:rPr>
        <w:t>Vaistų negalima išmesti į kanalizaciją arba su buitinėmis atliekomis.</w:t>
      </w:r>
      <w:r w:rsidRPr="00EF3181">
        <w:rPr>
          <w:sz w:val="22"/>
          <w:szCs w:val="22"/>
        </w:rPr>
        <w:t xml:space="preserve"> </w:t>
      </w:r>
      <w:r w:rsidRPr="00EF3181">
        <w:rPr>
          <w:noProof/>
          <w:sz w:val="22"/>
          <w:szCs w:val="22"/>
        </w:rPr>
        <w:t>Kaip išmesti nereikalingus vaistus, klauskite vaistininko.</w:t>
      </w:r>
      <w:r w:rsidRPr="00EF3181">
        <w:rPr>
          <w:sz w:val="22"/>
          <w:szCs w:val="22"/>
        </w:rPr>
        <w:t xml:space="preserve"> </w:t>
      </w:r>
      <w:r w:rsidRPr="00EF3181">
        <w:rPr>
          <w:noProof/>
          <w:sz w:val="22"/>
          <w:szCs w:val="22"/>
        </w:rPr>
        <w:t>Šios priemonės padės apsaugoti aplinką.</w:t>
      </w:r>
    </w:p>
    <w:p w:rsidR="0079123E" w:rsidRDefault="0079123E" w:rsidP="0079123E">
      <w:pPr>
        <w:pStyle w:val="BTEMEASMCA"/>
        <w:rPr>
          <w:lang w:val="lt-LT"/>
        </w:rPr>
      </w:pPr>
    </w:p>
    <w:p w:rsidR="0079123E" w:rsidRPr="00646F48" w:rsidRDefault="0079123E" w:rsidP="0079123E">
      <w:pPr>
        <w:pStyle w:val="BTEMEASMCA"/>
        <w:rPr>
          <w:lang w:val="lt-LT"/>
        </w:rPr>
      </w:pPr>
    </w:p>
    <w:p w:rsidR="0079123E" w:rsidRPr="00EF3181" w:rsidRDefault="0079123E" w:rsidP="0079123E">
      <w:pPr>
        <w:pStyle w:val="PI-1EMEASMCA"/>
      </w:pPr>
      <w:bookmarkStart w:id="12" w:name="_Toc129243144"/>
      <w:bookmarkStart w:id="13" w:name="_Toc129243269"/>
      <w:r w:rsidRPr="00EF3181">
        <w:t>6.</w:t>
      </w:r>
      <w:r w:rsidRPr="00EF3181">
        <w:tab/>
        <w:t>Pakuotės turinys ir kita informacija</w:t>
      </w:r>
      <w:bookmarkEnd w:id="12"/>
      <w:bookmarkEnd w:id="13"/>
    </w:p>
    <w:p w:rsidR="0079123E" w:rsidRPr="00EF3181" w:rsidRDefault="0079123E" w:rsidP="0079123E">
      <w:pPr>
        <w:pStyle w:val="BTEMEASMCA"/>
      </w:pPr>
    </w:p>
    <w:p w:rsidR="0079123E" w:rsidRPr="00EF3181" w:rsidRDefault="0079123E" w:rsidP="0079123E">
      <w:pPr>
        <w:pStyle w:val="PI-3EMEASMCA"/>
      </w:pPr>
      <w:r w:rsidRPr="00EF3181">
        <w:t>Brontex sudėtis</w:t>
      </w:r>
    </w:p>
    <w:p w:rsidR="0079123E" w:rsidRPr="00EF3181" w:rsidRDefault="0079123E" w:rsidP="0079123E">
      <w:pPr>
        <w:pStyle w:val="Pagrindinistekstas"/>
        <w:spacing w:after="0"/>
        <w:rPr>
          <w:szCs w:val="22"/>
        </w:rPr>
      </w:pPr>
    </w:p>
    <w:p w:rsidR="0079123E" w:rsidRPr="00EF3181" w:rsidRDefault="0079123E" w:rsidP="0079123E">
      <w:pPr>
        <w:pStyle w:val="BT-EMEASMCA"/>
      </w:pPr>
      <w:r w:rsidRPr="00EF3181">
        <w:t>Veiklioji medžiaga yra: ambroksolio hidrochloridas. 5</w:t>
      </w:r>
      <w:r>
        <w:t> </w:t>
      </w:r>
      <w:r w:rsidRPr="00EF3181">
        <w:t>ml sirupo</w:t>
      </w:r>
      <w:r>
        <w:t xml:space="preserve"> (vienoje matavimo taurelėje)</w:t>
      </w:r>
      <w:r w:rsidRPr="00EF3181">
        <w:t xml:space="preserve"> yra 15</w:t>
      </w:r>
      <w:r>
        <w:t> </w:t>
      </w:r>
      <w:r w:rsidRPr="00EF3181">
        <w:t>mg ambroksolio hidrochlorido. 1</w:t>
      </w:r>
      <w:r>
        <w:t> </w:t>
      </w:r>
      <w:r w:rsidRPr="00EF3181">
        <w:t>ml sirupo yra 3</w:t>
      </w:r>
      <w:r>
        <w:t> </w:t>
      </w:r>
      <w:r w:rsidRPr="00EF3181">
        <w:t>mg ambroksolio hidrochlorido.</w:t>
      </w:r>
    </w:p>
    <w:p w:rsidR="0079123E" w:rsidRPr="00EF3181" w:rsidRDefault="0079123E" w:rsidP="0079123E">
      <w:pPr>
        <w:pStyle w:val="BT-EMEASMCA"/>
      </w:pPr>
      <w:r w:rsidRPr="00EF3181">
        <w:t>Pagalbinės medžiagos yra sorbitolis (E420), propilenglikolis</w:t>
      </w:r>
      <w:r>
        <w:rPr>
          <w:lang w:val="lt-LT"/>
        </w:rPr>
        <w:t xml:space="preserve"> </w:t>
      </w:r>
      <w:r w:rsidRPr="00643766">
        <w:t>(E1520)</w:t>
      </w:r>
      <w:r w:rsidRPr="00EF3181">
        <w:t xml:space="preserve">, aviečių skonio medžiaga, sacharinas, </w:t>
      </w:r>
      <w:r>
        <w:rPr>
          <w:rFonts w:eastAsia="Calibri"/>
          <w:color w:val="000000"/>
          <w:sz w:val="23"/>
          <w:szCs w:val="23"/>
          <w:lang w:eastAsia="lt-LT"/>
        </w:rPr>
        <w:t>b</w:t>
      </w:r>
      <w:r w:rsidRPr="00E1504A">
        <w:rPr>
          <w:rFonts w:eastAsia="Calibri"/>
          <w:color w:val="000000"/>
          <w:sz w:val="23"/>
          <w:szCs w:val="23"/>
          <w:lang w:eastAsia="lt-LT"/>
        </w:rPr>
        <w:t>enzenkarboksirūgštis</w:t>
      </w:r>
      <w:r>
        <w:rPr>
          <w:rFonts w:eastAsia="Calibri"/>
          <w:color w:val="000000"/>
          <w:sz w:val="23"/>
          <w:szCs w:val="23"/>
          <w:lang w:val="lt-LT" w:eastAsia="lt-LT"/>
        </w:rPr>
        <w:t xml:space="preserve"> (E210)</w:t>
      </w:r>
      <w:r>
        <w:t xml:space="preserve">, </w:t>
      </w:r>
      <w:r w:rsidRPr="00EF3181">
        <w:t>išgrynintas vanduo.</w:t>
      </w:r>
    </w:p>
    <w:p w:rsidR="0079123E" w:rsidRPr="00EF3181" w:rsidRDefault="0079123E" w:rsidP="0079123E">
      <w:pPr>
        <w:pStyle w:val="BT-EMEASMCA"/>
        <w:numPr>
          <w:ilvl w:val="0"/>
          <w:numId w:val="0"/>
        </w:numPr>
      </w:pPr>
    </w:p>
    <w:p w:rsidR="0079123E" w:rsidRPr="00EF3181" w:rsidRDefault="0079123E" w:rsidP="0079123E">
      <w:pPr>
        <w:pStyle w:val="PI-3EMEASMCA"/>
      </w:pPr>
      <w:r w:rsidRPr="00EF3181">
        <w:t>Brontex išvaizda ir kiekis pakuotėje</w:t>
      </w:r>
    </w:p>
    <w:p w:rsidR="0079123E" w:rsidRPr="00EF3181" w:rsidRDefault="0079123E" w:rsidP="0079123E">
      <w:pPr>
        <w:pStyle w:val="PI-3EMEASMCA"/>
      </w:pPr>
    </w:p>
    <w:p w:rsidR="0079123E" w:rsidRPr="00EF3181" w:rsidRDefault="0079123E" w:rsidP="0079123E">
      <w:pPr>
        <w:pStyle w:val="Pagrindinistekstas"/>
        <w:spacing w:after="0"/>
        <w:rPr>
          <w:szCs w:val="22"/>
        </w:rPr>
      </w:pPr>
      <w:r w:rsidRPr="00EF3181">
        <w:rPr>
          <w:szCs w:val="22"/>
        </w:rPr>
        <w:t>Sirupas yra skaidrus.</w:t>
      </w:r>
    </w:p>
    <w:p w:rsidR="0079123E" w:rsidRPr="00EF3181" w:rsidRDefault="0079123E" w:rsidP="0079123E">
      <w:pPr>
        <w:pStyle w:val="Pagrindinistekstas"/>
        <w:spacing w:after="0"/>
        <w:rPr>
          <w:szCs w:val="22"/>
        </w:rPr>
      </w:pPr>
      <w:r w:rsidRPr="00EF3181">
        <w:rPr>
          <w:szCs w:val="22"/>
        </w:rPr>
        <w:t>Brontex tiekiamas buteliukais po 100</w:t>
      </w:r>
      <w:r>
        <w:rPr>
          <w:szCs w:val="22"/>
        </w:rPr>
        <w:t> </w:t>
      </w:r>
      <w:r w:rsidRPr="00EF3181">
        <w:rPr>
          <w:szCs w:val="22"/>
        </w:rPr>
        <w:t>ml sirupo. Pakuotėje yra matavimo taurelė</w:t>
      </w:r>
      <w:r>
        <w:rPr>
          <w:szCs w:val="22"/>
        </w:rPr>
        <w:t xml:space="preserve"> (ant taurelės nurodytos 2,5 ml ir 5 ml žymos)</w:t>
      </w:r>
      <w:r w:rsidRPr="00EF3181">
        <w:rPr>
          <w:szCs w:val="22"/>
        </w:rPr>
        <w:t xml:space="preserve">. </w:t>
      </w:r>
    </w:p>
    <w:p w:rsidR="0079123E" w:rsidRPr="00EF3181" w:rsidRDefault="0079123E" w:rsidP="0079123E">
      <w:pPr>
        <w:pStyle w:val="BTEMEASMCA"/>
      </w:pPr>
    </w:p>
    <w:p w:rsidR="0079123E" w:rsidRPr="00EF3181" w:rsidRDefault="0079123E" w:rsidP="0079123E">
      <w:pPr>
        <w:pStyle w:val="PI-3EMEASMCA"/>
      </w:pPr>
      <w:r w:rsidRPr="00897735">
        <w:t>Registruotojas</w:t>
      </w:r>
      <w:r>
        <w:t xml:space="preserve"> </w:t>
      </w:r>
      <w:r w:rsidRPr="00EF3181">
        <w:t>ir gamintojas</w:t>
      </w:r>
    </w:p>
    <w:p w:rsidR="0079123E" w:rsidRPr="00EF3181" w:rsidRDefault="0079123E" w:rsidP="0079123E">
      <w:pPr>
        <w:pStyle w:val="PI-3EMEASMCA"/>
      </w:pPr>
    </w:p>
    <w:p w:rsidR="0079123E" w:rsidRPr="00934362" w:rsidRDefault="0079123E" w:rsidP="0079123E">
      <w:pPr>
        <w:rPr>
          <w:i/>
          <w:sz w:val="22"/>
          <w:szCs w:val="22"/>
        </w:rPr>
      </w:pPr>
      <w:r w:rsidRPr="00934362">
        <w:rPr>
          <w:i/>
          <w:sz w:val="22"/>
          <w:szCs w:val="22"/>
        </w:rPr>
        <w:t>Registruotojas</w:t>
      </w:r>
    </w:p>
    <w:p w:rsidR="0079123E" w:rsidRPr="00EF3181" w:rsidRDefault="0079123E" w:rsidP="0079123E">
      <w:pPr>
        <w:rPr>
          <w:sz w:val="22"/>
          <w:szCs w:val="22"/>
        </w:rPr>
      </w:pPr>
      <w:r w:rsidRPr="00EF3181">
        <w:rPr>
          <w:sz w:val="22"/>
          <w:szCs w:val="22"/>
        </w:rPr>
        <w:t>ratiopharm GmbH,</w:t>
      </w:r>
    </w:p>
    <w:p w:rsidR="0079123E" w:rsidRPr="00EF3181" w:rsidRDefault="0079123E" w:rsidP="0079123E">
      <w:pPr>
        <w:rPr>
          <w:sz w:val="22"/>
          <w:szCs w:val="22"/>
        </w:rPr>
      </w:pPr>
      <w:r w:rsidRPr="00EF3181">
        <w:rPr>
          <w:sz w:val="22"/>
          <w:szCs w:val="22"/>
        </w:rPr>
        <w:t xml:space="preserve">Graf-Arco-Str. 3 , </w:t>
      </w:r>
    </w:p>
    <w:p w:rsidR="0079123E" w:rsidRPr="00EF3181" w:rsidRDefault="0079123E" w:rsidP="0079123E">
      <w:pPr>
        <w:rPr>
          <w:sz w:val="22"/>
          <w:szCs w:val="22"/>
        </w:rPr>
      </w:pPr>
      <w:r w:rsidRPr="00EF3181">
        <w:rPr>
          <w:sz w:val="22"/>
          <w:szCs w:val="22"/>
        </w:rPr>
        <w:t xml:space="preserve">89079 Ulm, Vokietija </w:t>
      </w:r>
    </w:p>
    <w:p w:rsidR="0079123E" w:rsidRPr="00EF3181" w:rsidRDefault="0079123E" w:rsidP="0079123E">
      <w:pPr>
        <w:rPr>
          <w:sz w:val="22"/>
          <w:szCs w:val="22"/>
        </w:rPr>
      </w:pPr>
    </w:p>
    <w:p w:rsidR="0079123E" w:rsidRPr="00934362" w:rsidRDefault="0079123E" w:rsidP="0079123E">
      <w:pPr>
        <w:rPr>
          <w:i/>
          <w:sz w:val="22"/>
          <w:szCs w:val="22"/>
        </w:rPr>
      </w:pPr>
      <w:r w:rsidRPr="00934362">
        <w:rPr>
          <w:i/>
          <w:sz w:val="22"/>
          <w:szCs w:val="22"/>
        </w:rPr>
        <w:t>Gamintojas</w:t>
      </w:r>
    </w:p>
    <w:p w:rsidR="0079123E" w:rsidRDefault="0079123E" w:rsidP="0079123E">
      <w:pPr>
        <w:pStyle w:val="Pagrindinistekstas"/>
        <w:spacing w:after="0"/>
        <w:rPr>
          <w:szCs w:val="22"/>
        </w:rPr>
      </w:pPr>
      <w:r w:rsidRPr="00EF3181">
        <w:rPr>
          <w:szCs w:val="22"/>
        </w:rPr>
        <w:t xml:space="preserve">Merckle GmbH, </w:t>
      </w:r>
    </w:p>
    <w:p w:rsidR="0079123E" w:rsidRPr="00EF3181" w:rsidRDefault="0079123E" w:rsidP="0079123E">
      <w:pPr>
        <w:pStyle w:val="Pagrindinistekstas"/>
        <w:spacing w:after="0"/>
        <w:rPr>
          <w:szCs w:val="22"/>
        </w:rPr>
      </w:pPr>
      <w:r w:rsidRPr="00EF3181">
        <w:rPr>
          <w:szCs w:val="22"/>
        </w:rPr>
        <w:t>Ludwig-Merckle-Str. 3,</w:t>
      </w:r>
    </w:p>
    <w:p w:rsidR="0079123E" w:rsidRPr="00EF3181" w:rsidRDefault="0079123E" w:rsidP="0079123E">
      <w:pPr>
        <w:pStyle w:val="Pagrindinistekstas"/>
        <w:spacing w:after="0"/>
        <w:rPr>
          <w:szCs w:val="22"/>
        </w:rPr>
      </w:pPr>
      <w:r w:rsidRPr="00EF3181">
        <w:rPr>
          <w:szCs w:val="22"/>
        </w:rPr>
        <w:t>D-89143 Blaubeuren, Vokietija</w:t>
      </w:r>
    </w:p>
    <w:p w:rsidR="0079123E" w:rsidRPr="00EF3181" w:rsidRDefault="0079123E" w:rsidP="0079123E">
      <w:pPr>
        <w:pStyle w:val="Pagrindinistekstas"/>
        <w:spacing w:after="0"/>
        <w:rPr>
          <w:szCs w:val="22"/>
        </w:rPr>
      </w:pPr>
    </w:p>
    <w:p w:rsidR="0079123E" w:rsidRPr="00EF3181" w:rsidRDefault="0079123E" w:rsidP="0079123E">
      <w:pPr>
        <w:pStyle w:val="BTEMEASMCA"/>
      </w:pPr>
    </w:p>
    <w:p w:rsidR="0079123E" w:rsidRPr="00EF3181" w:rsidRDefault="0079123E" w:rsidP="0079123E">
      <w:pPr>
        <w:pStyle w:val="BTEMEASMCA"/>
      </w:pPr>
      <w:r w:rsidRPr="00EF3181">
        <w:t xml:space="preserve">Jeigu apie šį vaistą norite sužinoti daugiau, kreipkitės į vietinį </w:t>
      </w:r>
      <w:r>
        <w:t>registruotojo</w:t>
      </w:r>
      <w:r w:rsidRPr="00EF3181">
        <w:t xml:space="preserve"> atstovą.</w:t>
      </w:r>
    </w:p>
    <w:p w:rsidR="0079123E" w:rsidRPr="00EF3181" w:rsidRDefault="0079123E" w:rsidP="0079123E">
      <w:pPr>
        <w:rPr>
          <w:sz w:val="22"/>
          <w:szCs w:val="22"/>
        </w:rPr>
      </w:pPr>
    </w:p>
    <w:tbl>
      <w:tblPr>
        <w:tblW w:w="4678" w:type="dxa"/>
        <w:tblInd w:w="-34" w:type="dxa"/>
        <w:tblLayout w:type="fixed"/>
        <w:tblLook w:val="0000" w:firstRow="0" w:lastRow="0" w:firstColumn="0" w:lastColumn="0" w:noHBand="0" w:noVBand="0"/>
      </w:tblPr>
      <w:tblGrid>
        <w:gridCol w:w="4678"/>
      </w:tblGrid>
      <w:tr w:rsidR="0079123E" w:rsidRPr="00EF3181" w:rsidTr="00124D24">
        <w:tc>
          <w:tcPr>
            <w:tcW w:w="4678" w:type="dxa"/>
          </w:tcPr>
          <w:p w:rsidR="0079123E" w:rsidRPr="005E5F0C" w:rsidRDefault="0079123E" w:rsidP="00124D24">
            <w:pPr>
              <w:pStyle w:val="BTEMEASMCA"/>
              <w:rPr>
                <w:lang w:val="lt-LT"/>
              </w:rPr>
            </w:pPr>
            <w:r w:rsidRPr="005E5F0C">
              <w:rPr>
                <w:lang w:val="lt-LT"/>
              </w:rPr>
              <w:t>UAB Teva Baltics</w:t>
            </w:r>
          </w:p>
          <w:p w:rsidR="0079123E" w:rsidRPr="00EF3181" w:rsidRDefault="0079123E" w:rsidP="00124D24">
            <w:pPr>
              <w:jc w:val="both"/>
              <w:rPr>
                <w:color w:val="000000"/>
                <w:sz w:val="22"/>
                <w:szCs w:val="22"/>
                <w:lang w:val="en-GB"/>
              </w:rPr>
            </w:pPr>
            <w:r w:rsidRPr="00EF3181">
              <w:rPr>
                <w:color w:val="000000"/>
                <w:sz w:val="22"/>
                <w:szCs w:val="22"/>
                <w:lang w:val="en-GB"/>
              </w:rPr>
              <w:t xml:space="preserve">Molėtų pl. 5 </w:t>
            </w:r>
          </w:p>
          <w:p w:rsidR="0079123E" w:rsidRPr="00EF3181" w:rsidRDefault="0079123E" w:rsidP="00124D24">
            <w:pPr>
              <w:jc w:val="both"/>
              <w:rPr>
                <w:color w:val="000000"/>
                <w:sz w:val="22"/>
                <w:szCs w:val="22"/>
                <w:lang w:val="en-GB"/>
              </w:rPr>
            </w:pPr>
            <w:r w:rsidRPr="00EF3181">
              <w:rPr>
                <w:color w:val="000000"/>
                <w:sz w:val="22"/>
                <w:szCs w:val="22"/>
                <w:lang w:val="en-GB"/>
              </w:rPr>
              <w:t>LT-</w:t>
            </w:r>
            <w:r w:rsidRPr="00EF3181">
              <w:rPr>
                <w:sz w:val="22"/>
                <w:szCs w:val="22"/>
                <w:lang w:val="en-GB"/>
              </w:rPr>
              <w:t>08409</w:t>
            </w:r>
            <w:r w:rsidRPr="00EF3181">
              <w:rPr>
                <w:color w:val="000000"/>
                <w:sz w:val="22"/>
                <w:szCs w:val="22"/>
                <w:lang w:val="en-GB"/>
              </w:rPr>
              <w:t xml:space="preserve"> Vilnius </w:t>
            </w:r>
          </w:p>
          <w:p w:rsidR="0079123E" w:rsidRPr="005E5F0C" w:rsidRDefault="0079123E" w:rsidP="00124D24">
            <w:pPr>
              <w:pStyle w:val="BTEMEASMCA"/>
              <w:rPr>
                <w:lang w:val="lt-LT"/>
              </w:rPr>
            </w:pPr>
            <w:r w:rsidRPr="005E5F0C">
              <w:rPr>
                <w:lang w:val="lt-LT"/>
              </w:rPr>
              <w:t>Tel. +370 5 266 02 03</w:t>
            </w:r>
          </w:p>
          <w:p w:rsidR="0079123E" w:rsidRPr="00EF3181" w:rsidRDefault="0079123E" w:rsidP="00124D24">
            <w:pPr>
              <w:pStyle w:val="BTEMEASMCA"/>
              <w:rPr>
                <w:lang w:val="en-US"/>
              </w:rPr>
            </w:pPr>
          </w:p>
        </w:tc>
      </w:tr>
    </w:tbl>
    <w:p w:rsidR="0079123E" w:rsidRPr="00EF3181" w:rsidRDefault="0079123E" w:rsidP="0079123E">
      <w:pPr>
        <w:pStyle w:val="BTEMEASMCA"/>
      </w:pPr>
    </w:p>
    <w:p w:rsidR="0079123E" w:rsidRPr="00EF3181" w:rsidRDefault="0079123E" w:rsidP="0079123E">
      <w:pPr>
        <w:pStyle w:val="BTbEMEASMCA"/>
      </w:pPr>
      <w:r w:rsidRPr="00EF3181">
        <w:rPr>
          <w:bCs/>
        </w:rPr>
        <w:t>Šis pakuotės lapelis</w:t>
      </w:r>
      <w:r w:rsidRPr="00EF3181">
        <w:t xml:space="preserve"> paskutinį kartą peržiūrėtas</w:t>
      </w:r>
      <w:r w:rsidRPr="00967AE6">
        <w:rPr>
          <w:snapToGrid w:val="0"/>
        </w:rPr>
        <w:t xml:space="preserve"> </w:t>
      </w:r>
      <w:r>
        <w:rPr>
          <w:snapToGrid w:val="0"/>
          <w:lang w:val="lt-LT"/>
        </w:rPr>
        <w:t>2024-07-22</w:t>
      </w:r>
      <w:r>
        <w:t>.</w:t>
      </w:r>
    </w:p>
    <w:p w:rsidR="0079123E" w:rsidRPr="00EF3181" w:rsidRDefault="0079123E" w:rsidP="0079123E">
      <w:pPr>
        <w:pStyle w:val="BTbEMEASMCA"/>
      </w:pPr>
    </w:p>
    <w:p w:rsidR="0079123E" w:rsidRPr="00EF3181" w:rsidRDefault="0079123E" w:rsidP="0079123E">
      <w:pPr>
        <w:rPr>
          <w:sz w:val="22"/>
          <w:szCs w:val="22"/>
        </w:rPr>
      </w:pPr>
    </w:p>
    <w:p w:rsidR="0079123E" w:rsidRPr="00EF3181" w:rsidRDefault="0079123E" w:rsidP="0079123E">
      <w:pPr>
        <w:pStyle w:val="BTEMEASMCA"/>
      </w:pPr>
      <w:r w:rsidRPr="00EF3181">
        <w:t>Išsami informacija apie šį vaistą pateikiama Valstybinės vaistų kontrolės tarnybos prie Lietuvos Respublikos sveikatos apsaugos ministerijos tinklalapyje</w:t>
      </w:r>
      <w:r w:rsidRPr="00131B1E">
        <w:t xml:space="preserve"> https://vvkt.lrv.lt/lt/.</w:t>
      </w:r>
    </w:p>
    <w:p w:rsidR="0079123E" w:rsidRPr="00EF3181" w:rsidRDefault="0079123E" w:rsidP="0079123E">
      <w:pPr>
        <w:rPr>
          <w:sz w:val="22"/>
          <w:szCs w:val="22"/>
          <w:highlight w:val="yellow"/>
        </w:rPr>
      </w:pPr>
    </w:p>
    <w:p w:rsidR="00BA6577" w:rsidRDefault="00BA6577">
      <w:bookmarkStart w:id="14" w:name="_GoBack"/>
      <w:bookmarkEnd w:id="14"/>
    </w:p>
    <w:sectPr w:rsidR="00BA6577" w:rsidSect="00073AF3">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FF8" w:rsidRDefault="0079123E" w:rsidP="00073A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03FF8" w:rsidRDefault="0079123E" w:rsidP="00073A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FF8" w:rsidRDefault="0079123E" w:rsidP="00073A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03FF8" w:rsidRDefault="0079123E" w:rsidP="00073AF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6109784"/>
    <w:lvl w:ilvl="0" w:tplc="3D60EFB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3E"/>
    <w:rsid w:val="00072F85"/>
    <w:rsid w:val="000A5E72"/>
    <w:rsid w:val="000A7B60"/>
    <w:rsid w:val="00181364"/>
    <w:rsid w:val="002945D9"/>
    <w:rsid w:val="00305C48"/>
    <w:rsid w:val="003362C6"/>
    <w:rsid w:val="00497D4D"/>
    <w:rsid w:val="00742EBF"/>
    <w:rsid w:val="0079123E"/>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B15A9-1409-4257-ABF1-CF573882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23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912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79123E"/>
    <w:pPr>
      <w:keepNext/>
      <w:spacing w:before="240" w:after="60"/>
      <w:outlineLvl w:val="1"/>
    </w:pPr>
    <w:rPr>
      <w:rFonts w:ascii="Arial" w:hAnsi="Arial"/>
      <w:b/>
      <w:bCs/>
      <w:i/>
      <w:iCs/>
      <w:sz w:val="28"/>
      <w:szCs w:val="28"/>
      <w:lang w:eastAsia="x-none"/>
    </w:rPr>
  </w:style>
  <w:style w:type="paragraph" w:styleId="Antrat4">
    <w:name w:val="heading 4"/>
    <w:basedOn w:val="prastasis"/>
    <w:next w:val="prastasis"/>
    <w:link w:val="Antrat4Diagrama"/>
    <w:uiPriority w:val="9"/>
    <w:semiHidden/>
    <w:unhideWhenUsed/>
    <w:qFormat/>
    <w:rsid w:val="0079123E"/>
    <w:pPr>
      <w:keepNext/>
      <w:keepLines/>
      <w:spacing w:before="200"/>
      <w:outlineLvl w:val="3"/>
    </w:pPr>
    <w:rPr>
      <w:rFonts w:ascii="Cambria" w:hAnsi="Cambria"/>
      <w:b/>
      <w:bCs/>
      <w:i/>
      <w:iCs/>
      <w:color w:val="4F81BD"/>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9123E"/>
    <w:rPr>
      <w:rFonts w:ascii="Arial" w:eastAsia="Times New Roman" w:hAnsi="Arial" w:cs="Times New Roman"/>
      <w:b/>
      <w:bCs/>
      <w:i/>
      <w:iCs/>
      <w:sz w:val="28"/>
      <w:szCs w:val="28"/>
      <w:lang w:eastAsia="x-none"/>
    </w:rPr>
  </w:style>
  <w:style w:type="character" w:customStyle="1" w:styleId="Antrat4Diagrama">
    <w:name w:val="Antraštė 4 Diagrama"/>
    <w:basedOn w:val="Numatytasispastraiposriftas"/>
    <w:link w:val="Antrat4"/>
    <w:uiPriority w:val="9"/>
    <w:semiHidden/>
    <w:rsid w:val="0079123E"/>
    <w:rPr>
      <w:rFonts w:ascii="Cambria" w:eastAsia="Times New Roman" w:hAnsi="Cambria" w:cs="Times New Roman"/>
      <w:b/>
      <w:bCs/>
      <w:i/>
      <w:iCs/>
      <w:color w:val="4F81BD"/>
      <w:sz w:val="24"/>
      <w:szCs w:val="24"/>
      <w:lang w:val="x-none"/>
    </w:rPr>
  </w:style>
  <w:style w:type="paragraph" w:customStyle="1" w:styleId="PI-1EMEASMCA">
    <w:name w:val="PI-1 EMEA_SMCA"/>
    <w:basedOn w:val="Antrat2"/>
    <w:autoRedefine/>
    <w:rsid w:val="0079123E"/>
    <w:pPr>
      <w:tabs>
        <w:tab w:val="left" w:pos="567"/>
      </w:tabs>
      <w:spacing w:before="0" w:after="0"/>
      <w:ind w:left="567" w:hanging="567"/>
    </w:pPr>
    <w:rPr>
      <w:rFonts w:ascii="Times New Roman" w:hAnsi="Times New Roman"/>
      <w:bCs w:val="0"/>
      <w:i w:val="0"/>
      <w:iCs w:val="0"/>
      <w:sz w:val="22"/>
      <w:szCs w:val="22"/>
    </w:rPr>
  </w:style>
  <w:style w:type="paragraph" w:customStyle="1" w:styleId="BTEMEASMCA">
    <w:name w:val="BT EMEA_SMCA"/>
    <w:basedOn w:val="prastasis"/>
    <w:link w:val="BTEMEASMCAChar"/>
    <w:autoRedefine/>
    <w:rsid w:val="0079123E"/>
    <w:rPr>
      <w:sz w:val="22"/>
      <w:szCs w:val="22"/>
      <w:lang w:val="x-none"/>
    </w:rPr>
  </w:style>
  <w:style w:type="paragraph" w:customStyle="1" w:styleId="TTEMEASMCA">
    <w:name w:val="TT EMEA_SMCA"/>
    <w:basedOn w:val="Antrat1"/>
    <w:link w:val="TTEMEASMCAChar"/>
    <w:autoRedefine/>
    <w:rsid w:val="0079123E"/>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79123E"/>
    <w:rPr>
      <w:rFonts w:ascii="Times New Roman" w:eastAsia="Times New Roman" w:hAnsi="Times New Roman" w:cs="Times New Roman"/>
      <w:b/>
      <w:caps/>
      <w:lang w:val="en-US"/>
    </w:rPr>
  </w:style>
  <w:style w:type="paragraph" w:customStyle="1" w:styleId="BT-EMEASMCA">
    <w:name w:val="BT- EMEA_SMCA"/>
    <w:basedOn w:val="BTEMEASMCA"/>
    <w:autoRedefine/>
    <w:rsid w:val="0079123E"/>
    <w:pPr>
      <w:numPr>
        <w:numId w:val="1"/>
      </w:numPr>
      <w:tabs>
        <w:tab w:val="clear" w:pos="720"/>
        <w:tab w:val="num" w:pos="360"/>
      </w:tabs>
      <w:ind w:left="426" w:hanging="426"/>
    </w:pPr>
  </w:style>
  <w:style w:type="paragraph" w:customStyle="1" w:styleId="PI-3EMEASMCA">
    <w:name w:val="PI-3 EMEA_SMCA"/>
    <w:basedOn w:val="prastasis"/>
    <w:autoRedefine/>
    <w:rsid w:val="0079123E"/>
    <w:pPr>
      <w:spacing w:line="220" w:lineRule="exact"/>
    </w:pPr>
    <w:rPr>
      <w:b/>
      <w:bCs/>
      <w:sz w:val="22"/>
      <w:szCs w:val="22"/>
    </w:rPr>
  </w:style>
  <w:style w:type="paragraph" w:customStyle="1" w:styleId="BTbEMEASMCA">
    <w:name w:val="BT(b) EMEA_SMCA"/>
    <w:basedOn w:val="BTEMEASMCA"/>
    <w:autoRedefine/>
    <w:rsid w:val="0079123E"/>
    <w:rPr>
      <w:b/>
    </w:rPr>
  </w:style>
  <w:style w:type="character" w:customStyle="1" w:styleId="BTEMEASMCAChar">
    <w:name w:val="BT EMEA_SMCA Char"/>
    <w:link w:val="BTEMEASMCA"/>
    <w:rsid w:val="0079123E"/>
    <w:rPr>
      <w:rFonts w:ascii="Times New Roman" w:eastAsia="Times New Roman" w:hAnsi="Times New Roman" w:cs="Times New Roman"/>
      <w:lang w:val="x-none"/>
    </w:rPr>
  </w:style>
  <w:style w:type="paragraph" w:styleId="Pagrindinistekstas">
    <w:name w:val="Body Text"/>
    <w:basedOn w:val="prastasis"/>
    <w:link w:val="PagrindinistekstasDiagrama"/>
    <w:rsid w:val="0079123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79123E"/>
    <w:rPr>
      <w:rFonts w:ascii="Times New Roman" w:eastAsia="Times New Roman" w:hAnsi="Times New Roman" w:cs="Times New Roman"/>
      <w:szCs w:val="20"/>
      <w:lang w:eastAsia="lt-LT"/>
    </w:rPr>
  </w:style>
  <w:style w:type="paragraph" w:styleId="Porat">
    <w:name w:val="footer"/>
    <w:basedOn w:val="prastasis"/>
    <w:link w:val="PoratDiagrama"/>
    <w:rsid w:val="0079123E"/>
    <w:pPr>
      <w:tabs>
        <w:tab w:val="center" w:pos="4844"/>
        <w:tab w:val="right" w:pos="9689"/>
      </w:tabs>
    </w:pPr>
    <w:rPr>
      <w:sz w:val="20"/>
      <w:szCs w:val="20"/>
      <w:lang w:eastAsia="x-none"/>
    </w:rPr>
  </w:style>
  <w:style w:type="character" w:customStyle="1" w:styleId="PoratDiagrama">
    <w:name w:val="Poraštė Diagrama"/>
    <w:basedOn w:val="Numatytasispastraiposriftas"/>
    <w:link w:val="Porat"/>
    <w:rsid w:val="0079123E"/>
    <w:rPr>
      <w:rFonts w:ascii="Times New Roman" w:eastAsia="Times New Roman" w:hAnsi="Times New Roman" w:cs="Times New Roman"/>
      <w:sz w:val="20"/>
      <w:szCs w:val="20"/>
      <w:lang w:eastAsia="x-none"/>
    </w:rPr>
  </w:style>
  <w:style w:type="character" w:styleId="Puslapionumeris">
    <w:name w:val="page number"/>
    <w:basedOn w:val="Numatytasispastraiposriftas"/>
    <w:rsid w:val="0079123E"/>
  </w:style>
  <w:style w:type="paragraph" w:customStyle="1" w:styleId="Default">
    <w:name w:val="Default"/>
    <w:rsid w:val="0079123E"/>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Antrat1Diagrama">
    <w:name w:val="Antraštė 1 Diagrama"/>
    <w:basedOn w:val="Numatytasispastraiposriftas"/>
    <w:link w:val="Antrat1"/>
    <w:uiPriority w:val="9"/>
    <w:rsid w:val="0079123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7538</Words>
  <Characters>4297</Characters>
  <Application>Microsoft Office Word</Application>
  <DocSecurity>0</DocSecurity>
  <Lines>35</Lines>
  <Paragraphs>23</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vartotojui</vt:lpstr>
      <vt:lpstr/>
      <vt:lpstr>    1.	Kas yra Brontex ir kam jis vartojamas</vt:lpstr>
      <vt:lpstr>    2.	Kas žinotina prieš vartojant Brontex</vt:lpstr>
      <vt:lpstr>    </vt:lpstr>
      <vt:lpstr>    Vaistai nuo kosulio</vt:lpstr>
      <vt:lpstr>    </vt:lpstr>
      <vt:lpstr>    Antibiotikai</vt:lpstr>
      <vt:lpstr>    3.	Kaip vartoti Brontex</vt:lpstr>
      <vt:lpstr>    4.	Galimas šalutinis poveikis</vt:lpstr>
      <vt:lpstr>    5.	Kaip laikyti Brontex</vt:lpstr>
      <vt:lpstr/>
      <vt:lpstr>Vaistų negalima išmesti į kanalizaciją arba su buitinėmis atliekomis. Kaip išmes</vt:lpstr>
      <vt:lpstr>    6.	Pakuotės turinys ir kita informacija</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2024-07-22T10:09:00Z</dcterms:created>
  <dcterms:modified xsi:type="dcterms:W3CDTF">2024-07-22T10:09:00Z</dcterms:modified>
</cp:coreProperties>
</file>