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1C" w:rsidRPr="002C1B7B" w:rsidRDefault="00AD5E1C" w:rsidP="00AD5E1C">
      <w:pPr>
        <w:pStyle w:val="TTEMEASMCA"/>
        <w:rPr>
          <w:caps w:val="0"/>
          <w:lang w:val="lt-LT"/>
        </w:rPr>
      </w:pPr>
      <w:r w:rsidRPr="002C1B7B">
        <w:rPr>
          <w:lang w:val="lt-LT"/>
        </w:rPr>
        <w:t>P</w:t>
      </w:r>
      <w:r w:rsidRPr="002C1B7B">
        <w:rPr>
          <w:caps w:val="0"/>
          <w:lang w:val="lt-LT"/>
        </w:rPr>
        <w:t>akuotės lapelis: informacija vartotojui</w:t>
      </w:r>
    </w:p>
    <w:p w:rsidR="00AD5E1C" w:rsidRPr="002C1B7B" w:rsidRDefault="00AD5E1C" w:rsidP="00AD5E1C">
      <w:pPr>
        <w:pStyle w:val="TTEMEASMCA"/>
        <w:rPr>
          <w:lang w:val="lt-LT"/>
        </w:rPr>
      </w:pPr>
    </w:p>
    <w:p w:rsidR="00AD5E1C" w:rsidRPr="002C1B7B" w:rsidRDefault="00AD5E1C" w:rsidP="00AD5E1C">
      <w:pPr>
        <w:pStyle w:val="Pagrindinistekstas"/>
        <w:spacing w:after="0"/>
        <w:jc w:val="center"/>
        <w:rPr>
          <w:b/>
          <w:szCs w:val="22"/>
        </w:rPr>
      </w:pPr>
      <w:proofErr w:type="spellStart"/>
      <w:r w:rsidRPr="002C1B7B">
        <w:rPr>
          <w:b/>
          <w:szCs w:val="22"/>
        </w:rPr>
        <w:t>Brontex</w:t>
      </w:r>
      <w:proofErr w:type="spellEnd"/>
      <w:r w:rsidRPr="002C1B7B">
        <w:rPr>
          <w:b/>
          <w:szCs w:val="22"/>
        </w:rPr>
        <w:t xml:space="preserve"> </w:t>
      </w:r>
      <w:r w:rsidRPr="002C1B7B">
        <w:rPr>
          <w:b/>
          <w:szCs w:val="22"/>
          <w:lang w:val="en-US"/>
        </w:rPr>
        <w:t xml:space="preserve">30 mg </w:t>
      </w:r>
      <w:r w:rsidRPr="002C1B7B">
        <w:rPr>
          <w:b/>
          <w:szCs w:val="22"/>
        </w:rPr>
        <w:t>tabletės</w:t>
      </w:r>
    </w:p>
    <w:p w:rsidR="00AD5E1C" w:rsidRPr="002C1B7B" w:rsidRDefault="00AD5E1C" w:rsidP="00AD5E1C">
      <w:pPr>
        <w:pStyle w:val="BTEMEASMCA"/>
        <w:jc w:val="center"/>
        <w:rPr>
          <w:noProof w:val="0"/>
        </w:rPr>
      </w:pPr>
      <w:r>
        <w:t>a</w:t>
      </w:r>
      <w:r w:rsidRPr="002C1B7B">
        <w:t>mbroksolio hidrochloridas</w:t>
      </w:r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BTbEMEASMCA"/>
        <w:rPr>
          <w:szCs w:val="22"/>
        </w:rPr>
      </w:pPr>
      <w:r w:rsidRPr="002C1B7B">
        <w:rPr>
          <w:szCs w:val="22"/>
        </w:rPr>
        <w:t>Atidžiai perskaitykite visą šį lapelį, prieš pradėdami vartoti vaistą, nes jame pateikiama Jums svarbi informacija.</w:t>
      </w:r>
    </w:p>
    <w:p w:rsidR="00AD5E1C" w:rsidRPr="002C1B7B" w:rsidRDefault="00AD5E1C" w:rsidP="00AD5E1C">
      <w:pPr>
        <w:pStyle w:val="BTEMEASMCA"/>
      </w:pPr>
      <w:r w:rsidRPr="002C1B7B">
        <w:t>Visada vartokite šį vaistą tiksliai kaip aprašyta šiame lapelyje arba kaip nurodė gydytojas</w:t>
      </w:r>
      <w:r>
        <w:t>,</w:t>
      </w:r>
      <w:r w:rsidRPr="002C1B7B">
        <w:t xml:space="preserve"> arba vaistininkas.</w:t>
      </w:r>
    </w:p>
    <w:p w:rsidR="00AD5E1C" w:rsidRPr="002C1B7B" w:rsidRDefault="00AD5E1C" w:rsidP="00AD5E1C">
      <w:pPr>
        <w:pStyle w:val="BT-EMEASMCA"/>
      </w:pPr>
      <w:r w:rsidRPr="002C1B7B">
        <w:t>Neišmeskite šio lapelio, nes vėl gali prireikti jį perskaityti.</w:t>
      </w:r>
    </w:p>
    <w:p w:rsidR="00AD5E1C" w:rsidRPr="002C1B7B" w:rsidRDefault="00AD5E1C" w:rsidP="00AD5E1C">
      <w:pPr>
        <w:pStyle w:val="BT-EMEASMCA"/>
      </w:pPr>
      <w:r w:rsidRPr="002C1B7B">
        <w:t xml:space="preserve">Jeigu norite sužinoti daugiau arba pasitarti, kreipkitės į vaistininką. </w:t>
      </w:r>
    </w:p>
    <w:p w:rsidR="00AD5E1C" w:rsidRPr="002C1B7B" w:rsidRDefault="00AD5E1C" w:rsidP="00AD5E1C">
      <w:pPr>
        <w:pStyle w:val="BT-EMEASMCA"/>
      </w:pPr>
      <w:r w:rsidRPr="002C1B7B">
        <w:t>Jeigu pasireiškė šalutinis poveikis (net jeigu jis šiame lapelyje nenurodytas), kreipkitės į gydytoją arba vaistininką.</w:t>
      </w:r>
      <w:r w:rsidRPr="00564392">
        <w:t xml:space="preserve"> </w:t>
      </w:r>
      <w:r w:rsidRPr="002C1B7B">
        <w:t>Žr. 4 skyrių.</w:t>
      </w:r>
    </w:p>
    <w:p w:rsidR="00AD5E1C" w:rsidRPr="002C1B7B" w:rsidRDefault="00AD5E1C" w:rsidP="00AD5E1C">
      <w:pPr>
        <w:pStyle w:val="BT-EMEASMCA"/>
      </w:pPr>
      <w:r w:rsidRPr="002C1B7B">
        <w:t>Jeigu per 4-5 dienas Jūsų savijauta nepagerėjo arba net pablogėjo, kreipkitės į gydytoją.</w:t>
      </w:r>
    </w:p>
    <w:p w:rsidR="00AD5E1C" w:rsidRPr="002C1B7B" w:rsidRDefault="00AD5E1C" w:rsidP="00AD5E1C">
      <w:pPr>
        <w:pStyle w:val="Antrat4"/>
        <w:rPr>
          <w:rFonts w:ascii="Times New Roman" w:hAnsi="Times New Roman"/>
          <w:i w:val="0"/>
          <w:sz w:val="22"/>
          <w:szCs w:val="22"/>
        </w:rPr>
      </w:pPr>
      <w:r w:rsidRPr="002C1B7B">
        <w:rPr>
          <w:rFonts w:ascii="Times New Roman" w:hAnsi="Times New Roman"/>
          <w:i w:val="0"/>
          <w:color w:val="auto"/>
          <w:sz w:val="22"/>
          <w:szCs w:val="22"/>
        </w:rPr>
        <w:t>Apie ką rašoma šiame lapelyje?</w:t>
      </w:r>
    </w:p>
    <w:p w:rsidR="00AD5E1C" w:rsidRPr="002C1B7B" w:rsidRDefault="00AD5E1C" w:rsidP="00AD5E1C">
      <w:pPr>
        <w:pStyle w:val="BTEMEASMCA"/>
      </w:pPr>
      <w:r w:rsidRPr="002C1B7B">
        <w:t>1.</w:t>
      </w:r>
      <w:r w:rsidRPr="002C1B7B">
        <w:tab/>
        <w:t>Kas yra Brontex ir kam jis vartojamas</w:t>
      </w:r>
    </w:p>
    <w:p w:rsidR="00AD5E1C" w:rsidRPr="002C1B7B" w:rsidRDefault="00AD5E1C" w:rsidP="00AD5E1C">
      <w:pPr>
        <w:pStyle w:val="BTEMEASMCA"/>
      </w:pPr>
      <w:r w:rsidRPr="002C1B7B">
        <w:t>2.</w:t>
      </w:r>
      <w:r w:rsidRPr="002C1B7B">
        <w:tab/>
        <w:t>Kas žinotina prieš vartojant Brontex</w:t>
      </w:r>
    </w:p>
    <w:p w:rsidR="00AD5E1C" w:rsidRPr="002C1B7B" w:rsidRDefault="00AD5E1C" w:rsidP="00AD5E1C">
      <w:pPr>
        <w:pStyle w:val="BTEMEASMCA"/>
      </w:pPr>
      <w:r w:rsidRPr="002C1B7B">
        <w:t>3.</w:t>
      </w:r>
      <w:r w:rsidRPr="002C1B7B">
        <w:tab/>
        <w:t>Kaip vartoti Brontex</w:t>
      </w:r>
    </w:p>
    <w:p w:rsidR="00AD5E1C" w:rsidRPr="002C1B7B" w:rsidRDefault="00AD5E1C" w:rsidP="00AD5E1C">
      <w:pPr>
        <w:pStyle w:val="BTEMEASMCA"/>
      </w:pPr>
      <w:r w:rsidRPr="002C1B7B">
        <w:t>4.</w:t>
      </w:r>
      <w:r w:rsidRPr="002C1B7B">
        <w:tab/>
        <w:t>Galimas šalutinis poveikis</w:t>
      </w:r>
    </w:p>
    <w:p w:rsidR="00AD5E1C" w:rsidRPr="002C1B7B" w:rsidRDefault="00AD5E1C" w:rsidP="00AD5E1C">
      <w:pPr>
        <w:pStyle w:val="BTEMEASMCA"/>
      </w:pPr>
      <w:r w:rsidRPr="002C1B7B">
        <w:t>5.</w:t>
      </w:r>
      <w:r w:rsidRPr="002C1B7B">
        <w:tab/>
        <w:t>Kaip laikyti Brontex</w:t>
      </w:r>
    </w:p>
    <w:p w:rsidR="00AD5E1C" w:rsidRPr="002C1B7B" w:rsidRDefault="00AD5E1C" w:rsidP="00AD5E1C">
      <w:pPr>
        <w:pStyle w:val="BTEMEASMCA"/>
      </w:pPr>
      <w:r w:rsidRPr="002C1B7B">
        <w:t>6.</w:t>
      </w:r>
      <w:r w:rsidRPr="002C1B7B">
        <w:tab/>
        <w:t>Pakuotės turinys ir kita informacija</w:t>
      </w:r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PI-1EMEASMCA"/>
      </w:pPr>
      <w:r w:rsidRPr="002C1B7B">
        <w:t>1.</w:t>
      </w:r>
      <w:r w:rsidRPr="002C1B7B">
        <w:tab/>
        <w:t xml:space="preserve">Kas yra </w:t>
      </w:r>
      <w:proofErr w:type="spellStart"/>
      <w:r w:rsidRPr="002C1B7B">
        <w:t>Brontex</w:t>
      </w:r>
      <w:proofErr w:type="spellEnd"/>
      <w:r w:rsidRPr="002C1B7B">
        <w:t xml:space="preserve"> ir kam jis vartojamas</w:t>
      </w:r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BTEMEASMCA"/>
        <w:rPr>
          <w:noProof w:val="0"/>
        </w:rPr>
      </w:pPr>
      <w:r w:rsidRPr="002C1B7B">
        <w:t>Brontex vartojamas atsikosėjimui lengvinti, sergant ūminėmis bei lėtinėmis bronchų ir plaučių ligomis, kurių metu susidaro tąsaus sekreto.</w:t>
      </w:r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BTEMEASMCA"/>
      </w:pPr>
      <w:r w:rsidRPr="002C1B7B">
        <w:t>Jeigu per 4-5 dienas Jūsų savijauta nepagerėjo arba net pablogėjo, kreipkitės į gydytoją.</w:t>
      </w:r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PI-1EMEASMCA"/>
      </w:pPr>
      <w:r w:rsidRPr="002C1B7B">
        <w:t>2.</w:t>
      </w:r>
      <w:r w:rsidRPr="002C1B7B">
        <w:tab/>
        <w:t xml:space="preserve">Kas žinotina prieš vartojant </w:t>
      </w:r>
      <w:proofErr w:type="spellStart"/>
      <w:r w:rsidRPr="002C1B7B">
        <w:t>Brontex</w:t>
      </w:r>
      <w:proofErr w:type="spellEnd"/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PI-3EMEASMCA"/>
        <w:rPr>
          <w:szCs w:val="22"/>
        </w:rPr>
      </w:pPr>
      <w:r w:rsidRPr="002C1B7B">
        <w:rPr>
          <w:szCs w:val="22"/>
        </w:rPr>
        <w:t>Brontex vartoti negalima:</w:t>
      </w:r>
    </w:p>
    <w:p w:rsidR="00AD5E1C" w:rsidRPr="002C1B7B" w:rsidRDefault="00AD5E1C" w:rsidP="00AD5E1C">
      <w:pPr>
        <w:pStyle w:val="BT-EMEASMCA"/>
      </w:pPr>
      <w:r w:rsidRPr="002C1B7B">
        <w:t xml:space="preserve">jeigu yra alergija </w:t>
      </w:r>
      <w:r>
        <w:t>veikliajai medžiagai</w:t>
      </w:r>
      <w:r w:rsidRPr="002C1B7B">
        <w:t xml:space="preserve"> arba bet kuriai pagalbinei šio vaisto medžiagai</w:t>
      </w:r>
      <w:r>
        <w:t xml:space="preserve"> </w:t>
      </w:r>
      <w:r w:rsidRPr="00C03EF4">
        <w:rPr>
          <w:snapToGrid w:val="0"/>
          <w:szCs w:val="24"/>
        </w:rPr>
        <w:t>(jos išvardytos 6 skyriuje)</w:t>
      </w:r>
      <w:r w:rsidRPr="002C1B7B">
        <w:t>;</w:t>
      </w:r>
    </w:p>
    <w:p w:rsidR="00AD5E1C" w:rsidRPr="002C1B7B" w:rsidRDefault="00AD5E1C" w:rsidP="00AD5E1C">
      <w:pPr>
        <w:pStyle w:val="BT-EMEASMCA"/>
      </w:pPr>
      <w:r w:rsidRPr="002C1B7B">
        <w:t>Brontex negalima vartoti jaunesniems kaip 6 metų vaikams.</w:t>
      </w:r>
    </w:p>
    <w:p w:rsidR="00AD5E1C" w:rsidRPr="002C1B7B" w:rsidRDefault="00AD5E1C" w:rsidP="00AD5E1C">
      <w:pPr>
        <w:pStyle w:val="Antrat4"/>
        <w:spacing w:before="0"/>
        <w:rPr>
          <w:rFonts w:ascii="Times New Roman" w:hAnsi="Times New Roman"/>
          <w:i w:val="0"/>
          <w:color w:val="auto"/>
          <w:sz w:val="22"/>
          <w:szCs w:val="22"/>
        </w:rPr>
      </w:pPr>
    </w:p>
    <w:p w:rsidR="00AD5E1C" w:rsidRPr="002C1B7B" w:rsidRDefault="00AD5E1C" w:rsidP="00AD5E1C">
      <w:pPr>
        <w:pStyle w:val="Antrat4"/>
        <w:spacing w:before="0"/>
        <w:rPr>
          <w:rFonts w:ascii="Times New Roman" w:hAnsi="Times New Roman"/>
          <w:i w:val="0"/>
          <w:color w:val="auto"/>
          <w:sz w:val="22"/>
          <w:szCs w:val="22"/>
        </w:rPr>
      </w:pPr>
      <w:r w:rsidRPr="002C1B7B">
        <w:rPr>
          <w:rFonts w:ascii="Times New Roman" w:hAnsi="Times New Roman"/>
          <w:i w:val="0"/>
          <w:color w:val="auto"/>
          <w:sz w:val="22"/>
          <w:szCs w:val="22"/>
        </w:rPr>
        <w:t xml:space="preserve">Įspėjimai ir atsargumo priemonės </w:t>
      </w:r>
    </w:p>
    <w:p w:rsidR="00AD5E1C" w:rsidRPr="002C1B7B" w:rsidRDefault="00AD5E1C" w:rsidP="00AD5E1C">
      <w:pPr>
        <w:pStyle w:val="PI-3EMEASMCA"/>
        <w:rPr>
          <w:b w:val="0"/>
          <w:szCs w:val="22"/>
        </w:rPr>
      </w:pPr>
      <w:r w:rsidRPr="002C1B7B">
        <w:rPr>
          <w:b w:val="0"/>
          <w:bCs w:val="0"/>
          <w:szCs w:val="22"/>
        </w:rPr>
        <w:t>Pasitarkite su gydytoju arba vaistininku prieš pradėdami vartoti Brontex.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  <w:highlight w:val="yellow"/>
        </w:rPr>
      </w:pPr>
      <w:r w:rsidRPr="00056A1B">
        <w:rPr>
          <w:color w:val="000000"/>
          <w:szCs w:val="22"/>
        </w:rPr>
        <w:t xml:space="preserve">Nustatyti sunkių odos reakcijų, susijusių su </w:t>
      </w:r>
      <w:proofErr w:type="spellStart"/>
      <w:r>
        <w:rPr>
          <w:color w:val="000000"/>
          <w:szCs w:val="22"/>
        </w:rPr>
        <w:t>ambroksolio</w:t>
      </w:r>
      <w:proofErr w:type="spellEnd"/>
      <w:r>
        <w:rPr>
          <w:color w:val="000000"/>
          <w:szCs w:val="22"/>
        </w:rPr>
        <w:t xml:space="preserve"> hidrochlorido</w:t>
      </w:r>
      <w:r w:rsidRPr="00056A1B">
        <w:rPr>
          <w:color w:val="000000"/>
          <w:szCs w:val="22"/>
        </w:rPr>
        <w:t xml:space="preserve"> vartojimu, atvejai. Jeigu Jums pasireiškė odos išbėrimas (įskaitant gleivinės, pvz., burnos, gerklės, nosies, akių, lyties organų, pažeidimus), nedelsdami nutraukite </w:t>
      </w:r>
      <w:proofErr w:type="spellStart"/>
      <w:r>
        <w:rPr>
          <w:color w:val="000000"/>
          <w:szCs w:val="22"/>
        </w:rPr>
        <w:t>Brontex</w:t>
      </w:r>
      <w:proofErr w:type="spellEnd"/>
      <w:r w:rsidRPr="00056A1B">
        <w:rPr>
          <w:color w:val="000000"/>
          <w:szCs w:val="22"/>
        </w:rPr>
        <w:t xml:space="preserve"> vartojimą ir kreipkitės į gydytoją.</w:t>
      </w:r>
      <w:r w:rsidRPr="00056A1B" w:rsidDel="00056A1B">
        <w:rPr>
          <w:color w:val="000000"/>
          <w:szCs w:val="22"/>
        </w:rPr>
        <w:t xml:space="preserve"> </w:t>
      </w:r>
    </w:p>
    <w:p w:rsidR="00AD5E1C" w:rsidRDefault="00AD5E1C" w:rsidP="00AD5E1C">
      <w:pPr>
        <w:pStyle w:val="Pagrindinistekstas"/>
        <w:spacing w:after="0"/>
        <w:rPr>
          <w:b/>
          <w:color w:val="000000"/>
          <w:szCs w:val="22"/>
        </w:rPr>
      </w:pPr>
    </w:p>
    <w:p w:rsidR="00AD5E1C" w:rsidRPr="002C1B7B" w:rsidRDefault="00AD5E1C" w:rsidP="00AD5E1C">
      <w:pPr>
        <w:pStyle w:val="Pagrindinistekstas"/>
        <w:spacing w:after="0"/>
        <w:rPr>
          <w:b/>
          <w:color w:val="000000"/>
          <w:szCs w:val="22"/>
        </w:rPr>
      </w:pPr>
      <w:r w:rsidRPr="002C1B7B">
        <w:rPr>
          <w:b/>
          <w:color w:val="000000"/>
          <w:szCs w:val="22"/>
        </w:rPr>
        <w:t>Sutrikusi inkstų funkcija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  <w:r w:rsidRPr="002C1B7B">
        <w:rPr>
          <w:szCs w:val="22"/>
        </w:rPr>
        <w:t xml:space="preserve">Jei sutrikusi Jūsų inkstų funkcija, prieš tai pasitarus su gydytoju, </w:t>
      </w:r>
      <w:proofErr w:type="spellStart"/>
      <w:r w:rsidRPr="002C1B7B">
        <w:rPr>
          <w:bCs/>
          <w:szCs w:val="22"/>
        </w:rPr>
        <w:t>Brontex</w:t>
      </w:r>
      <w:proofErr w:type="spellEnd"/>
      <w:r w:rsidRPr="002C1B7B">
        <w:rPr>
          <w:szCs w:val="22"/>
        </w:rPr>
        <w:t xml:space="preserve"> reikia vartoti labai atsargiai (tai yra mažesne doze</w:t>
      </w:r>
      <w:r w:rsidRPr="002C1B7B">
        <w:rPr>
          <w:color w:val="000000"/>
          <w:szCs w:val="22"/>
        </w:rPr>
        <w:t xml:space="preserve"> arba darant tarp vaisto vartojimo ilgesnes pertraukas).</w:t>
      </w:r>
    </w:p>
    <w:p w:rsidR="00AD5E1C" w:rsidRPr="002C1B7B" w:rsidRDefault="00AD5E1C" w:rsidP="00AD5E1C">
      <w:pPr>
        <w:pStyle w:val="Pagrindinistekstas"/>
        <w:spacing w:after="0"/>
        <w:rPr>
          <w:i/>
          <w:color w:val="000000"/>
          <w:szCs w:val="22"/>
        </w:rPr>
      </w:pPr>
      <w:r w:rsidRPr="002C1B7B">
        <w:rPr>
          <w:i/>
          <w:color w:val="000000"/>
          <w:szCs w:val="22"/>
        </w:rPr>
        <w:t>Sunkus inkstų nepakankamumas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  <w:r w:rsidRPr="002C1B7B">
        <w:rPr>
          <w:color w:val="000000"/>
          <w:szCs w:val="22"/>
        </w:rPr>
        <w:t xml:space="preserve">Esant sunkiam inkstų nepakankamumui, kepenyse iš </w:t>
      </w:r>
      <w:proofErr w:type="spellStart"/>
      <w:r w:rsidRPr="002C1B7B">
        <w:rPr>
          <w:color w:val="000000"/>
          <w:szCs w:val="22"/>
        </w:rPr>
        <w:t>ambroksolio</w:t>
      </w:r>
      <w:proofErr w:type="spellEnd"/>
      <w:r w:rsidRPr="002C1B7B">
        <w:rPr>
          <w:color w:val="000000"/>
          <w:szCs w:val="22"/>
        </w:rPr>
        <w:t xml:space="preserve"> susidarantys metabolitai gali kauptis organizme.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</w:p>
    <w:p w:rsidR="00AD5E1C" w:rsidRPr="002C1B7B" w:rsidRDefault="00AD5E1C" w:rsidP="00AD5E1C">
      <w:pPr>
        <w:pStyle w:val="Pagrindinistekstas"/>
        <w:spacing w:after="0"/>
        <w:rPr>
          <w:b/>
          <w:color w:val="000000"/>
          <w:szCs w:val="22"/>
        </w:rPr>
      </w:pPr>
      <w:r w:rsidRPr="002C1B7B">
        <w:rPr>
          <w:b/>
          <w:iCs/>
          <w:color w:val="000000"/>
          <w:szCs w:val="22"/>
        </w:rPr>
        <w:t>Sutrikusi</w:t>
      </w:r>
      <w:r w:rsidRPr="002C1B7B">
        <w:rPr>
          <w:b/>
          <w:color w:val="000000"/>
          <w:szCs w:val="22"/>
        </w:rPr>
        <w:t xml:space="preserve"> kepenų </w:t>
      </w:r>
      <w:r w:rsidRPr="002C1B7B">
        <w:rPr>
          <w:b/>
          <w:iCs/>
          <w:color w:val="000000"/>
          <w:szCs w:val="22"/>
        </w:rPr>
        <w:t>funkcija</w:t>
      </w:r>
      <w:r w:rsidRPr="002C1B7B">
        <w:rPr>
          <w:b/>
          <w:color w:val="000000"/>
          <w:szCs w:val="22"/>
        </w:rPr>
        <w:t xml:space="preserve"> 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  <w:r w:rsidRPr="002C1B7B">
        <w:rPr>
          <w:color w:val="000000"/>
          <w:szCs w:val="22"/>
        </w:rPr>
        <w:t xml:space="preserve">Jei Jūs sergate sunkia kepenų liga, prieš tai pasitarus su gydytoju, </w:t>
      </w:r>
      <w:proofErr w:type="spellStart"/>
      <w:r w:rsidRPr="002C1B7B">
        <w:rPr>
          <w:color w:val="000000"/>
          <w:szCs w:val="22"/>
        </w:rPr>
        <w:t>Brontex</w:t>
      </w:r>
      <w:proofErr w:type="spellEnd"/>
      <w:r w:rsidRPr="002C1B7B">
        <w:rPr>
          <w:color w:val="000000"/>
          <w:szCs w:val="22"/>
        </w:rPr>
        <w:t xml:space="preserve"> galima vartoti tik labai atsargiai (</w:t>
      </w:r>
      <w:r w:rsidRPr="002C1B7B">
        <w:rPr>
          <w:szCs w:val="22"/>
        </w:rPr>
        <w:t>tai yra mažesne doze</w:t>
      </w:r>
      <w:r w:rsidRPr="002C1B7B">
        <w:rPr>
          <w:color w:val="000000"/>
          <w:szCs w:val="22"/>
        </w:rPr>
        <w:t xml:space="preserve"> arba darant tarp vaisto vartojimo ilgesnes pertraukas).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  <w:r w:rsidRPr="002C1B7B">
        <w:rPr>
          <w:color w:val="000000"/>
          <w:szCs w:val="22"/>
        </w:rPr>
        <w:lastRenderedPageBreak/>
        <w:t xml:space="preserve">Kai yra reta bronchų liga (pvz., piktybinis </w:t>
      </w:r>
      <w:proofErr w:type="spellStart"/>
      <w:r w:rsidRPr="002C1B7B">
        <w:rPr>
          <w:color w:val="000000"/>
          <w:szCs w:val="22"/>
        </w:rPr>
        <w:t>ciliarinis</w:t>
      </w:r>
      <w:proofErr w:type="spellEnd"/>
      <w:r w:rsidRPr="002C1B7B">
        <w:rPr>
          <w:color w:val="000000"/>
          <w:szCs w:val="22"/>
        </w:rPr>
        <w:t xml:space="preserve"> sindromas), kuri reiškiasi gausia skreplių sankaupa kvėpavimo takuose, </w:t>
      </w:r>
      <w:proofErr w:type="spellStart"/>
      <w:r w:rsidRPr="002C1B7B">
        <w:rPr>
          <w:bCs/>
          <w:szCs w:val="22"/>
        </w:rPr>
        <w:t>Brontex</w:t>
      </w:r>
      <w:proofErr w:type="spellEnd"/>
      <w:r w:rsidRPr="002C1B7B">
        <w:rPr>
          <w:color w:val="000000"/>
          <w:szCs w:val="22"/>
        </w:rPr>
        <w:t xml:space="preserve"> reikėtų vartoti labai atsargiai, prižiūrint gydytojui, nes kvėpavimo takuose gali kauptis sekreto.</w:t>
      </w:r>
    </w:p>
    <w:p w:rsidR="00AD5E1C" w:rsidRPr="002C1B7B" w:rsidRDefault="00AD5E1C" w:rsidP="00AD5E1C">
      <w:pPr>
        <w:pStyle w:val="Pagrindinistekstas"/>
        <w:spacing w:after="0"/>
        <w:rPr>
          <w:szCs w:val="22"/>
        </w:rPr>
      </w:pPr>
    </w:p>
    <w:p w:rsidR="00AD5E1C" w:rsidRPr="002C1B7B" w:rsidRDefault="00AD5E1C" w:rsidP="00AD5E1C">
      <w:pPr>
        <w:pStyle w:val="PI-3EMEASMCA"/>
        <w:rPr>
          <w:szCs w:val="22"/>
        </w:rPr>
      </w:pPr>
      <w:r w:rsidRPr="002C1B7B">
        <w:rPr>
          <w:szCs w:val="22"/>
        </w:rPr>
        <w:t xml:space="preserve">Vaikams </w:t>
      </w:r>
    </w:p>
    <w:p w:rsidR="00AD5E1C" w:rsidRPr="002C1B7B" w:rsidRDefault="00AD5E1C" w:rsidP="00AD5E1C">
      <w:pPr>
        <w:pStyle w:val="PI-3EMEASMCA"/>
        <w:rPr>
          <w:b w:val="0"/>
          <w:szCs w:val="22"/>
        </w:rPr>
      </w:pPr>
      <w:r w:rsidRPr="002C1B7B">
        <w:rPr>
          <w:b w:val="0"/>
          <w:szCs w:val="22"/>
        </w:rPr>
        <w:t>Brontex 30 mg tabletės</w:t>
      </w:r>
      <w:r>
        <w:rPr>
          <w:b w:val="0"/>
          <w:szCs w:val="22"/>
        </w:rPr>
        <w:t>,</w:t>
      </w:r>
      <w:r w:rsidRPr="002C1B7B">
        <w:rPr>
          <w:b w:val="0"/>
          <w:szCs w:val="22"/>
        </w:rPr>
        <w:t xml:space="preserve"> dėl jose esančios didelės vaisto dozės</w:t>
      </w:r>
      <w:r>
        <w:rPr>
          <w:b w:val="0"/>
          <w:szCs w:val="22"/>
        </w:rPr>
        <w:t>,</w:t>
      </w:r>
      <w:r w:rsidRPr="002C1B7B">
        <w:rPr>
          <w:b w:val="0"/>
          <w:szCs w:val="22"/>
        </w:rPr>
        <w:t xml:space="preserve"> netinka vartoti vaikams iki 6 metų amžiaus. Tokiems pacientams gydyti tinka vartoti sirupą, kuriame yra mažesnis veikliosios medžiagos kiekis. </w:t>
      </w:r>
    </w:p>
    <w:p w:rsidR="00AD5E1C" w:rsidRPr="002C1B7B" w:rsidRDefault="00AD5E1C" w:rsidP="00AD5E1C">
      <w:pPr>
        <w:pStyle w:val="PI-3EMEASMCA"/>
        <w:rPr>
          <w:b w:val="0"/>
          <w:szCs w:val="22"/>
        </w:rPr>
      </w:pPr>
    </w:p>
    <w:p w:rsidR="00AD5E1C" w:rsidRPr="002C1B7B" w:rsidRDefault="00AD5E1C" w:rsidP="00AD5E1C">
      <w:pPr>
        <w:pStyle w:val="PI-3EMEASMCA"/>
        <w:rPr>
          <w:b w:val="0"/>
          <w:szCs w:val="22"/>
        </w:rPr>
      </w:pPr>
      <w:r w:rsidRPr="002C1B7B">
        <w:rPr>
          <w:b w:val="0"/>
          <w:szCs w:val="22"/>
        </w:rPr>
        <w:t>Kadangi ambroksolis gali dirginti virškinimo trakto gleivinę, vaisto atsargiai turėtų vartoti pacientai, kuriems yra ar yra buvusi pepsinė opa.</w:t>
      </w:r>
    </w:p>
    <w:p w:rsidR="00AD5E1C" w:rsidRPr="002C1B7B" w:rsidRDefault="00AD5E1C" w:rsidP="00AD5E1C">
      <w:pPr>
        <w:pStyle w:val="PI-3EMEASMCA"/>
        <w:rPr>
          <w:szCs w:val="22"/>
        </w:rPr>
      </w:pPr>
    </w:p>
    <w:p w:rsidR="00AD5E1C" w:rsidRPr="002C1B7B" w:rsidRDefault="00AD5E1C" w:rsidP="00AD5E1C">
      <w:pPr>
        <w:pStyle w:val="Pagrindinistekstas"/>
        <w:spacing w:after="0"/>
        <w:rPr>
          <w:b/>
          <w:szCs w:val="22"/>
        </w:rPr>
      </w:pPr>
      <w:r w:rsidRPr="002C1B7B">
        <w:rPr>
          <w:b/>
          <w:bCs/>
          <w:noProof/>
          <w:szCs w:val="22"/>
        </w:rPr>
        <w:t>Kiti vaistai ir Brontex</w:t>
      </w:r>
    </w:p>
    <w:p w:rsidR="00AD5E1C" w:rsidRPr="002C1B7B" w:rsidRDefault="00AD5E1C" w:rsidP="00AD5E1C">
      <w:pPr>
        <w:pStyle w:val="Pagrindinistekstas"/>
        <w:spacing w:after="0"/>
        <w:rPr>
          <w:szCs w:val="22"/>
        </w:rPr>
      </w:pPr>
      <w:r w:rsidRPr="002C1B7B">
        <w:rPr>
          <w:szCs w:val="22"/>
        </w:rPr>
        <w:t xml:space="preserve">Jeigu vartojate arba neseniai vartojote kitų vaistų </w:t>
      </w:r>
      <w:r w:rsidRPr="002C1B7B">
        <w:rPr>
          <w:noProof/>
          <w:szCs w:val="22"/>
        </w:rPr>
        <w:t>arba dėl to nesate tikri, apie tai</w:t>
      </w:r>
      <w:r w:rsidRPr="002C1B7B">
        <w:rPr>
          <w:szCs w:val="22"/>
        </w:rPr>
        <w:t xml:space="preserve"> pasakykite gydytojui arba vaistininkui.</w:t>
      </w:r>
    </w:p>
    <w:p w:rsidR="00AD5E1C" w:rsidRPr="002C1B7B" w:rsidRDefault="00AD5E1C" w:rsidP="00AD5E1C">
      <w:pPr>
        <w:pStyle w:val="PI-3EMEASMCA"/>
        <w:rPr>
          <w:szCs w:val="22"/>
        </w:rPr>
      </w:pPr>
    </w:p>
    <w:p w:rsidR="00AD5E1C" w:rsidRPr="002C1B7B" w:rsidRDefault="00AD5E1C" w:rsidP="00AD5E1C">
      <w:pPr>
        <w:pStyle w:val="PI-3EMEASMCA"/>
        <w:rPr>
          <w:b w:val="0"/>
          <w:szCs w:val="22"/>
        </w:rPr>
      </w:pPr>
      <w:r w:rsidRPr="002C1B7B">
        <w:rPr>
          <w:b w:val="0"/>
          <w:szCs w:val="22"/>
        </w:rPr>
        <w:t>Vaistai nuo kosulio</w:t>
      </w:r>
    </w:p>
    <w:p w:rsidR="00AD5E1C" w:rsidRPr="002C1B7B" w:rsidRDefault="00AD5E1C" w:rsidP="00AD5E1C">
      <w:pPr>
        <w:pStyle w:val="PI-3EMEASMCA"/>
        <w:rPr>
          <w:b w:val="0"/>
          <w:szCs w:val="22"/>
        </w:rPr>
      </w:pPr>
      <w:r w:rsidRPr="002C1B7B">
        <w:rPr>
          <w:b w:val="0"/>
          <w:szCs w:val="22"/>
        </w:rPr>
        <w:t>Ambroksolio vartojant kartu su vaistais nuo kosulio, dėl kosulio reflekso slopinimo gali atsirasti pavojinga sekreto stazė, todėl minėtų vaistų vartoti kartu galima tik pagal labai tiksliai nustatytas indikacijas.</w:t>
      </w:r>
    </w:p>
    <w:p w:rsidR="00AD5E1C" w:rsidRPr="002C1B7B" w:rsidRDefault="00AD5E1C" w:rsidP="00AD5E1C">
      <w:pPr>
        <w:pStyle w:val="PI-3EMEASMCA"/>
        <w:rPr>
          <w:b w:val="0"/>
          <w:szCs w:val="22"/>
        </w:rPr>
      </w:pPr>
    </w:p>
    <w:p w:rsidR="00AD5E1C" w:rsidRPr="002C1B7B" w:rsidRDefault="00AD5E1C" w:rsidP="00AD5E1C">
      <w:pPr>
        <w:pStyle w:val="PI-3EMEASMCA"/>
        <w:rPr>
          <w:b w:val="0"/>
          <w:szCs w:val="22"/>
        </w:rPr>
      </w:pPr>
      <w:r w:rsidRPr="002C1B7B">
        <w:rPr>
          <w:b w:val="0"/>
          <w:szCs w:val="22"/>
        </w:rPr>
        <w:t>Antibiotikai</w:t>
      </w:r>
    </w:p>
    <w:p w:rsidR="00AD5E1C" w:rsidRPr="002C1B7B" w:rsidRDefault="00AD5E1C" w:rsidP="00AD5E1C">
      <w:pPr>
        <w:pStyle w:val="PI-3EMEASMCA"/>
        <w:rPr>
          <w:b w:val="0"/>
          <w:szCs w:val="22"/>
        </w:rPr>
      </w:pPr>
      <w:r w:rsidRPr="002C1B7B">
        <w:rPr>
          <w:b w:val="0"/>
          <w:szCs w:val="22"/>
        </w:rPr>
        <w:t>Pastebėta, kad ambroksolis, vartojamas kartu su amoksicilinu, cefuroksimu, doksiciklinu ir eritromicinu, gerina minėtų antibiotikų skvarbumą į bronchų sekretą.</w:t>
      </w:r>
    </w:p>
    <w:p w:rsidR="00AD5E1C" w:rsidRPr="002C1B7B" w:rsidRDefault="00AD5E1C" w:rsidP="00AD5E1C">
      <w:pPr>
        <w:pStyle w:val="PI-3EMEASMCA"/>
        <w:rPr>
          <w:szCs w:val="22"/>
        </w:rPr>
      </w:pPr>
    </w:p>
    <w:p w:rsidR="00AD5E1C" w:rsidRPr="002C1B7B" w:rsidRDefault="00AD5E1C" w:rsidP="00AD5E1C">
      <w:pPr>
        <w:pStyle w:val="PI-3EMEASMCA"/>
        <w:rPr>
          <w:szCs w:val="22"/>
        </w:rPr>
      </w:pPr>
      <w:r w:rsidRPr="002C1B7B">
        <w:rPr>
          <w:szCs w:val="22"/>
        </w:rPr>
        <w:t xml:space="preserve">Nėštumas ir žindymo laikotarpis </w:t>
      </w:r>
    </w:p>
    <w:p w:rsidR="00AD5E1C" w:rsidRPr="002C1B7B" w:rsidRDefault="00AD5E1C" w:rsidP="00AD5E1C">
      <w:pPr>
        <w:pStyle w:val="PI-3EMEASMCA"/>
        <w:rPr>
          <w:b w:val="0"/>
          <w:szCs w:val="22"/>
        </w:rPr>
      </w:pPr>
      <w:r w:rsidRPr="002C1B7B">
        <w:rPr>
          <w:b w:val="0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AD5E1C" w:rsidRPr="002C1B7B" w:rsidRDefault="00AD5E1C" w:rsidP="00AD5E1C">
      <w:pPr>
        <w:rPr>
          <w:sz w:val="22"/>
          <w:szCs w:val="22"/>
        </w:rPr>
      </w:pPr>
      <w:proofErr w:type="spellStart"/>
      <w:r w:rsidRPr="002C1B7B">
        <w:rPr>
          <w:iCs/>
          <w:sz w:val="22"/>
          <w:szCs w:val="22"/>
        </w:rPr>
        <w:t>Ambroksolio</w:t>
      </w:r>
      <w:proofErr w:type="spellEnd"/>
      <w:r w:rsidRPr="002C1B7B">
        <w:rPr>
          <w:iCs/>
          <w:sz w:val="22"/>
          <w:szCs w:val="22"/>
        </w:rPr>
        <w:t xml:space="preserve"> hidrochloridas</w:t>
      </w:r>
      <w:r w:rsidRPr="002C1B7B">
        <w:rPr>
          <w:sz w:val="22"/>
          <w:szCs w:val="22"/>
        </w:rPr>
        <w:t xml:space="preserve"> prasiskverbia per placentos barjerą. Tyrimai su gyvūnais tiesioginio ar netiesioginio kenksmingo poveikio nėštumo eigai, embriono ar vaisiaus vystymuisi, gimdymui ar </w:t>
      </w:r>
      <w:proofErr w:type="spellStart"/>
      <w:r w:rsidRPr="002C1B7B">
        <w:rPr>
          <w:sz w:val="22"/>
          <w:szCs w:val="22"/>
        </w:rPr>
        <w:t>postnataliniam</w:t>
      </w:r>
      <w:proofErr w:type="spellEnd"/>
      <w:r w:rsidRPr="002C1B7B">
        <w:rPr>
          <w:sz w:val="22"/>
          <w:szCs w:val="22"/>
        </w:rPr>
        <w:t xml:space="preserve"> vystymuisi neparodė. Pirmaisiais trimis nėštumo mėnesiais </w:t>
      </w:r>
      <w:proofErr w:type="spellStart"/>
      <w:r w:rsidRPr="002C1B7B">
        <w:rPr>
          <w:sz w:val="22"/>
          <w:szCs w:val="22"/>
        </w:rPr>
        <w:t>Brontex</w:t>
      </w:r>
      <w:proofErr w:type="spellEnd"/>
      <w:r w:rsidRPr="002C1B7B">
        <w:rPr>
          <w:sz w:val="22"/>
          <w:szCs w:val="22"/>
        </w:rPr>
        <w:t xml:space="preserve"> vartoti nerekomenduojama.</w:t>
      </w:r>
    </w:p>
    <w:p w:rsidR="00AD5E1C" w:rsidRPr="002C1B7B" w:rsidRDefault="00AD5E1C" w:rsidP="00AD5E1C">
      <w:pPr>
        <w:rPr>
          <w:sz w:val="22"/>
          <w:szCs w:val="22"/>
        </w:rPr>
      </w:pPr>
    </w:p>
    <w:p w:rsidR="00AD5E1C" w:rsidRPr="002C1B7B" w:rsidRDefault="00AD5E1C" w:rsidP="00AD5E1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Ambroksolis</w:t>
      </w:r>
      <w:proofErr w:type="spellEnd"/>
      <w:r>
        <w:rPr>
          <w:sz w:val="22"/>
          <w:szCs w:val="22"/>
        </w:rPr>
        <w:t xml:space="preserve"> </w:t>
      </w:r>
      <w:r w:rsidRPr="002C1B7B">
        <w:rPr>
          <w:sz w:val="22"/>
          <w:szCs w:val="22"/>
        </w:rPr>
        <w:t xml:space="preserve">patenka į motinos pieną. Žindyvėms </w:t>
      </w:r>
      <w:proofErr w:type="spellStart"/>
      <w:r w:rsidRPr="002C1B7B">
        <w:rPr>
          <w:sz w:val="22"/>
          <w:szCs w:val="22"/>
        </w:rPr>
        <w:t>Brontex</w:t>
      </w:r>
      <w:proofErr w:type="spellEnd"/>
      <w:r w:rsidRPr="002C1B7B">
        <w:rPr>
          <w:sz w:val="22"/>
          <w:szCs w:val="22"/>
        </w:rPr>
        <w:t xml:space="preserve"> vartoti nerekomenduojama, nors kūdikiui nepalankus poveikis pasireikšti neturėtų.</w:t>
      </w:r>
    </w:p>
    <w:p w:rsidR="00AD5E1C" w:rsidRPr="002C1B7B" w:rsidRDefault="00AD5E1C" w:rsidP="00AD5E1C">
      <w:pPr>
        <w:pStyle w:val="PI-3EMEASMCA"/>
        <w:rPr>
          <w:szCs w:val="22"/>
        </w:rPr>
      </w:pPr>
    </w:p>
    <w:p w:rsidR="00AD5E1C" w:rsidRPr="002C1B7B" w:rsidRDefault="00AD5E1C" w:rsidP="00AD5E1C">
      <w:pPr>
        <w:pStyle w:val="PI-3EMEASMCA"/>
        <w:rPr>
          <w:szCs w:val="22"/>
        </w:rPr>
      </w:pPr>
      <w:r w:rsidRPr="002C1B7B">
        <w:rPr>
          <w:szCs w:val="22"/>
        </w:rPr>
        <w:t>Vairavimas ir mechanizmų valdymas</w:t>
      </w:r>
    </w:p>
    <w:p w:rsidR="00AD5E1C" w:rsidRPr="002C1B7B" w:rsidRDefault="00AD5E1C" w:rsidP="00AD5E1C">
      <w:pPr>
        <w:pStyle w:val="BTEMEASMCA"/>
      </w:pPr>
      <w:r w:rsidRPr="002C1B7B">
        <w:t>Gebėjimo vairuoti ir valdyti mechanizmus Brontex neveikia.</w:t>
      </w:r>
    </w:p>
    <w:p w:rsidR="00AD5E1C" w:rsidRPr="002C1B7B" w:rsidRDefault="00AD5E1C" w:rsidP="00AD5E1C">
      <w:pPr>
        <w:pStyle w:val="BTEMEASMCA"/>
      </w:pPr>
    </w:p>
    <w:p w:rsidR="00AD5E1C" w:rsidRPr="00B7229E" w:rsidRDefault="00AD5E1C" w:rsidP="00AD5E1C">
      <w:pPr>
        <w:pStyle w:val="PI-3EMEASMCA"/>
        <w:rPr>
          <w:szCs w:val="22"/>
        </w:rPr>
      </w:pPr>
      <w:r w:rsidRPr="00C65B06">
        <w:rPr>
          <w:szCs w:val="22"/>
        </w:rPr>
        <w:t xml:space="preserve">Brontex </w:t>
      </w:r>
      <w:r w:rsidRPr="00B7229E">
        <w:rPr>
          <w:szCs w:val="22"/>
        </w:rPr>
        <w:t>sudėtyje yra laktozės monohidrato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  <w:r w:rsidRPr="004A413A">
        <w:rPr>
          <w:color w:val="000000"/>
          <w:szCs w:val="22"/>
        </w:rPr>
        <w:t>Jeigu gydytojas Jums yra sakęs, kad netoleruojate kokių nors angliavandenių, kreipkitės į jį prieš pradėdami vartoti šį vaistą.</w:t>
      </w:r>
    </w:p>
    <w:p w:rsidR="00AD5E1C" w:rsidRPr="002C1B7B" w:rsidRDefault="00AD5E1C" w:rsidP="00AD5E1C">
      <w:pPr>
        <w:pStyle w:val="Pagrindinistekstas"/>
        <w:spacing w:after="0"/>
        <w:rPr>
          <w:szCs w:val="22"/>
        </w:rPr>
      </w:pPr>
    </w:p>
    <w:p w:rsidR="00AD5E1C" w:rsidRPr="002C1B7B" w:rsidRDefault="00AD5E1C" w:rsidP="00AD5E1C">
      <w:pPr>
        <w:pStyle w:val="Pagrindinistekstas"/>
        <w:spacing w:after="0"/>
        <w:rPr>
          <w:szCs w:val="22"/>
        </w:rPr>
      </w:pPr>
    </w:p>
    <w:p w:rsidR="00AD5E1C" w:rsidRPr="002C1B7B" w:rsidRDefault="00AD5E1C" w:rsidP="00AD5E1C">
      <w:pPr>
        <w:pStyle w:val="PI-1EMEASMCA"/>
      </w:pPr>
      <w:r w:rsidRPr="002C1B7B">
        <w:t>3.</w:t>
      </w:r>
      <w:r w:rsidRPr="002C1B7B">
        <w:tab/>
        <w:t xml:space="preserve">Kaip vartoti </w:t>
      </w:r>
      <w:proofErr w:type="spellStart"/>
      <w:r w:rsidRPr="002C1B7B">
        <w:t>Brontex</w:t>
      </w:r>
      <w:proofErr w:type="spellEnd"/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  <w:r w:rsidRPr="002C1B7B">
        <w:rPr>
          <w:noProof/>
          <w:szCs w:val="22"/>
        </w:rPr>
        <w:t>Visada vartokite šį vaistą tiksliai kaip aprašyta šiame lapelyje arba kaip nurodė gydytojas</w:t>
      </w:r>
      <w:r>
        <w:rPr>
          <w:noProof/>
          <w:szCs w:val="22"/>
        </w:rPr>
        <w:t>,</w:t>
      </w:r>
      <w:r w:rsidRPr="002C1B7B">
        <w:rPr>
          <w:noProof/>
          <w:szCs w:val="22"/>
        </w:rPr>
        <w:t xml:space="preserve"> arba vaistininkas.</w:t>
      </w:r>
      <w:r w:rsidRPr="002C1B7B">
        <w:rPr>
          <w:szCs w:val="22"/>
        </w:rPr>
        <w:t xml:space="preserve"> </w:t>
      </w:r>
      <w:r w:rsidRPr="002C1B7B">
        <w:rPr>
          <w:noProof/>
          <w:szCs w:val="22"/>
        </w:rPr>
        <w:t>Jeigu abejojate, kreipkitės į gydytoją arba vaistininką.</w:t>
      </w:r>
    </w:p>
    <w:p w:rsidR="00AD5E1C" w:rsidRPr="002C1B7B" w:rsidRDefault="00AD5E1C" w:rsidP="00AD5E1C">
      <w:pPr>
        <w:pStyle w:val="Pagrindinistekstas"/>
        <w:tabs>
          <w:tab w:val="left" w:pos="1260"/>
        </w:tabs>
        <w:spacing w:after="0"/>
        <w:rPr>
          <w:color w:val="000000"/>
          <w:szCs w:val="22"/>
        </w:rPr>
      </w:pPr>
    </w:p>
    <w:p w:rsidR="00AD5E1C" w:rsidRPr="002C1B7B" w:rsidRDefault="00AD5E1C" w:rsidP="00AD5E1C">
      <w:pPr>
        <w:pStyle w:val="Pagrindinistekstas"/>
        <w:tabs>
          <w:tab w:val="left" w:pos="1260"/>
        </w:tabs>
        <w:spacing w:after="0"/>
        <w:rPr>
          <w:b/>
          <w:color w:val="000000"/>
          <w:szCs w:val="22"/>
          <w:u w:val="single"/>
        </w:rPr>
      </w:pPr>
      <w:r w:rsidRPr="002C1B7B">
        <w:rPr>
          <w:b/>
          <w:szCs w:val="22"/>
        </w:rPr>
        <w:t>Vartojimas vaikams</w:t>
      </w:r>
    </w:p>
    <w:p w:rsidR="00AD5E1C" w:rsidRPr="002C1B7B" w:rsidRDefault="00AD5E1C" w:rsidP="00AD5E1C">
      <w:pPr>
        <w:pStyle w:val="Pagrindinistekstas"/>
        <w:tabs>
          <w:tab w:val="left" w:pos="1260"/>
        </w:tabs>
        <w:spacing w:after="0"/>
        <w:rPr>
          <w:color w:val="000000"/>
          <w:szCs w:val="22"/>
          <w:u w:val="single"/>
        </w:rPr>
      </w:pPr>
      <w:r w:rsidRPr="002C1B7B">
        <w:rPr>
          <w:color w:val="000000"/>
          <w:szCs w:val="22"/>
          <w:u w:val="single"/>
        </w:rPr>
        <w:t>6-12 metų vaikai</w:t>
      </w:r>
    </w:p>
    <w:p w:rsidR="00AD5E1C" w:rsidRPr="002C1B7B" w:rsidRDefault="00AD5E1C" w:rsidP="00AD5E1C">
      <w:pPr>
        <w:pStyle w:val="Pagrindinistekstas"/>
        <w:tabs>
          <w:tab w:val="left" w:pos="1260"/>
        </w:tabs>
        <w:spacing w:after="0"/>
        <w:rPr>
          <w:color w:val="000000"/>
          <w:szCs w:val="22"/>
        </w:rPr>
      </w:pPr>
      <w:r w:rsidRPr="002C1B7B">
        <w:rPr>
          <w:color w:val="000000"/>
          <w:szCs w:val="22"/>
        </w:rPr>
        <w:t xml:space="preserve">Dažniausiai reikia vartoti 2-3 kartus per parą po pusę tabletės (tai atitinka 2-3 kartus po 15 mg </w:t>
      </w:r>
      <w:proofErr w:type="spellStart"/>
      <w:r w:rsidRPr="002C1B7B">
        <w:rPr>
          <w:color w:val="000000"/>
          <w:szCs w:val="22"/>
        </w:rPr>
        <w:t>ambroksolio</w:t>
      </w:r>
      <w:proofErr w:type="spellEnd"/>
      <w:r w:rsidRPr="002C1B7B">
        <w:rPr>
          <w:color w:val="000000"/>
          <w:szCs w:val="22"/>
        </w:rPr>
        <w:t xml:space="preserve"> hidrochlorido per parą).</w:t>
      </w:r>
    </w:p>
    <w:p w:rsidR="00AD5E1C" w:rsidRPr="002C1B7B" w:rsidRDefault="00AD5E1C" w:rsidP="00AD5E1C">
      <w:pPr>
        <w:pStyle w:val="Pagrindinistekstas"/>
        <w:tabs>
          <w:tab w:val="left" w:pos="1260"/>
        </w:tabs>
        <w:spacing w:after="0"/>
        <w:rPr>
          <w:color w:val="000000"/>
          <w:szCs w:val="22"/>
        </w:rPr>
      </w:pPr>
    </w:p>
    <w:p w:rsidR="00AD5E1C" w:rsidRPr="002C1B7B" w:rsidRDefault="00AD5E1C" w:rsidP="00AD5E1C">
      <w:pPr>
        <w:pStyle w:val="Pagrindinistekstas"/>
        <w:tabs>
          <w:tab w:val="left" w:pos="1260"/>
        </w:tabs>
        <w:spacing w:after="0"/>
        <w:rPr>
          <w:color w:val="000000"/>
          <w:szCs w:val="22"/>
        </w:rPr>
      </w:pPr>
      <w:r w:rsidRPr="002C1B7B">
        <w:rPr>
          <w:color w:val="000000"/>
          <w:szCs w:val="22"/>
          <w:u w:val="single"/>
        </w:rPr>
        <w:t>Suaugusieji ir vyresni nei 12 metų vaikai</w:t>
      </w:r>
      <w:r w:rsidRPr="002C1B7B">
        <w:rPr>
          <w:color w:val="000000"/>
          <w:szCs w:val="22"/>
        </w:rPr>
        <w:t xml:space="preserve"> </w:t>
      </w:r>
    </w:p>
    <w:p w:rsidR="00AD5E1C" w:rsidRPr="002C1B7B" w:rsidRDefault="00AD5E1C" w:rsidP="00AD5E1C">
      <w:pPr>
        <w:pStyle w:val="Pagrindinistekstas"/>
        <w:tabs>
          <w:tab w:val="left" w:pos="1260"/>
        </w:tabs>
        <w:spacing w:after="0"/>
        <w:rPr>
          <w:color w:val="000000"/>
          <w:szCs w:val="22"/>
        </w:rPr>
      </w:pPr>
      <w:r w:rsidRPr="002C1B7B">
        <w:rPr>
          <w:color w:val="000000"/>
          <w:szCs w:val="22"/>
        </w:rPr>
        <w:lastRenderedPageBreak/>
        <w:t xml:space="preserve">Dažniausiai reikia vartoti pirmas 2-3 paras 3 kartus per parą po vieną tabletę (tai atitinka 2 - 3 kartus po 30 mg </w:t>
      </w:r>
      <w:proofErr w:type="spellStart"/>
      <w:r w:rsidRPr="002C1B7B">
        <w:rPr>
          <w:color w:val="000000"/>
          <w:szCs w:val="22"/>
        </w:rPr>
        <w:t>ambroksolio</w:t>
      </w:r>
      <w:proofErr w:type="spellEnd"/>
      <w:r w:rsidRPr="002C1B7B">
        <w:rPr>
          <w:color w:val="000000"/>
          <w:szCs w:val="22"/>
        </w:rPr>
        <w:t xml:space="preserve"> hidrochlorido per parą), vėliau – 2 kartus po vieną tabletę (tai atitinka 2 kartus po 30 mg </w:t>
      </w:r>
      <w:proofErr w:type="spellStart"/>
      <w:r w:rsidRPr="002C1B7B">
        <w:rPr>
          <w:color w:val="000000"/>
          <w:szCs w:val="22"/>
        </w:rPr>
        <w:t>ambroksolio</w:t>
      </w:r>
      <w:proofErr w:type="spellEnd"/>
      <w:r w:rsidRPr="002C1B7B">
        <w:rPr>
          <w:color w:val="000000"/>
          <w:szCs w:val="22"/>
        </w:rPr>
        <w:t xml:space="preserve"> hidrochlorido per parą).</w:t>
      </w:r>
    </w:p>
    <w:p w:rsidR="00AD5E1C" w:rsidRPr="002C1B7B" w:rsidRDefault="00AD5E1C" w:rsidP="00AD5E1C">
      <w:pPr>
        <w:pStyle w:val="Pagrindinistekstas"/>
        <w:tabs>
          <w:tab w:val="left" w:pos="1260"/>
        </w:tabs>
        <w:spacing w:after="0"/>
        <w:rPr>
          <w:color w:val="000000"/>
          <w:szCs w:val="22"/>
        </w:rPr>
      </w:pP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  <w:u w:val="single"/>
        </w:rPr>
      </w:pPr>
      <w:r w:rsidRPr="002C1B7B">
        <w:rPr>
          <w:color w:val="000000"/>
          <w:szCs w:val="22"/>
          <w:u w:val="single"/>
        </w:rPr>
        <w:t>Nuoroda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  <w:r w:rsidRPr="002C1B7B">
        <w:rPr>
          <w:color w:val="000000"/>
          <w:szCs w:val="22"/>
        </w:rPr>
        <w:t>Jei Jums sutrikusi inkstų funkcija arba sergate sunkia kepenų liga, gydytojui nurodžius, vaisto dozę reikia sumažinti arba tarp vaisto vartojimo daryti ilgesnes pertraukas.</w:t>
      </w:r>
    </w:p>
    <w:p w:rsidR="00AD5E1C" w:rsidRPr="002C1B7B" w:rsidRDefault="00AD5E1C" w:rsidP="00AD5E1C">
      <w:pPr>
        <w:pStyle w:val="Pagrindinistekstas"/>
        <w:spacing w:after="0"/>
        <w:rPr>
          <w:szCs w:val="22"/>
        </w:rPr>
      </w:pPr>
      <w:r w:rsidRPr="002C1B7B">
        <w:rPr>
          <w:szCs w:val="22"/>
        </w:rPr>
        <w:t xml:space="preserve">Jeigu manote, kad </w:t>
      </w:r>
      <w:proofErr w:type="spellStart"/>
      <w:r w:rsidRPr="002C1B7B">
        <w:rPr>
          <w:szCs w:val="22"/>
        </w:rPr>
        <w:t>Brontex</w:t>
      </w:r>
      <w:proofErr w:type="spellEnd"/>
      <w:r w:rsidRPr="002C1B7B">
        <w:rPr>
          <w:szCs w:val="22"/>
        </w:rPr>
        <w:t xml:space="preserve"> veikia per stipriai arba per silpnai, kreipkitės į gydytoją arba vaistininką.</w:t>
      </w:r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Pagrindinistekstas"/>
        <w:tabs>
          <w:tab w:val="left" w:pos="1260"/>
        </w:tabs>
        <w:spacing w:after="0"/>
        <w:rPr>
          <w:b/>
          <w:color w:val="000000"/>
          <w:szCs w:val="22"/>
        </w:rPr>
      </w:pPr>
      <w:r w:rsidRPr="002C1B7B">
        <w:rPr>
          <w:b/>
          <w:color w:val="000000"/>
          <w:szCs w:val="22"/>
        </w:rPr>
        <w:t>Vartojimo metodas ir trukmė</w:t>
      </w:r>
    </w:p>
    <w:p w:rsidR="00AD5E1C" w:rsidRPr="002C1B7B" w:rsidRDefault="00AD5E1C" w:rsidP="00AD5E1C">
      <w:pPr>
        <w:pStyle w:val="Pagrindinistekstas"/>
        <w:tabs>
          <w:tab w:val="left" w:pos="1260"/>
        </w:tabs>
        <w:spacing w:after="0"/>
        <w:rPr>
          <w:color w:val="000000"/>
          <w:szCs w:val="22"/>
        </w:rPr>
      </w:pPr>
      <w:r w:rsidRPr="002C1B7B">
        <w:rPr>
          <w:color w:val="000000"/>
          <w:szCs w:val="22"/>
        </w:rPr>
        <w:t>Tabletes reikėtų nuryti nesukramtytas po valgio, gausiai užsigerti skysčiu (pvz., stikline vandens, sulčių arba arbatos).</w:t>
      </w:r>
    </w:p>
    <w:p w:rsidR="00AD5E1C" w:rsidRPr="002C1B7B" w:rsidRDefault="00AD5E1C" w:rsidP="00AD5E1C">
      <w:pPr>
        <w:pStyle w:val="Pagrindinistekstas"/>
        <w:tabs>
          <w:tab w:val="left" w:pos="1260"/>
        </w:tabs>
        <w:spacing w:after="0"/>
        <w:rPr>
          <w:color w:val="000000"/>
          <w:szCs w:val="22"/>
        </w:rPr>
      </w:pP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  <w:u w:val="single"/>
        </w:rPr>
      </w:pPr>
      <w:r w:rsidRPr="002C1B7B">
        <w:rPr>
          <w:color w:val="000000"/>
          <w:szCs w:val="22"/>
          <w:u w:val="single"/>
        </w:rPr>
        <w:t>Nuoroda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  <w:r w:rsidRPr="002C1B7B">
        <w:rPr>
          <w:color w:val="000000"/>
          <w:szCs w:val="22"/>
        </w:rPr>
        <w:t xml:space="preserve">Geriant pakankamai skysčių, sustiprėja </w:t>
      </w:r>
      <w:proofErr w:type="spellStart"/>
      <w:r w:rsidRPr="002C1B7B">
        <w:rPr>
          <w:color w:val="000000"/>
          <w:szCs w:val="22"/>
        </w:rPr>
        <w:t>Brontex</w:t>
      </w:r>
      <w:proofErr w:type="spellEnd"/>
      <w:r w:rsidRPr="002C1B7B">
        <w:rPr>
          <w:color w:val="000000"/>
          <w:szCs w:val="22"/>
        </w:rPr>
        <w:t xml:space="preserve"> poveikis sekreto skystėjimui. Todėl gydymosi metu reikia gerti pakankamai skysčių.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  <w:r w:rsidRPr="002C1B7B">
        <w:rPr>
          <w:color w:val="000000"/>
          <w:szCs w:val="22"/>
        </w:rPr>
        <w:t>Vaisto vartojimo trukmę, atsižvelgiant į ligos sunkumą, nustato gydytojas. Jei vaisto geriate be gydytojo nurodymų, tai nevartokite</w:t>
      </w:r>
      <w:r w:rsidRPr="002C1B7B">
        <w:rPr>
          <w:szCs w:val="22"/>
        </w:rPr>
        <w:t xml:space="preserve"> </w:t>
      </w:r>
      <w:proofErr w:type="spellStart"/>
      <w:r w:rsidRPr="002C1B7B">
        <w:rPr>
          <w:color w:val="000000"/>
          <w:szCs w:val="22"/>
        </w:rPr>
        <w:t>Brontex</w:t>
      </w:r>
      <w:proofErr w:type="spellEnd"/>
      <w:r w:rsidRPr="002C1B7B">
        <w:rPr>
          <w:color w:val="000000"/>
          <w:szCs w:val="22"/>
        </w:rPr>
        <w:t xml:space="preserve"> ilgiau negu 4-5 paras.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</w:p>
    <w:p w:rsidR="00AD5E1C" w:rsidRPr="002C1B7B" w:rsidRDefault="00AD5E1C" w:rsidP="00AD5E1C">
      <w:pPr>
        <w:pStyle w:val="PI-3EMEASMCA"/>
        <w:rPr>
          <w:szCs w:val="22"/>
        </w:rPr>
      </w:pPr>
      <w:r w:rsidRPr="002C1B7B">
        <w:rPr>
          <w:szCs w:val="22"/>
        </w:rPr>
        <w:t>Ką daryti pavartojus per didelę Brontex dozę?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  <w:r w:rsidRPr="002C1B7B">
        <w:rPr>
          <w:color w:val="000000"/>
          <w:szCs w:val="22"/>
        </w:rPr>
        <w:t>Perdozavus vaisto, kreipkitės į gydytoją. Skubios gydymo priemonės - vėmimo sukėlimas ir skrandžio plovimas - paprastai nėra tinkamos; jas galima bandyti taikyti tik atsiradus perdozavimo požymių. Reikėtų naudoti priemones, skirtas gydyti tiems simptomams, kurių atsiranda perdozavus vaisto.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</w:p>
    <w:p w:rsidR="00AD5E1C" w:rsidRPr="002C1B7B" w:rsidRDefault="00AD5E1C" w:rsidP="00AD5E1C">
      <w:pPr>
        <w:pStyle w:val="Pagrindinistekstas"/>
        <w:spacing w:after="0"/>
        <w:rPr>
          <w:b/>
          <w:color w:val="000000"/>
          <w:szCs w:val="22"/>
        </w:rPr>
      </w:pPr>
      <w:r w:rsidRPr="002C1B7B">
        <w:rPr>
          <w:color w:val="000000"/>
          <w:szCs w:val="22"/>
        </w:rPr>
        <w:t>Pranešama apie trumpalaikį sujaudinimą ir viduriavimą. Atsitiktinai ar sąmoningai labai perdozavus vaisto, gali atsirasti šių požymių: gausus seilėtekis, springimas, vėmimas, sumažėjęs kraujospūdis.</w:t>
      </w:r>
    </w:p>
    <w:p w:rsidR="00AD5E1C" w:rsidRPr="002C1B7B" w:rsidRDefault="00AD5E1C" w:rsidP="00AD5E1C">
      <w:pPr>
        <w:pStyle w:val="Pagrindinistekstas"/>
        <w:spacing w:after="0"/>
        <w:rPr>
          <w:b/>
          <w:color w:val="000000"/>
          <w:szCs w:val="22"/>
        </w:rPr>
      </w:pPr>
    </w:p>
    <w:p w:rsidR="00AD5E1C" w:rsidRPr="002C1B7B" w:rsidRDefault="00AD5E1C" w:rsidP="00AD5E1C">
      <w:pPr>
        <w:pStyle w:val="Pagrindinistekstas"/>
        <w:spacing w:after="0"/>
        <w:rPr>
          <w:b/>
          <w:color w:val="000000"/>
          <w:szCs w:val="22"/>
        </w:rPr>
      </w:pPr>
      <w:r w:rsidRPr="002C1B7B">
        <w:rPr>
          <w:b/>
          <w:color w:val="000000"/>
          <w:szCs w:val="22"/>
        </w:rPr>
        <w:t xml:space="preserve">Pamiršus pavartoti </w:t>
      </w:r>
      <w:proofErr w:type="spellStart"/>
      <w:r w:rsidRPr="002C1B7B">
        <w:rPr>
          <w:b/>
          <w:color w:val="000000"/>
          <w:szCs w:val="22"/>
        </w:rPr>
        <w:t>Brontex</w:t>
      </w:r>
      <w:proofErr w:type="spellEnd"/>
      <w:r w:rsidRPr="002C1B7B">
        <w:rPr>
          <w:b/>
          <w:color w:val="000000"/>
          <w:szCs w:val="22"/>
        </w:rPr>
        <w:t xml:space="preserve"> 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  <w:r w:rsidRPr="002C1B7B">
        <w:rPr>
          <w:color w:val="000000"/>
          <w:szCs w:val="22"/>
        </w:rPr>
        <w:t xml:space="preserve">Jei pamirštama išgerti </w:t>
      </w:r>
      <w:proofErr w:type="spellStart"/>
      <w:r w:rsidRPr="002C1B7B">
        <w:rPr>
          <w:color w:val="000000"/>
          <w:szCs w:val="22"/>
        </w:rPr>
        <w:t>Brontex</w:t>
      </w:r>
      <w:proofErr w:type="spellEnd"/>
      <w:r w:rsidRPr="002C1B7B">
        <w:rPr>
          <w:color w:val="000000"/>
          <w:szCs w:val="22"/>
        </w:rPr>
        <w:t xml:space="preserve"> ar j</w:t>
      </w:r>
      <w:r>
        <w:rPr>
          <w:color w:val="000000"/>
          <w:szCs w:val="22"/>
        </w:rPr>
        <w:t>o</w:t>
      </w:r>
      <w:r w:rsidRPr="002C1B7B">
        <w:rPr>
          <w:color w:val="000000"/>
          <w:szCs w:val="22"/>
        </w:rPr>
        <w:t xml:space="preserve"> buvo išgerta pernelyg mažai, </w:t>
      </w:r>
      <w:r w:rsidRPr="002C1B7B">
        <w:rPr>
          <w:noProof/>
          <w:szCs w:val="22"/>
        </w:rPr>
        <w:t>negalima vartoti</w:t>
      </w:r>
      <w:r w:rsidRPr="002C1B7B">
        <w:rPr>
          <w:szCs w:val="22"/>
        </w:rPr>
        <w:t xml:space="preserve"> dvigubos dozės</w:t>
      </w:r>
      <w:r w:rsidRPr="002C1B7B">
        <w:rPr>
          <w:noProof/>
          <w:szCs w:val="22"/>
        </w:rPr>
        <w:t xml:space="preserve"> norint kompensuoti praleistą dozę</w:t>
      </w:r>
      <w:r w:rsidRPr="002C1B7B">
        <w:rPr>
          <w:color w:val="000000"/>
          <w:szCs w:val="22"/>
        </w:rPr>
        <w:t xml:space="preserve">. Toliau vartokite vaistą gydytojo nurodyta tvarka. </w:t>
      </w:r>
    </w:p>
    <w:p w:rsidR="00AD5E1C" w:rsidRPr="002C1B7B" w:rsidRDefault="00AD5E1C" w:rsidP="00AD5E1C">
      <w:pPr>
        <w:pStyle w:val="Pagrindinistekstas"/>
        <w:spacing w:after="0"/>
        <w:rPr>
          <w:b/>
          <w:color w:val="000000"/>
          <w:szCs w:val="22"/>
        </w:rPr>
      </w:pPr>
    </w:p>
    <w:p w:rsidR="00AD5E1C" w:rsidRPr="002C1B7B" w:rsidRDefault="00AD5E1C" w:rsidP="00AD5E1C">
      <w:pPr>
        <w:pStyle w:val="Pagrindinistekstas"/>
        <w:spacing w:after="0"/>
        <w:rPr>
          <w:b/>
          <w:color w:val="000000"/>
          <w:szCs w:val="22"/>
        </w:rPr>
      </w:pPr>
      <w:r w:rsidRPr="002C1B7B">
        <w:rPr>
          <w:b/>
          <w:color w:val="000000"/>
          <w:szCs w:val="22"/>
        </w:rPr>
        <w:t xml:space="preserve">Nustojus vartoti </w:t>
      </w:r>
      <w:proofErr w:type="spellStart"/>
      <w:r w:rsidRPr="002C1B7B">
        <w:rPr>
          <w:b/>
          <w:color w:val="000000"/>
          <w:szCs w:val="22"/>
        </w:rPr>
        <w:t>Brontex</w:t>
      </w:r>
      <w:proofErr w:type="spellEnd"/>
      <w:r w:rsidRPr="002C1B7B">
        <w:rPr>
          <w:b/>
          <w:color w:val="000000"/>
          <w:szCs w:val="22"/>
        </w:rPr>
        <w:t xml:space="preserve"> 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  <w:r w:rsidRPr="002C1B7B">
        <w:rPr>
          <w:color w:val="000000"/>
          <w:szCs w:val="22"/>
        </w:rPr>
        <w:t>Nepasitarę su gydytoju, nenutraukite vaisto vartojimo, nes gali pablogėti ligos eiga.</w:t>
      </w:r>
    </w:p>
    <w:p w:rsidR="00AD5E1C" w:rsidRPr="002C1B7B" w:rsidRDefault="00AD5E1C" w:rsidP="00AD5E1C">
      <w:pPr>
        <w:pStyle w:val="Pagrindinistekstas"/>
        <w:spacing w:after="0"/>
        <w:rPr>
          <w:color w:val="000000"/>
          <w:szCs w:val="22"/>
        </w:rPr>
      </w:pPr>
    </w:p>
    <w:p w:rsidR="00AD5E1C" w:rsidRPr="002C1B7B" w:rsidRDefault="00AD5E1C" w:rsidP="00AD5E1C">
      <w:pPr>
        <w:pStyle w:val="PI-1EMEASMCA"/>
      </w:pPr>
      <w:r w:rsidRPr="002C1B7B">
        <w:t>4.</w:t>
      </w:r>
      <w:r w:rsidRPr="002C1B7B">
        <w:tab/>
        <w:t>Galimas šalutinis poveikis</w:t>
      </w:r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BTEMEASMCA"/>
      </w:pPr>
      <w:r w:rsidRPr="002C1B7B">
        <w:t>Šis vaistas, kaip ir visi kiti, gali sukelti šalutinį poveikį, nors jis pasireiškia ne visiems žmonėms.</w:t>
      </w:r>
    </w:p>
    <w:p w:rsidR="00AD5E1C" w:rsidRPr="002C1B7B" w:rsidRDefault="00AD5E1C" w:rsidP="00AD5E1C">
      <w:pPr>
        <w:rPr>
          <w:sz w:val="22"/>
          <w:szCs w:val="22"/>
        </w:rPr>
      </w:pPr>
      <w:r w:rsidRPr="002C1B7B">
        <w:rPr>
          <w:sz w:val="22"/>
          <w:szCs w:val="22"/>
        </w:rPr>
        <w:t xml:space="preserve">Paprastai </w:t>
      </w:r>
      <w:proofErr w:type="spellStart"/>
      <w:r w:rsidRPr="002C1B7B">
        <w:rPr>
          <w:sz w:val="22"/>
          <w:szCs w:val="22"/>
        </w:rPr>
        <w:t>ambroksolio</w:t>
      </w:r>
      <w:proofErr w:type="spellEnd"/>
      <w:r w:rsidRPr="002C1B7B">
        <w:rPr>
          <w:sz w:val="22"/>
          <w:szCs w:val="22"/>
        </w:rPr>
        <w:t xml:space="preserve"> hidrochloridas toleruojamas gerai.</w:t>
      </w:r>
    </w:p>
    <w:p w:rsidR="00AD5E1C" w:rsidRPr="002C1B7B" w:rsidRDefault="00AD5E1C" w:rsidP="00AD5E1C">
      <w:pPr>
        <w:rPr>
          <w:sz w:val="22"/>
          <w:szCs w:val="22"/>
        </w:rPr>
      </w:pPr>
    </w:p>
    <w:p w:rsidR="00AD5E1C" w:rsidRPr="002C1B7B" w:rsidRDefault="00AD5E1C" w:rsidP="00AD5E1C">
      <w:pPr>
        <w:pStyle w:val="Dokumentoinaostekstas"/>
        <w:outlineLvl w:val="0"/>
        <w:rPr>
          <w:szCs w:val="22"/>
          <w:lang w:val="lt-LT"/>
        </w:rPr>
      </w:pPr>
      <w:r w:rsidRPr="002C1B7B">
        <w:rPr>
          <w:szCs w:val="22"/>
          <w:lang w:val="lt-LT"/>
        </w:rPr>
        <w:t>Nepageidaujamo poveikio dažnio apibūdinimai:</w:t>
      </w:r>
    </w:p>
    <w:p w:rsidR="00AD5E1C" w:rsidRPr="002C1B7B" w:rsidRDefault="00AD5E1C" w:rsidP="00AD5E1C">
      <w:pPr>
        <w:pStyle w:val="Dokumentoinaostekstas"/>
        <w:tabs>
          <w:tab w:val="clear" w:pos="567"/>
          <w:tab w:val="left" w:pos="0"/>
        </w:tabs>
        <w:ind w:left="567" w:hanging="567"/>
        <w:rPr>
          <w:szCs w:val="22"/>
          <w:lang w:val="lt-LT"/>
        </w:rPr>
      </w:pPr>
      <w:r w:rsidRPr="002C1B7B">
        <w:rPr>
          <w:szCs w:val="22"/>
          <w:lang w:val="lt-LT"/>
        </w:rPr>
        <w:t>Labai dažn</w:t>
      </w:r>
      <w:r>
        <w:rPr>
          <w:szCs w:val="22"/>
          <w:lang w:val="lt-LT"/>
        </w:rPr>
        <w:t>as</w:t>
      </w:r>
      <w:r w:rsidRPr="002C1B7B">
        <w:rPr>
          <w:szCs w:val="22"/>
          <w:lang w:val="lt-LT"/>
        </w:rPr>
        <w:t xml:space="preserve"> (≥1/10);</w:t>
      </w:r>
    </w:p>
    <w:p w:rsidR="00AD5E1C" w:rsidRPr="002C1B7B" w:rsidRDefault="00AD5E1C" w:rsidP="00AD5E1C">
      <w:pPr>
        <w:pStyle w:val="Dokumentoinaostekstas"/>
        <w:tabs>
          <w:tab w:val="clear" w:pos="567"/>
          <w:tab w:val="left" w:pos="0"/>
        </w:tabs>
        <w:ind w:left="567" w:hanging="567"/>
        <w:rPr>
          <w:szCs w:val="22"/>
          <w:lang w:val="lt-LT"/>
        </w:rPr>
      </w:pPr>
      <w:r w:rsidRPr="002C1B7B">
        <w:rPr>
          <w:szCs w:val="22"/>
          <w:lang w:val="lt-LT"/>
        </w:rPr>
        <w:t>Dažn</w:t>
      </w:r>
      <w:r>
        <w:rPr>
          <w:szCs w:val="22"/>
          <w:lang w:val="lt-LT"/>
        </w:rPr>
        <w:t>as</w:t>
      </w:r>
      <w:r w:rsidRPr="002C1B7B">
        <w:rPr>
          <w:szCs w:val="22"/>
          <w:lang w:val="lt-LT"/>
        </w:rPr>
        <w:t xml:space="preserve"> (nuo ≥1/100 iki &lt;1/10);</w:t>
      </w:r>
    </w:p>
    <w:p w:rsidR="00AD5E1C" w:rsidRPr="002C1B7B" w:rsidRDefault="00AD5E1C" w:rsidP="00AD5E1C">
      <w:pPr>
        <w:pStyle w:val="Dokumentoinaostekstas"/>
        <w:tabs>
          <w:tab w:val="clear" w:pos="567"/>
          <w:tab w:val="left" w:pos="0"/>
        </w:tabs>
        <w:ind w:left="567" w:hanging="567"/>
        <w:rPr>
          <w:szCs w:val="22"/>
          <w:lang w:val="lt-LT"/>
        </w:rPr>
      </w:pPr>
      <w:r w:rsidRPr="002C1B7B">
        <w:rPr>
          <w:szCs w:val="22"/>
          <w:lang w:val="lt-LT"/>
        </w:rPr>
        <w:t>Nedažn</w:t>
      </w:r>
      <w:r>
        <w:rPr>
          <w:szCs w:val="22"/>
          <w:lang w:val="lt-LT"/>
        </w:rPr>
        <w:t>as</w:t>
      </w:r>
      <w:r w:rsidRPr="002C1B7B">
        <w:rPr>
          <w:szCs w:val="22"/>
          <w:lang w:val="lt-LT"/>
        </w:rPr>
        <w:t xml:space="preserve"> (nuo ≥1/1 000 iki &lt;1/100);</w:t>
      </w:r>
    </w:p>
    <w:p w:rsidR="00AD5E1C" w:rsidRPr="002C1B7B" w:rsidRDefault="00AD5E1C" w:rsidP="00AD5E1C">
      <w:pPr>
        <w:pStyle w:val="Dokumentoinaostekstas"/>
        <w:tabs>
          <w:tab w:val="clear" w:pos="567"/>
          <w:tab w:val="left" w:pos="0"/>
        </w:tabs>
        <w:ind w:left="567" w:hanging="567"/>
        <w:rPr>
          <w:szCs w:val="22"/>
          <w:lang w:val="lt-LT"/>
        </w:rPr>
      </w:pPr>
      <w:r w:rsidRPr="002C1B7B">
        <w:rPr>
          <w:szCs w:val="22"/>
          <w:lang w:val="lt-LT"/>
        </w:rPr>
        <w:t>Ret</w:t>
      </w:r>
      <w:r>
        <w:rPr>
          <w:szCs w:val="22"/>
          <w:lang w:val="lt-LT"/>
        </w:rPr>
        <w:t>as</w:t>
      </w:r>
      <w:r w:rsidRPr="002C1B7B">
        <w:rPr>
          <w:szCs w:val="22"/>
          <w:lang w:val="lt-LT"/>
        </w:rPr>
        <w:t xml:space="preserve"> (nuo ≥1/10 000 iki &lt;1/1 000);</w:t>
      </w:r>
    </w:p>
    <w:p w:rsidR="00AD5E1C" w:rsidRPr="002C1B7B" w:rsidRDefault="00AD5E1C" w:rsidP="00AD5E1C">
      <w:pPr>
        <w:tabs>
          <w:tab w:val="left" w:pos="567"/>
        </w:tabs>
        <w:rPr>
          <w:sz w:val="22"/>
          <w:szCs w:val="22"/>
        </w:rPr>
      </w:pPr>
      <w:r w:rsidRPr="002C1B7B">
        <w:rPr>
          <w:sz w:val="22"/>
          <w:szCs w:val="22"/>
        </w:rPr>
        <w:t>Labai ret</w:t>
      </w:r>
      <w:r>
        <w:rPr>
          <w:sz w:val="22"/>
          <w:szCs w:val="22"/>
        </w:rPr>
        <w:t>as</w:t>
      </w:r>
      <w:r w:rsidRPr="002C1B7B">
        <w:rPr>
          <w:sz w:val="22"/>
          <w:szCs w:val="22"/>
        </w:rPr>
        <w:t xml:space="preserve"> (&lt;1/10 000)</w:t>
      </w:r>
      <w:r>
        <w:rPr>
          <w:sz w:val="22"/>
          <w:szCs w:val="22"/>
        </w:rPr>
        <w:t>;</w:t>
      </w:r>
    </w:p>
    <w:p w:rsidR="00AD5E1C" w:rsidRPr="004868B6" w:rsidRDefault="00AD5E1C" w:rsidP="00AD5E1C">
      <w:pPr>
        <w:tabs>
          <w:tab w:val="left" w:pos="567"/>
        </w:tabs>
        <w:rPr>
          <w:sz w:val="22"/>
          <w:szCs w:val="22"/>
        </w:rPr>
      </w:pPr>
      <w:r w:rsidRPr="004868B6">
        <w:rPr>
          <w:sz w:val="22"/>
          <w:szCs w:val="22"/>
        </w:rPr>
        <w:t>Dažnis nežinomas (negali būti apskaičiuotas pagal turimus duomenis).</w:t>
      </w:r>
    </w:p>
    <w:p w:rsidR="00AD5E1C" w:rsidRDefault="00AD5E1C" w:rsidP="00AD5E1C">
      <w:pPr>
        <w:tabs>
          <w:tab w:val="left" w:pos="567"/>
        </w:tabs>
        <w:rPr>
          <w:i/>
          <w:sz w:val="22"/>
          <w:szCs w:val="22"/>
        </w:rPr>
      </w:pPr>
    </w:p>
    <w:p w:rsidR="00AD5E1C" w:rsidRPr="002C1B7B" w:rsidRDefault="00AD5E1C" w:rsidP="00AD5E1C">
      <w:pPr>
        <w:tabs>
          <w:tab w:val="left" w:pos="567"/>
        </w:tabs>
        <w:rPr>
          <w:i/>
          <w:sz w:val="22"/>
          <w:szCs w:val="22"/>
        </w:rPr>
      </w:pPr>
      <w:r w:rsidRPr="002C1B7B">
        <w:rPr>
          <w:i/>
          <w:sz w:val="22"/>
          <w:szCs w:val="22"/>
        </w:rPr>
        <w:t>Imuninės sistemos sutrikimai</w:t>
      </w:r>
    </w:p>
    <w:p w:rsidR="00AD5E1C" w:rsidRPr="002C1B7B" w:rsidRDefault="00AD5E1C" w:rsidP="00AD5E1C">
      <w:pPr>
        <w:tabs>
          <w:tab w:val="left" w:pos="567"/>
        </w:tabs>
        <w:rPr>
          <w:sz w:val="22"/>
          <w:szCs w:val="22"/>
        </w:rPr>
      </w:pPr>
      <w:r w:rsidRPr="002C1B7B">
        <w:rPr>
          <w:i/>
          <w:sz w:val="22"/>
          <w:szCs w:val="22"/>
        </w:rPr>
        <w:t>Reti</w:t>
      </w:r>
      <w:r>
        <w:rPr>
          <w:sz w:val="22"/>
          <w:szCs w:val="22"/>
        </w:rPr>
        <w:t>: padidėjusio jautrumo reakcijos,</w:t>
      </w:r>
      <w:r w:rsidRPr="002C1B7B">
        <w:rPr>
          <w:sz w:val="22"/>
          <w:szCs w:val="22"/>
        </w:rPr>
        <w:t xml:space="preserve"> išbėrimas, dilgėlinė, </w:t>
      </w:r>
      <w:proofErr w:type="spellStart"/>
      <w:r w:rsidRPr="002C1B7B">
        <w:rPr>
          <w:sz w:val="22"/>
          <w:szCs w:val="22"/>
        </w:rPr>
        <w:t>angioneurozinė</w:t>
      </w:r>
      <w:proofErr w:type="spellEnd"/>
      <w:r w:rsidRPr="002C1B7B">
        <w:rPr>
          <w:sz w:val="22"/>
          <w:szCs w:val="22"/>
        </w:rPr>
        <w:t xml:space="preserve"> edema.</w:t>
      </w:r>
    </w:p>
    <w:p w:rsidR="00AD5E1C" w:rsidRPr="002C1B7B" w:rsidRDefault="00AD5E1C" w:rsidP="00AD5E1C">
      <w:pPr>
        <w:tabs>
          <w:tab w:val="left" w:pos="567"/>
        </w:tabs>
        <w:rPr>
          <w:sz w:val="22"/>
          <w:szCs w:val="22"/>
        </w:rPr>
      </w:pPr>
      <w:r w:rsidRPr="002C1B7B">
        <w:rPr>
          <w:i/>
          <w:sz w:val="22"/>
          <w:szCs w:val="22"/>
        </w:rPr>
        <w:t>Labai reti</w:t>
      </w:r>
      <w:r>
        <w:rPr>
          <w:i/>
          <w:sz w:val="22"/>
          <w:szCs w:val="22"/>
        </w:rPr>
        <w:t>:</w:t>
      </w:r>
      <w:r w:rsidRPr="002C1B7B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2C1B7B">
        <w:rPr>
          <w:sz w:val="22"/>
          <w:szCs w:val="22"/>
        </w:rPr>
        <w:t>nafilaksinės reakcijos, įskaitant anafilaksinį šoką (veido pabrinkimas, dusulys,</w:t>
      </w:r>
      <w:r w:rsidRPr="002C1B7B">
        <w:rPr>
          <w:i/>
          <w:sz w:val="22"/>
          <w:szCs w:val="22"/>
        </w:rPr>
        <w:t xml:space="preserve"> </w:t>
      </w:r>
      <w:r w:rsidRPr="002C1B7B">
        <w:rPr>
          <w:sz w:val="22"/>
          <w:szCs w:val="22"/>
        </w:rPr>
        <w:t>temperatūros padidėjimas, drebulys), kitos alerginės reakcijos.</w:t>
      </w:r>
    </w:p>
    <w:p w:rsidR="00AD5E1C" w:rsidRPr="002C1B7B" w:rsidRDefault="00AD5E1C" w:rsidP="00AD5E1C">
      <w:pPr>
        <w:tabs>
          <w:tab w:val="left" w:pos="567"/>
        </w:tabs>
        <w:rPr>
          <w:i/>
          <w:noProof/>
          <w:sz w:val="22"/>
          <w:szCs w:val="22"/>
        </w:rPr>
      </w:pPr>
    </w:p>
    <w:p w:rsidR="00AD5E1C" w:rsidRPr="002C1B7B" w:rsidRDefault="00AD5E1C" w:rsidP="00AD5E1C">
      <w:pPr>
        <w:tabs>
          <w:tab w:val="left" w:pos="567"/>
        </w:tabs>
        <w:rPr>
          <w:i/>
          <w:noProof/>
          <w:sz w:val="22"/>
          <w:szCs w:val="22"/>
          <w:lang w:val="pt-PT"/>
        </w:rPr>
      </w:pPr>
      <w:r w:rsidRPr="002C1B7B">
        <w:rPr>
          <w:i/>
          <w:noProof/>
          <w:sz w:val="22"/>
          <w:szCs w:val="22"/>
          <w:lang w:val="pt-PT"/>
        </w:rPr>
        <w:t>Kvėpavimo sistemos, krūtinės ląstos ir tarpuplaučio sutrikimai</w:t>
      </w:r>
    </w:p>
    <w:p w:rsidR="00AD5E1C" w:rsidRPr="002C1B7B" w:rsidRDefault="00AD5E1C" w:rsidP="00AD5E1C">
      <w:pPr>
        <w:tabs>
          <w:tab w:val="left" w:pos="567"/>
        </w:tabs>
        <w:rPr>
          <w:i/>
          <w:sz w:val="22"/>
          <w:szCs w:val="22"/>
        </w:rPr>
      </w:pPr>
      <w:r w:rsidRPr="002C1B7B">
        <w:rPr>
          <w:i/>
          <w:sz w:val="22"/>
          <w:szCs w:val="22"/>
        </w:rPr>
        <w:t>Reta</w:t>
      </w:r>
      <w:r>
        <w:rPr>
          <w:i/>
          <w:sz w:val="22"/>
          <w:szCs w:val="22"/>
        </w:rPr>
        <w:t>s:</w:t>
      </w:r>
      <w:r w:rsidRPr="002C1B7B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2C1B7B">
        <w:rPr>
          <w:sz w:val="22"/>
          <w:szCs w:val="22"/>
        </w:rPr>
        <w:t>ekreto tekėjimas iš nosies</w:t>
      </w:r>
      <w:r w:rsidRPr="002C1B7B">
        <w:rPr>
          <w:i/>
          <w:sz w:val="22"/>
          <w:szCs w:val="22"/>
        </w:rPr>
        <w:t xml:space="preserve">. </w:t>
      </w:r>
    </w:p>
    <w:p w:rsidR="00AD5E1C" w:rsidRPr="002C1B7B" w:rsidRDefault="00AD5E1C" w:rsidP="00AD5E1C">
      <w:pPr>
        <w:tabs>
          <w:tab w:val="left" w:pos="567"/>
        </w:tabs>
        <w:rPr>
          <w:i/>
          <w:sz w:val="22"/>
          <w:szCs w:val="22"/>
        </w:rPr>
      </w:pPr>
    </w:p>
    <w:p w:rsidR="00AD5E1C" w:rsidRPr="002C1B7B" w:rsidRDefault="00AD5E1C" w:rsidP="00AD5E1C">
      <w:pPr>
        <w:tabs>
          <w:tab w:val="left" w:pos="567"/>
        </w:tabs>
        <w:rPr>
          <w:i/>
          <w:sz w:val="22"/>
          <w:szCs w:val="22"/>
        </w:rPr>
      </w:pPr>
      <w:r w:rsidRPr="002C1B7B">
        <w:rPr>
          <w:i/>
          <w:sz w:val="22"/>
          <w:szCs w:val="22"/>
        </w:rPr>
        <w:t>Virškinimo trakto sutrikimai</w:t>
      </w:r>
    </w:p>
    <w:p w:rsidR="00AD5E1C" w:rsidRPr="002C1B7B" w:rsidRDefault="00AD5E1C" w:rsidP="00AD5E1C">
      <w:pPr>
        <w:tabs>
          <w:tab w:val="left" w:pos="567"/>
        </w:tabs>
        <w:rPr>
          <w:sz w:val="22"/>
          <w:szCs w:val="22"/>
        </w:rPr>
      </w:pPr>
      <w:r w:rsidRPr="002C1B7B">
        <w:rPr>
          <w:i/>
          <w:sz w:val="22"/>
          <w:szCs w:val="22"/>
        </w:rPr>
        <w:lastRenderedPageBreak/>
        <w:t>Nedažni</w:t>
      </w:r>
      <w:r>
        <w:rPr>
          <w:i/>
          <w:sz w:val="22"/>
          <w:szCs w:val="22"/>
        </w:rPr>
        <w:t>:</w:t>
      </w:r>
      <w:r w:rsidRPr="002C1B7B">
        <w:rPr>
          <w:i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 w:rsidRPr="002C1B7B">
        <w:rPr>
          <w:sz w:val="22"/>
          <w:szCs w:val="22"/>
        </w:rPr>
        <w:t>evirškinimas</w:t>
      </w:r>
      <w:proofErr w:type="spellEnd"/>
      <w:r w:rsidRPr="002C1B7B">
        <w:rPr>
          <w:sz w:val="22"/>
          <w:szCs w:val="22"/>
        </w:rPr>
        <w:t xml:space="preserve">, bei kitokie silpni virškinimo trakto sutrikimo simptomai, pykinimas, vėmimas. </w:t>
      </w:r>
    </w:p>
    <w:p w:rsidR="00AD5E1C" w:rsidRPr="002C1B7B" w:rsidRDefault="00AD5E1C" w:rsidP="00AD5E1C">
      <w:pPr>
        <w:tabs>
          <w:tab w:val="left" w:pos="567"/>
        </w:tabs>
        <w:rPr>
          <w:sz w:val="22"/>
          <w:szCs w:val="22"/>
        </w:rPr>
      </w:pPr>
      <w:r w:rsidRPr="002C1B7B">
        <w:rPr>
          <w:i/>
          <w:sz w:val="22"/>
          <w:szCs w:val="22"/>
        </w:rPr>
        <w:t>Reti</w:t>
      </w:r>
      <w:r>
        <w:rPr>
          <w:i/>
          <w:sz w:val="22"/>
          <w:szCs w:val="22"/>
        </w:rPr>
        <w:t>:</w:t>
      </w:r>
      <w:r w:rsidRPr="002C1B7B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2C1B7B">
        <w:rPr>
          <w:sz w:val="22"/>
          <w:szCs w:val="22"/>
        </w:rPr>
        <w:t>eilėtekis, rėmuo, viduriavimas.</w:t>
      </w:r>
    </w:p>
    <w:p w:rsidR="00AD5E1C" w:rsidRPr="002C1B7B" w:rsidRDefault="00AD5E1C" w:rsidP="00AD5E1C">
      <w:pPr>
        <w:tabs>
          <w:tab w:val="left" w:pos="567"/>
        </w:tabs>
        <w:rPr>
          <w:i/>
          <w:sz w:val="22"/>
          <w:szCs w:val="22"/>
        </w:rPr>
      </w:pPr>
    </w:p>
    <w:p w:rsidR="00AD5E1C" w:rsidRPr="002C1B7B" w:rsidRDefault="00AD5E1C" w:rsidP="00AD5E1C">
      <w:pPr>
        <w:pStyle w:val="Pavadinimas"/>
        <w:jc w:val="left"/>
        <w:rPr>
          <w:b w:val="0"/>
          <w:i/>
          <w:noProof/>
          <w:szCs w:val="22"/>
          <w:lang w:val="pt-PT"/>
        </w:rPr>
      </w:pPr>
      <w:r w:rsidRPr="002C1B7B">
        <w:rPr>
          <w:b w:val="0"/>
          <w:i/>
          <w:noProof/>
          <w:szCs w:val="22"/>
          <w:lang w:val="pt-PT"/>
        </w:rPr>
        <w:t>Inkstų ir šlapimo takų sutrikimai</w:t>
      </w:r>
    </w:p>
    <w:p w:rsidR="00AD5E1C" w:rsidRPr="002C1B7B" w:rsidRDefault="00AD5E1C" w:rsidP="00AD5E1C">
      <w:pPr>
        <w:tabs>
          <w:tab w:val="left" w:pos="567"/>
        </w:tabs>
        <w:rPr>
          <w:sz w:val="22"/>
          <w:szCs w:val="22"/>
        </w:rPr>
      </w:pPr>
      <w:r w:rsidRPr="002C1B7B">
        <w:rPr>
          <w:i/>
          <w:sz w:val="22"/>
          <w:szCs w:val="22"/>
          <w:lang w:val="pt-PT"/>
        </w:rPr>
        <w:t>Reti</w:t>
      </w:r>
      <w:r>
        <w:rPr>
          <w:i/>
          <w:sz w:val="22"/>
          <w:szCs w:val="22"/>
          <w:lang w:val="pt-PT"/>
        </w:rPr>
        <w:t>:</w:t>
      </w:r>
      <w:r w:rsidRPr="002C1B7B">
        <w:rPr>
          <w:i/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š</w:t>
      </w:r>
      <w:r w:rsidRPr="002C1B7B">
        <w:rPr>
          <w:sz w:val="22"/>
          <w:szCs w:val="22"/>
          <w:lang w:val="pt-PT"/>
        </w:rPr>
        <w:t>lapinimosi sutrikimai.</w:t>
      </w:r>
    </w:p>
    <w:p w:rsidR="00AD5E1C" w:rsidRDefault="00AD5E1C" w:rsidP="00AD5E1C">
      <w:pPr>
        <w:rPr>
          <w:sz w:val="22"/>
          <w:szCs w:val="22"/>
        </w:rPr>
      </w:pPr>
    </w:p>
    <w:p w:rsidR="00AD5E1C" w:rsidRPr="00E543C9" w:rsidRDefault="00AD5E1C" w:rsidP="00AD5E1C">
      <w:pPr>
        <w:pStyle w:val="Pavadinimas"/>
        <w:jc w:val="left"/>
        <w:rPr>
          <w:b w:val="0"/>
          <w:i/>
          <w:szCs w:val="22"/>
          <w:lang w:val="lt-LT"/>
        </w:rPr>
      </w:pPr>
      <w:r w:rsidRPr="00E543C9">
        <w:rPr>
          <w:b w:val="0"/>
          <w:i/>
          <w:szCs w:val="22"/>
          <w:lang w:val="lt-LT"/>
        </w:rPr>
        <w:t>Odos ir poodinio audinio sutrikimai</w:t>
      </w:r>
    </w:p>
    <w:p w:rsidR="00AD5E1C" w:rsidRPr="00056A1B" w:rsidRDefault="00AD5E1C" w:rsidP="00AD5E1C">
      <w:pPr>
        <w:tabs>
          <w:tab w:val="left" w:pos="567"/>
        </w:tabs>
        <w:rPr>
          <w:sz w:val="22"/>
          <w:szCs w:val="22"/>
        </w:rPr>
      </w:pPr>
      <w:r w:rsidRPr="004868B6">
        <w:rPr>
          <w:i/>
          <w:sz w:val="22"/>
          <w:szCs w:val="22"/>
        </w:rPr>
        <w:t>Reti:</w:t>
      </w:r>
      <w:r w:rsidRPr="00056A1B">
        <w:rPr>
          <w:sz w:val="22"/>
          <w:szCs w:val="22"/>
        </w:rPr>
        <w:t xml:space="preserve"> išbėrimas, dilgėlinė</w:t>
      </w:r>
      <w:r>
        <w:rPr>
          <w:sz w:val="22"/>
          <w:szCs w:val="22"/>
        </w:rPr>
        <w:t>.</w:t>
      </w:r>
    </w:p>
    <w:p w:rsidR="00AD5E1C" w:rsidRPr="004868B6" w:rsidRDefault="00AD5E1C" w:rsidP="00AD5E1C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pt-PT"/>
        </w:rPr>
      </w:pPr>
      <w:r w:rsidRPr="004868B6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pt-PT"/>
        </w:rPr>
        <w:t>Dažnis nežinomas:</w:t>
      </w:r>
      <w:r w:rsidRPr="004868B6">
        <w:rPr>
          <w:rFonts w:ascii="Times New Roman" w:eastAsia="Times New Roman" w:hAnsi="Times New Roman" w:cs="Times New Roman"/>
          <w:color w:val="auto"/>
          <w:sz w:val="22"/>
          <w:szCs w:val="22"/>
          <w:lang w:val="pt-PT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pt-PT"/>
        </w:rPr>
        <w:t>a</w:t>
      </w:r>
      <w:r w:rsidRPr="004868B6">
        <w:rPr>
          <w:rFonts w:ascii="Times New Roman" w:eastAsia="Times New Roman" w:hAnsi="Times New Roman" w:cs="Times New Roman"/>
          <w:color w:val="auto"/>
          <w:sz w:val="22"/>
          <w:szCs w:val="22"/>
          <w:lang w:val="pt-PT"/>
        </w:rPr>
        <w:t xml:space="preserve">nafilaksinės reakcijos, įskaitant anafilaksinį šoką, angioneurozinę edemą (greitai besivystantį odos, gleivinės, po oda ar gleivine esančių audinių tinimą) ir niežėjimą. </w:t>
      </w:r>
    </w:p>
    <w:p w:rsidR="00AD5E1C" w:rsidRPr="004868B6" w:rsidRDefault="00AD5E1C" w:rsidP="00AD5E1C">
      <w:pPr>
        <w:rPr>
          <w:sz w:val="22"/>
          <w:szCs w:val="22"/>
          <w:lang w:val="pt-PT"/>
        </w:rPr>
      </w:pPr>
      <w:r w:rsidRPr="004868B6">
        <w:rPr>
          <w:sz w:val="22"/>
          <w:szCs w:val="22"/>
          <w:lang w:val="pt-PT"/>
        </w:rPr>
        <w:t>Sunkios nepageidaujamos poodinės reakcijos (įskaitant daugiaformę eritemą, Stivenso-Džonsono sindromą / toksinę epidermio nekrolizę ir ūminę genera</w:t>
      </w:r>
      <w:r w:rsidRPr="00955C8F">
        <w:rPr>
          <w:sz w:val="22"/>
          <w:szCs w:val="22"/>
          <w:lang w:val="pt-PT"/>
        </w:rPr>
        <w:t>lizuotą egzanteminę pustuliozę)</w:t>
      </w:r>
      <w:r>
        <w:rPr>
          <w:sz w:val="22"/>
          <w:szCs w:val="22"/>
          <w:lang w:val="pt-PT"/>
        </w:rPr>
        <w:t>.</w:t>
      </w:r>
    </w:p>
    <w:p w:rsidR="00AD5E1C" w:rsidRDefault="00AD5E1C" w:rsidP="00AD5E1C">
      <w:pPr>
        <w:rPr>
          <w:sz w:val="22"/>
          <w:szCs w:val="22"/>
        </w:rPr>
      </w:pPr>
    </w:p>
    <w:p w:rsidR="00AD5E1C" w:rsidRPr="002C1B7B" w:rsidRDefault="00AD5E1C" w:rsidP="00AD5E1C">
      <w:pPr>
        <w:rPr>
          <w:b/>
          <w:sz w:val="22"/>
          <w:szCs w:val="22"/>
        </w:rPr>
      </w:pPr>
      <w:r w:rsidRPr="002C1B7B">
        <w:rPr>
          <w:b/>
          <w:noProof/>
          <w:sz w:val="22"/>
          <w:szCs w:val="22"/>
        </w:rPr>
        <w:t>Pranešimas apie šalutinį poveikį</w:t>
      </w:r>
    </w:p>
    <w:p w:rsidR="00AD5E1C" w:rsidRPr="002C1B7B" w:rsidRDefault="00AD5E1C" w:rsidP="00AD5E1C">
      <w:pPr>
        <w:pStyle w:val="BTEMEASMCA"/>
      </w:pPr>
      <w:r w:rsidRPr="002C1B7B">
        <w:t xml:space="preserve">Jeigu pasireiškė šalutinis poveikis, įskaitant šiame lapelyje nenurodytą, pasakykite gydytojui arba vaistininkui. </w:t>
      </w:r>
      <w:r w:rsidRPr="004928E9">
        <w:t>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AD5E1C" w:rsidRPr="002C1B7B" w:rsidRDefault="00AD5E1C" w:rsidP="00AD5E1C">
      <w:pPr>
        <w:pStyle w:val="BTEMEASMCA"/>
        <w:rPr>
          <w:noProof w:val="0"/>
        </w:rPr>
      </w:pPr>
    </w:p>
    <w:p w:rsidR="00AD5E1C" w:rsidRPr="002C1B7B" w:rsidRDefault="00AD5E1C" w:rsidP="00AD5E1C">
      <w:pPr>
        <w:pStyle w:val="BTEMEASMCA"/>
        <w:rPr>
          <w:noProof w:val="0"/>
        </w:rPr>
      </w:pPr>
    </w:p>
    <w:p w:rsidR="00AD5E1C" w:rsidRPr="002C1B7B" w:rsidRDefault="00AD5E1C" w:rsidP="00AD5E1C">
      <w:pPr>
        <w:pStyle w:val="PI-1EMEASMCA"/>
      </w:pPr>
      <w:r w:rsidRPr="002C1B7B">
        <w:t>5.</w:t>
      </w:r>
      <w:r w:rsidRPr="002C1B7B">
        <w:tab/>
        <w:t xml:space="preserve">Kaip laikyti </w:t>
      </w:r>
      <w:proofErr w:type="spellStart"/>
      <w:r w:rsidRPr="002C1B7B">
        <w:t>Brontex</w:t>
      </w:r>
      <w:proofErr w:type="spellEnd"/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numPr>
          <w:ilvl w:val="12"/>
          <w:numId w:val="0"/>
        </w:numPr>
        <w:ind w:right="-2"/>
        <w:rPr>
          <w:sz w:val="22"/>
          <w:szCs w:val="22"/>
        </w:rPr>
      </w:pPr>
      <w:r w:rsidRPr="002C1B7B">
        <w:rPr>
          <w:noProof/>
          <w:sz w:val="22"/>
          <w:szCs w:val="22"/>
        </w:rPr>
        <w:t>Šį vaistą laikykite</w:t>
      </w:r>
      <w:r w:rsidRPr="002C1B7B">
        <w:rPr>
          <w:sz w:val="22"/>
          <w:szCs w:val="22"/>
        </w:rPr>
        <w:t xml:space="preserve"> vaikams </w:t>
      </w:r>
      <w:r w:rsidRPr="002C1B7B">
        <w:rPr>
          <w:noProof/>
          <w:sz w:val="22"/>
          <w:szCs w:val="22"/>
        </w:rPr>
        <w:t xml:space="preserve">nepastebimoje ir </w:t>
      </w:r>
      <w:r w:rsidRPr="002C1B7B">
        <w:rPr>
          <w:sz w:val="22"/>
          <w:szCs w:val="22"/>
        </w:rPr>
        <w:t>nepasiekiamoje vietoje.</w:t>
      </w:r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BTEMEASMCA"/>
      </w:pPr>
      <w:r w:rsidRPr="002C1B7B">
        <w:t>Ant lizdinės plokštelės ir dėžutės po „Tinka iki“ nurodytam tinkamumo laikui pasibaigus, šio vaisto vartoti negalima. Vaistas tinkamas vartoti iki paskutinės nurodyto mėnesio dienos.</w:t>
      </w:r>
    </w:p>
    <w:p w:rsidR="00AD5E1C" w:rsidRDefault="00AD5E1C" w:rsidP="00AD5E1C">
      <w:pPr>
        <w:pStyle w:val="BTEMEASMCA"/>
      </w:pPr>
    </w:p>
    <w:p w:rsidR="00AD5E1C" w:rsidRPr="002C1B7B" w:rsidRDefault="00AD5E1C" w:rsidP="00AD5E1C">
      <w:pPr>
        <w:pStyle w:val="BTEMEASMCA"/>
      </w:pPr>
      <w:r w:rsidRPr="002C1B7B">
        <w:t>Šiam vaistui specialių laikymo sąlygų nereikia.</w:t>
      </w:r>
    </w:p>
    <w:p w:rsidR="00AD5E1C" w:rsidRPr="002C1B7B" w:rsidRDefault="00AD5E1C" w:rsidP="00AD5E1C">
      <w:pPr>
        <w:pStyle w:val="Pagrindinistekstas"/>
        <w:spacing w:after="0"/>
        <w:rPr>
          <w:szCs w:val="22"/>
        </w:rPr>
      </w:pPr>
    </w:p>
    <w:p w:rsidR="00AD5E1C" w:rsidRPr="002C1B7B" w:rsidRDefault="00AD5E1C" w:rsidP="00AD5E1C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2C1B7B">
        <w:rPr>
          <w:noProof/>
          <w:sz w:val="22"/>
          <w:szCs w:val="22"/>
        </w:rPr>
        <w:t>Vaistų negalima išmesti į kanalizaciją arba su buitinėmis atliekomis.</w:t>
      </w:r>
      <w:r w:rsidRPr="002C1B7B">
        <w:rPr>
          <w:sz w:val="22"/>
          <w:szCs w:val="22"/>
        </w:rPr>
        <w:t xml:space="preserve"> </w:t>
      </w:r>
      <w:r w:rsidRPr="002C1B7B">
        <w:rPr>
          <w:noProof/>
          <w:sz w:val="22"/>
          <w:szCs w:val="22"/>
        </w:rPr>
        <w:t>Kaip išmesti nereikalingus vaistus, klauskite vaistininko.</w:t>
      </w:r>
      <w:r w:rsidRPr="002C1B7B">
        <w:rPr>
          <w:sz w:val="22"/>
          <w:szCs w:val="22"/>
        </w:rPr>
        <w:t xml:space="preserve"> </w:t>
      </w:r>
      <w:r w:rsidRPr="002C1B7B">
        <w:rPr>
          <w:noProof/>
          <w:sz w:val="22"/>
          <w:szCs w:val="22"/>
        </w:rPr>
        <w:t>Šios priemonės padės apsaugoti aplinką.</w:t>
      </w:r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PI-1EMEASMCA"/>
      </w:pPr>
      <w:r w:rsidRPr="002C1B7B">
        <w:t>6.</w:t>
      </w:r>
      <w:r w:rsidRPr="002C1B7B">
        <w:tab/>
        <w:t>Pakuotės turinys ir kita informacija</w:t>
      </w:r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PI-3EMEASMCA"/>
        <w:rPr>
          <w:szCs w:val="22"/>
        </w:rPr>
      </w:pPr>
      <w:r w:rsidRPr="002C1B7B">
        <w:rPr>
          <w:szCs w:val="22"/>
        </w:rPr>
        <w:t>Brontex sudėtis</w:t>
      </w:r>
    </w:p>
    <w:p w:rsidR="00AD5E1C" w:rsidRPr="002C1B7B" w:rsidRDefault="00AD5E1C" w:rsidP="00AD5E1C">
      <w:pPr>
        <w:pStyle w:val="Pagrindinistekstas"/>
        <w:spacing w:after="0"/>
        <w:rPr>
          <w:szCs w:val="22"/>
        </w:rPr>
      </w:pPr>
    </w:p>
    <w:p w:rsidR="00AD5E1C" w:rsidRPr="002C1B7B" w:rsidRDefault="00AD5E1C" w:rsidP="00AD5E1C">
      <w:pPr>
        <w:pStyle w:val="BT-EMEASMCA"/>
      </w:pPr>
      <w:r w:rsidRPr="002C1B7B">
        <w:t>Veiklioji medžiaga yra: ambroksolio hidrochloridas. Vienoje tabletėje yra 30 mg ambroksolio hidrochlorido.</w:t>
      </w:r>
    </w:p>
    <w:p w:rsidR="00AD5E1C" w:rsidRPr="002C1B7B" w:rsidRDefault="00AD5E1C" w:rsidP="00AD5E1C">
      <w:pPr>
        <w:pStyle w:val="BT-EMEASMCA"/>
      </w:pPr>
      <w:r w:rsidRPr="002C1B7B">
        <w:t>Pagalbinės medžiagos yra</w:t>
      </w:r>
      <w:r>
        <w:t>:</w:t>
      </w:r>
      <w:r w:rsidRPr="002C1B7B">
        <w:t xml:space="preserve"> laktozė monohidratas, magnio stearatas, kukurūzų krakmolas, koloidinis bevandenis silicio dioksidas.</w:t>
      </w:r>
    </w:p>
    <w:p w:rsidR="00AD5E1C" w:rsidRPr="002C1B7B" w:rsidRDefault="00AD5E1C" w:rsidP="00AD5E1C">
      <w:pPr>
        <w:pStyle w:val="BT-EMEASMCA"/>
        <w:numPr>
          <w:ilvl w:val="0"/>
          <w:numId w:val="0"/>
        </w:numPr>
      </w:pPr>
    </w:p>
    <w:p w:rsidR="00AD5E1C" w:rsidRPr="002C1B7B" w:rsidRDefault="00AD5E1C" w:rsidP="00AD5E1C">
      <w:pPr>
        <w:pStyle w:val="PI-3EMEASMCA"/>
        <w:rPr>
          <w:szCs w:val="22"/>
        </w:rPr>
      </w:pPr>
      <w:r w:rsidRPr="002C1B7B">
        <w:rPr>
          <w:szCs w:val="22"/>
        </w:rPr>
        <w:t>Brontex išvaizda ir kiekis pakuotėje</w:t>
      </w:r>
    </w:p>
    <w:p w:rsidR="00AD5E1C" w:rsidRPr="002C1B7B" w:rsidRDefault="00AD5E1C" w:rsidP="00AD5E1C">
      <w:pPr>
        <w:pStyle w:val="PI-3EMEASMCA"/>
        <w:rPr>
          <w:szCs w:val="22"/>
        </w:rPr>
      </w:pPr>
    </w:p>
    <w:p w:rsidR="00AD5E1C" w:rsidRPr="002C1B7B" w:rsidRDefault="00AD5E1C" w:rsidP="00AD5E1C">
      <w:pPr>
        <w:pStyle w:val="Pagrindinistekstas"/>
        <w:spacing w:after="0"/>
        <w:rPr>
          <w:szCs w:val="22"/>
        </w:rPr>
      </w:pPr>
      <w:r w:rsidRPr="002C1B7B">
        <w:rPr>
          <w:szCs w:val="22"/>
        </w:rPr>
        <w:t xml:space="preserve">Tabletės yra baltos, apvalios su laužimo vagele. Tabletę galima padalyti </w:t>
      </w:r>
      <w:r>
        <w:rPr>
          <w:szCs w:val="22"/>
        </w:rPr>
        <w:t>į</w:t>
      </w:r>
      <w:r w:rsidRPr="002C1B7B">
        <w:rPr>
          <w:szCs w:val="22"/>
        </w:rPr>
        <w:t xml:space="preserve"> lygias dozes.</w:t>
      </w:r>
    </w:p>
    <w:p w:rsidR="00AD5E1C" w:rsidRPr="002C1B7B" w:rsidRDefault="00AD5E1C" w:rsidP="00AD5E1C">
      <w:pPr>
        <w:pStyle w:val="BTEMEASMCA"/>
        <w:rPr>
          <w:noProof w:val="0"/>
        </w:rPr>
      </w:pPr>
    </w:p>
    <w:p w:rsidR="00AD5E1C" w:rsidRPr="002C1B7B" w:rsidRDefault="00AD5E1C" w:rsidP="00AD5E1C">
      <w:pPr>
        <w:pStyle w:val="Pagrindinistekstas"/>
        <w:spacing w:after="0"/>
        <w:rPr>
          <w:szCs w:val="22"/>
        </w:rPr>
      </w:pPr>
      <w:r w:rsidRPr="002C1B7B">
        <w:rPr>
          <w:szCs w:val="22"/>
        </w:rPr>
        <w:t>PVC/</w:t>
      </w:r>
      <w:proofErr w:type="spellStart"/>
      <w:r w:rsidRPr="002C1B7B">
        <w:rPr>
          <w:szCs w:val="22"/>
        </w:rPr>
        <w:t>Aliumunio</w:t>
      </w:r>
      <w:proofErr w:type="spellEnd"/>
      <w:r w:rsidRPr="002C1B7B">
        <w:rPr>
          <w:szCs w:val="22"/>
        </w:rPr>
        <w:t xml:space="preserve"> lizdinės plokštelės.</w:t>
      </w:r>
    </w:p>
    <w:p w:rsidR="00AD5E1C" w:rsidRPr="002C1B7B" w:rsidRDefault="00AD5E1C" w:rsidP="00AD5E1C">
      <w:pPr>
        <w:pStyle w:val="Pagrindinistekstas"/>
        <w:spacing w:after="0"/>
        <w:rPr>
          <w:szCs w:val="22"/>
        </w:rPr>
      </w:pPr>
      <w:r w:rsidRPr="002C1B7B">
        <w:rPr>
          <w:szCs w:val="22"/>
        </w:rPr>
        <w:t>Kartono dėžutėje yra 20 tablečių. Kiekvienoje lizdinėje plokštelėje yra 10 tablečių.</w:t>
      </w:r>
    </w:p>
    <w:p w:rsidR="00AD5E1C" w:rsidRPr="002C1B7B" w:rsidRDefault="00AD5E1C" w:rsidP="00AD5E1C">
      <w:pPr>
        <w:pStyle w:val="BTEMEASMCA"/>
      </w:pPr>
    </w:p>
    <w:p w:rsidR="00AD5E1C" w:rsidRPr="002C1B7B" w:rsidRDefault="00AD5E1C" w:rsidP="00AD5E1C">
      <w:pPr>
        <w:pStyle w:val="PI-3EMEASMCA"/>
        <w:rPr>
          <w:szCs w:val="22"/>
        </w:rPr>
      </w:pPr>
      <w:r w:rsidRPr="00BE4611">
        <w:rPr>
          <w:szCs w:val="22"/>
        </w:rPr>
        <w:t>Registruotojas</w:t>
      </w:r>
      <w:r w:rsidRPr="002C1B7B">
        <w:rPr>
          <w:szCs w:val="22"/>
        </w:rPr>
        <w:t xml:space="preserve"> ir gamintojas</w:t>
      </w:r>
    </w:p>
    <w:p w:rsidR="00AD5E1C" w:rsidRPr="002C1B7B" w:rsidRDefault="00AD5E1C" w:rsidP="00AD5E1C">
      <w:pPr>
        <w:pStyle w:val="PI-3EMEASMCA"/>
        <w:rPr>
          <w:szCs w:val="22"/>
        </w:rPr>
      </w:pPr>
    </w:p>
    <w:p w:rsidR="00AD5E1C" w:rsidRPr="004868B6" w:rsidRDefault="00AD5E1C" w:rsidP="00AD5E1C">
      <w:pPr>
        <w:rPr>
          <w:i/>
          <w:sz w:val="22"/>
          <w:szCs w:val="22"/>
        </w:rPr>
      </w:pPr>
      <w:r w:rsidRPr="004868B6">
        <w:rPr>
          <w:i/>
          <w:sz w:val="22"/>
          <w:szCs w:val="22"/>
        </w:rPr>
        <w:t>Registruotojas</w:t>
      </w:r>
    </w:p>
    <w:p w:rsidR="00AD5E1C" w:rsidRPr="002C1B7B" w:rsidRDefault="00AD5E1C" w:rsidP="00AD5E1C">
      <w:pPr>
        <w:rPr>
          <w:sz w:val="22"/>
          <w:szCs w:val="22"/>
        </w:rPr>
      </w:pPr>
      <w:proofErr w:type="spellStart"/>
      <w:r w:rsidRPr="002C1B7B">
        <w:rPr>
          <w:sz w:val="22"/>
          <w:szCs w:val="22"/>
        </w:rPr>
        <w:t>ratiopharm</w:t>
      </w:r>
      <w:proofErr w:type="spellEnd"/>
      <w:r w:rsidRPr="002C1B7B">
        <w:rPr>
          <w:sz w:val="22"/>
          <w:szCs w:val="22"/>
        </w:rPr>
        <w:t xml:space="preserve"> </w:t>
      </w:r>
      <w:proofErr w:type="spellStart"/>
      <w:r w:rsidRPr="002C1B7B">
        <w:rPr>
          <w:sz w:val="22"/>
          <w:szCs w:val="22"/>
        </w:rPr>
        <w:t>GmbH</w:t>
      </w:r>
      <w:proofErr w:type="spellEnd"/>
      <w:r w:rsidRPr="002C1B7B">
        <w:rPr>
          <w:sz w:val="22"/>
          <w:szCs w:val="22"/>
        </w:rPr>
        <w:t xml:space="preserve">, </w:t>
      </w:r>
    </w:p>
    <w:p w:rsidR="00AD5E1C" w:rsidRPr="002C1B7B" w:rsidRDefault="00AD5E1C" w:rsidP="00AD5E1C">
      <w:pPr>
        <w:rPr>
          <w:sz w:val="22"/>
          <w:szCs w:val="22"/>
        </w:rPr>
      </w:pPr>
      <w:proofErr w:type="spellStart"/>
      <w:r w:rsidRPr="002C1B7B">
        <w:rPr>
          <w:sz w:val="22"/>
          <w:szCs w:val="22"/>
        </w:rPr>
        <w:t>Graf</w:t>
      </w:r>
      <w:proofErr w:type="spellEnd"/>
      <w:r w:rsidRPr="002C1B7B">
        <w:rPr>
          <w:sz w:val="22"/>
          <w:szCs w:val="22"/>
        </w:rPr>
        <w:t>-</w:t>
      </w:r>
      <w:proofErr w:type="spellStart"/>
      <w:r w:rsidRPr="002C1B7B">
        <w:rPr>
          <w:sz w:val="22"/>
          <w:szCs w:val="22"/>
        </w:rPr>
        <w:t>Arco</w:t>
      </w:r>
      <w:proofErr w:type="spellEnd"/>
      <w:r w:rsidRPr="002C1B7B">
        <w:rPr>
          <w:sz w:val="22"/>
          <w:szCs w:val="22"/>
        </w:rPr>
        <w:t xml:space="preserve">-Str. 3 , </w:t>
      </w:r>
    </w:p>
    <w:p w:rsidR="00AD5E1C" w:rsidRPr="002C1B7B" w:rsidRDefault="00AD5E1C" w:rsidP="00AD5E1C">
      <w:pPr>
        <w:rPr>
          <w:sz w:val="22"/>
          <w:szCs w:val="22"/>
        </w:rPr>
      </w:pPr>
      <w:r w:rsidRPr="002C1B7B">
        <w:rPr>
          <w:sz w:val="22"/>
          <w:szCs w:val="22"/>
        </w:rPr>
        <w:t xml:space="preserve">89079 </w:t>
      </w:r>
      <w:proofErr w:type="spellStart"/>
      <w:r w:rsidRPr="002C1B7B">
        <w:rPr>
          <w:sz w:val="22"/>
          <w:szCs w:val="22"/>
        </w:rPr>
        <w:t>Ulm</w:t>
      </w:r>
      <w:proofErr w:type="spellEnd"/>
      <w:r w:rsidRPr="002C1B7B">
        <w:rPr>
          <w:sz w:val="22"/>
          <w:szCs w:val="22"/>
        </w:rPr>
        <w:t xml:space="preserve">, Vokietija </w:t>
      </w:r>
    </w:p>
    <w:p w:rsidR="00AD5E1C" w:rsidRPr="002C1B7B" w:rsidRDefault="00AD5E1C" w:rsidP="00AD5E1C">
      <w:pPr>
        <w:rPr>
          <w:sz w:val="22"/>
          <w:szCs w:val="22"/>
        </w:rPr>
      </w:pPr>
    </w:p>
    <w:p w:rsidR="00AD5E1C" w:rsidRPr="004868B6" w:rsidRDefault="00AD5E1C" w:rsidP="00AD5E1C">
      <w:pPr>
        <w:rPr>
          <w:i/>
          <w:sz w:val="22"/>
          <w:szCs w:val="22"/>
        </w:rPr>
      </w:pPr>
      <w:r w:rsidRPr="004868B6">
        <w:rPr>
          <w:i/>
          <w:sz w:val="22"/>
          <w:szCs w:val="22"/>
        </w:rPr>
        <w:t>Gamintojas</w:t>
      </w:r>
    </w:p>
    <w:p w:rsidR="00AD5E1C" w:rsidRPr="002C1B7B" w:rsidRDefault="00AD5E1C" w:rsidP="00AD5E1C">
      <w:pPr>
        <w:pStyle w:val="Pagrindinistekstas"/>
        <w:spacing w:after="0"/>
        <w:rPr>
          <w:szCs w:val="22"/>
        </w:rPr>
      </w:pPr>
      <w:proofErr w:type="spellStart"/>
      <w:r w:rsidRPr="002C1B7B">
        <w:rPr>
          <w:szCs w:val="22"/>
        </w:rPr>
        <w:t>Merckle</w:t>
      </w:r>
      <w:proofErr w:type="spellEnd"/>
      <w:r w:rsidRPr="002C1B7B">
        <w:rPr>
          <w:szCs w:val="22"/>
        </w:rPr>
        <w:t xml:space="preserve"> </w:t>
      </w:r>
      <w:proofErr w:type="spellStart"/>
      <w:r w:rsidRPr="002C1B7B">
        <w:rPr>
          <w:szCs w:val="22"/>
        </w:rPr>
        <w:t>GmbH</w:t>
      </w:r>
      <w:proofErr w:type="spellEnd"/>
      <w:r w:rsidRPr="002C1B7B">
        <w:rPr>
          <w:szCs w:val="22"/>
        </w:rPr>
        <w:t xml:space="preserve">, </w:t>
      </w:r>
    </w:p>
    <w:p w:rsidR="00AD5E1C" w:rsidRPr="002C1B7B" w:rsidRDefault="00AD5E1C" w:rsidP="00AD5E1C">
      <w:pPr>
        <w:pStyle w:val="Pagrindinistekstas"/>
        <w:spacing w:after="0"/>
        <w:rPr>
          <w:szCs w:val="22"/>
        </w:rPr>
      </w:pPr>
      <w:proofErr w:type="spellStart"/>
      <w:r w:rsidRPr="002C1B7B">
        <w:rPr>
          <w:szCs w:val="22"/>
        </w:rPr>
        <w:t>Ludwig</w:t>
      </w:r>
      <w:proofErr w:type="spellEnd"/>
      <w:r w:rsidRPr="002C1B7B">
        <w:rPr>
          <w:szCs w:val="22"/>
        </w:rPr>
        <w:t>-</w:t>
      </w:r>
      <w:proofErr w:type="spellStart"/>
      <w:r w:rsidRPr="002C1B7B">
        <w:rPr>
          <w:szCs w:val="22"/>
        </w:rPr>
        <w:t>Merckle</w:t>
      </w:r>
      <w:proofErr w:type="spellEnd"/>
      <w:r w:rsidRPr="002C1B7B">
        <w:rPr>
          <w:szCs w:val="22"/>
        </w:rPr>
        <w:t xml:space="preserve">-Str. 3, </w:t>
      </w:r>
    </w:p>
    <w:p w:rsidR="00AD5E1C" w:rsidRPr="002C1B7B" w:rsidRDefault="00AD5E1C" w:rsidP="00AD5E1C">
      <w:pPr>
        <w:pStyle w:val="Pagrindinistekstas"/>
        <w:spacing w:after="0"/>
        <w:rPr>
          <w:szCs w:val="22"/>
        </w:rPr>
      </w:pPr>
      <w:r w:rsidRPr="002C1B7B">
        <w:rPr>
          <w:szCs w:val="22"/>
        </w:rPr>
        <w:t xml:space="preserve">89143 </w:t>
      </w:r>
      <w:proofErr w:type="spellStart"/>
      <w:r w:rsidRPr="002C1B7B">
        <w:rPr>
          <w:szCs w:val="22"/>
        </w:rPr>
        <w:t>Blaubeuren</w:t>
      </w:r>
      <w:proofErr w:type="spellEnd"/>
      <w:r w:rsidRPr="002C1B7B">
        <w:rPr>
          <w:szCs w:val="22"/>
        </w:rPr>
        <w:t>, Vokietija</w:t>
      </w:r>
    </w:p>
    <w:p w:rsidR="00AD5E1C" w:rsidRPr="002C1B7B" w:rsidRDefault="00AD5E1C" w:rsidP="00AD5E1C">
      <w:pPr>
        <w:pStyle w:val="Pagrindinistekstas"/>
        <w:spacing w:after="0"/>
        <w:rPr>
          <w:szCs w:val="22"/>
        </w:rPr>
      </w:pPr>
    </w:p>
    <w:p w:rsidR="00AD5E1C" w:rsidRPr="002C1B7B" w:rsidRDefault="00AD5E1C" w:rsidP="00AD5E1C">
      <w:pPr>
        <w:pStyle w:val="BTEMEASMCA"/>
      </w:pPr>
      <w:r w:rsidRPr="002C1B7B">
        <w:t xml:space="preserve">Jeigu apie šį vaistą norite sužinoti daugiau, kreipkitės į vietinį </w:t>
      </w:r>
      <w:r>
        <w:t>registruotojo</w:t>
      </w:r>
      <w:r w:rsidRPr="002C1B7B">
        <w:t xml:space="preserve"> atstovą.</w:t>
      </w:r>
    </w:p>
    <w:p w:rsidR="00AD5E1C" w:rsidRPr="002C1B7B" w:rsidRDefault="00AD5E1C" w:rsidP="00AD5E1C">
      <w:pPr>
        <w:rPr>
          <w:sz w:val="22"/>
          <w:szCs w:val="22"/>
        </w:rPr>
      </w:pPr>
    </w:p>
    <w:p w:rsidR="00AD5E1C" w:rsidRPr="002C1B7B" w:rsidRDefault="00AD5E1C" w:rsidP="00AD5E1C">
      <w:pPr>
        <w:rPr>
          <w:sz w:val="22"/>
          <w:szCs w:val="22"/>
        </w:rPr>
      </w:pPr>
      <w:r w:rsidRPr="002C1B7B">
        <w:rPr>
          <w:sz w:val="22"/>
          <w:szCs w:val="22"/>
        </w:rPr>
        <w:t xml:space="preserve">UAB </w:t>
      </w:r>
      <w:proofErr w:type="spellStart"/>
      <w:r>
        <w:rPr>
          <w:sz w:val="22"/>
          <w:szCs w:val="22"/>
        </w:rPr>
        <w:t>Teva</w:t>
      </w:r>
      <w:proofErr w:type="spellEnd"/>
      <w:r>
        <w:rPr>
          <w:sz w:val="22"/>
          <w:szCs w:val="22"/>
        </w:rPr>
        <w:t xml:space="preserve"> Baltics</w:t>
      </w:r>
    </w:p>
    <w:p w:rsidR="00AD5E1C" w:rsidRPr="002C1B7B" w:rsidRDefault="00AD5E1C" w:rsidP="00AD5E1C">
      <w:pPr>
        <w:rPr>
          <w:sz w:val="22"/>
          <w:szCs w:val="22"/>
        </w:rPr>
      </w:pPr>
      <w:r w:rsidRPr="002C1B7B">
        <w:rPr>
          <w:sz w:val="22"/>
          <w:szCs w:val="22"/>
        </w:rPr>
        <w:t>Molėtų pl. 5</w:t>
      </w:r>
    </w:p>
    <w:p w:rsidR="00AD5E1C" w:rsidRPr="002C1B7B" w:rsidRDefault="00AD5E1C" w:rsidP="00AD5E1C">
      <w:pPr>
        <w:rPr>
          <w:sz w:val="22"/>
          <w:szCs w:val="22"/>
        </w:rPr>
      </w:pPr>
      <w:r w:rsidRPr="002C1B7B">
        <w:rPr>
          <w:sz w:val="22"/>
          <w:szCs w:val="22"/>
        </w:rPr>
        <w:t>LT-08409 Vilnius</w:t>
      </w:r>
    </w:p>
    <w:p w:rsidR="00AD5E1C" w:rsidRPr="002C1B7B" w:rsidRDefault="00AD5E1C" w:rsidP="00AD5E1C">
      <w:pPr>
        <w:pStyle w:val="BTEMEASMCA"/>
      </w:pPr>
      <w:r w:rsidRPr="002C1B7B">
        <w:t>Tel. +370 5 266 02 03</w:t>
      </w:r>
    </w:p>
    <w:p w:rsidR="00AD5E1C" w:rsidRPr="002C1B7B" w:rsidRDefault="00AD5E1C" w:rsidP="00AD5E1C">
      <w:pPr>
        <w:rPr>
          <w:sz w:val="22"/>
          <w:szCs w:val="22"/>
        </w:rPr>
      </w:pPr>
    </w:p>
    <w:tbl>
      <w:tblPr>
        <w:tblW w:w="382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AD5E1C" w:rsidRPr="002C1B7B" w:rsidTr="00BE14A5">
        <w:tc>
          <w:tcPr>
            <w:tcW w:w="3828" w:type="dxa"/>
          </w:tcPr>
          <w:p w:rsidR="00AD5E1C" w:rsidRPr="002C1B7B" w:rsidRDefault="00AD5E1C" w:rsidP="00BE14A5">
            <w:pPr>
              <w:pStyle w:val="BTEMEASMCA"/>
            </w:pPr>
          </w:p>
        </w:tc>
      </w:tr>
    </w:tbl>
    <w:p w:rsidR="00AD5E1C" w:rsidRPr="002C1B7B" w:rsidRDefault="00AD5E1C" w:rsidP="00AD5E1C">
      <w:pPr>
        <w:pStyle w:val="BTbEMEASMCA"/>
        <w:rPr>
          <w:szCs w:val="22"/>
        </w:rPr>
      </w:pPr>
    </w:p>
    <w:p w:rsidR="00AD5E1C" w:rsidRPr="002C1B7B" w:rsidRDefault="00AD5E1C" w:rsidP="00AD5E1C">
      <w:pPr>
        <w:pStyle w:val="BTbEMEASMCA"/>
        <w:rPr>
          <w:szCs w:val="22"/>
        </w:rPr>
      </w:pPr>
      <w:r w:rsidRPr="002C1B7B">
        <w:rPr>
          <w:bCs/>
          <w:szCs w:val="22"/>
        </w:rPr>
        <w:t>Šis pakuotės lapelis</w:t>
      </w:r>
      <w:r w:rsidRPr="002C1B7B">
        <w:rPr>
          <w:szCs w:val="22"/>
        </w:rPr>
        <w:t xml:space="preserve"> paskutinį kartą peržiūrėtas </w:t>
      </w:r>
      <w:r>
        <w:rPr>
          <w:szCs w:val="22"/>
        </w:rPr>
        <w:t>2021-08-02.</w:t>
      </w:r>
    </w:p>
    <w:p w:rsidR="00AD5E1C" w:rsidRPr="002C1B7B" w:rsidRDefault="00AD5E1C" w:rsidP="00AD5E1C">
      <w:pPr>
        <w:rPr>
          <w:sz w:val="22"/>
          <w:szCs w:val="22"/>
        </w:rPr>
      </w:pPr>
    </w:p>
    <w:p w:rsidR="00AD5E1C" w:rsidRPr="002C1B7B" w:rsidRDefault="00AD5E1C" w:rsidP="00AD5E1C">
      <w:pPr>
        <w:pStyle w:val="BTEMEASMCA"/>
        <w:rPr>
          <w:highlight w:val="yellow"/>
        </w:rPr>
      </w:pPr>
      <w:r w:rsidRPr="002C1B7B">
        <w:t>Išsami informacija apie šį vaistą pateikiama Valstybinės vaistų kontrolės tarnybos prie Lietuvos Respublikos sveikatos apsaugos ministerijos tinklalapyje</w:t>
      </w:r>
      <w:r w:rsidRPr="002C1B7B">
        <w:rPr>
          <w:i/>
        </w:rPr>
        <w:t xml:space="preserve"> </w:t>
      </w:r>
      <w:hyperlink r:id="rId5" w:history="1">
        <w:r w:rsidRPr="002C1B7B">
          <w:rPr>
            <w:rStyle w:val="Hipersaitas"/>
            <w:rFonts w:eastAsia="SimSun"/>
          </w:rPr>
          <w:t>http://www.vvkt.lt/</w:t>
        </w:r>
      </w:hyperlink>
      <w:r w:rsidRPr="002C1B7B">
        <w:t>.</w:t>
      </w:r>
    </w:p>
    <w:p w:rsidR="009041DB" w:rsidRDefault="009041DB">
      <w:bookmarkStart w:id="0" w:name="_GoBack"/>
      <w:bookmarkEnd w:id="0"/>
    </w:p>
    <w:sectPr w:rsidR="009041DB" w:rsidSect="00AD5E1C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C0D89CD4"/>
    <w:lvl w:ilvl="0" w:tplc="0A26BC1A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1C"/>
    <w:rsid w:val="009041DB"/>
    <w:rsid w:val="00AD5E1C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C52DE-D4E1-4F1A-85CB-D6B2AC69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5E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5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5E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5E1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5E1C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styleId="Hipersaitas">
    <w:name w:val="Hyperlink"/>
    <w:rsid w:val="00AD5E1C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AD5E1C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AD5E1C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AD5E1C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AD5E1C"/>
    <w:rPr>
      <w:rFonts w:ascii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BTEMEASMCA"/>
    <w:autoRedefine/>
    <w:rsid w:val="00AD5E1C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AD5E1C"/>
    <w:rPr>
      <w:b/>
      <w:bCs/>
      <w:noProof/>
      <w:sz w:val="22"/>
    </w:rPr>
  </w:style>
  <w:style w:type="paragraph" w:customStyle="1" w:styleId="BTbEMEASMCA">
    <w:name w:val="BT(b) EMEA_SMCA"/>
    <w:basedOn w:val="BTEMEASMCA"/>
    <w:autoRedefine/>
    <w:rsid w:val="00AD5E1C"/>
    <w:rPr>
      <w:b/>
      <w:szCs w:val="24"/>
    </w:rPr>
  </w:style>
  <w:style w:type="character" w:customStyle="1" w:styleId="BTEMEASMCAChar">
    <w:name w:val="BT EMEA_SMCA Char"/>
    <w:link w:val="BTEMEASMCA"/>
    <w:rsid w:val="00AD5E1C"/>
    <w:rPr>
      <w:rFonts w:ascii="Times New Roman" w:hAnsi="Times New Roman" w:cs="Times New Roman"/>
      <w:noProof/>
    </w:rPr>
  </w:style>
  <w:style w:type="paragraph" w:styleId="Pagrindinistekstas">
    <w:name w:val="Body Text"/>
    <w:basedOn w:val="prastasis"/>
    <w:link w:val="PagrindinistekstasDiagrama"/>
    <w:rsid w:val="00AD5E1C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D5E1C"/>
    <w:rPr>
      <w:rFonts w:ascii="Times New Roman" w:hAnsi="Times New Roman" w:cs="Times New Roman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AD5E1C"/>
    <w:pPr>
      <w:jc w:val="center"/>
    </w:pPr>
    <w:rPr>
      <w:b/>
      <w:sz w:val="22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AD5E1C"/>
    <w:rPr>
      <w:rFonts w:ascii="Times New Roma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semiHidden/>
    <w:rsid w:val="00AD5E1C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AD5E1C"/>
    <w:rPr>
      <w:rFonts w:ascii="Times New Roman" w:hAnsi="Times New Roman" w:cs="Times New Roman"/>
      <w:szCs w:val="20"/>
      <w:lang w:val="en-GB"/>
    </w:rPr>
  </w:style>
  <w:style w:type="paragraph" w:customStyle="1" w:styleId="Default">
    <w:name w:val="Default"/>
    <w:rsid w:val="00AD5E1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5E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D5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6873</Words>
  <Characters>3919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2021-08-04T06:24:00Z</dcterms:created>
  <dcterms:modified xsi:type="dcterms:W3CDTF">2021-08-04T06:25:00Z</dcterms:modified>
</cp:coreProperties>
</file>