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jc w:val="center"/>
        <w:rPr>
          <w:rFonts w:ascii="Times New Roman" w:eastAsia="Times New Roman" w:hAnsi="Times New Roman"/>
          <w:b/>
          <w:lang w:val="lt-LT"/>
        </w:rPr>
      </w:pPr>
    </w:p>
    <w:p w:rsidR="002101F6" w:rsidRPr="00153D15" w:rsidRDefault="002101F6" w:rsidP="002101F6">
      <w:pPr>
        <w:spacing w:after="0" w:line="240" w:lineRule="auto"/>
        <w:ind w:left="567" w:hanging="567"/>
        <w:jc w:val="center"/>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lang w:val="lt-LT"/>
        </w:rPr>
      </w:pPr>
      <w:r w:rsidRPr="00153D15">
        <w:rPr>
          <w:rFonts w:ascii="Times New Roman" w:eastAsia="Times New Roman" w:hAnsi="Times New Roman"/>
          <w:b/>
          <w:lang w:val="lt-LT"/>
        </w:rPr>
        <w:t>I PRIEDAS</w:t>
      </w:r>
    </w:p>
    <w:p w:rsidR="002101F6" w:rsidRPr="00153D15" w:rsidRDefault="002101F6" w:rsidP="002101F6">
      <w:pPr>
        <w:spacing w:after="0" w:line="240" w:lineRule="auto"/>
        <w:ind w:left="567" w:hanging="567"/>
        <w:jc w:val="center"/>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r w:rsidRPr="00153D15">
        <w:rPr>
          <w:rFonts w:ascii="Times New Roman" w:eastAsia="Times New Roman" w:hAnsi="Times New Roman"/>
          <w:b/>
          <w:lang w:val="lt-LT"/>
        </w:rPr>
        <w:t>PREPARATO CHARAKTERISTIKŲ SANTRAUKA</w:t>
      </w:r>
    </w:p>
    <w:p w:rsidR="002101F6" w:rsidRPr="00153D15" w:rsidRDefault="002101F6" w:rsidP="002101F6">
      <w:pPr>
        <w:spacing w:after="0" w:line="240" w:lineRule="auto"/>
        <w:ind w:left="567" w:hanging="567"/>
        <w:jc w:val="center"/>
        <w:rPr>
          <w:rFonts w:ascii="Times New Roman" w:eastAsia="Times New Roman" w:hAnsi="Times New Roman"/>
          <w:b/>
          <w:lang w:val="lt-LT"/>
        </w:rPr>
      </w:pPr>
    </w:p>
    <w:p w:rsidR="002101F6" w:rsidRPr="00153D15" w:rsidRDefault="002101F6" w:rsidP="002101F6">
      <w:pPr>
        <w:spacing w:after="0" w:line="240" w:lineRule="auto"/>
        <w:ind w:left="567" w:hanging="567"/>
        <w:rPr>
          <w:rFonts w:ascii="Times New Roman" w:eastAsia="Times New Roman" w:hAnsi="Times New Roman"/>
          <w:b/>
          <w:lang w:val="lt-LT"/>
        </w:rPr>
      </w:pPr>
      <w:r w:rsidRPr="00153D15">
        <w:rPr>
          <w:rFonts w:ascii="Times New Roman" w:eastAsia="Times New Roman" w:hAnsi="Times New Roman"/>
          <w:lang w:val="lt-LT"/>
        </w:rPr>
        <w:br w:type="page"/>
      </w:r>
      <w:r w:rsidRPr="00153D15">
        <w:rPr>
          <w:rFonts w:ascii="Times New Roman" w:eastAsia="Times New Roman" w:hAnsi="Times New Roman"/>
          <w:b/>
          <w:lang w:val="lt-LT"/>
        </w:rPr>
        <w:lastRenderedPageBreak/>
        <w:t>1.</w:t>
      </w:r>
      <w:r w:rsidRPr="00153D15">
        <w:rPr>
          <w:rFonts w:ascii="Times New Roman" w:eastAsia="Times New Roman" w:hAnsi="Times New Roman"/>
          <w:b/>
          <w:lang w:val="lt-LT"/>
        </w:rPr>
        <w:tab/>
      </w:r>
      <w:r w:rsidRPr="00153D15">
        <w:rPr>
          <w:rFonts w:ascii="Times New Roman" w:eastAsia="Times New Roman" w:hAnsi="Times New Roman"/>
          <w:b/>
          <w:caps/>
          <w:lang w:val="lt-LT"/>
        </w:rPr>
        <w:t>VAISTINIO</w:t>
      </w:r>
      <w:r w:rsidRPr="00153D15">
        <w:rPr>
          <w:rFonts w:ascii="Times New Roman" w:eastAsia="Times New Roman" w:hAnsi="Times New Roman"/>
          <w:b/>
          <w:lang w:val="lt-LT"/>
        </w:rPr>
        <w:t xml:space="preserve"> PREPARATO PAVADINIMAS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lang w:val="lt-LT"/>
        </w:rPr>
      </w:pPr>
      <w:r w:rsidRPr="00153D15">
        <w:rPr>
          <w:rFonts w:ascii="Times New Roman" w:eastAsia="Times New Roman" w:hAnsi="Times New Roman"/>
          <w:lang w:val="lt-LT"/>
        </w:rPr>
        <w:t>CELEBREX 100 mg kietosios kapsulės</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CELEBREX 200 mg kietosios kapsulės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2.</w:t>
      </w:r>
      <w:r w:rsidRPr="00153D15">
        <w:rPr>
          <w:rFonts w:ascii="Times New Roman" w:eastAsia="Times New Roman" w:hAnsi="Times New Roman"/>
          <w:b/>
          <w:caps/>
          <w:lang w:val="lt-LT"/>
        </w:rPr>
        <w:tab/>
        <w:t>kokybinė ir kiekybinė sudėtis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lang w:val="lt-LT"/>
        </w:rPr>
      </w:pPr>
      <w:r w:rsidRPr="00153D15">
        <w:rPr>
          <w:rFonts w:ascii="Times New Roman" w:eastAsia="Times New Roman" w:hAnsi="Times New Roman"/>
          <w:lang w:val="lt-LT"/>
        </w:rPr>
        <w:t>Vienoje kapsulėje yra 100 mg arba 200 mg celekoksibo.</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lang w:val="lt-LT"/>
        </w:rPr>
      </w:pPr>
      <w:r w:rsidRPr="00153D15">
        <w:rPr>
          <w:rFonts w:ascii="Times New Roman" w:eastAsia="Times New Roman" w:hAnsi="Times New Roman"/>
          <w:u w:val="single"/>
          <w:lang w:val="lt-LT"/>
        </w:rPr>
        <w:t>Pagalbinė medžiaga, kurios poveikis žinomas</w:t>
      </w:r>
      <w:r w:rsidRPr="00153D15">
        <w:rPr>
          <w:rFonts w:ascii="Times New Roman" w:eastAsia="Times New Roman" w:hAnsi="Times New Roman"/>
          <w:lang w:val="lt-LT"/>
        </w:rPr>
        <w:t>: CELEBREX kapsulėse yra laktozės (vienoje 100 mg arba 200 mg kapsulėje yra atitinkamai 149,7 mg arba 49,8 mg laktozės monohidrato, žr. 4.4 skyrių).</w:t>
      </w:r>
    </w:p>
    <w:p w:rsidR="002101F6" w:rsidRPr="00153D15" w:rsidRDefault="002101F6" w:rsidP="002101F6">
      <w:pPr>
        <w:spacing w:after="0" w:line="240" w:lineRule="auto"/>
        <w:ind w:left="567" w:hanging="567"/>
        <w:outlineLvl w:val="0"/>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Visos pagalbinės medžiagos išvardytos 6.1 skyriuje.</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3.</w:t>
      </w:r>
      <w:r w:rsidRPr="00153D15">
        <w:rPr>
          <w:rFonts w:ascii="Times New Roman" w:eastAsia="Times New Roman" w:hAnsi="Times New Roman"/>
          <w:b/>
          <w:caps/>
          <w:lang w:val="lt-LT"/>
        </w:rPr>
        <w:tab/>
        <w:t>FARMACINĖ forma</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lang w:val="lt-LT"/>
        </w:rPr>
      </w:pPr>
      <w:r w:rsidRPr="00153D15">
        <w:rPr>
          <w:rFonts w:ascii="Times New Roman" w:eastAsia="Times New Roman" w:hAnsi="Times New Roman"/>
          <w:lang w:val="lt-LT"/>
        </w:rPr>
        <w:t>Kietoji kapsulė</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CELEBREX 100 mg kapsulės </w:t>
      </w:r>
      <w:r w:rsidR="00C00F87" w:rsidRPr="00153D15">
        <w:rPr>
          <w:rFonts w:ascii="Times New Roman" w:eastAsia="Times New Roman" w:hAnsi="Times New Roman"/>
          <w:lang w:val="lt-LT"/>
        </w:rPr>
        <w:t xml:space="preserve">korpusas </w:t>
      </w:r>
      <w:r w:rsidRPr="00153D15">
        <w:rPr>
          <w:rFonts w:ascii="Times New Roman" w:eastAsia="Times New Roman" w:hAnsi="Times New Roman"/>
          <w:lang w:val="lt-LT"/>
        </w:rPr>
        <w:noBreakHyphen/>
        <w:t xml:space="preserve"> nepermatom</w:t>
      </w:r>
      <w:r w:rsidR="00C00F87" w:rsidRPr="00153D15">
        <w:rPr>
          <w:rFonts w:ascii="Times New Roman" w:eastAsia="Times New Roman" w:hAnsi="Times New Roman"/>
          <w:lang w:val="lt-LT"/>
        </w:rPr>
        <w:t>a</w:t>
      </w:r>
      <w:r w:rsidRPr="00153D15">
        <w:rPr>
          <w:rFonts w:ascii="Times New Roman" w:eastAsia="Times New Roman" w:hAnsi="Times New Roman"/>
          <w:lang w:val="lt-LT"/>
        </w:rPr>
        <w:t>s, baltos</w:t>
      </w:r>
      <w:r w:rsidR="00C00F87" w:rsidRPr="00153D15">
        <w:rPr>
          <w:rFonts w:ascii="Times New Roman" w:eastAsia="Times New Roman" w:hAnsi="Times New Roman"/>
          <w:lang w:val="lt-LT"/>
        </w:rPr>
        <w:t xml:space="preserve"> spalvos</w:t>
      </w:r>
      <w:r w:rsidRPr="00153D15">
        <w:rPr>
          <w:rFonts w:ascii="Times New Roman" w:eastAsia="Times New Roman" w:hAnsi="Times New Roman"/>
          <w:lang w:val="lt-LT"/>
        </w:rPr>
        <w:t>, su mėlyna juosta ir užrašu 7767 bei 100</w:t>
      </w:r>
      <w:r w:rsidR="00C00F87" w:rsidRPr="00153D15">
        <w:rPr>
          <w:rFonts w:ascii="Times New Roman" w:eastAsia="Times New Roman" w:hAnsi="Times New Roman"/>
          <w:lang w:val="lt-LT"/>
        </w:rPr>
        <w:t>, kapsulės turinys – baltos ar balkšvos granulės</w:t>
      </w:r>
      <w:r w:rsidRPr="00153D15">
        <w:rPr>
          <w:rFonts w:ascii="Times New Roman" w:eastAsia="Times New Roman" w:hAnsi="Times New Roman"/>
          <w:lang w:val="lt-LT"/>
        </w:rPr>
        <w:t>.</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CELEBREX 200 mg kapsulės</w:t>
      </w:r>
      <w:r w:rsidR="00C00F87" w:rsidRPr="00153D15">
        <w:rPr>
          <w:rFonts w:ascii="Times New Roman" w:eastAsia="Times New Roman" w:hAnsi="Times New Roman"/>
          <w:lang w:val="lt-LT"/>
        </w:rPr>
        <w:t xml:space="preserve"> korpusas</w:t>
      </w:r>
      <w:r w:rsidRPr="00153D15">
        <w:rPr>
          <w:rFonts w:ascii="Times New Roman" w:eastAsia="Times New Roman" w:hAnsi="Times New Roman"/>
          <w:lang w:val="lt-LT"/>
        </w:rPr>
        <w:t xml:space="preserve"> </w:t>
      </w:r>
      <w:r w:rsidRPr="00153D15">
        <w:rPr>
          <w:rFonts w:ascii="Times New Roman" w:eastAsia="Times New Roman" w:hAnsi="Times New Roman"/>
          <w:lang w:val="lt-LT"/>
        </w:rPr>
        <w:noBreakHyphen/>
        <w:t xml:space="preserve"> nepermatom</w:t>
      </w:r>
      <w:r w:rsidR="00C00F87" w:rsidRPr="00153D15">
        <w:rPr>
          <w:rFonts w:ascii="Times New Roman" w:eastAsia="Times New Roman" w:hAnsi="Times New Roman"/>
          <w:lang w:val="lt-LT"/>
        </w:rPr>
        <w:t>a</w:t>
      </w:r>
      <w:r w:rsidRPr="00153D15">
        <w:rPr>
          <w:rFonts w:ascii="Times New Roman" w:eastAsia="Times New Roman" w:hAnsi="Times New Roman"/>
          <w:lang w:val="lt-LT"/>
        </w:rPr>
        <w:t>s, baltos</w:t>
      </w:r>
      <w:r w:rsidR="00C00F87" w:rsidRPr="00153D15">
        <w:rPr>
          <w:rFonts w:ascii="Times New Roman" w:eastAsia="Times New Roman" w:hAnsi="Times New Roman"/>
          <w:lang w:val="lt-LT"/>
        </w:rPr>
        <w:t xml:space="preserve"> spalvos</w:t>
      </w:r>
      <w:r w:rsidRPr="00153D15">
        <w:rPr>
          <w:rFonts w:ascii="Times New Roman" w:eastAsia="Times New Roman" w:hAnsi="Times New Roman"/>
          <w:lang w:val="lt-LT"/>
        </w:rPr>
        <w:t>, su auksine juosta ir užrašu 7767 bei 200</w:t>
      </w:r>
      <w:r w:rsidR="00C00F87" w:rsidRPr="00153D15">
        <w:rPr>
          <w:rFonts w:ascii="Times New Roman" w:eastAsia="Times New Roman" w:hAnsi="Times New Roman"/>
          <w:lang w:val="lt-LT"/>
        </w:rPr>
        <w:t>, kapsulės turinys – baltos ar balkšvos granulės</w:t>
      </w:r>
      <w:r w:rsidRPr="00153D15">
        <w:rPr>
          <w:rFonts w:ascii="Times New Roman" w:eastAsia="Times New Roman" w:hAnsi="Times New Roman"/>
          <w:lang w:val="lt-LT"/>
        </w:rPr>
        <w:t>.</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4.</w:t>
      </w:r>
      <w:r w:rsidRPr="00153D15">
        <w:rPr>
          <w:rFonts w:ascii="Times New Roman" w:eastAsia="Times New Roman" w:hAnsi="Times New Roman"/>
          <w:b/>
          <w:caps/>
          <w:lang w:val="lt-LT"/>
        </w:rPr>
        <w:tab/>
        <w:t>klinikinĖ informacija</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lang w:val="lt-LT"/>
        </w:rPr>
        <w:t>4.1</w:t>
      </w:r>
      <w:r w:rsidRPr="00153D15">
        <w:rPr>
          <w:rFonts w:ascii="Times New Roman" w:eastAsia="Times New Roman" w:hAnsi="Times New Roman"/>
          <w:b/>
          <w:lang w:val="lt-LT"/>
        </w:rPr>
        <w:tab/>
        <w:t>Terapinės indikacijos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lang w:val="lt-LT"/>
        </w:rPr>
      </w:pPr>
      <w:r w:rsidRPr="00153D15">
        <w:rPr>
          <w:rFonts w:ascii="Times New Roman" w:eastAsia="Times New Roman" w:hAnsi="Times New Roman"/>
          <w:lang w:val="lt-LT"/>
        </w:rPr>
        <w:t>Simptominis osteoartrito, reumatoidinio artrito ir ankilozinio spondilito gydymas.</w:t>
      </w:r>
    </w:p>
    <w:p w:rsidR="002101F6" w:rsidRPr="00153D15" w:rsidRDefault="002101F6" w:rsidP="002101F6">
      <w:pPr>
        <w:spacing w:after="0" w:line="240" w:lineRule="auto"/>
        <w:outlineLvl w:val="0"/>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Skirti pacientui selektyvų COX</w:t>
      </w:r>
      <w:r w:rsidRPr="00153D15">
        <w:rPr>
          <w:rFonts w:ascii="Times New Roman" w:eastAsia="Times New Roman" w:hAnsi="Times New Roman"/>
          <w:lang w:val="lt-LT"/>
        </w:rPr>
        <w:noBreakHyphen/>
        <w:t xml:space="preserve">2 inhibitorių galima tik įvertinus bendrą riziką </w:t>
      </w:r>
      <w:r w:rsidR="008A6F98">
        <w:rPr>
          <w:rFonts w:ascii="Times New Roman" w:eastAsia="Times New Roman" w:hAnsi="Times New Roman"/>
          <w:lang w:val="lt-LT"/>
        </w:rPr>
        <w:t>individualiai</w:t>
      </w:r>
      <w:r w:rsidR="008A6F98" w:rsidRPr="00153D15">
        <w:rPr>
          <w:rFonts w:ascii="Times New Roman" w:eastAsia="Times New Roman" w:hAnsi="Times New Roman"/>
          <w:lang w:val="lt-LT"/>
        </w:rPr>
        <w:t xml:space="preserve"> </w:t>
      </w:r>
      <w:r w:rsidRPr="00153D15">
        <w:rPr>
          <w:rFonts w:ascii="Times New Roman" w:eastAsia="Times New Roman" w:hAnsi="Times New Roman"/>
          <w:lang w:val="lt-LT"/>
        </w:rPr>
        <w:t>pacientui (žr. 4.3 ir 4.4 skyrius).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lang w:val="lt-LT"/>
        </w:rPr>
        <w:t>4.2</w:t>
      </w:r>
      <w:r w:rsidRPr="00153D15">
        <w:rPr>
          <w:rFonts w:ascii="Times New Roman" w:eastAsia="Times New Roman" w:hAnsi="Times New Roman"/>
          <w:b/>
          <w:lang w:val="lt-LT"/>
        </w:rPr>
        <w:tab/>
        <w:t>Dozavimas ir vartojimo metodas</w:t>
      </w:r>
    </w:p>
    <w:p w:rsidR="00495F6F" w:rsidRPr="00153D15" w:rsidRDefault="00495F6F" w:rsidP="002101F6">
      <w:pPr>
        <w:spacing w:after="0" w:line="240" w:lineRule="auto"/>
        <w:ind w:left="567" w:hanging="567"/>
        <w:outlineLvl w:val="0"/>
        <w:rPr>
          <w:rFonts w:ascii="Times New Roman" w:eastAsia="Times New Roman" w:hAnsi="Times New Roman"/>
          <w:b/>
          <w:lang w:val="lt-LT"/>
        </w:rPr>
      </w:pPr>
    </w:p>
    <w:p w:rsidR="002101F6" w:rsidRPr="00153D15" w:rsidRDefault="008F1BAE" w:rsidP="002101F6">
      <w:pPr>
        <w:overflowPunct w:val="0"/>
        <w:autoSpaceDE w:val="0"/>
        <w:autoSpaceDN w:val="0"/>
        <w:adjustRightInd w:val="0"/>
        <w:spacing w:after="0" w:line="240" w:lineRule="auto"/>
        <w:rPr>
          <w:rFonts w:ascii="Times New Roman" w:eastAsia="Times New Roman" w:hAnsi="Times New Roman"/>
          <w:u w:val="single"/>
          <w:lang w:val="lt-LT"/>
        </w:rPr>
      </w:pPr>
      <w:r w:rsidRPr="00153D15">
        <w:rPr>
          <w:rFonts w:ascii="Times New Roman" w:eastAsia="Times New Roman" w:hAnsi="Times New Roman"/>
          <w:u w:val="single"/>
          <w:lang w:val="lt-LT"/>
        </w:rPr>
        <w:t>Dozavimas</w:t>
      </w:r>
    </w:p>
    <w:p w:rsidR="00194DFE" w:rsidRDefault="00194DFE" w:rsidP="002101F6">
      <w:pPr>
        <w:overflowPunct w:val="0"/>
        <w:autoSpaceDE w:val="0"/>
        <w:autoSpaceDN w:val="0"/>
        <w:adjustRightInd w:val="0"/>
        <w:spacing w:after="0" w:line="240" w:lineRule="auto"/>
        <w:rPr>
          <w:rFonts w:ascii="Times New Roman" w:eastAsia="Times New Roman" w:hAnsi="Times New Roman"/>
          <w:lang w:val="lt-LT"/>
        </w:rPr>
      </w:pPr>
    </w:p>
    <w:p w:rsidR="002101F6" w:rsidRPr="00153D15" w:rsidRDefault="002101F6" w:rsidP="002101F6">
      <w:pPr>
        <w:overflowPunct w:val="0"/>
        <w:autoSpaceDE w:val="0"/>
        <w:autoSpaceDN w:val="0"/>
        <w:adjustRightInd w:val="0"/>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Kadangi didinant celekoksibo dozę ir vartojimo trukmę gresia didesnė širdies ir kraujagyslių </w:t>
      </w:r>
      <w:r w:rsidRPr="00FD266B">
        <w:rPr>
          <w:rFonts w:ascii="Times New Roman" w:eastAsia="Times New Roman" w:hAnsi="Times New Roman"/>
          <w:lang w:val="lt-LT"/>
        </w:rPr>
        <w:t>sutrikimų</w:t>
      </w:r>
      <w:r w:rsidRPr="00153D15">
        <w:rPr>
          <w:rFonts w:ascii="Times New Roman" w:eastAsia="Times New Roman" w:hAnsi="Times New Roman"/>
          <w:lang w:val="lt-LT"/>
        </w:rPr>
        <w:t xml:space="preserve"> rizika, reikia vartoti vaist</w:t>
      </w:r>
      <w:r w:rsidR="00CC2557">
        <w:rPr>
          <w:rFonts w:ascii="Times New Roman" w:eastAsia="Times New Roman" w:hAnsi="Times New Roman"/>
          <w:lang w:val="lt-LT"/>
        </w:rPr>
        <w:t>ini</w:t>
      </w:r>
      <w:r w:rsidRPr="00153D15">
        <w:rPr>
          <w:rFonts w:ascii="Times New Roman" w:eastAsia="Times New Roman" w:hAnsi="Times New Roman"/>
          <w:lang w:val="lt-LT"/>
        </w:rPr>
        <w:t>o</w:t>
      </w:r>
      <w:r w:rsidR="00CC2557">
        <w:rPr>
          <w:rFonts w:ascii="Times New Roman" w:eastAsia="Times New Roman" w:hAnsi="Times New Roman"/>
          <w:lang w:val="lt-LT"/>
        </w:rPr>
        <w:t xml:space="preserve"> preparato</w:t>
      </w:r>
      <w:r w:rsidRPr="00153D15">
        <w:rPr>
          <w:rFonts w:ascii="Times New Roman" w:eastAsia="Times New Roman" w:hAnsi="Times New Roman"/>
          <w:lang w:val="lt-LT"/>
        </w:rPr>
        <w:t xml:space="preserve"> kiek įmanoma trumpiau ir mažiausią veiksmingą paros dozę. Būtina reguliariai įvertinti paciento, ypač sergančio osteoartritu, poreikį simptominiam gydymui ir kaip organizmas reaguoja į gydymą (žr. 4.3, 4.4, 4.8 ir 5.1 skyrius).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i/>
          <w:lang w:val="lt-LT"/>
        </w:rPr>
        <w:t>Osteoartritas</w:t>
      </w:r>
      <w:r w:rsidRPr="00153D15">
        <w:rPr>
          <w:rFonts w:ascii="Times New Roman" w:eastAsia="Times New Roman" w:hAnsi="Times New Roman"/>
          <w:lang w:val="lt-LT"/>
        </w:rPr>
        <w:t xml:space="preserve">. Paprastai rekomenduojama 200 mg paros dozę vartoti vieną kartą per parą arba padalyti į dvi dalis ir vartoti du kartus per parą. Jeigu paciento organizmo atsakomoji reakcija per silpna, dozę padidinus iki 200 mg du kartus per parą, veiksmingumas padidėja. Jei po dviejų savaičių </w:t>
      </w:r>
      <w:r w:rsidR="00D750A2">
        <w:rPr>
          <w:rFonts w:ascii="Times New Roman" w:eastAsia="Times New Roman" w:hAnsi="Times New Roman"/>
          <w:lang w:val="lt-LT"/>
        </w:rPr>
        <w:t>paciento</w:t>
      </w:r>
      <w:r w:rsidR="00D750A2" w:rsidRPr="00153D15">
        <w:rPr>
          <w:rFonts w:ascii="Times New Roman" w:eastAsia="Times New Roman" w:hAnsi="Times New Roman"/>
          <w:lang w:val="lt-LT"/>
        </w:rPr>
        <w:t xml:space="preserve"> </w:t>
      </w:r>
      <w:r w:rsidRPr="00153D15">
        <w:rPr>
          <w:rFonts w:ascii="Times New Roman" w:eastAsia="Times New Roman" w:hAnsi="Times New Roman"/>
          <w:lang w:val="lt-LT"/>
        </w:rPr>
        <w:t>būklė nepagerėja, reikia apsvarstyti kitas gydymo galimybes.</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i/>
          <w:lang w:val="lt-LT"/>
        </w:rPr>
        <w:lastRenderedPageBreak/>
        <w:t>Reumatoidinis artritas</w:t>
      </w:r>
      <w:r w:rsidRPr="00153D15">
        <w:rPr>
          <w:rFonts w:ascii="Times New Roman" w:eastAsia="Times New Roman" w:hAnsi="Times New Roman"/>
          <w:lang w:val="lt-LT"/>
        </w:rPr>
        <w:t xml:space="preserve">. Rekomenduojama pradinę 200 mg paros dozę padalyti į dvi dalis ir vartoti du kartus per parą. Jei reikia, vėliau dozę galima didinti ir vartoti 200 mg du kartus per parą. Jei po dviejų savaičių </w:t>
      </w:r>
      <w:r w:rsidR="00D750A2">
        <w:rPr>
          <w:rFonts w:ascii="Times New Roman" w:eastAsia="Times New Roman" w:hAnsi="Times New Roman"/>
          <w:lang w:val="lt-LT"/>
        </w:rPr>
        <w:t>paciento</w:t>
      </w:r>
      <w:r w:rsidR="00D750A2" w:rsidRPr="00153D15">
        <w:rPr>
          <w:rFonts w:ascii="Times New Roman" w:eastAsia="Times New Roman" w:hAnsi="Times New Roman"/>
          <w:lang w:val="lt-LT"/>
        </w:rPr>
        <w:t xml:space="preserve"> </w:t>
      </w:r>
      <w:r w:rsidRPr="00153D15">
        <w:rPr>
          <w:rFonts w:ascii="Times New Roman" w:eastAsia="Times New Roman" w:hAnsi="Times New Roman"/>
          <w:lang w:val="lt-LT"/>
        </w:rPr>
        <w:t>būklė nepagerėja, reikia apsvarstyti kitas gydymo galimybes.</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i/>
          <w:iCs/>
          <w:color w:val="000000"/>
          <w:lang w:val="lt-LT"/>
        </w:rPr>
        <w:t>Ankilozinis spondilitas.</w:t>
      </w:r>
      <w:r w:rsidRPr="00153D15">
        <w:rPr>
          <w:rFonts w:ascii="Times New Roman" w:eastAsia="Times New Roman" w:hAnsi="Times New Roman"/>
          <w:color w:val="000000"/>
          <w:lang w:val="lt-LT"/>
        </w:rPr>
        <w:t xml:space="preserve"> Įprasta rekomenduojama paros dozė yra 200 mg, kurią reikia </w:t>
      </w:r>
      <w:r w:rsidRPr="00153D15">
        <w:rPr>
          <w:rFonts w:ascii="Times New Roman" w:eastAsia="Times New Roman" w:hAnsi="Times New Roman"/>
          <w:lang w:val="lt-LT"/>
        </w:rPr>
        <w:t>vartoti</w:t>
      </w:r>
      <w:r w:rsidRPr="00153D15">
        <w:rPr>
          <w:rFonts w:ascii="Times New Roman" w:eastAsia="Times New Roman" w:hAnsi="Times New Roman"/>
          <w:color w:val="000000"/>
          <w:lang w:val="lt-LT"/>
        </w:rPr>
        <w:t xml:space="preserve"> vieną kartą per parą arba padalyti į dvi lygias dalis ir </w:t>
      </w:r>
      <w:r w:rsidRPr="00153D15">
        <w:rPr>
          <w:rFonts w:ascii="Times New Roman" w:eastAsia="Times New Roman" w:hAnsi="Times New Roman"/>
          <w:lang w:val="lt-LT"/>
        </w:rPr>
        <w:t>vartoti</w:t>
      </w:r>
      <w:r w:rsidRPr="00153D15">
        <w:rPr>
          <w:rFonts w:ascii="Times New Roman" w:eastAsia="Times New Roman" w:hAnsi="Times New Roman"/>
          <w:color w:val="000000"/>
          <w:lang w:val="lt-LT"/>
        </w:rPr>
        <w:t xml:space="preserve"> per du kartus. Pacientams, kurių simptomai malšinami nepakankamai, veiksmingumas gali padidėti padidinus dozę iki 400 mg, kuri geriama vieną kartą per parą arba, padalinus į dvi lygias dalis, išgeriama per du kartus. Jeigu po dviejų savaičių gydomasis poveikis nesustiprėja, reikia apsvarstyti kitas gydymo galimybes.</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lang w:val="lt-LT"/>
        </w:rPr>
      </w:pPr>
      <w:r w:rsidRPr="00153D15">
        <w:rPr>
          <w:rFonts w:ascii="Times New Roman" w:eastAsia="Times New Roman" w:hAnsi="Times New Roman"/>
          <w:lang w:val="lt-LT"/>
        </w:rPr>
        <w:t xml:space="preserve">Didžiausia rekomenduojama dozė </w:t>
      </w:r>
      <w:r w:rsidR="00772BBA" w:rsidRPr="00153D15">
        <w:rPr>
          <w:rFonts w:ascii="Times New Roman" w:eastAsia="Times New Roman" w:hAnsi="Times New Roman"/>
          <w:lang w:val="lt-LT"/>
        </w:rPr>
        <w:t>visų</w:t>
      </w:r>
      <w:r w:rsidRPr="00153D15">
        <w:rPr>
          <w:rFonts w:ascii="Times New Roman" w:eastAsia="Times New Roman" w:hAnsi="Times New Roman"/>
          <w:lang w:val="lt-LT"/>
        </w:rPr>
        <w:t xml:space="preserve"> indikacijų atveju </w:t>
      </w:r>
      <w:r w:rsidRPr="00153D15">
        <w:rPr>
          <w:rFonts w:ascii="Times New Roman" w:eastAsia="Times New Roman" w:hAnsi="Times New Roman"/>
          <w:lang w:val="lt-LT"/>
        </w:rPr>
        <w:noBreakHyphen/>
        <w:t xml:space="preserve"> 400 mg per parą.</w:t>
      </w:r>
    </w:p>
    <w:p w:rsidR="002101F6" w:rsidRPr="00153D15" w:rsidRDefault="002101F6" w:rsidP="00E90D1D">
      <w:pPr>
        <w:spacing w:after="0" w:line="240" w:lineRule="auto"/>
        <w:outlineLvl w:val="0"/>
        <w:rPr>
          <w:rFonts w:ascii="Times New Roman" w:eastAsia="Times New Roman" w:hAnsi="Times New Roman"/>
          <w:lang w:val="lt-LT"/>
        </w:rPr>
      </w:pPr>
    </w:p>
    <w:p w:rsidR="002101F6" w:rsidRPr="00C03E9C" w:rsidRDefault="002101F6" w:rsidP="002101F6">
      <w:pPr>
        <w:spacing w:after="0" w:line="240" w:lineRule="auto"/>
        <w:rPr>
          <w:rFonts w:ascii="Times New Roman" w:eastAsia="Times New Roman" w:hAnsi="Times New Roman"/>
          <w:lang w:val="lt-LT"/>
        </w:rPr>
      </w:pPr>
      <w:r w:rsidRPr="00BA75C2">
        <w:rPr>
          <w:rFonts w:ascii="Times New Roman" w:eastAsia="Times New Roman" w:hAnsi="Times New Roman"/>
          <w:i/>
          <w:lang w:val="lt-LT"/>
        </w:rPr>
        <w:t>Senyviems pacientams</w:t>
      </w:r>
      <w:r w:rsidRPr="00C03E9C">
        <w:rPr>
          <w:rFonts w:ascii="Times New Roman" w:eastAsia="Times New Roman" w:hAnsi="Times New Roman"/>
          <w:lang w:val="lt-LT"/>
        </w:rPr>
        <w:t xml:space="preserve"> </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Kaip ir jaunesniems suaugusiesiems, pradžioje vartojama 200 mg dozė per parą. Jei reikia, vėliau dozę galima didinti ir vartoti 200 mg du kartus per parą. Labai atsargiai vaistinį preparatą reikia vartoti senyviems pacientams, kurie sveria mažiau kaip 50 kg (žr. 4.4 ir 5.2 skyrius).</w:t>
      </w:r>
    </w:p>
    <w:p w:rsidR="002101F6" w:rsidRPr="00153D15" w:rsidRDefault="002101F6" w:rsidP="002101F6">
      <w:pPr>
        <w:spacing w:after="0" w:line="240" w:lineRule="auto"/>
        <w:rPr>
          <w:rFonts w:ascii="Times New Roman" w:eastAsia="Times New Roman" w:hAnsi="Times New Roman"/>
          <w:lang w:val="lt-LT"/>
        </w:rPr>
      </w:pPr>
    </w:p>
    <w:p w:rsidR="002101F6" w:rsidRPr="00C03E9C" w:rsidRDefault="002101F6" w:rsidP="002101F6">
      <w:pPr>
        <w:spacing w:after="0" w:line="240" w:lineRule="auto"/>
        <w:rPr>
          <w:rFonts w:ascii="Times New Roman" w:eastAsia="Times New Roman" w:hAnsi="Times New Roman"/>
          <w:lang w:val="lt-LT"/>
        </w:rPr>
      </w:pPr>
      <w:r w:rsidRPr="00BA75C2">
        <w:rPr>
          <w:rFonts w:ascii="Times New Roman" w:eastAsia="Times New Roman" w:hAnsi="Times New Roman"/>
          <w:i/>
          <w:lang w:val="lt-LT"/>
        </w:rPr>
        <w:t>Pacientams, kurių kepenų funkcija sutrikusi</w:t>
      </w:r>
      <w:r w:rsidRPr="00C03E9C">
        <w:rPr>
          <w:rFonts w:ascii="Times New Roman" w:eastAsia="Times New Roman" w:hAnsi="Times New Roman"/>
          <w:lang w:val="lt-LT"/>
        </w:rPr>
        <w:t xml:space="preserve"> </w:t>
      </w:r>
    </w:p>
    <w:p w:rsidR="002101F6" w:rsidRPr="00153D15" w:rsidRDefault="00A17221" w:rsidP="002101F6">
      <w:pPr>
        <w:spacing w:after="0" w:line="240" w:lineRule="auto"/>
        <w:rPr>
          <w:rFonts w:ascii="Times New Roman" w:eastAsia="Times New Roman" w:hAnsi="Times New Roman"/>
          <w:lang w:val="lt-LT"/>
        </w:rPr>
      </w:pPr>
      <w:r>
        <w:rPr>
          <w:rFonts w:ascii="Times New Roman" w:eastAsia="Times New Roman" w:hAnsi="Times New Roman"/>
          <w:lang w:val="lt-LT"/>
        </w:rPr>
        <w:t>Pacientams</w:t>
      </w:r>
      <w:r w:rsidR="002101F6" w:rsidRPr="00153D15">
        <w:rPr>
          <w:rFonts w:ascii="Times New Roman" w:eastAsia="Times New Roman" w:hAnsi="Times New Roman"/>
          <w:lang w:val="lt-LT"/>
        </w:rPr>
        <w:t>, kurie serga vidutinio sunkumo kepenų funkcijos sutrikimu (albumino koncentracija kraujo serume – 25</w:t>
      </w:r>
      <w:r w:rsidR="002101F6" w:rsidRPr="00153D15">
        <w:rPr>
          <w:rFonts w:ascii="Times New Roman" w:eastAsia="Times New Roman" w:hAnsi="Times New Roman"/>
          <w:lang w:val="lt-LT"/>
        </w:rPr>
        <w:noBreakHyphen/>
        <w:t>35 g/l), iš pradžių skiriama pusė rekomenduojamos vaistinio preparato dozės. Trūksta vaistinio preparato vartojimo kepenų ciroze sergantiems pacientams patirties (žr. 4.3, 4.4 ir 5.2 skyrius).</w:t>
      </w:r>
    </w:p>
    <w:p w:rsidR="002101F6" w:rsidRPr="00153D15" w:rsidRDefault="002101F6" w:rsidP="002101F6">
      <w:pPr>
        <w:spacing w:after="0" w:line="240" w:lineRule="auto"/>
        <w:rPr>
          <w:rFonts w:ascii="Times New Roman" w:eastAsia="Times New Roman" w:hAnsi="Times New Roman"/>
          <w:lang w:val="lt-LT"/>
        </w:rPr>
      </w:pPr>
    </w:p>
    <w:p w:rsidR="002101F6" w:rsidRPr="00C03E9C" w:rsidRDefault="002101F6" w:rsidP="002101F6">
      <w:pPr>
        <w:spacing w:after="0" w:line="240" w:lineRule="auto"/>
        <w:rPr>
          <w:rFonts w:ascii="Times New Roman" w:eastAsia="Times New Roman" w:hAnsi="Times New Roman"/>
          <w:lang w:val="lt-LT"/>
        </w:rPr>
      </w:pPr>
      <w:r w:rsidRPr="00BA75C2">
        <w:rPr>
          <w:rFonts w:ascii="Times New Roman" w:eastAsia="Times New Roman" w:hAnsi="Times New Roman"/>
          <w:i/>
          <w:lang w:val="lt-LT"/>
        </w:rPr>
        <w:t>Pacientams, kurių inkstų funkcija sutrikusi</w:t>
      </w:r>
      <w:r w:rsidRPr="00C03E9C">
        <w:rPr>
          <w:rFonts w:ascii="Times New Roman" w:eastAsia="Times New Roman" w:hAnsi="Times New Roman"/>
          <w:lang w:val="lt-LT"/>
        </w:rPr>
        <w:t xml:space="preserve"> </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Rekomenduojama atsargiai celekoksibu gydyti pacientus, kuriems yra nesunkus ar vidutinio sunkumo inkstų funkcijos sutrikimas, nes stokojama tokių </w:t>
      </w:r>
      <w:r w:rsidR="00A17221">
        <w:rPr>
          <w:rFonts w:ascii="Times New Roman" w:eastAsia="Times New Roman" w:hAnsi="Times New Roman"/>
          <w:lang w:val="lt-LT"/>
        </w:rPr>
        <w:t>pacientų</w:t>
      </w:r>
      <w:r w:rsidRPr="00153D15">
        <w:rPr>
          <w:rFonts w:ascii="Times New Roman" w:eastAsia="Times New Roman" w:hAnsi="Times New Roman"/>
          <w:lang w:val="lt-LT"/>
        </w:rPr>
        <w:t xml:space="preserve"> gydymo patirties (žr. 4.3, 4.4 ir 5.2 skyrius).</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i/>
          <w:lang w:val="lt-LT"/>
        </w:rPr>
      </w:pPr>
      <w:r w:rsidRPr="00153D15">
        <w:rPr>
          <w:rFonts w:ascii="Times New Roman" w:eastAsia="Times New Roman" w:hAnsi="Times New Roman"/>
          <w:i/>
          <w:lang w:val="lt-LT"/>
        </w:rPr>
        <w:t>Vaikų populiacija</w:t>
      </w:r>
    </w:p>
    <w:p w:rsidR="002101F6" w:rsidRPr="00153D15" w:rsidRDefault="002101F6" w:rsidP="002101F6">
      <w:pPr>
        <w:spacing w:after="0" w:line="240" w:lineRule="auto"/>
        <w:outlineLvl w:val="0"/>
        <w:rPr>
          <w:rFonts w:ascii="Times New Roman" w:eastAsia="Times New Roman" w:hAnsi="Times New Roman"/>
          <w:lang w:val="lt-LT"/>
        </w:rPr>
      </w:pPr>
      <w:r w:rsidRPr="00153D15">
        <w:rPr>
          <w:rFonts w:ascii="Times New Roman" w:eastAsia="Calibri" w:hAnsi="Times New Roman"/>
          <w:lang w:val="lt-LT"/>
        </w:rPr>
        <w:t>Celekoksibas nėra skirtas vaikų populiacijai.</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b/>
          <w:bCs/>
          <w:lang w:val="lt-LT"/>
        </w:rPr>
      </w:pPr>
      <w:r w:rsidRPr="00153D15">
        <w:rPr>
          <w:rFonts w:ascii="Times New Roman" w:eastAsia="Times New Roman" w:hAnsi="Times New Roman"/>
          <w:bCs/>
          <w:i/>
          <w:lang w:val="lt-LT"/>
        </w:rPr>
        <w:t>Pacienta</w:t>
      </w:r>
      <w:r w:rsidR="00882F0E" w:rsidRPr="00153D15">
        <w:rPr>
          <w:rFonts w:ascii="Times New Roman" w:eastAsia="Times New Roman" w:hAnsi="Times New Roman"/>
          <w:bCs/>
          <w:i/>
          <w:lang w:val="lt-LT"/>
        </w:rPr>
        <w:t>ms</w:t>
      </w:r>
      <w:r w:rsidRPr="00153D15">
        <w:rPr>
          <w:rFonts w:ascii="Times New Roman" w:eastAsia="Times New Roman" w:hAnsi="Times New Roman"/>
          <w:bCs/>
          <w:i/>
          <w:lang w:val="lt-LT"/>
        </w:rPr>
        <w:t>, kurių organizme CYP2C9 veikiamas metabolizmas yra silpnas</w:t>
      </w:r>
      <w:r w:rsidRPr="00153D15">
        <w:rPr>
          <w:rFonts w:ascii="Times New Roman" w:eastAsia="Times New Roman" w:hAnsi="Times New Roman"/>
          <w:b/>
          <w:bCs/>
          <w:lang w:val="lt-LT"/>
        </w:rPr>
        <w:t xml:space="preserve"> </w:t>
      </w:r>
    </w:p>
    <w:p w:rsidR="002101F6" w:rsidRPr="00153D15" w:rsidRDefault="002101F6" w:rsidP="002101F6">
      <w:pPr>
        <w:spacing w:after="0" w:line="240" w:lineRule="auto"/>
        <w:outlineLvl w:val="0"/>
        <w:rPr>
          <w:rFonts w:ascii="Times New Roman" w:eastAsia="Times New Roman" w:hAnsi="Times New Roman"/>
          <w:bCs/>
          <w:color w:val="000000"/>
          <w:lang w:val="lt-LT"/>
        </w:rPr>
      </w:pPr>
      <w:r w:rsidRPr="00153D15">
        <w:rPr>
          <w:rFonts w:ascii="Times New Roman" w:eastAsia="Times New Roman" w:hAnsi="Times New Roman"/>
          <w:bCs/>
          <w:lang w:val="lt-LT"/>
        </w:rPr>
        <w:t xml:space="preserve">Jeigu atlikus genetinius tyrimus arba remiantis ankstesne </w:t>
      </w:r>
      <w:r w:rsidRPr="00153D15">
        <w:rPr>
          <w:rFonts w:ascii="Times New Roman" w:eastAsia="Times New Roman" w:hAnsi="Times New Roman"/>
          <w:color w:val="000000"/>
          <w:lang w:val="lt-LT"/>
        </w:rPr>
        <w:t>CYP2C9 substratų vartojimo patirtimi nustatyta</w:t>
      </w:r>
      <w:r w:rsidRPr="00153D15">
        <w:rPr>
          <w:rFonts w:ascii="Times New Roman" w:eastAsia="Times New Roman" w:hAnsi="Times New Roman"/>
          <w:bCs/>
          <w:lang w:val="lt-LT"/>
        </w:rPr>
        <w:t xml:space="preserve"> arba įtariama, kad CYP2C9 veikiamas metabolizmas paciento organizme yra silpnas,</w:t>
      </w:r>
      <w:r w:rsidRPr="00153D15">
        <w:rPr>
          <w:rFonts w:ascii="Times New Roman" w:eastAsia="Times New Roman" w:hAnsi="Times New Roman"/>
          <w:color w:val="000000"/>
          <w:lang w:val="lt-LT"/>
        </w:rPr>
        <w:t xml:space="preserve"> celekoksibą reikia vartoti atsargiai, ne</w:t>
      </w:r>
      <w:r w:rsidRPr="00153D15">
        <w:rPr>
          <w:rFonts w:ascii="Times New Roman" w:eastAsia="Times New Roman" w:hAnsi="Times New Roman"/>
          <w:iCs/>
          <w:color w:val="000000"/>
          <w:lang w:val="lt-LT"/>
        </w:rPr>
        <w:t>s padidėja nuo dozės priklausomo nepageidaujamo poveikio rizika.</w:t>
      </w:r>
      <w:r w:rsidRPr="00153D15">
        <w:rPr>
          <w:rFonts w:ascii="Times New Roman" w:eastAsia="Times New Roman" w:hAnsi="Times New Roman"/>
          <w:color w:val="000000"/>
          <w:lang w:val="lt-LT"/>
        </w:rPr>
        <w:t xml:space="preserve"> Apsvarsčius dozę galima sumažinti iki pusės mažiausios rekomenduojamos dozės</w:t>
      </w:r>
      <w:r w:rsidRPr="00153D15">
        <w:rPr>
          <w:rFonts w:ascii="Times New Roman" w:eastAsia="Times New Roman" w:hAnsi="Times New Roman"/>
          <w:color w:val="000000"/>
          <w:vertAlign w:val="superscript"/>
          <w:lang w:val="lt-LT"/>
        </w:rPr>
        <w:t xml:space="preserve"> </w:t>
      </w:r>
      <w:r w:rsidRPr="00153D15">
        <w:rPr>
          <w:rFonts w:ascii="Times New Roman" w:eastAsia="Times New Roman" w:hAnsi="Times New Roman"/>
          <w:color w:val="000000"/>
          <w:lang w:val="lt-LT"/>
        </w:rPr>
        <w:t xml:space="preserve">(žr. 4.5 ir </w:t>
      </w:r>
      <w:r w:rsidRPr="00153D15">
        <w:rPr>
          <w:rFonts w:ascii="Times New Roman" w:eastAsia="Times New Roman" w:hAnsi="Times New Roman"/>
          <w:bCs/>
          <w:color w:val="000000"/>
          <w:lang w:val="lt-LT"/>
        </w:rPr>
        <w:t>5.2 skyrius).</w:t>
      </w:r>
    </w:p>
    <w:p w:rsidR="008F1BAE" w:rsidRPr="00153D15" w:rsidRDefault="008F1BAE" w:rsidP="002101F6">
      <w:pPr>
        <w:spacing w:after="0" w:line="240" w:lineRule="auto"/>
        <w:outlineLvl w:val="0"/>
        <w:rPr>
          <w:rFonts w:ascii="Times New Roman" w:eastAsia="Times New Roman" w:hAnsi="Times New Roman"/>
          <w:bCs/>
          <w:color w:val="000000"/>
          <w:lang w:val="lt-LT"/>
        </w:rPr>
      </w:pPr>
    </w:p>
    <w:p w:rsidR="008F1BAE" w:rsidRDefault="008F1BAE" w:rsidP="002101F6">
      <w:pPr>
        <w:spacing w:after="0" w:line="240" w:lineRule="auto"/>
        <w:outlineLvl w:val="0"/>
        <w:rPr>
          <w:rFonts w:ascii="Times New Roman" w:eastAsia="Times New Roman" w:hAnsi="Times New Roman"/>
          <w:bCs/>
          <w:color w:val="000000"/>
          <w:u w:val="single"/>
          <w:lang w:val="lt-LT"/>
        </w:rPr>
      </w:pPr>
      <w:r w:rsidRPr="00153D15">
        <w:rPr>
          <w:rFonts w:ascii="Times New Roman" w:eastAsia="Times New Roman" w:hAnsi="Times New Roman"/>
          <w:bCs/>
          <w:color w:val="000000"/>
          <w:u w:val="single"/>
          <w:lang w:val="lt-LT"/>
        </w:rPr>
        <w:t>Vartojimo metodas</w:t>
      </w:r>
    </w:p>
    <w:p w:rsidR="00194DFE" w:rsidRDefault="00194DFE" w:rsidP="002101F6">
      <w:pPr>
        <w:spacing w:after="0" w:line="240" w:lineRule="auto"/>
        <w:outlineLvl w:val="0"/>
        <w:rPr>
          <w:rFonts w:ascii="Times New Roman" w:eastAsia="Times New Roman" w:hAnsi="Times New Roman"/>
          <w:bCs/>
          <w:color w:val="000000"/>
          <w:u w:val="single"/>
          <w:lang w:val="lt-LT"/>
        </w:rPr>
      </w:pPr>
    </w:p>
    <w:p w:rsidR="00194DFE" w:rsidRPr="003774EB" w:rsidRDefault="00194DFE" w:rsidP="002101F6">
      <w:pPr>
        <w:spacing w:after="0" w:line="240" w:lineRule="auto"/>
        <w:outlineLvl w:val="0"/>
        <w:rPr>
          <w:rFonts w:ascii="Times New Roman" w:eastAsia="Times New Roman" w:hAnsi="Times New Roman"/>
          <w:lang w:val="lt-LT"/>
        </w:rPr>
      </w:pPr>
      <w:r w:rsidRPr="003774EB">
        <w:rPr>
          <w:rFonts w:ascii="Times New Roman" w:eastAsia="Times New Roman" w:hAnsi="Times New Roman"/>
          <w:bCs/>
          <w:color w:val="000000"/>
          <w:lang w:val="lt-LT"/>
        </w:rPr>
        <w:t>Vartoti per burną.</w:t>
      </w:r>
    </w:p>
    <w:p w:rsidR="002101F6" w:rsidRPr="00153D15" w:rsidRDefault="008F1BAE"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Celekoksibą galima vartoti ir valgant, ir nevalgius.</w:t>
      </w:r>
    </w:p>
    <w:p w:rsidR="008F1BAE" w:rsidRPr="00153D15" w:rsidRDefault="008F1BAE"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lang w:val="lt-LT"/>
        </w:rPr>
        <w:t>4.3</w:t>
      </w:r>
      <w:r w:rsidRPr="00153D15">
        <w:rPr>
          <w:rFonts w:ascii="Times New Roman" w:eastAsia="Times New Roman" w:hAnsi="Times New Roman"/>
          <w:b/>
          <w:lang w:val="lt-LT"/>
        </w:rPr>
        <w:tab/>
        <w:t>Kontraindikacijos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lang w:val="lt-LT"/>
        </w:rPr>
      </w:pPr>
      <w:r w:rsidRPr="00153D15">
        <w:rPr>
          <w:rFonts w:ascii="Times New Roman" w:eastAsia="Times New Roman" w:hAnsi="Times New Roman"/>
          <w:lang w:val="lt-LT"/>
        </w:rPr>
        <w:t xml:space="preserve">Padidėjęs jautrumas veikliajai arba bet kuriai </w:t>
      </w:r>
      <w:r w:rsidRPr="00153D15">
        <w:rPr>
          <w:rFonts w:ascii="Times New Roman" w:eastAsia="Calibri" w:hAnsi="Times New Roman"/>
          <w:lang w:val="lt-LT"/>
        </w:rPr>
        <w:t xml:space="preserve">6.1 skyriuje nurodytai </w:t>
      </w:r>
      <w:r w:rsidRPr="00153D15">
        <w:rPr>
          <w:rFonts w:ascii="Times New Roman" w:eastAsia="Times New Roman" w:hAnsi="Times New Roman"/>
          <w:lang w:val="lt-LT"/>
        </w:rPr>
        <w:t>pagalbinei medžiagai.</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lang w:val="lt-LT"/>
        </w:rPr>
      </w:pPr>
      <w:r w:rsidRPr="00153D15">
        <w:rPr>
          <w:rFonts w:ascii="Times New Roman" w:eastAsia="Times New Roman" w:hAnsi="Times New Roman"/>
          <w:lang w:val="lt-LT"/>
        </w:rPr>
        <w:t>Padidėjęs jautrumas sulfonamidams.</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lang w:val="lt-LT"/>
        </w:rPr>
      </w:pPr>
      <w:r w:rsidRPr="00153D15">
        <w:rPr>
          <w:rFonts w:ascii="Times New Roman" w:eastAsia="Times New Roman" w:hAnsi="Times New Roman"/>
          <w:lang w:val="lt-LT"/>
        </w:rPr>
        <w:lastRenderedPageBreak/>
        <w:t>Aktyvi pepsinė opa arba kraujavimas iš virškinimo trakto (VT).</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Astma, ūminis rinitas, nosies polipai, angioneurozinė edema, dilgėlinė arba kitokia alerginė reakcija, kurios buvo pavartojus acetilsalicilo rūgšties arba kitų nesteroidinių vaist</w:t>
      </w:r>
      <w:r w:rsidR="00BC1D44">
        <w:rPr>
          <w:rFonts w:ascii="Times New Roman" w:eastAsia="Times New Roman" w:hAnsi="Times New Roman"/>
          <w:lang w:val="lt-LT"/>
        </w:rPr>
        <w:t>ini</w:t>
      </w:r>
      <w:r w:rsidRPr="00153D15">
        <w:rPr>
          <w:rFonts w:ascii="Times New Roman" w:eastAsia="Times New Roman" w:hAnsi="Times New Roman"/>
          <w:lang w:val="lt-LT"/>
        </w:rPr>
        <w:t>ų</w:t>
      </w:r>
      <w:r w:rsidR="00BC1D44">
        <w:rPr>
          <w:rFonts w:ascii="Times New Roman" w:eastAsia="Times New Roman" w:hAnsi="Times New Roman"/>
          <w:lang w:val="lt-LT"/>
        </w:rPr>
        <w:t xml:space="preserve"> preparatų</w:t>
      </w:r>
      <w:r w:rsidRPr="00153D15">
        <w:rPr>
          <w:rFonts w:ascii="Times New Roman" w:eastAsia="Times New Roman" w:hAnsi="Times New Roman"/>
          <w:lang w:val="lt-LT"/>
        </w:rPr>
        <w:t xml:space="preserve"> nuo uždegimo (NVNU), įskaitant COX</w:t>
      </w:r>
      <w:r w:rsidRPr="00153D15">
        <w:rPr>
          <w:rFonts w:ascii="Times New Roman" w:eastAsia="Times New Roman" w:hAnsi="Times New Roman"/>
          <w:lang w:val="lt-LT"/>
        </w:rPr>
        <w:noBreakHyphen/>
        <w:t>2 (ciklooksigenazės 2) inhibitorių.</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Nėštumas. Vaistinio preparato negalima vartoti ir vaisingo amžiaus moterims, nesinaudojančioms veiksmingu kontracepcijos metodu (žr. 4.6 skyrių). Celekoksibas sukėlė apsigimimų dviejų tirtų rūšių gyvūnams (žr. 4.6 ir 5.3 skyrius). Galima rizika nėštumo metu žmogui nežinoma, bet jos negalima paneigti.</w:t>
      </w:r>
    </w:p>
    <w:p w:rsidR="00E90587" w:rsidRDefault="00E90587" w:rsidP="002101F6">
      <w:pPr>
        <w:spacing w:after="0" w:line="240" w:lineRule="auto"/>
        <w:outlineLvl w:val="0"/>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lang w:val="lt-LT"/>
        </w:rPr>
      </w:pPr>
      <w:r w:rsidRPr="00153D15">
        <w:rPr>
          <w:rFonts w:ascii="Times New Roman" w:eastAsia="Times New Roman" w:hAnsi="Times New Roman"/>
          <w:lang w:val="lt-LT"/>
        </w:rPr>
        <w:t>Žindymo laikotarpis (žr. 4.6 ir 5.3 skyrius).</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Sunkus kepenų funkcijos sutrikimas (albumino koncentracija kraujo serume &lt; 25 g/l arba ≥ 10 balų pagal </w:t>
      </w:r>
      <w:r w:rsidRPr="00153D15">
        <w:rPr>
          <w:rFonts w:ascii="Times New Roman" w:eastAsia="Times New Roman" w:hAnsi="Times New Roman"/>
          <w:i/>
          <w:lang w:val="lt-LT"/>
        </w:rPr>
        <w:t>Child-Pugh</w:t>
      </w:r>
      <w:r w:rsidRPr="00153D15">
        <w:rPr>
          <w:rFonts w:ascii="Times New Roman" w:eastAsia="Times New Roman" w:hAnsi="Times New Roman"/>
          <w:lang w:val="lt-LT"/>
        </w:rPr>
        <w:t>).</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lang w:val="lt-LT"/>
        </w:rPr>
      </w:pPr>
      <w:r w:rsidRPr="00153D15">
        <w:rPr>
          <w:rFonts w:ascii="Times New Roman" w:eastAsia="Times New Roman" w:hAnsi="Times New Roman"/>
          <w:lang w:val="lt-LT"/>
        </w:rPr>
        <w:t>Kreatinino klirensas &lt; 30 ml/min.</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lang w:val="lt-LT"/>
        </w:rPr>
      </w:pPr>
      <w:r w:rsidRPr="00153D15">
        <w:rPr>
          <w:rFonts w:ascii="Times New Roman" w:eastAsia="Times New Roman" w:hAnsi="Times New Roman"/>
          <w:lang w:val="lt-LT"/>
        </w:rPr>
        <w:t>Uždegiminė žarnų liga.</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lang w:val="lt-LT"/>
        </w:rPr>
      </w:pPr>
      <w:r w:rsidRPr="00153D15">
        <w:rPr>
          <w:rFonts w:ascii="Times New Roman" w:eastAsia="Times New Roman" w:hAnsi="Times New Roman"/>
          <w:lang w:val="lt-LT"/>
        </w:rPr>
        <w:t>Stazinis širdies nepakankamumas (II</w:t>
      </w:r>
      <w:r w:rsidRPr="00153D15">
        <w:rPr>
          <w:rFonts w:ascii="Times New Roman" w:eastAsia="Times New Roman" w:hAnsi="Times New Roman"/>
          <w:lang w:val="lt-LT"/>
        </w:rPr>
        <w:noBreakHyphen/>
        <w:t>IV klasės pagal NYHA).</w:t>
      </w:r>
    </w:p>
    <w:p w:rsidR="002101F6" w:rsidRDefault="002101F6" w:rsidP="002101F6">
      <w:pPr>
        <w:spacing w:after="0" w:line="240" w:lineRule="auto"/>
        <w:outlineLvl w:val="0"/>
        <w:rPr>
          <w:rFonts w:ascii="Times New Roman" w:eastAsia="Times New Roman" w:hAnsi="Times New Roman"/>
          <w:lang w:val="lt-LT"/>
        </w:rPr>
      </w:pPr>
    </w:p>
    <w:p w:rsidR="00387849" w:rsidRPr="00D53938" w:rsidRDefault="00251BFB" w:rsidP="002101F6">
      <w:pPr>
        <w:spacing w:after="0" w:line="240" w:lineRule="auto"/>
        <w:outlineLvl w:val="0"/>
        <w:rPr>
          <w:rFonts w:ascii="Times New Roman" w:eastAsia="Times New Roman" w:hAnsi="Times New Roman"/>
          <w:lang w:val="lt-LT"/>
        </w:rPr>
      </w:pPr>
      <w:r w:rsidRPr="00153D15">
        <w:rPr>
          <w:rFonts w:ascii="Times New Roman" w:eastAsia="Times New Roman" w:hAnsi="Times New Roman"/>
          <w:lang w:val="lt-LT"/>
        </w:rPr>
        <w:t>Nustatyta išeminė širdies liga, periferinių arterijų liga ir (arba) smegenų kraujotakos liga.</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lang w:val="lt-LT"/>
        </w:rPr>
        <w:t>4.4</w:t>
      </w:r>
      <w:r w:rsidRPr="00153D15">
        <w:rPr>
          <w:rFonts w:ascii="Times New Roman" w:eastAsia="Times New Roman" w:hAnsi="Times New Roman"/>
          <w:b/>
          <w:lang w:val="lt-LT"/>
        </w:rPr>
        <w:tab/>
        <w:t>Specialūs įspėjimai ir atsargumo priemonės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Celekoksibą vartojusiems pacientams nustatyta viršutinės ir apatinės virškinimo trakto dalies komplikacijų, kartais mirtinų (perforacijos, opos arba kraujavimas [POK]). Rekomenduojama atsargiai vaistiniu preparatu gydyti pacientus, kuriems vartojant NVNU gresia didesnis virškinimo trakto komplikacijų pavojus: senyviems žmonėms, vartojantiems kartu kitų NVNU arba acetilsalicilo rūgštį, gliukokortikoidų, pacientams, kurie vartoja alkoholio, arba pacientams, kurie anksčiau sirgo virškinimo trakto liga, pavyzdžiui, opalige arba kraujavimais.</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Celekoksibą vartojant kartu su acetilsalicilo rūgštimi (net ir mažomis dozėmis) dar labiau padidėja nepageidaujamų reakcijų (virškinimo trakto opų ar virškinimo trakto komplikacijų) virškinimo trakte rizika. </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Ilgalaikių klinikinių tyrimų, kurių metu buvo palygintas vienu metu vartojamų COX-2 inhibitorių ir acetilsalicilo rūgšties derinio su NVNU ir acetilsalicilo rūgšties derinio vartojimu, saugumo VT duomenys reikšmingai nesiskyrė (žr. 5.1 skyrių).</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Celekoksibo vartoti kartu su NVNU, kurių sudėtyje nėra acetilsalicilo rūgšties, negalima.</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Ilgalaikių placebu kontroliuojamųjų tyrimų duomenimis, 200 mg ir 400 mg celekoksibo dozę du kartus per parą vartojusiems asmenims, turėjusiems pavienių adenomatozinių polipų, palyginti su placebu, dažniau pasitaikė sunkių širdies ir kraujagyslių reiškinių, dažniausiai miokardo infarktas (žr. 5.1 skyrių).</w:t>
      </w:r>
    </w:p>
    <w:p w:rsidR="002101F6" w:rsidRDefault="002101F6" w:rsidP="002101F6">
      <w:pPr>
        <w:spacing w:after="0" w:line="240" w:lineRule="auto"/>
        <w:rPr>
          <w:rFonts w:ascii="Times New Roman" w:eastAsia="Times New Roman" w:hAnsi="Times New Roman"/>
          <w:lang w:val="lt-LT"/>
        </w:rPr>
      </w:pPr>
    </w:p>
    <w:p w:rsidR="006C4750" w:rsidRPr="00153D15" w:rsidRDefault="006C4750" w:rsidP="002101F6">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Celekoksibas</w:t>
      </w:r>
      <w:r w:rsidR="00AD5D19">
        <w:rPr>
          <w:rFonts w:ascii="Times New Roman" w:eastAsia="Times New Roman" w:hAnsi="Times New Roman"/>
          <w:lang w:val="lt-LT"/>
        </w:rPr>
        <w:t xml:space="preserve"> gali sukelti padidėjusią širdies ir kraujagyslių sistemos trombozinių </w:t>
      </w:r>
      <w:r w:rsidR="0076536A">
        <w:rPr>
          <w:rFonts w:ascii="Times New Roman" w:eastAsia="Times New Roman" w:hAnsi="Times New Roman"/>
          <w:lang w:val="lt-LT"/>
        </w:rPr>
        <w:t>reiškinių</w:t>
      </w:r>
      <w:r w:rsidR="00AD5D19">
        <w:rPr>
          <w:rFonts w:ascii="Times New Roman" w:eastAsia="Times New Roman" w:hAnsi="Times New Roman"/>
          <w:lang w:val="lt-LT"/>
        </w:rPr>
        <w:t xml:space="preserve"> riziką, miokardo infarktą ir insultą, kurie gali būti mirtini.</w:t>
      </w:r>
    </w:p>
    <w:p w:rsidR="00C03E9C" w:rsidRDefault="002101F6" w:rsidP="002101F6">
      <w:pPr>
        <w:overflowPunct w:val="0"/>
        <w:autoSpaceDE w:val="0"/>
        <w:autoSpaceDN w:val="0"/>
        <w:adjustRightInd w:val="0"/>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Kadangi didinant celekoksibo dozę ir vartojimo trukmę gresia širdies ir kraujagyslių </w:t>
      </w:r>
      <w:r w:rsidRPr="00FD266B">
        <w:rPr>
          <w:rFonts w:ascii="Times New Roman" w:eastAsia="Times New Roman" w:hAnsi="Times New Roman"/>
          <w:lang w:val="lt-LT"/>
        </w:rPr>
        <w:t>sutrikimų</w:t>
      </w:r>
      <w:r w:rsidRPr="00153D15">
        <w:rPr>
          <w:rFonts w:ascii="Times New Roman" w:eastAsia="Times New Roman" w:hAnsi="Times New Roman"/>
          <w:lang w:val="lt-LT"/>
        </w:rPr>
        <w:t xml:space="preserve"> rizika, reikia vartoti vaist</w:t>
      </w:r>
      <w:r w:rsidR="00362603" w:rsidRPr="00153D15">
        <w:rPr>
          <w:rFonts w:ascii="Times New Roman" w:eastAsia="Times New Roman" w:hAnsi="Times New Roman"/>
          <w:lang w:val="lt-LT"/>
        </w:rPr>
        <w:t>inį preparatą</w:t>
      </w:r>
      <w:r w:rsidRPr="00153D15">
        <w:rPr>
          <w:rFonts w:ascii="Times New Roman" w:eastAsia="Times New Roman" w:hAnsi="Times New Roman"/>
          <w:lang w:val="lt-LT"/>
        </w:rPr>
        <w:t xml:space="preserve"> kiek įmanoma trumpiau ir mažiausią veiksmingą paros dozę. </w:t>
      </w:r>
      <w:r w:rsidR="00C03E9C" w:rsidRPr="001A5060">
        <w:rPr>
          <w:rFonts w:ascii="Times New Roman" w:eastAsia="Times New Roman" w:hAnsi="Times New Roman"/>
          <w:lang w:val="lt-LT"/>
        </w:rPr>
        <w:t xml:space="preserve">Santykinės rizikos padidėjimas yra panašus pacientams, kurie serga arba neserga </w:t>
      </w:r>
      <w:r w:rsidR="0076536A">
        <w:rPr>
          <w:rFonts w:ascii="Times New Roman" w:eastAsia="Times New Roman" w:hAnsi="Times New Roman"/>
          <w:lang w:val="lt-LT"/>
        </w:rPr>
        <w:t>širdies ir kraujagyslių</w:t>
      </w:r>
      <w:r w:rsidR="00C03E9C" w:rsidRPr="001A5060">
        <w:rPr>
          <w:rFonts w:ascii="Times New Roman" w:eastAsia="Times New Roman" w:hAnsi="Times New Roman"/>
          <w:lang w:val="lt-LT"/>
        </w:rPr>
        <w:t xml:space="preserve"> liga ir kuriems yra arba nėra </w:t>
      </w:r>
      <w:r w:rsidR="0076536A">
        <w:rPr>
          <w:rFonts w:ascii="Times New Roman" w:eastAsia="Times New Roman" w:hAnsi="Times New Roman"/>
          <w:lang w:val="lt-LT"/>
        </w:rPr>
        <w:t>širdies ir kraujagyslių</w:t>
      </w:r>
      <w:r w:rsidR="00C03E9C" w:rsidRPr="001A5060">
        <w:rPr>
          <w:rFonts w:ascii="Times New Roman" w:eastAsia="Times New Roman" w:hAnsi="Times New Roman"/>
          <w:lang w:val="lt-LT"/>
        </w:rPr>
        <w:t xml:space="preserve"> rizikos veiksnių. Vis dėlto absoliutus sutrikimų dažnis pacientams, kurie serga </w:t>
      </w:r>
      <w:r w:rsidR="0076536A">
        <w:rPr>
          <w:rFonts w:ascii="Times New Roman" w:eastAsia="Times New Roman" w:hAnsi="Times New Roman"/>
          <w:lang w:val="lt-LT"/>
        </w:rPr>
        <w:t>širdies ir kraujagylių</w:t>
      </w:r>
      <w:r w:rsidR="00C03E9C" w:rsidRPr="001A5060">
        <w:rPr>
          <w:rFonts w:ascii="Times New Roman" w:eastAsia="Times New Roman" w:hAnsi="Times New Roman"/>
          <w:lang w:val="lt-LT"/>
        </w:rPr>
        <w:t xml:space="preserve"> liga ar turi </w:t>
      </w:r>
      <w:r w:rsidR="0076536A">
        <w:rPr>
          <w:rFonts w:ascii="Times New Roman" w:eastAsia="Times New Roman" w:hAnsi="Times New Roman"/>
          <w:lang w:val="lt-LT"/>
        </w:rPr>
        <w:t>tokios ligos</w:t>
      </w:r>
      <w:r w:rsidR="00C03E9C" w:rsidRPr="001A5060">
        <w:rPr>
          <w:rFonts w:ascii="Times New Roman" w:eastAsia="Times New Roman" w:hAnsi="Times New Roman"/>
          <w:lang w:val="lt-LT"/>
        </w:rPr>
        <w:t xml:space="preserve"> rizikos veiksnių, gali būti didesnis, kadangi jis būna didesnis dar prieš gydymo celekoksibu pradžią</w:t>
      </w:r>
      <w:r w:rsidR="00C03E9C">
        <w:rPr>
          <w:rFonts w:ascii="Times New Roman" w:eastAsia="Times New Roman" w:hAnsi="Times New Roman"/>
          <w:lang w:val="lt-LT"/>
        </w:rPr>
        <w:t>.</w:t>
      </w:r>
      <w:r w:rsidR="00C03E9C" w:rsidRPr="00153D15">
        <w:rPr>
          <w:rFonts w:ascii="Times New Roman" w:eastAsia="Times New Roman" w:hAnsi="Times New Roman"/>
          <w:lang w:val="lt-LT"/>
        </w:rPr>
        <w:t xml:space="preserve"> </w:t>
      </w:r>
    </w:p>
    <w:p w:rsidR="003A41D2" w:rsidRDefault="003A41D2" w:rsidP="002101F6">
      <w:pPr>
        <w:overflowPunct w:val="0"/>
        <w:autoSpaceDE w:val="0"/>
        <w:autoSpaceDN w:val="0"/>
        <w:adjustRightInd w:val="0"/>
        <w:spacing w:after="0" w:line="240" w:lineRule="auto"/>
        <w:rPr>
          <w:rFonts w:ascii="Times New Roman" w:eastAsia="Times New Roman" w:hAnsi="Times New Roman"/>
          <w:lang w:val="lt-LT"/>
        </w:rPr>
      </w:pPr>
    </w:p>
    <w:p w:rsidR="002101F6" w:rsidRPr="00153D15" w:rsidRDefault="002101F6" w:rsidP="002101F6">
      <w:pPr>
        <w:overflowPunct w:val="0"/>
        <w:autoSpaceDE w:val="0"/>
        <w:autoSpaceDN w:val="0"/>
        <w:adjustRightInd w:val="0"/>
        <w:spacing w:after="0" w:line="240" w:lineRule="auto"/>
        <w:rPr>
          <w:rFonts w:ascii="Times New Roman" w:eastAsia="Times New Roman" w:hAnsi="Times New Roman"/>
          <w:lang w:val="lt-LT"/>
        </w:rPr>
      </w:pPr>
      <w:r w:rsidRPr="00153D15">
        <w:rPr>
          <w:rFonts w:ascii="Times New Roman" w:eastAsia="Times New Roman" w:hAnsi="Times New Roman"/>
          <w:lang w:val="lt-LT"/>
        </w:rPr>
        <w:t>Būtina reguliariai įvertinti paciento, ypač sergančio osteoartritu, poreikį simptominiam gydymui ir kaip organizmas reaguoja į gydymą (žr. 4.2, 4.3, 4.8 ir 5.1 skyrius).</w:t>
      </w:r>
    </w:p>
    <w:p w:rsidR="002101F6" w:rsidRPr="00153D15" w:rsidRDefault="002101F6" w:rsidP="002101F6">
      <w:pPr>
        <w:overflowPunct w:val="0"/>
        <w:autoSpaceDE w:val="0"/>
        <w:autoSpaceDN w:val="0"/>
        <w:adjustRightInd w:val="0"/>
        <w:spacing w:after="0" w:line="240" w:lineRule="auto"/>
        <w:rPr>
          <w:rFonts w:ascii="Times New Roman" w:eastAsia="Times New Roman" w:hAnsi="Times New Roman"/>
          <w:lang w:val="lt-LT"/>
        </w:rPr>
      </w:pPr>
    </w:p>
    <w:p w:rsidR="009F6871" w:rsidRDefault="009F6871" w:rsidP="002656AC">
      <w:pPr>
        <w:spacing w:after="0" w:line="240" w:lineRule="auto"/>
        <w:rPr>
          <w:rFonts w:ascii="Times New Roman" w:eastAsia="Times New Roman" w:hAnsi="Times New Roman"/>
          <w:lang w:val="lt-LT"/>
        </w:rPr>
      </w:pPr>
      <w:r>
        <w:rPr>
          <w:rFonts w:ascii="Times New Roman" w:eastAsia="Times New Roman" w:hAnsi="Times New Roman"/>
          <w:lang w:val="lt-LT"/>
        </w:rPr>
        <w:t xml:space="preserve">Pacientams, kuriems yra </w:t>
      </w:r>
      <w:r w:rsidR="002101F6" w:rsidRPr="00153D15">
        <w:rPr>
          <w:rFonts w:ascii="Times New Roman" w:eastAsia="Times New Roman" w:hAnsi="Times New Roman"/>
          <w:lang w:val="lt-LT"/>
        </w:rPr>
        <w:t>svarbių širdies ir kraujagyslių</w:t>
      </w:r>
      <w:r>
        <w:rPr>
          <w:rFonts w:ascii="Times New Roman" w:eastAsia="Times New Roman" w:hAnsi="Times New Roman"/>
          <w:lang w:val="lt-LT"/>
        </w:rPr>
        <w:t xml:space="preserve"> sistemos</w:t>
      </w:r>
      <w:r w:rsidR="002101F6" w:rsidRPr="00153D15">
        <w:rPr>
          <w:rFonts w:ascii="Times New Roman" w:eastAsia="Times New Roman" w:hAnsi="Times New Roman"/>
          <w:lang w:val="lt-LT"/>
        </w:rPr>
        <w:t xml:space="preserve"> sutrikimų rizikos veiksnių (pvz.</w:t>
      </w:r>
      <w:r w:rsidR="00362E04">
        <w:rPr>
          <w:rFonts w:ascii="Times New Roman" w:eastAsia="Times New Roman" w:hAnsi="Times New Roman"/>
          <w:lang w:val="lt-LT"/>
        </w:rPr>
        <w:t>,</w:t>
      </w:r>
      <w:r w:rsidR="002101F6" w:rsidRPr="00153D15">
        <w:rPr>
          <w:rFonts w:ascii="Times New Roman" w:eastAsia="Times New Roman" w:hAnsi="Times New Roman"/>
          <w:lang w:val="lt-LT"/>
        </w:rPr>
        <w:t xml:space="preserve"> hipertenzija, hiperlipidemija, cukrinis diabetas, rūkymas), gydyti celekoksibu galima tik kruopščiai apsvarsčius (žr. 5.1 skyrių).</w:t>
      </w:r>
    </w:p>
    <w:p w:rsidR="002101F6" w:rsidRPr="00153D15" w:rsidRDefault="002101F6" w:rsidP="006E59D1">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Selektyviųjų COX</w:t>
      </w:r>
      <w:r w:rsidRPr="00153D15">
        <w:rPr>
          <w:rFonts w:ascii="Times New Roman" w:eastAsia="Times New Roman" w:hAnsi="Times New Roman"/>
          <w:lang w:val="lt-LT"/>
        </w:rPr>
        <w:noBreakHyphen/>
        <w:t>2 inhibitorių netinka vartoti vietoj acetilsalicilo rūgšties širdies ir kraujagyslių tromb</w:t>
      </w:r>
      <w:r w:rsidR="00990992">
        <w:rPr>
          <w:rFonts w:ascii="Times New Roman" w:eastAsia="Times New Roman" w:hAnsi="Times New Roman"/>
          <w:lang w:val="lt-LT"/>
        </w:rPr>
        <w:t>o</w:t>
      </w:r>
      <w:r w:rsidRPr="00153D15">
        <w:rPr>
          <w:rFonts w:ascii="Times New Roman" w:eastAsia="Times New Roman" w:hAnsi="Times New Roman"/>
          <w:lang w:val="lt-LT"/>
        </w:rPr>
        <w:t>embolinių ligų profilaktikai, nes jie neveikia trombocitų funkcijos. Taigi antitrombocitinio gydymo nutraukti negalima (žr. 5.1 skyrių).</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FD266B" w:rsidP="002101F6">
      <w:pPr>
        <w:spacing w:after="0" w:line="240" w:lineRule="auto"/>
        <w:rPr>
          <w:rFonts w:ascii="Times New Roman" w:eastAsia="Times New Roman" w:hAnsi="Times New Roman"/>
          <w:lang w:val="lt-LT"/>
        </w:rPr>
      </w:pPr>
      <w:r>
        <w:rPr>
          <w:rFonts w:ascii="Times New Roman" w:eastAsia="Times New Roman" w:hAnsi="Times New Roman"/>
          <w:lang w:val="lt-LT"/>
        </w:rPr>
        <w:t>P</w:t>
      </w:r>
      <w:r w:rsidR="002101F6" w:rsidRPr="00153D15">
        <w:rPr>
          <w:rFonts w:ascii="Times New Roman" w:eastAsia="Times New Roman" w:hAnsi="Times New Roman"/>
          <w:lang w:val="lt-LT"/>
        </w:rPr>
        <w:t xml:space="preserve">acientų, vartojančių celekoksibą, kaip ir kitų prostaglandinų sintezę slopinančių vaistinių preparatų, </w:t>
      </w:r>
      <w:r>
        <w:rPr>
          <w:rFonts w:ascii="Times New Roman" w:eastAsia="Times New Roman" w:hAnsi="Times New Roman"/>
          <w:lang w:val="lt-LT"/>
        </w:rPr>
        <w:t xml:space="preserve">organizme </w:t>
      </w:r>
      <w:r w:rsidR="002101F6" w:rsidRPr="00153D15">
        <w:rPr>
          <w:rFonts w:ascii="Times New Roman" w:eastAsia="Times New Roman" w:hAnsi="Times New Roman"/>
          <w:lang w:val="lt-LT"/>
        </w:rPr>
        <w:t xml:space="preserve">kaupiasi skysčiai bei pasireiškia edema. Rekomenduojama atsargiai celekoksibu gydyti pacientus, kuriems yra širdies nepakankamumas, hipertenzija, sutrikusi kairiojo skilvelio </w:t>
      </w:r>
      <w:r w:rsidR="0087224C">
        <w:rPr>
          <w:rFonts w:ascii="Times New Roman" w:eastAsia="Times New Roman" w:hAnsi="Times New Roman"/>
          <w:lang w:val="lt-LT"/>
        </w:rPr>
        <w:t>funkcija</w:t>
      </w:r>
      <w:r w:rsidR="002101F6" w:rsidRPr="00153D15">
        <w:rPr>
          <w:rFonts w:ascii="Times New Roman" w:eastAsia="Times New Roman" w:hAnsi="Times New Roman"/>
          <w:lang w:val="lt-LT"/>
        </w:rPr>
        <w:t xml:space="preserve"> bei tiems, kuriems edema atsirado dėl bet kurių kitų priežasčių, nes slopinant prostaglandinų sintezę, gali sutrikti inkstų funkcija ir organizme kauptis skysčiai. Taip pat rekomenduojama atsargiai celekoksibu gydyti pacientus, kurie vartoja diuretikų, bei tuos, kuriems dėl kokių nors priežasčių gresia hipovolemija.</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Celekoksibas, kaip ir visi NVNU, gali pirmą kartą sukelti ar pasunkinti prieš gydymą buvusią hipertenziją bei skatinti </w:t>
      </w:r>
      <w:r w:rsidR="0076536A">
        <w:rPr>
          <w:rFonts w:ascii="Times New Roman" w:eastAsia="Times New Roman" w:hAnsi="Times New Roman"/>
          <w:lang w:val="lt-LT"/>
        </w:rPr>
        <w:t>širdies ir kraujagyslių</w:t>
      </w:r>
      <w:r w:rsidR="00091072">
        <w:rPr>
          <w:rFonts w:ascii="Times New Roman" w:eastAsia="Times New Roman" w:hAnsi="Times New Roman"/>
          <w:lang w:val="lt-LT"/>
        </w:rPr>
        <w:t xml:space="preserve"> </w:t>
      </w:r>
      <w:r w:rsidRPr="00153D15">
        <w:rPr>
          <w:rFonts w:ascii="Times New Roman" w:eastAsia="Times New Roman" w:hAnsi="Times New Roman"/>
          <w:lang w:val="lt-LT"/>
        </w:rPr>
        <w:t>reiškinių padažnėjimą. Taigi, pradėjus gydyti celekoksibu ir reguliariai gydymo metu reikia atidžiai stebėti kraujospūdį.</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Rekomenduojama atidžiai tikrinti senyvų pacientų būklę, nes jiems gresia didesnė inkstų, kepenų arba širdies </w:t>
      </w:r>
      <w:r w:rsidR="0087224C">
        <w:rPr>
          <w:rFonts w:ascii="Times New Roman" w:eastAsia="Times New Roman" w:hAnsi="Times New Roman"/>
          <w:lang w:val="lt-LT"/>
        </w:rPr>
        <w:t>funkcijos</w:t>
      </w:r>
      <w:r w:rsidR="0087224C" w:rsidRPr="00153D15">
        <w:rPr>
          <w:rFonts w:ascii="Times New Roman" w:eastAsia="Times New Roman" w:hAnsi="Times New Roman"/>
          <w:lang w:val="lt-LT"/>
        </w:rPr>
        <w:t xml:space="preserve"> </w:t>
      </w:r>
      <w:r w:rsidRPr="00153D15">
        <w:rPr>
          <w:rFonts w:ascii="Times New Roman" w:eastAsia="Times New Roman" w:hAnsi="Times New Roman"/>
          <w:lang w:val="lt-LT"/>
        </w:rPr>
        <w:t xml:space="preserve">sutrikimų rizika. </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NVNU, įskaitant celekoksibą, gali daryti toksinį poveikį inkstams. Klinikinių tyrimų duomenimis, celekoksibo poveikis inkstams panašus į lyginamojo NVNU. Didesnė toksinio poveikio inkstams rizika yra tiems ligoniams, kurie serga inkstų funkcijos sutrikimu, širdies nepakankamumu, kepenų funkcijos sutrikimu, vartoja diuretikų, AKF inhibitorių, angiotenzino II receptorių antagonistų ir senyviems žmonėms. Tokius pacientus gydymo celekoksibu metu reikia atidžiai stebėti.</w:t>
      </w:r>
      <w:r w:rsidR="0087224C">
        <w:rPr>
          <w:rFonts w:ascii="Times New Roman" w:eastAsia="Times New Roman" w:hAnsi="Times New Roman"/>
          <w:lang w:val="lt-LT"/>
        </w:rPr>
        <w:t xml:space="preserve"> </w:t>
      </w:r>
      <w:r w:rsidRPr="00153D15">
        <w:rPr>
          <w:rFonts w:ascii="Times New Roman" w:eastAsia="Times New Roman" w:hAnsi="Times New Roman"/>
          <w:lang w:val="lt-LT"/>
        </w:rPr>
        <w:t>NVNU vartojimą nutraukus, poveikis inkstams išnyksta ir inkstų funkcija paprastai tampa tokia, kokia buvo iki gydymo.</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Vartojant celekoksibą buvo keletas sunkių kepenų reakcijų, įskaitant žaibinį hepatitą (kai kurie atvejai buvo mirtini), kepenų nekrozės ir kepenų funkcijos nepakankamumo (kai kurie atvejai buvo mirtini arba prireikė kepenų persodinimo) atvejų. Iš šių atvejų, apie kurių pradžią buvo pranešta, dauguma sunkių kepenų reiškinių pasireiškė per vieną mėnesį po to, kai buvo pradėtas gydymas celekoksibu (žr. 4.8 skyrių).</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lastRenderedPageBreak/>
        <w:t>Jei gydymo metu pablogėja kurios nors anksčiau minėtos paciento organų sistemos funkcija, reikia imtis atitinkamų priemonių ir apsvarstyti, ar reikia nutraukti celekoksibo vartojimą.</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i/>
          <w:lang w:val="lt-LT"/>
        </w:rPr>
        <w:t>CYP2D6 slopinimas</w:t>
      </w:r>
      <w:r w:rsidRPr="00153D15">
        <w:rPr>
          <w:rFonts w:ascii="Times New Roman" w:eastAsia="Times New Roman" w:hAnsi="Times New Roman"/>
          <w:lang w:val="lt-LT"/>
        </w:rPr>
        <w:t>: celekoksibas yra vidutinio stiprumo CYP2D6 inhibitorius. Pradėjus gydyti celekoksibu, CYP2D6 metabolizuojamų vaistinių preparatų dozę gali reikėti sumažinti, o nutraukus gydymą celekoksibu – padidinti (žr. 4.5 skyrių).</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Pacientus, kurių organizme CYP2D9 metabolizuoja silpnai, gydyti </w:t>
      </w:r>
      <w:r w:rsidR="00CE552C" w:rsidRPr="00153D15">
        <w:rPr>
          <w:rFonts w:ascii="Times New Roman" w:eastAsia="Times New Roman" w:hAnsi="Times New Roman"/>
          <w:lang w:val="lt-LT"/>
        </w:rPr>
        <w:t xml:space="preserve">vaistiniu </w:t>
      </w:r>
      <w:r w:rsidRPr="00153D15">
        <w:rPr>
          <w:rFonts w:ascii="Times New Roman" w:eastAsia="Times New Roman" w:hAnsi="Times New Roman"/>
          <w:lang w:val="lt-LT"/>
        </w:rPr>
        <w:t>preparatu reikia atsargiai (žr.</w:t>
      </w:r>
      <w:r w:rsidR="00217A7F">
        <w:rPr>
          <w:rFonts w:ascii="Times New Roman" w:eastAsia="Times New Roman" w:hAnsi="Times New Roman"/>
          <w:lang w:val="lt-LT"/>
        </w:rPr>
        <w:t xml:space="preserve"> 4.2 ir</w:t>
      </w:r>
      <w:r w:rsidRPr="00153D15">
        <w:rPr>
          <w:rFonts w:ascii="Times New Roman" w:eastAsia="Times New Roman" w:hAnsi="Times New Roman"/>
          <w:lang w:val="lt-LT"/>
        </w:rPr>
        <w:t xml:space="preserve"> 5.2 skyrių).</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Saugumo tyrimų po vaistinio preparato registracijos duomenimis, pacientams, vartojusiems celekoksibą, labai retai pasireiškė sunkių, kartais mirtinų odos reakcijų, įskaitant eksfoliacinį dermatitą, Stivenso ir Džonsono sindromą ir toksinę epidermio nekrolizę (žr. 4.8 skyrių). Gydymo pradžioje tokių reakcijų tikimybė pacientui didesnė: daugeliu atvejų reakcijos prasideda per pirmąjį gydymo mėnesį. Pacientams, vartojusiems celekoksibą, pasireiškė sunkių padidėjusio jautrumo reakcijų (anafilaksija ir angio</w:t>
      </w:r>
      <w:r w:rsidR="00217A7F">
        <w:rPr>
          <w:rFonts w:ascii="Times New Roman" w:eastAsia="Times New Roman" w:hAnsi="Times New Roman"/>
          <w:lang w:val="lt-LT"/>
        </w:rPr>
        <w:t>neurozinė e</w:t>
      </w:r>
      <w:r w:rsidRPr="00153D15">
        <w:rPr>
          <w:rFonts w:ascii="Times New Roman" w:eastAsia="Times New Roman" w:hAnsi="Times New Roman"/>
          <w:lang w:val="lt-LT"/>
        </w:rPr>
        <w:t>dema) (žr. 4.8 skyrių). Pacientams, kurie buvo alergiški sulfonamidams ir kitiems vaistiniams preparatams, gresia didesnė sunkių odos arba padidėjusio jautrumo reakcijų rizika (žr. 4.3 skyrių). Reikia nutraukti celekoksibo vartojimą, vos tik pasireiškus pirmiesiems odos išbėrimo, gleivinės pažeidimo ar kitiems padidėjusio jautrumo požymiams.</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lang w:val="lt-LT"/>
        </w:rPr>
      </w:pPr>
      <w:r w:rsidRPr="00153D15">
        <w:rPr>
          <w:rFonts w:ascii="Times New Roman" w:eastAsia="Times New Roman" w:hAnsi="Times New Roman"/>
          <w:lang w:val="lt-LT"/>
        </w:rPr>
        <w:t>Celekoksibas gali slėpti karščiavimą ir kitus uždegimo požymius.</w:t>
      </w:r>
    </w:p>
    <w:p w:rsidR="002101F6" w:rsidRPr="00153D15" w:rsidRDefault="002101F6" w:rsidP="002101F6">
      <w:pPr>
        <w:spacing w:after="0" w:line="240" w:lineRule="auto"/>
        <w:rPr>
          <w:rFonts w:ascii="Times New Roman" w:eastAsia="Times New Roman" w:hAnsi="Times New Roman"/>
          <w:lang w:val="lt-LT"/>
        </w:rPr>
      </w:pPr>
    </w:p>
    <w:p w:rsidR="00217A7F"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i/>
          <w:lang w:val="lt-LT"/>
        </w:rPr>
        <w:t>Vartojimas kartu su geriamaisiais antikoaguliantais</w:t>
      </w:r>
      <w:r w:rsidRPr="00153D15">
        <w:rPr>
          <w:rFonts w:ascii="Times New Roman" w:eastAsia="Times New Roman" w:hAnsi="Times New Roman"/>
          <w:lang w:val="lt-LT"/>
        </w:rPr>
        <w:t xml:space="preserve"> </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NVNU vartojimas kartu su geriamaisiais antikoaguliantais (varfarinu ar kumarino dariniais bei naujesniais antikoaguliantais, pvz., apiksabanu, dabigatranu ir rivaroksabanu) didina kraujavimo riziką, todėl šių vaistinių preparatų kartu reikia vartoti atsargiai. Pacientams, kartu vartojusiems varfarino, buvo sunkių kraujavimo atvejų. Celekoksibą kartu su varfarinu ir kitais geriamaisiais antikoaguliantais reikia vartoti atsargiai. Dėl pailgėjusio protrombino laiko (INR) būtina stebėti pacientų, vartojančių varfarino ar kumarino darinių, krešėjimo parametrus ir INR pirmosiomis celekoksibo vartojimo dienomis ir keičiant celekoksibo dozę (žr. 4.5 skyrių).</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Celekoksibo 100 mg ir 200 mg kapsulėse yra laktozės (atitinkamai 149,7 mg ir 49,8 mg). Pacientams, kuriems yra paveldimas gliukozės netoleravimas, </w:t>
      </w:r>
      <w:r w:rsidRPr="00153D15">
        <w:rPr>
          <w:rFonts w:ascii="Times New Roman" w:eastAsia="Times New Roman" w:hAnsi="Times New Roman"/>
          <w:i/>
          <w:lang w:val="lt-LT"/>
        </w:rPr>
        <w:t>Lapp</w:t>
      </w:r>
      <w:r w:rsidRPr="00153D15">
        <w:rPr>
          <w:rFonts w:ascii="Times New Roman" w:eastAsia="Times New Roman" w:hAnsi="Times New Roman"/>
          <w:lang w:val="lt-LT"/>
        </w:rPr>
        <w:t xml:space="preserve"> laktazės stoka ar gliukozės ir galaktozės malabsorbcija, šio vaistinio preparato vartoti negalima.</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BA75C2">
      <w:pPr>
        <w:keepNext/>
        <w:keepLines/>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lang w:val="lt-LT"/>
        </w:rPr>
        <w:t>4.5</w:t>
      </w:r>
      <w:r w:rsidRPr="00153D15">
        <w:rPr>
          <w:rFonts w:ascii="Times New Roman" w:eastAsia="Times New Roman" w:hAnsi="Times New Roman"/>
          <w:b/>
          <w:lang w:val="lt-LT"/>
        </w:rPr>
        <w:tab/>
        <w:t>Sąveika su kitais vaistiniais preparatais ir kitokia sąveika</w:t>
      </w:r>
    </w:p>
    <w:p w:rsidR="002101F6" w:rsidRPr="00153D15" w:rsidRDefault="002101F6" w:rsidP="00BA75C2">
      <w:pPr>
        <w:keepNext/>
        <w:keepLines/>
        <w:spacing w:after="0" w:line="240" w:lineRule="auto"/>
        <w:rPr>
          <w:rFonts w:ascii="Times New Roman" w:eastAsia="Times New Roman" w:hAnsi="Times New Roman"/>
          <w:lang w:val="lt-LT"/>
        </w:rPr>
      </w:pPr>
    </w:p>
    <w:p w:rsidR="002101F6" w:rsidRPr="00153D15" w:rsidRDefault="002101F6" w:rsidP="00BA75C2">
      <w:pPr>
        <w:keepNext/>
        <w:keepLines/>
        <w:spacing w:after="0" w:line="240" w:lineRule="auto"/>
        <w:outlineLvl w:val="0"/>
        <w:rPr>
          <w:rFonts w:ascii="Times New Roman" w:eastAsia="Times New Roman" w:hAnsi="Times New Roman"/>
          <w:i/>
          <w:lang w:val="lt-LT"/>
        </w:rPr>
      </w:pPr>
      <w:r w:rsidRPr="00153D15">
        <w:rPr>
          <w:rFonts w:ascii="Times New Roman" w:eastAsia="Times New Roman" w:hAnsi="Times New Roman"/>
          <w:i/>
          <w:lang w:val="lt-LT"/>
        </w:rPr>
        <w:t>Farmakodinaminė sąveika</w:t>
      </w:r>
    </w:p>
    <w:p w:rsidR="002101F6" w:rsidRPr="00153D15" w:rsidRDefault="002101F6" w:rsidP="00BA75C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Rekomenduojama tirti, ypač pirmąsias kelias dienas nuo gydymo celekoksibu pradžios arba celekoksibo dozės pakeitimo, pacientų, kurie vartoja varfariną arba kitų antikoaguliantų, antikoaguliacinį aktyvumą, nes padidėja kraujavimo pavojus. Pacientams, vartojantiems geriamųjų antikoaguliantų, reikia atidžiai tirti protrombino laiką </w:t>
      </w:r>
      <w:r w:rsidR="009B65FD">
        <w:rPr>
          <w:rFonts w:ascii="Times New Roman" w:eastAsia="Times New Roman" w:hAnsi="Times New Roman"/>
          <w:lang w:val="lt-LT"/>
        </w:rPr>
        <w:t>(</w:t>
      </w:r>
      <w:r w:rsidRPr="00153D15">
        <w:rPr>
          <w:rFonts w:ascii="Times New Roman" w:eastAsia="Times New Roman" w:hAnsi="Times New Roman"/>
          <w:lang w:val="lt-LT"/>
        </w:rPr>
        <w:t>INR</w:t>
      </w:r>
      <w:r w:rsidR="009B65FD">
        <w:rPr>
          <w:rFonts w:ascii="Times New Roman" w:eastAsia="Times New Roman" w:hAnsi="Times New Roman"/>
          <w:lang w:val="lt-LT"/>
        </w:rPr>
        <w:t>)</w:t>
      </w:r>
      <w:r w:rsidRPr="00153D15">
        <w:rPr>
          <w:rFonts w:ascii="Times New Roman" w:eastAsia="Times New Roman" w:hAnsi="Times New Roman"/>
          <w:lang w:val="lt-LT"/>
        </w:rPr>
        <w:t>, ypač pirmosiomis celekoksibo vartojimo dienomis ir keičiant celekoksibo dozę (žr. 4.4 skyrių). Dėl ilgo protrombino laiko pacientams, ypač senyviems, kurie vartojo celekoksibą kartu su varfarinu, prasidėjo kraujavimas, kartais pasibaigęs mirtimi.</w:t>
      </w:r>
    </w:p>
    <w:p w:rsidR="002101F6" w:rsidRPr="00153D15" w:rsidRDefault="002101F6" w:rsidP="002101F6">
      <w:pPr>
        <w:spacing w:after="0" w:line="240" w:lineRule="auto"/>
        <w:rPr>
          <w:rFonts w:ascii="Times New Roman" w:eastAsia="Times New Roman" w:hAnsi="Times New Roman"/>
          <w:lang w:val="lt-LT"/>
        </w:rPr>
      </w:pPr>
    </w:p>
    <w:p w:rsidR="009B65FD"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i/>
          <w:lang w:val="lt-LT"/>
        </w:rPr>
        <w:t>Antihipertenziniai vaistiniai preparatai</w:t>
      </w:r>
      <w:r w:rsidRPr="00153D15">
        <w:rPr>
          <w:rFonts w:ascii="Times New Roman" w:eastAsia="Times New Roman" w:hAnsi="Times New Roman"/>
          <w:lang w:val="lt-LT"/>
        </w:rPr>
        <w:t xml:space="preserve">, </w:t>
      </w:r>
      <w:r w:rsidRPr="00153D15">
        <w:rPr>
          <w:rFonts w:ascii="Times New Roman" w:eastAsia="Times New Roman" w:hAnsi="Times New Roman"/>
          <w:i/>
          <w:lang w:val="lt-LT"/>
        </w:rPr>
        <w:t>įskaitant AKF inhibitorius, angiotenzino II receptorių antagonistus, diuretikus ir beta adrenoblokatorius</w:t>
      </w:r>
      <w:r w:rsidRPr="00153D15">
        <w:rPr>
          <w:rFonts w:ascii="Times New Roman" w:eastAsia="Times New Roman" w:hAnsi="Times New Roman"/>
          <w:lang w:val="lt-LT"/>
        </w:rPr>
        <w:t xml:space="preserve"> </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lastRenderedPageBreak/>
        <w:t>NVNU sukeliamas prostaglandinų sintezės slopinimas gali slopinti antihipertenzinių vaistinių preparatų, įskaitant AKF inhibitorius, angiotenzino II receptorių antagonistus, diuretikus ir beta adrenoblokatorius, poveikį. Celekoksibo vartojant su minėtais vaistiniais preparatais, reikia atsižvelgti į tokią sąveiką.</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Vartojant NVNU, ūminio inkstų funkcijos sutrikimo, įskaitant ūminį inkstų nepakankamumą, rizika gali būti didesnė pacientams, kurie yra senyvi, kurių organizme trūksta </w:t>
      </w:r>
      <w:r w:rsidR="006A6F8C" w:rsidRPr="00153D15">
        <w:rPr>
          <w:rFonts w:ascii="Times New Roman" w:eastAsia="Times New Roman" w:hAnsi="Times New Roman"/>
          <w:lang w:val="lt-LT"/>
        </w:rPr>
        <w:t>skysči</w:t>
      </w:r>
      <w:r w:rsidR="006A6F8C">
        <w:rPr>
          <w:rFonts w:ascii="Times New Roman" w:eastAsia="Times New Roman" w:hAnsi="Times New Roman"/>
          <w:lang w:val="lt-LT"/>
        </w:rPr>
        <w:t>ų</w:t>
      </w:r>
      <w:r w:rsidR="006A6F8C" w:rsidRPr="00153D15">
        <w:rPr>
          <w:rFonts w:ascii="Times New Roman" w:eastAsia="Times New Roman" w:hAnsi="Times New Roman"/>
          <w:lang w:val="lt-LT"/>
        </w:rPr>
        <w:t xml:space="preserve"> </w:t>
      </w:r>
      <w:r w:rsidRPr="00153D15">
        <w:rPr>
          <w:rFonts w:ascii="Times New Roman" w:eastAsia="Times New Roman" w:hAnsi="Times New Roman"/>
          <w:lang w:val="lt-LT"/>
        </w:rPr>
        <w:t>(įskaitant vartojančius diuretikų) ar kurių inkstų funkcija yra sutrikusi, jei kartu su NVNU, įskaitant celekoksibą, vartojama AKF inhibitorių, angiotenzino II receptorių antagonistų ar diuretikų. Taigi minėtus vaistinius preparatus vartoti kartu reikia atsargiai, ypač senyviems pacientams. Pacientas turi vartoti pakankamai skysčių, būtina nuolat stebėti jo inkstų funkciją pradėjus kartu vartoti minėtus vaistinius preparatus ir reguliariai tikrinti tęsiant gydymą. NVNU vartojimą nutraukus, poveikis inkstams išnyksta ir inkstų funkcija paprastai tampa tokia, kokia buvo iki gydymo.</w:t>
      </w:r>
    </w:p>
    <w:p w:rsidR="002101F6" w:rsidRPr="00153D15" w:rsidRDefault="002101F6" w:rsidP="002101F6">
      <w:pPr>
        <w:spacing w:after="0" w:line="240" w:lineRule="auto"/>
        <w:rPr>
          <w:rFonts w:ascii="Times New Roman" w:eastAsia="Times New Roman" w:hAnsi="Times New Roman"/>
          <w:lang w:val="lt-LT"/>
        </w:rPr>
      </w:pPr>
    </w:p>
    <w:p w:rsidR="006A6F8C"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i/>
          <w:lang w:val="lt-LT"/>
        </w:rPr>
        <w:t>Lizinoprilio tyrimo rezultatai</w:t>
      </w:r>
      <w:r w:rsidRPr="00153D15">
        <w:rPr>
          <w:rFonts w:ascii="Times New Roman" w:eastAsia="Times New Roman" w:hAnsi="Times New Roman"/>
          <w:lang w:val="lt-LT"/>
        </w:rPr>
        <w:t xml:space="preserve"> </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28 dienas trukusio klinikinio tyrimo duomenimis, ambulatoriškai 24 valandas stebint pacientų, kurie sirgo lizinopriliu </w:t>
      </w:r>
      <w:r w:rsidR="006A6F8C">
        <w:rPr>
          <w:rFonts w:ascii="Times New Roman" w:eastAsia="Times New Roman" w:hAnsi="Times New Roman"/>
          <w:lang w:val="lt-LT"/>
        </w:rPr>
        <w:t>kontroliuojama</w:t>
      </w:r>
      <w:r w:rsidR="006A6F8C" w:rsidRPr="00153D15">
        <w:rPr>
          <w:rFonts w:ascii="Times New Roman" w:eastAsia="Times New Roman" w:hAnsi="Times New Roman"/>
          <w:lang w:val="lt-LT"/>
        </w:rPr>
        <w:t xml:space="preserve"> </w:t>
      </w:r>
      <w:r w:rsidRPr="00153D15">
        <w:rPr>
          <w:rFonts w:ascii="Times New Roman" w:eastAsia="Times New Roman" w:hAnsi="Times New Roman"/>
          <w:lang w:val="lt-LT"/>
        </w:rPr>
        <w:t>I ar II stadijos hipertenzija, kraujospūdį</w:t>
      </w:r>
      <w:r w:rsidR="006A6F8C">
        <w:rPr>
          <w:rFonts w:ascii="Times New Roman" w:eastAsia="Times New Roman" w:hAnsi="Times New Roman"/>
          <w:lang w:val="lt-LT"/>
        </w:rPr>
        <w:t>,</w:t>
      </w:r>
      <w:r w:rsidRPr="00153D15">
        <w:rPr>
          <w:rFonts w:ascii="Times New Roman" w:eastAsia="Times New Roman" w:hAnsi="Times New Roman"/>
          <w:lang w:val="lt-LT"/>
        </w:rPr>
        <w:t xml:space="preserve"> vartojant 200 mg celekoksibo dozę du kartus per parą, palyginti su placebu, nustatytas reikšmingas vidutinio paros sistolinio ar diastolio kraujospūdžio padidėjimas. Nustatyta, kad 48</w:t>
      </w:r>
      <w:r w:rsidR="006A6F8C">
        <w:rPr>
          <w:rFonts w:ascii="Times New Roman" w:eastAsia="Times New Roman" w:hAnsi="Times New Roman"/>
          <w:lang w:val="lt-LT"/>
        </w:rPr>
        <w:t xml:space="preserve"> </w:t>
      </w:r>
      <w:r w:rsidRPr="00153D15">
        <w:rPr>
          <w:rFonts w:ascii="Times New Roman" w:eastAsia="Times New Roman" w:hAnsi="Times New Roman"/>
          <w:lang w:val="lt-LT"/>
        </w:rPr>
        <w:t>% pacientų, kurie vartojo 200 mg celekoksibo dozę du kartus per parą, per paskutinįjį apsilankymą nereagavo į gydymą lizinopriliu (nustatytas arba diastolinis kraujospūdis &gt; 90 mmHg, arba diastolinis kraujospūdis padidėjo &gt; 10</w:t>
      </w:r>
      <w:r w:rsidR="006A6F8C">
        <w:rPr>
          <w:rFonts w:ascii="Times New Roman" w:eastAsia="Times New Roman" w:hAnsi="Times New Roman"/>
          <w:lang w:val="lt-LT"/>
        </w:rPr>
        <w:t xml:space="preserve"> </w:t>
      </w:r>
      <w:r w:rsidRPr="00153D15">
        <w:rPr>
          <w:rFonts w:ascii="Times New Roman" w:eastAsia="Times New Roman" w:hAnsi="Times New Roman"/>
          <w:lang w:val="lt-LT"/>
        </w:rPr>
        <w:t>%, palyginti su buvusiu prieš pradedant gydymą), palyginti su 27</w:t>
      </w:r>
      <w:r w:rsidR="006A6F8C">
        <w:rPr>
          <w:rFonts w:ascii="Times New Roman" w:eastAsia="Times New Roman" w:hAnsi="Times New Roman"/>
          <w:lang w:val="lt-LT"/>
        </w:rPr>
        <w:t xml:space="preserve"> </w:t>
      </w:r>
      <w:r w:rsidRPr="00153D15">
        <w:rPr>
          <w:rFonts w:ascii="Times New Roman" w:eastAsia="Times New Roman" w:hAnsi="Times New Roman"/>
          <w:lang w:val="lt-LT"/>
        </w:rPr>
        <w:t>% pacientų, kurie vartojo placebą. Šis skirtumas buvo statistiškai reikšmingas.</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Vartojant NVNU kartu su ciklosporinu, didėja toksinio poveikio inkstams rizika, kadangi NVNU veikia inkstų prostaglandinus. Vartojant NVNU kartu su takrolimuzu, didėja nefrotoksinis takrolimuzo poveikis. Reikia tirti inkstų funkciją pacientams, kurie vartoja celekoksibą kartu su minėtais vaistiniais preparatais.</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Celekoksibą galima vartoti kartu su maža acetilsalicilo rūgšties doze, bet netinka jį vartoti vietoj acetilsalicilo rūgšties širdies bei kraujagyslių sistemos sutrikimų profilaktikai. Tyrimų duomenimis, kaip ir vartojant kitų NVNU, vieno celekoksibo sukeliamų virškinimo trakto opų ar kitų komplikacijų virškinimo trakte pavojus didėja, vartojant šį vaistinį preparatą kartu su mažomis acetilsalicilo rūgšties dozėmis (žr. 5.1 skyrių).</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i/>
          <w:lang w:val="lt-LT"/>
        </w:rPr>
      </w:pPr>
      <w:r w:rsidRPr="00153D15">
        <w:rPr>
          <w:rFonts w:ascii="Times New Roman" w:eastAsia="Times New Roman" w:hAnsi="Times New Roman"/>
          <w:i/>
          <w:lang w:val="lt-LT"/>
        </w:rPr>
        <w:t>Farmakokinetinė sąveika</w:t>
      </w:r>
    </w:p>
    <w:p w:rsidR="002101F6" w:rsidRPr="00153D15" w:rsidRDefault="002101F6" w:rsidP="002101F6">
      <w:pPr>
        <w:spacing w:after="0" w:line="240" w:lineRule="auto"/>
        <w:rPr>
          <w:rFonts w:ascii="Times New Roman" w:eastAsia="Times New Roman" w:hAnsi="Times New Roman"/>
          <w:u w:val="single"/>
          <w:lang w:val="lt-LT"/>
        </w:rPr>
      </w:pPr>
    </w:p>
    <w:p w:rsidR="002101F6" w:rsidRPr="00153D15" w:rsidRDefault="002101F6" w:rsidP="002101F6">
      <w:pPr>
        <w:spacing w:after="0" w:line="240" w:lineRule="auto"/>
        <w:outlineLvl w:val="0"/>
        <w:rPr>
          <w:rFonts w:ascii="Times New Roman" w:eastAsia="Times New Roman" w:hAnsi="Times New Roman"/>
          <w:i/>
          <w:lang w:val="lt-LT"/>
        </w:rPr>
      </w:pPr>
      <w:r w:rsidRPr="00153D15">
        <w:rPr>
          <w:rFonts w:ascii="Times New Roman" w:eastAsia="Times New Roman" w:hAnsi="Times New Roman"/>
          <w:i/>
          <w:lang w:val="lt-LT"/>
        </w:rPr>
        <w:t>Celekoksibo poveikis kitiems vaistiniams preparatams</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Celekoksibas slopina CYP2D6. Du kartus per parą vartojant 200 mg celekoksibo dozę, CYP2D6 substratų dekstrometorfano ir metoprololio koncentracija kraujo plazmoje padidėjo atitinkamai 2,6 karto ir 1,5 karto, kadangi celekoksibas slopina CYP2D6 substratų metabolizmą, susijusį su šiuo izofermentu. Vartojant celekoksibą, gali smarkiai padidėti kartu vartojamų vaistinių preparatų, kuriuos metabolizuoja minėtas fermentas, koncentracija kraujo plazmoje. Pavyzdžiui, CYP2D6 metabolizuoja antidepresantus (triciklius ir SSRI), neuroleptikus, antiaritminius vaistinius preparatus ir kt. Pradėjus gydyti celekoksibu, kartais kai kurių CYP2D6 metabolizuojamų vaistinių preparatų jau nustatytą dozę tenka sumažinti, o nutraukus gydymą celekoksibu vėl padidinti (žr. 4.4</w:t>
      </w:r>
      <w:r w:rsidRPr="00153D15">
        <w:rPr>
          <w:rFonts w:ascii="Times New Roman" w:eastAsia="Times New Roman" w:hAnsi="Times New Roman"/>
          <w:bCs/>
          <w:lang w:val="lt-LT"/>
        </w:rPr>
        <w:t xml:space="preserve"> skyrių )</w:t>
      </w:r>
      <w:r w:rsidRPr="00153D15">
        <w:rPr>
          <w:rFonts w:ascii="Times New Roman" w:eastAsia="Times New Roman" w:hAnsi="Times New Roman"/>
          <w:lang w:val="lt-LT"/>
        </w:rPr>
        <w:t>.</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lastRenderedPageBreak/>
        <w:t xml:space="preserve">Tyrimais </w:t>
      </w:r>
      <w:r w:rsidRPr="00153D15">
        <w:rPr>
          <w:rFonts w:ascii="Times New Roman" w:eastAsia="Times New Roman" w:hAnsi="Times New Roman"/>
          <w:i/>
          <w:lang w:val="lt-LT"/>
        </w:rPr>
        <w:t>in vitro</w:t>
      </w:r>
      <w:r w:rsidRPr="00153D15">
        <w:rPr>
          <w:rFonts w:ascii="Times New Roman" w:eastAsia="Times New Roman" w:hAnsi="Times New Roman"/>
          <w:lang w:val="lt-LT"/>
        </w:rPr>
        <w:t xml:space="preserve"> nustatyta, kad celekoksibas silpnai slopina CYP2C19 katalizuojamą metabolizmą. Klinikinė šio </w:t>
      </w:r>
      <w:r w:rsidRPr="00153D15">
        <w:rPr>
          <w:rFonts w:ascii="Times New Roman" w:eastAsia="Times New Roman" w:hAnsi="Times New Roman"/>
          <w:i/>
          <w:lang w:val="lt-LT"/>
        </w:rPr>
        <w:t>in vitro</w:t>
      </w:r>
      <w:r w:rsidRPr="00153D15">
        <w:rPr>
          <w:rFonts w:ascii="Times New Roman" w:eastAsia="Times New Roman" w:hAnsi="Times New Roman"/>
          <w:lang w:val="lt-LT"/>
        </w:rPr>
        <w:t xml:space="preserve"> nustatyto reiškinio svarba nežinoma. CYP2C19 metabolizuoja diazepamą, citalopramą ir imipraminą.</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Sąveikos tyrimų duomenimis, celekoksibas nesukėlė kliniškai reikšmingų geriamųjų kontraceptikų farmakokinetikos pokyčių (1 mg noretisterono</w:t>
      </w:r>
      <w:r w:rsidR="00D33C4B">
        <w:rPr>
          <w:rFonts w:ascii="Times New Roman" w:eastAsia="Times New Roman" w:hAnsi="Times New Roman"/>
          <w:lang w:val="lt-LT"/>
        </w:rPr>
        <w:t xml:space="preserve"> ir </w:t>
      </w:r>
      <w:r w:rsidRPr="00153D15">
        <w:rPr>
          <w:rFonts w:ascii="Times New Roman" w:eastAsia="Times New Roman" w:hAnsi="Times New Roman"/>
          <w:lang w:val="lt-LT"/>
        </w:rPr>
        <w:t>35 mikrogramų etinilestradiolio).</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Celekoksibas kliniškai reikšmingai neveikė tolbutamido (CYP2C9 substratas) ar glibenklamido farmakokinetikos.</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Reumatoidiniu artritu sergančių pacientų organizme celekoksibas nekeitė metotreksato, vartojamo doze, kuria gydomas reumatas, farmakokinetikos (klirenso plazmoje ar inkstuose). Visgi šiuos du vaistinius preparatus kartu vartojančius pacientus reikia tinkamai stebėti dėl galimo metotreksato toksinio poveikio.</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D33C4B" w:rsidP="002101F6">
      <w:pPr>
        <w:spacing w:after="0" w:line="240" w:lineRule="auto"/>
        <w:rPr>
          <w:rFonts w:ascii="Times New Roman" w:eastAsia="Times New Roman" w:hAnsi="Times New Roman"/>
          <w:lang w:val="lt-LT"/>
        </w:rPr>
      </w:pPr>
      <w:r>
        <w:rPr>
          <w:rFonts w:ascii="Times New Roman" w:eastAsia="Times New Roman" w:hAnsi="Times New Roman"/>
          <w:lang w:val="lt-LT"/>
        </w:rPr>
        <w:t>S</w:t>
      </w:r>
      <w:r w:rsidR="002101F6" w:rsidRPr="00153D15">
        <w:rPr>
          <w:rFonts w:ascii="Times New Roman" w:eastAsia="Times New Roman" w:hAnsi="Times New Roman"/>
          <w:lang w:val="lt-LT"/>
        </w:rPr>
        <w:t xml:space="preserve">veikų asmenų, vartojančių 200 mg celekoksibo du kartus per parą kartu su 450 mg ličio du kartus per parą, </w:t>
      </w:r>
      <w:r>
        <w:rPr>
          <w:rFonts w:ascii="Times New Roman" w:eastAsia="Times New Roman" w:hAnsi="Times New Roman"/>
          <w:lang w:val="lt-LT"/>
        </w:rPr>
        <w:t xml:space="preserve">organizme </w:t>
      </w:r>
      <w:r w:rsidR="002101F6" w:rsidRPr="00153D15">
        <w:rPr>
          <w:rFonts w:ascii="Times New Roman" w:eastAsia="Times New Roman" w:hAnsi="Times New Roman"/>
          <w:lang w:val="lt-LT"/>
        </w:rPr>
        <w:t>ličio C</w:t>
      </w:r>
      <w:r w:rsidR="002101F6" w:rsidRPr="00153D15">
        <w:rPr>
          <w:rFonts w:ascii="Times New Roman" w:eastAsia="Times New Roman" w:hAnsi="Times New Roman"/>
          <w:vertAlign w:val="subscript"/>
          <w:lang w:val="lt-LT"/>
        </w:rPr>
        <w:t>max</w:t>
      </w:r>
      <w:r w:rsidR="002101F6" w:rsidRPr="00153D15">
        <w:rPr>
          <w:rFonts w:ascii="Times New Roman" w:eastAsia="Times New Roman" w:hAnsi="Times New Roman"/>
          <w:lang w:val="lt-LT"/>
        </w:rPr>
        <w:t xml:space="preserve"> padidėjo vidutiniškai 16</w:t>
      </w:r>
      <w:r>
        <w:rPr>
          <w:rFonts w:ascii="Times New Roman" w:eastAsia="Times New Roman" w:hAnsi="Times New Roman"/>
          <w:lang w:val="lt-LT"/>
        </w:rPr>
        <w:t xml:space="preserve"> </w:t>
      </w:r>
      <w:r w:rsidR="002101F6" w:rsidRPr="00153D15">
        <w:rPr>
          <w:rFonts w:ascii="Times New Roman" w:eastAsia="Times New Roman" w:hAnsi="Times New Roman"/>
          <w:lang w:val="lt-LT"/>
        </w:rPr>
        <w:t xml:space="preserve">%, o AUC </w:t>
      </w:r>
      <w:r>
        <w:rPr>
          <w:rFonts w:ascii="Times New Roman" w:eastAsia="Times New Roman" w:hAnsi="Times New Roman"/>
          <w:lang w:val="lt-LT"/>
        </w:rPr>
        <w:t xml:space="preserve">- </w:t>
      </w:r>
      <w:r w:rsidR="002101F6" w:rsidRPr="00153D15">
        <w:rPr>
          <w:rFonts w:ascii="Times New Roman" w:eastAsia="Times New Roman" w:hAnsi="Times New Roman"/>
          <w:lang w:val="lt-LT"/>
        </w:rPr>
        <w:t>18</w:t>
      </w:r>
      <w:r>
        <w:rPr>
          <w:rFonts w:ascii="Times New Roman" w:eastAsia="Times New Roman" w:hAnsi="Times New Roman"/>
          <w:lang w:val="lt-LT"/>
        </w:rPr>
        <w:t xml:space="preserve"> </w:t>
      </w:r>
      <w:r w:rsidR="002101F6" w:rsidRPr="00153D15">
        <w:rPr>
          <w:rFonts w:ascii="Times New Roman" w:eastAsia="Times New Roman" w:hAnsi="Times New Roman"/>
          <w:lang w:val="lt-LT"/>
        </w:rPr>
        <w:t xml:space="preserve">%. Jei greta ličio </w:t>
      </w:r>
      <w:r>
        <w:rPr>
          <w:rFonts w:ascii="Times New Roman" w:eastAsia="Times New Roman" w:hAnsi="Times New Roman"/>
          <w:lang w:val="lt-LT"/>
        </w:rPr>
        <w:t xml:space="preserve">vaistinių </w:t>
      </w:r>
      <w:r w:rsidR="002101F6" w:rsidRPr="00153D15">
        <w:rPr>
          <w:rFonts w:ascii="Times New Roman" w:eastAsia="Times New Roman" w:hAnsi="Times New Roman"/>
          <w:lang w:val="lt-LT"/>
        </w:rPr>
        <w:t>preparatų pradedama gydyti celekoksibu arba jo vartojimas nutraukiamas, pacientą reikia nuodugniai ištirti.</w:t>
      </w:r>
    </w:p>
    <w:p w:rsidR="002101F6" w:rsidRPr="00153D15" w:rsidRDefault="002101F6" w:rsidP="002101F6">
      <w:pPr>
        <w:spacing w:after="0" w:line="240" w:lineRule="auto"/>
        <w:rPr>
          <w:rFonts w:ascii="Times New Roman" w:eastAsia="Times New Roman" w:hAnsi="Times New Roman"/>
          <w:i/>
          <w:lang w:val="lt-LT"/>
        </w:rPr>
      </w:pPr>
    </w:p>
    <w:p w:rsidR="002101F6" w:rsidRPr="00153D15" w:rsidRDefault="002101F6" w:rsidP="002101F6">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Kitų vaistinių preparatų poveikis celekoksibui</w:t>
      </w:r>
    </w:p>
    <w:p w:rsidR="002101F6" w:rsidRPr="00153D15" w:rsidRDefault="002101F6" w:rsidP="002101F6">
      <w:pPr>
        <w:spacing w:after="0" w:line="240" w:lineRule="auto"/>
        <w:rPr>
          <w:rFonts w:ascii="Times New Roman" w:eastAsia="Times New Roman" w:hAnsi="Times New Roman"/>
          <w:bCs/>
          <w:color w:val="000000"/>
          <w:lang w:val="lt-LT"/>
        </w:rPr>
      </w:pPr>
      <w:r w:rsidRPr="00153D15">
        <w:rPr>
          <w:rFonts w:ascii="Times New Roman" w:eastAsia="Times New Roman" w:hAnsi="Times New Roman"/>
          <w:bCs/>
          <w:lang w:val="lt-LT"/>
        </w:rPr>
        <w:t>Pacientų, kurių organizme CYP2C9 veikiamas metabolizmas yra silpnas, sisteminė celekoksibo ekspozicija būna didesnė, taigi vartojant kartu su CYP2C9 inhibitoriais, celekoksibo ekspozicija gali dar padidėti.</w:t>
      </w:r>
      <w:r w:rsidRPr="00153D15">
        <w:rPr>
          <w:rFonts w:ascii="Times New Roman" w:eastAsia="Times New Roman" w:hAnsi="Times New Roman"/>
          <w:b/>
          <w:bCs/>
          <w:lang w:val="lt-LT"/>
        </w:rPr>
        <w:t xml:space="preserve"> </w:t>
      </w:r>
      <w:r w:rsidRPr="00153D15">
        <w:rPr>
          <w:rFonts w:ascii="Times New Roman" w:eastAsia="Times New Roman" w:hAnsi="Times New Roman"/>
          <w:bCs/>
          <w:lang w:val="lt-LT"/>
        </w:rPr>
        <w:t>Jeigu žinoma, kad paciento organizme CYP2C9 veikiamas metabolizmas yra silpnas</w:t>
      </w:r>
      <w:r w:rsidRPr="00153D15">
        <w:rPr>
          <w:rFonts w:ascii="Times New Roman" w:eastAsia="Times New Roman" w:hAnsi="Times New Roman"/>
          <w:color w:val="000000"/>
          <w:lang w:val="lt-LT"/>
        </w:rPr>
        <w:t xml:space="preserve">, tokių vaistinių preparatus vartoti kartu negalima (žr. 4.2 ir </w:t>
      </w:r>
      <w:r w:rsidRPr="00153D15">
        <w:rPr>
          <w:rFonts w:ascii="Times New Roman" w:eastAsia="Times New Roman" w:hAnsi="Times New Roman"/>
          <w:bCs/>
          <w:color w:val="000000"/>
          <w:lang w:val="lt-LT"/>
        </w:rPr>
        <w:t>5.2 skyrių).</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Kartu su CYP2C9 inhibitoriais vartojamo celekoksibo koncentracija plazmoje gali padidėti. Kartu su CYP2C9 inhibitoriais vartojamo celekoksibo dozę gali reikėti mažinti. Kadangi celekoksibas daugiausiai metabolizuojamas CYP2C9, reikia vartoti tik pusę rekomenduojamos jo dozės pacientams, kurie gydomi flukonazolu. Vartojant vienkartinę 200 mg celekoksibo dozę kartu su stipriu CYP2C9 inhibitoriumi flukonazolu (200 mg vieną kartą per parą), celekoksibo C</w:t>
      </w:r>
      <w:r w:rsidRPr="00153D15">
        <w:rPr>
          <w:rFonts w:ascii="Times New Roman" w:eastAsia="Times New Roman" w:hAnsi="Times New Roman"/>
          <w:vertAlign w:val="subscript"/>
          <w:lang w:val="lt-LT"/>
        </w:rPr>
        <w:t>max</w:t>
      </w:r>
      <w:r w:rsidRPr="00153D15">
        <w:rPr>
          <w:rFonts w:ascii="Times New Roman" w:eastAsia="Times New Roman" w:hAnsi="Times New Roman"/>
          <w:lang w:val="lt-LT"/>
        </w:rPr>
        <w:t xml:space="preserve"> padidėjo 60</w:t>
      </w:r>
      <w:r w:rsidR="00D33C4B">
        <w:rPr>
          <w:rFonts w:ascii="Times New Roman" w:eastAsia="Times New Roman" w:hAnsi="Times New Roman"/>
          <w:lang w:val="lt-LT"/>
        </w:rPr>
        <w:t xml:space="preserve"> </w:t>
      </w:r>
      <w:r w:rsidRPr="00153D15">
        <w:rPr>
          <w:rFonts w:ascii="Times New Roman" w:eastAsia="Times New Roman" w:hAnsi="Times New Roman"/>
          <w:lang w:val="lt-LT"/>
        </w:rPr>
        <w:t xml:space="preserve">%, o AUC </w:t>
      </w:r>
      <w:r w:rsidR="00D33C4B">
        <w:rPr>
          <w:rFonts w:ascii="Times New Roman" w:eastAsia="Times New Roman" w:hAnsi="Times New Roman"/>
          <w:lang w:val="lt-LT"/>
        </w:rPr>
        <w:t xml:space="preserve">- </w:t>
      </w:r>
      <w:r w:rsidRPr="00153D15">
        <w:rPr>
          <w:rFonts w:ascii="Times New Roman" w:eastAsia="Times New Roman" w:hAnsi="Times New Roman"/>
          <w:lang w:val="lt-LT"/>
        </w:rPr>
        <w:t>130</w:t>
      </w:r>
      <w:r w:rsidR="00D33C4B">
        <w:rPr>
          <w:rFonts w:ascii="Times New Roman" w:eastAsia="Times New Roman" w:hAnsi="Times New Roman"/>
          <w:lang w:val="lt-LT"/>
        </w:rPr>
        <w:t xml:space="preserve"> </w:t>
      </w:r>
      <w:r w:rsidRPr="00153D15">
        <w:rPr>
          <w:rFonts w:ascii="Times New Roman" w:eastAsia="Times New Roman" w:hAnsi="Times New Roman"/>
          <w:lang w:val="lt-LT"/>
        </w:rPr>
        <w:t>%. Kartu vartojant CYP2C9 sužadinančių vaistinių preparatų, pavyzdžiui, rifampicino, karbamazepino ir barbitūratų, gali sumažėti celekoksibo koncentracija plazmoje.</w:t>
      </w:r>
      <w:r w:rsidRPr="00153D15">
        <w:rPr>
          <w:rFonts w:ascii="Times New Roman" w:hAnsi="Times New Roman"/>
          <w:lang w:val="lt-LT"/>
        </w:rPr>
        <w:t xml:space="preserve"> </w:t>
      </w:r>
      <w:r w:rsidRPr="00153D15">
        <w:rPr>
          <w:rFonts w:ascii="Times New Roman" w:eastAsia="Times New Roman" w:hAnsi="Times New Roman"/>
          <w:lang w:val="lt-LT"/>
        </w:rPr>
        <w:t>Kartu su CYP2C9 induktoriais vartojamo celekoksibo dozę gali reikėti didinti.</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lang w:val="lt-LT"/>
        </w:rPr>
      </w:pPr>
      <w:r w:rsidRPr="00153D15">
        <w:rPr>
          <w:rFonts w:ascii="Times New Roman" w:eastAsia="Times New Roman" w:hAnsi="Times New Roman"/>
          <w:lang w:val="lt-LT"/>
        </w:rPr>
        <w:t>Nustatyta, kad ketokonazolas ar antacidiniai vaistiniai preparatai neveikia celekoksibo farmakokinetikos.</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05B57">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b/>
          <w:lang w:val="lt-LT"/>
        </w:rPr>
        <w:t>4.6</w:t>
      </w:r>
      <w:r w:rsidRPr="00153D15">
        <w:rPr>
          <w:rFonts w:ascii="Times New Roman" w:eastAsia="Times New Roman" w:hAnsi="Times New Roman"/>
          <w:b/>
          <w:lang w:val="lt-LT"/>
        </w:rPr>
        <w:tab/>
      </w:r>
      <w:r w:rsidRPr="00153D15">
        <w:rPr>
          <w:rFonts w:ascii="Times New Roman" w:eastAsia="Times New Roman" w:hAnsi="Times New Roman"/>
          <w:b/>
          <w:bCs/>
          <w:lang w:val="lt-LT"/>
        </w:rPr>
        <w:t>Vaisingumas, nėštumo ir žindymo laikotarpis</w:t>
      </w:r>
      <w:r w:rsidRPr="00153D15">
        <w:rPr>
          <w:rFonts w:ascii="Times New Roman" w:eastAsia="Times New Roman" w:hAnsi="Times New Roman"/>
          <w:lang w:val="lt-LT"/>
        </w:rPr>
        <w:t xml:space="preserve"> </w:t>
      </w:r>
    </w:p>
    <w:p w:rsidR="002101F6" w:rsidRPr="00153D15" w:rsidRDefault="002101F6" w:rsidP="002101F6">
      <w:pPr>
        <w:spacing w:after="0" w:line="240" w:lineRule="auto"/>
        <w:rPr>
          <w:rFonts w:ascii="Times New Roman" w:eastAsia="Times New Roman" w:hAnsi="Times New Roman"/>
          <w:lang w:val="lt-LT"/>
        </w:rPr>
      </w:pPr>
    </w:p>
    <w:p w:rsidR="002101F6" w:rsidRPr="00BA75C2" w:rsidRDefault="002101F6" w:rsidP="002101F6">
      <w:pPr>
        <w:spacing w:after="0" w:line="240" w:lineRule="auto"/>
        <w:rPr>
          <w:rFonts w:ascii="Times New Roman" w:eastAsia="Times New Roman" w:hAnsi="Times New Roman"/>
          <w:u w:val="single"/>
          <w:lang w:val="lt-LT"/>
        </w:rPr>
      </w:pPr>
      <w:r w:rsidRPr="00BA75C2">
        <w:rPr>
          <w:rFonts w:ascii="Times New Roman" w:eastAsia="Times New Roman" w:hAnsi="Times New Roman"/>
          <w:u w:val="single"/>
          <w:lang w:val="lt-LT"/>
        </w:rPr>
        <w:t>Nėštumas</w:t>
      </w:r>
    </w:p>
    <w:p w:rsidR="00E40727"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Klinikinių tyrimų duomenų apie celekoksibo vartojimą nėštumo metu nėra. Su gyvūnais (žiurkėmis ir triušiais) atlikti tyrimai rodo, kad vaistinis preparatas daro toksinį poveikį reprodukcijai, įskaitant apsigimimus (žr. 4.3 ir 5.3 skyrius). Koks pavojus gresia žmogui, nežinoma, bet negalima jo paneigti. Celekoksibas, kaip ir kiti prostaglandinų sintezę slopinantys vaistiniai preparatai, gali sukelti gimdos inerciją ir priešlaikinį arterinio latako užakimą trečią nėštumo trimestrą. </w:t>
      </w:r>
    </w:p>
    <w:p w:rsidR="00E40727" w:rsidRDefault="00E40727" w:rsidP="002101F6">
      <w:pPr>
        <w:spacing w:after="0" w:line="240" w:lineRule="auto"/>
        <w:rPr>
          <w:rFonts w:ascii="Times New Roman" w:eastAsia="Times New Roman" w:hAnsi="Times New Roman"/>
          <w:lang w:val="lt-LT"/>
        </w:rPr>
      </w:pPr>
      <w:r w:rsidRPr="00E40727">
        <w:rPr>
          <w:rFonts w:ascii="Times New Roman" w:eastAsia="Times New Roman" w:hAnsi="Times New Roman"/>
          <w:lang w:val="lt-LT"/>
        </w:rPr>
        <w:t xml:space="preserve">Antruoju ar trečiuoju nėštumo trimestru vartojami NVNU gali sukelti vaisiaus inkstų funkcijos sutrikimą, kuris sunkiais atvejais gali sukelti amniono skysčio tūrio sumažėjimą ir oligohidramnioną. Toks poveikis gali pasireikšti greitai po gydymo pradžios ir </w:t>
      </w:r>
      <w:r w:rsidRPr="00E40727">
        <w:rPr>
          <w:rFonts w:ascii="Times New Roman" w:eastAsia="Times New Roman" w:hAnsi="Times New Roman"/>
          <w:lang w:val="lt-LT"/>
        </w:rPr>
        <w:lastRenderedPageBreak/>
        <w:t>paprastai būna grįžtamas. Būtina atidžiai stebėti celekoksibo vartojančių nėščių moterų amniono skysčio tūrį.</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Celekoksibo draudžiama vartoti nėščiosioms ir galinčioms pastoti moterims (žr. 4.3 ). Jeigu moteris pastojo gydymo metu, celekoksibo vartojimą reikia nutraukti.</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Calibri" w:hAnsi="Times New Roman"/>
          <w:lang w:val="lt-LT"/>
        </w:rPr>
      </w:pPr>
      <w:r w:rsidRPr="00153D15">
        <w:rPr>
          <w:rFonts w:ascii="Times New Roman" w:eastAsia="Times New Roman" w:hAnsi="Times New Roman"/>
          <w:lang w:val="lt-LT"/>
        </w:rPr>
        <w:t>Prostaglandinų sintezės slopinimas gali neigiamai paveikti nėštumą. Remiantis epidemiologinių tyrimų duomenimis, ankstyvuoju nėštumo laikotarpiu vartojus prostaglandinų sintezės inhibitorių padidėja savaiminio persileidimo pavojus. Tiriant gyvūnus nustatyta, kad skyrus prostaglandinų sintezės inhibitorių padaugėja netekčių prieš implantaciją ar po jos atvejų</w:t>
      </w:r>
      <w:r w:rsidRPr="00153D15">
        <w:rPr>
          <w:rFonts w:ascii="Times New Roman" w:eastAsia="Calibri" w:hAnsi="Times New Roman"/>
          <w:lang w:val="lt-LT"/>
        </w:rPr>
        <w:t>.</w:t>
      </w:r>
    </w:p>
    <w:p w:rsidR="002101F6" w:rsidRDefault="002101F6" w:rsidP="002101F6">
      <w:pPr>
        <w:spacing w:after="0" w:line="240" w:lineRule="auto"/>
        <w:rPr>
          <w:rFonts w:ascii="Times New Roman" w:eastAsia="Times New Roman" w:hAnsi="Times New Roman"/>
          <w:lang w:val="lt-LT"/>
        </w:rPr>
      </w:pPr>
    </w:p>
    <w:p w:rsidR="00D91243" w:rsidRPr="00153D15" w:rsidRDefault="00D91243" w:rsidP="002101F6">
      <w:pPr>
        <w:spacing w:after="0" w:line="240" w:lineRule="auto"/>
        <w:rPr>
          <w:rFonts w:ascii="Times New Roman" w:eastAsia="Times New Roman" w:hAnsi="Times New Roman"/>
          <w:lang w:val="lt-LT"/>
        </w:rPr>
      </w:pPr>
    </w:p>
    <w:p w:rsidR="002101F6" w:rsidRPr="00BA75C2" w:rsidRDefault="002101F6" w:rsidP="002101F6">
      <w:pPr>
        <w:spacing w:after="0" w:line="240" w:lineRule="auto"/>
        <w:rPr>
          <w:rFonts w:ascii="Times New Roman" w:eastAsia="Times New Roman" w:hAnsi="Times New Roman"/>
          <w:u w:val="single"/>
          <w:lang w:val="lt-LT"/>
        </w:rPr>
      </w:pPr>
      <w:r w:rsidRPr="00BA75C2">
        <w:rPr>
          <w:rFonts w:ascii="Times New Roman" w:eastAsia="Times New Roman" w:hAnsi="Times New Roman"/>
          <w:u w:val="single"/>
          <w:lang w:val="lt-LT"/>
        </w:rPr>
        <w:t xml:space="preserve">Žindymas </w:t>
      </w:r>
    </w:p>
    <w:p w:rsidR="002101F6"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Tiriant žiurkes, nustatyta, kad celekoksibo koncentracija piene beveik prilygsta jo koncentracijai kraujo plazmoje. Nedidelio skaičiaus motinų, žindymo laikotarpiu vartojusių celekoksibą, stebėjimo duomenys rodo, kad labai mažas celekoksibo kiekis prasiskverbia į motinos pieną. Moterims, kurios vartoja celekoksibą, žindyti negalima</w:t>
      </w:r>
      <w:r w:rsidR="00425448">
        <w:rPr>
          <w:rFonts w:ascii="Times New Roman" w:eastAsia="Times New Roman" w:hAnsi="Times New Roman"/>
          <w:lang w:val="lt-LT"/>
        </w:rPr>
        <w:t xml:space="preserve"> (žr. 4.3 sk.)</w:t>
      </w:r>
      <w:r w:rsidRPr="00153D15">
        <w:rPr>
          <w:rFonts w:ascii="Times New Roman" w:eastAsia="Times New Roman" w:hAnsi="Times New Roman"/>
          <w:lang w:val="lt-LT"/>
        </w:rPr>
        <w:t>.</w:t>
      </w:r>
    </w:p>
    <w:p w:rsidR="00C03E9C" w:rsidRDefault="00C03E9C" w:rsidP="002101F6">
      <w:pPr>
        <w:spacing w:after="0" w:line="240" w:lineRule="auto"/>
        <w:rPr>
          <w:rFonts w:ascii="Times New Roman" w:eastAsia="Times New Roman" w:hAnsi="Times New Roman"/>
          <w:lang w:val="lt-LT"/>
        </w:rPr>
      </w:pPr>
    </w:p>
    <w:p w:rsidR="00C03E9C" w:rsidRPr="00BA75C2" w:rsidRDefault="00C03E9C" w:rsidP="00C03E9C">
      <w:pPr>
        <w:spacing w:after="0" w:line="240" w:lineRule="auto"/>
        <w:rPr>
          <w:rFonts w:ascii="Times New Roman" w:eastAsia="Times New Roman" w:hAnsi="Times New Roman"/>
          <w:u w:val="single"/>
          <w:lang w:val="lt-LT"/>
        </w:rPr>
      </w:pPr>
      <w:r w:rsidRPr="00BA75C2">
        <w:rPr>
          <w:rFonts w:ascii="Times New Roman" w:eastAsia="Times New Roman" w:hAnsi="Times New Roman"/>
          <w:u w:val="single"/>
          <w:lang w:val="lt-LT"/>
        </w:rPr>
        <w:t>Vaisingumas</w:t>
      </w:r>
    </w:p>
    <w:p w:rsidR="00C03E9C" w:rsidRPr="00153D15" w:rsidRDefault="00C03E9C" w:rsidP="00C03E9C">
      <w:pPr>
        <w:spacing w:after="0" w:line="240" w:lineRule="auto"/>
        <w:rPr>
          <w:rFonts w:ascii="Times New Roman" w:eastAsia="Times New Roman" w:hAnsi="Times New Roman"/>
          <w:lang w:val="lt-LT"/>
        </w:rPr>
      </w:pPr>
      <w:r w:rsidRPr="00153D15">
        <w:rPr>
          <w:rFonts w:ascii="Times New Roman" w:eastAsia="Times New Roman" w:hAnsi="Times New Roman"/>
          <w:lang w:val="lt-LT"/>
        </w:rPr>
        <w:t>Priklausomai nuo veikimo būdo, vartojant NVNU, įskaitant celekoksibą, kiaušidžių folikulai gali plyšti vėliau arba neplyšti, tai siejama su kai kurių moterų nevaisingumu (laikinu). Jeigu moteriai nepavyksta pastoti arba vykdomi nevaisingumo tyrimai, derėtų apsvarstyti NVNU, įskaitant celekoksibą, vartojimo nutraukimą</w:t>
      </w:r>
      <w:r w:rsidR="00425448">
        <w:rPr>
          <w:rFonts w:ascii="Times New Roman" w:eastAsia="Times New Roman" w:hAnsi="Times New Roman"/>
          <w:lang w:val="lt-LT"/>
        </w:rPr>
        <w:t>.</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lang w:val="lt-LT"/>
        </w:rPr>
        <w:t>4.7</w:t>
      </w:r>
      <w:r w:rsidRPr="00153D15">
        <w:rPr>
          <w:rFonts w:ascii="Times New Roman" w:eastAsia="Times New Roman" w:hAnsi="Times New Roman"/>
          <w:b/>
          <w:lang w:val="lt-LT"/>
        </w:rPr>
        <w:tab/>
        <w:t>Poveikis gebėjimui vairuoti ir valdyti mechanizmus</w:t>
      </w:r>
    </w:p>
    <w:p w:rsidR="002101F6" w:rsidRDefault="002101F6" w:rsidP="002101F6">
      <w:pPr>
        <w:spacing w:after="0" w:line="240" w:lineRule="auto"/>
        <w:ind w:left="567" w:hanging="567"/>
        <w:rPr>
          <w:rFonts w:ascii="Times New Roman" w:eastAsia="Times New Roman" w:hAnsi="Times New Roman"/>
          <w:lang w:val="lt-LT"/>
        </w:rPr>
      </w:pPr>
    </w:p>
    <w:p w:rsidR="00526531" w:rsidRPr="00E40727" w:rsidRDefault="00526531" w:rsidP="002101F6">
      <w:pPr>
        <w:spacing w:after="0" w:line="240" w:lineRule="auto"/>
        <w:ind w:left="567" w:hanging="567"/>
        <w:rPr>
          <w:rFonts w:ascii="Times New Roman" w:eastAsia="Times New Roman" w:hAnsi="Times New Roman"/>
          <w:lang w:val="lt-LT"/>
        </w:rPr>
      </w:pPr>
      <w:r w:rsidRPr="00E40727">
        <w:rPr>
          <w:rFonts w:ascii="Times New Roman" w:hAnsi="Times New Roman"/>
        </w:rPr>
        <w:t xml:space="preserve">Celebrex </w:t>
      </w:r>
      <w:r w:rsidRPr="00E40727">
        <w:rPr>
          <w:rFonts w:ascii="Times New Roman" w:hAnsi="Times New Roman"/>
          <w:noProof/>
          <w:szCs w:val="24"/>
          <w:lang w:val="lt-LT"/>
        </w:rPr>
        <w:t>gebėjimą vairuoti ir valdyti mechanizmus veikia silpnai.</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Pacientams, kuriems pavartojus celekoksibo, svaigsta galva bei apima mieguistumas, vairuoti ir valdyti mechanizmų negalima.</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lang w:val="lt-LT"/>
        </w:rPr>
        <w:t>4.8</w:t>
      </w:r>
      <w:r w:rsidRPr="00153D15">
        <w:rPr>
          <w:rFonts w:ascii="Times New Roman" w:eastAsia="Times New Roman" w:hAnsi="Times New Roman"/>
          <w:b/>
          <w:lang w:val="lt-LT"/>
        </w:rPr>
        <w:tab/>
        <w:t>Nepageidaujamas poveikis</w:t>
      </w:r>
    </w:p>
    <w:p w:rsidR="002101F6" w:rsidRPr="00153D15" w:rsidRDefault="002101F6" w:rsidP="002101F6">
      <w:pPr>
        <w:spacing w:after="0" w:line="240" w:lineRule="auto"/>
        <w:jc w:val="both"/>
        <w:rPr>
          <w:rFonts w:ascii="Times New Roman" w:eastAsia="Times New Roman" w:hAnsi="Times New Roman"/>
          <w:lang w:val="lt-LT"/>
        </w:rPr>
      </w:pPr>
    </w:p>
    <w:p w:rsidR="002101F6" w:rsidRPr="00BA75C2" w:rsidRDefault="002101F6" w:rsidP="002101F6">
      <w:pPr>
        <w:spacing w:after="0" w:line="240" w:lineRule="auto"/>
        <w:rPr>
          <w:rFonts w:ascii="Times New Roman" w:eastAsia="Times New Roman" w:hAnsi="Times New Roman"/>
          <w:u w:val="single"/>
          <w:lang w:val="lt-LT"/>
        </w:rPr>
      </w:pPr>
      <w:r w:rsidRPr="00BA75C2">
        <w:rPr>
          <w:rFonts w:ascii="Times New Roman" w:eastAsia="Times New Roman" w:hAnsi="Times New Roman"/>
          <w:u w:val="single"/>
          <w:lang w:val="lt-LT"/>
        </w:rPr>
        <w:t>Klinikiniai tyrimai</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Iki 12 savaičių gydymo trukmės 12 placebu ir (arba) aktyviai kontroliuojamųjų klinikinių tyrimų metu nuo 50 mg iki 800 mg paros dozes vartojantiems suaugusiesiems pacientams </w:t>
      </w:r>
      <w:r w:rsidR="009F246F" w:rsidRPr="00153D15">
        <w:rPr>
          <w:rFonts w:ascii="Times New Roman" w:eastAsia="Times New Roman" w:hAnsi="Times New Roman"/>
          <w:lang w:val="lt-LT"/>
        </w:rPr>
        <w:t xml:space="preserve">1 </w:t>
      </w:r>
      <w:r w:rsidRPr="00153D15">
        <w:rPr>
          <w:rFonts w:ascii="Times New Roman" w:eastAsia="Times New Roman" w:hAnsi="Times New Roman"/>
          <w:lang w:val="lt-LT"/>
        </w:rPr>
        <w:t xml:space="preserve">lentelėje nurodytas nepageidaujamas poveikis vartojant celekoksibo pasireiškė dažniau kaip 0,01 % ir dažniau nei vartojant placebą. </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Calibri" w:hAnsi="Times New Roman"/>
          <w:lang w:val="lt-LT"/>
        </w:rPr>
      </w:pPr>
      <w:r w:rsidRPr="00153D15">
        <w:rPr>
          <w:rFonts w:ascii="Times New Roman" w:eastAsia="Times New Roman" w:hAnsi="Times New Roman"/>
          <w:lang w:val="lt-LT"/>
        </w:rPr>
        <w:t xml:space="preserve">1 lentelėje nurodytas nepageidaujamų reakcijų dažnis apskaičiuotas remiantis naujesniais apibendrintais 89 kontroliuojamų klinikinių celekoksibo tyrimų, kuriuose iš viso dalyvavo 38 102 pacientai, duomenimis. </w:t>
      </w:r>
      <w:r w:rsidRPr="00153D15">
        <w:rPr>
          <w:rFonts w:ascii="Times New Roman" w:eastAsia="Calibri" w:hAnsi="Times New Roman"/>
          <w:lang w:val="lt-LT"/>
        </w:rPr>
        <w:t>Nepageidaujamo poveikio dažnis apibūdinamas taip: labai dažnas (≥ 1/10), dažnas (nuo ≥ 1/100 iki &lt; 1/10), nedažnas (nuo ≥ 1/1000 iki &lt; 1/100), retas (nuo ≥ 1/10000 iki &lt; 1/1000), labai retas (&lt; 1/10000)</w:t>
      </w:r>
      <w:r w:rsidR="0092579E">
        <w:rPr>
          <w:rFonts w:ascii="Times New Roman" w:eastAsia="Calibri" w:hAnsi="Times New Roman"/>
          <w:lang w:val="lt-LT"/>
        </w:rPr>
        <w:t xml:space="preserve"> ir nežinomas (negali būti apskaičiuotas pagal turimus duomenis)</w:t>
      </w:r>
      <w:r w:rsidRPr="00153D15">
        <w:rPr>
          <w:rFonts w:ascii="Times New Roman" w:eastAsia="Calibri" w:hAnsi="Times New Roman"/>
          <w:lang w:val="lt-LT"/>
        </w:rPr>
        <w:t>.</w:t>
      </w:r>
      <w:r w:rsidRPr="00153D15">
        <w:rPr>
          <w:rFonts w:ascii="Times New Roman" w:hAnsi="Times New Roman"/>
          <w:lang w:val="lt-LT"/>
        </w:rPr>
        <w:t xml:space="preserve"> </w:t>
      </w:r>
      <w:r w:rsidRPr="00153D15">
        <w:rPr>
          <w:rFonts w:ascii="Times New Roman" w:eastAsia="Calibri" w:hAnsi="Times New Roman"/>
          <w:lang w:val="lt-LT"/>
        </w:rPr>
        <w:t>1 lentelėje nurodytos nepageidaujamos reakcijos suskirstytos pagal organų sistemų klases ir pateikiamos mažėjančio dažnio tvarka.</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fldChar w:fldCharType="begin"/>
      </w:r>
      <w:r w:rsidRPr="00153D15">
        <w:rPr>
          <w:rFonts w:ascii="Times New Roman" w:eastAsia="Times New Roman" w:hAnsi="Times New Roman"/>
          <w:lang w:val="lt-LT"/>
        </w:rPr>
        <w:fldChar w:fldCharType="end"/>
      </w:r>
    </w:p>
    <w:tbl>
      <w:tblP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3"/>
        <w:gridCol w:w="4724"/>
      </w:tblGrid>
      <w:tr w:rsidR="002101F6" w:rsidRPr="00B074B6" w:rsidTr="00362603">
        <w:tc>
          <w:tcPr>
            <w:tcW w:w="4723" w:type="dxa"/>
            <w:shd w:val="clear" w:color="auto" w:fill="auto"/>
          </w:tcPr>
          <w:bookmarkStart w:id="0" w:name="_Ref191784862"/>
          <w:p w:rsidR="002101F6" w:rsidRPr="00153D15" w:rsidRDefault="002101F6" w:rsidP="00362603">
            <w:pPr>
              <w:keepNext/>
              <w:spacing w:after="0" w:line="240" w:lineRule="auto"/>
              <w:rPr>
                <w:rFonts w:ascii="Times New Roman" w:eastAsia="Times New Roman" w:hAnsi="Times New Roman"/>
                <w:bCs/>
                <w:lang w:val="lt-LT"/>
              </w:rPr>
            </w:pPr>
            <w:r w:rsidRPr="00153D15">
              <w:rPr>
                <w:rFonts w:ascii="Times New Roman" w:eastAsia="Times New Roman" w:hAnsi="Times New Roman"/>
                <w:bCs/>
                <w:lang w:val="lt-LT"/>
              </w:rPr>
              <w:fldChar w:fldCharType="begin"/>
            </w:r>
            <w:r w:rsidRPr="00153D15">
              <w:rPr>
                <w:rFonts w:ascii="Times New Roman" w:eastAsia="Times New Roman" w:hAnsi="Times New Roman"/>
                <w:bCs/>
                <w:lang w:val="lt-LT"/>
              </w:rPr>
              <w:instrText xml:space="preserve"> SEQ Table \* ARABIC </w:instrText>
            </w:r>
            <w:r w:rsidRPr="00153D15">
              <w:rPr>
                <w:rFonts w:ascii="Times New Roman" w:eastAsia="Times New Roman" w:hAnsi="Times New Roman"/>
                <w:bCs/>
                <w:lang w:val="lt-LT"/>
              </w:rPr>
              <w:fldChar w:fldCharType="separate"/>
            </w:r>
            <w:r w:rsidRPr="00153D15">
              <w:rPr>
                <w:rFonts w:ascii="Times New Roman" w:eastAsia="Times New Roman" w:hAnsi="Times New Roman"/>
                <w:bCs/>
                <w:noProof/>
                <w:lang w:val="lt-LT"/>
              </w:rPr>
              <w:t>1</w:t>
            </w:r>
            <w:r w:rsidRPr="00153D15">
              <w:rPr>
                <w:rFonts w:ascii="Times New Roman" w:eastAsia="Times New Roman" w:hAnsi="Times New Roman"/>
                <w:bCs/>
                <w:lang w:val="lt-LT"/>
              </w:rPr>
              <w:fldChar w:fldCharType="end"/>
            </w:r>
            <w:r w:rsidRPr="00153D15">
              <w:rPr>
                <w:rFonts w:ascii="Times New Roman" w:eastAsia="Times New Roman" w:hAnsi="Times New Roman"/>
                <w:bCs/>
                <w:lang w:val="lt-LT"/>
              </w:rPr>
              <w:t xml:space="preserve"> lentelė</w:t>
            </w:r>
            <w:bookmarkEnd w:id="0"/>
          </w:p>
        </w:tc>
        <w:tc>
          <w:tcPr>
            <w:tcW w:w="4724" w:type="dxa"/>
            <w:shd w:val="clear" w:color="auto" w:fill="auto"/>
          </w:tcPr>
          <w:p w:rsidR="002101F6" w:rsidRPr="00153D15" w:rsidRDefault="002101F6" w:rsidP="00362603">
            <w:pPr>
              <w:keepNext/>
              <w:spacing w:after="0" w:line="240" w:lineRule="auto"/>
              <w:rPr>
                <w:rFonts w:ascii="Times New Roman" w:eastAsia="Times New Roman" w:hAnsi="Times New Roman"/>
                <w:bCs/>
                <w:lang w:val="lt-LT"/>
              </w:rPr>
            </w:pPr>
            <w:r w:rsidRPr="00153D15">
              <w:rPr>
                <w:rFonts w:ascii="Times New Roman" w:eastAsia="Times New Roman" w:hAnsi="Times New Roman"/>
                <w:bCs/>
                <w:lang w:val="lt-LT"/>
              </w:rPr>
              <w:t>Nepageidaujamos reakcijos, apie kurias duomenų gauta 12 placebu ir (arba) aktyviu lyginamuoju</w:t>
            </w:r>
            <w:r w:rsidR="0092579E">
              <w:rPr>
                <w:rFonts w:ascii="Times New Roman" w:eastAsia="Times New Roman" w:hAnsi="Times New Roman"/>
                <w:bCs/>
                <w:lang w:val="lt-LT"/>
              </w:rPr>
              <w:t xml:space="preserve"> vaistiniu</w:t>
            </w:r>
            <w:r w:rsidRPr="00153D15">
              <w:rPr>
                <w:rFonts w:ascii="Times New Roman" w:eastAsia="Times New Roman" w:hAnsi="Times New Roman"/>
                <w:bCs/>
                <w:lang w:val="lt-LT"/>
              </w:rPr>
              <w:t xml:space="preserve"> preparatu ir kurių dažnis nustatytas 89 atsitiktinių imčių kontroliuojamų skausmo ir uždegimo klinikinių tyrimų metu </w:t>
            </w:r>
            <w:r w:rsidRPr="00153D15">
              <w:rPr>
                <w:rFonts w:ascii="Times New Roman" w:eastAsia="Times New Roman" w:hAnsi="Times New Roman"/>
                <w:bCs/>
                <w:lang w:val="lt-LT"/>
              </w:rPr>
              <w:lastRenderedPageBreak/>
              <w:t>25 mg – 800 mg paros dozes vartojantiems suaugusiesiems pacientams</w:t>
            </w:r>
          </w:p>
        </w:tc>
      </w:tr>
      <w:tr w:rsidR="002101F6" w:rsidRPr="00153D15" w:rsidTr="00362603">
        <w:tc>
          <w:tcPr>
            <w:tcW w:w="4723" w:type="dxa"/>
            <w:shd w:val="clear" w:color="auto" w:fill="auto"/>
          </w:tcPr>
          <w:p w:rsidR="002101F6" w:rsidRPr="00153D15" w:rsidRDefault="002101F6" w:rsidP="00362603">
            <w:pPr>
              <w:spacing w:after="0" w:line="240" w:lineRule="auto"/>
              <w:jc w:val="center"/>
              <w:rPr>
                <w:rFonts w:ascii="Times New Roman" w:eastAsia="Times New Roman" w:hAnsi="Times New Roman"/>
                <w:i/>
                <w:lang w:val="lt-LT"/>
              </w:rPr>
            </w:pPr>
            <w:r w:rsidRPr="00153D15">
              <w:rPr>
                <w:rFonts w:ascii="Times New Roman" w:eastAsia="Times New Roman" w:hAnsi="Times New Roman"/>
                <w:i/>
                <w:lang w:val="lt-LT"/>
              </w:rPr>
              <w:lastRenderedPageBreak/>
              <w:t>Organų sistemų klasė</w:t>
            </w:r>
          </w:p>
        </w:tc>
        <w:tc>
          <w:tcPr>
            <w:tcW w:w="4724" w:type="dxa"/>
            <w:vMerge w:val="restart"/>
            <w:shd w:val="clear" w:color="auto" w:fill="auto"/>
          </w:tcPr>
          <w:p w:rsidR="002101F6" w:rsidRPr="00153D15" w:rsidRDefault="002101F6" w:rsidP="00362603">
            <w:pPr>
              <w:spacing w:after="0" w:line="240" w:lineRule="auto"/>
              <w:jc w:val="center"/>
              <w:rPr>
                <w:rFonts w:ascii="Times New Roman" w:eastAsia="Times New Roman" w:hAnsi="Times New Roman"/>
                <w:i/>
                <w:lang w:val="lt-LT"/>
              </w:rPr>
            </w:pPr>
            <w:r w:rsidRPr="00153D15">
              <w:rPr>
                <w:rFonts w:ascii="Times New Roman" w:eastAsia="Times New Roman" w:hAnsi="Times New Roman"/>
                <w:i/>
                <w:lang w:val="lt-LT"/>
              </w:rPr>
              <w:t xml:space="preserve">Nepageidaujamas poveikis </w:t>
            </w:r>
          </w:p>
        </w:tc>
      </w:tr>
      <w:tr w:rsidR="002101F6" w:rsidRPr="00153D15" w:rsidTr="00362603">
        <w:tc>
          <w:tcPr>
            <w:tcW w:w="4723" w:type="dxa"/>
            <w:shd w:val="clear" w:color="auto" w:fill="auto"/>
          </w:tcPr>
          <w:p w:rsidR="002101F6" w:rsidRPr="00153D15" w:rsidRDefault="002101F6" w:rsidP="00362603">
            <w:pPr>
              <w:spacing w:after="0" w:line="240" w:lineRule="auto"/>
              <w:jc w:val="center"/>
              <w:rPr>
                <w:rFonts w:ascii="Times New Roman" w:eastAsia="Times New Roman" w:hAnsi="Times New Roman"/>
                <w:lang w:val="lt-LT"/>
              </w:rPr>
            </w:pPr>
            <w:r w:rsidRPr="00153D15">
              <w:rPr>
                <w:rFonts w:ascii="Times New Roman" w:eastAsia="Times New Roman" w:hAnsi="Times New Roman"/>
                <w:lang w:val="lt-LT"/>
              </w:rPr>
              <w:t>Dažnis</w:t>
            </w:r>
          </w:p>
        </w:tc>
        <w:tc>
          <w:tcPr>
            <w:tcW w:w="4724" w:type="dxa"/>
            <w:vMerge/>
            <w:shd w:val="clear" w:color="auto" w:fill="auto"/>
          </w:tcPr>
          <w:p w:rsidR="002101F6" w:rsidRPr="00153D15" w:rsidRDefault="002101F6" w:rsidP="00362603">
            <w:pPr>
              <w:spacing w:after="0" w:line="240" w:lineRule="auto"/>
              <w:rPr>
                <w:rFonts w:ascii="Times New Roman" w:eastAsia="Times New Roman" w:hAnsi="Times New Roman"/>
                <w:b/>
                <w:lang w:val="lt-LT"/>
              </w:rPr>
            </w:pP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Infekcijos ir infestacijos</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p>
        </w:tc>
      </w:tr>
      <w:tr w:rsidR="002101F6" w:rsidRPr="00B074B6"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Dažni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Bronchitas, sinusitas, viršutinių kvėpavimo takų infekcija, šlapimo takų infekcija</w:t>
            </w: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Faringitas, rinitas</w:t>
            </w: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Kraujo ir limfinės sistemos sutrikimai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Anemija</w:t>
            </w: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Reti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Trombocitopenija</w:t>
            </w: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Imuninės sistemos sutrikimai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Padidėjęs jautrumas</w:t>
            </w: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Psichikos sutrikimai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Dažni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Nemiga</w:t>
            </w: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Nerimas</w:t>
            </w: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Reti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Konfūzijos būklė</w:t>
            </w:r>
          </w:p>
        </w:tc>
      </w:tr>
      <w:tr w:rsidR="002101F6" w:rsidRPr="00153D15" w:rsidTr="00362603">
        <w:tc>
          <w:tcPr>
            <w:tcW w:w="4723" w:type="dxa"/>
            <w:shd w:val="clear" w:color="auto" w:fill="auto"/>
          </w:tcPr>
          <w:p w:rsidR="002101F6" w:rsidRPr="00153D15" w:rsidRDefault="002101F6" w:rsidP="00362603">
            <w:pPr>
              <w:keepNext/>
              <w:spacing w:after="0" w:line="240" w:lineRule="auto"/>
              <w:rPr>
                <w:rFonts w:ascii="Times New Roman" w:eastAsia="Times New Roman" w:hAnsi="Times New Roman"/>
                <w:i/>
                <w:lang w:val="lt-LT"/>
              </w:rPr>
            </w:pPr>
            <w:r w:rsidRPr="00153D15">
              <w:rPr>
                <w:rFonts w:ascii="Times New Roman" w:eastAsia="Times New Roman" w:hAnsi="Times New Roman"/>
                <w:i/>
                <w:lang w:val="lt-LT"/>
              </w:rPr>
              <w:t>Nervų sistemos sutrikimai</w:t>
            </w:r>
          </w:p>
        </w:tc>
        <w:tc>
          <w:tcPr>
            <w:tcW w:w="4724" w:type="dxa"/>
            <w:shd w:val="clear" w:color="auto" w:fill="auto"/>
          </w:tcPr>
          <w:p w:rsidR="002101F6" w:rsidRPr="00153D15" w:rsidRDefault="002101F6" w:rsidP="00362603">
            <w:pPr>
              <w:keepNext/>
              <w:spacing w:after="0" w:line="240" w:lineRule="auto"/>
              <w:rPr>
                <w:rFonts w:ascii="Times New Roman" w:eastAsia="Times New Roman" w:hAnsi="Times New Roman"/>
                <w:i/>
                <w:lang w:val="lt-LT"/>
              </w:rPr>
            </w:pPr>
          </w:p>
        </w:tc>
      </w:tr>
      <w:tr w:rsidR="002101F6" w:rsidRPr="00153D15" w:rsidTr="00362603">
        <w:tc>
          <w:tcPr>
            <w:tcW w:w="4723" w:type="dxa"/>
            <w:shd w:val="clear" w:color="auto" w:fill="auto"/>
          </w:tcPr>
          <w:p w:rsidR="002101F6" w:rsidRPr="00153D15" w:rsidRDefault="002101F6" w:rsidP="00362603">
            <w:pPr>
              <w:keepNext/>
              <w:spacing w:after="0" w:line="240" w:lineRule="auto"/>
              <w:rPr>
                <w:rFonts w:ascii="Times New Roman" w:eastAsia="Times New Roman" w:hAnsi="Times New Roman"/>
                <w:lang w:val="lt-LT"/>
              </w:rPr>
            </w:pPr>
            <w:r w:rsidRPr="00153D15">
              <w:rPr>
                <w:rFonts w:ascii="Times New Roman" w:eastAsia="Times New Roman" w:hAnsi="Times New Roman"/>
                <w:lang w:val="lt-LT"/>
              </w:rPr>
              <w:t>Dažni</w:t>
            </w:r>
          </w:p>
        </w:tc>
        <w:tc>
          <w:tcPr>
            <w:tcW w:w="4724" w:type="dxa"/>
            <w:shd w:val="clear" w:color="auto" w:fill="auto"/>
          </w:tcPr>
          <w:p w:rsidR="002101F6" w:rsidRPr="00153D15" w:rsidRDefault="002101F6" w:rsidP="00362603">
            <w:pPr>
              <w:keepNext/>
              <w:spacing w:after="0" w:line="240" w:lineRule="auto"/>
              <w:rPr>
                <w:rFonts w:ascii="Times New Roman" w:eastAsia="Times New Roman" w:hAnsi="Times New Roman"/>
                <w:lang w:val="lt-LT"/>
              </w:rPr>
            </w:pPr>
            <w:r w:rsidRPr="00153D15">
              <w:rPr>
                <w:rFonts w:ascii="Times New Roman" w:eastAsia="Times New Roman" w:hAnsi="Times New Roman"/>
                <w:lang w:val="lt-LT"/>
              </w:rPr>
              <w:t>Galvos svaigimas</w:t>
            </w:r>
          </w:p>
        </w:tc>
      </w:tr>
      <w:tr w:rsidR="002101F6" w:rsidRPr="00153D15" w:rsidTr="00362603">
        <w:tc>
          <w:tcPr>
            <w:tcW w:w="4723" w:type="dxa"/>
            <w:shd w:val="clear" w:color="auto" w:fill="auto"/>
          </w:tcPr>
          <w:p w:rsidR="002101F6" w:rsidRPr="00153D15" w:rsidRDefault="002101F6" w:rsidP="00362603">
            <w:pPr>
              <w:keepNext/>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4724" w:type="dxa"/>
            <w:shd w:val="clear" w:color="auto" w:fill="auto"/>
          </w:tcPr>
          <w:p w:rsidR="002101F6" w:rsidRPr="00153D15" w:rsidRDefault="002101F6" w:rsidP="00362603">
            <w:pPr>
              <w:keepNext/>
              <w:spacing w:after="0" w:line="240" w:lineRule="auto"/>
              <w:rPr>
                <w:rFonts w:ascii="Times New Roman" w:eastAsia="Times New Roman" w:hAnsi="Times New Roman"/>
                <w:lang w:val="lt-LT"/>
              </w:rPr>
            </w:pPr>
            <w:r w:rsidRPr="00153D15">
              <w:rPr>
                <w:rFonts w:ascii="Times New Roman" w:eastAsia="Times New Roman" w:hAnsi="Times New Roman"/>
                <w:lang w:val="lt-LT"/>
              </w:rPr>
              <w:t>Hipertonija, mieguistumas</w:t>
            </w: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Akių sutrikimai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Miglotas matymas</w:t>
            </w: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Ausų ir labirintų sutrikimai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Spengimas ausyse</w:t>
            </w: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Širdies sutrikimai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4724" w:type="dxa"/>
            <w:shd w:val="clear" w:color="auto" w:fill="auto"/>
          </w:tcPr>
          <w:p w:rsidR="002101F6" w:rsidRPr="00153D15" w:rsidRDefault="0092579E" w:rsidP="0092579E">
            <w:pPr>
              <w:spacing w:after="0" w:line="240" w:lineRule="auto"/>
              <w:rPr>
                <w:rFonts w:ascii="Times New Roman" w:eastAsia="Times New Roman" w:hAnsi="Times New Roman"/>
                <w:lang w:val="lt-LT"/>
              </w:rPr>
            </w:pPr>
            <w:r w:rsidRPr="00153D15">
              <w:rPr>
                <w:rFonts w:ascii="Times New Roman" w:eastAsia="Times New Roman" w:hAnsi="Times New Roman"/>
                <w:lang w:val="lt-LT"/>
              </w:rPr>
              <w:t>Palpitacij</w:t>
            </w:r>
            <w:r>
              <w:rPr>
                <w:rFonts w:ascii="Times New Roman" w:eastAsia="Times New Roman" w:hAnsi="Times New Roman"/>
                <w:lang w:val="lt-LT"/>
              </w:rPr>
              <w:t>os</w:t>
            </w: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Reti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Stazinis širdies nepakankamumas, aritmija, tachikardija</w:t>
            </w: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Kraujagyslių sutrikimai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Dažni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Hipertenzija (įskaitant hipertenzijos pasunkėjimą)</w:t>
            </w:r>
          </w:p>
        </w:tc>
      </w:tr>
      <w:tr w:rsidR="002101F6" w:rsidRPr="00B074B6"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Reti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Kraujo priplūdimas į kaklą ir veidą</w:t>
            </w: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Kvėpavimo sistemos, krūtinės ląstos ir tarpuplaučio sutrikimai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Dažni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Kosulys</w:t>
            </w: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Virškinimo trakto sutrikimai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Dažni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Vėmimas, pilvo skausmas, viduriavimas, dispepsija, pilvo pūtimas</w:t>
            </w: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Skrandžio opa, dantų sutrikimai</w:t>
            </w: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Reti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Dvylikapirštės žarnos opa, stemplės opa</w:t>
            </w: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Labai reti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Žarnų prakiurimas, pankreatitas</w:t>
            </w: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Kepenų, tulžies pūslės ir latakų sutrikimai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Kepenų fermentų suaktyvėjimas (įskaitant alanino aminotransferazės ir aspartato aminotransferazės aktyvumo padidėjimą)</w:t>
            </w: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Odos ir poodinio audinio sutrikimai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Dažni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Niežulys (įskaitant generalizuotą niežulį), išbėrimas</w:t>
            </w: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Dilgėlinė, dėminė kraujosruva</w:t>
            </w: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Reti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Angio</w:t>
            </w:r>
            <w:r w:rsidR="0092579E">
              <w:rPr>
                <w:rFonts w:ascii="Times New Roman" w:eastAsia="Times New Roman" w:hAnsi="Times New Roman"/>
                <w:lang w:val="lt-LT"/>
              </w:rPr>
              <w:t xml:space="preserve">neurozinė </w:t>
            </w:r>
            <w:r w:rsidRPr="00153D15">
              <w:rPr>
                <w:rFonts w:ascii="Times New Roman" w:eastAsia="Times New Roman" w:hAnsi="Times New Roman"/>
                <w:lang w:val="lt-LT"/>
              </w:rPr>
              <w:t>edema, alopecija</w:t>
            </w: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Labai reti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Pūslelinis dermatitas</w:t>
            </w: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Bendrieji sutrikimai ir vartojimo vietos pažeidimai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Dažni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Periferinė edema</w:t>
            </w: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Veido edema, į gripą panašus susirgimas</w:t>
            </w: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Sužalojimai, apsinuodijimai ir procedūrų komplikacijos</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p>
        </w:tc>
      </w:tr>
      <w:tr w:rsidR="002101F6" w:rsidRPr="00153D15" w:rsidTr="00362603">
        <w:tc>
          <w:tcPr>
            <w:tcW w:w="4723"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lastRenderedPageBreak/>
              <w:t>Nedažni</w:t>
            </w:r>
          </w:p>
        </w:tc>
        <w:tc>
          <w:tcPr>
            <w:tcW w:w="4724"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Sužalojimas</w:t>
            </w:r>
          </w:p>
        </w:tc>
      </w:tr>
    </w:tbl>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bCs/>
          <w:lang w:val="lt-LT"/>
        </w:rPr>
      </w:pPr>
      <w:r w:rsidRPr="00153D15" w:rsidDel="000D420E">
        <w:rPr>
          <w:rFonts w:ascii="Times New Roman" w:eastAsia="Times New Roman" w:hAnsi="Times New Roman"/>
          <w:bCs/>
          <w:lang w:val="lt-LT"/>
        </w:rPr>
        <w:t>2 lentelėje nurodytos papildomos nepageidaujamos reakcijos,</w:t>
      </w:r>
      <w:r w:rsidRPr="00153D15" w:rsidDel="000D420E">
        <w:rPr>
          <w:rFonts w:ascii="Times New Roman" w:eastAsia="Times New Roman" w:hAnsi="Times New Roman"/>
          <w:bCs/>
          <w:vertAlign w:val="superscript"/>
          <w:lang w:val="lt-LT"/>
        </w:rPr>
        <w:t>*</w:t>
      </w:r>
      <w:r w:rsidRPr="00153D15" w:rsidDel="000D420E">
        <w:rPr>
          <w:rFonts w:ascii="Times New Roman" w:eastAsia="Times New Roman" w:hAnsi="Times New Roman"/>
          <w:bCs/>
          <w:lang w:val="lt-LT"/>
        </w:rPr>
        <w:t xml:space="preserve"> </w:t>
      </w:r>
      <w:r w:rsidRPr="00153D15" w:rsidDel="000D420E">
        <w:rPr>
          <w:rFonts w:ascii="Times New Roman" w:eastAsia="Times New Roman" w:hAnsi="Times New Roman"/>
          <w:lang w:val="lt-LT"/>
        </w:rPr>
        <w:t xml:space="preserve">kurios </w:t>
      </w:r>
      <w:r w:rsidRPr="00153D15" w:rsidDel="000D420E">
        <w:rPr>
          <w:rFonts w:ascii="Times New Roman" w:eastAsia="Times New Roman" w:hAnsi="Times New Roman"/>
          <w:bCs/>
          <w:lang w:val="lt-LT"/>
        </w:rPr>
        <w:t>ilgalaikių (iki 3 metų trukmės) polipų profilaktikos tyrimų metu nuo 400 mg iki 800 mg paros dozę vartojusiems pacientams pasireiškė dažniau</w:t>
      </w:r>
      <w:r w:rsidRPr="00153D15" w:rsidDel="000D420E">
        <w:rPr>
          <w:rFonts w:ascii="Times New Roman" w:eastAsia="Times New Roman" w:hAnsi="Times New Roman"/>
          <w:color w:val="0000FF"/>
          <w:lang w:val="lt-LT"/>
        </w:rPr>
        <w:t xml:space="preserve"> </w:t>
      </w:r>
      <w:r w:rsidRPr="00153D15" w:rsidDel="000D420E">
        <w:rPr>
          <w:rFonts w:ascii="Times New Roman" w:eastAsia="Times New Roman" w:hAnsi="Times New Roman"/>
          <w:bCs/>
          <w:lang w:val="lt-LT"/>
        </w:rPr>
        <w:t>nei placebo vartojusiems pacientams</w:t>
      </w:r>
      <w:r w:rsidRPr="00153D15" w:rsidDel="000D420E">
        <w:rPr>
          <w:rFonts w:ascii="Times New Roman" w:eastAsia="Times New Roman" w:hAnsi="Times New Roman"/>
          <w:lang w:val="lt-LT"/>
        </w:rPr>
        <w:t xml:space="preserve"> </w:t>
      </w:r>
      <w:r w:rsidRPr="00153D15" w:rsidDel="000D420E">
        <w:rPr>
          <w:rFonts w:ascii="Times New Roman" w:eastAsia="Times New Roman" w:hAnsi="Times New Roman"/>
          <w:bCs/>
          <w:lang w:val="lt-LT"/>
        </w:rPr>
        <w:t xml:space="preserve">(žr. 5.1 skyriaus dalį </w:t>
      </w:r>
      <w:r w:rsidRPr="00153D15" w:rsidDel="000D420E">
        <w:rPr>
          <w:rFonts w:ascii="Times New Roman" w:eastAsia="Times New Roman" w:hAnsi="Times New Roman"/>
          <w:i/>
          <w:lang w:val="lt-LT"/>
        </w:rPr>
        <w:t xml:space="preserve">Ilgalaikiai </w:t>
      </w:r>
      <w:r w:rsidR="00A40E77">
        <w:rPr>
          <w:rFonts w:ascii="Times New Roman" w:eastAsia="Times New Roman" w:hAnsi="Times New Roman"/>
          <w:i/>
          <w:lang w:val="lt-LT"/>
        </w:rPr>
        <w:t>širdies ir kraujagyslių</w:t>
      </w:r>
      <w:r w:rsidR="00091072" w:rsidRPr="00153D15" w:rsidDel="000D420E">
        <w:rPr>
          <w:rFonts w:ascii="Times New Roman" w:eastAsia="Times New Roman" w:hAnsi="Times New Roman"/>
          <w:i/>
          <w:lang w:val="lt-LT"/>
        </w:rPr>
        <w:t xml:space="preserve"> </w:t>
      </w:r>
      <w:r w:rsidRPr="00153D15" w:rsidDel="000D420E">
        <w:rPr>
          <w:rFonts w:ascii="Times New Roman" w:eastAsia="Times New Roman" w:hAnsi="Times New Roman"/>
          <w:i/>
          <w:lang w:val="lt-LT"/>
        </w:rPr>
        <w:t>saugumo tyrimai, kuriuose dalyvavo asmenys, kuriems diagnozuota pavienių adenomatozinių polipų</w:t>
      </w:r>
      <w:r w:rsidRPr="00153D15" w:rsidDel="000D420E">
        <w:rPr>
          <w:rFonts w:ascii="Times New Roman" w:eastAsia="Times New Roman" w:hAnsi="Times New Roman"/>
          <w:bCs/>
          <w:lang w:val="lt-LT"/>
        </w:rPr>
        <w:t xml:space="preserve">). </w:t>
      </w:r>
    </w:p>
    <w:p w:rsidR="002101F6" w:rsidRPr="00153D15" w:rsidDel="000D420E" w:rsidRDefault="0066680B" w:rsidP="002101F6">
      <w:pPr>
        <w:spacing w:after="0" w:line="240" w:lineRule="auto"/>
        <w:rPr>
          <w:rFonts w:ascii="Times New Roman" w:eastAsia="Calibri" w:hAnsi="Times New Roman"/>
          <w:lang w:val="lt-LT"/>
        </w:rPr>
      </w:pPr>
      <w:r w:rsidRPr="00153D15">
        <w:rPr>
          <w:rFonts w:ascii="Times New Roman" w:eastAsia="Calibri" w:hAnsi="Times New Roman"/>
          <w:lang w:val="lt-LT"/>
        </w:rPr>
        <w:t>Nepageidaujamo poveikio dažnis</w:t>
      </w:r>
      <w:r w:rsidR="002101F6" w:rsidRPr="00153D15">
        <w:rPr>
          <w:rFonts w:ascii="Times New Roman" w:eastAsia="Times New Roman" w:hAnsi="Times New Roman"/>
          <w:bCs/>
          <w:lang w:val="lt-LT"/>
        </w:rPr>
        <w:t xml:space="preserve"> </w:t>
      </w:r>
      <w:r w:rsidR="002101F6" w:rsidRPr="00153D15" w:rsidDel="000D420E">
        <w:rPr>
          <w:rFonts w:ascii="Times New Roman" w:eastAsia="Calibri" w:hAnsi="Times New Roman"/>
          <w:lang w:val="lt-LT"/>
        </w:rPr>
        <w:t xml:space="preserve">apibūdinamas taip: labai dažnas (≥ 1/10), dažnas (nuo ≥ 1/100 iki &lt; 1/10), nedažnas (nuo ≥ 1/1000 iki &lt; 1/100). </w:t>
      </w:r>
      <w:r w:rsidR="002101F6" w:rsidRPr="00153D15">
        <w:rPr>
          <w:rFonts w:ascii="Times New Roman" w:eastAsia="Calibri" w:hAnsi="Times New Roman"/>
          <w:lang w:val="lt-LT"/>
        </w:rPr>
        <w:t>2 lentelėje nurodytos nepageidaujamos reakcijos suskirstytos pagal organų sistemų klases ir pateikiam</w:t>
      </w:r>
      <w:r>
        <w:rPr>
          <w:rFonts w:ascii="Times New Roman" w:eastAsia="Calibri" w:hAnsi="Times New Roman"/>
          <w:lang w:val="lt-LT"/>
        </w:rPr>
        <w:t>o</w:t>
      </w:r>
      <w:r w:rsidR="002101F6" w:rsidRPr="00153D15">
        <w:rPr>
          <w:rFonts w:ascii="Times New Roman" w:eastAsia="Calibri" w:hAnsi="Times New Roman"/>
          <w:lang w:val="lt-LT"/>
        </w:rPr>
        <w:t>s mažėjančio dažnio tvarka</w:t>
      </w:r>
      <w:r w:rsidR="007843AA">
        <w:rPr>
          <w:rFonts w:ascii="Times New Roman" w:eastAsia="Calibri" w:hAnsi="Times New Roman"/>
          <w:lang w:val="lt-LT"/>
        </w:rPr>
        <w:t>.</w:t>
      </w:r>
    </w:p>
    <w:p w:rsidR="002101F6" w:rsidRPr="00153D15" w:rsidDel="000D420E" w:rsidRDefault="002101F6" w:rsidP="002101F6">
      <w:pPr>
        <w:spacing w:after="0" w:line="240" w:lineRule="auto"/>
        <w:rPr>
          <w:rFonts w:ascii="Times New Roman" w:eastAsia="Calibri" w:hAnsi="Times New Roman"/>
          <w:lang w:val="lt-LT"/>
        </w:rPr>
      </w:pP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6031"/>
      </w:tblGrid>
      <w:tr w:rsidR="002101F6" w:rsidRPr="00B074B6" w:rsidTr="00362603">
        <w:tc>
          <w:tcPr>
            <w:tcW w:w="3936" w:type="dxa"/>
            <w:shd w:val="clear" w:color="auto" w:fill="auto"/>
          </w:tcPr>
          <w:bookmarkStart w:id="1" w:name="_Ref191784903"/>
          <w:p w:rsidR="002101F6" w:rsidRPr="00153D15" w:rsidRDefault="002101F6" w:rsidP="00362603">
            <w:pPr>
              <w:keepNext/>
              <w:spacing w:after="0" w:line="240" w:lineRule="auto"/>
              <w:rPr>
                <w:rFonts w:ascii="Times New Roman" w:eastAsia="Times New Roman" w:hAnsi="Times New Roman"/>
                <w:bCs/>
                <w:lang w:val="lt-LT"/>
              </w:rPr>
            </w:pPr>
            <w:r w:rsidRPr="00153D15">
              <w:rPr>
                <w:rFonts w:ascii="Times New Roman" w:eastAsia="Times New Roman" w:hAnsi="Times New Roman"/>
                <w:bCs/>
                <w:lang w:val="lt-LT"/>
              </w:rPr>
              <w:fldChar w:fldCharType="begin"/>
            </w:r>
            <w:r w:rsidRPr="00153D15">
              <w:rPr>
                <w:rFonts w:ascii="Times New Roman" w:eastAsia="Times New Roman" w:hAnsi="Times New Roman"/>
                <w:bCs/>
                <w:lang w:val="lt-LT"/>
              </w:rPr>
              <w:instrText xml:space="preserve"> SEQ Table \* ARABIC </w:instrText>
            </w:r>
            <w:r w:rsidRPr="00153D15">
              <w:rPr>
                <w:rFonts w:ascii="Times New Roman" w:eastAsia="Times New Roman" w:hAnsi="Times New Roman"/>
                <w:bCs/>
                <w:lang w:val="lt-LT"/>
              </w:rPr>
              <w:fldChar w:fldCharType="separate"/>
            </w:r>
            <w:r w:rsidRPr="00153D15">
              <w:rPr>
                <w:rFonts w:ascii="Times New Roman" w:eastAsia="Times New Roman" w:hAnsi="Times New Roman"/>
                <w:bCs/>
                <w:noProof/>
                <w:lang w:val="lt-LT"/>
              </w:rPr>
              <w:t>2</w:t>
            </w:r>
            <w:r w:rsidRPr="00153D15">
              <w:rPr>
                <w:rFonts w:ascii="Times New Roman" w:eastAsia="Times New Roman" w:hAnsi="Times New Roman"/>
                <w:bCs/>
                <w:lang w:val="lt-LT"/>
              </w:rPr>
              <w:fldChar w:fldCharType="end"/>
            </w:r>
            <w:r w:rsidRPr="00153D15">
              <w:rPr>
                <w:rFonts w:ascii="Times New Roman" w:eastAsia="Times New Roman" w:hAnsi="Times New Roman"/>
                <w:bCs/>
                <w:lang w:val="lt-LT"/>
              </w:rPr>
              <w:t xml:space="preserve"> lentelė</w:t>
            </w:r>
            <w:bookmarkEnd w:id="1"/>
          </w:p>
        </w:tc>
        <w:tc>
          <w:tcPr>
            <w:tcW w:w="6031" w:type="dxa"/>
            <w:shd w:val="clear" w:color="auto" w:fill="auto"/>
          </w:tcPr>
          <w:p w:rsidR="002101F6" w:rsidRPr="00153D15" w:rsidRDefault="002101F6" w:rsidP="00362603">
            <w:pPr>
              <w:keepNext/>
              <w:spacing w:after="0" w:line="240" w:lineRule="auto"/>
              <w:rPr>
                <w:rFonts w:ascii="Times New Roman" w:eastAsia="Times New Roman" w:hAnsi="Times New Roman"/>
                <w:bCs/>
                <w:lang w:val="lt-LT"/>
              </w:rPr>
            </w:pPr>
            <w:r w:rsidRPr="00153D15">
              <w:rPr>
                <w:rFonts w:ascii="Times New Roman" w:eastAsia="Times New Roman" w:hAnsi="Times New Roman"/>
                <w:bCs/>
                <w:lang w:val="lt-LT"/>
              </w:rPr>
              <w:t>Nepageidaujamas poveikis, kuris iki 3 metų trukmės polipų profilaktikos tyrimų metu pasireiškė nuo 400 mg iki 800 mg paros dozę vartojusiems pacientams</w:t>
            </w:r>
          </w:p>
        </w:tc>
      </w:tr>
      <w:tr w:rsidR="002101F6" w:rsidRPr="00153D15" w:rsidTr="00362603">
        <w:tc>
          <w:tcPr>
            <w:tcW w:w="3936" w:type="dxa"/>
            <w:shd w:val="clear" w:color="auto" w:fill="auto"/>
          </w:tcPr>
          <w:p w:rsidR="002101F6" w:rsidRPr="00153D15" w:rsidRDefault="002101F6" w:rsidP="00362603">
            <w:pPr>
              <w:spacing w:after="0" w:line="240" w:lineRule="auto"/>
              <w:jc w:val="center"/>
              <w:rPr>
                <w:rFonts w:ascii="Times New Roman" w:eastAsia="Times New Roman" w:hAnsi="Times New Roman"/>
                <w:i/>
                <w:lang w:val="lt-LT"/>
              </w:rPr>
            </w:pPr>
            <w:r w:rsidRPr="00153D15">
              <w:rPr>
                <w:rFonts w:ascii="Times New Roman" w:eastAsia="Times New Roman" w:hAnsi="Times New Roman"/>
                <w:i/>
                <w:lang w:val="lt-LT"/>
              </w:rPr>
              <w:t>Organų sistemų klasė</w:t>
            </w:r>
          </w:p>
        </w:tc>
        <w:tc>
          <w:tcPr>
            <w:tcW w:w="6031" w:type="dxa"/>
            <w:shd w:val="clear" w:color="auto" w:fill="auto"/>
          </w:tcPr>
          <w:p w:rsidR="002101F6" w:rsidRPr="00153D15" w:rsidRDefault="002101F6" w:rsidP="00362603">
            <w:pPr>
              <w:spacing w:after="0" w:line="240" w:lineRule="auto"/>
              <w:jc w:val="center"/>
              <w:rPr>
                <w:rFonts w:ascii="Times New Roman" w:eastAsia="Times New Roman" w:hAnsi="Times New Roman"/>
                <w:i/>
                <w:lang w:val="lt-LT"/>
              </w:rPr>
            </w:pPr>
            <w:r w:rsidRPr="00153D15">
              <w:rPr>
                <w:rFonts w:ascii="Times New Roman" w:eastAsia="Times New Roman" w:hAnsi="Times New Roman"/>
                <w:i/>
                <w:lang w:val="lt-LT"/>
              </w:rPr>
              <w:t xml:space="preserve">Nepageidaujamas poveikis </w:t>
            </w:r>
          </w:p>
        </w:tc>
      </w:tr>
      <w:tr w:rsidR="002101F6" w:rsidRPr="00153D15" w:rsidTr="00362603">
        <w:tc>
          <w:tcPr>
            <w:tcW w:w="3936" w:type="dxa"/>
            <w:shd w:val="clear" w:color="auto" w:fill="auto"/>
          </w:tcPr>
          <w:p w:rsidR="002101F6" w:rsidRPr="00153D15" w:rsidRDefault="002101F6" w:rsidP="00362603">
            <w:pPr>
              <w:spacing w:after="0" w:line="240" w:lineRule="auto"/>
              <w:jc w:val="center"/>
              <w:rPr>
                <w:rFonts w:ascii="Times New Roman" w:eastAsia="Times New Roman" w:hAnsi="Times New Roman"/>
                <w:lang w:val="lt-LT"/>
              </w:rPr>
            </w:pPr>
            <w:r w:rsidRPr="00153D15">
              <w:rPr>
                <w:rFonts w:ascii="Times New Roman" w:eastAsia="Times New Roman" w:hAnsi="Times New Roman"/>
                <w:lang w:val="lt-LT"/>
              </w:rPr>
              <w:t>Dažnis</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b/>
                <w:lang w:val="lt-LT"/>
              </w:rPr>
            </w:pP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Infekcijos ir infestacijos</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Ausies infekcija, grybelinė infekcija</w:t>
            </w:r>
            <w:r w:rsidRPr="00153D15">
              <w:rPr>
                <w:rFonts w:ascii="Times New Roman" w:eastAsia="Times New Roman" w:hAnsi="Times New Roman"/>
                <w:vertAlign w:val="superscript"/>
                <w:lang w:val="lt-LT"/>
              </w:rPr>
              <w:t>**</w:t>
            </w:r>
          </w:p>
        </w:tc>
      </w:tr>
      <w:tr w:rsidR="002101F6" w:rsidRPr="00B074B6"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i/>
                <w:lang w:val="lt-LT"/>
              </w:rPr>
              <w:t>Helicobacter</w:t>
            </w:r>
            <w:r w:rsidRPr="00153D15">
              <w:rPr>
                <w:rFonts w:ascii="Times New Roman" w:eastAsia="Times New Roman" w:hAnsi="Times New Roman"/>
                <w:lang w:val="lt-LT"/>
              </w:rPr>
              <w:t xml:space="preserve"> sukelta infekcija, juosiančioji pūslelinė, rožė, žaizdos infekcija, dantenų uždegimas, labirintitas, bakterijų sukelta infekcija</w:t>
            </w: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Gerybiniai, piktybiniai ir nepatikslinti navikai</w:t>
            </w:r>
            <w:r w:rsidR="000429B4">
              <w:rPr>
                <w:rFonts w:ascii="Times New Roman" w:eastAsia="Times New Roman" w:hAnsi="Times New Roman"/>
                <w:i/>
                <w:lang w:val="lt-LT"/>
              </w:rPr>
              <w:t xml:space="preserve"> (tarp jų cistos ir polipai)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Lipoma</w:t>
            </w: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Psichikos sutrikimai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Miego sutrikimai</w:t>
            </w: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Nervų sistemos sutrikimai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6031" w:type="dxa"/>
            <w:shd w:val="clear" w:color="auto" w:fill="auto"/>
          </w:tcPr>
          <w:p w:rsidR="002101F6" w:rsidRPr="00153D15" w:rsidRDefault="0066680B" w:rsidP="00362603">
            <w:pPr>
              <w:spacing w:after="0" w:line="240" w:lineRule="auto"/>
              <w:rPr>
                <w:rFonts w:ascii="Times New Roman" w:eastAsia="Times New Roman" w:hAnsi="Times New Roman"/>
                <w:lang w:val="lt-LT"/>
              </w:rPr>
            </w:pPr>
            <w:r>
              <w:rPr>
                <w:rFonts w:ascii="Times New Roman" w:eastAsia="Times New Roman" w:hAnsi="Times New Roman"/>
                <w:lang w:val="lt-LT"/>
              </w:rPr>
              <w:t>Insultas</w:t>
            </w: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Akių sutrikimai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Junginės kraujosruvos, stiklakūnio drumstys</w:t>
            </w: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Ausų ir labirintų sutrikimai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Susilpnėjusi klausa</w:t>
            </w: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Širdies sutrikimai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Miokardo infarktas, krūtinės angina</w:t>
            </w:r>
          </w:p>
        </w:tc>
      </w:tr>
      <w:tr w:rsidR="002101F6" w:rsidRPr="00B074B6"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Nestabili krūtinės angina, aortos vožtuvo nepakankamumas, vainikinių arterijų aterosklerozė, sinusinė bradikardija, širdies skilvelio hipertrofija</w:t>
            </w: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Kraujagyslių sutrikimai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Labai 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Hipertenzija*</w:t>
            </w: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Giliųjų venų trombozė, hematoma</w:t>
            </w: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Kvėpavimo sistemos, krūtinės ląstos ir tarpuplaučio sutrikimai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Dusulys</w:t>
            </w: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Disfonija</w:t>
            </w: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Virškinimo trakto sutrikimai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Labai 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Viduriavimas*</w:t>
            </w: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Vėmimas*, rijimo sutrikimas, dirgliosios žarnos sindromas, gastroezofaginio refliukso liga, pykinimas, divertikulas</w:t>
            </w: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Kraujavimas iš hemorojaus mazgų, peristaltikos suaktyvėjimas, burnos išopėjimas, stomatitas</w:t>
            </w: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Kepenų, tulžies pūslės ir latakų sutrikimai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Kepenų fermentų suaktyvėjimas (įskaitant alanino aminotransferazės ir aspartato aminotransferazės aktyvumo padidėjimą)*</w:t>
            </w: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Odos ir poodinio audinio sutrikimai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lastRenderedPageBreak/>
              <w:t>Nedažni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Alerginis dermatitas</w:t>
            </w: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Skeleto, raumenų ir jungiamojo audinio sutrikimai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b/>
                <w:lang w:val="lt-LT"/>
              </w:rPr>
            </w:pP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Raumenų spazmai</w:t>
            </w: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Sinovinė cista</w:t>
            </w:r>
          </w:p>
        </w:tc>
      </w:tr>
      <w:tr w:rsidR="002101F6" w:rsidRPr="00153D15" w:rsidTr="00362603">
        <w:tc>
          <w:tcPr>
            <w:tcW w:w="3936" w:type="dxa"/>
            <w:shd w:val="clear" w:color="auto" w:fill="auto"/>
          </w:tcPr>
          <w:p w:rsidR="002101F6" w:rsidRPr="00153D15" w:rsidRDefault="002101F6" w:rsidP="00362603">
            <w:pPr>
              <w:keepNext/>
              <w:spacing w:after="0" w:line="240" w:lineRule="auto"/>
              <w:rPr>
                <w:rFonts w:ascii="Times New Roman" w:eastAsia="Times New Roman" w:hAnsi="Times New Roman"/>
                <w:i/>
                <w:lang w:val="lt-LT"/>
              </w:rPr>
            </w:pPr>
            <w:r w:rsidRPr="00153D15">
              <w:rPr>
                <w:rFonts w:ascii="Times New Roman" w:eastAsia="Times New Roman" w:hAnsi="Times New Roman"/>
                <w:i/>
                <w:lang w:val="lt-LT"/>
              </w:rPr>
              <w:t>Inkstų ir šlapimo takų sutrikimai</w:t>
            </w:r>
          </w:p>
        </w:tc>
        <w:tc>
          <w:tcPr>
            <w:tcW w:w="6031" w:type="dxa"/>
            <w:shd w:val="clear" w:color="auto" w:fill="auto"/>
          </w:tcPr>
          <w:p w:rsidR="002101F6" w:rsidRPr="00153D15" w:rsidRDefault="002101F6" w:rsidP="00362603">
            <w:pPr>
              <w:keepNext/>
              <w:spacing w:after="0" w:line="240" w:lineRule="auto"/>
              <w:rPr>
                <w:rFonts w:ascii="Times New Roman" w:eastAsia="Times New Roman" w:hAnsi="Times New Roman"/>
                <w:lang w:val="lt-LT"/>
              </w:rPr>
            </w:pP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Nefrolitiazė</w:t>
            </w: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Dažnas šlapinimasis naktį</w:t>
            </w: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Lytinės sistemos ir krūties sutrikimai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Kraujavimas iš makšties, prostatitas, gerybinė prostatos hiperplazija </w:t>
            </w: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Kiaušidės cista, menopauzės simptomai, krūtų jautrumas, dismenorėja</w:t>
            </w: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Bendrieji sutrikimai ir vartojimo vietos pažeidimai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Edema</w:t>
            </w: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Tyrimai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p>
        </w:tc>
      </w:tr>
      <w:tr w:rsidR="002101F6" w:rsidRPr="00153D15"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Kreatinino koncentracijos kraujyje padidėjimas, prostatos specifinio antigeno kiekio padidėjimas, svorio padidėjimas</w:t>
            </w:r>
          </w:p>
        </w:tc>
      </w:tr>
      <w:tr w:rsidR="002101F6" w:rsidRPr="00B074B6" w:rsidTr="00362603">
        <w:tc>
          <w:tcPr>
            <w:tcW w:w="3936"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6031" w:type="dxa"/>
            <w:shd w:val="clear" w:color="auto" w:fill="auto"/>
          </w:tcPr>
          <w:p w:rsidR="002101F6" w:rsidRPr="00153D15" w:rsidRDefault="002101F6" w:rsidP="00362603">
            <w:pPr>
              <w:spacing w:after="0" w:line="240" w:lineRule="auto"/>
              <w:rPr>
                <w:rFonts w:ascii="Times New Roman" w:eastAsia="Times New Roman" w:hAnsi="Times New Roman"/>
                <w:lang w:val="lt-LT"/>
              </w:rPr>
            </w:pPr>
            <w:r w:rsidRPr="00153D15">
              <w:rPr>
                <w:rFonts w:ascii="Times New Roman" w:eastAsia="Times New Roman" w:hAnsi="Times New Roman"/>
                <w:lang w:val="lt-LT"/>
              </w:rPr>
              <w:t>Padidėjusi kalio, padidėjusi natrio, sumažėjusi testosterono koncentracija kraujyje, sumažėjęs hematokrito rodiklis, padidėjusi hemoglobino koncentracija</w:t>
            </w:r>
          </w:p>
        </w:tc>
      </w:tr>
      <w:tr w:rsidR="002101F6" w:rsidRPr="00153D15" w:rsidTr="00362603">
        <w:tc>
          <w:tcPr>
            <w:tcW w:w="3936" w:type="dxa"/>
            <w:shd w:val="clear" w:color="auto" w:fill="auto"/>
          </w:tcPr>
          <w:p w:rsidR="002101F6" w:rsidRPr="00153D15" w:rsidRDefault="002101F6" w:rsidP="00362603">
            <w:pPr>
              <w:keepNext/>
              <w:spacing w:after="0" w:line="240" w:lineRule="auto"/>
              <w:rPr>
                <w:rFonts w:ascii="Times New Roman" w:eastAsia="Times New Roman" w:hAnsi="Times New Roman"/>
                <w:i/>
                <w:lang w:val="lt-LT"/>
              </w:rPr>
            </w:pPr>
            <w:r w:rsidRPr="00153D15">
              <w:rPr>
                <w:rFonts w:ascii="Times New Roman" w:eastAsia="Times New Roman" w:hAnsi="Times New Roman"/>
                <w:i/>
                <w:lang w:val="lt-LT"/>
              </w:rPr>
              <w:t>Sužalojimai, apsinuodijimai ir procedūrų komplikacijos</w:t>
            </w:r>
          </w:p>
        </w:tc>
        <w:tc>
          <w:tcPr>
            <w:tcW w:w="6031" w:type="dxa"/>
            <w:shd w:val="clear" w:color="auto" w:fill="auto"/>
          </w:tcPr>
          <w:p w:rsidR="002101F6" w:rsidRPr="00153D15" w:rsidRDefault="002101F6" w:rsidP="00362603">
            <w:pPr>
              <w:keepNext/>
              <w:spacing w:after="0" w:line="240" w:lineRule="auto"/>
              <w:rPr>
                <w:rFonts w:ascii="Times New Roman" w:eastAsia="Times New Roman" w:hAnsi="Times New Roman"/>
                <w:lang w:val="lt-LT"/>
              </w:rPr>
            </w:pPr>
          </w:p>
        </w:tc>
      </w:tr>
      <w:tr w:rsidR="002101F6" w:rsidRPr="00B074B6" w:rsidTr="00362603">
        <w:tc>
          <w:tcPr>
            <w:tcW w:w="3936" w:type="dxa"/>
            <w:shd w:val="clear" w:color="auto" w:fill="auto"/>
          </w:tcPr>
          <w:p w:rsidR="002101F6" w:rsidRPr="00153D15" w:rsidRDefault="002101F6" w:rsidP="00362603">
            <w:pPr>
              <w:keepNext/>
              <w:spacing w:after="0" w:line="240" w:lineRule="auto"/>
              <w:rPr>
                <w:rFonts w:ascii="Times New Roman" w:eastAsia="Times New Roman" w:hAnsi="Times New Roman"/>
                <w:lang w:val="lt-LT"/>
              </w:rPr>
            </w:pPr>
            <w:r w:rsidRPr="00153D15">
              <w:rPr>
                <w:rFonts w:ascii="Times New Roman" w:eastAsia="Times New Roman" w:hAnsi="Times New Roman"/>
                <w:lang w:val="lt-LT"/>
              </w:rPr>
              <w:t>Nedažni</w:t>
            </w:r>
          </w:p>
        </w:tc>
        <w:tc>
          <w:tcPr>
            <w:tcW w:w="6031" w:type="dxa"/>
            <w:shd w:val="clear" w:color="auto" w:fill="auto"/>
          </w:tcPr>
          <w:p w:rsidR="002101F6" w:rsidRPr="00153D15" w:rsidRDefault="002101F6" w:rsidP="0066680B">
            <w:pPr>
              <w:keepNext/>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Pėdos lūžis, </w:t>
            </w:r>
            <w:r w:rsidR="0066680B">
              <w:rPr>
                <w:rFonts w:ascii="Times New Roman" w:eastAsia="Times New Roman" w:hAnsi="Times New Roman"/>
                <w:lang w:val="lt-LT"/>
              </w:rPr>
              <w:t>kojos</w:t>
            </w:r>
            <w:r w:rsidRPr="00153D15">
              <w:rPr>
                <w:rFonts w:ascii="Times New Roman" w:eastAsia="Times New Roman" w:hAnsi="Times New Roman"/>
                <w:lang w:val="lt-LT"/>
              </w:rPr>
              <w:t xml:space="preserve"> lūžis, epikondilitas, sausgyslės plyšimas</w:t>
            </w:r>
          </w:p>
        </w:tc>
      </w:tr>
    </w:tbl>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vertAlign w:val="superscript"/>
          <w:lang w:val="lt-LT"/>
        </w:rPr>
        <w:t>*</w:t>
      </w:r>
      <w:r w:rsidRPr="00153D15">
        <w:rPr>
          <w:rFonts w:ascii="Times New Roman" w:eastAsia="Times New Roman" w:hAnsi="Times New Roman"/>
          <w:lang w:val="lt-LT"/>
        </w:rPr>
        <w:t>Hipertenzija, vėmimas, viduriavimas ir kepenų fermentų suaktyvėjimas įtraukti į 2 lentelę, nes apie juos buvo dažniau pranešama šių trejų metų trukmės tyrimų metu, o 1 lentelėje nurodytos nepageidaujamos reakcijos, kurios pasireiškė 12 savaičių trukmės tyrimų metu.</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vertAlign w:val="superscript"/>
          <w:lang w:val="lt-LT"/>
        </w:rPr>
        <w:t>**</w:t>
      </w:r>
      <w:r w:rsidRPr="00153D15">
        <w:rPr>
          <w:rFonts w:ascii="Times New Roman" w:eastAsia="Times New Roman" w:hAnsi="Times New Roman"/>
          <w:lang w:val="lt-LT"/>
        </w:rPr>
        <w:t>Grybelinės infekcijos dažniausiai buvo nesisteminės.</w:t>
      </w:r>
    </w:p>
    <w:p w:rsidR="002101F6" w:rsidRPr="00BA75C2" w:rsidRDefault="002101F6" w:rsidP="002101F6">
      <w:pPr>
        <w:spacing w:after="0" w:line="240" w:lineRule="auto"/>
        <w:rPr>
          <w:rFonts w:ascii="Times New Roman" w:eastAsia="Times New Roman" w:hAnsi="Times New Roman"/>
          <w:u w:val="single"/>
          <w:lang w:val="lt-LT"/>
        </w:rPr>
      </w:pPr>
    </w:p>
    <w:p w:rsidR="002101F6" w:rsidRPr="00BA75C2" w:rsidDel="000D420E" w:rsidRDefault="002101F6" w:rsidP="002101F6">
      <w:pPr>
        <w:spacing w:after="0" w:line="240" w:lineRule="auto"/>
        <w:rPr>
          <w:rFonts w:ascii="Times New Roman" w:eastAsia="Times New Roman" w:hAnsi="Times New Roman"/>
          <w:u w:val="single"/>
          <w:lang w:val="lt-LT"/>
        </w:rPr>
      </w:pPr>
      <w:r w:rsidRPr="00BA75C2" w:rsidDel="000D420E">
        <w:rPr>
          <w:rFonts w:ascii="Times New Roman" w:eastAsia="Times New Roman" w:hAnsi="Times New Roman"/>
          <w:u w:val="single"/>
          <w:lang w:val="lt-LT"/>
        </w:rPr>
        <w:t>Vaikų populiacija</w:t>
      </w:r>
    </w:p>
    <w:p w:rsidR="002101F6" w:rsidRPr="00153D15" w:rsidDel="000D420E" w:rsidRDefault="002101F6" w:rsidP="002101F6">
      <w:pPr>
        <w:spacing w:after="0" w:line="240" w:lineRule="auto"/>
        <w:rPr>
          <w:rFonts w:ascii="Times New Roman" w:eastAsia="Times New Roman" w:hAnsi="Times New Roman"/>
          <w:lang w:val="lt-LT"/>
        </w:rPr>
      </w:pPr>
      <w:r w:rsidRPr="00153D15" w:rsidDel="000D420E">
        <w:rPr>
          <w:rFonts w:ascii="Times New Roman" w:eastAsia="Times New Roman" w:hAnsi="Times New Roman"/>
          <w:lang w:val="lt-LT"/>
        </w:rPr>
        <w:t>Pagrindinio su vaikais atlikto tyrimo metu nustatytos nepageidaujamos reakcijos iš esmės buvo panašios į tas, kurios buvo nustatytos su suaugusiais atliktų artrito tyrimų metu (žr.</w:t>
      </w:r>
      <w:r w:rsidR="009F246F" w:rsidRPr="00153D15">
        <w:rPr>
          <w:rFonts w:ascii="Times New Roman" w:eastAsia="Times New Roman" w:hAnsi="Times New Roman"/>
          <w:lang w:val="lt-LT"/>
        </w:rPr>
        <w:t xml:space="preserve"> 1 </w:t>
      </w:r>
      <w:r w:rsidRPr="00153D15" w:rsidDel="000D420E">
        <w:rPr>
          <w:rFonts w:ascii="Times New Roman" w:eastAsia="Times New Roman" w:hAnsi="Times New Roman"/>
          <w:lang w:val="lt-LT"/>
        </w:rPr>
        <w:t>lentelę). Be to, pagrindinio su vaikais atlikto tyrimo metu buvo nustatytos toliau išvardytos, tačiau į 1 lentelę neįtrauktos nepageidaujamos reakcijos, kurios, tyrėjo nuomone, gali būti susij</w:t>
      </w:r>
      <w:r w:rsidRPr="00153D15">
        <w:rPr>
          <w:rFonts w:ascii="Times New Roman" w:eastAsia="Times New Roman" w:hAnsi="Times New Roman"/>
          <w:lang w:val="lt-LT"/>
        </w:rPr>
        <w:t>usios</w:t>
      </w:r>
      <w:r w:rsidRPr="00153D15" w:rsidDel="000D420E">
        <w:rPr>
          <w:rFonts w:ascii="Times New Roman" w:eastAsia="Times New Roman" w:hAnsi="Times New Roman"/>
          <w:lang w:val="lt-LT"/>
        </w:rPr>
        <w:t xml:space="preserve"> su celekoksibo vartojimu: galvos skausmas (11,3 %, labai dažnas), hematurijos paūmėjimas (0,6 %, nedažnas) ir astma [į tyrimą buvo įtrauktas 1 astma sergantis pacientas, kurio liga buvo veiksmingai kontroliuojama] (0,6 %, nedažna</w:t>
      </w:r>
      <w:r w:rsidR="00913DFA">
        <w:rPr>
          <w:rFonts w:ascii="Times New Roman" w:eastAsia="Times New Roman" w:hAnsi="Times New Roman"/>
          <w:lang w:val="lt-LT"/>
        </w:rPr>
        <w:t>s</w:t>
      </w:r>
      <w:r w:rsidRPr="00153D15" w:rsidDel="000D420E">
        <w:rPr>
          <w:rFonts w:ascii="Times New Roman" w:eastAsia="Times New Roman" w:hAnsi="Times New Roman"/>
          <w:lang w:val="lt-LT"/>
        </w:rPr>
        <w:t>). Palyginti su naprokseną vartojusiais pacientais, 12 savaičių trukmės dvigubai aklo tyrimo metu po 3 ir 6 mg/kg celekoksibo du kartus per parą vartojusiems pacientams augimą ir vystymąsi slopinantis poveikis nepasireiškė.</w:t>
      </w:r>
    </w:p>
    <w:p w:rsidR="002101F6" w:rsidRPr="00153D15" w:rsidRDefault="002101F6" w:rsidP="002101F6">
      <w:pPr>
        <w:spacing w:after="0" w:line="240" w:lineRule="auto"/>
        <w:rPr>
          <w:rFonts w:ascii="Times New Roman" w:eastAsia="Times New Roman" w:hAnsi="Times New Roman"/>
          <w:i/>
          <w:u w:val="single"/>
          <w:lang w:val="lt-LT"/>
        </w:rPr>
      </w:pPr>
    </w:p>
    <w:p w:rsidR="002101F6" w:rsidRDefault="002101F6" w:rsidP="002101F6">
      <w:pPr>
        <w:keepNext/>
        <w:spacing w:after="0" w:line="240" w:lineRule="auto"/>
        <w:rPr>
          <w:rFonts w:ascii="Times New Roman" w:eastAsia="Times New Roman" w:hAnsi="Times New Roman"/>
          <w:u w:val="single"/>
          <w:lang w:val="lt-LT"/>
        </w:rPr>
      </w:pPr>
      <w:r w:rsidRPr="00BA75C2">
        <w:rPr>
          <w:rFonts w:ascii="Times New Roman" w:eastAsia="Times New Roman" w:hAnsi="Times New Roman"/>
          <w:u w:val="single"/>
          <w:lang w:val="lt-LT"/>
        </w:rPr>
        <w:t xml:space="preserve">Nepageidaujamos reakcijos, apie kurias pranešta </w:t>
      </w:r>
      <w:r w:rsidR="00913DFA">
        <w:rPr>
          <w:rFonts w:ascii="Times New Roman" w:eastAsia="Times New Roman" w:hAnsi="Times New Roman"/>
          <w:u w:val="single"/>
          <w:lang w:val="lt-LT"/>
        </w:rPr>
        <w:t xml:space="preserve">vaistiniam </w:t>
      </w:r>
      <w:r w:rsidRPr="00BA75C2">
        <w:rPr>
          <w:rFonts w:ascii="Times New Roman" w:eastAsia="Times New Roman" w:hAnsi="Times New Roman"/>
          <w:u w:val="single"/>
          <w:lang w:val="lt-LT"/>
        </w:rPr>
        <w:t>preparat</w:t>
      </w:r>
      <w:r w:rsidR="00913DFA">
        <w:rPr>
          <w:rFonts w:ascii="Times New Roman" w:eastAsia="Times New Roman" w:hAnsi="Times New Roman"/>
          <w:u w:val="single"/>
          <w:lang w:val="lt-LT"/>
        </w:rPr>
        <w:t>ui</w:t>
      </w:r>
      <w:r w:rsidRPr="00BA75C2">
        <w:rPr>
          <w:rFonts w:ascii="Times New Roman" w:eastAsia="Times New Roman" w:hAnsi="Times New Roman"/>
          <w:u w:val="single"/>
          <w:lang w:val="lt-LT"/>
        </w:rPr>
        <w:t xml:space="preserve"> </w:t>
      </w:r>
      <w:r w:rsidR="00913DFA">
        <w:rPr>
          <w:rFonts w:ascii="Times New Roman" w:eastAsia="Times New Roman" w:hAnsi="Times New Roman"/>
          <w:u w:val="single"/>
          <w:lang w:val="lt-LT"/>
        </w:rPr>
        <w:t>patekus</w:t>
      </w:r>
      <w:r w:rsidRPr="00BA75C2">
        <w:rPr>
          <w:rFonts w:ascii="Times New Roman" w:eastAsia="Times New Roman" w:hAnsi="Times New Roman"/>
          <w:u w:val="single"/>
          <w:lang w:val="lt-LT"/>
        </w:rPr>
        <w:t xml:space="preserve"> į rinką</w:t>
      </w:r>
    </w:p>
    <w:p w:rsidR="002101F6" w:rsidRPr="00153D15" w:rsidRDefault="007D0D19" w:rsidP="002101F6">
      <w:pPr>
        <w:spacing w:after="0" w:line="240" w:lineRule="auto"/>
        <w:rPr>
          <w:rFonts w:ascii="Times New Roman" w:eastAsia="Calibri" w:hAnsi="Times New Roman"/>
          <w:lang w:val="lt-LT"/>
        </w:rPr>
      </w:pPr>
      <w:r>
        <w:rPr>
          <w:rFonts w:ascii="Times New Roman" w:eastAsia="Times New Roman" w:hAnsi="Times New Roman"/>
          <w:u w:val="single"/>
          <w:lang w:val="lt-LT"/>
        </w:rPr>
        <w:t>Šių nepageidaujamų poveikių dažnis nežinomas (negali būti apskaičiuotas pagal turimus duomenis).</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i/>
          <w:lang w:val="lt-LT"/>
        </w:rPr>
        <w:t>Imuninės sistemos sutrikimai</w:t>
      </w:r>
      <w:r w:rsidRPr="00153D15">
        <w:rPr>
          <w:rFonts w:ascii="Times New Roman" w:eastAsia="Times New Roman" w:hAnsi="Times New Roman"/>
          <w:lang w:val="lt-LT"/>
        </w:rPr>
        <w:t>: anafilaksinė reakcija.</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i/>
          <w:lang w:val="lt-LT"/>
        </w:rPr>
        <w:t>Psichikos sutrikimai</w:t>
      </w:r>
      <w:r w:rsidRPr="00153D15">
        <w:rPr>
          <w:rFonts w:ascii="Times New Roman" w:eastAsia="Times New Roman" w:hAnsi="Times New Roman"/>
          <w:lang w:val="lt-LT"/>
        </w:rPr>
        <w:t>: haliucinacijos.</w:t>
      </w:r>
    </w:p>
    <w:p w:rsidR="002101F6" w:rsidRPr="00153D15" w:rsidRDefault="002101F6" w:rsidP="002101F6">
      <w:pPr>
        <w:spacing w:after="0" w:line="240" w:lineRule="auto"/>
        <w:rPr>
          <w:rFonts w:ascii="Times New Roman" w:eastAsia="Times New Roman" w:hAnsi="Times New Roman"/>
          <w:b/>
          <w:lang w:val="lt-LT"/>
        </w:rPr>
      </w:pPr>
      <w:r w:rsidRPr="00153D15">
        <w:rPr>
          <w:rFonts w:ascii="Times New Roman" w:eastAsia="Times New Roman" w:hAnsi="Times New Roman"/>
          <w:i/>
          <w:iCs/>
          <w:lang w:val="lt-LT"/>
        </w:rPr>
        <w:t>Nervų sistemos sutrikimai</w:t>
      </w:r>
      <w:r w:rsidRPr="00153D15">
        <w:rPr>
          <w:rFonts w:ascii="Times New Roman" w:eastAsia="Times New Roman" w:hAnsi="Times New Roman"/>
          <w:lang w:val="lt-LT"/>
        </w:rPr>
        <w:t>: cerebrinis kraujavimas,</w:t>
      </w:r>
      <w:r w:rsidRPr="00153D15">
        <w:rPr>
          <w:rFonts w:ascii="Times New Roman" w:eastAsia="Times New Roman" w:hAnsi="Times New Roman"/>
          <w:b/>
          <w:lang w:val="lt-LT"/>
        </w:rPr>
        <w:t xml:space="preserve"> </w:t>
      </w:r>
      <w:r w:rsidRPr="00153D15">
        <w:rPr>
          <w:rFonts w:ascii="Times New Roman" w:eastAsia="Times New Roman" w:hAnsi="Times New Roman"/>
          <w:lang w:val="lt-LT"/>
        </w:rPr>
        <w:t>aseptinis meningitas, ageuzija, anosmija.</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bCs/>
          <w:i/>
          <w:lang w:val="lt-LT"/>
        </w:rPr>
        <w:t>Akių sutrikimai</w:t>
      </w:r>
      <w:r w:rsidRPr="00153D15">
        <w:rPr>
          <w:rFonts w:ascii="Times New Roman" w:eastAsia="Times New Roman" w:hAnsi="Times New Roman"/>
          <w:bCs/>
          <w:lang w:val="lt-LT"/>
        </w:rPr>
        <w:t xml:space="preserve">: </w:t>
      </w:r>
      <w:r w:rsidRPr="00153D15">
        <w:rPr>
          <w:rFonts w:ascii="Times New Roman" w:eastAsia="Times New Roman" w:hAnsi="Times New Roman"/>
          <w:lang w:val="lt-LT"/>
        </w:rPr>
        <w:t>konjunktyvitas.</w:t>
      </w:r>
    </w:p>
    <w:p w:rsidR="002101F6" w:rsidRPr="00153D15" w:rsidRDefault="002101F6" w:rsidP="002101F6">
      <w:pPr>
        <w:spacing w:after="0" w:line="240" w:lineRule="auto"/>
        <w:rPr>
          <w:rFonts w:ascii="Times New Roman" w:eastAsia="Times New Roman" w:hAnsi="Times New Roman"/>
          <w:b/>
          <w:lang w:val="lt-LT"/>
        </w:rPr>
      </w:pPr>
      <w:r w:rsidRPr="00153D15">
        <w:rPr>
          <w:rFonts w:ascii="Times New Roman" w:eastAsia="Times New Roman" w:hAnsi="Times New Roman"/>
          <w:i/>
          <w:lang w:val="lt-LT"/>
        </w:rPr>
        <w:t>Kraujagyslių sutrikimai</w:t>
      </w:r>
      <w:r w:rsidRPr="00153D15">
        <w:rPr>
          <w:rFonts w:ascii="Times New Roman" w:eastAsia="Times New Roman" w:hAnsi="Times New Roman"/>
          <w:lang w:val="lt-LT"/>
        </w:rPr>
        <w:t xml:space="preserve">: </w:t>
      </w:r>
      <w:r w:rsidRPr="00153D15">
        <w:rPr>
          <w:rFonts w:ascii="Times New Roman" w:eastAsia="Times New Roman" w:hAnsi="Times New Roman"/>
          <w:iCs/>
          <w:lang w:val="lt-LT"/>
        </w:rPr>
        <w:t>vaskulitas.</w:t>
      </w:r>
    </w:p>
    <w:p w:rsidR="002101F6" w:rsidRPr="00153D15" w:rsidRDefault="002101F6" w:rsidP="002101F6">
      <w:pPr>
        <w:spacing w:after="0" w:line="240" w:lineRule="auto"/>
        <w:rPr>
          <w:rFonts w:ascii="Times New Roman" w:eastAsia="Times New Roman" w:hAnsi="Times New Roman"/>
          <w:iCs/>
          <w:lang w:val="lt-LT"/>
        </w:rPr>
      </w:pPr>
      <w:r w:rsidRPr="00153D15">
        <w:rPr>
          <w:rFonts w:ascii="Times New Roman" w:eastAsia="Times New Roman" w:hAnsi="Times New Roman"/>
          <w:i/>
          <w:lang w:val="lt-LT"/>
        </w:rPr>
        <w:t>Kvėpavimo sistemos, krūtinės ląstos ir tarpuplaučio sutrikimai</w:t>
      </w:r>
      <w:r w:rsidRPr="00153D15">
        <w:rPr>
          <w:rFonts w:ascii="Times New Roman" w:eastAsia="Times New Roman" w:hAnsi="Times New Roman"/>
          <w:lang w:val="lt-LT"/>
        </w:rPr>
        <w:t>:</w:t>
      </w:r>
      <w:r w:rsidRPr="00153D15">
        <w:rPr>
          <w:rFonts w:ascii="Times New Roman" w:eastAsia="Times New Roman" w:hAnsi="Times New Roman"/>
          <w:b/>
          <w:lang w:val="lt-LT"/>
        </w:rPr>
        <w:t xml:space="preserve"> </w:t>
      </w:r>
      <w:r w:rsidRPr="00153D15">
        <w:rPr>
          <w:rFonts w:ascii="Times New Roman" w:eastAsia="Times New Roman" w:hAnsi="Times New Roman"/>
          <w:lang w:val="lt-LT"/>
        </w:rPr>
        <w:t>plaučių embolija, pneumonitas.</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i/>
          <w:lang w:val="lt-LT"/>
        </w:rPr>
        <w:t>Virškinimo trakto sutrikimai</w:t>
      </w:r>
      <w:r w:rsidRPr="00153D15">
        <w:rPr>
          <w:rFonts w:ascii="Times New Roman" w:eastAsia="Times New Roman" w:hAnsi="Times New Roman"/>
          <w:lang w:val="lt-LT"/>
        </w:rPr>
        <w:t xml:space="preserve">: skrandžio ir žarnyno hemoragija. </w:t>
      </w:r>
    </w:p>
    <w:p w:rsidR="002101F6" w:rsidRPr="00153D15" w:rsidRDefault="002101F6" w:rsidP="002101F6">
      <w:pPr>
        <w:spacing w:after="0" w:line="240" w:lineRule="auto"/>
        <w:rPr>
          <w:rFonts w:ascii="Times New Roman" w:eastAsia="Times New Roman" w:hAnsi="Times New Roman"/>
          <w:b/>
          <w:lang w:val="lt-LT"/>
        </w:rPr>
      </w:pPr>
      <w:r w:rsidRPr="00153D15">
        <w:rPr>
          <w:rFonts w:ascii="Times New Roman" w:eastAsia="Times New Roman" w:hAnsi="Times New Roman"/>
          <w:i/>
          <w:lang w:val="lt-LT"/>
        </w:rPr>
        <w:lastRenderedPageBreak/>
        <w:t>Kepenų, tulžies pūslės ir latakų sutrikimai</w:t>
      </w:r>
      <w:r w:rsidRPr="00153D15">
        <w:rPr>
          <w:rFonts w:ascii="Times New Roman" w:eastAsia="Times New Roman" w:hAnsi="Times New Roman"/>
          <w:lang w:val="lt-LT"/>
        </w:rPr>
        <w:t>: hepatitas; kepenų nepakankamumas, žaibinis hepatitas, kepenų nekrozė (žr.</w:t>
      </w:r>
      <w:r w:rsidR="009061FE" w:rsidRPr="00153D15">
        <w:rPr>
          <w:rFonts w:ascii="Times New Roman" w:eastAsia="Times New Roman" w:hAnsi="Times New Roman"/>
          <w:lang w:val="lt-LT"/>
        </w:rPr>
        <w:t xml:space="preserve"> 4.4 </w:t>
      </w:r>
      <w:r w:rsidRPr="00153D15">
        <w:rPr>
          <w:rFonts w:ascii="Times New Roman" w:eastAsia="Times New Roman" w:hAnsi="Times New Roman"/>
          <w:lang w:val="lt-LT"/>
        </w:rPr>
        <w:t>skyrių), cholestazė, cholestazinis hepatitas, gelta.</w:t>
      </w:r>
    </w:p>
    <w:p w:rsidR="002101F6" w:rsidRPr="00153D15" w:rsidRDefault="002101F6" w:rsidP="002101F6">
      <w:pPr>
        <w:spacing w:after="0" w:line="240" w:lineRule="auto"/>
        <w:rPr>
          <w:rFonts w:ascii="Times New Roman" w:eastAsia="Times New Roman" w:hAnsi="Times New Roman"/>
          <w:b/>
          <w:lang w:val="lt-LT"/>
        </w:rPr>
      </w:pPr>
      <w:r w:rsidRPr="00153D15">
        <w:rPr>
          <w:rFonts w:ascii="Times New Roman" w:eastAsia="Times New Roman" w:hAnsi="Times New Roman"/>
          <w:i/>
          <w:lang w:val="lt-LT"/>
        </w:rPr>
        <w:t>Odos ir poodinio audinio sutrikimai</w:t>
      </w:r>
      <w:r w:rsidRPr="00153D15">
        <w:rPr>
          <w:rFonts w:ascii="Times New Roman" w:eastAsia="Times New Roman" w:hAnsi="Times New Roman"/>
          <w:lang w:val="lt-LT"/>
        </w:rPr>
        <w:t>: jautrumo šviesai reakcija; Stivenso-Džonsono sindromas, daugiaformė raudonė, toksinė epidermio nekrolizė</w:t>
      </w:r>
      <w:r w:rsidRPr="00153D15">
        <w:rPr>
          <w:rFonts w:ascii="Times New Roman" w:eastAsia="Times New Roman" w:hAnsi="Times New Roman"/>
          <w:b/>
          <w:lang w:val="lt-LT"/>
        </w:rPr>
        <w:t xml:space="preserve">, </w:t>
      </w:r>
      <w:r w:rsidRPr="00153D15">
        <w:rPr>
          <w:rFonts w:ascii="Times New Roman" w:eastAsia="Times New Roman" w:hAnsi="Times New Roman"/>
          <w:lang w:val="lt-LT"/>
        </w:rPr>
        <w:t xml:space="preserve">reakcija į vaistinį preparatą su eozinofilija ir sisteminiais simptomais (angl. </w:t>
      </w:r>
      <w:r w:rsidRPr="00153D15">
        <w:rPr>
          <w:rFonts w:ascii="Times New Roman" w:eastAsia="Times New Roman" w:hAnsi="Times New Roman"/>
          <w:i/>
          <w:lang w:val="lt-LT"/>
        </w:rPr>
        <w:t>DRESS</w:t>
      </w:r>
      <w:r w:rsidRPr="00153D15">
        <w:rPr>
          <w:rFonts w:ascii="Times New Roman" w:eastAsia="Times New Roman" w:hAnsi="Times New Roman"/>
          <w:lang w:val="lt-LT"/>
        </w:rPr>
        <w:t xml:space="preserve">), ūminė išplitusi egzanteminė pustuliozė (angl. </w:t>
      </w:r>
      <w:r w:rsidRPr="00153D15">
        <w:rPr>
          <w:rFonts w:ascii="Times New Roman" w:eastAsia="Times New Roman" w:hAnsi="Times New Roman"/>
          <w:i/>
          <w:lang w:val="lt-LT"/>
        </w:rPr>
        <w:t>AGEP</w:t>
      </w:r>
      <w:r w:rsidRPr="00153D15">
        <w:rPr>
          <w:rFonts w:ascii="Times New Roman" w:eastAsia="Times New Roman" w:hAnsi="Times New Roman"/>
          <w:lang w:val="lt-LT"/>
        </w:rPr>
        <w:t>),</w:t>
      </w:r>
      <w:r w:rsidRPr="00153D15">
        <w:rPr>
          <w:rFonts w:ascii="Times New Roman" w:eastAsia="Times New Roman" w:hAnsi="Times New Roman"/>
          <w:b/>
          <w:lang w:val="lt-LT"/>
        </w:rPr>
        <w:t xml:space="preserve"> </w:t>
      </w:r>
      <w:r w:rsidRPr="00153D15">
        <w:rPr>
          <w:rFonts w:ascii="Times New Roman" w:eastAsia="Times New Roman" w:hAnsi="Times New Roman"/>
          <w:lang w:val="lt-LT"/>
        </w:rPr>
        <w:t>eksfoliacinis dermatitas.</w:t>
      </w:r>
    </w:p>
    <w:p w:rsidR="002101F6" w:rsidRPr="00153D15" w:rsidRDefault="002101F6" w:rsidP="002101F6">
      <w:pPr>
        <w:spacing w:after="0" w:line="240" w:lineRule="auto"/>
        <w:rPr>
          <w:rFonts w:ascii="Times New Roman" w:eastAsia="Times New Roman" w:hAnsi="Times New Roman"/>
          <w:b/>
          <w:lang w:val="lt-LT"/>
        </w:rPr>
      </w:pPr>
      <w:r w:rsidRPr="00153D15">
        <w:rPr>
          <w:rFonts w:ascii="Times New Roman" w:eastAsia="Times New Roman" w:hAnsi="Times New Roman"/>
          <w:i/>
          <w:lang w:val="lt-LT"/>
        </w:rPr>
        <w:t>Inkstų ir šlapimo takų sutrikimai</w:t>
      </w:r>
      <w:r w:rsidRPr="00153D15">
        <w:rPr>
          <w:rFonts w:ascii="Times New Roman" w:eastAsia="Times New Roman" w:hAnsi="Times New Roman"/>
          <w:lang w:val="lt-LT"/>
        </w:rPr>
        <w:t>: ūminis inkstų nepakankamumas (žr.</w:t>
      </w:r>
      <w:r w:rsidR="009061FE" w:rsidRPr="00153D15">
        <w:rPr>
          <w:rFonts w:ascii="Times New Roman" w:eastAsia="Times New Roman" w:hAnsi="Times New Roman"/>
          <w:lang w:val="lt-LT"/>
        </w:rPr>
        <w:t xml:space="preserve"> 4.4 </w:t>
      </w:r>
      <w:r w:rsidRPr="00153D15">
        <w:rPr>
          <w:rFonts w:ascii="Times New Roman" w:eastAsia="Times New Roman" w:hAnsi="Times New Roman"/>
          <w:lang w:val="lt-LT"/>
        </w:rPr>
        <w:t xml:space="preserve"> skyrių), hiponatremija; tubulointersticinis nefritas, nefrozinis sindromas, minimalių pokyčių glomerulonefritas.</w:t>
      </w:r>
    </w:p>
    <w:p w:rsidR="002101F6" w:rsidRPr="00153D15" w:rsidRDefault="002101F6" w:rsidP="002101F6">
      <w:pPr>
        <w:spacing w:after="0" w:line="240" w:lineRule="auto"/>
        <w:rPr>
          <w:rFonts w:ascii="Times New Roman" w:eastAsia="Times New Roman" w:hAnsi="Times New Roman"/>
          <w:b/>
          <w:lang w:val="lt-LT"/>
        </w:rPr>
      </w:pPr>
      <w:r w:rsidRPr="00153D15">
        <w:rPr>
          <w:rFonts w:ascii="Times New Roman" w:eastAsia="Times New Roman" w:hAnsi="Times New Roman"/>
          <w:i/>
          <w:lang w:val="lt-LT"/>
        </w:rPr>
        <w:t>Lytinės sistemos ir krūties sutrikimai</w:t>
      </w:r>
      <w:r w:rsidRPr="00153D15">
        <w:rPr>
          <w:rFonts w:ascii="Times New Roman" w:eastAsia="Times New Roman" w:hAnsi="Times New Roman"/>
          <w:lang w:val="lt-LT"/>
        </w:rPr>
        <w:t xml:space="preserve">: menstruacijų sutrikimas; sumažėjęs moters vaisingumas </w:t>
      </w:r>
      <w:r w:rsidR="003B1561" w:rsidRPr="00153D15">
        <w:rPr>
          <w:rFonts w:ascii="Times New Roman" w:eastAsia="Calibri" w:hAnsi="Times New Roman"/>
          <w:vertAlign w:val="superscript"/>
          <w:lang w:val="lt-LT"/>
        </w:rPr>
        <w:t>†</w:t>
      </w:r>
      <w:r w:rsidR="003B1561" w:rsidRPr="00153D15">
        <w:rPr>
          <w:rFonts w:ascii="Times New Roman" w:eastAsia="Times New Roman" w:hAnsi="Times New Roman"/>
          <w:lang w:val="lt-LT"/>
        </w:rPr>
        <w:t xml:space="preserve"> </w:t>
      </w:r>
      <w:r w:rsidRPr="00153D15">
        <w:rPr>
          <w:rFonts w:ascii="Times New Roman" w:eastAsia="Times New Roman" w:hAnsi="Times New Roman"/>
          <w:lang w:val="lt-LT"/>
        </w:rPr>
        <w:t>(žr.</w:t>
      </w:r>
      <w:r w:rsidR="009061FE" w:rsidRPr="00153D15">
        <w:rPr>
          <w:rFonts w:ascii="Times New Roman" w:eastAsia="Times New Roman" w:hAnsi="Times New Roman"/>
          <w:lang w:val="lt-LT"/>
        </w:rPr>
        <w:t xml:space="preserve"> 4.6 </w:t>
      </w:r>
      <w:r w:rsidR="009061FE" w:rsidRPr="00153D15" w:rsidDel="009061FE">
        <w:rPr>
          <w:rFonts w:ascii="Times New Roman" w:eastAsia="Times New Roman" w:hAnsi="Times New Roman"/>
          <w:lang w:val="lt-LT"/>
        </w:rPr>
        <w:t xml:space="preserve"> </w:t>
      </w:r>
      <w:r w:rsidRPr="00153D15">
        <w:rPr>
          <w:rFonts w:ascii="Times New Roman" w:eastAsia="Times New Roman" w:hAnsi="Times New Roman"/>
          <w:lang w:val="lt-LT"/>
        </w:rPr>
        <w:t>skyrių).</w:t>
      </w:r>
    </w:p>
    <w:p w:rsidR="002101F6" w:rsidRPr="00153D15" w:rsidRDefault="002101F6" w:rsidP="002101F6">
      <w:pPr>
        <w:spacing w:after="0" w:line="240" w:lineRule="auto"/>
        <w:rPr>
          <w:rFonts w:ascii="Times New Roman" w:eastAsia="Times New Roman" w:hAnsi="Times New Roman"/>
          <w:b/>
          <w:lang w:val="lt-LT"/>
        </w:rPr>
      </w:pPr>
      <w:r w:rsidRPr="00153D15">
        <w:rPr>
          <w:rFonts w:ascii="Times New Roman" w:eastAsia="Times New Roman" w:hAnsi="Times New Roman"/>
          <w:i/>
          <w:lang w:val="lt-LT"/>
        </w:rPr>
        <w:t xml:space="preserve">Bendrieji sutrikimai ir vartojimo vietos pažeidimai: </w:t>
      </w:r>
      <w:r w:rsidRPr="00153D15">
        <w:rPr>
          <w:rFonts w:ascii="Times New Roman" w:eastAsia="Times New Roman" w:hAnsi="Times New Roman"/>
          <w:lang w:val="lt-LT"/>
        </w:rPr>
        <w:t>krūtinės skausmas.</w:t>
      </w:r>
    </w:p>
    <w:p w:rsidR="002101F6" w:rsidRPr="00153D15" w:rsidRDefault="002101F6" w:rsidP="002101F6">
      <w:pPr>
        <w:spacing w:after="0" w:line="240" w:lineRule="auto"/>
        <w:jc w:val="both"/>
        <w:rPr>
          <w:rFonts w:ascii="Times New Roman" w:eastAsia="Times New Roman" w:hAnsi="Times New Roman"/>
          <w:lang w:val="lt-LT"/>
        </w:rPr>
      </w:pPr>
      <w:r w:rsidRPr="00153D15">
        <w:rPr>
          <w:rFonts w:ascii="Times New Roman" w:eastAsia="Calibri" w:hAnsi="Times New Roman"/>
          <w:vertAlign w:val="superscript"/>
          <w:lang w:val="lt-LT"/>
        </w:rPr>
        <w:t>†</w:t>
      </w:r>
      <w:r w:rsidRPr="00153D15">
        <w:rPr>
          <w:rFonts w:ascii="Times New Roman" w:eastAsia="Calibri" w:hAnsi="Times New Roman"/>
          <w:lang w:val="lt-LT"/>
        </w:rPr>
        <w:t xml:space="preserve"> </w:t>
      </w:r>
      <w:r w:rsidRPr="00153D15">
        <w:rPr>
          <w:rFonts w:ascii="Times New Roman" w:eastAsia="Times New Roman" w:hAnsi="Times New Roman"/>
          <w:lang w:val="lt-LT"/>
        </w:rPr>
        <w:t>Iš visų tyrimų buvo pašalintos planuojančios pastoti moterys, todėl šių dažnio duomenų tyrimų duomenų bazėje ieškoti nebuvo tikslinga.</w:t>
      </w:r>
    </w:p>
    <w:p w:rsidR="002101F6" w:rsidRPr="00153D15" w:rsidRDefault="002101F6" w:rsidP="002101F6">
      <w:pPr>
        <w:spacing w:after="0" w:line="240" w:lineRule="auto"/>
        <w:jc w:val="both"/>
        <w:rPr>
          <w:rFonts w:ascii="Times New Roman" w:eastAsia="Times New Roman" w:hAnsi="Times New Roman"/>
          <w:lang w:val="lt-LT"/>
        </w:rPr>
      </w:pPr>
    </w:p>
    <w:p w:rsidR="002101F6" w:rsidRPr="00153D15" w:rsidRDefault="002101F6" w:rsidP="002101F6">
      <w:pPr>
        <w:autoSpaceDE w:val="0"/>
        <w:autoSpaceDN w:val="0"/>
        <w:adjustRightInd w:val="0"/>
        <w:spacing w:after="0" w:line="240" w:lineRule="auto"/>
        <w:jc w:val="both"/>
        <w:rPr>
          <w:rFonts w:ascii="Times New Roman" w:eastAsia="Calibri" w:hAnsi="Times New Roman"/>
          <w:u w:val="single"/>
          <w:lang w:val="lt-LT"/>
        </w:rPr>
      </w:pPr>
      <w:r w:rsidRPr="00153D15">
        <w:rPr>
          <w:rFonts w:ascii="Times New Roman" w:eastAsia="Calibri" w:hAnsi="Times New Roman"/>
          <w:noProof/>
          <w:u w:val="single"/>
          <w:lang w:val="lt-LT"/>
        </w:rPr>
        <w:t>Pranešimas apie įtariamas nepageidaujamas reakcijas</w:t>
      </w:r>
    </w:p>
    <w:p w:rsidR="00BE7691" w:rsidRPr="00153D15" w:rsidRDefault="00BE7691" w:rsidP="005B2F47">
      <w:pPr>
        <w:autoSpaceDE w:val="0"/>
        <w:autoSpaceDN w:val="0"/>
        <w:adjustRightInd w:val="0"/>
        <w:spacing w:after="0" w:line="240" w:lineRule="auto"/>
        <w:jc w:val="both"/>
        <w:rPr>
          <w:rFonts w:ascii="Times New Roman" w:hAnsi="Times New Roman"/>
          <w:noProof/>
          <w:lang w:val="lt-LT"/>
        </w:rPr>
      </w:pPr>
      <w:r w:rsidRPr="00153D15">
        <w:rPr>
          <w:rFonts w:ascii="Times New Roman" w:hAnsi="Times New Roman"/>
          <w:noProof/>
          <w:lang w:val="lt-LT"/>
        </w:rPr>
        <w:t>Svarbu pranešti apie įtariamas nepageidaujamas reakcijas, pastebėtas po vaistinio preparato registracijos, nes tai leidžia nuolat stebėti vaistinio preparato naudos ir rizikos santykį.</w:t>
      </w:r>
      <w:r w:rsidRPr="00153D15">
        <w:rPr>
          <w:rFonts w:ascii="Times New Roman" w:hAnsi="Times New Roman"/>
          <w:lang w:val="lt-LT"/>
        </w:rPr>
        <w:t xml:space="preserve"> </w:t>
      </w:r>
      <w:r w:rsidRPr="00153D15">
        <w:rPr>
          <w:rFonts w:ascii="Times New Roman" w:hAnsi="Times New Roman"/>
          <w:noProof/>
          <w:lang w:val="lt-LT"/>
        </w:rPr>
        <w:t>Sveikatos priežiūros specialistai turi pranešti apie bet kokias įtariamas nepageidaujamas reakcijas, užpildę interneto svetainėje http://</w:t>
      </w:r>
      <w:hyperlink r:id="rId11" w:history="1">
        <w:r w:rsidRPr="00153D15">
          <w:rPr>
            <w:rStyle w:val="Hipersaitas"/>
            <w:rFonts w:ascii="Times New Roman" w:eastAsia="SimSun" w:hAnsi="Times New Roman"/>
            <w:noProof/>
            <w:lang w:val="lt-LT"/>
          </w:rPr>
          <w:t>www.vvkt.lt</w:t>
        </w:r>
      </w:hyperlink>
      <w:r w:rsidRPr="00153D15">
        <w:rPr>
          <w:rFonts w:ascii="Times New Roman" w:hAnsi="Times New Roman"/>
          <w:noProof/>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153D15">
          <w:rPr>
            <w:rStyle w:val="Hipersaitas"/>
            <w:rFonts w:ascii="Times New Roman" w:eastAsia="SimSun" w:hAnsi="Times New Roman"/>
            <w:noProof/>
            <w:lang w:val="lt-LT"/>
          </w:rPr>
          <w:t>NepageidaujamaR@vvkt.lt</w:t>
        </w:r>
      </w:hyperlink>
      <w:r w:rsidRPr="00153D15">
        <w:rPr>
          <w:rFonts w:ascii="Times New Roman" w:hAnsi="Times New Roman"/>
          <w:noProof/>
          <w:lang w:val="lt-LT"/>
        </w:rPr>
        <w:t xml:space="preserve">), per interneto svetainę (adresu </w:t>
      </w:r>
      <w:r w:rsidRPr="00153D15">
        <w:rPr>
          <w:rFonts w:ascii="Times New Roman" w:hAnsi="Times New Roman"/>
          <w:noProof/>
          <w:u w:val="single"/>
          <w:lang w:val="lt-LT"/>
        </w:rPr>
        <w:t>http://www.vvkt.lt</w:t>
      </w:r>
      <w:r w:rsidRPr="00153D15">
        <w:rPr>
          <w:rFonts w:ascii="Times New Roman" w:hAnsi="Times New Roman"/>
          <w:noProof/>
          <w:lang w:val="lt-LT"/>
        </w:rPr>
        <w:t>).</w:t>
      </w:r>
    </w:p>
    <w:p w:rsidR="002101F6" w:rsidRPr="00153D15" w:rsidRDefault="002101F6" w:rsidP="002101F6">
      <w:pPr>
        <w:spacing w:after="0" w:line="240" w:lineRule="auto"/>
        <w:ind w:left="567" w:hanging="567"/>
        <w:outlineLvl w:val="0"/>
        <w:rPr>
          <w:rFonts w:ascii="Times New Roman" w:eastAsia="Times New Roman" w:hAnsi="Times New Roman"/>
          <w:b/>
          <w:lang w:val="lt-LT"/>
        </w:rPr>
      </w:pPr>
    </w:p>
    <w:p w:rsidR="002101F6" w:rsidRPr="00153D15" w:rsidRDefault="002101F6" w:rsidP="002101F6">
      <w:p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lang w:val="lt-LT"/>
        </w:rPr>
        <w:t>4.9</w:t>
      </w:r>
      <w:r w:rsidRPr="00153D15">
        <w:rPr>
          <w:rFonts w:ascii="Times New Roman" w:eastAsia="Times New Roman" w:hAnsi="Times New Roman"/>
          <w:b/>
          <w:lang w:val="lt-LT"/>
        </w:rPr>
        <w:tab/>
        <w:t>Perdozavimas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Klinikinių perdozavimo požymių nenustatyta. Sveikiems žmonėms vienkartinės iki 1200 mg ir kartotinės iki 1200 mg dozės du kartus per parą, vartotos 9 dienas, kliniškai reikšmingo nepageidaujamo poveikio nesukėlė. Įtarus perdozavimą, skiriamos palaikomosios priemonės, pavyzdžiui, plaunamas skrandis, stebima organizmo būklė ir, jeigu reikia, skiriamas simptominis gydymas. </w:t>
      </w:r>
      <w:r w:rsidR="008B5F47">
        <w:rPr>
          <w:rFonts w:ascii="Times New Roman" w:eastAsia="Times New Roman" w:hAnsi="Times New Roman"/>
          <w:lang w:val="lt-LT"/>
        </w:rPr>
        <w:t>Hemod</w:t>
      </w:r>
      <w:r w:rsidR="008B5F47" w:rsidRPr="00153D15">
        <w:rPr>
          <w:rFonts w:ascii="Times New Roman" w:eastAsia="Times New Roman" w:hAnsi="Times New Roman"/>
          <w:lang w:val="lt-LT"/>
        </w:rPr>
        <w:t xml:space="preserve">ializė </w:t>
      </w:r>
      <w:r w:rsidRPr="00153D15">
        <w:rPr>
          <w:rFonts w:ascii="Times New Roman" w:eastAsia="Times New Roman" w:hAnsi="Times New Roman"/>
          <w:lang w:val="lt-LT"/>
        </w:rPr>
        <w:t>neefektyvi, nes celekoksibas stipriai susijungia su baltymais.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5.</w:t>
      </w:r>
      <w:r w:rsidRPr="00153D15">
        <w:rPr>
          <w:rFonts w:ascii="Times New Roman" w:eastAsia="Times New Roman" w:hAnsi="Times New Roman"/>
          <w:b/>
          <w:caps/>
          <w:lang w:val="lt-LT"/>
        </w:rPr>
        <w:tab/>
      </w:r>
      <w:r w:rsidRPr="00153D15">
        <w:rPr>
          <w:rFonts w:ascii="Times New Roman" w:eastAsia="Times New Roman" w:hAnsi="Times New Roman"/>
          <w:b/>
          <w:lang w:val="lt-LT"/>
        </w:rPr>
        <w:t xml:space="preserve">FARMAKOLOGINĖS </w:t>
      </w:r>
      <w:r w:rsidRPr="00153D15">
        <w:rPr>
          <w:rFonts w:ascii="Times New Roman" w:eastAsia="Times New Roman" w:hAnsi="Times New Roman"/>
          <w:b/>
          <w:caps/>
          <w:lang w:val="lt-LT"/>
        </w:rPr>
        <w:t>savybės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lang w:val="lt-LT"/>
        </w:rPr>
        <w:t>5.1</w:t>
      </w:r>
      <w:r w:rsidRPr="00153D15">
        <w:rPr>
          <w:rFonts w:ascii="Times New Roman" w:eastAsia="Times New Roman" w:hAnsi="Times New Roman"/>
          <w:b/>
          <w:lang w:val="lt-LT"/>
        </w:rPr>
        <w:tab/>
        <w:t xml:space="preserve">Farmakodinaminės savybės </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46582B" w:rsidRDefault="002101F6" w:rsidP="002101F6">
      <w:pPr>
        <w:spacing w:after="0" w:line="240" w:lineRule="auto"/>
        <w:ind w:left="567" w:hanging="567"/>
        <w:rPr>
          <w:rFonts w:ascii="Times New Roman" w:eastAsia="Times New Roman" w:hAnsi="Times New Roman"/>
          <w:lang w:val="lt-LT"/>
        </w:rPr>
      </w:pPr>
      <w:r w:rsidRPr="0046582B">
        <w:rPr>
          <w:rFonts w:ascii="Times New Roman" w:eastAsia="Times New Roman" w:hAnsi="Times New Roman"/>
          <w:lang w:val="lt-LT"/>
        </w:rPr>
        <w:t>Farmakoterapinė grupė – nesteroidiniai vaist</w:t>
      </w:r>
      <w:r w:rsidR="0046582B">
        <w:rPr>
          <w:rFonts w:ascii="Times New Roman" w:eastAsia="Times New Roman" w:hAnsi="Times New Roman"/>
          <w:lang w:val="lt-LT"/>
        </w:rPr>
        <w:t>ini</w:t>
      </w:r>
      <w:r w:rsidRPr="0046582B">
        <w:rPr>
          <w:rFonts w:ascii="Times New Roman" w:eastAsia="Times New Roman" w:hAnsi="Times New Roman"/>
          <w:lang w:val="lt-LT"/>
        </w:rPr>
        <w:t>ai</w:t>
      </w:r>
      <w:r w:rsidR="0046582B">
        <w:rPr>
          <w:rFonts w:ascii="Times New Roman" w:eastAsia="Times New Roman" w:hAnsi="Times New Roman"/>
          <w:lang w:val="lt-LT"/>
        </w:rPr>
        <w:t xml:space="preserve"> preparatai</w:t>
      </w:r>
      <w:r w:rsidRPr="0046582B">
        <w:rPr>
          <w:rFonts w:ascii="Times New Roman" w:eastAsia="Times New Roman" w:hAnsi="Times New Roman"/>
          <w:lang w:val="lt-LT"/>
        </w:rPr>
        <w:t xml:space="preserve"> nuo uždegimo (NVNU)</w:t>
      </w:r>
      <w:r w:rsidR="0046582B">
        <w:rPr>
          <w:rFonts w:ascii="Times New Roman" w:eastAsia="Times New Roman" w:hAnsi="Times New Roman"/>
          <w:lang w:val="lt-LT"/>
        </w:rPr>
        <w:t>,</w:t>
      </w:r>
      <w:r w:rsidRPr="0046582B">
        <w:rPr>
          <w:rFonts w:ascii="Times New Roman" w:eastAsia="Times New Roman" w:hAnsi="Times New Roman"/>
          <w:lang w:val="lt-LT"/>
        </w:rPr>
        <w:t xml:space="preserve"> koksibai.</w:t>
      </w:r>
    </w:p>
    <w:p w:rsidR="002101F6" w:rsidRPr="00153D15" w:rsidRDefault="002101F6" w:rsidP="002101F6">
      <w:pPr>
        <w:spacing w:after="0" w:line="240" w:lineRule="auto"/>
        <w:ind w:left="567" w:hanging="567"/>
        <w:rPr>
          <w:rFonts w:ascii="Times New Roman" w:eastAsia="Times New Roman" w:hAnsi="Times New Roman"/>
          <w:lang w:val="lt-LT"/>
        </w:rPr>
      </w:pPr>
      <w:r w:rsidRPr="0046582B">
        <w:rPr>
          <w:rFonts w:ascii="Times New Roman" w:eastAsia="Times New Roman" w:hAnsi="Times New Roman"/>
          <w:lang w:val="lt-LT"/>
        </w:rPr>
        <w:t>ATC kodas – MO1AH01.</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Celekoksibas, vartojant gydomąją dozę (200</w:t>
      </w:r>
      <w:r w:rsidRPr="00153D15">
        <w:rPr>
          <w:rFonts w:ascii="Times New Roman" w:eastAsia="Times New Roman" w:hAnsi="Times New Roman"/>
          <w:lang w:val="lt-LT"/>
        </w:rPr>
        <w:noBreakHyphen/>
        <w:t>400 mg per parą), yra aktyvus selektyvusis ciklooksigenazės 2 (COX</w:t>
      </w:r>
      <w:r w:rsidRPr="00153D15">
        <w:rPr>
          <w:rFonts w:ascii="Times New Roman" w:eastAsia="Times New Roman" w:hAnsi="Times New Roman"/>
          <w:lang w:val="lt-LT"/>
        </w:rPr>
        <w:noBreakHyphen/>
        <w:t>2) inhibitorius. Sveikiems savanoriams tokios vaistinio preparato dozės statistiškai reikšmingai neslopino COX</w:t>
      </w:r>
      <w:r w:rsidRPr="00153D15">
        <w:rPr>
          <w:rFonts w:ascii="Times New Roman" w:eastAsia="Times New Roman" w:hAnsi="Times New Roman"/>
          <w:lang w:val="lt-LT"/>
        </w:rPr>
        <w:noBreakHyphen/>
        <w:t xml:space="preserve">1 (tirtas tromboksano B2 [TxB2] sintezės slopinimas </w:t>
      </w:r>
      <w:r w:rsidRPr="00153D15">
        <w:rPr>
          <w:rFonts w:ascii="Times New Roman" w:eastAsia="Times New Roman" w:hAnsi="Times New Roman"/>
          <w:i/>
          <w:lang w:val="lt-LT"/>
        </w:rPr>
        <w:t>ex vivo</w:t>
      </w:r>
      <w:r w:rsidRPr="00153D15">
        <w:rPr>
          <w:rFonts w:ascii="Times New Roman" w:eastAsia="Times New Roman" w:hAnsi="Times New Roman"/>
          <w:lang w:val="lt-LT"/>
        </w:rPr>
        <w:t>).</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Ciklooksigenazė skatina prostaglandinų sintezę. Žinomos dvi fermento izoformos — COX</w:t>
      </w:r>
      <w:r w:rsidRPr="00153D15">
        <w:rPr>
          <w:rFonts w:ascii="Times New Roman" w:eastAsia="Times New Roman" w:hAnsi="Times New Roman"/>
          <w:lang w:val="lt-LT"/>
        </w:rPr>
        <w:noBreakHyphen/>
        <w:t>1 ir COX</w:t>
      </w:r>
      <w:r w:rsidRPr="00153D15">
        <w:rPr>
          <w:rFonts w:ascii="Times New Roman" w:eastAsia="Times New Roman" w:hAnsi="Times New Roman"/>
          <w:lang w:val="lt-LT"/>
        </w:rPr>
        <w:noBreakHyphen/>
        <w:t>2. Izoformą COX</w:t>
      </w:r>
      <w:r w:rsidRPr="00153D15">
        <w:rPr>
          <w:rFonts w:ascii="Times New Roman" w:eastAsia="Times New Roman" w:hAnsi="Times New Roman"/>
          <w:lang w:val="lt-LT"/>
        </w:rPr>
        <w:noBreakHyphen/>
        <w:t>2 aktyvuoja uždegiminiai dirgikliai, ji pirmiausia skatina prostanoidinių skausmo, uždegimo ir karščiavimo mediatorių sintezę. Be to, COX</w:t>
      </w:r>
      <w:r w:rsidRPr="00153D15">
        <w:rPr>
          <w:rFonts w:ascii="Times New Roman" w:eastAsia="Times New Roman" w:hAnsi="Times New Roman"/>
          <w:lang w:val="lt-LT"/>
        </w:rPr>
        <w:noBreakHyphen/>
        <w:t xml:space="preserve">2 daro įtaką ovuliacijai, implantacijai ir arterinio latako užakimui, reguliuoja </w:t>
      </w:r>
      <w:r w:rsidRPr="00153D15">
        <w:rPr>
          <w:rFonts w:ascii="Times New Roman" w:eastAsia="Times New Roman" w:hAnsi="Times New Roman"/>
          <w:lang w:val="lt-LT"/>
        </w:rPr>
        <w:lastRenderedPageBreak/>
        <w:t>inkstų funkciją ir centrinės nervų sistemos funkcijas (karščiavimo sužadinimą, skausmo jutimą, pažintinę funkciją). Galbūt ji skatina gyti opas. COX</w:t>
      </w:r>
      <w:r w:rsidRPr="00153D15">
        <w:rPr>
          <w:rFonts w:ascii="Times New Roman" w:eastAsia="Times New Roman" w:hAnsi="Times New Roman"/>
          <w:lang w:val="lt-LT"/>
        </w:rPr>
        <w:noBreakHyphen/>
        <w:t>2 nustatyta audiniuose aplink žmogaus skrandžio opą, tačiau neįrodyta, kad ji skatintų opos gijimą.</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Skirtingas NVNU slopinančių COX</w:t>
      </w:r>
      <w:r w:rsidRPr="00153D15">
        <w:rPr>
          <w:rFonts w:ascii="Times New Roman" w:eastAsia="Times New Roman" w:hAnsi="Times New Roman"/>
          <w:lang w:val="lt-LT"/>
        </w:rPr>
        <w:noBreakHyphen/>
        <w:t>1 ir selektyviųjų COX</w:t>
      </w:r>
      <w:r w:rsidRPr="00153D15">
        <w:rPr>
          <w:rFonts w:ascii="Times New Roman" w:eastAsia="Times New Roman" w:hAnsi="Times New Roman"/>
          <w:lang w:val="lt-LT"/>
        </w:rPr>
        <w:noBreakHyphen/>
        <w:t>2 inhibitorių poveikis trombocitų funkcijai gali būti kliniškai reikšmingas tais atvejais, kai yra trombembolinių komplikacijų pavojus. Selektyvieji COX</w:t>
      </w:r>
      <w:r w:rsidRPr="00153D15">
        <w:rPr>
          <w:rFonts w:ascii="Times New Roman" w:eastAsia="Times New Roman" w:hAnsi="Times New Roman"/>
          <w:lang w:val="lt-LT"/>
        </w:rPr>
        <w:noBreakHyphen/>
        <w:t>2 inhibitoriai mažina sisteminio (taigi galbūt ir endotelinio) prostaciklino susidarymą, neveikdamas trombocitų tromboksanui.</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Celekoksibas yra pirazolas su pakeista diarilo grupe, cheminiu požiūriu panašus į kitus ne arilamino sulfonamidus (pvz., tiazidą, furozemidą), bet skiriasi nuo arilamino sulfonamidų (pvz., sulfametoksizolio, kitų sulfonamidinių antibiotikų).</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Vartojant dideles celekoksibo dozes, nustatytas nuo dozės priklausomas poveikis TxB</w:t>
      </w:r>
      <w:r w:rsidRPr="00153D15">
        <w:rPr>
          <w:rFonts w:ascii="Times New Roman" w:eastAsia="Times New Roman" w:hAnsi="Times New Roman"/>
          <w:vertAlign w:val="subscript"/>
          <w:lang w:val="lt-LT"/>
        </w:rPr>
        <w:t>2</w:t>
      </w:r>
      <w:r w:rsidRPr="00153D15">
        <w:rPr>
          <w:rFonts w:ascii="Times New Roman" w:eastAsia="Times New Roman" w:hAnsi="Times New Roman"/>
          <w:lang w:val="lt-LT"/>
        </w:rPr>
        <w:t xml:space="preserve"> susidarymui. Tačiau nedidelio kartotinių dozių tyrimo duomenimis, sveikų asmenų organizme tris kartus per parą vartojama 600 mg celekoksibo dozė, palyginti su placebu, neveikė trombocitų agregacijos ir kraujavimo laiko.</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Atlikti keli klinikiniai celekoksibo efektyvumo ir saugumo tyrimai, kurių metu buvo gydomi osteoartritu, reumatoidiniu artritu ir ankiloziniu spondilitu sergantys pacientai. Gydymo celekoksibu poveikis uždegimui ir skausmui įvertintas 12 savaičių trukmės placebu ir (arba) aktyviai kontroliuojamais tyrimais, kuriuose dalyvavo maždaug 4200 kelio ir klubo osteoartritu sergančių pacientų, ir 24 savaičių trukmės tokiais pat tyrimais, kuriuose dalyvavo apie 2100 pacientų, sergančių reumatoidiniu artritu. 200</w:t>
      </w:r>
      <w:r w:rsidRPr="00153D15">
        <w:rPr>
          <w:rFonts w:ascii="Times New Roman" w:eastAsia="Times New Roman" w:hAnsi="Times New Roman"/>
          <w:lang w:val="lt-LT"/>
        </w:rPr>
        <w:noBreakHyphen/>
        <w:t xml:space="preserve">400 mg celekoksibo paros dozė per 24 valandas sumažino skausmą. Atlikti 12 savaičių placebu ir aktyviai kontroliuojamieji ankilozinio spondilito simptominio gydymo celekoksibu tyrimai, kuriuose </w:t>
      </w:r>
      <w:r w:rsidR="00514722">
        <w:rPr>
          <w:rFonts w:ascii="Times New Roman" w:eastAsia="Times New Roman" w:hAnsi="Times New Roman"/>
          <w:lang w:val="lt-LT"/>
        </w:rPr>
        <w:t xml:space="preserve">dalyvavo </w:t>
      </w:r>
      <w:r w:rsidRPr="00153D15">
        <w:rPr>
          <w:rFonts w:ascii="Times New Roman" w:eastAsia="Times New Roman" w:hAnsi="Times New Roman"/>
          <w:lang w:val="lt-LT"/>
        </w:rPr>
        <w:t>896 pacient</w:t>
      </w:r>
      <w:r w:rsidR="00514722">
        <w:rPr>
          <w:rFonts w:ascii="Times New Roman" w:eastAsia="Times New Roman" w:hAnsi="Times New Roman"/>
          <w:lang w:val="lt-LT"/>
        </w:rPr>
        <w:t>ai</w:t>
      </w:r>
      <w:r w:rsidRPr="00153D15">
        <w:rPr>
          <w:rFonts w:ascii="Times New Roman" w:eastAsia="Times New Roman" w:hAnsi="Times New Roman"/>
          <w:lang w:val="lt-LT"/>
        </w:rPr>
        <w:t>. Šių tyrimų metu 100 mg celekoksibo dozė du kartus per parą, 200 mg celekoksibo dozė kiekvieną dieną, 200 mg celekoksibo dozė du kartus per parą ir 400 mg celekoksibo dozė kiekvieną dieną parodė žymų skausmo sumažėjimą, bendrą ligos aktyvumo sumažėjimą ir funkcijos pagerėjimą sergant ankiloziniu spondilitu.</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Maždaug 4500 opų </w:t>
      </w:r>
      <w:r w:rsidR="00FC6DE8" w:rsidRPr="00153D15">
        <w:rPr>
          <w:rFonts w:ascii="Times New Roman" w:eastAsia="Times New Roman" w:hAnsi="Times New Roman"/>
          <w:lang w:val="lt-LT"/>
        </w:rPr>
        <w:t>neturėj</w:t>
      </w:r>
      <w:r w:rsidR="00FC6DE8">
        <w:rPr>
          <w:rFonts w:ascii="Times New Roman" w:eastAsia="Times New Roman" w:hAnsi="Times New Roman"/>
          <w:lang w:val="lt-LT"/>
        </w:rPr>
        <w:t>usių</w:t>
      </w:r>
      <w:r w:rsidR="00FC6DE8" w:rsidRPr="00153D15">
        <w:rPr>
          <w:rFonts w:ascii="Times New Roman" w:eastAsia="Times New Roman" w:hAnsi="Times New Roman"/>
          <w:lang w:val="lt-LT"/>
        </w:rPr>
        <w:t xml:space="preserve"> </w:t>
      </w:r>
      <w:r w:rsidRPr="00153D15">
        <w:rPr>
          <w:rFonts w:ascii="Times New Roman" w:eastAsia="Times New Roman" w:hAnsi="Times New Roman"/>
          <w:lang w:val="lt-LT"/>
        </w:rPr>
        <w:t>pacient</w:t>
      </w:r>
      <w:r w:rsidR="00FC6DE8">
        <w:rPr>
          <w:rFonts w:ascii="Times New Roman" w:eastAsia="Times New Roman" w:hAnsi="Times New Roman"/>
          <w:lang w:val="lt-LT"/>
        </w:rPr>
        <w:t>ų</w:t>
      </w:r>
      <w:r w:rsidRPr="00153D15">
        <w:rPr>
          <w:rFonts w:ascii="Times New Roman" w:eastAsia="Times New Roman" w:hAnsi="Times New Roman"/>
          <w:lang w:val="lt-LT"/>
        </w:rPr>
        <w:t xml:space="preserve"> dalyvavo penkiuose atsitiktinių imčių kontroliuojamuosiuose dvigubai akluose tyrimuose (skirta nuo 50 mg iki 400 mg celekoksibo dozė du kartus per parą), kurių metu atlikta planinė viršutinės virškinimo trakto dalies endoskopija. 12 savaičių trukusių endoskopijos tyrimų duomenimis, pacientams, vartojusiesiems celekoksibą (100</w:t>
      </w:r>
      <w:r w:rsidRPr="00153D15">
        <w:rPr>
          <w:rFonts w:ascii="Times New Roman" w:eastAsia="Times New Roman" w:hAnsi="Times New Roman"/>
          <w:lang w:val="lt-LT"/>
        </w:rPr>
        <w:noBreakHyphen/>
        <w:t>800 mg per parą), skrandžio ir dvylikapirštės žarnos opų pavojus buvo reikšmingai mažesnis nei vartojusiesiems naprokseną (1000 mg per parą) ir ibuprofeną (2400 mg per parą). Celekoksibo ir diklofenako (150 mg per parą) lyginamieji duomenys prieštaringi. Dviejų 12 savaičių trukmės tyrimų duomenimis, endoskopijos būdu diagnozuoto skrandžio ir dvylikapirštės žarnos išopėjimo dažn</w:t>
      </w:r>
      <w:r w:rsidR="00FC6DE8">
        <w:rPr>
          <w:rFonts w:ascii="Times New Roman" w:eastAsia="Times New Roman" w:hAnsi="Times New Roman"/>
          <w:lang w:val="lt-LT"/>
        </w:rPr>
        <w:t>i</w:t>
      </w:r>
      <w:r w:rsidRPr="00153D15">
        <w:rPr>
          <w:rFonts w:ascii="Times New Roman" w:eastAsia="Times New Roman" w:hAnsi="Times New Roman"/>
          <w:lang w:val="lt-LT"/>
        </w:rPr>
        <w:t>s grupėse pacientų, vartojusių placebą, 200 mg bei 400 mg celekoksibo du kartus per parą, skyrėsi nereikšmingai.</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Ilgame perspektyviajame saugumo tyrime (6</w:t>
      </w:r>
      <w:r w:rsidRPr="00153D15">
        <w:rPr>
          <w:rFonts w:ascii="Times New Roman" w:eastAsia="Times New Roman" w:hAnsi="Times New Roman"/>
          <w:lang w:val="lt-LT"/>
        </w:rPr>
        <w:noBreakHyphen/>
        <w:t xml:space="preserve">15 mėnesių trukmės CLASS tyrimas) dalyvavo 5800 osteoartritu ir 2200 reumatoidiniu artritu sergančių pacientų. Vieni jų gydyti 400 mg celekoksibo doze du kartus per parą (atitinkamai 4 ir 2 kartus didesnė už rekomenduojamą osteoartritui ir reumatoidiniam artritui gydyti), kiti 800 mg ibuprofeno tris kartus per parą, treti 75 mg diklofenako du kartus per parą (abiejų vaistinių preparatų dozė gydomoji). 22 procentai pacientų daugiausia širdies ir kraujagyslių sutrikimų profilaktikai kartu gėrė mažą acetilsalicilo dozę (≤ 325 mg per parą). Pirminis įvertis rodo, kad opų komplikacijų (kraujavimas iš virškinimo trakto, perforacija ar nepraeinamumas) dažnumas celekoksibo, ibuprofeno ir diklofenako grupėse skyrėsi </w:t>
      </w:r>
      <w:r w:rsidRPr="00153D15">
        <w:rPr>
          <w:rFonts w:ascii="Times New Roman" w:eastAsia="Times New Roman" w:hAnsi="Times New Roman"/>
          <w:lang w:val="lt-LT"/>
        </w:rPr>
        <w:lastRenderedPageBreak/>
        <w:t>statistiškai nereikšmingai. Jungtinėje NVNU grupėje statistiškai reikšmingo opų komplikacijų skirtumo nebuvo (santykinė rizika 0,77, 95</w:t>
      </w:r>
      <w:r w:rsidR="00FC6DE8">
        <w:rPr>
          <w:rFonts w:ascii="Times New Roman" w:eastAsia="Times New Roman" w:hAnsi="Times New Roman"/>
          <w:lang w:val="lt-LT"/>
        </w:rPr>
        <w:t xml:space="preserve"> </w:t>
      </w:r>
      <w:r w:rsidRPr="00153D15">
        <w:rPr>
          <w:rFonts w:ascii="Times New Roman" w:eastAsia="Times New Roman" w:hAnsi="Times New Roman"/>
          <w:lang w:val="lt-LT"/>
        </w:rPr>
        <w:t>% PI 0,41</w:t>
      </w:r>
      <w:r w:rsidRPr="00153D15">
        <w:rPr>
          <w:rFonts w:ascii="Times New Roman" w:eastAsia="Times New Roman" w:hAnsi="Times New Roman"/>
          <w:lang w:val="lt-LT"/>
        </w:rPr>
        <w:noBreakHyphen/>
        <w:t>1,46, remiantis viso tyrimo duomenimis). Jungtinis įvertis rodo, kad opų komplikacijų ir simptomų celekoksibo grupėje buvo reikšmingai mažiau nei NVNU grupėje (santykinė rizika 0,66, 95</w:t>
      </w:r>
      <w:r w:rsidR="00FC6DE8">
        <w:rPr>
          <w:rFonts w:ascii="Times New Roman" w:eastAsia="Times New Roman" w:hAnsi="Times New Roman"/>
          <w:lang w:val="lt-LT"/>
        </w:rPr>
        <w:t xml:space="preserve"> </w:t>
      </w:r>
      <w:r w:rsidRPr="00153D15">
        <w:rPr>
          <w:rFonts w:ascii="Times New Roman" w:eastAsia="Times New Roman" w:hAnsi="Times New Roman"/>
          <w:lang w:val="lt-LT"/>
        </w:rPr>
        <w:t>% PI 0,45</w:t>
      </w:r>
      <w:r w:rsidRPr="00153D15">
        <w:rPr>
          <w:rFonts w:ascii="Times New Roman" w:eastAsia="Times New Roman" w:hAnsi="Times New Roman"/>
          <w:lang w:val="lt-LT"/>
        </w:rPr>
        <w:noBreakHyphen/>
        <w:t>0,97), bet ne tarp celekoksibo ir diklofenako. Tiems pacientams, kurie vartojo celekoksibą kartu su maža acetilsalicilo doze, opų komplikacijų buvo 4 kartus dažniau nei vartojusiesiems vien celekoksibą. Kartojant hemoglobino koncentracijos tyrimą nustatyta, kad pacientams, kurie vartojo celekoksibą, kliniškai reikšmingai hemoglobino koncentracija sumažėjo (&gt; 2 g/dl) rečiau nei NVNU vartojusiųjų grupėje (santykinė rizika 0,29, 95</w:t>
      </w:r>
      <w:r w:rsidR="00FC6DE8">
        <w:rPr>
          <w:rFonts w:ascii="Times New Roman" w:eastAsia="Times New Roman" w:hAnsi="Times New Roman"/>
          <w:lang w:val="lt-LT"/>
        </w:rPr>
        <w:t xml:space="preserve"> </w:t>
      </w:r>
      <w:r w:rsidRPr="00153D15">
        <w:rPr>
          <w:rFonts w:ascii="Times New Roman" w:eastAsia="Times New Roman" w:hAnsi="Times New Roman"/>
          <w:lang w:val="lt-LT"/>
        </w:rPr>
        <w:t>% PI 0,17</w:t>
      </w:r>
      <w:r w:rsidRPr="00153D15">
        <w:rPr>
          <w:rFonts w:ascii="Times New Roman" w:eastAsia="Times New Roman" w:hAnsi="Times New Roman"/>
          <w:lang w:val="lt-LT"/>
        </w:rPr>
        <w:noBreakHyphen/>
        <w:t>0,48). Šio reiškinio pavojus vartojant celekoksibą mažesnis ir tais atvejais, kai kartu geriama acetilsalicilo rūgšties, ir tais, kai negeriama.</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eastAsia="lt-LT"/>
        </w:rPr>
      </w:pPr>
      <w:r w:rsidRPr="00153D15">
        <w:rPr>
          <w:rFonts w:ascii="Times New Roman" w:eastAsia="Times New Roman" w:hAnsi="Times New Roman"/>
          <w:lang w:val="lt-LT" w:eastAsia="lt-LT"/>
        </w:rPr>
        <w:t xml:space="preserve">Perspektyviojo atsitiktinių imčių 24 savaičių saugumo tyrimo, kuriame dalyvavo ≥ 60 metų </w:t>
      </w:r>
      <w:r w:rsidR="00FC6DE8">
        <w:rPr>
          <w:rFonts w:ascii="Times New Roman" w:eastAsia="Times New Roman" w:hAnsi="Times New Roman"/>
          <w:lang w:val="lt-LT" w:eastAsia="lt-LT"/>
        </w:rPr>
        <w:t xml:space="preserve">amžiaus </w:t>
      </w:r>
      <w:r w:rsidRPr="00153D15">
        <w:rPr>
          <w:rFonts w:ascii="Times New Roman" w:eastAsia="Times New Roman" w:hAnsi="Times New Roman"/>
          <w:lang w:val="lt-LT" w:eastAsia="lt-LT"/>
        </w:rPr>
        <w:t>pacientai arba pacientai, kuriems anksčiau buvo diagnozuotos skrandžio ar dvylikapirštės žarnos opos (išskyrus vartojančius ASA), duomenimis, procentinė pacientų, kurių hemoglobino koncentracija (≥ 2 g/dl) ir (arba) hematokritas (≥ 10</w:t>
      </w:r>
      <w:r w:rsidR="00FC6DE8">
        <w:rPr>
          <w:rFonts w:ascii="Times New Roman" w:eastAsia="Times New Roman" w:hAnsi="Times New Roman"/>
          <w:lang w:val="lt-LT" w:eastAsia="lt-LT"/>
        </w:rPr>
        <w:t xml:space="preserve"> </w:t>
      </w:r>
      <w:r w:rsidRPr="00153D15">
        <w:rPr>
          <w:rFonts w:ascii="Times New Roman" w:eastAsia="Times New Roman" w:hAnsi="Times New Roman"/>
          <w:lang w:val="lt-LT" w:eastAsia="lt-LT"/>
        </w:rPr>
        <w:t>%) sumažėjo dėl diagnozuoto arba įtariamo VT sutrikimo, dalis buvo mažesnė pacientų, gydytų 200 mg celekoksibo doze vieną kartą per parą (n = 2238) grupėje, palyginti su pacientais, kurie vartojo 75 mg diklofenako SR dozę du kartus per parą kartu su 20 mg omeprazolo vieną kartą per parą (n = 2246) (0,2</w:t>
      </w:r>
      <w:r w:rsidR="00FC6DE8">
        <w:rPr>
          <w:rFonts w:ascii="Times New Roman" w:eastAsia="Times New Roman" w:hAnsi="Times New Roman"/>
          <w:lang w:val="lt-LT" w:eastAsia="lt-LT"/>
        </w:rPr>
        <w:t xml:space="preserve"> </w:t>
      </w:r>
      <w:r w:rsidRPr="00153D15">
        <w:rPr>
          <w:rFonts w:ascii="Times New Roman" w:eastAsia="Times New Roman" w:hAnsi="Times New Roman"/>
          <w:lang w:val="lt-LT" w:eastAsia="lt-LT"/>
        </w:rPr>
        <w:t>%, palyginti su 1,1</w:t>
      </w:r>
      <w:r w:rsidR="00FC6DE8">
        <w:rPr>
          <w:rFonts w:ascii="Times New Roman" w:eastAsia="Times New Roman" w:hAnsi="Times New Roman"/>
          <w:lang w:val="lt-LT" w:eastAsia="lt-LT"/>
        </w:rPr>
        <w:t xml:space="preserve"> </w:t>
      </w:r>
      <w:r w:rsidRPr="00153D15">
        <w:rPr>
          <w:rFonts w:ascii="Times New Roman" w:eastAsia="Times New Roman" w:hAnsi="Times New Roman"/>
          <w:lang w:val="lt-LT" w:eastAsia="lt-LT"/>
        </w:rPr>
        <w:t>% dėl diagnozuoto VT sutrikimo, p = 0,004, 0,4</w:t>
      </w:r>
      <w:r w:rsidR="00FC6DE8">
        <w:rPr>
          <w:rFonts w:ascii="Times New Roman" w:eastAsia="Times New Roman" w:hAnsi="Times New Roman"/>
          <w:lang w:val="lt-LT" w:eastAsia="lt-LT"/>
        </w:rPr>
        <w:t xml:space="preserve"> </w:t>
      </w:r>
      <w:r w:rsidRPr="00153D15">
        <w:rPr>
          <w:rFonts w:ascii="Times New Roman" w:eastAsia="Times New Roman" w:hAnsi="Times New Roman"/>
          <w:lang w:val="lt-LT" w:eastAsia="lt-LT"/>
        </w:rPr>
        <w:t>%, palyginti su 2,4</w:t>
      </w:r>
      <w:r w:rsidR="00FC6DE8">
        <w:rPr>
          <w:rFonts w:ascii="Times New Roman" w:eastAsia="Times New Roman" w:hAnsi="Times New Roman"/>
          <w:lang w:val="lt-LT" w:eastAsia="lt-LT"/>
        </w:rPr>
        <w:t xml:space="preserve"> </w:t>
      </w:r>
      <w:r w:rsidRPr="00153D15">
        <w:rPr>
          <w:rFonts w:ascii="Times New Roman" w:eastAsia="Times New Roman" w:hAnsi="Times New Roman"/>
          <w:lang w:val="lt-LT" w:eastAsia="lt-LT"/>
        </w:rPr>
        <w:t xml:space="preserve">% dėl įtariamo VT sutrikimo, p = 0,0001). </w:t>
      </w:r>
    </w:p>
    <w:p w:rsidR="002101F6" w:rsidRPr="00153D15" w:rsidRDefault="002101F6" w:rsidP="002101F6">
      <w:pPr>
        <w:spacing w:after="0" w:line="240" w:lineRule="auto"/>
        <w:rPr>
          <w:rFonts w:ascii="Times New Roman" w:eastAsia="Times New Roman" w:hAnsi="Times New Roman"/>
          <w:lang w:val="lt-LT" w:eastAsia="lt-LT"/>
        </w:rPr>
      </w:pPr>
      <w:r w:rsidRPr="00153D15">
        <w:rPr>
          <w:rFonts w:ascii="Times New Roman" w:eastAsia="Times New Roman" w:hAnsi="Times New Roman"/>
          <w:lang w:val="lt-LT" w:eastAsia="lt-LT"/>
        </w:rPr>
        <w:t>Kliniškai pasireiškusių VT komplikacijų, pavyzdžiui, prakiurimo, nepraeinamumo ar kraujavimo, dažnis buvo labai mažas ir gydymo grupėse nesiskyrė (4</w:t>
      </w:r>
      <w:r w:rsidRPr="00153D15">
        <w:rPr>
          <w:rFonts w:ascii="Times New Roman" w:eastAsia="Times New Roman" w:hAnsi="Times New Roman"/>
          <w:lang w:val="lt-LT" w:eastAsia="lt-LT"/>
        </w:rPr>
        <w:noBreakHyphen/>
        <w:t>5 atvejai kiekvienoje grupėje).</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autoSpaceDE w:val="0"/>
        <w:autoSpaceDN w:val="0"/>
        <w:adjustRightInd w:val="0"/>
        <w:spacing w:after="0" w:line="240" w:lineRule="auto"/>
        <w:rPr>
          <w:rFonts w:ascii="Times New Roman" w:eastAsia="Times New Roman" w:hAnsi="Times New Roman"/>
          <w:i/>
          <w:lang w:val="lt-LT"/>
        </w:rPr>
      </w:pPr>
      <w:r w:rsidRPr="00153D15">
        <w:rPr>
          <w:rFonts w:ascii="Times New Roman" w:eastAsia="Times New Roman" w:hAnsi="Times New Roman"/>
          <w:bCs/>
          <w:i/>
          <w:lang w:val="lt-LT"/>
        </w:rPr>
        <w:t xml:space="preserve">Ilgalaikiai </w:t>
      </w:r>
      <w:r w:rsidR="00063F26">
        <w:rPr>
          <w:rFonts w:ascii="Times New Roman" w:eastAsia="Times New Roman" w:hAnsi="Times New Roman"/>
          <w:bCs/>
          <w:i/>
          <w:lang w:val="lt-LT"/>
        </w:rPr>
        <w:t>širdies ir kraujagyslių</w:t>
      </w:r>
      <w:r w:rsidR="00091072" w:rsidRPr="00153D15">
        <w:rPr>
          <w:rFonts w:ascii="Times New Roman" w:eastAsia="Times New Roman" w:hAnsi="Times New Roman"/>
          <w:bCs/>
          <w:i/>
          <w:lang w:val="lt-LT"/>
        </w:rPr>
        <w:t xml:space="preserve"> </w:t>
      </w:r>
      <w:r w:rsidRPr="00153D15">
        <w:rPr>
          <w:rFonts w:ascii="Times New Roman" w:eastAsia="Times New Roman" w:hAnsi="Times New Roman"/>
          <w:i/>
          <w:lang w:val="lt-LT"/>
        </w:rPr>
        <w:t xml:space="preserve">saugumo </w:t>
      </w:r>
      <w:r w:rsidRPr="00153D15">
        <w:rPr>
          <w:rFonts w:ascii="Times New Roman" w:eastAsia="Times New Roman" w:hAnsi="Times New Roman"/>
          <w:bCs/>
          <w:i/>
          <w:lang w:val="lt-LT"/>
        </w:rPr>
        <w:t>tyrimai</w:t>
      </w:r>
      <w:r w:rsidRPr="00153D15">
        <w:rPr>
          <w:rFonts w:ascii="Times New Roman" w:eastAsia="Times New Roman" w:hAnsi="Times New Roman"/>
          <w:i/>
          <w:lang w:val="lt-LT"/>
        </w:rPr>
        <w:t xml:space="preserve">, kuriuose </w:t>
      </w:r>
      <w:r w:rsidRPr="00153D15">
        <w:rPr>
          <w:rFonts w:ascii="Times New Roman" w:eastAsia="Times New Roman" w:hAnsi="Times New Roman"/>
          <w:bCs/>
          <w:i/>
          <w:lang w:val="lt-LT"/>
        </w:rPr>
        <w:t>dalyvavo asmenys, kuriems diagnozuota</w:t>
      </w:r>
      <w:r w:rsidRPr="00153D15">
        <w:rPr>
          <w:rFonts w:ascii="Times New Roman" w:eastAsia="Times New Roman" w:hAnsi="Times New Roman"/>
          <w:i/>
          <w:lang w:val="lt-LT"/>
        </w:rPr>
        <w:t xml:space="preserve"> pavienių adenomatozinių polipų</w:t>
      </w:r>
    </w:p>
    <w:p w:rsidR="002101F6" w:rsidRPr="00153D15" w:rsidRDefault="002101F6" w:rsidP="002101F6">
      <w:pPr>
        <w:autoSpaceDE w:val="0"/>
        <w:autoSpaceDN w:val="0"/>
        <w:adjustRightInd w:val="0"/>
        <w:spacing w:after="0" w:line="240" w:lineRule="auto"/>
        <w:rPr>
          <w:rFonts w:ascii="Times New Roman" w:eastAsia="Times New Roman" w:hAnsi="Times New Roman"/>
          <w:lang w:val="lt-LT"/>
        </w:rPr>
      </w:pPr>
    </w:p>
    <w:p w:rsidR="002101F6" w:rsidRPr="00153D15" w:rsidRDefault="002101F6" w:rsidP="002101F6">
      <w:pPr>
        <w:autoSpaceDE w:val="0"/>
        <w:autoSpaceDN w:val="0"/>
        <w:adjustRightInd w:val="0"/>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Atlikti du celekoksibo tyrimai, kuriuose dalyvavo asmenys, kuriems diagnozuota pavienių adenomatozinių polipų, t. y. adenomų profilaktikos celekoksibu tyrimas (angl., </w:t>
      </w:r>
      <w:r w:rsidRPr="00153D15">
        <w:rPr>
          <w:rFonts w:ascii="Times New Roman" w:eastAsia="Times New Roman" w:hAnsi="Times New Roman"/>
          <w:i/>
          <w:lang w:val="lt-LT"/>
        </w:rPr>
        <w:t>Adenoma Prevention with Celecoxib [APC]</w:t>
      </w:r>
      <w:r w:rsidRPr="00153D15">
        <w:rPr>
          <w:rFonts w:ascii="Times New Roman" w:eastAsia="Times New Roman" w:hAnsi="Times New Roman"/>
          <w:lang w:val="lt-LT"/>
        </w:rPr>
        <w:t xml:space="preserve">) ir pavienių adenomatozinių polipų profilaktikos celekoksibu tyrimas (angl., </w:t>
      </w:r>
      <w:r w:rsidRPr="00153D15">
        <w:rPr>
          <w:rFonts w:ascii="Times New Roman" w:eastAsia="Times New Roman" w:hAnsi="Times New Roman"/>
          <w:i/>
          <w:lang w:val="lt-LT"/>
        </w:rPr>
        <w:t>Prevention of Spontaneous Adenomatous Polyps [PreSAP]</w:t>
      </w:r>
      <w:r w:rsidRPr="00153D15">
        <w:rPr>
          <w:rFonts w:ascii="Times New Roman" w:eastAsia="Times New Roman" w:hAnsi="Times New Roman"/>
          <w:lang w:val="lt-LT"/>
        </w:rPr>
        <w:t xml:space="preserve">). APC tyrimo duomenimis, vartojant celekoksibą, palyginti su placebu, per 3 tyrimo metus nuo dozės priklausomo jungtinės </w:t>
      </w:r>
      <w:r w:rsidR="00063F26">
        <w:rPr>
          <w:rFonts w:ascii="Times New Roman" w:eastAsia="Times New Roman" w:hAnsi="Times New Roman"/>
          <w:lang w:val="lt-LT"/>
        </w:rPr>
        <w:t>širdies ir kraujagyslių</w:t>
      </w:r>
      <w:r w:rsidR="00091072" w:rsidRPr="00153D15">
        <w:rPr>
          <w:rFonts w:ascii="Times New Roman" w:eastAsia="Times New Roman" w:hAnsi="Times New Roman"/>
          <w:lang w:val="lt-LT"/>
        </w:rPr>
        <w:t xml:space="preserve"> </w:t>
      </w:r>
      <w:r w:rsidRPr="00153D15">
        <w:rPr>
          <w:rFonts w:ascii="Times New Roman" w:eastAsia="Times New Roman" w:hAnsi="Times New Roman"/>
          <w:lang w:val="lt-LT"/>
        </w:rPr>
        <w:t>mirties, miokardo infarkto ar insulto (diagnozuotų atvejų) vertinamosios baigties padidėjimo nenustatyta. PreSAP tyrimas statistiškai reikšmingo tos pačios jungtinės vertinamosios baigties rizikos padidėjimo neparodė.</w:t>
      </w:r>
    </w:p>
    <w:p w:rsidR="002101F6" w:rsidRPr="00153D15" w:rsidRDefault="002101F6" w:rsidP="002101F6">
      <w:pPr>
        <w:autoSpaceDE w:val="0"/>
        <w:autoSpaceDN w:val="0"/>
        <w:adjustRightInd w:val="0"/>
        <w:spacing w:after="0" w:line="240" w:lineRule="auto"/>
        <w:rPr>
          <w:rFonts w:ascii="Times New Roman" w:eastAsia="Times New Roman" w:hAnsi="Times New Roman"/>
          <w:lang w:val="lt-LT"/>
        </w:rPr>
      </w:pPr>
    </w:p>
    <w:p w:rsidR="002101F6" w:rsidRPr="00153D15" w:rsidRDefault="002101F6" w:rsidP="002101F6">
      <w:pPr>
        <w:autoSpaceDE w:val="0"/>
        <w:autoSpaceDN w:val="0"/>
        <w:adjustRightInd w:val="0"/>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APC tyrimo duomenimis, jungtinės </w:t>
      </w:r>
      <w:r w:rsidR="00063F26">
        <w:rPr>
          <w:rFonts w:ascii="Times New Roman" w:eastAsia="Times New Roman" w:hAnsi="Times New Roman"/>
          <w:lang w:val="lt-LT"/>
        </w:rPr>
        <w:t>širdies ir kraujagyslių</w:t>
      </w:r>
      <w:r w:rsidR="00091072" w:rsidRPr="00153D15">
        <w:rPr>
          <w:rFonts w:ascii="Times New Roman" w:eastAsia="Times New Roman" w:hAnsi="Times New Roman"/>
          <w:lang w:val="lt-LT"/>
        </w:rPr>
        <w:t xml:space="preserve"> </w:t>
      </w:r>
      <w:r w:rsidRPr="00153D15">
        <w:rPr>
          <w:rFonts w:ascii="Times New Roman" w:eastAsia="Times New Roman" w:hAnsi="Times New Roman"/>
          <w:lang w:val="lt-LT"/>
        </w:rPr>
        <w:t>mirties, miokardo infarkto ar insulto (diagnozuotų atvejų) vertinamosios baigties santykinė rizika vartojant 400 mg celekoksibo dozę du kartus per parą, palyginti su placebu, buvo 3,4 (95</w:t>
      </w:r>
      <w:r w:rsidR="00FC6DE8">
        <w:rPr>
          <w:rFonts w:ascii="Times New Roman" w:eastAsia="Times New Roman" w:hAnsi="Times New Roman"/>
          <w:lang w:val="lt-LT"/>
        </w:rPr>
        <w:t xml:space="preserve"> </w:t>
      </w:r>
      <w:r w:rsidRPr="00153D15">
        <w:rPr>
          <w:rFonts w:ascii="Times New Roman" w:eastAsia="Times New Roman" w:hAnsi="Times New Roman"/>
          <w:lang w:val="lt-LT"/>
        </w:rPr>
        <w:t>% PI 1,4</w:t>
      </w:r>
      <w:r w:rsidRPr="00153D15">
        <w:rPr>
          <w:rFonts w:ascii="Times New Roman" w:eastAsia="Times New Roman" w:hAnsi="Times New Roman"/>
          <w:lang w:val="lt-LT"/>
        </w:rPr>
        <w:noBreakHyphen/>
        <w:t>8,5), o vartojant 200 mg celekoksibo dozę du kartus per parą - 2,8 (95</w:t>
      </w:r>
      <w:r w:rsidR="00FC6DE8">
        <w:rPr>
          <w:rFonts w:ascii="Times New Roman" w:eastAsia="Times New Roman" w:hAnsi="Times New Roman"/>
          <w:lang w:val="lt-LT"/>
        </w:rPr>
        <w:t xml:space="preserve"> </w:t>
      </w:r>
      <w:r w:rsidRPr="00153D15">
        <w:rPr>
          <w:rFonts w:ascii="Times New Roman" w:eastAsia="Times New Roman" w:hAnsi="Times New Roman"/>
          <w:lang w:val="lt-LT"/>
        </w:rPr>
        <w:t>% PI 1,1</w:t>
      </w:r>
      <w:r w:rsidRPr="00153D15">
        <w:rPr>
          <w:rFonts w:ascii="Times New Roman" w:eastAsia="Times New Roman" w:hAnsi="Times New Roman"/>
          <w:lang w:val="lt-LT"/>
        </w:rPr>
        <w:noBreakHyphen/>
        <w:t>7,2). Šios vertinamosios baigties kaupimosi dažnis per 3 metus buvo atitinkamai 3,0</w:t>
      </w:r>
      <w:r w:rsidR="00FC6DE8">
        <w:rPr>
          <w:rFonts w:ascii="Times New Roman" w:eastAsia="Times New Roman" w:hAnsi="Times New Roman"/>
          <w:lang w:val="lt-LT"/>
        </w:rPr>
        <w:t xml:space="preserve"> </w:t>
      </w:r>
      <w:r w:rsidRPr="00153D15">
        <w:rPr>
          <w:rFonts w:ascii="Times New Roman" w:eastAsia="Times New Roman" w:hAnsi="Times New Roman"/>
          <w:lang w:val="lt-LT"/>
        </w:rPr>
        <w:t>% (20 iš 671 asmens) ir 2,5</w:t>
      </w:r>
      <w:r w:rsidR="00FC6DE8">
        <w:rPr>
          <w:rFonts w:ascii="Times New Roman" w:eastAsia="Times New Roman" w:hAnsi="Times New Roman"/>
          <w:lang w:val="lt-LT"/>
        </w:rPr>
        <w:t xml:space="preserve"> </w:t>
      </w:r>
      <w:r w:rsidRPr="00153D15">
        <w:rPr>
          <w:rFonts w:ascii="Times New Roman" w:eastAsia="Times New Roman" w:hAnsi="Times New Roman"/>
          <w:lang w:val="lt-LT"/>
        </w:rPr>
        <w:t>% (17 iš 685 asmenų), palyginti su 0,9</w:t>
      </w:r>
      <w:r w:rsidR="00FC6DE8">
        <w:rPr>
          <w:rFonts w:ascii="Times New Roman" w:eastAsia="Times New Roman" w:hAnsi="Times New Roman"/>
          <w:lang w:val="lt-LT"/>
        </w:rPr>
        <w:t xml:space="preserve"> </w:t>
      </w:r>
      <w:r w:rsidRPr="00153D15">
        <w:rPr>
          <w:rFonts w:ascii="Times New Roman" w:eastAsia="Times New Roman" w:hAnsi="Times New Roman"/>
          <w:lang w:val="lt-LT"/>
        </w:rPr>
        <w:t>% (6 iš 679 asmenų). Padidėjimą abiejų celekoksibo dozių grupėse, palyginti su placebo grupe, daugiausiai lėmė miokardo infarkto padažnėjimas.</w:t>
      </w:r>
    </w:p>
    <w:p w:rsidR="002101F6" w:rsidRPr="00153D15" w:rsidRDefault="002101F6" w:rsidP="002101F6">
      <w:pPr>
        <w:autoSpaceDE w:val="0"/>
        <w:autoSpaceDN w:val="0"/>
        <w:adjustRightInd w:val="0"/>
        <w:spacing w:after="0" w:line="240" w:lineRule="auto"/>
        <w:rPr>
          <w:rFonts w:ascii="Times New Roman" w:eastAsia="Times New Roman" w:hAnsi="Times New Roman"/>
          <w:lang w:val="lt-LT"/>
        </w:rPr>
      </w:pPr>
    </w:p>
    <w:p w:rsidR="002101F6" w:rsidRPr="00153D15" w:rsidRDefault="002101F6" w:rsidP="002101F6">
      <w:pPr>
        <w:autoSpaceDE w:val="0"/>
        <w:autoSpaceDN w:val="0"/>
        <w:adjustRightInd w:val="0"/>
        <w:spacing w:after="0" w:line="240" w:lineRule="auto"/>
        <w:rPr>
          <w:rFonts w:ascii="Times New Roman" w:eastAsia="Times New Roman" w:hAnsi="Times New Roman"/>
          <w:lang w:val="lt-LT"/>
        </w:rPr>
      </w:pPr>
      <w:r w:rsidRPr="00153D15">
        <w:rPr>
          <w:rFonts w:ascii="Times New Roman" w:eastAsia="Times New Roman" w:hAnsi="Times New Roman"/>
          <w:lang w:val="lt-LT"/>
        </w:rPr>
        <w:t>PreSAP tyrimo duomenimis, tos pačios jungtinės (diagnozuotų atvejų) vertinamosios baigties santykinė rizika vartojant 400 mg celekoksibo vieną kartą per parą, palyginti su placebu, buvo 1,2 (95</w:t>
      </w:r>
      <w:r w:rsidR="00FC6DE8">
        <w:rPr>
          <w:rFonts w:ascii="Times New Roman" w:eastAsia="Times New Roman" w:hAnsi="Times New Roman"/>
          <w:lang w:val="lt-LT"/>
        </w:rPr>
        <w:t xml:space="preserve"> </w:t>
      </w:r>
      <w:r w:rsidRPr="00153D15">
        <w:rPr>
          <w:rFonts w:ascii="Times New Roman" w:eastAsia="Times New Roman" w:hAnsi="Times New Roman"/>
          <w:lang w:val="lt-LT"/>
        </w:rPr>
        <w:t>% PI 0,6</w:t>
      </w:r>
      <w:r w:rsidRPr="00153D15">
        <w:rPr>
          <w:rFonts w:ascii="Times New Roman" w:eastAsia="Times New Roman" w:hAnsi="Times New Roman"/>
          <w:lang w:val="lt-LT"/>
        </w:rPr>
        <w:noBreakHyphen/>
        <w:t>2,4). Šios vertinamosios baigties kaupimosi dažnis per 3 metus buvo atitinkamai 2,3</w:t>
      </w:r>
      <w:r w:rsidR="00FC6DE8">
        <w:rPr>
          <w:rFonts w:ascii="Times New Roman" w:eastAsia="Times New Roman" w:hAnsi="Times New Roman"/>
          <w:lang w:val="lt-LT"/>
        </w:rPr>
        <w:t xml:space="preserve"> </w:t>
      </w:r>
      <w:r w:rsidRPr="00153D15">
        <w:rPr>
          <w:rFonts w:ascii="Times New Roman" w:eastAsia="Times New Roman" w:hAnsi="Times New Roman"/>
          <w:lang w:val="lt-LT"/>
        </w:rPr>
        <w:t>% (21 iš 933 asmenų) ir 1,9</w:t>
      </w:r>
      <w:r w:rsidR="00FC6DE8">
        <w:rPr>
          <w:rFonts w:ascii="Times New Roman" w:eastAsia="Times New Roman" w:hAnsi="Times New Roman"/>
          <w:lang w:val="lt-LT"/>
        </w:rPr>
        <w:t xml:space="preserve"> </w:t>
      </w:r>
      <w:r w:rsidRPr="00153D15">
        <w:rPr>
          <w:rFonts w:ascii="Times New Roman" w:eastAsia="Times New Roman" w:hAnsi="Times New Roman"/>
          <w:lang w:val="lt-LT"/>
        </w:rPr>
        <w:t xml:space="preserve">% (12 iš 628 asmenų). Miokardo infarkto (diagnozuotų atvejų) dažnis vartojant 400 mg celekoksibo vieną </w:t>
      </w:r>
      <w:r w:rsidRPr="00153D15">
        <w:rPr>
          <w:rFonts w:ascii="Times New Roman" w:eastAsia="Times New Roman" w:hAnsi="Times New Roman"/>
          <w:lang w:val="lt-LT"/>
        </w:rPr>
        <w:lastRenderedPageBreak/>
        <w:t>kartą per parą buvo 1,0</w:t>
      </w:r>
      <w:r w:rsidR="00FC6DE8">
        <w:rPr>
          <w:rFonts w:ascii="Times New Roman" w:eastAsia="Times New Roman" w:hAnsi="Times New Roman"/>
          <w:lang w:val="lt-LT"/>
        </w:rPr>
        <w:t xml:space="preserve"> </w:t>
      </w:r>
      <w:r w:rsidRPr="00153D15">
        <w:rPr>
          <w:rFonts w:ascii="Times New Roman" w:eastAsia="Times New Roman" w:hAnsi="Times New Roman"/>
          <w:lang w:val="lt-LT"/>
        </w:rPr>
        <w:t>% (9 iš 933 asmenų), o vartojant placebą - 0,6</w:t>
      </w:r>
      <w:r w:rsidR="00FC6DE8">
        <w:rPr>
          <w:rFonts w:ascii="Times New Roman" w:eastAsia="Times New Roman" w:hAnsi="Times New Roman"/>
          <w:lang w:val="lt-LT"/>
        </w:rPr>
        <w:t xml:space="preserve"> </w:t>
      </w:r>
      <w:r w:rsidRPr="00153D15">
        <w:rPr>
          <w:rFonts w:ascii="Times New Roman" w:eastAsia="Times New Roman" w:hAnsi="Times New Roman"/>
          <w:lang w:val="lt-LT"/>
        </w:rPr>
        <w:t>% (4 iš 628 asmenų).</w:t>
      </w:r>
    </w:p>
    <w:p w:rsidR="002101F6" w:rsidRPr="00153D15" w:rsidRDefault="002101F6" w:rsidP="002101F6">
      <w:pPr>
        <w:autoSpaceDE w:val="0"/>
        <w:autoSpaceDN w:val="0"/>
        <w:adjustRightInd w:val="0"/>
        <w:spacing w:after="0" w:line="240" w:lineRule="auto"/>
        <w:rPr>
          <w:rFonts w:ascii="Times New Roman" w:eastAsia="Times New Roman" w:hAnsi="Times New Roman"/>
          <w:lang w:val="lt-LT"/>
        </w:rPr>
      </w:pPr>
    </w:p>
    <w:p w:rsidR="002101F6" w:rsidRDefault="002101F6" w:rsidP="002101F6">
      <w:pPr>
        <w:autoSpaceDE w:val="0"/>
        <w:autoSpaceDN w:val="0"/>
        <w:adjustRightInd w:val="0"/>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Trečiasis ilgalaikis Alzheimerio ligos priešuždegiminės profilaktikos tyrimas (angl. </w:t>
      </w:r>
      <w:r w:rsidRPr="00153D15">
        <w:rPr>
          <w:rFonts w:ascii="Times New Roman" w:eastAsia="Times New Roman" w:hAnsi="Times New Roman"/>
          <w:i/>
          <w:lang w:val="lt-LT"/>
        </w:rPr>
        <w:t>The Alzheimer's Disease Anti-inflammatory Prevention Trial</w:t>
      </w:r>
      <w:r w:rsidRPr="00153D15">
        <w:rPr>
          <w:rFonts w:ascii="Times New Roman" w:eastAsia="Times New Roman" w:hAnsi="Times New Roman"/>
          <w:lang w:val="lt-LT"/>
        </w:rPr>
        <w:t xml:space="preserve"> </w:t>
      </w:r>
      <w:r w:rsidRPr="00153D15">
        <w:rPr>
          <w:rFonts w:ascii="Times New Roman" w:eastAsia="Times New Roman" w:hAnsi="Times New Roman"/>
          <w:i/>
          <w:lang w:val="lt-LT"/>
        </w:rPr>
        <w:t>[ADAPT]</w:t>
      </w:r>
      <w:r w:rsidRPr="00153D15">
        <w:rPr>
          <w:rFonts w:ascii="Times New Roman" w:eastAsia="Times New Roman" w:hAnsi="Times New Roman"/>
          <w:lang w:val="lt-LT"/>
        </w:rPr>
        <w:t xml:space="preserve">) žymaus </w:t>
      </w:r>
      <w:r w:rsidR="00063F26">
        <w:rPr>
          <w:rFonts w:ascii="Times New Roman" w:eastAsia="Times New Roman" w:hAnsi="Times New Roman"/>
          <w:lang w:val="lt-LT"/>
        </w:rPr>
        <w:t>širdies ir kraujagyslių</w:t>
      </w:r>
      <w:r w:rsidR="00091072" w:rsidRPr="00153D15">
        <w:rPr>
          <w:rFonts w:ascii="Times New Roman" w:eastAsia="Times New Roman" w:hAnsi="Times New Roman"/>
          <w:lang w:val="lt-LT"/>
        </w:rPr>
        <w:t xml:space="preserve"> </w:t>
      </w:r>
      <w:r w:rsidRPr="00153D15">
        <w:rPr>
          <w:rFonts w:ascii="Times New Roman" w:eastAsia="Times New Roman" w:hAnsi="Times New Roman"/>
          <w:lang w:val="lt-LT"/>
        </w:rPr>
        <w:t>rizikos padidėjimo vartojant 200 mg celekoksibo du kartus per parą, palyginti su placebu, neparodė. Panašios vertinamosios baigties (</w:t>
      </w:r>
      <w:r w:rsidR="00063F26">
        <w:rPr>
          <w:rFonts w:ascii="Times New Roman" w:eastAsia="Times New Roman" w:hAnsi="Times New Roman"/>
          <w:lang w:val="lt-LT"/>
        </w:rPr>
        <w:t>širdies ir kraujagylių</w:t>
      </w:r>
      <w:r w:rsidR="00091072" w:rsidRPr="00153D15">
        <w:rPr>
          <w:rFonts w:ascii="Times New Roman" w:eastAsia="Times New Roman" w:hAnsi="Times New Roman"/>
          <w:lang w:val="lt-LT"/>
        </w:rPr>
        <w:t xml:space="preserve"> </w:t>
      </w:r>
      <w:r w:rsidRPr="00153D15">
        <w:rPr>
          <w:rFonts w:ascii="Times New Roman" w:eastAsia="Times New Roman" w:hAnsi="Times New Roman"/>
          <w:lang w:val="lt-LT"/>
        </w:rPr>
        <w:t>mirties, miokardo infarkto, insulto) santykinė rizika vartojant 200 mg celekoksibo du kartus per parą, palyginti su placebu, buvo 1,14</w:t>
      </w:r>
      <w:r w:rsidR="00DC3C99">
        <w:rPr>
          <w:rFonts w:ascii="Times New Roman" w:eastAsia="Times New Roman" w:hAnsi="Times New Roman"/>
          <w:lang w:val="lt-LT"/>
        </w:rPr>
        <w:t xml:space="preserve"> </w:t>
      </w:r>
      <w:r w:rsidRPr="00153D15">
        <w:rPr>
          <w:rFonts w:ascii="Times New Roman" w:eastAsia="Times New Roman" w:hAnsi="Times New Roman"/>
          <w:lang w:val="lt-LT"/>
        </w:rPr>
        <w:t>% (95</w:t>
      </w:r>
      <w:r w:rsidR="00DC3C99">
        <w:rPr>
          <w:rFonts w:ascii="Times New Roman" w:eastAsia="Times New Roman" w:hAnsi="Times New Roman"/>
          <w:lang w:val="lt-LT"/>
        </w:rPr>
        <w:t xml:space="preserve"> </w:t>
      </w:r>
      <w:r w:rsidRPr="00153D15">
        <w:rPr>
          <w:rFonts w:ascii="Times New Roman" w:eastAsia="Times New Roman" w:hAnsi="Times New Roman"/>
          <w:lang w:val="lt-LT"/>
        </w:rPr>
        <w:t>% PI 0,61</w:t>
      </w:r>
      <w:r w:rsidRPr="00153D15">
        <w:rPr>
          <w:rFonts w:ascii="Times New Roman" w:eastAsia="Times New Roman" w:hAnsi="Times New Roman"/>
          <w:lang w:val="lt-LT"/>
        </w:rPr>
        <w:noBreakHyphen/>
        <w:t>2,1</w:t>
      </w:r>
      <w:r w:rsidR="00117637">
        <w:rPr>
          <w:rFonts w:ascii="Times New Roman" w:eastAsia="Times New Roman" w:hAnsi="Times New Roman"/>
          <w:lang w:val="lt-LT"/>
        </w:rPr>
        <w:t>5</w:t>
      </w:r>
      <w:r w:rsidRPr="00153D15">
        <w:rPr>
          <w:rFonts w:ascii="Times New Roman" w:eastAsia="Times New Roman" w:hAnsi="Times New Roman"/>
          <w:lang w:val="lt-LT"/>
        </w:rPr>
        <w:t>). Miokardo infarkto dažnis vartojant 200 mg celekoksibo du kartus per parą buvo 1,1</w:t>
      </w:r>
      <w:r w:rsidR="00DC3C99">
        <w:rPr>
          <w:rFonts w:ascii="Times New Roman" w:eastAsia="Times New Roman" w:hAnsi="Times New Roman"/>
          <w:lang w:val="lt-LT"/>
        </w:rPr>
        <w:t xml:space="preserve"> </w:t>
      </w:r>
      <w:r w:rsidRPr="00153D15">
        <w:rPr>
          <w:rFonts w:ascii="Times New Roman" w:eastAsia="Times New Roman" w:hAnsi="Times New Roman"/>
          <w:lang w:val="lt-LT"/>
        </w:rPr>
        <w:t>% (8 iš 717 pacientų), palyginti su 1,2</w:t>
      </w:r>
      <w:r w:rsidR="00DC3C99">
        <w:rPr>
          <w:rFonts w:ascii="Times New Roman" w:eastAsia="Times New Roman" w:hAnsi="Times New Roman"/>
          <w:lang w:val="lt-LT"/>
        </w:rPr>
        <w:t xml:space="preserve"> </w:t>
      </w:r>
      <w:r w:rsidRPr="00153D15">
        <w:rPr>
          <w:rFonts w:ascii="Times New Roman" w:eastAsia="Times New Roman" w:hAnsi="Times New Roman"/>
          <w:lang w:val="lt-LT"/>
        </w:rPr>
        <w:t>% (13 iš 1070 pacientų) placebo grupėje.</w:t>
      </w:r>
    </w:p>
    <w:p w:rsidR="00117637" w:rsidRDefault="00117637" w:rsidP="002101F6">
      <w:pPr>
        <w:autoSpaceDE w:val="0"/>
        <w:autoSpaceDN w:val="0"/>
        <w:adjustRightInd w:val="0"/>
        <w:spacing w:after="0" w:line="240" w:lineRule="auto"/>
        <w:rPr>
          <w:rFonts w:ascii="Times New Roman" w:eastAsia="Times New Roman" w:hAnsi="Times New Roman"/>
          <w:lang w:val="lt-LT"/>
        </w:rPr>
      </w:pPr>
    </w:p>
    <w:p w:rsidR="00F150E1" w:rsidRDefault="00117637" w:rsidP="00DC6B6B">
      <w:pPr>
        <w:spacing w:after="0" w:line="240" w:lineRule="auto"/>
        <w:rPr>
          <w:lang w:val="lt-LT"/>
        </w:rPr>
      </w:pPr>
      <w:bookmarkStart w:id="2" w:name="_Hlk529888710"/>
      <w:r w:rsidRPr="002D1464">
        <w:rPr>
          <w:lang w:val="lt-LT"/>
        </w:rPr>
        <w:t>Perspektyv</w:t>
      </w:r>
      <w:r w:rsidR="00833D01">
        <w:rPr>
          <w:lang w:val="lt-LT"/>
        </w:rPr>
        <w:t>usis</w:t>
      </w:r>
      <w:r w:rsidRPr="002D1464">
        <w:rPr>
          <w:lang w:val="lt-LT"/>
        </w:rPr>
        <w:t xml:space="preserve"> atsitiktinių imčių celekoksibo integruoto saugumo </w:t>
      </w:r>
      <w:r w:rsidR="00D056C7">
        <w:rPr>
          <w:lang w:val="lt-LT"/>
        </w:rPr>
        <w:t>lyginant</w:t>
      </w:r>
      <w:r w:rsidRPr="002D1464">
        <w:rPr>
          <w:lang w:val="lt-LT"/>
        </w:rPr>
        <w:t xml:space="preserve"> su ibuprofenu arba naproksenu vertinimas</w:t>
      </w:r>
      <w:r w:rsidR="00F150E1">
        <w:rPr>
          <w:lang w:val="lt-LT"/>
        </w:rPr>
        <w:t xml:space="preserve"> </w:t>
      </w:r>
      <w:r w:rsidR="00F150E1" w:rsidRPr="00DC6B6B">
        <w:rPr>
          <w:rFonts w:ascii="Times New Roman" w:eastAsia="Times New Roman" w:hAnsi="Times New Roman"/>
          <w:lang w:val="lt-LT"/>
        </w:rPr>
        <w:t>PRECISION</w:t>
      </w:r>
      <w:r w:rsidR="00BA46DA" w:rsidRPr="002D1464">
        <w:rPr>
          <w:lang w:val="lt-LT"/>
        </w:rPr>
        <w:t xml:space="preserve"> </w:t>
      </w:r>
    </w:p>
    <w:p w:rsidR="00F150E1" w:rsidRPr="00D41CFF" w:rsidRDefault="00F150E1" w:rsidP="00F150E1">
      <w:pPr>
        <w:spacing w:after="0" w:line="240" w:lineRule="auto"/>
        <w:rPr>
          <w:rFonts w:ascii="Times New Roman" w:eastAsia="Times New Roman" w:hAnsi="Times New Roman"/>
          <w:lang w:val="lt-LT"/>
        </w:rPr>
      </w:pPr>
      <w:r w:rsidRPr="00DC6B6B">
        <w:rPr>
          <w:rFonts w:ascii="Times New Roman" w:eastAsia="Times New Roman" w:hAnsi="Times New Roman"/>
          <w:lang w:val="lt-LT"/>
        </w:rPr>
        <w:t>Tyrimas PRECISION buvo dvigubai koduotas saugumo širdies ir kraujagyslių sistemai tyrimas osteoartritu arba reumatoidiniu artritu serg</w:t>
      </w:r>
      <w:r w:rsidR="004D0E11">
        <w:rPr>
          <w:rFonts w:ascii="Times New Roman" w:eastAsia="Times New Roman" w:hAnsi="Times New Roman"/>
          <w:lang w:val="lt-LT"/>
        </w:rPr>
        <w:t>usia</w:t>
      </w:r>
      <w:r w:rsidRPr="00DC6B6B">
        <w:rPr>
          <w:rFonts w:ascii="Times New Roman" w:eastAsia="Times New Roman" w:hAnsi="Times New Roman"/>
          <w:lang w:val="lt-LT"/>
        </w:rPr>
        <w:t xml:space="preserve">is pacientais, kuriems </w:t>
      </w:r>
      <w:r w:rsidR="004D0E11">
        <w:rPr>
          <w:rFonts w:ascii="Times New Roman" w:eastAsia="Times New Roman" w:hAnsi="Times New Roman"/>
          <w:lang w:val="lt-LT"/>
        </w:rPr>
        <w:t xml:space="preserve">buvo </w:t>
      </w:r>
      <w:r w:rsidRPr="00DC6B6B">
        <w:rPr>
          <w:rFonts w:ascii="Times New Roman" w:eastAsia="Times New Roman" w:hAnsi="Times New Roman"/>
          <w:lang w:val="lt-LT"/>
        </w:rPr>
        <w:t>širdies ir kraujagyslių lig</w:t>
      </w:r>
      <w:r w:rsidR="004D0E11">
        <w:rPr>
          <w:rFonts w:ascii="Times New Roman" w:eastAsia="Times New Roman" w:hAnsi="Times New Roman"/>
          <w:lang w:val="lt-LT"/>
        </w:rPr>
        <w:t xml:space="preserve">ų arba buvo didelė jų </w:t>
      </w:r>
      <w:r w:rsidRPr="00DC6B6B">
        <w:rPr>
          <w:rFonts w:ascii="Times New Roman" w:eastAsia="Times New Roman" w:hAnsi="Times New Roman"/>
          <w:lang w:val="lt-LT"/>
        </w:rPr>
        <w:t>rizika, kuriame celekoksibas (</w:t>
      </w:r>
      <w:r w:rsidR="004D0E11">
        <w:rPr>
          <w:rFonts w:ascii="Times New Roman" w:eastAsia="Times New Roman" w:hAnsi="Times New Roman"/>
          <w:lang w:val="lt-LT"/>
        </w:rPr>
        <w:t xml:space="preserve">vartotas po </w:t>
      </w:r>
      <w:r w:rsidRPr="00DC6B6B">
        <w:rPr>
          <w:rFonts w:ascii="Times New Roman" w:eastAsia="Times New Roman" w:hAnsi="Times New Roman"/>
          <w:lang w:val="lt-LT"/>
        </w:rPr>
        <w:t>200–400 mg per parą) lygintas su naproksenu (</w:t>
      </w:r>
      <w:r w:rsidR="004D0E11">
        <w:rPr>
          <w:rFonts w:ascii="Times New Roman" w:eastAsia="Times New Roman" w:hAnsi="Times New Roman"/>
          <w:lang w:val="lt-LT"/>
        </w:rPr>
        <w:t xml:space="preserve">vartotu po </w:t>
      </w:r>
      <w:r w:rsidRPr="00DC6B6B">
        <w:rPr>
          <w:rFonts w:ascii="Times New Roman" w:eastAsia="Times New Roman" w:hAnsi="Times New Roman"/>
          <w:lang w:val="lt-LT"/>
        </w:rPr>
        <w:t>750–1000 mg per parą) ir ibuprofenu (</w:t>
      </w:r>
      <w:r w:rsidR="004D0E11">
        <w:rPr>
          <w:rFonts w:ascii="Times New Roman" w:eastAsia="Times New Roman" w:hAnsi="Times New Roman"/>
          <w:lang w:val="lt-LT"/>
        </w:rPr>
        <w:t xml:space="preserve">vartotu po </w:t>
      </w:r>
      <w:r w:rsidRPr="00DC6B6B">
        <w:rPr>
          <w:rFonts w:ascii="Times New Roman" w:eastAsia="Times New Roman" w:hAnsi="Times New Roman"/>
          <w:lang w:val="lt-LT"/>
        </w:rPr>
        <w:t xml:space="preserve">1800–2400 mg per parą). Pirminė vertinamoji baigtis, </w:t>
      </w:r>
      <w:r w:rsidRPr="00DC6B6B">
        <w:rPr>
          <w:rFonts w:ascii="Times New Roman" w:eastAsia="Times New Roman" w:hAnsi="Times New Roman"/>
          <w:i/>
          <w:lang w:val="lt-LT"/>
        </w:rPr>
        <w:t>Antiplatelet Trialists Collaboration</w:t>
      </w:r>
      <w:r w:rsidRPr="00DC6B6B">
        <w:rPr>
          <w:rFonts w:ascii="Times New Roman" w:eastAsia="Times New Roman" w:hAnsi="Times New Roman"/>
          <w:lang w:val="lt-LT"/>
        </w:rPr>
        <w:t xml:space="preserve"> (APTC), buvo nepriklausomai pripažintas sudėtinis matas, kurį sudarė širdies ir kraujagyslių sutrikimų sukelta mirtis (įskaitant mirtį dėl kraujavimo), nemirtinas miokardo infarktas ir nemirtinas insultas. </w:t>
      </w:r>
      <w:r w:rsidR="004D0E11">
        <w:rPr>
          <w:rFonts w:ascii="Times New Roman" w:eastAsia="Times New Roman" w:hAnsi="Times New Roman"/>
          <w:lang w:val="lt-LT"/>
        </w:rPr>
        <w:t>Šiuo tyrimu buvo siekiama įrodyti, jog celekoksibas yra ne prastesnis už palyginuosius vaist</w:t>
      </w:r>
      <w:r w:rsidR="006B032D">
        <w:rPr>
          <w:rFonts w:ascii="Times New Roman" w:eastAsia="Times New Roman" w:hAnsi="Times New Roman"/>
          <w:lang w:val="lt-LT"/>
        </w:rPr>
        <w:t>inisu preparatus</w:t>
      </w:r>
      <w:r w:rsidR="004D0E11">
        <w:rPr>
          <w:rFonts w:ascii="Times New Roman" w:eastAsia="Times New Roman" w:hAnsi="Times New Roman"/>
          <w:lang w:val="lt-LT"/>
        </w:rPr>
        <w:t xml:space="preserve">, pasirenkant </w:t>
      </w:r>
      <w:r w:rsidR="004D0E11" w:rsidRPr="00B074B6">
        <w:rPr>
          <w:rFonts w:ascii="Times New Roman" w:eastAsia="Times New Roman" w:hAnsi="Times New Roman"/>
          <w:lang w:val="lt-LT"/>
        </w:rPr>
        <w:t>statistin</w:t>
      </w:r>
      <w:r w:rsidR="004D0E11">
        <w:rPr>
          <w:rFonts w:ascii="Times New Roman" w:eastAsia="Times New Roman" w:hAnsi="Times New Roman"/>
          <w:lang w:val="lt-LT"/>
        </w:rPr>
        <w:t xml:space="preserve">ę galią </w:t>
      </w:r>
      <w:r w:rsidR="004D0E11" w:rsidRPr="00B074B6">
        <w:rPr>
          <w:rFonts w:ascii="Times New Roman" w:eastAsia="Times New Roman" w:hAnsi="Times New Roman"/>
          <w:lang w:val="lt-LT"/>
        </w:rPr>
        <w:t>80 proc.</w:t>
      </w:r>
      <w:r w:rsidR="006B032D" w:rsidRPr="00B074B6">
        <w:rPr>
          <w:rFonts w:ascii="Times New Roman" w:eastAsia="Times New Roman" w:hAnsi="Times New Roman"/>
          <w:lang w:val="lt-LT"/>
        </w:rPr>
        <w:t xml:space="preserve"> </w:t>
      </w:r>
      <w:r w:rsidR="006B032D">
        <w:rPr>
          <w:rFonts w:ascii="Times New Roman" w:eastAsia="Times New Roman" w:hAnsi="Times New Roman"/>
          <w:lang w:val="lt-LT"/>
        </w:rPr>
        <w:t>Skrandžio apsaugai visiems tyrime dalyvavusiems pacientams atvirai buvo skirta</w:t>
      </w:r>
      <w:r w:rsidRPr="00DC6B6B">
        <w:rPr>
          <w:rFonts w:ascii="Times New Roman" w:eastAsia="Times New Roman" w:hAnsi="Times New Roman"/>
          <w:lang w:val="lt-LT"/>
        </w:rPr>
        <w:t xml:space="preserve"> ezomeprazolo (20–40 mg). Pacientams, vartojusiems mažas aspi</w:t>
      </w:r>
      <w:r>
        <w:rPr>
          <w:rFonts w:ascii="Times New Roman" w:eastAsia="Times New Roman" w:hAnsi="Times New Roman"/>
          <w:lang w:val="lt-LT"/>
        </w:rPr>
        <w:t xml:space="preserve">rino dozes, </w:t>
      </w:r>
      <w:r w:rsidR="006B032D">
        <w:rPr>
          <w:rFonts w:ascii="Times New Roman" w:eastAsia="Times New Roman" w:hAnsi="Times New Roman"/>
          <w:lang w:val="lt-LT"/>
        </w:rPr>
        <w:t xml:space="preserve">buvo </w:t>
      </w:r>
      <w:r>
        <w:rPr>
          <w:rFonts w:ascii="Times New Roman" w:eastAsia="Times New Roman" w:hAnsi="Times New Roman"/>
          <w:lang w:val="lt-LT"/>
        </w:rPr>
        <w:t xml:space="preserve">leista tęsti </w:t>
      </w:r>
      <w:r w:rsidR="00232961">
        <w:rPr>
          <w:rFonts w:ascii="Times New Roman" w:eastAsia="Times New Roman" w:hAnsi="Times New Roman"/>
          <w:lang w:val="lt-LT"/>
        </w:rPr>
        <w:t xml:space="preserve">juo </w:t>
      </w:r>
      <w:r>
        <w:rPr>
          <w:rFonts w:ascii="Times New Roman" w:eastAsia="Times New Roman" w:hAnsi="Times New Roman"/>
          <w:lang w:val="lt-LT"/>
        </w:rPr>
        <w:t>gydymą</w:t>
      </w:r>
      <w:r w:rsidR="00232961">
        <w:rPr>
          <w:rFonts w:ascii="Times New Roman" w:eastAsia="Times New Roman" w:hAnsi="Times New Roman"/>
          <w:lang w:val="lt-LT"/>
        </w:rPr>
        <w:t xml:space="preserve"> (iki prasidedant tyrimui</w:t>
      </w:r>
      <w:r w:rsidRPr="00B074B6">
        <w:rPr>
          <w:lang w:val="lt-LT"/>
        </w:rPr>
        <w:t xml:space="preserve"> </w:t>
      </w:r>
      <w:r w:rsidR="00232961" w:rsidRPr="00B074B6">
        <w:rPr>
          <w:lang w:val="lt-LT"/>
        </w:rPr>
        <w:t xml:space="preserve">aspirino </w:t>
      </w:r>
      <w:r w:rsidR="00232961">
        <w:rPr>
          <w:rFonts w:ascii="Times New Roman" w:eastAsia="Times New Roman" w:hAnsi="Times New Roman"/>
          <w:lang w:val="lt-LT"/>
        </w:rPr>
        <w:t>vartojo</w:t>
      </w:r>
      <w:r w:rsidR="00232961" w:rsidRPr="00BA5DD7" w:rsidDel="00232961">
        <w:rPr>
          <w:rFonts w:ascii="Times New Roman" w:eastAsia="Times New Roman" w:hAnsi="Times New Roman"/>
          <w:lang w:val="lt-LT"/>
        </w:rPr>
        <w:t xml:space="preserve"> </w:t>
      </w:r>
      <w:r>
        <w:rPr>
          <w:rFonts w:ascii="Times New Roman" w:eastAsia="Times New Roman" w:hAnsi="Times New Roman"/>
          <w:lang w:val="lt-LT"/>
        </w:rPr>
        <w:t>beveik pusė tiriamųjų</w:t>
      </w:r>
      <w:r w:rsidR="00232961">
        <w:rPr>
          <w:rFonts w:ascii="Times New Roman" w:eastAsia="Times New Roman" w:hAnsi="Times New Roman"/>
          <w:lang w:val="lt-LT"/>
        </w:rPr>
        <w:t>)</w:t>
      </w:r>
      <w:r>
        <w:rPr>
          <w:rFonts w:ascii="Times New Roman" w:eastAsia="Times New Roman" w:hAnsi="Times New Roman"/>
          <w:lang w:val="lt-LT"/>
        </w:rPr>
        <w:t>. A</w:t>
      </w:r>
      <w:r w:rsidRPr="00BA5DD7">
        <w:rPr>
          <w:rFonts w:ascii="Times New Roman" w:eastAsia="Times New Roman" w:hAnsi="Times New Roman"/>
          <w:lang w:val="lt-LT"/>
        </w:rPr>
        <w:t>ntrinės ir tretinės vertinamosios baigtys</w:t>
      </w:r>
      <w:r>
        <w:rPr>
          <w:rFonts w:ascii="Times New Roman" w:eastAsia="Times New Roman" w:hAnsi="Times New Roman"/>
          <w:lang w:val="lt-LT"/>
        </w:rPr>
        <w:t xml:space="preserve"> buvo su</w:t>
      </w:r>
      <w:r w:rsidR="00232961">
        <w:rPr>
          <w:rFonts w:ascii="Times New Roman" w:eastAsia="Times New Roman" w:hAnsi="Times New Roman"/>
          <w:lang w:val="lt-LT"/>
        </w:rPr>
        <w:t xml:space="preserve"> širdies ir kraujagyslių, virškinamojo trakto bei inkstų veikla susijusios išeitys</w:t>
      </w:r>
      <w:r>
        <w:rPr>
          <w:rFonts w:ascii="Times New Roman" w:eastAsia="Times New Roman" w:hAnsi="Times New Roman"/>
          <w:lang w:val="lt-LT"/>
        </w:rPr>
        <w:t xml:space="preserve">. </w:t>
      </w:r>
      <w:r w:rsidRPr="007222EE">
        <w:rPr>
          <w:rFonts w:ascii="Times New Roman" w:eastAsia="Times New Roman" w:hAnsi="Times New Roman"/>
          <w:lang w:val="lt-LT"/>
        </w:rPr>
        <w:t xml:space="preserve">Vidutinės </w:t>
      </w:r>
      <w:r w:rsidR="00232961">
        <w:rPr>
          <w:rFonts w:ascii="Times New Roman" w:eastAsia="Times New Roman" w:hAnsi="Times New Roman"/>
          <w:lang w:val="lt-LT"/>
        </w:rPr>
        <w:t>išduotos</w:t>
      </w:r>
      <w:r w:rsidRPr="007222EE">
        <w:rPr>
          <w:rFonts w:ascii="Times New Roman" w:eastAsia="Times New Roman" w:hAnsi="Times New Roman"/>
          <w:lang w:val="lt-LT"/>
        </w:rPr>
        <w:t xml:space="preserve"> dozės</w:t>
      </w:r>
      <w:r w:rsidRPr="00D41CFF">
        <w:rPr>
          <w:rFonts w:ascii="Times New Roman" w:eastAsia="Times New Roman" w:hAnsi="Times New Roman"/>
          <w:lang w:val="lt-LT"/>
        </w:rPr>
        <w:t xml:space="preserve"> buvo</w:t>
      </w:r>
      <w:r w:rsidR="00232961">
        <w:rPr>
          <w:rFonts w:ascii="Times New Roman" w:eastAsia="Times New Roman" w:hAnsi="Times New Roman"/>
          <w:lang w:val="lt-LT"/>
        </w:rPr>
        <w:t>: celekoksibo</w:t>
      </w:r>
      <w:r w:rsidRPr="00D41CFF">
        <w:rPr>
          <w:rFonts w:ascii="Times New Roman" w:eastAsia="Times New Roman" w:hAnsi="Times New Roman"/>
          <w:lang w:val="lt-LT"/>
        </w:rPr>
        <w:t xml:space="preserve"> </w:t>
      </w:r>
      <w:r w:rsidRPr="00B074B6">
        <w:rPr>
          <w:rFonts w:ascii="Times New Roman" w:hAnsi="Times New Roman"/>
          <w:iCs/>
          <w:lang w:val="lt-LT"/>
        </w:rPr>
        <w:t>209±37 mg/</w:t>
      </w:r>
      <w:r w:rsidR="00232961">
        <w:rPr>
          <w:rFonts w:ascii="Times New Roman" w:hAnsi="Times New Roman"/>
          <w:iCs/>
          <w:lang w:val="lt-LT"/>
        </w:rPr>
        <w:t>parai</w:t>
      </w:r>
      <w:r w:rsidRPr="00B074B6">
        <w:rPr>
          <w:rFonts w:ascii="Times New Roman" w:hAnsi="Times New Roman"/>
          <w:iCs/>
          <w:lang w:val="lt-LT"/>
        </w:rPr>
        <w:t xml:space="preserve">, </w:t>
      </w:r>
      <w:r w:rsidR="00232961" w:rsidRPr="007222EE">
        <w:rPr>
          <w:rFonts w:ascii="Times New Roman" w:hAnsi="Times New Roman"/>
          <w:iCs/>
          <w:lang w:val="lt-LT"/>
        </w:rPr>
        <w:t xml:space="preserve">ibuprofeno </w:t>
      </w:r>
      <w:r w:rsidRPr="00B074B6">
        <w:rPr>
          <w:rFonts w:ascii="Times New Roman" w:hAnsi="Times New Roman"/>
          <w:iCs/>
          <w:lang w:val="lt-LT"/>
        </w:rPr>
        <w:t xml:space="preserve">2045±246 </w:t>
      </w:r>
      <w:r w:rsidR="00232961" w:rsidRPr="00B074B6">
        <w:rPr>
          <w:rFonts w:ascii="Times New Roman" w:hAnsi="Times New Roman"/>
          <w:iCs/>
          <w:lang w:val="lt-LT"/>
        </w:rPr>
        <w:t>mg/parai</w:t>
      </w:r>
      <w:r w:rsidRPr="007222EE">
        <w:rPr>
          <w:rFonts w:ascii="Times New Roman" w:hAnsi="Times New Roman"/>
          <w:iCs/>
          <w:lang w:val="lt-LT"/>
        </w:rPr>
        <w:t xml:space="preserve">ir </w:t>
      </w:r>
      <w:r w:rsidR="00232961" w:rsidRPr="007222EE">
        <w:rPr>
          <w:rFonts w:ascii="Times New Roman" w:hAnsi="Times New Roman"/>
          <w:iCs/>
          <w:lang w:val="lt-LT"/>
        </w:rPr>
        <w:t>naprokseno</w:t>
      </w:r>
      <w:r w:rsidR="00232961" w:rsidRPr="00B074B6">
        <w:rPr>
          <w:rFonts w:ascii="Times New Roman" w:hAnsi="Times New Roman"/>
          <w:iCs/>
          <w:lang w:val="lt-LT"/>
        </w:rPr>
        <w:t xml:space="preserve"> </w:t>
      </w:r>
      <w:r w:rsidRPr="00B074B6">
        <w:rPr>
          <w:rFonts w:ascii="Times New Roman" w:hAnsi="Times New Roman"/>
          <w:iCs/>
          <w:lang w:val="lt-LT"/>
        </w:rPr>
        <w:t>852±103</w:t>
      </w:r>
      <w:r w:rsidR="00232961" w:rsidRPr="00B074B6">
        <w:rPr>
          <w:rFonts w:ascii="Times New Roman" w:hAnsi="Times New Roman"/>
          <w:iCs/>
          <w:lang w:val="lt-LT"/>
        </w:rPr>
        <w:t xml:space="preserve"> mg/parai</w:t>
      </w:r>
      <w:r w:rsidRPr="00B074B6">
        <w:rPr>
          <w:rFonts w:ascii="Times New Roman" w:hAnsi="Times New Roman"/>
          <w:iCs/>
          <w:lang w:val="lt-LT"/>
        </w:rPr>
        <w:t>.</w:t>
      </w:r>
      <w:r w:rsidRPr="00B074B6">
        <w:rPr>
          <w:lang w:val="lt-LT"/>
        </w:rPr>
        <w:t xml:space="preserve"> </w:t>
      </w:r>
      <w:r w:rsidRPr="00D41CFF">
        <w:rPr>
          <w:rFonts w:ascii="Times New Roman" w:hAnsi="Times New Roman"/>
          <w:lang w:val="lt-LT"/>
        </w:rPr>
        <w:t xml:space="preserve">Pagal pirminę </w:t>
      </w:r>
      <w:r>
        <w:rPr>
          <w:rFonts w:ascii="Times New Roman" w:hAnsi="Times New Roman"/>
          <w:lang w:val="lt-LT"/>
        </w:rPr>
        <w:t xml:space="preserve">vertinamąją baigtį, </w:t>
      </w:r>
      <w:r w:rsidRPr="00D41CFF">
        <w:rPr>
          <w:rFonts w:ascii="Times New Roman" w:hAnsi="Times New Roman"/>
          <w:iCs/>
          <w:lang w:val="lt-LT"/>
        </w:rPr>
        <w:t>celekoksibas</w:t>
      </w:r>
      <w:r w:rsidRPr="00B074B6">
        <w:rPr>
          <w:rFonts w:ascii="Times New Roman" w:hAnsi="Times New Roman"/>
          <w:iCs/>
          <w:lang w:val="lt-LT"/>
        </w:rPr>
        <w:t xml:space="preserve">, </w:t>
      </w:r>
      <w:r w:rsidRPr="00D41CFF">
        <w:rPr>
          <w:rFonts w:ascii="Times New Roman" w:hAnsi="Times New Roman"/>
          <w:iCs/>
          <w:lang w:val="lt-LT"/>
        </w:rPr>
        <w:t>palyginti</w:t>
      </w:r>
      <w:r w:rsidRPr="00B074B6">
        <w:rPr>
          <w:rFonts w:ascii="Times New Roman" w:hAnsi="Times New Roman"/>
          <w:iCs/>
          <w:lang w:val="lt-LT"/>
        </w:rPr>
        <w:t xml:space="preserve"> </w:t>
      </w:r>
      <w:r w:rsidRPr="00D41CFF">
        <w:rPr>
          <w:rFonts w:ascii="Times New Roman" w:hAnsi="Times New Roman"/>
          <w:iCs/>
          <w:lang w:val="lt-LT"/>
        </w:rPr>
        <w:t>su naproksenu arba ibuprofenu</w:t>
      </w:r>
      <w:r w:rsidRPr="00B074B6">
        <w:rPr>
          <w:rFonts w:ascii="Times New Roman" w:hAnsi="Times New Roman"/>
          <w:iCs/>
          <w:lang w:val="lt-LT"/>
        </w:rPr>
        <w:t xml:space="preserve">, </w:t>
      </w:r>
      <w:r w:rsidRPr="00D41CFF">
        <w:rPr>
          <w:rFonts w:ascii="Times New Roman" w:hAnsi="Times New Roman"/>
          <w:iCs/>
          <w:lang w:val="lt-LT"/>
        </w:rPr>
        <w:t>atitiko visus keturis</w:t>
      </w:r>
      <w:r>
        <w:rPr>
          <w:rFonts w:ascii="Times New Roman" w:hAnsi="Times New Roman"/>
          <w:iCs/>
          <w:lang w:val="lt-LT"/>
        </w:rPr>
        <w:t xml:space="preserve"> iš anksto nustatytus ne </w:t>
      </w:r>
      <w:r w:rsidR="00232961">
        <w:rPr>
          <w:rFonts w:ascii="Times New Roman" w:hAnsi="Times New Roman"/>
          <w:iCs/>
          <w:lang w:val="lt-LT"/>
        </w:rPr>
        <w:t>prastesnio</w:t>
      </w:r>
      <w:r>
        <w:rPr>
          <w:rFonts w:ascii="Times New Roman" w:hAnsi="Times New Roman"/>
          <w:iCs/>
          <w:lang w:val="lt-LT"/>
        </w:rPr>
        <w:t xml:space="preserve"> rezultato reikalavimus (žr. </w:t>
      </w:r>
      <w:r w:rsidRPr="00B074B6">
        <w:rPr>
          <w:rFonts w:ascii="Times New Roman" w:hAnsi="Times New Roman"/>
          <w:iCs/>
          <w:lang w:val="lt-LT"/>
        </w:rPr>
        <w:t>3</w:t>
      </w:r>
      <w:r>
        <w:rPr>
          <w:rFonts w:ascii="Times New Roman" w:hAnsi="Times New Roman"/>
          <w:b/>
          <w:lang w:val="lt-LT"/>
        </w:rPr>
        <w:t xml:space="preserve"> </w:t>
      </w:r>
      <w:r>
        <w:rPr>
          <w:rFonts w:ascii="Times New Roman" w:hAnsi="Times New Roman"/>
          <w:iCs/>
          <w:lang w:val="lt-LT"/>
        </w:rPr>
        <w:t xml:space="preserve">lentelę). </w:t>
      </w:r>
      <w:r w:rsidRPr="00D41CFF">
        <w:rPr>
          <w:rFonts w:ascii="Times New Roman" w:hAnsi="Times New Roman"/>
          <w:iCs/>
          <w:lang w:val="lt-LT"/>
        </w:rPr>
        <w:t xml:space="preserve"> </w:t>
      </w:r>
    </w:p>
    <w:p w:rsidR="00F150E1" w:rsidRPr="00F250BA" w:rsidRDefault="00F150E1" w:rsidP="00F150E1">
      <w:pPr>
        <w:pStyle w:val="Paragraph"/>
        <w:spacing w:after="0"/>
        <w:rPr>
          <w:sz w:val="22"/>
          <w:szCs w:val="22"/>
          <w:lang w:val="lt-LT"/>
        </w:rPr>
      </w:pPr>
    </w:p>
    <w:p w:rsidR="00DC6B6B" w:rsidRDefault="00BA5DD7" w:rsidP="00117637">
      <w:pPr>
        <w:pStyle w:val="Paragraph"/>
        <w:spacing w:after="0"/>
        <w:rPr>
          <w:sz w:val="22"/>
          <w:szCs w:val="22"/>
          <w:lang w:val="lt-LT"/>
        </w:rPr>
      </w:pPr>
      <w:r w:rsidRPr="00BA5DD7">
        <w:rPr>
          <w:sz w:val="22"/>
          <w:szCs w:val="22"/>
          <w:lang w:val="lt-LT"/>
        </w:rPr>
        <w:t>Kitos nepriklausomai pripažintos antrinės ir tretinės vertinamosios baigtys buvo su širdimi ir kraujagyslėmis, skrandžiu ir žarnynu bei inkst</w:t>
      </w:r>
      <w:r w:rsidR="00FA23D9">
        <w:rPr>
          <w:sz w:val="22"/>
          <w:szCs w:val="22"/>
          <w:lang w:val="lt-LT"/>
        </w:rPr>
        <w:t xml:space="preserve">ų veikla </w:t>
      </w:r>
      <w:r w:rsidRPr="00BA5DD7">
        <w:rPr>
          <w:sz w:val="22"/>
          <w:szCs w:val="22"/>
          <w:lang w:val="lt-LT"/>
        </w:rPr>
        <w:t>susijusios</w:t>
      </w:r>
      <w:r w:rsidR="00FA23D9">
        <w:rPr>
          <w:sz w:val="22"/>
          <w:szCs w:val="22"/>
          <w:lang w:val="lt-LT"/>
        </w:rPr>
        <w:t xml:space="preserve"> išeitys</w:t>
      </w:r>
      <w:r w:rsidRPr="00BA5DD7">
        <w:rPr>
          <w:sz w:val="22"/>
          <w:szCs w:val="22"/>
          <w:lang w:val="lt-LT"/>
        </w:rPr>
        <w:t>.</w:t>
      </w:r>
      <w:r w:rsidR="00597284">
        <w:rPr>
          <w:sz w:val="22"/>
          <w:szCs w:val="22"/>
          <w:lang w:val="lt-LT"/>
        </w:rPr>
        <w:t xml:space="preserve"> Taip pat buvo atliktas </w:t>
      </w:r>
      <w:r w:rsidRPr="00BA5DD7">
        <w:rPr>
          <w:sz w:val="22"/>
          <w:szCs w:val="22"/>
          <w:lang w:val="lt-LT"/>
        </w:rPr>
        <w:t xml:space="preserve">4 mėnesių </w:t>
      </w:r>
      <w:r w:rsidR="00F95E8B">
        <w:rPr>
          <w:sz w:val="22"/>
          <w:szCs w:val="22"/>
          <w:lang w:val="lt-LT"/>
        </w:rPr>
        <w:t>trukmės papildomas</w:t>
      </w:r>
      <w:r w:rsidRPr="00BA5DD7">
        <w:rPr>
          <w:sz w:val="22"/>
          <w:szCs w:val="22"/>
          <w:lang w:val="lt-LT"/>
        </w:rPr>
        <w:t xml:space="preserve"> tyrimas, kuri</w:t>
      </w:r>
      <w:r w:rsidR="00CE0FDA">
        <w:rPr>
          <w:sz w:val="22"/>
          <w:szCs w:val="22"/>
          <w:lang w:val="lt-LT"/>
        </w:rPr>
        <w:t xml:space="preserve">ame </w:t>
      </w:r>
      <w:r w:rsidRPr="00BA5DD7">
        <w:rPr>
          <w:sz w:val="22"/>
          <w:szCs w:val="22"/>
          <w:lang w:val="lt-LT"/>
        </w:rPr>
        <w:t>buvo</w:t>
      </w:r>
      <w:r w:rsidR="00CE0FDA">
        <w:rPr>
          <w:sz w:val="22"/>
          <w:szCs w:val="22"/>
          <w:lang w:val="lt-LT"/>
        </w:rPr>
        <w:t xml:space="preserve"> tirtas</w:t>
      </w:r>
      <w:r w:rsidRPr="00BA5DD7">
        <w:rPr>
          <w:sz w:val="22"/>
          <w:szCs w:val="22"/>
          <w:lang w:val="lt-LT"/>
        </w:rPr>
        <w:t xml:space="preserve"> trijų vaistų poveik</w:t>
      </w:r>
      <w:r w:rsidR="00CE0FDA">
        <w:rPr>
          <w:sz w:val="22"/>
          <w:szCs w:val="22"/>
          <w:lang w:val="lt-LT"/>
        </w:rPr>
        <w:t>is (celekoksibo, naprokseno, ibuprofeno)</w:t>
      </w:r>
      <w:r w:rsidRPr="00BA5DD7">
        <w:rPr>
          <w:sz w:val="22"/>
          <w:szCs w:val="22"/>
          <w:lang w:val="lt-LT"/>
        </w:rPr>
        <w:t xml:space="preserve"> </w:t>
      </w:r>
      <w:r w:rsidR="00597284">
        <w:rPr>
          <w:sz w:val="22"/>
          <w:szCs w:val="22"/>
          <w:lang w:val="lt-LT"/>
        </w:rPr>
        <w:t>arterini</w:t>
      </w:r>
      <w:r w:rsidR="00C50DE6">
        <w:rPr>
          <w:sz w:val="22"/>
          <w:szCs w:val="22"/>
          <w:lang w:val="lt-LT"/>
        </w:rPr>
        <w:t>o</w:t>
      </w:r>
      <w:r w:rsidR="00597284">
        <w:rPr>
          <w:sz w:val="22"/>
          <w:szCs w:val="22"/>
          <w:lang w:val="lt-LT"/>
        </w:rPr>
        <w:t xml:space="preserve"> kraujo spaudim</w:t>
      </w:r>
      <w:r w:rsidR="00C50DE6">
        <w:rPr>
          <w:sz w:val="22"/>
          <w:szCs w:val="22"/>
          <w:lang w:val="lt-LT"/>
        </w:rPr>
        <w:t>o</w:t>
      </w:r>
      <w:r w:rsidR="00597284">
        <w:rPr>
          <w:sz w:val="22"/>
          <w:szCs w:val="22"/>
          <w:lang w:val="lt-LT"/>
        </w:rPr>
        <w:t xml:space="preserve"> (AKS) </w:t>
      </w:r>
      <w:r w:rsidR="00C50DE6">
        <w:rPr>
          <w:sz w:val="22"/>
          <w:szCs w:val="22"/>
          <w:lang w:val="lt-LT"/>
        </w:rPr>
        <w:t xml:space="preserve">kitimui </w:t>
      </w:r>
      <w:r w:rsidR="00CE0FDA">
        <w:rPr>
          <w:sz w:val="22"/>
          <w:szCs w:val="22"/>
          <w:lang w:val="lt-LT"/>
        </w:rPr>
        <w:t>ambulatorinio stebėjimo metu.</w:t>
      </w:r>
      <w:r w:rsidRPr="00BA5DD7">
        <w:rPr>
          <w:sz w:val="22"/>
          <w:szCs w:val="22"/>
          <w:lang w:val="lt-LT"/>
        </w:rPr>
        <w:t xml:space="preserve">(angl. </w:t>
      </w:r>
      <w:r w:rsidRPr="006D64CB">
        <w:rPr>
          <w:sz w:val="22"/>
          <w:szCs w:val="22"/>
          <w:lang w:val="lt-LT"/>
        </w:rPr>
        <w:t>ABPM</w:t>
      </w:r>
      <w:r w:rsidRPr="00BA5DD7">
        <w:rPr>
          <w:sz w:val="22"/>
          <w:szCs w:val="22"/>
          <w:lang w:val="lt-LT"/>
        </w:rPr>
        <w:t>).</w:t>
      </w:r>
    </w:p>
    <w:bookmarkEnd w:id="2"/>
    <w:p w:rsidR="00117637" w:rsidRDefault="00117637" w:rsidP="002101F6">
      <w:pPr>
        <w:autoSpaceDE w:val="0"/>
        <w:autoSpaceDN w:val="0"/>
        <w:adjustRightInd w:val="0"/>
        <w:spacing w:after="0" w:line="240" w:lineRule="auto"/>
        <w:rPr>
          <w:rFonts w:ascii="Times New Roman" w:eastAsia="Times New Roman" w:hAnsi="Times New Roman"/>
          <w:lang w:val="lt-LT"/>
        </w:rPr>
      </w:pPr>
    </w:p>
    <w:p w:rsidR="007912D0" w:rsidRPr="002D1464" w:rsidRDefault="00664E96" w:rsidP="007912D0">
      <w:pPr>
        <w:keepNext/>
        <w:spacing w:after="0" w:line="240" w:lineRule="auto"/>
        <w:ind w:left="180" w:hanging="180"/>
        <w:rPr>
          <w:rFonts w:ascii="Times New Roman" w:hAnsi="Times New Roman"/>
          <w:b/>
          <w:lang w:val="lt-LT"/>
        </w:rPr>
      </w:pPr>
      <w:r>
        <w:rPr>
          <w:rFonts w:ascii="Times New Roman" w:hAnsi="Times New Roman"/>
          <w:b/>
          <w:lang w:val="lt-LT"/>
        </w:rPr>
        <w:t>3</w:t>
      </w:r>
      <w:r w:rsidR="007912D0" w:rsidRPr="002D1464">
        <w:rPr>
          <w:rFonts w:ascii="Times New Roman" w:hAnsi="Times New Roman"/>
          <w:b/>
          <w:lang w:val="lt-LT"/>
        </w:rPr>
        <w:t xml:space="preserve"> lentelė. Pagrindinė pripažintos APTC sudėtinės vertinamosios baigties analizė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6"/>
        <w:gridCol w:w="2514"/>
        <w:gridCol w:w="2520"/>
        <w:gridCol w:w="2520"/>
      </w:tblGrid>
      <w:tr w:rsidR="007912D0" w:rsidRPr="002D1464" w:rsidTr="003D74C8">
        <w:trPr>
          <w:trHeight w:val="288"/>
        </w:trPr>
        <w:tc>
          <w:tcPr>
            <w:tcW w:w="9720" w:type="dxa"/>
            <w:gridSpan w:val="4"/>
          </w:tcPr>
          <w:p w:rsidR="007912D0" w:rsidRPr="002D1464" w:rsidRDefault="007912D0" w:rsidP="003D74C8">
            <w:pPr>
              <w:keepNext/>
              <w:spacing w:after="0" w:line="240" w:lineRule="auto"/>
              <w:rPr>
                <w:rFonts w:ascii="Times New Roman" w:hAnsi="Times New Roman"/>
                <w:b/>
                <w:lang w:val="lt-LT"/>
              </w:rPr>
            </w:pPr>
            <w:r w:rsidRPr="002D1464">
              <w:rPr>
                <w:rFonts w:ascii="Times New Roman" w:hAnsi="Times New Roman"/>
                <w:b/>
                <w:lang w:val="lt-LT"/>
              </w:rPr>
              <w:t xml:space="preserve">Ketinamos gydyti populiacijos analizė (ITT, iki 30-ojo mėnesio) </w:t>
            </w:r>
          </w:p>
        </w:tc>
      </w:tr>
      <w:tr w:rsidR="007912D0" w:rsidRPr="002D1464" w:rsidTr="003D74C8">
        <w:trPr>
          <w:trHeight w:val="288"/>
        </w:trPr>
        <w:tc>
          <w:tcPr>
            <w:tcW w:w="2166" w:type="dxa"/>
          </w:tcPr>
          <w:p w:rsidR="007912D0" w:rsidRPr="002D1464" w:rsidRDefault="007912D0" w:rsidP="003D74C8">
            <w:pPr>
              <w:keepNext/>
              <w:spacing w:after="0" w:line="240" w:lineRule="auto"/>
              <w:rPr>
                <w:rFonts w:ascii="Times New Roman" w:hAnsi="Times New Roman"/>
                <w:lang w:val="lt-LT"/>
              </w:rPr>
            </w:pPr>
          </w:p>
        </w:tc>
        <w:tc>
          <w:tcPr>
            <w:tcW w:w="2514" w:type="dxa"/>
          </w:tcPr>
          <w:p w:rsidR="006E59D1" w:rsidRDefault="007912D0" w:rsidP="007A1DDB">
            <w:pPr>
              <w:keepNext/>
              <w:spacing w:after="0" w:line="240" w:lineRule="auto"/>
              <w:jc w:val="center"/>
              <w:rPr>
                <w:rFonts w:ascii="Times New Roman" w:hAnsi="Times New Roman"/>
                <w:b/>
                <w:lang w:val="lt-LT"/>
              </w:rPr>
            </w:pPr>
            <w:r w:rsidRPr="002D1464">
              <w:rPr>
                <w:rFonts w:ascii="Times New Roman" w:hAnsi="Times New Roman"/>
                <w:b/>
                <w:lang w:val="lt-LT"/>
              </w:rPr>
              <w:t>Celekoksibas</w:t>
            </w:r>
          </w:p>
          <w:p w:rsidR="007912D0" w:rsidRPr="002D1464" w:rsidRDefault="007912D0" w:rsidP="007A1DDB">
            <w:pPr>
              <w:keepNext/>
              <w:spacing w:after="0" w:line="240" w:lineRule="auto"/>
              <w:jc w:val="center"/>
              <w:rPr>
                <w:rFonts w:ascii="Times New Roman" w:hAnsi="Times New Roman"/>
                <w:b/>
                <w:lang w:val="lt-LT"/>
              </w:rPr>
            </w:pPr>
            <w:r w:rsidRPr="002D1464">
              <w:rPr>
                <w:rFonts w:ascii="Times New Roman" w:hAnsi="Times New Roman"/>
                <w:b/>
                <w:lang w:val="lt-LT"/>
              </w:rPr>
              <w:t>100–200 mg 2</w:t>
            </w:r>
            <w:r w:rsidR="007A1DDB">
              <w:rPr>
                <w:rFonts w:ascii="Times New Roman" w:hAnsi="Times New Roman"/>
                <w:b/>
                <w:lang w:val="lt-LT"/>
              </w:rPr>
              <w:t xml:space="preserve"> k./parą</w:t>
            </w:r>
          </w:p>
        </w:tc>
        <w:tc>
          <w:tcPr>
            <w:tcW w:w="2520" w:type="dxa"/>
          </w:tcPr>
          <w:p w:rsidR="006E59D1" w:rsidRDefault="007912D0" w:rsidP="006E59D1">
            <w:pPr>
              <w:keepNext/>
              <w:spacing w:after="0" w:line="240" w:lineRule="auto"/>
              <w:jc w:val="center"/>
              <w:rPr>
                <w:rFonts w:ascii="Times New Roman" w:hAnsi="Times New Roman"/>
                <w:b/>
                <w:lang w:val="lt-LT"/>
              </w:rPr>
            </w:pPr>
            <w:r w:rsidRPr="002D1464">
              <w:rPr>
                <w:rFonts w:ascii="Times New Roman" w:hAnsi="Times New Roman"/>
                <w:b/>
                <w:lang w:val="lt-LT"/>
              </w:rPr>
              <w:t>Ibuprofenas</w:t>
            </w:r>
          </w:p>
          <w:p w:rsidR="007912D0" w:rsidRPr="002D1464" w:rsidRDefault="007912D0" w:rsidP="006E59D1">
            <w:pPr>
              <w:keepNext/>
              <w:spacing w:after="0" w:line="240" w:lineRule="auto"/>
              <w:jc w:val="center"/>
              <w:rPr>
                <w:rFonts w:ascii="Times New Roman" w:hAnsi="Times New Roman"/>
                <w:b/>
                <w:lang w:val="lt-LT"/>
              </w:rPr>
            </w:pPr>
            <w:r w:rsidRPr="002D1464">
              <w:rPr>
                <w:rFonts w:ascii="Times New Roman" w:hAnsi="Times New Roman"/>
                <w:b/>
                <w:lang w:val="lt-LT"/>
              </w:rPr>
              <w:t>600–800 mg 3</w:t>
            </w:r>
            <w:r w:rsidR="007A1DDB">
              <w:rPr>
                <w:rFonts w:ascii="Times New Roman" w:hAnsi="Times New Roman"/>
                <w:b/>
                <w:lang w:val="lt-LT"/>
              </w:rPr>
              <w:t xml:space="preserve"> k./parą</w:t>
            </w:r>
          </w:p>
        </w:tc>
        <w:tc>
          <w:tcPr>
            <w:tcW w:w="2520" w:type="dxa"/>
          </w:tcPr>
          <w:p w:rsidR="006E59D1" w:rsidRDefault="007912D0" w:rsidP="007A1DDB">
            <w:pPr>
              <w:keepNext/>
              <w:spacing w:after="0" w:line="240" w:lineRule="auto"/>
              <w:jc w:val="center"/>
              <w:rPr>
                <w:rFonts w:ascii="Times New Roman" w:hAnsi="Times New Roman"/>
                <w:b/>
                <w:lang w:val="lt-LT"/>
              </w:rPr>
            </w:pPr>
            <w:r w:rsidRPr="002D1464">
              <w:rPr>
                <w:rFonts w:ascii="Times New Roman" w:hAnsi="Times New Roman"/>
                <w:b/>
                <w:lang w:val="lt-LT"/>
              </w:rPr>
              <w:t>Naproksenas</w:t>
            </w:r>
          </w:p>
          <w:p w:rsidR="007912D0" w:rsidRPr="002D1464" w:rsidRDefault="007912D0" w:rsidP="007A1DDB">
            <w:pPr>
              <w:keepNext/>
              <w:spacing w:after="0" w:line="240" w:lineRule="auto"/>
              <w:jc w:val="center"/>
              <w:rPr>
                <w:rFonts w:ascii="Times New Roman" w:hAnsi="Times New Roman"/>
                <w:lang w:val="lt-LT"/>
              </w:rPr>
            </w:pPr>
            <w:r w:rsidRPr="002D1464">
              <w:rPr>
                <w:rFonts w:ascii="Times New Roman" w:hAnsi="Times New Roman"/>
                <w:b/>
                <w:lang w:val="lt-LT"/>
              </w:rPr>
              <w:t>375–500 mg 2</w:t>
            </w:r>
            <w:r w:rsidR="007A1DDB">
              <w:rPr>
                <w:rFonts w:ascii="Times New Roman" w:hAnsi="Times New Roman"/>
                <w:b/>
                <w:lang w:val="lt-LT"/>
              </w:rPr>
              <w:t xml:space="preserve"> k./parą</w:t>
            </w:r>
          </w:p>
        </w:tc>
      </w:tr>
      <w:tr w:rsidR="007912D0" w:rsidRPr="002D1464" w:rsidTr="003D74C8">
        <w:trPr>
          <w:trHeight w:val="288"/>
        </w:trPr>
        <w:tc>
          <w:tcPr>
            <w:tcW w:w="2166" w:type="dxa"/>
          </w:tcPr>
          <w:p w:rsidR="007912D0" w:rsidRPr="002D1464" w:rsidRDefault="007912D0" w:rsidP="003D74C8">
            <w:pPr>
              <w:spacing w:after="0" w:line="240" w:lineRule="auto"/>
              <w:rPr>
                <w:rFonts w:ascii="Times New Roman" w:hAnsi="Times New Roman"/>
                <w:lang w:val="lt-LT"/>
              </w:rPr>
            </w:pPr>
            <w:r w:rsidRPr="002D1464">
              <w:rPr>
                <w:rFonts w:ascii="Times New Roman" w:hAnsi="Times New Roman"/>
                <w:lang w:val="lt-LT"/>
              </w:rPr>
              <w:t>N</w:t>
            </w:r>
          </w:p>
        </w:tc>
        <w:tc>
          <w:tcPr>
            <w:tcW w:w="2514" w:type="dxa"/>
          </w:tcPr>
          <w:p w:rsidR="007912D0" w:rsidRPr="002D1464" w:rsidRDefault="007912D0" w:rsidP="003D74C8">
            <w:pPr>
              <w:spacing w:after="0" w:line="240" w:lineRule="auto"/>
              <w:jc w:val="center"/>
              <w:rPr>
                <w:rFonts w:ascii="Times New Roman" w:hAnsi="Times New Roman"/>
                <w:lang w:val="lt-LT"/>
              </w:rPr>
            </w:pPr>
            <w:r w:rsidRPr="002D1464">
              <w:rPr>
                <w:rFonts w:ascii="Times New Roman" w:hAnsi="Times New Roman"/>
                <w:lang w:val="lt-LT"/>
              </w:rPr>
              <w:t xml:space="preserve">8 072 </w:t>
            </w:r>
          </w:p>
        </w:tc>
        <w:tc>
          <w:tcPr>
            <w:tcW w:w="2520" w:type="dxa"/>
          </w:tcPr>
          <w:p w:rsidR="007912D0" w:rsidRPr="002D1464" w:rsidRDefault="007912D0" w:rsidP="003D74C8">
            <w:pPr>
              <w:spacing w:after="0" w:line="240" w:lineRule="auto"/>
              <w:jc w:val="center"/>
              <w:rPr>
                <w:rFonts w:ascii="Times New Roman" w:hAnsi="Times New Roman"/>
                <w:lang w:val="lt-LT"/>
              </w:rPr>
            </w:pPr>
            <w:r w:rsidRPr="002D1464">
              <w:rPr>
                <w:rFonts w:ascii="Times New Roman" w:hAnsi="Times New Roman"/>
                <w:lang w:val="lt-LT"/>
              </w:rPr>
              <w:t>8 040</w:t>
            </w:r>
          </w:p>
        </w:tc>
        <w:tc>
          <w:tcPr>
            <w:tcW w:w="2520" w:type="dxa"/>
          </w:tcPr>
          <w:p w:rsidR="007912D0" w:rsidRPr="002D1464" w:rsidRDefault="007912D0" w:rsidP="003D74C8">
            <w:pPr>
              <w:spacing w:after="0" w:line="240" w:lineRule="auto"/>
              <w:jc w:val="center"/>
              <w:rPr>
                <w:rFonts w:ascii="Times New Roman" w:hAnsi="Times New Roman"/>
                <w:lang w:val="lt-LT"/>
              </w:rPr>
            </w:pPr>
            <w:r w:rsidRPr="002D1464">
              <w:rPr>
                <w:rFonts w:ascii="Times New Roman" w:hAnsi="Times New Roman"/>
                <w:lang w:val="lt-LT"/>
              </w:rPr>
              <w:t>7 969</w:t>
            </w:r>
          </w:p>
        </w:tc>
      </w:tr>
      <w:tr w:rsidR="007912D0" w:rsidRPr="002D1464" w:rsidTr="003D74C8">
        <w:trPr>
          <w:trHeight w:val="288"/>
        </w:trPr>
        <w:tc>
          <w:tcPr>
            <w:tcW w:w="2166" w:type="dxa"/>
          </w:tcPr>
          <w:p w:rsidR="007912D0" w:rsidRPr="002D1464" w:rsidRDefault="007912D0" w:rsidP="003D74C8">
            <w:pPr>
              <w:spacing w:after="0" w:line="240" w:lineRule="auto"/>
              <w:rPr>
                <w:rFonts w:ascii="Times New Roman" w:hAnsi="Times New Roman"/>
                <w:lang w:val="lt-LT"/>
              </w:rPr>
            </w:pPr>
            <w:r w:rsidRPr="002D1464">
              <w:rPr>
                <w:rFonts w:ascii="Times New Roman" w:hAnsi="Times New Roman"/>
                <w:lang w:val="lt-LT"/>
              </w:rPr>
              <w:t>Tiriamieji, patyrę įvykių</w:t>
            </w:r>
          </w:p>
        </w:tc>
        <w:tc>
          <w:tcPr>
            <w:tcW w:w="2514" w:type="dxa"/>
          </w:tcPr>
          <w:p w:rsidR="007912D0" w:rsidRPr="002D1464" w:rsidRDefault="007912D0" w:rsidP="003D74C8">
            <w:pPr>
              <w:spacing w:after="0" w:line="240" w:lineRule="auto"/>
              <w:jc w:val="center"/>
              <w:rPr>
                <w:rFonts w:ascii="Times New Roman" w:hAnsi="Times New Roman"/>
                <w:lang w:val="lt-LT"/>
              </w:rPr>
            </w:pPr>
            <w:r w:rsidRPr="002D1464">
              <w:rPr>
                <w:rFonts w:ascii="Times New Roman" w:hAnsi="Times New Roman"/>
                <w:color w:val="000000"/>
                <w:lang w:val="lt-LT"/>
              </w:rPr>
              <w:t>188 (2,3 %)</w:t>
            </w:r>
          </w:p>
        </w:tc>
        <w:tc>
          <w:tcPr>
            <w:tcW w:w="2520" w:type="dxa"/>
          </w:tcPr>
          <w:p w:rsidR="007912D0" w:rsidRPr="002D1464" w:rsidRDefault="007912D0" w:rsidP="003D74C8">
            <w:pPr>
              <w:spacing w:after="0" w:line="240" w:lineRule="auto"/>
              <w:jc w:val="center"/>
              <w:rPr>
                <w:rFonts w:ascii="Times New Roman" w:hAnsi="Times New Roman"/>
                <w:color w:val="000000"/>
                <w:lang w:val="lt-LT"/>
              </w:rPr>
            </w:pPr>
            <w:r w:rsidRPr="002D1464">
              <w:rPr>
                <w:rFonts w:ascii="Times New Roman" w:hAnsi="Times New Roman"/>
                <w:color w:val="000000"/>
                <w:lang w:val="lt-LT"/>
              </w:rPr>
              <w:t>218 (2,7 %)</w:t>
            </w:r>
          </w:p>
        </w:tc>
        <w:tc>
          <w:tcPr>
            <w:tcW w:w="2520" w:type="dxa"/>
          </w:tcPr>
          <w:p w:rsidR="007912D0" w:rsidRPr="002D1464" w:rsidRDefault="007912D0" w:rsidP="003D74C8">
            <w:pPr>
              <w:spacing w:after="0" w:line="240" w:lineRule="auto"/>
              <w:jc w:val="center"/>
              <w:rPr>
                <w:rFonts w:ascii="Times New Roman" w:hAnsi="Times New Roman"/>
                <w:lang w:val="lt-LT"/>
              </w:rPr>
            </w:pPr>
            <w:r w:rsidRPr="002D1464">
              <w:rPr>
                <w:rFonts w:ascii="Times New Roman" w:hAnsi="Times New Roman"/>
                <w:color w:val="000000"/>
                <w:lang w:val="lt-LT"/>
              </w:rPr>
              <w:t>201 (2,5 %)</w:t>
            </w:r>
          </w:p>
        </w:tc>
      </w:tr>
      <w:tr w:rsidR="007912D0" w:rsidRPr="002D1464" w:rsidTr="003D74C8">
        <w:trPr>
          <w:trHeight w:val="288"/>
        </w:trPr>
        <w:tc>
          <w:tcPr>
            <w:tcW w:w="2166" w:type="dxa"/>
          </w:tcPr>
          <w:p w:rsidR="007912D0" w:rsidRPr="002D1464" w:rsidRDefault="007912D0" w:rsidP="003D74C8">
            <w:pPr>
              <w:spacing w:after="0" w:line="240" w:lineRule="auto"/>
              <w:rPr>
                <w:rFonts w:ascii="Times New Roman" w:hAnsi="Times New Roman"/>
                <w:lang w:val="lt-LT"/>
              </w:rPr>
            </w:pPr>
            <w:r w:rsidRPr="002D1464">
              <w:rPr>
                <w:rFonts w:ascii="Times New Roman" w:hAnsi="Times New Roman"/>
                <w:lang w:val="lt-LT"/>
              </w:rPr>
              <w:t>P</w:t>
            </w:r>
            <w:r w:rsidR="00666091">
              <w:rPr>
                <w:rFonts w:ascii="Times New Roman" w:hAnsi="Times New Roman"/>
                <w:lang w:val="lt-LT"/>
              </w:rPr>
              <w:t>alyginimas poromis</w:t>
            </w:r>
          </w:p>
        </w:tc>
        <w:tc>
          <w:tcPr>
            <w:tcW w:w="2514" w:type="dxa"/>
          </w:tcPr>
          <w:p w:rsidR="007912D0" w:rsidRPr="002D1464" w:rsidRDefault="007912D0" w:rsidP="003D74C8">
            <w:pPr>
              <w:spacing w:after="0" w:line="240" w:lineRule="auto"/>
              <w:jc w:val="center"/>
              <w:rPr>
                <w:rFonts w:ascii="Times New Roman" w:hAnsi="Times New Roman"/>
                <w:b/>
                <w:lang w:val="lt-LT"/>
              </w:rPr>
            </w:pPr>
            <w:r w:rsidRPr="002D1464">
              <w:rPr>
                <w:rFonts w:ascii="Times New Roman" w:hAnsi="Times New Roman"/>
                <w:b/>
                <w:lang w:val="lt-LT"/>
              </w:rPr>
              <w:t xml:space="preserve">Celekoksibas </w:t>
            </w:r>
            <w:r w:rsidR="007A1DDB">
              <w:rPr>
                <w:rFonts w:ascii="Times New Roman" w:hAnsi="Times New Roman"/>
                <w:b/>
                <w:lang w:val="lt-LT"/>
              </w:rPr>
              <w:t>lyginant</w:t>
            </w:r>
            <w:r w:rsidRPr="002D1464">
              <w:rPr>
                <w:rFonts w:ascii="Times New Roman" w:hAnsi="Times New Roman"/>
                <w:b/>
                <w:lang w:val="lt-LT"/>
              </w:rPr>
              <w:t xml:space="preserve"> su naproksenu</w:t>
            </w:r>
          </w:p>
        </w:tc>
        <w:tc>
          <w:tcPr>
            <w:tcW w:w="2520" w:type="dxa"/>
          </w:tcPr>
          <w:p w:rsidR="007912D0" w:rsidRPr="002D1464" w:rsidRDefault="007912D0" w:rsidP="003D74C8">
            <w:pPr>
              <w:spacing w:after="0" w:line="240" w:lineRule="auto"/>
              <w:jc w:val="center"/>
              <w:rPr>
                <w:rFonts w:ascii="Times New Roman" w:hAnsi="Times New Roman"/>
                <w:b/>
                <w:lang w:val="lt-LT"/>
              </w:rPr>
            </w:pPr>
            <w:r w:rsidRPr="002D1464">
              <w:rPr>
                <w:rFonts w:ascii="Times New Roman" w:hAnsi="Times New Roman"/>
                <w:b/>
                <w:lang w:val="lt-LT"/>
              </w:rPr>
              <w:t xml:space="preserve">Celekoksibas </w:t>
            </w:r>
            <w:r w:rsidR="007A1DDB">
              <w:rPr>
                <w:rFonts w:ascii="Times New Roman" w:hAnsi="Times New Roman"/>
                <w:b/>
                <w:lang w:val="lt-LT"/>
              </w:rPr>
              <w:t>lyginant</w:t>
            </w:r>
            <w:r w:rsidRPr="002D1464">
              <w:rPr>
                <w:rFonts w:ascii="Times New Roman" w:hAnsi="Times New Roman"/>
                <w:b/>
                <w:lang w:val="lt-LT"/>
              </w:rPr>
              <w:t xml:space="preserve"> su ibuprofenu </w:t>
            </w:r>
          </w:p>
        </w:tc>
        <w:tc>
          <w:tcPr>
            <w:tcW w:w="2520" w:type="dxa"/>
          </w:tcPr>
          <w:p w:rsidR="006E59D1" w:rsidRDefault="007912D0" w:rsidP="003D74C8">
            <w:pPr>
              <w:spacing w:after="0" w:line="240" w:lineRule="auto"/>
              <w:jc w:val="center"/>
              <w:rPr>
                <w:rFonts w:ascii="Times New Roman" w:hAnsi="Times New Roman"/>
                <w:b/>
                <w:lang w:val="lt-LT"/>
              </w:rPr>
            </w:pPr>
            <w:r w:rsidRPr="002D1464">
              <w:rPr>
                <w:rFonts w:ascii="Times New Roman" w:hAnsi="Times New Roman"/>
                <w:b/>
                <w:lang w:val="lt-LT"/>
              </w:rPr>
              <w:t xml:space="preserve">Ibuprofenas </w:t>
            </w:r>
            <w:r w:rsidR="007A1DDB">
              <w:rPr>
                <w:rFonts w:ascii="Times New Roman" w:hAnsi="Times New Roman"/>
                <w:b/>
                <w:lang w:val="lt-LT"/>
              </w:rPr>
              <w:t>lyginant</w:t>
            </w:r>
            <w:r w:rsidR="006E59D1">
              <w:rPr>
                <w:rFonts w:ascii="Times New Roman" w:hAnsi="Times New Roman"/>
                <w:b/>
                <w:lang w:val="lt-LT"/>
              </w:rPr>
              <w:t xml:space="preserve"> </w:t>
            </w:r>
          </w:p>
          <w:p w:rsidR="007912D0" w:rsidRPr="002D1464" w:rsidRDefault="007912D0" w:rsidP="003D74C8">
            <w:pPr>
              <w:spacing w:after="0" w:line="240" w:lineRule="auto"/>
              <w:jc w:val="center"/>
              <w:rPr>
                <w:rFonts w:ascii="Times New Roman" w:hAnsi="Times New Roman"/>
                <w:lang w:val="lt-LT"/>
              </w:rPr>
            </w:pPr>
            <w:r w:rsidRPr="002D1464">
              <w:rPr>
                <w:rFonts w:ascii="Times New Roman" w:hAnsi="Times New Roman"/>
                <w:b/>
                <w:lang w:val="lt-LT"/>
              </w:rPr>
              <w:t xml:space="preserve">su naproksenu </w:t>
            </w:r>
          </w:p>
        </w:tc>
      </w:tr>
      <w:tr w:rsidR="007912D0" w:rsidRPr="002D1464" w:rsidTr="003D74C8">
        <w:trPr>
          <w:trHeight w:val="301"/>
        </w:trPr>
        <w:tc>
          <w:tcPr>
            <w:tcW w:w="2166" w:type="dxa"/>
          </w:tcPr>
          <w:p w:rsidR="007912D0" w:rsidRPr="002D1464" w:rsidRDefault="007912D0" w:rsidP="003D74C8">
            <w:pPr>
              <w:spacing w:after="0" w:line="240" w:lineRule="auto"/>
              <w:rPr>
                <w:rFonts w:ascii="Times New Roman" w:hAnsi="Times New Roman"/>
                <w:lang w:val="lt-LT"/>
              </w:rPr>
            </w:pPr>
            <w:r w:rsidRPr="002D1464">
              <w:rPr>
                <w:rFonts w:ascii="Times New Roman" w:hAnsi="Times New Roman"/>
                <w:lang w:val="lt-LT"/>
              </w:rPr>
              <w:t xml:space="preserve">  </w:t>
            </w:r>
            <w:r w:rsidR="00666091">
              <w:rPr>
                <w:rFonts w:ascii="Times New Roman" w:hAnsi="Times New Roman"/>
                <w:lang w:val="lt-LT"/>
              </w:rPr>
              <w:t>RS</w:t>
            </w:r>
            <w:r w:rsidRPr="002D1464">
              <w:rPr>
                <w:rFonts w:ascii="Times New Roman" w:hAnsi="Times New Roman"/>
                <w:lang w:val="lt-LT"/>
              </w:rPr>
              <w:t xml:space="preserve"> (95 % PI)</w:t>
            </w:r>
          </w:p>
        </w:tc>
        <w:tc>
          <w:tcPr>
            <w:tcW w:w="2514" w:type="dxa"/>
          </w:tcPr>
          <w:p w:rsidR="007912D0" w:rsidRPr="002D1464" w:rsidRDefault="007912D0" w:rsidP="003D74C8">
            <w:pPr>
              <w:spacing w:after="0" w:line="240" w:lineRule="auto"/>
              <w:jc w:val="center"/>
              <w:rPr>
                <w:rFonts w:ascii="Times New Roman" w:hAnsi="Times New Roman"/>
                <w:color w:val="000000"/>
                <w:lang w:val="lt-LT"/>
              </w:rPr>
            </w:pPr>
            <w:r w:rsidRPr="002D1464">
              <w:rPr>
                <w:rFonts w:ascii="Times New Roman" w:hAnsi="Times New Roman"/>
                <w:color w:val="000000"/>
                <w:lang w:val="lt-LT"/>
              </w:rPr>
              <w:t>0,93 (0,76; 1,13)</w:t>
            </w:r>
          </w:p>
        </w:tc>
        <w:tc>
          <w:tcPr>
            <w:tcW w:w="2520" w:type="dxa"/>
          </w:tcPr>
          <w:p w:rsidR="007912D0" w:rsidRPr="002D1464" w:rsidRDefault="007912D0" w:rsidP="003D74C8">
            <w:pPr>
              <w:spacing w:after="0" w:line="240" w:lineRule="auto"/>
              <w:jc w:val="center"/>
              <w:rPr>
                <w:rFonts w:ascii="Times New Roman" w:hAnsi="Times New Roman"/>
                <w:color w:val="000000"/>
                <w:lang w:val="lt-LT"/>
              </w:rPr>
            </w:pPr>
            <w:r w:rsidRPr="002D1464">
              <w:rPr>
                <w:rFonts w:ascii="Times New Roman" w:hAnsi="Times New Roman"/>
                <w:color w:val="000000"/>
                <w:lang w:val="lt-LT"/>
              </w:rPr>
              <w:t>0,86 (0,70; 1,04)</w:t>
            </w:r>
          </w:p>
        </w:tc>
        <w:tc>
          <w:tcPr>
            <w:tcW w:w="2520" w:type="dxa"/>
          </w:tcPr>
          <w:p w:rsidR="007912D0" w:rsidRPr="002D1464" w:rsidRDefault="007912D0" w:rsidP="003D74C8">
            <w:pPr>
              <w:spacing w:after="0" w:line="240" w:lineRule="auto"/>
              <w:jc w:val="center"/>
              <w:rPr>
                <w:rFonts w:ascii="Times New Roman" w:hAnsi="Times New Roman"/>
                <w:color w:val="000000"/>
                <w:lang w:val="lt-LT"/>
              </w:rPr>
            </w:pPr>
            <w:r w:rsidRPr="002D1464">
              <w:rPr>
                <w:rFonts w:ascii="Times New Roman" w:hAnsi="Times New Roman"/>
                <w:color w:val="000000"/>
                <w:lang w:val="lt-LT"/>
              </w:rPr>
              <w:t>1,08 (0,89; 1,31)</w:t>
            </w:r>
          </w:p>
        </w:tc>
      </w:tr>
      <w:tr w:rsidR="007912D0" w:rsidRPr="002D1464" w:rsidTr="003D74C8">
        <w:trPr>
          <w:trHeight w:val="288"/>
        </w:trPr>
        <w:tc>
          <w:tcPr>
            <w:tcW w:w="9720" w:type="dxa"/>
            <w:gridSpan w:val="4"/>
          </w:tcPr>
          <w:p w:rsidR="007912D0" w:rsidRPr="002D1464" w:rsidRDefault="007912D0" w:rsidP="003D74C8">
            <w:pPr>
              <w:spacing w:after="0" w:line="240" w:lineRule="auto"/>
              <w:rPr>
                <w:rFonts w:ascii="Times New Roman" w:hAnsi="Times New Roman"/>
                <w:color w:val="000000"/>
                <w:lang w:val="lt-LT"/>
              </w:rPr>
            </w:pPr>
            <w:r w:rsidRPr="002D1464">
              <w:rPr>
                <w:rFonts w:ascii="Times New Roman" w:hAnsi="Times New Roman"/>
                <w:b/>
                <w:lang w:val="lt-LT"/>
              </w:rPr>
              <w:t>Modifikuotoji ketinamos gydyti populiacijos analizė (mITT, gydant iki 43-ojo mėnesio)</w:t>
            </w:r>
          </w:p>
        </w:tc>
      </w:tr>
      <w:tr w:rsidR="007912D0" w:rsidRPr="002D1464" w:rsidTr="003D74C8">
        <w:trPr>
          <w:trHeight w:val="288"/>
        </w:trPr>
        <w:tc>
          <w:tcPr>
            <w:tcW w:w="2166" w:type="dxa"/>
          </w:tcPr>
          <w:p w:rsidR="007912D0" w:rsidRPr="002D1464" w:rsidRDefault="007912D0" w:rsidP="003D74C8">
            <w:pPr>
              <w:spacing w:after="0" w:line="240" w:lineRule="auto"/>
              <w:rPr>
                <w:rFonts w:ascii="Times New Roman" w:hAnsi="Times New Roman"/>
                <w:lang w:val="lt-LT"/>
              </w:rPr>
            </w:pPr>
          </w:p>
        </w:tc>
        <w:tc>
          <w:tcPr>
            <w:tcW w:w="2514" w:type="dxa"/>
          </w:tcPr>
          <w:p w:rsidR="006E59D1" w:rsidRDefault="007912D0" w:rsidP="003D74C8">
            <w:pPr>
              <w:spacing w:after="0" w:line="240" w:lineRule="auto"/>
              <w:jc w:val="center"/>
              <w:rPr>
                <w:rFonts w:ascii="Times New Roman" w:hAnsi="Times New Roman"/>
                <w:b/>
                <w:lang w:val="lt-LT"/>
              </w:rPr>
            </w:pPr>
            <w:r w:rsidRPr="002D1464">
              <w:rPr>
                <w:rFonts w:ascii="Times New Roman" w:hAnsi="Times New Roman"/>
                <w:b/>
                <w:lang w:val="lt-LT"/>
              </w:rPr>
              <w:t>Celekoksibas</w:t>
            </w:r>
          </w:p>
          <w:p w:rsidR="007912D0" w:rsidRPr="002D1464" w:rsidRDefault="007912D0" w:rsidP="003D74C8">
            <w:pPr>
              <w:spacing w:after="0" w:line="240" w:lineRule="auto"/>
              <w:jc w:val="center"/>
              <w:rPr>
                <w:rFonts w:ascii="Times New Roman" w:hAnsi="Times New Roman"/>
                <w:b/>
                <w:lang w:val="lt-LT"/>
              </w:rPr>
            </w:pPr>
            <w:r w:rsidRPr="002D1464">
              <w:rPr>
                <w:rFonts w:ascii="Times New Roman" w:hAnsi="Times New Roman"/>
                <w:b/>
                <w:lang w:val="lt-LT"/>
              </w:rPr>
              <w:t>100–200 mg 2</w:t>
            </w:r>
            <w:r w:rsidR="007A1DDB">
              <w:rPr>
                <w:rFonts w:ascii="Times New Roman" w:hAnsi="Times New Roman"/>
                <w:b/>
                <w:lang w:val="lt-LT"/>
              </w:rPr>
              <w:t xml:space="preserve"> k./parą</w:t>
            </w:r>
          </w:p>
        </w:tc>
        <w:tc>
          <w:tcPr>
            <w:tcW w:w="2520" w:type="dxa"/>
          </w:tcPr>
          <w:p w:rsidR="006E59D1" w:rsidRDefault="007912D0" w:rsidP="003D74C8">
            <w:pPr>
              <w:spacing w:after="0" w:line="240" w:lineRule="auto"/>
              <w:jc w:val="center"/>
              <w:rPr>
                <w:rFonts w:ascii="Times New Roman" w:hAnsi="Times New Roman"/>
                <w:b/>
                <w:lang w:val="lt-LT"/>
              </w:rPr>
            </w:pPr>
            <w:r w:rsidRPr="002D1464">
              <w:rPr>
                <w:rFonts w:ascii="Times New Roman" w:hAnsi="Times New Roman"/>
                <w:b/>
                <w:lang w:val="lt-LT"/>
              </w:rPr>
              <w:t>Ibuprofenas</w:t>
            </w:r>
          </w:p>
          <w:p w:rsidR="007912D0" w:rsidRPr="002D1464" w:rsidRDefault="007912D0" w:rsidP="003D74C8">
            <w:pPr>
              <w:spacing w:after="0" w:line="240" w:lineRule="auto"/>
              <w:jc w:val="center"/>
              <w:rPr>
                <w:rFonts w:ascii="Times New Roman" w:hAnsi="Times New Roman"/>
                <w:b/>
                <w:lang w:val="lt-LT"/>
              </w:rPr>
            </w:pPr>
            <w:r w:rsidRPr="002D1464">
              <w:rPr>
                <w:rFonts w:ascii="Times New Roman" w:hAnsi="Times New Roman"/>
                <w:b/>
                <w:lang w:val="lt-LT"/>
              </w:rPr>
              <w:t>600–800 mg 3</w:t>
            </w:r>
            <w:r w:rsidR="007A1DDB">
              <w:rPr>
                <w:rFonts w:ascii="Times New Roman" w:hAnsi="Times New Roman"/>
                <w:b/>
                <w:lang w:val="lt-LT"/>
              </w:rPr>
              <w:t xml:space="preserve"> k./parą</w:t>
            </w:r>
          </w:p>
        </w:tc>
        <w:tc>
          <w:tcPr>
            <w:tcW w:w="2520" w:type="dxa"/>
          </w:tcPr>
          <w:p w:rsidR="006E59D1" w:rsidRDefault="007912D0" w:rsidP="003D74C8">
            <w:pPr>
              <w:spacing w:after="0" w:line="240" w:lineRule="auto"/>
              <w:jc w:val="center"/>
              <w:rPr>
                <w:rFonts w:ascii="Times New Roman" w:hAnsi="Times New Roman"/>
                <w:b/>
                <w:lang w:val="lt-LT"/>
              </w:rPr>
            </w:pPr>
            <w:r w:rsidRPr="002D1464">
              <w:rPr>
                <w:rFonts w:ascii="Times New Roman" w:hAnsi="Times New Roman"/>
                <w:b/>
                <w:lang w:val="lt-LT"/>
              </w:rPr>
              <w:t>Naproksenas</w:t>
            </w:r>
          </w:p>
          <w:p w:rsidR="007912D0" w:rsidRPr="002D1464" w:rsidRDefault="007912D0" w:rsidP="003D74C8">
            <w:pPr>
              <w:spacing w:after="0" w:line="240" w:lineRule="auto"/>
              <w:jc w:val="center"/>
              <w:rPr>
                <w:rFonts w:ascii="Times New Roman" w:hAnsi="Times New Roman"/>
                <w:lang w:val="lt-LT"/>
              </w:rPr>
            </w:pPr>
            <w:r w:rsidRPr="002D1464">
              <w:rPr>
                <w:rFonts w:ascii="Times New Roman" w:hAnsi="Times New Roman"/>
                <w:b/>
                <w:lang w:val="lt-LT"/>
              </w:rPr>
              <w:t>375–500 mg 2</w:t>
            </w:r>
            <w:r w:rsidR="007A1DDB">
              <w:rPr>
                <w:rFonts w:ascii="Times New Roman" w:hAnsi="Times New Roman"/>
                <w:b/>
                <w:lang w:val="lt-LT"/>
              </w:rPr>
              <w:t xml:space="preserve"> k./parą</w:t>
            </w:r>
          </w:p>
        </w:tc>
      </w:tr>
      <w:tr w:rsidR="007912D0" w:rsidRPr="002D1464" w:rsidTr="003D74C8">
        <w:trPr>
          <w:trHeight w:val="288"/>
        </w:trPr>
        <w:tc>
          <w:tcPr>
            <w:tcW w:w="2166" w:type="dxa"/>
          </w:tcPr>
          <w:p w:rsidR="007912D0" w:rsidRPr="002D1464" w:rsidRDefault="007912D0" w:rsidP="003D74C8">
            <w:pPr>
              <w:spacing w:after="0" w:line="240" w:lineRule="auto"/>
              <w:rPr>
                <w:rFonts w:ascii="Times New Roman" w:hAnsi="Times New Roman"/>
                <w:lang w:val="lt-LT"/>
              </w:rPr>
            </w:pPr>
            <w:r w:rsidRPr="002D1464">
              <w:rPr>
                <w:rFonts w:ascii="Times New Roman" w:hAnsi="Times New Roman"/>
                <w:lang w:val="lt-LT"/>
              </w:rPr>
              <w:t>N</w:t>
            </w:r>
          </w:p>
        </w:tc>
        <w:tc>
          <w:tcPr>
            <w:tcW w:w="2514" w:type="dxa"/>
          </w:tcPr>
          <w:p w:rsidR="007912D0" w:rsidRPr="002D1464" w:rsidRDefault="007912D0" w:rsidP="003D74C8">
            <w:pPr>
              <w:spacing w:after="0" w:line="240" w:lineRule="auto"/>
              <w:jc w:val="center"/>
              <w:rPr>
                <w:rFonts w:ascii="Times New Roman" w:hAnsi="Times New Roman"/>
                <w:lang w:val="lt-LT"/>
              </w:rPr>
            </w:pPr>
            <w:r w:rsidRPr="002D1464">
              <w:rPr>
                <w:rFonts w:ascii="Times New Roman" w:hAnsi="Times New Roman"/>
                <w:lang w:val="lt-LT"/>
              </w:rPr>
              <w:t>8 030</w:t>
            </w:r>
          </w:p>
        </w:tc>
        <w:tc>
          <w:tcPr>
            <w:tcW w:w="2520" w:type="dxa"/>
          </w:tcPr>
          <w:p w:rsidR="007912D0" w:rsidRPr="002D1464" w:rsidRDefault="007912D0" w:rsidP="003D74C8">
            <w:pPr>
              <w:spacing w:after="0" w:line="240" w:lineRule="auto"/>
              <w:jc w:val="center"/>
              <w:rPr>
                <w:rFonts w:ascii="Times New Roman" w:hAnsi="Times New Roman"/>
                <w:lang w:val="lt-LT"/>
              </w:rPr>
            </w:pPr>
            <w:r w:rsidRPr="002D1464">
              <w:rPr>
                <w:rFonts w:ascii="Times New Roman" w:hAnsi="Times New Roman"/>
                <w:lang w:val="lt-LT"/>
              </w:rPr>
              <w:t>7 990</w:t>
            </w:r>
          </w:p>
        </w:tc>
        <w:tc>
          <w:tcPr>
            <w:tcW w:w="2520" w:type="dxa"/>
          </w:tcPr>
          <w:p w:rsidR="007912D0" w:rsidRPr="002D1464" w:rsidRDefault="007912D0" w:rsidP="003D74C8">
            <w:pPr>
              <w:spacing w:after="0" w:line="240" w:lineRule="auto"/>
              <w:jc w:val="center"/>
              <w:rPr>
                <w:rFonts w:ascii="Times New Roman" w:hAnsi="Times New Roman"/>
                <w:lang w:val="lt-LT"/>
              </w:rPr>
            </w:pPr>
            <w:r w:rsidRPr="002D1464">
              <w:rPr>
                <w:rFonts w:ascii="Times New Roman" w:hAnsi="Times New Roman"/>
                <w:lang w:val="lt-LT"/>
              </w:rPr>
              <w:t>7 933</w:t>
            </w:r>
          </w:p>
        </w:tc>
      </w:tr>
      <w:tr w:rsidR="007912D0" w:rsidRPr="002D1464" w:rsidTr="003D74C8">
        <w:trPr>
          <w:trHeight w:val="288"/>
        </w:trPr>
        <w:tc>
          <w:tcPr>
            <w:tcW w:w="2166" w:type="dxa"/>
          </w:tcPr>
          <w:p w:rsidR="007912D0" w:rsidRPr="002D1464" w:rsidRDefault="007912D0" w:rsidP="003D74C8">
            <w:pPr>
              <w:spacing w:after="0" w:line="240" w:lineRule="auto"/>
              <w:rPr>
                <w:rFonts w:ascii="Times New Roman" w:hAnsi="Times New Roman"/>
                <w:lang w:val="lt-LT"/>
              </w:rPr>
            </w:pPr>
            <w:r w:rsidRPr="002D1464">
              <w:rPr>
                <w:rFonts w:ascii="Times New Roman" w:hAnsi="Times New Roman"/>
                <w:lang w:val="lt-LT"/>
              </w:rPr>
              <w:lastRenderedPageBreak/>
              <w:t>Tiriamieji, patyrę įvykių</w:t>
            </w:r>
          </w:p>
        </w:tc>
        <w:tc>
          <w:tcPr>
            <w:tcW w:w="2514" w:type="dxa"/>
          </w:tcPr>
          <w:p w:rsidR="007912D0" w:rsidRPr="002D1464" w:rsidRDefault="007912D0" w:rsidP="003D74C8">
            <w:pPr>
              <w:spacing w:after="0" w:line="240" w:lineRule="auto"/>
              <w:jc w:val="center"/>
              <w:rPr>
                <w:rFonts w:ascii="Times New Roman" w:hAnsi="Times New Roman"/>
                <w:lang w:val="lt-LT"/>
              </w:rPr>
            </w:pPr>
            <w:r w:rsidRPr="002D1464">
              <w:rPr>
                <w:rFonts w:ascii="Times New Roman" w:hAnsi="Times New Roman"/>
                <w:color w:val="000000"/>
                <w:lang w:val="lt-LT"/>
              </w:rPr>
              <w:t>134 (1,7 %)</w:t>
            </w:r>
          </w:p>
        </w:tc>
        <w:tc>
          <w:tcPr>
            <w:tcW w:w="2520" w:type="dxa"/>
          </w:tcPr>
          <w:p w:rsidR="007912D0" w:rsidRPr="002D1464" w:rsidRDefault="007912D0" w:rsidP="003D74C8">
            <w:pPr>
              <w:spacing w:after="0" w:line="240" w:lineRule="auto"/>
              <w:jc w:val="center"/>
              <w:rPr>
                <w:rFonts w:ascii="Times New Roman" w:hAnsi="Times New Roman"/>
                <w:color w:val="000000"/>
                <w:lang w:val="lt-LT"/>
              </w:rPr>
            </w:pPr>
            <w:r w:rsidRPr="002D1464">
              <w:rPr>
                <w:rFonts w:ascii="Times New Roman" w:hAnsi="Times New Roman"/>
                <w:color w:val="000000"/>
                <w:lang w:val="lt-LT"/>
              </w:rPr>
              <w:t>155 (1,9 %)</w:t>
            </w:r>
          </w:p>
        </w:tc>
        <w:tc>
          <w:tcPr>
            <w:tcW w:w="2520" w:type="dxa"/>
          </w:tcPr>
          <w:p w:rsidR="007912D0" w:rsidRPr="002D1464" w:rsidRDefault="007912D0" w:rsidP="003D74C8">
            <w:pPr>
              <w:spacing w:after="0" w:line="240" w:lineRule="auto"/>
              <w:jc w:val="center"/>
              <w:rPr>
                <w:rFonts w:ascii="Times New Roman" w:hAnsi="Times New Roman"/>
                <w:lang w:val="lt-LT"/>
              </w:rPr>
            </w:pPr>
            <w:r w:rsidRPr="002D1464">
              <w:rPr>
                <w:rFonts w:ascii="Times New Roman" w:hAnsi="Times New Roman"/>
                <w:color w:val="000000"/>
                <w:lang w:val="lt-LT"/>
              </w:rPr>
              <w:t>144 (1,8 %)</w:t>
            </w:r>
          </w:p>
        </w:tc>
      </w:tr>
      <w:tr w:rsidR="007912D0" w:rsidRPr="002D1464" w:rsidTr="003D74C8">
        <w:trPr>
          <w:trHeight w:val="288"/>
        </w:trPr>
        <w:tc>
          <w:tcPr>
            <w:tcW w:w="2166" w:type="dxa"/>
          </w:tcPr>
          <w:p w:rsidR="007912D0" w:rsidRPr="002D1464" w:rsidRDefault="007912D0" w:rsidP="003D74C8">
            <w:pPr>
              <w:spacing w:after="0" w:line="240" w:lineRule="auto"/>
              <w:rPr>
                <w:rFonts w:ascii="Times New Roman" w:hAnsi="Times New Roman"/>
                <w:lang w:val="lt-LT"/>
              </w:rPr>
            </w:pPr>
            <w:r w:rsidRPr="002D1464">
              <w:rPr>
                <w:rFonts w:ascii="Times New Roman" w:hAnsi="Times New Roman"/>
                <w:lang w:val="lt-LT"/>
              </w:rPr>
              <w:t>Palyginimas</w:t>
            </w:r>
            <w:r>
              <w:rPr>
                <w:rFonts w:ascii="Times New Roman" w:hAnsi="Times New Roman"/>
                <w:lang w:val="lt-LT"/>
              </w:rPr>
              <w:t xml:space="preserve"> poromis</w:t>
            </w:r>
          </w:p>
        </w:tc>
        <w:tc>
          <w:tcPr>
            <w:tcW w:w="2514" w:type="dxa"/>
          </w:tcPr>
          <w:p w:rsidR="007912D0" w:rsidRPr="002D1464" w:rsidRDefault="007912D0" w:rsidP="007A1DDB">
            <w:pPr>
              <w:spacing w:after="0" w:line="240" w:lineRule="auto"/>
              <w:jc w:val="center"/>
              <w:rPr>
                <w:rFonts w:ascii="Times New Roman" w:hAnsi="Times New Roman"/>
                <w:b/>
                <w:lang w:val="lt-LT"/>
              </w:rPr>
            </w:pPr>
            <w:r w:rsidRPr="002D1464">
              <w:rPr>
                <w:rFonts w:ascii="Times New Roman" w:hAnsi="Times New Roman"/>
                <w:b/>
                <w:lang w:val="lt-LT"/>
              </w:rPr>
              <w:t xml:space="preserve">Celekoksibas </w:t>
            </w:r>
            <w:r w:rsidR="007A1DDB">
              <w:rPr>
                <w:rFonts w:ascii="Times New Roman" w:hAnsi="Times New Roman"/>
                <w:b/>
                <w:lang w:val="lt-LT"/>
              </w:rPr>
              <w:t>lyginant</w:t>
            </w:r>
            <w:r w:rsidRPr="002D1464">
              <w:rPr>
                <w:rFonts w:ascii="Times New Roman" w:hAnsi="Times New Roman"/>
                <w:b/>
                <w:lang w:val="lt-LT"/>
              </w:rPr>
              <w:t xml:space="preserve"> su naproksenu</w:t>
            </w:r>
          </w:p>
        </w:tc>
        <w:tc>
          <w:tcPr>
            <w:tcW w:w="2520" w:type="dxa"/>
          </w:tcPr>
          <w:p w:rsidR="007912D0" w:rsidRPr="002D1464" w:rsidRDefault="007912D0" w:rsidP="007A1DDB">
            <w:pPr>
              <w:spacing w:after="0" w:line="240" w:lineRule="auto"/>
              <w:jc w:val="center"/>
              <w:rPr>
                <w:rFonts w:ascii="Times New Roman" w:hAnsi="Times New Roman"/>
                <w:b/>
                <w:lang w:val="lt-LT"/>
              </w:rPr>
            </w:pPr>
            <w:r w:rsidRPr="002D1464">
              <w:rPr>
                <w:rFonts w:ascii="Times New Roman" w:hAnsi="Times New Roman"/>
                <w:b/>
                <w:lang w:val="lt-LT"/>
              </w:rPr>
              <w:t xml:space="preserve">Celekoksibas </w:t>
            </w:r>
            <w:r w:rsidR="007A1DDB">
              <w:rPr>
                <w:rFonts w:ascii="Times New Roman" w:hAnsi="Times New Roman"/>
                <w:b/>
                <w:lang w:val="lt-LT"/>
              </w:rPr>
              <w:t>lyginant</w:t>
            </w:r>
            <w:r w:rsidRPr="002D1464">
              <w:rPr>
                <w:rFonts w:ascii="Times New Roman" w:hAnsi="Times New Roman"/>
                <w:b/>
                <w:lang w:val="lt-LT"/>
              </w:rPr>
              <w:t xml:space="preserve"> su ibuprofenu </w:t>
            </w:r>
          </w:p>
        </w:tc>
        <w:tc>
          <w:tcPr>
            <w:tcW w:w="2520" w:type="dxa"/>
          </w:tcPr>
          <w:p w:rsidR="006E59D1" w:rsidRDefault="007912D0" w:rsidP="007A1DDB">
            <w:pPr>
              <w:spacing w:after="0" w:line="240" w:lineRule="auto"/>
              <w:jc w:val="center"/>
              <w:rPr>
                <w:rFonts w:ascii="Times New Roman" w:hAnsi="Times New Roman"/>
                <w:b/>
                <w:lang w:val="lt-LT"/>
              </w:rPr>
            </w:pPr>
            <w:r w:rsidRPr="002D1464">
              <w:rPr>
                <w:rFonts w:ascii="Times New Roman" w:hAnsi="Times New Roman"/>
                <w:b/>
                <w:lang w:val="lt-LT"/>
              </w:rPr>
              <w:t xml:space="preserve">Ibuprofenas </w:t>
            </w:r>
            <w:r w:rsidR="007A1DDB">
              <w:rPr>
                <w:rFonts w:ascii="Times New Roman" w:hAnsi="Times New Roman"/>
                <w:b/>
                <w:lang w:val="lt-LT"/>
              </w:rPr>
              <w:t>lyginant</w:t>
            </w:r>
          </w:p>
          <w:p w:rsidR="007912D0" w:rsidRPr="002D1464" w:rsidRDefault="007912D0" w:rsidP="007A1DDB">
            <w:pPr>
              <w:spacing w:after="0" w:line="240" w:lineRule="auto"/>
              <w:jc w:val="center"/>
              <w:rPr>
                <w:rFonts w:ascii="Times New Roman" w:hAnsi="Times New Roman"/>
                <w:lang w:val="lt-LT"/>
              </w:rPr>
            </w:pPr>
            <w:r w:rsidRPr="002D1464">
              <w:rPr>
                <w:rFonts w:ascii="Times New Roman" w:hAnsi="Times New Roman"/>
                <w:b/>
                <w:lang w:val="lt-LT"/>
              </w:rPr>
              <w:t xml:space="preserve">su naproksenu </w:t>
            </w:r>
          </w:p>
        </w:tc>
      </w:tr>
      <w:tr w:rsidR="007912D0" w:rsidRPr="002D1464" w:rsidTr="003D74C8">
        <w:trPr>
          <w:trHeight w:val="288"/>
        </w:trPr>
        <w:tc>
          <w:tcPr>
            <w:tcW w:w="2166" w:type="dxa"/>
          </w:tcPr>
          <w:p w:rsidR="007912D0" w:rsidRPr="002D1464" w:rsidRDefault="007912D0" w:rsidP="003D74C8">
            <w:pPr>
              <w:spacing w:after="0" w:line="240" w:lineRule="auto"/>
              <w:rPr>
                <w:rFonts w:ascii="Times New Roman" w:hAnsi="Times New Roman"/>
                <w:lang w:val="lt-LT"/>
              </w:rPr>
            </w:pPr>
            <w:r w:rsidRPr="002D1464">
              <w:rPr>
                <w:rFonts w:ascii="Times New Roman" w:hAnsi="Times New Roman"/>
                <w:lang w:val="lt-LT"/>
              </w:rPr>
              <w:t xml:space="preserve">  </w:t>
            </w:r>
            <w:r w:rsidR="00666091">
              <w:rPr>
                <w:rFonts w:ascii="Times New Roman" w:hAnsi="Times New Roman"/>
                <w:lang w:val="lt-LT"/>
              </w:rPr>
              <w:t>RS</w:t>
            </w:r>
            <w:r w:rsidRPr="002D1464">
              <w:rPr>
                <w:rFonts w:ascii="Times New Roman" w:hAnsi="Times New Roman"/>
                <w:lang w:val="lt-LT"/>
              </w:rPr>
              <w:t xml:space="preserve"> (95 % PI)</w:t>
            </w:r>
          </w:p>
        </w:tc>
        <w:tc>
          <w:tcPr>
            <w:tcW w:w="2514" w:type="dxa"/>
          </w:tcPr>
          <w:p w:rsidR="007912D0" w:rsidRPr="002D1464" w:rsidRDefault="007912D0" w:rsidP="003D74C8">
            <w:pPr>
              <w:spacing w:after="0" w:line="240" w:lineRule="auto"/>
              <w:jc w:val="center"/>
              <w:rPr>
                <w:rFonts w:ascii="Times New Roman" w:hAnsi="Times New Roman"/>
                <w:color w:val="000000"/>
                <w:lang w:val="lt-LT"/>
              </w:rPr>
            </w:pPr>
            <w:r w:rsidRPr="002D1464">
              <w:rPr>
                <w:rFonts w:ascii="Times New Roman" w:hAnsi="Times New Roman"/>
                <w:color w:val="000000"/>
                <w:lang w:val="lt-LT"/>
              </w:rPr>
              <w:t>0,90 (0,72; 1,14)</w:t>
            </w:r>
          </w:p>
        </w:tc>
        <w:tc>
          <w:tcPr>
            <w:tcW w:w="2520" w:type="dxa"/>
          </w:tcPr>
          <w:p w:rsidR="007912D0" w:rsidRPr="002D1464" w:rsidRDefault="007912D0" w:rsidP="003D74C8">
            <w:pPr>
              <w:spacing w:after="0" w:line="240" w:lineRule="auto"/>
              <w:jc w:val="center"/>
              <w:rPr>
                <w:rFonts w:ascii="Times New Roman" w:hAnsi="Times New Roman"/>
                <w:color w:val="000000"/>
                <w:lang w:val="lt-LT"/>
              </w:rPr>
            </w:pPr>
            <w:r w:rsidRPr="002D1464">
              <w:rPr>
                <w:rFonts w:ascii="Times New Roman" w:hAnsi="Times New Roman"/>
                <w:color w:val="000000"/>
                <w:lang w:val="lt-LT"/>
              </w:rPr>
              <w:t>0,81 (0,64; 1,02)</w:t>
            </w:r>
          </w:p>
        </w:tc>
        <w:tc>
          <w:tcPr>
            <w:tcW w:w="2520" w:type="dxa"/>
          </w:tcPr>
          <w:p w:rsidR="007912D0" w:rsidRPr="002D1464" w:rsidRDefault="007912D0" w:rsidP="003D74C8">
            <w:pPr>
              <w:spacing w:after="0" w:line="240" w:lineRule="auto"/>
              <w:jc w:val="center"/>
              <w:rPr>
                <w:rFonts w:ascii="Times New Roman" w:hAnsi="Times New Roman"/>
                <w:color w:val="000000"/>
                <w:lang w:val="lt-LT"/>
              </w:rPr>
            </w:pPr>
            <w:r w:rsidRPr="002D1464">
              <w:rPr>
                <w:rFonts w:ascii="Times New Roman" w:hAnsi="Times New Roman"/>
                <w:color w:val="000000"/>
                <w:lang w:val="lt-LT"/>
              </w:rPr>
              <w:t>1,12 (0,889; 1,40)</w:t>
            </w:r>
          </w:p>
        </w:tc>
      </w:tr>
    </w:tbl>
    <w:p w:rsidR="007912D0" w:rsidRDefault="007912D0" w:rsidP="002101F6">
      <w:pPr>
        <w:autoSpaceDE w:val="0"/>
        <w:autoSpaceDN w:val="0"/>
        <w:adjustRightInd w:val="0"/>
        <w:spacing w:after="0" w:line="240" w:lineRule="auto"/>
        <w:rPr>
          <w:rFonts w:ascii="Times New Roman" w:eastAsia="Times New Roman" w:hAnsi="Times New Roman"/>
          <w:lang w:val="lt-LT"/>
        </w:rPr>
      </w:pPr>
    </w:p>
    <w:p w:rsidR="008262DB" w:rsidRDefault="007912D0" w:rsidP="002101F6">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Rezultatai pagal a</w:t>
      </w:r>
      <w:r w:rsidRPr="00BA5DD7">
        <w:rPr>
          <w:rFonts w:ascii="Times New Roman" w:eastAsia="Times New Roman" w:hAnsi="Times New Roman"/>
          <w:lang w:val="lt-LT"/>
        </w:rPr>
        <w:t>ntrin</w:t>
      </w:r>
      <w:r>
        <w:rPr>
          <w:rFonts w:ascii="Times New Roman" w:eastAsia="Times New Roman" w:hAnsi="Times New Roman"/>
          <w:lang w:val="lt-LT"/>
        </w:rPr>
        <w:t>e</w:t>
      </w:r>
      <w:r w:rsidRPr="00BA5DD7">
        <w:rPr>
          <w:rFonts w:ascii="Times New Roman" w:eastAsia="Times New Roman" w:hAnsi="Times New Roman"/>
          <w:lang w:val="lt-LT"/>
        </w:rPr>
        <w:t>s ir tretin</w:t>
      </w:r>
      <w:r>
        <w:rPr>
          <w:rFonts w:ascii="Times New Roman" w:eastAsia="Times New Roman" w:hAnsi="Times New Roman"/>
          <w:lang w:val="lt-LT"/>
        </w:rPr>
        <w:t>es vertinamąsias baigti</w:t>
      </w:r>
      <w:r w:rsidRPr="00BA5DD7">
        <w:rPr>
          <w:rFonts w:ascii="Times New Roman" w:eastAsia="Times New Roman" w:hAnsi="Times New Roman"/>
          <w:lang w:val="lt-LT"/>
        </w:rPr>
        <w:t>s</w:t>
      </w:r>
      <w:r>
        <w:rPr>
          <w:rFonts w:ascii="Times New Roman" w:eastAsia="Times New Roman" w:hAnsi="Times New Roman"/>
          <w:lang w:val="lt-LT"/>
        </w:rPr>
        <w:t xml:space="preserve"> yra panašūs tiek celekoksibo, tiek </w:t>
      </w:r>
      <w:r w:rsidR="00E50CAB">
        <w:rPr>
          <w:rFonts w:ascii="Times New Roman" w:eastAsia="Times New Roman" w:hAnsi="Times New Roman"/>
          <w:lang w:val="lt-LT"/>
        </w:rPr>
        <w:t>lyginamųjų</w:t>
      </w:r>
      <w:r>
        <w:rPr>
          <w:rFonts w:ascii="Times New Roman" w:eastAsia="Times New Roman" w:hAnsi="Times New Roman"/>
          <w:lang w:val="lt-LT"/>
        </w:rPr>
        <w:t xml:space="preserve"> va</w:t>
      </w:r>
      <w:r w:rsidR="00E50CAB">
        <w:rPr>
          <w:rFonts w:ascii="Times New Roman" w:eastAsia="Times New Roman" w:hAnsi="Times New Roman"/>
          <w:lang w:val="lt-LT"/>
        </w:rPr>
        <w:t>ist</w:t>
      </w:r>
      <w:r w:rsidR="007A1DDB">
        <w:rPr>
          <w:rFonts w:ascii="Times New Roman" w:eastAsia="Times New Roman" w:hAnsi="Times New Roman"/>
          <w:lang w:val="lt-LT"/>
        </w:rPr>
        <w:t>inių preparat</w:t>
      </w:r>
      <w:r w:rsidR="00E50CAB">
        <w:rPr>
          <w:rFonts w:ascii="Times New Roman" w:eastAsia="Times New Roman" w:hAnsi="Times New Roman"/>
          <w:lang w:val="lt-LT"/>
        </w:rPr>
        <w:t>ų</w:t>
      </w:r>
      <w:r>
        <w:rPr>
          <w:rFonts w:ascii="Times New Roman" w:eastAsia="Times New Roman" w:hAnsi="Times New Roman"/>
          <w:lang w:val="lt-LT"/>
        </w:rPr>
        <w:t xml:space="preserve"> grupėse</w:t>
      </w:r>
      <w:r w:rsidR="007A1DDB">
        <w:rPr>
          <w:rFonts w:ascii="Times New Roman" w:eastAsia="Times New Roman" w:hAnsi="Times New Roman"/>
          <w:lang w:val="lt-LT"/>
        </w:rPr>
        <w:t>; jokių nenumatytų</w:t>
      </w:r>
      <w:r w:rsidR="00730AEB">
        <w:rPr>
          <w:rFonts w:ascii="Times New Roman" w:eastAsia="Times New Roman" w:hAnsi="Times New Roman"/>
          <w:lang w:val="lt-LT"/>
        </w:rPr>
        <w:t xml:space="preserve"> </w:t>
      </w:r>
      <w:r w:rsidR="007A1DDB">
        <w:rPr>
          <w:rFonts w:ascii="Times New Roman" w:eastAsia="Times New Roman" w:hAnsi="Times New Roman"/>
          <w:lang w:val="lt-LT"/>
        </w:rPr>
        <w:t xml:space="preserve">saugumo duomenų </w:t>
      </w:r>
      <w:r w:rsidR="00730AEB">
        <w:rPr>
          <w:rFonts w:ascii="Times New Roman" w:eastAsia="Times New Roman" w:hAnsi="Times New Roman"/>
          <w:lang w:val="lt-LT"/>
        </w:rPr>
        <w:t>su vaistų saugumu susijusių nepageidaujamų reakcijų nebuvo.</w:t>
      </w:r>
      <w:r w:rsidR="00900432">
        <w:rPr>
          <w:rFonts w:ascii="Times New Roman" w:eastAsia="Times New Roman" w:hAnsi="Times New Roman"/>
          <w:lang w:val="lt-LT"/>
        </w:rPr>
        <w:t xml:space="preserve"> </w:t>
      </w:r>
    </w:p>
    <w:p w:rsidR="001448C6" w:rsidRPr="00B074B6" w:rsidRDefault="001448C6" w:rsidP="001448C6">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 xml:space="preserve">PRECISION tyrimas parodė, kad pagal nepageidaujamą poveikį širdžiai ir kraujagyslėms celekoksibas, vartojamas mažiausia patvirtinta doze (po </w:t>
      </w:r>
      <w:r w:rsidRPr="00BF1E55">
        <w:rPr>
          <w:rFonts w:ascii="Times New Roman" w:eastAsia="Times New Roman" w:hAnsi="Times New Roman"/>
          <w:lang w:val="lt-LT"/>
        </w:rPr>
        <w:t>100</w:t>
      </w:r>
      <w:r>
        <w:rPr>
          <w:rFonts w:ascii="Times New Roman" w:eastAsia="Times New Roman" w:hAnsi="Times New Roman"/>
          <w:lang w:val="lt-LT"/>
        </w:rPr>
        <w:t xml:space="preserve"> mg du kartus per parą), yra neprastesnis </w:t>
      </w:r>
      <w:r w:rsidR="004D0E11">
        <w:rPr>
          <w:rFonts w:ascii="Times New Roman" w:eastAsia="Times New Roman" w:hAnsi="Times New Roman"/>
          <w:lang w:val="lt-LT"/>
        </w:rPr>
        <w:t>pa</w:t>
      </w:r>
      <w:r>
        <w:rPr>
          <w:rFonts w:ascii="Times New Roman" w:eastAsia="Times New Roman" w:hAnsi="Times New Roman"/>
          <w:lang w:val="lt-LT"/>
        </w:rPr>
        <w:t>lygin</w:t>
      </w:r>
      <w:r w:rsidR="004D0E11">
        <w:rPr>
          <w:rFonts w:ascii="Times New Roman" w:eastAsia="Times New Roman" w:hAnsi="Times New Roman"/>
          <w:lang w:val="lt-LT"/>
        </w:rPr>
        <w:t>us</w:t>
      </w:r>
      <w:r>
        <w:rPr>
          <w:rFonts w:ascii="Times New Roman" w:eastAsia="Times New Roman" w:hAnsi="Times New Roman"/>
          <w:lang w:val="lt-LT"/>
        </w:rPr>
        <w:t xml:space="preserve"> su ibuprofenu, vartojamu po 600 mg -800 mg tris kartus per parą ar naproksenu, vartojamu po 375mg -500mg du kartus per parą. Š</w:t>
      </w:r>
      <w:r w:rsidRPr="00B34510">
        <w:rPr>
          <w:rFonts w:ascii="Times New Roman" w:eastAsia="Times New Roman" w:hAnsi="Times New Roman"/>
          <w:lang w:val="lt-LT"/>
        </w:rPr>
        <w:t xml:space="preserve">irdies ir kraujagyslių ligų rizika </w:t>
      </w:r>
      <w:r>
        <w:rPr>
          <w:rFonts w:ascii="Times New Roman" w:eastAsia="Times New Roman" w:hAnsi="Times New Roman"/>
          <w:lang w:val="lt-LT"/>
        </w:rPr>
        <w:t xml:space="preserve">nuo NVNU, įskaitant koksibus, priklauso nuo dozės, todėl po </w:t>
      </w:r>
      <w:r w:rsidRPr="0012494A">
        <w:rPr>
          <w:rFonts w:ascii="Times New Roman" w:eastAsia="Times New Roman" w:hAnsi="Times New Roman"/>
          <w:lang w:val="lt-LT"/>
        </w:rPr>
        <w:t>200</w:t>
      </w:r>
      <w:r>
        <w:rPr>
          <w:rFonts w:ascii="Times New Roman" w:eastAsia="Times New Roman" w:hAnsi="Times New Roman"/>
          <w:lang w:val="lt-LT"/>
        </w:rPr>
        <w:t xml:space="preserve"> mg per parą vartojamo celekoksibo jungtinės širdies ir kraujagyslių vertinamosios baigties rezultatai negali būti taikytini </w:t>
      </w:r>
      <w:r w:rsidRPr="00B34510">
        <w:rPr>
          <w:rFonts w:ascii="Times New Roman" w:eastAsia="Times New Roman" w:hAnsi="Times New Roman"/>
          <w:lang w:val="lt-LT"/>
        </w:rPr>
        <w:t>dozavimo režim</w:t>
      </w:r>
      <w:r>
        <w:rPr>
          <w:rFonts w:ascii="Times New Roman" w:eastAsia="Times New Roman" w:hAnsi="Times New Roman"/>
          <w:lang w:val="lt-LT"/>
        </w:rPr>
        <w:t>ams</w:t>
      </w:r>
      <w:r w:rsidRPr="00B34510">
        <w:rPr>
          <w:rFonts w:ascii="Times New Roman" w:eastAsia="Times New Roman" w:hAnsi="Times New Roman"/>
          <w:lang w:val="lt-LT"/>
        </w:rPr>
        <w:t xml:space="preserve">, </w:t>
      </w:r>
      <w:r>
        <w:rPr>
          <w:rFonts w:ascii="Times New Roman" w:eastAsia="Times New Roman" w:hAnsi="Times New Roman"/>
          <w:lang w:val="lt-LT"/>
        </w:rPr>
        <w:t>kurių metu vartojama</w:t>
      </w:r>
      <w:r w:rsidRPr="00B34510">
        <w:rPr>
          <w:rFonts w:ascii="Times New Roman" w:eastAsia="Times New Roman" w:hAnsi="Times New Roman"/>
          <w:lang w:val="lt-LT"/>
        </w:rPr>
        <w:t xml:space="preserve"> didesn</w:t>
      </w:r>
      <w:r>
        <w:rPr>
          <w:rFonts w:ascii="Times New Roman" w:eastAsia="Times New Roman" w:hAnsi="Times New Roman"/>
          <w:lang w:val="lt-LT"/>
        </w:rPr>
        <w:t>ė</w:t>
      </w:r>
      <w:r w:rsidRPr="00B34510">
        <w:rPr>
          <w:rFonts w:ascii="Times New Roman" w:eastAsia="Times New Roman" w:hAnsi="Times New Roman"/>
          <w:lang w:val="lt-LT"/>
        </w:rPr>
        <w:t xml:space="preserve"> celekoksibo doz</w:t>
      </w:r>
      <w:r>
        <w:rPr>
          <w:rFonts w:ascii="Times New Roman" w:eastAsia="Times New Roman" w:hAnsi="Times New Roman"/>
          <w:lang w:val="lt-LT"/>
        </w:rPr>
        <w:t>ė</w:t>
      </w:r>
      <w:r w:rsidRPr="00B34510">
        <w:rPr>
          <w:rFonts w:ascii="Times New Roman" w:eastAsia="Times New Roman" w:hAnsi="Times New Roman"/>
          <w:lang w:val="lt-LT"/>
        </w:rPr>
        <w:t>.</w:t>
      </w:r>
    </w:p>
    <w:p w:rsidR="008262DB" w:rsidRPr="00B074B6" w:rsidRDefault="008262DB" w:rsidP="002101F6">
      <w:pPr>
        <w:autoSpaceDE w:val="0"/>
        <w:autoSpaceDN w:val="0"/>
        <w:adjustRightInd w:val="0"/>
        <w:spacing w:after="0" w:line="240" w:lineRule="auto"/>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lang w:val="lt-LT"/>
        </w:rPr>
        <w:t>5.2</w:t>
      </w:r>
      <w:r w:rsidRPr="00153D15">
        <w:rPr>
          <w:rFonts w:ascii="Times New Roman" w:eastAsia="Times New Roman" w:hAnsi="Times New Roman"/>
          <w:b/>
          <w:lang w:val="lt-LT"/>
        </w:rPr>
        <w:tab/>
        <w:t xml:space="preserve">Farmakokinetinės savybės </w:t>
      </w:r>
    </w:p>
    <w:p w:rsidR="002101F6" w:rsidRPr="00153D15" w:rsidRDefault="002101F6" w:rsidP="002101F6">
      <w:pPr>
        <w:spacing w:after="0" w:line="240" w:lineRule="auto"/>
        <w:ind w:left="567" w:hanging="567"/>
        <w:rPr>
          <w:rFonts w:ascii="Times New Roman" w:eastAsia="Times New Roman" w:hAnsi="Times New Roman"/>
          <w:lang w:val="lt-LT"/>
        </w:rPr>
      </w:pPr>
    </w:p>
    <w:p w:rsidR="009061FE" w:rsidRPr="00BA75C2" w:rsidRDefault="009061FE" w:rsidP="002101F6">
      <w:pPr>
        <w:spacing w:after="0" w:line="240" w:lineRule="auto"/>
        <w:ind w:left="567" w:hanging="567"/>
        <w:rPr>
          <w:rFonts w:ascii="Times New Roman" w:eastAsia="Times New Roman" w:hAnsi="Times New Roman"/>
          <w:u w:val="single"/>
          <w:lang w:val="lt-LT"/>
        </w:rPr>
      </w:pPr>
      <w:r w:rsidRPr="00BA75C2">
        <w:rPr>
          <w:rFonts w:ascii="Times New Roman" w:hAnsi="Times New Roman"/>
          <w:noProof/>
          <w:color w:val="000000"/>
          <w:u w:val="single"/>
          <w:lang w:val="lt-LT"/>
        </w:rPr>
        <w:t>Absorbcija</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Celekoksibas gerai absorbuojamas ir didžiausia jo koncentracija kraujo plazmoje susidaro maždaug po 2</w:t>
      </w:r>
      <w:r w:rsidRPr="00153D15">
        <w:rPr>
          <w:rFonts w:ascii="Times New Roman" w:eastAsia="Times New Roman" w:hAnsi="Times New Roman"/>
          <w:lang w:val="lt-LT"/>
        </w:rPr>
        <w:noBreakHyphen/>
        <w:t>3 valandų. Celekoksibas, vartojamas su maistu (labai riebiu), absorbuojamas maždaug viena valanda ilgiau.</w:t>
      </w:r>
    </w:p>
    <w:p w:rsidR="002101F6" w:rsidRPr="00153D15" w:rsidRDefault="002101F6" w:rsidP="002101F6">
      <w:pPr>
        <w:spacing w:after="0" w:line="240" w:lineRule="auto"/>
        <w:rPr>
          <w:rFonts w:ascii="Times New Roman" w:eastAsia="Times New Roman" w:hAnsi="Times New Roman"/>
          <w:lang w:val="lt-LT"/>
        </w:rPr>
      </w:pPr>
    </w:p>
    <w:p w:rsidR="009061FE" w:rsidRPr="00BA75C2" w:rsidRDefault="009061FE" w:rsidP="002101F6">
      <w:pPr>
        <w:spacing w:after="0" w:line="240" w:lineRule="auto"/>
        <w:rPr>
          <w:rFonts w:ascii="Times New Roman" w:eastAsia="Times New Roman" w:hAnsi="Times New Roman"/>
          <w:u w:val="single"/>
          <w:lang w:val="lt-LT"/>
        </w:rPr>
      </w:pPr>
      <w:r w:rsidRPr="00BA75C2">
        <w:rPr>
          <w:rFonts w:ascii="Times New Roman" w:hAnsi="Times New Roman"/>
          <w:noProof/>
          <w:color w:val="000000"/>
          <w:u w:val="single"/>
          <w:lang w:val="lt-LT"/>
        </w:rPr>
        <w:t>Pasiskirstymas</w:t>
      </w:r>
    </w:p>
    <w:p w:rsidR="009061FE" w:rsidRPr="00153D15" w:rsidRDefault="009061FE"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Kai kraujo plazmoje susidaro gydomoji celekoksibo koncentracija, apie 97</w:t>
      </w:r>
      <w:r w:rsidR="00A34374">
        <w:rPr>
          <w:rFonts w:ascii="Times New Roman" w:eastAsia="Times New Roman" w:hAnsi="Times New Roman"/>
          <w:lang w:val="lt-LT"/>
        </w:rPr>
        <w:t xml:space="preserve"> </w:t>
      </w:r>
      <w:r w:rsidRPr="00153D15">
        <w:rPr>
          <w:rFonts w:ascii="Times New Roman" w:eastAsia="Times New Roman" w:hAnsi="Times New Roman"/>
          <w:lang w:val="lt-LT"/>
        </w:rPr>
        <w:t xml:space="preserve">% vaistinio preparato jungiasi su plazmos baltymais, bet nesijungia su eritrocitais. </w:t>
      </w:r>
    </w:p>
    <w:p w:rsidR="009061FE" w:rsidRPr="00BA75C2" w:rsidRDefault="009061FE" w:rsidP="002101F6">
      <w:pPr>
        <w:spacing w:after="0" w:line="240" w:lineRule="auto"/>
        <w:rPr>
          <w:rFonts w:ascii="Times New Roman" w:eastAsia="Times New Roman" w:hAnsi="Times New Roman"/>
          <w:u w:val="single"/>
          <w:lang w:val="lt-LT"/>
        </w:rPr>
      </w:pPr>
    </w:p>
    <w:p w:rsidR="009061FE" w:rsidRPr="00BA75C2" w:rsidRDefault="009061FE" w:rsidP="002101F6">
      <w:pPr>
        <w:spacing w:after="0" w:line="240" w:lineRule="auto"/>
        <w:rPr>
          <w:rFonts w:ascii="Times New Roman" w:eastAsia="Times New Roman" w:hAnsi="Times New Roman"/>
          <w:u w:val="single"/>
          <w:lang w:val="lt-LT"/>
        </w:rPr>
      </w:pPr>
      <w:r w:rsidRPr="00BA75C2">
        <w:rPr>
          <w:rFonts w:ascii="Times New Roman" w:hAnsi="Times New Roman"/>
          <w:noProof/>
          <w:color w:val="000000"/>
          <w:u w:val="single"/>
          <w:lang w:val="lt-LT"/>
        </w:rPr>
        <w:t>Biotransformacija</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Nepakitęs vaistinis preparatas yra farmakologiškai aktyvus. Pagrindiniai kraujyje cirkuliuojantys celekoksibo metabolitai neslopina COX</w:t>
      </w:r>
      <w:r w:rsidRPr="00153D15">
        <w:rPr>
          <w:rFonts w:ascii="Times New Roman" w:eastAsia="Times New Roman" w:hAnsi="Times New Roman"/>
          <w:lang w:val="lt-LT"/>
        </w:rPr>
        <w:noBreakHyphen/>
        <w:t>1 arba COX</w:t>
      </w:r>
      <w:r w:rsidRPr="00153D15">
        <w:rPr>
          <w:rFonts w:ascii="Times New Roman" w:eastAsia="Times New Roman" w:hAnsi="Times New Roman"/>
          <w:lang w:val="lt-LT"/>
        </w:rPr>
        <w:noBreakHyphen/>
        <w:t>2.</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Daugiausia celekoksibo metabolizuojama, veikiant citochromo P450 izofermentams. Žmogaus plazmoje nustatyti trys metabolitai, kurie neslopina COX-1 ar COX-2, tai pirmiausia alkoholiai, atitinkantys karboksilo rūgštį</w:t>
      </w:r>
      <w:r w:rsidR="00A34374">
        <w:rPr>
          <w:rFonts w:ascii="Times New Roman" w:eastAsia="Times New Roman" w:hAnsi="Times New Roman"/>
          <w:lang w:val="lt-LT"/>
        </w:rPr>
        <w:t>,</w:t>
      </w:r>
      <w:r w:rsidRPr="00153D15">
        <w:rPr>
          <w:rFonts w:ascii="Times New Roman" w:eastAsia="Times New Roman" w:hAnsi="Times New Roman"/>
          <w:lang w:val="lt-LT"/>
        </w:rPr>
        <w:t xml:space="preserve"> ir konjuguoti su gliukuronidu.</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Dėl genetinio citochromo P450 2C9 polimorfizmo kai kurių asmenų, pavyzdžiui, kurių organizme yra homozigotinis CYP2C9*3</w:t>
      </w:r>
      <w:r w:rsidRPr="00153D15" w:rsidDel="0049064D">
        <w:rPr>
          <w:rFonts w:ascii="Times New Roman" w:eastAsia="Times New Roman" w:hAnsi="Times New Roman"/>
          <w:lang w:val="lt-LT"/>
        </w:rPr>
        <w:t xml:space="preserve"> </w:t>
      </w:r>
      <w:r w:rsidRPr="00153D15">
        <w:rPr>
          <w:rFonts w:ascii="Times New Roman" w:eastAsia="Times New Roman" w:hAnsi="Times New Roman"/>
          <w:lang w:val="lt-LT"/>
        </w:rPr>
        <w:t>polimorfizmas, šių fermentų aktyvumas būna mažesnis.</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Farmakokinetikos tyrimo, kurio metu sveiki savanoriai, kuriems nustatytas CYP2C9*1/*1, CYP2C9*1/*3 ar CYP2C9*3/*3 genotipas, vartojo 200 mg celekoksibo dozę vieną kartą per parą, duomenimis, 7-tą parą CYP2C9*3/*3 genotipą turinčių asmenų organizme celekoksibo vidutiniai C</w:t>
      </w:r>
      <w:r w:rsidRPr="00153D15">
        <w:rPr>
          <w:rFonts w:ascii="Times New Roman" w:eastAsia="Times New Roman" w:hAnsi="Times New Roman"/>
          <w:vertAlign w:val="subscript"/>
          <w:lang w:val="lt-LT"/>
        </w:rPr>
        <w:t>max</w:t>
      </w:r>
      <w:r w:rsidRPr="00153D15">
        <w:rPr>
          <w:rFonts w:ascii="Times New Roman" w:eastAsia="Times New Roman" w:hAnsi="Times New Roman"/>
          <w:lang w:val="lt-LT"/>
        </w:rPr>
        <w:t xml:space="preserve"> ir AUC</w:t>
      </w:r>
      <w:r w:rsidRPr="00153D15">
        <w:rPr>
          <w:rFonts w:ascii="Times New Roman" w:eastAsia="Times New Roman" w:hAnsi="Times New Roman"/>
          <w:caps/>
          <w:vertAlign w:val="subscript"/>
          <w:lang w:val="lt-LT"/>
        </w:rPr>
        <w:t>0-24</w:t>
      </w:r>
      <w:r w:rsidRPr="00153D15">
        <w:rPr>
          <w:rFonts w:ascii="Times New Roman" w:eastAsia="Times New Roman" w:hAnsi="Times New Roman"/>
          <w:lang w:val="lt-LT"/>
        </w:rPr>
        <w:t xml:space="preserve"> buvo atitinkamai 4 ir 7 kartus didesni, palyginti su kitais genotipais. Trys atskiri vienos dozės tyrimai, kuriuose dalyvavo iš viso 5 CYP2C9*3/*3 genotipą turintys asmenys, kurių organizme vienkartinės dozės AUC</w:t>
      </w:r>
      <w:r w:rsidRPr="00153D15">
        <w:rPr>
          <w:rFonts w:ascii="Times New Roman" w:eastAsia="Times New Roman" w:hAnsi="Times New Roman"/>
          <w:caps/>
          <w:vertAlign w:val="subscript"/>
          <w:lang w:val="lt-LT"/>
        </w:rPr>
        <w:t>0-24</w:t>
      </w:r>
      <w:r w:rsidRPr="00153D15">
        <w:rPr>
          <w:rFonts w:ascii="Times New Roman" w:eastAsia="Times New Roman" w:hAnsi="Times New Roman"/>
          <w:lang w:val="lt-LT"/>
        </w:rPr>
        <w:t xml:space="preserve"> padidėjo maždaug 3 kartus, palyginti su asmenų, kurių organizme metabolizmas normalus. Nustatyta, kad skirtingose etninėse grupėse homozigotinio *3/*3 genotipo dažnis yra 0,3</w:t>
      </w:r>
      <w:r w:rsidRPr="00153D15">
        <w:rPr>
          <w:rFonts w:ascii="Times New Roman" w:eastAsia="Times New Roman" w:hAnsi="Times New Roman"/>
          <w:lang w:val="lt-LT"/>
        </w:rPr>
        <w:noBreakHyphen/>
        <w:t>1,0</w:t>
      </w:r>
      <w:r w:rsidR="00A34374">
        <w:rPr>
          <w:rFonts w:ascii="Times New Roman" w:eastAsia="Times New Roman" w:hAnsi="Times New Roman"/>
          <w:lang w:val="lt-LT"/>
        </w:rPr>
        <w:t xml:space="preserve"> </w:t>
      </w:r>
      <w:r w:rsidRPr="00153D15">
        <w:rPr>
          <w:rFonts w:ascii="Times New Roman" w:eastAsia="Times New Roman" w:hAnsi="Times New Roman"/>
          <w:lang w:val="lt-LT"/>
        </w:rPr>
        <w:t>%.</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Jeigu remiantis ankstesne CYP2C9 substratų vartojimo patirtimi, įtariama, kad paciento organizme CYP2C9 veikiamas metabolizmas yra silpnas, celekoksibą vartoti reikia atsargiai (žr. 4.2</w:t>
      </w:r>
      <w:r w:rsidR="00A34374">
        <w:rPr>
          <w:rFonts w:ascii="Times New Roman" w:eastAsia="Times New Roman" w:hAnsi="Times New Roman"/>
          <w:lang w:val="lt-LT"/>
        </w:rPr>
        <w:t xml:space="preserve"> ir 4.4</w:t>
      </w:r>
      <w:r w:rsidRPr="00153D15">
        <w:rPr>
          <w:rFonts w:ascii="Times New Roman" w:eastAsia="Times New Roman" w:hAnsi="Times New Roman"/>
          <w:lang w:val="lt-LT"/>
        </w:rPr>
        <w:t xml:space="preserve"> skyrių).</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Kliniškai reikšmingų farmakokinetikos savybių skirtumų juodosios ir baltosios rasės pacientų organizme nenustatyta.</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lastRenderedPageBreak/>
        <w:t>Senyvų moterų (&gt; 65 metų) kraujo plazmoje susidaro maždaug 100</w:t>
      </w:r>
      <w:r w:rsidR="00A34374">
        <w:rPr>
          <w:rFonts w:ascii="Times New Roman" w:eastAsia="Times New Roman" w:hAnsi="Times New Roman"/>
          <w:lang w:val="lt-LT"/>
        </w:rPr>
        <w:t xml:space="preserve"> </w:t>
      </w:r>
      <w:r w:rsidRPr="00153D15">
        <w:rPr>
          <w:rFonts w:ascii="Times New Roman" w:eastAsia="Times New Roman" w:hAnsi="Times New Roman"/>
          <w:lang w:val="lt-LT"/>
        </w:rPr>
        <w:t xml:space="preserve">% didesnė celekoksibo koncentracija. </w:t>
      </w:r>
    </w:p>
    <w:p w:rsidR="002101F6" w:rsidRPr="00153D15" w:rsidRDefault="002101F6" w:rsidP="002101F6">
      <w:pPr>
        <w:spacing w:after="0" w:line="240" w:lineRule="auto"/>
        <w:rPr>
          <w:rFonts w:ascii="Times New Roman" w:eastAsia="Times New Roman" w:hAnsi="Times New Roman"/>
          <w:lang w:val="lt-LT"/>
        </w:rPr>
      </w:pPr>
    </w:p>
    <w:p w:rsidR="009061FE" w:rsidRPr="00BA75C2" w:rsidRDefault="009061FE" w:rsidP="009061FE">
      <w:pPr>
        <w:spacing w:after="0" w:line="240" w:lineRule="auto"/>
        <w:rPr>
          <w:rFonts w:ascii="Times New Roman" w:hAnsi="Times New Roman"/>
          <w:noProof/>
          <w:color w:val="000000"/>
          <w:u w:val="single"/>
          <w:lang w:val="lt-LT"/>
        </w:rPr>
      </w:pPr>
      <w:r w:rsidRPr="00BA75C2">
        <w:rPr>
          <w:rFonts w:ascii="Times New Roman" w:hAnsi="Times New Roman"/>
          <w:noProof/>
          <w:color w:val="000000"/>
          <w:u w:val="single"/>
          <w:lang w:val="lt-LT"/>
        </w:rPr>
        <w:t>Eliminacija</w:t>
      </w:r>
    </w:p>
    <w:p w:rsidR="009061FE" w:rsidRPr="00153D15" w:rsidRDefault="009061FE" w:rsidP="009061FE">
      <w:pPr>
        <w:spacing w:after="0" w:line="240" w:lineRule="auto"/>
        <w:rPr>
          <w:rFonts w:ascii="Times New Roman" w:hAnsi="Times New Roman"/>
          <w:color w:val="000000"/>
          <w:lang w:val="lt-LT"/>
        </w:rPr>
      </w:pPr>
      <w:r w:rsidRPr="00153D15">
        <w:rPr>
          <w:rFonts w:ascii="Times New Roman" w:eastAsia="Times New Roman" w:hAnsi="Times New Roman"/>
          <w:lang w:val="lt-LT"/>
        </w:rPr>
        <w:t>Didelė celekoksibo dalis metabolizuojama. Mažiau kaip 1</w:t>
      </w:r>
      <w:r w:rsidR="00A34374">
        <w:rPr>
          <w:rFonts w:ascii="Times New Roman" w:eastAsia="Times New Roman" w:hAnsi="Times New Roman"/>
          <w:lang w:val="lt-LT"/>
        </w:rPr>
        <w:t xml:space="preserve"> </w:t>
      </w:r>
      <w:r w:rsidRPr="00153D15">
        <w:rPr>
          <w:rFonts w:ascii="Times New Roman" w:eastAsia="Times New Roman" w:hAnsi="Times New Roman"/>
          <w:lang w:val="lt-LT"/>
        </w:rPr>
        <w:t xml:space="preserve">% nepakitusio vaistinio preparato išsiskiria su šlapimu. Įvairių žmonių organizme celekoksibo farmakokinetika skiriasi apie 10 kartų. Gydomųjų celekoksibo dozių farmakokinetika nepriklauso nuo dozės ir laiko. Pusinės eliminacijos laikas </w:t>
      </w:r>
      <w:r w:rsidR="00A34374">
        <w:rPr>
          <w:rFonts w:ascii="Times New Roman" w:eastAsia="Times New Roman" w:hAnsi="Times New Roman"/>
          <w:lang w:val="lt-LT"/>
        </w:rPr>
        <w:t xml:space="preserve">yra </w:t>
      </w:r>
      <w:r w:rsidRPr="00153D15">
        <w:rPr>
          <w:rFonts w:ascii="Times New Roman" w:eastAsia="Times New Roman" w:hAnsi="Times New Roman"/>
          <w:lang w:val="lt-LT"/>
        </w:rPr>
        <w:t>8</w:t>
      </w:r>
      <w:r w:rsidRPr="00153D15">
        <w:rPr>
          <w:rFonts w:ascii="Times New Roman" w:eastAsia="Times New Roman" w:hAnsi="Times New Roman"/>
          <w:lang w:val="lt-LT"/>
        </w:rPr>
        <w:noBreakHyphen/>
        <w:t>12 valandų. Pusiausvyrinė koncentracija kraujo plazmoje susidaro per 5 dienas.</w:t>
      </w:r>
    </w:p>
    <w:p w:rsidR="009061FE" w:rsidRPr="00153D15" w:rsidRDefault="009061FE" w:rsidP="009061FE">
      <w:pPr>
        <w:spacing w:after="0" w:line="240" w:lineRule="auto"/>
        <w:rPr>
          <w:rFonts w:ascii="Times New Roman" w:eastAsia="Times New Roman" w:hAnsi="Times New Roman"/>
          <w:lang w:val="lt-LT"/>
        </w:rPr>
      </w:pPr>
    </w:p>
    <w:p w:rsidR="008732E2" w:rsidRPr="00BA75C2" w:rsidRDefault="008732E2" w:rsidP="002101F6">
      <w:pPr>
        <w:spacing w:after="0" w:line="240" w:lineRule="auto"/>
        <w:rPr>
          <w:rFonts w:ascii="Times New Roman" w:eastAsia="Times New Roman" w:hAnsi="Times New Roman"/>
          <w:u w:val="single"/>
          <w:lang w:val="lt-LT"/>
        </w:rPr>
      </w:pPr>
      <w:r w:rsidRPr="00BA75C2">
        <w:rPr>
          <w:rFonts w:ascii="Times New Roman" w:eastAsia="Times New Roman" w:hAnsi="Times New Roman"/>
          <w:u w:val="single"/>
          <w:lang w:val="lt-LT"/>
        </w:rPr>
        <w:t>Ypatingos populiacijos</w:t>
      </w:r>
    </w:p>
    <w:p w:rsidR="00A34374" w:rsidRDefault="00A34374" w:rsidP="002101F6">
      <w:pPr>
        <w:spacing w:after="0" w:line="240" w:lineRule="auto"/>
        <w:rPr>
          <w:rFonts w:ascii="Times New Roman" w:eastAsia="Calibri" w:hAnsi="Times New Roman"/>
          <w:iCs/>
          <w:u w:val="single"/>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Calibri" w:hAnsi="Times New Roman"/>
          <w:iCs/>
          <w:u w:val="single"/>
          <w:lang w:val="lt-LT"/>
        </w:rPr>
        <w:t>Sutrikusi kepenų funkcija</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Pacientų, kuriems yra nesunkus kepenų funkcijos sutrikimas, celekoksibo C</w:t>
      </w:r>
      <w:r w:rsidRPr="00153D15">
        <w:rPr>
          <w:rFonts w:ascii="Times New Roman" w:eastAsia="Times New Roman" w:hAnsi="Times New Roman"/>
          <w:vertAlign w:val="subscript"/>
          <w:lang w:val="lt-LT"/>
        </w:rPr>
        <w:t>max</w:t>
      </w:r>
      <w:r w:rsidRPr="00153D15">
        <w:rPr>
          <w:rFonts w:ascii="Times New Roman" w:eastAsia="Times New Roman" w:hAnsi="Times New Roman"/>
          <w:lang w:val="lt-LT"/>
        </w:rPr>
        <w:t xml:space="preserve"> kraujo plazmoje </w:t>
      </w:r>
      <w:r w:rsidR="00A34374">
        <w:rPr>
          <w:rFonts w:ascii="Times New Roman" w:eastAsia="Times New Roman" w:hAnsi="Times New Roman"/>
          <w:lang w:val="lt-LT"/>
        </w:rPr>
        <w:t xml:space="preserve">yra </w:t>
      </w:r>
      <w:r w:rsidRPr="00153D15">
        <w:rPr>
          <w:rFonts w:ascii="Times New Roman" w:eastAsia="Times New Roman" w:hAnsi="Times New Roman"/>
          <w:lang w:val="lt-LT"/>
        </w:rPr>
        <w:t>53</w:t>
      </w:r>
      <w:r w:rsidR="00A34374">
        <w:rPr>
          <w:rFonts w:ascii="Times New Roman" w:eastAsia="Times New Roman" w:hAnsi="Times New Roman"/>
          <w:lang w:val="lt-LT"/>
        </w:rPr>
        <w:t xml:space="preserve"> </w:t>
      </w:r>
      <w:r w:rsidRPr="00153D15">
        <w:rPr>
          <w:rFonts w:ascii="Times New Roman" w:eastAsia="Times New Roman" w:hAnsi="Times New Roman"/>
          <w:lang w:val="lt-LT"/>
        </w:rPr>
        <w:t>%, o AUC 26</w:t>
      </w:r>
      <w:r w:rsidR="00A34374">
        <w:rPr>
          <w:rFonts w:ascii="Times New Roman" w:eastAsia="Times New Roman" w:hAnsi="Times New Roman"/>
          <w:lang w:val="lt-LT"/>
        </w:rPr>
        <w:t xml:space="preserve"> </w:t>
      </w:r>
      <w:r w:rsidRPr="00153D15">
        <w:rPr>
          <w:rFonts w:ascii="Times New Roman" w:eastAsia="Times New Roman" w:hAnsi="Times New Roman"/>
          <w:lang w:val="lt-LT"/>
        </w:rPr>
        <w:t>% didesnė, palyginti su susidarančia sveikų asmenų kraujyje. Rodmenys pacientų, kuriems yra vidutinio sunkumo kepenų funkcijos sutrikimas, atitinkamai 41</w:t>
      </w:r>
      <w:r w:rsidR="00A34374">
        <w:rPr>
          <w:rFonts w:ascii="Times New Roman" w:eastAsia="Times New Roman" w:hAnsi="Times New Roman"/>
          <w:lang w:val="lt-LT"/>
        </w:rPr>
        <w:t xml:space="preserve"> </w:t>
      </w:r>
      <w:r w:rsidRPr="00153D15">
        <w:rPr>
          <w:rFonts w:ascii="Times New Roman" w:eastAsia="Times New Roman" w:hAnsi="Times New Roman"/>
          <w:lang w:val="lt-LT"/>
        </w:rPr>
        <w:t>% ir 146</w:t>
      </w:r>
      <w:r w:rsidR="00A34374">
        <w:rPr>
          <w:rFonts w:ascii="Times New Roman" w:eastAsia="Times New Roman" w:hAnsi="Times New Roman"/>
          <w:lang w:val="lt-LT"/>
        </w:rPr>
        <w:t xml:space="preserve"> </w:t>
      </w:r>
      <w:r w:rsidRPr="00153D15">
        <w:rPr>
          <w:rFonts w:ascii="Times New Roman" w:eastAsia="Times New Roman" w:hAnsi="Times New Roman"/>
          <w:lang w:val="lt-LT"/>
        </w:rPr>
        <w:t>%. Metabolizmo pajėgumas pacientų, sergančių nesunkiu ir vidutinio sunkumo kepenų sutrikimu, organizme susijęs su albumino koncentracija. Pacientus, kurie serga vidutinio sunkumo kepenų sutrikimu (albumino koncentracija kraujo serume 25</w:t>
      </w:r>
      <w:r w:rsidRPr="00153D15">
        <w:rPr>
          <w:rFonts w:ascii="Times New Roman" w:eastAsia="Times New Roman" w:hAnsi="Times New Roman"/>
          <w:lang w:val="lt-LT"/>
        </w:rPr>
        <w:noBreakHyphen/>
        <w:t>35 g/l), reikia pradėti gydyti puse rekomenduojamos dozės. Netirti pacientai, kuriems yra sunkus kepenų funkcijos sutrikimas (albumino koncentracija kraujo serume &lt; 25 g/l), todėl jiems vartoti celekoksibą draudžiama</w:t>
      </w:r>
      <w:r w:rsidR="00A34374">
        <w:rPr>
          <w:rFonts w:ascii="Times New Roman" w:eastAsia="Times New Roman" w:hAnsi="Times New Roman"/>
          <w:lang w:val="lt-LT"/>
        </w:rPr>
        <w:t xml:space="preserve"> (žr. 4.3 sk.)</w:t>
      </w:r>
      <w:r w:rsidRPr="00153D15">
        <w:rPr>
          <w:rFonts w:ascii="Times New Roman" w:eastAsia="Times New Roman" w:hAnsi="Times New Roman"/>
          <w:lang w:val="lt-LT"/>
        </w:rPr>
        <w:t>.</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Calibri" w:hAnsi="Times New Roman"/>
          <w:iCs/>
          <w:u w:val="single"/>
          <w:lang w:val="lt-LT"/>
        </w:rPr>
        <w:t>Sutrikusi inkstų funkcija</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Pacientų, kurių inkstų funkcija sutrikusi, gydymo celekoksibu patirties stinga. Celekoksibo farmakokinetika organizme </w:t>
      </w:r>
      <w:r w:rsidR="00A34374">
        <w:rPr>
          <w:rFonts w:ascii="Times New Roman" w:eastAsia="Times New Roman" w:hAnsi="Times New Roman"/>
          <w:lang w:val="lt-LT"/>
        </w:rPr>
        <w:t>pacientų</w:t>
      </w:r>
      <w:r w:rsidRPr="00153D15">
        <w:rPr>
          <w:rFonts w:ascii="Times New Roman" w:eastAsia="Times New Roman" w:hAnsi="Times New Roman"/>
          <w:lang w:val="lt-LT"/>
        </w:rPr>
        <w:t>, kuriems yra inkstų funkcijos sutrikimas, netirta, bet tikėtina, kad ji labai pakinta. Taigi, jei paciento inkstų funkcija sutrikusi, vaistiniu preparatu reikia gydyti atsargiai. Pacientams, sergantiems sunkiu inkstų funkcijos sutrikimu</w:t>
      </w:r>
      <w:r w:rsidR="00FC683C">
        <w:rPr>
          <w:rFonts w:ascii="Times New Roman" w:eastAsia="Times New Roman" w:hAnsi="Times New Roman"/>
          <w:lang w:val="lt-LT"/>
        </w:rPr>
        <w:t xml:space="preserve"> (kreatinino klirensas &lt; 30 ml/min.)</w:t>
      </w:r>
      <w:r w:rsidRPr="00153D15">
        <w:rPr>
          <w:rFonts w:ascii="Times New Roman" w:eastAsia="Times New Roman" w:hAnsi="Times New Roman"/>
          <w:lang w:val="lt-LT"/>
        </w:rPr>
        <w:t>, vaistinį preparatą vartoti draudžiama</w:t>
      </w:r>
      <w:r w:rsidR="00FC683C">
        <w:rPr>
          <w:rFonts w:ascii="Times New Roman" w:eastAsia="Times New Roman" w:hAnsi="Times New Roman"/>
          <w:lang w:val="lt-LT"/>
        </w:rPr>
        <w:t xml:space="preserve"> (žr. 4.3 sk.)</w:t>
      </w:r>
      <w:r w:rsidRPr="00153D15">
        <w:rPr>
          <w:rFonts w:ascii="Times New Roman" w:eastAsia="Times New Roman" w:hAnsi="Times New Roman"/>
          <w:lang w:val="lt-LT"/>
        </w:rPr>
        <w:t>.</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b/>
          <w:lang w:val="lt-LT"/>
        </w:rPr>
      </w:pPr>
      <w:r w:rsidRPr="00153D15">
        <w:rPr>
          <w:rFonts w:ascii="Times New Roman" w:eastAsia="Times New Roman" w:hAnsi="Times New Roman"/>
          <w:b/>
          <w:lang w:val="lt-LT"/>
        </w:rPr>
        <w:t>5.3</w:t>
      </w:r>
      <w:r w:rsidRPr="00153D15">
        <w:rPr>
          <w:rFonts w:ascii="Times New Roman" w:eastAsia="Times New Roman" w:hAnsi="Times New Roman"/>
          <w:b/>
          <w:lang w:val="lt-LT"/>
        </w:rPr>
        <w:tab/>
        <w:t>Ikiklinikinių saugumo tyrimų duomenys</w:t>
      </w:r>
    </w:p>
    <w:p w:rsidR="002101F6" w:rsidRPr="00153D15" w:rsidRDefault="002101F6" w:rsidP="002101F6">
      <w:pPr>
        <w:spacing w:after="0" w:line="240" w:lineRule="auto"/>
        <w:ind w:left="567" w:hanging="567"/>
        <w:rPr>
          <w:rFonts w:ascii="Times New Roman" w:eastAsia="Times New Roman" w:hAnsi="Times New Roman"/>
          <w:lang w:val="lt-LT"/>
        </w:rPr>
      </w:pPr>
    </w:p>
    <w:p w:rsidR="0066613A" w:rsidRPr="00153D15" w:rsidRDefault="00484ADE" w:rsidP="006A6704">
      <w:pPr>
        <w:spacing w:after="0" w:line="240" w:lineRule="auto"/>
        <w:rPr>
          <w:rFonts w:ascii="Times New Roman" w:eastAsia="Times New Roman" w:hAnsi="Times New Roman"/>
          <w:lang w:val="lt-LT"/>
        </w:rPr>
      </w:pPr>
      <w:r w:rsidRPr="00153D15">
        <w:rPr>
          <w:rFonts w:ascii="Times New Roman" w:eastAsia="Times New Roman" w:hAnsi="Times New Roman"/>
          <w:lang w:val="lt-LT"/>
        </w:rPr>
        <w:t>Organogenezės laikotarpiu triušių patelėms girdytos</w:t>
      </w:r>
      <w:r w:rsidR="008C6BAA" w:rsidRPr="00153D15">
        <w:rPr>
          <w:rFonts w:ascii="Times New Roman" w:eastAsia="Times New Roman" w:hAnsi="Times New Roman"/>
          <w:lang w:val="lt-LT"/>
        </w:rPr>
        <w:t xml:space="preserve"> celekoksibo 150 </w:t>
      </w:r>
      <w:r w:rsidR="006A6704" w:rsidRPr="00153D15">
        <w:rPr>
          <w:rFonts w:ascii="Times New Roman" w:eastAsia="Times New Roman" w:hAnsi="Times New Roman"/>
          <w:lang w:val="lt-LT"/>
        </w:rPr>
        <w:t>mg/kg</w:t>
      </w:r>
      <w:r w:rsidR="008C6BAA" w:rsidRPr="00153D15">
        <w:rPr>
          <w:rFonts w:ascii="Times New Roman" w:eastAsia="Times New Roman" w:hAnsi="Times New Roman"/>
          <w:lang w:val="lt-LT"/>
        </w:rPr>
        <w:t xml:space="preserve"> kūno svorio paros dozės</w:t>
      </w:r>
      <w:r w:rsidR="006A6704" w:rsidRPr="00153D15">
        <w:rPr>
          <w:rFonts w:ascii="Times New Roman" w:eastAsia="Times New Roman" w:hAnsi="Times New Roman"/>
          <w:lang w:val="lt-LT"/>
        </w:rPr>
        <w:t xml:space="preserve"> (</w:t>
      </w:r>
      <w:r w:rsidRPr="00153D15">
        <w:rPr>
          <w:rFonts w:ascii="Times New Roman" w:eastAsia="Times New Roman" w:hAnsi="Times New Roman"/>
          <w:lang w:val="lt-LT"/>
        </w:rPr>
        <w:t>jų vartojant ekspozicija, vertinant AUC</w:t>
      </w:r>
      <w:r w:rsidRPr="00153D15">
        <w:rPr>
          <w:rFonts w:ascii="Times New Roman" w:eastAsia="Times New Roman" w:hAnsi="Times New Roman"/>
          <w:vertAlign w:val="subscript"/>
          <w:lang w:val="lt-LT"/>
        </w:rPr>
        <w:t>0</w:t>
      </w:r>
      <w:r w:rsidRPr="00153D15">
        <w:rPr>
          <w:rFonts w:ascii="Times New Roman" w:eastAsia="Times New Roman" w:hAnsi="Times New Roman"/>
          <w:vertAlign w:val="subscript"/>
          <w:lang w:val="lt-LT"/>
        </w:rPr>
        <w:noBreakHyphen/>
        <w:t>24</w:t>
      </w:r>
      <w:r w:rsidRPr="00153D15">
        <w:rPr>
          <w:rFonts w:ascii="Times New Roman" w:eastAsia="Times New Roman" w:hAnsi="Times New Roman"/>
          <w:lang w:val="lt-LT"/>
        </w:rPr>
        <w:t xml:space="preserve">, buvo </w:t>
      </w:r>
      <w:r w:rsidR="008C6BAA" w:rsidRPr="00153D15">
        <w:rPr>
          <w:rFonts w:ascii="Times New Roman" w:eastAsia="Times New Roman" w:hAnsi="Times New Roman"/>
          <w:lang w:val="lt-LT"/>
        </w:rPr>
        <w:t>maždaug</w:t>
      </w:r>
      <w:r w:rsidR="006A6704" w:rsidRPr="00153D15">
        <w:rPr>
          <w:rFonts w:ascii="Times New Roman" w:eastAsia="Times New Roman" w:hAnsi="Times New Roman"/>
          <w:lang w:val="lt-LT"/>
        </w:rPr>
        <w:t xml:space="preserve"> 2</w:t>
      </w:r>
      <w:r w:rsidRPr="00153D15">
        <w:rPr>
          <w:rFonts w:ascii="Times New Roman" w:eastAsia="Times New Roman" w:hAnsi="Times New Roman"/>
          <w:lang w:val="lt-LT"/>
        </w:rPr>
        <w:t> kartus didesnė, nei būna žmonėms du kartus per parą vartojant 200 </w:t>
      </w:r>
      <w:r w:rsidR="006A6704" w:rsidRPr="00153D15">
        <w:rPr>
          <w:rFonts w:ascii="Times New Roman" w:eastAsia="Times New Roman" w:hAnsi="Times New Roman"/>
          <w:lang w:val="lt-LT"/>
        </w:rPr>
        <w:t xml:space="preserve">mg </w:t>
      </w:r>
      <w:r w:rsidRPr="00153D15">
        <w:rPr>
          <w:rFonts w:ascii="Times New Roman" w:eastAsia="Times New Roman" w:hAnsi="Times New Roman"/>
          <w:lang w:val="lt-LT"/>
        </w:rPr>
        <w:t>dozę</w:t>
      </w:r>
      <w:r w:rsidR="006A6704" w:rsidRPr="00153D15">
        <w:rPr>
          <w:rFonts w:ascii="Times New Roman" w:eastAsia="Times New Roman" w:hAnsi="Times New Roman"/>
          <w:lang w:val="lt-LT"/>
        </w:rPr>
        <w:t>)</w:t>
      </w:r>
      <w:r w:rsidRPr="00153D15">
        <w:rPr>
          <w:rFonts w:ascii="Times New Roman" w:eastAsia="Times New Roman" w:hAnsi="Times New Roman"/>
          <w:lang w:val="lt-LT"/>
        </w:rPr>
        <w:t xml:space="preserve"> sukėlė skilvelių pertvaros defektų padažnėjimą (retai) ir vaisiaus </w:t>
      </w:r>
      <w:r w:rsidR="006C263D" w:rsidRPr="00153D15">
        <w:rPr>
          <w:rFonts w:ascii="Times New Roman" w:eastAsia="Times New Roman" w:hAnsi="Times New Roman"/>
          <w:lang w:val="lt-LT"/>
        </w:rPr>
        <w:t>defektų</w:t>
      </w:r>
      <w:r w:rsidRPr="00153D15">
        <w:rPr>
          <w:rFonts w:ascii="Times New Roman" w:eastAsia="Times New Roman" w:hAnsi="Times New Roman"/>
          <w:lang w:val="lt-LT"/>
        </w:rPr>
        <w:t>, tokių kaip</w:t>
      </w:r>
      <w:r w:rsidR="006A6704" w:rsidRPr="00153D15">
        <w:rPr>
          <w:rFonts w:ascii="Times New Roman" w:eastAsia="Times New Roman" w:hAnsi="Times New Roman"/>
          <w:lang w:val="lt-LT"/>
        </w:rPr>
        <w:t xml:space="preserve"> </w:t>
      </w:r>
      <w:r w:rsidRPr="00153D15">
        <w:rPr>
          <w:rFonts w:ascii="Times New Roman" w:eastAsia="Times New Roman" w:hAnsi="Times New Roman"/>
          <w:lang w:val="lt-LT"/>
        </w:rPr>
        <w:t>šonkaulių suaugimas</w:t>
      </w:r>
      <w:r w:rsidR="006A6704" w:rsidRPr="00153D15">
        <w:rPr>
          <w:rFonts w:ascii="Times New Roman" w:eastAsia="Times New Roman" w:hAnsi="Times New Roman"/>
          <w:lang w:val="lt-LT"/>
        </w:rPr>
        <w:t xml:space="preserve">, </w:t>
      </w:r>
      <w:r w:rsidRPr="00153D15">
        <w:rPr>
          <w:rFonts w:ascii="Times New Roman" w:eastAsia="Times New Roman" w:hAnsi="Times New Roman"/>
          <w:lang w:val="lt-LT"/>
        </w:rPr>
        <w:t xml:space="preserve">krūtinkaulio </w:t>
      </w:r>
      <w:r w:rsidR="006C263D" w:rsidRPr="00153D15">
        <w:rPr>
          <w:rFonts w:ascii="Times New Roman" w:eastAsia="Times New Roman" w:hAnsi="Times New Roman"/>
          <w:lang w:val="lt-LT"/>
        </w:rPr>
        <w:t>dalių (</w:t>
      </w:r>
      <w:r w:rsidR="006C263D" w:rsidRPr="00153D15">
        <w:rPr>
          <w:rFonts w:ascii="Times New Roman" w:eastAsia="Times New Roman" w:hAnsi="Times New Roman"/>
          <w:i/>
          <w:lang w:val="lt-LT"/>
        </w:rPr>
        <w:t>sternebrae</w:t>
      </w:r>
      <w:r w:rsidR="006C263D" w:rsidRPr="00153D15">
        <w:rPr>
          <w:rFonts w:ascii="Times New Roman" w:hAnsi="Times New Roman"/>
          <w:lang w:val="lt-LT"/>
        </w:rPr>
        <w:t xml:space="preserve">) </w:t>
      </w:r>
      <w:r w:rsidRPr="00153D15">
        <w:rPr>
          <w:rFonts w:ascii="Times New Roman" w:eastAsia="Times New Roman" w:hAnsi="Times New Roman"/>
          <w:lang w:val="lt-LT"/>
        </w:rPr>
        <w:t xml:space="preserve">suaugimas bei krūtinkaulio </w:t>
      </w:r>
      <w:r w:rsidR="006C263D" w:rsidRPr="00153D15">
        <w:rPr>
          <w:rFonts w:ascii="Times New Roman" w:eastAsia="Times New Roman" w:hAnsi="Times New Roman"/>
          <w:lang w:val="lt-LT"/>
        </w:rPr>
        <w:t>deformacija</w:t>
      </w:r>
      <w:r w:rsidRPr="00153D15">
        <w:rPr>
          <w:rFonts w:ascii="Times New Roman" w:eastAsia="Times New Roman" w:hAnsi="Times New Roman"/>
          <w:lang w:val="lt-LT"/>
        </w:rPr>
        <w:t xml:space="preserve">. Žiurkių patelėms organogenezės laikotarpiu girdytos celekoksibo </w:t>
      </w:r>
      <w:r w:rsidR="001519E4" w:rsidRPr="00153D15">
        <w:rPr>
          <w:rFonts w:cs="Arial"/>
        </w:rPr>
        <w:sym w:font="Symbol" w:char="F0B3"/>
      </w:r>
      <w:r w:rsidRPr="00153D15">
        <w:rPr>
          <w:rFonts w:ascii="Times New Roman" w:eastAsia="Times New Roman" w:hAnsi="Times New Roman"/>
          <w:lang w:val="lt-LT"/>
        </w:rPr>
        <w:t>30 mg/kg kūno svorio paros dozės (jų vartojant ekspozicija, vertinant AUC</w:t>
      </w:r>
      <w:r w:rsidRPr="00153D15">
        <w:rPr>
          <w:rFonts w:ascii="Times New Roman" w:eastAsia="Times New Roman" w:hAnsi="Times New Roman"/>
          <w:vertAlign w:val="subscript"/>
          <w:lang w:val="lt-LT"/>
        </w:rPr>
        <w:t>0</w:t>
      </w:r>
      <w:r w:rsidRPr="00153D15">
        <w:rPr>
          <w:rFonts w:ascii="Times New Roman" w:eastAsia="Times New Roman" w:hAnsi="Times New Roman"/>
          <w:vertAlign w:val="subscript"/>
          <w:lang w:val="lt-LT"/>
        </w:rPr>
        <w:noBreakHyphen/>
        <w:t>24</w:t>
      </w:r>
      <w:r w:rsidRPr="00153D15">
        <w:rPr>
          <w:rFonts w:ascii="Times New Roman" w:eastAsia="Times New Roman" w:hAnsi="Times New Roman"/>
          <w:lang w:val="lt-LT"/>
        </w:rPr>
        <w:t xml:space="preserve">, buvo maždaug 6 kartus didesnė, nei būna žmonėms du kartus per parą vartojant 200 mg dozę) sukėlė nuo dozės priklausomą diafragmos išvaržos atsiradimo padažnėjimą. </w:t>
      </w:r>
      <w:r w:rsidR="0066613A" w:rsidRPr="00153D15">
        <w:rPr>
          <w:rFonts w:ascii="Times New Roman" w:eastAsia="Times New Roman" w:hAnsi="Times New Roman"/>
          <w:lang w:val="lt-LT"/>
        </w:rPr>
        <w:t>Toks poveikis yra tikėtinas po prostaglandinų sintezės slopinimo. Žiurkėms celekoksibo ekspozicija ankstyvojo embriono vystymosi laikotarpiu sukėlė embriono žūtį prieš implantaciją ir po jos bei sumažino embriono ir vaisiaus išgyvenamumą.</w:t>
      </w:r>
    </w:p>
    <w:p w:rsidR="006A6704" w:rsidRPr="00153D15" w:rsidRDefault="006A6704" w:rsidP="006A6704">
      <w:pPr>
        <w:spacing w:after="0" w:line="240" w:lineRule="auto"/>
        <w:rPr>
          <w:rFonts w:ascii="Times New Roman" w:eastAsia="Times New Roman" w:hAnsi="Times New Roman"/>
          <w:lang w:val="lt-LT"/>
        </w:rPr>
      </w:pPr>
    </w:p>
    <w:p w:rsidR="002101F6" w:rsidRPr="00153D15" w:rsidRDefault="002101F6" w:rsidP="006A6704">
      <w:pPr>
        <w:spacing w:after="0" w:line="240" w:lineRule="auto"/>
        <w:rPr>
          <w:rFonts w:ascii="Times New Roman" w:eastAsia="Times New Roman" w:hAnsi="Times New Roman"/>
          <w:lang w:val="lt-LT"/>
        </w:rPr>
      </w:pPr>
      <w:r w:rsidRPr="00153D15">
        <w:rPr>
          <w:rFonts w:ascii="Times New Roman" w:eastAsia="Times New Roman" w:hAnsi="Times New Roman"/>
          <w:lang w:val="lt-LT"/>
        </w:rPr>
        <w:t>Celekoksibo patenka į žiurkės pieną. Tiriant žiurkes perinataliniu ir postnataliniu laikotarpiais, nustatyta, kad vaistinis preparatas sukelia toksinį poveikį jų jaunikliams.</w:t>
      </w:r>
    </w:p>
    <w:p w:rsidR="002101F6" w:rsidRPr="00153D15" w:rsidRDefault="002101F6" w:rsidP="006A6704">
      <w:pPr>
        <w:spacing w:after="0" w:line="240" w:lineRule="auto"/>
        <w:rPr>
          <w:rFonts w:ascii="Times New Roman" w:eastAsia="Times New Roman" w:hAnsi="Times New Roman"/>
          <w:lang w:val="lt-LT"/>
        </w:rPr>
      </w:pPr>
    </w:p>
    <w:p w:rsidR="002101F6" w:rsidRPr="00153D15" w:rsidRDefault="002101F6" w:rsidP="006A6704">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Remiantis įprastiniais kartotinių dozių toksinio, genotoksinio arba kancerogeninio poveikio tyrimų duomenimis, kitokio žmogui žalingo poveikio nenustatyta, išskyrus tą, kuris aprašytas kituose vaistinio preparato charakteristikų santraukos skyriuose. Dvejus metus trukusių vaistinio preparato toksinio poveikio tyrimų duomenimis, žiurkių </w:t>
      </w:r>
      <w:r w:rsidRPr="00153D15">
        <w:rPr>
          <w:rFonts w:ascii="Times New Roman" w:eastAsia="Times New Roman" w:hAnsi="Times New Roman"/>
          <w:lang w:val="lt-LT"/>
        </w:rPr>
        <w:lastRenderedPageBreak/>
        <w:t>patinams, gavusiems dideles vaistinio preparato dozes, padaugėjo neadrenalinių trombozių.</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6.</w:t>
      </w:r>
      <w:r w:rsidRPr="00153D15">
        <w:rPr>
          <w:rFonts w:ascii="Times New Roman" w:eastAsia="Times New Roman" w:hAnsi="Times New Roman"/>
          <w:b/>
          <w:caps/>
          <w:lang w:val="lt-LT"/>
        </w:rPr>
        <w:tab/>
        <w:t>farmacinė informacija</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lang w:val="lt-LT"/>
        </w:rPr>
        <w:t>6.1</w:t>
      </w:r>
      <w:r w:rsidRPr="00153D15">
        <w:rPr>
          <w:rFonts w:ascii="Times New Roman" w:eastAsia="Times New Roman" w:hAnsi="Times New Roman"/>
          <w:b/>
          <w:lang w:val="lt-LT"/>
        </w:rPr>
        <w:tab/>
        <w:t>Pagalbinių medžiagų sąrašas</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u w:val="single"/>
          <w:lang w:val="lt-LT"/>
        </w:rPr>
      </w:pPr>
      <w:r w:rsidRPr="00153D15">
        <w:rPr>
          <w:rFonts w:ascii="Times New Roman" w:eastAsia="Times New Roman" w:hAnsi="Times New Roman"/>
          <w:u w:val="single"/>
          <w:lang w:val="lt-LT"/>
        </w:rPr>
        <w:t>CELEBREX 100 mg kietosios kapsulės</w:t>
      </w:r>
    </w:p>
    <w:p w:rsidR="002101F6" w:rsidRPr="00153D15" w:rsidRDefault="002101F6" w:rsidP="002101F6">
      <w:pPr>
        <w:spacing w:after="0" w:line="240" w:lineRule="auto"/>
        <w:outlineLvl w:val="0"/>
        <w:rPr>
          <w:rFonts w:ascii="Times New Roman" w:eastAsia="Times New Roman" w:hAnsi="Times New Roman"/>
          <w:i/>
          <w:lang w:val="lt-LT"/>
        </w:rPr>
      </w:pPr>
      <w:r w:rsidRPr="00153D15">
        <w:rPr>
          <w:rFonts w:ascii="Times New Roman" w:eastAsia="Times New Roman" w:hAnsi="Times New Roman"/>
          <w:i/>
          <w:lang w:val="lt-LT"/>
        </w:rPr>
        <w:t>Kapsulės turinys</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Laktozė monohidratas</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Natrio laurilsulfatas</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Povidonas K30</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Kroskarmeliozės natrio druska</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Magnio stearatas</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Kapsulės korpusas</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Želatina</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Titano dioksidas (E 171)</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Rašalas</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Indigotinas (E 132)</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u w:val="single"/>
          <w:lang w:val="lt-LT"/>
        </w:rPr>
      </w:pPr>
      <w:r w:rsidRPr="00153D15">
        <w:rPr>
          <w:rFonts w:ascii="Times New Roman" w:eastAsia="Times New Roman" w:hAnsi="Times New Roman"/>
          <w:u w:val="single"/>
          <w:lang w:val="lt-LT"/>
        </w:rPr>
        <w:t>CELEBREX 200 mg kietosios kapsulės</w:t>
      </w:r>
    </w:p>
    <w:p w:rsidR="002101F6" w:rsidRPr="00153D15" w:rsidRDefault="002101F6" w:rsidP="002101F6">
      <w:pPr>
        <w:spacing w:after="0" w:line="240" w:lineRule="auto"/>
        <w:outlineLvl w:val="0"/>
        <w:rPr>
          <w:rFonts w:ascii="Times New Roman" w:eastAsia="Times New Roman" w:hAnsi="Times New Roman"/>
          <w:i/>
          <w:lang w:val="lt-LT"/>
        </w:rPr>
      </w:pPr>
      <w:r w:rsidRPr="00153D15">
        <w:rPr>
          <w:rFonts w:ascii="Times New Roman" w:eastAsia="Times New Roman" w:hAnsi="Times New Roman"/>
          <w:i/>
          <w:lang w:val="lt-LT"/>
        </w:rPr>
        <w:t>Kapsulės turinys</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Laktozė monohidratas</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Natrio laurilsulfatas</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Povidonas K30</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Kroskarmeliozės natrio druska</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Magnio stearatas</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Kapsulės korpusas</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Želatina</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Titano dioksidas (E 171)</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i/>
          <w:lang w:val="lt-LT"/>
        </w:rPr>
      </w:pPr>
      <w:r w:rsidRPr="00153D15">
        <w:rPr>
          <w:rFonts w:ascii="Times New Roman" w:eastAsia="Times New Roman" w:hAnsi="Times New Roman"/>
          <w:i/>
          <w:lang w:val="lt-LT"/>
        </w:rPr>
        <w:t>Rašalas</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Geležies oksidas (E 172)</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lang w:val="lt-LT"/>
        </w:rPr>
        <w:t>6.2</w:t>
      </w:r>
      <w:r w:rsidRPr="00153D15">
        <w:rPr>
          <w:rFonts w:ascii="Times New Roman" w:eastAsia="Times New Roman" w:hAnsi="Times New Roman"/>
          <w:b/>
          <w:lang w:val="lt-LT"/>
        </w:rPr>
        <w:tab/>
        <w:t>Nesuderinamumas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Duomenys nebūtini.</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lang w:val="lt-LT"/>
        </w:rPr>
        <w:t>6.3</w:t>
      </w:r>
      <w:r w:rsidRPr="00153D15">
        <w:rPr>
          <w:rFonts w:ascii="Times New Roman" w:eastAsia="Times New Roman" w:hAnsi="Times New Roman"/>
          <w:b/>
          <w:lang w:val="lt-LT"/>
        </w:rPr>
        <w:tab/>
        <w:t>Tinkamumo laikas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t>3 metai.</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lang w:val="lt-LT"/>
        </w:rPr>
        <w:t>6.4</w:t>
      </w:r>
      <w:r w:rsidRPr="00153D15">
        <w:rPr>
          <w:rFonts w:ascii="Times New Roman" w:eastAsia="Times New Roman" w:hAnsi="Times New Roman"/>
          <w:b/>
          <w:lang w:val="lt-LT"/>
        </w:rPr>
        <w:tab/>
        <w:t>Specialios laikymo sąlygos</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lang w:val="lt-LT"/>
        </w:rPr>
      </w:pPr>
      <w:r w:rsidRPr="00153D15">
        <w:rPr>
          <w:rFonts w:ascii="Times New Roman" w:eastAsia="Times New Roman" w:hAnsi="Times New Roman"/>
          <w:lang w:val="lt-LT"/>
        </w:rPr>
        <w:t>Laikyti ne aukštesnėje kaip 30 °C temperatūroje.</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lang w:val="lt-LT"/>
        </w:rPr>
        <w:t>6.5</w:t>
      </w:r>
      <w:r w:rsidRPr="00153D15">
        <w:rPr>
          <w:rFonts w:ascii="Times New Roman" w:eastAsia="Times New Roman" w:hAnsi="Times New Roman"/>
          <w:b/>
          <w:lang w:val="lt-LT"/>
        </w:rPr>
        <w:tab/>
        <w:t>Talpyklės pobūdis</w:t>
      </w:r>
      <w:r w:rsidRPr="00153D15">
        <w:rPr>
          <w:rFonts w:ascii="Times New Roman" w:eastAsia="Times New Roman" w:hAnsi="Times New Roman"/>
          <w:b/>
          <w:bCs/>
          <w:lang w:val="lt-LT"/>
        </w:rPr>
        <w:t xml:space="preserve"> ir jos</w:t>
      </w:r>
      <w:r w:rsidRPr="00153D15">
        <w:rPr>
          <w:rFonts w:ascii="Times New Roman" w:eastAsia="Times New Roman" w:hAnsi="Times New Roman"/>
          <w:lang w:val="lt-LT"/>
        </w:rPr>
        <w:t xml:space="preserve"> </w:t>
      </w:r>
      <w:r w:rsidRPr="00153D15">
        <w:rPr>
          <w:rFonts w:ascii="Times New Roman" w:eastAsia="Times New Roman" w:hAnsi="Times New Roman"/>
          <w:b/>
          <w:lang w:val="lt-LT"/>
        </w:rPr>
        <w:t>turinys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Permatomos arba nepermatomos PVC/Al lizdinės plokštelės. </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lastRenderedPageBreak/>
        <w:t>Kartono dėžutėje yra 10, 20, 30, kapsulių.</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t>Gali būti tiekiamos ne visų dydžių pakuotės.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b/>
          <w:lang w:val="lt-LT"/>
        </w:rPr>
      </w:pPr>
      <w:r w:rsidRPr="00153D15">
        <w:rPr>
          <w:rFonts w:ascii="Times New Roman" w:eastAsia="Times New Roman" w:hAnsi="Times New Roman"/>
          <w:b/>
          <w:lang w:val="lt-LT"/>
        </w:rPr>
        <w:t>6.6</w:t>
      </w:r>
      <w:r w:rsidRPr="00153D15">
        <w:rPr>
          <w:rFonts w:ascii="Times New Roman" w:eastAsia="Times New Roman" w:hAnsi="Times New Roman"/>
          <w:b/>
          <w:lang w:val="lt-LT"/>
        </w:rPr>
        <w:tab/>
        <w:t xml:space="preserve">Specialūs reikalavimai atliekoms tvarkyti </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Specialių reikalavimų nėra.</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7.</w:t>
      </w:r>
      <w:r w:rsidRPr="00153D15">
        <w:rPr>
          <w:rFonts w:ascii="Times New Roman" w:eastAsia="Times New Roman" w:hAnsi="Times New Roman"/>
          <w:b/>
          <w:caps/>
          <w:lang w:val="lt-LT"/>
        </w:rPr>
        <w:tab/>
      </w:r>
      <w:r w:rsidR="0014763F" w:rsidRPr="00153D15">
        <w:rPr>
          <w:rFonts w:ascii="Times New Roman" w:hAnsi="Times New Roman"/>
          <w:b/>
          <w:lang w:val="lt-LT"/>
        </w:rPr>
        <w:t>REGISTRUOTOJAS</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Pfizer Europe MA EEIG</w:t>
      </w:r>
    </w:p>
    <w:p w:rsidR="003774EB" w:rsidRPr="00B933D8" w:rsidRDefault="003774EB" w:rsidP="003774EB">
      <w:pPr>
        <w:spacing w:after="0" w:line="240" w:lineRule="auto"/>
        <w:rPr>
          <w:rFonts w:ascii="Times New Roman" w:eastAsia="Times New Roman" w:hAnsi="Times New Roman"/>
          <w:lang w:val="lt-LT"/>
        </w:rPr>
      </w:pPr>
      <w:r w:rsidRPr="00B933D8">
        <w:rPr>
          <w:rFonts w:ascii="Times New Roman" w:eastAsia="Times New Roman" w:hAnsi="Times New Roman"/>
          <w:lang w:val="lt-LT"/>
        </w:rPr>
        <w:t>Boulevard de la Plaine 17</w:t>
      </w:r>
    </w:p>
    <w:p w:rsidR="003774EB" w:rsidRPr="00B933D8" w:rsidRDefault="003774EB" w:rsidP="003774EB">
      <w:pPr>
        <w:spacing w:after="0" w:line="240" w:lineRule="auto"/>
        <w:rPr>
          <w:rFonts w:ascii="Times New Roman" w:eastAsia="Times New Roman" w:hAnsi="Times New Roman"/>
          <w:lang w:val="lt-LT"/>
        </w:rPr>
      </w:pPr>
      <w:r w:rsidRPr="00B933D8">
        <w:rPr>
          <w:rFonts w:ascii="Times New Roman" w:eastAsia="Times New Roman" w:hAnsi="Times New Roman"/>
          <w:lang w:val="lt-LT"/>
        </w:rPr>
        <w:t>1050 Bruxelles</w:t>
      </w:r>
    </w:p>
    <w:p w:rsidR="003774EB" w:rsidRDefault="003774EB" w:rsidP="003774EB">
      <w:pPr>
        <w:spacing w:after="0" w:line="240" w:lineRule="auto"/>
        <w:rPr>
          <w:rFonts w:ascii="Times New Roman" w:eastAsia="Times New Roman" w:hAnsi="Times New Roman"/>
          <w:lang w:val="lt-LT"/>
        </w:rPr>
      </w:pPr>
      <w:r>
        <w:rPr>
          <w:rFonts w:ascii="Times New Roman" w:eastAsia="Times New Roman" w:hAnsi="Times New Roman"/>
          <w:lang w:val="lt-LT"/>
        </w:rPr>
        <w:t>Belgija</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8.</w:t>
      </w:r>
      <w:r w:rsidRPr="00153D15">
        <w:rPr>
          <w:rFonts w:ascii="Times New Roman" w:eastAsia="Times New Roman" w:hAnsi="Times New Roman"/>
          <w:b/>
          <w:caps/>
          <w:lang w:val="lt-LT"/>
        </w:rPr>
        <w:tab/>
      </w:r>
      <w:r w:rsidR="0014763F" w:rsidRPr="00153D15">
        <w:rPr>
          <w:rFonts w:ascii="Times New Roman" w:hAnsi="Times New Roman"/>
          <w:b/>
          <w:lang w:val="lt-LT"/>
        </w:rPr>
        <w:t>REGISTRACIJOS</w:t>
      </w:r>
      <w:r w:rsidRPr="00153D15">
        <w:rPr>
          <w:rFonts w:ascii="Times New Roman" w:eastAsia="Times New Roman" w:hAnsi="Times New Roman"/>
          <w:b/>
          <w:lang w:val="lt-LT"/>
        </w:rPr>
        <w:t xml:space="preserve"> PAŽYMĖJIMO </w:t>
      </w:r>
      <w:r w:rsidRPr="00153D15">
        <w:rPr>
          <w:rFonts w:ascii="Times New Roman" w:eastAsia="Times New Roman" w:hAnsi="Times New Roman"/>
          <w:b/>
          <w:caps/>
          <w:lang w:val="lt-LT"/>
        </w:rPr>
        <w:t>numeris (-IAI)</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lang w:val="lt-LT"/>
        </w:rPr>
      </w:pPr>
      <w:r w:rsidRPr="00153D15">
        <w:rPr>
          <w:rFonts w:ascii="Times New Roman" w:eastAsia="Times New Roman" w:hAnsi="Times New Roman"/>
          <w:lang w:val="lt-LT"/>
        </w:rPr>
        <w:t>CELEBREX 100 mg</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N10 – LT/1/2000/0886/001</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N20 – LT/1/2000/0886/002</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N30 – LT/1/2000/0886/003</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lang w:val="lt-LT"/>
        </w:rPr>
      </w:pPr>
      <w:r w:rsidRPr="00153D15">
        <w:rPr>
          <w:rFonts w:ascii="Times New Roman" w:eastAsia="Times New Roman" w:hAnsi="Times New Roman"/>
          <w:lang w:val="lt-LT"/>
        </w:rPr>
        <w:t>CELEBREX 200 mg</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N10 – LT/1/2000/0886/004</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N20 – LT/1/2000/0886/005</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N30 – LT/1/2000/0886/006</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9.</w:t>
      </w:r>
      <w:r w:rsidRPr="00153D15">
        <w:rPr>
          <w:rFonts w:ascii="Times New Roman" w:eastAsia="Times New Roman" w:hAnsi="Times New Roman"/>
          <w:b/>
          <w:caps/>
          <w:lang w:val="lt-LT"/>
        </w:rPr>
        <w:tab/>
      </w:r>
      <w:r w:rsidR="0014763F" w:rsidRPr="00153D15">
        <w:rPr>
          <w:rFonts w:ascii="Times New Roman" w:hAnsi="Times New Roman"/>
          <w:b/>
          <w:lang w:val="lt-LT"/>
        </w:rPr>
        <w:t xml:space="preserve">REGISTRAVIMO / PERREGISTRAVIMO </w:t>
      </w:r>
      <w:r w:rsidRPr="00153D15">
        <w:rPr>
          <w:rFonts w:ascii="Times New Roman" w:eastAsia="Times New Roman" w:hAnsi="Times New Roman"/>
          <w:b/>
          <w:caps/>
          <w:lang w:val="lt-LT"/>
        </w:rPr>
        <w:t>data</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14763F" w:rsidP="002101F6">
      <w:pPr>
        <w:spacing w:after="0" w:line="240" w:lineRule="auto"/>
        <w:ind w:left="567" w:hanging="567"/>
        <w:rPr>
          <w:rFonts w:ascii="Times New Roman" w:eastAsia="Times New Roman" w:hAnsi="Times New Roman"/>
          <w:lang w:val="lt-LT"/>
        </w:rPr>
      </w:pPr>
      <w:r w:rsidRPr="00153D15">
        <w:rPr>
          <w:rFonts w:ascii="Times New Roman" w:hAnsi="Times New Roman"/>
          <w:noProof/>
          <w:lang w:val="lt-LT"/>
        </w:rPr>
        <w:t xml:space="preserve">Registravimo data </w:t>
      </w:r>
      <w:r w:rsidR="002101F6" w:rsidRPr="00153D15">
        <w:rPr>
          <w:rFonts w:ascii="Times New Roman" w:eastAsia="Times New Roman" w:hAnsi="Times New Roman"/>
          <w:lang w:val="lt-LT"/>
        </w:rPr>
        <w:t>2000 m. birželio 1 d.</w:t>
      </w:r>
    </w:p>
    <w:p w:rsidR="002101F6" w:rsidRPr="00153D15" w:rsidRDefault="0014763F" w:rsidP="002101F6">
      <w:pPr>
        <w:spacing w:after="0" w:line="240" w:lineRule="auto"/>
        <w:ind w:left="567" w:hanging="567"/>
        <w:rPr>
          <w:rFonts w:ascii="Times New Roman" w:eastAsia="Times New Roman" w:hAnsi="Times New Roman"/>
          <w:lang w:val="lt-LT"/>
        </w:rPr>
      </w:pPr>
      <w:r w:rsidRPr="00153D15">
        <w:rPr>
          <w:rFonts w:ascii="Times New Roman" w:hAnsi="Times New Roman"/>
          <w:noProof/>
          <w:lang w:val="lt-LT"/>
        </w:rPr>
        <w:t xml:space="preserve">Paskutinio perregistravimo data </w:t>
      </w:r>
      <w:r w:rsidR="002101F6" w:rsidRPr="00153D15">
        <w:rPr>
          <w:rFonts w:ascii="Times New Roman" w:eastAsia="Times New Roman" w:hAnsi="Times New Roman"/>
          <w:lang w:val="lt-LT"/>
        </w:rPr>
        <w:t>2007 m. spalio 30 d.</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10.</w:t>
      </w:r>
      <w:r w:rsidRPr="00153D15">
        <w:rPr>
          <w:rFonts w:ascii="Times New Roman" w:eastAsia="Times New Roman" w:hAnsi="Times New Roman"/>
          <w:b/>
          <w:caps/>
          <w:lang w:val="lt-LT"/>
        </w:rPr>
        <w:tab/>
        <w:t>teksto peržiūros data</w:t>
      </w:r>
    </w:p>
    <w:p w:rsidR="00920D3D" w:rsidRDefault="00920D3D" w:rsidP="002101F6">
      <w:pPr>
        <w:spacing w:after="0" w:line="240" w:lineRule="auto"/>
        <w:rPr>
          <w:rFonts w:ascii="Times New Roman" w:eastAsia="Times New Roman" w:hAnsi="Times New Roman"/>
          <w:lang w:val="lt-LT"/>
        </w:rPr>
      </w:pPr>
    </w:p>
    <w:p w:rsidR="00EF2F0C" w:rsidRPr="00B074B6" w:rsidRDefault="00EF2F0C" w:rsidP="002101F6">
      <w:pPr>
        <w:spacing w:after="0" w:line="240" w:lineRule="auto"/>
        <w:rPr>
          <w:rFonts w:ascii="Times New Roman" w:eastAsia="Times New Roman" w:hAnsi="Times New Roman"/>
          <w:lang w:val="lt-LT"/>
        </w:rPr>
      </w:pPr>
      <w:r>
        <w:rPr>
          <w:rFonts w:ascii="Times New Roman" w:eastAsia="Times New Roman" w:hAnsi="Times New Roman"/>
          <w:lang w:val="lt-LT"/>
        </w:rPr>
        <w:t>2019-01-10</w:t>
      </w:r>
    </w:p>
    <w:p w:rsidR="00920D3D" w:rsidRPr="00B074B6" w:rsidRDefault="00920D3D"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color w:val="0000FF"/>
          <w:lang w:val="lt-LT"/>
        </w:rPr>
      </w:pPr>
      <w:r w:rsidRPr="00153D15">
        <w:rPr>
          <w:rFonts w:ascii="Times New Roman" w:eastAsia="Calibri" w:hAnsi="Times New Roman"/>
          <w:noProof/>
          <w:lang w:val="lt-LT"/>
        </w:rPr>
        <w:t>Išsami informacija apie šį vaistinį preparatą</w:t>
      </w:r>
      <w:r w:rsidRPr="00153D15">
        <w:rPr>
          <w:rFonts w:ascii="Times New Roman" w:eastAsia="Calibri" w:hAnsi="Times New Roman"/>
          <w:lang w:val="lt-LT"/>
        </w:rPr>
        <w:t xml:space="preserve"> </w:t>
      </w:r>
      <w:r w:rsidRPr="00153D15">
        <w:rPr>
          <w:rFonts w:ascii="Times New Roman" w:eastAsia="Times New Roman" w:hAnsi="Times New Roman"/>
          <w:lang w:val="lt-LT"/>
        </w:rPr>
        <w:t xml:space="preserve">pateikiama Valstybinės vaistų kontrolės tarnybos prie Lietuvos Respublikos sveikatos apsaugos ministerijos tinklalapyje </w:t>
      </w:r>
      <w:hyperlink r:id="rId13" w:history="1">
        <w:r w:rsidRPr="00153D15">
          <w:rPr>
            <w:rFonts w:ascii="Times New Roman" w:eastAsia="Times New Roman" w:hAnsi="Times New Roman"/>
            <w:color w:val="0000FF"/>
            <w:u w:val="single"/>
            <w:lang w:val="lt-LT"/>
          </w:rPr>
          <w:t>http://www.vvkt.lt/</w:t>
        </w:r>
      </w:hyperlink>
    </w:p>
    <w:p w:rsidR="002101F6" w:rsidRPr="00153D15" w:rsidRDefault="002101F6" w:rsidP="002101F6">
      <w:pPr>
        <w:tabs>
          <w:tab w:val="left" w:pos="1701"/>
        </w:tabs>
        <w:spacing w:after="0" w:line="240" w:lineRule="auto"/>
        <w:ind w:left="1701" w:right="1416" w:hanging="567"/>
        <w:rPr>
          <w:rFonts w:ascii="Times New Roman" w:eastAsia="Times New Roman" w:hAnsi="Times New Roman"/>
          <w:lang w:val="lt-LT"/>
        </w:rPr>
      </w:pPr>
      <w:r w:rsidRPr="00153D15">
        <w:rPr>
          <w:rFonts w:ascii="Times New Roman" w:eastAsia="Times New Roman" w:hAnsi="Times New Roman"/>
          <w:lang w:val="lt-LT"/>
        </w:rPr>
        <w:br w:type="page"/>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jc w:val="center"/>
        <w:outlineLvl w:val="0"/>
        <w:rPr>
          <w:rFonts w:ascii="Times New Roman" w:eastAsia="Times New Roman" w:hAnsi="Times New Roman"/>
          <w:b/>
          <w:lang w:val="lt-LT"/>
        </w:rPr>
      </w:pPr>
    </w:p>
    <w:p w:rsidR="002101F6" w:rsidRPr="00153D15" w:rsidRDefault="002101F6" w:rsidP="002101F6">
      <w:pPr>
        <w:spacing w:after="0" w:line="240" w:lineRule="auto"/>
        <w:jc w:val="center"/>
        <w:outlineLvl w:val="0"/>
        <w:rPr>
          <w:rFonts w:ascii="Times New Roman" w:eastAsia="Times New Roman" w:hAnsi="Times New Roman"/>
          <w:b/>
          <w:lang w:val="lt-LT"/>
        </w:rPr>
      </w:pPr>
      <w:r w:rsidRPr="00153D15">
        <w:rPr>
          <w:rFonts w:ascii="Times New Roman" w:eastAsia="Times New Roman" w:hAnsi="Times New Roman"/>
          <w:b/>
          <w:lang w:val="lt-LT"/>
        </w:rPr>
        <w:t>II PRIEDAS</w:t>
      </w:r>
    </w:p>
    <w:p w:rsidR="002101F6" w:rsidRPr="00153D15" w:rsidRDefault="002101F6" w:rsidP="002101F6">
      <w:pPr>
        <w:spacing w:after="0" w:line="240" w:lineRule="auto"/>
        <w:jc w:val="center"/>
        <w:outlineLvl w:val="0"/>
        <w:rPr>
          <w:rFonts w:ascii="Times New Roman" w:eastAsia="Times New Roman" w:hAnsi="Times New Roman"/>
          <w:b/>
          <w:lang w:val="lt-LT"/>
        </w:rPr>
      </w:pPr>
    </w:p>
    <w:p w:rsidR="002101F6" w:rsidRPr="00153D15" w:rsidRDefault="0014763F" w:rsidP="002101F6">
      <w:pPr>
        <w:spacing w:after="0" w:line="240" w:lineRule="auto"/>
        <w:jc w:val="center"/>
        <w:outlineLvl w:val="0"/>
        <w:rPr>
          <w:rFonts w:ascii="Times New Roman" w:eastAsia="Times New Roman" w:hAnsi="Times New Roman"/>
          <w:b/>
          <w:lang w:val="lt-LT"/>
        </w:rPr>
      </w:pPr>
      <w:r w:rsidRPr="00153D15">
        <w:rPr>
          <w:rFonts w:ascii="Times New Roman" w:hAnsi="Times New Roman"/>
          <w:b/>
          <w:lang w:val="lt-LT"/>
        </w:rPr>
        <w:t>REGISTRACIJOS</w:t>
      </w:r>
      <w:r w:rsidR="002101F6" w:rsidRPr="00153D15">
        <w:rPr>
          <w:rFonts w:ascii="Times New Roman" w:eastAsia="Times New Roman" w:hAnsi="Times New Roman"/>
          <w:b/>
          <w:lang w:val="lt-LT"/>
        </w:rPr>
        <w:t xml:space="preserve"> SĄLYGOS</w:t>
      </w:r>
    </w:p>
    <w:p w:rsidR="002101F6" w:rsidRPr="00153D15" w:rsidRDefault="002101F6" w:rsidP="002101F6">
      <w:pPr>
        <w:spacing w:after="0" w:line="240" w:lineRule="auto"/>
        <w:ind w:left="1701" w:right="1416" w:hanging="567"/>
        <w:rPr>
          <w:rFonts w:ascii="Times New Roman" w:eastAsia="Times New Roman" w:hAnsi="Times New Roman"/>
          <w:lang w:val="lt-LT"/>
        </w:rPr>
      </w:pPr>
    </w:p>
    <w:p w:rsidR="002101F6" w:rsidRPr="00153D15" w:rsidRDefault="002101F6" w:rsidP="002101F6">
      <w:pPr>
        <w:tabs>
          <w:tab w:val="left" w:pos="1701"/>
        </w:tabs>
        <w:spacing w:after="0" w:line="240" w:lineRule="auto"/>
        <w:ind w:left="1701" w:right="1416" w:hanging="567"/>
        <w:rPr>
          <w:rFonts w:ascii="Times New Roman" w:eastAsia="Times New Roman" w:hAnsi="Times New Roman"/>
          <w:b/>
          <w:lang w:val="lt-LT"/>
        </w:rPr>
      </w:pPr>
      <w:r w:rsidRPr="00153D15">
        <w:rPr>
          <w:rFonts w:ascii="Times New Roman" w:eastAsia="Times New Roman" w:hAnsi="Times New Roman"/>
          <w:b/>
          <w:lang w:val="lt-LT"/>
        </w:rPr>
        <w:t>A.</w:t>
      </w:r>
      <w:r w:rsidRPr="00153D15">
        <w:rPr>
          <w:rFonts w:ascii="Times New Roman" w:eastAsia="Times New Roman" w:hAnsi="Times New Roman"/>
          <w:b/>
          <w:lang w:val="lt-LT"/>
        </w:rPr>
        <w:tab/>
      </w:r>
      <w:r w:rsidRPr="00153D15">
        <w:rPr>
          <w:rFonts w:ascii="Times New Roman" w:eastAsia="Calibri" w:hAnsi="Times New Roman"/>
          <w:b/>
          <w:lang w:val="lt-LT"/>
        </w:rPr>
        <w:t>GAMINTOJAS</w:t>
      </w:r>
      <w:r w:rsidRPr="00153D15">
        <w:rPr>
          <w:rFonts w:ascii="Times New Roman" w:eastAsia="Times New Roman" w:hAnsi="Times New Roman"/>
          <w:b/>
          <w:lang w:val="lt-LT"/>
        </w:rPr>
        <w:t xml:space="preserve">, ATSAKINGAS UŽ SERIJŲ IŠLEIDIMĄ </w:t>
      </w:r>
    </w:p>
    <w:p w:rsidR="002101F6" w:rsidRPr="00153D15" w:rsidRDefault="002101F6" w:rsidP="002101F6">
      <w:pPr>
        <w:spacing w:after="0" w:line="240" w:lineRule="auto"/>
        <w:ind w:left="1701" w:right="1416" w:hanging="567"/>
        <w:rPr>
          <w:rFonts w:ascii="Times New Roman" w:eastAsia="Times New Roman" w:hAnsi="Times New Roman"/>
          <w:bCs/>
          <w:lang w:val="lt-LT"/>
        </w:rPr>
      </w:pPr>
    </w:p>
    <w:p w:rsidR="002101F6" w:rsidRPr="00153D15" w:rsidRDefault="002101F6" w:rsidP="002101F6">
      <w:pPr>
        <w:tabs>
          <w:tab w:val="left" w:pos="1701"/>
        </w:tabs>
        <w:spacing w:after="0" w:line="240" w:lineRule="auto"/>
        <w:ind w:left="1701" w:right="1416" w:hanging="567"/>
        <w:rPr>
          <w:rFonts w:ascii="Times New Roman" w:eastAsia="Times New Roman" w:hAnsi="Times New Roman"/>
          <w:b/>
          <w:lang w:val="lt-LT"/>
        </w:rPr>
      </w:pPr>
      <w:r w:rsidRPr="00153D15">
        <w:rPr>
          <w:rFonts w:ascii="Times New Roman" w:eastAsia="Times New Roman" w:hAnsi="Times New Roman"/>
          <w:b/>
          <w:lang w:val="lt-LT"/>
        </w:rPr>
        <w:t>B.</w:t>
      </w:r>
      <w:r w:rsidRPr="00153D15">
        <w:rPr>
          <w:rFonts w:ascii="Times New Roman" w:eastAsia="Times New Roman" w:hAnsi="Times New Roman"/>
          <w:b/>
          <w:lang w:val="lt-LT"/>
        </w:rPr>
        <w:tab/>
      </w:r>
      <w:r w:rsidRPr="00153D15">
        <w:rPr>
          <w:rFonts w:ascii="Times New Roman" w:eastAsia="Calibri" w:hAnsi="Times New Roman"/>
          <w:b/>
          <w:lang w:val="lt-LT"/>
        </w:rPr>
        <w:t>TIEKIMO IR VARTOJIMO SĄLYGOS AR APRIBOJIMAI</w:t>
      </w:r>
      <w:r w:rsidRPr="00153D15">
        <w:rPr>
          <w:rFonts w:ascii="Times New Roman" w:eastAsia="Times New Roman" w:hAnsi="Times New Roman"/>
          <w:b/>
          <w:lang w:val="lt-LT"/>
        </w:rPr>
        <w:t xml:space="preserve"> </w:t>
      </w:r>
    </w:p>
    <w:p w:rsidR="002101F6" w:rsidRPr="00153D15" w:rsidRDefault="002101F6" w:rsidP="002101F6">
      <w:pPr>
        <w:spacing w:after="0" w:line="240" w:lineRule="auto"/>
        <w:ind w:left="1701" w:right="1416" w:hanging="567"/>
        <w:rPr>
          <w:rFonts w:ascii="Times New Roman" w:eastAsia="Times New Roman" w:hAnsi="Times New Roman"/>
          <w:bCs/>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br w:type="page"/>
      </w:r>
      <w:r w:rsidRPr="00153D15">
        <w:rPr>
          <w:rFonts w:ascii="Times New Roman" w:eastAsia="Times New Roman" w:hAnsi="Times New Roman"/>
          <w:b/>
          <w:lang w:val="lt-LT"/>
        </w:rPr>
        <w:lastRenderedPageBreak/>
        <w:t>A.</w:t>
      </w:r>
      <w:r w:rsidRPr="00153D15">
        <w:rPr>
          <w:rFonts w:ascii="Times New Roman" w:eastAsia="Times New Roman" w:hAnsi="Times New Roman"/>
          <w:b/>
          <w:lang w:val="lt-LT"/>
        </w:rPr>
        <w:tab/>
        <w:t>GAMINTOJAS, ATSAKINGAS UŽ SERIJŲ IŠLEIDIMĄ</w:t>
      </w:r>
    </w:p>
    <w:p w:rsidR="002101F6" w:rsidRPr="00153D15" w:rsidRDefault="002101F6" w:rsidP="002101F6">
      <w:pPr>
        <w:spacing w:after="0" w:line="240" w:lineRule="auto"/>
        <w:ind w:right="1416"/>
        <w:jc w:val="both"/>
        <w:rPr>
          <w:rFonts w:ascii="Times New Roman" w:eastAsia="Times New Roman" w:hAnsi="Times New Roman"/>
          <w:lang w:val="lt-LT"/>
        </w:rPr>
      </w:pPr>
    </w:p>
    <w:p w:rsidR="002101F6" w:rsidRPr="00153D15" w:rsidRDefault="002101F6" w:rsidP="002101F6">
      <w:pPr>
        <w:spacing w:after="0" w:line="240" w:lineRule="auto"/>
        <w:jc w:val="both"/>
        <w:outlineLvl w:val="0"/>
        <w:rPr>
          <w:rFonts w:ascii="Times New Roman" w:eastAsia="Times New Roman" w:hAnsi="Times New Roman"/>
          <w:lang w:val="lt-LT"/>
        </w:rPr>
      </w:pPr>
      <w:r w:rsidRPr="00153D15">
        <w:rPr>
          <w:rFonts w:ascii="Times New Roman" w:eastAsia="Times New Roman" w:hAnsi="Times New Roman"/>
          <w:u w:val="single"/>
          <w:lang w:val="lt-LT"/>
        </w:rPr>
        <w:t>Gamintoj</w:t>
      </w:r>
      <w:r w:rsidR="00BA75C2">
        <w:rPr>
          <w:rFonts w:ascii="Times New Roman" w:eastAsia="Times New Roman" w:hAnsi="Times New Roman"/>
          <w:u w:val="single"/>
          <w:lang w:val="lt-LT"/>
        </w:rPr>
        <w:t>ų</w:t>
      </w:r>
      <w:r w:rsidRPr="00153D15">
        <w:rPr>
          <w:rFonts w:ascii="Times New Roman" w:eastAsia="Times New Roman" w:hAnsi="Times New Roman"/>
          <w:u w:val="single"/>
          <w:lang w:val="lt-LT"/>
        </w:rPr>
        <w:t>, atsaking</w:t>
      </w:r>
      <w:r w:rsidR="00BA75C2">
        <w:rPr>
          <w:rFonts w:ascii="Times New Roman" w:eastAsia="Times New Roman" w:hAnsi="Times New Roman"/>
          <w:u w:val="single"/>
          <w:lang w:val="lt-LT"/>
        </w:rPr>
        <w:t>ų</w:t>
      </w:r>
      <w:r w:rsidRPr="00153D15">
        <w:rPr>
          <w:rFonts w:ascii="Times New Roman" w:eastAsia="Times New Roman" w:hAnsi="Times New Roman"/>
          <w:u w:val="single"/>
          <w:lang w:val="lt-LT"/>
        </w:rPr>
        <w:t xml:space="preserve"> už serijų išleidimą, pavadinima</w:t>
      </w:r>
      <w:r w:rsidR="00BA75C2">
        <w:rPr>
          <w:rFonts w:ascii="Times New Roman" w:eastAsia="Times New Roman" w:hAnsi="Times New Roman"/>
          <w:u w:val="single"/>
          <w:lang w:val="lt-LT"/>
        </w:rPr>
        <w:t>i</w:t>
      </w:r>
      <w:r w:rsidRPr="00153D15">
        <w:rPr>
          <w:rFonts w:ascii="Times New Roman" w:eastAsia="Times New Roman" w:hAnsi="Times New Roman"/>
          <w:u w:val="single"/>
          <w:lang w:val="lt-LT"/>
        </w:rPr>
        <w:t xml:space="preserve"> ir adresa</w:t>
      </w:r>
      <w:r w:rsidR="00BA75C2">
        <w:rPr>
          <w:rFonts w:ascii="Times New Roman" w:eastAsia="Times New Roman" w:hAnsi="Times New Roman"/>
          <w:u w:val="single"/>
          <w:lang w:val="lt-LT"/>
        </w:rPr>
        <w:t>i</w:t>
      </w:r>
    </w:p>
    <w:p w:rsidR="002101F6" w:rsidRPr="00153D15" w:rsidRDefault="002101F6" w:rsidP="002101F6">
      <w:pPr>
        <w:spacing w:after="0" w:line="240" w:lineRule="auto"/>
        <w:jc w:val="both"/>
        <w:rPr>
          <w:rFonts w:ascii="Times New Roman" w:eastAsia="Times New Roman" w:hAnsi="Times New Roman"/>
          <w:lang w:val="lt-LT"/>
        </w:rPr>
      </w:pPr>
    </w:p>
    <w:p w:rsidR="002101F6" w:rsidRPr="00153D15" w:rsidRDefault="002101F6" w:rsidP="002101F6">
      <w:pPr>
        <w:spacing w:after="0" w:line="240" w:lineRule="auto"/>
        <w:jc w:val="both"/>
        <w:rPr>
          <w:rFonts w:ascii="Times New Roman" w:eastAsia="Times New Roman" w:hAnsi="Times New Roman"/>
        </w:rPr>
      </w:pPr>
      <w:r w:rsidRPr="00153D15">
        <w:rPr>
          <w:rFonts w:ascii="Times New Roman" w:hAnsi="Times New Roman"/>
        </w:rPr>
        <w:t>R-Pharm Germany GmbH </w:t>
      </w:r>
    </w:p>
    <w:p w:rsidR="002101F6" w:rsidRPr="00153D15" w:rsidRDefault="002101F6" w:rsidP="002101F6">
      <w:pPr>
        <w:spacing w:after="0" w:line="240" w:lineRule="auto"/>
        <w:jc w:val="both"/>
        <w:rPr>
          <w:rFonts w:ascii="Times New Roman" w:eastAsia="Times New Roman" w:hAnsi="Times New Roman"/>
          <w:lang w:val="lt-LT"/>
        </w:rPr>
      </w:pPr>
      <w:r w:rsidRPr="00153D15">
        <w:rPr>
          <w:rFonts w:ascii="Times New Roman" w:eastAsia="Times New Roman" w:hAnsi="Times New Roman"/>
          <w:lang w:val="lt-LT"/>
        </w:rPr>
        <w:t>Heinrich-Mack-Str. 35</w:t>
      </w:r>
    </w:p>
    <w:p w:rsidR="002101F6" w:rsidRPr="00153D15" w:rsidRDefault="002101F6" w:rsidP="002101F6">
      <w:pPr>
        <w:spacing w:after="0" w:line="240" w:lineRule="auto"/>
        <w:jc w:val="both"/>
        <w:rPr>
          <w:rFonts w:ascii="Times New Roman" w:eastAsia="Times New Roman" w:hAnsi="Times New Roman"/>
          <w:lang w:val="lt-LT"/>
        </w:rPr>
      </w:pPr>
      <w:r w:rsidRPr="00153D15">
        <w:rPr>
          <w:rFonts w:ascii="Times New Roman" w:eastAsia="Times New Roman" w:hAnsi="Times New Roman"/>
          <w:lang w:val="lt-LT"/>
        </w:rPr>
        <w:t>89257 Illertissen</w:t>
      </w:r>
    </w:p>
    <w:p w:rsidR="002101F6" w:rsidRDefault="002101F6" w:rsidP="002101F6">
      <w:pPr>
        <w:spacing w:after="0" w:line="240" w:lineRule="auto"/>
        <w:jc w:val="both"/>
        <w:rPr>
          <w:rFonts w:ascii="Times New Roman" w:eastAsia="Times New Roman" w:hAnsi="Times New Roman"/>
          <w:lang w:val="lt-LT"/>
        </w:rPr>
      </w:pPr>
      <w:r w:rsidRPr="00153D15">
        <w:rPr>
          <w:rFonts w:ascii="Times New Roman" w:eastAsia="Times New Roman" w:hAnsi="Times New Roman"/>
          <w:lang w:val="lt-LT"/>
        </w:rPr>
        <w:t>Vokietija</w:t>
      </w:r>
    </w:p>
    <w:p w:rsidR="00BA75C2" w:rsidRPr="00153D15" w:rsidRDefault="00BA75C2" w:rsidP="002101F6">
      <w:pPr>
        <w:spacing w:after="0" w:line="240" w:lineRule="auto"/>
        <w:jc w:val="both"/>
        <w:rPr>
          <w:rFonts w:ascii="Times New Roman" w:eastAsia="Times New Roman" w:hAnsi="Times New Roman"/>
          <w:lang w:val="lt-LT"/>
        </w:rPr>
      </w:pPr>
    </w:p>
    <w:p w:rsidR="002101F6" w:rsidRDefault="00BA75C2" w:rsidP="002101F6">
      <w:pPr>
        <w:spacing w:after="0" w:line="240" w:lineRule="auto"/>
        <w:jc w:val="both"/>
        <w:rPr>
          <w:rFonts w:ascii="Times New Roman" w:eastAsia="Times New Roman" w:hAnsi="Times New Roman"/>
          <w:lang w:val="lt-LT"/>
        </w:rPr>
      </w:pPr>
      <w:r>
        <w:rPr>
          <w:rFonts w:ascii="Times New Roman" w:eastAsia="Times New Roman" w:hAnsi="Times New Roman"/>
          <w:lang w:val="lt-LT"/>
        </w:rPr>
        <w:t>arba</w:t>
      </w:r>
    </w:p>
    <w:p w:rsidR="00BA75C2" w:rsidRDefault="00BA75C2" w:rsidP="002101F6">
      <w:pPr>
        <w:spacing w:after="0" w:line="240" w:lineRule="auto"/>
        <w:jc w:val="both"/>
        <w:rPr>
          <w:rFonts w:ascii="Times New Roman" w:eastAsia="Times New Roman" w:hAnsi="Times New Roman"/>
          <w:lang w:val="lt-LT"/>
        </w:rPr>
      </w:pPr>
    </w:p>
    <w:p w:rsidR="00BA75C2" w:rsidRPr="00BA75C2" w:rsidRDefault="00BA75C2" w:rsidP="00BA75C2">
      <w:pPr>
        <w:spacing w:after="0" w:line="240" w:lineRule="auto"/>
        <w:jc w:val="both"/>
        <w:rPr>
          <w:rFonts w:ascii="Times New Roman" w:eastAsia="Times New Roman" w:hAnsi="Times New Roman"/>
          <w:lang w:val="lt-LT"/>
        </w:rPr>
      </w:pPr>
      <w:r w:rsidRPr="00BA75C2">
        <w:rPr>
          <w:rFonts w:ascii="Times New Roman" w:eastAsia="Times New Roman" w:hAnsi="Times New Roman"/>
          <w:lang w:val="lt-LT"/>
        </w:rPr>
        <w:t>Pfizer Manufacturing Deutschland GmbH</w:t>
      </w:r>
    </w:p>
    <w:p w:rsidR="00BA75C2" w:rsidRPr="00BA75C2" w:rsidRDefault="00BA75C2" w:rsidP="00BA75C2">
      <w:pPr>
        <w:spacing w:after="0" w:line="240" w:lineRule="auto"/>
        <w:jc w:val="both"/>
        <w:rPr>
          <w:rFonts w:ascii="Times New Roman" w:eastAsia="Times New Roman" w:hAnsi="Times New Roman"/>
          <w:lang w:val="lt-LT"/>
        </w:rPr>
      </w:pPr>
      <w:r w:rsidRPr="00BA75C2">
        <w:rPr>
          <w:rFonts w:ascii="Times New Roman" w:eastAsia="Times New Roman" w:hAnsi="Times New Roman"/>
          <w:lang w:val="lt-LT"/>
        </w:rPr>
        <w:t>Betriebsstätte Freiburg</w:t>
      </w:r>
    </w:p>
    <w:p w:rsidR="00BA75C2" w:rsidRPr="00BA75C2" w:rsidRDefault="00BA75C2" w:rsidP="00BA75C2">
      <w:pPr>
        <w:spacing w:after="0" w:line="240" w:lineRule="auto"/>
        <w:jc w:val="both"/>
        <w:rPr>
          <w:rFonts w:ascii="Times New Roman" w:eastAsia="Times New Roman" w:hAnsi="Times New Roman"/>
          <w:lang w:val="lt-LT"/>
        </w:rPr>
      </w:pPr>
      <w:r w:rsidRPr="00BA75C2">
        <w:rPr>
          <w:rFonts w:ascii="Times New Roman" w:eastAsia="Times New Roman" w:hAnsi="Times New Roman"/>
          <w:lang w:val="lt-LT"/>
        </w:rPr>
        <w:t>Mooswaldallee 1</w:t>
      </w:r>
    </w:p>
    <w:p w:rsidR="00BA75C2" w:rsidRPr="00BA75C2" w:rsidRDefault="00BA75C2" w:rsidP="00BA75C2">
      <w:pPr>
        <w:spacing w:after="0" w:line="240" w:lineRule="auto"/>
        <w:jc w:val="both"/>
        <w:rPr>
          <w:rFonts w:ascii="Times New Roman" w:eastAsia="Times New Roman" w:hAnsi="Times New Roman"/>
          <w:lang w:val="lt-LT"/>
        </w:rPr>
      </w:pPr>
      <w:r w:rsidRPr="00BA75C2">
        <w:rPr>
          <w:rFonts w:ascii="Times New Roman" w:eastAsia="Times New Roman" w:hAnsi="Times New Roman"/>
          <w:lang w:val="lt-LT"/>
        </w:rPr>
        <w:t>79090 Freiburg</w:t>
      </w:r>
    </w:p>
    <w:p w:rsidR="00BA75C2" w:rsidRPr="00153D15" w:rsidRDefault="00BA75C2" w:rsidP="00BA75C2">
      <w:pPr>
        <w:spacing w:after="0" w:line="240" w:lineRule="auto"/>
        <w:jc w:val="both"/>
        <w:rPr>
          <w:rFonts w:ascii="Times New Roman" w:eastAsia="Times New Roman" w:hAnsi="Times New Roman"/>
          <w:lang w:val="lt-LT"/>
        </w:rPr>
      </w:pPr>
      <w:r w:rsidRPr="00BA75C2">
        <w:rPr>
          <w:rFonts w:ascii="Times New Roman" w:eastAsia="Times New Roman" w:hAnsi="Times New Roman"/>
          <w:lang w:val="lt-LT"/>
        </w:rPr>
        <w:t>Vokietija</w:t>
      </w:r>
    </w:p>
    <w:p w:rsidR="002101F6" w:rsidRDefault="002101F6" w:rsidP="002101F6">
      <w:pPr>
        <w:spacing w:after="0" w:line="240" w:lineRule="auto"/>
        <w:jc w:val="both"/>
        <w:rPr>
          <w:rFonts w:ascii="Times New Roman" w:eastAsia="Times New Roman" w:hAnsi="Times New Roman"/>
          <w:lang w:val="lt-LT"/>
        </w:rPr>
      </w:pPr>
    </w:p>
    <w:p w:rsidR="00BA75C2" w:rsidRPr="00153D15" w:rsidRDefault="00BA75C2" w:rsidP="002101F6">
      <w:pPr>
        <w:spacing w:after="0" w:line="240" w:lineRule="auto"/>
        <w:jc w:val="both"/>
        <w:rPr>
          <w:rFonts w:ascii="Times New Roman" w:eastAsia="Times New Roman" w:hAnsi="Times New Roman"/>
          <w:lang w:val="lt-LT"/>
        </w:rPr>
      </w:pPr>
    </w:p>
    <w:p w:rsidR="002101F6" w:rsidRPr="00153D15" w:rsidRDefault="002101F6" w:rsidP="002101F6">
      <w:pPr>
        <w:spacing w:after="0" w:line="240" w:lineRule="auto"/>
        <w:ind w:left="567" w:hanging="567"/>
        <w:jc w:val="both"/>
        <w:rPr>
          <w:rFonts w:ascii="Times New Roman" w:eastAsia="Times New Roman" w:hAnsi="Times New Roman"/>
          <w:b/>
          <w:lang w:val="lt-LT"/>
        </w:rPr>
      </w:pPr>
      <w:r w:rsidRPr="00153D15">
        <w:rPr>
          <w:rFonts w:ascii="Times New Roman" w:eastAsia="Times New Roman" w:hAnsi="Times New Roman"/>
          <w:b/>
          <w:lang w:val="lt-LT"/>
        </w:rPr>
        <w:t>B.</w:t>
      </w:r>
      <w:r w:rsidRPr="00153D15">
        <w:rPr>
          <w:rFonts w:ascii="Times New Roman" w:eastAsia="Times New Roman" w:hAnsi="Times New Roman"/>
          <w:b/>
          <w:lang w:val="lt-LT"/>
        </w:rPr>
        <w:tab/>
      </w:r>
      <w:r w:rsidRPr="00153D15">
        <w:rPr>
          <w:rFonts w:ascii="Times New Roman" w:eastAsia="Calibri" w:hAnsi="Times New Roman"/>
          <w:b/>
          <w:lang w:val="lt-LT"/>
        </w:rPr>
        <w:t xml:space="preserve">TIEKIMO IR VARTOJIMO SĄLYGOS AR APRIBOJIMAI </w:t>
      </w:r>
    </w:p>
    <w:p w:rsidR="002101F6" w:rsidRPr="00153D15" w:rsidRDefault="002101F6" w:rsidP="002101F6">
      <w:pPr>
        <w:spacing w:after="0" w:line="240" w:lineRule="auto"/>
        <w:jc w:val="both"/>
        <w:rPr>
          <w:rFonts w:ascii="Times New Roman" w:eastAsia="Times New Roman" w:hAnsi="Times New Roman"/>
          <w:lang w:val="lt-LT"/>
        </w:rPr>
      </w:pPr>
    </w:p>
    <w:p w:rsidR="002101F6" w:rsidRPr="00153D15" w:rsidRDefault="002101F6" w:rsidP="002101F6">
      <w:pPr>
        <w:spacing w:after="0" w:line="240" w:lineRule="auto"/>
        <w:jc w:val="both"/>
        <w:rPr>
          <w:rFonts w:ascii="Times New Roman" w:eastAsia="Times New Roman" w:hAnsi="Times New Roman"/>
          <w:lang w:val="lt-LT"/>
        </w:rPr>
      </w:pPr>
    </w:p>
    <w:p w:rsidR="002101F6" w:rsidRPr="00153D15" w:rsidRDefault="002101F6" w:rsidP="002101F6">
      <w:pPr>
        <w:numPr>
          <w:ilvl w:val="12"/>
          <w:numId w:val="0"/>
        </w:numPr>
        <w:spacing w:after="0" w:line="240" w:lineRule="auto"/>
        <w:jc w:val="both"/>
        <w:outlineLvl w:val="0"/>
        <w:rPr>
          <w:rFonts w:ascii="Times New Roman" w:eastAsia="Times New Roman" w:hAnsi="Times New Roman"/>
          <w:lang w:val="lt-LT"/>
        </w:rPr>
      </w:pPr>
      <w:r w:rsidRPr="00153D15">
        <w:rPr>
          <w:rFonts w:ascii="Times New Roman" w:eastAsia="Times New Roman" w:hAnsi="Times New Roman"/>
          <w:lang w:val="lt-LT"/>
        </w:rPr>
        <w:t>Receptinis vaistinis preparatas.</w:t>
      </w:r>
    </w:p>
    <w:p w:rsidR="002101F6" w:rsidRPr="00153D15" w:rsidRDefault="002101F6" w:rsidP="002101F6">
      <w:pPr>
        <w:numPr>
          <w:ilvl w:val="12"/>
          <w:numId w:val="0"/>
        </w:numPr>
        <w:spacing w:after="0" w:line="240" w:lineRule="auto"/>
        <w:jc w:val="both"/>
        <w:rPr>
          <w:rFonts w:ascii="Times New Roman" w:eastAsia="Times New Roman" w:hAnsi="Times New Roman"/>
          <w:lang w:val="lt-LT"/>
        </w:rPr>
      </w:pPr>
    </w:p>
    <w:p w:rsidR="002101F6" w:rsidRPr="00153D15" w:rsidRDefault="002101F6" w:rsidP="002101F6">
      <w:pPr>
        <w:spacing w:after="0" w:line="240" w:lineRule="auto"/>
        <w:ind w:right="-8"/>
        <w:jc w:val="both"/>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br w:type="page"/>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r w:rsidRPr="00153D15">
        <w:rPr>
          <w:rFonts w:ascii="Times New Roman" w:eastAsia="Times New Roman" w:hAnsi="Times New Roman"/>
          <w:b/>
          <w:lang w:val="lt-LT"/>
        </w:rPr>
        <w:t>III PRIEDAS</w:t>
      </w:r>
    </w:p>
    <w:p w:rsidR="002101F6" w:rsidRPr="00153D15" w:rsidRDefault="002101F6" w:rsidP="002101F6">
      <w:pPr>
        <w:spacing w:after="0" w:line="240" w:lineRule="auto"/>
        <w:ind w:left="567" w:hanging="567"/>
        <w:jc w:val="center"/>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r w:rsidRPr="00153D15">
        <w:rPr>
          <w:rFonts w:ascii="Times New Roman" w:eastAsia="Times New Roman" w:hAnsi="Times New Roman"/>
          <w:b/>
          <w:lang w:val="lt-LT"/>
        </w:rPr>
        <w:t>ŽENKLINIMAS IR PAKUOTĖS LAPELIS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r w:rsidRPr="00153D15">
        <w:rPr>
          <w:rFonts w:ascii="Times New Roman" w:eastAsia="Times New Roman" w:hAnsi="Times New Roman"/>
          <w:b/>
          <w:lang w:val="lt-LT"/>
        </w:rPr>
        <w:t>A. ŽENKLINIMAS</w:t>
      </w: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153D15">
        <w:rPr>
          <w:rFonts w:ascii="Times New Roman" w:eastAsia="Times New Roman" w:hAnsi="Times New Roman"/>
          <w:lang w:val="lt-LT"/>
        </w:rPr>
        <w:br w:type="page"/>
      </w:r>
      <w:r w:rsidRPr="00153D15">
        <w:rPr>
          <w:rFonts w:ascii="Times New Roman" w:eastAsia="Times New Roman" w:hAnsi="Times New Roman"/>
          <w:b/>
          <w:caps/>
          <w:lang w:val="lt-LT"/>
        </w:rPr>
        <w:lastRenderedPageBreak/>
        <w:t xml:space="preserve">Informacija ant </w:t>
      </w:r>
      <w:r w:rsidRPr="00153D15">
        <w:rPr>
          <w:rFonts w:ascii="Times New Roman" w:eastAsia="Times New Roman" w:hAnsi="Times New Roman"/>
          <w:b/>
          <w:lang w:val="lt-LT"/>
        </w:rPr>
        <w:t>IŠORINĖS</w:t>
      </w:r>
      <w:r w:rsidRPr="00153D15">
        <w:rPr>
          <w:rFonts w:ascii="Times New Roman" w:eastAsia="Times New Roman" w:hAnsi="Times New Roman"/>
          <w:lang w:val="lt-LT"/>
        </w:rPr>
        <w:t xml:space="preserve"> </w:t>
      </w:r>
      <w:r w:rsidRPr="00153D15">
        <w:rPr>
          <w:rFonts w:ascii="Times New Roman" w:eastAsia="Times New Roman" w:hAnsi="Times New Roman"/>
          <w:b/>
          <w:caps/>
          <w:lang w:val="lt-LT"/>
        </w:rPr>
        <w:t xml:space="preserve">pakuotės </w:t>
      </w: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val="lt-LT"/>
        </w:rPr>
      </w:pPr>
      <w:r w:rsidRPr="00153D15">
        <w:rPr>
          <w:rFonts w:ascii="Times New Roman" w:eastAsia="Times New Roman" w:hAnsi="Times New Roman"/>
          <w:b/>
          <w:bCs/>
          <w:lang w:val="lt-LT"/>
        </w:rPr>
        <w:t>KARTONO DĖŽUTĖ</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1.</w:t>
      </w:r>
      <w:r w:rsidRPr="00153D15">
        <w:rPr>
          <w:rFonts w:ascii="Times New Roman" w:eastAsia="Times New Roman" w:hAnsi="Times New Roman"/>
          <w:b/>
          <w:caps/>
          <w:lang w:val="lt-LT"/>
        </w:rPr>
        <w:tab/>
        <w:t>vaistinio preparato pavadinimas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 xml:space="preserve">CELEBREX 100 mg kietosios kapsulės </w:t>
      </w:r>
    </w:p>
    <w:p w:rsidR="002101F6" w:rsidRPr="00153D15" w:rsidRDefault="002101F6" w:rsidP="002101F6">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t>Celekoksibas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2.</w:t>
      </w:r>
      <w:r w:rsidRPr="00153D15">
        <w:rPr>
          <w:rFonts w:ascii="Times New Roman" w:eastAsia="Times New Roman" w:hAnsi="Times New Roman"/>
          <w:b/>
          <w:caps/>
          <w:lang w:val="lt-LT"/>
        </w:rPr>
        <w:tab/>
        <w:t xml:space="preserve">veikliOJI medžiagA ir JOS kiekis </w:t>
      </w: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spacing w:after="0" w:line="240" w:lineRule="auto"/>
        <w:ind w:left="567" w:hanging="567"/>
        <w:outlineLvl w:val="0"/>
        <w:rPr>
          <w:rFonts w:ascii="Times New Roman" w:eastAsia="Times New Roman" w:hAnsi="Times New Roman"/>
          <w:caps/>
          <w:lang w:val="lt-LT"/>
        </w:rPr>
      </w:pPr>
      <w:r w:rsidRPr="00153D15">
        <w:rPr>
          <w:rFonts w:ascii="Times New Roman" w:eastAsia="Times New Roman" w:hAnsi="Times New Roman"/>
          <w:lang w:val="lt-LT"/>
        </w:rPr>
        <w:t>Vienoje kietojoje kapsulėje yra 100 mg celekoksibo.</w:t>
      </w: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3.</w:t>
      </w:r>
      <w:r w:rsidRPr="00153D15">
        <w:rPr>
          <w:rFonts w:ascii="Times New Roman" w:eastAsia="Times New Roman" w:hAnsi="Times New Roman"/>
          <w:b/>
          <w:caps/>
          <w:lang w:val="lt-LT"/>
        </w:rPr>
        <w:tab/>
        <w:t>pagalbinių medžiagų sąrašas</w:t>
      </w: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Sudėtyje yra laktozės monohidrato. Išsamią informaciją žr. pakuotės lapelyje.</w:t>
      </w: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4.</w:t>
      </w:r>
      <w:r w:rsidRPr="00153D15">
        <w:rPr>
          <w:rFonts w:ascii="Times New Roman" w:eastAsia="Times New Roman" w:hAnsi="Times New Roman"/>
          <w:b/>
          <w:caps/>
          <w:lang w:val="lt-LT"/>
        </w:rPr>
        <w:tab/>
        <w:t>fARMACINĖ forma ir KIEKIS PAKUOTĖJE</w:t>
      </w: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spacing w:after="0" w:line="240" w:lineRule="auto"/>
        <w:ind w:left="567" w:hanging="567"/>
        <w:outlineLvl w:val="0"/>
        <w:rPr>
          <w:rFonts w:ascii="Times New Roman" w:eastAsia="Calibri" w:hAnsi="Times New Roman"/>
          <w:lang w:val="lt-LT"/>
        </w:rPr>
      </w:pPr>
      <w:r w:rsidRPr="003D4DDA">
        <w:rPr>
          <w:rFonts w:ascii="Times New Roman" w:eastAsia="Times New Roman" w:hAnsi="Times New Roman"/>
          <w:highlight w:val="lightGray"/>
          <w:lang w:val="lt-LT"/>
        </w:rPr>
        <w:t>Kietosios kapsulės</w:t>
      </w:r>
    </w:p>
    <w:p w:rsidR="002101F6" w:rsidRPr="00153D15" w:rsidRDefault="002101F6" w:rsidP="002101F6">
      <w:pPr>
        <w:spacing w:after="0" w:line="240" w:lineRule="auto"/>
        <w:ind w:left="567" w:hanging="567"/>
        <w:rPr>
          <w:rFonts w:ascii="Times New Roman" w:eastAsia="Calibri" w:hAnsi="Times New Roman"/>
          <w:caps/>
          <w:lang w:val="lt-LT"/>
        </w:rPr>
      </w:pPr>
      <w:r w:rsidRPr="00153D15">
        <w:rPr>
          <w:rFonts w:ascii="Times New Roman" w:eastAsia="Calibri" w:hAnsi="Times New Roman"/>
          <w:lang w:val="lt-LT"/>
        </w:rPr>
        <w:t xml:space="preserve">10 </w:t>
      </w:r>
      <w:r w:rsidRPr="00153D15">
        <w:rPr>
          <w:rFonts w:ascii="Times New Roman" w:eastAsia="Times New Roman" w:hAnsi="Times New Roman"/>
          <w:lang w:val="lt-LT"/>
        </w:rPr>
        <w:t>kapsulių</w:t>
      </w:r>
    </w:p>
    <w:p w:rsidR="002101F6" w:rsidRPr="003D4DDA" w:rsidRDefault="002101F6" w:rsidP="002101F6">
      <w:pPr>
        <w:spacing w:after="0" w:line="240" w:lineRule="auto"/>
        <w:ind w:left="567" w:hanging="567"/>
        <w:rPr>
          <w:rFonts w:ascii="Times New Roman" w:eastAsia="Times New Roman" w:hAnsi="Times New Roman"/>
          <w:caps/>
          <w:highlight w:val="lightGray"/>
          <w:lang w:val="lt-LT"/>
        </w:rPr>
      </w:pPr>
      <w:r w:rsidRPr="003D4DDA">
        <w:rPr>
          <w:rFonts w:ascii="Times New Roman" w:eastAsia="Times New Roman" w:hAnsi="Times New Roman"/>
          <w:highlight w:val="lightGray"/>
          <w:lang w:val="lt-LT"/>
        </w:rPr>
        <w:t>20 kapsulių</w:t>
      </w:r>
    </w:p>
    <w:p w:rsidR="002101F6" w:rsidRPr="00153D15" w:rsidRDefault="002101F6" w:rsidP="002101F6">
      <w:pPr>
        <w:spacing w:after="0" w:line="240" w:lineRule="auto"/>
        <w:ind w:left="567" w:hanging="567"/>
        <w:rPr>
          <w:rFonts w:ascii="Times New Roman" w:eastAsia="Calibri" w:hAnsi="Times New Roman"/>
          <w:lang w:val="lt-LT"/>
        </w:rPr>
      </w:pPr>
      <w:r w:rsidRPr="003D4DDA">
        <w:rPr>
          <w:rFonts w:ascii="Times New Roman" w:eastAsia="Calibri" w:hAnsi="Times New Roman"/>
          <w:caps/>
          <w:highlight w:val="lightGray"/>
          <w:lang w:val="lt-LT"/>
        </w:rPr>
        <w:t xml:space="preserve">30 </w:t>
      </w:r>
      <w:r w:rsidRPr="003D4DDA">
        <w:rPr>
          <w:rFonts w:ascii="Times New Roman" w:eastAsia="Times New Roman" w:hAnsi="Times New Roman"/>
          <w:highlight w:val="lightGray"/>
          <w:lang w:val="lt-LT"/>
        </w:rPr>
        <w:t>kapsulių</w:t>
      </w: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5.</w:t>
      </w:r>
      <w:r w:rsidRPr="00153D15">
        <w:rPr>
          <w:rFonts w:ascii="Times New Roman" w:eastAsia="Times New Roman" w:hAnsi="Times New Roman"/>
          <w:b/>
          <w:caps/>
          <w:lang w:val="lt-LT"/>
        </w:rPr>
        <w:tab/>
        <w:t>vartojimo METODAS IR būdas</w:t>
      </w: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 xml:space="preserve">Vartoti per burną. </w:t>
      </w: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Prieš vartojimą perskaitykite pakuotės lapelį.</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6.</w:t>
      </w:r>
      <w:r w:rsidRPr="00153D15">
        <w:rPr>
          <w:rFonts w:ascii="Times New Roman" w:eastAsia="Times New Roman" w:hAnsi="Times New Roman"/>
          <w:b/>
          <w:caps/>
          <w:lang w:val="lt-LT"/>
        </w:rPr>
        <w:tab/>
        <w:t>SPECIALUS Įspėjimas</w:t>
      </w:r>
      <w:r w:rsidRPr="00153D15">
        <w:rPr>
          <w:rFonts w:ascii="Times New Roman" w:eastAsia="Times New Roman" w:hAnsi="Times New Roman"/>
          <w:lang w:val="lt-LT"/>
        </w:rPr>
        <w:t xml:space="preserve">, </w:t>
      </w:r>
      <w:r w:rsidRPr="00153D15">
        <w:rPr>
          <w:rFonts w:ascii="Times New Roman" w:eastAsia="Times New Roman" w:hAnsi="Times New Roman"/>
          <w:b/>
          <w:lang w:val="lt-LT"/>
        </w:rPr>
        <w:t xml:space="preserve">KAD VAISTINĮ PREPARATĄ BŪTINA LAIKYTI </w:t>
      </w:r>
      <w:r w:rsidRPr="00153D15">
        <w:rPr>
          <w:rFonts w:ascii="Times New Roman" w:eastAsia="Times New Roman" w:hAnsi="Times New Roman"/>
          <w:b/>
          <w:caps/>
          <w:lang w:val="lt-LT"/>
        </w:rPr>
        <w:t>vaikams nepastebimoje IR NEPASIEKIAMOJE vietoje</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Laikyti vaikams nepastebimoje ir nepasiekiamoje vietoje.</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7.</w:t>
      </w:r>
      <w:r w:rsidRPr="00153D15">
        <w:rPr>
          <w:rFonts w:ascii="Times New Roman" w:eastAsia="Times New Roman" w:hAnsi="Times New Roman"/>
          <w:b/>
          <w:caps/>
          <w:lang w:val="lt-LT"/>
        </w:rPr>
        <w:tab/>
        <w:t>kitas specialus Įspėjimas (jei reikia)</w:t>
      </w: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8.</w:t>
      </w:r>
      <w:r w:rsidRPr="00153D15">
        <w:rPr>
          <w:rFonts w:ascii="Times New Roman" w:eastAsia="Times New Roman" w:hAnsi="Times New Roman"/>
          <w:b/>
          <w:caps/>
          <w:lang w:val="lt-LT"/>
        </w:rPr>
        <w:tab/>
        <w:t>tinkamumo laikas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 xml:space="preserve">Tinka iki </w:t>
      </w:r>
      <w:r w:rsidRPr="00153D15">
        <w:rPr>
          <w:rFonts w:ascii="Times New Roman" w:eastAsia="Times New Roman" w:hAnsi="Times New Roman"/>
          <w:iCs/>
          <w:lang w:val="lt-LT"/>
        </w:rPr>
        <w:t>mm/MMMM</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9.</w:t>
      </w:r>
      <w:r w:rsidRPr="00153D15">
        <w:rPr>
          <w:rFonts w:ascii="Times New Roman" w:eastAsia="Times New Roman" w:hAnsi="Times New Roman"/>
          <w:b/>
          <w:caps/>
          <w:lang w:val="lt-LT"/>
        </w:rPr>
        <w:tab/>
        <w:t>SPECIALIOS laikymo sąlygos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lang w:val="lt-LT"/>
        </w:rPr>
      </w:pPr>
      <w:r w:rsidRPr="00153D15">
        <w:rPr>
          <w:rFonts w:ascii="Times New Roman" w:eastAsia="Times New Roman" w:hAnsi="Times New Roman"/>
          <w:lang w:val="lt-LT"/>
        </w:rPr>
        <w:t xml:space="preserve">Laikyti ne aukštesnėje kaip 30 </w:t>
      </w:r>
      <w:r w:rsidRPr="00153D15">
        <w:rPr>
          <w:rFonts w:ascii="Times New Roman" w:eastAsia="Times New Roman" w:hAnsi="Times New Roman"/>
          <w:lang w:val="lt-LT"/>
        </w:rPr>
        <w:sym w:font="Symbol" w:char="F0B0"/>
      </w:r>
      <w:r w:rsidRPr="00153D15">
        <w:rPr>
          <w:rFonts w:ascii="Times New Roman" w:eastAsia="Times New Roman" w:hAnsi="Times New Roman"/>
          <w:lang w:val="lt-LT"/>
        </w:rPr>
        <w:t>C temperatūroje.</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10.</w:t>
      </w:r>
      <w:r w:rsidRPr="00153D15">
        <w:rPr>
          <w:rFonts w:ascii="Times New Roman" w:eastAsia="Times New Roman" w:hAnsi="Times New Roman"/>
          <w:b/>
          <w:caps/>
          <w:lang w:val="lt-LT"/>
        </w:rPr>
        <w:tab/>
        <w:t>specialios atsargumo priemonės DĖL NESUVARTOTO VAISTINIO PREPARATO AR JO ATLIEKŲ TVARKYMO</w:t>
      </w:r>
      <w:r w:rsidRPr="00153D15">
        <w:rPr>
          <w:rFonts w:ascii="Times New Roman" w:eastAsia="Times New Roman" w:hAnsi="Times New Roman"/>
          <w:caps/>
          <w:lang w:val="lt-LT"/>
        </w:rPr>
        <w:t xml:space="preserve"> </w:t>
      </w:r>
      <w:r w:rsidRPr="00153D15">
        <w:rPr>
          <w:rFonts w:ascii="Times New Roman" w:eastAsia="Times New Roman" w:hAnsi="Times New Roman"/>
          <w:b/>
          <w:caps/>
          <w:lang w:val="lt-LT"/>
        </w:rPr>
        <w:t>(jei reikia)</w:t>
      </w: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11.</w:t>
      </w:r>
      <w:r w:rsidRPr="00153D15">
        <w:rPr>
          <w:rFonts w:ascii="Times New Roman" w:eastAsia="Times New Roman" w:hAnsi="Times New Roman"/>
          <w:b/>
          <w:caps/>
          <w:lang w:val="lt-LT"/>
        </w:rPr>
        <w:tab/>
      </w:r>
      <w:r w:rsidR="0014763F" w:rsidRPr="00153D15">
        <w:rPr>
          <w:rFonts w:ascii="Times New Roman" w:hAnsi="Times New Roman"/>
          <w:b/>
          <w:caps/>
          <w:noProof/>
          <w:lang w:val="lt-LT"/>
        </w:rPr>
        <w:t>REGISTRUOTOJO</w:t>
      </w:r>
      <w:r w:rsidRPr="00153D15">
        <w:rPr>
          <w:rFonts w:ascii="Times New Roman" w:eastAsia="Times New Roman" w:hAnsi="Times New Roman"/>
          <w:b/>
          <w:caps/>
          <w:lang w:val="lt-LT"/>
        </w:rPr>
        <w:t xml:space="preserve"> pavadinimas ir adresas</w:t>
      </w: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Pfizer Europe MA EEIG</w:t>
      </w:r>
    </w:p>
    <w:p w:rsidR="003774EB" w:rsidRPr="00B933D8" w:rsidRDefault="003774EB" w:rsidP="003774EB">
      <w:pPr>
        <w:spacing w:after="0" w:line="240" w:lineRule="auto"/>
        <w:rPr>
          <w:rFonts w:ascii="Times New Roman" w:eastAsia="Times New Roman" w:hAnsi="Times New Roman"/>
          <w:lang w:val="lt-LT"/>
        </w:rPr>
      </w:pPr>
      <w:r w:rsidRPr="00B933D8">
        <w:rPr>
          <w:rFonts w:ascii="Times New Roman" w:eastAsia="Times New Roman" w:hAnsi="Times New Roman"/>
          <w:lang w:val="lt-LT"/>
        </w:rPr>
        <w:t>Boulevard de la Plaine 17</w:t>
      </w:r>
    </w:p>
    <w:p w:rsidR="003774EB" w:rsidRPr="00B933D8" w:rsidRDefault="003774EB" w:rsidP="003774EB">
      <w:pPr>
        <w:spacing w:after="0" w:line="240" w:lineRule="auto"/>
        <w:rPr>
          <w:rFonts w:ascii="Times New Roman" w:eastAsia="Times New Roman" w:hAnsi="Times New Roman"/>
          <w:lang w:val="lt-LT"/>
        </w:rPr>
      </w:pPr>
      <w:r w:rsidRPr="00B933D8">
        <w:rPr>
          <w:rFonts w:ascii="Times New Roman" w:eastAsia="Times New Roman" w:hAnsi="Times New Roman"/>
          <w:lang w:val="lt-LT"/>
        </w:rPr>
        <w:t>1050 Bruxelles</w:t>
      </w:r>
    </w:p>
    <w:p w:rsidR="003774EB" w:rsidRDefault="003774EB" w:rsidP="003774EB">
      <w:pPr>
        <w:spacing w:after="0" w:line="240" w:lineRule="auto"/>
        <w:rPr>
          <w:rFonts w:ascii="Times New Roman" w:eastAsia="Times New Roman" w:hAnsi="Times New Roman"/>
          <w:lang w:val="lt-LT"/>
        </w:rPr>
      </w:pPr>
      <w:r>
        <w:rPr>
          <w:rFonts w:ascii="Times New Roman" w:eastAsia="Times New Roman" w:hAnsi="Times New Roman"/>
          <w:lang w:val="lt-LT"/>
        </w:rPr>
        <w:t>Belgija</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12.</w:t>
      </w:r>
      <w:r w:rsidRPr="00153D15">
        <w:rPr>
          <w:rFonts w:ascii="Times New Roman" w:eastAsia="Times New Roman" w:hAnsi="Times New Roman"/>
          <w:b/>
          <w:caps/>
          <w:lang w:val="lt-LT"/>
        </w:rPr>
        <w:tab/>
      </w:r>
      <w:r w:rsidR="006D6F8C" w:rsidRPr="00153D15">
        <w:rPr>
          <w:rFonts w:ascii="Times New Roman" w:hAnsi="Times New Roman"/>
          <w:b/>
          <w:noProof/>
          <w:lang w:val="lt-LT"/>
        </w:rPr>
        <w:t xml:space="preserve">REGISTRACIJOS </w:t>
      </w:r>
      <w:r w:rsidR="006D6F8C" w:rsidRPr="00153D15">
        <w:rPr>
          <w:rFonts w:ascii="Times New Roman" w:eastAsia="Calibri" w:hAnsi="Times New Roman"/>
          <w:b/>
          <w:lang w:val="lt-LT" w:eastAsia="x-none"/>
        </w:rPr>
        <w:t>PAŽYMĖJIMO</w:t>
      </w:r>
      <w:r w:rsidRPr="00153D15">
        <w:rPr>
          <w:rFonts w:ascii="Times New Roman" w:eastAsia="Times New Roman" w:hAnsi="Times New Roman"/>
          <w:b/>
          <w:caps/>
          <w:lang w:val="lt-LT"/>
        </w:rPr>
        <w:t xml:space="preserve"> numeriAI</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lang w:val="lt-LT"/>
        </w:rPr>
      </w:pPr>
      <w:r w:rsidRPr="00153D15">
        <w:rPr>
          <w:rFonts w:ascii="Times New Roman" w:eastAsia="Times New Roman" w:hAnsi="Times New Roman"/>
          <w:lang w:val="lt-LT"/>
        </w:rPr>
        <w:t>N10 - LT/1/2000/0886/001</w:t>
      </w:r>
    </w:p>
    <w:p w:rsidR="002101F6" w:rsidRPr="003D4DDA" w:rsidRDefault="002101F6" w:rsidP="002101F6">
      <w:pPr>
        <w:spacing w:after="0" w:line="240" w:lineRule="auto"/>
        <w:outlineLvl w:val="0"/>
        <w:rPr>
          <w:rFonts w:ascii="Times New Roman" w:eastAsia="Times New Roman" w:hAnsi="Times New Roman"/>
          <w:highlight w:val="lightGray"/>
          <w:lang w:val="lt-LT"/>
        </w:rPr>
      </w:pPr>
      <w:r w:rsidRPr="003D4DDA">
        <w:rPr>
          <w:rFonts w:ascii="Times New Roman" w:eastAsia="Times New Roman" w:hAnsi="Times New Roman"/>
          <w:highlight w:val="lightGray"/>
          <w:lang w:val="lt-LT"/>
        </w:rPr>
        <w:t>N20 - LT/1/2000/0886/002</w:t>
      </w:r>
    </w:p>
    <w:p w:rsidR="002101F6" w:rsidRPr="00153D15" w:rsidRDefault="002101F6" w:rsidP="002101F6">
      <w:pPr>
        <w:spacing w:after="0" w:line="240" w:lineRule="auto"/>
        <w:rPr>
          <w:rFonts w:ascii="Times New Roman" w:eastAsia="Times New Roman" w:hAnsi="Times New Roman"/>
          <w:lang w:val="lt-LT"/>
        </w:rPr>
      </w:pPr>
      <w:r w:rsidRPr="003D4DDA">
        <w:rPr>
          <w:rFonts w:ascii="Times New Roman" w:eastAsia="Times New Roman" w:hAnsi="Times New Roman"/>
          <w:highlight w:val="lightGray"/>
          <w:lang w:val="lt-LT"/>
        </w:rPr>
        <w:t>N30 - LT/1/2000/0886/003</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13.</w:t>
      </w:r>
      <w:r w:rsidRPr="00153D15">
        <w:rPr>
          <w:rFonts w:ascii="Times New Roman" w:eastAsia="Times New Roman" w:hAnsi="Times New Roman"/>
          <w:b/>
          <w:caps/>
          <w:lang w:val="lt-LT"/>
        </w:rPr>
        <w:tab/>
        <w:t>serijos numeris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 xml:space="preserve">Serija </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14.</w:t>
      </w:r>
      <w:r w:rsidRPr="00153D15">
        <w:rPr>
          <w:rFonts w:ascii="Times New Roman" w:eastAsia="Times New Roman" w:hAnsi="Times New Roman"/>
          <w:b/>
          <w:caps/>
          <w:lang w:val="lt-LT"/>
        </w:rPr>
        <w:tab/>
      </w:r>
      <w:r w:rsidRPr="00153D15">
        <w:rPr>
          <w:rFonts w:ascii="Times New Roman" w:eastAsia="Times New Roman" w:hAnsi="Times New Roman"/>
          <w:b/>
          <w:noProof/>
          <w:lang w:val="lt-LT"/>
        </w:rPr>
        <w:t xml:space="preserve">PARDAVIMO (IŠDAVIMO) </w:t>
      </w:r>
      <w:r w:rsidRPr="00153D15">
        <w:rPr>
          <w:rFonts w:ascii="Times New Roman" w:eastAsia="Times New Roman" w:hAnsi="Times New Roman"/>
          <w:b/>
          <w:caps/>
          <w:lang w:val="lt-LT"/>
        </w:rPr>
        <w:t>tvarka</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Receptinis vaistas.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15.</w:t>
      </w:r>
      <w:r w:rsidRPr="00153D15">
        <w:rPr>
          <w:rFonts w:ascii="Times New Roman" w:eastAsia="Times New Roman" w:hAnsi="Times New Roman"/>
          <w:b/>
          <w:caps/>
          <w:lang w:val="lt-LT"/>
        </w:rPr>
        <w:tab/>
        <w:t>vartojimo instrukcijA</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16.</w:t>
      </w:r>
      <w:r w:rsidRPr="00153D15">
        <w:rPr>
          <w:rFonts w:ascii="Times New Roman" w:eastAsia="Times New Roman" w:hAnsi="Times New Roman"/>
          <w:b/>
          <w:caps/>
          <w:lang w:val="lt-LT"/>
        </w:rPr>
        <w:tab/>
        <w:t>informacija brailio raštu</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CELEBREX 100 mg</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EA6293" w:rsidRPr="00EA6293" w:rsidRDefault="00EA6293" w:rsidP="00EA62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caps/>
        </w:rPr>
      </w:pPr>
      <w:r w:rsidRPr="00E40727">
        <w:rPr>
          <w:rFonts w:ascii="Times New Roman" w:hAnsi="Times New Roman"/>
          <w:b/>
          <w:caps/>
        </w:rPr>
        <w:t>17.</w:t>
      </w:r>
      <w:r w:rsidRPr="00E40727">
        <w:rPr>
          <w:rFonts w:ascii="Times New Roman" w:hAnsi="Times New Roman"/>
          <w:b/>
          <w:caps/>
        </w:rPr>
        <w:tab/>
      </w:r>
      <w:r w:rsidRPr="00E40727">
        <w:rPr>
          <w:rFonts w:ascii="Times New Roman" w:hAnsi="Times New Roman"/>
          <w:b/>
        </w:rPr>
        <w:t>UNIKALUS IDENTIFIKATORIUS - 2D BRŪKŠNINIS KODAS</w:t>
      </w:r>
    </w:p>
    <w:p w:rsidR="00EA6293" w:rsidRPr="00EA6293" w:rsidRDefault="00EA6293" w:rsidP="00EA6293">
      <w:pPr>
        <w:pStyle w:val="BTEMEASMCA"/>
      </w:pPr>
    </w:p>
    <w:p w:rsidR="00EA6293" w:rsidRPr="00EA6293" w:rsidRDefault="00EA6293" w:rsidP="00EA6293">
      <w:pPr>
        <w:rPr>
          <w:rFonts w:ascii="Times New Roman" w:hAnsi="Times New Roman"/>
          <w:highlight w:val="lightGray"/>
        </w:rPr>
      </w:pPr>
      <w:r w:rsidRPr="00EA6293">
        <w:rPr>
          <w:rFonts w:ascii="Times New Roman" w:hAnsi="Times New Roman"/>
          <w:noProof/>
          <w:highlight w:val="lightGray"/>
        </w:rPr>
        <w:t>2D brūkšninis kodas su nurodytu unikaliu identifikatoriumi.</w:t>
      </w:r>
    </w:p>
    <w:p w:rsidR="00EA6293" w:rsidRPr="00EA6293" w:rsidRDefault="00EA6293" w:rsidP="00EA6293">
      <w:pPr>
        <w:pStyle w:val="BTEMEASMCA"/>
      </w:pPr>
    </w:p>
    <w:p w:rsidR="00EA6293" w:rsidRPr="00E40727" w:rsidRDefault="00EA6293" w:rsidP="00EA6293">
      <w:pPr>
        <w:pStyle w:val="BTEMEASMCA"/>
      </w:pPr>
    </w:p>
    <w:p w:rsidR="00EA6293" w:rsidRPr="00EA6293" w:rsidRDefault="00EA6293" w:rsidP="00EA62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caps/>
        </w:rPr>
      </w:pPr>
      <w:r w:rsidRPr="00E40727">
        <w:rPr>
          <w:rFonts w:ascii="Times New Roman" w:hAnsi="Times New Roman"/>
          <w:b/>
          <w:caps/>
        </w:rPr>
        <w:t>18.</w:t>
      </w:r>
      <w:r w:rsidRPr="00E40727">
        <w:rPr>
          <w:rFonts w:ascii="Times New Roman" w:hAnsi="Times New Roman"/>
          <w:b/>
          <w:caps/>
        </w:rPr>
        <w:tab/>
      </w:r>
      <w:r w:rsidRPr="00E40727">
        <w:rPr>
          <w:rFonts w:ascii="Times New Roman" w:hAnsi="Times New Roman"/>
          <w:b/>
        </w:rPr>
        <w:t>UNIKALUS IDENTIFIKATORIUS – ŽMONĖMS SUPRANTAMI DUOMENYS</w:t>
      </w:r>
    </w:p>
    <w:p w:rsidR="00EA6293" w:rsidRPr="00EA6293" w:rsidRDefault="00EA6293" w:rsidP="00EA6293">
      <w:pPr>
        <w:pStyle w:val="BTEMEASMCA"/>
      </w:pPr>
    </w:p>
    <w:p w:rsidR="00EA6293" w:rsidRPr="00EA6293" w:rsidRDefault="00EA6293" w:rsidP="00EA6293">
      <w:pPr>
        <w:rPr>
          <w:rFonts w:ascii="Times New Roman" w:hAnsi="Times New Roman"/>
          <w:highlight w:val="lightGray"/>
        </w:rPr>
      </w:pPr>
      <w:r w:rsidRPr="00EA6293">
        <w:rPr>
          <w:rFonts w:ascii="Times New Roman" w:hAnsi="Times New Roman"/>
          <w:highlight w:val="lightGray"/>
        </w:rPr>
        <w:t>PC:</w:t>
      </w:r>
    </w:p>
    <w:p w:rsidR="00EA6293" w:rsidRPr="00EA6293" w:rsidRDefault="00EA6293" w:rsidP="00EA6293">
      <w:pPr>
        <w:rPr>
          <w:rFonts w:ascii="Times New Roman" w:hAnsi="Times New Roman"/>
          <w:highlight w:val="lightGray"/>
        </w:rPr>
      </w:pPr>
      <w:r w:rsidRPr="00EA6293">
        <w:rPr>
          <w:rFonts w:ascii="Times New Roman" w:hAnsi="Times New Roman"/>
          <w:highlight w:val="lightGray"/>
        </w:rPr>
        <w:t>SN:</w:t>
      </w:r>
    </w:p>
    <w:p w:rsidR="00EA6293" w:rsidRPr="00EA6293" w:rsidRDefault="00EA6293" w:rsidP="00EA6293">
      <w:pPr>
        <w:pStyle w:val="BTEMEASMCA"/>
      </w:pPr>
      <w:r w:rsidRPr="00EA6293">
        <w:rPr>
          <w:highlight w:val="lightGray"/>
        </w:rPr>
        <w:t>NN:</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lang w:val="lt-LT"/>
        </w:rPr>
      </w:pPr>
      <w:r w:rsidRPr="00153D15">
        <w:rPr>
          <w:rFonts w:ascii="Times New Roman" w:eastAsia="Times New Roman" w:hAnsi="Times New Roman"/>
          <w:b/>
          <w:lang w:val="lt-LT"/>
        </w:rPr>
        <w:t xml:space="preserve">MINIMALI </w:t>
      </w:r>
      <w:r w:rsidRPr="00153D15">
        <w:rPr>
          <w:rFonts w:ascii="Times New Roman" w:eastAsia="Times New Roman" w:hAnsi="Times New Roman"/>
          <w:b/>
          <w:caps/>
          <w:lang w:val="lt-LT"/>
        </w:rPr>
        <w:t xml:space="preserve">informacija ant </w:t>
      </w:r>
      <w:r w:rsidRPr="00153D15">
        <w:rPr>
          <w:rFonts w:ascii="Times New Roman" w:eastAsia="Times New Roman" w:hAnsi="Times New Roman"/>
          <w:b/>
          <w:lang w:val="lt-LT"/>
        </w:rPr>
        <w:t>LIZDINIŲ PLOKŠTELIŲ ARBA DVISLUOKSNIŲ JUOSTELIŲ</w:t>
      </w: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lang w:val="lt-LT"/>
        </w:rPr>
        <w:t>LIZDINĖ PLOKŠTELĖ</w:t>
      </w: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1.</w:t>
      </w:r>
      <w:r w:rsidRPr="00153D15">
        <w:rPr>
          <w:rFonts w:ascii="Times New Roman" w:eastAsia="Times New Roman" w:hAnsi="Times New Roman"/>
          <w:b/>
          <w:caps/>
          <w:lang w:val="lt-LT"/>
        </w:rPr>
        <w:tab/>
        <w:t>Vaistinio preparato pavadinimas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CELEBREX 100 mg kietosios kapsulės</w:t>
      </w:r>
    </w:p>
    <w:p w:rsidR="002101F6" w:rsidRPr="00153D15" w:rsidRDefault="002101F6" w:rsidP="002101F6">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t>Celekoksibas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lang w:val="lt-LT"/>
        </w:rPr>
        <w:t>2.</w:t>
      </w:r>
      <w:r w:rsidRPr="00153D15">
        <w:rPr>
          <w:rFonts w:ascii="Times New Roman" w:eastAsia="Times New Roman" w:hAnsi="Times New Roman"/>
          <w:b/>
          <w:lang w:val="lt-LT"/>
        </w:rPr>
        <w:tab/>
      </w:r>
      <w:r w:rsidR="006D6F8C" w:rsidRPr="00153D15">
        <w:rPr>
          <w:rFonts w:ascii="Times New Roman" w:hAnsi="Times New Roman"/>
          <w:b/>
          <w:caps/>
          <w:noProof/>
          <w:lang w:val="lt-LT"/>
        </w:rPr>
        <w:t>REGISTRUOTOJO</w:t>
      </w:r>
      <w:r w:rsidRPr="00153D15">
        <w:rPr>
          <w:rFonts w:ascii="Times New Roman" w:eastAsia="Times New Roman" w:hAnsi="Times New Roman"/>
          <w:b/>
          <w:caps/>
          <w:lang w:val="lt-LT"/>
        </w:rPr>
        <w:t xml:space="preserve"> pavadinimas </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Pfizer Europe MA EEIG</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lang w:val="lt-LT"/>
        </w:rPr>
        <w:t>3.</w:t>
      </w:r>
      <w:r w:rsidRPr="00153D15">
        <w:rPr>
          <w:rFonts w:ascii="Times New Roman" w:eastAsia="Times New Roman" w:hAnsi="Times New Roman"/>
          <w:b/>
          <w:lang w:val="lt-LT"/>
        </w:rPr>
        <w:tab/>
      </w:r>
      <w:r w:rsidRPr="00153D15">
        <w:rPr>
          <w:rFonts w:ascii="Times New Roman" w:eastAsia="Times New Roman" w:hAnsi="Times New Roman"/>
          <w:b/>
          <w:caps/>
          <w:lang w:val="lt-LT"/>
        </w:rPr>
        <w:t>tinkamumo laikas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 xml:space="preserve">EXP </w:t>
      </w:r>
      <w:r w:rsidRPr="00153D15">
        <w:rPr>
          <w:rFonts w:ascii="Times New Roman" w:eastAsia="Times New Roman" w:hAnsi="Times New Roman"/>
          <w:iCs/>
          <w:lang w:val="lt-LT"/>
        </w:rPr>
        <w:t>mm/MMMM</w:t>
      </w:r>
      <w:r w:rsidRPr="00153D15">
        <w:rPr>
          <w:rFonts w:ascii="Times New Roman" w:eastAsia="Times New Roman" w:hAnsi="Times New Roman"/>
          <w:i/>
          <w:lang w:val="lt-LT"/>
        </w:rPr>
        <w:t xml:space="preserve"> </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4.</w:t>
      </w:r>
      <w:r w:rsidRPr="00153D15">
        <w:rPr>
          <w:rFonts w:ascii="Times New Roman" w:eastAsia="Times New Roman" w:hAnsi="Times New Roman"/>
          <w:b/>
          <w:caps/>
          <w:lang w:val="lt-LT"/>
        </w:rPr>
        <w:tab/>
        <w:t xml:space="preserve">serijos numeris </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Lot</w:t>
      </w:r>
    </w:p>
    <w:p w:rsidR="002101F6" w:rsidRPr="00153D15" w:rsidRDefault="002101F6" w:rsidP="002101F6">
      <w:pPr>
        <w:spacing w:after="0" w:line="240" w:lineRule="auto"/>
        <w:ind w:right="113"/>
        <w:rPr>
          <w:rFonts w:ascii="Times New Roman" w:eastAsia="Times New Roman" w:hAnsi="Times New Roman"/>
          <w:noProof/>
          <w:lang w:val="lt-LT"/>
        </w:rPr>
      </w:pPr>
    </w:p>
    <w:p w:rsidR="002101F6" w:rsidRPr="00153D15" w:rsidRDefault="002101F6" w:rsidP="002101F6">
      <w:pPr>
        <w:spacing w:after="0" w:line="240" w:lineRule="auto"/>
        <w:ind w:right="113"/>
        <w:rPr>
          <w:rFonts w:ascii="Times New Roman" w:eastAsia="Times New Roman" w:hAnsi="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01F6" w:rsidRPr="00153D15" w:rsidTr="00362603">
        <w:tc>
          <w:tcPr>
            <w:tcW w:w="9287" w:type="dxa"/>
          </w:tcPr>
          <w:p w:rsidR="002101F6" w:rsidRPr="00153D15" w:rsidRDefault="002101F6" w:rsidP="00362603">
            <w:pPr>
              <w:tabs>
                <w:tab w:val="left" w:pos="142"/>
              </w:tabs>
              <w:spacing w:after="0" w:line="240" w:lineRule="auto"/>
              <w:ind w:left="567" w:hanging="567"/>
              <w:rPr>
                <w:rFonts w:ascii="Times New Roman" w:eastAsia="Times New Roman" w:hAnsi="Times New Roman"/>
                <w:b/>
                <w:noProof/>
                <w:lang w:val="lt-LT"/>
              </w:rPr>
            </w:pPr>
            <w:r w:rsidRPr="00153D15">
              <w:rPr>
                <w:rFonts w:ascii="Times New Roman" w:eastAsia="Times New Roman" w:hAnsi="Times New Roman"/>
                <w:b/>
                <w:noProof/>
                <w:lang w:val="lt-LT"/>
              </w:rPr>
              <w:t>5.</w:t>
            </w:r>
            <w:r w:rsidRPr="00153D15">
              <w:rPr>
                <w:rFonts w:ascii="Times New Roman" w:eastAsia="Times New Roman" w:hAnsi="Times New Roman"/>
                <w:b/>
                <w:noProof/>
                <w:lang w:val="lt-LT"/>
              </w:rPr>
              <w:tab/>
              <w:t>KITA</w:t>
            </w:r>
          </w:p>
        </w:tc>
      </w:tr>
    </w:tbl>
    <w:p w:rsidR="002101F6" w:rsidRPr="00153D15" w:rsidRDefault="002101F6" w:rsidP="002101F6">
      <w:pPr>
        <w:spacing w:after="0" w:line="240" w:lineRule="auto"/>
        <w:ind w:right="113"/>
        <w:rPr>
          <w:rFonts w:ascii="Times New Roman" w:eastAsia="Times New Roman" w:hAnsi="Times New Roman"/>
          <w:noProof/>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153D15">
        <w:rPr>
          <w:rFonts w:ascii="Times New Roman" w:eastAsia="Times New Roman" w:hAnsi="Times New Roman"/>
          <w:lang w:val="lt-LT"/>
        </w:rPr>
        <w:br w:type="page"/>
      </w:r>
      <w:r w:rsidRPr="00153D15">
        <w:rPr>
          <w:rFonts w:ascii="Times New Roman" w:eastAsia="Times New Roman" w:hAnsi="Times New Roman"/>
          <w:lang w:val="lt-LT"/>
        </w:rPr>
        <w:lastRenderedPageBreak/>
        <w:t>I</w:t>
      </w:r>
      <w:r w:rsidRPr="00153D15">
        <w:rPr>
          <w:rFonts w:ascii="Times New Roman" w:eastAsia="Times New Roman" w:hAnsi="Times New Roman"/>
          <w:b/>
          <w:caps/>
          <w:lang w:val="lt-LT"/>
        </w:rPr>
        <w:t xml:space="preserve">nformacija ant </w:t>
      </w:r>
      <w:r w:rsidRPr="00153D15">
        <w:rPr>
          <w:rFonts w:ascii="Times New Roman" w:eastAsia="Times New Roman" w:hAnsi="Times New Roman"/>
          <w:b/>
          <w:lang w:val="lt-LT"/>
        </w:rPr>
        <w:t>IŠORINĖS</w:t>
      </w:r>
      <w:r w:rsidRPr="00153D15">
        <w:rPr>
          <w:rFonts w:ascii="Times New Roman" w:eastAsia="Times New Roman" w:hAnsi="Times New Roman"/>
          <w:lang w:val="lt-LT"/>
        </w:rPr>
        <w:t xml:space="preserve"> </w:t>
      </w:r>
      <w:r w:rsidRPr="00153D15">
        <w:rPr>
          <w:rFonts w:ascii="Times New Roman" w:eastAsia="Times New Roman" w:hAnsi="Times New Roman"/>
          <w:b/>
          <w:caps/>
          <w:lang w:val="lt-LT"/>
        </w:rPr>
        <w:t xml:space="preserve">pakuotės </w:t>
      </w: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b/>
          <w:lang w:val="lt-LT"/>
        </w:rPr>
        <w:t>KARTONO DĖŽUTĖ</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1.</w:t>
      </w:r>
      <w:r w:rsidRPr="00153D15">
        <w:rPr>
          <w:rFonts w:ascii="Times New Roman" w:eastAsia="Times New Roman" w:hAnsi="Times New Roman"/>
          <w:b/>
          <w:caps/>
          <w:lang w:val="lt-LT"/>
        </w:rPr>
        <w:tab/>
        <w:t>vaistinio preparato pavadinimas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 xml:space="preserve">CELEBREX 200 mg kietosios kapsulės </w:t>
      </w:r>
    </w:p>
    <w:p w:rsidR="002101F6" w:rsidRPr="00153D15" w:rsidRDefault="002101F6" w:rsidP="002101F6">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t>Celekoksibas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2.</w:t>
      </w:r>
      <w:r w:rsidRPr="00153D15">
        <w:rPr>
          <w:rFonts w:ascii="Times New Roman" w:eastAsia="Times New Roman" w:hAnsi="Times New Roman"/>
          <w:b/>
          <w:caps/>
          <w:lang w:val="lt-LT"/>
        </w:rPr>
        <w:tab/>
        <w:t xml:space="preserve">veikliOJI medžiagA ir JOS kiekis </w:t>
      </w: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spacing w:after="0" w:line="240" w:lineRule="auto"/>
        <w:ind w:left="567" w:hanging="567"/>
        <w:outlineLvl w:val="0"/>
        <w:rPr>
          <w:rFonts w:ascii="Times New Roman" w:eastAsia="Times New Roman" w:hAnsi="Times New Roman"/>
          <w:caps/>
          <w:lang w:val="lt-LT"/>
        </w:rPr>
      </w:pPr>
      <w:r w:rsidRPr="00153D15">
        <w:rPr>
          <w:rFonts w:ascii="Times New Roman" w:eastAsia="Times New Roman" w:hAnsi="Times New Roman"/>
          <w:lang w:val="lt-LT"/>
        </w:rPr>
        <w:t>Vienoje kietojoje kapsulėje yra 200 mg celekoksibo.</w:t>
      </w: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3.</w:t>
      </w:r>
      <w:r w:rsidRPr="00153D15">
        <w:rPr>
          <w:rFonts w:ascii="Times New Roman" w:eastAsia="Times New Roman" w:hAnsi="Times New Roman"/>
          <w:b/>
          <w:caps/>
          <w:lang w:val="lt-LT"/>
        </w:rPr>
        <w:tab/>
        <w:t>pagalbinių medžiagų sąrašas</w:t>
      </w: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Sudėtyje yra laktozės monohidrato. Išsamią informaciją žr. pakuotės lapelyje.</w:t>
      </w: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4.</w:t>
      </w:r>
      <w:r w:rsidRPr="00153D15">
        <w:rPr>
          <w:rFonts w:ascii="Times New Roman" w:eastAsia="Times New Roman" w:hAnsi="Times New Roman"/>
          <w:b/>
          <w:caps/>
          <w:lang w:val="lt-LT"/>
        </w:rPr>
        <w:tab/>
        <w:t>FARMACINĖ forma ir KIEKIS PAKUOTĖJE</w:t>
      </w: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spacing w:after="0" w:line="240" w:lineRule="auto"/>
        <w:ind w:left="567" w:hanging="567"/>
        <w:outlineLvl w:val="0"/>
        <w:rPr>
          <w:rFonts w:ascii="Times New Roman" w:eastAsia="Calibri" w:hAnsi="Times New Roman"/>
          <w:caps/>
          <w:lang w:val="lt-LT"/>
        </w:rPr>
      </w:pPr>
      <w:r w:rsidRPr="003D4DDA">
        <w:rPr>
          <w:rFonts w:ascii="Times New Roman" w:eastAsia="Times New Roman" w:hAnsi="Times New Roman"/>
          <w:highlight w:val="lightGray"/>
          <w:lang w:val="lt-LT"/>
        </w:rPr>
        <w:t>Kietosios kapsulės</w:t>
      </w:r>
    </w:p>
    <w:p w:rsidR="002101F6" w:rsidRPr="00153D15" w:rsidRDefault="002101F6" w:rsidP="002101F6">
      <w:pPr>
        <w:spacing w:after="0" w:line="240" w:lineRule="auto"/>
        <w:ind w:left="567" w:hanging="567"/>
        <w:rPr>
          <w:rFonts w:ascii="Times New Roman" w:eastAsia="Calibri" w:hAnsi="Times New Roman"/>
          <w:lang w:val="lt-LT"/>
        </w:rPr>
      </w:pPr>
      <w:r w:rsidRPr="00153D15">
        <w:rPr>
          <w:rFonts w:ascii="Times New Roman" w:eastAsia="Calibri" w:hAnsi="Times New Roman"/>
          <w:caps/>
          <w:lang w:val="lt-LT"/>
        </w:rPr>
        <w:t xml:space="preserve">10 </w:t>
      </w:r>
      <w:r w:rsidRPr="00153D15">
        <w:rPr>
          <w:rFonts w:ascii="Times New Roman" w:eastAsia="Times New Roman" w:hAnsi="Times New Roman"/>
          <w:lang w:val="lt-LT"/>
        </w:rPr>
        <w:t>kapsulių</w:t>
      </w:r>
    </w:p>
    <w:p w:rsidR="002101F6" w:rsidRPr="003D4DDA" w:rsidRDefault="002101F6" w:rsidP="002101F6">
      <w:pPr>
        <w:spacing w:after="0" w:line="240" w:lineRule="auto"/>
        <w:ind w:left="567" w:hanging="567"/>
        <w:rPr>
          <w:rFonts w:ascii="Times New Roman" w:eastAsia="Times New Roman" w:hAnsi="Times New Roman"/>
          <w:caps/>
          <w:highlight w:val="lightGray"/>
          <w:lang w:val="lt-LT"/>
        </w:rPr>
      </w:pPr>
      <w:r w:rsidRPr="003D4DDA">
        <w:rPr>
          <w:rFonts w:ascii="Times New Roman" w:eastAsia="Times New Roman" w:hAnsi="Times New Roman"/>
          <w:highlight w:val="lightGray"/>
          <w:lang w:val="lt-LT"/>
        </w:rPr>
        <w:t>20 kapsulių</w:t>
      </w:r>
    </w:p>
    <w:p w:rsidR="002101F6" w:rsidRPr="00153D15" w:rsidRDefault="002101F6" w:rsidP="002101F6">
      <w:pPr>
        <w:spacing w:after="0" w:line="240" w:lineRule="auto"/>
        <w:ind w:left="567" w:hanging="567"/>
        <w:rPr>
          <w:rFonts w:ascii="Times New Roman" w:eastAsia="Calibri" w:hAnsi="Times New Roman"/>
          <w:caps/>
          <w:lang w:val="lt-LT"/>
        </w:rPr>
      </w:pPr>
      <w:r w:rsidRPr="003D4DDA">
        <w:rPr>
          <w:rFonts w:ascii="Times New Roman" w:eastAsia="Calibri" w:hAnsi="Times New Roman"/>
          <w:highlight w:val="lightGray"/>
          <w:lang w:val="lt-LT"/>
        </w:rPr>
        <w:t xml:space="preserve">30 </w:t>
      </w:r>
      <w:r w:rsidRPr="003D4DDA">
        <w:rPr>
          <w:rFonts w:ascii="Times New Roman" w:eastAsia="Times New Roman" w:hAnsi="Times New Roman"/>
          <w:highlight w:val="lightGray"/>
          <w:lang w:val="lt-LT"/>
        </w:rPr>
        <w:t>kapsulių</w:t>
      </w: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5.</w:t>
      </w:r>
      <w:r w:rsidRPr="00153D15">
        <w:rPr>
          <w:rFonts w:ascii="Times New Roman" w:eastAsia="Times New Roman" w:hAnsi="Times New Roman"/>
          <w:b/>
          <w:caps/>
          <w:lang w:val="lt-LT"/>
        </w:rPr>
        <w:tab/>
        <w:t>vartojimo METODAS IR būdas</w:t>
      </w: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 xml:space="preserve">Vartoti per burną. </w:t>
      </w: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Prieš vartojimą perskaitykite pakuotės lapelį.</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6.</w:t>
      </w:r>
      <w:r w:rsidRPr="00153D15">
        <w:rPr>
          <w:rFonts w:ascii="Times New Roman" w:eastAsia="Times New Roman" w:hAnsi="Times New Roman"/>
          <w:b/>
          <w:caps/>
          <w:lang w:val="lt-LT"/>
        </w:rPr>
        <w:tab/>
        <w:t>SPECIALUS Įspėjimas</w:t>
      </w:r>
      <w:r w:rsidRPr="00153D15">
        <w:rPr>
          <w:rFonts w:ascii="Times New Roman" w:eastAsia="Times New Roman" w:hAnsi="Times New Roman"/>
          <w:lang w:val="lt-LT"/>
        </w:rPr>
        <w:t xml:space="preserve">, </w:t>
      </w:r>
      <w:r w:rsidRPr="00153D15">
        <w:rPr>
          <w:rFonts w:ascii="Times New Roman" w:eastAsia="Times New Roman" w:hAnsi="Times New Roman"/>
          <w:b/>
          <w:lang w:val="lt-LT"/>
        </w:rPr>
        <w:t xml:space="preserve">KAD VAISTINĮ PREPARATĄ BŪTINA LAIKYTI </w:t>
      </w:r>
      <w:r w:rsidRPr="00153D15">
        <w:rPr>
          <w:rFonts w:ascii="Times New Roman" w:eastAsia="Times New Roman" w:hAnsi="Times New Roman"/>
          <w:b/>
          <w:caps/>
          <w:lang w:val="lt-LT"/>
        </w:rPr>
        <w:t>vaikams nepastebimoje IR NEPASIEKIAMOJE vietoje</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Laikyti vaikams nepastebimoje ir nepasiekiamoje vietoje.</w:t>
      </w:r>
    </w:p>
    <w:p w:rsidR="002101F6" w:rsidRPr="00153D15" w:rsidRDefault="002101F6" w:rsidP="002101F6">
      <w:pPr>
        <w:spacing w:after="0" w:line="240" w:lineRule="auto"/>
        <w:ind w:left="567" w:hanging="567"/>
        <w:outlineLvl w:val="0"/>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7.</w:t>
      </w:r>
      <w:r w:rsidRPr="00153D15">
        <w:rPr>
          <w:rFonts w:ascii="Times New Roman" w:eastAsia="Times New Roman" w:hAnsi="Times New Roman"/>
          <w:b/>
          <w:caps/>
          <w:lang w:val="lt-LT"/>
        </w:rPr>
        <w:tab/>
        <w:t>kitas specialus Įspėjimas (jei reikia)</w:t>
      </w: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8.</w:t>
      </w:r>
      <w:r w:rsidRPr="00153D15">
        <w:rPr>
          <w:rFonts w:ascii="Times New Roman" w:eastAsia="Times New Roman" w:hAnsi="Times New Roman"/>
          <w:b/>
          <w:caps/>
          <w:lang w:val="lt-LT"/>
        </w:rPr>
        <w:tab/>
        <w:t>tinkamumo laikas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 xml:space="preserve">Tinka iki </w:t>
      </w:r>
      <w:r w:rsidRPr="00153D15">
        <w:rPr>
          <w:rFonts w:ascii="Times New Roman" w:eastAsia="Times New Roman" w:hAnsi="Times New Roman"/>
          <w:iCs/>
          <w:lang w:val="lt-LT"/>
        </w:rPr>
        <w:t>mm/MMMM</w:t>
      </w:r>
      <w:r w:rsidRPr="00153D15">
        <w:rPr>
          <w:rFonts w:ascii="Times New Roman" w:eastAsia="Times New Roman" w:hAnsi="Times New Roman"/>
          <w:i/>
          <w:lang w:val="lt-LT"/>
        </w:rPr>
        <w:t xml:space="preserve"> </w:t>
      </w:r>
    </w:p>
    <w:p w:rsidR="002101F6" w:rsidRPr="00153D15" w:rsidRDefault="002101F6" w:rsidP="002101F6">
      <w:pPr>
        <w:spacing w:after="0" w:line="240" w:lineRule="auto"/>
        <w:ind w:left="567" w:hanging="567"/>
        <w:outlineLvl w:val="0"/>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lastRenderedPageBreak/>
        <w:t>9.</w:t>
      </w:r>
      <w:r w:rsidRPr="00153D15">
        <w:rPr>
          <w:rFonts w:ascii="Times New Roman" w:eastAsia="Times New Roman" w:hAnsi="Times New Roman"/>
          <w:b/>
          <w:caps/>
          <w:lang w:val="lt-LT"/>
        </w:rPr>
        <w:tab/>
        <w:t>SPECIALIOS laikymo sąlygos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lang w:val="lt-LT"/>
        </w:rPr>
      </w:pPr>
      <w:r w:rsidRPr="00153D15">
        <w:rPr>
          <w:rFonts w:ascii="Times New Roman" w:eastAsia="Times New Roman" w:hAnsi="Times New Roman"/>
          <w:lang w:val="lt-LT"/>
        </w:rPr>
        <w:t xml:space="preserve">Laikyti ne aukštesnėje kaip 30 </w:t>
      </w:r>
      <w:r w:rsidRPr="00153D15">
        <w:rPr>
          <w:rFonts w:ascii="Times New Roman" w:eastAsia="Times New Roman" w:hAnsi="Times New Roman"/>
          <w:lang w:val="lt-LT"/>
        </w:rPr>
        <w:sym w:font="Symbol" w:char="F0B0"/>
      </w:r>
      <w:r w:rsidRPr="00153D15">
        <w:rPr>
          <w:rFonts w:ascii="Times New Roman" w:eastAsia="Times New Roman" w:hAnsi="Times New Roman"/>
          <w:lang w:val="lt-LT"/>
        </w:rPr>
        <w:t>C temperatūroje.</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10.</w:t>
      </w:r>
      <w:r w:rsidRPr="00153D15">
        <w:rPr>
          <w:rFonts w:ascii="Times New Roman" w:eastAsia="Times New Roman" w:hAnsi="Times New Roman"/>
          <w:b/>
          <w:caps/>
          <w:lang w:val="lt-LT"/>
        </w:rPr>
        <w:tab/>
        <w:t>specialios atsargumo priemonės DĖL NESUVARTOTO VAISTINIO PREPARATO AR JO ATLIEKŲ TVARKYMO</w:t>
      </w:r>
      <w:r w:rsidRPr="00153D15">
        <w:rPr>
          <w:rFonts w:ascii="Times New Roman" w:eastAsia="Times New Roman" w:hAnsi="Times New Roman"/>
          <w:caps/>
          <w:lang w:val="lt-LT"/>
        </w:rPr>
        <w:t xml:space="preserve"> </w:t>
      </w:r>
      <w:r w:rsidRPr="00153D15">
        <w:rPr>
          <w:rFonts w:ascii="Times New Roman" w:eastAsia="Times New Roman" w:hAnsi="Times New Roman"/>
          <w:b/>
          <w:caps/>
          <w:lang w:val="lt-LT"/>
        </w:rPr>
        <w:t>(jei reikia)</w:t>
      </w: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11.</w:t>
      </w:r>
      <w:r w:rsidRPr="00153D15">
        <w:rPr>
          <w:rFonts w:ascii="Times New Roman" w:eastAsia="Times New Roman" w:hAnsi="Times New Roman"/>
          <w:b/>
          <w:caps/>
          <w:lang w:val="lt-LT"/>
        </w:rPr>
        <w:tab/>
      </w:r>
      <w:r w:rsidR="006D6F8C" w:rsidRPr="00153D15">
        <w:rPr>
          <w:rFonts w:ascii="Times New Roman" w:hAnsi="Times New Roman"/>
          <w:b/>
          <w:caps/>
          <w:noProof/>
          <w:lang w:val="lt-LT"/>
        </w:rPr>
        <w:t>REGISTRUOTOJO</w:t>
      </w:r>
      <w:r w:rsidRPr="00153D15">
        <w:rPr>
          <w:rFonts w:ascii="Times New Roman" w:eastAsia="Times New Roman" w:hAnsi="Times New Roman"/>
          <w:b/>
          <w:caps/>
          <w:lang w:val="lt-LT"/>
        </w:rPr>
        <w:t xml:space="preserve"> pavadinimas ir adresas</w:t>
      </w: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Pfizer Europe MA EEIG</w:t>
      </w:r>
    </w:p>
    <w:p w:rsidR="003774EB" w:rsidRPr="00B933D8" w:rsidRDefault="003774EB" w:rsidP="003774EB">
      <w:pPr>
        <w:spacing w:after="0" w:line="240" w:lineRule="auto"/>
        <w:rPr>
          <w:rFonts w:ascii="Times New Roman" w:eastAsia="Times New Roman" w:hAnsi="Times New Roman"/>
          <w:lang w:val="lt-LT"/>
        </w:rPr>
      </w:pPr>
      <w:r w:rsidRPr="00B933D8">
        <w:rPr>
          <w:rFonts w:ascii="Times New Roman" w:eastAsia="Times New Roman" w:hAnsi="Times New Roman"/>
          <w:lang w:val="lt-LT"/>
        </w:rPr>
        <w:t>Boulevard de la Plaine 17</w:t>
      </w:r>
    </w:p>
    <w:p w:rsidR="003774EB" w:rsidRPr="00B933D8" w:rsidRDefault="003774EB" w:rsidP="003774EB">
      <w:pPr>
        <w:spacing w:after="0" w:line="240" w:lineRule="auto"/>
        <w:rPr>
          <w:rFonts w:ascii="Times New Roman" w:eastAsia="Times New Roman" w:hAnsi="Times New Roman"/>
          <w:lang w:val="lt-LT"/>
        </w:rPr>
      </w:pPr>
      <w:r w:rsidRPr="00B933D8">
        <w:rPr>
          <w:rFonts w:ascii="Times New Roman" w:eastAsia="Times New Roman" w:hAnsi="Times New Roman"/>
          <w:lang w:val="lt-LT"/>
        </w:rPr>
        <w:t>1050 Bruxelles</w:t>
      </w:r>
    </w:p>
    <w:p w:rsidR="003774EB" w:rsidRDefault="003774EB" w:rsidP="003774EB">
      <w:pPr>
        <w:spacing w:after="0" w:line="240" w:lineRule="auto"/>
        <w:rPr>
          <w:rFonts w:ascii="Times New Roman" w:eastAsia="Times New Roman" w:hAnsi="Times New Roman"/>
          <w:lang w:val="lt-LT"/>
        </w:rPr>
      </w:pPr>
      <w:r>
        <w:rPr>
          <w:rFonts w:ascii="Times New Roman" w:eastAsia="Times New Roman" w:hAnsi="Times New Roman"/>
          <w:lang w:val="lt-LT"/>
        </w:rPr>
        <w:t>Belgija</w:t>
      </w: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12.</w:t>
      </w:r>
      <w:r w:rsidRPr="00153D15">
        <w:rPr>
          <w:rFonts w:ascii="Times New Roman" w:eastAsia="Times New Roman" w:hAnsi="Times New Roman"/>
          <w:b/>
          <w:caps/>
          <w:lang w:val="lt-LT"/>
        </w:rPr>
        <w:tab/>
      </w:r>
      <w:r w:rsidR="006D6F8C" w:rsidRPr="00153D15">
        <w:rPr>
          <w:rFonts w:ascii="Times New Roman" w:hAnsi="Times New Roman"/>
          <w:b/>
          <w:noProof/>
          <w:lang w:val="lt-LT"/>
        </w:rPr>
        <w:t>REGISTRACIJOS</w:t>
      </w:r>
      <w:r w:rsidR="006D6F8C" w:rsidRPr="00153D15">
        <w:rPr>
          <w:rFonts w:ascii="Times New Roman" w:eastAsia="Calibri" w:hAnsi="Times New Roman"/>
          <w:b/>
          <w:lang w:val="lt-LT" w:eastAsia="x-none"/>
        </w:rPr>
        <w:t xml:space="preserve"> PAŽYMĖJIMO</w:t>
      </w:r>
      <w:r w:rsidRPr="00153D15">
        <w:rPr>
          <w:rFonts w:ascii="Times New Roman" w:eastAsia="Times New Roman" w:hAnsi="Times New Roman"/>
          <w:b/>
          <w:caps/>
          <w:lang w:val="lt-LT"/>
        </w:rPr>
        <w:t xml:space="preserve"> numeriAI</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Times New Roman" w:hAnsi="Times New Roman"/>
          <w:lang w:val="lt-LT"/>
        </w:rPr>
      </w:pPr>
      <w:r w:rsidRPr="00153D15">
        <w:rPr>
          <w:rFonts w:ascii="Times New Roman" w:eastAsia="Times New Roman" w:hAnsi="Times New Roman"/>
          <w:lang w:val="lt-LT"/>
        </w:rPr>
        <w:t>N10 – LT/1/2000/0886/004</w:t>
      </w:r>
    </w:p>
    <w:p w:rsidR="002101F6" w:rsidRPr="003D4DDA" w:rsidRDefault="002101F6" w:rsidP="002101F6">
      <w:pPr>
        <w:spacing w:after="0" w:line="240" w:lineRule="auto"/>
        <w:outlineLvl w:val="0"/>
        <w:rPr>
          <w:rFonts w:ascii="Times New Roman" w:eastAsia="Times New Roman" w:hAnsi="Times New Roman"/>
          <w:highlight w:val="lightGray"/>
          <w:lang w:val="lt-LT"/>
        </w:rPr>
      </w:pPr>
      <w:r w:rsidRPr="003D4DDA">
        <w:rPr>
          <w:rFonts w:ascii="Times New Roman" w:eastAsia="Times New Roman" w:hAnsi="Times New Roman"/>
          <w:highlight w:val="lightGray"/>
          <w:lang w:val="lt-LT"/>
        </w:rPr>
        <w:t>N20 – LT/1/2000/0886/005</w:t>
      </w:r>
    </w:p>
    <w:p w:rsidR="002101F6" w:rsidRPr="00153D15" w:rsidRDefault="002101F6" w:rsidP="002101F6">
      <w:pPr>
        <w:spacing w:after="0" w:line="240" w:lineRule="auto"/>
        <w:rPr>
          <w:rFonts w:ascii="Times New Roman" w:eastAsia="Times New Roman" w:hAnsi="Times New Roman"/>
          <w:lang w:val="lt-LT"/>
        </w:rPr>
      </w:pPr>
      <w:r w:rsidRPr="003D4DDA">
        <w:rPr>
          <w:rFonts w:ascii="Times New Roman" w:eastAsia="Times New Roman" w:hAnsi="Times New Roman"/>
          <w:highlight w:val="lightGray"/>
          <w:lang w:val="lt-LT"/>
        </w:rPr>
        <w:t>N30 – LT/1/2000/0886/006</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13.</w:t>
      </w:r>
      <w:r w:rsidRPr="00153D15">
        <w:rPr>
          <w:rFonts w:ascii="Times New Roman" w:eastAsia="Times New Roman" w:hAnsi="Times New Roman"/>
          <w:b/>
          <w:caps/>
          <w:lang w:val="lt-LT"/>
        </w:rPr>
        <w:tab/>
        <w:t>serijos numeris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Serija</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14.</w:t>
      </w:r>
      <w:r w:rsidRPr="00153D15">
        <w:rPr>
          <w:rFonts w:ascii="Times New Roman" w:eastAsia="Times New Roman" w:hAnsi="Times New Roman"/>
          <w:b/>
          <w:caps/>
          <w:lang w:val="lt-LT"/>
        </w:rPr>
        <w:tab/>
      </w:r>
      <w:r w:rsidRPr="00153D15">
        <w:rPr>
          <w:rFonts w:ascii="Times New Roman" w:eastAsia="Times New Roman" w:hAnsi="Times New Roman"/>
          <w:b/>
          <w:noProof/>
          <w:lang w:val="lt-LT"/>
        </w:rPr>
        <w:t>PARDAVIMO (IŠDAVIMO)</w:t>
      </w:r>
      <w:r w:rsidRPr="00153D15">
        <w:rPr>
          <w:rFonts w:ascii="Times New Roman" w:eastAsia="Times New Roman" w:hAnsi="Times New Roman"/>
          <w:b/>
          <w:caps/>
          <w:lang w:val="lt-LT"/>
        </w:rPr>
        <w:t xml:space="preserve"> tvarka</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Receptinis vaistas.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15.</w:t>
      </w:r>
      <w:r w:rsidRPr="00153D15">
        <w:rPr>
          <w:rFonts w:ascii="Times New Roman" w:eastAsia="Times New Roman" w:hAnsi="Times New Roman"/>
          <w:b/>
          <w:caps/>
          <w:lang w:val="lt-LT"/>
        </w:rPr>
        <w:tab/>
        <w:t>vartojimo instrukcijA</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16.</w:t>
      </w:r>
      <w:r w:rsidRPr="00153D15">
        <w:rPr>
          <w:rFonts w:ascii="Times New Roman" w:eastAsia="Times New Roman" w:hAnsi="Times New Roman"/>
          <w:b/>
          <w:caps/>
          <w:lang w:val="lt-LT"/>
        </w:rPr>
        <w:tab/>
        <w:t>informacija Brailio raštu</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CELEBREX 200 mg </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EA6293" w:rsidRPr="00EA6293" w:rsidRDefault="00EA6293" w:rsidP="00EA62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caps/>
        </w:rPr>
      </w:pPr>
      <w:r w:rsidRPr="00E40727">
        <w:rPr>
          <w:rFonts w:ascii="Times New Roman" w:hAnsi="Times New Roman"/>
          <w:b/>
          <w:caps/>
        </w:rPr>
        <w:t>17.</w:t>
      </w:r>
      <w:r w:rsidRPr="00E40727">
        <w:rPr>
          <w:rFonts w:ascii="Times New Roman" w:hAnsi="Times New Roman"/>
          <w:b/>
          <w:caps/>
        </w:rPr>
        <w:tab/>
      </w:r>
      <w:r w:rsidRPr="00E40727">
        <w:rPr>
          <w:rFonts w:ascii="Times New Roman" w:hAnsi="Times New Roman"/>
          <w:b/>
        </w:rPr>
        <w:t>UNIKALUS IDENTIFIKATORIUS - 2D BRŪKŠNINIS KODAS</w:t>
      </w:r>
    </w:p>
    <w:p w:rsidR="00EA6293" w:rsidRPr="00EA6293" w:rsidRDefault="00EA6293" w:rsidP="00EA6293">
      <w:pPr>
        <w:pStyle w:val="BTEMEASMCA"/>
      </w:pPr>
    </w:p>
    <w:p w:rsidR="00EA6293" w:rsidRPr="00EA6293" w:rsidRDefault="00EA6293" w:rsidP="00EA6293">
      <w:pPr>
        <w:rPr>
          <w:rFonts w:ascii="Times New Roman" w:hAnsi="Times New Roman"/>
          <w:highlight w:val="lightGray"/>
        </w:rPr>
      </w:pPr>
      <w:r w:rsidRPr="00EA6293">
        <w:rPr>
          <w:rFonts w:ascii="Times New Roman" w:hAnsi="Times New Roman"/>
          <w:noProof/>
          <w:highlight w:val="lightGray"/>
        </w:rPr>
        <w:t>2D brūkšninis kodas su nurodytu unikaliu identifikatoriumi.</w:t>
      </w:r>
    </w:p>
    <w:p w:rsidR="00EA6293" w:rsidRPr="00EA6293" w:rsidRDefault="00EA6293" w:rsidP="00EA6293">
      <w:pPr>
        <w:pStyle w:val="BTEMEASMCA"/>
      </w:pPr>
    </w:p>
    <w:p w:rsidR="00EA6293" w:rsidRPr="00E40727" w:rsidRDefault="00EA6293" w:rsidP="00EA6293">
      <w:pPr>
        <w:pStyle w:val="BTEMEASMCA"/>
      </w:pPr>
    </w:p>
    <w:p w:rsidR="00EA6293" w:rsidRPr="00EA6293" w:rsidRDefault="00EA6293" w:rsidP="00EA62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caps/>
        </w:rPr>
      </w:pPr>
      <w:r w:rsidRPr="00E40727">
        <w:rPr>
          <w:rFonts w:ascii="Times New Roman" w:hAnsi="Times New Roman"/>
          <w:b/>
          <w:caps/>
        </w:rPr>
        <w:lastRenderedPageBreak/>
        <w:t>18.</w:t>
      </w:r>
      <w:r w:rsidRPr="00E40727">
        <w:rPr>
          <w:rFonts w:ascii="Times New Roman" w:hAnsi="Times New Roman"/>
          <w:b/>
          <w:caps/>
        </w:rPr>
        <w:tab/>
      </w:r>
      <w:r w:rsidRPr="00E40727">
        <w:rPr>
          <w:rFonts w:ascii="Times New Roman" w:hAnsi="Times New Roman"/>
          <w:b/>
        </w:rPr>
        <w:t>UNIKALUS IDENTIFIKATORIUS – ŽMONĖMS SUPRANTAMI DUOMENYS</w:t>
      </w:r>
    </w:p>
    <w:p w:rsidR="00EA6293" w:rsidRPr="00EA6293" w:rsidRDefault="00EA6293" w:rsidP="00EA6293">
      <w:pPr>
        <w:pStyle w:val="BTEMEASMCA"/>
      </w:pPr>
    </w:p>
    <w:p w:rsidR="00EA6293" w:rsidRPr="00EA6293" w:rsidRDefault="00EA6293" w:rsidP="00EA6293">
      <w:pPr>
        <w:rPr>
          <w:rFonts w:ascii="Times New Roman" w:hAnsi="Times New Roman"/>
          <w:highlight w:val="lightGray"/>
        </w:rPr>
      </w:pPr>
      <w:r w:rsidRPr="00EA6293">
        <w:rPr>
          <w:rFonts w:ascii="Times New Roman" w:hAnsi="Times New Roman"/>
          <w:highlight w:val="lightGray"/>
        </w:rPr>
        <w:t>PC:</w:t>
      </w:r>
    </w:p>
    <w:p w:rsidR="00EA6293" w:rsidRPr="00EA6293" w:rsidRDefault="00EA6293" w:rsidP="00EA6293">
      <w:pPr>
        <w:rPr>
          <w:rFonts w:ascii="Times New Roman" w:hAnsi="Times New Roman"/>
          <w:highlight w:val="lightGray"/>
        </w:rPr>
      </w:pPr>
      <w:r w:rsidRPr="00EA6293">
        <w:rPr>
          <w:rFonts w:ascii="Times New Roman" w:hAnsi="Times New Roman"/>
          <w:highlight w:val="lightGray"/>
        </w:rPr>
        <w:t>SN:</w:t>
      </w:r>
    </w:p>
    <w:p w:rsidR="00EA6293" w:rsidRPr="00EA6293" w:rsidRDefault="00EA6293" w:rsidP="00EA6293">
      <w:pPr>
        <w:pStyle w:val="BTEMEASMCA"/>
      </w:pPr>
      <w:r w:rsidRPr="00EA6293">
        <w:rPr>
          <w:highlight w:val="lightGray"/>
        </w:rPr>
        <w:t>NN:</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br w:type="page"/>
      </w: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lang w:val="lt-LT"/>
        </w:rPr>
      </w:pPr>
      <w:r w:rsidRPr="00153D15">
        <w:rPr>
          <w:rFonts w:ascii="Times New Roman" w:eastAsia="Times New Roman" w:hAnsi="Times New Roman"/>
          <w:b/>
          <w:lang w:val="lt-LT"/>
        </w:rPr>
        <w:lastRenderedPageBreak/>
        <w:t xml:space="preserve">MINIMALI </w:t>
      </w:r>
      <w:r w:rsidRPr="00153D15">
        <w:rPr>
          <w:rFonts w:ascii="Times New Roman" w:eastAsia="Times New Roman" w:hAnsi="Times New Roman"/>
          <w:b/>
          <w:caps/>
          <w:lang w:val="lt-LT"/>
        </w:rPr>
        <w:t xml:space="preserve">informacija ant </w:t>
      </w:r>
      <w:r w:rsidRPr="00153D15">
        <w:rPr>
          <w:rFonts w:ascii="Times New Roman" w:eastAsia="Times New Roman" w:hAnsi="Times New Roman"/>
          <w:b/>
          <w:lang w:val="lt-LT"/>
        </w:rPr>
        <w:t>LIZDINIŲ PLOKŠTELIŲ ARBA DVISLUOKSNIŲ JUOSTELIŲ</w:t>
      </w: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lang w:val="lt-LT"/>
        </w:rPr>
        <w:t>LIZDINĖ PLOKŠTELĖ</w:t>
      </w: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spacing w:after="0" w:line="240" w:lineRule="auto"/>
        <w:ind w:left="567" w:hanging="567"/>
        <w:rPr>
          <w:rFonts w:ascii="Times New Roman" w:eastAsia="Times New Roman" w:hAnsi="Times New Roman"/>
          <w:caps/>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1.</w:t>
      </w:r>
      <w:r w:rsidRPr="00153D15">
        <w:rPr>
          <w:rFonts w:ascii="Times New Roman" w:eastAsia="Times New Roman" w:hAnsi="Times New Roman"/>
          <w:b/>
          <w:caps/>
          <w:lang w:val="lt-LT"/>
        </w:rPr>
        <w:tab/>
        <w:t>Vaistinio preparato pavadinimas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CELEBREX 200 mg kietosios kapsulės</w:t>
      </w:r>
    </w:p>
    <w:p w:rsidR="002101F6" w:rsidRPr="00153D15" w:rsidRDefault="002101F6" w:rsidP="002101F6">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t>Celekoksibas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lang w:val="lt-LT"/>
        </w:rPr>
        <w:t>2.</w:t>
      </w:r>
      <w:r w:rsidRPr="00153D15">
        <w:rPr>
          <w:rFonts w:ascii="Times New Roman" w:eastAsia="Times New Roman" w:hAnsi="Times New Roman"/>
          <w:b/>
          <w:lang w:val="lt-LT"/>
        </w:rPr>
        <w:tab/>
      </w:r>
      <w:r w:rsidR="00112FBA" w:rsidRPr="00153D15">
        <w:rPr>
          <w:rFonts w:ascii="Times New Roman" w:hAnsi="Times New Roman"/>
          <w:b/>
          <w:caps/>
          <w:noProof/>
          <w:lang w:val="lt-LT"/>
        </w:rPr>
        <w:t>REGISTRUOTOJO</w:t>
      </w:r>
      <w:r w:rsidRPr="00153D15">
        <w:rPr>
          <w:rFonts w:ascii="Times New Roman" w:eastAsia="Times New Roman" w:hAnsi="Times New Roman"/>
          <w:b/>
          <w:caps/>
          <w:lang w:val="lt-LT"/>
        </w:rPr>
        <w:t xml:space="preserve"> pavadinimas </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Pfizer Europe MA EEIG</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lang w:val="lt-LT"/>
        </w:rPr>
        <w:t>3.</w:t>
      </w:r>
      <w:r w:rsidRPr="00153D15">
        <w:rPr>
          <w:rFonts w:ascii="Times New Roman" w:eastAsia="Times New Roman" w:hAnsi="Times New Roman"/>
          <w:b/>
          <w:lang w:val="lt-LT"/>
        </w:rPr>
        <w:tab/>
      </w:r>
      <w:r w:rsidRPr="00153D15">
        <w:rPr>
          <w:rFonts w:ascii="Times New Roman" w:eastAsia="Times New Roman" w:hAnsi="Times New Roman"/>
          <w:b/>
          <w:caps/>
          <w:lang w:val="lt-LT"/>
        </w:rPr>
        <w:t>tinkamumo laikas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 xml:space="preserve">EXP </w:t>
      </w:r>
      <w:r w:rsidRPr="00153D15">
        <w:rPr>
          <w:rFonts w:ascii="Times New Roman" w:eastAsia="Times New Roman" w:hAnsi="Times New Roman"/>
          <w:iCs/>
          <w:lang w:val="lt-LT"/>
        </w:rPr>
        <w:t>mm/MMMM</w:t>
      </w:r>
      <w:r w:rsidRPr="00153D15">
        <w:rPr>
          <w:rFonts w:ascii="Times New Roman" w:eastAsia="Times New Roman" w:hAnsi="Times New Roman"/>
          <w:i/>
          <w:lang w:val="lt-LT"/>
        </w:rPr>
        <w:t xml:space="preserve"> </w:t>
      </w:r>
    </w:p>
    <w:p w:rsidR="002101F6" w:rsidRPr="00153D15" w:rsidRDefault="002101F6" w:rsidP="002101F6">
      <w:pPr>
        <w:spacing w:after="0" w:line="240" w:lineRule="auto"/>
        <w:ind w:left="567" w:hanging="567"/>
        <w:outlineLvl w:val="0"/>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4.</w:t>
      </w:r>
      <w:r w:rsidRPr="00153D15">
        <w:rPr>
          <w:rFonts w:ascii="Times New Roman" w:eastAsia="Times New Roman" w:hAnsi="Times New Roman"/>
          <w:b/>
          <w:caps/>
          <w:lang w:val="lt-LT"/>
        </w:rPr>
        <w:tab/>
        <w:t xml:space="preserve">serijos numeris </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Lot</w:t>
      </w:r>
    </w:p>
    <w:p w:rsidR="002101F6" w:rsidRPr="00153D15" w:rsidRDefault="002101F6" w:rsidP="002101F6">
      <w:pPr>
        <w:spacing w:after="0" w:line="240" w:lineRule="auto"/>
        <w:ind w:right="113"/>
        <w:rPr>
          <w:rFonts w:ascii="Times New Roman" w:eastAsia="Times New Roman" w:hAnsi="Times New Roman"/>
          <w:noProof/>
          <w:lang w:val="lt-LT"/>
        </w:rPr>
      </w:pPr>
    </w:p>
    <w:p w:rsidR="002101F6" w:rsidRPr="00153D15" w:rsidRDefault="002101F6" w:rsidP="002101F6">
      <w:pPr>
        <w:spacing w:after="0" w:line="240" w:lineRule="auto"/>
        <w:ind w:right="113"/>
        <w:rPr>
          <w:rFonts w:ascii="Times New Roman" w:eastAsia="Times New Roman" w:hAnsi="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01F6" w:rsidRPr="00153D15" w:rsidTr="00362603">
        <w:tc>
          <w:tcPr>
            <w:tcW w:w="9287" w:type="dxa"/>
          </w:tcPr>
          <w:p w:rsidR="002101F6" w:rsidRPr="00153D15" w:rsidRDefault="002101F6" w:rsidP="00362603">
            <w:pPr>
              <w:tabs>
                <w:tab w:val="left" w:pos="142"/>
              </w:tabs>
              <w:spacing w:after="0" w:line="240" w:lineRule="auto"/>
              <w:ind w:left="567" w:hanging="567"/>
              <w:rPr>
                <w:rFonts w:ascii="Times New Roman" w:eastAsia="Times New Roman" w:hAnsi="Times New Roman"/>
                <w:b/>
                <w:noProof/>
                <w:lang w:val="lt-LT"/>
              </w:rPr>
            </w:pPr>
            <w:r w:rsidRPr="00153D15">
              <w:rPr>
                <w:rFonts w:ascii="Times New Roman" w:eastAsia="Times New Roman" w:hAnsi="Times New Roman"/>
                <w:b/>
                <w:noProof/>
                <w:lang w:val="lt-LT"/>
              </w:rPr>
              <w:t>5.</w:t>
            </w:r>
            <w:r w:rsidRPr="00153D15">
              <w:rPr>
                <w:rFonts w:ascii="Times New Roman" w:eastAsia="Times New Roman" w:hAnsi="Times New Roman"/>
                <w:b/>
                <w:noProof/>
                <w:lang w:val="lt-LT"/>
              </w:rPr>
              <w:tab/>
              <w:t>KITA</w:t>
            </w:r>
          </w:p>
        </w:tc>
      </w:tr>
    </w:tbl>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br w:type="page"/>
      </w:r>
    </w:p>
    <w:p w:rsidR="002101F6" w:rsidRPr="00153D15" w:rsidRDefault="002101F6" w:rsidP="002101F6">
      <w:pPr>
        <w:spacing w:after="0" w:line="240" w:lineRule="auto"/>
        <w:ind w:left="567" w:hanging="567"/>
        <w:jc w:val="center"/>
        <w:rPr>
          <w:rFonts w:ascii="Times New Roman" w:eastAsia="Times New Roman" w:hAnsi="Times New Roman"/>
          <w:b/>
          <w:caps/>
          <w:lang w:val="lt-LT"/>
        </w:rPr>
      </w:pPr>
    </w:p>
    <w:p w:rsidR="002101F6" w:rsidRPr="00153D15" w:rsidRDefault="002101F6" w:rsidP="002101F6">
      <w:pPr>
        <w:spacing w:after="0" w:line="240" w:lineRule="auto"/>
        <w:ind w:left="567" w:hanging="567"/>
        <w:jc w:val="center"/>
        <w:rPr>
          <w:rFonts w:ascii="Times New Roman" w:eastAsia="Times New Roman" w:hAnsi="Times New Roman"/>
          <w:b/>
          <w:caps/>
          <w:lang w:val="lt-LT"/>
        </w:rPr>
      </w:pPr>
    </w:p>
    <w:p w:rsidR="002101F6" w:rsidRPr="00153D15" w:rsidRDefault="002101F6" w:rsidP="002101F6">
      <w:pPr>
        <w:spacing w:after="0" w:line="240" w:lineRule="auto"/>
        <w:ind w:left="567" w:hanging="567"/>
        <w:jc w:val="center"/>
        <w:rPr>
          <w:rFonts w:ascii="Times New Roman" w:eastAsia="Times New Roman" w:hAnsi="Times New Roman"/>
          <w:b/>
          <w:caps/>
          <w:lang w:val="lt-LT"/>
        </w:rPr>
      </w:pPr>
    </w:p>
    <w:p w:rsidR="002101F6" w:rsidRPr="00153D15" w:rsidRDefault="002101F6" w:rsidP="002101F6">
      <w:pPr>
        <w:spacing w:after="0" w:line="240" w:lineRule="auto"/>
        <w:ind w:left="567" w:hanging="567"/>
        <w:jc w:val="center"/>
        <w:rPr>
          <w:rFonts w:ascii="Times New Roman" w:eastAsia="Times New Roman" w:hAnsi="Times New Roman"/>
          <w:b/>
          <w:caps/>
          <w:lang w:val="lt-LT"/>
        </w:rPr>
      </w:pPr>
    </w:p>
    <w:p w:rsidR="002101F6" w:rsidRPr="00153D15" w:rsidRDefault="002101F6" w:rsidP="002101F6">
      <w:pPr>
        <w:spacing w:after="0" w:line="240" w:lineRule="auto"/>
        <w:ind w:left="567" w:hanging="567"/>
        <w:jc w:val="center"/>
        <w:rPr>
          <w:rFonts w:ascii="Times New Roman" w:eastAsia="Times New Roman" w:hAnsi="Times New Roman"/>
          <w:b/>
          <w:caps/>
          <w:lang w:val="lt-LT"/>
        </w:rPr>
      </w:pPr>
    </w:p>
    <w:p w:rsidR="002101F6" w:rsidRPr="00153D15" w:rsidRDefault="002101F6" w:rsidP="002101F6">
      <w:pPr>
        <w:spacing w:after="0" w:line="240" w:lineRule="auto"/>
        <w:ind w:left="567" w:hanging="567"/>
        <w:jc w:val="center"/>
        <w:rPr>
          <w:rFonts w:ascii="Times New Roman" w:eastAsia="Times New Roman" w:hAnsi="Times New Roman"/>
          <w:b/>
          <w:caps/>
          <w:lang w:val="lt-LT"/>
        </w:rPr>
      </w:pPr>
    </w:p>
    <w:p w:rsidR="002101F6" w:rsidRPr="00153D15" w:rsidRDefault="002101F6" w:rsidP="002101F6">
      <w:pPr>
        <w:spacing w:after="0" w:line="240" w:lineRule="auto"/>
        <w:ind w:left="567" w:hanging="567"/>
        <w:jc w:val="center"/>
        <w:rPr>
          <w:rFonts w:ascii="Times New Roman" w:eastAsia="Times New Roman" w:hAnsi="Times New Roman"/>
          <w:b/>
          <w:caps/>
          <w:lang w:val="lt-LT"/>
        </w:rPr>
      </w:pPr>
    </w:p>
    <w:p w:rsidR="002101F6" w:rsidRPr="00153D15" w:rsidRDefault="002101F6" w:rsidP="002101F6">
      <w:pPr>
        <w:spacing w:after="0" w:line="240" w:lineRule="auto"/>
        <w:ind w:left="567" w:hanging="567"/>
        <w:jc w:val="center"/>
        <w:rPr>
          <w:rFonts w:ascii="Times New Roman" w:eastAsia="Times New Roman" w:hAnsi="Times New Roman"/>
          <w:b/>
          <w:caps/>
          <w:lang w:val="lt-LT"/>
        </w:rPr>
      </w:pPr>
    </w:p>
    <w:p w:rsidR="002101F6" w:rsidRPr="00153D15" w:rsidRDefault="002101F6" w:rsidP="002101F6">
      <w:pPr>
        <w:spacing w:after="0" w:line="240" w:lineRule="auto"/>
        <w:ind w:left="567" w:hanging="567"/>
        <w:jc w:val="center"/>
        <w:rPr>
          <w:rFonts w:ascii="Times New Roman" w:eastAsia="Times New Roman" w:hAnsi="Times New Roman"/>
          <w:b/>
          <w:caps/>
          <w:lang w:val="lt-LT"/>
        </w:rPr>
      </w:pPr>
    </w:p>
    <w:p w:rsidR="002101F6" w:rsidRPr="00153D15" w:rsidRDefault="002101F6" w:rsidP="002101F6">
      <w:pPr>
        <w:spacing w:after="0" w:line="240" w:lineRule="auto"/>
        <w:ind w:left="567" w:hanging="567"/>
        <w:jc w:val="center"/>
        <w:rPr>
          <w:rFonts w:ascii="Times New Roman" w:eastAsia="Times New Roman" w:hAnsi="Times New Roman"/>
          <w:b/>
          <w:caps/>
          <w:lang w:val="lt-LT"/>
        </w:rPr>
      </w:pPr>
    </w:p>
    <w:p w:rsidR="002101F6" w:rsidRPr="00153D15" w:rsidRDefault="002101F6" w:rsidP="002101F6">
      <w:pPr>
        <w:spacing w:after="0" w:line="240" w:lineRule="auto"/>
        <w:ind w:left="567" w:hanging="567"/>
        <w:jc w:val="center"/>
        <w:rPr>
          <w:rFonts w:ascii="Times New Roman" w:eastAsia="Times New Roman" w:hAnsi="Times New Roman"/>
          <w:b/>
          <w:caps/>
          <w:lang w:val="lt-LT"/>
        </w:rPr>
      </w:pPr>
    </w:p>
    <w:p w:rsidR="002101F6" w:rsidRPr="00153D15" w:rsidRDefault="002101F6" w:rsidP="002101F6">
      <w:pPr>
        <w:spacing w:after="0" w:line="240" w:lineRule="auto"/>
        <w:ind w:left="567" w:hanging="567"/>
        <w:jc w:val="center"/>
        <w:rPr>
          <w:rFonts w:ascii="Times New Roman" w:eastAsia="Times New Roman" w:hAnsi="Times New Roman"/>
          <w:b/>
          <w:caps/>
          <w:lang w:val="lt-LT"/>
        </w:rPr>
      </w:pPr>
    </w:p>
    <w:p w:rsidR="002101F6" w:rsidRPr="00153D15" w:rsidRDefault="002101F6" w:rsidP="002101F6">
      <w:pPr>
        <w:spacing w:after="0" w:line="240" w:lineRule="auto"/>
        <w:ind w:left="567" w:hanging="567"/>
        <w:jc w:val="center"/>
        <w:rPr>
          <w:rFonts w:ascii="Times New Roman" w:eastAsia="Times New Roman" w:hAnsi="Times New Roman"/>
          <w:b/>
          <w:caps/>
          <w:lang w:val="lt-LT"/>
        </w:rPr>
      </w:pPr>
    </w:p>
    <w:p w:rsidR="002101F6" w:rsidRPr="00153D15" w:rsidRDefault="002101F6" w:rsidP="002101F6">
      <w:pPr>
        <w:spacing w:after="0" w:line="240" w:lineRule="auto"/>
        <w:ind w:left="567" w:hanging="567"/>
        <w:jc w:val="center"/>
        <w:rPr>
          <w:rFonts w:ascii="Times New Roman" w:eastAsia="Times New Roman" w:hAnsi="Times New Roman"/>
          <w:b/>
          <w:caps/>
          <w:lang w:val="lt-LT"/>
        </w:rPr>
      </w:pPr>
    </w:p>
    <w:p w:rsidR="002101F6" w:rsidRPr="00153D15" w:rsidRDefault="002101F6" w:rsidP="002101F6">
      <w:pPr>
        <w:spacing w:after="0" w:line="240" w:lineRule="auto"/>
        <w:ind w:left="567" w:hanging="567"/>
        <w:jc w:val="center"/>
        <w:rPr>
          <w:rFonts w:ascii="Times New Roman" w:eastAsia="Times New Roman" w:hAnsi="Times New Roman"/>
          <w:b/>
          <w:caps/>
          <w:lang w:val="lt-LT"/>
        </w:rPr>
      </w:pPr>
    </w:p>
    <w:p w:rsidR="002101F6" w:rsidRPr="00153D15" w:rsidRDefault="002101F6" w:rsidP="002101F6">
      <w:pPr>
        <w:spacing w:after="0" w:line="240" w:lineRule="auto"/>
        <w:ind w:left="567" w:hanging="567"/>
        <w:jc w:val="center"/>
        <w:rPr>
          <w:rFonts w:ascii="Times New Roman" w:eastAsia="Times New Roman" w:hAnsi="Times New Roman"/>
          <w:b/>
          <w:caps/>
          <w:lang w:val="lt-LT"/>
        </w:rPr>
      </w:pPr>
    </w:p>
    <w:p w:rsidR="002101F6" w:rsidRPr="00153D15" w:rsidRDefault="002101F6" w:rsidP="002101F6">
      <w:pPr>
        <w:spacing w:after="0" w:line="240" w:lineRule="auto"/>
        <w:ind w:left="567" w:hanging="567"/>
        <w:jc w:val="center"/>
        <w:rPr>
          <w:rFonts w:ascii="Times New Roman" w:eastAsia="Times New Roman" w:hAnsi="Times New Roman"/>
          <w:b/>
          <w:caps/>
          <w:lang w:val="lt-LT"/>
        </w:rPr>
      </w:pPr>
    </w:p>
    <w:p w:rsidR="002101F6" w:rsidRPr="00153D15" w:rsidRDefault="002101F6" w:rsidP="002101F6">
      <w:pPr>
        <w:spacing w:after="0" w:line="240" w:lineRule="auto"/>
        <w:ind w:left="567" w:hanging="567"/>
        <w:jc w:val="center"/>
        <w:rPr>
          <w:rFonts w:ascii="Times New Roman" w:eastAsia="Times New Roman" w:hAnsi="Times New Roman"/>
          <w:b/>
          <w:caps/>
          <w:lang w:val="lt-LT"/>
        </w:rPr>
      </w:pPr>
    </w:p>
    <w:p w:rsidR="002101F6" w:rsidRPr="00153D15" w:rsidRDefault="002101F6" w:rsidP="002101F6">
      <w:pPr>
        <w:spacing w:after="0" w:line="240" w:lineRule="auto"/>
        <w:ind w:left="567" w:hanging="567"/>
        <w:jc w:val="center"/>
        <w:rPr>
          <w:rFonts w:ascii="Times New Roman" w:eastAsia="Times New Roman" w:hAnsi="Times New Roman"/>
          <w:b/>
          <w:caps/>
          <w:lang w:val="lt-LT"/>
        </w:rPr>
      </w:pPr>
    </w:p>
    <w:p w:rsidR="002101F6" w:rsidRPr="00153D15" w:rsidRDefault="002101F6" w:rsidP="002101F6">
      <w:pPr>
        <w:spacing w:after="0" w:line="240" w:lineRule="auto"/>
        <w:ind w:left="567" w:hanging="567"/>
        <w:jc w:val="center"/>
        <w:rPr>
          <w:rFonts w:ascii="Times New Roman" w:eastAsia="Times New Roman" w:hAnsi="Times New Roman"/>
          <w:b/>
          <w:caps/>
          <w:lang w:val="lt-LT"/>
        </w:rPr>
      </w:pPr>
    </w:p>
    <w:p w:rsidR="002101F6" w:rsidRPr="00153D15" w:rsidRDefault="002101F6" w:rsidP="002101F6">
      <w:pPr>
        <w:spacing w:after="0" w:line="240" w:lineRule="auto"/>
        <w:ind w:left="567" w:hanging="567"/>
        <w:jc w:val="center"/>
        <w:rPr>
          <w:rFonts w:ascii="Times New Roman" w:eastAsia="Times New Roman" w:hAnsi="Times New Roman"/>
          <w:b/>
          <w:caps/>
          <w:lang w:val="lt-LT"/>
        </w:rPr>
      </w:pPr>
    </w:p>
    <w:p w:rsidR="002101F6" w:rsidRPr="00153D15" w:rsidRDefault="002101F6" w:rsidP="002101F6">
      <w:pPr>
        <w:spacing w:after="0" w:line="240" w:lineRule="auto"/>
        <w:ind w:left="567" w:hanging="567"/>
        <w:jc w:val="center"/>
        <w:rPr>
          <w:rFonts w:ascii="Times New Roman" w:eastAsia="Times New Roman" w:hAnsi="Times New Roman"/>
          <w:b/>
          <w:caps/>
          <w:lang w:val="lt-LT"/>
        </w:rPr>
      </w:pPr>
    </w:p>
    <w:p w:rsidR="002101F6" w:rsidRPr="00153D15" w:rsidRDefault="002101F6" w:rsidP="002101F6">
      <w:pPr>
        <w:spacing w:after="0" w:line="240" w:lineRule="auto"/>
        <w:ind w:left="567" w:hanging="567"/>
        <w:jc w:val="center"/>
        <w:rPr>
          <w:rFonts w:ascii="Times New Roman" w:eastAsia="Times New Roman" w:hAnsi="Times New Roman"/>
          <w:b/>
          <w:caps/>
          <w:lang w:val="lt-LT"/>
        </w:rPr>
      </w:pPr>
    </w:p>
    <w:p w:rsidR="002101F6" w:rsidRPr="00153D15" w:rsidRDefault="002101F6" w:rsidP="002101F6">
      <w:pPr>
        <w:spacing w:after="0" w:line="240" w:lineRule="auto"/>
        <w:ind w:left="567" w:hanging="567"/>
        <w:jc w:val="center"/>
        <w:rPr>
          <w:rFonts w:ascii="Times New Roman" w:eastAsia="Times New Roman" w:hAnsi="Times New Roman"/>
          <w:b/>
          <w:caps/>
          <w:lang w:val="lt-LT"/>
        </w:rPr>
      </w:pPr>
      <w:r w:rsidRPr="00153D15">
        <w:rPr>
          <w:rFonts w:ascii="Times New Roman" w:eastAsia="Times New Roman" w:hAnsi="Times New Roman"/>
          <w:b/>
          <w:caps/>
          <w:lang w:val="lt-LT"/>
        </w:rPr>
        <w:t>PAKUOTĖS LAPELIS</w:t>
      </w:r>
    </w:p>
    <w:p w:rsidR="002101F6" w:rsidRPr="00153D15" w:rsidRDefault="002101F6" w:rsidP="002101F6">
      <w:pPr>
        <w:spacing w:after="0" w:line="240" w:lineRule="auto"/>
        <w:ind w:left="567" w:hanging="567"/>
        <w:jc w:val="center"/>
        <w:outlineLvl w:val="0"/>
        <w:rPr>
          <w:rFonts w:ascii="Times New Roman" w:eastAsia="Times New Roman" w:hAnsi="Times New Roman"/>
          <w:b/>
          <w:lang w:val="lt-LT"/>
        </w:rPr>
      </w:pPr>
    </w:p>
    <w:p w:rsidR="002101F6" w:rsidRPr="00153D15" w:rsidRDefault="002101F6" w:rsidP="002101F6">
      <w:pPr>
        <w:spacing w:after="0" w:line="240" w:lineRule="auto"/>
        <w:jc w:val="center"/>
        <w:rPr>
          <w:rFonts w:ascii="Times New Roman" w:eastAsia="Times New Roman" w:hAnsi="Times New Roman"/>
          <w:b/>
          <w:lang w:val="lt-LT"/>
        </w:rPr>
      </w:pPr>
      <w:r w:rsidRPr="00153D15">
        <w:rPr>
          <w:rFonts w:ascii="Times New Roman" w:eastAsia="Times New Roman" w:hAnsi="Times New Roman"/>
          <w:b/>
          <w:lang w:val="lt-LT"/>
        </w:rPr>
        <w:br w:type="page"/>
      </w:r>
      <w:r w:rsidRPr="00153D15">
        <w:rPr>
          <w:rFonts w:ascii="Times New Roman" w:eastAsia="Times New Roman" w:hAnsi="Times New Roman"/>
          <w:b/>
          <w:lang w:val="lt-LT"/>
        </w:rPr>
        <w:lastRenderedPageBreak/>
        <w:t>Pakuotės</w:t>
      </w:r>
      <w:r w:rsidRPr="00153D15">
        <w:rPr>
          <w:rFonts w:ascii="Times New Roman" w:eastAsia="Calibri" w:hAnsi="Times New Roman"/>
          <w:b/>
          <w:lang w:val="lt-LT"/>
        </w:rPr>
        <w:t xml:space="preserve"> lapelis</w:t>
      </w:r>
      <w:r w:rsidRPr="00153D15">
        <w:rPr>
          <w:rFonts w:ascii="Times New Roman" w:eastAsia="Times New Roman" w:hAnsi="Times New Roman"/>
          <w:b/>
          <w:lang w:val="lt-LT"/>
        </w:rPr>
        <w:t>: informacija vartotojui</w:t>
      </w:r>
    </w:p>
    <w:p w:rsidR="002101F6" w:rsidRPr="00153D15" w:rsidRDefault="002101F6" w:rsidP="002101F6">
      <w:pPr>
        <w:spacing w:after="0" w:line="240" w:lineRule="auto"/>
        <w:jc w:val="center"/>
        <w:rPr>
          <w:rFonts w:ascii="Times New Roman" w:eastAsia="Times New Roman" w:hAnsi="Times New Roman"/>
          <w:b/>
          <w:lang w:val="lt-LT"/>
        </w:rPr>
      </w:pPr>
    </w:p>
    <w:p w:rsidR="002101F6" w:rsidRPr="00153D15" w:rsidRDefault="002101F6" w:rsidP="002101F6">
      <w:pPr>
        <w:spacing w:after="0" w:line="240" w:lineRule="auto"/>
        <w:jc w:val="center"/>
        <w:rPr>
          <w:rFonts w:ascii="Times New Roman" w:eastAsia="Times New Roman" w:hAnsi="Times New Roman"/>
          <w:b/>
          <w:lang w:val="lt-LT"/>
        </w:rPr>
      </w:pPr>
      <w:r w:rsidRPr="00153D15">
        <w:rPr>
          <w:rFonts w:ascii="Times New Roman" w:eastAsia="Times New Roman" w:hAnsi="Times New Roman"/>
          <w:b/>
          <w:lang w:val="lt-LT"/>
        </w:rPr>
        <w:t>CELEBREX 100 mg kietosios kapsulės</w:t>
      </w:r>
    </w:p>
    <w:p w:rsidR="002101F6" w:rsidRPr="00153D15" w:rsidRDefault="002101F6" w:rsidP="002101F6">
      <w:pPr>
        <w:spacing w:after="0" w:line="240" w:lineRule="auto"/>
        <w:jc w:val="center"/>
        <w:rPr>
          <w:rFonts w:ascii="Times New Roman" w:eastAsia="Times New Roman" w:hAnsi="Times New Roman"/>
          <w:b/>
          <w:lang w:val="lt-LT"/>
        </w:rPr>
      </w:pPr>
      <w:r w:rsidRPr="00153D15">
        <w:rPr>
          <w:rFonts w:ascii="Times New Roman" w:eastAsia="Times New Roman" w:hAnsi="Times New Roman"/>
          <w:b/>
          <w:lang w:val="lt-LT"/>
        </w:rPr>
        <w:t>CELEBREX 200 mg kietosios kapsulės</w:t>
      </w:r>
    </w:p>
    <w:p w:rsidR="002101F6" w:rsidRPr="00153D15" w:rsidRDefault="002101F6" w:rsidP="002101F6">
      <w:pPr>
        <w:spacing w:after="0" w:line="240" w:lineRule="auto"/>
        <w:ind w:left="567" w:hanging="567"/>
        <w:jc w:val="center"/>
        <w:rPr>
          <w:rFonts w:ascii="Times New Roman" w:eastAsia="Times New Roman" w:hAnsi="Times New Roman"/>
          <w:lang w:val="lt-LT"/>
        </w:rPr>
      </w:pPr>
      <w:r w:rsidRPr="00153D15">
        <w:rPr>
          <w:rFonts w:ascii="Times New Roman" w:eastAsia="Times New Roman" w:hAnsi="Times New Roman"/>
          <w:lang w:val="lt-LT"/>
        </w:rPr>
        <w:t>Celekoksibas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b/>
          <w:lang w:val="lt-LT"/>
        </w:rPr>
      </w:pPr>
      <w:r w:rsidRPr="00153D15">
        <w:rPr>
          <w:rFonts w:ascii="Times New Roman" w:eastAsia="Times New Roman" w:hAnsi="Times New Roman"/>
          <w:b/>
          <w:lang w:val="lt-LT"/>
        </w:rPr>
        <w:t>Atidžiai perskaitykite visą šį lapelį, prieš pradėdami vartoti vaistą, nes jame pateikiama Jums svarbi informacija.</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Neišmeskite šio lapelio, nes vėl gali prireikti jį perskaityti.</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kiltų daugiau klausimų, kreipkitės į gydytoją arba vaistininką.</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Šis vaistas skirtas tik Jums, todėl kitiems žmonėms jo duoti negalima. Vaistas gali jiems pakenkti (net tiems, kurių ligos požymiai yra tokie patys kaip Jūsų).</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pasireiškė šalutinis poveikis (net jeigu jis šiame lapelyje nenurodytas), kreipkitės į gydytoją arba vaistininką. Žr. 4 skyrių.</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b/>
          <w:lang w:val="lt-LT"/>
        </w:rPr>
      </w:pPr>
      <w:r w:rsidRPr="00153D15">
        <w:rPr>
          <w:rFonts w:ascii="Times New Roman" w:eastAsia="Times New Roman" w:hAnsi="Times New Roman"/>
          <w:b/>
          <w:lang w:val="lt-LT"/>
        </w:rPr>
        <w:t>Apie ką rašoma šiame lapelyje?</w:t>
      </w:r>
    </w:p>
    <w:p w:rsidR="002101F6" w:rsidRPr="00153D15" w:rsidRDefault="002101F6" w:rsidP="002101F6">
      <w:pPr>
        <w:spacing w:after="0" w:line="240" w:lineRule="auto"/>
        <w:ind w:left="567" w:hanging="567"/>
        <w:rPr>
          <w:rFonts w:ascii="Times New Roman" w:eastAsia="Times New Roman" w:hAnsi="Times New Roman"/>
          <w:b/>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t>1.</w:t>
      </w:r>
      <w:r w:rsidRPr="00153D15">
        <w:rPr>
          <w:rFonts w:ascii="Times New Roman" w:eastAsia="Times New Roman" w:hAnsi="Times New Roman"/>
          <w:lang w:val="lt-LT"/>
        </w:rPr>
        <w:tab/>
        <w:t>Kas yra CELEBREX ir kam jis vartojamas</w:t>
      </w:r>
    </w:p>
    <w:p w:rsidR="002101F6" w:rsidRPr="00153D15" w:rsidRDefault="002101F6" w:rsidP="002101F6">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t>2.</w:t>
      </w:r>
      <w:r w:rsidRPr="00153D15">
        <w:rPr>
          <w:rFonts w:ascii="Times New Roman" w:eastAsia="Times New Roman" w:hAnsi="Times New Roman"/>
          <w:lang w:val="lt-LT"/>
        </w:rPr>
        <w:tab/>
        <w:t>Kas žinotina prieš vartojant CELEBREX</w:t>
      </w:r>
    </w:p>
    <w:p w:rsidR="002101F6" w:rsidRPr="00153D15" w:rsidRDefault="002101F6" w:rsidP="002101F6">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t>3.</w:t>
      </w:r>
      <w:r w:rsidRPr="00153D15">
        <w:rPr>
          <w:rFonts w:ascii="Times New Roman" w:eastAsia="Times New Roman" w:hAnsi="Times New Roman"/>
          <w:lang w:val="lt-LT"/>
        </w:rPr>
        <w:tab/>
        <w:t>Kaip vartoti CELEBREX</w:t>
      </w:r>
    </w:p>
    <w:p w:rsidR="002101F6" w:rsidRPr="00153D15" w:rsidRDefault="002101F6" w:rsidP="002101F6">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t>4.</w:t>
      </w:r>
      <w:r w:rsidRPr="00153D15">
        <w:rPr>
          <w:rFonts w:ascii="Times New Roman" w:eastAsia="Times New Roman" w:hAnsi="Times New Roman"/>
          <w:lang w:val="lt-LT"/>
        </w:rPr>
        <w:tab/>
        <w:t>Galimas šalutinis poveikis</w:t>
      </w:r>
    </w:p>
    <w:p w:rsidR="002101F6" w:rsidRPr="00153D15" w:rsidRDefault="002101F6" w:rsidP="002101F6">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t>5.</w:t>
      </w:r>
      <w:r w:rsidRPr="00153D15">
        <w:rPr>
          <w:rFonts w:ascii="Times New Roman" w:eastAsia="Times New Roman" w:hAnsi="Times New Roman"/>
          <w:lang w:val="lt-LT"/>
        </w:rPr>
        <w:tab/>
        <w:t>Kaip laikyti CELEBREX</w:t>
      </w:r>
    </w:p>
    <w:p w:rsidR="002101F6" w:rsidRPr="00153D15" w:rsidRDefault="002101F6" w:rsidP="002101F6">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t>6.</w:t>
      </w:r>
      <w:r w:rsidRPr="00153D15">
        <w:rPr>
          <w:rFonts w:ascii="Times New Roman" w:eastAsia="Times New Roman" w:hAnsi="Times New Roman"/>
          <w:lang w:val="lt-LT"/>
        </w:rPr>
        <w:tab/>
        <w:t>Pakuotės turinys ir kita informacija</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numPr>
          <w:ilvl w:val="12"/>
          <w:numId w:val="0"/>
        </w:numP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lang w:val="lt-LT"/>
        </w:rPr>
        <w:t>1.</w:t>
      </w:r>
      <w:r w:rsidRPr="00153D15">
        <w:rPr>
          <w:rFonts w:ascii="Times New Roman" w:eastAsia="Times New Roman" w:hAnsi="Times New Roman"/>
          <w:b/>
          <w:lang w:val="lt-LT"/>
        </w:rPr>
        <w:tab/>
        <w:t>Kas yra CELEBREX ir kam jis vartojamas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CELEBREX</w:t>
      </w:r>
      <w:r w:rsidRPr="00153D15" w:rsidDel="00084A4D">
        <w:rPr>
          <w:rFonts w:ascii="Times New Roman" w:eastAsia="Times New Roman" w:hAnsi="Times New Roman"/>
          <w:lang w:val="lt-LT"/>
        </w:rPr>
        <w:t xml:space="preserve"> </w:t>
      </w:r>
      <w:r w:rsidRPr="00153D15">
        <w:rPr>
          <w:rFonts w:ascii="Times New Roman" w:eastAsia="Times New Roman" w:hAnsi="Times New Roman"/>
          <w:lang w:val="lt-LT"/>
        </w:rPr>
        <w:t>malšina reumatoidinio artrito, osteoartrito, bei ankilozinio spondilito simptomus.</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t>CELEBREX priklauso vaistų, kurie vadinami nesteroidiniais vaistais nuo uždegimo (NVNU), grupei, specifiniam ciklooksigenazės 2 (COX</w:t>
      </w:r>
      <w:r w:rsidRPr="00153D15">
        <w:rPr>
          <w:rFonts w:ascii="Times New Roman" w:eastAsia="Times New Roman" w:hAnsi="Times New Roman"/>
          <w:lang w:val="lt-LT"/>
        </w:rPr>
        <w:noBreakHyphen/>
        <w:t>2) inhibitorių pogrupiui. Žmogaus organizme gaminamos medžiagos, vadinamos prostaglandinais, kurie sukelia skausmą ir uždegimą. Sergant reumatoidiniu artritu ar osteoartritu, šių medžiagų organizme padaugėja. CELEBREX mažina prostaglandinų gamybą ir dėl to malšina skausmą ir uždegimą</w:t>
      </w:r>
    </w:p>
    <w:p w:rsidR="002101F6" w:rsidRDefault="002101F6" w:rsidP="002101F6">
      <w:pPr>
        <w:numPr>
          <w:ilvl w:val="12"/>
          <w:numId w:val="0"/>
        </w:num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lang w:val="lt-LT"/>
        </w:rPr>
        <w:t>2.</w:t>
      </w:r>
      <w:r w:rsidRPr="00153D15">
        <w:rPr>
          <w:rFonts w:ascii="Times New Roman" w:eastAsia="Times New Roman" w:hAnsi="Times New Roman"/>
          <w:b/>
          <w:lang w:val="lt-LT"/>
        </w:rPr>
        <w:tab/>
        <w:t>Kas žinotina prieš vartojant CELEBREX</w:t>
      </w:r>
    </w:p>
    <w:p w:rsidR="00604642" w:rsidRPr="00153D15" w:rsidRDefault="00604642" w:rsidP="002101F6">
      <w:pPr>
        <w:numPr>
          <w:ilvl w:val="12"/>
          <w:numId w:val="0"/>
        </w:numPr>
        <w:spacing w:after="0" w:line="240" w:lineRule="auto"/>
        <w:ind w:left="567" w:hanging="567"/>
        <w:outlineLvl w:val="0"/>
        <w:rPr>
          <w:rFonts w:ascii="Times New Roman" w:eastAsia="Times New Roman" w:hAnsi="Times New Roman"/>
          <w:b/>
          <w:caps/>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b/>
          <w:bCs/>
          <w:lang w:val="lt-LT"/>
        </w:rPr>
      </w:pPr>
      <w:r w:rsidRPr="00153D15">
        <w:rPr>
          <w:rFonts w:ascii="Times New Roman" w:eastAsia="Times New Roman" w:hAnsi="Times New Roman"/>
          <w:b/>
          <w:bCs/>
          <w:lang w:val="lt-LT"/>
        </w:rPr>
        <w:t>CELEBREX vartoti negalima</w:t>
      </w:r>
      <w:r w:rsidR="003C114E">
        <w:rPr>
          <w:rFonts w:ascii="Times New Roman" w:eastAsia="Times New Roman" w:hAnsi="Times New Roman"/>
          <w:b/>
          <w:bCs/>
          <w:lang w:val="lt-LT"/>
        </w:rPr>
        <w:t>:</w:t>
      </w:r>
    </w:p>
    <w:p w:rsidR="002101F6" w:rsidRPr="00153D15" w:rsidRDefault="002101F6" w:rsidP="003C114E">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yra alergija celekoksibui arba bet kuriai pagalbinei šio vaisto medžiagai (jos išvardytos 6 skyriuje);</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esate alergiškas vaist</w:t>
      </w:r>
      <w:r w:rsidR="003045B1">
        <w:rPr>
          <w:rFonts w:ascii="Times New Roman" w:eastAsia="Times New Roman" w:hAnsi="Times New Roman"/>
          <w:lang w:val="lt-LT"/>
        </w:rPr>
        <w:t>ams,</w:t>
      </w:r>
      <w:r w:rsidRPr="00153D15">
        <w:rPr>
          <w:rFonts w:ascii="Times New Roman" w:eastAsia="Times New Roman" w:hAnsi="Times New Roman"/>
          <w:lang w:val="lt-LT"/>
        </w:rPr>
        <w:t xml:space="preserve"> vadinami</w:t>
      </w:r>
      <w:r w:rsidR="00B81513">
        <w:rPr>
          <w:rFonts w:ascii="Times New Roman" w:eastAsia="Times New Roman" w:hAnsi="Times New Roman"/>
          <w:lang w:val="lt-LT"/>
        </w:rPr>
        <w:t>ems</w:t>
      </w:r>
      <w:r w:rsidRPr="00153D15">
        <w:rPr>
          <w:rFonts w:ascii="Times New Roman" w:eastAsia="Times New Roman" w:hAnsi="Times New Roman"/>
          <w:lang w:val="lt-LT"/>
        </w:rPr>
        <w:t xml:space="preserve"> sulfonamidais </w:t>
      </w:r>
      <w:r w:rsidR="00B81513">
        <w:rPr>
          <w:rFonts w:ascii="Times New Roman" w:eastAsia="Times New Roman" w:hAnsi="Times New Roman"/>
          <w:lang w:val="lt-LT"/>
        </w:rPr>
        <w:t>(</w:t>
      </w:r>
      <w:r w:rsidRPr="00153D15">
        <w:rPr>
          <w:rFonts w:ascii="Times New Roman" w:eastAsia="Times New Roman" w:hAnsi="Times New Roman"/>
          <w:lang w:val="lt-LT"/>
        </w:rPr>
        <w:t>antibiotikai, vartojami infekcinėms ligoms gydyti</w:t>
      </w:r>
      <w:r w:rsidR="00B81513">
        <w:rPr>
          <w:rFonts w:ascii="Times New Roman" w:eastAsia="Times New Roman" w:hAnsi="Times New Roman"/>
          <w:lang w:val="lt-LT"/>
        </w:rPr>
        <w:t>)</w:t>
      </w:r>
      <w:r w:rsidRPr="00153D15">
        <w:rPr>
          <w:rFonts w:ascii="Times New Roman" w:eastAsia="Times New Roman" w:hAnsi="Times New Roman"/>
          <w:lang w:val="lt-LT"/>
        </w:rPr>
        <w:t xml:space="preserve">; </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šiuo metu sergate skrandžio ar žarnos opalige arba kraujuojate iš skrandžio ar žarnyno;</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pavartojus acetilsalicilo rūgšties arba bet kurių kitų vaistų nuo uždegimo ar skausmą malšinančių vaistų (NVNU), pasireiškė astma, atsirado nosies polipų, sunkus nosies paburkimas ar alerginė reakcija, pavyzdžiui, niežtintis odos išbėrimas, veido, lūpų, liežuvio ar gerklės patinimas, kvėpavimo pasunkėjimas ar dusulys;</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lastRenderedPageBreak/>
        <w:t>-</w:t>
      </w:r>
      <w:r w:rsidRPr="00153D15">
        <w:rPr>
          <w:rFonts w:ascii="Times New Roman" w:eastAsia="Times New Roman" w:hAnsi="Times New Roman"/>
          <w:lang w:val="lt-LT"/>
        </w:rPr>
        <w:tab/>
        <w:t>jeigu esate nėščia. Jeigu gydymo metu galite pastoti, turite aptarti su gydytoju kontracepcijos būdus;</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žindote;</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 xml:space="preserve">jeigu sergate </w:t>
      </w:r>
      <w:r w:rsidR="00DE767A" w:rsidRPr="00153D15">
        <w:rPr>
          <w:rFonts w:ascii="Times New Roman" w:eastAsia="Times New Roman" w:hAnsi="Times New Roman"/>
          <w:lang w:val="lt-LT"/>
        </w:rPr>
        <w:t>sunki</w:t>
      </w:r>
      <w:r w:rsidR="00DE767A">
        <w:rPr>
          <w:rFonts w:ascii="Times New Roman" w:eastAsia="Times New Roman" w:hAnsi="Times New Roman"/>
          <w:lang w:val="lt-LT"/>
        </w:rPr>
        <w:t>u</w:t>
      </w:r>
      <w:r w:rsidR="00DE767A" w:rsidRPr="00153D15">
        <w:rPr>
          <w:rFonts w:ascii="Times New Roman" w:eastAsia="Times New Roman" w:hAnsi="Times New Roman"/>
          <w:lang w:val="lt-LT"/>
        </w:rPr>
        <w:t xml:space="preserve"> </w:t>
      </w:r>
      <w:r w:rsidRPr="00153D15">
        <w:rPr>
          <w:rFonts w:ascii="Times New Roman" w:eastAsia="Times New Roman" w:hAnsi="Times New Roman"/>
          <w:lang w:val="lt-LT"/>
        </w:rPr>
        <w:t xml:space="preserve">kepenų </w:t>
      </w:r>
      <w:r w:rsidR="00DE767A">
        <w:rPr>
          <w:rFonts w:ascii="Times New Roman" w:eastAsia="Times New Roman" w:hAnsi="Times New Roman"/>
          <w:lang w:val="lt-LT"/>
        </w:rPr>
        <w:t>funkcijos nepakankamumu</w:t>
      </w:r>
      <w:r w:rsidRPr="00153D15">
        <w:rPr>
          <w:rFonts w:ascii="Times New Roman" w:eastAsia="Times New Roman" w:hAnsi="Times New Roman"/>
          <w:lang w:val="lt-LT"/>
        </w:rPr>
        <w:t>;</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sergate sunki</w:t>
      </w:r>
      <w:r w:rsidR="00F3750C">
        <w:rPr>
          <w:rFonts w:ascii="Times New Roman" w:eastAsia="Times New Roman" w:hAnsi="Times New Roman"/>
          <w:lang w:val="lt-LT"/>
        </w:rPr>
        <w:t>u</w:t>
      </w:r>
      <w:r w:rsidRPr="00153D15">
        <w:rPr>
          <w:rFonts w:ascii="Times New Roman" w:eastAsia="Times New Roman" w:hAnsi="Times New Roman"/>
          <w:lang w:val="lt-LT"/>
        </w:rPr>
        <w:t xml:space="preserve"> inkstų </w:t>
      </w:r>
      <w:r w:rsidR="00F3750C">
        <w:rPr>
          <w:rFonts w:ascii="Times New Roman" w:eastAsia="Times New Roman" w:hAnsi="Times New Roman"/>
          <w:lang w:val="lt-LT"/>
        </w:rPr>
        <w:t>funkcijos nepakankamumu</w:t>
      </w:r>
      <w:r w:rsidRPr="00153D15">
        <w:rPr>
          <w:rFonts w:ascii="Times New Roman" w:eastAsia="Times New Roman" w:hAnsi="Times New Roman"/>
          <w:lang w:val="lt-LT"/>
        </w:rPr>
        <w:t>;</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sergate uždegimine žarnų liga (pvz., opiniu kolitu ar Krono liga);</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 xml:space="preserve">jeigu sergate širdies nepakankamumu, diagnozuota išeminė širdies liga arba smegenų kraujotakos liga, pavyzdžiui, buvo diagnozuotas širdies priepuolis, insultas arba praeinantysis smegenų išemijos priepuolis (trumpalaikis smegenų kraujotakos sutrikimas, vadinamas mini insultu), krūtinės angina arba užako širdies ar smegenų kraujagyslės; </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yra arba buvo kraujotakos sutrikimų (periferinių arterijų liga) arba atlikta kojų arterijų operacija.</w:t>
      </w:r>
    </w:p>
    <w:p w:rsidR="002101F6" w:rsidRPr="00153D15" w:rsidRDefault="002101F6" w:rsidP="002101F6">
      <w:pPr>
        <w:numPr>
          <w:ilvl w:val="12"/>
          <w:numId w:val="0"/>
        </w:numPr>
        <w:spacing w:after="0" w:line="240" w:lineRule="auto"/>
        <w:ind w:left="360" w:hanging="360"/>
        <w:rPr>
          <w:rFonts w:ascii="Times New Roman" w:eastAsia="Times New Roman" w:hAnsi="Times New Roman"/>
          <w:lang w:val="lt-LT"/>
        </w:rPr>
      </w:pPr>
    </w:p>
    <w:p w:rsidR="002101F6" w:rsidRPr="00153D15" w:rsidRDefault="002101F6" w:rsidP="002101F6">
      <w:pPr>
        <w:spacing w:after="0" w:line="240" w:lineRule="auto"/>
        <w:jc w:val="both"/>
        <w:outlineLvl w:val="0"/>
        <w:rPr>
          <w:rFonts w:ascii="Times New Roman" w:eastAsia="Times New Roman" w:hAnsi="Times New Roman"/>
          <w:b/>
          <w:bCs/>
          <w:lang w:val="lt-LT"/>
        </w:rPr>
      </w:pPr>
      <w:r w:rsidRPr="00153D15">
        <w:rPr>
          <w:rFonts w:ascii="Times New Roman" w:eastAsia="Times New Roman" w:hAnsi="Times New Roman"/>
          <w:b/>
          <w:bCs/>
          <w:lang w:val="lt-LT"/>
        </w:rPr>
        <w:t xml:space="preserve">Įspėjimai ir atsargumo priemonės </w:t>
      </w:r>
    </w:p>
    <w:p w:rsidR="002101F6" w:rsidRPr="00153D15" w:rsidRDefault="002101F6" w:rsidP="002101F6">
      <w:pPr>
        <w:numPr>
          <w:ilvl w:val="12"/>
          <w:numId w:val="0"/>
        </w:numPr>
        <w:spacing w:after="0" w:line="240" w:lineRule="auto"/>
        <w:rPr>
          <w:rFonts w:ascii="Times New Roman" w:eastAsia="Times New Roman" w:hAnsi="Times New Roman"/>
          <w:lang w:val="lt-LT"/>
        </w:rPr>
      </w:pPr>
      <w:r w:rsidRPr="00153D15">
        <w:rPr>
          <w:rFonts w:ascii="Times New Roman" w:eastAsia="Times New Roman" w:hAnsi="Times New Roman"/>
          <w:bCs/>
          <w:lang w:val="lt-LT"/>
        </w:rPr>
        <w:t>Pasitarkite su gydytoju arba vaistininku, prieš</w:t>
      </w:r>
      <w:r w:rsidRPr="00153D15">
        <w:rPr>
          <w:rFonts w:ascii="Times New Roman" w:eastAsia="Calibri" w:hAnsi="Times New Roman"/>
          <w:lang w:val="lt-LT"/>
        </w:rPr>
        <w:t xml:space="preserve"> pradėdami vartoti CELEBREX</w:t>
      </w:r>
      <w:r w:rsidRPr="00153D15">
        <w:rPr>
          <w:rFonts w:ascii="Times New Roman" w:eastAsia="Times New Roman" w:hAnsi="Times New Roman"/>
          <w:bCs/>
          <w:lang w:val="lt-LT"/>
        </w:rPr>
        <w:t>:</w:t>
      </w:r>
    </w:p>
    <w:p w:rsidR="002101F6" w:rsidRPr="00153D15" w:rsidRDefault="002101F6" w:rsidP="002101F6">
      <w:pPr>
        <w:numPr>
          <w:ilvl w:val="12"/>
          <w:numId w:val="0"/>
        </w:num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anksčiau pasireiškė opa arba kraujavimas iš skrandžio ar žarnyno</w:t>
      </w:r>
    </w:p>
    <w:p w:rsidR="002101F6" w:rsidRPr="00153D15" w:rsidRDefault="002101F6" w:rsidP="002101F6">
      <w:pPr>
        <w:numPr>
          <w:ilvl w:val="12"/>
          <w:numId w:val="0"/>
        </w:numPr>
        <w:spacing w:after="0" w:line="240" w:lineRule="auto"/>
        <w:ind w:left="540"/>
        <w:rPr>
          <w:rFonts w:ascii="Times New Roman" w:eastAsia="Times New Roman" w:hAnsi="Times New Roman"/>
          <w:lang w:val="lt-LT"/>
        </w:rPr>
      </w:pPr>
      <w:r w:rsidRPr="00153D15">
        <w:rPr>
          <w:rFonts w:ascii="Times New Roman" w:eastAsia="Times New Roman" w:hAnsi="Times New Roman"/>
          <w:lang w:val="lt-LT"/>
        </w:rPr>
        <w:t>(CELEBREX vartoti negalima, jeigu šiuo metu</w:t>
      </w:r>
      <w:r w:rsidRPr="00153D15">
        <w:rPr>
          <w:rFonts w:ascii="Times New Roman" w:eastAsia="Times New Roman" w:hAnsi="Times New Roman"/>
          <w:b/>
          <w:lang w:val="lt-LT"/>
        </w:rPr>
        <w:t xml:space="preserve"> </w:t>
      </w:r>
      <w:r w:rsidRPr="00153D15">
        <w:rPr>
          <w:rFonts w:ascii="Times New Roman" w:eastAsia="Times New Roman" w:hAnsi="Times New Roman"/>
          <w:lang w:val="lt-LT"/>
        </w:rPr>
        <w:t>yra opa arba kraujuojate iš skrandžio ar žarnyno);</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vartojate acetilsalicilo rūgštį (net mažą dozę širdžiai apsaugoti) ar gliukokortikoidų (</w:t>
      </w:r>
      <w:r w:rsidR="00783C1A">
        <w:rPr>
          <w:rFonts w:ascii="Times New Roman" w:eastAsia="Times New Roman" w:hAnsi="Times New Roman"/>
          <w:lang w:val="lt-LT"/>
        </w:rPr>
        <w:t xml:space="preserve">vaistai </w:t>
      </w:r>
      <w:r w:rsidRPr="00153D15">
        <w:rPr>
          <w:rFonts w:ascii="Times New Roman" w:eastAsia="Times New Roman" w:hAnsi="Times New Roman"/>
          <w:lang w:val="lt-LT"/>
        </w:rPr>
        <w:t>nuo alergijos ir imuninės sistemos sutrikimų</w:t>
      </w:r>
      <w:r w:rsidR="00783C1A">
        <w:rPr>
          <w:rFonts w:ascii="Times New Roman" w:eastAsia="Times New Roman" w:hAnsi="Times New Roman"/>
          <w:lang w:val="lt-LT"/>
        </w:rPr>
        <w:t>, autoimuninių ligų</w:t>
      </w:r>
      <w:r w:rsidRPr="00153D15">
        <w:rPr>
          <w:rFonts w:ascii="Times New Roman" w:eastAsia="Times New Roman" w:hAnsi="Times New Roman"/>
          <w:lang w:val="lt-LT"/>
        </w:rPr>
        <w:t>);</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vartojate alkoholio;</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 xml:space="preserve">jeigu vartojate kraujo krešėjimą mažinančių vaistų (pvz., varfariną); </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CELEBREX vartojate kartu su kitais NVNU, kurių sudėtyje nėra acetilsalicilo rūgšties (pvz.</w:t>
      </w:r>
      <w:r w:rsidR="00D83894">
        <w:rPr>
          <w:rFonts w:ascii="Times New Roman" w:eastAsia="Times New Roman" w:hAnsi="Times New Roman"/>
          <w:lang w:val="lt-LT"/>
        </w:rPr>
        <w:t>,</w:t>
      </w:r>
      <w:r w:rsidRPr="00153D15">
        <w:rPr>
          <w:rFonts w:ascii="Times New Roman" w:eastAsia="Times New Roman" w:hAnsi="Times New Roman"/>
          <w:lang w:val="lt-LT"/>
        </w:rPr>
        <w:t xml:space="preserve"> ibuprofenu, diklofenaku). Šių vaistų vartoti kartu negalima;</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rūkote, sergate diabetu, yra padidėjęs kraujospūdis arba padidėjusi cholesterolio koncentracija kraujyje;</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w:t>
      </w:r>
      <w:r w:rsidRPr="00153D15">
        <w:rPr>
          <w:rFonts w:ascii="Times New Roman" w:eastAsia="Times New Roman" w:hAnsi="Times New Roman"/>
          <w:b/>
          <w:i/>
          <w:lang w:val="lt-LT"/>
        </w:rPr>
        <w:t xml:space="preserve"> </w:t>
      </w:r>
      <w:r w:rsidRPr="00153D15">
        <w:rPr>
          <w:rFonts w:ascii="Times New Roman" w:eastAsia="Times New Roman" w:hAnsi="Times New Roman"/>
          <w:lang w:val="lt-LT"/>
        </w:rPr>
        <w:t>sergate širdies, kepenų ar inkstų funkcijos sutrikimais, gydytojas gali pageidauti reguliariai Jus tikrinti;</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yra skysčių susikaupimas organizme (pvz., kulkšnių ir kojų patinimas);</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 xml:space="preserve">jeigu netekote daug skysčių, pavyzdžiui, dėl vėmimo, viduriavimo arba diuretikų vartojimo (mažinamas skysčių susikaupimas organizme); </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bet kurie vaistai sukėlė sunkią alerginę reakciją arba sunkią odos reakciją;</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negaluojate dėl infekcijos arba galvojate, kad pasireiškė infekcinė liga, nes CELEBREX gali slėpti karščiavimą ir kitus infekcijos bei uždegimo simptomus;</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esate vyresni kaip 65 metų, gydytojas gali pageidauti reguliariai Jus tikrinti.</w:t>
      </w:r>
    </w:p>
    <w:p w:rsidR="002101F6" w:rsidRPr="00153D15" w:rsidRDefault="002101F6" w:rsidP="002101F6">
      <w:pPr>
        <w:autoSpaceDE w:val="0"/>
        <w:autoSpaceDN w:val="0"/>
        <w:adjustRightInd w:val="0"/>
        <w:spacing w:after="0" w:line="240" w:lineRule="auto"/>
        <w:rPr>
          <w:rFonts w:ascii="Times New Roman" w:eastAsia="Times New Roman" w:hAnsi="Times New Roman"/>
          <w:bCs/>
          <w:color w:val="000000"/>
          <w:lang w:val="lt-LT"/>
        </w:rPr>
      </w:pPr>
    </w:p>
    <w:p w:rsidR="002101F6" w:rsidRDefault="002101F6" w:rsidP="002101F6">
      <w:pPr>
        <w:autoSpaceDE w:val="0"/>
        <w:autoSpaceDN w:val="0"/>
        <w:adjustRightInd w:val="0"/>
        <w:spacing w:after="0" w:line="240" w:lineRule="auto"/>
        <w:rPr>
          <w:rFonts w:ascii="Times New Roman" w:eastAsia="Times New Roman" w:hAnsi="Times New Roman"/>
          <w:bCs/>
          <w:color w:val="000000"/>
          <w:lang w:val="lt-LT"/>
        </w:rPr>
      </w:pPr>
      <w:r w:rsidRPr="00153D15">
        <w:rPr>
          <w:rFonts w:ascii="Times New Roman" w:eastAsia="Times New Roman" w:hAnsi="Times New Roman"/>
          <w:bCs/>
          <w:color w:val="000000"/>
          <w:lang w:val="lt-LT"/>
        </w:rPr>
        <w:t>Šis vaistas, kaip ir kitokie NVNU (pvz.</w:t>
      </w:r>
      <w:r w:rsidR="00D83894">
        <w:rPr>
          <w:rFonts w:ascii="Times New Roman" w:eastAsia="Times New Roman" w:hAnsi="Times New Roman"/>
          <w:bCs/>
          <w:color w:val="000000"/>
          <w:lang w:val="lt-LT"/>
        </w:rPr>
        <w:t>,</w:t>
      </w:r>
      <w:r w:rsidRPr="00153D15">
        <w:rPr>
          <w:rFonts w:ascii="Times New Roman" w:eastAsia="Times New Roman" w:hAnsi="Times New Roman"/>
          <w:bCs/>
          <w:color w:val="000000"/>
          <w:lang w:val="lt-LT"/>
        </w:rPr>
        <w:t xml:space="preserve"> ibuprofenas, diklofenakas), gali didinti kraujospūdį, taigi gydytojas </w:t>
      </w:r>
      <w:r w:rsidR="00D83894">
        <w:rPr>
          <w:rFonts w:ascii="Times New Roman" w:eastAsia="Times New Roman" w:hAnsi="Times New Roman"/>
          <w:bCs/>
          <w:color w:val="000000"/>
          <w:lang w:val="lt-LT"/>
        </w:rPr>
        <w:t xml:space="preserve">gali </w:t>
      </w:r>
      <w:r w:rsidRPr="00153D15">
        <w:rPr>
          <w:rFonts w:ascii="Times New Roman" w:eastAsia="Times New Roman" w:hAnsi="Times New Roman"/>
          <w:bCs/>
          <w:color w:val="000000"/>
          <w:lang w:val="lt-LT"/>
        </w:rPr>
        <w:t>nurody</w:t>
      </w:r>
      <w:r w:rsidR="00D83894">
        <w:rPr>
          <w:rFonts w:ascii="Times New Roman" w:eastAsia="Times New Roman" w:hAnsi="Times New Roman"/>
          <w:bCs/>
          <w:color w:val="000000"/>
          <w:lang w:val="lt-LT"/>
        </w:rPr>
        <w:t>ti</w:t>
      </w:r>
      <w:r w:rsidRPr="00153D15">
        <w:rPr>
          <w:rFonts w:ascii="Times New Roman" w:eastAsia="Times New Roman" w:hAnsi="Times New Roman"/>
          <w:bCs/>
          <w:color w:val="000000"/>
          <w:lang w:val="lt-LT"/>
        </w:rPr>
        <w:t xml:space="preserve"> reguliariai matuoti kraujospūdį.</w:t>
      </w:r>
    </w:p>
    <w:p w:rsidR="00066CD2" w:rsidRDefault="00066CD2" w:rsidP="002101F6">
      <w:pPr>
        <w:autoSpaceDE w:val="0"/>
        <w:autoSpaceDN w:val="0"/>
        <w:adjustRightInd w:val="0"/>
        <w:spacing w:after="0" w:line="240" w:lineRule="auto"/>
        <w:rPr>
          <w:rFonts w:ascii="Times New Roman" w:eastAsia="Times New Roman" w:hAnsi="Times New Roman"/>
          <w:bCs/>
          <w:color w:val="000000"/>
          <w:lang w:val="lt-LT"/>
        </w:rPr>
      </w:pPr>
    </w:p>
    <w:p w:rsidR="00066CD2" w:rsidRPr="00153D15" w:rsidRDefault="00AF57A0" w:rsidP="002101F6">
      <w:pPr>
        <w:autoSpaceDE w:val="0"/>
        <w:autoSpaceDN w:val="0"/>
        <w:adjustRightInd w:val="0"/>
        <w:spacing w:after="0" w:line="240" w:lineRule="auto"/>
        <w:rPr>
          <w:rFonts w:ascii="Times New Roman" w:eastAsia="Times New Roman" w:hAnsi="Times New Roman"/>
          <w:bCs/>
          <w:color w:val="000000"/>
          <w:lang w:val="lt-LT"/>
        </w:rPr>
      </w:pPr>
      <w:r>
        <w:rPr>
          <w:rFonts w:ascii="Times New Roman" w:eastAsia="Times New Roman" w:hAnsi="Times New Roman"/>
          <w:bCs/>
          <w:color w:val="000000"/>
          <w:lang w:val="lt-LT"/>
        </w:rPr>
        <w:t>Vartojant NVNU, tame tarpe ir celekoksibą, padidėja širdies ir kraujagyslių sistemos sutrikimų</w:t>
      </w:r>
      <w:r w:rsidR="002F525C">
        <w:rPr>
          <w:rFonts w:ascii="Times New Roman" w:eastAsia="Times New Roman" w:hAnsi="Times New Roman"/>
          <w:bCs/>
          <w:color w:val="000000"/>
          <w:lang w:val="lt-LT"/>
        </w:rPr>
        <w:t>, taip pat ir infarkto bei insulto,</w:t>
      </w:r>
      <w:r>
        <w:rPr>
          <w:rFonts w:ascii="Times New Roman" w:eastAsia="Times New Roman" w:hAnsi="Times New Roman"/>
          <w:bCs/>
          <w:color w:val="000000"/>
          <w:lang w:val="lt-LT"/>
        </w:rPr>
        <w:t xml:space="preserve"> rizika, ypač tiems pacientams, kurie jau serga širdies ir kraujagyslių ligomis arba turi rizikos veiksnių šioms ligoms atsirasti (padidėjęs kraujospūdis, padidėjęs cholesterolio kiekis kraujyje, cukrinis diabetas, rūkymas).</w:t>
      </w:r>
    </w:p>
    <w:p w:rsidR="002101F6" w:rsidRPr="00153D15" w:rsidRDefault="002101F6" w:rsidP="002101F6">
      <w:pPr>
        <w:autoSpaceDE w:val="0"/>
        <w:autoSpaceDN w:val="0"/>
        <w:adjustRightInd w:val="0"/>
        <w:spacing w:after="0" w:line="240" w:lineRule="auto"/>
        <w:rPr>
          <w:rFonts w:ascii="Times New Roman" w:eastAsia="Times New Roman" w:hAnsi="Times New Roman"/>
          <w:bCs/>
          <w:color w:val="000000"/>
          <w:lang w:val="lt-LT"/>
        </w:rPr>
      </w:pPr>
    </w:p>
    <w:p w:rsidR="002101F6" w:rsidRPr="00153D15" w:rsidRDefault="002101F6" w:rsidP="002101F6">
      <w:pPr>
        <w:autoSpaceDE w:val="0"/>
        <w:autoSpaceDN w:val="0"/>
        <w:adjustRightInd w:val="0"/>
        <w:spacing w:after="0" w:line="240" w:lineRule="auto"/>
        <w:rPr>
          <w:rFonts w:ascii="Times New Roman" w:eastAsia="Times New Roman" w:hAnsi="Times New Roman"/>
          <w:lang w:val="lt-LT"/>
        </w:rPr>
      </w:pPr>
      <w:r w:rsidRPr="00153D15">
        <w:rPr>
          <w:rFonts w:ascii="Times New Roman" w:eastAsia="Times New Roman" w:hAnsi="Times New Roman"/>
          <w:bCs/>
          <w:color w:val="000000"/>
          <w:lang w:val="lt-LT"/>
        </w:rPr>
        <w:t xml:space="preserve">Vartojant </w:t>
      </w:r>
      <w:r w:rsidRPr="00153D15">
        <w:rPr>
          <w:rFonts w:ascii="Times New Roman" w:eastAsia="Times New Roman" w:hAnsi="Times New Roman"/>
          <w:lang w:val="lt-LT"/>
        </w:rPr>
        <w:t xml:space="preserve">celekoksibą, buvo keletas sunkių kepenų reakcijų atvejų, įskaitant sunkų kepenų uždegimą, kepenų pažaidą, kepenų funkcijos nepakankamumą (kai kurie atvejai buvo mirtini arba prireikė kepenų persodinimo). </w:t>
      </w:r>
      <w:r w:rsidR="00D83894">
        <w:rPr>
          <w:rFonts w:ascii="Times New Roman" w:eastAsia="Times New Roman" w:hAnsi="Times New Roman"/>
          <w:lang w:val="lt-LT"/>
        </w:rPr>
        <w:t>D</w:t>
      </w:r>
      <w:r w:rsidRPr="00153D15">
        <w:rPr>
          <w:rFonts w:ascii="Times New Roman" w:eastAsia="Times New Roman" w:hAnsi="Times New Roman"/>
          <w:lang w:val="lt-LT"/>
        </w:rPr>
        <w:t>auguma sunkių kepenų reakcijų pasireiškė per vieną mėnesį po to, kai buvo pradėtas gydymas šiuo vaistu.</w:t>
      </w:r>
    </w:p>
    <w:p w:rsidR="002101F6" w:rsidRPr="00153D15" w:rsidRDefault="002101F6" w:rsidP="002101F6">
      <w:pPr>
        <w:autoSpaceDE w:val="0"/>
        <w:autoSpaceDN w:val="0"/>
        <w:adjustRightInd w:val="0"/>
        <w:spacing w:after="0" w:line="240" w:lineRule="auto"/>
        <w:rPr>
          <w:rFonts w:ascii="Times New Roman" w:eastAsia="Times New Roman" w:hAnsi="Times New Roman"/>
          <w:bCs/>
          <w:color w:val="000000"/>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bCs/>
          <w:color w:val="000000"/>
          <w:lang w:val="lt-LT"/>
        </w:rPr>
        <w:t>Šis vaistas, kaip ir kitokie NVNU</w:t>
      </w:r>
      <w:r w:rsidRPr="00153D15">
        <w:rPr>
          <w:rFonts w:ascii="Times New Roman" w:eastAsia="Times New Roman" w:hAnsi="Times New Roman"/>
          <w:lang w:val="lt-LT"/>
        </w:rPr>
        <w:t xml:space="preserve">, gali sukelti inkstų pažeidimą. Tokio poveikio rizika yra didesnė ligoniams, kurie serga inkstų funkcijos sutrikimu, širdies nepakankamumu, kepenų funkcijos sutrikimu, vartoja šlapimo išsiskyrimą skatinančių vaistų, kai </w:t>
      </w:r>
      <w:r w:rsidRPr="00153D15">
        <w:rPr>
          <w:rFonts w:ascii="Times New Roman" w:eastAsia="Times New Roman" w:hAnsi="Times New Roman"/>
          <w:lang w:val="lt-LT"/>
        </w:rPr>
        <w:lastRenderedPageBreak/>
        <w:t>kurių vaistų nuo širdies ligų (AKF inhibitorių, angiotenzino II receptorių antagonistų) ir senyviems žmonėms. CELEBREX vartojimą nutraukus, poveikis inkstams išnyksta ir inkstų funkcija paprastai tampa tokia, kokia buvo iki gydymo.</w:t>
      </w:r>
    </w:p>
    <w:p w:rsidR="002101F6" w:rsidRDefault="009D3661" w:rsidP="002101F6">
      <w:pPr>
        <w:autoSpaceDE w:val="0"/>
        <w:autoSpaceDN w:val="0"/>
        <w:adjustRightInd w:val="0"/>
        <w:spacing w:after="0" w:line="240" w:lineRule="auto"/>
        <w:rPr>
          <w:rFonts w:ascii="Times New Roman" w:eastAsia="Times New Roman" w:hAnsi="Times New Roman"/>
          <w:bCs/>
          <w:color w:val="000000"/>
          <w:lang w:val="lt-LT"/>
        </w:rPr>
      </w:pPr>
      <w:r>
        <w:rPr>
          <w:rFonts w:ascii="Times New Roman" w:eastAsia="Times New Roman" w:hAnsi="Times New Roman"/>
          <w:bCs/>
          <w:color w:val="000000"/>
          <w:lang w:val="lt-LT"/>
        </w:rPr>
        <w:t xml:space="preserve">Taip pat vartojant vaisto </w:t>
      </w:r>
      <w:r w:rsidR="00633046">
        <w:rPr>
          <w:rFonts w:ascii="Times New Roman" w:eastAsia="Times New Roman" w:hAnsi="Times New Roman"/>
          <w:bCs/>
          <w:color w:val="000000"/>
          <w:lang w:val="lt-LT"/>
        </w:rPr>
        <w:t>organizme gali kauptis skysčiai ir atsirasti edemos.</w:t>
      </w:r>
    </w:p>
    <w:p w:rsidR="00633046" w:rsidRDefault="00633046" w:rsidP="002101F6">
      <w:pPr>
        <w:autoSpaceDE w:val="0"/>
        <w:autoSpaceDN w:val="0"/>
        <w:adjustRightInd w:val="0"/>
        <w:spacing w:after="0" w:line="240" w:lineRule="auto"/>
        <w:rPr>
          <w:rFonts w:ascii="Times New Roman" w:eastAsia="Times New Roman" w:hAnsi="Times New Roman"/>
          <w:bCs/>
          <w:color w:val="000000"/>
          <w:lang w:val="lt-LT"/>
        </w:rPr>
      </w:pPr>
    </w:p>
    <w:p w:rsidR="00633046" w:rsidRDefault="00633046" w:rsidP="002101F6">
      <w:pPr>
        <w:autoSpaceDE w:val="0"/>
        <w:autoSpaceDN w:val="0"/>
        <w:adjustRightInd w:val="0"/>
        <w:spacing w:after="0" w:line="240" w:lineRule="auto"/>
        <w:rPr>
          <w:rFonts w:ascii="Times New Roman" w:eastAsia="Times New Roman" w:hAnsi="Times New Roman"/>
          <w:bCs/>
          <w:color w:val="000000"/>
          <w:lang w:val="lt-LT"/>
        </w:rPr>
      </w:pPr>
      <w:r>
        <w:rPr>
          <w:rFonts w:ascii="Times New Roman" w:eastAsia="Times New Roman" w:hAnsi="Times New Roman"/>
          <w:bCs/>
          <w:color w:val="000000"/>
          <w:lang w:val="lt-LT"/>
        </w:rPr>
        <w:t>Gauta pranešimų, kad vaistas gali sukelti sunkias, kartais mirtinas odos reakcijas. Pasireiškus pirmiesiems odos išbėrimo, gleivinių pažeidimo ar kitų padidėjusio jautrumo požymių, vaisto vartojimą reikia iš karto nutraukti ir kreiptis į gydytoją.</w:t>
      </w:r>
    </w:p>
    <w:p w:rsidR="009D3661" w:rsidRPr="00153D15" w:rsidRDefault="009D3661" w:rsidP="002101F6">
      <w:pPr>
        <w:autoSpaceDE w:val="0"/>
        <w:autoSpaceDN w:val="0"/>
        <w:adjustRightInd w:val="0"/>
        <w:spacing w:after="0" w:line="240" w:lineRule="auto"/>
        <w:rPr>
          <w:rFonts w:ascii="Times New Roman" w:eastAsia="Times New Roman" w:hAnsi="Times New Roman"/>
          <w:bCs/>
          <w:color w:val="000000"/>
          <w:lang w:val="lt-LT"/>
        </w:rPr>
      </w:pPr>
    </w:p>
    <w:p w:rsidR="00783C1A" w:rsidRDefault="00783C1A" w:rsidP="002101F6">
      <w:pPr>
        <w:autoSpaceDE w:val="0"/>
        <w:autoSpaceDN w:val="0"/>
        <w:adjustRightInd w:val="0"/>
        <w:spacing w:after="0" w:line="240" w:lineRule="auto"/>
        <w:rPr>
          <w:rFonts w:ascii="Times New Roman" w:eastAsia="Times New Roman" w:hAnsi="Times New Roman"/>
          <w:bCs/>
          <w:color w:val="000000"/>
          <w:lang w:val="lt-LT"/>
        </w:rPr>
      </w:pPr>
    </w:p>
    <w:p w:rsidR="00783C1A" w:rsidRPr="00153D15" w:rsidRDefault="00783C1A" w:rsidP="002101F6">
      <w:pPr>
        <w:autoSpaceDE w:val="0"/>
        <w:autoSpaceDN w:val="0"/>
        <w:adjustRightInd w:val="0"/>
        <w:spacing w:after="0" w:line="240" w:lineRule="auto"/>
        <w:rPr>
          <w:rFonts w:ascii="Times New Roman" w:eastAsia="Times New Roman" w:hAnsi="Times New Roman"/>
          <w:bCs/>
          <w:color w:val="000000"/>
          <w:lang w:val="lt-LT"/>
        </w:rPr>
      </w:pPr>
    </w:p>
    <w:p w:rsidR="002101F6" w:rsidRPr="00153D15" w:rsidRDefault="002101F6" w:rsidP="002101F6">
      <w:p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lang w:val="lt-LT"/>
        </w:rPr>
        <w:t>Kiti</w:t>
      </w:r>
      <w:r w:rsidRPr="00153D15">
        <w:rPr>
          <w:rFonts w:ascii="Times New Roman" w:eastAsia="Calibri" w:hAnsi="Times New Roman"/>
          <w:b/>
          <w:lang w:val="lt-LT"/>
        </w:rPr>
        <w:t xml:space="preserve"> vaistai </w:t>
      </w:r>
      <w:r w:rsidRPr="00153D15">
        <w:rPr>
          <w:rFonts w:ascii="Times New Roman" w:eastAsia="Times New Roman" w:hAnsi="Times New Roman"/>
          <w:b/>
          <w:lang w:val="lt-LT"/>
        </w:rPr>
        <w:t>ir CELEBREX</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Jeigu vartojate ar neseniai vartojote kitų vaistų arba dėl to nesate tikri, apie tai pasakykite gydytojui arba vaistininkui:</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dekstrometorfaną (</w:t>
      </w:r>
      <w:r w:rsidR="0099689E">
        <w:rPr>
          <w:rFonts w:ascii="Times New Roman" w:eastAsia="Times New Roman" w:hAnsi="Times New Roman"/>
          <w:lang w:val="lt-LT"/>
        </w:rPr>
        <w:t xml:space="preserve">vaistas </w:t>
      </w:r>
      <w:r w:rsidRPr="00153D15">
        <w:rPr>
          <w:rFonts w:ascii="Times New Roman" w:eastAsia="Times New Roman" w:hAnsi="Times New Roman"/>
          <w:lang w:val="lt-LT"/>
        </w:rPr>
        <w:t>nuo kosulio);</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vaistų nuo padidėjusio kraujospūdžio (įskaitant angiotenziną konvertuojančio fermento (AKF) inhibitorius, angiotenzino II receptorių antagonistus, diuretikus, beta adrenoblokatorius). CELEBREX gali silpninti šių vaistų veikimą. Vartojant AKF inhibitorių,  angiotenzino II receptorių antagonistų ar diuretikų  kartu su CELEBREX, didėja inkstų funkcijos sutrikimo rizika;</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metoprololį (vaisto nuo širdies ligų);</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flukonazolą ar rifampiciną (gydomos grybelių ir bakterijų sukeltos infekcijos);</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varfariną arba kitų vaistų, kurie mažina kraujo krešėjimą (kraują skystinančių vaistų, kurie vadinami antikoaguliantais);</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ličio preparatų (gydoma tam tikro tipo depresija);</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kitų vaistų nuo depresijos, miego sutrikimų, nereguliarios širdies veiklos, kitų širdies ligų;</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neuroleptikų (gydomi kai kurie psichikos sutrikimai);</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metotreksatą (gydomas reumatoidinis artritas, žvynelinė, leukemija);</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karbamazepiną (gydoma epilepsija, kai kurios skausmo formos ar depresija);</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barbitūratų (gydoma epilepsija ir kai kurie miego sutrikimai);</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ciklosporiną arba takrolimuzą (vartojami imuninei sistemai slopinti, pavyzdžiui, po organų persodinimo operacijos).</w:t>
      </w:r>
    </w:p>
    <w:p w:rsidR="002101F6" w:rsidRPr="00153D15" w:rsidRDefault="002101F6" w:rsidP="003774EB">
      <w:pPr>
        <w:spacing w:after="0" w:line="240" w:lineRule="auto"/>
        <w:ind w:left="540" w:hanging="540"/>
        <w:rPr>
          <w:rFonts w:ascii="Times New Roman" w:eastAsia="Calibri" w:hAnsi="Times New Roman"/>
          <w:lang w:val="lt-LT"/>
        </w:rPr>
      </w:pPr>
      <w:r w:rsidRPr="00153D15">
        <w:rPr>
          <w:rFonts w:ascii="Times New Roman" w:eastAsia="Times New Roman" w:hAnsi="Times New Roman"/>
          <w:lang w:val="lt-LT"/>
        </w:rPr>
        <w:tab/>
      </w:r>
    </w:p>
    <w:p w:rsidR="002101F6" w:rsidRPr="00153D15" w:rsidRDefault="002101F6" w:rsidP="002101F6">
      <w:pPr>
        <w:spacing w:after="0" w:line="240" w:lineRule="auto"/>
        <w:ind w:left="567" w:hanging="567"/>
        <w:rPr>
          <w:rFonts w:ascii="Times New Roman" w:eastAsia="Times New Roman" w:hAnsi="Times New Roman"/>
          <w:b/>
          <w:lang w:val="lt-LT"/>
        </w:rPr>
      </w:pPr>
      <w:r w:rsidRPr="002F525C">
        <w:rPr>
          <w:rFonts w:ascii="Times New Roman" w:eastAsia="Times New Roman" w:hAnsi="Times New Roman"/>
          <w:b/>
          <w:lang w:val="lt-LT"/>
        </w:rPr>
        <w:t>Nėštumas, žindymo laikotarpis ir vaisingumas</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Jeigu esate nėščia, žindote kūdikį, manote, kad galbūt esate nėščia</w:t>
      </w:r>
      <w:r w:rsidR="003A60C1">
        <w:rPr>
          <w:rFonts w:ascii="Times New Roman" w:eastAsia="Times New Roman" w:hAnsi="Times New Roman"/>
          <w:lang w:val="lt-LT"/>
        </w:rPr>
        <w:t>,</w:t>
      </w:r>
      <w:r w:rsidRPr="00153D15">
        <w:rPr>
          <w:rFonts w:ascii="Times New Roman" w:eastAsia="Times New Roman" w:hAnsi="Times New Roman"/>
          <w:lang w:val="lt-LT"/>
        </w:rPr>
        <w:t xml:space="preserve"> arba planuojate pastoti, tai prieš vartodama šį vaistą</w:t>
      </w:r>
      <w:r w:rsidR="003A60C1">
        <w:rPr>
          <w:rFonts w:ascii="Times New Roman" w:eastAsia="Times New Roman" w:hAnsi="Times New Roman"/>
          <w:lang w:val="lt-LT"/>
        </w:rPr>
        <w:t>,</w:t>
      </w:r>
      <w:r w:rsidRPr="00153D15">
        <w:rPr>
          <w:rFonts w:ascii="Times New Roman" w:eastAsia="Times New Roman" w:hAnsi="Times New Roman"/>
          <w:lang w:val="lt-LT"/>
        </w:rPr>
        <w:t xml:space="preserve"> pasitarkite su gydytoju arba vaistininku.</w:t>
      </w:r>
    </w:p>
    <w:p w:rsidR="002101F6" w:rsidRPr="00153D15" w:rsidRDefault="002101F6" w:rsidP="002101F6">
      <w:pPr>
        <w:spacing w:after="0" w:line="240" w:lineRule="auto"/>
        <w:rPr>
          <w:rFonts w:ascii="Times New Roman" w:eastAsia="Times New Roman" w:hAnsi="Times New Roman"/>
          <w:lang w:val="lt-LT"/>
        </w:rPr>
      </w:pPr>
    </w:p>
    <w:p w:rsidR="002101F6"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Jeigu esate nėščia arba galite pastoti gydymo metu (t. y. esate vaisinga moteris, kuri nenaudoja tinkamos kontracepcijos), CELEBREX vartoti negalima. Jeigu pastojote gydymo CELEBREX metu, vaisto vartojimą reikia nutraukti ir nedelsiant kreiptis į gydytoją, kad skirtų kitokį gydymą.</w:t>
      </w:r>
    </w:p>
    <w:p w:rsidR="002101F6" w:rsidRDefault="001F3C44" w:rsidP="002101F6">
      <w:pPr>
        <w:spacing w:after="0" w:line="240" w:lineRule="auto"/>
        <w:rPr>
          <w:rFonts w:ascii="Times New Roman" w:eastAsia="Times New Roman" w:hAnsi="Times New Roman"/>
          <w:lang w:val="lt-LT"/>
        </w:rPr>
      </w:pPr>
      <w:r>
        <w:rPr>
          <w:rFonts w:ascii="Times New Roman" w:eastAsia="Times New Roman" w:hAnsi="Times New Roman"/>
          <w:lang w:val="lt-LT"/>
        </w:rPr>
        <w:t>Nesteroidiniai vaistai nuo</w:t>
      </w:r>
      <w:r w:rsidR="00257A88">
        <w:rPr>
          <w:rFonts w:ascii="Times New Roman" w:eastAsia="Times New Roman" w:hAnsi="Times New Roman"/>
          <w:lang w:val="lt-LT"/>
        </w:rPr>
        <w:t xml:space="preserve"> </w:t>
      </w:r>
      <w:r>
        <w:rPr>
          <w:rFonts w:ascii="Times New Roman" w:eastAsia="Times New Roman" w:hAnsi="Times New Roman"/>
          <w:lang w:val="lt-LT"/>
        </w:rPr>
        <w:t>uždegimo gali pažeisti vaisiaus inkstus.</w:t>
      </w:r>
    </w:p>
    <w:p w:rsidR="00540E3B" w:rsidRPr="00153D15" w:rsidRDefault="00540E3B"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CELEBREX žindymo laikotarpiu vartoti negalima. </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CELEBREX gali turėti įtakos moters vaisingumui. Jeigu Jums nepavyksta pastoti arba atliekami nevaisingumo tyrimai, pasakykite gydytojui, kad vartojate CELEBREX.</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b/>
          <w:lang w:val="lt-LT"/>
        </w:rPr>
      </w:pPr>
      <w:r w:rsidRPr="00153D15">
        <w:rPr>
          <w:rFonts w:ascii="Times New Roman" w:eastAsia="Times New Roman" w:hAnsi="Times New Roman"/>
          <w:b/>
          <w:lang w:val="lt-LT"/>
        </w:rPr>
        <w:t>Vairavimas ir mechanizmų valdymas</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Prieš vairuodami ar valdydami mechanizmus turite įsitikinti, kaip CELEBREX veikia Jus.</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lastRenderedPageBreak/>
        <w:t>Jeigu pavartojus CELEBREX jaučiatės apsvaigęs ar pavargęs, nevairuokite ir nevaldykite mechanizmų, kol nesijausite gerai.</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b/>
          <w:lang w:val="lt-LT"/>
        </w:rPr>
      </w:pPr>
      <w:r w:rsidRPr="00153D15">
        <w:rPr>
          <w:rFonts w:ascii="Times New Roman" w:eastAsia="Calibri" w:hAnsi="Times New Roman"/>
          <w:b/>
          <w:lang w:val="lt-LT"/>
        </w:rPr>
        <w:t xml:space="preserve">CELEBREX sudėtyje yra </w:t>
      </w:r>
      <w:r w:rsidRPr="00153D15">
        <w:rPr>
          <w:rFonts w:ascii="Times New Roman" w:eastAsia="Times New Roman" w:hAnsi="Times New Roman"/>
          <w:b/>
          <w:lang w:val="lt-LT"/>
        </w:rPr>
        <w:t>laktozės</w:t>
      </w:r>
      <w:r w:rsidRPr="00153D15">
        <w:rPr>
          <w:rFonts w:ascii="Times New Roman" w:eastAsia="Calibri" w:hAnsi="Times New Roman"/>
          <w:b/>
          <w:lang w:val="lt-LT"/>
        </w:rPr>
        <w:t xml:space="preserve"> </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Jeigu gydytojas Jums yra sakęs, kad netoleruojate kokių nors angliavandenių, kreipkitės į jį prieš pradėdami vartoti šį vaistą.</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numPr>
          <w:ilvl w:val="12"/>
          <w:numId w:val="0"/>
        </w:numP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lang w:val="lt-LT"/>
        </w:rPr>
        <w:t>3.</w:t>
      </w:r>
      <w:r w:rsidRPr="00153D15">
        <w:rPr>
          <w:rFonts w:ascii="Times New Roman" w:eastAsia="Times New Roman" w:hAnsi="Times New Roman"/>
          <w:b/>
          <w:lang w:val="lt-LT"/>
        </w:rPr>
        <w:tab/>
        <w:t>Kaip vartoti CELEBREX</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Visada vartokite šį vaistą tiksliai kaip nurodė gydytojas. Jeigu abejojate, kreipkitės į gydytoją arba vaistininką. Jeigu manote, kad CELEBREX veikia per stipriai ar per silpnai, pasakykite gydytojui arba vaistininkui.</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Gydytojas paskirs, kokią dozę vartoti. Didinant dozę ir ilginant vartojimo trukmę, šalutinio poveikio, susijusio su širdies sutrikimais, rizika gali didėti, todėl svarbu, kad vartotumėte mažiausią skausmą malšinančią CELEBREX dozę ir ne ilgiau, kiek būtina ligos simptomams kontroliuoti.</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Times New Roman" w:hAnsi="Times New Roman"/>
          <w:lang w:val="lt-LT"/>
        </w:rPr>
      </w:pPr>
      <w:r w:rsidRPr="00153D15">
        <w:rPr>
          <w:rFonts w:ascii="Times New Roman" w:eastAsia="Times New Roman" w:hAnsi="Times New Roman"/>
          <w:lang w:val="lt-LT"/>
        </w:rPr>
        <w:t>Reikia nuryti visą CELEBREX kapsulę užsigeriant vandeniu. Kapsulę galima išgerti bet kuriuo paros laiku valgant ar nevalgius. Vis dėlto stenkitės gerti kiekvieną CELEBREX dozę tuo pačiu paros laiku kiekvieną dieną.</w:t>
      </w:r>
    </w:p>
    <w:p w:rsidR="002101F6" w:rsidRPr="00153D15" w:rsidRDefault="002101F6" w:rsidP="002101F6">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Times New Roman" w:hAnsi="Times New Roman"/>
          <w:b/>
          <w:color w:val="000000"/>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Jeigu per dvi savaites nuo gydymo pradžios būklė nepagerėja, kreipkitės į gydytoją.</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Rekomenduojama paros dozė </w:t>
      </w:r>
      <w:r w:rsidRPr="00153D15">
        <w:rPr>
          <w:rFonts w:ascii="Times New Roman" w:hAnsi="Times New Roman"/>
          <w:i/>
          <w:lang w:val="lt-LT"/>
        </w:rPr>
        <w:t>osteoartritui</w:t>
      </w:r>
      <w:r w:rsidRPr="00153D15">
        <w:rPr>
          <w:rFonts w:ascii="Times New Roman" w:eastAsia="Times New Roman" w:hAnsi="Times New Roman"/>
          <w:lang w:val="lt-LT"/>
        </w:rPr>
        <w:t xml:space="preserve"> gydyti </w:t>
      </w:r>
      <w:r w:rsidRPr="00153D15">
        <w:rPr>
          <w:rFonts w:ascii="Times New Roman" w:eastAsia="Times New Roman" w:hAnsi="Times New Roman"/>
          <w:lang w:val="lt-LT"/>
        </w:rPr>
        <w:noBreakHyphen/>
        <w:t xml:space="preserve"> 200 mg kiekvieną dieną. Jeigu reikia, gydytojas dozę gali padidinti iki didžiausios 400 mg paros dozės. </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Rekomenduojama dozė yra:</w:t>
      </w:r>
    </w:p>
    <w:p w:rsidR="002101F6" w:rsidRPr="00153D15" w:rsidRDefault="002101F6" w:rsidP="002101F6">
      <w:pPr>
        <w:numPr>
          <w:ilvl w:val="0"/>
          <w:numId w:val="29"/>
        </w:numPr>
        <w:tabs>
          <w:tab w:val="num" w:pos="540"/>
        </w:tabs>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po vieną 200 mg kapsulę vieną kartą per parą arba</w:t>
      </w:r>
    </w:p>
    <w:p w:rsidR="002101F6" w:rsidRPr="00153D15" w:rsidRDefault="002101F6" w:rsidP="002101F6">
      <w:pPr>
        <w:numPr>
          <w:ilvl w:val="0"/>
          <w:numId w:val="29"/>
        </w:numPr>
        <w:tabs>
          <w:tab w:val="num" w:pos="540"/>
        </w:tabs>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po vieną 100 mg kapsulę du kartus per parą.</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Rekomenduojama pradinė paros dozė </w:t>
      </w:r>
      <w:r w:rsidRPr="00153D15">
        <w:rPr>
          <w:rFonts w:ascii="Times New Roman" w:hAnsi="Times New Roman"/>
          <w:i/>
          <w:lang w:val="lt-LT"/>
        </w:rPr>
        <w:t>reumatoidiniam artritui</w:t>
      </w:r>
      <w:r w:rsidRPr="00153D15">
        <w:rPr>
          <w:rFonts w:ascii="Times New Roman" w:eastAsia="Times New Roman" w:hAnsi="Times New Roman"/>
          <w:lang w:val="lt-LT"/>
        </w:rPr>
        <w:t xml:space="preserve"> gydyti </w:t>
      </w:r>
      <w:r w:rsidRPr="00153D15">
        <w:rPr>
          <w:rFonts w:ascii="Times New Roman" w:eastAsia="Times New Roman" w:hAnsi="Times New Roman"/>
          <w:lang w:val="lt-LT"/>
        </w:rPr>
        <w:noBreakHyphen/>
        <w:t xml:space="preserve"> 200 mg kiekvieną dieną. Jeigu reikia, gydytojas dozę gali padidinti iki didžiausios 400 mg paros dozės.</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Rekomenduojama dozė yra:</w:t>
      </w:r>
    </w:p>
    <w:p w:rsidR="002101F6" w:rsidRPr="00153D15" w:rsidRDefault="002101F6" w:rsidP="002101F6">
      <w:pPr>
        <w:numPr>
          <w:ilvl w:val="0"/>
          <w:numId w:val="29"/>
        </w:numPr>
        <w:tabs>
          <w:tab w:val="num" w:pos="540"/>
        </w:tabs>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po vieną 100 mg kapsulę du kartus per parą.</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Rekomenduojama paros dozė </w:t>
      </w:r>
      <w:r w:rsidRPr="00153D15">
        <w:rPr>
          <w:rFonts w:ascii="Times New Roman" w:hAnsi="Times New Roman"/>
          <w:i/>
          <w:lang w:val="lt-LT"/>
        </w:rPr>
        <w:t>ankiloziniam spondilitui</w:t>
      </w:r>
      <w:r w:rsidRPr="00153D15">
        <w:rPr>
          <w:rFonts w:ascii="Times New Roman" w:eastAsia="Times New Roman" w:hAnsi="Times New Roman"/>
          <w:lang w:val="lt-LT"/>
        </w:rPr>
        <w:t xml:space="preserve"> gydyti </w:t>
      </w:r>
      <w:r w:rsidRPr="00153D15">
        <w:rPr>
          <w:rFonts w:ascii="Times New Roman" w:eastAsia="Times New Roman" w:hAnsi="Times New Roman"/>
          <w:lang w:val="lt-LT"/>
        </w:rPr>
        <w:noBreakHyphen/>
        <w:t xml:space="preserve"> 200 mg kiekvieną dieną. Jeigu reikia, gydytojas dozę gali padidinti iki didžiausios 400 mg paros dozės.</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Rekomenduojama dozė yra:</w:t>
      </w:r>
    </w:p>
    <w:p w:rsidR="002101F6" w:rsidRPr="00153D15" w:rsidRDefault="002101F6" w:rsidP="002101F6">
      <w:pPr>
        <w:numPr>
          <w:ilvl w:val="0"/>
          <w:numId w:val="29"/>
        </w:numPr>
        <w:tabs>
          <w:tab w:val="num" w:pos="540"/>
        </w:tabs>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po vieną 200 mg kapsulę vieną kartą per parą arba</w:t>
      </w:r>
    </w:p>
    <w:p w:rsidR="002101F6" w:rsidRPr="00153D15" w:rsidRDefault="002101F6" w:rsidP="002101F6">
      <w:pPr>
        <w:numPr>
          <w:ilvl w:val="0"/>
          <w:numId w:val="29"/>
        </w:numPr>
        <w:tabs>
          <w:tab w:val="num" w:pos="540"/>
        </w:tabs>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po vieną 100 mg kapsulę du kartus per parą.</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hAnsi="Times New Roman"/>
          <w:i/>
          <w:lang w:val="lt-LT"/>
        </w:rPr>
        <w:t>Inkstų ar kepenų funkcijos sutrikimas</w:t>
      </w:r>
      <w:r w:rsidRPr="00153D15">
        <w:rPr>
          <w:rFonts w:ascii="Times New Roman" w:eastAsia="Times New Roman" w:hAnsi="Times New Roman"/>
          <w:iCs/>
          <w:lang w:val="lt-LT"/>
        </w:rPr>
        <w:t>.</w:t>
      </w:r>
      <w:r w:rsidRPr="00153D15">
        <w:rPr>
          <w:rFonts w:ascii="Times New Roman" w:eastAsia="Times New Roman" w:hAnsi="Times New Roman"/>
          <w:lang w:val="lt-LT"/>
        </w:rPr>
        <w:t xml:space="preserve"> Įsitikinkite, ar gydytojas žino, kad sergate </w:t>
      </w:r>
      <w:r w:rsidRPr="00153D15">
        <w:rPr>
          <w:rFonts w:ascii="Times New Roman" w:eastAsia="Times New Roman" w:hAnsi="Times New Roman"/>
          <w:iCs/>
          <w:lang w:val="lt-LT"/>
        </w:rPr>
        <w:t>inkstų arba kepenų funkcijos sutrikimu, nes gali prireikti mažesnės vaisto dozės</w:t>
      </w:r>
      <w:r w:rsidRPr="00153D15">
        <w:rPr>
          <w:rFonts w:ascii="Times New Roman" w:eastAsia="Times New Roman" w:hAnsi="Times New Roman"/>
          <w:lang w:val="lt-LT"/>
        </w:rPr>
        <w:t>.</w:t>
      </w:r>
    </w:p>
    <w:p w:rsidR="002101F6" w:rsidRPr="00153D15" w:rsidRDefault="002101F6" w:rsidP="002101F6">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Times New Roman" w:hAnsi="Times New Roman"/>
          <w:color w:val="000000"/>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hAnsi="Times New Roman"/>
          <w:i/>
          <w:lang w:val="lt-LT"/>
        </w:rPr>
        <w:t>Senyvi pacientai</w:t>
      </w:r>
      <w:r w:rsidRPr="00153D15">
        <w:rPr>
          <w:rFonts w:ascii="Times New Roman" w:eastAsia="Times New Roman" w:hAnsi="Times New Roman"/>
          <w:lang w:val="lt-LT"/>
        </w:rPr>
        <w:t>, ypač tie, kurių kūno svoris mažesnis kaip 50 kg</w:t>
      </w:r>
      <w:r w:rsidRPr="00BA75C2">
        <w:rPr>
          <w:rFonts w:ascii="Times New Roman" w:eastAsia="Times New Roman" w:hAnsi="Times New Roman"/>
          <w:lang w:val="lt-LT"/>
        </w:rPr>
        <w:t>.</w:t>
      </w:r>
      <w:r w:rsidRPr="00153D15">
        <w:rPr>
          <w:rFonts w:ascii="Times New Roman" w:eastAsia="Times New Roman" w:hAnsi="Times New Roman"/>
          <w:lang w:val="lt-LT"/>
        </w:rPr>
        <w:t xml:space="preserve"> Jeigu esate vyresni kaip 65 metų ir ypač jeigu sveriate mažiau kaip 50 kg, gydytojui gali tekti atidžiau Jus prižiūrėti.</w:t>
      </w:r>
    </w:p>
    <w:p w:rsidR="002101F6" w:rsidRPr="00153D15" w:rsidRDefault="002101F6" w:rsidP="002101F6">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Times New Roman" w:hAnsi="Times New Roman"/>
          <w:color w:val="000000"/>
          <w:lang w:val="lt-LT"/>
        </w:rPr>
      </w:pPr>
    </w:p>
    <w:p w:rsidR="00A10C0A" w:rsidRPr="00153D15" w:rsidRDefault="00A10C0A" w:rsidP="00A10C0A">
      <w:pPr>
        <w:autoSpaceDE w:val="0"/>
        <w:autoSpaceDN w:val="0"/>
        <w:adjustRightInd w:val="0"/>
        <w:spacing w:after="0" w:line="240" w:lineRule="auto"/>
        <w:rPr>
          <w:rFonts w:ascii="Times New Roman" w:eastAsia="Times New Roman" w:hAnsi="Times New Roman"/>
          <w:lang w:val="lt-LT"/>
        </w:rPr>
      </w:pPr>
      <w:r w:rsidRPr="00153D15">
        <w:rPr>
          <w:rFonts w:ascii="Times New Roman" w:eastAsia="Times New Roman" w:hAnsi="Times New Roman"/>
          <w:iCs/>
          <w:spacing w:val="-2"/>
          <w:lang w:val="lt-LT"/>
        </w:rPr>
        <w:t>Vartoti didesnės kaip</w:t>
      </w:r>
      <w:r w:rsidRPr="00153D15">
        <w:rPr>
          <w:rFonts w:ascii="Times New Roman" w:eastAsia="Times New Roman" w:hAnsi="Times New Roman"/>
          <w:b/>
          <w:iCs/>
          <w:spacing w:val="-2"/>
          <w:lang w:val="lt-LT"/>
        </w:rPr>
        <w:t xml:space="preserve"> </w:t>
      </w:r>
      <w:r w:rsidRPr="00153D15">
        <w:rPr>
          <w:rFonts w:ascii="Times New Roman" w:eastAsia="Times New Roman" w:hAnsi="Times New Roman"/>
          <w:lang w:val="lt-LT"/>
        </w:rPr>
        <w:t>400 mg dozės per parą negalima.</w:t>
      </w:r>
    </w:p>
    <w:p w:rsidR="00A10C0A" w:rsidRPr="00153D15" w:rsidRDefault="00A10C0A" w:rsidP="002101F6">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Times New Roman" w:hAnsi="Times New Roman"/>
          <w:color w:val="000000"/>
          <w:lang w:val="lt-LT"/>
        </w:rPr>
      </w:pPr>
    </w:p>
    <w:p w:rsidR="004826BE" w:rsidRPr="00153D15" w:rsidRDefault="002101F6" w:rsidP="002101F6">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Calibri" w:hAnsi="Times New Roman"/>
          <w:b/>
          <w:color w:val="000000"/>
          <w:lang w:val="lt-LT"/>
        </w:rPr>
      </w:pPr>
      <w:r w:rsidRPr="00153D15">
        <w:rPr>
          <w:rFonts w:ascii="Times New Roman" w:eastAsia="Times New Roman" w:hAnsi="Times New Roman"/>
          <w:b/>
          <w:color w:val="000000"/>
          <w:lang w:val="lt-LT"/>
        </w:rPr>
        <w:t>V</w:t>
      </w:r>
      <w:r w:rsidR="004826BE" w:rsidRPr="00153D15">
        <w:rPr>
          <w:rFonts w:ascii="Times New Roman" w:eastAsia="Times New Roman" w:hAnsi="Times New Roman"/>
          <w:b/>
          <w:color w:val="000000"/>
          <w:lang w:val="lt-LT"/>
        </w:rPr>
        <w:t>artojimas v</w:t>
      </w:r>
      <w:r w:rsidRPr="00153D15">
        <w:rPr>
          <w:rFonts w:ascii="Times New Roman" w:eastAsia="Times New Roman" w:hAnsi="Times New Roman"/>
          <w:b/>
          <w:color w:val="000000"/>
          <w:lang w:val="lt-LT"/>
        </w:rPr>
        <w:t>aikams</w:t>
      </w:r>
      <w:r w:rsidR="004826BE" w:rsidRPr="00153D15">
        <w:rPr>
          <w:rFonts w:ascii="Times New Roman" w:eastAsia="Times New Roman" w:hAnsi="Times New Roman"/>
          <w:b/>
          <w:color w:val="000000"/>
          <w:lang w:val="lt-LT"/>
        </w:rPr>
        <w:t xml:space="preserve"> ir paaugliams</w:t>
      </w:r>
      <w:r w:rsidRPr="00153D15">
        <w:rPr>
          <w:rFonts w:ascii="Times New Roman" w:eastAsia="Calibri" w:hAnsi="Times New Roman"/>
          <w:b/>
          <w:color w:val="000000"/>
          <w:lang w:val="lt-LT"/>
        </w:rPr>
        <w:t xml:space="preserve"> </w:t>
      </w:r>
    </w:p>
    <w:p w:rsidR="002101F6" w:rsidRPr="00153D15" w:rsidRDefault="002101F6" w:rsidP="002101F6">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Times New Roman" w:hAnsi="Times New Roman"/>
          <w:color w:val="000000"/>
          <w:lang w:val="lt-LT"/>
        </w:rPr>
      </w:pPr>
      <w:r w:rsidRPr="00153D15">
        <w:rPr>
          <w:rFonts w:ascii="Times New Roman" w:eastAsia="Times New Roman" w:hAnsi="Times New Roman"/>
          <w:color w:val="000000"/>
          <w:lang w:val="lt-LT"/>
        </w:rPr>
        <w:lastRenderedPageBreak/>
        <w:t>CELEBREX gydomi tik suaugusieji. Šiuo vaistu vaikų gydyti negalima.</w:t>
      </w:r>
    </w:p>
    <w:p w:rsidR="002101F6" w:rsidRPr="00153D15" w:rsidRDefault="002101F6" w:rsidP="00E90D1D">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color w:val="000000"/>
          <w:lang w:val="lt-LT"/>
        </w:rPr>
      </w:pPr>
    </w:p>
    <w:p w:rsidR="002101F6" w:rsidRPr="00153D15" w:rsidRDefault="002101F6" w:rsidP="002101F6">
      <w:p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lang w:val="lt-LT"/>
        </w:rPr>
        <w:t>Ką daryti pavartojus per didelę CELEBREX dozę?</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Gerti daugiau kapsulių nei skyrė gydytojas, negalima. Jeigu išgėrėte per daug kapsulių, nedelsdamas kreipkitės į gydytoją ar ligoninę ir pasiimkite kartu savo vaistus.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lang w:val="lt-LT"/>
        </w:rPr>
        <w:t>Pamiršus pavartoti CELEBREX</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Jeigu pamiršote išgerti kapsulių, padarykite tai, kai tik prisiminsite. Negalima vartoti</w:t>
      </w:r>
      <w:r w:rsidRPr="00153D15" w:rsidDel="00A344B6">
        <w:rPr>
          <w:rFonts w:ascii="Times New Roman" w:eastAsia="Times New Roman" w:hAnsi="Times New Roman"/>
          <w:lang w:val="lt-LT"/>
        </w:rPr>
        <w:t xml:space="preserve"> </w:t>
      </w:r>
      <w:r w:rsidRPr="00153D15">
        <w:rPr>
          <w:rFonts w:ascii="Times New Roman" w:eastAsia="Times New Roman" w:hAnsi="Times New Roman"/>
          <w:lang w:val="lt-LT"/>
        </w:rPr>
        <w:t>dvigubos dozės norint kompensuoti praleistą dozę.</w:t>
      </w:r>
    </w:p>
    <w:p w:rsidR="002101F6" w:rsidRPr="00153D15" w:rsidRDefault="002101F6" w:rsidP="002101F6">
      <w:pPr>
        <w:spacing w:after="0" w:line="240" w:lineRule="auto"/>
        <w:outlineLvl w:val="0"/>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b/>
          <w:lang w:val="lt-LT"/>
        </w:rPr>
      </w:pPr>
      <w:r w:rsidRPr="00153D15">
        <w:rPr>
          <w:rFonts w:ascii="Times New Roman" w:eastAsia="Times New Roman" w:hAnsi="Times New Roman"/>
          <w:b/>
          <w:lang w:val="lt-LT"/>
        </w:rPr>
        <w:t>Nustojus vartoti CELEBREX</w:t>
      </w:r>
    </w:p>
    <w:p w:rsidR="002101F6" w:rsidRPr="00153D15" w:rsidRDefault="002101F6" w:rsidP="002101F6">
      <w:pPr>
        <w:spacing w:after="0" w:line="240" w:lineRule="auto"/>
        <w:rPr>
          <w:rFonts w:ascii="Times New Roman" w:eastAsia="Times New Roman" w:hAnsi="Times New Roman"/>
          <w:color w:val="000000"/>
          <w:lang w:val="lt-LT"/>
        </w:rPr>
      </w:pPr>
      <w:r w:rsidRPr="00153D15">
        <w:rPr>
          <w:rFonts w:ascii="Times New Roman" w:eastAsia="Times New Roman" w:hAnsi="Times New Roman"/>
          <w:color w:val="000000"/>
          <w:lang w:val="lt-LT"/>
        </w:rPr>
        <w:t xml:space="preserve">Staigiai nutraukus gydymą CELEBREX, ligos simptomai gali vėl pasunkėti. CELEBREX vartojimo nutraukti be gydytojo nurodymo negalima. Gydytojas nurodys keletą dienų mažinti vaisto dozę, kol visiškai nutrauksite vaisto vartojimą. </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t>Jeigu kiltų daugiau klausimų dėl šio vaisto vartojimo, kreipkitės į gydytoją arba vaistininką.</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numPr>
          <w:ilvl w:val="12"/>
          <w:numId w:val="0"/>
        </w:numP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4.</w:t>
      </w:r>
      <w:r w:rsidRPr="00153D15">
        <w:rPr>
          <w:rFonts w:ascii="Times New Roman" w:eastAsia="Times New Roman" w:hAnsi="Times New Roman"/>
          <w:b/>
          <w:caps/>
          <w:lang w:val="lt-LT"/>
        </w:rPr>
        <w:tab/>
      </w:r>
      <w:r w:rsidRPr="00153D15">
        <w:rPr>
          <w:rFonts w:ascii="Times New Roman" w:eastAsia="Times New Roman" w:hAnsi="Times New Roman"/>
          <w:b/>
          <w:lang w:val="lt-LT"/>
        </w:rPr>
        <w:t>Galimas šalutinis poveikis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Šis vaistas, kaip ir visi kiti, gali sukelti šalutinį poveikį, nors jis pasireiškia ne visiems žmonėms. </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outlineLvl w:val="0"/>
        <w:rPr>
          <w:rFonts w:ascii="Times New Roman" w:eastAsia="Calibri" w:hAnsi="Times New Roman"/>
          <w:lang w:val="lt-LT"/>
        </w:rPr>
      </w:pPr>
      <w:r w:rsidRPr="00153D15">
        <w:rPr>
          <w:rFonts w:ascii="Times New Roman" w:eastAsia="Calibri" w:hAnsi="Times New Roman"/>
          <w:lang w:val="lt-LT"/>
        </w:rPr>
        <w:t xml:space="preserve">Jeigu pasireiškia bet kuri iš </w:t>
      </w:r>
      <w:r w:rsidR="00A62EAF">
        <w:rPr>
          <w:rFonts w:ascii="Times New Roman" w:eastAsia="Calibri" w:hAnsi="Times New Roman"/>
          <w:lang w:val="lt-LT"/>
        </w:rPr>
        <w:t xml:space="preserve">toliau </w:t>
      </w:r>
      <w:r w:rsidRPr="00153D15">
        <w:rPr>
          <w:rFonts w:ascii="Times New Roman" w:eastAsia="Calibri" w:hAnsi="Times New Roman"/>
          <w:lang w:val="lt-LT"/>
        </w:rPr>
        <w:t>išvardytų būklių, nutraukite</w:t>
      </w:r>
      <w:r w:rsidRPr="00153D15">
        <w:rPr>
          <w:rFonts w:ascii="Times New Roman" w:eastAsia="Calibri" w:hAnsi="Times New Roman"/>
          <w:i/>
          <w:lang w:val="lt-LT"/>
        </w:rPr>
        <w:t xml:space="preserve"> </w:t>
      </w:r>
      <w:r w:rsidRPr="00153D15">
        <w:rPr>
          <w:rFonts w:ascii="Times New Roman" w:eastAsia="Calibri" w:hAnsi="Times New Roman"/>
          <w:lang w:val="lt-LT"/>
        </w:rPr>
        <w:t>CELEBREX vartojimą ir nedelsdami kreipkitės į gydytoją.</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Alerginė reakcija, pavyzdžiui, odos išbėrimas, veido patinimas, dusulys arba kvėpavimo pasunkėjimas.</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Širdies sutrikimas, pavyzdžiui, krūtinės skausmas.</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Sunkus pilvo skausmas arba atsirado kraujavimo iš skrandžio arba žarnyno požymių, pavyzdžiui, tuštinatės juodomis ar su kraujo priemaiša išmatomis arba vemiate krauju.</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Odos reakcija, pavyzdžiui, odos išbėrimas, pūslėtumas ar lupimasis.</w:t>
      </w: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Kepenų funkcijos nepakankamumas</w:t>
      </w:r>
      <w:r w:rsidR="00B70E9E">
        <w:rPr>
          <w:rFonts w:ascii="Times New Roman" w:eastAsia="Times New Roman" w:hAnsi="Times New Roman"/>
          <w:lang w:val="lt-LT"/>
        </w:rPr>
        <w:t>, kurio</w:t>
      </w:r>
      <w:r w:rsidRPr="00153D15">
        <w:rPr>
          <w:rFonts w:ascii="Times New Roman" w:eastAsia="Times New Roman" w:hAnsi="Times New Roman"/>
          <w:lang w:val="lt-LT"/>
        </w:rPr>
        <w:t xml:space="preserve"> simptomai gali būti tokie: pykinimas, viduriavimas, odos ir akių baltymų pageltimas.</w:t>
      </w:r>
    </w:p>
    <w:p w:rsidR="00A75F8C" w:rsidRPr="00153D15" w:rsidRDefault="00A75F8C" w:rsidP="002101F6">
      <w:pPr>
        <w:spacing w:after="0" w:line="240" w:lineRule="auto"/>
        <w:outlineLvl w:val="0"/>
        <w:rPr>
          <w:rFonts w:ascii="Times New Roman" w:eastAsia="Times New Roman" w:hAnsi="Times New Roman"/>
          <w:bCs/>
          <w:u w:val="single"/>
          <w:lang w:val="lt-LT"/>
        </w:rPr>
      </w:pPr>
      <w:r>
        <w:rPr>
          <w:rFonts w:ascii="Times New Roman" w:eastAsia="Times New Roman" w:hAnsi="Times New Roman"/>
          <w:bCs/>
          <w:u w:val="single"/>
          <w:lang w:val="lt-LT"/>
        </w:rPr>
        <w:t xml:space="preserve"> </w:t>
      </w:r>
    </w:p>
    <w:p w:rsidR="002101F6" w:rsidRPr="00153D15" w:rsidRDefault="002101F6" w:rsidP="002101F6">
      <w:pPr>
        <w:spacing w:after="0" w:line="240" w:lineRule="auto"/>
        <w:outlineLvl w:val="0"/>
        <w:rPr>
          <w:rFonts w:ascii="Times New Roman" w:eastAsia="Times New Roman" w:hAnsi="Times New Roman"/>
          <w:bCs/>
          <w:u w:val="single"/>
          <w:lang w:val="lt-LT"/>
        </w:rPr>
      </w:pPr>
      <w:r w:rsidRPr="00153D15">
        <w:rPr>
          <w:rFonts w:ascii="Times New Roman" w:eastAsia="Times New Roman" w:hAnsi="Times New Roman"/>
          <w:bCs/>
          <w:u w:val="single"/>
          <w:lang w:val="lt-LT"/>
        </w:rPr>
        <w:t>Klinikinių tyrimų metu nustatytas šalutinis poveikis, galintis pasireikšti suaugusiems žmonėms, nuo skausmo ir uždegimo vartojantiems 25</w:t>
      </w:r>
      <w:r w:rsidRPr="00153D15">
        <w:rPr>
          <w:rFonts w:ascii="Times New Roman" w:eastAsia="Times New Roman" w:hAnsi="Times New Roman"/>
          <w:bCs/>
          <w:u w:val="single"/>
          <w:lang w:val="lt-LT"/>
        </w:rPr>
        <w:noBreakHyphen/>
        <w:t>800 mg paros dozę.</w:t>
      </w:r>
    </w:p>
    <w:p w:rsidR="002101F6" w:rsidRPr="00153D15" w:rsidRDefault="002101F6" w:rsidP="002101F6">
      <w:pPr>
        <w:spacing w:after="0" w:line="240" w:lineRule="auto"/>
        <w:outlineLvl w:val="0"/>
        <w:rPr>
          <w:rFonts w:ascii="Times New Roman" w:eastAsia="Calibri" w:hAnsi="Times New Roman"/>
          <w:i/>
          <w:lang w:val="lt-LT"/>
        </w:rPr>
      </w:pPr>
    </w:p>
    <w:p w:rsidR="002101F6" w:rsidRPr="00153D15" w:rsidRDefault="002101F6" w:rsidP="002101F6">
      <w:pPr>
        <w:spacing w:after="0" w:line="240" w:lineRule="auto"/>
        <w:outlineLvl w:val="0"/>
        <w:rPr>
          <w:rFonts w:ascii="Times New Roman" w:eastAsia="Calibri" w:hAnsi="Times New Roman"/>
          <w:i/>
          <w:lang w:val="lt-LT"/>
        </w:rPr>
      </w:pPr>
      <w:r w:rsidRPr="00153D15">
        <w:rPr>
          <w:rFonts w:ascii="Times New Roman" w:eastAsia="Calibri" w:hAnsi="Times New Roman"/>
          <w:i/>
          <w:lang w:val="lt-LT"/>
        </w:rPr>
        <w:t>Dažnas šalutinis poveikis (</w:t>
      </w:r>
      <w:r w:rsidR="00A75F8C">
        <w:rPr>
          <w:rFonts w:ascii="Times New Roman" w:eastAsia="Calibri" w:hAnsi="Times New Roman"/>
          <w:i/>
          <w:lang w:val="lt-LT"/>
        </w:rPr>
        <w:t xml:space="preserve">gali </w:t>
      </w:r>
      <w:r w:rsidRPr="00153D15">
        <w:rPr>
          <w:rFonts w:ascii="Times New Roman" w:eastAsia="Calibri" w:hAnsi="Times New Roman"/>
          <w:i/>
          <w:lang w:val="lt-LT"/>
        </w:rPr>
        <w:t>pasirei</w:t>
      </w:r>
      <w:r w:rsidR="00A75F8C">
        <w:rPr>
          <w:rFonts w:ascii="Times New Roman" w:eastAsia="Calibri" w:hAnsi="Times New Roman"/>
          <w:i/>
          <w:lang w:val="lt-LT"/>
        </w:rPr>
        <w:t>kšti</w:t>
      </w:r>
      <w:r w:rsidRPr="00153D15">
        <w:rPr>
          <w:rFonts w:ascii="Times New Roman" w:eastAsia="Calibri" w:hAnsi="Times New Roman"/>
          <w:i/>
          <w:lang w:val="lt-LT"/>
        </w:rPr>
        <w:t xml:space="preserve"> 1–10 vartotojų iš 100):</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bronchų uždegimas (bronchitas), ančių uždegimas (sinusitas), viršutinių kvėpavimo takų infekcija, šlapimo takų infekcija;</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nemiga;</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svaigulys;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didelis kraujospūdis (įskaitant esamo kraujospūdžio padidėjimo pasunkėjimą);</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kosulys;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vėmimas, pilvo skausmas, viduriavimas, nevirškinimas, pilvo pūtimas;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niežulys (įskaitant išplitusį niežulį), išbėrimas;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plaštakų ar pėdų patinimas.</w:t>
      </w:r>
    </w:p>
    <w:p w:rsidR="002101F6" w:rsidRPr="00153D15" w:rsidRDefault="002101F6" w:rsidP="002101F6">
      <w:pPr>
        <w:spacing w:after="0" w:line="240" w:lineRule="auto"/>
        <w:ind w:left="567" w:hanging="567"/>
        <w:outlineLvl w:val="0"/>
        <w:rPr>
          <w:rFonts w:ascii="Times New Roman" w:eastAsia="Times New Roman" w:hAnsi="Times New Roman"/>
          <w:lang w:val="lt-LT"/>
        </w:rPr>
      </w:pPr>
    </w:p>
    <w:p w:rsidR="002101F6" w:rsidRPr="00153D15" w:rsidRDefault="002101F6" w:rsidP="002101F6">
      <w:pPr>
        <w:spacing w:after="0" w:line="240" w:lineRule="auto"/>
        <w:jc w:val="both"/>
        <w:outlineLvl w:val="0"/>
        <w:rPr>
          <w:rFonts w:ascii="Times New Roman" w:eastAsia="Calibri" w:hAnsi="Times New Roman"/>
          <w:i/>
          <w:lang w:val="lt-LT"/>
        </w:rPr>
      </w:pPr>
      <w:r w:rsidRPr="00153D15">
        <w:rPr>
          <w:rFonts w:ascii="Times New Roman" w:eastAsia="Calibri" w:hAnsi="Times New Roman"/>
          <w:i/>
          <w:lang w:val="lt-LT"/>
        </w:rPr>
        <w:t>Nedažnas šalutinis poveikis (</w:t>
      </w:r>
      <w:r w:rsidR="00A75F8C">
        <w:rPr>
          <w:rFonts w:ascii="Times New Roman" w:eastAsia="Calibri" w:hAnsi="Times New Roman"/>
          <w:i/>
          <w:lang w:val="lt-LT"/>
        </w:rPr>
        <w:t xml:space="preserve">gali </w:t>
      </w:r>
      <w:r w:rsidRPr="00153D15">
        <w:rPr>
          <w:rFonts w:ascii="Times New Roman" w:eastAsia="Calibri" w:hAnsi="Times New Roman"/>
          <w:i/>
          <w:lang w:val="lt-LT"/>
        </w:rPr>
        <w:t>pasirei</w:t>
      </w:r>
      <w:r w:rsidR="00A75F8C">
        <w:rPr>
          <w:rFonts w:ascii="Times New Roman" w:eastAsia="Calibri" w:hAnsi="Times New Roman"/>
          <w:i/>
          <w:lang w:val="lt-LT"/>
        </w:rPr>
        <w:t>kšti</w:t>
      </w:r>
      <w:r w:rsidRPr="00153D15">
        <w:rPr>
          <w:rFonts w:ascii="Times New Roman" w:eastAsia="Calibri" w:hAnsi="Times New Roman"/>
          <w:i/>
          <w:lang w:val="lt-LT"/>
        </w:rPr>
        <w:t xml:space="preserve"> 1–10 vartotojų iš 1000):</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ryklės uždegimas</w:t>
      </w:r>
      <w:r w:rsidR="006C263D" w:rsidRPr="00153D15">
        <w:rPr>
          <w:rFonts w:ascii="Times New Roman" w:eastAsia="Times New Roman" w:hAnsi="Times New Roman"/>
          <w:lang w:val="lt-LT"/>
        </w:rPr>
        <w:t xml:space="preserve"> </w:t>
      </w:r>
      <w:r w:rsidRPr="00153D15">
        <w:rPr>
          <w:rFonts w:ascii="Times New Roman" w:eastAsia="Times New Roman" w:hAnsi="Times New Roman"/>
          <w:lang w:val="lt-LT"/>
        </w:rPr>
        <w:t>(gerklės skausmas), nosies gleivinės uždegimas (sloga);</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lastRenderedPageBreak/>
        <w:t>mažakraujystė (raudonųjų kraujo ląstelių kiekio kraujyje pokyčiai, dėl kurių gali pasireikšti nuovargis ar dusulys);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alergijos pasunkėjimas (padidėjęs jautrumas);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nerimas;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raumenų tonuso padidėjimas, mieguistumas;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matomo vaizdo neryškumas;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spengimas ausyse;</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juntamas dažnas širdies plakimas (palpitacij</w:t>
      </w:r>
      <w:r w:rsidR="00D85BDC">
        <w:rPr>
          <w:rFonts w:ascii="Times New Roman" w:eastAsia="Times New Roman" w:hAnsi="Times New Roman"/>
          <w:lang w:val="lt-LT"/>
        </w:rPr>
        <w:t>os</w:t>
      </w:r>
      <w:r w:rsidRPr="00153D15">
        <w:rPr>
          <w:rFonts w:ascii="Times New Roman" w:eastAsia="Times New Roman" w:hAnsi="Times New Roman"/>
          <w:lang w:val="lt-LT"/>
        </w:rPr>
        <w:t>);</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skrandžio opa, dantų sutrikimai;</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nenormalūs kepenų veiklą rodančių laboratorinių tyrimų rodmenys;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dilgėlinė, dėminės kraujosruvos;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veido patinimas, į gripą panašūs simptomai (į gripą panašus susirgimas);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atsitiktinis sužalojimas.</w:t>
      </w:r>
    </w:p>
    <w:p w:rsidR="002101F6" w:rsidRPr="00153D15" w:rsidRDefault="002101F6" w:rsidP="002101F6">
      <w:pPr>
        <w:spacing w:after="0" w:line="240" w:lineRule="auto"/>
        <w:jc w:val="both"/>
        <w:outlineLvl w:val="0"/>
        <w:rPr>
          <w:rFonts w:ascii="Times New Roman" w:eastAsia="Calibri" w:hAnsi="Times New Roman"/>
          <w:i/>
          <w:lang w:val="lt-LT"/>
        </w:rPr>
      </w:pPr>
    </w:p>
    <w:p w:rsidR="002101F6" w:rsidRPr="00153D15" w:rsidRDefault="002101F6" w:rsidP="002101F6">
      <w:pPr>
        <w:spacing w:after="0" w:line="240" w:lineRule="auto"/>
        <w:jc w:val="both"/>
        <w:outlineLvl w:val="0"/>
        <w:rPr>
          <w:rFonts w:ascii="Times New Roman" w:eastAsia="Calibri" w:hAnsi="Times New Roman"/>
          <w:i/>
          <w:lang w:val="lt-LT"/>
        </w:rPr>
      </w:pPr>
      <w:r w:rsidRPr="00153D15">
        <w:rPr>
          <w:rFonts w:ascii="Times New Roman" w:eastAsia="Calibri" w:hAnsi="Times New Roman"/>
          <w:i/>
          <w:lang w:val="lt-LT"/>
        </w:rPr>
        <w:t>Retas šalutinis poveikis (</w:t>
      </w:r>
      <w:r w:rsidR="00A75F8C">
        <w:rPr>
          <w:rFonts w:ascii="Times New Roman" w:eastAsia="Calibri" w:hAnsi="Times New Roman"/>
          <w:i/>
          <w:lang w:val="lt-LT"/>
        </w:rPr>
        <w:t xml:space="preserve">gali </w:t>
      </w:r>
      <w:r w:rsidRPr="00153D15">
        <w:rPr>
          <w:rFonts w:ascii="Times New Roman" w:eastAsia="Calibri" w:hAnsi="Times New Roman"/>
          <w:i/>
          <w:lang w:val="lt-LT"/>
        </w:rPr>
        <w:t>pasirei</w:t>
      </w:r>
      <w:r w:rsidR="00A75F8C">
        <w:rPr>
          <w:rFonts w:ascii="Times New Roman" w:eastAsia="Calibri" w:hAnsi="Times New Roman"/>
          <w:i/>
          <w:lang w:val="lt-LT"/>
        </w:rPr>
        <w:t>kšti</w:t>
      </w:r>
      <w:r w:rsidRPr="00153D15">
        <w:rPr>
          <w:rFonts w:ascii="Times New Roman" w:eastAsia="Calibri" w:hAnsi="Times New Roman"/>
          <w:i/>
          <w:lang w:val="lt-LT"/>
        </w:rPr>
        <w:t xml:space="preserve"> 1–10 vartotojų iš 10000):</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kraujo plokštelių kiekio sumažėjimas (padidėja kraujavimo ir mėlynių atsiradimo rizika);</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sumišimas (minčių susipainiojimas);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širdies nepakankamumas, širdies ritmo sutrikimas, dažnas širdies plakimas;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kraujo priplūdimas į kaklą ir veidą;</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dvylikapirštės žarnos opa, stemplės opa;</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rijimą ir kvėpavimą apsunkinti galintis veido ir liežuvio patinimas, nuplikimas.</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jc w:val="both"/>
        <w:outlineLvl w:val="0"/>
        <w:rPr>
          <w:rFonts w:ascii="Times New Roman" w:eastAsia="Calibri" w:hAnsi="Times New Roman"/>
          <w:i/>
          <w:lang w:val="lt-LT"/>
        </w:rPr>
      </w:pPr>
      <w:r w:rsidRPr="00153D15">
        <w:rPr>
          <w:rFonts w:ascii="Times New Roman" w:eastAsia="Calibri" w:hAnsi="Times New Roman"/>
          <w:i/>
          <w:lang w:val="lt-LT"/>
        </w:rPr>
        <w:t>Labai retas šalutinis poveikis (</w:t>
      </w:r>
      <w:r w:rsidR="00A75F8C">
        <w:rPr>
          <w:rFonts w:ascii="Times New Roman" w:eastAsia="Calibri" w:hAnsi="Times New Roman"/>
          <w:i/>
          <w:lang w:val="lt-LT"/>
        </w:rPr>
        <w:t xml:space="preserve">gali </w:t>
      </w:r>
      <w:r w:rsidRPr="00153D15">
        <w:rPr>
          <w:rFonts w:ascii="Times New Roman" w:eastAsia="Calibri" w:hAnsi="Times New Roman"/>
          <w:i/>
          <w:lang w:val="lt-LT"/>
        </w:rPr>
        <w:t>pasirei</w:t>
      </w:r>
      <w:r w:rsidR="00A75F8C">
        <w:rPr>
          <w:rFonts w:ascii="Times New Roman" w:eastAsia="Calibri" w:hAnsi="Times New Roman"/>
          <w:i/>
          <w:lang w:val="lt-LT"/>
        </w:rPr>
        <w:t>kšti</w:t>
      </w:r>
      <w:r w:rsidRPr="00153D15">
        <w:rPr>
          <w:rFonts w:ascii="Times New Roman" w:eastAsia="Calibri" w:hAnsi="Times New Roman"/>
          <w:i/>
          <w:lang w:val="lt-LT"/>
        </w:rPr>
        <w:t xml:space="preserve"> ne daugiau kaip 1 vartotojui iš 10000):</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 xml:space="preserve">žarnų prakiurimas (gali pasireikšti </w:t>
      </w:r>
      <w:r w:rsidR="00F05960">
        <w:rPr>
          <w:rFonts w:ascii="Times New Roman" w:eastAsia="Times New Roman" w:hAnsi="Times New Roman"/>
          <w:lang w:val="lt-LT"/>
        </w:rPr>
        <w:t xml:space="preserve">stiprus ūmus </w:t>
      </w:r>
      <w:r w:rsidRPr="00153D15">
        <w:rPr>
          <w:rFonts w:ascii="Times New Roman" w:eastAsia="Times New Roman" w:hAnsi="Times New Roman"/>
          <w:lang w:val="lt-LT"/>
        </w:rPr>
        <w:t>pilvo skausmas, karščiavimas, pykinimas, vėmimas), kasos uždegimas (jam būdingas stiprus pilvo skausmas);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pūsl</w:t>
      </w:r>
      <w:r w:rsidR="00235831">
        <w:rPr>
          <w:rFonts w:ascii="Times New Roman" w:eastAsia="Times New Roman" w:hAnsi="Times New Roman"/>
          <w:lang w:val="lt-LT"/>
        </w:rPr>
        <w:t>elinis</w:t>
      </w:r>
      <w:r w:rsidRPr="00153D15">
        <w:rPr>
          <w:rFonts w:ascii="Times New Roman" w:eastAsia="Times New Roman" w:hAnsi="Times New Roman"/>
          <w:lang w:val="lt-LT"/>
        </w:rPr>
        <w:t xml:space="preserve"> odos </w:t>
      </w:r>
      <w:r w:rsidR="00235831">
        <w:rPr>
          <w:rFonts w:ascii="Times New Roman" w:eastAsia="Times New Roman" w:hAnsi="Times New Roman"/>
          <w:lang w:val="lt-LT"/>
        </w:rPr>
        <w:t>uždegimas</w:t>
      </w:r>
      <w:r w:rsidRPr="00153D15">
        <w:rPr>
          <w:rFonts w:ascii="Times New Roman" w:eastAsia="Times New Roman" w:hAnsi="Times New Roman"/>
          <w:lang w:val="lt-LT"/>
        </w:rPr>
        <w:t>.</w:t>
      </w:r>
    </w:p>
    <w:p w:rsidR="002101F6" w:rsidRPr="00153D15" w:rsidRDefault="002101F6" w:rsidP="002101F6">
      <w:pPr>
        <w:spacing w:after="0" w:line="240" w:lineRule="auto"/>
        <w:rPr>
          <w:rFonts w:ascii="Times New Roman" w:eastAsia="Calibri" w:hAnsi="Times New Roman"/>
          <w:i/>
          <w:lang w:val="lt-LT"/>
        </w:rPr>
      </w:pPr>
    </w:p>
    <w:p w:rsidR="002101F6" w:rsidRPr="00153D15" w:rsidRDefault="002101F6" w:rsidP="002101F6">
      <w:pPr>
        <w:spacing w:after="0" w:line="240" w:lineRule="auto"/>
        <w:outlineLvl w:val="0"/>
        <w:rPr>
          <w:rFonts w:ascii="Times New Roman" w:eastAsia="Times New Roman" w:hAnsi="Times New Roman"/>
          <w:bCs/>
          <w:u w:val="single"/>
          <w:lang w:val="lt-LT"/>
        </w:rPr>
      </w:pPr>
      <w:r w:rsidRPr="00153D15">
        <w:rPr>
          <w:rFonts w:ascii="Times New Roman" w:eastAsia="Times New Roman" w:hAnsi="Times New Roman"/>
          <w:bCs/>
          <w:u w:val="single"/>
          <w:lang w:val="lt-LT"/>
        </w:rPr>
        <w:t>Klinikinių tyrimų metu nustatytas šalutinis poveikis, galintis pasireikšti suaugusiems žmonėms, polipų profilaktikai vartojantiems 400</w:t>
      </w:r>
      <w:r w:rsidRPr="00153D15">
        <w:rPr>
          <w:rFonts w:ascii="Times New Roman" w:eastAsia="Times New Roman" w:hAnsi="Times New Roman"/>
          <w:bCs/>
          <w:u w:val="single"/>
          <w:lang w:val="lt-LT"/>
        </w:rPr>
        <w:noBreakHyphen/>
        <w:t>800 mg paros dozę.</w:t>
      </w:r>
    </w:p>
    <w:p w:rsidR="002101F6" w:rsidRPr="00153D15" w:rsidRDefault="002101F6" w:rsidP="002101F6">
      <w:pPr>
        <w:spacing w:after="0" w:line="240" w:lineRule="auto"/>
        <w:rPr>
          <w:rFonts w:ascii="Times New Roman" w:eastAsia="Calibri" w:hAnsi="Times New Roman"/>
          <w:i/>
          <w:lang w:val="lt-LT"/>
        </w:rPr>
      </w:pPr>
    </w:p>
    <w:p w:rsidR="002101F6" w:rsidRPr="00153D15" w:rsidRDefault="002101F6" w:rsidP="002101F6">
      <w:pPr>
        <w:spacing w:after="0" w:line="240" w:lineRule="auto"/>
        <w:outlineLvl w:val="0"/>
        <w:rPr>
          <w:rFonts w:ascii="Times New Roman" w:eastAsia="Calibri" w:hAnsi="Times New Roman"/>
          <w:i/>
          <w:lang w:val="lt-LT"/>
        </w:rPr>
      </w:pPr>
      <w:r w:rsidRPr="00153D15">
        <w:rPr>
          <w:rFonts w:ascii="Times New Roman" w:eastAsia="Calibri" w:hAnsi="Times New Roman"/>
          <w:i/>
          <w:lang w:val="lt-LT"/>
        </w:rPr>
        <w:t>Labai dažnas šalutinis poveikis (</w:t>
      </w:r>
      <w:r w:rsidR="00414582">
        <w:rPr>
          <w:rFonts w:ascii="Times New Roman" w:eastAsia="Calibri" w:hAnsi="Times New Roman"/>
          <w:i/>
          <w:lang w:val="lt-LT"/>
        </w:rPr>
        <w:t xml:space="preserve">gali </w:t>
      </w:r>
      <w:r w:rsidRPr="00153D15">
        <w:rPr>
          <w:rFonts w:ascii="Times New Roman" w:eastAsia="Calibri" w:hAnsi="Times New Roman"/>
          <w:i/>
          <w:lang w:val="lt-LT"/>
        </w:rPr>
        <w:t>pasirei</w:t>
      </w:r>
      <w:r w:rsidR="00414582">
        <w:rPr>
          <w:rFonts w:ascii="Times New Roman" w:eastAsia="Calibri" w:hAnsi="Times New Roman"/>
          <w:i/>
          <w:lang w:val="lt-LT"/>
        </w:rPr>
        <w:t>kšti</w:t>
      </w:r>
      <w:r w:rsidRPr="00153D15">
        <w:rPr>
          <w:rFonts w:ascii="Times New Roman" w:eastAsia="Calibri" w:hAnsi="Times New Roman"/>
          <w:i/>
          <w:lang w:val="lt-LT"/>
        </w:rPr>
        <w:t xml:space="preserve"> daugiau kaip 1 vartotoj</w:t>
      </w:r>
      <w:r w:rsidR="00414582">
        <w:rPr>
          <w:rFonts w:ascii="Times New Roman" w:eastAsia="Calibri" w:hAnsi="Times New Roman"/>
          <w:i/>
          <w:lang w:val="lt-LT"/>
        </w:rPr>
        <w:t>ui</w:t>
      </w:r>
      <w:r w:rsidRPr="00153D15">
        <w:rPr>
          <w:rFonts w:ascii="Times New Roman" w:eastAsia="Calibri" w:hAnsi="Times New Roman"/>
          <w:i/>
          <w:lang w:val="lt-LT"/>
        </w:rPr>
        <w:t xml:space="preserve"> iš 10):</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didelis kraujospūdis;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viduriavimas.</w:t>
      </w:r>
    </w:p>
    <w:p w:rsidR="002101F6" w:rsidRPr="00153D15" w:rsidRDefault="002101F6" w:rsidP="002101F6">
      <w:pPr>
        <w:spacing w:after="0" w:line="240" w:lineRule="auto"/>
        <w:outlineLvl w:val="0"/>
        <w:rPr>
          <w:rFonts w:ascii="Times New Roman" w:eastAsia="Calibri" w:hAnsi="Times New Roman"/>
          <w:i/>
          <w:lang w:val="lt-LT"/>
        </w:rPr>
      </w:pPr>
    </w:p>
    <w:p w:rsidR="002101F6" w:rsidRPr="00153D15" w:rsidRDefault="002101F6" w:rsidP="002101F6">
      <w:pPr>
        <w:spacing w:after="0" w:line="240" w:lineRule="auto"/>
        <w:outlineLvl w:val="0"/>
        <w:rPr>
          <w:rFonts w:ascii="Times New Roman" w:eastAsia="Calibri" w:hAnsi="Times New Roman"/>
          <w:i/>
          <w:lang w:val="lt-LT"/>
        </w:rPr>
      </w:pPr>
      <w:r w:rsidRPr="00153D15">
        <w:rPr>
          <w:rFonts w:ascii="Times New Roman" w:eastAsia="Calibri" w:hAnsi="Times New Roman"/>
          <w:i/>
          <w:lang w:val="lt-LT"/>
        </w:rPr>
        <w:t>Dažnas šalutinis poveikis (</w:t>
      </w:r>
      <w:r w:rsidR="00414582">
        <w:rPr>
          <w:rFonts w:ascii="Times New Roman" w:eastAsia="Calibri" w:hAnsi="Times New Roman"/>
          <w:i/>
          <w:lang w:val="lt-LT"/>
        </w:rPr>
        <w:t xml:space="preserve">gali </w:t>
      </w:r>
      <w:r w:rsidRPr="00153D15">
        <w:rPr>
          <w:rFonts w:ascii="Times New Roman" w:eastAsia="Calibri" w:hAnsi="Times New Roman"/>
          <w:i/>
          <w:lang w:val="lt-LT"/>
        </w:rPr>
        <w:t>pasirei</w:t>
      </w:r>
      <w:r w:rsidR="00414582">
        <w:rPr>
          <w:rFonts w:ascii="Times New Roman" w:eastAsia="Calibri" w:hAnsi="Times New Roman"/>
          <w:i/>
          <w:lang w:val="lt-LT"/>
        </w:rPr>
        <w:t>kšti</w:t>
      </w:r>
      <w:r w:rsidRPr="00153D15">
        <w:rPr>
          <w:rFonts w:ascii="Times New Roman" w:eastAsia="Calibri" w:hAnsi="Times New Roman"/>
          <w:i/>
          <w:lang w:val="lt-LT"/>
        </w:rPr>
        <w:t xml:space="preserve"> 1–10 vartotojų iš 100):</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ausies infekcija, grybelių sukelta infekcija;</w:t>
      </w:r>
    </w:p>
    <w:p w:rsidR="002101F6" w:rsidRPr="00153D15" w:rsidRDefault="002C71D5" w:rsidP="002101F6">
      <w:pPr>
        <w:numPr>
          <w:ilvl w:val="0"/>
          <w:numId w:val="43"/>
        </w:numPr>
        <w:spacing w:after="0" w:line="240" w:lineRule="auto"/>
        <w:ind w:left="567" w:hanging="567"/>
        <w:outlineLvl w:val="0"/>
        <w:rPr>
          <w:rFonts w:ascii="Times New Roman" w:eastAsia="Times New Roman" w:hAnsi="Times New Roman"/>
          <w:lang w:val="lt-LT"/>
        </w:rPr>
      </w:pPr>
      <w:r>
        <w:rPr>
          <w:rFonts w:ascii="Times New Roman" w:eastAsia="Times New Roman" w:hAnsi="Times New Roman"/>
          <w:lang w:val="lt-LT"/>
        </w:rPr>
        <w:t>infarktas</w:t>
      </w:r>
      <w:r w:rsidR="002101F6" w:rsidRPr="00153D15">
        <w:rPr>
          <w:rFonts w:ascii="Times New Roman" w:eastAsia="Times New Roman" w:hAnsi="Times New Roman"/>
          <w:lang w:val="lt-LT"/>
        </w:rPr>
        <w:t>, krūtinės angina (krūtinės skausmas);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dusulys;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vėmimas, rijimo sutrikimas, dirgliosios žarnos sindromas (pilvo skausmas ir žarnyno veiklos sutrikimas), gastroezofaginio refliukso liga (rūgštaus skrandžio turinio patekimas iš skrandžio į stemplę), pykinimas, divertikulas (maišelis žarnyno sienelėje, galintis sukelti pilvo skausmą, viduriavimą ir kraują išmatose);</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nenormalūs kepenų veiklą rodančių laboratorinių tyrimų rodmenys;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raumenų spazmai;</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inkstų akmenligė (dėl to gali pasireikšti pilvo ar nugaros skausmas, atsirasti kraujo šlapime);</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kraujavimas iš makšties, prostatos uždegimas, gerybinis prostatos padidėjimas;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nenormalūs inkstų veiklą rodančių laboratorinių tyrimų rodmenys, nenormalūs prostatos būklę rodančių laboratorinių tyrimų rodmenys (prostatos specifinio antigeno kiekio padidėjimas), kūno svorio padidėjimas.</w:t>
      </w:r>
    </w:p>
    <w:p w:rsidR="002101F6" w:rsidRPr="00153D15" w:rsidRDefault="002101F6" w:rsidP="002101F6">
      <w:pPr>
        <w:spacing w:after="0" w:line="240" w:lineRule="auto"/>
        <w:ind w:left="567" w:hanging="567"/>
        <w:outlineLvl w:val="0"/>
        <w:rPr>
          <w:rFonts w:ascii="Times New Roman" w:eastAsia="Times New Roman" w:hAnsi="Times New Roman"/>
          <w:lang w:val="lt-LT"/>
        </w:rPr>
      </w:pPr>
    </w:p>
    <w:p w:rsidR="002101F6" w:rsidRPr="00153D15" w:rsidRDefault="002101F6" w:rsidP="002101F6">
      <w:pPr>
        <w:spacing w:after="0" w:line="240" w:lineRule="auto"/>
        <w:jc w:val="both"/>
        <w:outlineLvl w:val="0"/>
        <w:rPr>
          <w:rFonts w:ascii="Times New Roman" w:eastAsia="Calibri" w:hAnsi="Times New Roman"/>
          <w:i/>
          <w:lang w:val="lt-LT"/>
        </w:rPr>
      </w:pPr>
      <w:r w:rsidRPr="00153D15">
        <w:rPr>
          <w:rFonts w:ascii="Times New Roman" w:eastAsia="Calibri" w:hAnsi="Times New Roman"/>
          <w:i/>
          <w:lang w:val="lt-LT"/>
        </w:rPr>
        <w:lastRenderedPageBreak/>
        <w:t>Nedažnas šalutinis poveikis (</w:t>
      </w:r>
      <w:r w:rsidR="00414582">
        <w:rPr>
          <w:rFonts w:ascii="Times New Roman" w:eastAsia="Calibri" w:hAnsi="Times New Roman"/>
          <w:i/>
          <w:lang w:val="lt-LT"/>
        </w:rPr>
        <w:t xml:space="preserve">gali </w:t>
      </w:r>
      <w:r w:rsidRPr="00153D15">
        <w:rPr>
          <w:rFonts w:ascii="Times New Roman" w:eastAsia="Calibri" w:hAnsi="Times New Roman"/>
          <w:i/>
          <w:lang w:val="lt-LT"/>
        </w:rPr>
        <w:t>pasirei</w:t>
      </w:r>
      <w:r w:rsidR="00414582">
        <w:rPr>
          <w:rFonts w:ascii="Times New Roman" w:eastAsia="Calibri" w:hAnsi="Times New Roman"/>
          <w:i/>
          <w:lang w:val="lt-LT"/>
        </w:rPr>
        <w:t>kšti</w:t>
      </w:r>
      <w:r w:rsidRPr="00153D15">
        <w:rPr>
          <w:rFonts w:ascii="Times New Roman" w:eastAsia="Calibri" w:hAnsi="Times New Roman"/>
          <w:i/>
          <w:lang w:val="lt-LT"/>
        </w:rPr>
        <w:t xml:space="preserve"> 1–10 vartotojų iš 1000):</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skrandžio infekcija (gali pasireikšti dirginimas ir atsirasti skrandžio bei žarnų opų), juosiančioji pūslelinė, rožė, žaizdos infekcija, dantenų uždegimas, vidinės ausies uždegimas, bakterijų sukelta infekcija;</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lipoma (</w:t>
      </w:r>
      <w:r w:rsidR="00B82545">
        <w:rPr>
          <w:rFonts w:ascii="Times New Roman" w:eastAsia="Times New Roman" w:hAnsi="Times New Roman"/>
          <w:lang w:val="lt-LT"/>
        </w:rPr>
        <w:t xml:space="preserve">gerybinis </w:t>
      </w:r>
      <w:r w:rsidRPr="00153D15">
        <w:rPr>
          <w:rFonts w:ascii="Times New Roman" w:eastAsia="Times New Roman" w:hAnsi="Times New Roman"/>
          <w:lang w:val="lt-LT"/>
        </w:rPr>
        <w:t xml:space="preserve">riebalinio audinio </w:t>
      </w:r>
      <w:r w:rsidR="00B82545">
        <w:rPr>
          <w:rFonts w:ascii="Times New Roman" w:eastAsia="Times New Roman" w:hAnsi="Times New Roman"/>
          <w:lang w:val="lt-LT"/>
        </w:rPr>
        <w:t>auglys</w:t>
      </w:r>
      <w:r w:rsidRPr="00153D15">
        <w:rPr>
          <w:rFonts w:ascii="Times New Roman" w:eastAsia="Times New Roman" w:hAnsi="Times New Roman"/>
          <w:lang w:val="lt-LT"/>
        </w:rPr>
        <w:t>);</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miego sutrikimai;</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insultas;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akies junginės kraujosruvos, akių drumstys;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susilpnėjusi klausa;</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 xml:space="preserve">ramybėje pasireiškiantis, stiprėjantis ar dažnėjantis krūtinės skausmas (nestabilioji krūtinės angina), aortos vožtuvo sutrikimas, širdies kraujagyslių susiaurėjimas, retas širdies plakimas, širdies raumens </w:t>
      </w:r>
      <w:r w:rsidR="00B82545">
        <w:rPr>
          <w:rFonts w:ascii="Times New Roman" w:eastAsia="Times New Roman" w:hAnsi="Times New Roman"/>
          <w:lang w:val="lt-LT"/>
        </w:rPr>
        <w:t>sustorėjimas</w:t>
      </w:r>
      <w:r w:rsidRPr="00153D15">
        <w:rPr>
          <w:rFonts w:ascii="Times New Roman" w:eastAsia="Times New Roman" w:hAnsi="Times New Roman"/>
          <w:lang w:val="lt-LT"/>
        </w:rPr>
        <w:t>;</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giliųjų venų trombozė (dažniausiai kojose formuojasi kraujo krešuliai, dėl kurių gali pasireikšti blauzdų skausmas, patinimas ar paraudimas arba kvėpavimo sutrikimas), kraujosruva;</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balso sutrikimas;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kraujavimas iš hemorojaus mazgų, žarnyno judesių suaktyvėjimas, burnos išopėjimas, burnos</w:t>
      </w:r>
      <w:r w:rsidR="00B82545">
        <w:rPr>
          <w:rFonts w:ascii="Times New Roman" w:eastAsia="Times New Roman" w:hAnsi="Times New Roman"/>
          <w:lang w:val="lt-LT"/>
        </w:rPr>
        <w:t xml:space="preserve"> gleivinės</w:t>
      </w:r>
      <w:r w:rsidRPr="00153D15">
        <w:rPr>
          <w:rFonts w:ascii="Times New Roman" w:eastAsia="Times New Roman" w:hAnsi="Times New Roman"/>
          <w:lang w:val="lt-LT"/>
        </w:rPr>
        <w:t xml:space="preserve"> uždegimas;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alerginis odos uždegimas;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sąnarinio maišelio cista;</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dažnas šlapinimasis naktį;</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kiaušidės cista, menopauzės (mėnesinių išnykimo) simptomai, krūtų jautrumas, menstruacijų sutrikimas;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patinimas;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padidėjęs kalio kiekis kraujyje, padidėjęs natrio kiekis kraujyje, sumažėjęs testosterono (vyriškojo lytinio hormono) kiekis kraujyje, su raudonosiomis kraujo ląstelėmis susijusių laboratorinių tyrimų rodmenų pokytis (minėti pokyčiai nustatomi kraujo tyrimais);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pėdos lūžis, kojos lūžis, lūžimas, alkūnės skausmas ir judesių sutrikimas, sausgyslės plyšimas.</w:t>
      </w:r>
    </w:p>
    <w:p w:rsidR="002101F6" w:rsidRPr="00153D15" w:rsidRDefault="002101F6" w:rsidP="002101F6">
      <w:pPr>
        <w:spacing w:after="0" w:line="240" w:lineRule="auto"/>
        <w:jc w:val="both"/>
        <w:outlineLvl w:val="0"/>
        <w:rPr>
          <w:rFonts w:ascii="Times New Roman" w:eastAsia="Calibri" w:hAnsi="Times New Roman"/>
          <w:i/>
          <w:lang w:val="lt-LT"/>
        </w:rPr>
      </w:pPr>
    </w:p>
    <w:p w:rsidR="00E32A05" w:rsidRPr="00153D15" w:rsidRDefault="002101F6" w:rsidP="002101F6">
      <w:pPr>
        <w:spacing w:after="0" w:line="240" w:lineRule="auto"/>
        <w:jc w:val="both"/>
        <w:outlineLvl w:val="0"/>
        <w:rPr>
          <w:rFonts w:ascii="Times New Roman" w:eastAsia="Calibri" w:hAnsi="Times New Roman"/>
          <w:iCs/>
          <w:u w:val="single"/>
          <w:lang w:val="lt-LT"/>
        </w:rPr>
      </w:pPr>
      <w:r w:rsidRPr="00153D15">
        <w:rPr>
          <w:rFonts w:ascii="Times New Roman" w:eastAsia="Calibri" w:hAnsi="Times New Roman"/>
          <w:iCs/>
          <w:u w:val="single"/>
          <w:lang w:val="lt-LT"/>
        </w:rPr>
        <w:t xml:space="preserve">Šalutinis poveikis, apie kurį duomenų gauta po vaisto </w:t>
      </w:r>
      <w:r w:rsidR="00E32A05">
        <w:rPr>
          <w:rFonts w:ascii="Times New Roman" w:eastAsia="Calibri" w:hAnsi="Times New Roman"/>
          <w:iCs/>
          <w:u w:val="single"/>
          <w:lang w:val="lt-LT"/>
        </w:rPr>
        <w:t>atsiradimo</w:t>
      </w:r>
      <w:r w:rsidR="00E32A05" w:rsidRPr="00153D15">
        <w:rPr>
          <w:rFonts w:ascii="Times New Roman" w:eastAsia="Calibri" w:hAnsi="Times New Roman"/>
          <w:iCs/>
          <w:u w:val="single"/>
          <w:lang w:val="lt-LT"/>
        </w:rPr>
        <w:t xml:space="preserve"> </w:t>
      </w:r>
      <w:r w:rsidRPr="00153D15">
        <w:rPr>
          <w:rFonts w:ascii="Times New Roman" w:eastAsia="Calibri" w:hAnsi="Times New Roman"/>
          <w:iCs/>
          <w:u w:val="single"/>
          <w:lang w:val="lt-LT"/>
        </w:rPr>
        <w:t>rink</w:t>
      </w:r>
      <w:r w:rsidR="00E32A05">
        <w:rPr>
          <w:rFonts w:ascii="Times New Roman" w:eastAsia="Calibri" w:hAnsi="Times New Roman"/>
          <w:iCs/>
          <w:u w:val="single"/>
          <w:lang w:val="lt-LT"/>
        </w:rPr>
        <w:t>oje</w:t>
      </w:r>
    </w:p>
    <w:p w:rsidR="002101F6" w:rsidRPr="00153D15" w:rsidRDefault="002101F6" w:rsidP="002101F6">
      <w:pPr>
        <w:spacing w:after="0" w:line="240" w:lineRule="auto"/>
        <w:jc w:val="both"/>
        <w:outlineLvl w:val="0"/>
        <w:rPr>
          <w:rFonts w:ascii="Times New Roman" w:eastAsia="Calibri" w:hAnsi="Times New Roman"/>
          <w:i/>
          <w:lang w:val="lt-LT"/>
        </w:rPr>
      </w:pPr>
    </w:p>
    <w:p w:rsidR="002101F6" w:rsidRPr="00153D15" w:rsidRDefault="003F5971" w:rsidP="002101F6">
      <w:pPr>
        <w:spacing w:after="0" w:line="240" w:lineRule="auto"/>
        <w:jc w:val="both"/>
        <w:outlineLvl w:val="0"/>
        <w:rPr>
          <w:rFonts w:ascii="Times New Roman" w:eastAsia="Calibri" w:hAnsi="Times New Roman"/>
          <w:i/>
          <w:lang w:val="lt-LT"/>
        </w:rPr>
      </w:pPr>
      <w:r>
        <w:rPr>
          <w:rFonts w:ascii="Times New Roman" w:eastAsia="Calibri" w:hAnsi="Times New Roman"/>
          <w:i/>
          <w:lang w:val="lt-LT"/>
        </w:rPr>
        <w:t>Šio š</w:t>
      </w:r>
      <w:r w:rsidR="002101F6" w:rsidRPr="00153D15">
        <w:rPr>
          <w:rFonts w:ascii="Times New Roman" w:eastAsia="Calibri" w:hAnsi="Times New Roman"/>
          <w:i/>
          <w:lang w:val="lt-LT"/>
        </w:rPr>
        <w:t>alutini</w:t>
      </w:r>
      <w:r>
        <w:rPr>
          <w:rFonts w:ascii="Times New Roman" w:eastAsia="Calibri" w:hAnsi="Times New Roman"/>
          <w:i/>
          <w:lang w:val="lt-LT"/>
        </w:rPr>
        <w:t>o</w:t>
      </w:r>
      <w:r w:rsidR="002101F6" w:rsidRPr="00153D15">
        <w:rPr>
          <w:rFonts w:ascii="Times New Roman" w:eastAsia="Calibri" w:hAnsi="Times New Roman"/>
          <w:i/>
          <w:lang w:val="lt-LT"/>
        </w:rPr>
        <w:t xml:space="preserve"> poveik</w:t>
      </w:r>
      <w:r w:rsidR="0066680B">
        <w:rPr>
          <w:rFonts w:ascii="Times New Roman" w:eastAsia="Calibri" w:hAnsi="Times New Roman"/>
          <w:i/>
          <w:lang w:val="lt-LT"/>
        </w:rPr>
        <w:t xml:space="preserve">io pasireiškimo dažnis nėra žinomas </w:t>
      </w:r>
      <w:r w:rsidR="002101F6" w:rsidRPr="00153D15">
        <w:rPr>
          <w:rFonts w:ascii="Times New Roman" w:eastAsia="Calibri" w:hAnsi="Times New Roman"/>
          <w:i/>
          <w:lang w:val="lt-LT"/>
        </w:rPr>
        <w:t>(</w:t>
      </w:r>
      <w:r w:rsidR="0066680B">
        <w:rPr>
          <w:rFonts w:ascii="Times New Roman" w:eastAsia="Calibri" w:hAnsi="Times New Roman"/>
          <w:i/>
          <w:lang w:val="lt-LT"/>
        </w:rPr>
        <w:t>negali būti apskaičiuotas pagal turimus duomenis</w:t>
      </w:r>
      <w:r w:rsidR="002101F6" w:rsidRPr="00153D15">
        <w:rPr>
          <w:rFonts w:ascii="Times New Roman" w:eastAsia="Calibri" w:hAnsi="Times New Roman"/>
          <w:i/>
          <w:lang w:val="lt-LT"/>
        </w:rPr>
        <w:t>):</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akies junginės uždegimas (akies skausmas ir paraudimas);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krūtinės skausmas.</w:t>
      </w:r>
    </w:p>
    <w:p w:rsidR="002101F6" w:rsidRPr="00153D15" w:rsidRDefault="002101F6" w:rsidP="002101F6">
      <w:pPr>
        <w:spacing w:after="0" w:line="240" w:lineRule="auto"/>
        <w:jc w:val="both"/>
        <w:outlineLvl w:val="0"/>
        <w:rPr>
          <w:rFonts w:ascii="Times New Roman" w:eastAsia="Calibri" w:hAnsi="Times New Roman"/>
          <w:i/>
          <w:lang w:val="lt-LT"/>
        </w:rPr>
      </w:pP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nesamų dalykų matymas, girdėjimas ar jutimas (haliucinacijos);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krešulių atsiradimas plaučių kraujagyslėse (būdingas simptomas yra dusulys), plaučių uždegimas (pneumonitas);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kraujavimas iš skrandžio ir žarnyno (gali pasireikšti vėmimas krauju ar tuštinimasis juodomis išmatomis);</w:t>
      </w:r>
    </w:p>
    <w:p w:rsidR="002101F6" w:rsidRPr="00153D15" w:rsidRDefault="002101F6" w:rsidP="002101F6">
      <w:pPr>
        <w:numPr>
          <w:ilvl w:val="0"/>
          <w:numId w:val="29"/>
        </w:numPr>
        <w:tabs>
          <w:tab w:val="num" w:pos="567"/>
        </w:tabs>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kepenų uždegimas. Gali pasireikšti tokių simptomų: pykinimas, viduriavimas, odos ar akių pageltimas, šlapimo patamsėjimas, išmatų pašviesėjimas, didesnė kraujavimo rizika, niežulys, šaltkrėtis;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jautrumo šviesai reakcija;</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ūminis inkstų nepakankamumas, laboratoriniu kraujo tyrimu nustatomas mažas natrio kiekis kraujyje;</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menstruacijų sutrikimas.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sunki alerginė reakcija;</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kraujavimas į galvos smegenis, neinfekcinis smegenų dangalų uždegimas, skonio pojūčio netekimas, uoslės netekimas;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lastRenderedPageBreak/>
        <w:t>kraujagyslių uždegimas (gali atsirasti karščiavimas, skausmas, raudonų odos dėmių);</w:t>
      </w:r>
    </w:p>
    <w:p w:rsidR="002101F6" w:rsidRPr="00153D15" w:rsidRDefault="002101F6" w:rsidP="002101F6">
      <w:pPr>
        <w:numPr>
          <w:ilvl w:val="0"/>
          <w:numId w:val="29"/>
        </w:numPr>
        <w:tabs>
          <w:tab w:val="num" w:pos="567"/>
        </w:tabs>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kepenų nepakankamumas, greitai progresuojantis kepenų uždegimas, kepenų audinio irimas, tulžies sąstovis, kepenų uždegimas, kurį sukėlė tulžies susilaikymas, gelta. Gali pasireikšti tokių simptomų: pykinimas, viduriavimas, odos ar akių pageltimas, šlapimo patamsėjimas, išmatų pašviesėjimas, didesnė kraujavimo rizika, niežulys, šaltkrėtis;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sunkus odos pažeidimas (išplitęs išbėrimas su pūslių atsiradimu ar odos lupimusi), daugiaformė raudonė, vaisto sukeltas niežulys kartu su bendraisiais simptomais, raudona, patinusi odos sritis su daugybiniais mažais pūlinėliais;</w:t>
      </w:r>
    </w:p>
    <w:p w:rsidR="002101F6" w:rsidRPr="00F167DA" w:rsidRDefault="002101F6" w:rsidP="003774EB">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inkstų sutrikimas (inkstų uždegimas, baltymų atsiradimas šlapime ir patinimas bei kitoks inkstų pažeidimas)</w:t>
      </w:r>
    </w:p>
    <w:p w:rsidR="002101F6" w:rsidRPr="00153D15" w:rsidRDefault="002101F6" w:rsidP="002101F6">
      <w:pPr>
        <w:numPr>
          <w:ilvl w:val="0"/>
          <w:numId w:val="43"/>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sumažėjęs moters vaisingumas.</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Calibri" w:hAnsi="Times New Roman"/>
          <w:b/>
          <w:lang w:val="lt-LT"/>
        </w:rPr>
      </w:pPr>
      <w:r w:rsidRPr="00153D15">
        <w:rPr>
          <w:rFonts w:ascii="Times New Roman" w:eastAsia="Calibri" w:hAnsi="Times New Roman"/>
          <w:b/>
          <w:noProof/>
          <w:lang w:val="lt-LT"/>
        </w:rPr>
        <w:t>Pranešimas apie šalutinį poveikį</w:t>
      </w:r>
    </w:p>
    <w:p w:rsidR="002101F6" w:rsidRPr="00153D15" w:rsidRDefault="00EF6B7C" w:rsidP="00E90D1D">
      <w:pPr>
        <w:tabs>
          <w:tab w:val="left" w:pos="567"/>
        </w:tabs>
        <w:spacing w:after="0" w:line="240" w:lineRule="auto"/>
        <w:jc w:val="both"/>
        <w:rPr>
          <w:rFonts w:ascii="Times New Roman" w:eastAsia="Calibri" w:hAnsi="Times New Roman"/>
          <w:noProof/>
          <w:lang w:val="lt-LT"/>
        </w:rPr>
      </w:pPr>
      <w:r w:rsidRPr="00153D15">
        <w:rPr>
          <w:rFonts w:ascii="Times New Roman" w:eastAsia="Calibri" w:hAnsi="Times New Roman"/>
          <w:lang w:val="lt-LT"/>
        </w:rPr>
        <w:t xml:space="preserve">Jeigu pasireiškė šalutinis poveikis, įskaitant šiame lapelyje nenurodytą, pasakykite gydytojui arba vaistininkui. Apie šalutinį poveikį taip pat galite pranešti </w:t>
      </w:r>
      <w:r w:rsidRPr="00153D15">
        <w:rPr>
          <w:rFonts w:ascii="Times New Roman" w:hAnsi="Times New Roman"/>
          <w:noProof/>
          <w:lang w:val="lt-LT"/>
        </w:rPr>
        <w:t>Valstybinei vaistų kontrolės tarnybai prie Lietuvos Respublikos sveikatos apsa</w:t>
      </w:r>
      <w:r w:rsidR="006C263D" w:rsidRPr="00153D15">
        <w:rPr>
          <w:rFonts w:ascii="Times New Roman" w:hAnsi="Times New Roman"/>
          <w:noProof/>
          <w:lang w:val="lt-LT"/>
        </w:rPr>
        <w:t>ugos ministerijos</w:t>
      </w:r>
      <w:r w:rsidR="009B4A3C" w:rsidRPr="00153D15">
        <w:rPr>
          <w:rFonts w:ascii="Times New Roman" w:hAnsi="Times New Roman"/>
          <w:noProof/>
          <w:lang w:val="lt-LT"/>
        </w:rPr>
        <w:t xml:space="preserve"> </w:t>
      </w:r>
      <w:r w:rsidR="009B4A3C" w:rsidRPr="00153D15">
        <w:rPr>
          <w:rFonts w:ascii="Times New Roman" w:hAnsi="Times New Roman"/>
          <w:lang w:val="lt-LT"/>
        </w:rPr>
        <w:t>nemokamu t</w:t>
      </w:r>
      <w:r w:rsidR="009B4A3C" w:rsidRPr="00153D15">
        <w:rPr>
          <w:rFonts w:ascii="Times New Roman" w:hAnsi="Times New Roman"/>
          <w:lang w:val="lt-LT" w:eastAsia="zh-CN"/>
        </w:rPr>
        <w:t>elefonu 8 800 73568</w:t>
      </w:r>
      <w:r w:rsidR="009B4A3C" w:rsidRPr="00153D15">
        <w:rPr>
          <w:rFonts w:ascii="Times New Roman" w:hAnsi="Times New Roman"/>
          <w:lang w:val="lt-LT"/>
        </w:rPr>
        <w:t xml:space="preserve"> arba užpildyti interneto svetainėje </w:t>
      </w:r>
      <w:hyperlink r:id="rId14" w:history="1">
        <w:r w:rsidR="009B4A3C" w:rsidRPr="00153D15">
          <w:rPr>
            <w:rStyle w:val="Hipersaitas"/>
            <w:rFonts w:ascii="Times New Roman" w:eastAsia="SimSun" w:hAnsi="Times New Roman"/>
            <w:lang w:val="lt-LT"/>
          </w:rPr>
          <w:t>www.vvkt.lt</w:t>
        </w:r>
      </w:hyperlink>
      <w:r w:rsidR="009B4A3C" w:rsidRPr="00153D15">
        <w:rPr>
          <w:rFonts w:ascii="Times New Roman" w:hAnsi="Times New Roman"/>
          <w:lang w:val="lt-LT"/>
        </w:rPr>
        <w:t xml:space="preserve"> esančią formą ir pateikti ją Valstybinei vaistų kontrolės tarnybai prie Lietuvos Respublikos sveikatos apsaugos ministerijos vienu iš šių būdų: raštu (adresu</w:t>
      </w:r>
      <w:r w:rsidRPr="00153D15">
        <w:rPr>
          <w:rFonts w:ascii="Times New Roman" w:hAnsi="Times New Roman"/>
          <w:noProof/>
          <w:lang w:val="lt-LT"/>
        </w:rPr>
        <w:t xml:space="preserve"> Žirmūnų g. 139A, LT 09120 Vilnius</w:t>
      </w:r>
      <w:r w:rsidR="009B4A3C" w:rsidRPr="00153D15">
        <w:rPr>
          <w:rFonts w:ascii="Times New Roman" w:hAnsi="Times New Roman"/>
          <w:noProof/>
          <w:lang w:val="lt-LT"/>
        </w:rPr>
        <w:t>), nemokamu fakso numeriu 8 800 20131,</w:t>
      </w:r>
      <w:r w:rsidRPr="00153D15">
        <w:rPr>
          <w:rFonts w:ascii="Times New Roman" w:eastAsia="Calibri" w:hAnsi="Times New Roman"/>
          <w:noProof/>
          <w:lang w:val="lt-LT" w:eastAsia="zh-CN"/>
        </w:rPr>
        <w:t xml:space="preserve"> </w:t>
      </w:r>
      <w:r w:rsidR="009B4A3C" w:rsidRPr="00153D15">
        <w:rPr>
          <w:rFonts w:ascii="Times New Roman" w:hAnsi="Times New Roman"/>
          <w:noProof/>
          <w:lang w:val="lt-LT"/>
        </w:rPr>
        <w:t xml:space="preserve">el. paštu </w:t>
      </w:r>
      <w:hyperlink r:id="rId15" w:history="1">
        <w:r w:rsidRPr="00153D15">
          <w:rPr>
            <w:rStyle w:val="Hipersaitas"/>
            <w:rFonts w:ascii="Times New Roman" w:eastAsia="SimSun" w:hAnsi="Times New Roman"/>
            <w:noProof/>
            <w:lang w:val="lt-LT"/>
          </w:rPr>
          <w:t>NepageidaujamaR@vvkt.lt</w:t>
        </w:r>
      </w:hyperlink>
      <w:r w:rsidRPr="00153D15">
        <w:rPr>
          <w:rFonts w:ascii="Times New Roman" w:hAnsi="Times New Roman"/>
          <w:noProof/>
          <w:lang w:val="lt-LT"/>
        </w:rPr>
        <w:t xml:space="preserve">, </w:t>
      </w:r>
      <w:r w:rsidR="009B4A3C" w:rsidRPr="00153D15">
        <w:rPr>
          <w:rFonts w:ascii="Times New Roman" w:hAnsi="Times New Roman"/>
          <w:noProof/>
          <w:lang w:val="lt-LT"/>
        </w:rPr>
        <w:t xml:space="preserve">taip pat </w:t>
      </w:r>
      <w:r w:rsidRPr="00153D15">
        <w:rPr>
          <w:rFonts w:ascii="Times New Roman" w:hAnsi="Times New Roman"/>
          <w:noProof/>
          <w:lang w:val="lt-LT"/>
        </w:rPr>
        <w:t xml:space="preserve">per Valstybinės vaistų kontrolės tarnybos prie Lietuvos Respublikos sveikatos apsaugos ministerijos interneto svetainę (adresu </w:t>
      </w:r>
      <w:r w:rsidRPr="00153D15">
        <w:rPr>
          <w:rFonts w:ascii="Times New Roman" w:hAnsi="Times New Roman"/>
          <w:noProof/>
          <w:u w:val="single"/>
          <w:lang w:val="lt-LT"/>
        </w:rPr>
        <w:t>http://www.vvkt.lt</w:t>
      </w:r>
      <w:r w:rsidRPr="00153D15">
        <w:rPr>
          <w:rFonts w:ascii="Times New Roman" w:hAnsi="Times New Roman"/>
          <w:noProof/>
          <w:lang w:val="lt-LT"/>
        </w:rPr>
        <w:t>).</w:t>
      </w:r>
      <w:r w:rsidRPr="00153D15">
        <w:rPr>
          <w:rFonts w:ascii="Times New Roman" w:eastAsia="Calibri" w:hAnsi="Times New Roman"/>
          <w:lang w:val="lt-LT"/>
        </w:rPr>
        <w:t xml:space="preserve"> </w:t>
      </w:r>
      <w:r w:rsidR="002101F6" w:rsidRPr="00153D15">
        <w:rPr>
          <w:rFonts w:ascii="Times New Roman" w:eastAsia="Calibri" w:hAnsi="Times New Roman"/>
          <w:noProof/>
          <w:lang w:val="lt-LT"/>
        </w:rPr>
        <w:t>Pranešdami apie šalutinį poveikį galite mums padėti gauti daugiau informacijos apie šio vaisto saugumą.</w:t>
      </w:r>
    </w:p>
    <w:p w:rsidR="002101F6" w:rsidRPr="00153D15" w:rsidRDefault="002101F6" w:rsidP="00E90D1D">
      <w:pPr>
        <w:spacing w:after="0" w:line="240" w:lineRule="auto"/>
        <w:jc w:val="both"/>
        <w:outlineLvl w:val="0"/>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numPr>
          <w:ilvl w:val="12"/>
          <w:numId w:val="0"/>
        </w:numP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5.</w:t>
      </w:r>
      <w:r w:rsidRPr="00153D15">
        <w:rPr>
          <w:rFonts w:ascii="Times New Roman" w:eastAsia="Times New Roman" w:hAnsi="Times New Roman"/>
          <w:b/>
          <w:caps/>
          <w:lang w:val="lt-LT"/>
        </w:rPr>
        <w:tab/>
      </w:r>
      <w:r w:rsidRPr="00153D15">
        <w:rPr>
          <w:rFonts w:ascii="Times New Roman" w:eastAsia="Times New Roman" w:hAnsi="Times New Roman"/>
          <w:b/>
          <w:lang w:val="lt-LT"/>
        </w:rPr>
        <w:t>Kaip laikyti</w:t>
      </w:r>
      <w:r w:rsidRPr="00153D15">
        <w:rPr>
          <w:rFonts w:ascii="Times New Roman" w:eastAsia="Calibri" w:hAnsi="Times New Roman"/>
          <w:b/>
          <w:lang w:val="lt-LT"/>
        </w:rPr>
        <w:t xml:space="preserve"> </w:t>
      </w:r>
      <w:r w:rsidRPr="00153D15">
        <w:rPr>
          <w:rFonts w:ascii="Times New Roman" w:eastAsia="Times New Roman" w:hAnsi="Times New Roman"/>
          <w:b/>
          <w:caps/>
          <w:lang w:val="lt-LT"/>
        </w:rPr>
        <w:t>CELEBREX</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noProof/>
          <w:lang w:val="lt-LT"/>
        </w:rPr>
      </w:pPr>
      <w:r w:rsidRPr="00153D15">
        <w:rPr>
          <w:rFonts w:ascii="Times New Roman" w:eastAsia="Times New Roman" w:hAnsi="Times New Roman"/>
          <w:noProof/>
          <w:lang w:val="lt-LT"/>
        </w:rPr>
        <w:t>Šį vaistą laikykite vaikams nepastebimoje ir nepasiekiamoje vietoje.</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noProof/>
          <w:lang w:val="lt-LT"/>
        </w:rPr>
        <w:t xml:space="preserve">Ant kartono dėžutės ir lizdinės plokštelės po „Tinka iki/EXP“ nurodytam tinkamumo laikui pasibaigus, </w:t>
      </w:r>
      <w:r w:rsidRPr="00153D15">
        <w:rPr>
          <w:rFonts w:ascii="Times New Roman" w:eastAsia="Times New Roman" w:hAnsi="Times New Roman"/>
          <w:lang w:val="lt-LT"/>
        </w:rPr>
        <w:t xml:space="preserve">šio vaisto </w:t>
      </w:r>
      <w:r w:rsidRPr="00153D15">
        <w:rPr>
          <w:rFonts w:ascii="Times New Roman" w:eastAsia="Times New Roman" w:hAnsi="Times New Roman"/>
          <w:noProof/>
          <w:lang w:val="lt-LT"/>
        </w:rPr>
        <w:t>vartoti negalima.</w:t>
      </w:r>
      <w:r w:rsidRPr="00153D15">
        <w:rPr>
          <w:rFonts w:ascii="Times New Roman" w:eastAsia="Times New Roman" w:hAnsi="Times New Roman"/>
          <w:lang w:val="lt-LT"/>
        </w:rPr>
        <w:t xml:space="preserve"> Vaistas tinkamas vartoti iki paskutinės nurodyto mėnesio dienos.</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Laikyti ne aukštesnėje kaip 30 °C temperatūroje.</w:t>
      </w:r>
    </w:p>
    <w:p w:rsidR="002101F6" w:rsidRPr="00153D15" w:rsidRDefault="002101F6" w:rsidP="002101F6">
      <w:pPr>
        <w:spacing w:after="0" w:line="240" w:lineRule="auto"/>
        <w:rPr>
          <w:rFonts w:ascii="Times New Roman" w:eastAsia="Times New Roman" w:hAnsi="Times New Roman"/>
          <w:noProof/>
          <w:lang w:val="lt-LT"/>
        </w:rPr>
      </w:pPr>
    </w:p>
    <w:p w:rsidR="002101F6" w:rsidRPr="00153D15" w:rsidRDefault="002101F6" w:rsidP="002101F6">
      <w:pPr>
        <w:spacing w:after="0" w:line="240" w:lineRule="auto"/>
        <w:rPr>
          <w:rFonts w:ascii="Times New Roman" w:eastAsia="Times New Roman" w:hAnsi="Times New Roman"/>
          <w:noProof/>
          <w:lang w:val="lt-LT"/>
        </w:rPr>
      </w:pPr>
      <w:r w:rsidRPr="00153D15">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numPr>
          <w:ilvl w:val="12"/>
          <w:numId w:val="0"/>
        </w:num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lang w:val="lt-LT"/>
        </w:rPr>
        <w:t>6.</w:t>
      </w:r>
      <w:r w:rsidRPr="00153D15">
        <w:rPr>
          <w:rFonts w:ascii="Times New Roman" w:eastAsia="Times New Roman" w:hAnsi="Times New Roman"/>
          <w:lang w:val="lt-LT"/>
        </w:rPr>
        <w:tab/>
      </w:r>
      <w:r w:rsidRPr="00153D15">
        <w:rPr>
          <w:rFonts w:ascii="Times New Roman" w:eastAsia="Times New Roman" w:hAnsi="Times New Roman"/>
          <w:b/>
          <w:lang w:val="lt-LT"/>
        </w:rPr>
        <w:t>Pakuotės turinys ir</w:t>
      </w:r>
      <w:r w:rsidRPr="00153D15">
        <w:rPr>
          <w:rFonts w:ascii="Times New Roman" w:eastAsia="Times New Roman" w:hAnsi="Times New Roman"/>
          <w:lang w:val="lt-LT"/>
        </w:rPr>
        <w:t xml:space="preserve"> </w:t>
      </w:r>
      <w:r w:rsidRPr="00153D15">
        <w:rPr>
          <w:rFonts w:ascii="Times New Roman" w:eastAsia="Times New Roman" w:hAnsi="Times New Roman"/>
          <w:b/>
          <w:lang w:val="lt-LT"/>
        </w:rPr>
        <w:t>kita informacija</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b/>
          <w:lang w:val="lt-LT"/>
        </w:rPr>
      </w:pPr>
      <w:r w:rsidRPr="00153D15">
        <w:rPr>
          <w:rFonts w:ascii="Times New Roman" w:eastAsia="Times New Roman" w:hAnsi="Times New Roman"/>
          <w:b/>
          <w:caps/>
          <w:lang w:val="lt-LT"/>
        </w:rPr>
        <w:t>CELEBREX</w:t>
      </w:r>
      <w:r w:rsidRPr="00153D15">
        <w:rPr>
          <w:rFonts w:ascii="Times New Roman" w:eastAsia="Times New Roman" w:hAnsi="Times New Roman"/>
          <w:b/>
          <w:lang w:val="lt-LT"/>
        </w:rPr>
        <w:t xml:space="preserve"> sudėtis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Veiklioji medžiaga yra celekoksibas.</w:t>
      </w:r>
    </w:p>
    <w:p w:rsidR="002101F6" w:rsidRPr="00153D15" w:rsidRDefault="002101F6" w:rsidP="002101F6">
      <w:pPr>
        <w:spacing w:after="0" w:line="240" w:lineRule="auto"/>
        <w:ind w:left="540"/>
        <w:rPr>
          <w:rFonts w:ascii="Times New Roman" w:eastAsia="Times New Roman" w:hAnsi="Times New Roman"/>
          <w:lang w:val="lt-LT"/>
        </w:rPr>
      </w:pPr>
      <w:r w:rsidRPr="00153D15">
        <w:rPr>
          <w:rFonts w:ascii="Times New Roman" w:eastAsia="Times New Roman" w:hAnsi="Times New Roman"/>
          <w:lang w:val="lt-LT"/>
        </w:rPr>
        <w:t>Vienoje kietojoje kapsulėje yra 100 mg arba 200 mg celekoksibo.</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Pagalbinės medžiagos yra laktozė monohidratas, natrio laurilsulfatas, povidonas K30, kroskarmeliozės natrio druska, magnio stearatas. Kapsulės korpuse yra želatinos, titano dioksido (E 171); dažuose – indigotino (E 132) (tik CELEBREX 100 mg kapsulėse), geležies oksido (E 172) (tik CELEBREX 200 mg kapsulėse).</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b/>
          <w:lang w:val="lt-LT"/>
        </w:rPr>
      </w:pPr>
      <w:r w:rsidRPr="00153D15">
        <w:rPr>
          <w:rFonts w:ascii="Times New Roman" w:eastAsia="Times New Roman" w:hAnsi="Times New Roman"/>
          <w:b/>
          <w:caps/>
          <w:lang w:val="lt-LT"/>
        </w:rPr>
        <w:lastRenderedPageBreak/>
        <w:t>CELEBREX</w:t>
      </w:r>
      <w:r w:rsidRPr="00153D15">
        <w:rPr>
          <w:rFonts w:ascii="Times New Roman" w:eastAsia="Times New Roman" w:hAnsi="Times New Roman"/>
          <w:b/>
          <w:lang w:val="lt-LT"/>
        </w:rPr>
        <w:t xml:space="preserve"> išvaizda ir kiekis pakuotėje</w:t>
      </w:r>
    </w:p>
    <w:p w:rsidR="002101F6" w:rsidRPr="00153D15" w:rsidRDefault="002101F6" w:rsidP="002101F6">
      <w:pPr>
        <w:spacing w:after="0" w:line="240" w:lineRule="auto"/>
        <w:rPr>
          <w:rFonts w:ascii="Times New Roman" w:eastAsia="Times New Roman" w:hAnsi="Times New Roman"/>
          <w:b/>
          <w:lang w:val="lt-LT"/>
        </w:rPr>
      </w:pPr>
    </w:p>
    <w:p w:rsidR="002101F6" w:rsidRPr="00153D15" w:rsidRDefault="002101F6" w:rsidP="002101F6">
      <w:pPr>
        <w:spacing w:after="0" w:line="240" w:lineRule="auto"/>
        <w:rPr>
          <w:rFonts w:ascii="Times New Roman" w:hAnsi="Times New Roman"/>
          <w:lang w:val="lt-LT"/>
        </w:rPr>
      </w:pPr>
      <w:r w:rsidRPr="00153D15">
        <w:rPr>
          <w:rFonts w:ascii="Times New Roman" w:hAnsi="Times New Roman"/>
          <w:lang w:val="lt-LT"/>
        </w:rPr>
        <w:t>Tiekiamos kietosios CELEBREX kapsulės.</w:t>
      </w:r>
    </w:p>
    <w:p w:rsidR="002101F6" w:rsidRPr="00153D15" w:rsidRDefault="002101F6" w:rsidP="002101F6">
      <w:pPr>
        <w:spacing w:after="0" w:line="240" w:lineRule="auto"/>
        <w:rPr>
          <w:rFonts w:ascii="Times New Roman" w:eastAsia="Times New Roman" w:hAnsi="Times New Roman"/>
          <w:u w:val="single"/>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caps/>
          <w:lang w:val="lt-LT"/>
        </w:rPr>
        <w:t>CELEBREX</w:t>
      </w:r>
      <w:r w:rsidRPr="00153D15">
        <w:rPr>
          <w:rFonts w:ascii="Times New Roman" w:eastAsia="Times New Roman" w:hAnsi="Times New Roman"/>
          <w:lang w:val="lt-LT"/>
        </w:rPr>
        <w:t xml:space="preserve"> 100 mg </w:t>
      </w:r>
      <w:r w:rsidR="0038605B" w:rsidRPr="00153D15">
        <w:rPr>
          <w:rFonts w:ascii="Times New Roman" w:eastAsia="Times New Roman" w:hAnsi="Times New Roman"/>
          <w:lang w:val="lt-LT"/>
        </w:rPr>
        <w:t xml:space="preserve">kapsulės korpusas </w:t>
      </w:r>
      <w:r w:rsidRPr="00153D15">
        <w:rPr>
          <w:rFonts w:ascii="Times New Roman" w:eastAsia="Times New Roman" w:hAnsi="Times New Roman"/>
          <w:lang w:val="lt-LT"/>
        </w:rPr>
        <w:t>yra nepermatom</w:t>
      </w:r>
      <w:r w:rsidR="0038605B" w:rsidRPr="00153D15">
        <w:rPr>
          <w:rFonts w:ascii="Times New Roman" w:eastAsia="Times New Roman" w:hAnsi="Times New Roman"/>
          <w:lang w:val="lt-LT"/>
        </w:rPr>
        <w:t>a</w:t>
      </w:r>
      <w:r w:rsidRPr="00153D15">
        <w:rPr>
          <w:rFonts w:ascii="Times New Roman" w:eastAsia="Times New Roman" w:hAnsi="Times New Roman"/>
          <w:lang w:val="lt-LT"/>
        </w:rPr>
        <w:t>s, baltos</w:t>
      </w:r>
      <w:r w:rsidR="0038605B" w:rsidRPr="00153D15">
        <w:rPr>
          <w:rFonts w:ascii="Times New Roman" w:eastAsia="Times New Roman" w:hAnsi="Times New Roman"/>
          <w:lang w:val="lt-LT"/>
        </w:rPr>
        <w:t xml:space="preserve"> spalvos</w:t>
      </w:r>
      <w:r w:rsidRPr="00153D15">
        <w:rPr>
          <w:rFonts w:ascii="Times New Roman" w:eastAsia="Times New Roman" w:hAnsi="Times New Roman"/>
          <w:lang w:val="lt-LT"/>
        </w:rPr>
        <w:t>, su mėlyna juosta ir užrašu 7767 bei 100</w:t>
      </w:r>
      <w:r w:rsidR="0038605B" w:rsidRPr="00153D15">
        <w:rPr>
          <w:rFonts w:ascii="Times New Roman" w:eastAsia="Times New Roman" w:hAnsi="Times New Roman"/>
          <w:lang w:val="lt-LT"/>
        </w:rPr>
        <w:t>, kapsulės turinys – baltos ar balkšvos granulės</w:t>
      </w:r>
      <w:r w:rsidRPr="00153D15">
        <w:rPr>
          <w:rFonts w:ascii="Times New Roman" w:eastAsia="Times New Roman" w:hAnsi="Times New Roman"/>
          <w:lang w:val="lt-LT"/>
        </w:rPr>
        <w:t>.</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caps/>
          <w:lang w:val="lt-LT"/>
        </w:rPr>
        <w:t>CELEBREX</w:t>
      </w:r>
      <w:r w:rsidRPr="00153D15" w:rsidDel="005F32AF">
        <w:rPr>
          <w:rFonts w:ascii="Times New Roman" w:eastAsia="Times New Roman" w:hAnsi="Times New Roman"/>
          <w:lang w:val="lt-LT"/>
        </w:rPr>
        <w:t xml:space="preserve"> </w:t>
      </w:r>
      <w:r w:rsidRPr="00153D15">
        <w:rPr>
          <w:rFonts w:ascii="Times New Roman" w:eastAsia="Times New Roman" w:hAnsi="Times New Roman"/>
          <w:lang w:val="lt-LT"/>
        </w:rPr>
        <w:t xml:space="preserve">200 mg </w:t>
      </w:r>
      <w:r w:rsidR="0038605B" w:rsidRPr="00153D15">
        <w:rPr>
          <w:rFonts w:ascii="Times New Roman" w:eastAsia="Times New Roman" w:hAnsi="Times New Roman"/>
          <w:lang w:val="lt-LT"/>
        </w:rPr>
        <w:t xml:space="preserve">kapsulės korpusas </w:t>
      </w:r>
      <w:r w:rsidRPr="00153D15">
        <w:rPr>
          <w:rFonts w:ascii="Times New Roman" w:eastAsia="Times New Roman" w:hAnsi="Times New Roman"/>
          <w:lang w:val="lt-LT"/>
        </w:rPr>
        <w:t>yra nepermatom</w:t>
      </w:r>
      <w:r w:rsidR="0038605B" w:rsidRPr="00153D15">
        <w:rPr>
          <w:rFonts w:ascii="Times New Roman" w:eastAsia="Times New Roman" w:hAnsi="Times New Roman"/>
          <w:lang w:val="lt-LT"/>
        </w:rPr>
        <w:t>a</w:t>
      </w:r>
      <w:r w:rsidRPr="00153D15">
        <w:rPr>
          <w:rFonts w:ascii="Times New Roman" w:eastAsia="Times New Roman" w:hAnsi="Times New Roman"/>
          <w:lang w:val="lt-LT"/>
        </w:rPr>
        <w:t>s, baltos</w:t>
      </w:r>
      <w:r w:rsidR="0038605B" w:rsidRPr="00153D15">
        <w:rPr>
          <w:rFonts w:ascii="Times New Roman" w:eastAsia="Times New Roman" w:hAnsi="Times New Roman"/>
          <w:lang w:val="lt-LT"/>
        </w:rPr>
        <w:t xml:space="preserve"> spalvos</w:t>
      </w:r>
      <w:r w:rsidRPr="00153D15">
        <w:rPr>
          <w:rFonts w:ascii="Times New Roman" w:eastAsia="Times New Roman" w:hAnsi="Times New Roman"/>
          <w:lang w:val="lt-LT"/>
        </w:rPr>
        <w:t>, su auksine juosta ir užrašu 7767 bei 200</w:t>
      </w:r>
      <w:r w:rsidR="0038605B" w:rsidRPr="00153D15">
        <w:rPr>
          <w:rFonts w:ascii="Times New Roman" w:eastAsia="Times New Roman" w:hAnsi="Times New Roman"/>
          <w:lang w:val="lt-LT"/>
        </w:rPr>
        <w:t>, kapsulės turinys – baltos ar balkšvos granulės</w:t>
      </w:r>
      <w:r w:rsidRPr="00153D15">
        <w:rPr>
          <w:rFonts w:ascii="Times New Roman" w:eastAsia="Times New Roman" w:hAnsi="Times New Roman"/>
          <w:lang w:val="lt-LT"/>
        </w:rPr>
        <w:t>.</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caps/>
          <w:lang w:val="lt-LT"/>
        </w:rPr>
        <w:t>CELEBREX</w:t>
      </w:r>
      <w:r w:rsidRPr="00153D15">
        <w:rPr>
          <w:rFonts w:ascii="Times New Roman" w:eastAsia="Times New Roman" w:hAnsi="Times New Roman"/>
          <w:lang w:val="lt-LT"/>
        </w:rPr>
        <w:t xml:space="preserve"> tiekiamas kartono dėžutėmis, kuriose yra 10, 20 arba 30 kapsulių lizdinėse plokštelėse.</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t>Gali būti tiekiamos ne visų dydžių pakuotės.</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EF6B7C" w:rsidP="002101F6">
      <w:pPr>
        <w:spacing w:after="0" w:line="240" w:lineRule="auto"/>
        <w:rPr>
          <w:rFonts w:ascii="Times New Roman" w:eastAsia="Times New Roman" w:hAnsi="Times New Roman"/>
          <w:b/>
          <w:lang w:val="lt-LT"/>
        </w:rPr>
      </w:pPr>
      <w:r w:rsidRPr="00153D15">
        <w:rPr>
          <w:rFonts w:ascii="Times New Roman" w:hAnsi="Times New Roman"/>
          <w:b/>
          <w:lang w:val="lt-LT"/>
        </w:rPr>
        <w:t>Registruotojas</w:t>
      </w:r>
      <w:r w:rsidR="002101F6" w:rsidRPr="00153D15">
        <w:rPr>
          <w:rFonts w:ascii="Times New Roman" w:eastAsia="Times New Roman" w:hAnsi="Times New Roman"/>
          <w:b/>
          <w:lang w:val="lt-LT"/>
        </w:rPr>
        <w:t xml:space="preserve"> ir gamintojas</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EF6B7C" w:rsidP="002101F6">
      <w:pPr>
        <w:spacing w:after="0" w:line="240" w:lineRule="auto"/>
        <w:ind w:left="567" w:hanging="567"/>
        <w:rPr>
          <w:rFonts w:ascii="Times New Roman" w:eastAsia="Calibri" w:hAnsi="Times New Roman"/>
          <w:i/>
          <w:lang w:val="lt-LT"/>
        </w:rPr>
      </w:pPr>
      <w:r w:rsidRPr="00153D15">
        <w:rPr>
          <w:rFonts w:ascii="Times New Roman" w:hAnsi="Times New Roman"/>
          <w:i/>
          <w:lang w:val="lt-LT"/>
        </w:rPr>
        <w:t>Registruotojas</w:t>
      </w:r>
    </w:p>
    <w:p w:rsidR="002101F6" w:rsidRPr="00153D15" w:rsidRDefault="002101F6" w:rsidP="002101F6">
      <w:p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Pfizer Europe MA EEIG</w:t>
      </w:r>
    </w:p>
    <w:p w:rsidR="003774EB" w:rsidRPr="00B933D8" w:rsidRDefault="003774EB" w:rsidP="003774EB">
      <w:pPr>
        <w:spacing w:after="0" w:line="240" w:lineRule="auto"/>
        <w:rPr>
          <w:rFonts w:ascii="Times New Roman" w:eastAsia="Times New Roman" w:hAnsi="Times New Roman"/>
          <w:lang w:val="lt-LT"/>
        </w:rPr>
      </w:pPr>
      <w:r w:rsidRPr="00B933D8">
        <w:rPr>
          <w:rFonts w:ascii="Times New Roman" w:eastAsia="Times New Roman" w:hAnsi="Times New Roman"/>
          <w:lang w:val="lt-LT"/>
        </w:rPr>
        <w:t>Boulevard de la Plaine 17</w:t>
      </w:r>
    </w:p>
    <w:p w:rsidR="003774EB" w:rsidRPr="00B933D8" w:rsidRDefault="003774EB" w:rsidP="003774EB">
      <w:pPr>
        <w:spacing w:after="0" w:line="240" w:lineRule="auto"/>
        <w:rPr>
          <w:rFonts w:ascii="Times New Roman" w:eastAsia="Times New Roman" w:hAnsi="Times New Roman"/>
          <w:lang w:val="lt-LT"/>
        </w:rPr>
      </w:pPr>
      <w:r w:rsidRPr="00B933D8">
        <w:rPr>
          <w:rFonts w:ascii="Times New Roman" w:eastAsia="Times New Roman" w:hAnsi="Times New Roman"/>
          <w:lang w:val="lt-LT"/>
        </w:rPr>
        <w:t>1050 Bruxelles</w:t>
      </w:r>
    </w:p>
    <w:p w:rsidR="003774EB" w:rsidRDefault="003774EB" w:rsidP="003774EB">
      <w:pPr>
        <w:spacing w:after="0" w:line="240" w:lineRule="auto"/>
        <w:rPr>
          <w:rFonts w:ascii="Times New Roman" w:eastAsia="Times New Roman" w:hAnsi="Times New Roman"/>
          <w:lang w:val="lt-LT"/>
        </w:rPr>
      </w:pPr>
      <w:r>
        <w:rPr>
          <w:rFonts w:ascii="Times New Roman" w:eastAsia="Times New Roman" w:hAnsi="Times New Roman"/>
          <w:lang w:val="lt-LT"/>
        </w:rPr>
        <w:t>Belgija</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ind w:left="567" w:hanging="567"/>
        <w:rPr>
          <w:rFonts w:ascii="Times New Roman" w:eastAsia="Calibri" w:hAnsi="Times New Roman"/>
          <w:i/>
          <w:lang w:val="lt-LT"/>
        </w:rPr>
      </w:pPr>
      <w:r w:rsidRPr="00153D15">
        <w:rPr>
          <w:rFonts w:ascii="Times New Roman" w:eastAsia="Calibri" w:hAnsi="Times New Roman"/>
          <w:i/>
          <w:lang w:val="lt-LT"/>
        </w:rPr>
        <w:t>Gamintojas</w:t>
      </w:r>
    </w:p>
    <w:p w:rsidR="002101F6" w:rsidRPr="00153D15" w:rsidRDefault="002101F6" w:rsidP="002101F6">
      <w:pPr>
        <w:spacing w:after="0" w:line="240" w:lineRule="auto"/>
        <w:jc w:val="both"/>
        <w:rPr>
          <w:rFonts w:ascii="Times New Roman" w:eastAsia="Times New Roman" w:hAnsi="Times New Roman"/>
        </w:rPr>
      </w:pPr>
      <w:r w:rsidRPr="00153D15">
        <w:rPr>
          <w:rFonts w:ascii="Times New Roman" w:eastAsia="Times New Roman" w:hAnsi="Times New Roman"/>
        </w:rPr>
        <w:t>R-Pharm Germany GmbH</w:t>
      </w:r>
      <w:r w:rsidRPr="00153D15" w:rsidDel="005F32AF">
        <w:rPr>
          <w:rFonts w:ascii="Times New Roman" w:eastAsia="Times New Roman" w:hAnsi="Times New Roman"/>
        </w:rPr>
        <w:t xml:space="preserve"> </w:t>
      </w:r>
    </w:p>
    <w:p w:rsidR="002101F6" w:rsidRPr="003774EB" w:rsidRDefault="002101F6" w:rsidP="002101F6">
      <w:pPr>
        <w:spacing w:after="0" w:line="240" w:lineRule="auto"/>
        <w:jc w:val="both"/>
        <w:rPr>
          <w:rFonts w:ascii="Times New Roman" w:eastAsia="Times New Roman" w:hAnsi="Times New Roman"/>
        </w:rPr>
      </w:pPr>
      <w:r w:rsidRPr="00153D15">
        <w:rPr>
          <w:rFonts w:ascii="Times New Roman" w:eastAsia="Times New Roman" w:hAnsi="Times New Roman"/>
          <w:lang w:val="lt-LT"/>
        </w:rPr>
        <w:t>Heinrich-Mack-Str. 35</w:t>
      </w:r>
    </w:p>
    <w:p w:rsidR="002101F6" w:rsidRPr="00153D15" w:rsidRDefault="002101F6" w:rsidP="002101F6">
      <w:pPr>
        <w:spacing w:after="0" w:line="240" w:lineRule="auto"/>
        <w:jc w:val="both"/>
        <w:rPr>
          <w:rFonts w:ascii="Times New Roman" w:eastAsia="Times New Roman" w:hAnsi="Times New Roman"/>
          <w:lang w:val="lt-LT"/>
        </w:rPr>
      </w:pPr>
      <w:r w:rsidRPr="00153D15">
        <w:rPr>
          <w:rFonts w:ascii="Times New Roman" w:eastAsia="Times New Roman" w:hAnsi="Times New Roman"/>
          <w:lang w:val="lt-LT"/>
        </w:rPr>
        <w:t>89257 Illertissen</w:t>
      </w:r>
    </w:p>
    <w:p w:rsidR="002101F6" w:rsidRPr="00153D15" w:rsidRDefault="002101F6" w:rsidP="002101F6">
      <w:pPr>
        <w:spacing w:after="0" w:line="240" w:lineRule="auto"/>
        <w:jc w:val="both"/>
        <w:rPr>
          <w:rFonts w:ascii="Times New Roman" w:eastAsia="Times New Roman" w:hAnsi="Times New Roman"/>
          <w:lang w:val="lt-LT"/>
        </w:rPr>
      </w:pPr>
      <w:r w:rsidRPr="00153D15">
        <w:rPr>
          <w:rFonts w:ascii="Times New Roman" w:eastAsia="Times New Roman" w:hAnsi="Times New Roman"/>
          <w:lang w:val="lt-LT"/>
        </w:rPr>
        <w:t>Vokietija</w:t>
      </w:r>
    </w:p>
    <w:p w:rsidR="002101F6" w:rsidRDefault="002101F6" w:rsidP="002101F6">
      <w:pPr>
        <w:spacing w:after="0" w:line="240" w:lineRule="auto"/>
        <w:ind w:left="567" w:hanging="567"/>
        <w:rPr>
          <w:rFonts w:ascii="Times New Roman" w:eastAsia="Times New Roman" w:hAnsi="Times New Roman"/>
          <w:lang w:val="lt-LT"/>
        </w:rPr>
      </w:pPr>
    </w:p>
    <w:p w:rsidR="00BA75C2" w:rsidRDefault="00BA75C2" w:rsidP="002101F6">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arba</w:t>
      </w:r>
    </w:p>
    <w:p w:rsidR="00BA75C2" w:rsidRDefault="00BA75C2" w:rsidP="002101F6">
      <w:pPr>
        <w:spacing w:after="0" w:line="240" w:lineRule="auto"/>
        <w:ind w:left="567" w:hanging="567"/>
        <w:rPr>
          <w:rFonts w:ascii="Times New Roman" w:eastAsia="Times New Roman" w:hAnsi="Times New Roman"/>
          <w:lang w:val="lt-LT"/>
        </w:rPr>
      </w:pPr>
    </w:p>
    <w:p w:rsidR="00BA75C2" w:rsidRPr="00BA75C2" w:rsidRDefault="00BA75C2" w:rsidP="00BA75C2">
      <w:pPr>
        <w:spacing w:after="0" w:line="240" w:lineRule="auto"/>
        <w:ind w:left="567" w:hanging="567"/>
        <w:rPr>
          <w:rFonts w:ascii="Times New Roman" w:eastAsia="Times New Roman" w:hAnsi="Times New Roman"/>
          <w:lang w:val="lt-LT"/>
        </w:rPr>
      </w:pPr>
      <w:r w:rsidRPr="00BA75C2">
        <w:rPr>
          <w:rFonts w:ascii="Times New Roman" w:eastAsia="Times New Roman" w:hAnsi="Times New Roman"/>
          <w:lang w:val="lt-LT"/>
        </w:rPr>
        <w:t>Pfizer Manufacturing Deutschland GmbH</w:t>
      </w:r>
    </w:p>
    <w:p w:rsidR="00BA75C2" w:rsidRPr="00BA75C2" w:rsidRDefault="00BA75C2" w:rsidP="00BA75C2">
      <w:pPr>
        <w:spacing w:after="0" w:line="240" w:lineRule="auto"/>
        <w:ind w:left="567" w:hanging="567"/>
        <w:rPr>
          <w:rFonts w:ascii="Times New Roman" w:eastAsia="Times New Roman" w:hAnsi="Times New Roman"/>
          <w:lang w:val="lt-LT"/>
        </w:rPr>
      </w:pPr>
      <w:r w:rsidRPr="00BA75C2">
        <w:rPr>
          <w:rFonts w:ascii="Times New Roman" w:eastAsia="Times New Roman" w:hAnsi="Times New Roman"/>
          <w:lang w:val="lt-LT"/>
        </w:rPr>
        <w:t>Betriebsstätte Freiburg</w:t>
      </w:r>
    </w:p>
    <w:p w:rsidR="00BA75C2" w:rsidRPr="00BA75C2" w:rsidRDefault="00BA75C2" w:rsidP="00BA75C2">
      <w:pPr>
        <w:spacing w:after="0" w:line="240" w:lineRule="auto"/>
        <w:ind w:left="567" w:hanging="567"/>
        <w:rPr>
          <w:rFonts w:ascii="Times New Roman" w:eastAsia="Times New Roman" w:hAnsi="Times New Roman"/>
          <w:lang w:val="lt-LT"/>
        </w:rPr>
      </w:pPr>
      <w:r w:rsidRPr="00BA75C2">
        <w:rPr>
          <w:rFonts w:ascii="Times New Roman" w:eastAsia="Times New Roman" w:hAnsi="Times New Roman"/>
          <w:lang w:val="lt-LT"/>
        </w:rPr>
        <w:t>Mooswaldallee 1</w:t>
      </w:r>
    </w:p>
    <w:p w:rsidR="00BA75C2" w:rsidRPr="00BA75C2" w:rsidRDefault="00BA75C2" w:rsidP="00BA75C2">
      <w:pPr>
        <w:spacing w:after="0" w:line="240" w:lineRule="auto"/>
        <w:ind w:left="567" w:hanging="567"/>
        <w:rPr>
          <w:rFonts w:ascii="Times New Roman" w:eastAsia="Times New Roman" w:hAnsi="Times New Roman"/>
          <w:lang w:val="lt-LT"/>
        </w:rPr>
      </w:pPr>
      <w:r w:rsidRPr="00BA75C2">
        <w:rPr>
          <w:rFonts w:ascii="Times New Roman" w:eastAsia="Times New Roman" w:hAnsi="Times New Roman"/>
          <w:lang w:val="lt-LT"/>
        </w:rPr>
        <w:t>79090 Freiburg</w:t>
      </w:r>
    </w:p>
    <w:p w:rsidR="00BA75C2" w:rsidRPr="00153D15" w:rsidRDefault="00BA75C2" w:rsidP="00BA75C2">
      <w:pPr>
        <w:spacing w:after="0" w:line="240" w:lineRule="auto"/>
        <w:ind w:left="567" w:hanging="567"/>
        <w:rPr>
          <w:rFonts w:ascii="Times New Roman" w:eastAsia="Times New Roman" w:hAnsi="Times New Roman"/>
          <w:lang w:val="lt-LT"/>
        </w:rPr>
      </w:pPr>
      <w:r w:rsidRPr="00BA75C2">
        <w:rPr>
          <w:rFonts w:ascii="Times New Roman" w:eastAsia="Times New Roman" w:hAnsi="Times New Roman"/>
          <w:lang w:val="lt-LT"/>
        </w:rPr>
        <w:t>Vokietija</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Jeigu</w:t>
      </w:r>
      <w:r w:rsidRPr="00153D15" w:rsidDel="00F213DC">
        <w:rPr>
          <w:rFonts w:ascii="Times New Roman" w:eastAsia="Times New Roman" w:hAnsi="Times New Roman"/>
          <w:lang w:val="lt-LT"/>
        </w:rPr>
        <w:t xml:space="preserve"> </w:t>
      </w:r>
      <w:r w:rsidRPr="00153D15">
        <w:rPr>
          <w:rFonts w:ascii="Times New Roman" w:eastAsia="Times New Roman" w:hAnsi="Times New Roman"/>
          <w:lang w:val="lt-LT"/>
        </w:rPr>
        <w:t xml:space="preserve">apie šį vaistą norite sužinoti daugiau, kreipkitės į vietinį </w:t>
      </w:r>
      <w:r w:rsidR="00EF6B7C" w:rsidRPr="00153D15">
        <w:rPr>
          <w:rFonts w:ascii="Times New Roman" w:hAnsi="Times New Roman"/>
          <w:noProof/>
          <w:lang w:val="lt-LT"/>
        </w:rPr>
        <w:t>registruotojo</w:t>
      </w:r>
      <w:r w:rsidRPr="00153D15">
        <w:rPr>
          <w:rFonts w:ascii="Times New Roman" w:eastAsia="Times New Roman" w:hAnsi="Times New Roman"/>
          <w:lang w:val="lt-LT"/>
        </w:rPr>
        <w:t xml:space="preserve"> atstovą.</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„Pfizer Luxembourg SARL“ filialas Lietuvoje,</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Goštauto 40a, LT</w:t>
      </w:r>
      <w:r w:rsidRPr="00153D15">
        <w:rPr>
          <w:rFonts w:ascii="Times New Roman" w:eastAsia="Times New Roman" w:hAnsi="Times New Roman"/>
          <w:lang w:val="lt-LT"/>
        </w:rPr>
        <w:noBreakHyphen/>
        <w:t>01112 Vilnius</w:t>
      </w:r>
    </w:p>
    <w:p w:rsidR="002101F6" w:rsidRPr="00153D15" w:rsidRDefault="002101F6" w:rsidP="002101F6">
      <w:pPr>
        <w:spacing w:after="0" w:line="240" w:lineRule="auto"/>
        <w:rPr>
          <w:rFonts w:ascii="Times New Roman" w:eastAsia="Times New Roman" w:hAnsi="Times New Roman"/>
          <w:lang w:val="lt-LT"/>
        </w:rPr>
      </w:pPr>
      <w:r w:rsidRPr="00153D15">
        <w:rPr>
          <w:rFonts w:ascii="Times New Roman" w:eastAsia="Times New Roman" w:hAnsi="Times New Roman"/>
          <w:lang w:val="lt-LT"/>
        </w:rPr>
        <w:t>Tel. +</w:t>
      </w:r>
      <w:r w:rsidRPr="00153D15">
        <w:rPr>
          <w:rFonts w:ascii="Times New Roman" w:eastAsia="Calibri" w:hAnsi="Times New Roman"/>
          <w:lang w:val="lt-LT"/>
        </w:rPr>
        <w:t>370 5 2514000</w:t>
      </w: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lang w:val="lt-LT"/>
        </w:rPr>
      </w:pPr>
    </w:p>
    <w:p w:rsidR="002101F6" w:rsidRPr="00153D15" w:rsidRDefault="002101F6" w:rsidP="002101F6">
      <w:p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bCs/>
          <w:lang w:val="lt-LT"/>
        </w:rPr>
        <w:t xml:space="preserve">Šis pakuotės </w:t>
      </w:r>
      <w:r w:rsidRPr="00153D15">
        <w:rPr>
          <w:rFonts w:ascii="Times New Roman" w:eastAsia="Times New Roman" w:hAnsi="Times New Roman"/>
          <w:b/>
          <w:lang w:val="lt-LT"/>
        </w:rPr>
        <w:t xml:space="preserve">lapelis paskutinį kartą peržiūrėtas </w:t>
      </w:r>
      <w:r w:rsidR="00EF2F0C">
        <w:rPr>
          <w:rFonts w:ascii="Times New Roman" w:eastAsia="Times New Roman" w:hAnsi="Times New Roman"/>
          <w:b/>
          <w:lang w:val="lt-LT"/>
        </w:rPr>
        <w:t>2019-01-10.</w:t>
      </w:r>
    </w:p>
    <w:p w:rsidR="002101F6" w:rsidRPr="00153D15" w:rsidRDefault="002101F6" w:rsidP="002101F6">
      <w:pPr>
        <w:spacing w:after="0" w:line="240" w:lineRule="auto"/>
        <w:ind w:left="567" w:hanging="567"/>
        <w:rPr>
          <w:rFonts w:ascii="Times New Roman" w:eastAsia="Times New Roman" w:hAnsi="Times New Roman"/>
          <w:lang w:val="lt-LT"/>
        </w:rPr>
      </w:pPr>
    </w:p>
    <w:p w:rsidR="002101F6" w:rsidRPr="00153D15" w:rsidRDefault="002101F6" w:rsidP="002101F6">
      <w:pPr>
        <w:spacing w:after="0" w:line="240" w:lineRule="auto"/>
        <w:rPr>
          <w:rFonts w:ascii="Times New Roman" w:eastAsia="Times New Roman" w:hAnsi="Times New Roman"/>
          <w:color w:val="0000FF"/>
          <w:lang w:val="lt-LT"/>
        </w:rPr>
      </w:pPr>
      <w:r w:rsidRPr="00153D15">
        <w:rPr>
          <w:rFonts w:ascii="Times New Roman" w:eastAsia="Calibri" w:hAnsi="Times New Roman"/>
          <w:lang w:val="lt-LT"/>
        </w:rPr>
        <w:t>Išsami informacija apie šį vaistą</w:t>
      </w:r>
      <w:r w:rsidRPr="00153D15">
        <w:rPr>
          <w:rFonts w:ascii="Times New Roman" w:eastAsia="Times New Roman" w:hAnsi="Times New Roman"/>
          <w:lang w:val="lt-LT"/>
        </w:rPr>
        <w:t xml:space="preserve"> pateikiama Valstybinės vaistų kontrolės tarnybos prie Lietuvos Respublikos sveikatos apsaugos ministerijos tinklalapyje </w:t>
      </w:r>
      <w:hyperlink r:id="rId16" w:history="1">
        <w:r w:rsidRPr="00153D15">
          <w:rPr>
            <w:rFonts w:ascii="Times New Roman" w:eastAsia="Times New Roman" w:hAnsi="Times New Roman"/>
            <w:color w:val="0000FF"/>
            <w:u w:val="single"/>
            <w:lang w:val="lt-LT"/>
          </w:rPr>
          <w:t>http://www.vvkt.lt/</w:t>
        </w:r>
      </w:hyperlink>
    </w:p>
    <w:p w:rsidR="002101F6" w:rsidRPr="00153D15" w:rsidRDefault="002101F6" w:rsidP="002101F6">
      <w:pPr>
        <w:spacing w:after="0" w:line="240" w:lineRule="auto"/>
        <w:rPr>
          <w:rFonts w:ascii="Times New Roman" w:eastAsia="Calibri" w:hAnsi="Times New Roman"/>
          <w:lang w:val="lt-LT"/>
        </w:rPr>
      </w:pPr>
    </w:p>
    <w:p w:rsidR="002101F6" w:rsidRPr="00153D15" w:rsidRDefault="002101F6" w:rsidP="002101F6">
      <w:pPr>
        <w:rPr>
          <w:rFonts w:ascii="Times New Roman" w:hAnsi="Times New Roman"/>
          <w:lang w:val="lt-LT"/>
        </w:rPr>
      </w:pPr>
      <w:bookmarkStart w:id="3" w:name="_GoBack"/>
      <w:bookmarkEnd w:id="3"/>
    </w:p>
    <w:p w:rsidR="00833EB3" w:rsidRPr="00153D15" w:rsidRDefault="00833EB3">
      <w:pPr>
        <w:rPr>
          <w:rFonts w:ascii="Times New Roman" w:hAnsi="Times New Roman"/>
          <w:lang w:val="lt-LT"/>
        </w:rPr>
      </w:pPr>
    </w:p>
    <w:sectPr w:rsidR="00833EB3" w:rsidRPr="00153D15" w:rsidSect="00362603">
      <w:footerReference w:type="even" r:id="rId17"/>
      <w:footerReference w:type="default" r:id="rId1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0C7" w:rsidRDefault="00DB30C7">
      <w:pPr>
        <w:spacing w:after="0" w:line="240" w:lineRule="auto"/>
      </w:pPr>
      <w:r>
        <w:separator/>
      </w:r>
    </w:p>
  </w:endnote>
  <w:endnote w:type="continuationSeparator" w:id="0">
    <w:p w:rsidR="00DB30C7" w:rsidRDefault="00DB30C7">
      <w:pPr>
        <w:spacing w:after="0" w:line="240" w:lineRule="auto"/>
      </w:pPr>
      <w:r>
        <w:continuationSeparator/>
      </w:r>
    </w:p>
  </w:endnote>
  <w:endnote w:type="continuationNotice" w:id="1">
    <w:p w:rsidR="00DB30C7" w:rsidRDefault="00DB3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A6C" w:rsidRDefault="00054A6C">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rsidR="00054A6C" w:rsidRDefault="00054A6C">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A6C" w:rsidRDefault="00054A6C">
    <w:pPr>
      <w:pStyle w:val="Porat"/>
      <w:framePr w:wrap="around" w:vAnchor="text" w:hAnchor="margin" w:xAlign="right" w:y="1"/>
      <w:rPr>
        <w:rStyle w:val="Puslapionumeris"/>
        <w:lang w:val="lt-LT"/>
      </w:rPr>
    </w:pPr>
  </w:p>
  <w:p w:rsidR="00054A6C" w:rsidRDefault="00054A6C">
    <w:pPr>
      <w:pStyle w:val="Porat"/>
      <w:ind w:right="360"/>
      <w:jc w:val="center"/>
      <w:rPr>
        <w:rStyle w:val="Puslapionumeris"/>
        <w:lang w:val="lt-LT"/>
      </w:rPr>
    </w:pPr>
    <w:r>
      <w:rPr>
        <w:rStyle w:val="Puslapionumeris"/>
        <w:lang w:val="lt-LT"/>
      </w:rPr>
      <w:fldChar w:fldCharType="begin"/>
    </w:r>
    <w:r>
      <w:rPr>
        <w:rStyle w:val="Puslapionumeris"/>
        <w:lang w:val="lt-LT"/>
      </w:rPr>
      <w:instrText xml:space="preserve"> PAGE </w:instrText>
    </w:r>
    <w:r>
      <w:rPr>
        <w:rStyle w:val="Puslapionumeris"/>
        <w:lang w:val="lt-LT"/>
      </w:rPr>
      <w:fldChar w:fldCharType="separate"/>
    </w:r>
    <w:r w:rsidR="00920C65">
      <w:rPr>
        <w:rStyle w:val="Puslapionumeris"/>
        <w:noProof/>
        <w:lang w:val="lt-LT"/>
      </w:rPr>
      <w:t>37</w:t>
    </w:r>
    <w:r>
      <w:rPr>
        <w:rStyle w:val="Puslapionumeris"/>
        <w:lang w:val="lt-L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0C7" w:rsidRDefault="00DB30C7">
      <w:pPr>
        <w:spacing w:after="0" w:line="240" w:lineRule="auto"/>
      </w:pPr>
      <w:r>
        <w:separator/>
      </w:r>
    </w:p>
  </w:footnote>
  <w:footnote w:type="continuationSeparator" w:id="0">
    <w:p w:rsidR="00DB30C7" w:rsidRDefault="00DB30C7">
      <w:pPr>
        <w:spacing w:after="0" w:line="240" w:lineRule="auto"/>
      </w:pPr>
      <w:r>
        <w:continuationSeparator/>
      </w:r>
    </w:p>
  </w:footnote>
  <w:footnote w:type="continuationNotice" w:id="1">
    <w:p w:rsidR="00DB30C7" w:rsidRDefault="00DB30C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C65E4"/>
    <w:multiLevelType w:val="hybridMultilevel"/>
    <w:tmpl w:val="5448E472"/>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7C41534"/>
    <w:multiLevelType w:val="hybridMultilevel"/>
    <w:tmpl w:val="54A6E15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B9342D1"/>
    <w:multiLevelType w:val="hybridMultilevel"/>
    <w:tmpl w:val="2D2653BA"/>
    <w:lvl w:ilvl="0" w:tplc="2092E172">
      <w:start w:val="1"/>
      <w:numFmt w:val="bullet"/>
      <w:lvlText w:val=""/>
      <w:lvlJc w:val="left"/>
      <w:pPr>
        <w:tabs>
          <w:tab w:val="num" w:pos="1260"/>
        </w:tabs>
        <w:ind w:left="126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4D7AFA"/>
    <w:multiLevelType w:val="hybridMultilevel"/>
    <w:tmpl w:val="A3A8D9A6"/>
    <w:lvl w:ilvl="0" w:tplc="FFFFFFFF">
      <w:start w:val="8"/>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DEA02D4"/>
    <w:multiLevelType w:val="hybridMultilevel"/>
    <w:tmpl w:val="6414E7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1112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F5AB0"/>
    <w:multiLevelType w:val="hybridMultilevel"/>
    <w:tmpl w:val="ACA25820"/>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15:restartNumberingAfterBreak="0">
    <w:nsid w:val="14EB41D2"/>
    <w:multiLevelType w:val="hybridMultilevel"/>
    <w:tmpl w:val="C2DE75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6A1560A"/>
    <w:multiLevelType w:val="hybridMultilevel"/>
    <w:tmpl w:val="4F02537E"/>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6CD5A25"/>
    <w:multiLevelType w:val="hybridMultilevel"/>
    <w:tmpl w:val="5960302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B646FD5"/>
    <w:multiLevelType w:val="hybridMultilevel"/>
    <w:tmpl w:val="2528D630"/>
    <w:lvl w:ilvl="0" w:tplc="FFFFFFFF">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7401B"/>
    <w:multiLevelType w:val="hybridMultilevel"/>
    <w:tmpl w:val="3AEE10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01D1EDC"/>
    <w:multiLevelType w:val="hybridMultilevel"/>
    <w:tmpl w:val="25E082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1434BA3"/>
    <w:multiLevelType w:val="hybridMultilevel"/>
    <w:tmpl w:val="D70C8C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B62CEB"/>
    <w:multiLevelType w:val="hybridMultilevel"/>
    <w:tmpl w:val="3AB8FD86"/>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6" w15:restartNumberingAfterBreak="0">
    <w:nsid w:val="25916CEB"/>
    <w:multiLevelType w:val="singleLevel"/>
    <w:tmpl w:val="FC0269BA"/>
    <w:lvl w:ilvl="0">
      <w:numFmt w:val="bullet"/>
      <w:lvlText w:val="-"/>
      <w:lvlJc w:val="left"/>
      <w:pPr>
        <w:tabs>
          <w:tab w:val="num" w:pos="872"/>
        </w:tabs>
        <w:ind w:left="872" w:hanging="360"/>
      </w:pPr>
      <w:rPr>
        <w:rFonts w:hint="default"/>
      </w:rPr>
    </w:lvl>
  </w:abstractNum>
  <w:abstractNum w:abstractNumId="17" w15:restartNumberingAfterBreak="0">
    <w:nsid w:val="287A107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963FCD"/>
    <w:multiLevelType w:val="multilevel"/>
    <w:tmpl w:val="95BEFD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D2B76A7"/>
    <w:multiLevelType w:val="hybridMultilevel"/>
    <w:tmpl w:val="541E7C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FBB5247"/>
    <w:multiLevelType w:val="hybridMultilevel"/>
    <w:tmpl w:val="8E7A4C52"/>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3021D3C"/>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22" w15:restartNumberingAfterBreak="0">
    <w:nsid w:val="352B006E"/>
    <w:multiLevelType w:val="hybridMultilevel"/>
    <w:tmpl w:val="4DBCB412"/>
    <w:lvl w:ilvl="0" w:tplc="5C9E954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6B178A"/>
    <w:multiLevelType w:val="hybridMultilevel"/>
    <w:tmpl w:val="68502D20"/>
    <w:lvl w:ilvl="0" w:tplc="C05652A8">
      <w:start w:val="3"/>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F47F33"/>
    <w:multiLevelType w:val="hybridMultilevel"/>
    <w:tmpl w:val="F9CCA0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9A121AD"/>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72356F"/>
    <w:multiLevelType w:val="hybridMultilevel"/>
    <w:tmpl w:val="8C58ACC4"/>
    <w:lvl w:ilvl="0" w:tplc="FFFFFFFF">
      <w:start w:val="1"/>
      <w:numFmt w:val="upperLetter"/>
      <w:lvlText w:val="%1."/>
      <w:lvlJc w:val="left"/>
      <w:pPr>
        <w:tabs>
          <w:tab w:val="num" w:pos="720"/>
        </w:tabs>
        <w:ind w:left="720" w:hanging="360"/>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5E1CF4"/>
    <w:multiLevelType w:val="hybridMultilevel"/>
    <w:tmpl w:val="1E785CE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039520F"/>
    <w:multiLevelType w:val="hybridMultilevel"/>
    <w:tmpl w:val="84BC867A"/>
    <w:lvl w:ilvl="0" w:tplc="FFFFFFFF">
      <w:start w:val="6"/>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5BA0AD1"/>
    <w:multiLevelType w:val="hybridMultilevel"/>
    <w:tmpl w:val="36023B64"/>
    <w:lvl w:ilvl="0" w:tplc="04090001">
      <w:start w:val="1"/>
      <w:numFmt w:val="bullet"/>
      <w:lvlText w:val=""/>
      <w:lvlJc w:val="left"/>
      <w:pPr>
        <w:tabs>
          <w:tab w:val="num" w:pos="882"/>
        </w:tabs>
        <w:ind w:left="882" w:hanging="360"/>
      </w:pPr>
      <w:rPr>
        <w:rFonts w:ascii="Symbol" w:hAnsi="Symbol" w:hint="default"/>
      </w:rPr>
    </w:lvl>
    <w:lvl w:ilvl="1" w:tplc="04090003" w:tentative="1">
      <w:start w:val="1"/>
      <w:numFmt w:val="bullet"/>
      <w:lvlText w:val="o"/>
      <w:lvlJc w:val="left"/>
      <w:pPr>
        <w:tabs>
          <w:tab w:val="num" w:pos="1602"/>
        </w:tabs>
        <w:ind w:left="1602" w:hanging="360"/>
      </w:pPr>
      <w:rPr>
        <w:rFonts w:ascii="Courier New" w:hAnsi="Courier New" w:cs="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cs="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cs="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31" w15:restartNumberingAfterBreak="0">
    <w:nsid w:val="58A50C57"/>
    <w:multiLevelType w:val="hybridMultilevel"/>
    <w:tmpl w:val="44E44962"/>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DA83DBF"/>
    <w:multiLevelType w:val="hybridMultilevel"/>
    <w:tmpl w:val="A8506FA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3769AD"/>
    <w:multiLevelType w:val="hybridMultilevel"/>
    <w:tmpl w:val="3CF25C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B462FAD"/>
    <w:multiLevelType w:val="hybridMultilevel"/>
    <w:tmpl w:val="51EE90EC"/>
    <w:lvl w:ilvl="0"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E45252A"/>
    <w:multiLevelType w:val="multilevel"/>
    <w:tmpl w:val="033EB2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F9E5C4F"/>
    <w:multiLevelType w:val="hybridMultilevel"/>
    <w:tmpl w:val="0EFA0A9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DB22E2"/>
    <w:multiLevelType w:val="hybridMultilevel"/>
    <w:tmpl w:val="A418B87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42209A7"/>
    <w:multiLevelType w:val="hybridMultilevel"/>
    <w:tmpl w:val="025832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8551B69"/>
    <w:multiLevelType w:val="multilevel"/>
    <w:tmpl w:val="9F3646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7ECA57B8"/>
    <w:multiLevelType w:val="multilevel"/>
    <w:tmpl w:val="CDD4F1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num w:numId="1">
    <w:abstractNumId w:val="7"/>
  </w:num>
  <w:num w:numId="2">
    <w:abstractNumId w:val="13"/>
  </w:num>
  <w:num w:numId="3">
    <w:abstractNumId w:val="28"/>
  </w:num>
  <w:num w:numId="4">
    <w:abstractNumId w:val="37"/>
  </w:num>
  <w:num w:numId="5">
    <w:abstractNumId w:val="32"/>
  </w:num>
  <w:num w:numId="6">
    <w:abstractNumId w:val="6"/>
  </w:num>
  <w:num w:numId="7">
    <w:abstractNumId w:val="25"/>
  </w:num>
  <w:num w:numId="8">
    <w:abstractNumId w:val="17"/>
  </w:num>
  <w:num w:numId="9">
    <w:abstractNumId w:val="15"/>
  </w:num>
  <w:num w:numId="10">
    <w:abstractNumId w:val="2"/>
  </w:num>
  <w:num w:numId="11">
    <w:abstractNumId w:val="40"/>
  </w:num>
  <w:num w:numId="12">
    <w:abstractNumId w:val="39"/>
  </w:num>
  <w:num w:numId="13">
    <w:abstractNumId w:val="29"/>
  </w:num>
  <w:num w:numId="14">
    <w:abstractNumId w:val="18"/>
  </w:num>
  <w:num w:numId="15">
    <w:abstractNumId w:val="35"/>
  </w:num>
  <w:num w:numId="16">
    <w:abstractNumId w:val="26"/>
  </w:num>
  <w:num w:numId="17">
    <w:abstractNumId w:val="10"/>
  </w:num>
  <w:num w:numId="18">
    <w:abstractNumId w:val="38"/>
  </w:num>
  <w:num w:numId="19">
    <w:abstractNumId w:val="1"/>
  </w:num>
  <w:num w:numId="20">
    <w:abstractNumId w:val="24"/>
  </w:num>
  <w:num w:numId="21">
    <w:abstractNumId w:val="9"/>
  </w:num>
  <w:num w:numId="22">
    <w:abstractNumId w:val="34"/>
  </w:num>
  <w:num w:numId="23">
    <w:abstractNumId w:val="8"/>
  </w:num>
  <w:num w:numId="24">
    <w:abstractNumId w:val="33"/>
  </w:num>
  <w:num w:numId="25">
    <w:abstractNumId w:val="16"/>
  </w:num>
  <w:num w:numId="26">
    <w:abstractNumId w:val="21"/>
  </w:num>
  <w:num w:numId="27">
    <w:abstractNumId w:val="4"/>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23"/>
  </w:num>
  <w:num w:numId="30">
    <w:abstractNumId w:val="0"/>
    <w:lvlOverride w:ilvl="0">
      <w:lvl w:ilvl="0">
        <w:numFmt w:val="bullet"/>
        <w:lvlText w:val="-"/>
        <w:legacy w:legacy="1" w:legacySpace="0" w:legacyIndent="360"/>
        <w:lvlJc w:val="left"/>
        <w:pPr>
          <w:ind w:left="360" w:hanging="360"/>
        </w:pPr>
      </w:lvl>
    </w:lvlOverride>
  </w:num>
  <w:num w:numId="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3"/>
  </w:num>
  <w:num w:numId="34">
    <w:abstractNumId w:val="27"/>
  </w:num>
  <w:num w:numId="35">
    <w:abstractNumId w:val="30"/>
  </w:num>
  <w:num w:numId="36">
    <w:abstractNumId w:val="36"/>
  </w:num>
  <w:num w:numId="37">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u w:val="none"/>
        </w:rPr>
      </w:lvl>
    </w:lvlOverride>
  </w:num>
  <w:num w:numId="38">
    <w:abstractNumId w:val="12"/>
  </w:num>
  <w:num w:numId="39">
    <w:abstractNumId w:val="5"/>
  </w:num>
  <w:num w:numId="40">
    <w:abstractNumId w:val="19"/>
  </w:num>
  <w:num w:numId="41">
    <w:abstractNumId w:val="14"/>
  </w:num>
  <w:num w:numId="42">
    <w:abstractNumId w:val="20"/>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1F6"/>
    <w:rsid w:val="00005874"/>
    <w:rsid w:val="0003051C"/>
    <w:rsid w:val="000429B4"/>
    <w:rsid w:val="00044FA2"/>
    <w:rsid w:val="00054A6C"/>
    <w:rsid w:val="000559E8"/>
    <w:rsid w:val="00063F26"/>
    <w:rsid w:val="00066CD2"/>
    <w:rsid w:val="0007263C"/>
    <w:rsid w:val="0007303F"/>
    <w:rsid w:val="000739E0"/>
    <w:rsid w:val="00085C52"/>
    <w:rsid w:val="00091072"/>
    <w:rsid w:val="000E0D3E"/>
    <w:rsid w:val="000F1439"/>
    <w:rsid w:val="000F61A3"/>
    <w:rsid w:val="001006EB"/>
    <w:rsid w:val="00104927"/>
    <w:rsid w:val="00107B81"/>
    <w:rsid w:val="00110A20"/>
    <w:rsid w:val="00112FBA"/>
    <w:rsid w:val="00117637"/>
    <w:rsid w:val="0012494A"/>
    <w:rsid w:val="001448C6"/>
    <w:rsid w:val="0014763F"/>
    <w:rsid w:val="001519E4"/>
    <w:rsid w:val="00153D15"/>
    <w:rsid w:val="001818C6"/>
    <w:rsid w:val="00194DFE"/>
    <w:rsid w:val="00196BE3"/>
    <w:rsid w:val="001A3543"/>
    <w:rsid w:val="001B3CB1"/>
    <w:rsid w:val="001B77CC"/>
    <w:rsid w:val="001C004A"/>
    <w:rsid w:val="001C62C7"/>
    <w:rsid w:val="001D3DA2"/>
    <w:rsid w:val="001E0FDF"/>
    <w:rsid w:val="001E553C"/>
    <w:rsid w:val="001E5AE9"/>
    <w:rsid w:val="001F3C44"/>
    <w:rsid w:val="00200544"/>
    <w:rsid w:val="00205B57"/>
    <w:rsid w:val="002101F6"/>
    <w:rsid w:val="00217A7F"/>
    <w:rsid w:val="002309E7"/>
    <w:rsid w:val="002315F0"/>
    <w:rsid w:val="0023246E"/>
    <w:rsid w:val="00232961"/>
    <w:rsid w:val="00235831"/>
    <w:rsid w:val="00237A54"/>
    <w:rsid w:val="00245F1E"/>
    <w:rsid w:val="00251BFB"/>
    <w:rsid w:val="00257A88"/>
    <w:rsid w:val="002648A8"/>
    <w:rsid w:val="002656AC"/>
    <w:rsid w:val="00273EBE"/>
    <w:rsid w:val="0028135E"/>
    <w:rsid w:val="002A22D0"/>
    <w:rsid w:val="002A4833"/>
    <w:rsid w:val="002B37CF"/>
    <w:rsid w:val="002B5361"/>
    <w:rsid w:val="002C2054"/>
    <w:rsid w:val="002C6208"/>
    <w:rsid w:val="002C71D5"/>
    <w:rsid w:val="002D26CD"/>
    <w:rsid w:val="002F525C"/>
    <w:rsid w:val="00302331"/>
    <w:rsid w:val="003045B1"/>
    <w:rsid w:val="00327744"/>
    <w:rsid w:val="00330B61"/>
    <w:rsid w:val="0033458C"/>
    <w:rsid w:val="00362603"/>
    <w:rsid w:val="00362A94"/>
    <w:rsid w:val="00362E04"/>
    <w:rsid w:val="003722A6"/>
    <w:rsid w:val="00373CEE"/>
    <w:rsid w:val="003774EB"/>
    <w:rsid w:val="00380D96"/>
    <w:rsid w:val="0038605B"/>
    <w:rsid w:val="003873A0"/>
    <w:rsid w:val="00387849"/>
    <w:rsid w:val="00390BC8"/>
    <w:rsid w:val="00394000"/>
    <w:rsid w:val="003A1836"/>
    <w:rsid w:val="003A41D2"/>
    <w:rsid w:val="003A60C1"/>
    <w:rsid w:val="003B0B5C"/>
    <w:rsid w:val="003B1561"/>
    <w:rsid w:val="003C114E"/>
    <w:rsid w:val="003D4DDA"/>
    <w:rsid w:val="003D74C8"/>
    <w:rsid w:val="003E41AD"/>
    <w:rsid w:val="003E7846"/>
    <w:rsid w:val="003F5971"/>
    <w:rsid w:val="00414582"/>
    <w:rsid w:val="00422759"/>
    <w:rsid w:val="00425448"/>
    <w:rsid w:val="004303EB"/>
    <w:rsid w:val="00433141"/>
    <w:rsid w:val="00440378"/>
    <w:rsid w:val="004563FC"/>
    <w:rsid w:val="0046582B"/>
    <w:rsid w:val="0047566A"/>
    <w:rsid w:val="00475807"/>
    <w:rsid w:val="004768E5"/>
    <w:rsid w:val="004826BE"/>
    <w:rsid w:val="00484ADE"/>
    <w:rsid w:val="00494BDC"/>
    <w:rsid w:val="00495F6F"/>
    <w:rsid w:val="00497380"/>
    <w:rsid w:val="004A337D"/>
    <w:rsid w:val="004C3879"/>
    <w:rsid w:val="004C52EA"/>
    <w:rsid w:val="004D0E11"/>
    <w:rsid w:val="004F1D76"/>
    <w:rsid w:val="005035C9"/>
    <w:rsid w:val="00514722"/>
    <w:rsid w:val="0052009B"/>
    <w:rsid w:val="005238E4"/>
    <w:rsid w:val="00526531"/>
    <w:rsid w:val="005330C2"/>
    <w:rsid w:val="00533D3E"/>
    <w:rsid w:val="0053615B"/>
    <w:rsid w:val="00540E3B"/>
    <w:rsid w:val="00541870"/>
    <w:rsid w:val="0054622E"/>
    <w:rsid w:val="0055311E"/>
    <w:rsid w:val="0056281A"/>
    <w:rsid w:val="0057225A"/>
    <w:rsid w:val="00597284"/>
    <w:rsid w:val="005A20B8"/>
    <w:rsid w:val="005A2FCF"/>
    <w:rsid w:val="005B2F47"/>
    <w:rsid w:val="005B4C2F"/>
    <w:rsid w:val="005B5632"/>
    <w:rsid w:val="005E0F3D"/>
    <w:rsid w:val="005F6011"/>
    <w:rsid w:val="005F7DC8"/>
    <w:rsid w:val="006037A8"/>
    <w:rsid w:val="00604642"/>
    <w:rsid w:val="0062101E"/>
    <w:rsid w:val="00632579"/>
    <w:rsid w:val="00633046"/>
    <w:rsid w:val="006365B5"/>
    <w:rsid w:val="00637CB4"/>
    <w:rsid w:val="00640AC3"/>
    <w:rsid w:val="00642E95"/>
    <w:rsid w:val="00652F32"/>
    <w:rsid w:val="00653DB4"/>
    <w:rsid w:val="006552F9"/>
    <w:rsid w:val="00664E96"/>
    <w:rsid w:val="00666091"/>
    <w:rsid w:val="0066613A"/>
    <w:rsid w:val="0066680B"/>
    <w:rsid w:val="00671548"/>
    <w:rsid w:val="00675229"/>
    <w:rsid w:val="00681C34"/>
    <w:rsid w:val="00687936"/>
    <w:rsid w:val="00692A3D"/>
    <w:rsid w:val="006A11DB"/>
    <w:rsid w:val="006A1307"/>
    <w:rsid w:val="006A6704"/>
    <w:rsid w:val="006A6F8C"/>
    <w:rsid w:val="006B032D"/>
    <w:rsid w:val="006B3E87"/>
    <w:rsid w:val="006C263D"/>
    <w:rsid w:val="006C4750"/>
    <w:rsid w:val="006C66EA"/>
    <w:rsid w:val="006D561D"/>
    <w:rsid w:val="006D59AA"/>
    <w:rsid w:val="006D64CB"/>
    <w:rsid w:val="006D6F8C"/>
    <w:rsid w:val="006E59D1"/>
    <w:rsid w:val="006F4DF4"/>
    <w:rsid w:val="006F59C6"/>
    <w:rsid w:val="007034A3"/>
    <w:rsid w:val="0070579B"/>
    <w:rsid w:val="007064F3"/>
    <w:rsid w:val="00707B98"/>
    <w:rsid w:val="007222EE"/>
    <w:rsid w:val="00730AEB"/>
    <w:rsid w:val="00740304"/>
    <w:rsid w:val="0074292D"/>
    <w:rsid w:val="00744F95"/>
    <w:rsid w:val="00757F0A"/>
    <w:rsid w:val="0076536A"/>
    <w:rsid w:val="00772BBA"/>
    <w:rsid w:val="00783C1A"/>
    <w:rsid w:val="007843AA"/>
    <w:rsid w:val="007912D0"/>
    <w:rsid w:val="007A1DDB"/>
    <w:rsid w:val="007B0ACB"/>
    <w:rsid w:val="007B2282"/>
    <w:rsid w:val="007D0D19"/>
    <w:rsid w:val="007D222F"/>
    <w:rsid w:val="00807743"/>
    <w:rsid w:val="0082134B"/>
    <w:rsid w:val="008262DB"/>
    <w:rsid w:val="00831D4C"/>
    <w:rsid w:val="00833D01"/>
    <w:rsid w:val="00833EB3"/>
    <w:rsid w:val="0084079C"/>
    <w:rsid w:val="008458C0"/>
    <w:rsid w:val="0085000F"/>
    <w:rsid w:val="0085320E"/>
    <w:rsid w:val="0085709A"/>
    <w:rsid w:val="00862E08"/>
    <w:rsid w:val="0087224C"/>
    <w:rsid w:val="008732E2"/>
    <w:rsid w:val="00882F0E"/>
    <w:rsid w:val="00883ADB"/>
    <w:rsid w:val="008956EA"/>
    <w:rsid w:val="00897104"/>
    <w:rsid w:val="008A6F98"/>
    <w:rsid w:val="008B045C"/>
    <w:rsid w:val="008B5F47"/>
    <w:rsid w:val="008C6BAA"/>
    <w:rsid w:val="008D6C05"/>
    <w:rsid w:val="008E1262"/>
    <w:rsid w:val="008E3B7D"/>
    <w:rsid w:val="008F088D"/>
    <w:rsid w:val="008F1BAE"/>
    <w:rsid w:val="00900432"/>
    <w:rsid w:val="009061FE"/>
    <w:rsid w:val="00913DFA"/>
    <w:rsid w:val="00920C65"/>
    <w:rsid w:val="00920D3D"/>
    <w:rsid w:val="00922E94"/>
    <w:rsid w:val="0092579E"/>
    <w:rsid w:val="00934862"/>
    <w:rsid w:val="0094427D"/>
    <w:rsid w:val="00950ECF"/>
    <w:rsid w:val="00966F82"/>
    <w:rsid w:val="00990992"/>
    <w:rsid w:val="00993EA0"/>
    <w:rsid w:val="0099689E"/>
    <w:rsid w:val="009A1668"/>
    <w:rsid w:val="009A582B"/>
    <w:rsid w:val="009B4A3C"/>
    <w:rsid w:val="009B65FD"/>
    <w:rsid w:val="009C47AE"/>
    <w:rsid w:val="009C5EC0"/>
    <w:rsid w:val="009D3661"/>
    <w:rsid w:val="009D56B0"/>
    <w:rsid w:val="009F246F"/>
    <w:rsid w:val="009F6871"/>
    <w:rsid w:val="00A00AA6"/>
    <w:rsid w:val="00A06FD5"/>
    <w:rsid w:val="00A10C0A"/>
    <w:rsid w:val="00A17221"/>
    <w:rsid w:val="00A22B46"/>
    <w:rsid w:val="00A34374"/>
    <w:rsid w:val="00A3592C"/>
    <w:rsid w:val="00A40E77"/>
    <w:rsid w:val="00A47857"/>
    <w:rsid w:val="00A5124A"/>
    <w:rsid w:val="00A564E3"/>
    <w:rsid w:val="00A62EAF"/>
    <w:rsid w:val="00A66038"/>
    <w:rsid w:val="00A75F8C"/>
    <w:rsid w:val="00AA1017"/>
    <w:rsid w:val="00AD39EA"/>
    <w:rsid w:val="00AD5D19"/>
    <w:rsid w:val="00AD6AEF"/>
    <w:rsid w:val="00AE30B7"/>
    <w:rsid w:val="00AF36A8"/>
    <w:rsid w:val="00AF57A0"/>
    <w:rsid w:val="00B01088"/>
    <w:rsid w:val="00B074B6"/>
    <w:rsid w:val="00B07F3F"/>
    <w:rsid w:val="00B126F3"/>
    <w:rsid w:val="00B16314"/>
    <w:rsid w:val="00B25733"/>
    <w:rsid w:val="00B34510"/>
    <w:rsid w:val="00B34A8E"/>
    <w:rsid w:val="00B35CE8"/>
    <w:rsid w:val="00B60A9E"/>
    <w:rsid w:val="00B70E9E"/>
    <w:rsid w:val="00B81513"/>
    <w:rsid w:val="00B82545"/>
    <w:rsid w:val="00BA46DA"/>
    <w:rsid w:val="00BA5132"/>
    <w:rsid w:val="00BA5DD7"/>
    <w:rsid w:val="00BA75C2"/>
    <w:rsid w:val="00BC1D44"/>
    <w:rsid w:val="00BC6F96"/>
    <w:rsid w:val="00BE4CF8"/>
    <w:rsid w:val="00BE7691"/>
    <w:rsid w:val="00BF1E55"/>
    <w:rsid w:val="00C00F87"/>
    <w:rsid w:val="00C01E1C"/>
    <w:rsid w:val="00C02D4C"/>
    <w:rsid w:val="00C03E9C"/>
    <w:rsid w:val="00C13EF8"/>
    <w:rsid w:val="00C27A0E"/>
    <w:rsid w:val="00C50DE6"/>
    <w:rsid w:val="00C66D6C"/>
    <w:rsid w:val="00C763F7"/>
    <w:rsid w:val="00C809A9"/>
    <w:rsid w:val="00C820E6"/>
    <w:rsid w:val="00C83AFE"/>
    <w:rsid w:val="00C93503"/>
    <w:rsid w:val="00CA0196"/>
    <w:rsid w:val="00CB1E34"/>
    <w:rsid w:val="00CC2557"/>
    <w:rsid w:val="00CD4FDA"/>
    <w:rsid w:val="00CE0FDA"/>
    <w:rsid w:val="00CE552C"/>
    <w:rsid w:val="00CE7A5B"/>
    <w:rsid w:val="00D05449"/>
    <w:rsid w:val="00D05559"/>
    <w:rsid w:val="00D056C7"/>
    <w:rsid w:val="00D10D5B"/>
    <w:rsid w:val="00D156C0"/>
    <w:rsid w:val="00D23298"/>
    <w:rsid w:val="00D23504"/>
    <w:rsid w:val="00D3151C"/>
    <w:rsid w:val="00D32B2C"/>
    <w:rsid w:val="00D33C4B"/>
    <w:rsid w:val="00D41CFF"/>
    <w:rsid w:val="00D47F3E"/>
    <w:rsid w:val="00D53938"/>
    <w:rsid w:val="00D5798F"/>
    <w:rsid w:val="00D750A2"/>
    <w:rsid w:val="00D80209"/>
    <w:rsid w:val="00D81496"/>
    <w:rsid w:val="00D83894"/>
    <w:rsid w:val="00D85B13"/>
    <w:rsid w:val="00D85BDC"/>
    <w:rsid w:val="00D90052"/>
    <w:rsid w:val="00D91243"/>
    <w:rsid w:val="00DB30C7"/>
    <w:rsid w:val="00DB7DB5"/>
    <w:rsid w:val="00DC3C99"/>
    <w:rsid w:val="00DC4EC2"/>
    <w:rsid w:val="00DC613B"/>
    <w:rsid w:val="00DC6B6B"/>
    <w:rsid w:val="00DC780A"/>
    <w:rsid w:val="00DD1C43"/>
    <w:rsid w:val="00DE767A"/>
    <w:rsid w:val="00DF6A4A"/>
    <w:rsid w:val="00E0293A"/>
    <w:rsid w:val="00E27799"/>
    <w:rsid w:val="00E32A05"/>
    <w:rsid w:val="00E32D7C"/>
    <w:rsid w:val="00E40727"/>
    <w:rsid w:val="00E414E4"/>
    <w:rsid w:val="00E4777E"/>
    <w:rsid w:val="00E50CAB"/>
    <w:rsid w:val="00E51DB3"/>
    <w:rsid w:val="00E6188E"/>
    <w:rsid w:val="00E70B1F"/>
    <w:rsid w:val="00E72EA4"/>
    <w:rsid w:val="00E836D5"/>
    <w:rsid w:val="00E84A6C"/>
    <w:rsid w:val="00E90587"/>
    <w:rsid w:val="00E90D1D"/>
    <w:rsid w:val="00E974D5"/>
    <w:rsid w:val="00EA6293"/>
    <w:rsid w:val="00EC7208"/>
    <w:rsid w:val="00ED4C01"/>
    <w:rsid w:val="00ED4F2C"/>
    <w:rsid w:val="00ED7E30"/>
    <w:rsid w:val="00EF1A0B"/>
    <w:rsid w:val="00EF2F0C"/>
    <w:rsid w:val="00EF6B7C"/>
    <w:rsid w:val="00F05960"/>
    <w:rsid w:val="00F07A2E"/>
    <w:rsid w:val="00F129ED"/>
    <w:rsid w:val="00F150E1"/>
    <w:rsid w:val="00F16404"/>
    <w:rsid w:val="00F167DA"/>
    <w:rsid w:val="00F24814"/>
    <w:rsid w:val="00F34D3D"/>
    <w:rsid w:val="00F3750C"/>
    <w:rsid w:val="00F55039"/>
    <w:rsid w:val="00F60A79"/>
    <w:rsid w:val="00F62753"/>
    <w:rsid w:val="00F64349"/>
    <w:rsid w:val="00F836A3"/>
    <w:rsid w:val="00F95E8B"/>
    <w:rsid w:val="00FA23D9"/>
    <w:rsid w:val="00FB2726"/>
    <w:rsid w:val="00FC14CE"/>
    <w:rsid w:val="00FC683C"/>
    <w:rsid w:val="00FC6DE8"/>
    <w:rsid w:val="00FD0392"/>
    <w:rsid w:val="00FD266B"/>
    <w:rsid w:val="00FE12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15:chartTrackingRefBased/>
  <w15:docId w15:val="{4C2297C2-8ACC-43E5-98A0-58F11DE9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01F6"/>
    <w:pPr>
      <w:spacing w:after="200" w:line="276" w:lineRule="auto"/>
    </w:pPr>
    <w:rPr>
      <w:rFonts w:ascii="Cambria" w:eastAsia="Cambria" w:hAnsi="Cambria"/>
      <w:sz w:val="22"/>
      <w:szCs w:val="22"/>
      <w:lang w:val="en-US" w:eastAsia="en-US"/>
    </w:rPr>
  </w:style>
  <w:style w:type="paragraph" w:styleId="Antrat1">
    <w:name w:val="heading 1"/>
    <w:basedOn w:val="prastasis"/>
    <w:next w:val="prastasis"/>
    <w:link w:val="Antrat1Diagrama"/>
    <w:qFormat/>
    <w:rsid w:val="002101F6"/>
    <w:pPr>
      <w:tabs>
        <w:tab w:val="left" w:pos="567"/>
      </w:tabs>
      <w:spacing w:before="240" w:after="120" w:line="260" w:lineRule="exact"/>
      <w:ind w:left="357" w:hanging="357"/>
      <w:outlineLvl w:val="0"/>
    </w:pPr>
    <w:rPr>
      <w:rFonts w:ascii="Times New Roman" w:eastAsia="Times New Roman" w:hAnsi="Times New Roman"/>
      <w:b/>
      <w:caps/>
      <w:sz w:val="26"/>
      <w:szCs w:val="20"/>
    </w:rPr>
  </w:style>
  <w:style w:type="paragraph" w:styleId="Antrat2">
    <w:name w:val="heading 2"/>
    <w:basedOn w:val="prastasis"/>
    <w:next w:val="prastasis"/>
    <w:link w:val="Antrat2Diagrama"/>
    <w:qFormat/>
    <w:rsid w:val="002101F6"/>
    <w:pPr>
      <w:keepNext/>
      <w:tabs>
        <w:tab w:val="left" w:pos="567"/>
      </w:tabs>
      <w:spacing w:before="240" w:after="60" w:line="260" w:lineRule="exact"/>
      <w:outlineLvl w:val="1"/>
    </w:pPr>
    <w:rPr>
      <w:rFonts w:ascii="Helvetica" w:eastAsia="Times New Roman" w:hAnsi="Helvetica"/>
      <w:b/>
      <w:i/>
      <w:szCs w:val="20"/>
      <w:lang w:val="cs-CZ"/>
    </w:rPr>
  </w:style>
  <w:style w:type="paragraph" w:styleId="Antrat3">
    <w:name w:val="heading 3"/>
    <w:basedOn w:val="prastasis"/>
    <w:next w:val="prastasis"/>
    <w:link w:val="Antrat3Diagrama"/>
    <w:qFormat/>
    <w:rsid w:val="002101F6"/>
    <w:pPr>
      <w:keepNext/>
      <w:keepLines/>
      <w:tabs>
        <w:tab w:val="left" w:pos="567"/>
      </w:tabs>
      <w:spacing w:before="120" w:after="80" w:line="260" w:lineRule="exact"/>
      <w:outlineLvl w:val="2"/>
    </w:pPr>
    <w:rPr>
      <w:rFonts w:ascii="Times New Roman" w:eastAsia="Times New Roman" w:hAnsi="Times New Roman"/>
      <w:b/>
      <w:kern w:val="28"/>
      <w:szCs w:val="20"/>
    </w:rPr>
  </w:style>
  <w:style w:type="paragraph" w:styleId="Antrat4">
    <w:name w:val="heading 4"/>
    <w:basedOn w:val="prastasis"/>
    <w:next w:val="prastasis"/>
    <w:link w:val="Antrat4Diagrama"/>
    <w:qFormat/>
    <w:rsid w:val="002101F6"/>
    <w:pPr>
      <w:keepNext/>
      <w:tabs>
        <w:tab w:val="left" w:pos="567"/>
      </w:tabs>
      <w:spacing w:after="0" w:line="260" w:lineRule="exact"/>
      <w:jc w:val="both"/>
      <w:outlineLvl w:val="3"/>
    </w:pPr>
    <w:rPr>
      <w:rFonts w:ascii="Times New Roman" w:eastAsia="Times New Roman" w:hAnsi="Times New Roman"/>
      <w:b/>
      <w:noProof/>
      <w:szCs w:val="20"/>
      <w:lang w:val="cs-CZ"/>
    </w:rPr>
  </w:style>
  <w:style w:type="paragraph" w:styleId="Antrat5">
    <w:name w:val="heading 5"/>
    <w:basedOn w:val="prastasis"/>
    <w:next w:val="prastasis"/>
    <w:link w:val="Antrat5Diagrama"/>
    <w:qFormat/>
    <w:rsid w:val="002101F6"/>
    <w:pPr>
      <w:keepNext/>
      <w:tabs>
        <w:tab w:val="left" w:pos="567"/>
      </w:tabs>
      <w:spacing w:after="0" w:line="260" w:lineRule="exact"/>
      <w:jc w:val="both"/>
      <w:outlineLvl w:val="4"/>
    </w:pPr>
    <w:rPr>
      <w:rFonts w:ascii="Times New Roman" w:eastAsia="Times New Roman" w:hAnsi="Times New Roman"/>
      <w:noProof/>
      <w:szCs w:val="20"/>
      <w:lang w:val="cs-CZ"/>
    </w:rPr>
  </w:style>
  <w:style w:type="paragraph" w:styleId="Antrat6">
    <w:name w:val="heading 6"/>
    <w:basedOn w:val="prastasis"/>
    <w:next w:val="prastasis"/>
    <w:link w:val="Antrat6Diagrama"/>
    <w:qFormat/>
    <w:rsid w:val="002101F6"/>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cs-CZ"/>
    </w:rPr>
  </w:style>
  <w:style w:type="paragraph" w:styleId="Antrat7">
    <w:name w:val="heading 7"/>
    <w:basedOn w:val="prastasis"/>
    <w:next w:val="prastasis"/>
    <w:link w:val="Antrat7Diagrama"/>
    <w:qFormat/>
    <w:rsid w:val="002101F6"/>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cs-CZ"/>
    </w:rPr>
  </w:style>
  <w:style w:type="paragraph" w:styleId="Antrat8">
    <w:name w:val="heading 8"/>
    <w:basedOn w:val="prastasis"/>
    <w:next w:val="prastasis"/>
    <w:link w:val="Antrat8Diagrama"/>
    <w:qFormat/>
    <w:rsid w:val="002101F6"/>
    <w:pPr>
      <w:keepNext/>
      <w:tabs>
        <w:tab w:val="left" w:pos="567"/>
      </w:tabs>
      <w:spacing w:after="0" w:line="260" w:lineRule="exact"/>
      <w:ind w:left="567" w:hanging="567"/>
      <w:jc w:val="both"/>
      <w:outlineLvl w:val="7"/>
    </w:pPr>
    <w:rPr>
      <w:rFonts w:ascii="Times New Roman" w:eastAsia="Times New Roman" w:hAnsi="Times New Roman"/>
      <w:b/>
      <w:i/>
      <w:szCs w:val="20"/>
      <w:lang w:val="cs-CZ"/>
    </w:rPr>
  </w:style>
  <w:style w:type="paragraph" w:styleId="Antrat9">
    <w:name w:val="heading 9"/>
    <w:basedOn w:val="prastasis"/>
    <w:next w:val="prastasis"/>
    <w:link w:val="Antrat9Diagrama"/>
    <w:qFormat/>
    <w:rsid w:val="002101F6"/>
    <w:pPr>
      <w:keepNext/>
      <w:tabs>
        <w:tab w:val="left" w:pos="567"/>
      </w:tabs>
      <w:spacing w:after="0" w:line="260" w:lineRule="exact"/>
      <w:jc w:val="both"/>
      <w:outlineLvl w:val="8"/>
    </w:pPr>
    <w:rPr>
      <w:rFonts w:ascii="Times New Roman" w:eastAsia="Times New Roman" w:hAnsi="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101F6"/>
    <w:rPr>
      <w:rFonts w:eastAsia="Times New Roman"/>
      <w:b/>
      <w:caps/>
      <w:sz w:val="26"/>
      <w:lang w:val="en-US" w:eastAsia="en-US"/>
    </w:rPr>
  </w:style>
  <w:style w:type="character" w:customStyle="1" w:styleId="Antrat2Diagrama">
    <w:name w:val="Antraštė 2 Diagrama"/>
    <w:link w:val="Antrat2"/>
    <w:rsid w:val="002101F6"/>
    <w:rPr>
      <w:rFonts w:ascii="Helvetica" w:eastAsia="Times New Roman" w:hAnsi="Helvetica"/>
      <w:b/>
      <w:i/>
      <w:sz w:val="22"/>
      <w:lang w:eastAsia="en-US"/>
    </w:rPr>
  </w:style>
  <w:style w:type="character" w:customStyle="1" w:styleId="Antrat3Diagrama">
    <w:name w:val="Antraštė 3 Diagrama"/>
    <w:link w:val="Antrat3"/>
    <w:rsid w:val="002101F6"/>
    <w:rPr>
      <w:rFonts w:eastAsia="Times New Roman"/>
      <w:b/>
      <w:kern w:val="28"/>
      <w:sz w:val="22"/>
      <w:lang w:val="en-US" w:eastAsia="en-US"/>
    </w:rPr>
  </w:style>
  <w:style w:type="character" w:customStyle="1" w:styleId="Antrat4Diagrama">
    <w:name w:val="Antraštė 4 Diagrama"/>
    <w:link w:val="Antrat4"/>
    <w:rsid w:val="002101F6"/>
    <w:rPr>
      <w:rFonts w:eastAsia="Times New Roman"/>
      <w:b/>
      <w:noProof/>
      <w:sz w:val="22"/>
      <w:lang w:eastAsia="en-US"/>
    </w:rPr>
  </w:style>
  <w:style w:type="character" w:customStyle="1" w:styleId="Antrat5Diagrama">
    <w:name w:val="Antraštė 5 Diagrama"/>
    <w:link w:val="Antrat5"/>
    <w:rsid w:val="002101F6"/>
    <w:rPr>
      <w:rFonts w:eastAsia="Times New Roman"/>
      <w:noProof/>
      <w:sz w:val="22"/>
      <w:lang w:eastAsia="en-US"/>
    </w:rPr>
  </w:style>
  <w:style w:type="character" w:customStyle="1" w:styleId="Antrat6Diagrama">
    <w:name w:val="Antraštė 6 Diagrama"/>
    <w:link w:val="Antrat6"/>
    <w:rsid w:val="002101F6"/>
    <w:rPr>
      <w:rFonts w:eastAsia="Times New Roman"/>
      <w:i/>
      <w:sz w:val="22"/>
      <w:lang w:eastAsia="en-US"/>
    </w:rPr>
  </w:style>
  <w:style w:type="character" w:customStyle="1" w:styleId="Antrat7Diagrama">
    <w:name w:val="Antraštė 7 Diagrama"/>
    <w:link w:val="Antrat7"/>
    <w:rsid w:val="002101F6"/>
    <w:rPr>
      <w:rFonts w:eastAsia="Times New Roman"/>
      <w:i/>
      <w:sz w:val="22"/>
      <w:lang w:eastAsia="en-US"/>
    </w:rPr>
  </w:style>
  <w:style w:type="character" w:customStyle="1" w:styleId="Antrat8Diagrama">
    <w:name w:val="Antraštė 8 Diagrama"/>
    <w:link w:val="Antrat8"/>
    <w:rsid w:val="002101F6"/>
    <w:rPr>
      <w:rFonts w:eastAsia="Times New Roman"/>
      <w:b/>
      <w:i/>
      <w:sz w:val="22"/>
      <w:lang w:eastAsia="en-US"/>
    </w:rPr>
  </w:style>
  <w:style w:type="character" w:customStyle="1" w:styleId="Antrat9Diagrama">
    <w:name w:val="Antraštė 9 Diagrama"/>
    <w:link w:val="Antrat9"/>
    <w:rsid w:val="002101F6"/>
    <w:rPr>
      <w:rFonts w:eastAsia="Times New Roman"/>
      <w:b/>
      <w:i/>
      <w:sz w:val="22"/>
      <w:lang w:eastAsia="en-US"/>
    </w:rPr>
  </w:style>
  <w:style w:type="numbering" w:customStyle="1" w:styleId="NoList1">
    <w:name w:val="No List1"/>
    <w:next w:val="Sraonra"/>
    <w:uiPriority w:val="99"/>
    <w:semiHidden/>
    <w:unhideWhenUsed/>
    <w:rsid w:val="002101F6"/>
  </w:style>
  <w:style w:type="numbering" w:customStyle="1" w:styleId="NoList11">
    <w:name w:val="No List11"/>
    <w:next w:val="Sraonra"/>
    <w:semiHidden/>
    <w:rsid w:val="002101F6"/>
  </w:style>
  <w:style w:type="paragraph" w:styleId="Pagrindiniotekstotrauka">
    <w:name w:val="Body Text Indent"/>
    <w:basedOn w:val="prastasis"/>
    <w:link w:val="PagrindiniotekstotraukaDiagrama"/>
    <w:rsid w:val="002101F6"/>
    <w:pPr>
      <w:spacing w:after="0" w:line="240" w:lineRule="auto"/>
      <w:ind w:left="567" w:hanging="567"/>
    </w:pPr>
    <w:rPr>
      <w:rFonts w:ascii="Times New Roman" w:eastAsia="Times New Roman" w:hAnsi="Times New Roman"/>
      <w:b/>
      <w:color w:val="808080"/>
      <w:szCs w:val="20"/>
      <w:lang w:val="cs-CZ"/>
    </w:rPr>
  </w:style>
  <w:style w:type="character" w:customStyle="1" w:styleId="PagrindiniotekstotraukaDiagrama">
    <w:name w:val="Pagrindinio teksto įtrauka Diagrama"/>
    <w:link w:val="Pagrindiniotekstotrauka"/>
    <w:rsid w:val="002101F6"/>
    <w:rPr>
      <w:rFonts w:eastAsia="Times New Roman"/>
      <w:b/>
      <w:color w:val="808080"/>
      <w:sz w:val="22"/>
      <w:lang w:eastAsia="en-US"/>
    </w:rPr>
  </w:style>
  <w:style w:type="paragraph" w:styleId="Pagrindinistekstas">
    <w:name w:val="Body Text"/>
    <w:basedOn w:val="prastasis"/>
    <w:link w:val="PagrindinistekstasDiagrama"/>
    <w:rsid w:val="002101F6"/>
    <w:pPr>
      <w:tabs>
        <w:tab w:val="left" w:pos="567"/>
      </w:tabs>
      <w:spacing w:after="0" w:line="260" w:lineRule="exact"/>
    </w:pPr>
    <w:rPr>
      <w:rFonts w:ascii="Times New Roman" w:eastAsia="Times New Roman" w:hAnsi="Times New Roman"/>
      <w:b/>
      <w:i/>
      <w:szCs w:val="20"/>
      <w:lang w:val="cs-CZ"/>
    </w:rPr>
  </w:style>
  <w:style w:type="character" w:customStyle="1" w:styleId="PagrindinistekstasDiagrama">
    <w:name w:val="Pagrindinis tekstas Diagrama"/>
    <w:link w:val="Pagrindinistekstas"/>
    <w:rsid w:val="002101F6"/>
    <w:rPr>
      <w:rFonts w:eastAsia="Times New Roman"/>
      <w:b/>
      <w:i/>
      <w:sz w:val="22"/>
      <w:lang w:eastAsia="en-US"/>
    </w:rPr>
  </w:style>
  <w:style w:type="paragraph" w:styleId="Pagrindiniotekstotrauka2">
    <w:name w:val="Body Text Indent 2"/>
    <w:basedOn w:val="prastasis"/>
    <w:link w:val="Pagrindiniotekstotrauka2Diagrama"/>
    <w:rsid w:val="002101F6"/>
    <w:pPr>
      <w:tabs>
        <w:tab w:val="left" w:pos="567"/>
      </w:tabs>
      <w:spacing w:after="0" w:line="260" w:lineRule="exact"/>
      <w:ind w:left="567" w:hanging="567"/>
      <w:jc w:val="both"/>
    </w:pPr>
    <w:rPr>
      <w:rFonts w:ascii="Times New Roman" w:eastAsia="Times New Roman" w:hAnsi="Times New Roman"/>
      <w:b/>
      <w:szCs w:val="20"/>
      <w:lang w:val="cs-CZ"/>
    </w:rPr>
  </w:style>
  <w:style w:type="character" w:customStyle="1" w:styleId="Pagrindiniotekstotrauka2Diagrama">
    <w:name w:val="Pagrindinio teksto įtrauka 2 Diagrama"/>
    <w:link w:val="Pagrindiniotekstotrauka2"/>
    <w:rsid w:val="002101F6"/>
    <w:rPr>
      <w:rFonts w:eastAsia="Times New Roman"/>
      <w:b/>
      <w:sz w:val="22"/>
      <w:lang w:eastAsia="en-US"/>
    </w:rPr>
  </w:style>
  <w:style w:type="paragraph" w:styleId="Pagrindiniotekstotrauka3">
    <w:name w:val="Body Text Indent 3"/>
    <w:basedOn w:val="prastasis"/>
    <w:link w:val="Pagrindiniotekstotrauka3Diagrama"/>
    <w:rsid w:val="002101F6"/>
    <w:pPr>
      <w:tabs>
        <w:tab w:val="left" w:pos="567"/>
      </w:tabs>
      <w:spacing w:after="0" w:line="260" w:lineRule="exact"/>
      <w:ind w:left="567" w:hanging="567"/>
    </w:pPr>
    <w:rPr>
      <w:rFonts w:ascii="Times New Roman" w:eastAsia="Times New Roman" w:hAnsi="Times New Roman"/>
      <w:i/>
      <w:color w:val="008000"/>
      <w:szCs w:val="20"/>
      <w:lang w:val="cs-CZ"/>
    </w:rPr>
  </w:style>
  <w:style w:type="character" w:customStyle="1" w:styleId="Pagrindiniotekstotrauka3Diagrama">
    <w:name w:val="Pagrindinio teksto įtrauka 3 Diagrama"/>
    <w:link w:val="Pagrindiniotekstotrauka3"/>
    <w:rsid w:val="002101F6"/>
    <w:rPr>
      <w:rFonts w:eastAsia="Times New Roman"/>
      <w:i/>
      <w:color w:val="008000"/>
      <w:sz w:val="22"/>
      <w:lang w:eastAsia="en-US"/>
    </w:rPr>
  </w:style>
  <w:style w:type="paragraph" w:styleId="Porat">
    <w:name w:val="footer"/>
    <w:basedOn w:val="prastasis"/>
    <w:link w:val="PoratDiagrama"/>
    <w:rsid w:val="002101F6"/>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PoratDiagrama">
    <w:name w:val="Poraštė Diagrama"/>
    <w:link w:val="Porat"/>
    <w:rsid w:val="002101F6"/>
    <w:rPr>
      <w:rFonts w:ascii="Helvetica" w:eastAsia="Times New Roman" w:hAnsi="Helvetica"/>
      <w:sz w:val="16"/>
      <w:lang w:eastAsia="en-US"/>
    </w:rPr>
  </w:style>
  <w:style w:type="character" w:styleId="Puslapionumeris">
    <w:name w:val="page number"/>
    <w:rsid w:val="002101F6"/>
  </w:style>
  <w:style w:type="paragraph" w:styleId="Antrats">
    <w:name w:val="header"/>
    <w:basedOn w:val="prastasis"/>
    <w:link w:val="AntratsDiagrama"/>
    <w:rsid w:val="002101F6"/>
    <w:pPr>
      <w:tabs>
        <w:tab w:val="left" w:pos="567"/>
        <w:tab w:val="center" w:pos="4153"/>
        <w:tab w:val="right" w:pos="8306"/>
      </w:tabs>
      <w:spacing w:after="0" w:line="240" w:lineRule="auto"/>
    </w:pPr>
    <w:rPr>
      <w:rFonts w:ascii="Helvetica" w:eastAsia="Times New Roman" w:hAnsi="Helvetica"/>
      <w:sz w:val="20"/>
      <w:szCs w:val="20"/>
      <w:lang w:val="cs-CZ"/>
    </w:rPr>
  </w:style>
  <w:style w:type="character" w:customStyle="1" w:styleId="AntratsDiagrama">
    <w:name w:val="Antraštės Diagrama"/>
    <w:link w:val="Antrats"/>
    <w:rsid w:val="002101F6"/>
    <w:rPr>
      <w:rFonts w:ascii="Helvetica" w:eastAsia="Times New Roman" w:hAnsi="Helvetica"/>
      <w:lang w:eastAsia="en-US"/>
    </w:rPr>
  </w:style>
  <w:style w:type="paragraph" w:styleId="Tekstoblokas">
    <w:name w:val="Block Text"/>
    <w:basedOn w:val="prastasis"/>
    <w:rsid w:val="002101F6"/>
    <w:pPr>
      <w:tabs>
        <w:tab w:val="left" w:pos="2657"/>
      </w:tabs>
      <w:spacing w:before="120" w:after="0" w:line="240" w:lineRule="auto"/>
      <w:ind w:left="-37" w:right="-28"/>
    </w:pPr>
    <w:rPr>
      <w:rFonts w:ascii="Times New Roman" w:eastAsia="Times New Roman" w:hAnsi="Times New Roman"/>
      <w:szCs w:val="20"/>
      <w:lang w:val="cs-CZ"/>
    </w:rPr>
  </w:style>
  <w:style w:type="paragraph" w:styleId="Pagrindinistekstas2">
    <w:name w:val="Body Text 2"/>
    <w:basedOn w:val="prastasis"/>
    <w:link w:val="Pagrindinistekstas2Diagrama"/>
    <w:rsid w:val="002101F6"/>
    <w:pPr>
      <w:spacing w:after="0" w:line="240" w:lineRule="auto"/>
      <w:ind w:left="567" w:hanging="567"/>
    </w:pPr>
    <w:rPr>
      <w:rFonts w:ascii="Times New Roman" w:eastAsia="Times New Roman" w:hAnsi="Times New Roman"/>
      <w:b/>
      <w:szCs w:val="20"/>
      <w:lang w:val="cs-CZ"/>
    </w:rPr>
  </w:style>
  <w:style w:type="character" w:customStyle="1" w:styleId="Pagrindinistekstas2Diagrama">
    <w:name w:val="Pagrindinis tekstas 2 Diagrama"/>
    <w:link w:val="Pagrindinistekstas2"/>
    <w:rsid w:val="002101F6"/>
    <w:rPr>
      <w:rFonts w:eastAsia="Times New Roman"/>
      <w:b/>
      <w:sz w:val="22"/>
      <w:lang w:eastAsia="en-US"/>
    </w:rPr>
  </w:style>
  <w:style w:type="paragraph" w:styleId="Pagrindinistekstas3">
    <w:name w:val="Body Text 3"/>
    <w:basedOn w:val="prastasis"/>
    <w:link w:val="Pagrindinistekstas3Diagrama"/>
    <w:rsid w:val="002101F6"/>
    <w:pPr>
      <w:tabs>
        <w:tab w:val="left" w:pos="567"/>
      </w:tabs>
      <w:spacing w:after="0" w:line="260" w:lineRule="exact"/>
      <w:jc w:val="both"/>
    </w:pPr>
    <w:rPr>
      <w:rFonts w:ascii="Times New Roman" w:eastAsia="Times New Roman" w:hAnsi="Times New Roman"/>
      <w:b/>
      <w:i/>
      <w:szCs w:val="20"/>
      <w:lang w:val="cs-CZ"/>
    </w:rPr>
  </w:style>
  <w:style w:type="character" w:customStyle="1" w:styleId="Pagrindinistekstas3Diagrama">
    <w:name w:val="Pagrindinis tekstas 3 Diagrama"/>
    <w:link w:val="Pagrindinistekstas3"/>
    <w:rsid w:val="002101F6"/>
    <w:rPr>
      <w:rFonts w:eastAsia="Times New Roman"/>
      <w:b/>
      <w:i/>
      <w:sz w:val="22"/>
      <w:lang w:eastAsia="en-US"/>
    </w:rPr>
  </w:style>
  <w:style w:type="character" w:styleId="Komentaronuoroda">
    <w:name w:val="annotation reference"/>
    <w:semiHidden/>
    <w:rsid w:val="002101F6"/>
    <w:rPr>
      <w:sz w:val="16"/>
    </w:rPr>
  </w:style>
  <w:style w:type="paragraph" w:styleId="Komentarotekstas">
    <w:name w:val="annotation text"/>
    <w:basedOn w:val="prastasis"/>
    <w:link w:val="KomentarotekstasDiagrama"/>
    <w:semiHidden/>
    <w:rsid w:val="002101F6"/>
    <w:pPr>
      <w:tabs>
        <w:tab w:val="left" w:pos="567"/>
      </w:tabs>
      <w:spacing w:after="0" w:line="260" w:lineRule="exact"/>
    </w:pPr>
    <w:rPr>
      <w:rFonts w:ascii="Times New Roman" w:eastAsia="Times New Roman" w:hAnsi="Times New Roman"/>
      <w:sz w:val="20"/>
      <w:szCs w:val="20"/>
      <w:lang w:val="cs-CZ"/>
    </w:rPr>
  </w:style>
  <w:style w:type="character" w:customStyle="1" w:styleId="KomentarotekstasDiagrama">
    <w:name w:val="Komentaro tekstas Diagrama"/>
    <w:link w:val="Komentarotekstas"/>
    <w:semiHidden/>
    <w:rsid w:val="002101F6"/>
    <w:rPr>
      <w:rFonts w:eastAsia="Times New Roman"/>
      <w:lang w:eastAsia="en-US"/>
    </w:rPr>
  </w:style>
  <w:style w:type="paragraph" w:styleId="Dokumentostruktra">
    <w:name w:val="Document Map"/>
    <w:basedOn w:val="prastasis"/>
    <w:link w:val="DokumentostruktraDiagrama"/>
    <w:semiHidden/>
    <w:rsid w:val="002101F6"/>
    <w:pPr>
      <w:shd w:val="clear" w:color="auto" w:fill="000080"/>
      <w:tabs>
        <w:tab w:val="left" w:pos="567"/>
      </w:tabs>
      <w:spacing w:after="0" w:line="260" w:lineRule="exact"/>
    </w:pPr>
    <w:rPr>
      <w:rFonts w:ascii="Tahoma" w:eastAsia="Times New Roman" w:hAnsi="Tahoma"/>
      <w:szCs w:val="20"/>
      <w:lang w:val="cs-CZ"/>
    </w:rPr>
  </w:style>
  <w:style w:type="character" w:customStyle="1" w:styleId="DokumentostruktraDiagrama">
    <w:name w:val="Dokumento struktūra Diagrama"/>
    <w:link w:val="Dokumentostruktra"/>
    <w:semiHidden/>
    <w:rsid w:val="002101F6"/>
    <w:rPr>
      <w:rFonts w:ascii="Tahoma" w:eastAsia="Times New Roman" w:hAnsi="Tahoma"/>
      <w:sz w:val="22"/>
      <w:shd w:val="clear" w:color="auto" w:fill="000080"/>
      <w:lang w:eastAsia="en-US"/>
    </w:rPr>
  </w:style>
  <w:style w:type="character" w:styleId="Dokumentoinaosnumeris">
    <w:name w:val="endnote reference"/>
    <w:semiHidden/>
    <w:rsid w:val="002101F6"/>
    <w:rPr>
      <w:vertAlign w:val="superscript"/>
    </w:rPr>
  </w:style>
  <w:style w:type="paragraph" w:styleId="Dokumentoinaostekstas">
    <w:name w:val="endnote text"/>
    <w:basedOn w:val="prastasis"/>
    <w:next w:val="prastasis"/>
    <w:link w:val="DokumentoinaostekstasDiagrama"/>
    <w:semiHidden/>
    <w:rsid w:val="002101F6"/>
    <w:pPr>
      <w:tabs>
        <w:tab w:val="left" w:pos="567"/>
      </w:tabs>
      <w:spacing w:after="0" w:line="240" w:lineRule="auto"/>
    </w:pPr>
    <w:rPr>
      <w:rFonts w:ascii="Times New Roman" w:eastAsia="Times New Roman" w:hAnsi="Times New Roman"/>
      <w:szCs w:val="20"/>
      <w:lang w:val="cs-CZ"/>
    </w:rPr>
  </w:style>
  <w:style w:type="character" w:customStyle="1" w:styleId="DokumentoinaostekstasDiagrama">
    <w:name w:val="Dokumento išnašos tekstas Diagrama"/>
    <w:link w:val="Dokumentoinaostekstas"/>
    <w:semiHidden/>
    <w:rsid w:val="002101F6"/>
    <w:rPr>
      <w:rFonts w:eastAsia="Times New Roman"/>
      <w:sz w:val="22"/>
      <w:lang w:eastAsia="en-US"/>
    </w:rPr>
  </w:style>
  <w:style w:type="character" w:styleId="Perirtashipersaitas">
    <w:name w:val="FollowedHyperlink"/>
    <w:rsid w:val="002101F6"/>
    <w:rPr>
      <w:color w:val="800080"/>
      <w:u w:val="single"/>
    </w:rPr>
  </w:style>
  <w:style w:type="character" w:styleId="Puslapioinaosnuoroda">
    <w:name w:val="footnote reference"/>
    <w:semiHidden/>
    <w:rsid w:val="002101F6"/>
    <w:rPr>
      <w:vertAlign w:val="superscript"/>
    </w:rPr>
  </w:style>
  <w:style w:type="paragraph" w:styleId="Puslapioinaostekstas">
    <w:name w:val="footnote text"/>
    <w:basedOn w:val="prastasis"/>
    <w:link w:val="PuslapioinaostekstasDiagrama"/>
    <w:semiHidden/>
    <w:rsid w:val="002101F6"/>
    <w:pPr>
      <w:tabs>
        <w:tab w:val="left" w:pos="567"/>
      </w:tabs>
      <w:spacing w:after="0" w:line="260" w:lineRule="exact"/>
    </w:pPr>
    <w:rPr>
      <w:rFonts w:ascii="Times New Roman" w:eastAsia="Times New Roman" w:hAnsi="Times New Roman"/>
      <w:sz w:val="20"/>
      <w:szCs w:val="20"/>
      <w:lang w:val="cs-CZ"/>
    </w:rPr>
  </w:style>
  <w:style w:type="character" w:customStyle="1" w:styleId="PuslapioinaostekstasDiagrama">
    <w:name w:val="Puslapio išnašos tekstas Diagrama"/>
    <w:link w:val="Puslapioinaostekstas"/>
    <w:semiHidden/>
    <w:rsid w:val="002101F6"/>
    <w:rPr>
      <w:rFonts w:eastAsia="Times New Roman"/>
      <w:lang w:eastAsia="en-US"/>
    </w:rPr>
  </w:style>
  <w:style w:type="character" w:styleId="Hipersaitas">
    <w:name w:val="Hyperlink"/>
    <w:uiPriority w:val="99"/>
    <w:rsid w:val="002101F6"/>
    <w:rPr>
      <w:color w:val="0000FF"/>
      <w:u w:val="single"/>
    </w:rPr>
  </w:style>
  <w:style w:type="paragraph" w:styleId="Pavadinimas">
    <w:name w:val="Title"/>
    <w:basedOn w:val="prastasis"/>
    <w:link w:val="PavadinimasDiagrama"/>
    <w:qFormat/>
    <w:rsid w:val="002101F6"/>
    <w:pPr>
      <w:overflowPunct w:val="0"/>
      <w:autoSpaceDE w:val="0"/>
      <w:autoSpaceDN w:val="0"/>
      <w:adjustRightInd w:val="0"/>
      <w:spacing w:after="0" w:line="240" w:lineRule="auto"/>
      <w:jc w:val="center"/>
      <w:textAlignment w:val="baseline"/>
    </w:pPr>
    <w:rPr>
      <w:rFonts w:ascii="Times New Roman" w:eastAsia="Times New Roman" w:hAnsi="Times New Roman"/>
      <w:b/>
      <w:szCs w:val="20"/>
      <w:lang w:val="x-none"/>
    </w:rPr>
  </w:style>
  <w:style w:type="character" w:customStyle="1" w:styleId="PavadinimasDiagrama">
    <w:name w:val="Pavadinimas Diagrama"/>
    <w:link w:val="Pavadinimas"/>
    <w:rsid w:val="002101F6"/>
    <w:rPr>
      <w:rFonts w:eastAsia="Times New Roman"/>
      <w:b/>
      <w:sz w:val="22"/>
      <w:lang w:val="x-none" w:eastAsia="en-US"/>
    </w:rPr>
  </w:style>
  <w:style w:type="paragraph" w:styleId="Debesliotekstas">
    <w:name w:val="Balloon Text"/>
    <w:basedOn w:val="prastasis"/>
    <w:link w:val="DebesliotekstasDiagrama"/>
    <w:semiHidden/>
    <w:rsid w:val="002101F6"/>
    <w:pPr>
      <w:spacing w:after="0" w:line="240" w:lineRule="auto"/>
    </w:pPr>
    <w:rPr>
      <w:rFonts w:ascii="Tahoma" w:eastAsia="Times New Roman" w:hAnsi="Tahoma"/>
      <w:sz w:val="16"/>
      <w:szCs w:val="16"/>
      <w:lang w:val="x-none"/>
    </w:rPr>
  </w:style>
  <w:style w:type="character" w:customStyle="1" w:styleId="DebesliotekstasDiagrama">
    <w:name w:val="Debesėlio tekstas Diagrama"/>
    <w:link w:val="Debesliotekstas"/>
    <w:semiHidden/>
    <w:rsid w:val="002101F6"/>
    <w:rPr>
      <w:rFonts w:ascii="Tahoma" w:eastAsia="Times New Roman" w:hAnsi="Tahoma"/>
      <w:sz w:val="16"/>
      <w:szCs w:val="16"/>
      <w:lang w:val="x-none" w:eastAsia="en-US"/>
    </w:rPr>
  </w:style>
  <w:style w:type="paragraph" w:styleId="Komentarotema">
    <w:name w:val="annotation subject"/>
    <w:basedOn w:val="Komentarotekstas"/>
    <w:next w:val="Komentarotekstas"/>
    <w:link w:val="KomentarotemaDiagrama"/>
    <w:semiHidden/>
    <w:rsid w:val="002101F6"/>
    <w:pPr>
      <w:tabs>
        <w:tab w:val="clear" w:pos="567"/>
      </w:tabs>
      <w:spacing w:line="240" w:lineRule="auto"/>
    </w:pPr>
    <w:rPr>
      <w:b/>
      <w:bCs/>
    </w:rPr>
  </w:style>
  <w:style w:type="character" w:customStyle="1" w:styleId="KomentarotemaDiagrama">
    <w:name w:val="Komentaro tema Diagrama"/>
    <w:link w:val="Komentarotema"/>
    <w:semiHidden/>
    <w:rsid w:val="002101F6"/>
    <w:rPr>
      <w:rFonts w:eastAsia="Times New Roman"/>
      <w:b/>
      <w:bCs/>
      <w:lang w:eastAsia="en-US"/>
    </w:rPr>
  </w:style>
  <w:style w:type="paragraph" w:customStyle="1" w:styleId="Paragraph">
    <w:name w:val="Paragraph"/>
    <w:link w:val="ParagraphChar"/>
    <w:rsid w:val="002101F6"/>
    <w:pPr>
      <w:spacing w:after="240"/>
    </w:pPr>
    <w:rPr>
      <w:rFonts w:eastAsia="Times New Roman"/>
      <w:sz w:val="24"/>
      <w:szCs w:val="24"/>
      <w:lang w:val="en-US" w:eastAsia="en-US"/>
    </w:rPr>
  </w:style>
  <w:style w:type="paragraph" w:customStyle="1" w:styleId="Default">
    <w:name w:val="Default"/>
    <w:rsid w:val="002101F6"/>
    <w:pPr>
      <w:autoSpaceDE w:val="0"/>
      <w:autoSpaceDN w:val="0"/>
      <w:adjustRightInd w:val="0"/>
    </w:pPr>
    <w:rPr>
      <w:rFonts w:eastAsia="Times New Roman"/>
      <w:color w:val="000000"/>
      <w:sz w:val="24"/>
      <w:szCs w:val="24"/>
      <w:lang w:val="en-GB" w:eastAsia="en-GB"/>
    </w:rPr>
  </w:style>
  <w:style w:type="paragraph" w:customStyle="1" w:styleId="CharCharDiagramaDiagrama">
    <w:name w:val="Char Char Diagrama Diagrama"/>
    <w:basedOn w:val="prastasis"/>
    <w:rsid w:val="002101F6"/>
    <w:pPr>
      <w:widowControl w:val="0"/>
      <w:tabs>
        <w:tab w:val="left" w:pos="567"/>
      </w:tabs>
      <w:adjustRightInd w:val="0"/>
      <w:spacing w:after="160" w:line="240" w:lineRule="exact"/>
      <w:jc w:val="both"/>
      <w:textAlignment w:val="baseline"/>
    </w:pPr>
    <w:rPr>
      <w:rFonts w:ascii="Verdana" w:eastAsia="Times New Roman" w:hAnsi="Verdana"/>
      <w:sz w:val="20"/>
      <w:szCs w:val="20"/>
    </w:rPr>
  </w:style>
  <w:style w:type="paragraph" w:customStyle="1" w:styleId="Spalvotasspalvinimas1parykinimas1">
    <w:name w:val="Spalvotas spalvinimas – 1 paryškinimas1"/>
    <w:hidden/>
    <w:uiPriority w:val="99"/>
    <w:semiHidden/>
    <w:rsid w:val="002101F6"/>
    <w:rPr>
      <w:rFonts w:ascii="Calibri" w:eastAsia="Calibri" w:hAnsi="Calibri"/>
      <w:sz w:val="22"/>
      <w:szCs w:val="22"/>
      <w:lang w:eastAsia="en-US"/>
    </w:rPr>
  </w:style>
  <w:style w:type="table" w:styleId="Lentelstinklelis">
    <w:name w:val="Table Grid"/>
    <w:basedOn w:val="prastojilentel"/>
    <w:uiPriority w:val="59"/>
    <w:rsid w:val="002101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raas1parykinimas1">
    <w:name w:val="Spalvotas sąrašas – 1 paryškinimas1"/>
    <w:basedOn w:val="prastasis"/>
    <w:uiPriority w:val="34"/>
    <w:qFormat/>
    <w:rsid w:val="002101F6"/>
    <w:pPr>
      <w:ind w:left="720"/>
      <w:contextualSpacing/>
    </w:pPr>
  </w:style>
  <w:style w:type="character" w:customStyle="1" w:styleId="BTEMEASMCAChar">
    <w:name w:val="BT EMEA_SMCA Char"/>
    <w:link w:val="BTEMEASMCA"/>
    <w:locked/>
    <w:rsid w:val="00EA6293"/>
    <w:rPr>
      <w:color w:val="000000"/>
      <w:sz w:val="22"/>
      <w:szCs w:val="22"/>
      <w:lang w:val="x-none" w:eastAsia="en-US"/>
    </w:rPr>
  </w:style>
  <w:style w:type="paragraph" w:customStyle="1" w:styleId="BTEMEASMCA">
    <w:name w:val="BT EMEA_SMCA"/>
    <w:basedOn w:val="prastasis"/>
    <w:link w:val="BTEMEASMCAChar"/>
    <w:autoRedefine/>
    <w:rsid w:val="00EA6293"/>
    <w:pPr>
      <w:spacing w:after="0" w:line="240" w:lineRule="auto"/>
    </w:pPr>
    <w:rPr>
      <w:rFonts w:ascii="Times New Roman" w:eastAsia="MS Mincho" w:hAnsi="Times New Roman"/>
      <w:color w:val="000000"/>
      <w:lang w:val="x-none"/>
    </w:rPr>
  </w:style>
  <w:style w:type="character" w:customStyle="1" w:styleId="ParagraphChar">
    <w:name w:val="Paragraph Char"/>
    <w:link w:val="Paragraph"/>
    <w:locked/>
    <w:rsid w:val="00117637"/>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4362E-19ED-442B-8F06-605460FB45EB}">
  <ds:schemaRefs>
    <ds:schemaRef ds:uri="http://schemas.microsoft.com/sharepoint/v3/contenttype/forms"/>
  </ds:schemaRefs>
</ds:datastoreItem>
</file>

<file path=customXml/itemProps2.xml><?xml version="1.0" encoding="utf-8"?>
<ds:datastoreItem xmlns:ds="http://schemas.openxmlformats.org/officeDocument/2006/customXml" ds:itemID="{6B511486-F8CE-4906-A757-BA1953B7F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9BECD01-8845-4B37-BC7A-9A904FD1AF0F}">
  <ds:schemaRefs>
    <ds:schemaRef ds:uri="http://purl.org/dc/dcmitype/"/>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4D825543-F52E-4951-A491-72665F32B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9820</Words>
  <Characters>68974</Characters>
  <Application>Microsoft Office Word</Application>
  <DocSecurity>4</DocSecurity>
  <Lines>574</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Pfizer Inc</Company>
  <LinksUpToDate>false</LinksUpToDate>
  <CharactersWithSpaces>78637</CharactersWithSpaces>
  <SharedDoc>false</SharedDoc>
  <HLinks>
    <vt:vector size="36" baseType="variant">
      <vt:variant>
        <vt:i4>7077950</vt:i4>
      </vt:variant>
      <vt:variant>
        <vt:i4>23</vt:i4>
      </vt:variant>
      <vt:variant>
        <vt:i4>0</vt:i4>
      </vt:variant>
      <vt:variant>
        <vt:i4>5</vt:i4>
      </vt:variant>
      <vt:variant>
        <vt:lpwstr>http://www.vvkt.lt/</vt:lpwstr>
      </vt:variant>
      <vt:variant>
        <vt:lpwstr/>
      </vt:variant>
      <vt:variant>
        <vt:i4>2162708</vt:i4>
      </vt:variant>
      <vt:variant>
        <vt:i4>20</vt:i4>
      </vt:variant>
      <vt:variant>
        <vt:i4>0</vt:i4>
      </vt:variant>
      <vt:variant>
        <vt:i4>5</vt:i4>
      </vt:variant>
      <vt:variant>
        <vt:lpwstr>mailto:NepageidaujamaR@vvkt.lt</vt:lpwstr>
      </vt:variant>
      <vt:variant>
        <vt:lpwstr/>
      </vt:variant>
      <vt:variant>
        <vt:i4>7077950</vt:i4>
      </vt:variant>
      <vt:variant>
        <vt:i4>17</vt:i4>
      </vt:variant>
      <vt:variant>
        <vt:i4>0</vt:i4>
      </vt:variant>
      <vt:variant>
        <vt:i4>5</vt:i4>
      </vt:variant>
      <vt:variant>
        <vt:lpwstr>http://www.vvkt.lt/</vt:lpwstr>
      </vt:variant>
      <vt:variant>
        <vt:lpwstr/>
      </vt:variant>
      <vt:variant>
        <vt:i4>7077950</vt:i4>
      </vt:variant>
      <vt:variant>
        <vt:i4>14</vt:i4>
      </vt:variant>
      <vt:variant>
        <vt:i4>0</vt:i4>
      </vt:variant>
      <vt:variant>
        <vt:i4>5</vt:i4>
      </vt:variant>
      <vt:variant>
        <vt:lpwstr>http://www.vvkt.lt/</vt:lpwstr>
      </vt:variant>
      <vt:variant>
        <vt:lpwstr/>
      </vt:variant>
      <vt:variant>
        <vt:i4>2162708</vt:i4>
      </vt:variant>
      <vt:variant>
        <vt:i4>11</vt:i4>
      </vt:variant>
      <vt:variant>
        <vt:i4>0</vt:i4>
      </vt:variant>
      <vt:variant>
        <vt:i4>5</vt:i4>
      </vt:variant>
      <vt:variant>
        <vt:lpwstr>mailto:NepageidaujamaR@vvkt.lt</vt:lpwstr>
      </vt:variant>
      <vt:variant>
        <vt:lpwstr/>
      </vt:variant>
      <vt:variant>
        <vt:i4>7077950</vt:i4>
      </vt:variant>
      <vt:variant>
        <vt:i4>8</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Mikolaitiene, Lina</dc:creator>
  <cp:keywords/>
  <dc:description/>
  <cp:lastModifiedBy>Albina Burkauskaitė</cp:lastModifiedBy>
  <cp:revision>2</cp:revision>
  <dcterms:created xsi:type="dcterms:W3CDTF">2019-02-04T11:57:00Z</dcterms:created>
  <dcterms:modified xsi:type="dcterms:W3CDTF">2019-02-04T11:57:00Z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