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AB" w:rsidRPr="00F169F4" w:rsidRDefault="004226AB" w:rsidP="004226AB">
      <w:pPr>
        <w:keepNext/>
        <w:spacing w:after="0" w:line="240" w:lineRule="auto"/>
        <w:jc w:val="center"/>
        <w:outlineLvl w:val="1"/>
        <w:rPr>
          <w:rFonts w:ascii="Times New Roman" w:hAnsi="Times New Roman"/>
          <w:lang w:val="lt-LT"/>
        </w:rPr>
      </w:pPr>
      <w:r w:rsidRPr="00F169F4">
        <w:rPr>
          <w:rFonts w:ascii="Times New Roman" w:hAnsi="Times New Roman"/>
          <w:b/>
          <w:lang w:val="lt-LT"/>
        </w:rPr>
        <w:t>Pakuotės lapelis: informacija vartotojui</w:t>
      </w:r>
    </w:p>
    <w:p w:rsidR="004226AB" w:rsidRPr="00F169F4" w:rsidRDefault="004226AB" w:rsidP="004226AB">
      <w:pPr>
        <w:spacing w:after="0" w:line="240" w:lineRule="auto"/>
        <w:jc w:val="center"/>
        <w:rPr>
          <w:rFonts w:ascii="Times New Roman" w:hAnsi="Times New Roman"/>
          <w:b/>
          <w:lang w:val="lt-LT"/>
        </w:rPr>
      </w:pPr>
    </w:p>
    <w:p w:rsidR="004226AB" w:rsidRPr="00F169F4" w:rsidRDefault="004226AB" w:rsidP="004226AB">
      <w:pPr>
        <w:spacing w:after="0" w:line="240" w:lineRule="auto"/>
        <w:jc w:val="center"/>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50 mg tabletės</w:t>
      </w:r>
    </w:p>
    <w:p w:rsidR="004226AB" w:rsidRPr="00F169F4" w:rsidRDefault="004226AB" w:rsidP="004226AB">
      <w:pPr>
        <w:spacing w:after="0" w:line="240" w:lineRule="auto"/>
        <w:jc w:val="center"/>
        <w:rPr>
          <w:rFonts w:ascii="Times New Roman" w:hAnsi="Times New Roman"/>
          <w:lang w:val="lt-LT"/>
        </w:rPr>
      </w:pPr>
      <w:proofErr w:type="spellStart"/>
      <w:r>
        <w:rPr>
          <w:rFonts w:ascii="Times New Roman" w:hAnsi="Times New Roman"/>
          <w:lang w:val="lt-LT"/>
        </w:rPr>
        <w:t>c</w:t>
      </w:r>
      <w:r w:rsidRPr="00F169F4">
        <w:rPr>
          <w:rFonts w:ascii="Times New Roman" w:hAnsi="Times New Roman"/>
          <w:lang w:val="lt-LT"/>
        </w:rPr>
        <w:t>iproterono</w:t>
      </w:r>
      <w:proofErr w:type="spellEnd"/>
      <w:r w:rsidRPr="00F169F4">
        <w:rPr>
          <w:rFonts w:ascii="Times New Roman" w:hAnsi="Times New Roman"/>
          <w:lang w:val="lt-LT"/>
        </w:rPr>
        <w:t xml:space="preserve"> acetatas</w:t>
      </w:r>
    </w:p>
    <w:p w:rsidR="004226AB" w:rsidRPr="00F169F4" w:rsidRDefault="004226AB" w:rsidP="004226AB">
      <w:pPr>
        <w:spacing w:after="0" w:line="240" w:lineRule="auto"/>
        <w:jc w:val="center"/>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Atidžiai perskaitykite visą šį lapelį, prieš pradėdami vartoti vaistą, nes jame pateikiama Jums svarbi informacija.</w:t>
      </w:r>
    </w:p>
    <w:p w:rsidR="004226AB" w:rsidRPr="00F169F4" w:rsidRDefault="004226AB" w:rsidP="004226AB">
      <w:pPr>
        <w:spacing w:after="0" w:line="240" w:lineRule="auto"/>
        <w:ind w:left="720" w:hanging="720"/>
        <w:rPr>
          <w:rFonts w:ascii="Times New Roman" w:hAnsi="Times New Roman"/>
          <w:lang w:val="lt-LT"/>
        </w:rPr>
      </w:pPr>
      <w:r w:rsidRPr="00F169F4">
        <w:rPr>
          <w:rFonts w:ascii="Times New Roman" w:hAnsi="Times New Roman"/>
          <w:lang w:val="lt-LT"/>
        </w:rPr>
        <w:t>-</w:t>
      </w:r>
      <w:r w:rsidRPr="00F169F4">
        <w:rPr>
          <w:rFonts w:ascii="Times New Roman" w:hAnsi="Times New Roman"/>
          <w:lang w:val="lt-LT"/>
        </w:rPr>
        <w:tab/>
        <w:t>Neišmeskite šio lapelio, nes vėl gali prireikti jį perskaityti.</w:t>
      </w:r>
    </w:p>
    <w:p w:rsidR="004226AB" w:rsidRPr="00F169F4" w:rsidRDefault="004226AB" w:rsidP="004226AB">
      <w:pPr>
        <w:spacing w:after="0" w:line="240" w:lineRule="auto"/>
        <w:ind w:left="720" w:hanging="720"/>
        <w:rPr>
          <w:rFonts w:ascii="Times New Roman" w:hAnsi="Times New Roman"/>
          <w:lang w:val="lt-LT"/>
        </w:rPr>
      </w:pPr>
      <w:r w:rsidRPr="00F169F4">
        <w:rPr>
          <w:rFonts w:ascii="Times New Roman" w:hAnsi="Times New Roman"/>
          <w:lang w:val="lt-LT"/>
        </w:rPr>
        <w:t>-</w:t>
      </w:r>
      <w:r w:rsidRPr="00F169F4">
        <w:rPr>
          <w:rFonts w:ascii="Times New Roman" w:hAnsi="Times New Roman"/>
          <w:lang w:val="lt-LT"/>
        </w:rPr>
        <w:tab/>
        <w:t>Jeigu kiltų daugiau klausimų, kreipkitės į gydytoją arba vaistininką.</w:t>
      </w:r>
    </w:p>
    <w:p w:rsidR="004226AB" w:rsidRPr="00F169F4" w:rsidRDefault="004226AB" w:rsidP="004226AB">
      <w:pPr>
        <w:numPr>
          <w:ilvl w:val="0"/>
          <w:numId w:val="1"/>
        </w:numPr>
        <w:tabs>
          <w:tab w:val="num" w:pos="720"/>
        </w:tabs>
        <w:spacing w:after="0" w:line="240" w:lineRule="auto"/>
        <w:ind w:left="720"/>
        <w:rPr>
          <w:rFonts w:ascii="Times New Roman" w:hAnsi="Times New Roman"/>
          <w:lang w:val="lt-LT"/>
        </w:rPr>
      </w:pPr>
      <w:r w:rsidRPr="00F169F4">
        <w:rPr>
          <w:rFonts w:ascii="Times New Roman" w:hAnsi="Times New Roman"/>
          <w:lang w:val="lt-LT"/>
        </w:rPr>
        <w:t>Šis vaistas skirtas Jums, todėl kitiems žmonėms jo duoti negalima. Vaistas gali jiems pakenkti (net tiems, kurių ligos simptomai yra tokie patys kaip Jūsų).</w:t>
      </w:r>
    </w:p>
    <w:p w:rsidR="004226AB" w:rsidRPr="00F169F4" w:rsidRDefault="004226AB" w:rsidP="004226AB">
      <w:pPr>
        <w:numPr>
          <w:ilvl w:val="0"/>
          <w:numId w:val="17"/>
        </w:numPr>
        <w:tabs>
          <w:tab w:val="left" w:pos="709"/>
        </w:tabs>
        <w:spacing w:after="0" w:line="240" w:lineRule="auto"/>
        <w:ind w:left="709" w:hanging="709"/>
        <w:rPr>
          <w:rFonts w:ascii="Times New Roman" w:hAnsi="Times New Roman"/>
          <w:lang w:val="lt-LT"/>
        </w:rPr>
      </w:pPr>
      <w:r w:rsidRPr="00F169F4">
        <w:rPr>
          <w:rFonts w:ascii="Times New Roman" w:hAnsi="Times New Roman"/>
          <w:lang w:val="lt-LT"/>
        </w:rPr>
        <w:t>Jeigu pasireiškė sunkus šalutinis poveikis (net jeigu jis šiame lapelyje nenurodytas), kreipkitės į gydytoją, arba vaistininką arba slaugytoją. Žr. 4</w:t>
      </w:r>
      <w:r>
        <w:rPr>
          <w:rFonts w:ascii="Times New Roman" w:hAnsi="Times New Roman"/>
          <w:lang w:val="lt-LT"/>
        </w:rPr>
        <w:t> </w:t>
      </w:r>
      <w:r w:rsidRPr="00F169F4">
        <w:rPr>
          <w:rFonts w:ascii="Times New Roman" w:hAnsi="Times New Roman"/>
          <w:lang w:val="lt-LT"/>
        </w:rPr>
        <w:t>skyrių.</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Apie ką rašoma šiame lapelyje?</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1.</w:t>
      </w:r>
      <w:r w:rsidRPr="00F169F4">
        <w:rPr>
          <w:rFonts w:ascii="Times New Roman" w:hAnsi="Times New Roman"/>
          <w:lang w:val="lt-LT"/>
        </w:rPr>
        <w:tab/>
        <w:t xml:space="preserve">Kas yra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ir kam jis vartojamas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2.</w:t>
      </w:r>
      <w:r w:rsidRPr="00F169F4">
        <w:rPr>
          <w:rFonts w:ascii="Times New Roman" w:hAnsi="Times New Roman"/>
          <w:lang w:val="lt-LT"/>
        </w:rPr>
        <w:tab/>
        <w:t xml:space="preserve">Kas žinotina prieš vartojant </w:t>
      </w:r>
      <w:proofErr w:type="spellStart"/>
      <w:r w:rsidRPr="00F169F4">
        <w:rPr>
          <w:rFonts w:ascii="Times New Roman" w:hAnsi="Times New Roman"/>
          <w:lang w:val="lt-LT"/>
        </w:rPr>
        <w:t>Androcur</w:t>
      </w:r>
      <w:proofErr w:type="spellEnd"/>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3.</w:t>
      </w:r>
      <w:r w:rsidRPr="00F169F4">
        <w:rPr>
          <w:rFonts w:ascii="Times New Roman" w:hAnsi="Times New Roman"/>
          <w:lang w:val="lt-LT"/>
        </w:rPr>
        <w:tab/>
        <w:t xml:space="preserve">Kaip vartoti </w:t>
      </w:r>
      <w:proofErr w:type="spellStart"/>
      <w:r w:rsidRPr="00F169F4">
        <w:rPr>
          <w:rFonts w:ascii="Times New Roman" w:hAnsi="Times New Roman"/>
          <w:lang w:val="lt-LT"/>
        </w:rPr>
        <w:t>Androcur</w:t>
      </w:r>
      <w:proofErr w:type="spellEnd"/>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4.</w:t>
      </w:r>
      <w:r w:rsidRPr="00F169F4">
        <w:rPr>
          <w:rFonts w:ascii="Times New Roman" w:hAnsi="Times New Roman"/>
          <w:lang w:val="lt-LT"/>
        </w:rPr>
        <w:tab/>
        <w:t>Galimas šalutinis poveikis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5.</w:t>
      </w:r>
      <w:r w:rsidRPr="00F169F4">
        <w:rPr>
          <w:rFonts w:ascii="Times New Roman" w:hAnsi="Times New Roman"/>
          <w:lang w:val="lt-LT"/>
        </w:rPr>
        <w:tab/>
        <w:t xml:space="preserve">Kaip laikyti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6.</w:t>
      </w:r>
      <w:r w:rsidRPr="00F169F4">
        <w:rPr>
          <w:rFonts w:ascii="Times New Roman" w:hAnsi="Times New Roman"/>
          <w:lang w:val="lt-LT"/>
        </w:rPr>
        <w:tab/>
        <w:t>Pakuotės turinys ir kita informacija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1"/>
        <w:rPr>
          <w:rFonts w:ascii="Times New Roman" w:hAnsi="Times New Roman"/>
          <w:b/>
          <w:lang w:val="lt-LT"/>
        </w:rPr>
      </w:pPr>
      <w:r w:rsidRPr="00F169F4">
        <w:rPr>
          <w:rFonts w:ascii="Times New Roman" w:hAnsi="Times New Roman"/>
          <w:b/>
          <w:lang w:val="lt-LT"/>
        </w:rPr>
        <w:t>1.</w:t>
      </w:r>
      <w:r w:rsidRPr="00F169F4">
        <w:rPr>
          <w:rFonts w:ascii="Times New Roman" w:hAnsi="Times New Roman"/>
          <w:b/>
          <w:lang w:val="lt-LT"/>
        </w:rPr>
        <w:tab/>
        <w:t xml:space="preserve">Kas yra </w:t>
      </w: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ir kam jis vartojamas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yra hormoninis vaistas</w:t>
      </w:r>
      <w:r>
        <w:rPr>
          <w:rFonts w:ascii="Times New Roman" w:hAnsi="Times New Roman"/>
          <w:lang w:val="lt-LT"/>
        </w:rPr>
        <w:t>,</w:t>
      </w:r>
      <w:r w:rsidRPr="00F169F4">
        <w:rPr>
          <w:rFonts w:ascii="Times New Roman" w:hAnsi="Times New Roman"/>
          <w:lang w:val="lt-LT"/>
        </w:rPr>
        <w:t xml:space="preserve"> slopinantis androgenų poveikį. Androgenai yra lytiniai hormonai</w:t>
      </w:r>
      <w:r>
        <w:rPr>
          <w:rFonts w:ascii="Times New Roman" w:hAnsi="Times New Roman"/>
          <w:lang w:val="lt-LT"/>
        </w:rPr>
        <w:t>,</w:t>
      </w:r>
      <w:r w:rsidRPr="00F169F4">
        <w:rPr>
          <w:rFonts w:ascii="Times New Roman" w:hAnsi="Times New Roman"/>
          <w:lang w:val="lt-LT"/>
        </w:rPr>
        <w:t xml:space="preserve"> gaminami vyrų organizme, o taip pat – mažesniais kiekiais – moterų organizme. Veiklioji medžiaga yra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acetatas.</w:t>
      </w:r>
    </w:p>
    <w:p w:rsidR="004226AB" w:rsidRPr="00F169F4" w:rsidRDefault="004226AB" w:rsidP="004226AB">
      <w:pPr>
        <w:spacing w:after="0" w:line="240" w:lineRule="auto"/>
        <w:rPr>
          <w:rFonts w:ascii="Times New Roman" w:hAnsi="Times New Roman"/>
          <w:lang w:val="lt-LT"/>
        </w:rPr>
      </w:pPr>
    </w:p>
    <w:p w:rsidR="004226AB"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turi teigiamą poveik</w:t>
      </w:r>
      <w:r w:rsidRPr="002444AD">
        <w:rPr>
          <w:rFonts w:ascii="Times New Roman" w:hAnsi="Times New Roman"/>
          <w:lang w:val="lt-LT"/>
        </w:rPr>
        <w:t>į</w:t>
      </w:r>
      <w:r w:rsidRPr="00023818">
        <w:rPr>
          <w:rFonts w:ascii="Times New Roman" w:hAnsi="Times New Roman"/>
          <w:lang w:val="lt-LT"/>
        </w:rPr>
        <w:t xml:space="preserve"> </w:t>
      </w:r>
      <w:r w:rsidRPr="00F169F4">
        <w:rPr>
          <w:rFonts w:ascii="Times New Roman" w:hAnsi="Times New Roman"/>
          <w:lang w:val="lt-LT"/>
        </w:rPr>
        <w:t xml:space="preserve">nuo androgenų priklausomoms </w:t>
      </w:r>
      <w:r w:rsidRPr="00F169F4">
        <w:rPr>
          <w:rFonts w:ascii="Times New Roman" w:hAnsi="Times New Roman"/>
          <w:b/>
          <w:lang w:val="lt-LT"/>
        </w:rPr>
        <w:t xml:space="preserve">moterų </w:t>
      </w:r>
      <w:r w:rsidRPr="00F169F4">
        <w:rPr>
          <w:rFonts w:ascii="Times New Roman" w:hAnsi="Times New Roman"/>
          <w:lang w:val="lt-LT"/>
        </w:rPr>
        <w:t>būklėms, tokioms kaip padidėjęs plaukuotumas (</w:t>
      </w:r>
      <w:proofErr w:type="spellStart"/>
      <w:r w:rsidRPr="00F169F4">
        <w:rPr>
          <w:rFonts w:ascii="Times New Roman" w:hAnsi="Times New Roman"/>
          <w:lang w:val="lt-LT"/>
        </w:rPr>
        <w:t>hirsutizmas</w:t>
      </w:r>
      <w:proofErr w:type="spellEnd"/>
      <w:r w:rsidRPr="00F169F4">
        <w:rPr>
          <w:rFonts w:ascii="Times New Roman" w:hAnsi="Times New Roman"/>
          <w:lang w:val="lt-LT"/>
        </w:rPr>
        <w:t>), galvos plaukų slinkimas (</w:t>
      </w:r>
      <w:proofErr w:type="spellStart"/>
      <w:r w:rsidRPr="00F169F4">
        <w:rPr>
          <w:rFonts w:ascii="Times New Roman" w:hAnsi="Times New Roman"/>
          <w:lang w:val="lt-LT"/>
        </w:rPr>
        <w:t>androgeninė</w:t>
      </w:r>
      <w:proofErr w:type="spellEnd"/>
      <w:r w:rsidRPr="00F169F4">
        <w:rPr>
          <w:rFonts w:ascii="Times New Roman" w:hAnsi="Times New Roman"/>
          <w:lang w:val="lt-LT"/>
        </w:rPr>
        <w:t xml:space="preserve"> </w:t>
      </w:r>
      <w:proofErr w:type="spellStart"/>
      <w:r w:rsidRPr="00F169F4">
        <w:rPr>
          <w:rFonts w:ascii="Times New Roman" w:hAnsi="Times New Roman"/>
          <w:lang w:val="lt-LT"/>
        </w:rPr>
        <w:t>alopecija</w:t>
      </w:r>
      <w:proofErr w:type="spellEnd"/>
      <w:r w:rsidRPr="00F169F4">
        <w:rPr>
          <w:rFonts w:ascii="Times New Roman" w:hAnsi="Times New Roman"/>
          <w:lang w:val="lt-LT"/>
        </w:rPr>
        <w:t>) ir sustiprėjusi riebalinių liaukų veikla (</w:t>
      </w:r>
      <w:proofErr w:type="spellStart"/>
      <w:r w:rsidRPr="00F169F4">
        <w:rPr>
          <w:rFonts w:ascii="Times New Roman" w:hAnsi="Times New Roman"/>
          <w:lang w:val="lt-LT"/>
        </w:rPr>
        <w:t>aknė</w:t>
      </w:r>
      <w:proofErr w:type="spellEnd"/>
      <w:r w:rsidRPr="00F169F4">
        <w:rPr>
          <w:rFonts w:ascii="Times New Roman" w:hAnsi="Times New Roman"/>
          <w:lang w:val="lt-LT"/>
        </w:rPr>
        <w:t xml:space="preserve"> ir </w:t>
      </w:r>
      <w:proofErr w:type="spellStart"/>
      <w:r w:rsidRPr="00F169F4">
        <w:rPr>
          <w:rFonts w:ascii="Times New Roman" w:hAnsi="Times New Roman"/>
          <w:lang w:val="lt-LT"/>
        </w:rPr>
        <w:t>seborėja</w:t>
      </w:r>
      <w:proofErr w:type="spellEnd"/>
      <w:r w:rsidRPr="00F169F4">
        <w:rPr>
          <w:rFonts w:ascii="Times New Roman" w:hAnsi="Times New Roman"/>
          <w:lang w:val="lt-LT"/>
        </w:rPr>
        <w:t>).</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Kartu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gydytojas gali paskirti </w:t>
      </w:r>
      <w:proofErr w:type="spellStart"/>
      <w:r w:rsidRPr="00F169F4">
        <w:rPr>
          <w:rFonts w:ascii="Times New Roman" w:hAnsi="Times New Roman"/>
          <w:lang w:val="lt-LT"/>
        </w:rPr>
        <w:t>progest</w:t>
      </w:r>
      <w:r>
        <w:rPr>
          <w:rFonts w:ascii="Times New Roman" w:hAnsi="Times New Roman"/>
          <w:lang w:val="lt-LT"/>
        </w:rPr>
        <w:t>a</w:t>
      </w:r>
      <w:r w:rsidRPr="00F169F4">
        <w:rPr>
          <w:rFonts w:ascii="Times New Roman" w:hAnsi="Times New Roman"/>
          <w:lang w:val="lt-LT"/>
        </w:rPr>
        <w:t>geno</w:t>
      </w:r>
      <w:proofErr w:type="spellEnd"/>
      <w:r>
        <w:rPr>
          <w:rFonts w:ascii="Times New Roman" w:hAnsi="Times New Roman"/>
          <w:lang w:val="lt-LT"/>
        </w:rPr>
        <w:t>–</w:t>
      </w:r>
      <w:r w:rsidRPr="00F169F4">
        <w:rPr>
          <w:rFonts w:ascii="Times New Roman" w:hAnsi="Times New Roman"/>
          <w:lang w:val="lt-LT"/>
        </w:rPr>
        <w:t xml:space="preserve">estrogeno kontraceptiką, pvz., </w:t>
      </w:r>
      <w:proofErr w:type="spellStart"/>
      <w:r w:rsidRPr="00F169F4">
        <w:rPr>
          <w:rFonts w:ascii="Times New Roman" w:hAnsi="Times New Roman"/>
          <w:lang w:val="lt-LT"/>
        </w:rPr>
        <w:t>Diane</w:t>
      </w:r>
      <w:proofErr w:type="spellEnd"/>
      <w:r w:rsidRPr="00F169F4">
        <w:rPr>
          <w:rFonts w:ascii="Times New Roman" w:hAnsi="Times New Roman"/>
          <w:lang w:val="lt-LT"/>
        </w:rPr>
        <w:t>, kontraceptinei apsaugai ir ciklo stabilizavimui. Sudėtinio gydymo metu blokuojama kiaušidžių veikla. Nustojus gydyti, šie pokyčiai praeina.</w:t>
      </w:r>
    </w:p>
    <w:p w:rsidR="004226AB" w:rsidRPr="00F169F4" w:rsidRDefault="004226AB" w:rsidP="004226AB">
      <w:pPr>
        <w:spacing w:after="0" w:line="240" w:lineRule="auto"/>
        <w:rPr>
          <w:rFonts w:ascii="Times New Roman" w:hAnsi="Times New Roman"/>
          <w:highlight w:val="yellow"/>
          <w:lang w:val="lt-LT"/>
        </w:rPr>
      </w:pPr>
    </w:p>
    <w:p w:rsidR="004226AB"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w:t>
      </w:r>
      <w:r w:rsidRPr="00F169F4">
        <w:rPr>
          <w:rFonts w:ascii="Times New Roman" w:hAnsi="Times New Roman"/>
          <w:b/>
          <w:lang w:val="lt-LT"/>
        </w:rPr>
        <w:t>vyrams</w:t>
      </w:r>
      <w:r w:rsidRPr="00F169F4">
        <w:rPr>
          <w:rFonts w:ascii="Times New Roman" w:hAnsi="Times New Roman"/>
          <w:lang w:val="lt-LT"/>
        </w:rPr>
        <w:t xml:space="preserve"> mažina testosterono (androgeno) koncentraciją kraujyje. Tai mažina lytinį potraukį.</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Androgenai skatina priešinės liaukos vėžio progresavimą. Šiems pacientams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slopina šį poveikį.</w:t>
      </w:r>
    </w:p>
    <w:p w:rsidR="004226AB" w:rsidRPr="00F169F4" w:rsidRDefault="004226AB" w:rsidP="004226AB">
      <w:pPr>
        <w:spacing w:after="0" w:line="240" w:lineRule="auto"/>
        <w:rPr>
          <w:rFonts w:ascii="Times New Roman" w:hAnsi="Times New Roman"/>
          <w:highlight w:val="yellow"/>
          <w:lang w:val="lt-LT"/>
        </w:rPr>
      </w:pPr>
    </w:p>
    <w:p w:rsidR="004226AB" w:rsidRPr="00F169F4" w:rsidRDefault="004226AB" w:rsidP="004226AB">
      <w:pPr>
        <w:keepNext/>
        <w:spacing w:after="0" w:line="240" w:lineRule="auto"/>
        <w:ind w:left="567" w:hanging="567"/>
        <w:outlineLvl w:val="0"/>
        <w:rPr>
          <w:rFonts w:ascii="Times New Roman" w:hAnsi="Times New Roman"/>
          <w:b/>
          <w:lang w:val="lt-LT"/>
        </w:rPr>
      </w:pPr>
      <w:r w:rsidRPr="00F169F4">
        <w:rPr>
          <w:rFonts w:ascii="Times New Roman" w:hAnsi="Times New Roman"/>
          <w:b/>
          <w:lang w:val="lt-LT"/>
        </w:rPr>
        <w:t xml:space="preserve">Dėl ko </w:t>
      </w: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vartojamas moterims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Ryškių </w:t>
      </w:r>
      <w:proofErr w:type="spellStart"/>
      <w:r w:rsidRPr="00F169F4">
        <w:rPr>
          <w:rFonts w:ascii="Times New Roman" w:hAnsi="Times New Roman"/>
          <w:lang w:val="lt-LT"/>
        </w:rPr>
        <w:t>androgenizacijos</w:t>
      </w:r>
      <w:proofErr w:type="spellEnd"/>
      <w:r w:rsidRPr="00F169F4">
        <w:rPr>
          <w:rFonts w:ascii="Times New Roman" w:hAnsi="Times New Roman"/>
          <w:lang w:val="lt-LT"/>
        </w:rPr>
        <w:t xml:space="preserve"> simptomų gydymui, pvz.,</w:t>
      </w:r>
    </w:p>
    <w:p w:rsidR="004226AB" w:rsidRPr="00F169F4" w:rsidRDefault="004226AB" w:rsidP="004226AB">
      <w:pPr>
        <w:numPr>
          <w:ilvl w:val="0"/>
          <w:numId w:val="2"/>
        </w:numPr>
        <w:spacing w:after="0" w:line="240" w:lineRule="auto"/>
        <w:rPr>
          <w:rFonts w:ascii="Times New Roman" w:hAnsi="Times New Roman"/>
          <w:lang w:val="lt-LT"/>
        </w:rPr>
      </w:pPr>
      <w:r w:rsidRPr="00F169F4">
        <w:rPr>
          <w:rFonts w:ascii="Times New Roman" w:hAnsi="Times New Roman"/>
          <w:lang w:val="lt-LT"/>
        </w:rPr>
        <w:t xml:space="preserve">labai didelio laipsnio </w:t>
      </w:r>
      <w:proofErr w:type="spellStart"/>
      <w:r w:rsidRPr="00F169F4">
        <w:rPr>
          <w:rFonts w:ascii="Times New Roman" w:hAnsi="Times New Roman"/>
          <w:lang w:val="lt-LT"/>
        </w:rPr>
        <w:t>hirsutizmo</w:t>
      </w:r>
      <w:proofErr w:type="spellEnd"/>
      <w:r w:rsidRPr="00F169F4">
        <w:rPr>
          <w:rFonts w:ascii="Times New Roman" w:hAnsi="Times New Roman"/>
          <w:lang w:val="lt-LT"/>
        </w:rPr>
        <w:t xml:space="preserve"> (padidėjusio plaukuotumo),</w:t>
      </w:r>
    </w:p>
    <w:p w:rsidR="004226AB" w:rsidRPr="00F169F4" w:rsidRDefault="004226AB" w:rsidP="004226AB">
      <w:pPr>
        <w:numPr>
          <w:ilvl w:val="0"/>
          <w:numId w:val="2"/>
        </w:numPr>
        <w:spacing w:after="0" w:line="240" w:lineRule="auto"/>
        <w:rPr>
          <w:rFonts w:ascii="Times New Roman" w:hAnsi="Times New Roman"/>
          <w:lang w:val="lt-LT"/>
        </w:rPr>
      </w:pPr>
      <w:r w:rsidRPr="00F169F4">
        <w:rPr>
          <w:rFonts w:ascii="Times New Roman" w:hAnsi="Times New Roman"/>
          <w:lang w:val="lt-LT"/>
        </w:rPr>
        <w:t xml:space="preserve">nuo androgenų priklausomo ryškaus galvos plaukų slinkimo, galiausiai pasibaigiančio plikumu (ryškios </w:t>
      </w:r>
      <w:proofErr w:type="spellStart"/>
      <w:r w:rsidRPr="00F169F4">
        <w:rPr>
          <w:rFonts w:ascii="Times New Roman" w:hAnsi="Times New Roman"/>
          <w:lang w:val="lt-LT"/>
        </w:rPr>
        <w:t>adrogeneninės</w:t>
      </w:r>
      <w:proofErr w:type="spellEnd"/>
      <w:r w:rsidRPr="00F169F4">
        <w:rPr>
          <w:rFonts w:ascii="Times New Roman" w:hAnsi="Times New Roman"/>
          <w:lang w:val="lt-LT"/>
        </w:rPr>
        <w:t xml:space="preserve"> </w:t>
      </w:r>
      <w:proofErr w:type="spellStart"/>
      <w:r w:rsidRPr="00F169F4">
        <w:rPr>
          <w:rFonts w:ascii="Times New Roman" w:hAnsi="Times New Roman"/>
          <w:lang w:val="lt-LT"/>
        </w:rPr>
        <w:t>alopecijos</w:t>
      </w:r>
      <w:proofErr w:type="spellEnd"/>
      <w:r w:rsidRPr="00F169F4">
        <w:rPr>
          <w:rFonts w:ascii="Times New Roman" w:hAnsi="Times New Roman"/>
          <w:lang w:val="lt-LT"/>
        </w:rPr>
        <w:t>),</w:t>
      </w:r>
    </w:p>
    <w:p w:rsidR="004226AB" w:rsidRPr="00F169F4" w:rsidRDefault="004226AB" w:rsidP="004226AB">
      <w:pPr>
        <w:numPr>
          <w:ilvl w:val="0"/>
          <w:numId w:val="2"/>
        </w:numPr>
        <w:spacing w:after="0" w:line="240" w:lineRule="auto"/>
        <w:rPr>
          <w:rFonts w:ascii="Times New Roman" w:hAnsi="Times New Roman"/>
          <w:lang w:val="lt-LT"/>
        </w:rPr>
      </w:pPr>
      <w:r w:rsidRPr="00F169F4">
        <w:rPr>
          <w:rFonts w:ascii="Times New Roman" w:hAnsi="Times New Roman"/>
          <w:lang w:val="lt-LT"/>
        </w:rPr>
        <w:t xml:space="preserve">sunkių </w:t>
      </w:r>
      <w:proofErr w:type="spellStart"/>
      <w:r w:rsidRPr="00F169F4">
        <w:rPr>
          <w:rFonts w:ascii="Times New Roman" w:hAnsi="Times New Roman"/>
          <w:lang w:val="lt-LT"/>
        </w:rPr>
        <w:t>aknės</w:t>
      </w:r>
      <w:proofErr w:type="spellEnd"/>
      <w:r w:rsidRPr="00F169F4">
        <w:rPr>
          <w:rFonts w:ascii="Times New Roman" w:hAnsi="Times New Roman"/>
          <w:lang w:val="lt-LT"/>
        </w:rPr>
        <w:t xml:space="preserve"> (bėrimo spuogais) ir</w:t>
      </w:r>
      <w:r>
        <w:rPr>
          <w:rFonts w:ascii="Times New Roman" w:hAnsi="Times New Roman"/>
          <w:lang w:val="lt-LT"/>
        </w:rPr>
        <w:t xml:space="preserve"> (</w:t>
      </w:r>
      <w:r w:rsidRPr="00F169F4">
        <w:rPr>
          <w:rFonts w:ascii="Times New Roman" w:hAnsi="Times New Roman"/>
          <w:lang w:val="lt-LT"/>
        </w:rPr>
        <w:t>arba</w:t>
      </w:r>
      <w:r>
        <w:rPr>
          <w:rFonts w:ascii="Times New Roman" w:hAnsi="Times New Roman"/>
          <w:lang w:val="lt-LT"/>
        </w:rPr>
        <w:t>)</w:t>
      </w:r>
      <w:r w:rsidRPr="00F169F4">
        <w:rPr>
          <w:rFonts w:ascii="Times New Roman" w:hAnsi="Times New Roman"/>
          <w:lang w:val="lt-LT"/>
        </w:rPr>
        <w:t xml:space="preserve"> </w:t>
      </w:r>
      <w:proofErr w:type="spellStart"/>
      <w:r w:rsidRPr="00F169F4">
        <w:rPr>
          <w:rFonts w:ascii="Times New Roman" w:hAnsi="Times New Roman"/>
          <w:lang w:val="lt-LT"/>
        </w:rPr>
        <w:t>seborėjos</w:t>
      </w:r>
      <w:proofErr w:type="spellEnd"/>
      <w:r w:rsidRPr="00F169F4">
        <w:rPr>
          <w:rFonts w:ascii="Times New Roman" w:hAnsi="Times New Roman"/>
          <w:lang w:val="lt-LT"/>
        </w:rPr>
        <w:t xml:space="preserve"> formų.</w:t>
      </w:r>
    </w:p>
    <w:p w:rsidR="004226AB" w:rsidRDefault="004226AB" w:rsidP="004226AB">
      <w:pPr>
        <w:spacing w:after="0" w:line="240" w:lineRule="auto"/>
        <w:rPr>
          <w:rFonts w:ascii="Times New Roman" w:hAnsi="Times New Roman"/>
          <w:lang w:val="lt-LT"/>
        </w:rPr>
      </w:pPr>
    </w:p>
    <w:p w:rsidR="004226AB" w:rsidRPr="008D6B4E" w:rsidRDefault="004226AB" w:rsidP="004226AB">
      <w:pPr>
        <w:spacing w:after="0" w:line="240" w:lineRule="auto"/>
        <w:rPr>
          <w:rFonts w:ascii="Times New Roman" w:hAnsi="Times New Roman"/>
          <w:lang w:val="lt-LT"/>
        </w:rPr>
      </w:pPr>
      <w:proofErr w:type="spellStart"/>
      <w:r>
        <w:rPr>
          <w:rFonts w:ascii="Times New Roman" w:hAnsi="Times New Roman"/>
          <w:lang w:val="lt-LT"/>
        </w:rPr>
        <w:lastRenderedPageBreak/>
        <w:t>Ciproterono</w:t>
      </w:r>
      <w:proofErr w:type="spellEnd"/>
      <w:r>
        <w:rPr>
          <w:rFonts w:ascii="Times New Roman" w:hAnsi="Times New Roman"/>
          <w:lang w:val="lt-LT"/>
        </w:rPr>
        <w:t xml:space="preserve"> acetatas </w:t>
      </w:r>
      <w:r w:rsidRPr="00106BFF">
        <w:rPr>
          <w:rFonts w:ascii="Times New Roman" w:hAnsi="Times New Roman"/>
          <w:lang w:val="lt-LT"/>
        </w:rPr>
        <w:t>50</w:t>
      </w:r>
      <w:r>
        <w:rPr>
          <w:rFonts w:ascii="Times New Roman" w:eastAsia="Times New Roman" w:hAnsi="Times New Roman" w:cs="Times New Roman"/>
          <w:lang w:val="lt-LT"/>
        </w:rPr>
        <w:t> </w:t>
      </w:r>
      <w:r w:rsidRPr="00106BFF">
        <w:rPr>
          <w:rFonts w:ascii="Times New Roman" w:hAnsi="Times New Roman"/>
          <w:lang w:val="lt-LT"/>
        </w:rPr>
        <w:t>mg turi b</w:t>
      </w:r>
      <w:r>
        <w:rPr>
          <w:rFonts w:ascii="Times New Roman" w:hAnsi="Times New Roman"/>
          <w:lang w:val="lt-LT"/>
        </w:rPr>
        <w:t xml:space="preserve">ūti vartojamas </w:t>
      </w:r>
      <w:r w:rsidRPr="00F169F4">
        <w:rPr>
          <w:rFonts w:ascii="Times New Roman" w:hAnsi="Times New Roman"/>
          <w:lang w:val="lt-LT"/>
        </w:rPr>
        <w:t xml:space="preserve">labai didelio laipsnio </w:t>
      </w:r>
      <w:proofErr w:type="spellStart"/>
      <w:r w:rsidRPr="00F169F4">
        <w:rPr>
          <w:rFonts w:ascii="Times New Roman" w:hAnsi="Times New Roman"/>
          <w:lang w:val="lt-LT"/>
        </w:rPr>
        <w:t>hirsutizmo</w:t>
      </w:r>
      <w:proofErr w:type="spellEnd"/>
      <w:r w:rsidRPr="00F169F4">
        <w:rPr>
          <w:rFonts w:ascii="Times New Roman" w:hAnsi="Times New Roman"/>
          <w:lang w:val="lt-LT"/>
        </w:rPr>
        <w:t xml:space="preserve"> (padidėjusio plaukuotumo</w:t>
      </w:r>
      <w:r w:rsidRPr="008D6B4E">
        <w:rPr>
          <w:rFonts w:ascii="Times New Roman" w:hAnsi="Times New Roman"/>
          <w:lang w:val="lt-LT"/>
        </w:rPr>
        <w:t xml:space="preserve">), </w:t>
      </w:r>
      <w:r w:rsidRPr="00F169F4">
        <w:rPr>
          <w:rFonts w:ascii="Times New Roman" w:hAnsi="Times New Roman"/>
          <w:lang w:val="lt-LT"/>
        </w:rPr>
        <w:t xml:space="preserve">nuo androgenų priklausomo ryškaus galvos plaukų slinkimo, galiausiai pasibaigiančio plikumu (ryškios </w:t>
      </w:r>
      <w:proofErr w:type="spellStart"/>
      <w:r w:rsidRPr="00F169F4">
        <w:rPr>
          <w:rFonts w:ascii="Times New Roman" w:hAnsi="Times New Roman"/>
          <w:lang w:val="lt-LT"/>
        </w:rPr>
        <w:t>adrogeneninės</w:t>
      </w:r>
      <w:proofErr w:type="spellEnd"/>
      <w:r w:rsidRPr="00F169F4">
        <w:rPr>
          <w:rFonts w:ascii="Times New Roman" w:hAnsi="Times New Roman"/>
          <w:lang w:val="lt-LT"/>
        </w:rPr>
        <w:t xml:space="preserve"> </w:t>
      </w:r>
      <w:proofErr w:type="spellStart"/>
      <w:r w:rsidRPr="00F169F4">
        <w:rPr>
          <w:rFonts w:ascii="Times New Roman" w:hAnsi="Times New Roman"/>
          <w:lang w:val="lt-LT"/>
        </w:rPr>
        <w:t>alopecijos</w:t>
      </w:r>
      <w:proofErr w:type="spellEnd"/>
      <w:r w:rsidRPr="00F169F4">
        <w:rPr>
          <w:rFonts w:ascii="Times New Roman" w:hAnsi="Times New Roman"/>
          <w:lang w:val="lt-LT"/>
        </w:rPr>
        <w:t>)</w:t>
      </w:r>
      <w:r>
        <w:rPr>
          <w:rFonts w:ascii="Times New Roman" w:hAnsi="Times New Roman"/>
          <w:lang w:val="lt-LT"/>
        </w:rPr>
        <w:t xml:space="preserve"> ir</w:t>
      </w:r>
      <w:r w:rsidRPr="008D6B4E">
        <w:rPr>
          <w:rFonts w:ascii="Times New Roman" w:hAnsi="Times New Roman"/>
          <w:lang w:val="lt-LT"/>
        </w:rPr>
        <w:t xml:space="preserve"> </w:t>
      </w:r>
      <w:r w:rsidRPr="00F169F4">
        <w:rPr>
          <w:rFonts w:ascii="Times New Roman" w:hAnsi="Times New Roman"/>
          <w:lang w:val="lt-LT"/>
        </w:rPr>
        <w:t xml:space="preserve">sunkių </w:t>
      </w:r>
      <w:proofErr w:type="spellStart"/>
      <w:r w:rsidRPr="00F169F4">
        <w:rPr>
          <w:rFonts w:ascii="Times New Roman" w:hAnsi="Times New Roman"/>
          <w:lang w:val="lt-LT"/>
        </w:rPr>
        <w:t>aknės</w:t>
      </w:r>
      <w:proofErr w:type="spellEnd"/>
      <w:r w:rsidRPr="00F169F4">
        <w:rPr>
          <w:rFonts w:ascii="Times New Roman" w:hAnsi="Times New Roman"/>
          <w:lang w:val="lt-LT"/>
        </w:rPr>
        <w:t xml:space="preserve"> (</w:t>
      </w:r>
      <w:r>
        <w:rPr>
          <w:rFonts w:ascii="Times New Roman" w:hAnsi="Times New Roman"/>
          <w:lang w:val="lt-LT"/>
        </w:rPr>
        <w:t>iš</w:t>
      </w:r>
      <w:r w:rsidRPr="00F169F4">
        <w:rPr>
          <w:rFonts w:ascii="Times New Roman" w:hAnsi="Times New Roman"/>
          <w:lang w:val="lt-LT"/>
        </w:rPr>
        <w:t>bėrimo spuogais) ir</w:t>
      </w:r>
      <w:r>
        <w:rPr>
          <w:rFonts w:ascii="Times New Roman" w:hAnsi="Times New Roman"/>
          <w:lang w:val="lt-LT"/>
        </w:rPr>
        <w:t xml:space="preserve"> (</w:t>
      </w:r>
      <w:r w:rsidRPr="00F169F4">
        <w:rPr>
          <w:rFonts w:ascii="Times New Roman" w:hAnsi="Times New Roman"/>
          <w:lang w:val="lt-LT"/>
        </w:rPr>
        <w:t>arba</w:t>
      </w:r>
      <w:r>
        <w:rPr>
          <w:rFonts w:ascii="Times New Roman" w:hAnsi="Times New Roman"/>
          <w:lang w:val="lt-LT"/>
        </w:rPr>
        <w:t>)</w:t>
      </w:r>
      <w:r w:rsidRPr="00F169F4">
        <w:rPr>
          <w:rFonts w:ascii="Times New Roman" w:hAnsi="Times New Roman"/>
          <w:lang w:val="lt-LT"/>
        </w:rPr>
        <w:t xml:space="preserve"> </w:t>
      </w:r>
      <w:proofErr w:type="spellStart"/>
      <w:r w:rsidRPr="00F169F4">
        <w:rPr>
          <w:rFonts w:ascii="Times New Roman" w:hAnsi="Times New Roman"/>
          <w:lang w:val="lt-LT"/>
        </w:rPr>
        <w:t>seborėjos</w:t>
      </w:r>
      <w:proofErr w:type="spellEnd"/>
      <w:r w:rsidRPr="00F169F4">
        <w:rPr>
          <w:rFonts w:ascii="Times New Roman" w:hAnsi="Times New Roman"/>
          <w:lang w:val="lt-LT"/>
        </w:rPr>
        <w:t xml:space="preserve"> formų</w:t>
      </w:r>
      <w:r>
        <w:rPr>
          <w:rFonts w:ascii="Times New Roman" w:hAnsi="Times New Roman"/>
          <w:lang w:val="lt-LT"/>
        </w:rPr>
        <w:t xml:space="preserve"> gydymui</w:t>
      </w:r>
      <w:r w:rsidRPr="008D6B4E">
        <w:rPr>
          <w:rFonts w:ascii="Times New Roman" w:hAnsi="Times New Roman"/>
          <w:lang w:val="lt-LT"/>
        </w:rPr>
        <w:t xml:space="preserve">, tik kai vartojant mažesnių dozių vaistų, kurių sudėtyje yra </w:t>
      </w:r>
      <w:proofErr w:type="spellStart"/>
      <w:r w:rsidRPr="008D6B4E">
        <w:rPr>
          <w:rFonts w:ascii="Times New Roman" w:hAnsi="Times New Roman"/>
          <w:lang w:val="lt-LT"/>
        </w:rPr>
        <w:t>ciproterono</w:t>
      </w:r>
      <w:proofErr w:type="spellEnd"/>
      <w:r w:rsidRPr="008D6B4E">
        <w:rPr>
          <w:rFonts w:ascii="Times New Roman" w:hAnsi="Times New Roman"/>
          <w:lang w:val="lt-LT"/>
        </w:rPr>
        <w:t>, arba taikant kitus gydymo metodus negaunama tinkamų rezultatų.</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 xml:space="preserve">Dėl ko </w:t>
      </w: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vartojamas vyrams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numPr>
          <w:ilvl w:val="0"/>
          <w:numId w:val="3"/>
        </w:numPr>
        <w:spacing w:after="0" w:line="240" w:lineRule="auto"/>
        <w:rPr>
          <w:rFonts w:ascii="Times New Roman" w:hAnsi="Times New Roman"/>
          <w:lang w:val="lt-LT"/>
        </w:rPr>
      </w:pPr>
      <w:r w:rsidRPr="00F169F4">
        <w:rPr>
          <w:rFonts w:ascii="Times New Roman" w:hAnsi="Times New Roman"/>
          <w:lang w:val="lt-LT"/>
        </w:rPr>
        <w:t>Iškrypusiam lytiniam potraukiui mažinti.</w:t>
      </w:r>
    </w:p>
    <w:p w:rsidR="004226AB" w:rsidRPr="00F169F4" w:rsidRDefault="004226AB" w:rsidP="004226AB">
      <w:pPr>
        <w:numPr>
          <w:ilvl w:val="0"/>
          <w:numId w:val="3"/>
        </w:numPr>
        <w:spacing w:after="0" w:line="240" w:lineRule="auto"/>
        <w:rPr>
          <w:rFonts w:ascii="Times New Roman" w:hAnsi="Times New Roman"/>
          <w:lang w:val="lt-LT"/>
        </w:rPr>
      </w:pPr>
      <w:r w:rsidRPr="00F169F4">
        <w:rPr>
          <w:rFonts w:ascii="Times New Roman" w:hAnsi="Times New Roman"/>
          <w:lang w:val="lt-LT"/>
        </w:rPr>
        <w:t xml:space="preserve">Neoperuojamam priešinės liaukos vėžiui gydyti </w:t>
      </w:r>
      <w:proofErr w:type="spellStart"/>
      <w:r w:rsidRPr="00F169F4">
        <w:rPr>
          <w:rFonts w:ascii="Times New Roman" w:hAnsi="Times New Roman"/>
          <w:lang w:val="lt-LT"/>
        </w:rPr>
        <w:t>antiandrogenais</w:t>
      </w:r>
      <w:proofErr w:type="spellEnd"/>
      <w:r w:rsidRPr="00F169F4">
        <w:rPr>
          <w:rFonts w:ascii="Times New Roman" w:hAnsi="Times New Roman"/>
          <w:lang w:val="lt-LT"/>
        </w:rPr>
        <w:t>.</w:t>
      </w:r>
    </w:p>
    <w:p w:rsidR="004226AB" w:rsidRPr="00F169F4" w:rsidRDefault="004226AB" w:rsidP="004226AB">
      <w:pPr>
        <w:spacing w:after="0" w:line="240" w:lineRule="auto"/>
        <w:ind w:left="567" w:hanging="567"/>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Pr>
          <w:rFonts w:ascii="Times New Roman" w:hAnsi="Times New Roman"/>
          <w:lang w:val="lt-LT"/>
        </w:rPr>
        <w:t>Ciproterono</w:t>
      </w:r>
      <w:proofErr w:type="spellEnd"/>
      <w:r>
        <w:rPr>
          <w:rFonts w:ascii="Times New Roman" w:hAnsi="Times New Roman"/>
          <w:lang w:val="lt-LT"/>
        </w:rPr>
        <w:t xml:space="preserve"> acetatas 50</w:t>
      </w:r>
      <w:r>
        <w:rPr>
          <w:rFonts w:ascii="Times New Roman" w:eastAsia="Times New Roman" w:hAnsi="Times New Roman" w:cs="Times New Roman"/>
          <w:lang w:val="lt-LT"/>
        </w:rPr>
        <w:t> </w:t>
      </w:r>
      <w:r>
        <w:rPr>
          <w:rFonts w:ascii="Times New Roman" w:hAnsi="Times New Roman"/>
          <w:lang w:val="lt-LT"/>
        </w:rPr>
        <w:t>mg</w:t>
      </w:r>
      <w:r w:rsidRPr="00DB13AE">
        <w:rPr>
          <w:rFonts w:ascii="Times New Roman" w:hAnsi="Times New Roman"/>
          <w:lang w:val="lt-LT"/>
        </w:rPr>
        <w:t xml:space="preserve"> gali būti vartojamas iškrypusiam lytiniam potraukiui mažinti, tik jeigu Jūsų gydytojas mano, kad kitos priemonės yra netinkamos.</w:t>
      </w:r>
    </w:p>
    <w:p w:rsidR="004226AB"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1"/>
        <w:rPr>
          <w:rFonts w:ascii="Times New Roman" w:hAnsi="Times New Roman"/>
          <w:b/>
          <w:lang w:val="lt-LT"/>
        </w:rPr>
      </w:pPr>
      <w:r w:rsidRPr="00F169F4">
        <w:rPr>
          <w:rFonts w:ascii="Times New Roman" w:hAnsi="Times New Roman"/>
          <w:b/>
          <w:lang w:val="lt-LT"/>
        </w:rPr>
        <w:t>2.</w:t>
      </w:r>
      <w:r w:rsidRPr="00F169F4">
        <w:rPr>
          <w:rFonts w:ascii="Times New Roman" w:hAnsi="Times New Roman"/>
          <w:b/>
          <w:lang w:val="lt-LT"/>
        </w:rPr>
        <w:tab/>
        <w:t xml:space="preserve">Kas žinotina prieš vartojant </w:t>
      </w:r>
      <w:proofErr w:type="spellStart"/>
      <w:r w:rsidRPr="00F169F4">
        <w:rPr>
          <w:rFonts w:ascii="Times New Roman" w:hAnsi="Times New Roman"/>
          <w:b/>
          <w:lang w:val="lt-LT"/>
        </w:rPr>
        <w:t>Androcur</w:t>
      </w:r>
      <w:proofErr w:type="spellEnd"/>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2"/>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vartoti negalima</w:t>
      </w: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 jei </w:t>
      </w:r>
      <w:r>
        <w:rPr>
          <w:rFonts w:ascii="Times New Roman" w:hAnsi="Times New Roman"/>
          <w:lang w:val="lt-LT"/>
        </w:rPr>
        <w:t>J</w:t>
      </w:r>
      <w:r w:rsidRPr="00F169F4">
        <w:rPr>
          <w:rFonts w:ascii="Times New Roman" w:hAnsi="Times New Roman"/>
          <w:lang w:val="lt-LT"/>
        </w:rPr>
        <w:t xml:space="preserve">ums yra viena iš toliau išvardytų būklių. Prieš pradedant vartoti </w:t>
      </w:r>
      <w:proofErr w:type="spellStart"/>
      <w:r w:rsidRPr="00F169F4">
        <w:rPr>
          <w:rFonts w:ascii="Times New Roman" w:hAnsi="Times New Roman"/>
          <w:lang w:val="lt-LT"/>
        </w:rPr>
        <w:t>Androcur</w:t>
      </w:r>
      <w:proofErr w:type="spellEnd"/>
      <w:r w:rsidRPr="00F169F4">
        <w:rPr>
          <w:rFonts w:ascii="Times New Roman" w:hAnsi="Times New Roman"/>
          <w:lang w:val="lt-LT"/>
        </w:rPr>
        <w:t>, pasakykite apie tai gydytojui.</w:t>
      </w:r>
    </w:p>
    <w:p w:rsidR="004226AB" w:rsidRPr="00F169F4" w:rsidRDefault="004226AB" w:rsidP="004226AB">
      <w:pPr>
        <w:spacing w:after="0" w:line="240" w:lineRule="auto"/>
        <w:ind w:left="540" w:hanging="540"/>
        <w:rPr>
          <w:rFonts w:ascii="Times New Roman" w:hAnsi="Times New Roman"/>
          <w:lang w:val="lt-LT"/>
        </w:rPr>
      </w:pPr>
    </w:p>
    <w:p w:rsidR="004226AB" w:rsidRPr="00F169F4" w:rsidRDefault="004226AB" w:rsidP="004226AB">
      <w:pPr>
        <w:keepNext/>
        <w:spacing w:after="0" w:line="240" w:lineRule="auto"/>
        <w:ind w:left="540" w:hanging="540"/>
        <w:outlineLvl w:val="5"/>
        <w:rPr>
          <w:rFonts w:ascii="Times New Roman" w:hAnsi="Times New Roman"/>
          <w:b/>
          <w:lang w:val="lt-LT"/>
        </w:rPr>
      </w:pPr>
      <w:r w:rsidRPr="00F169F4">
        <w:rPr>
          <w:rFonts w:ascii="Times New Roman" w:hAnsi="Times New Roman"/>
          <w:b/>
          <w:lang w:val="lt-LT"/>
        </w:rPr>
        <w:t>Moterims</w:t>
      </w:r>
    </w:p>
    <w:p w:rsidR="004226AB" w:rsidRPr="00F169F4" w:rsidRDefault="004226AB" w:rsidP="004226AB">
      <w:pPr>
        <w:spacing w:after="0" w:line="240" w:lineRule="auto"/>
        <w:ind w:left="567" w:hanging="567"/>
        <w:rPr>
          <w:rFonts w:ascii="Times New Roman" w:hAnsi="Times New Roman"/>
          <w:lang w:val="lt-LT"/>
        </w:rPr>
      </w:pPr>
      <w:r w:rsidRPr="00F169F4">
        <w:rPr>
          <w:rFonts w:ascii="Times New Roman" w:hAnsi="Times New Roman"/>
          <w:lang w:val="lt-LT"/>
        </w:rPr>
        <w:sym w:font="Symbol" w:char="F0B7"/>
      </w:r>
      <w:r w:rsidRPr="00F169F4">
        <w:rPr>
          <w:rFonts w:ascii="Times New Roman" w:hAnsi="Times New Roman"/>
          <w:lang w:val="lt-LT"/>
        </w:rPr>
        <w:tab/>
        <w:t>jeigu esate nėščia ar žindote kūdikį,</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sergate kepenų ligomis,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ankstesnio nėštumo metu buvo gelta ar ilgai trukęs niežulys,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buvo nėščiųjų pūslelinė,</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kenčiate nuo paveldimų kepenų funkcijos sutrikimų su pažeista eritrocitų pigmento, vadinamo </w:t>
      </w:r>
      <w:proofErr w:type="spellStart"/>
      <w:r w:rsidRPr="00F169F4">
        <w:rPr>
          <w:rFonts w:ascii="Times New Roman" w:hAnsi="Times New Roman"/>
          <w:lang w:val="lt-LT"/>
        </w:rPr>
        <w:t>bilirubinu</w:t>
      </w:r>
      <w:proofErr w:type="spellEnd"/>
      <w:r w:rsidRPr="00F169F4">
        <w:rPr>
          <w:rFonts w:ascii="Times New Roman" w:hAnsi="Times New Roman"/>
          <w:lang w:val="lt-LT"/>
        </w:rPr>
        <w:t xml:space="preserve">, </w:t>
      </w:r>
      <w:proofErr w:type="spellStart"/>
      <w:r w:rsidRPr="00F169F4">
        <w:rPr>
          <w:rFonts w:ascii="Times New Roman" w:hAnsi="Times New Roman"/>
          <w:lang w:val="lt-LT"/>
        </w:rPr>
        <w:t>ekskrecija</w:t>
      </w:r>
      <w:proofErr w:type="spellEnd"/>
      <w:r w:rsidRPr="00F169F4">
        <w:rPr>
          <w:rFonts w:ascii="Times New Roman" w:hAnsi="Times New Roman"/>
          <w:lang w:val="lt-LT"/>
        </w:rPr>
        <w:t xml:space="preserve"> (</w:t>
      </w:r>
      <w:proofErr w:type="spellStart"/>
      <w:r w:rsidRPr="00F169F4">
        <w:rPr>
          <w:rFonts w:ascii="Times New Roman" w:hAnsi="Times New Roman"/>
          <w:lang w:val="lt-LT"/>
        </w:rPr>
        <w:t>Dubin</w:t>
      </w:r>
      <w:proofErr w:type="spellEnd"/>
      <w:r>
        <w:rPr>
          <w:rFonts w:ascii="Times New Roman" w:hAnsi="Times New Roman"/>
          <w:lang w:val="lt-LT"/>
        </w:rPr>
        <w:t>–</w:t>
      </w:r>
      <w:proofErr w:type="spellStart"/>
      <w:r w:rsidRPr="00F169F4">
        <w:rPr>
          <w:rFonts w:ascii="Times New Roman" w:hAnsi="Times New Roman"/>
          <w:lang w:val="lt-LT"/>
        </w:rPr>
        <w:t>Johnson</w:t>
      </w:r>
      <w:proofErr w:type="spellEnd"/>
      <w:r w:rsidRPr="00F169F4">
        <w:rPr>
          <w:rFonts w:ascii="Times New Roman" w:hAnsi="Times New Roman"/>
          <w:lang w:val="lt-LT"/>
        </w:rPr>
        <w:t xml:space="preserve"> sindromas ar </w:t>
      </w:r>
      <w:proofErr w:type="spellStart"/>
      <w:r w:rsidRPr="00F169F4">
        <w:rPr>
          <w:rFonts w:ascii="Times New Roman" w:hAnsi="Times New Roman"/>
          <w:lang w:val="lt-LT"/>
        </w:rPr>
        <w:t>Rotor</w:t>
      </w:r>
      <w:proofErr w:type="spellEnd"/>
      <w:r w:rsidRPr="00F169F4">
        <w:rPr>
          <w:rFonts w:ascii="Times New Roman" w:hAnsi="Times New Roman"/>
          <w:lang w:val="lt-LT"/>
        </w:rPr>
        <w:t xml:space="preserve"> sindromas),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yra ar kada nors buvo gerybinis ar piktybinis kepenų navikas,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Jums yra ar kada nors buvo diagnozuota </w:t>
      </w:r>
      <w:proofErr w:type="spellStart"/>
      <w:r w:rsidRPr="00F169F4">
        <w:rPr>
          <w:rFonts w:ascii="Times New Roman" w:hAnsi="Times New Roman"/>
          <w:lang w:val="lt-LT"/>
        </w:rPr>
        <w:t>meningioma</w:t>
      </w:r>
      <w:proofErr w:type="spellEnd"/>
      <w:r w:rsidRPr="00F169F4">
        <w:rPr>
          <w:rFonts w:ascii="Times New Roman" w:hAnsi="Times New Roman"/>
          <w:lang w:val="lt-LT"/>
        </w:rPr>
        <w:t xml:space="preserve"> (gerybinis smegenų dangalo, esančio tarp smegenų ir kaukolės, navikas),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sergate išsekimo liga (liga, sukeliančia jėgos silpnėjimą ar praradimą),</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sergate sunkia lėtine depresija,</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yra ar kada nors buvo kraujotakos sutrikimas: ypač būklės, susijusios su tromboze (kraujo krešulio susidarymu) kraujagyslėse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jeigu Jums yra sunkus cukrinis diabetas su kraujagyslių pažeidimu,</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Jūs sergate </w:t>
      </w:r>
      <w:proofErr w:type="spellStart"/>
      <w:r w:rsidRPr="00F169F4">
        <w:rPr>
          <w:rFonts w:ascii="Times New Roman" w:hAnsi="Times New Roman"/>
          <w:lang w:val="lt-LT"/>
        </w:rPr>
        <w:t>pjautuvine</w:t>
      </w:r>
      <w:proofErr w:type="spellEnd"/>
      <w:r w:rsidRPr="00F169F4">
        <w:rPr>
          <w:rFonts w:ascii="Times New Roman" w:hAnsi="Times New Roman"/>
          <w:lang w:val="lt-LT"/>
        </w:rPr>
        <w:t xml:space="preserve"> mažakraujyste,</w:t>
      </w:r>
    </w:p>
    <w:p w:rsidR="004226AB" w:rsidRPr="00F169F4" w:rsidRDefault="004226AB" w:rsidP="004226AB">
      <w:pPr>
        <w:spacing w:after="0" w:line="240" w:lineRule="auto"/>
        <w:ind w:left="567" w:hanging="567"/>
        <w:rPr>
          <w:rFonts w:ascii="Times New Roman" w:hAnsi="Times New Roman"/>
          <w:lang w:val="lt-LT"/>
        </w:rPr>
      </w:pPr>
      <w:r w:rsidRPr="00F169F4">
        <w:rPr>
          <w:rFonts w:ascii="Times New Roman" w:hAnsi="Times New Roman"/>
          <w:lang w:val="lt-LT"/>
        </w:rPr>
        <w:sym w:font="Symbol" w:char="F0B7"/>
      </w:r>
      <w:r w:rsidRPr="00F169F4">
        <w:rPr>
          <w:rFonts w:ascii="Times New Roman" w:hAnsi="Times New Roman"/>
          <w:lang w:val="lt-LT"/>
        </w:rPr>
        <w:tab/>
        <w:t xml:space="preserve">Jeigu yra alergija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acetatui arba bet kuriai pagalbinei šio vaisto medžiagai (jos išvardytos 6</w:t>
      </w:r>
      <w:r>
        <w:rPr>
          <w:rFonts w:ascii="Times New Roman" w:hAnsi="Times New Roman"/>
          <w:lang w:val="lt-LT"/>
        </w:rPr>
        <w:t> </w:t>
      </w:r>
      <w:r w:rsidRPr="00F169F4">
        <w:rPr>
          <w:rFonts w:ascii="Times New Roman" w:hAnsi="Times New Roman"/>
          <w:lang w:val="lt-LT"/>
        </w:rPr>
        <w:t>skyriuje).</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Jei Jūsų gydytojas kartu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paskiria vartoti </w:t>
      </w:r>
      <w:proofErr w:type="spellStart"/>
      <w:r w:rsidRPr="00F169F4">
        <w:rPr>
          <w:rFonts w:ascii="Times New Roman" w:hAnsi="Times New Roman"/>
          <w:lang w:val="lt-LT"/>
        </w:rPr>
        <w:t>progest</w:t>
      </w:r>
      <w:r>
        <w:rPr>
          <w:rFonts w:ascii="Times New Roman" w:hAnsi="Times New Roman"/>
          <w:lang w:val="lt-LT"/>
        </w:rPr>
        <w:t>a</w:t>
      </w:r>
      <w:r w:rsidRPr="00F169F4">
        <w:rPr>
          <w:rFonts w:ascii="Times New Roman" w:hAnsi="Times New Roman"/>
          <w:lang w:val="lt-LT"/>
        </w:rPr>
        <w:t>geno</w:t>
      </w:r>
      <w:proofErr w:type="spellEnd"/>
      <w:r w:rsidRPr="00F169F4">
        <w:rPr>
          <w:rFonts w:ascii="Times New Roman" w:hAnsi="Times New Roman"/>
          <w:lang w:val="lt-LT"/>
        </w:rPr>
        <w:t xml:space="preserve">–estrogeno kontraceptiką, pvz., </w:t>
      </w:r>
      <w:proofErr w:type="spellStart"/>
      <w:r w:rsidRPr="00F169F4">
        <w:rPr>
          <w:rFonts w:ascii="Times New Roman" w:hAnsi="Times New Roman"/>
          <w:lang w:val="lt-LT"/>
        </w:rPr>
        <w:t>Diane</w:t>
      </w:r>
      <w:proofErr w:type="spellEnd"/>
      <w:r w:rsidRPr="00F169F4">
        <w:rPr>
          <w:rFonts w:ascii="Times New Roman" w:hAnsi="Times New Roman"/>
          <w:lang w:val="lt-LT"/>
        </w:rPr>
        <w:t>, būtina atidžiai atsižvelgti į papildomo vaisto pakuotės lapelyje pateikiamą informaciją.</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Vyrams</w:t>
      </w:r>
    </w:p>
    <w:p w:rsidR="004226AB" w:rsidRPr="00F169F4" w:rsidRDefault="004226AB" w:rsidP="004226AB">
      <w:pPr>
        <w:spacing w:after="0" w:line="240" w:lineRule="auto"/>
        <w:rPr>
          <w:rFonts w:ascii="Times New Roman" w:hAnsi="Times New Roman"/>
          <w:b/>
          <w:u w:val="single"/>
          <w:lang w:val="lt-LT"/>
        </w:rPr>
      </w:pPr>
      <w:r w:rsidRPr="00F169F4">
        <w:rPr>
          <w:rFonts w:ascii="Times New Roman" w:hAnsi="Times New Roman"/>
          <w:b/>
          <w:u w:val="single"/>
          <w:lang w:val="lt-LT"/>
        </w:rPr>
        <w:sym w:font="Symbol" w:char="F02D"/>
      </w:r>
      <w:r w:rsidRPr="00F169F4">
        <w:rPr>
          <w:rFonts w:ascii="Times New Roman" w:hAnsi="Times New Roman"/>
          <w:b/>
          <w:u w:val="single"/>
          <w:lang w:val="lt-LT"/>
        </w:rPr>
        <w:t xml:space="preserve"> kai skiriama iškrypusiam lytiniam potraukiui mažinti</w:t>
      </w:r>
    </w:p>
    <w:p w:rsidR="004226AB" w:rsidRPr="00F169F4" w:rsidRDefault="004226AB" w:rsidP="004226AB">
      <w:pPr>
        <w:numPr>
          <w:ilvl w:val="0"/>
          <w:numId w:val="5"/>
        </w:numPr>
        <w:tabs>
          <w:tab w:val="num" w:pos="567"/>
        </w:tabs>
        <w:spacing w:after="0" w:line="240" w:lineRule="auto"/>
        <w:ind w:hanging="720"/>
        <w:rPr>
          <w:rFonts w:ascii="Times New Roman" w:hAnsi="Times New Roman"/>
          <w:b/>
          <w:lang w:val="lt-LT"/>
        </w:rPr>
      </w:pPr>
      <w:r w:rsidRPr="00F169F4">
        <w:rPr>
          <w:rFonts w:ascii="Times New Roman" w:hAnsi="Times New Roman"/>
          <w:lang w:val="lt-LT"/>
        </w:rPr>
        <w:t>jeigu sergate kepenų ligomis,</w:t>
      </w:r>
    </w:p>
    <w:p w:rsidR="004226AB" w:rsidRPr="00F169F4" w:rsidRDefault="004226AB" w:rsidP="004226AB">
      <w:pPr>
        <w:numPr>
          <w:ilvl w:val="0"/>
          <w:numId w:val="6"/>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 xml:space="preserve">jeigu kenčiate nuo paveldimų kepenų funkcijos sutrikimų su pažeista eritrocitų pigmento, vadinamo </w:t>
      </w:r>
      <w:proofErr w:type="spellStart"/>
      <w:r w:rsidRPr="00F169F4">
        <w:rPr>
          <w:rFonts w:ascii="Times New Roman" w:hAnsi="Times New Roman"/>
          <w:lang w:val="lt-LT"/>
        </w:rPr>
        <w:t>bilirubinu</w:t>
      </w:r>
      <w:proofErr w:type="spellEnd"/>
      <w:r w:rsidRPr="00F169F4">
        <w:rPr>
          <w:rFonts w:ascii="Times New Roman" w:hAnsi="Times New Roman"/>
          <w:lang w:val="lt-LT"/>
        </w:rPr>
        <w:t xml:space="preserve">, </w:t>
      </w:r>
      <w:proofErr w:type="spellStart"/>
      <w:r w:rsidRPr="00F169F4">
        <w:rPr>
          <w:rFonts w:ascii="Times New Roman" w:hAnsi="Times New Roman"/>
          <w:lang w:val="lt-LT"/>
        </w:rPr>
        <w:t>ekskrecija</w:t>
      </w:r>
      <w:proofErr w:type="spellEnd"/>
      <w:r w:rsidRPr="00F169F4">
        <w:rPr>
          <w:rFonts w:ascii="Times New Roman" w:hAnsi="Times New Roman"/>
          <w:lang w:val="lt-LT"/>
        </w:rPr>
        <w:t xml:space="preserve"> (</w:t>
      </w:r>
      <w:proofErr w:type="spellStart"/>
      <w:r w:rsidRPr="00F169F4">
        <w:rPr>
          <w:rFonts w:ascii="Times New Roman" w:hAnsi="Times New Roman"/>
          <w:lang w:val="lt-LT"/>
        </w:rPr>
        <w:t>Dubin</w:t>
      </w:r>
      <w:proofErr w:type="spellEnd"/>
      <w:r>
        <w:rPr>
          <w:rFonts w:ascii="Times New Roman" w:hAnsi="Times New Roman"/>
          <w:lang w:val="lt-LT"/>
        </w:rPr>
        <w:t>–</w:t>
      </w:r>
      <w:proofErr w:type="spellStart"/>
      <w:r w:rsidRPr="00F169F4">
        <w:rPr>
          <w:rFonts w:ascii="Times New Roman" w:hAnsi="Times New Roman"/>
          <w:lang w:val="lt-LT"/>
        </w:rPr>
        <w:t>Johnson</w:t>
      </w:r>
      <w:proofErr w:type="spellEnd"/>
      <w:r w:rsidRPr="00F169F4">
        <w:rPr>
          <w:rFonts w:ascii="Times New Roman" w:hAnsi="Times New Roman"/>
          <w:lang w:val="lt-LT"/>
        </w:rPr>
        <w:t xml:space="preserve"> sindromas ar </w:t>
      </w:r>
      <w:proofErr w:type="spellStart"/>
      <w:r w:rsidRPr="00F169F4">
        <w:rPr>
          <w:rFonts w:ascii="Times New Roman" w:hAnsi="Times New Roman"/>
          <w:lang w:val="lt-LT"/>
        </w:rPr>
        <w:t>Rotor</w:t>
      </w:r>
      <w:proofErr w:type="spellEnd"/>
      <w:r w:rsidRPr="00F169F4">
        <w:rPr>
          <w:rFonts w:ascii="Times New Roman" w:hAnsi="Times New Roman"/>
          <w:lang w:val="lt-LT"/>
        </w:rPr>
        <w:t xml:space="preserve"> sindromas),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jeigu Jums yra ar kad nors buvo gerybinis ar piktybinis kepenų navikas,</w:t>
      </w:r>
    </w:p>
    <w:p w:rsidR="004226AB" w:rsidRPr="00F169F4" w:rsidRDefault="004226AB" w:rsidP="004226AB">
      <w:pPr>
        <w:numPr>
          <w:ilvl w:val="0"/>
          <w:numId w:val="4"/>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Jums yra ar kada nors buvo diagnozuota </w:t>
      </w:r>
      <w:proofErr w:type="spellStart"/>
      <w:r w:rsidRPr="00F169F4">
        <w:rPr>
          <w:rFonts w:ascii="Times New Roman" w:hAnsi="Times New Roman"/>
          <w:lang w:val="lt-LT"/>
        </w:rPr>
        <w:t>meningioma</w:t>
      </w:r>
      <w:proofErr w:type="spellEnd"/>
      <w:r w:rsidRPr="00F169F4">
        <w:rPr>
          <w:rFonts w:ascii="Times New Roman" w:hAnsi="Times New Roman"/>
          <w:lang w:val="lt-LT"/>
        </w:rPr>
        <w:t xml:space="preserve"> (gerybinis smegenų dangalo, esančio tarp smegenų ir kaukolės, navikas),</w:t>
      </w:r>
    </w:p>
    <w:p w:rsidR="004226AB" w:rsidRPr="00F169F4" w:rsidRDefault="004226AB" w:rsidP="004226AB">
      <w:pPr>
        <w:numPr>
          <w:ilvl w:val="0"/>
          <w:numId w:val="6"/>
        </w:numPr>
        <w:tabs>
          <w:tab w:val="num" w:pos="567"/>
        </w:tabs>
        <w:spacing w:after="0" w:line="240" w:lineRule="auto"/>
        <w:ind w:hanging="720"/>
        <w:rPr>
          <w:rFonts w:ascii="Times New Roman" w:hAnsi="Times New Roman"/>
          <w:b/>
          <w:lang w:val="lt-LT"/>
        </w:rPr>
      </w:pPr>
      <w:r w:rsidRPr="00F169F4">
        <w:rPr>
          <w:rFonts w:ascii="Times New Roman" w:hAnsi="Times New Roman"/>
          <w:lang w:val="lt-LT"/>
        </w:rPr>
        <w:t>jeigu sergate išsekimo liga (liga, sukeliančia jėgos silpnėjimą ar praradimą),</w:t>
      </w:r>
    </w:p>
    <w:p w:rsidR="004226AB" w:rsidRPr="00F169F4" w:rsidRDefault="004226AB" w:rsidP="004226AB">
      <w:pPr>
        <w:numPr>
          <w:ilvl w:val="0"/>
          <w:numId w:val="6"/>
        </w:numPr>
        <w:tabs>
          <w:tab w:val="num" w:pos="567"/>
        </w:tabs>
        <w:spacing w:after="0" w:line="240" w:lineRule="auto"/>
        <w:ind w:hanging="720"/>
        <w:rPr>
          <w:rFonts w:ascii="Times New Roman" w:hAnsi="Times New Roman"/>
          <w:b/>
          <w:lang w:val="lt-LT"/>
        </w:rPr>
      </w:pPr>
      <w:r w:rsidRPr="00F169F4">
        <w:rPr>
          <w:rFonts w:ascii="Times New Roman" w:hAnsi="Times New Roman"/>
          <w:lang w:val="lt-LT"/>
        </w:rPr>
        <w:t>jeigu sergate sunkia lėtine depresija,</w:t>
      </w:r>
    </w:p>
    <w:p w:rsidR="004226AB" w:rsidRPr="00F169F4" w:rsidRDefault="004226AB" w:rsidP="004226AB">
      <w:pPr>
        <w:numPr>
          <w:ilvl w:val="0"/>
          <w:numId w:val="6"/>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jeigu Jums yra ar kada nors buvo kraujotakos sutrikimas: ypač būklės, susijusios su tromboze (kraujo krešulio susidarymas) kraujagyslėse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w:t>
      </w:r>
    </w:p>
    <w:p w:rsidR="004226AB" w:rsidRPr="00F169F4" w:rsidRDefault="004226AB" w:rsidP="004226AB">
      <w:pPr>
        <w:numPr>
          <w:ilvl w:val="0"/>
          <w:numId w:val="6"/>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jeigu Jums yra sunkus cukrinis diabetas su kraujagyslių pažeidimu,</w:t>
      </w:r>
    </w:p>
    <w:p w:rsidR="004226AB" w:rsidRPr="00F169F4" w:rsidRDefault="004226AB" w:rsidP="004226AB">
      <w:pPr>
        <w:numPr>
          <w:ilvl w:val="0"/>
          <w:numId w:val="6"/>
        </w:numPr>
        <w:tabs>
          <w:tab w:val="num" w:pos="567"/>
        </w:tabs>
        <w:spacing w:after="0" w:line="240" w:lineRule="auto"/>
        <w:ind w:left="567" w:hanging="567"/>
        <w:rPr>
          <w:rFonts w:ascii="Times New Roman" w:hAnsi="Times New Roman"/>
          <w:b/>
          <w:lang w:val="lt-LT"/>
        </w:rPr>
      </w:pPr>
      <w:r w:rsidRPr="00F169F4">
        <w:rPr>
          <w:rFonts w:ascii="Times New Roman" w:hAnsi="Times New Roman"/>
          <w:lang w:val="lt-LT"/>
        </w:rPr>
        <w:t xml:space="preserve">jeigu Jūs sergate </w:t>
      </w:r>
      <w:proofErr w:type="spellStart"/>
      <w:r w:rsidRPr="00F169F4">
        <w:rPr>
          <w:rFonts w:ascii="Times New Roman" w:hAnsi="Times New Roman"/>
          <w:lang w:val="lt-LT"/>
        </w:rPr>
        <w:t>pjautuvine</w:t>
      </w:r>
      <w:proofErr w:type="spellEnd"/>
      <w:r w:rsidRPr="00F169F4">
        <w:rPr>
          <w:rFonts w:ascii="Times New Roman" w:hAnsi="Times New Roman"/>
          <w:lang w:val="lt-LT"/>
        </w:rPr>
        <w:t xml:space="preserve"> mažakraujyste,</w:t>
      </w:r>
    </w:p>
    <w:p w:rsidR="004226AB" w:rsidRPr="00F169F4" w:rsidRDefault="004226AB" w:rsidP="004226AB">
      <w:pPr>
        <w:numPr>
          <w:ilvl w:val="0"/>
          <w:numId w:val="6"/>
        </w:numPr>
        <w:tabs>
          <w:tab w:val="num" w:pos="567"/>
        </w:tabs>
        <w:spacing w:after="0" w:line="240" w:lineRule="auto"/>
        <w:ind w:left="567" w:hanging="567"/>
        <w:rPr>
          <w:rFonts w:ascii="Times New Roman" w:hAnsi="Times New Roman"/>
          <w:lang w:val="lt-LT"/>
        </w:rPr>
      </w:pPr>
      <w:r w:rsidRPr="00F169F4">
        <w:rPr>
          <w:rFonts w:ascii="Times New Roman" w:hAnsi="Times New Roman"/>
          <w:lang w:val="lt-LT"/>
        </w:rPr>
        <w:t xml:space="preserve">jeigu yra alergija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acetatui arba bet kuriai pagalbinei šio vaisto medžiagai (jos išvardytos 6</w:t>
      </w:r>
      <w:r>
        <w:rPr>
          <w:rFonts w:ascii="Times New Roman" w:hAnsi="Times New Roman"/>
          <w:lang w:val="lt-LT"/>
        </w:rPr>
        <w:t> </w:t>
      </w:r>
      <w:r w:rsidRPr="00F169F4">
        <w:rPr>
          <w:rFonts w:ascii="Times New Roman" w:hAnsi="Times New Roman"/>
          <w:lang w:val="lt-LT"/>
        </w:rPr>
        <w:t>skyriuje).</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u w:val="single"/>
          <w:lang w:val="lt-LT"/>
        </w:rPr>
      </w:pPr>
      <w:r w:rsidRPr="00F169F4">
        <w:rPr>
          <w:rFonts w:ascii="Times New Roman" w:hAnsi="Times New Roman"/>
          <w:b/>
          <w:u w:val="single"/>
          <w:lang w:val="lt-LT"/>
        </w:rPr>
        <w:sym w:font="Symbol" w:char="F02D"/>
      </w:r>
      <w:r w:rsidRPr="00F169F4">
        <w:rPr>
          <w:rFonts w:ascii="Times New Roman" w:hAnsi="Times New Roman"/>
          <w:b/>
          <w:u w:val="single"/>
          <w:lang w:val="lt-LT"/>
        </w:rPr>
        <w:t xml:space="preserve"> kai skiriama gydyti </w:t>
      </w:r>
      <w:proofErr w:type="spellStart"/>
      <w:r w:rsidRPr="00F169F4">
        <w:rPr>
          <w:rFonts w:ascii="Times New Roman" w:hAnsi="Times New Roman"/>
          <w:b/>
          <w:u w:val="single"/>
          <w:lang w:val="lt-LT"/>
        </w:rPr>
        <w:t>antiandrogenais</w:t>
      </w:r>
      <w:proofErr w:type="spellEnd"/>
      <w:r w:rsidRPr="00F169F4">
        <w:rPr>
          <w:rFonts w:ascii="Times New Roman" w:hAnsi="Times New Roman"/>
          <w:b/>
          <w:u w:val="single"/>
          <w:lang w:val="lt-LT"/>
        </w:rPr>
        <w:t xml:space="preserve"> neoperuojamą priešinės liaukos vėžį</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jeigu sergate kepenų ligomis,</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 xml:space="preserve">jeigu kenčiate nuo paveldimų kepenų funkcijos sutrikimų su pažeista eritrocitų pigmento, vadinamo </w:t>
      </w:r>
      <w:proofErr w:type="spellStart"/>
      <w:r w:rsidRPr="00F169F4">
        <w:rPr>
          <w:rFonts w:ascii="Times New Roman" w:hAnsi="Times New Roman"/>
          <w:lang w:val="lt-LT"/>
        </w:rPr>
        <w:t>bilirubinu</w:t>
      </w:r>
      <w:proofErr w:type="spellEnd"/>
      <w:r w:rsidRPr="00F169F4">
        <w:rPr>
          <w:rFonts w:ascii="Times New Roman" w:hAnsi="Times New Roman"/>
          <w:lang w:val="lt-LT"/>
        </w:rPr>
        <w:t xml:space="preserve">, </w:t>
      </w:r>
      <w:proofErr w:type="spellStart"/>
      <w:r w:rsidRPr="00F169F4">
        <w:rPr>
          <w:rFonts w:ascii="Times New Roman" w:hAnsi="Times New Roman"/>
          <w:lang w:val="lt-LT"/>
        </w:rPr>
        <w:t>ekskrecija</w:t>
      </w:r>
      <w:proofErr w:type="spellEnd"/>
      <w:r w:rsidRPr="00F169F4">
        <w:rPr>
          <w:rFonts w:ascii="Times New Roman" w:hAnsi="Times New Roman"/>
          <w:lang w:val="lt-LT"/>
        </w:rPr>
        <w:t xml:space="preserve"> (</w:t>
      </w:r>
      <w:proofErr w:type="spellStart"/>
      <w:r w:rsidRPr="00F169F4">
        <w:rPr>
          <w:rFonts w:ascii="Times New Roman" w:hAnsi="Times New Roman"/>
          <w:lang w:val="lt-LT"/>
        </w:rPr>
        <w:t>Dubin</w:t>
      </w:r>
      <w:proofErr w:type="spellEnd"/>
      <w:r>
        <w:rPr>
          <w:rFonts w:ascii="Times New Roman" w:hAnsi="Times New Roman"/>
          <w:lang w:val="lt-LT"/>
        </w:rPr>
        <w:t>–</w:t>
      </w:r>
      <w:proofErr w:type="spellStart"/>
      <w:r w:rsidRPr="00F169F4">
        <w:rPr>
          <w:rFonts w:ascii="Times New Roman" w:hAnsi="Times New Roman"/>
          <w:lang w:val="lt-LT"/>
        </w:rPr>
        <w:t>Johnson</w:t>
      </w:r>
      <w:proofErr w:type="spellEnd"/>
      <w:r w:rsidRPr="00F169F4">
        <w:rPr>
          <w:rFonts w:ascii="Times New Roman" w:hAnsi="Times New Roman"/>
          <w:lang w:val="lt-LT"/>
        </w:rPr>
        <w:t xml:space="preserve"> sindromas ar </w:t>
      </w:r>
      <w:proofErr w:type="spellStart"/>
      <w:r w:rsidRPr="00F169F4">
        <w:rPr>
          <w:rFonts w:ascii="Times New Roman" w:hAnsi="Times New Roman"/>
          <w:lang w:val="lt-LT"/>
        </w:rPr>
        <w:t>Rotor</w:t>
      </w:r>
      <w:proofErr w:type="spellEnd"/>
      <w:r w:rsidRPr="00F169F4">
        <w:rPr>
          <w:rFonts w:ascii="Times New Roman" w:hAnsi="Times New Roman"/>
          <w:lang w:val="lt-LT"/>
        </w:rPr>
        <w:t xml:space="preserve"> sindromas),</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jeigu Jums yra ar kada nors buvo gerybinis ar piktybinis kepenų navikas (jei tik tai ne priešinės liaukos vėžio metastazės),</w:t>
      </w:r>
    </w:p>
    <w:p w:rsidR="004226AB" w:rsidRPr="00F169F4" w:rsidRDefault="004226AB" w:rsidP="004226AB">
      <w:pPr>
        <w:numPr>
          <w:ilvl w:val="0"/>
          <w:numId w:val="18"/>
        </w:numPr>
        <w:spacing w:after="0" w:line="240" w:lineRule="auto"/>
        <w:ind w:left="357" w:hanging="357"/>
        <w:rPr>
          <w:rFonts w:ascii="Times New Roman" w:hAnsi="Times New Roman"/>
          <w:lang w:val="lt-LT"/>
        </w:rPr>
      </w:pPr>
      <w:r w:rsidRPr="00F169F4">
        <w:rPr>
          <w:rFonts w:ascii="Times New Roman" w:hAnsi="Times New Roman"/>
          <w:lang w:val="lt-LT"/>
        </w:rPr>
        <w:t xml:space="preserve">jeigu Jums yra ar kada nors buvo diagnozuota </w:t>
      </w:r>
      <w:proofErr w:type="spellStart"/>
      <w:r w:rsidRPr="00F169F4">
        <w:rPr>
          <w:rFonts w:ascii="Times New Roman" w:hAnsi="Times New Roman"/>
          <w:lang w:val="lt-LT"/>
        </w:rPr>
        <w:t>meningioma</w:t>
      </w:r>
      <w:proofErr w:type="spellEnd"/>
      <w:r w:rsidRPr="00F169F4">
        <w:rPr>
          <w:rFonts w:ascii="Times New Roman" w:hAnsi="Times New Roman"/>
          <w:lang w:val="lt-LT"/>
        </w:rPr>
        <w:t xml:space="preserve"> (gerybinis smegenų dangalo, esančio tarp smegenų ir kaukolės, navikas),</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jeigu sergate išsekimo liga (liga, sukeliančia jėgos silpnėjimą ar praradimą, išskyrus neoperuojamą priešinės liaukos vėžį),</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jeigu Jūs sergate sunkia lėtine depresija,</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jeigu Jums yra ar buvo kraujotakos sutrikimas: ypač būklės, susijusios su tromboze (kraujo krešulio susidarymas) kraujagyslėse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w:t>
      </w:r>
    </w:p>
    <w:p w:rsidR="004226AB" w:rsidRPr="00F169F4" w:rsidRDefault="004226AB" w:rsidP="004226AB">
      <w:pPr>
        <w:numPr>
          <w:ilvl w:val="0"/>
          <w:numId w:val="18"/>
        </w:numPr>
        <w:spacing w:after="0" w:line="240" w:lineRule="auto"/>
        <w:ind w:left="357" w:hanging="357"/>
        <w:rPr>
          <w:rFonts w:ascii="Times New Roman" w:hAnsi="Times New Roman"/>
          <w:b/>
          <w:u w:val="single"/>
          <w:lang w:val="lt-LT"/>
        </w:rPr>
      </w:pPr>
      <w:r w:rsidRPr="00F169F4">
        <w:rPr>
          <w:rFonts w:ascii="Times New Roman" w:hAnsi="Times New Roman"/>
          <w:lang w:val="lt-LT"/>
        </w:rPr>
        <w:t xml:space="preserve">jeigu yra alergija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acetatui arba bet kuriai pagalbinei šio vaisto medžiagai (jos išvardytos 6</w:t>
      </w:r>
      <w:r>
        <w:rPr>
          <w:rFonts w:ascii="Times New Roman" w:hAnsi="Times New Roman"/>
          <w:lang w:val="lt-LT"/>
        </w:rPr>
        <w:t> </w:t>
      </w:r>
      <w:r w:rsidRPr="00F169F4">
        <w:rPr>
          <w:rFonts w:ascii="Times New Roman" w:hAnsi="Times New Roman"/>
          <w:lang w:val="lt-LT"/>
        </w:rPr>
        <w:t>skyriuje).</w:t>
      </w:r>
    </w:p>
    <w:p w:rsidR="004226AB" w:rsidRPr="00F169F4" w:rsidRDefault="004226AB" w:rsidP="004226AB">
      <w:pPr>
        <w:spacing w:after="0" w:line="240" w:lineRule="auto"/>
        <w:rPr>
          <w:rFonts w:ascii="Times New Roman" w:hAnsi="Times New Roman"/>
          <w:b/>
          <w:u w:val="single"/>
          <w:lang w:val="lt-LT"/>
        </w:rPr>
      </w:pPr>
    </w:p>
    <w:p w:rsidR="004226AB" w:rsidRPr="00F169F4" w:rsidRDefault="004226AB" w:rsidP="004226AB">
      <w:pPr>
        <w:keepNext/>
        <w:spacing w:after="0" w:line="240" w:lineRule="auto"/>
        <w:jc w:val="both"/>
        <w:outlineLvl w:val="3"/>
        <w:rPr>
          <w:rFonts w:ascii="Times New Roman" w:hAnsi="Times New Roman"/>
          <w:b/>
          <w:u w:val="single"/>
          <w:lang w:val="lt-LT"/>
        </w:rPr>
      </w:pPr>
      <w:r w:rsidRPr="00F169F4">
        <w:rPr>
          <w:rFonts w:ascii="Times New Roman" w:hAnsi="Times New Roman"/>
          <w:b/>
          <w:u w:val="single"/>
          <w:lang w:val="lt-LT"/>
        </w:rPr>
        <w:t>Įspėjimai ir atsargumo priemonės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nerekomenduojama vartoti jaunesniems kaip 18</w:t>
      </w:r>
      <w:r>
        <w:rPr>
          <w:rFonts w:ascii="Times New Roman" w:hAnsi="Times New Roman"/>
          <w:lang w:val="lt-LT"/>
        </w:rPr>
        <w:t> </w:t>
      </w:r>
      <w:r w:rsidRPr="00F169F4">
        <w:rPr>
          <w:rFonts w:ascii="Times New Roman" w:hAnsi="Times New Roman"/>
          <w:lang w:val="lt-LT"/>
        </w:rPr>
        <w:t>metų vaikams ir paaugliams, nes šiai amžiaus grupei duomenų apie saugumą ir veiksmingumą nepakanka.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negalima skirti iki brendimo pabaigos, nes tai gali turėti nepalankų poveikį augimui ir dar nesubrendusiai endokrininei funkcijai.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Jeigu sergate cukriniu diabetu, pasakykite gydytojui, nes jam (jai) gali reikti pakeisti Jūsų vaistų nuo cukrinio diabeto vartojimą.</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Šia liga sergančio ligonio sveikatą reikia stebėti ypač atidžiai gydymo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metu (taip pat žiūrėkite skyrelį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Tyrimų su gyvūnais duomenys rodo, kad didelės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dozės gali slopinti hormonus gaminančios liaukos, esančios šalia inksto, veiklą (</w:t>
      </w:r>
      <w:proofErr w:type="spellStart"/>
      <w:r w:rsidRPr="00F169F4">
        <w:rPr>
          <w:rFonts w:ascii="Times New Roman" w:hAnsi="Times New Roman"/>
          <w:lang w:val="lt-LT"/>
        </w:rPr>
        <w:t>adrenokortikalinė</w:t>
      </w:r>
      <w:proofErr w:type="spellEnd"/>
      <w:r w:rsidRPr="00F169F4">
        <w:rPr>
          <w:rFonts w:ascii="Times New Roman" w:hAnsi="Times New Roman"/>
          <w:lang w:val="lt-LT"/>
        </w:rPr>
        <w:t xml:space="preserve"> funkcija). Todėl gydymo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metu gydytojas gali atlikti kai kurių tyrimų, kad ištirtų šį poveikį.</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vartojantiems pacientams nustatyta kraujo krešulių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reiškinių), tačiau tiesioginis ryšys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nebuvo nustatytas. Pacientams, kuriems anksčiau buvo kraujo krešulių arba yra progresavęs navikas, yra padidėjusi kraujo krešulių rizika.</w:t>
      </w:r>
    </w:p>
    <w:p w:rsidR="004226AB" w:rsidRPr="00F169F4" w:rsidRDefault="004226AB" w:rsidP="004226AB">
      <w:pPr>
        <w:spacing w:after="0" w:line="240" w:lineRule="auto"/>
        <w:rPr>
          <w:rFonts w:ascii="Times New Roman" w:hAnsi="Times New Roman"/>
          <w:highlight w:val="cyan"/>
          <w:lang w:val="lt-LT"/>
        </w:rPr>
      </w:pPr>
    </w:p>
    <w:p w:rsidR="004226AB" w:rsidRPr="00F169F4" w:rsidRDefault="004226AB" w:rsidP="004226AB">
      <w:pPr>
        <w:spacing w:after="0" w:line="240" w:lineRule="auto"/>
        <w:rPr>
          <w:rFonts w:ascii="Times New Roman" w:hAnsi="Times New Roman"/>
          <w:lang w:val="lt-LT"/>
        </w:rPr>
      </w:pPr>
      <w:r>
        <w:rPr>
          <w:rFonts w:ascii="Times New Roman" w:hAnsi="Times New Roman"/>
          <w:lang w:val="lt-LT"/>
        </w:rPr>
        <w:t>Pasakykite gydytojui, jeigu J</w:t>
      </w:r>
      <w:r w:rsidRPr="00F169F4">
        <w:rPr>
          <w:rFonts w:ascii="Times New Roman" w:hAnsi="Times New Roman"/>
          <w:lang w:val="lt-LT"/>
        </w:rPr>
        <w:t xml:space="preserve">ums yra buvę kraujo krešulių arterijose ar venose, pvz. giliųjų venų trombozė, plaučių arterijos užsikimšimas </w:t>
      </w:r>
      <w:proofErr w:type="spellStart"/>
      <w:r w:rsidRPr="00F169F4">
        <w:rPr>
          <w:rFonts w:ascii="Times New Roman" w:hAnsi="Times New Roman"/>
          <w:lang w:val="lt-LT"/>
        </w:rPr>
        <w:t>embolu</w:t>
      </w:r>
      <w:proofErr w:type="spellEnd"/>
      <w:r w:rsidRPr="00F169F4">
        <w:rPr>
          <w:rFonts w:ascii="Times New Roman" w:hAnsi="Times New Roman"/>
          <w:lang w:val="lt-LT"/>
        </w:rPr>
        <w:t xml:space="preserve"> </w:t>
      </w:r>
      <w:r w:rsidRPr="00023818">
        <w:rPr>
          <w:rFonts w:ascii="Times New Roman" w:hAnsi="Times New Roman"/>
          <w:lang w:val="lt-LT"/>
        </w:rPr>
        <w:t>(</w:t>
      </w:r>
      <w:r w:rsidRPr="00F169F4">
        <w:rPr>
          <w:rFonts w:ascii="Times New Roman" w:hAnsi="Times New Roman"/>
          <w:i/>
          <w:lang w:val="lt-LT"/>
        </w:rPr>
        <w:t>plaučių embolija</w:t>
      </w:r>
      <w:r w:rsidRPr="00023818">
        <w:rPr>
          <w:rFonts w:ascii="Times New Roman" w:hAnsi="Times New Roman"/>
          <w:lang w:val="lt-LT"/>
        </w:rPr>
        <w:t>),</w:t>
      </w:r>
      <w:r w:rsidRPr="00F169F4">
        <w:rPr>
          <w:rFonts w:ascii="Times New Roman" w:hAnsi="Times New Roman"/>
          <w:lang w:val="lt-LT"/>
        </w:rPr>
        <w:t xml:space="preserve"> širdies smūgis (</w:t>
      </w:r>
      <w:r w:rsidRPr="00F169F4">
        <w:rPr>
          <w:rFonts w:ascii="Times New Roman" w:hAnsi="Times New Roman"/>
          <w:i/>
          <w:lang w:val="lt-LT"/>
        </w:rPr>
        <w:t>miokardo infarktas</w:t>
      </w:r>
      <w:r w:rsidRPr="00F169F4">
        <w:rPr>
          <w:rFonts w:ascii="Times New Roman" w:hAnsi="Times New Roman"/>
          <w:lang w:val="lt-LT"/>
        </w:rPr>
        <w:t>) ar insultas (galvos smegenų kraujagyslių komplikacija).</w:t>
      </w:r>
    </w:p>
    <w:p w:rsidR="004226AB" w:rsidRDefault="004226AB" w:rsidP="004226AB">
      <w:pPr>
        <w:spacing w:after="0" w:line="240" w:lineRule="auto"/>
        <w:rPr>
          <w:rFonts w:ascii="Times New Roman" w:hAnsi="Times New Roman"/>
          <w:lang w:val="lt-LT"/>
        </w:rPr>
      </w:pPr>
    </w:p>
    <w:p w:rsidR="004226AB" w:rsidRDefault="004226AB" w:rsidP="004226AB">
      <w:pPr>
        <w:spacing w:after="0" w:line="240" w:lineRule="auto"/>
        <w:rPr>
          <w:rFonts w:ascii="Times New Roman" w:eastAsia="Times New Roman" w:hAnsi="Times New Roman" w:cs="Times New Roman"/>
          <w:lang w:val="lt-LT"/>
        </w:rPr>
      </w:pPr>
      <w:proofErr w:type="spellStart"/>
      <w:r w:rsidRPr="002052C5">
        <w:rPr>
          <w:rFonts w:ascii="Times New Roman" w:eastAsia="Times New Roman" w:hAnsi="Times New Roman" w:cs="Times New Roman"/>
          <w:lang w:val="lt-LT"/>
        </w:rPr>
        <w:t>Ciproterono</w:t>
      </w:r>
      <w:proofErr w:type="spellEnd"/>
      <w:r w:rsidRPr="002052C5">
        <w:rPr>
          <w:rFonts w:ascii="Times New Roman" w:eastAsia="Times New Roman" w:hAnsi="Times New Roman" w:cs="Times New Roman"/>
          <w:lang w:val="lt-LT"/>
        </w:rPr>
        <w:t xml:space="preserve"> acetato vartojimas siejamas su paprastai gerybinių galvos smegenų auglių (</w:t>
      </w:r>
      <w:proofErr w:type="spellStart"/>
      <w:r w:rsidRPr="002052C5">
        <w:rPr>
          <w:rFonts w:ascii="Times New Roman" w:eastAsia="Times New Roman" w:hAnsi="Times New Roman" w:cs="Times New Roman"/>
          <w:lang w:val="lt-LT"/>
        </w:rPr>
        <w:t>meningiomų</w:t>
      </w:r>
      <w:proofErr w:type="spellEnd"/>
      <w:r w:rsidRPr="002052C5">
        <w:rPr>
          <w:rFonts w:ascii="Times New Roman" w:eastAsia="Times New Roman" w:hAnsi="Times New Roman" w:cs="Times New Roman"/>
          <w:lang w:val="lt-LT"/>
        </w:rPr>
        <w:t>) išsivystymu. Rizika didėja, ypač jeigu vaisto vartojama ilgiau (kelerius metus) arba trumpesnį laiką didelėmis (25</w:t>
      </w:r>
      <w:r>
        <w:rPr>
          <w:rFonts w:ascii="Times New Roman" w:hAnsi="Times New Roman"/>
          <w:lang w:val="lt-LT"/>
        </w:rPr>
        <w:t> </w:t>
      </w:r>
      <w:r w:rsidRPr="002052C5">
        <w:rPr>
          <w:rFonts w:ascii="Times New Roman" w:eastAsia="Times New Roman" w:hAnsi="Times New Roman" w:cs="Times New Roman"/>
          <w:lang w:val="lt-LT"/>
        </w:rPr>
        <w:t xml:space="preserve">mg per parą ir daugiau) dozėmis. Jeigu Jums nustatyta </w:t>
      </w:r>
      <w:proofErr w:type="spellStart"/>
      <w:r w:rsidRPr="002052C5">
        <w:rPr>
          <w:rFonts w:ascii="Times New Roman" w:eastAsia="Times New Roman" w:hAnsi="Times New Roman" w:cs="Times New Roman"/>
          <w:lang w:val="lt-LT"/>
        </w:rPr>
        <w:t>meningioma</w:t>
      </w:r>
      <w:proofErr w:type="spellEnd"/>
      <w:r w:rsidRPr="002052C5">
        <w:rPr>
          <w:rFonts w:ascii="Times New Roman" w:eastAsia="Times New Roman" w:hAnsi="Times New Roman" w:cs="Times New Roman"/>
          <w:lang w:val="lt-LT"/>
        </w:rPr>
        <w:t xml:space="preserve">, gydytojas nutrauks Jūsų gydymą </w:t>
      </w:r>
      <w:proofErr w:type="spellStart"/>
      <w:r w:rsidRPr="002052C5">
        <w:rPr>
          <w:rFonts w:ascii="Times New Roman" w:eastAsia="Times New Roman" w:hAnsi="Times New Roman" w:cs="Times New Roman"/>
          <w:lang w:val="lt-LT"/>
        </w:rPr>
        <w:t>ciproterono</w:t>
      </w:r>
      <w:proofErr w:type="spellEnd"/>
      <w:r w:rsidRPr="002052C5">
        <w:rPr>
          <w:rFonts w:ascii="Times New Roman" w:eastAsia="Times New Roman" w:hAnsi="Times New Roman" w:cs="Times New Roman"/>
          <w:lang w:val="lt-LT"/>
        </w:rPr>
        <w:t xml:space="preserve"> acetatu (žr. „</w:t>
      </w:r>
      <w:proofErr w:type="spellStart"/>
      <w:r>
        <w:rPr>
          <w:rFonts w:ascii="Times New Roman" w:eastAsia="Times New Roman" w:hAnsi="Times New Roman" w:cs="Times New Roman"/>
          <w:lang w:val="lt-LT"/>
        </w:rPr>
        <w:t>Androcur</w:t>
      </w:r>
      <w:proofErr w:type="spellEnd"/>
      <w:r w:rsidRPr="002052C5">
        <w:rPr>
          <w:rFonts w:ascii="Times New Roman" w:eastAsia="Times New Roman" w:hAnsi="Times New Roman" w:cs="Times New Roman"/>
          <w:lang w:val="lt-LT"/>
        </w:rPr>
        <w:t xml:space="preserve"> vartoti negalima“). Nedelsdami pasakykite savo gydytojui, jeigu pastebėjote bet kurį iš šių simptomų: regėjimo pokyčius (pvz., vaizdo dvejinimąsi arba neryškų matymą), apkurtimą arba spengimą ausyse, uoslės praradimą, laikui bėgant stiprėjantį galvos skausmą, atminties praradimą, traukulius, rankų arba kojų silpnumą.</w:t>
      </w:r>
    </w:p>
    <w:p w:rsidR="004226AB" w:rsidRDefault="004226AB" w:rsidP="004226AB">
      <w:pPr>
        <w:spacing w:after="0" w:line="240" w:lineRule="auto"/>
        <w:rPr>
          <w:rFonts w:ascii="Times New Roman" w:eastAsia="Times New Roman" w:hAnsi="Times New Roman" w:cs="Times New Roman"/>
          <w:lang w:val="lt-LT"/>
        </w:rPr>
      </w:pPr>
    </w:p>
    <w:p w:rsidR="004226AB" w:rsidDel="002B5720" w:rsidRDefault="004226AB" w:rsidP="004226AB">
      <w:pPr>
        <w:spacing w:after="0" w:line="240" w:lineRule="auto"/>
        <w:rPr>
          <w:rFonts w:ascii="Times New Roman" w:eastAsia="Times New Roman" w:hAnsi="Times New Roman" w:cs="Times New Roman"/>
          <w:lang w:val="lt-LT"/>
        </w:rPr>
      </w:pPr>
      <w:r w:rsidDel="002B5720">
        <w:rPr>
          <w:rFonts w:ascii="Times New Roman" w:eastAsia="Times New Roman" w:hAnsi="Times New Roman" w:cs="Times New Roman"/>
          <w:lang w:val="lt-LT"/>
        </w:rPr>
        <w:t>Prasidėjus menopauzei, gydytojas pakartotinai įvertins Jūsų gydymo naudos ir rizikos santykį.</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Taikoma tik moterims</w:t>
      </w:r>
    </w:p>
    <w:p w:rsidR="004226AB" w:rsidRPr="00F169F4" w:rsidRDefault="004226AB" w:rsidP="004226AB">
      <w:pPr>
        <w:spacing w:after="0" w:line="240" w:lineRule="auto"/>
        <w:rPr>
          <w:rFonts w:ascii="Times New Roman" w:hAnsi="Times New Roman"/>
          <w:b/>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Prieš pradedant gydyti</w:t>
      </w:r>
      <w:r>
        <w:rPr>
          <w:rFonts w:ascii="Times New Roman" w:hAnsi="Times New Roman"/>
          <w:lang w:val="lt-LT"/>
        </w:rPr>
        <w:t>,</w:t>
      </w:r>
      <w:r w:rsidRPr="00F169F4">
        <w:rPr>
          <w:rFonts w:ascii="Times New Roman" w:hAnsi="Times New Roman"/>
          <w:lang w:val="lt-LT"/>
        </w:rPr>
        <w:t xml:space="preserve"> turi būti kruopščiai patikrinta bendroji ir ginekologinė moters sveikata (įskaitant krūtų patikrinimą, gimdos kaklelio tepinėlio tyrimą), taip pat nustatyta, ar moteris nenėščia.</w:t>
      </w:r>
    </w:p>
    <w:p w:rsidR="004226AB" w:rsidRPr="00F169F4" w:rsidRDefault="004226AB" w:rsidP="004226AB">
      <w:pPr>
        <w:spacing w:after="0" w:line="240" w:lineRule="auto"/>
        <w:rPr>
          <w:rFonts w:ascii="Times New Roman" w:hAnsi="Times New Roman"/>
          <w:highlight w:val="yellow"/>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Jei per tris savaites, kai šis vais</w:t>
      </w:r>
      <w:r>
        <w:rPr>
          <w:rFonts w:ascii="Times New Roman" w:hAnsi="Times New Roman"/>
          <w:lang w:val="lt-LT"/>
        </w:rPr>
        <w:t xml:space="preserve">tas vartojamas kartu su </w:t>
      </w:r>
      <w:proofErr w:type="spellStart"/>
      <w:r>
        <w:rPr>
          <w:rFonts w:ascii="Times New Roman" w:hAnsi="Times New Roman"/>
          <w:lang w:val="lt-LT"/>
        </w:rPr>
        <w:t>progesta</w:t>
      </w:r>
      <w:r w:rsidRPr="00F169F4">
        <w:rPr>
          <w:rFonts w:ascii="Times New Roman" w:hAnsi="Times New Roman"/>
          <w:lang w:val="lt-LT"/>
        </w:rPr>
        <w:t>geno</w:t>
      </w:r>
      <w:proofErr w:type="spellEnd"/>
      <w:r>
        <w:rPr>
          <w:rFonts w:ascii="Times New Roman" w:hAnsi="Times New Roman"/>
          <w:lang w:val="lt-LT"/>
        </w:rPr>
        <w:t>–</w:t>
      </w:r>
      <w:r w:rsidRPr="00F169F4">
        <w:rPr>
          <w:rFonts w:ascii="Times New Roman" w:hAnsi="Times New Roman"/>
          <w:lang w:val="lt-LT"/>
        </w:rPr>
        <w:t>estrogeno kontraceptiku, nelauktai prasideda negausus kraujavimas, tabletes ir toliau vartokite, tačiau, jei kraujavimas gausus, kreipkitės į gydytoją.</w:t>
      </w:r>
    </w:p>
    <w:p w:rsidR="004226AB" w:rsidRPr="00F169F4" w:rsidRDefault="004226AB" w:rsidP="004226AB">
      <w:pPr>
        <w:spacing w:after="0" w:line="240" w:lineRule="auto"/>
        <w:rPr>
          <w:rFonts w:ascii="Times New Roman" w:hAnsi="Times New Roman"/>
          <w:highlight w:val="yellow"/>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Jei kartu būtina vartoti kontraceptines tabletes, pvz., </w:t>
      </w:r>
      <w:proofErr w:type="spellStart"/>
      <w:r w:rsidRPr="00F169F4">
        <w:rPr>
          <w:rFonts w:ascii="Times New Roman" w:hAnsi="Times New Roman"/>
          <w:lang w:val="lt-LT"/>
        </w:rPr>
        <w:t>Diane</w:t>
      </w:r>
      <w:proofErr w:type="spellEnd"/>
      <w:r w:rsidRPr="00F169F4">
        <w:rPr>
          <w:rFonts w:ascii="Times New Roman" w:hAnsi="Times New Roman"/>
          <w:lang w:val="lt-LT"/>
        </w:rPr>
        <w:t>, reikia atsižvelgti į šio vaisto pakuotės lapelyje pateikiamą informaciją.</w:t>
      </w:r>
    </w:p>
    <w:p w:rsidR="004226AB" w:rsidRPr="00F169F4" w:rsidRDefault="004226AB" w:rsidP="004226AB">
      <w:pPr>
        <w:spacing w:after="0" w:line="240" w:lineRule="auto"/>
        <w:rPr>
          <w:rFonts w:ascii="Times New Roman" w:hAnsi="Times New Roman"/>
          <w:b/>
          <w:highlight w:val="yellow"/>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Taikoma tik vyrams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Gydymo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metu yra pasireiškusi mažakraujystė. Todėl gydymo metu gydytojas gali tirti Jūsų eritrocitų skaičių.</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Pr>
          <w:rFonts w:ascii="Times New Roman" w:hAnsi="Times New Roman"/>
          <w:lang w:val="lt-LT"/>
        </w:rPr>
        <w:t>Jeigu J</w:t>
      </w:r>
      <w:r w:rsidRPr="00F169F4">
        <w:rPr>
          <w:rFonts w:ascii="Times New Roman" w:hAnsi="Times New Roman"/>
          <w:lang w:val="lt-LT"/>
        </w:rPr>
        <w:t>ums gydomas priešinės liaukos vėžy</w:t>
      </w:r>
      <w:r>
        <w:rPr>
          <w:rFonts w:ascii="Times New Roman" w:hAnsi="Times New Roman"/>
          <w:lang w:val="lt-LT"/>
        </w:rPr>
        <w:t>s, pasakykite gydytojui, jeigu J</w:t>
      </w:r>
      <w:r w:rsidRPr="00F169F4">
        <w:rPr>
          <w:rFonts w:ascii="Times New Roman" w:hAnsi="Times New Roman"/>
          <w:lang w:val="lt-LT"/>
        </w:rPr>
        <w:t>ums kada nors buvo kuri nors iš ž</w:t>
      </w:r>
      <w:r>
        <w:rPr>
          <w:rFonts w:ascii="Times New Roman" w:hAnsi="Times New Roman"/>
          <w:lang w:val="lt-LT"/>
        </w:rPr>
        <w:t>emiau išvardytų būklių, nes jis (</w:t>
      </w:r>
      <w:r w:rsidRPr="00F169F4">
        <w:rPr>
          <w:rFonts w:ascii="Times New Roman" w:hAnsi="Times New Roman"/>
          <w:lang w:val="lt-LT"/>
        </w:rPr>
        <w:t>ji</w:t>
      </w:r>
      <w:r>
        <w:rPr>
          <w:rFonts w:ascii="Times New Roman" w:hAnsi="Times New Roman"/>
          <w:lang w:val="lt-LT"/>
        </w:rPr>
        <w:t>)</w:t>
      </w:r>
      <w:r w:rsidRPr="00F169F4">
        <w:rPr>
          <w:rFonts w:ascii="Times New Roman" w:hAnsi="Times New Roman"/>
          <w:lang w:val="lt-LT"/>
        </w:rPr>
        <w:t xml:space="preserve"> turės kruopščiai įvertinti</w:t>
      </w:r>
      <w:r>
        <w:rPr>
          <w:rFonts w:ascii="Times New Roman" w:hAnsi="Times New Roman"/>
          <w:lang w:val="lt-LT"/>
        </w:rPr>
        <w:t>,</w:t>
      </w:r>
      <w:r w:rsidRPr="00F169F4">
        <w:rPr>
          <w:rFonts w:ascii="Times New Roman" w:hAnsi="Times New Roman"/>
          <w:lang w:val="lt-LT"/>
        </w:rPr>
        <w:t xml:space="preserve"> prieš nuspręsdamas paskirti </w:t>
      </w:r>
      <w:proofErr w:type="spellStart"/>
      <w:r w:rsidRPr="00F169F4">
        <w:rPr>
          <w:rFonts w:ascii="Times New Roman" w:hAnsi="Times New Roman"/>
          <w:lang w:val="lt-LT"/>
        </w:rPr>
        <w:t>Androcur</w:t>
      </w:r>
      <w:proofErr w:type="spellEnd"/>
      <w:r w:rsidRPr="00F169F4">
        <w:rPr>
          <w:rFonts w:ascii="Times New Roman" w:hAnsi="Times New Roman"/>
          <w:lang w:val="lt-LT"/>
        </w:rPr>
        <w:t>:</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r w:rsidRPr="00F169F4">
        <w:rPr>
          <w:rFonts w:ascii="Times New Roman" w:hAnsi="Times New Roman"/>
          <w:lang w:val="lt-LT"/>
        </w:rPr>
        <w:t>kraujotakos sutrikimai (ypač kraujo krešuliai),</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pjautuvinė</w:t>
      </w:r>
      <w:proofErr w:type="spellEnd"/>
      <w:r w:rsidRPr="00F169F4">
        <w:rPr>
          <w:rFonts w:ascii="Times New Roman" w:hAnsi="Times New Roman"/>
          <w:lang w:val="lt-LT"/>
        </w:rPr>
        <w:t xml:space="preserve"> mažakraujystė,</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r w:rsidRPr="00F169F4">
        <w:rPr>
          <w:rFonts w:ascii="Times New Roman" w:hAnsi="Times New Roman"/>
          <w:lang w:val="lt-LT"/>
        </w:rPr>
        <w:t>sunkus cukrinis diabetas, sukėlęs kraujagyslių pokyčių.</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Jeigu Jūs gydomas iškrypusiam lytiniam potraukiui mažinti,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poveikis gali sumažėti dėl alkoholio poveikio.</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2"/>
        <w:rPr>
          <w:rFonts w:ascii="Times New Roman" w:hAnsi="Times New Roman"/>
          <w:b/>
          <w:lang w:val="lt-LT"/>
        </w:rPr>
      </w:pPr>
      <w:r w:rsidRPr="00F169F4">
        <w:rPr>
          <w:rFonts w:ascii="Times New Roman" w:hAnsi="Times New Roman"/>
          <w:b/>
          <w:lang w:val="lt-LT"/>
        </w:rPr>
        <w:t xml:space="preserve">Kiti vaistai ir </w:t>
      </w:r>
      <w:proofErr w:type="spellStart"/>
      <w:r w:rsidRPr="00F169F4">
        <w:rPr>
          <w:rFonts w:ascii="Times New Roman" w:hAnsi="Times New Roman"/>
          <w:b/>
          <w:lang w:val="lt-LT"/>
        </w:rPr>
        <w:t>Androcur</w:t>
      </w:r>
      <w:proofErr w:type="spellEnd"/>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Jeigu vartojate ar neseniai vartojote kitų vaistų arba dėl to nesate tikri, apie tai pasakykite gydytojui arba vaistininkui.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i/>
          <w:lang w:val="lt-LT"/>
        </w:rPr>
      </w:pPr>
      <w:r w:rsidRPr="00F169F4">
        <w:rPr>
          <w:rFonts w:ascii="Times New Roman" w:hAnsi="Times New Roman"/>
          <w:lang w:val="lt-LT"/>
        </w:rPr>
        <w:t xml:space="preserve">Ypač svarbu pasakyti gydytojui, jei vartojate </w:t>
      </w:r>
      <w:proofErr w:type="spellStart"/>
      <w:r w:rsidRPr="00F169F4">
        <w:rPr>
          <w:rFonts w:ascii="Times New Roman" w:hAnsi="Times New Roman"/>
          <w:lang w:val="lt-LT"/>
        </w:rPr>
        <w:t>statinus</w:t>
      </w:r>
      <w:proofErr w:type="spellEnd"/>
      <w:r w:rsidRPr="00F169F4">
        <w:rPr>
          <w:rFonts w:ascii="Times New Roman" w:hAnsi="Times New Roman"/>
          <w:lang w:val="lt-LT"/>
        </w:rPr>
        <w:t xml:space="preserve"> (vaistus, mažinančius riebalų koncentraciją kraujyje), nes didelės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dozės gali pasunkinti tam tikrą šalutinį poveikį raumenims (</w:t>
      </w:r>
      <w:proofErr w:type="spellStart"/>
      <w:r w:rsidRPr="00F169F4">
        <w:rPr>
          <w:rFonts w:ascii="Times New Roman" w:hAnsi="Times New Roman"/>
          <w:lang w:val="lt-LT"/>
        </w:rPr>
        <w:t>miopatiją</w:t>
      </w:r>
      <w:proofErr w:type="spellEnd"/>
      <w:r w:rsidRPr="00F169F4">
        <w:rPr>
          <w:rFonts w:ascii="Times New Roman" w:hAnsi="Times New Roman"/>
          <w:lang w:val="lt-LT"/>
        </w:rPr>
        <w:t xml:space="preserve"> ar </w:t>
      </w:r>
      <w:proofErr w:type="spellStart"/>
      <w:r w:rsidRPr="00F169F4">
        <w:rPr>
          <w:rFonts w:ascii="Times New Roman" w:hAnsi="Times New Roman"/>
          <w:lang w:val="lt-LT"/>
        </w:rPr>
        <w:t>rabdomiolizę</w:t>
      </w:r>
      <w:proofErr w:type="spellEnd"/>
      <w:r w:rsidRPr="00F169F4">
        <w:rPr>
          <w:rFonts w:ascii="Times New Roman" w:hAnsi="Times New Roman"/>
          <w:lang w:val="lt-LT"/>
        </w:rPr>
        <w:t>),</w:t>
      </w:r>
      <w:r w:rsidRPr="00F169F4">
        <w:rPr>
          <w:rFonts w:ascii="Times New Roman" w:hAnsi="Times New Roman"/>
          <w:i/>
          <w:lang w:val="lt-LT"/>
        </w:rPr>
        <w:t xml:space="preserve"> </w:t>
      </w:r>
      <w:r w:rsidRPr="00F169F4">
        <w:rPr>
          <w:rFonts w:ascii="Times New Roman" w:hAnsi="Times New Roman"/>
          <w:lang w:val="lt-LT"/>
        </w:rPr>
        <w:t xml:space="preserve">kuris gali pasireikšti gydant </w:t>
      </w:r>
      <w:proofErr w:type="spellStart"/>
      <w:r w:rsidRPr="00F169F4">
        <w:rPr>
          <w:rFonts w:ascii="Times New Roman" w:hAnsi="Times New Roman"/>
          <w:lang w:val="lt-LT"/>
        </w:rPr>
        <w:t>statinais</w:t>
      </w:r>
      <w:proofErr w:type="spellEnd"/>
      <w:r w:rsidRPr="00F169F4">
        <w:rPr>
          <w:rFonts w:ascii="Times New Roman" w:hAnsi="Times New Roman"/>
          <w:lang w:val="lt-LT"/>
        </w:rPr>
        <w:t>.</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Taip pat pasakykite gydytojui, jei vartojate kitų vaistų, kurie gali paveikti kepenis, pvz.:</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ketakonazolo</w:t>
      </w:r>
      <w:proofErr w:type="spellEnd"/>
      <w:r w:rsidRPr="00F169F4">
        <w:rPr>
          <w:rFonts w:ascii="Times New Roman" w:hAnsi="Times New Roman"/>
          <w:lang w:val="lt-LT"/>
        </w:rPr>
        <w:t xml:space="preserve">, </w:t>
      </w:r>
      <w:proofErr w:type="spellStart"/>
      <w:r w:rsidRPr="00F169F4">
        <w:rPr>
          <w:rFonts w:ascii="Times New Roman" w:hAnsi="Times New Roman"/>
          <w:lang w:val="lt-LT"/>
        </w:rPr>
        <w:t>itrakonazolo</w:t>
      </w:r>
      <w:proofErr w:type="spellEnd"/>
      <w:r w:rsidRPr="00F169F4">
        <w:rPr>
          <w:rFonts w:ascii="Times New Roman" w:hAnsi="Times New Roman"/>
          <w:lang w:val="lt-LT"/>
        </w:rPr>
        <w:t xml:space="preserve">, </w:t>
      </w:r>
      <w:proofErr w:type="spellStart"/>
      <w:r w:rsidRPr="00F169F4">
        <w:rPr>
          <w:rFonts w:ascii="Times New Roman" w:hAnsi="Times New Roman"/>
          <w:lang w:val="lt-LT"/>
        </w:rPr>
        <w:t>klotrimazolo</w:t>
      </w:r>
      <w:proofErr w:type="spellEnd"/>
      <w:r w:rsidRPr="00F169F4">
        <w:rPr>
          <w:rFonts w:ascii="Times New Roman" w:hAnsi="Times New Roman"/>
          <w:lang w:val="lt-LT"/>
        </w:rPr>
        <w:t xml:space="preserve"> (nuo grybelinių infekcijų);</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ritonaviro</w:t>
      </w:r>
      <w:proofErr w:type="spellEnd"/>
      <w:r w:rsidRPr="00F169F4">
        <w:rPr>
          <w:rFonts w:ascii="Times New Roman" w:hAnsi="Times New Roman"/>
          <w:lang w:val="lt-LT"/>
        </w:rPr>
        <w:t xml:space="preserve"> (nuo virusinių infekcijų);</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rifampicino</w:t>
      </w:r>
      <w:proofErr w:type="spellEnd"/>
      <w:r w:rsidRPr="00F169F4">
        <w:rPr>
          <w:rFonts w:ascii="Times New Roman" w:hAnsi="Times New Roman"/>
          <w:lang w:val="lt-LT"/>
        </w:rPr>
        <w:t xml:space="preserve"> (nuo tuberkuliozės);</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proofErr w:type="spellStart"/>
      <w:r w:rsidRPr="00F169F4">
        <w:rPr>
          <w:rFonts w:ascii="Times New Roman" w:hAnsi="Times New Roman"/>
          <w:lang w:val="lt-LT"/>
        </w:rPr>
        <w:t>fenitoino</w:t>
      </w:r>
      <w:proofErr w:type="spellEnd"/>
      <w:r w:rsidRPr="00F169F4">
        <w:rPr>
          <w:rFonts w:ascii="Times New Roman" w:hAnsi="Times New Roman"/>
          <w:lang w:val="lt-LT"/>
        </w:rPr>
        <w:t xml:space="preserve"> (nuo epilepsijos);</w:t>
      </w:r>
    </w:p>
    <w:p w:rsidR="004226AB" w:rsidRPr="00F169F4" w:rsidRDefault="004226AB" w:rsidP="004226AB">
      <w:pPr>
        <w:numPr>
          <w:ilvl w:val="1"/>
          <w:numId w:val="7"/>
        </w:numPr>
        <w:tabs>
          <w:tab w:val="num" w:pos="480"/>
        </w:tabs>
        <w:spacing w:after="0" w:line="240" w:lineRule="auto"/>
        <w:ind w:hanging="1800"/>
        <w:rPr>
          <w:rFonts w:ascii="Times New Roman" w:hAnsi="Times New Roman"/>
          <w:lang w:val="lt-LT"/>
        </w:rPr>
      </w:pPr>
      <w:r w:rsidRPr="00F169F4">
        <w:rPr>
          <w:rFonts w:ascii="Times New Roman" w:hAnsi="Times New Roman"/>
          <w:lang w:val="lt-LT"/>
        </w:rPr>
        <w:t>vaistažolių, kurių sudėtyje yra jonažolės.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Didelės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dozės (100 mg 3</w:t>
      </w:r>
      <w:r>
        <w:rPr>
          <w:rFonts w:ascii="Times New Roman" w:hAnsi="Times New Roman"/>
          <w:lang w:val="lt-LT"/>
        </w:rPr>
        <w:t> </w:t>
      </w:r>
      <w:r w:rsidRPr="00F169F4">
        <w:rPr>
          <w:rFonts w:ascii="Times New Roman" w:hAnsi="Times New Roman"/>
          <w:lang w:val="lt-LT"/>
        </w:rPr>
        <w:t>kartus per parą) gali blokuoti tam tikrus kepenų fermentus, kas gali turėti įtakos kitų vaistų poveikiui.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ind w:left="720" w:hanging="720"/>
        <w:rPr>
          <w:rFonts w:ascii="Times New Roman" w:hAnsi="Times New Roman"/>
          <w:b/>
          <w:lang w:val="lt-LT"/>
        </w:rPr>
      </w:pPr>
      <w:r w:rsidRPr="00F169F4">
        <w:rPr>
          <w:rFonts w:ascii="Times New Roman" w:hAnsi="Times New Roman"/>
          <w:b/>
          <w:lang w:val="lt-LT"/>
        </w:rPr>
        <w:t>Nėštumas, žindymo laikotarpis ir vaisingumas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Nėštumo ir žindymo laikotarpiu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2"/>
        <w:rPr>
          <w:rFonts w:ascii="Times New Roman" w:hAnsi="Times New Roman"/>
          <w:b/>
          <w:lang w:val="lt-LT"/>
        </w:rPr>
      </w:pPr>
      <w:r w:rsidRPr="00F169F4">
        <w:rPr>
          <w:rFonts w:ascii="Times New Roman" w:hAnsi="Times New Roman"/>
          <w:b/>
          <w:lang w:val="lt-LT"/>
        </w:rPr>
        <w:t>Vairavimas ir mechanizmų valdymas</w:t>
      </w: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gali kelti nuovargį, mažinti žvalumą ir gebėjimą susikaupti.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20" w:lineRule="exact"/>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sudėtyje yra laktozės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Vienoje tabletėje yra </w:t>
      </w:r>
      <w:r>
        <w:rPr>
          <w:rFonts w:ascii="Times New Roman" w:eastAsia="Times New Roman" w:hAnsi="Times New Roman" w:cs="Times New Roman"/>
          <w:lang w:val="lt-LT"/>
        </w:rPr>
        <w:t>108,75</w:t>
      </w:r>
      <w:r w:rsidRPr="00F169F4">
        <w:rPr>
          <w:rFonts w:ascii="Times New Roman" w:hAnsi="Times New Roman"/>
          <w:lang w:val="lt-LT"/>
        </w:rPr>
        <w:t> mg laktozės. Jeigu gydytojas jums yra sakęs, kad netoleruojate kokių nors angliavandenių, kreipkitės į jį prieš pradėdami vartoti šį vaistą.</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p>
    <w:p w:rsidR="004226AB" w:rsidRPr="00F169F4" w:rsidRDefault="004226AB" w:rsidP="004226AB">
      <w:pPr>
        <w:keepNext/>
        <w:spacing w:after="0" w:line="240" w:lineRule="auto"/>
        <w:outlineLvl w:val="1"/>
        <w:rPr>
          <w:rFonts w:ascii="Times New Roman" w:hAnsi="Times New Roman"/>
          <w:b/>
          <w:lang w:val="lt-LT"/>
        </w:rPr>
      </w:pPr>
      <w:r w:rsidRPr="00F169F4">
        <w:rPr>
          <w:rFonts w:ascii="Times New Roman" w:hAnsi="Times New Roman"/>
          <w:b/>
          <w:lang w:val="lt-LT"/>
        </w:rPr>
        <w:t>3.</w:t>
      </w:r>
      <w:r w:rsidRPr="00F169F4">
        <w:rPr>
          <w:rFonts w:ascii="Times New Roman" w:hAnsi="Times New Roman"/>
          <w:b/>
          <w:lang w:val="lt-LT"/>
        </w:rPr>
        <w:tab/>
        <w:t xml:space="preserve">Kaip vartoti </w:t>
      </w:r>
      <w:proofErr w:type="spellStart"/>
      <w:r w:rsidRPr="00F169F4">
        <w:rPr>
          <w:rFonts w:ascii="Times New Roman" w:hAnsi="Times New Roman"/>
          <w:b/>
          <w:lang w:val="lt-LT"/>
        </w:rPr>
        <w:t>Androcur</w:t>
      </w:r>
      <w:proofErr w:type="spellEnd"/>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lang w:val="lt-LT"/>
        </w:rPr>
      </w:pPr>
      <w:r w:rsidRPr="00F169F4">
        <w:rPr>
          <w:rFonts w:ascii="Times New Roman" w:hAnsi="Times New Roman"/>
          <w:lang w:val="lt-LT"/>
        </w:rPr>
        <w:t>Visada vartokite šį vaistą tiksliai kaip nurodė gydytojas arba vaistininkas. Jeigu abejojate, kreipkitės į gydytoją arba vaistininką.</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Tabletė</w:t>
      </w:r>
      <w:r>
        <w:rPr>
          <w:rFonts w:ascii="Times New Roman" w:hAnsi="Times New Roman"/>
          <w:lang w:val="lt-LT"/>
        </w:rPr>
        <w:t>s vartokite po valgio, užgerdami</w:t>
      </w:r>
      <w:r w:rsidRPr="00F169F4">
        <w:rPr>
          <w:rFonts w:ascii="Times New Roman" w:hAnsi="Times New Roman"/>
          <w:lang w:val="lt-LT"/>
        </w:rPr>
        <w:t xml:space="preserve"> trupučiu skysčio.</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ind w:left="567" w:hanging="567"/>
        <w:outlineLvl w:val="0"/>
        <w:rPr>
          <w:rFonts w:ascii="Times New Roman" w:hAnsi="Times New Roman"/>
          <w:i/>
          <w:lang w:val="lt-LT"/>
        </w:rPr>
      </w:pPr>
      <w:r w:rsidRPr="00F169F4">
        <w:rPr>
          <w:rFonts w:ascii="Times New Roman" w:hAnsi="Times New Roman"/>
          <w:i/>
          <w:lang w:val="lt-LT"/>
        </w:rPr>
        <w:t>Dozavimas moterims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Rekomenduojama dozė yra:</w:t>
      </w:r>
    </w:p>
    <w:p w:rsidR="004226AB" w:rsidRPr="00F169F4" w:rsidRDefault="004226AB" w:rsidP="004226AB">
      <w:pPr>
        <w:spacing w:after="0" w:line="240" w:lineRule="auto"/>
        <w:ind w:left="567" w:hanging="567"/>
        <w:rPr>
          <w:rFonts w:ascii="Times New Roman" w:hAnsi="Times New Roman"/>
          <w:u w:val="single"/>
          <w:lang w:val="lt-LT"/>
        </w:rPr>
      </w:pPr>
      <w:r w:rsidRPr="00F169F4">
        <w:rPr>
          <w:rFonts w:ascii="Times New Roman" w:hAnsi="Times New Roman"/>
          <w:lang w:val="lt-LT"/>
        </w:rPr>
        <w:sym w:font="Symbol" w:char="F0B7"/>
      </w:r>
      <w:r w:rsidRPr="00F169F4">
        <w:rPr>
          <w:rFonts w:ascii="Times New Roman" w:hAnsi="Times New Roman"/>
          <w:lang w:val="lt-LT"/>
        </w:rPr>
        <w:tab/>
      </w:r>
      <w:r w:rsidRPr="00F169F4">
        <w:rPr>
          <w:rFonts w:ascii="Times New Roman" w:hAnsi="Times New Roman"/>
          <w:u w:val="single"/>
          <w:lang w:val="lt-LT"/>
        </w:rPr>
        <w:t>Vaisingo amžiaus moterims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Nėščioms moterims negalima vartoti </w:t>
      </w:r>
      <w:proofErr w:type="spellStart"/>
      <w:r w:rsidRPr="00F169F4">
        <w:rPr>
          <w:rFonts w:ascii="Times New Roman" w:hAnsi="Times New Roman"/>
          <w:lang w:val="lt-LT"/>
        </w:rPr>
        <w:t>Androcur</w:t>
      </w:r>
      <w:proofErr w:type="spellEnd"/>
      <w:r w:rsidRPr="00F169F4">
        <w:rPr>
          <w:rFonts w:ascii="Times New Roman" w:hAnsi="Times New Roman"/>
          <w:lang w:val="lt-LT"/>
        </w:rPr>
        <w:t>, todėl prieš gydymą reikia įsitikinti, ar nesate pastojusi.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Gydymas pradedamas pirmąją ciklo (t.</w:t>
      </w:r>
      <w:r>
        <w:rPr>
          <w:rFonts w:ascii="Times New Roman" w:hAnsi="Times New Roman"/>
          <w:lang w:val="lt-LT"/>
        </w:rPr>
        <w:t> </w:t>
      </w:r>
      <w:r w:rsidRPr="00F169F4">
        <w:rPr>
          <w:rFonts w:ascii="Times New Roman" w:hAnsi="Times New Roman"/>
          <w:lang w:val="lt-LT"/>
        </w:rPr>
        <w:t xml:space="preserve">y. pirmąją kraujavimo) dieną. Tik mėnesinių nebuvimu (amenorėja) sergančios moterys gali pradėti vartoti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bet kada. Jų pirmoji gydymo diena bus vertinama kaip pirmoji ciklo diena, paskui laikomasi toliau pateikiamų rekomendacijų.</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Nuo pirmosios iki dešimtosios ciklo dienos (10</w:t>
      </w:r>
      <w:r>
        <w:rPr>
          <w:rFonts w:ascii="Times New Roman" w:hAnsi="Times New Roman"/>
          <w:lang w:val="lt-LT"/>
        </w:rPr>
        <w:t> </w:t>
      </w:r>
      <w:r w:rsidRPr="00F169F4">
        <w:rPr>
          <w:rFonts w:ascii="Times New Roman" w:hAnsi="Times New Roman"/>
          <w:lang w:val="lt-LT"/>
        </w:rPr>
        <w:t>dienų) du kartus per parą geriama viena tabletė. Be to, nėštumui išvengti ir ciklui stabilizuoti nuo 1</w:t>
      </w:r>
      <w:r>
        <w:rPr>
          <w:rFonts w:ascii="Times New Roman" w:hAnsi="Times New Roman"/>
          <w:lang w:val="lt-LT"/>
        </w:rPr>
        <w:t>–</w:t>
      </w:r>
      <w:proofErr w:type="spellStart"/>
      <w:r w:rsidRPr="00F169F4">
        <w:rPr>
          <w:rFonts w:ascii="Times New Roman" w:hAnsi="Times New Roman"/>
          <w:lang w:val="lt-LT"/>
        </w:rPr>
        <w:t>osios</w:t>
      </w:r>
      <w:proofErr w:type="spellEnd"/>
      <w:r w:rsidRPr="00F169F4">
        <w:rPr>
          <w:rFonts w:ascii="Times New Roman" w:hAnsi="Times New Roman"/>
          <w:lang w:val="lt-LT"/>
        </w:rPr>
        <w:t xml:space="preserve"> iki 21</w:t>
      </w:r>
      <w:r>
        <w:rPr>
          <w:rFonts w:ascii="Times New Roman" w:hAnsi="Times New Roman"/>
          <w:lang w:val="lt-LT"/>
        </w:rPr>
        <w:t>–</w:t>
      </w:r>
      <w:proofErr w:type="spellStart"/>
      <w:r w:rsidRPr="00F169F4">
        <w:rPr>
          <w:rFonts w:ascii="Times New Roman" w:hAnsi="Times New Roman"/>
          <w:lang w:val="lt-LT"/>
        </w:rPr>
        <w:t>osios</w:t>
      </w:r>
      <w:proofErr w:type="spellEnd"/>
      <w:r w:rsidRPr="00F169F4">
        <w:rPr>
          <w:rFonts w:ascii="Times New Roman" w:hAnsi="Times New Roman"/>
          <w:lang w:val="lt-LT"/>
        </w:rPr>
        <w:t xml:space="preserve"> cikl</w:t>
      </w:r>
      <w:r>
        <w:rPr>
          <w:rFonts w:ascii="Times New Roman" w:hAnsi="Times New Roman"/>
          <w:lang w:val="lt-LT"/>
        </w:rPr>
        <w:t xml:space="preserve">o dienos galima vartoti </w:t>
      </w:r>
      <w:proofErr w:type="spellStart"/>
      <w:r>
        <w:rPr>
          <w:rFonts w:ascii="Times New Roman" w:hAnsi="Times New Roman"/>
          <w:lang w:val="lt-LT"/>
        </w:rPr>
        <w:t>progesta</w:t>
      </w:r>
      <w:r w:rsidRPr="00F169F4">
        <w:rPr>
          <w:rFonts w:ascii="Times New Roman" w:hAnsi="Times New Roman"/>
          <w:lang w:val="lt-LT"/>
        </w:rPr>
        <w:t>geno</w:t>
      </w:r>
      <w:proofErr w:type="spellEnd"/>
      <w:r>
        <w:rPr>
          <w:rFonts w:ascii="Times New Roman" w:hAnsi="Times New Roman"/>
          <w:lang w:val="lt-LT"/>
        </w:rPr>
        <w:t>–</w:t>
      </w:r>
      <w:r w:rsidRPr="00F169F4">
        <w:rPr>
          <w:rFonts w:ascii="Times New Roman" w:hAnsi="Times New Roman"/>
          <w:lang w:val="lt-LT"/>
        </w:rPr>
        <w:t xml:space="preserve">estrogeno tabletes, pavyzdžiui, </w:t>
      </w:r>
      <w:proofErr w:type="spellStart"/>
      <w:r w:rsidRPr="00F169F4">
        <w:rPr>
          <w:rFonts w:ascii="Times New Roman" w:hAnsi="Times New Roman"/>
          <w:lang w:val="lt-LT"/>
        </w:rPr>
        <w:t>Diane</w:t>
      </w:r>
      <w:proofErr w:type="spellEnd"/>
      <w:r w:rsidRPr="00F169F4">
        <w:rPr>
          <w:rFonts w:ascii="Times New Roman" w:hAnsi="Times New Roman"/>
          <w:lang w:val="lt-LT"/>
        </w:rPr>
        <w:t>.</w:t>
      </w:r>
    </w:p>
    <w:p w:rsidR="004226AB" w:rsidRPr="00F169F4" w:rsidRDefault="004226AB" w:rsidP="004226AB">
      <w:pPr>
        <w:spacing w:after="0" w:line="240" w:lineRule="auto"/>
        <w:rPr>
          <w:rFonts w:ascii="Times New Roman" w:hAnsi="Times New Roman"/>
          <w:highlight w:val="yellow"/>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Pav.</w:t>
      </w:r>
    </w:p>
    <w:p w:rsidR="004226AB" w:rsidRPr="00F169F4" w:rsidRDefault="004226AB" w:rsidP="004226AB">
      <w:pPr>
        <w:spacing w:after="0" w:line="240" w:lineRule="auto"/>
        <w:rPr>
          <w:rFonts w:ascii="Times New Roman" w:hAnsi="Times New Roman"/>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12"/>
        <w:gridCol w:w="1798"/>
        <w:gridCol w:w="1843"/>
        <w:gridCol w:w="425"/>
        <w:gridCol w:w="1191"/>
        <w:gridCol w:w="794"/>
      </w:tblGrid>
      <w:tr w:rsidR="004226AB" w:rsidRPr="00282980" w:rsidTr="00140520">
        <w:trPr>
          <w:cantSplit/>
        </w:trPr>
        <w:tc>
          <w:tcPr>
            <w:tcW w:w="7905" w:type="dxa"/>
            <w:gridSpan w:val="7"/>
          </w:tcPr>
          <w:p w:rsidR="004226AB" w:rsidRPr="00F169F4" w:rsidRDefault="004226AB" w:rsidP="00140520">
            <w:pPr>
              <w:spacing w:after="0" w:line="240" w:lineRule="auto"/>
              <w:rPr>
                <w:rFonts w:ascii="Times New Roman" w:hAnsi="Times New Roman"/>
                <w:lang w:val="lt-LT"/>
              </w:rPr>
            </w:pPr>
            <w:r w:rsidRPr="00F169F4">
              <w:rPr>
                <w:rFonts w:ascii="Times New Roman" w:hAnsi="Times New Roman"/>
                <w:lang w:val="lt-LT"/>
              </w:rPr>
              <w:t>Tablečių vartojimo diena</w:t>
            </w:r>
          </w:p>
          <w:p w:rsidR="004226AB" w:rsidRPr="00F169F4" w:rsidRDefault="004226AB" w:rsidP="00140520">
            <w:pPr>
              <w:spacing w:after="0" w:line="240" w:lineRule="auto"/>
              <w:rPr>
                <w:rFonts w:ascii="Times New Roman" w:hAnsi="Times New Roman"/>
                <w:lang w:val="lt-LT"/>
              </w:rPr>
            </w:pPr>
            <w:r w:rsidRPr="00F169F4">
              <w:rPr>
                <w:rFonts w:ascii="Times New Roman" w:hAnsi="Times New Roman"/>
                <w:lang w:val="lt-LT"/>
              </w:rPr>
              <w:t>1</w:t>
            </w:r>
            <w:r w:rsidRPr="00F169F4">
              <w:rPr>
                <w:rFonts w:ascii="Times New Roman" w:hAnsi="Times New Roman"/>
                <w:lang w:val="lt-LT"/>
              </w:rPr>
              <w:tab/>
            </w:r>
            <w:r w:rsidRPr="00F169F4">
              <w:rPr>
                <w:rFonts w:ascii="Times New Roman" w:hAnsi="Times New Roman"/>
                <w:lang w:val="lt-LT"/>
              </w:rPr>
              <w:tab/>
            </w:r>
            <w:r w:rsidRPr="00F169F4">
              <w:rPr>
                <w:rFonts w:ascii="Times New Roman" w:hAnsi="Times New Roman"/>
                <w:lang w:val="lt-LT"/>
              </w:rPr>
              <w:tab/>
              <w:t xml:space="preserve">   10</w:t>
            </w:r>
            <w:r w:rsidRPr="00F169F4">
              <w:rPr>
                <w:rFonts w:ascii="Times New Roman" w:hAnsi="Times New Roman"/>
                <w:lang w:val="lt-LT"/>
              </w:rPr>
              <w:tab/>
            </w:r>
            <w:r w:rsidRPr="00F169F4">
              <w:rPr>
                <w:rFonts w:ascii="Times New Roman" w:hAnsi="Times New Roman"/>
                <w:lang w:val="lt-LT"/>
              </w:rPr>
              <w:tab/>
            </w:r>
            <w:r w:rsidRPr="00F169F4">
              <w:rPr>
                <w:rFonts w:ascii="Times New Roman" w:hAnsi="Times New Roman"/>
                <w:lang w:val="lt-LT"/>
              </w:rPr>
              <w:tab/>
            </w:r>
            <w:r w:rsidRPr="00F169F4">
              <w:rPr>
                <w:rFonts w:ascii="Times New Roman" w:hAnsi="Times New Roman"/>
                <w:lang w:val="lt-LT"/>
              </w:rPr>
              <w:tab/>
              <w:t>21</w:t>
            </w:r>
          </w:p>
        </w:tc>
      </w:tr>
      <w:tr w:rsidR="004226AB" w:rsidRPr="00282980" w:rsidTr="001405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29"/>
        </w:trPr>
        <w:tc>
          <w:tcPr>
            <w:tcW w:w="1854" w:type="dxa"/>
            <w:gridSpan w:val="2"/>
          </w:tcPr>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rsidR="004226AB" w:rsidRPr="00647616" w:rsidRDefault="004226AB" w:rsidP="00140520">
            <w:pPr>
              <w:spacing w:after="0" w:line="240" w:lineRule="auto"/>
              <w:rPr>
                <w:rFonts w:ascii="Times New Roman" w:hAnsi="Times New Roman"/>
                <w:lang w:val="lt-LT"/>
              </w:rPr>
            </w:pPr>
          </w:p>
          <w:p w:rsidR="004226AB" w:rsidRPr="00647616" w:rsidRDefault="004226AB" w:rsidP="00140520">
            <w:pPr>
              <w:spacing w:after="0" w:line="240" w:lineRule="auto"/>
              <w:rPr>
                <w:rFonts w:ascii="Times New Roman" w:hAnsi="Times New Roman"/>
                <w:highlight w:val="yellow"/>
                <w:lang w:val="lt-LT"/>
              </w:rPr>
            </w:pP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p>
        </w:tc>
        <w:tc>
          <w:tcPr>
            <w:tcW w:w="1798" w:type="dxa"/>
          </w:tcPr>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r w:rsidRPr="00647616">
              <w:rPr>
                <w:rFonts w:ascii="Times New Roman" w:hAnsi="Times New Roman"/>
                <w:lang w:val="lt-LT"/>
              </w:rPr>
              <w:sym w:font="Marlett" w:char="F06E"/>
            </w:r>
          </w:p>
          <w:p w:rsidR="004226AB" w:rsidRPr="00647616" w:rsidRDefault="004226AB" w:rsidP="00140520">
            <w:pPr>
              <w:spacing w:after="0" w:line="240" w:lineRule="auto"/>
              <w:rPr>
                <w:rFonts w:ascii="Times New Roman" w:hAnsi="Times New Roman"/>
                <w:lang w:val="lt-LT"/>
              </w:rPr>
            </w:pPr>
          </w:p>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p>
        </w:tc>
        <w:tc>
          <w:tcPr>
            <w:tcW w:w="1843" w:type="dxa"/>
          </w:tcPr>
          <w:p w:rsidR="004226AB" w:rsidRPr="00647616" w:rsidRDefault="004226AB" w:rsidP="00140520">
            <w:pPr>
              <w:spacing w:after="0" w:line="240" w:lineRule="auto"/>
              <w:rPr>
                <w:rFonts w:ascii="Times New Roman" w:hAnsi="Times New Roman"/>
                <w:lang w:val="lt-LT"/>
              </w:rPr>
            </w:pPr>
          </w:p>
          <w:p w:rsidR="004226AB" w:rsidRPr="00647616" w:rsidRDefault="004226AB" w:rsidP="00140520">
            <w:pPr>
              <w:spacing w:after="0" w:line="240" w:lineRule="auto"/>
              <w:rPr>
                <w:rFonts w:ascii="Times New Roman" w:hAnsi="Times New Roman"/>
                <w:lang w:val="lt-LT"/>
              </w:rPr>
            </w:pPr>
          </w:p>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r w:rsidRPr="00647616">
              <w:rPr>
                <w:rFonts w:ascii="Times New Roman" w:hAnsi="Times New Roman"/>
                <w:lang w:val="lt-LT"/>
              </w:rPr>
              <w:sym w:font="Wingdings" w:char="F06D"/>
            </w:r>
          </w:p>
        </w:tc>
        <w:tc>
          <w:tcPr>
            <w:tcW w:w="1616" w:type="dxa"/>
            <w:gridSpan w:val="2"/>
          </w:tcPr>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t>7</w:t>
            </w:r>
            <w:r>
              <w:rPr>
                <w:rFonts w:ascii="Times New Roman" w:hAnsi="Times New Roman"/>
                <w:lang w:val="lt-LT"/>
              </w:rPr>
              <w:t> </w:t>
            </w:r>
            <w:r w:rsidRPr="00647616">
              <w:rPr>
                <w:rFonts w:ascii="Times New Roman" w:hAnsi="Times New Roman"/>
                <w:lang w:val="lt-LT"/>
              </w:rPr>
              <w:t>dienų pertrauka</w:t>
            </w:r>
          </w:p>
        </w:tc>
        <w:tc>
          <w:tcPr>
            <w:tcW w:w="794" w:type="dxa"/>
          </w:tcPr>
          <w:p w:rsidR="004226AB" w:rsidRPr="00647616" w:rsidRDefault="004226AB" w:rsidP="00140520">
            <w:pPr>
              <w:spacing w:after="0" w:line="240" w:lineRule="auto"/>
              <w:rPr>
                <w:rFonts w:ascii="Times New Roman" w:hAnsi="Times New Roman"/>
                <w:lang w:val="lt-LT"/>
              </w:rPr>
            </w:pPr>
            <w:r w:rsidRPr="00647616">
              <w:rPr>
                <w:rFonts w:ascii="Times New Roman" w:hAnsi="Times New Roman"/>
                <w:noProof/>
                <w:lang w:val="lt-LT" w:eastAsia="lt-LT"/>
              </w:rPr>
              <mc:AlternateContent>
                <mc:Choice Requires="wps">
                  <w:drawing>
                    <wp:anchor distT="0" distB="0" distL="114300" distR="114300" simplePos="0" relativeHeight="251659264" behindDoc="0" locked="0" layoutInCell="1" allowOverlap="1" wp14:anchorId="463A072E" wp14:editId="3B323911">
                      <wp:simplePos x="0" y="0"/>
                      <wp:positionH relativeFrom="column">
                        <wp:posOffset>317500</wp:posOffset>
                      </wp:positionH>
                      <wp:positionV relativeFrom="paragraph">
                        <wp:posOffset>116840</wp:posOffset>
                      </wp:positionV>
                      <wp:extent cx="125730" cy="6477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 cy="64770"/>
                              </a:xfrm>
                              <a:prstGeom prst="triangle">
                                <a:avLst>
                                  <a:gd name="adj" fmla="val 50000"/>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255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5pt;margin-top:9.2pt;width:9.9pt;height:5.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" fillcolor="#330"/>
                  </w:pict>
                </mc:Fallback>
              </mc:AlternateContent>
            </w:r>
            <w:r w:rsidRPr="00647616">
              <w:rPr>
                <w:rFonts w:ascii="Times New Roman" w:hAnsi="Times New Roman"/>
                <w:lang w:val="lt-LT"/>
              </w:rPr>
              <w:sym w:font="Marlett" w:char="F06E"/>
            </w:r>
            <w:r w:rsidRPr="00647616">
              <w:rPr>
                <w:rFonts w:ascii="Times New Roman" w:hAnsi="Times New Roman"/>
                <w:lang w:val="lt-LT"/>
              </w:rPr>
              <w:sym w:font="Marlett" w:char="F06E"/>
            </w:r>
          </w:p>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sym w:font="Marlett" w:char="F06E"/>
            </w:r>
            <w:r w:rsidRPr="00647616">
              <w:rPr>
                <w:rFonts w:ascii="Times New Roman" w:hAnsi="Times New Roman"/>
                <w:lang w:val="lt-LT"/>
              </w:rPr>
              <w:sym w:font="Marlett" w:char="F06E"/>
            </w:r>
          </w:p>
          <w:p w:rsidR="004226AB" w:rsidRPr="00647616" w:rsidRDefault="004226AB" w:rsidP="00140520">
            <w:pPr>
              <w:spacing w:after="0" w:line="240" w:lineRule="auto"/>
              <w:rPr>
                <w:rFonts w:ascii="Times New Roman" w:hAnsi="Times New Roman"/>
                <w:lang w:val="lt-LT"/>
              </w:rPr>
            </w:pPr>
          </w:p>
          <w:p w:rsidR="004226AB" w:rsidRPr="00647616" w:rsidRDefault="004226AB" w:rsidP="00140520">
            <w:pPr>
              <w:spacing w:after="0" w:line="240" w:lineRule="auto"/>
              <w:rPr>
                <w:rFonts w:ascii="Times New Roman" w:hAnsi="Times New Roman"/>
                <w:highlight w:val="yellow"/>
                <w:lang w:val="lt-LT"/>
              </w:rPr>
            </w:pPr>
            <w:r w:rsidRPr="00647616">
              <w:rPr>
                <w:rFonts w:ascii="Times New Roman" w:hAnsi="Times New Roman"/>
                <w:noProof/>
                <w:lang w:val="lt-LT" w:eastAsia="lt-LT"/>
              </w:rPr>
              <mc:AlternateContent>
                <mc:Choice Requires="wps">
                  <w:drawing>
                    <wp:anchor distT="0" distB="0" distL="114300" distR="114300" simplePos="0" relativeHeight="251660288" behindDoc="0" locked="0" layoutInCell="1" allowOverlap="1" wp14:anchorId="10C41459" wp14:editId="4D4D65A2">
                      <wp:simplePos x="0" y="0"/>
                      <wp:positionH relativeFrom="column">
                        <wp:posOffset>312420</wp:posOffset>
                      </wp:positionH>
                      <wp:positionV relativeFrom="paragraph">
                        <wp:posOffset>31750</wp:posOffset>
                      </wp:positionV>
                      <wp:extent cx="125730" cy="64770"/>
                      <wp:effectExtent l="0" t="0" r="0" b="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5730" cy="64770"/>
                              </a:xfrm>
                              <a:prstGeom prst="triangle">
                                <a:avLst>
                                  <a:gd name="adj" fmla="val 50000"/>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55E3" id="Isosceles Triangle 1" o:spid="_x0000_s1026" type="#_x0000_t5" style="position:absolute;margin-left:24.6pt;margin-top:2.5pt;width:9.9pt;height:5.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" fillcolor="#330"/>
                  </w:pict>
                </mc:Fallback>
              </mc:AlternateContent>
            </w:r>
            <w:r w:rsidRPr="00647616">
              <w:rPr>
                <w:rFonts w:ascii="Times New Roman" w:hAnsi="Times New Roman"/>
                <w:lang w:val="lt-LT"/>
              </w:rPr>
              <w:sym w:font="Wingdings" w:char="F06D"/>
            </w:r>
            <w:r w:rsidRPr="00647616">
              <w:rPr>
                <w:rFonts w:ascii="Times New Roman" w:hAnsi="Times New Roman"/>
                <w:lang w:val="lt-LT"/>
              </w:rPr>
              <w:sym w:font="Wingdings" w:char="F06D"/>
            </w:r>
          </w:p>
        </w:tc>
      </w:tr>
      <w:tr w:rsidR="004226AB" w:rsidRPr="00282980" w:rsidTr="001405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8"/>
        </w:trPr>
        <w:tc>
          <w:tcPr>
            <w:tcW w:w="1242" w:type="dxa"/>
            <w:shd w:val="clear" w:color="auto" w:fill="000000"/>
          </w:tcPr>
          <w:p w:rsidR="004226AB" w:rsidRPr="00647616" w:rsidRDefault="004226AB" w:rsidP="00140520">
            <w:pPr>
              <w:spacing w:after="0" w:line="240" w:lineRule="auto"/>
              <w:rPr>
                <w:rFonts w:ascii="Times New Roman" w:hAnsi="Times New Roman"/>
                <w:highlight w:val="yellow"/>
                <w:lang w:val="lt-LT"/>
              </w:rPr>
            </w:pPr>
          </w:p>
        </w:tc>
        <w:tc>
          <w:tcPr>
            <w:tcW w:w="612" w:type="dxa"/>
          </w:tcPr>
          <w:p w:rsidR="004226AB" w:rsidRPr="00647616" w:rsidRDefault="004226AB" w:rsidP="00140520">
            <w:pPr>
              <w:spacing w:after="0" w:line="240" w:lineRule="auto"/>
              <w:rPr>
                <w:rFonts w:ascii="Times New Roman" w:hAnsi="Times New Roman"/>
                <w:highlight w:val="yellow"/>
                <w:lang w:val="lt-LT"/>
              </w:rPr>
            </w:pPr>
          </w:p>
        </w:tc>
        <w:tc>
          <w:tcPr>
            <w:tcW w:w="1798" w:type="dxa"/>
          </w:tcPr>
          <w:p w:rsidR="004226AB" w:rsidRPr="00647616" w:rsidRDefault="004226AB" w:rsidP="00140520">
            <w:pPr>
              <w:spacing w:after="0" w:line="240" w:lineRule="auto"/>
              <w:rPr>
                <w:rFonts w:ascii="Times New Roman" w:hAnsi="Times New Roman"/>
                <w:lang w:val="lt-LT"/>
              </w:rPr>
            </w:pPr>
          </w:p>
        </w:tc>
        <w:tc>
          <w:tcPr>
            <w:tcW w:w="1843" w:type="dxa"/>
          </w:tcPr>
          <w:p w:rsidR="004226AB" w:rsidRPr="00647616" w:rsidRDefault="004226AB" w:rsidP="00140520">
            <w:pPr>
              <w:spacing w:after="0" w:line="240" w:lineRule="auto"/>
              <w:rPr>
                <w:rFonts w:ascii="Times New Roman" w:hAnsi="Times New Roman"/>
                <w:lang w:val="lt-LT"/>
              </w:rPr>
            </w:pPr>
          </w:p>
        </w:tc>
        <w:tc>
          <w:tcPr>
            <w:tcW w:w="425" w:type="dxa"/>
          </w:tcPr>
          <w:p w:rsidR="004226AB" w:rsidRPr="00647616" w:rsidRDefault="004226AB" w:rsidP="00140520">
            <w:pPr>
              <w:spacing w:after="0" w:line="240" w:lineRule="auto"/>
              <w:rPr>
                <w:rFonts w:ascii="Times New Roman" w:hAnsi="Times New Roman"/>
                <w:lang w:val="lt-LT"/>
              </w:rPr>
            </w:pPr>
          </w:p>
        </w:tc>
        <w:tc>
          <w:tcPr>
            <w:tcW w:w="1191" w:type="dxa"/>
            <w:shd w:val="clear" w:color="auto" w:fill="000000"/>
          </w:tcPr>
          <w:p w:rsidR="004226AB" w:rsidRPr="00647616" w:rsidRDefault="004226AB" w:rsidP="00140520">
            <w:pPr>
              <w:spacing w:after="0" w:line="240" w:lineRule="auto"/>
              <w:rPr>
                <w:rFonts w:ascii="Times New Roman" w:hAnsi="Times New Roman"/>
                <w:lang w:val="lt-LT"/>
              </w:rPr>
            </w:pPr>
          </w:p>
        </w:tc>
        <w:tc>
          <w:tcPr>
            <w:tcW w:w="794" w:type="dxa"/>
          </w:tcPr>
          <w:p w:rsidR="004226AB" w:rsidRPr="00647616" w:rsidRDefault="004226AB" w:rsidP="00140520">
            <w:pPr>
              <w:spacing w:after="0" w:line="240" w:lineRule="auto"/>
              <w:rPr>
                <w:rFonts w:ascii="Times New Roman" w:hAnsi="Times New Roman"/>
                <w:highlight w:val="yellow"/>
                <w:lang w:val="lt-LT"/>
              </w:rPr>
            </w:pPr>
          </w:p>
        </w:tc>
      </w:tr>
      <w:tr w:rsidR="004226AB" w:rsidRPr="00282980" w:rsidTr="00140520">
        <w:trPr>
          <w:cantSplit/>
        </w:trPr>
        <w:tc>
          <w:tcPr>
            <w:tcW w:w="7905" w:type="dxa"/>
            <w:gridSpan w:val="7"/>
          </w:tcPr>
          <w:p w:rsidR="004226AB" w:rsidRPr="00647616" w:rsidRDefault="004226AB" w:rsidP="00140520">
            <w:pPr>
              <w:spacing w:after="0" w:line="240" w:lineRule="auto"/>
              <w:rPr>
                <w:rFonts w:ascii="Times New Roman" w:hAnsi="Times New Roman"/>
                <w:lang w:val="lt-LT"/>
              </w:rPr>
            </w:pPr>
            <w:r w:rsidRPr="00647616">
              <w:rPr>
                <w:rFonts w:ascii="Times New Roman" w:hAnsi="Times New Roman"/>
                <w:lang w:val="lt-LT"/>
              </w:rPr>
              <w:t>Pirmoji ciklo diena</w:t>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lang w:val="lt-LT"/>
              </w:rPr>
              <w:tab/>
              <w:t>kraujavimas</w:t>
            </w:r>
          </w:p>
        </w:tc>
      </w:tr>
    </w:tbl>
    <w:p w:rsidR="004226AB" w:rsidRPr="00647616" w:rsidRDefault="004226AB" w:rsidP="004226AB">
      <w:pPr>
        <w:spacing w:after="0" w:line="240" w:lineRule="auto"/>
        <w:rPr>
          <w:rFonts w:ascii="Times New Roman" w:hAnsi="Times New Roman"/>
          <w:highlight w:val="yellow"/>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spacing w:val="14"/>
          <w:lang w:val="lt-LT"/>
        </w:rPr>
        <w:sym w:font="Marlett" w:char="F06E"/>
      </w:r>
      <w:r w:rsidRPr="00647616">
        <w:rPr>
          <w:rFonts w:ascii="Times New Roman" w:hAnsi="Times New Roman"/>
          <w:spacing w:val="14"/>
          <w:lang w:val="lt-LT"/>
        </w:rPr>
        <w:sym w:font="Marlett" w:char="F06E"/>
      </w:r>
      <w:r w:rsidRPr="00647616">
        <w:rPr>
          <w:rFonts w:ascii="Times New Roman" w:hAnsi="Times New Roman"/>
          <w:lang w:val="lt-LT"/>
        </w:rPr>
        <w:t xml:space="preserve"> 2</w:t>
      </w:r>
      <w:r>
        <w:rPr>
          <w:rFonts w:ascii="Times New Roman" w:hAnsi="Times New Roman"/>
          <w:lang w:val="lt-LT"/>
        </w:rPr>
        <w:t>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tabletės</w:t>
      </w:r>
      <w:r w:rsidRPr="00647616">
        <w:rPr>
          <w:rFonts w:ascii="Times New Roman" w:hAnsi="Times New Roman"/>
          <w:lang w:val="lt-LT"/>
        </w:rPr>
        <w:tab/>
      </w:r>
      <w:r w:rsidRPr="00647616">
        <w:rPr>
          <w:rFonts w:ascii="Times New Roman" w:hAnsi="Times New Roman"/>
          <w:lang w:val="lt-LT"/>
        </w:rPr>
        <w:tab/>
      </w:r>
      <w:r w:rsidRPr="00647616">
        <w:rPr>
          <w:rFonts w:ascii="Times New Roman" w:hAnsi="Times New Roman"/>
          <w:spacing w:val="14"/>
          <w:lang w:val="lt-LT"/>
        </w:rPr>
        <w:sym w:font="Wingdings" w:char="F06D"/>
      </w:r>
      <w:r w:rsidRPr="00647616">
        <w:rPr>
          <w:rFonts w:ascii="Times New Roman" w:hAnsi="Times New Roman"/>
          <w:lang w:val="lt-LT"/>
        </w:rPr>
        <w:t xml:space="preserve"> 1</w:t>
      </w:r>
      <w:r>
        <w:rPr>
          <w:rFonts w:ascii="Times New Roman" w:hAnsi="Times New Roman"/>
          <w:lang w:val="lt-LT"/>
        </w:rPr>
        <w:t> </w:t>
      </w:r>
      <w:proofErr w:type="spellStart"/>
      <w:r w:rsidRPr="00647616">
        <w:rPr>
          <w:rFonts w:ascii="Times New Roman" w:hAnsi="Times New Roman"/>
          <w:lang w:val="lt-LT"/>
        </w:rPr>
        <w:t>Diane</w:t>
      </w:r>
      <w:proofErr w:type="spellEnd"/>
      <w:r w:rsidRPr="00647616">
        <w:rPr>
          <w:rFonts w:ascii="Times New Roman" w:hAnsi="Times New Roman"/>
          <w:lang w:val="lt-LT"/>
        </w:rPr>
        <w:t xml:space="preserve"> tabletė</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Moterys, gydomos cikliniu kombinuotuoju būdu, turi gerti tabletes kasdien maždaug tuo pačiu laiku.</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 xml:space="preserve">Po </w:t>
      </w:r>
      <w:proofErr w:type="spellStart"/>
      <w:r w:rsidRPr="00647616">
        <w:rPr>
          <w:rFonts w:ascii="Times New Roman" w:hAnsi="Times New Roman"/>
          <w:lang w:val="lt-LT"/>
        </w:rPr>
        <w:t>Diane</w:t>
      </w:r>
      <w:proofErr w:type="spellEnd"/>
      <w:r w:rsidRPr="00647616">
        <w:rPr>
          <w:rFonts w:ascii="Times New Roman" w:hAnsi="Times New Roman"/>
          <w:lang w:val="lt-LT"/>
        </w:rPr>
        <w:t xml:space="preserve"> tablečių vartojimo 21</w:t>
      </w:r>
      <w:r>
        <w:rPr>
          <w:rFonts w:ascii="Times New Roman" w:hAnsi="Times New Roman"/>
          <w:lang w:val="lt-LT"/>
        </w:rPr>
        <w:t> </w:t>
      </w:r>
      <w:r w:rsidRPr="00647616">
        <w:rPr>
          <w:rFonts w:ascii="Times New Roman" w:hAnsi="Times New Roman"/>
          <w:lang w:val="lt-LT"/>
        </w:rPr>
        <w:t>dienos darykite 7</w:t>
      </w:r>
      <w:r>
        <w:rPr>
          <w:rFonts w:ascii="Times New Roman" w:hAnsi="Times New Roman"/>
          <w:lang w:val="lt-LT"/>
        </w:rPr>
        <w:t> </w:t>
      </w:r>
      <w:r w:rsidRPr="00647616">
        <w:rPr>
          <w:rFonts w:ascii="Times New Roman" w:hAnsi="Times New Roman"/>
          <w:lang w:val="lt-LT"/>
        </w:rPr>
        <w:t xml:space="preserve">dienų pertrauką. Tomis dienomis įvyksta mėnesinės. </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Lygiai po 4</w:t>
      </w:r>
      <w:r>
        <w:rPr>
          <w:rFonts w:ascii="Times New Roman" w:hAnsi="Times New Roman"/>
          <w:lang w:val="lt-LT"/>
        </w:rPr>
        <w:t> </w:t>
      </w:r>
      <w:r w:rsidRPr="00647616">
        <w:rPr>
          <w:rFonts w:ascii="Times New Roman" w:hAnsi="Times New Roman"/>
          <w:lang w:val="lt-LT"/>
        </w:rPr>
        <w:t>savaičių (28</w:t>
      </w:r>
      <w:r>
        <w:rPr>
          <w:rFonts w:ascii="Times New Roman" w:hAnsi="Times New Roman"/>
          <w:lang w:val="lt-LT"/>
        </w:rPr>
        <w:t> </w:t>
      </w:r>
      <w:r w:rsidRPr="00647616">
        <w:rPr>
          <w:rFonts w:ascii="Times New Roman" w:hAnsi="Times New Roman"/>
          <w:lang w:val="lt-LT"/>
        </w:rPr>
        <w:t>dienos) nuo pirmojo gydymo ciklo pradžios tiksliai tą pačią savaitės dieną (neatsižvelgiant į tai, ar mėnesinės pasibaigusios, ar ne) pradedamas naujas kombinuotojo gydymo ciklas.</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 xml:space="preserve">Kai gydytojas pastebi klinikinės būklės pagerėjimą sudėtinio gydymo su </w:t>
      </w:r>
      <w:proofErr w:type="spellStart"/>
      <w:r w:rsidRPr="00647616">
        <w:rPr>
          <w:rFonts w:ascii="Times New Roman" w:hAnsi="Times New Roman"/>
          <w:lang w:val="lt-LT"/>
        </w:rPr>
        <w:t>Diane</w:t>
      </w:r>
      <w:proofErr w:type="spellEnd"/>
      <w:r w:rsidRPr="00647616">
        <w:rPr>
          <w:rFonts w:ascii="Times New Roman" w:hAnsi="Times New Roman"/>
          <w:lang w:val="lt-LT"/>
        </w:rPr>
        <w:t xml:space="preserve"> metu, jis (ji) gali sumažinti pirmosiomis 10</w:t>
      </w:r>
      <w:r>
        <w:rPr>
          <w:rFonts w:ascii="Times New Roman" w:hAnsi="Times New Roman"/>
          <w:lang w:val="lt-LT"/>
        </w:rPr>
        <w:t> </w:t>
      </w:r>
      <w:r w:rsidRPr="00647616">
        <w:rPr>
          <w:rFonts w:ascii="Times New Roman" w:hAnsi="Times New Roman"/>
          <w:lang w:val="lt-LT"/>
        </w:rPr>
        <w:t xml:space="preserve">kombinuotojo gydymo dienų vartojamo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dozę iki vienos ar pusės tabletės per parą. Galbūt pakaktų vartoti vien </w:t>
      </w:r>
      <w:proofErr w:type="spellStart"/>
      <w:r w:rsidRPr="00647616">
        <w:rPr>
          <w:rFonts w:ascii="Times New Roman" w:hAnsi="Times New Roman"/>
          <w:lang w:val="lt-LT"/>
        </w:rPr>
        <w:t>Diane</w:t>
      </w:r>
      <w:proofErr w:type="spellEnd"/>
      <w:r w:rsidRPr="00647616">
        <w:rPr>
          <w:rFonts w:ascii="Times New Roman" w:hAnsi="Times New Roman"/>
          <w:lang w:val="lt-LT"/>
        </w:rPr>
        <w:t>.</w:t>
      </w:r>
    </w:p>
    <w:p w:rsidR="004226AB" w:rsidRDefault="004226AB" w:rsidP="004226AB">
      <w:pPr>
        <w:spacing w:after="0" w:line="240" w:lineRule="auto"/>
        <w:rPr>
          <w:rFonts w:ascii="Times New Roman" w:hAnsi="Times New Roman"/>
          <w:lang w:val="lt-LT"/>
        </w:rPr>
      </w:pPr>
    </w:p>
    <w:p w:rsidR="004226AB" w:rsidRDefault="004226AB" w:rsidP="004226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Prasidėjus menopauzei, gydytojas pakartotinai įvertins Jūsų gydymo naudos ir rizikos santykį.</w:t>
      </w:r>
    </w:p>
    <w:p w:rsidR="004226AB" w:rsidRPr="00023818" w:rsidRDefault="004226AB" w:rsidP="004226AB">
      <w:pPr>
        <w:keepNext/>
        <w:spacing w:after="0" w:line="240" w:lineRule="auto"/>
        <w:jc w:val="both"/>
        <w:outlineLvl w:val="3"/>
        <w:rPr>
          <w:rFonts w:ascii="Times New Roman" w:eastAsia="Times New Roman" w:hAnsi="Times New Roman" w:cs="Times New Roman"/>
          <w:b/>
          <w:szCs w:val="20"/>
          <w:u w:val="single"/>
          <w:lang w:val="lt-LT"/>
        </w:rPr>
      </w:pPr>
      <w:r>
        <w:rPr>
          <w:rFonts w:ascii="Times New Roman" w:eastAsia="Times New Roman" w:hAnsi="Times New Roman" w:cs="Times New Roman"/>
          <w:lang w:val="lt-LT"/>
        </w:rPr>
        <w:t xml:space="preserve">Reikia vengti ilgalaikio (keletą metų trunkančio) </w:t>
      </w:r>
      <w:proofErr w:type="spellStart"/>
      <w:r>
        <w:rPr>
          <w:rFonts w:ascii="Times New Roman" w:eastAsia="Times New Roman" w:hAnsi="Times New Roman" w:cs="Times New Roman"/>
          <w:lang w:val="lt-LT"/>
        </w:rPr>
        <w:t>Androcur</w:t>
      </w:r>
      <w:proofErr w:type="spellEnd"/>
      <w:r>
        <w:rPr>
          <w:rFonts w:ascii="Times New Roman" w:eastAsia="Times New Roman" w:hAnsi="Times New Roman" w:cs="Times New Roman"/>
          <w:lang w:val="lt-LT"/>
        </w:rPr>
        <w:t xml:space="preserve"> vartojimo (žr. „</w:t>
      </w:r>
      <w:r w:rsidRPr="005D77EE">
        <w:rPr>
          <w:rFonts w:ascii="Times New Roman" w:eastAsia="Times New Roman" w:hAnsi="Times New Roman" w:cs="Times New Roman"/>
          <w:szCs w:val="20"/>
          <w:lang w:val="lt-LT"/>
        </w:rPr>
        <w:t>Įspėjimai ir atsargumo priemonės</w:t>
      </w:r>
      <w:r>
        <w:rPr>
          <w:rFonts w:ascii="Times New Roman" w:eastAsia="Times New Roman" w:hAnsi="Times New Roman" w:cs="Times New Roman"/>
          <w:lang w:val="lt-LT"/>
        </w:rPr>
        <w:t>“).</w:t>
      </w:r>
    </w:p>
    <w:p w:rsidR="004226AB"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i/>
          <w:lang w:val="lt-LT"/>
        </w:rPr>
      </w:pPr>
      <w:r w:rsidRPr="00647616">
        <w:rPr>
          <w:rFonts w:ascii="Times New Roman" w:hAnsi="Times New Roman"/>
          <w:i/>
          <w:lang w:val="lt-LT"/>
        </w:rPr>
        <w:t>Nesant kraujavimo</w:t>
      </w: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Jei retais atvejais nebūna kraujavimo, tablečių vartojimą reikia laikinai nutraukti ir prieš atnaujinant tablečių vartojimą</w:t>
      </w:r>
      <w:r>
        <w:rPr>
          <w:rFonts w:ascii="Times New Roman" w:hAnsi="Times New Roman"/>
          <w:lang w:val="lt-LT"/>
        </w:rPr>
        <w:t>,</w:t>
      </w:r>
      <w:r w:rsidRPr="00647616">
        <w:rPr>
          <w:rFonts w:ascii="Times New Roman" w:hAnsi="Times New Roman"/>
          <w:lang w:val="lt-LT"/>
        </w:rPr>
        <w:t xml:space="preserve"> kreiptis į gydytoją tam, kad ištirtų</w:t>
      </w:r>
      <w:r>
        <w:rPr>
          <w:rFonts w:ascii="Times New Roman" w:hAnsi="Times New Roman"/>
          <w:lang w:val="lt-LT"/>
        </w:rPr>
        <w:t>,</w:t>
      </w:r>
      <w:r w:rsidRPr="00647616">
        <w:rPr>
          <w:rFonts w:ascii="Times New Roman" w:hAnsi="Times New Roman"/>
          <w:lang w:val="lt-LT"/>
        </w:rPr>
        <w:t xml:space="preserve"> ar nesate nėščia.</w:t>
      </w:r>
    </w:p>
    <w:p w:rsidR="004226AB" w:rsidRPr="00647616" w:rsidRDefault="004226AB" w:rsidP="004226AB">
      <w:pPr>
        <w:spacing w:after="0" w:line="240" w:lineRule="auto"/>
        <w:rPr>
          <w:rFonts w:ascii="Times New Roman" w:hAnsi="Times New Roman"/>
          <w:highlight w:val="yellow"/>
          <w:lang w:val="lt-LT"/>
        </w:rPr>
      </w:pPr>
    </w:p>
    <w:p w:rsidR="004226AB" w:rsidRPr="00647616" w:rsidRDefault="004226AB" w:rsidP="004226AB">
      <w:pPr>
        <w:keepNext/>
        <w:spacing w:after="0" w:line="240" w:lineRule="auto"/>
        <w:rPr>
          <w:rFonts w:ascii="Times New Roman" w:hAnsi="Times New Roman"/>
          <w:u w:val="single"/>
          <w:lang w:val="lt-LT"/>
        </w:rPr>
      </w:pPr>
      <w:r w:rsidRPr="00647616">
        <w:rPr>
          <w:rFonts w:ascii="Times New Roman" w:hAnsi="Times New Roman"/>
          <w:lang w:val="lt-LT"/>
        </w:rPr>
        <w:sym w:font="Symbol" w:char="F0B7"/>
      </w:r>
      <w:r w:rsidRPr="00647616">
        <w:rPr>
          <w:rFonts w:ascii="Times New Roman" w:hAnsi="Times New Roman"/>
          <w:lang w:val="lt-LT"/>
        </w:rPr>
        <w:tab/>
      </w:r>
      <w:r w:rsidRPr="00647616">
        <w:rPr>
          <w:rFonts w:ascii="Times New Roman" w:hAnsi="Times New Roman"/>
          <w:u w:val="single"/>
          <w:lang w:val="lt-LT"/>
        </w:rPr>
        <w:t>Moterims po menopauzės ar gimdos pašalinimo</w:t>
      </w:r>
    </w:p>
    <w:p w:rsidR="004226AB" w:rsidRPr="00647616" w:rsidRDefault="004226AB" w:rsidP="004226AB">
      <w:pPr>
        <w:keepNext/>
        <w:spacing w:after="0" w:line="240" w:lineRule="auto"/>
        <w:rPr>
          <w:rFonts w:ascii="Times New Roman" w:hAnsi="Times New Roman"/>
          <w:lang w:val="lt-LT"/>
        </w:rPr>
      </w:pPr>
      <w:r w:rsidRPr="00647616">
        <w:rPr>
          <w:rFonts w:ascii="Times New Roman" w:hAnsi="Times New Roman"/>
          <w:lang w:val="lt-LT"/>
        </w:rPr>
        <w:t xml:space="preserve">Moterys po menopauzės ar gimdos pašalinimo gali vartoti tik </w:t>
      </w:r>
      <w:proofErr w:type="spellStart"/>
      <w:r w:rsidRPr="00647616">
        <w:rPr>
          <w:rFonts w:ascii="Times New Roman" w:hAnsi="Times New Roman"/>
          <w:lang w:val="lt-LT"/>
        </w:rPr>
        <w:t>Androcur</w:t>
      </w:r>
      <w:proofErr w:type="spellEnd"/>
      <w:r w:rsidRPr="00647616">
        <w:rPr>
          <w:rFonts w:ascii="Times New Roman" w:hAnsi="Times New Roman"/>
          <w:lang w:val="lt-LT"/>
        </w:rPr>
        <w:t>. Atsižvelgiant į ligos pasireiškimą</w:t>
      </w:r>
      <w:r>
        <w:rPr>
          <w:rFonts w:ascii="Times New Roman" w:hAnsi="Times New Roman"/>
          <w:lang w:val="lt-LT"/>
        </w:rPr>
        <w:t>,</w:t>
      </w:r>
      <w:r w:rsidRPr="00647616">
        <w:rPr>
          <w:rFonts w:ascii="Times New Roman" w:hAnsi="Times New Roman"/>
          <w:lang w:val="lt-LT"/>
        </w:rPr>
        <w:t xml:space="preserve"> vidutinė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paros dozė gali būti viena arba pusė tabletės; vartojama 21</w:t>
      </w:r>
      <w:r>
        <w:rPr>
          <w:rFonts w:ascii="Times New Roman" w:hAnsi="Times New Roman"/>
          <w:lang w:val="lt-LT"/>
        </w:rPr>
        <w:t> </w:t>
      </w:r>
      <w:r w:rsidRPr="00647616">
        <w:rPr>
          <w:rFonts w:ascii="Times New Roman" w:hAnsi="Times New Roman"/>
          <w:lang w:val="lt-LT"/>
        </w:rPr>
        <w:t>dieną, paskui daroma 7</w:t>
      </w:r>
      <w:r>
        <w:rPr>
          <w:rFonts w:ascii="Times New Roman" w:hAnsi="Times New Roman"/>
          <w:lang w:val="lt-LT"/>
        </w:rPr>
        <w:t> </w:t>
      </w:r>
      <w:r w:rsidRPr="00647616">
        <w:rPr>
          <w:rFonts w:ascii="Times New Roman" w:hAnsi="Times New Roman"/>
          <w:lang w:val="lt-LT"/>
        </w:rPr>
        <w:t>dienų pertrauka.</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b/>
          <w:lang w:val="lt-LT"/>
        </w:rPr>
      </w:pPr>
      <w:r w:rsidRPr="00647616">
        <w:rPr>
          <w:rFonts w:ascii="Times New Roman" w:hAnsi="Times New Roman"/>
          <w:b/>
          <w:lang w:val="lt-LT"/>
        </w:rPr>
        <w:t>Dozavimas vyrams</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Didžiausios 300 mg paros dozės viršyti negalima.</w:t>
      </w:r>
    </w:p>
    <w:p w:rsidR="004226AB" w:rsidRPr="00647616" w:rsidRDefault="004226AB" w:rsidP="004226AB">
      <w:pPr>
        <w:spacing w:after="0" w:line="240" w:lineRule="auto"/>
        <w:rPr>
          <w:rFonts w:ascii="Times New Roman" w:hAnsi="Times New Roman"/>
          <w:b/>
          <w:lang w:val="lt-LT"/>
        </w:rPr>
      </w:pPr>
    </w:p>
    <w:p w:rsidR="004226AB" w:rsidRPr="00647616" w:rsidRDefault="004226AB" w:rsidP="004226AB">
      <w:pPr>
        <w:spacing w:after="0" w:line="240" w:lineRule="auto"/>
        <w:rPr>
          <w:rFonts w:ascii="Times New Roman" w:hAnsi="Times New Roman"/>
          <w:b/>
          <w:lang w:val="lt-LT"/>
        </w:rPr>
      </w:pPr>
      <w:r w:rsidRPr="00647616">
        <w:rPr>
          <w:rFonts w:ascii="Times New Roman" w:hAnsi="Times New Roman"/>
          <w:lang w:val="lt-LT"/>
        </w:rPr>
        <w:t>Rekomenduojama dozė yra:</w:t>
      </w:r>
    </w:p>
    <w:p w:rsidR="004226AB" w:rsidRPr="00647616" w:rsidRDefault="004226AB" w:rsidP="004226AB">
      <w:pPr>
        <w:numPr>
          <w:ilvl w:val="0"/>
          <w:numId w:val="8"/>
        </w:numPr>
        <w:tabs>
          <w:tab w:val="num" w:pos="540"/>
          <w:tab w:val="center" w:pos="4153"/>
          <w:tab w:val="right" w:pos="8306"/>
        </w:tabs>
        <w:spacing w:after="0" w:line="240" w:lineRule="auto"/>
        <w:rPr>
          <w:rFonts w:ascii="Times New Roman" w:hAnsi="Times New Roman"/>
          <w:u w:val="single"/>
          <w:lang w:val="lt-LT"/>
        </w:rPr>
      </w:pPr>
      <w:r w:rsidRPr="00647616">
        <w:rPr>
          <w:rFonts w:ascii="Times New Roman" w:hAnsi="Times New Roman"/>
          <w:u w:val="single"/>
          <w:lang w:val="lt-LT"/>
        </w:rPr>
        <w:t>Lytiniam potraukiui mažinti, kai yra lytinis iškrypimas</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Gydytojas nustatys dozę individualiai.</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numPr>
          <w:ilvl w:val="0"/>
          <w:numId w:val="9"/>
        </w:numPr>
        <w:tabs>
          <w:tab w:val="num" w:pos="600"/>
        </w:tabs>
        <w:spacing w:after="0" w:line="240" w:lineRule="auto"/>
        <w:rPr>
          <w:rFonts w:ascii="Times New Roman" w:hAnsi="Times New Roman"/>
          <w:lang w:val="lt-LT"/>
        </w:rPr>
      </w:pPr>
      <w:r w:rsidRPr="00647616">
        <w:rPr>
          <w:rFonts w:ascii="Times New Roman" w:hAnsi="Times New Roman"/>
          <w:lang w:val="lt-LT"/>
        </w:rPr>
        <w:t>Paprastai pradedama gerti po 1</w:t>
      </w:r>
      <w:r>
        <w:rPr>
          <w:rFonts w:ascii="Times New Roman" w:hAnsi="Times New Roman"/>
          <w:lang w:val="lt-LT"/>
        </w:rPr>
        <w:t> </w:t>
      </w:r>
      <w:r w:rsidRPr="00647616">
        <w:rPr>
          <w:rFonts w:ascii="Times New Roman" w:hAnsi="Times New Roman"/>
          <w:lang w:val="lt-LT"/>
        </w:rPr>
        <w:t>tabletę dukart per parą.</w:t>
      </w:r>
    </w:p>
    <w:p w:rsidR="004226AB" w:rsidRPr="00647616" w:rsidRDefault="004226AB" w:rsidP="004226AB">
      <w:pPr>
        <w:numPr>
          <w:ilvl w:val="0"/>
          <w:numId w:val="9"/>
        </w:numPr>
        <w:tabs>
          <w:tab w:val="num" w:pos="600"/>
        </w:tabs>
        <w:spacing w:after="0" w:line="240" w:lineRule="auto"/>
        <w:rPr>
          <w:rFonts w:ascii="Times New Roman" w:hAnsi="Times New Roman"/>
          <w:lang w:val="lt-LT"/>
        </w:rPr>
      </w:pPr>
      <w:r w:rsidRPr="00647616">
        <w:rPr>
          <w:rFonts w:ascii="Times New Roman" w:hAnsi="Times New Roman"/>
          <w:lang w:val="lt-LT"/>
        </w:rPr>
        <w:t>Gydytojas gali trumpam laikui dozę padidinti iki 2</w:t>
      </w:r>
      <w:r>
        <w:rPr>
          <w:rFonts w:ascii="Times New Roman" w:hAnsi="Times New Roman"/>
          <w:lang w:val="lt-LT"/>
        </w:rPr>
        <w:t> </w:t>
      </w:r>
      <w:r w:rsidRPr="00647616">
        <w:rPr>
          <w:rFonts w:ascii="Times New Roman" w:hAnsi="Times New Roman"/>
          <w:lang w:val="lt-LT"/>
        </w:rPr>
        <w:t>tablečių dukart ar net triskart per parą.</w:t>
      </w:r>
    </w:p>
    <w:p w:rsidR="004226AB" w:rsidRPr="00647616" w:rsidRDefault="004226AB" w:rsidP="004226AB">
      <w:pPr>
        <w:numPr>
          <w:ilvl w:val="0"/>
          <w:numId w:val="9"/>
        </w:numPr>
        <w:tabs>
          <w:tab w:val="num" w:pos="600"/>
        </w:tabs>
        <w:spacing w:after="0" w:line="240" w:lineRule="auto"/>
        <w:rPr>
          <w:rFonts w:ascii="Times New Roman" w:hAnsi="Times New Roman"/>
          <w:lang w:val="lt-LT"/>
        </w:rPr>
      </w:pPr>
      <w:r w:rsidRPr="00647616">
        <w:rPr>
          <w:rFonts w:ascii="Times New Roman" w:hAnsi="Times New Roman"/>
          <w:lang w:val="lt-LT"/>
        </w:rPr>
        <w:t>Vaistui pradėjus tinkamai veikti, gydytojas gydomąjį poveikį bandys palaikyti mažiausiąja veiksminga doze. Dažnai pakanka vartoti po pusę tabletės dukart per parą.</w:t>
      </w:r>
    </w:p>
    <w:p w:rsidR="004226AB" w:rsidRPr="00647616" w:rsidRDefault="004226AB" w:rsidP="004226AB">
      <w:pPr>
        <w:numPr>
          <w:ilvl w:val="0"/>
          <w:numId w:val="9"/>
        </w:numPr>
        <w:tabs>
          <w:tab w:val="num" w:pos="600"/>
        </w:tabs>
        <w:spacing w:after="0" w:line="240" w:lineRule="auto"/>
        <w:rPr>
          <w:rFonts w:ascii="Times New Roman" w:hAnsi="Times New Roman"/>
          <w:lang w:val="lt-LT"/>
        </w:rPr>
      </w:pPr>
      <w:r w:rsidRPr="00647616">
        <w:rPr>
          <w:rFonts w:ascii="Times New Roman" w:hAnsi="Times New Roman"/>
          <w:lang w:val="lt-LT"/>
        </w:rPr>
        <w:t>Nustatant palaikomąją dozę arba nutraukiant vaisto vartojimą, gydytojas dozę mažins laipsniškai. Baigiant gydytis, paros dozę gydytojas gali sumažinti po 1</w:t>
      </w:r>
      <w:r>
        <w:rPr>
          <w:rFonts w:ascii="Times New Roman" w:hAnsi="Times New Roman"/>
          <w:lang w:val="lt-LT"/>
        </w:rPr>
        <w:t> </w:t>
      </w:r>
      <w:r w:rsidRPr="00647616">
        <w:rPr>
          <w:rFonts w:ascii="Times New Roman" w:hAnsi="Times New Roman"/>
          <w:lang w:val="lt-LT"/>
        </w:rPr>
        <w:t>tabletę, o dar geriau – po pusę tabletės kas kelias savaites.</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 xml:space="preserve">Kad gydymo poveikis būtų stabilus,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reikia vartoti ilgai. Be to, gydymo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laikotarpiu gydytojas gali paskirti ir psichoterapijos priemones.</w:t>
      </w:r>
    </w:p>
    <w:p w:rsidR="004226AB" w:rsidRPr="00647616" w:rsidRDefault="004226AB" w:rsidP="004226AB">
      <w:pPr>
        <w:spacing w:after="0" w:line="240" w:lineRule="auto"/>
        <w:rPr>
          <w:rFonts w:ascii="Times New Roman" w:hAnsi="Times New Roman"/>
          <w:b/>
          <w:lang w:val="lt-LT"/>
        </w:rPr>
      </w:pPr>
    </w:p>
    <w:p w:rsidR="004226AB" w:rsidRPr="00647616" w:rsidRDefault="004226AB" w:rsidP="004226AB">
      <w:pPr>
        <w:keepNext/>
        <w:spacing w:after="0" w:line="240" w:lineRule="auto"/>
        <w:rPr>
          <w:rFonts w:ascii="Times New Roman" w:hAnsi="Times New Roman"/>
          <w:u w:val="single"/>
          <w:lang w:val="lt-LT"/>
        </w:rPr>
      </w:pPr>
      <w:r w:rsidRPr="00647616">
        <w:rPr>
          <w:rFonts w:ascii="Times New Roman" w:hAnsi="Times New Roman"/>
          <w:u w:val="single"/>
          <w:lang w:val="lt-LT"/>
        </w:rPr>
        <w:t xml:space="preserve">Gydant </w:t>
      </w:r>
      <w:proofErr w:type="spellStart"/>
      <w:r w:rsidRPr="00647616">
        <w:rPr>
          <w:rFonts w:ascii="Times New Roman" w:hAnsi="Times New Roman"/>
          <w:u w:val="single"/>
          <w:lang w:val="lt-LT"/>
        </w:rPr>
        <w:t>antiandrogenais</w:t>
      </w:r>
      <w:proofErr w:type="spellEnd"/>
      <w:r w:rsidRPr="00647616">
        <w:rPr>
          <w:rFonts w:ascii="Times New Roman" w:hAnsi="Times New Roman"/>
          <w:u w:val="single"/>
          <w:lang w:val="lt-LT"/>
        </w:rPr>
        <w:t xml:space="preserve"> neoperuojamą priešinės liaukos vėžį</w:t>
      </w:r>
    </w:p>
    <w:p w:rsidR="004226AB" w:rsidRPr="00647616" w:rsidRDefault="004226AB" w:rsidP="004226AB">
      <w:pPr>
        <w:keepNext/>
        <w:spacing w:after="0" w:line="240" w:lineRule="auto"/>
        <w:rPr>
          <w:rFonts w:ascii="Times New Roman" w:hAnsi="Times New Roman"/>
          <w:lang w:val="lt-LT"/>
        </w:rPr>
      </w:pPr>
      <w:r w:rsidRPr="00647616">
        <w:rPr>
          <w:rFonts w:ascii="Times New Roman" w:hAnsi="Times New Roman"/>
          <w:lang w:val="lt-LT"/>
        </w:rPr>
        <w:t>Gerkite po dvi tabletes du tris kartus per parą (t.</w:t>
      </w:r>
      <w:r>
        <w:rPr>
          <w:rFonts w:ascii="Times New Roman" w:hAnsi="Times New Roman"/>
          <w:lang w:val="lt-LT"/>
        </w:rPr>
        <w:t> </w:t>
      </w:r>
      <w:r w:rsidRPr="00647616">
        <w:rPr>
          <w:rFonts w:ascii="Times New Roman" w:hAnsi="Times New Roman"/>
          <w:lang w:val="lt-LT"/>
        </w:rPr>
        <w:t>y. 200–300</w:t>
      </w:r>
      <w:r>
        <w:rPr>
          <w:rFonts w:ascii="Times New Roman" w:hAnsi="Times New Roman"/>
          <w:lang w:val="lt-LT"/>
        </w:rPr>
        <w:t> </w:t>
      </w:r>
      <w:r w:rsidRPr="00647616">
        <w:rPr>
          <w:rFonts w:ascii="Times New Roman" w:hAnsi="Times New Roman"/>
          <w:lang w:val="lt-LT"/>
        </w:rPr>
        <w:t>mg per parą).</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numPr>
          <w:ilvl w:val="0"/>
          <w:numId w:val="7"/>
        </w:numPr>
        <w:spacing w:after="0" w:line="240" w:lineRule="auto"/>
        <w:ind w:hanging="720"/>
        <w:rPr>
          <w:rFonts w:ascii="Times New Roman" w:hAnsi="Times New Roman"/>
          <w:lang w:val="lt-LT"/>
        </w:rPr>
      </w:pPr>
      <w:r w:rsidRPr="00647616">
        <w:rPr>
          <w:rFonts w:ascii="Times New Roman" w:hAnsi="Times New Roman"/>
          <w:lang w:val="lt-LT"/>
        </w:rPr>
        <w:t>Būklei pagerėjus, nekeiskite ir nenutraukite gydytojo paskirto gydymo ar dozės.</w:t>
      </w: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 xml:space="preserve">Pradiniam vyriškųjų lytinių hormonų padaugėjimui dėl gydymo </w:t>
      </w:r>
      <w:proofErr w:type="spellStart"/>
      <w:r w:rsidRPr="00647616">
        <w:rPr>
          <w:rFonts w:ascii="Times New Roman" w:hAnsi="Times New Roman"/>
          <w:color w:val="000000"/>
          <w:lang w:val="lt-LT"/>
        </w:rPr>
        <w:t>gonadotropiną</w:t>
      </w:r>
      <w:proofErr w:type="spellEnd"/>
      <w:r w:rsidRPr="00647616">
        <w:rPr>
          <w:rFonts w:ascii="Times New Roman" w:hAnsi="Times New Roman"/>
          <w:color w:val="000000"/>
          <w:lang w:val="lt-LT"/>
        </w:rPr>
        <w:t xml:space="preserve"> atpalaiduojančio hormono </w:t>
      </w:r>
      <w:r w:rsidRPr="00647616">
        <w:rPr>
          <w:rFonts w:ascii="Times New Roman" w:hAnsi="Times New Roman"/>
          <w:lang w:val="lt-LT"/>
        </w:rPr>
        <w:t>(</w:t>
      </w:r>
      <w:proofErr w:type="spellStart"/>
      <w:r w:rsidRPr="00647616">
        <w:rPr>
          <w:rFonts w:ascii="Times New Roman" w:hAnsi="Times New Roman"/>
          <w:lang w:val="lt-LT"/>
        </w:rPr>
        <w:t>GnRH</w:t>
      </w:r>
      <w:proofErr w:type="spellEnd"/>
      <w:r w:rsidRPr="00647616">
        <w:rPr>
          <w:rFonts w:ascii="Times New Roman" w:hAnsi="Times New Roman"/>
          <w:lang w:val="lt-LT"/>
        </w:rPr>
        <w:t xml:space="preserve">) </w:t>
      </w:r>
      <w:proofErr w:type="spellStart"/>
      <w:r w:rsidRPr="00647616">
        <w:rPr>
          <w:rFonts w:ascii="Times New Roman" w:hAnsi="Times New Roman"/>
          <w:lang w:val="lt-LT"/>
        </w:rPr>
        <w:t>agonistais</w:t>
      </w:r>
      <w:proofErr w:type="spellEnd"/>
      <w:r w:rsidRPr="00647616">
        <w:rPr>
          <w:rFonts w:ascii="Times New Roman" w:hAnsi="Times New Roman"/>
          <w:lang w:val="lt-LT"/>
        </w:rPr>
        <w:t xml:space="preserve"> sumažinti.</w:t>
      </w:r>
    </w:p>
    <w:p w:rsidR="004226AB" w:rsidRPr="00647616" w:rsidRDefault="004226AB" w:rsidP="004226AB">
      <w:pPr>
        <w:numPr>
          <w:ilvl w:val="0"/>
          <w:numId w:val="10"/>
        </w:numPr>
        <w:spacing w:after="0" w:line="240" w:lineRule="auto"/>
        <w:rPr>
          <w:rFonts w:ascii="Times New Roman" w:hAnsi="Times New Roman"/>
          <w:lang w:val="lt-LT"/>
        </w:rPr>
      </w:pPr>
      <w:r w:rsidRPr="00647616">
        <w:rPr>
          <w:rFonts w:ascii="Times New Roman" w:hAnsi="Times New Roman"/>
          <w:lang w:val="lt-LT"/>
        </w:rPr>
        <w:t>Pirmąsias 5–7</w:t>
      </w:r>
      <w:r>
        <w:rPr>
          <w:rFonts w:ascii="Times New Roman" w:hAnsi="Times New Roman"/>
          <w:lang w:val="lt-LT"/>
        </w:rPr>
        <w:t> </w:t>
      </w:r>
      <w:r w:rsidRPr="00647616">
        <w:rPr>
          <w:rFonts w:ascii="Times New Roman" w:hAnsi="Times New Roman"/>
          <w:lang w:val="lt-LT"/>
        </w:rPr>
        <w:t>dienas paros dozė yra dvi tabletės dukart per parą (t.</w:t>
      </w:r>
      <w:r>
        <w:rPr>
          <w:rFonts w:ascii="Times New Roman" w:hAnsi="Times New Roman"/>
          <w:lang w:val="lt-LT"/>
        </w:rPr>
        <w:t> </w:t>
      </w:r>
      <w:r w:rsidRPr="00647616">
        <w:rPr>
          <w:rFonts w:ascii="Times New Roman" w:hAnsi="Times New Roman"/>
          <w:lang w:val="lt-LT"/>
        </w:rPr>
        <w:t>y. 200 mg per parą).</w:t>
      </w:r>
    </w:p>
    <w:p w:rsidR="004226AB" w:rsidRPr="00647616" w:rsidRDefault="004226AB" w:rsidP="004226AB">
      <w:pPr>
        <w:numPr>
          <w:ilvl w:val="0"/>
          <w:numId w:val="10"/>
        </w:numPr>
        <w:spacing w:after="0" w:line="240" w:lineRule="auto"/>
        <w:rPr>
          <w:rFonts w:ascii="Times New Roman" w:hAnsi="Times New Roman"/>
          <w:lang w:val="lt-LT"/>
        </w:rPr>
      </w:pPr>
      <w:r>
        <w:rPr>
          <w:rFonts w:ascii="Times New Roman" w:hAnsi="Times New Roman"/>
          <w:lang w:val="lt-LT"/>
        </w:rPr>
        <w:t>P</w:t>
      </w:r>
      <w:r w:rsidRPr="00647616">
        <w:rPr>
          <w:rFonts w:ascii="Times New Roman" w:hAnsi="Times New Roman"/>
          <w:lang w:val="lt-LT"/>
        </w:rPr>
        <w:t>askui 3–4 savaites po dvi tabletes dukart per parą (t.</w:t>
      </w:r>
      <w:r>
        <w:rPr>
          <w:rFonts w:ascii="Times New Roman" w:hAnsi="Times New Roman"/>
          <w:lang w:val="lt-LT"/>
        </w:rPr>
        <w:t> </w:t>
      </w:r>
      <w:r w:rsidRPr="00647616">
        <w:rPr>
          <w:rFonts w:ascii="Times New Roman" w:hAnsi="Times New Roman"/>
          <w:lang w:val="lt-LT"/>
        </w:rPr>
        <w:t xml:space="preserve">y. 200 mg per parą) kartu su </w:t>
      </w:r>
      <w:proofErr w:type="spellStart"/>
      <w:r w:rsidRPr="00647616">
        <w:rPr>
          <w:rFonts w:ascii="Times New Roman" w:hAnsi="Times New Roman"/>
          <w:lang w:val="lt-LT"/>
        </w:rPr>
        <w:t>GnRH</w:t>
      </w:r>
      <w:proofErr w:type="spellEnd"/>
      <w:r w:rsidRPr="00647616">
        <w:rPr>
          <w:rFonts w:ascii="Times New Roman" w:hAnsi="Times New Roman"/>
          <w:lang w:val="lt-LT"/>
        </w:rPr>
        <w:t xml:space="preserve"> </w:t>
      </w:r>
      <w:proofErr w:type="spellStart"/>
      <w:r w:rsidRPr="00647616">
        <w:rPr>
          <w:rFonts w:ascii="Times New Roman" w:hAnsi="Times New Roman"/>
          <w:lang w:val="lt-LT"/>
        </w:rPr>
        <w:t>agonistu</w:t>
      </w:r>
      <w:proofErr w:type="spellEnd"/>
      <w:r w:rsidRPr="00647616">
        <w:rPr>
          <w:rFonts w:ascii="Times New Roman" w:hAnsi="Times New Roman"/>
          <w:lang w:val="lt-LT"/>
        </w:rPr>
        <w:t xml:space="preserve"> rekomenduojamomis dozėmis (žr. </w:t>
      </w:r>
      <w:proofErr w:type="spellStart"/>
      <w:r w:rsidRPr="00647616">
        <w:rPr>
          <w:rFonts w:ascii="Times New Roman" w:hAnsi="Times New Roman"/>
          <w:lang w:val="lt-LT"/>
        </w:rPr>
        <w:t>GnRH</w:t>
      </w:r>
      <w:proofErr w:type="spellEnd"/>
      <w:r w:rsidRPr="00647616">
        <w:rPr>
          <w:rFonts w:ascii="Times New Roman" w:hAnsi="Times New Roman"/>
          <w:lang w:val="lt-LT"/>
        </w:rPr>
        <w:t xml:space="preserve"> </w:t>
      </w:r>
      <w:proofErr w:type="spellStart"/>
      <w:r w:rsidRPr="00647616">
        <w:rPr>
          <w:rFonts w:ascii="Times New Roman" w:hAnsi="Times New Roman"/>
          <w:lang w:val="lt-LT"/>
        </w:rPr>
        <w:t>agonisto</w:t>
      </w:r>
      <w:proofErr w:type="spellEnd"/>
      <w:r w:rsidRPr="00647616">
        <w:rPr>
          <w:rFonts w:ascii="Times New Roman" w:hAnsi="Times New Roman"/>
          <w:lang w:val="lt-LT"/>
        </w:rPr>
        <w:t xml:space="preserve"> pakuotės lapelio informaciją).</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numPr>
          <w:ilvl w:val="1"/>
          <w:numId w:val="10"/>
        </w:numPr>
        <w:tabs>
          <w:tab w:val="num" w:pos="720"/>
        </w:tabs>
        <w:spacing w:after="0" w:line="240" w:lineRule="auto"/>
        <w:ind w:left="720" w:hanging="720"/>
        <w:rPr>
          <w:rFonts w:ascii="Times New Roman" w:hAnsi="Times New Roman"/>
          <w:lang w:val="lt-LT"/>
        </w:rPr>
      </w:pPr>
      <w:r w:rsidRPr="00647616">
        <w:rPr>
          <w:rFonts w:ascii="Times New Roman" w:hAnsi="Times New Roman"/>
          <w:lang w:val="lt-LT"/>
        </w:rPr>
        <w:t xml:space="preserve">Karščio pylimo priepuoliams gydyti </w:t>
      </w:r>
      <w:proofErr w:type="spellStart"/>
      <w:r w:rsidRPr="00647616">
        <w:rPr>
          <w:rFonts w:ascii="Times New Roman" w:hAnsi="Times New Roman"/>
          <w:lang w:val="lt-LT"/>
        </w:rPr>
        <w:t>Gn</w:t>
      </w:r>
      <w:proofErr w:type="spellEnd"/>
      <w:r w:rsidRPr="00647616">
        <w:rPr>
          <w:rFonts w:ascii="Times New Roman" w:hAnsi="Times New Roman"/>
          <w:lang w:val="lt-LT"/>
        </w:rPr>
        <w:t>-RH analogais gydomiems ligoniams, taip pat ligoniams, kuriems pašalintos sėklidės (</w:t>
      </w:r>
      <w:proofErr w:type="spellStart"/>
      <w:r w:rsidRPr="00647616">
        <w:rPr>
          <w:rFonts w:ascii="Times New Roman" w:hAnsi="Times New Roman"/>
          <w:i/>
          <w:lang w:val="lt-LT"/>
        </w:rPr>
        <w:t>orchiektomija</w:t>
      </w:r>
      <w:proofErr w:type="spellEnd"/>
      <w:r w:rsidRPr="00647616">
        <w:rPr>
          <w:rFonts w:ascii="Times New Roman" w:hAnsi="Times New Roman"/>
          <w:lang w:val="lt-LT"/>
        </w:rPr>
        <w:t>),</w:t>
      </w:r>
    </w:p>
    <w:p w:rsidR="004226AB" w:rsidRPr="00647616" w:rsidRDefault="004226AB" w:rsidP="004226AB">
      <w:pPr>
        <w:numPr>
          <w:ilvl w:val="0"/>
          <w:numId w:val="11"/>
        </w:numPr>
        <w:tabs>
          <w:tab w:val="num" w:pos="720"/>
        </w:tabs>
        <w:spacing w:after="0" w:line="240" w:lineRule="auto"/>
        <w:ind w:hanging="1980"/>
        <w:rPr>
          <w:rFonts w:ascii="Times New Roman" w:hAnsi="Times New Roman"/>
          <w:lang w:val="lt-LT"/>
        </w:rPr>
      </w:pPr>
      <w:r>
        <w:rPr>
          <w:rFonts w:ascii="Times New Roman" w:hAnsi="Times New Roman"/>
          <w:lang w:val="lt-LT"/>
        </w:rPr>
        <w:t>Paros dozė yra 1–3 tabletė</w:t>
      </w:r>
      <w:r w:rsidRPr="00647616">
        <w:rPr>
          <w:rFonts w:ascii="Times New Roman" w:hAnsi="Times New Roman"/>
          <w:lang w:val="lt-LT"/>
        </w:rPr>
        <w:t>s (50–150 mg per parą);</w:t>
      </w:r>
    </w:p>
    <w:p w:rsidR="004226AB" w:rsidRPr="00647616" w:rsidRDefault="004226AB" w:rsidP="004226AB">
      <w:pPr>
        <w:numPr>
          <w:ilvl w:val="0"/>
          <w:numId w:val="11"/>
        </w:numPr>
        <w:tabs>
          <w:tab w:val="num" w:pos="720"/>
        </w:tabs>
        <w:spacing w:after="0" w:line="240" w:lineRule="auto"/>
        <w:ind w:hanging="1980"/>
        <w:rPr>
          <w:rFonts w:ascii="Times New Roman" w:hAnsi="Times New Roman"/>
          <w:lang w:val="lt-LT"/>
        </w:rPr>
      </w:pPr>
      <w:r w:rsidRPr="00647616">
        <w:rPr>
          <w:rFonts w:ascii="Times New Roman" w:hAnsi="Times New Roman"/>
          <w:lang w:val="lt-LT"/>
        </w:rPr>
        <w:t>Jei reikia, dozę galima didinti iki 2</w:t>
      </w:r>
      <w:r>
        <w:rPr>
          <w:rFonts w:ascii="Times New Roman" w:hAnsi="Times New Roman"/>
          <w:lang w:val="lt-LT"/>
        </w:rPr>
        <w:t> </w:t>
      </w:r>
      <w:r w:rsidRPr="00647616">
        <w:rPr>
          <w:rFonts w:ascii="Times New Roman" w:hAnsi="Times New Roman"/>
          <w:lang w:val="lt-LT"/>
        </w:rPr>
        <w:t>tablečių triskart per parą (300 mg per parą).</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tabs>
          <w:tab w:val="left" w:pos="-720"/>
        </w:tabs>
        <w:suppressAutoHyphens/>
        <w:spacing w:after="0" w:line="240" w:lineRule="auto"/>
        <w:rPr>
          <w:rFonts w:ascii="Times New Roman" w:hAnsi="Times New Roman"/>
          <w:i/>
          <w:color w:val="000000"/>
          <w:spacing w:val="-2"/>
          <w:lang w:val="lt-LT"/>
        </w:rPr>
      </w:pPr>
      <w:r w:rsidRPr="00647616">
        <w:rPr>
          <w:rFonts w:ascii="Times New Roman" w:hAnsi="Times New Roman"/>
          <w:i/>
          <w:lang w:val="lt-LT"/>
        </w:rPr>
        <w:t xml:space="preserve">Senyvi </w:t>
      </w:r>
      <w:r w:rsidRPr="00647616">
        <w:rPr>
          <w:rFonts w:ascii="Times New Roman" w:hAnsi="Times New Roman"/>
          <w:i/>
          <w:color w:val="000000"/>
          <w:spacing w:val="-2"/>
          <w:lang w:val="lt-LT"/>
        </w:rPr>
        <w:t>pacientai (65</w:t>
      </w:r>
      <w:r>
        <w:rPr>
          <w:rFonts w:ascii="Times New Roman" w:hAnsi="Times New Roman"/>
          <w:i/>
          <w:color w:val="000000"/>
          <w:spacing w:val="-2"/>
          <w:lang w:val="lt-LT"/>
        </w:rPr>
        <w:t> </w:t>
      </w:r>
      <w:r w:rsidRPr="00647616">
        <w:rPr>
          <w:rFonts w:ascii="Times New Roman" w:hAnsi="Times New Roman"/>
          <w:i/>
          <w:color w:val="000000"/>
          <w:spacing w:val="-2"/>
          <w:lang w:val="lt-LT"/>
        </w:rPr>
        <w:t>metų ar vyresni)</w:t>
      </w: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lang w:val="lt-LT"/>
        </w:rPr>
        <w:t>Duomenų, rodančių, kad senyviems pacientams reikia keisti dozę, nėra.</w:t>
      </w:r>
    </w:p>
    <w:p w:rsidR="004226AB" w:rsidRPr="00647616" w:rsidRDefault="004226AB" w:rsidP="004226AB">
      <w:pPr>
        <w:spacing w:after="0" w:line="240" w:lineRule="auto"/>
        <w:rPr>
          <w:rFonts w:ascii="Times New Roman" w:hAnsi="Times New Roman"/>
          <w:lang w:val="lt-LT"/>
        </w:rPr>
      </w:pPr>
    </w:p>
    <w:p w:rsidR="004226AB" w:rsidRPr="00647616" w:rsidRDefault="004226AB" w:rsidP="004226AB">
      <w:pPr>
        <w:spacing w:after="0" w:line="240" w:lineRule="auto"/>
        <w:rPr>
          <w:rFonts w:ascii="Times New Roman" w:hAnsi="Times New Roman"/>
          <w:i/>
          <w:lang w:val="lt-LT"/>
        </w:rPr>
      </w:pPr>
      <w:r w:rsidRPr="00647616">
        <w:rPr>
          <w:rFonts w:ascii="Times New Roman" w:hAnsi="Times New Roman"/>
          <w:i/>
          <w:lang w:val="lt-LT"/>
        </w:rPr>
        <w:t>Pacientai, kurių kepenų funkcija sutrikusi</w:t>
      </w:r>
    </w:p>
    <w:p w:rsidR="004226AB" w:rsidRPr="00647616" w:rsidRDefault="004226AB" w:rsidP="004226AB">
      <w:pPr>
        <w:spacing w:after="0" w:line="240" w:lineRule="auto"/>
        <w:rPr>
          <w:rFonts w:ascii="Times New Roman" w:hAnsi="Times New Roman"/>
          <w:lang w:val="lt-LT"/>
        </w:rPr>
      </w:pPr>
      <w:r w:rsidRPr="00647616">
        <w:rPr>
          <w:rFonts w:ascii="Times New Roman" w:hAnsi="Times New Roman"/>
          <w:color w:val="000000"/>
          <w:lang w:val="lt-LT"/>
        </w:rPr>
        <w:t xml:space="preserve">Jeigu Jūsų kepenų funkcija yra sutrikusi, </w:t>
      </w:r>
      <w:proofErr w:type="spellStart"/>
      <w:r w:rsidRPr="00647616">
        <w:rPr>
          <w:rFonts w:ascii="Times New Roman" w:hAnsi="Times New Roman"/>
          <w:color w:val="000000"/>
          <w:lang w:val="lt-LT"/>
        </w:rPr>
        <w:t>Androcur</w:t>
      </w:r>
      <w:proofErr w:type="spellEnd"/>
      <w:r w:rsidRPr="00647616">
        <w:rPr>
          <w:rFonts w:ascii="Times New Roman" w:hAnsi="Times New Roman"/>
          <w:color w:val="000000"/>
          <w:lang w:val="lt-LT"/>
        </w:rPr>
        <w:t xml:space="preserve"> vartoti negalima (žr. </w:t>
      </w:r>
      <w:r w:rsidRPr="00647616">
        <w:rPr>
          <w:rFonts w:ascii="Times New Roman" w:hAnsi="Times New Roman"/>
          <w:lang w:val="lt-LT"/>
        </w:rPr>
        <w:t>skyrių</w:t>
      </w:r>
      <w:r w:rsidRPr="00647616">
        <w:rPr>
          <w:rFonts w:ascii="Times New Roman" w:hAnsi="Times New Roman"/>
          <w:color w:val="000000"/>
          <w:lang w:val="lt-LT"/>
        </w:rPr>
        <w:t xml:space="preserve"> „</w:t>
      </w:r>
      <w:proofErr w:type="spellStart"/>
      <w:r w:rsidRPr="00647616">
        <w:rPr>
          <w:rFonts w:ascii="Times New Roman" w:hAnsi="Times New Roman"/>
          <w:lang w:val="lt-LT"/>
        </w:rPr>
        <w:t>Androcur</w:t>
      </w:r>
      <w:proofErr w:type="spellEnd"/>
      <w:r w:rsidRPr="00647616">
        <w:rPr>
          <w:rFonts w:ascii="Times New Roman" w:hAnsi="Times New Roman"/>
          <w:lang w:val="lt-LT"/>
        </w:rPr>
        <w:t xml:space="preserve"> vartoti negalima“).</w:t>
      </w:r>
    </w:p>
    <w:p w:rsidR="004226AB" w:rsidRPr="00647616" w:rsidRDefault="004226AB" w:rsidP="004226AB">
      <w:pPr>
        <w:spacing w:after="0" w:line="240" w:lineRule="auto"/>
        <w:rPr>
          <w:rFonts w:ascii="Times New Roman" w:hAnsi="Times New Roman"/>
          <w:u w:val="single"/>
          <w:lang w:val="lt-LT"/>
        </w:rPr>
      </w:pPr>
    </w:p>
    <w:p w:rsidR="004226AB" w:rsidRPr="00460F87" w:rsidRDefault="004226AB" w:rsidP="004226AB">
      <w:pPr>
        <w:spacing w:after="0" w:line="240" w:lineRule="auto"/>
        <w:rPr>
          <w:rFonts w:ascii="Times New Roman" w:eastAsia="Times New Roman" w:hAnsi="Times New Roman" w:cs="Times New Roman"/>
          <w:i/>
          <w:szCs w:val="20"/>
          <w:lang w:val="lt-LT"/>
        </w:rPr>
      </w:pPr>
      <w:r>
        <w:rPr>
          <w:rFonts w:ascii="Times New Roman" w:eastAsia="Times New Roman" w:hAnsi="Times New Roman" w:cs="Times New Roman"/>
          <w:i/>
          <w:szCs w:val="20"/>
          <w:lang w:val="lt-LT"/>
        </w:rPr>
        <w:t>Pacientai</w:t>
      </w:r>
      <w:r w:rsidRPr="00460F87">
        <w:rPr>
          <w:rFonts w:ascii="Times New Roman" w:eastAsia="Times New Roman" w:hAnsi="Times New Roman" w:cs="Times New Roman"/>
          <w:i/>
          <w:szCs w:val="20"/>
          <w:lang w:val="lt-LT"/>
        </w:rPr>
        <w:t>, kuri</w:t>
      </w:r>
      <w:r>
        <w:rPr>
          <w:rFonts w:ascii="Times New Roman" w:eastAsia="Times New Roman" w:hAnsi="Times New Roman" w:cs="Times New Roman"/>
          <w:i/>
          <w:szCs w:val="20"/>
          <w:lang w:val="lt-LT"/>
        </w:rPr>
        <w:t>ų</w:t>
      </w:r>
      <w:r w:rsidRPr="00460F87">
        <w:rPr>
          <w:rFonts w:ascii="Times New Roman" w:eastAsia="Times New Roman" w:hAnsi="Times New Roman" w:cs="Times New Roman"/>
          <w:i/>
          <w:szCs w:val="20"/>
          <w:lang w:val="lt-LT"/>
        </w:rPr>
        <w:t xml:space="preserve"> inkstų funkcij</w:t>
      </w:r>
      <w:r>
        <w:rPr>
          <w:rFonts w:ascii="Times New Roman" w:eastAsia="Times New Roman" w:hAnsi="Times New Roman" w:cs="Times New Roman"/>
          <w:i/>
          <w:szCs w:val="20"/>
          <w:lang w:val="lt-LT"/>
        </w:rPr>
        <w:t>a</w:t>
      </w:r>
      <w:r w:rsidRPr="00460F87">
        <w:rPr>
          <w:rFonts w:ascii="Times New Roman" w:eastAsia="Times New Roman" w:hAnsi="Times New Roman" w:cs="Times New Roman"/>
          <w:i/>
          <w:szCs w:val="20"/>
          <w:lang w:val="lt-LT"/>
        </w:rPr>
        <w:t xml:space="preserve"> sutrik</w:t>
      </w:r>
      <w:r>
        <w:rPr>
          <w:rFonts w:ascii="Times New Roman" w:eastAsia="Times New Roman" w:hAnsi="Times New Roman" w:cs="Times New Roman"/>
          <w:i/>
          <w:szCs w:val="20"/>
          <w:lang w:val="lt-LT"/>
        </w:rPr>
        <w:t>usi</w:t>
      </w:r>
    </w:p>
    <w:p w:rsidR="004226AB" w:rsidRPr="00460F87" w:rsidRDefault="004226AB" w:rsidP="004226AB">
      <w:pPr>
        <w:spacing w:after="0" w:line="240" w:lineRule="auto"/>
        <w:rPr>
          <w:rFonts w:ascii="Times New Roman" w:eastAsia="Times New Roman" w:hAnsi="Times New Roman" w:cs="Times New Roman"/>
          <w:lang w:val="lt-LT"/>
        </w:rPr>
      </w:pPr>
      <w:r w:rsidRPr="00460F87">
        <w:rPr>
          <w:rFonts w:ascii="Times New Roman" w:eastAsia="Times New Roman" w:hAnsi="Times New Roman" w:cs="Times New Roman"/>
          <w:szCs w:val="20"/>
          <w:lang w:val="lt-LT"/>
        </w:rPr>
        <w:t>Duomenų, rodančių, kad pacientams, kurių inkstų funkcija</w:t>
      </w:r>
      <w:r>
        <w:rPr>
          <w:rFonts w:ascii="Times New Roman" w:eastAsia="Times New Roman" w:hAnsi="Times New Roman" w:cs="Times New Roman"/>
          <w:szCs w:val="20"/>
          <w:lang w:val="lt-LT"/>
        </w:rPr>
        <w:t xml:space="preserve"> </w:t>
      </w:r>
      <w:r w:rsidRPr="00460F87">
        <w:rPr>
          <w:rFonts w:ascii="Times New Roman" w:eastAsia="Times New Roman" w:hAnsi="Times New Roman" w:cs="Times New Roman"/>
          <w:szCs w:val="20"/>
          <w:lang w:val="lt-LT"/>
        </w:rPr>
        <w:t>sutrikusi, reikia keisti dozę, nėra.</w:t>
      </w:r>
    </w:p>
    <w:p w:rsidR="004226AB" w:rsidRPr="00647616" w:rsidRDefault="004226AB" w:rsidP="004226AB">
      <w:pPr>
        <w:spacing w:after="0" w:line="240" w:lineRule="auto"/>
        <w:rPr>
          <w:rFonts w:ascii="Times New Roman" w:hAnsi="Times New Roman"/>
          <w:i/>
          <w:lang w:val="lt-LT"/>
        </w:rPr>
      </w:pPr>
    </w:p>
    <w:p w:rsidR="004226AB" w:rsidRPr="00647616" w:rsidRDefault="004226AB" w:rsidP="004226AB">
      <w:pPr>
        <w:spacing w:after="0" w:line="240" w:lineRule="auto"/>
        <w:rPr>
          <w:rFonts w:ascii="Times New Roman" w:hAnsi="Times New Roman"/>
          <w:b/>
          <w:lang w:val="lt-LT"/>
        </w:rPr>
      </w:pPr>
      <w:r w:rsidRPr="00647616">
        <w:rPr>
          <w:rFonts w:ascii="Times New Roman" w:hAnsi="Times New Roman"/>
          <w:b/>
          <w:lang w:val="lt-LT"/>
        </w:rPr>
        <w:t>Ką daryti</w:t>
      </w:r>
      <w:r w:rsidRPr="00647616">
        <w:rPr>
          <w:rFonts w:ascii="Times New Roman" w:hAnsi="Times New Roman"/>
          <w:lang w:val="lt-LT"/>
        </w:rPr>
        <w:t xml:space="preserve"> </w:t>
      </w:r>
      <w:r w:rsidRPr="00647616">
        <w:rPr>
          <w:rFonts w:ascii="Times New Roman" w:hAnsi="Times New Roman"/>
          <w:b/>
          <w:lang w:val="lt-LT"/>
        </w:rPr>
        <w:t xml:space="preserve">pavartojus per didelę </w:t>
      </w:r>
      <w:proofErr w:type="spellStart"/>
      <w:r w:rsidRPr="00647616">
        <w:rPr>
          <w:rFonts w:ascii="Times New Roman" w:hAnsi="Times New Roman"/>
          <w:b/>
          <w:lang w:val="lt-LT"/>
        </w:rPr>
        <w:t>Androcur</w:t>
      </w:r>
      <w:proofErr w:type="spellEnd"/>
      <w:r w:rsidRPr="00647616">
        <w:rPr>
          <w:rFonts w:ascii="Times New Roman" w:hAnsi="Times New Roman"/>
          <w:b/>
          <w:lang w:val="lt-LT"/>
        </w:rPr>
        <w:t xml:space="preserve"> dozę?</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Nepastebėta, kad išgėrus per daug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pasireikštų koks nors žalingas poveikis.</w:t>
      </w:r>
    </w:p>
    <w:p w:rsidR="004226AB" w:rsidRPr="00F169F4" w:rsidRDefault="004226AB" w:rsidP="004226AB">
      <w:pPr>
        <w:keepNext/>
        <w:spacing w:after="0" w:line="240" w:lineRule="auto"/>
        <w:outlineLvl w:val="1"/>
        <w:rPr>
          <w:rFonts w:ascii="Times New Roman" w:hAnsi="Times New Roman"/>
          <w:b/>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 xml:space="preserve">Pamiršus pavartoti </w:t>
      </w:r>
      <w:proofErr w:type="spellStart"/>
      <w:r w:rsidRPr="00F169F4">
        <w:rPr>
          <w:rFonts w:ascii="Times New Roman" w:hAnsi="Times New Roman"/>
          <w:b/>
          <w:lang w:val="lt-LT"/>
        </w:rPr>
        <w:t>Androcur</w:t>
      </w:r>
      <w:proofErr w:type="spellEnd"/>
    </w:p>
    <w:p w:rsidR="004226AB" w:rsidRPr="00F169F4" w:rsidRDefault="004226AB" w:rsidP="004226AB">
      <w:pPr>
        <w:spacing w:after="0" w:line="240" w:lineRule="auto"/>
        <w:ind w:left="567" w:hanging="567"/>
        <w:rPr>
          <w:rFonts w:ascii="Times New Roman" w:hAnsi="Times New Roman"/>
          <w:i/>
          <w:lang w:val="lt-LT"/>
        </w:rPr>
      </w:pPr>
      <w:r w:rsidRPr="00F169F4">
        <w:rPr>
          <w:rFonts w:ascii="Times New Roman" w:hAnsi="Times New Roman"/>
          <w:lang w:val="lt-LT"/>
        </w:rPr>
        <w:sym w:font="Symbol" w:char="F02D"/>
      </w:r>
      <w:r w:rsidRPr="00F169F4">
        <w:rPr>
          <w:rFonts w:ascii="Times New Roman" w:hAnsi="Times New Roman"/>
          <w:lang w:val="lt-LT"/>
        </w:rPr>
        <w:tab/>
      </w:r>
      <w:r w:rsidRPr="00F169F4">
        <w:rPr>
          <w:rFonts w:ascii="Times New Roman" w:hAnsi="Times New Roman"/>
          <w:i/>
          <w:lang w:val="lt-LT"/>
        </w:rPr>
        <w:t xml:space="preserve">Užmiršus išgerti </w:t>
      </w:r>
      <w:proofErr w:type="spellStart"/>
      <w:r w:rsidRPr="00F169F4">
        <w:rPr>
          <w:rFonts w:ascii="Times New Roman" w:hAnsi="Times New Roman"/>
          <w:i/>
          <w:lang w:val="lt-LT"/>
        </w:rPr>
        <w:t>Androcur</w:t>
      </w:r>
      <w:proofErr w:type="spellEnd"/>
      <w:r w:rsidRPr="00F169F4">
        <w:rPr>
          <w:rFonts w:ascii="Times New Roman" w:hAnsi="Times New Roman"/>
          <w:i/>
          <w:lang w:val="lt-LT"/>
        </w:rPr>
        <w:t xml:space="preserve"> moterims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Negalima vartoti dvigubos dozės norint kompensuoti praleistą tabletę</w:t>
      </w:r>
      <w:bookmarkStart w:id="0" w:name="OLE_LINK3"/>
      <w:r w:rsidRPr="00F169F4">
        <w:rPr>
          <w:rFonts w:ascii="Times New Roman" w:hAnsi="Times New Roman"/>
          <w:lang w:val="lt-LT"/>
        </w:rPr>
        <w:t>. Toliau gerkite vaistą įprastu laiku</w:t>
      </w:r>
      <w:bookmarkEnd w:id="0"/>
      <w:r>
        <w:rPr>
          <w:rFonts w:ascii="Times New Roman" w:hAnsi="Times New Roman"/>
          <w:lang w:val="lt-LT"/>
        </w:rPr>
        <w:t xml:space="preserve"> kartu su </w:t>
      </w:r>
      <w:proofErr w:type="spellStart"/>
      <w:r>
        <w:rPr>
          <w:rFonts w:ascii="Times New Roman" w:hAnsi="Times New Roman"/>
          <w:lang w:val="lt-LT"/>
        </w:rPr>
        <w:t>progesta</w:t>
      </w:r>
      <w:r w:rsidRPr="00F169F4">
        <w:rPr>
          <w:rFonts w:ascii="Times New Roman" w:hAnsi="Times New Roman"/>
          <w:lang w:val="lt-LT"/>
        </w:rPr>
        <w:t>geno</w:t>
      </w:r>
      <w:proofErr w:type="spellEnd"/>
      <w:r>
        <w:rPr>
          <w:rFonts w:ascii="Times New Roman" w:hAnsi="Times New Roman"/>
          <w:lang w:val="lt-LT"/>
        </w:rPr>
        <w:t>–</w:t>
      </w:r>
      <w:r w:rsidRPr="00F169F4">
        <w:rPr>
          <w:rFonts w:ascii="Times New Roman" w:hAnsi="Times New Roman"/>
          <w:lang w:val="lt-LT"/>
        </w:rPr>
        <w:t xml:space="preserve">estrogeno kontraceptinėmis tabletėmis. Jei Jūs esate gydoma cikliniu kombinuotuoju būdu su kontraceptinėmis tabletėmis, pvz., </w:t>
      </w:r>
      <w:proofErr w:type="spellStart"/>
      <w:r w:rsidRPr="00F169F4">
        <w:rPr>
          <w:rFonts w:ascii="Times New Roman" w:hAnsi="Times New Roman"/>
          <w:lang w:val="lt-LT"/>
        </w:rPr>
        <w:t>Diane</w:t>
      </w:r>
      <w:proofErr w:type="spellEnd"/>
      <w:r w:rsidRPr="00F169F4">
        <w:rPr>
          <w:rFonts w:ascii="Times New Roman" w:hAnsi="Times New Roman"/>
          <w:lang w:val="lt-LT"/>
        </w:rPr>
        <w:t xml:space="preserve">, jas turite gerti kasdien tuo pačiu laiku (kartu su </w:t>
      </w:r>
      <w:proofErr w:type="spellStart"/>
      <w:r w:rsidRPr="00F169F4">
        <w:rPr>
          <w:rFonts w:ascii="Times New Roman" w:hAnsi="Times New Roman"/>
          <w:lang w:val="lt-LT"/>
        </w:rPr>
        <w:t>Androcur</w:t>
      </w:r>
      <w:proofErr w:type="spellEnd"/>
      <w:r w:rsidRPr="00F169F4">
        <w:rPr>
          <w:rFonts w:ascii="Times New Roman" w:hAnsi="Times New Roman"/>
          <w:lang w:val="lt-LT"/>
        </w:rPr>
        <w:t>). Jei pamiršote išgerti kontraceptines tabletes įprastu laiku, privalote išgerti jas vėliausiai per artimiausias 12</w:t>
      </w:r>
      <w:r>
        <w:rPr>
          <w:rFonts w:ascii="Times New Roman" w:hAnsi="Times New Roman"/>
          <w:lang w:val="lt-LT"/>
        </w:rPr>
        <w:t> </w:t>
      </w:r>
      <w:r w:rsidRPr="00F169F4">
        <w:rPr>
          <w:rFonts w:ascii="Times New Roman" w:hAnsi="Times New Roman"/>
          <w:lang w:val="lt-LT"/>
        </w:rPr>
        <w:t>valandų. Jei praeina daugiau kaip 12</w:t>
      </w:r>
      <w:r>
        <w:rPr>
          <w:rFonts w:ascii="Times New Roman" w:hAnsi="Times New Roman"/>
          <w:lang w:val="lt-LT"/>
        </w:rPr>
        <w:t> </w:t>
      </w:r>
      <w:r w:rsidRPr="00F169F4">
        <w:rPr>
          <w:rFonts w:ascii="Times New Roman" w:hAnsi="Times New Roman"/>
          <w:lang w:val="lt-LT"/>
        </w:rPr>
        <w:t xml:space="preserve">valandų nuo to laiko, kai Jūs įprastai geriate kontraceptinę tabletę, kontraceptinė apsauga nuo nėštumo to ciklo metu gali būti sumažėjusi. </w:t>
      </w:r>
      <w:bookmarkStart w:id="1" w:name="OLE_LINK4"/>
      <w:r w:rsidRPr="00F169F4">
        <w:rPr>
          <w:rFonts w:ascii="Times New Roman" w:hAnsi="Times New Roman"/>
          <w:lang w:val="lt-LT"/>
        </w:rPr>
        <w:t>Būtina atsižvelgti į kontraceptinių tablečių pakuotės lapelyje pateikiamas specialiąsias pastabas apie kontraceptinį patikimumą</w:t>
      </w:r>
      <w:bookmarkEnd w:id="1"/>
      <w:r w:rsidRPr="00F169F4">
        <w:rPr>
          <w:rFonts w:ascii="Times New Roman" w:hAnsi="Times New Roman"/>
          <w:lang w:val="lt-LT"/>
        </w:rPr>
        <w:t xml:space="preserve"> ir rekomendacijas užmiršus išgerti tablečių. Jei po gydymo ciklo nėra kraujavimo, prieš pradedant vėl vartoti tabletes, reikia pasitikrinti, ar nepastojote.</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i/>
          <w:lang w:val="lt-LT"/>
        </w:rPr>
      </w:pPr>
      <w:r w:rsidRPr="00F169F4">
        <w:rPr>
          <w:rFonts w:ascii="Times New Roman" w:hAnsi="Times New Roman"/>
          <w:lang w:val="lt-LT"/>
        </w:rPr>
        <w:sym w:font="Symbol" w:char="F02D"/>
      </w:r>
      <w:r w:rsidRPr="00F169F4">
        <w:rPr>
          <w:rFonts w:ascii="Times New Roman" w:hAnsi="Times New Roman"/>
          <w:lang w:val="lt-LT"/>
        </w:rPr>
        <w:tab/>
      </w:r>
      <w:r w:rsidRPr="00F169F4">
        <w:rPr>
          <w:rFonts w:ascii="Times New Roman" w:hAnsi="Times New Roman"/>
          <w:i/>
          <w:lang w:val="lt-LT"/>
        </w:rPr>
        <w:t xml:space="preserve">Užmiršus išgerti </w:t>
      </w:r>
      <w:proofErr w:type="spellStart"/>
      <w:r w:rsidRPr="00F169F4">
        <w:rPr>
          <w:rFonts w:ascii="Times New Roman" w:hAnsi="Times New Roman"/>
          <w:i/>
          <w:lang w:val="lt-LT"/>
        </w:rPr>
        <w:t>Androcur</w:t>
      </w:r>
      <w:proofErr w:type="spellEnd"/>
      <w:r w:rsidRPr="00F169F4">
        <w:rPr>
          <w:rFonts w:ascii="Times New Roman" w:hAnsi="Times New Roman"/>
          <w:i/>
          <w:lang w:val="lt-LT"/>
        </w:rPr>
        <w:t xml:space="preserve"> vyrams</w:t>
      </w:r>
    </w:p>
    <w:p w:rsidR="004226AB" w:rsidRPr="00F169F4" w:rsidRDefault="004226AB" w:rsidP="004226AB">
      <w:pPr>
        <w:spacing w:after="0" w:line="240" w:lineRule="auto"/>
        <w:rPr>
          <w:rFonts w:ascii="Times New Roman" w:hAnsi="Times New Roman"/>
          <w:lang w:val="lt-LT"/>
        </w:rPr>
      </w:pPr>
      <w:bookmarkStart w:id="2" w:name="OLE_LINK9"/>
      <w:bookmarkStart w:id="3" w:name="OLE_LINK8"/>
      <w:r w:rsidRPr="00F169F4">
        <w:rPr>
          <w:rFonts w:ascii="Times New Roman" w:hAnsi="Times New Roman"/>
          <w:lang w:val="lt-LT"/>
        </w:rPr>
        <w:t>Negerkite praleistosios tabletės (negalima gerti dvigubos dozės</w:t>
      </w:r>
      <w:r>
        <w:rPr>
          <w:rFonts w:ascii="Times New Roman" w:hAnsi="Times New Roman"/>
          <w:lang w:val="lt-LT"/>
        </w:rPr>
        <w:t>,</w:t>
      </w:r>
      <w:r w:rsidRPr="00F169F4">
        <w:rPr>
          <w:rFonts w:ascii="Times New Roman" w:hAnsi="Times New Roman"/>
          <w:lang w:val="lt-LT"/>
        </w:rPr>
        <w:t xml:space="preserve"> norint kompensuoti praleistąją tabletę). Toliau gerkite tabletes įprastu laiku.</w:t>
      </w:r>
    </w:p>
    <w:bookmarkEnd w:id="2"/>
    <w:bookmarkEnd w:id="3"/>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 xml:space="preserve">Nustojus vartoti </w:t>
      </w:r>
      <w:proofErr w:type="spellStart"/>
      <w:r w:rsidRPr="00F169F4">
        <w:rPr>
          <w:rFonts w:ascii="Times New Roman" w:hAnsi="Times New Roman"/>
          <w:b/>
          <w:lang w:val="lt-LT"/>
        </w:rPr>
        <w:t>Androcur</w:t>
      </w:r>
      <w:proofErr w:type="spellEnd"/>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Gali pasikeisti pradinė būklė, dėl kurios Jūsų gydytojas</w:t>
      </w:r>
      <w:r w:rsidRPr="00F169F4">
        <w:rPr>
          <w:rFonts w:ascii="Times New Roman" w:hAnsi="Times New Roman"/>
          <w:b/>
          <w:lang w:val="lt-LT"/>
        </w:rPr>
        <w:t xml:space="preserve"> </w:t>
      </w:r>
      <w:r w:rsidRPr="00F169F4">
        <w:rPr>
          <w:rFonts w:ascii="Times New Roman" w:hAnsi="Times New Roman"/>
          <w:lang w:val="lt-LT"/>
        </w:rPr>
        <w:t xml:space="preserve">paskyrė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Nenutraukite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vartojimo, nebent </w:t>
      </w:r>
      <w:r>
        <w:rPr>
          <w:rFonts w:ascii="Times New Roman" w:hAnsi="Times New Roman"/>
          <w:lang w:val="lt-LT"/>
        </w:rPr>
        <w:t>J</w:t>
      </w:r>
      <w:r w:rsidRPr="00F169F4">
        <w:rPr>
          <w:rFonts w:ascii="Times New Roman" w:hAnsi="Times New Roman"/>
          <w:lang w:val="lt-LT"/>
        </w:rPr>
        <w:t xml:space="preserve">ums tai nurodė Jūsų gydytojas. Jeigu norite nutraukti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vartojimą, prieš ta</w:t>
      </w:r>
      <w:r>
        <w:rPr>
          <w:rFonts w:ascii="Times New Roman" w:hAnsi="Times New Roman"/>
          <w:lang w:val="lt-LT"/>
        </w:rPr>
        <w:t>i pasitarkite su gydytoju.</w:t>
      </w:r>
    </w:p>
    <w:p w:rsidR="004226AB" w:rsidRPr="00F169F4" w:rsidRDefault="004226AB" w:rsidP="004226AB">
      <w:pPr>
        <w:spacing w:after="0" w:line="240" w:lineRule="auto"/>
        <w:rPr>
          <w:rFonts w:ascii="Times New Roman" w:hAnsi="Times New Roman"/>
          <w:b/>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Jeigu kiltų daugiau klausimų dėl šio vaisto vartojimo, kreipkitės į gydytoją arba vaistininką.</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2"/>
        <w:rPr>
          <w:rFonts w:ascii="Times New Roman" w:hAnsi="Times New Roman"/>
          <w:b/>
          <w:lang w:val="lt-LT"/>
        </w:rPr>
      </w:pPr>
      <w:r w:rsidRPr="00F169F4">
        <w:rPr>
          <w:rFonts w:ascii="Times New Roman" w:hAnsi="Times New Roman"/>
          <w:b/>
          <w:lang w:val="lt-LT"/>
        </w:rPr>
        <w:t>4.</w:t>
      </w:r>
      <w:r w:rsidRPr="00F169F4">
        <w:rPr>
          <w:rFonts w:ascii="Times New Roman" w:hAnsi="Times New Roman"/>
          <w:b/>
          <w:lang w:val="lt-LT"/>
        </w:rPr>
        <w:tab/>
        <w:t>Galimas šalutinis poveikis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numPr>
          <w:ilvl w:val="12"/>
          <w:numId w:val="0"/>
        </w:numPr>
        <w:spacing w:after="0" w:line="240" w:lineRule="auto"/>
        <w:ind w:right="-29"/>
        <w:rPr>
          <w:rFonts w:ascii="Times New Roman" w:hAnsi="Times New Roman"/>
          <w:lang w:val="lt-LT"/>
        </w:rPr>
      </w:pPr>
      <w:r w:rsidRPr="00F169F4">
        <w:rPr>
          <w:rFonts w:ascii="Times New Roman" w:hAnsi="Times New Roman"/>
          <w:lang w:val="lt-LT"/>
        </w:rPr>
        <w:t>Šis vaistas, kaip ir visi kiti, gali sukelti šalutinį poveikį, nors jis pasireiškia ne visiems žmonėms.</w:t>
      </w:r>
    </w:p>
    <w:p w:rsidR="004226AB" w:rsidRPr="00282980" w:rsidRDefault="004226AB" w:rsidP="004226AB">
      <w:pPr>
        <w:keepNext/>
        <w:tabs>
          <w:tab w:val="left" w:pos="480"/>
        </w:tabs>
        <w:spacing w:after="0" w:line="240" w:lineRule="auto"/>
        <w:rPr>
          <w:rFonts w:ascii="Times New Roman" w:eastAsia="Times New Roman" w:hAnsi="Times New Roman" w:cs="Times New Roman"/>
          <w:lang w:val="lt-LT" w:eastAsia="de-DE"/>
        </w:rPr>
      </w:pPr>
    </w:p>
    <w:p w:rsidR="004226AB" w:rsidRPr="00282980" w:rsidRDefault="004226AB" w:rsidP="004226AB">
      <w:pPr>
        <w:keepNext/>
        <w:tabs>
          <w:tab w:val="left" w:pos="480"/>
        </w:tabs>
        <w:spacing w:after="0" w:line="240" w:lineRule="auto"/>
        <w:rPr>
          <w:rFonts w:ascii="Times New Roman" w:eastAsia="Times New Roman" w:hAnsi="Times New Roman" w:cs="Times New Roman"/>
          <w:bCs/>
          <w:lang w:val="lt-LT" w:eastAsia="de-DE"/>
        </w:rPr>
      </w:pPr>
      <w:r w:rsidRPr="00282980">
        <w:rPr>
          <w:rFonts w:ascii="Times New Roman" w:eastAsia="Times New Roman" w:hAnsi="Times New Roman" w:cs="Times New Roman"/>
          <w:bCs/>
          <w:lang w:val="lt-LT" w:eastAsia="de-DE"/>
        </w:rPr>
        <w:t xml:space="preserve">Pasakykite savo gydytojui </w:t>
      </w:r>
      <w:r w:rsidRPr="00282980">
        <w:rPr>
          <w:rFonts w:ascii="Times New Roman" w:eastAsia="Times New Roman" w:hAnsi="Times New Roman" w:cs="Times New Roman"/>
          <w:b/>
          <w:bCs/>
          <w:lang w:val="lt-LT" w:eastAsia="de-DE"/>
        </w:rPr>
        <w:t>nedelsdami</w:t>
      </w:r>
      <w:r w:rsidRPr="00282980">
        <w:rPr>
          <w:rFonts w:ascii="Times New Roman" w:eastAsia="Times New Roman" w:hAnsi="Times New Roman" w:cs="Times New Roman"/>
          <w:bCs/>
          <w:lang w:val="lt-LT" w:eastAsia="de-DE"/>
        </w:rPr>
        <w:t xml:space="preserve">, </w:t>
      </w:r>
      <w:r w:rsidRPr="00282980">
        <w:rPr>
          <w:rFonts w:ascii="Times New Roman" w:eastAsia="Times New Roman" w:hAnsi="Times New Roman" w:cs="Times New Roman"/>
          <w:lang w:val="lt-LT" w:eastAsia="de-DE"/>
        </w:rPr>
        <w:t>jei pastebėjote bet kurį iš šių simptomų</w:t>
      </w:r>
      <w:r w:rsidRPr="00282980">
        <w:rPr>
          <w:rFonts w:ascii="Times New Roman" w:eastAsia="Times New Roman" w:hAnsi="Times New Roman" w:cs="Times New Roman"/>
          <w:bCs/>
          <w:lang w:val="lt-LT" w:eastAsia="de-DE"/>
        </w:rPr>
        <w:t>:</w:t>
      </w:r>
    </w:p>
    <w:p w:rsidR="004226AB" w:rsidRPr="00F169F4" w:rsidRDefault="004226AB" w:rsidP="004226AB">
      <w:pPr>
        <w:numPr>
          <w:ilvl w:val="0"/>
          <w:numId w:val="12"/>
        </w:numPr>
        <w:spacing w:after="0" w:line="240" w:lineRule="auto"/>
        <w:ind w:left="360"/>
        <w:rPr>
          <w:rFonts w:ascii="Times New Roman" w:hAnsi="Times New Roman"/>
          <w:lang w:val="lt-LT"/>
        </w:rPr>
      </w:pPr>
      <w:r w:rsidRPr="00F169F4">
        <w:rPr>
          <w:rFonts w:ascii="Times New Roman" w:hAnsi="Times New Roman"/>
          <w:lang w:val="lt-LT"/>
        </w:rPr>
        <w:t>bendra bloga savijauta, karščiavimas, pykinimas, vėmimas, sumažėjęs apetitas, viso kūno niežulys,</w:t>
      </w:r>
      <w:r w:rsidRPr="00F169F4">
        <w:rPr>
          <w:rFonts w:ascii="Times New Roman" w:hAnsi="Times New Roman"/>
          <w:color w:val="000000"/>
          <w:lang w:val="lt-LT"/>
        </w:rPr>
        <w:t xml:space="preserve"> odos ir akių pageltimas, šviesios spalvos išmatos, tamsios spalvos šlapimas.</w:t>
      </w:r>
      <w:r>
        <w:rPr>
          <w:rFonts w:ascii="Times New Roman" w:hAnsi="Times New Roman"/>
          <w:color w:val="000000"/>
          <w:lang w:val="lt-LT"/>
        </w:rPr>
        <w:t xml:space="preserve"> Tai gali būti toksinio poveikio</w:t>
      </w:r>
      <w:r w:rsidRPr="00F169F4">
        <w:rPr>
          <w:rFonts w:ascii="Times New Roman" w:hAnsi="Times New Roman"/>
          <w:color w:val="000000"/>
          <w:lang w:val="lt-LT"/>
        </w:rPr>
        <w:t xml:space="preserve"> kepenims, įskaitant kepenų uždegimą </w:t>
      </w:r>
      <w:r w:rsidRPr="00023818">
        <w:rPr>
          <w:rFonts w:ascii="Times New Roman" w:hAnsi="Times New Roman"/>
          <w:color w:val="000000"/>
          <w:lang w:val="lt-LT"/>
        </w:rPr>
        <w:t>(</w:t>
      </w:r>
      <w:r w:rsidRPr="00F169F4">
        <w:rPr>
          <w:rFonts w:ascii="Times New Roman" w:hAnsi="Times New Roman"/>
          <w:i/>
          <w:color w:val="000000"/>
          <w:lang w:val="lt-LT"/>
        </w:rPr>
        <w:t>hepatitą</w:t>
      </w:r>
      <w:r w:rsidRPr="00023818">
        <w:rPr>
          <w:rFonts w:ascii="Times New Roman" w:hAnsi="Times New Roman"/>
          <w:color w:val="000000"/>
          <w:lang w:val="lt-LT"/>
        </w:rPr>
        <w:t>)</w:t>
      </w:r>
      <w:r w:rsidRPr="00F169F4">
        <w:rPr>
          <w:rFonts w:ascii="Times New Roman" w:hAnsi="Times New Roman"/>
          <w:color w:val="000000"/>
          <w:lang w:val="lt-LT"/>
        </w:rPr>
        <w:t xml:space="preserve"> ar kepenų nepakankamumą, simptomai.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numPr>
          <w:ilvl w:val="12"/>
          <w:numId w:val="0"/>
        </w:numPr>
        <w:spacing w:after="0" w:line="240" w:lineRule="auto"/>
        <w:ind w:right="-29"/>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gydomiems pacientams buvo nustatyta kepenų veiklos sutrikimų, kai kurie iš jų sunkūs (gelta, hepatitas ir kepenų nepakankamumas). Gydant 100 mg ir didesnėmis dozėmis, taip pat pasitaikė atvejų, pasibaigusių mirtimi. Dauguma mirtinų atvejų buvo progresavusiu priešinės liaukos vėžiu sergantiems vyrams. Kepenų veiklos sutrikimai priklauso nuo dozės ir paprastai pasireiškia po kelių mėnesių nuo gydymo pradžios. Todėl Jūsų gydytojas turėtų tirti Jūsų kepenų veiklą prieš pradedant gydyti ir gydant, ypač atsiradus bet kokių simptomų ar reiškinių, rodančių toksinį poveikį kepenims. Patvirtinus šį poveikį, gydytojas nutrauks gydymą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nebent kepenų </w:t>
      </w:r>
      <w:proofErr w:type="spellStart"/>
      <w:r w:rsidRPr="00F169F4">
        <w:rPr>
          <w:rFonts w:ascii="Times New Roman" w:hAnsi="Times New Roman"/>
          <w:lang w:val="lt-LT"/>
        </w:rPr>
        <w:t>toksiškumą</w:t>
      </w:r>
      <w:proofErr w:type="spellEnd"/>
      <w:r w:rsidRPr="00F169F4">
        <w:rPr>
          <w:rFonts w:ascii="Times New Roman" w:hAnsi="Times New Roman"/>
          <w:lang w:val="lt-LT"/>
        </w:rPr>
        <w:t xml:space="preserve"> galima paaiškinti kitomis priežastimis (pvz., antriniu naviku). Tokiu atveju gydytojas gali tęsti Jūsų gydymą </w:t>
      </w:r>
      <w:proofErr w:type="spellStart"/>
      <w:r w:rsidRPr="00F169F4">
        <w:rPr>
          <w:rFonts w:ascii="Times New Roman" w:hAnsi="Times New Roman"/>
          <w:lang w:val="lt-LT"/>
        </w:rPr>
        <w:t>Androcur</w:t>
      </w:r>
      <w:proofErr w:type="spellEnd"/>
      <w:r w:rsidRPr="00F169F4">
        <w:rPr>
          <w:rFonts w:ascii="Times New Roman" w:hAnsi="Times New Roman"/>
          <w:lang w:val="lt-LT"/>
        </w:rPr>
        <w:t>, jei tikėtina gydymo nauda didesnė už galimą riziką.</w:t>
      </w:r>
    </w:p>
    <w:p w:rsidR="004226AB" w:rsidRPr="00F169F4" w:rsidRDefault="004226AB" w:rsidP="004226AB">
      <w:pPr>
        <w:spacing w:after="0" w:line="240" w:lineRule="auto"/>
        <w:ind w:left="360"/>
        <w:rPr>
          <w:rFonts w:ascii="Times New Roman" w:hAnsi="Times New Roman"/>
          <w:lang w:val="lt-LT"/>
        </w:rPr>
      </w:pPr>
    </w:p>
    <w:p w:rsidR="004226AB" w:rsidRPr="00F169F4" w:rsidRDefault="004226AB" w:rsidP="004226AB">
      <w:pPr>
        <w:numPr>
          <w:ilvl w:val="0"/>
          <w:numId w:val="12"/>
        </w:numPr>
        <w:spacing w:after="0" w:line="240" w:lineRule="auto"/>
        <w:ind w:left="360"/>
        <w:rPr>
          <w:rFonts w:ascii="Times New Roman" w:hAnsi="Times New Roman"/>
          <w:lang w:val="lt-LT"/>
        </w:rPr>
      </w:pPr>
      <w:r w:rsidRPr="00F169F4">
        <w:rPr>
          <w:rFonts w:ascii="Times New Roman" w:hAnsi="Times New Roman"/>
          <w:lang w:val="lt-LT"/>
        </w:rPr>
        <w:t xml:space="preserve">Neįprastas greitai nepraeinantis skausmas viršutinėje pilvo dalyje. Šis simptomas gali būti gerybinio ar piktybinio kepenų naviko požymis, galinčio sukelti gyvybei pavojingą kraujavimą į pilvo ertmę </w:t>
      </w:r>
      <w:r w:rsidRPr="00023818">
        <w:rPr>
          <w:rFonts w:ascii="Times New Roman" w:hAnsi="Times New Roman"/>
          <w:lang w:val="lt-LT"/>
        </w:rPr>
        <w:t>(</w:t>
      </w:r>
      <w:proofErr w:type="spellStart"/>
      <w:r w:rsidRPr="00F169F4">
        <w:rPr>
          <w:rFonts w:ascii="Times New Roman" w:hAnsi="Times New Roman"/>
          <w:i/>
          <w:color w:val="000000"/>
          <w:lang w:val="lt-LT"/>
        </w:rPr>
        <w:t>intraabdominalinis</w:t>
      </w:r>
      <w:proofErr w:type="spellEnd"/>
      <w:r w:rsidRPr="00F169F4">
        <w:rPr>
          <w:rFonts w:ascii="Times New Roman" w:hAnsi="Times New Roman"/>
          <w:i/>
          <w:color w:val="000000"/>
          <w:lang w:val="lt-LT"/>
        </w:rPr>
        <w:t xml:space="preserve"> kraujavimas</w:t>
      </w:r>
      <w:r w:rsidRPr="00023818">
        <w:rPr>
          <w:rFonts w:ascii="Times New Roman" w:hAnsi="Times New Roman"/>
          <w:color w:val="000000"/>
          <w:lang w:val="lt-LT"/>
        </w:rPr>
        <w:t>)</w:t>
      </w:r>
      <w:r w:rsidRPr="00F72469">
        <w:rPr>
          <w:rFonts w:ascii="Times New Roman" w:hAnsi="Times New Roman"/>
          <w:color w:val="000000"/>
          <w:lang w:val="lt-LT"/>
        </w:rPr>
        <w:t>.</w:t>
      </w:r>
    </w:p>
    <w:p w:rsidR="004226AB" w:rsidRPr="00F169F4" w:rsidRDefault="004226AB" w:rsidP="004226AB">
      <w:pPr>
        <w:numPr>
          <w:ilvl w:val="0"/>
          <w:numId w:val="12"/>
        </w:numPr>
        <w:spacing w:after="0" w:line="240" w:lineRule="auto"/>
        <w:ind w:left="360"/>
        <w:rPr>
          <w:rFonts w:ascii="Times New Roman" w:hAnsi="Times New Roman"/>
          <w:lang w:val="lt-LT"/>
        </w:rPr>
      </w:pPr>
      <w:r w:rsidRPr="00F169F4">
        <w:rPr>
          <w:rFonts w:ascii="Times New Roman" w:hAnsi="Times New Roman"/>
          <w:lang w:val="lt-LT"/>
        </w:rPr>
        <w:t xml:space="preserve">Blauzdos arba kojos tinimas, krūtinės skausmas, dusulys arba staigus silpnumas. Šie simptomai gali būti kraujo krešulių formavimosi požymiai </w:t>
      </w:r>
      <w:r w:rsidRPr="00023818">
        <w:rPr>
          <w:rFonts w:ascii="Times New Roman" w:hAnsi="Times New Roman"/>
          <w:lang w:val="lt-LT"/>
        </w:rPr>
        <w:t>(</w:t>
      </w:r>
      <w:proofErr w:type="spellStart"/>
      <w:r w:rsidRPr="00F169F4">
        <w:rPr>
          <w:rFonts w:ascii="Times New Roman" w:hAnsi="Times New Roman"/>
          <w:i/>
          <w:lang w:val="lt-LT"/>
        </w:rPr>
        <w:t>tromboembolijos</w:t>
      </w:r>
      <w:proofErr w:type="spellEnd"/>
      <w:r w:rsidRPr="00F169F4">
        <w:rPr>
          <w:rFonts w:ascii="Times New Roman" w:hAnsi="Times New Roman"/>
          <w:i/>
          <w:lang w:val="lt-LT"/>
        </w:rPr>
        <w:t xml:space="preserve"> reiškiniai</w:t>
      </w:r>
      <w:r w:rsidRPr="00023818">
        <w:rPr>
          <w:rFonts w:ascii="Times New Roman" w:hAnsi="Times New Roman"/>
          <w:lang w:val="lt-LT"/>
        </w:rPr>
        <w:t>).</w:t>
      </w:r>
    </w:p>
    <w:p w:rsidR="004226AB" w:rsidRPr="00F169F4" w:rsidRDefault="004226AB" w:rsidP="004226AB">
      <w:pPr>
        <w:spacing w:after="0" w:line="240" w:lineRule="auto"/>
        <w:rPr>
          <w:rFonts w:ascii="Times New Roman" w:hAnsi="Times New Roman"/>
          <w:b/>
          <w:lang w:val="lt-LT"/>
        </w:rPr>
      </w:pPr>
    </w:p>
    <w:p w:rsidR="004226AB" w:rsidRPr="00F169F4" w:rsidRDefault="004226AB" w:rsidP="004226AB">
      <w:pPr>
        <w:keepNext/>
        <w:spacing w:after="0" w:line="240" w:lineRule="auto"/>
        <w:rPr>
          <w:rFonts w:ascii="Times New Roman" w:hAnsi="Times New Roman"/>
          <w:b/>
          <w:lang w:val="lt-LT"/>
        </w:rPr>
      </w:pPr>
      <w:r w:rsidRPr="00F169F4">
        <w:rPr>
          <w:rFonts w:ascii="Times New Roman" w:hAnsi="Times New Roman"/>
          <w:b/>
          <w:lang w:val="lt-LT"/>
        </w:rPr>
        <w:t>Moterims</w:t>
      </w:r>
    </w:p>
    <w:p w:rsidR="004226AB" w:rsidRDefault="004226AB" w:rsidP="004226AB">
      <w:pPr>
        <w:spacing w:after="0" w:line="240" w:lineRule="auto"/>
        <w:rPr>
          <w:rFonts w:ascii="Times New Roman" w:hAnsi="Times New Roman"/>
          <w:b/>
          <w:lang w:val="lt-LT"/>
        </w:rPr>
      </w:pPr>
    </w:p>
    <w:p w:rsidR="004226AB" w:rsidRPr="00F169F4" w:rsidRDefault="004226AB" w:rsidP="004226AB">
      <w:pPr>
        <w:spacing w:after="0" w:line="240" w:lineRule="auto"/>
        <w:rPr>
          <w:rFonts w:ascii="Times New Roman" w:hAnsi="Times New Roman"/>
          <w:lang w:val="lt-LT"/>
        </w:rPr>
      </w:pPr>
      <w:r>
        <w:rPr>
          <w:rFonts w:ascii="Times New Roman" w:hAnsi="Times New Roman"/>
          <w:b/>
          <w:lang w:val="lt-LT"/>
        </w:rPr>
        <w:t>Retas</w:t>
      </w:r>
      <w:r w:rsidRPr="00F169F4">
        <w:rPr>
          <w:rFonts w:ascii="Times New Roman" w:hAnsi="Times New Roman"/>
          <w:b/>
          <w:lang w:val="lt-LT"/>
        </w:rPr>
        <w:t xml:space="preserve"> šalutinis poveikis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gerybiniai smegenų navikai (</w:t>
      </w:r>
      <w:proofErr w:type="spellStart"/>
      <w:r w:rsidRPr="00F169F4">
        <w:rPr>
          <w:rFonts w:ascii="Times New Roman" w:hAnsi="Times New Roman"/>
          <w:lang w:val="lt-LT"/>
        </w:rPr>
        <w:t>meningiomos</w:t>
      </w:r>
      <w:proofErr w:type="spellEnd"/>
      <w:r w:rsidRPr="00F169F4">
        <w:rPr>
          <w:rFonts w:ascii="Times New Roman" w:hAnsi="Times New Roman"/>
          <w:lang w:val="lt-LT"/>
        </w:rPr>
        <w:t>) (žr. skyrių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r>
        <w:rPr>
          <w:rFonts w:ascii="Times New Roman" w:hAnsi="Times New Roman"/>
          <w:lang w:val="lt-LT"/>
        </w:rPr>
        <w:t>.</w:t>
      </w:r>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lang w:val="lt-LT"/>
        </w:rPr>
      </w:pPr>
      <w:r w:rsidRPr="00F169F4">
        <w:rPr>
          <w:rFonts w:ascii="Times New Roman" w:hAnsi="Times New Roman"/>
          <w:b/>
          <w:lang w:val="lt-LT"/>
        </w:rPr>
        <w:t>Šalutinis poveikis, pasireiškiantis nežinomu dažniu</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gerybiniai ir piktybiniai kepenų navikai,</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alerginė reakcija (padidėjęs jautrumas),</w:t>
      </w:r>
    </w:p>
    <w:p w:rsidR="004226AB" w:rsidRPr="00F169F4" w:rsidRDefault="004226AB" w:rsidP="004226AB">
      <w:pPr>
        <w:numPr>
          <w:ilvl w:val="0"/>
          <w:numId w:val="13"/>
        </w:numPr>
        <w:spacing w:after="0" w:line="240" w:lineRule="auto"/>
        <w:ind w:hanging="720"/>
        <w:rPr>
          <w:rFonts w:ascii="Times New Roman" w:hAnsi="Times New Roman"/>
          <w:lang w:val="lt-LT"/>
        </w:rPr>
      </w:pPr>
      <w:r w:rsidRPr="00F169F4">
        <w:rPr>
          <w:rFonts w:ascii="Times New Roman" w:hAnsi="Times New Roman"/>
          <w:lang w:val="lt-LT"/>
        </w:rPr>
        <w:t>padidėjęs svoris,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sumažėjęs svoris,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prislėgta nuotaika,</w:t>
      </w:r>
    </w:p>
    <w:p w:rsidR="004226AB" w:rsidRPr="00F169F4" w:rsidRDefault="004226AB" w:rsidP="004226AB">
      <w:pPr>
        <w:numPr>
          <w:ilvl w:val="0"/>
          <w:numId w:val="13"/>
        </w:numPr>
        <w:spacing w:after="0" w:line="240" w:lineRule="auto"/>
        <w:ind w:hanging="720"/>
        <w:rPr>
          <w:rFonts w:ascii="Times New Roman" w:hAnsi="Times New Roman"/>
          <w:lang w:val="lt-LT"/>
        </w:rPr>
      </w:pPr>
      <w:r w:rsidRPr="00F169F4">
        <w:rPr>
          <w:rFonts w:ascii="Times New Roman" w:hAnsi="Times New Roman"/>
          <w:lang w:val="lt-LT"/>
        </w:rPr>
        <w:t>laikinas nerimas,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 xml:space="preserve">sumažėjęs lytinis potraukis (sumažėjęs </w:t>
      </w:r>
      <w:proofErr w:type="spellStart"/>
      <w:r w:rsidRPr="00F169F4">
        <w:rPr>
          <w:rFonts w:ascii="Times New Roman" w:hAnsi="Times New Roman"/>
          <w:lang w:val="lt-LT"/>
        </w:rPr>
        <w:t>libido</w:t>
      </w:r>
      <w:proofErr w:type="spellEnd"/>
      <w:r w:rsidRPr="00F169F4">
        <w:rPr>
          <w:rFonts w:ascii="Times New Roman" w:hAnsi="Times New Roman"/>
          <w:lang w:val="lt-LT"/>
        </w:rPr>
        <w:t>),</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 xml:space="preserve">padidėjęs lytinis potraukis (padidėjęs </w:t>
      </w:r>
      <w:proofErr w:type="spellStart"/>
      <w:r w:rsidRPr="00F169F4">
        <w:rPr>
          <w:rFonts w:ascii="Times New Roman" w:hAnsi="Times New Roman"/>
          <w:lang w:val="lt-LT"/>
        </w:rPr>
        <w:t>libido</w:t>
      </w:r>
      <w:proofErr w:type="spellEnd"/>
      <w:r w:rsidRPr="00F169F4">
        <w:rPr>
          <w:rFonts w:ascii="Times New Roman" w:hAnsi="Times New Roman"/>
          <w:lang w:val="lt-LT"/>
        </w:rPr>
        <w:t>),</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kraujo krešulių formavimasis (</w:t>
      </w:r>
      <w:proofErr w:type="spellStart"/>
      <w:r w:rsidRPr="00F169F4">
        <w:rPr>
          <w:rFonts w:ascii="Times New Roman" w:hAnsi="Times New Roman"/>
          <w:lang w:val="lt-LT"/>
        </w:rPr>
        <w:t>tromboembolijos</w:t>
      </w:r>
      <w:proofErr w:type="spellEnd"/>
      <w:r w:rsidRPr="00F169F4">
        <w:rPr>
          <w:rFonts w:ascii="Times New Roman" w:hAnsi="Times New Roman"/>
          <w:lang w:val="lt-LT"/>
        </w:rPr>
        <w:t xml:space="preserve"> reiškiniai) (žr. skyrių „Specialių atsargumo priemonių reikia“),</w:t>
      </w:r>
    </w:p>
    <w:p w:rsidR="004226AB" w:rsidRPr="00F169F4" w:rsidRDefault="004226AB" w:rsidP="004226AB">
      <w:pPr>
        <w:numPr>
          <w:ilvl w:val="0"/>
          <w:numId w:val="13"/>
        </w:numPr>
        <w:spacing w:after="0" w:line="240" w:lineRule="auto"/>
        <w:ind w:hanging="720"/>
        <w:rPr>
          <w:rFonts w:ascii="Times New Roman" w:hAnsi="Times New Roman"/>
          <w:lang w:val="lt-LT"/>
        </w:rPr>
      </w:pPr>
      <w:r w:rsidRPr="00F169F4">
        <w:rPr>
          <w:rFonts w:ascii="Times New Roman" w:hAnsi="Times New Roman"/>
          <w:lang w:val="lt-LT"/>
        </w:rPr>
        <w:t>dusulys,</w:t>
      </w:r>
    </w:p>
    <w:p w:rsidR="004226AB" w:rsidRPr="00F169F4" w:rsidRDefault="004226AB" w:rsidP="004226AB">
      <w:pPr>
        <w:numPr>
          <w:ilvl w:val="0"/>
          <w:numId w:val="13"/>
        </w:numPr>
        <w:spacing w:after="0" w:line="240" w:lineRule="auto"/>
        <w:ind w:hanging="720"/>
        <w:rPr>
          <w:rFonts w:ascii="Times New Roman" w:hAnsi="Times New Roman"/>
          <w:lang w:val="lt-LT"/>
        </w:rPr>
      </w:pPr>
      <w:r w:rsidRPr="00F169F4">
        <w:rPr>
          <w:rFonts w:ascii="Times New Roman" w:hAnsi="Times New Roman"/>
          <w:lang w:val="lt-LT"/>
        </w:rPr>
        <w:t>vidinis kraujavimas į pilvo ertmę (</w:t>
      </w:r>
      <w:proofErr w:type="spellStart"/>
      <w:r w:rsidRPr="00F169F4">
        <w:rPr>
          <w:rFonts w:ascii="Times New Roman" w:hAnsi="Times New Roman"/>
          <w:lang w:val="lt-LT"/>
        </w:rPr>
        <w:t>intraabdominalinis</w:t>
      </w:r>
      <w:proofErr w:type="spellEnd"/>
      <w:r w:rsidRPr="00F169F4">
        <w:rPr>
          <w:rFonts w:ascii="Times New Roman" w:hAnsi="Times New Roman"/>
          <w:lang w:val="lt-LT"/>
        </w:rPr>
        <w:t xml:space="preserve"> kraujavimas),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toksinis poveikis kepenims, įskaitant geltą, kepenų uždegimą (hepatitas), kepenų nepakankamumą,</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išbėrimas,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ovuliacijos slopinimas,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krūtų jautrumas,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tepimas (negausus kraujavimas iš gimdos),</w:t>
      </w:r>
    </w:p>
    <w:p w:rsidR="004226AB" w:rsidRPr="00F169F4" w:rsidRDefault="004226AB" w:rsidP="004226AB">
      <w:pPr>
        <w:numPr>
          <w:ilvl w:val="0"/>
          <w:numId w:val="13"/>
        </w:numPr>
        <w:spacing w:after="0" w:line="240" w:lineRule="auto"/>
        <w:ind w:left="360"/>
        <w:rPr>
          <w:rFonts w:ascii="Times New Roman" w:hAnsi="Times New Roman"/>
          <w:lang w:val="lt-LT"/>
        </w:rPr>
      </w:pPr>
      <w:r w:rsidRPr="00F169F4">
        <w:rPr>
          <w:rFonts w:ascii="Times New Roman" w:hAnsi="Times New Roman"/>
          <w:lang w:val="lt-LT"/>
        </w:rPr>
        <w:t>nuovargis.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b/>
          <w:lang w:val="lt-LT"/>
        </w:rPr>
      </w:pPr>
      <w:r w:rsidRPr="00F169F4">
        <w:rPr>
          <w:rFonts w:ascii="Times New Roman" w:hAnsi="Times New Roman"/>
          <w:b/>
          <w:lang w:val="lt-LT"/>
        </w:rPr>
        <w:t>Vyrams</w:t>
      </w:r>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b/>
          <w:lang w:val="lt-LT"/>
        </w:rPr>
      </w:pPr>
      <w:r w:rsidRPr="00F169F4">
        <w:rPr>
          <w:rFonts w:ascii="Times New Roman" w:hAnsi="Times New Roman"/>
          <w:b/>
          <w:lang w:val="lt-LT"/>
        </w:rPr>
        <w:t>Šalutinis poveikis pasireiškia tam tikru dažniu, kuris apibrėžiamas taip:</w:t>
      </w:r>
    </w:p>
    <w:p w:rsidR="004226AB" w:rsidRPr="00F169F4" w:rsidRDefault="004226AB" w:rsidP="004226AB">
      <w:pPr>
        <w:keepNext/>
        <w:numPr>
          <w:ilvl w:val="0"/>
          <w:numId w:val="14"/>
        </w:numPr>
        <w:tabs>
          <w:tab w:val="left" w:pos="567"/>
        </w:tabs>
        <w:spacing w:after="0" w:line="260" w:lineRule="exact"/>
        <w:rPr>
          <w:rFonts w:ascii="Times New Roman" w:hAnsi="Times New Roman"/>
          <w:lang w:val="lt-LT"/>
        </w:rPr>
      </w:pPr>
      <w:r w:rsidRPr="00F169F4">
        <w:rPr>
          <w:rFonts w:ascii="Times New Roman" w:hAnsi="Times New Roman"/>
          <w:lang w:val="lt-LT"/>
        </w:rPr>
        <w:t>labai dažnas: pasireiškia ne mažiau kaip 1 iš 10 pacientų,</w:t>
      </w:r>
    </w:p>
    <w:p w:rsidR="004226AB" w:rsidRPr="00F169F4" w:rsidRDefault="004226AB" w:rsidP="004226AB">
      <w:pPr>
        <w:keepNext/>
        <w:numPr>
          <w:ilvl w:val="0"/>
          <w:numId w:val="14"/>
        </w:numPr>
        <w:tabs>
          <w:tab w:val="left" w:pos="567"/>
        </w:tabs>
        <w:spacing w:after="0" w:line="260" w:lineRule="exact"/>
        <w:rPr>
          <w:rFonts w:ascii="Times New Roman" w:hAnsi="Times New Roman"/>
          <w:lang w:val="lt-LT"/>
        </w:rPr>
      </w:pPr>
      <w:r w:rsidRPr="00F169F4">
        <w:rPr>
          <w:rFonts w:ascii="Times New Roman" w:hAnsi="Times New Roman"/>
          <w:lang w:val="lt-LT"/>
        </w:rPr>
        <w:t>dažnas: pasireiškia ne mažiau kaip 1 iš 100, bet mažiau kaip 1 iš 10 pacientų,</w:t>
      </w:r>
    </w:p>
    <w:p w:rsidR="004226AB" w:rsidRPr="00F169F4" w:rsidRDefault="004226AB" w:rsidP="004226AB">
      <w:pPr>
        <w:keepNext/>
        <w:numPr>
          <w:ilvl w:val="0"/>
          <w:numId w:val="14"/>
        </w:numPr>
        <w:tabs>
          <w:tab w:val="left" w:pos="567"/>
        </w:tabs>
        <w:spacing w:after="0" w:line="260" w:lineRule="exact"/>
        <w:rPr>
          <w:rFonts w:ascii="Times New Roman" w:hAnsi="Times New Roman"/>
          <w:lang w:val="lt-LT"/>
        </w:rPr>
      </w:pPr>
      <w:r w:rsidRPr="00F169F4">
        <w:rPr>
          <w:rFonts w:ascii="Times New Roman" w:hAnsi="Times New Roman"/>
          <w:lang w:val="lt-LT"/>
        </w:rPr>
        <w:t>nedažnas: pasireiškia ne mažiau kaip 1 iš 1 000, bet mažiau kaip 1 iš 100 pacientų,</w:t>
      </w:r>
    </w:p>
    <w:p w:rsidR="004226AB" w:rsidRPr="00F169F4" w:rsidRDefault="004226AB" w:rsidP="004226AB">
      <w:pPr>
        <w:keepNext/>
        <w:numPr>
          <w:ilvl w:val="0"/>
          <w:numId w:val="14"/>
        </w:numPr>
        <w:tabs>
          <w:tab w:val="left" w:pos="567"/>
        </w:tabs>
        <w:spacing w:after="0" w:line="260" w:lineRule="exact"/>
        <w:rPr>
          <w:rFonts w:ascii="Times New Roman" w:hAnsi="Times New Roman"/>
          <w:lang w:val="lt-LT"/>
        </w:rPr>
      </w:pPr>
      <w:r w:rsidRPr="00F169F4">
        <w:rPr>
          <w:rFonts w:ascii="Times New Roman" w:hAnsi="Times New Roman"/>
          <w:lang w:val="lt-LT"/>
        </w:rPr>
        <w:t>retas: pasireiškia ne mažiau kaip 1 iš 10 000, bet mažiau kaip 1 iš 1 000 pacientų,</w:t>
      </w:r>
    </w:p>
    <w:p w:rsidR="004226AB" w:rsidRPr="00F169F4" w:rsidRDefault="004226AB" w:rsidP="004226AB">
      <w:pPr>
        <w:keepNext/>
        <w:numPr>
          <w:ilvl w:val="0"/>
          <w:numId w:val="14"/>
        </w:numPr>
        <w:tabs>
          <w:tab w:val="left" w:pos="567"/>
        </w:tabs>
        <w:spacing w:after="0" w:line="260" w:lineRule="exact"/>
        <w:rPr>
          <w:rFonts w:ascii="Times New Roman" w:hAnsi="Times New Roman"/>
          <w:lang w:val="lt-LT"/>
        </w:rPr>
      </w:pPr>
      <w:r w:rsidRPr="00F169F4">
        <w:rPr>
          <w:rFonts w:ascii="Times New Roman" w:hAnsi="Times New Roman"/>
          <w:lang w:val="lt-LT"/>
        </w:rPr>
        <w:t>labai retas: pasireiškia mažiau kaip 1 iš 10 000 pacientų,</w:t>
      </w:r>
    </w:p>
    <w:p w:rsidR="004226AB" w:rsidRPr="00F169F4" w:rsidRDefault="004226AB" w:rsidP="004226AB">
      <w:pPr>
        <w:keepNext/>
        <w:numPr>
          <w:ilvl w:val="0"/>
          <w:numId w:val="14"/>
        </w:numPr>
        <w:tabs>
          <w:tab w:val="left" w:pos="567"/>
        </w:tabs>
        <w:spacing w:after="0" w:line="260" w:lineRule="exact"/>
        <w:rPr>
          <w:rFonts w:ascii="Times New Roman" w:hAnsi="Times New Roman"/>
          <w:lang w:val="lt-LT"/>
        </w:rPr>
      </w:pPr>
      <w:r w:rsidRPr="00F169F4">
        <w:rPr>
          <w:rFonts w:ascii="Times New Roman" w:hAnsi="Times New Roman"/>
          <w:lang w:val="lt-LT"/>
        </w:rPr>
        <w:t>dažnis nežinomas: negali būti įvertintas pagal turimus duomenis.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tabs>
          <w:tab w:val="num" w:pos="1800"/>
        </w:tabs>
        <w:spacing w:after="120" w:line="240" w:lineRule="auto"/>
        <w:rPr>
          <w:rFonts w:ascii="Times New Roman" w:hAnsi="Times New Roman"/>
          <w:b/>
          <w:lang w:val="lt-LT"/>
        </w:rPr>
      </w:pPr>
      <w:r w:rsidRPr="00F169F4">
        <w:rPr>
          <w:rFonts w:ascii="Times New Roman" w:hAnsi="Times New Roman"/>
          <w:b/>
          <w:lang w:val="lt-LT"/>
        </w:rPr>
        <w:t>Labai dažnas šalutinis poveikis</w:t>
      </w:r>
    </w:p>
    <w:p w:rsidR="004226AB" w:rsidRPr="00F169F4" w:rsidRDefault="004226AB" w:rsidP="004226AB">
      <w:pPr>
        <w:numPr>
          <w:ilvl w:val="1"/>
          <w:numId w:val="14"/>
        </w:numPr>
        <w:spacing w:after="0" w:line="240" w:lineRule="auto"/>
        <w:ind w:hanging="1440"/>
        <w:rPr>
          <w:rFonts w:ascii="Times New Roman" w:hAnsi="Times New Roman"/>
          <w:lang w:val="lt-LT"/>
        </w:rPr>
      </w:pPr>
      <w:r w:rsidRPr="00F169F4">
        <w:rPr>
          <w:rFonts w:ascii="Times New Roman" w:hAnsi="Times New Roman"/>
          <w:lang w:val="lt-LT"/>
        </w:rPr>
        <w:t xml:space="preserve">grįžtamasis spermos gamybos slopinimas </w:t>
      </w:r>
      <w:r w:rsidRPr="00023818">
        <w:rPr>
          <w:rFonts w:ascii="Times New Roman" w:hAnsi="Times New Roman"/>
          <w:lang w:val="lt-LT"/>
        </w:rPr>
        <w:t>(</w:t>
      </w:r>
      <w:proofErr w:type="spellStart"/>
      <w:r w:rsidRPr="00F169F4">
        <w:rPr>
          <w:rFonts w:ascii="Times New Roman" w:hAnsi="Times New Roman"/>
          <w:i/>
          <w:lang w:val="lt-LT"/>
        </w:rPr>
        <w:t>spermatogenezė</w:t>
      </w:r>
      <w:proofErr w:type="spellEnd"/>
      <w:r w:rsidRPr="00023818">
        <w:rPr>
          <w:rFonts w:ascii="Times New Roman" w:hAnsi="Times New Roman"/>
          <w:lang w:val="lt-LT"/>
        </w:rPr>
        <w:t>),</w:t>
      </w:r>
    </w:p>
    <w:p w:rsidR="004226AB" w:rsidRPr="00F169F4" w:rsidRDefault="004226AB" w:rsidP="004226AB">
      <w:pPr>
        <w:numPr>
          <w:ilvl w:val="1"/>
          <w:numId w:val="14"/>
        </w:numPr>
        <w:spacing w:after="0" w:line="240" w:lineRule="auto"/>
        <w:ind w:hanging="1440"/>
        <w:rPr>
          <w:rFonts w:ascii="Times New Roman" w:hAnsi="Times New Roman"/>
          <w:lang w:val="lt-LT"/>
        </w:rPr>
      </w:pPr>
      <w:r w:rsidRPr="00F169F4">
        <w:rPr>
          <w:rFonts w:ascii="Times New Roman" w:hAnsi="Times New Roman"/>
          <w:lang w:val="lt-LT"/>
        </w:rPr>
        <w:t xml:space="preserve">sumažėjęs lytinis potraukis </w:t>
      </w:r>
      <w:r w:rsidRPr="00023818">
        <w:rPr>
          <w:rFonts w:ascii="Times New Roman" w:hAnsi="Times New Roman"/>
          <w:lang w:val="lt-LT"/>
        </w:rPr>
        <w:t>(</w:t>
      </w:r>
      <w:r w:rsidRPr="00F169F4">
        <w:rPr>
          <w:rFonts w:ascii="Times New Roman" w:hAnsi="Times New Roman"/>
          <w:i/>
          <w:lang w:val="lt-LT"/>
        </w:rPr>
        <w:t xml:space="preserve">sumažėjęs </w:t>
      </w:r>
      <w:proofErr w:type="spellStart"/>
      <w:r w:rsidRPr="00F169F4">
        <w:rPr>
          <w:rFonts w:ascii="Times New Roman" w:hAnsi="Times New Roman"/>
          <w:i/>
          <w:lang w:val="lt-LT"/>
        </w:rPr>
        <w:t>libido</w:t>
      </w:r>
      <w:proofErr w:type="spellEnd"/>
      <w:r w:rsidRPr="00023818">
        <w:rPr>
          <w:rFonts w:ascii="Times New Roman" w:hAnsi="Times New Roman"/>
          <w:lang w:val="lt-LT"/>
        </w:rPr>
        <w:t>),</w:t>
      </w:r>
    </w:p>
    <w:p w:rsidR="004226AB" w:rsidRPr="00F169F4" w:rsidRDefault="004226AB" w:rsidP="004226AB">
      <w:pPr>
        <w:numPr>
          <w:ilvl w:val="1"/>
          <w:numId w:val="14"/>
        </w:numPr>
        <w:spacing w:after="0" w:line="240" w:lineRule="auto"/>
        <w:ind w:hanging="1440"/>
        <w:rPr>
          <w:rFonts w:ascii="Times New Roman" w:hAnsi="Times New Roman"/>
          <w:lang w:val="lt-LT"/>
        </w:rPr>
      </w:pPr>
      <w:r w:rsidRPr="00F169F4">
        <w:rPr>
          <w:rFonts w:ascii="Times New Roman" w:hAnsi="Times New Roman"/>
          <w:lang w:val="lt-LT"/>
        </w:rPr>
        <w:t xml:space="preserve">negalėjimas pasiekti arba išlaikyti erekcijos </w:t>
      </w:r>
      <w:r w:rsidRPr="00023818">
        <w:rPr>
          <w:rFonts w:ascii="Times New Roman" w:hAnsi="Times New Roman"/>
          <w:lang w:val="lt-LT"/>
        </w:rPr>
        <w:t>(</w:t>
      </w:r>
      <w:r w:rsidRPr="00F169F4">
        <w:rPr>
          <w:rFonts w:ascii="Times New Roman" w:hAnsi="Times New Roman"/>
          <w:i/>
          <w:lang w:val="lt-LT"/>
        </w:rPr>
        <w:t>erekcijos disfunkcija</w:t>
      </w:r>
      <w:r w:rsidRPr="00023818">
        <w:rPr>
          <w:rFonts w:ascii="Times New Roman" w:hAnsi="Times New Roman"/>
          <w:lang w:val="lt-LT"/>
        </w:rPr>
        <w:t>).</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b/>
          <w:lang w:val="lt-LT"/>
        </w:rPr>
        <w:t>Dažnas šalutinis poveikis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 xml:space="preserve">toksinis poveikis kepenims, įskaitant geltą, kepenų uždegimą </w:t>
      </w:r>
      <w:r w:rsidRPr="00023818">
        <w:rPr>
          <w:rFonts w:ascii="Times New Roman" w:hAnsi="Times New Roman"/>
          <w:lang w:val="lt-LT"/>
        </w:rPr>
        <w:t>(</w:t>
      </w:r>
      <w:r w:rsidRPr="00F169F4">
        <w:rPr>
          <w:rFonts w:ascii="Times New Roman" w:hAnsi="Times New Roman"/>
          <w:i/>
          <w:lang w:val="lt-LT"/>
        </w:rPr>
        <w:t>hepatitą</w:t>
      </w:r>
      <w:r w:rsidRPr="00023818">
        <w:rPr>
          <w:rFonts w:ascii="Times New Roman" w:hAnsi="Times New Roman"/>
          <w:lang w:val="lt-LT"/>
        </w:rPr>
        <w:t>)</w:t>
      </w:r>
      <w:r w:rsidRPr="00F169F4">
        <w:rPr>
          <w:rFonts w:ascii="Times New Roman" w:hAnsi="Times New Roman"/>
          <w:lang w:val="lt-LT"/>
        </w:rPr>
        <w:t>, kepenų nepakankamumą,</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padidėjęs svoris,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sumažėjęs svoris,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prislėgta nuotaika,</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laikinas nerimas,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padidėjusios krūtys (</w:t>
      </w:r>
      <w:proofErr w:type="spellStart"/>
      <w:r w:rsidRPr="00F169F4">
        <w:rPr>
          <w:rFonts w:ascii="Times New Roman" w:hAnsi="Times New Roman"/>
          <w:i/>
          <w:lang w:val="lt-LT"/>
        </w:rPr>
        <w:t>ginekomastija</w:t>
      </w:r>
      <w:proofErr w:type="spellEnd"/>
      <w:r w:rsidRPr="00F169F4">
        <w:rPr>
          <w:rFonts w:ascii="Times New Roman" w:hAnsi="Times New Roman"/>
          <w:lang w:val="lt-LT"/>
        </w:rPr>
        <w:t>),</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nuovargis,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karščio pylimas,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prakaitavimas,</w:t>
      </w:r>
    </w:p>
    <w:p w:rsidR="004226AB" w:rsidRPr="00F169F4" w:rsidRDefault="004226AB" w:rsidP="004226AB">
      <w:pPr>
        <w:numPr>
          <w:ilvl w:val="0"/>
          <w:numId w:val="15"/>
        </w:numPr>
        <w:spacing w:after="0" w:line="240" w:lineRule="auto"/>
        <w:ind w:hanging="720"/>
        <w:rPr>
          <w:rFonts w:ascii="Times New Roman" w:hAnsi="Times New Roman"/>
          <w:lang w:val="lt-LT"/>
        </w:rPr>
      </w:pPr>
      <w:r w:rsidRPr="00F169F4">
        <w:rPr>
          <w:rFonts w:ascii="Times New Roman" w:hAnsi="Times New Roman"/>
          <w:lang w:val="lt-LT"/>
        </w:rPr>
        <w:t>dusulys.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Nedažnas šalutinis poveikis</w:t>
      </w:r>
    </w:p>
    <w:p w:rsidR="004226AB" w:rsidRPr="00F169F4" w:rsidRDefault="004226AB" w:rsidP="004226AB">
      <w:pPr>
        <w:numPr>
          <w:ilvl w:val="0"/>
          <w:numId w:val="16"/>
        </w:numPr>
        <w:spacing w:after="0" w:line="240" w:lineRule="auto"/>
        <w:ind w:hanging="720"/>
        <w:rPr>
          <w:rFonts w:ascii="Times New Roman" w:hAnsi="Times New Roman"/>
          <w:lang w:val="lt-LT"/>
        </w:rPr>
      </w:pPr>
      <w:r w:rsidRPr="00F169F4">
        <w:rPr>
          <w:rFonts w:ascii="Times New Roman" w:hAnsi="Times New Roman"/>
          <w:lang w:val="lt-LT"/>
        </w:rPr>
        <w:t>išbėrimas.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Retas šalutinis poveikis</w:t>
      </w:r>
    </w:p>
    <w:p w:rsidR="004226AB" w:rsidRPr="0082396D" w:rsidRDefault="004226AB" w:rsidP="004226AB">
      <w:pPr>
        <w:numPr>
          <w:ilvl w:val="0"/>
          <w:numId w:val="16"/>
        </w:numPr>
        <w:spacing w:after="0" w:line="240" w:lineRule="auto"/>
        <w:ind w:hanging="720"/>
        <w:rPr>
          <w:rFonts w:ascii="Times New Roman" w:hAnsi="Times New Roman"/>
          <w:i/>
          <w:lang w:val="lt-LT"/>
        </w:rPr>
      </w:pPr>
      <w:r w:rsidRPr="00F169F4">
        <w:rPr>
          <w:rFonts w:ascii="Times New Roman" w:hAnsi="Times New Roman"/>
          <w:lang w:val="lt-LT"/>
        </w:rPr>
        <w:t>alerginė reakcija (</w:t>
      </w:r>
      <w:r w:rsidRPr="00F169F4">
        <w:rPr>
          <w:rFonts w:ascii="Times New Roman" w:hAnsi="Times New Roman"/>
          <w:i/>
          <w:lang w:val="lt-LT"/>
        </w:rPr>
        <w:t>padidėjęs jautrumas</w:t>
      </w:r>
      <w:r w:rsidRPr="00F169F4">
        <w:rPr>
          <w:rFonts w:ascii="Times New Roman" w:hAnsi="Times New Roman"/>
          <w:lang w:val="lt-LT"/>
        </w:rPr>
        <w:t>)</w:t>
      </w:r>
      <w:r>
        <w:rPr>
          <w:rFonts w:ascii="Times New Roman" w:hAnsi="Times New Roman"/>
          <w:lang w:val="lt-LT"/>
        </w:rPr>
        <w:t>,</w:t>
      </w:r>
    </w:p>
    <w:p w:rsidR="004226AB" w:rsidRPr="00F169F4" w:rsidRDefault="004226AB" w:rsidP="004226AB">
      <w:pPr>
        <w:numPr>
          <w:ilvl w:val="0"/>
          <w:numId w:val="16"/>
        </w:numPr>
        <w:spacing w:after="0" w:line="240" w:lineRule="auto"/>
        <w:ind w:hanging="720"/>
        <w:rPr>
          <w:rFonts w:ascii="Times New Roman" w:hAnsi="Times New Roman"/>
          <w:i/>
          <w:lang w:val="lt-LT"/>
        </w:rPr>
      </w:pPr>
      <w:r w:rsidRPr="00F169F4">
        <w:rPr>
          <w:rFonts w:ascii="Times New Roman" w:hAnsi="Times New Roman"/>
          <w:lang w:val="lt-LT"/>
        </w:rPr>
        <w:t>gerybiniai smegenų navikai (</w:t>
      </w:r>
      <w:proofErr w:type="spellStart"/>
      <w:r w:rsidRPr="00F169F4">
        <w:rPr>
          <w:rFonts w:ascii="Times New Roman" w:hAnsi="Times New Roman"/>
          <w:i/>
          <w:lang w:val="lt-LT"/>
        </w:rPr>
        <w:t>meningiomos</w:t>
      </w:r>
      <w:proofErr w:type="spellEnd"/>
      <w:r w:rsidRPr="00F169F4">
        <w:rPr>
          <w:rFonts w:ascii="Times New Roman" w:hAnsi="Times New Roman"/>
          <w:lang w:val="lt-LT"/>
        </w:rPr>
        <w:t>) (žr. skyrių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r>
        <w:rPr>
          <w:rFonts w:ascii="Times New Roman" w:hAnsi="Times New Roman"/>
          <w:i/>
          <w:lang w:val="lt-LT"/>
        </w:rPr>
        <w:t>.</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Labai retas šalutinis poveikis</w:t>
      </w:r>
    </w:p>
    <w:p w:rsidR="004226AB" w:rsidRPr="00F169F4" w:rsidRDefault="004226AB" w:rsidP="004226AB">
      <w:pPr>
        <w:numPr>
          <w:ilvl w:val="0"/>
          <w:numId w:val="16"/>
        </w:numPr>
        <w:spacing w:after="0" w:line="240" w:lineRule="auto"/>
        <w:ind w:hanging="720"/>
        <w:rPr>
          <w:rFonts w:ascii="Times New Roman" w:hAnsi="Times New Roman"/>
          <w:lang w:val="lt-LT"/>
        </w:rPr>
      </w:pPr>
      <w:r w:rsidRPr="00F169F4">
        <w:rPr>
          <w:rFonts w:ascii="Times New Roman" w:hAnsi="Times New Roman"/>
          <w:lang w:val="lt-LT"/>
        </w:rPr>
        <w:t>gerybiniai ir piktybiniai kepenų navikai.</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Šalutinis poveikis, kurio dažnis nežinomas</w:t>
      </w:r>
    </w:p>
    <w:p w:rsidR="004226AB" w:rsidRPr="00F169F4" w:rsidRDefault="004226AB" w:rsidP="004226AB">
      <w:pPr>
        <w:numPr>
          <w:ilvl w:val="0"/>
          <w:numId w:val="16"/>
        </w:numPr>
        <w:spacing w:after="0" w:line="240" w:lineRule="auto"/>
        <w:ind w:left="360"/>
        <w:rPr>
          <w:rFonts w:ascii="Times New Roman" w:hAnsi="Times New Roman"/>
          <w:lang w:val="lt-LT"/>
        </w:rPr>
      </w:pPr>
      <w:r w:rsidRPr="00F169F4">
        <w:rPr>
          <w:rFonts w:ascii="Times New Roman" w:hAnsi="Times New Roman"/>
          <w:lang w:val="lt-LT"/>
        </w:rPr>
        <w:t>vidinis kraujavimas į pilvo ertmę (</w:t>
      </w:r>
      <w:proofErr w:type="spellStart"/>
      <w:r w:rsidRPr="0082396D">
        <w:rPr>
          <w:rFonts w:ascii="Times New Roman" w:hAnsi="Times New Roman"/>
          <w:i/>
          <w:lang w:val="lt-LT"/>
        </w:rPr>
        <w:t>intraabdominalinis</w:t>
      </w:r>
      <w:proofErr w:type="spellEnd"/>
      <w:r w:rsidRPr="0082396D">
        <w:rPr>
          <w:rFonts w:ascii="Times New Roman" w:hAnsi="Times New Roman"/>
          <w:i/>
          <w:lang w:val="lt-LT"/>
        </w:rPr>
        <w:t xml:space="preserve"> kraujavimas</w:t>
      </w:r>
      <w:r w:rsidRPr="00F169F4">
        <w:rPr>
          <w:rFonts w:ascii="Times New Roman" w:hAnsi="Times New Roman"/>
          <w:lang w:val="lt-LT"/>
        </w:rPr>
        <w:t>),</w:t>
      </w:r>
    </w:p>
    <w:p w:rsidR="004226AB" w:rsidRPr="000860B6" w:rsidRDefault="004226AB" w:rsidP="004226AB">
      <w:pPr>
        <w:numPr>
          <w:ilvl w:val="0"/>
          <w:numId w:val="16"/>
        </w:numPr>
        <w:spacing w:after="0" w:line="240" w:lineRule="auto"/>
        <w:ind w:left="360"/>
        <w:rPr>
          <w:rFonts w:ascii="Times New Roman" w:hAnsi="Times New Roman"/>
          <w:lang w:val="lt-LT"/>
        </w:rPr>
      </w:pPr>
      <w:r w:rsidRPr="00F169F4">
        <w:rPr>
          <w:rFonts w:ascii="Times New Roman" w:hAnsi="Times New Roman"/>
          <w:lang w:val="lt-LT"/>
        </w:rPr>
        <w:t>kraujo krešulių formavimasis (</w:t>
      </w:r>
      <w:proofErr w:type="spellStart"/>
      <w:r w:rsidRPr="00F169F4">
        <w:rPr>
          <w:rFonts w:ascii="Times New Roman" w:hAnsi="Times New Roman"/>
          <w:i/>
          <w:lang w:val="lt-LT"/>
        </w:rPr>
        <w:t>tromboembolijos</w:t>
      </w:r>
      <w:proofErr w:type="spellEnd"/>
      <w:r w:rsidRPr="00F169F4">
        <w:rPr>
          <w:rFonts w:ascii="Times New Roman" w:hAnsi="Times New Roman"/>
          <w:i/>
          <w:lang w:val="lt-LT"/>
        </w:rPr>
        <w:t xml:space="preserve"> reiškiniai</w:t>
      </w:r>
      <w:r w:rsidRPr="00F169F4">
        <w:rPr>
          <w:rFonts w:ascii="Times New Roman" w:hAnsi="Times New Roman"/>
          <w:lang w:val="lt-LT"/>
        </w:rPr>
        <w:t>)</w:t>
      </w:r>
      <w:r w:rsidRPr="00F169F4">
        <w:rPr>
          <w:rFonts w:ascii="Times New Roman" w:hAnsi="Times New Roman"/>
          <w:i/>
          <w:lang w:val="lt-LT"/>
        </w:rPr>
        <w:t xml:space="preserve"> </w:t>
      </w:r>
      <w:r w:rsidRPr="00F169F4">
        <w:rPr>
          <w:rFonts w:ascii="Times New Roman" w:hAnsi="Times New Roman"/>
          <w:lang w:val="lt-LT"/>
        </w:rPr>
        <w:t>(žr. skyrių „Specialių atsargumo priemonių reikia“),</w:t>
      </w:r>
    </w:p>
    <w:p w:rsidR="004226AB" w:rsidRPr="00F169F4" w:rsidRDefault="004226AB" w:rsidP="004226AB">
      <w:pPr>
        <w:numPr>
          <w:ilvl w:val="0"/>
          <w:numId w:val="16"/>
        </w:numPr>
        <w:spacing w:after="0" w:line="240" w:lineRule="auto"/>
        <w:ind w:left="360"/>
        <w:rPr>
          <w:rFonts w:ascii="Times New Roman" w:hAnsi="Times New Roman"/>
          <w:lang w:val="lt-LT"/>
        </w:rPr>
      </w:pPr>
      <w:r w:rsidRPr="00F169F4">
        <w:rPr>
          <w:rFonts w:ascii="Times New Roman" w:hAnsi="Times New Roman"/>
          <w:lang w:val="lt-LT"/>
        </w:rPr>
        <w:t>osteoporozė,</w:t>
      </w:r>
    </w:p>
    <w:p w:rsidR="004226AB" w:rsidRPr="00F169F4" w:rsidRDefault="004226AB" w:rsidP="004226AB">
      <w:pPr>
        <w:numPr>
          <w:ilvl w:val="0"/>
          <w:numId w:val="16"/>
        </w:numPr>
        <w:spacing w:after="0" w:line="240" w:lineRule="auto"/>
        <w:ind w:left="360"/>
        <w:rPr>
          <w:rFonts w:ascii="Times New Roman" w:hAnsi="Times New Roman"/>
          <w:lang w:val="lt-LT"/>
        </w:rPr>
      </w:pPr>
      <w:r w:rsidRPr="00F169F4">
        <w:rPr>
          <w:rFonts w:ascii="Times New Roman" w:hAnsi="Times New Roman"/>
          <w:lang w:val="lt-LT"/>
        </w:rPr>
        <w:t>mažakraujystė.</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Gydant šiuo vaistu vyrus</w:t>
      </w:r>
      <w:r>
        <w:rPr>
          <w:rFonts w:ascii="Times New Roman" w:hAnsi="Times New Roman"/>
          <w:lang w:val="lt-LT"/>
        </w:rPr>
        <w:t>,</w:t>
      </w:r>
      <w:r w:rsidRPr="00F169F4">
        <w:rPr>
          <w:rFonts w:ascii="Times New Roman" w:hAnsi="Times New Roman"/>
          <w:lang w:val="lt-LT"/>
        </w:rPr>
        <w:t xml:space="preserve"> mažėja jų lytinis potraukis ir pajėgumas, slopinama lytinių liaukų veikla. Šie pokyčiai praeina nustojus gydyti </w:t>
      </w:r>
      <w:proofErr w:type="spellStart"/>
      <w:r w:rsidRPr="00F169F4">
        <w:rPr>
          <w:rFonts w:ascii="Times New Roman" w:hAnsi="Times New Roman"/>
          <w:lang w:val="lt-LT"/>
        </w:rPr>
        <w:t>Androcur</w:t>
      </w:r>
      <w:proofErr w:type="spellEnd"/>
      <w:r w:rsidRPr="00F169F4">
        <w:rPr>
          <w:rFonts w:ascii="Times New Roman" w:hAnsi="Times New Roman"/>
          <w:lang w:val="lt-LT"/>
        </w:rPr>
        <w:t>.</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Keleto savaičių kurso metu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slopina spermos susidarymą (</w:t>
      </w:r>
      <w:proofErr w:type="spellStart"/>
      <w:r w:rsidRPr="00F169F4">
        <w:rPr>
          <w:rFonts w:ascii="Times New Roman" w:hAnsi="Times New Roman"/>
          <w:lang w:val="lt-LT"/>
        </w:rPr>
        <w:t>spermatogenezę</w:t>
      </w:r>
      <w:proofErr w:type="spellEnd"/>
      <w:r w:rsidRPr="00F169F4">
        <w:rPr>
          <w:rFonts w:ascii="Times New Roman" w:hAnsi="Times New Roman"/>
          <w:lang w:val="lt-LT"/>
        </w:rPr>
        <w:t xml:space="preserve">) dėl </w:t>
      </w:r>
      <w:proofErr w:type="spellStart"/>
      <w:r w:rsidRPr="00F169F4">
        <w:rPr>
          <w:rFonts w:ascii="Times New Roman" w:hAnsi="Times New Roman"/>
          <w:lang w:val="lt-LT"/>
        </w:rPr>
        <w:t>antiandrogeninio</w:t>
      </w:r>
      <w:proofErr w:type="spellEnd"/>
      <w:r w:rsidRPr="00F169F4">
        <w:rPr>
          <w:rFonts w:ascii="Times New Roman" w:hAnsi="Times New Roman"/>
          <w:lang w:val="lt-LT"/>
        </w:rPr>
        <w:t xml:space="preserve"> ir </w:t>
      </w:r>
      <w:proofErr w:type="spellStart"/>
      <w:r w:rsidRPr="00F169F4">
        <w:rPr>
          <w:rFonts w:ascii="Times New Roman" w:hAnsi="Times New Roman"/>
          <w:lang w:val="lt-LT"/>
        </w:rPr>
        <w:t>antigonadotropinio</w:t>
      </w:r>
      <w:proofErr w:type="spellEnd"/>
      <w:r w:rsidRPr="00F169F4">
        <w:rPr>
          <w:rFonts w:ascii="Times New Roman" w:hAnsi="Times New Roman"/>
          <w:lang w:val="lt-LT"/>
        </w:rPr>
        <w:t xml:space="preserve"> poveikio. Nutraukus gydymą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per keletą mėnesių </w:t>
      </w:r>
      <w:proofErr w:type="spellStart"/>
      <w:r w:rsidRPr="00F169F4">
        <w:rPr>
          <w:rFonts w:ascii="Times New Roman" w:hAnsi="Times New Roman"/>
          <w:lang w:val="lt-LT"/>
        </w:rPr>
        <w:t>spermatogenezė</w:t>
      </w:r>
      <w:proofErr w:type="spellEnd"/>
      <w:r w:rsidRPr="00F169F4">
        <w:rPr>
          <w:rFonts w:ascii="Times New Roman" w:hAnsi="Times New Roman"/>
          <w:lang w:val="lt-LT"/>
        </w:rPr>
        <w:t xml:space="preserve"> palaipsniui atsinaujina.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vyrams gali sukelti krūtų liaukų patinimą (vadinamą </w:t>
      </w:r>
      <w:proofErr w:type="spellStart"/>
      <w:r w:rsidRPr="00F169F4">
        <w:rPr>
          <w:rFonts w:ascii="Times New Roman" w:hAnsi="Times New Roman"/>
          <w:lang w:val="lt-LT"/>
        </w:rPr>
        <w:t>ginekomastija</w:t>
      </w:r>
      <w:proofErr w:type="spellEnd"/>
      <w:r w:rsidRPr="00F169F4">
        <w:rPr>
          <w:rFonts w:ascii="Times New Roman" w:hAnsi="Times New Roman"/>
          <w:lang w:val="lt-LT"/>
        </w:rPr>
        <w:t xml:space="preserve">, kartais kartu su spenelių jautrumu), kuris paprastai praeina nutraukus gydymą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Kaip ir gydant kitais </w:t>
      </w:r>
      <w:proofErr w:type="spellStart"/>
      <w:r w:rsidRPr="00F169F4">
        <w:rPr>
          <w:rFonts w:ascii="Times New Roman" w:hAnsi="Times New Roman"/>
          <w:lang w:val="lt-LT"/>
        </w:rPr>
        <w:t>antiandrogeniniais</w:t>
      </w:r>
      <w:proofErr w:type="spellEnd"/>
      <w:r w:rsidRPr="00F169F4">
        <w:rPr>
          <w:rFonts w:ascii="Times New Roman" w:hAnsi="Times New Roman"/>
          <w:lang w:val="lt-LT"/>
        </w:rPr>
        <w:t xml:space="preserve"> vaistais, ilgai trunkantis androgenų slopinimas vyrams gali sukelti osteoporozę.</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Buvo pranešta apie gerybinius smegenų auglius (</w:t>
      </w:r>
      <w:proofErr w:type="spellStart"/>
      <w:r w:rsidRPr="00F169F4">
        <w:rPr>
          <w:rFonts w:ascii="Times New Roman" w:hAnsi="Times New Roman"/>
          <w:lang w:val="lt-LT"/>
        </w:rPr>
        <w:t>meningiomas</w:t>
      </w:r>
      <w:proofErr w:type="spellEnd"/>
      <w:r w:rsidRPr="00F169F4">
        <w:rPr>
          <w:rFonts w:ascii="Times New Roman" w:hAnsi="Times New Roman"/>
          <w:lang w:val="lt-LT"/>
        </w:rPr>
        <w:t>), susijusius su ilgalaikiu (keletą metų</w:t>
      </w:r>
      <w:r>
        <w:rPr>
          <w:rFonts w:ascii="Times New Roman" w:hAnsi="Times New Roman"/>
          <w:lang w:val="lt-LT"/>
        </w:rPr>
        <w:t xml:space="preserve"> trunkančiu</w:t>
      </w:r>
      <w:r w:rsidRPr="00F169F4">
        <w:rPr>
          <w:rFonts w:ascii="Times New Roman" w:hAnsi="Times New Roman"/>
          <w:lang w:val="lt-LT"/>
        </w:rPr>
        <w:t>) 25</w:t>
      </w:r>
      <w:r>
        <w:rPr>
          <w:rFonts w:ascii="Times New Roman" w:hAnsi="Times New Roman"/>
          <w:lang w:val="lt-LT"/>
        </w:rPr>
        <w:t> </w:t>
      </w:r>
      <w:r w:rsidRPr="00F169F4">
        <w:rPr>
          <w:rFonts w:ascii="Times New Roman" w:hAnsi="Times New Roman"/>
          <w:lang w:val="lt-LT"/>
        </w:rPr>
        <w:t xml:space="preserve">mg per parą ir didesnių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dozių vartojimu (žr. skyrių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vartoti negalima“).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Moterims kombinuotasis gydymas slopina ovuliaciją, todėl tuo laiku jos negali pastoti.</w:t>
      </w:r>
    </w:p>
    <w:p w:rsidR="004226AB" w:rsidRPr="00F169F4" w:rsidRDefault="004226AB" w:rsidP="004226AB">
      <w:pPr>
        <w:tabs>
          <w:tab w:val="left" w:pos="720"/>
          <w:tab w:val="center" w:pos="4153"/>
          <w:tab w:val="right" w:pos="8306"/>
        </w:tabs>
        <w:spacing w:after="0" w:line="240" w:lineRule="auto"/>
        <w:rPr>
          <w:rFonts w:ascii="Times New Roman" w:hAnsi="Times New Roman"/>
          <w:lang w:val="lt-LT"/>
        </w:rPr>
      </w:pPr>
    </w:p>
    <w:p w:rsidR="004226AB" w:rsidRPr="00F169F4" w:rsidRDefault="004226AB" w:rsidP="004226AB">
      <w:pPr>
        <w:tabs>
          <w:tab w:val="left" w:pos="720"/>
          <w:tab w:val="center" w:pos="4153"/>
          <w:tab w:val="right" w:pos="8306"/>
        </w:tabs>
        <w:spacing w:after="0" w:line="240" w:lineRule="auto"/>
        <w:rPr>
          <w:rFonts w:ascii="Times New Roman" w:hAnsi="Times New Roman"/>
          <w:lang w:val="lt-LT"/>
        </w:rPr>
      </w:pPr>
      <w:r w:rsidRPr="00F169F4">
        <w:rPr>
          <w:rFonts w:ascii="Times New Roman" w:hAnsi="Times New Roman"/>
          <w:lang w:val="lt-LT"/>
        </w:rPr>
        <w:t xml:space="preserve">Jei Jūsų gydytojas kartu su </w:t>
      </w: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paskiria vartoti </w:t>
      </w:r>
      <w:proofErr w:type="spellStart"/>
      <w:r w:rsidRPr="00F169F4">
        <w:rPr>
          <w:rFonts w:ascii="Times New Roman" w:hAnsi="Times New Roman"/>
          <w:lang w:val="lt-LT"/>
        </w:rPr>
        <w:t>Diane</w:t>
      </w:r>
      <w:proofErr w:type="spellEnd"/>
      <w:r w:rsidRPr="00F169F4">
        <w:rPr>
          <w:rFonts w:ascii="Times New Roman" w:hAnsi="Times New Roman"/>
          <w:lang w:val="lt-LT"/>
        </w:rPr>
        <w:t xml:space="preserve">, būtina atsižvelgti į </w:t>
      </w:r>
      <w:proofErr w:type="spellStart"/>
      <w:r w:rsidRPr="00F169F4">
        <w:rPr>
          <w:rFonts w:ascii="Times New Roman" w:hAnsi="Times New Roman"/>
          <w:lang w:val="lt-LT"/>
        </w:rPr>
        <w:t>Diane</w:t>
      </w:r>
      <w:proofErr w:type="spellEnd"/>
      <w:r w:rsidRPr="00F169F4">
        <w:rPr>
          <w:rFonts w:ascii="Times New Roman" w:hAnsi="Times New Roman"/>
          <w:lang w:val="lt-LT"/>
        </w:rPr>
        <w:t xml:space="preserve"> pakuotės lapelyje pateikiamas specialiąsias pastabas apie šalutinį poveikį.</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Pranešimas apie šalutinį poveikį</w:t>
      </w:r>
    </w:p>
    <w:p w:rsidR="004226AB" w:rsidRPr="00F169F4" w:rsidRDefault="004226AB" w:rsidP="004226AB">
      <w:pPr>
        <w:spacing w:after="0" w:line="240" w:lineRule="auto"/>
        <w:ind w:right="-449"/>
        <w:rPr>
          <w:rFonts w:ascii="Times New Roman" w:hAnsi="Times New Roman"/>
          <w:lang w:val="lt-LT"/>
        </w:rPr>
      </w:pPr>
      <w:r w:rsidRPr="00F169F4">
        <w:rPr>
          <w:rFonts w:ascii="Times New Roman" w:hAnsi="Times New Roman"/>
          <w:lang w:val="lt-LT"/>
        </w:rPr>
        <w:t xml:space="preserve">Jeigu pasireiškė šalutinis poveikis, įskaitant šiame lapelyje nenurodytą, pasakykite gydytojui arba vaistininkui. </w:t>
      </w:r>
      <w:r w:rsidRPr="004D637E">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r w:rsidRPr="004D637E">
        <w:rPr>
          <w:rFonts w:ascii="Times New Roman" w:hAnsi="Times New Roman"/>
          <w:u w:val="single"/>
          <w:lang w:val="lt-LT"/>
        </w:rPr>
        <w:t>https://vvkt.lrv.lt/lt/</w:t>
      </w:r>
      <w:r w:rsidRPr="004D637E">
        <w:rPr>
          <w:rFonts w:ascii="Times New Roman" w:hAnsi="Times New Roman"/>
          <w:lang w:val="lt-LT"/>
        </w:rPr>
        <w:t xml:space="preserve"> nurodytais būdais arba paskambinti nemokamu telefonu 8 800 73 568. Pranešdami apie šalutinį poveikį galite mums padėti gauti daugiau informacijos apie šio vaisto saugumą.</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1"/>
        <w:rPr>
          <w:rFonts w:ascii="Times New Roman" w:hAnsi="Times New Roman"/>
          <w:lang w:val="lt-LT"/>
        </w:rPr>
      </w:pPr>
      <w:r w:rsidRPr="00F169F4">
        <w:rPr>
          <w:rFonts w:ascii="Times New Roman" w:hAnsi="Times New Roman"/>
          <w:b/>
          <w:lang w:val="lt-LT"/>
        </w:rPr>
        <w:t>5.</w:t>
      </w:r>
      <w:r w:rsidRPr="00F169F4">
        <w:rPr>
          <w:rFonts w:ascii="Times New Roman" w:hAnsi="Times New Roman"/>
          <w:b/>
          <w:lang w:val="lt-LT"/>
        </w:rPr>
        <w:tab/>
        <w:t xml:space="preserve">Kaip laikyti </w:t>
      </w:r>
      <w:proofErr w:type="spellStart"/>
      <w:r w:rsidRPr="00F169F4">
        <w:rPr>
          <w:rFonts w:ascii="Times New Roman" w:hAnsi="Times New Roman"/>
          <w:b/>
          <w:lang w:val="lt-LT"/>
        </w:rPr>
        <w:t>Androcur</w:t>
      </w:r>
      <w:proofErr w:type="spellEnd"/>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numPr>
          <w:ilvl w:val="12"/>
          <w:numId w:val="0"/>
        </w:numPr>
        <w:spacing w:after="0" w:line="240" w:lineRule="auto"/>
        <w:ind w:right="-2"/>
        <w:rPr>
          <w:rFonts w:ascii="Times New Roman" w:hAnsi="Times New Roman"/>
          <w:lang w:val="lt-LT"/>
        </w:rPr>
      </w:pPr>
      <w:r w:rsidRPr="00F169F4">
        <w:rPr>
          <w:rFonts w:ascii="Times New Roman" w:hAnsi="Times New Roman"/>
          <w:lang w:val="lt-LT"/>
        </w:rPr>
        <w:t>Šį vaistą laikykite vaikams nepastebimoje ir nepasiekiamoje vietoje.</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Šiam vaistui specialių laikymo sąlygų nereikia.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numPr>
          <w:ilvl w:val="12"/>
          <w:numId w:val="0"/>
        </w:numPr>
        <w:spacing w:after="0" w:line="240" w:lineRule="auto"/>
        <w:ind w:right="-2"/>
        <w:rPr>
          <w:rFonts w:ascii="Times New Roman" w:hAnsi="Times New Roman"/>
          <w:lang w:val="lt-LT"/>
        </w:rPr>
      </w:pPr>
      <w:r w:rsidRPr="00F169F4">
        <w:rPr>
          <w:rFonts w:ascii="Times New Roman" w:hAnsi="Times New Roman"/>
          <w:lang w:val="lt-LT"/>
        </w:rPr>
        <w:t>Ant dėžutės ir lizdinės plokštelės po „EXP“ nurodytam tinkamumo laikui pasibaigus, šio vaisto vartoti negalima. Vaistas tinkamas vartoti iki paskutinės nurodyto mėnesio dienos.</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Vaistų negalima išmesti į kanalizaciją arba su buitinėmis atliekomis. Kaip išmesti nereikalingus vaistus, klauskite vaistininko. Šios priemonės padės apsaugoti aplinką.</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outlineLvl w:val="1"/>
        <w:rPr>
          <w:rFonts w:ascii="Times New Roman" w:hAnsi="Times New Roman"/>
          <w:b/>
          <w:lang w:val="lt-LT"/>
        </w:rPr>
      </w:pPr>
      <w:r w:rsidRPr="00F169F4">
        <w:rPr>
          <w:rFonts w:ascii="Times New Roman" w:hAnsi="Times New Roman"/>
          <w:b/>
          <w:lang w:val="lt-LT"/>
        </w:rPr>
        <w:t>6.</w:t>
      </w:r>
      <w:r w:rsidRPr="00F169F4">
        <w:rPr>
          <w:rFonts w:ascii="Times New Roman" w:hAnsi="Times New Roman"/>
          <w:b/>
          <w:lang w:val="lt-LT"/>
        </w:rPr>
        <w:tab/>
        <w:t>Pakuotės turinys ir kita informacija</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sudėtis</w:t>
      </w:r>
    </w:p>
    <w:p w:rsidR="004226AB" w:rsidRPr="00F169F4" w:rsidRDefault="004226AB" w:rsidP="004226AB">
      <w:pPr>
        <w:spacing w:after="0" w:line="240" w:lineRule="auto"/>
        <w:ind w:left="567" w:hanging="567"/>
        <w:rPr>
          <w:rFonts w:ascii="Times New Roman" w:hAnsi="Times New Roman"/>
          <w:lang w:val="lt-LT"/>
        </w:rPr>
      </w:pPr>
      <w:r w:rsidRPr="00F169F4">
        <w:rPr>
          <w:rFonts w:ascii="Times New Roman" w:hAnsi="Times New Roman"/>
          <w:lang w:val="lt-LT"/>
        </w:rPr>
        <w:sym w:font="Symbol" w:char="F02D"/>
      </w:r>
      <w:r w:rsidRPr="00F169F4">
        <w:rPr>
          <w:rFonts w:ascii="Times New Roman" w:hAnsi="Times New Roman"/>
          <w:lang w:val="lt-LT"/>
        </w:rPr>
        <w:tab/>
        <w:t xml:space="preserve">Veiklioji medžiaga yra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acetatas. Vienoje tabletėje yra 50 mg </w:t>
      </w:r>
      <w:proofErr w:type="spellStart"/>
      <w:r w:rsidRPr="00F169F4">
        <w:rPr>
          <w:rFonts w:ascii="Times New Roman" w:hAnsi="Times New Roman"/>
          <w:lang w:val="lt-LT"/>
        </w:rPr>
        <w:t>ciproterono</w:t>
      </w:r>
      <w:proofErr w:type="spellEnd"/>
      <w:r w:rsidRPr="00F169F4">
        <w:rPr>
          <w:rFonts w:ascii="Times New Roman" w:hAnsi="Times New Roman"/>
          <w:lang w:val="lt-LT"/>
        </w:rPr>
        <w:t xml:space="preserve"> acetato.</w:t>
      </w:r>
    </w:p>
    <w:p w:rsidR="004226AB" w:rsidRPr="00F169F4" w:rsidRDefault="004226AB" w:rsidP="004226AB">
      <w:pPr>
        <w:spacing w:after="0" w:line="240" w:lineRule="auto"/>
        <w:ind w:left="567" w:hanging="567"/>
        <w:rPr>
          <w:rFonts w:ascii="Times New Roman" w:hAnsi="Times New Roman"/>
          <w:lang w:val="lt-LT"/>
        </w:rPr>
      </w:pPr>
      <w:r w:rsidRPr="00F169F4">
        <w:rPr>
          <w:rFonts w:ascii="Times New Roman" w:hAnsi="Times New Roman"/>
          <w:lang w:val="lt-LT"/>
        </w:rPr>
        <w:sym w:font="Symbol" w:char="F02D"/>
      </w:r>
      <w:r w:rsidRPr="00F169F4">
        <w:rPr>
          <w:rFonts w:ascii="Times New Roman" w:hAnsi="Times New Roman"/>
          <w:lang w:val="lt-LT"/>
        </w:rPr>
        <w:tab/>
        <w:t xml:space="preserve">Pagalbinės medžiagos yra laktozė </w:t>
      </w:r>
      <w:proofErr w:type="spellStart"/>
      <w:r w:rsidRPr="00F169F4">
        <w:rPr>
          <w:rFonts w:ascii="Times New Roman" w:hAnsi="Times New Roman"/>
          <w:lang w:val="lt-LT"/>
        </w:rPr>
        <w:t>monohidratas</w:t>
      </w:r>
      <w:proofErr w:type="spellEnd"/>
      <w:r w:rsidRPr="00F169F4">
        <w:rPr>
          <w:rFonts w:ascii="Times New Roman" w:hAnsi="Times New Roman"/>
          <w:lang w:val="lt-LT"/>
        </w:rPr>
        <w:t xml:space="preserve">, kukurūzų krakmolas, </w:t>
      </w:r>
      <w:proofErr w:type="spellStart"/>
      <w:r w:rsidRPr="00F169F4">
        <w:rPr>
          <w:rFonts w:ascii="Times New Roman" w:hAnsi="Times New Roman"/>
          <w:lang w:val="lt-LT"/>
        </w:rPr>
        <w:t>povidonas</w:t>
      </w:r>
      <w:proofErr w:type="spellEnd"/>
      <w:r>
        <w:rPr>
          <w:rFonts w:ascii="Times New Roman" w:hAnsi="Times New Roman"/>
          <w:lang w:val="lt-LT"/>
        </w:rPr>
        <w:t> </w:t>
      </w:r>
      <w:r w:rsidRPr="00F169F4">
        <w:rPr>
          <w:rFonts w:ascii="Times New Roman" w:hAnsi="Times New Roman"/>
          <w:lang w:val="lt-LT"/>
        </w:rPr>
        <w:t xml:space="preserve">25, koloidinis bevandenis silicio dioksidas, magnio </w:t>
      </w:r>
      <w:proofErr w:type="spellStart"/>
      <w:r w:rsidRPr="00F169F4">
        <w:rPr>
          <w:rFonts w:ascii="Times New Roman" w:hAnsi="Times New Roman"/>
          <w:lang w:val="lt-LT"/>
        </w:rPr>
        <w:t>stearatas</w:t>
      </w:r>
      <w:proofErr w:type="spellEnd"/>
      <w:r w:rsidRPr="00F169F4">
        <w:rPr>
          <w:rFonts w:ascii="Times New Roman" w:hAnsi="Times New Roman"/>
          <w:lang w:val="lt-LT"/>
        </w:rPr>
        <w:t>.</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b/>
          <w:lang w:val="lt-LT"/>
        </w:rPr>
      </w:pPr>
      <w:proofErr w:type="spellStart"/>
      <w:r w:rsidRPr="00F169F4">
        <w:rPr>
          <w:rFonts w:ascii="Times New Roman" w:hAnsi="Times New Roman"/>
          <w:b/>
          <w:lang w:val="lt-LT"/>
        </w:rPr>
        <w:t>Androcur</w:t>
      </w:r>
      <w:proofErr w:type="spellEnd"/>
      <w:r w:rsidRPr="00F169F4">
        <w:rPr>
          <w:rFonts w:ascii="Times New Roman" w:hAnsi="Times New Roman"/>
          <w:b/>
          <w:lang w:val="lt-LT"/>
        </w:rPr>
        <w:t xml:space="preserve"> išvaizda ir kiekis pakuotėje</w:t>
      </w:r>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b/>
          <w:lang w:val="lt-LT"/>
        </w:rPr>
      </w:pPr>
      <w:r w:rsidRPr="00F169F4">
        <w:rPr>
          <w:rFonts w:ascii="Times New Roman" w:hAnsi="Times New Roman"/>
          <w:lang w:val="lt-LT"/>
        </w:rPr>
        <w:t xml:space="preserve">Baltos ar </w:t>
      </w:r>
      <w:r w:rsidRPr="00F169F4">
        <w:rPr>
          <w:rFonts w:ascii="Times New Roman" w:hAnsi="Times New Roman"/>
          <w:color w:val="000000"/>
          <w:lang w:val="lt-LT"/>
        </w:rPr>
        <w:t>švelniai</w:t>
      </w:r>
      <w:r w:rsidRPr="00F169F4">
        <w:rPr>
          <w:rFonts w:ascii="Times New Roman" w:hAnsi="Times New Roman"/>
          <w:lang w:val="lt-LT"/>
        </w:rPr>
        <w:t xml:space="preserve"> gelsvos tabletės, vienoje pusėje turinčios dalijimo vagelę, o kitoje pusėje taisyklingame šešiakampyje įspaustos raidės ,,BV“. Tabletę galima padalinti į lygias dozes.</w:t>
      </w:r>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lang w:val="lt-LT"/>
        </w:rPr>
      </w:pPr>
      <w:proofErr w:type="spellStart"/>
      <w:r w:rsidRPr="00F169F4">
        <w:rPr>
          <w:rFonts w:ascii="Times New Roman" w:hAnsi="Times New Roman"/>
          <w:lang w:val="lt-LT"/>
        </w:rPr>
        <w:t>Androcur</w:t>
      </w:r>
      <w:proofErr w:type="spellEnd"/>
      <w:r w:rsidRPr="00F169F4">
        <w:rPr>
          <w:rFonts w:ascii="Times New Roman" w:hAnsi="Times New Roman"/>
          <w:lang w:val="lt-LT"/>
        </w:rPr>
        <w:t xml:space="preserve"> supakuotas į lizdines plokšteles, kurių viena pusė pagaminta iš permatomos </w:t>
      </w:r>
      <w:proofErr w:type="spellStart"/>
      <w:r w:rsidRPr="00F169F4">
        <w:rPr>
          <w:rFonts w:ascii="Times New Roman" w:hAnsi="Times New Roman"/>
          <w:lang w:val="lt-LT"/>
        </w:rPr>
        <w:t>polivinilchlorido</w:t>
      </w:r>
      <w:proofErr w:type="spellEnd"/>
      <w:r w:rsidRPr="00F169F4">
        <w:rPr>
          <w:rFonts w:ascii="Times New Roman" w:hAnsi="Times New Roman"/>
          <w:lang w:val="lt-LT"/>
        </w:rPr>
        <w:t xml:space="preserve"> plėvelės, o kita užlydyta aliuminio folija.</w:t>
      </w:r>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keepNext/>
        <w:spacing w:after="0" w:line="240" w:lineRule="auto"/>
        <w:rPr>
          <w:rFonts w:ascii="Times New Roman" w:hAnsi="Times New Roman"/>
          <w:b/>
          <w:lang w:val="lt-LT"/>
        </w:rPr>
      </w:pPr>
      <w:r w:rsidRPr="00F169F4">
        <w:rPr>
          <w:rFonts w:ascii="Times New Roman" w:hAnsi="Times New Roman"/>
          <w:lang w:val="lt-LT"/>
        </w:rPr>
        <w:t>Kartono dėžutėje yra 50</w:t>
      </w:r>
      <w:r>
        <w:rPr>
          <w:rFonts w:ascii="Times New Roman" w:hAnsi="Times New Roman"/>
          <w:lang w:val="lt-LT"/>
        </w:rPr>
        <w:t> </w:t>
      </w:r>
      <w:r w:rsidRPr="00F169F4">
        <w:rPr>
          <w:rFonts w:ascii="Times New Roman" w:hAnsi="Times New Roman"/>
          <w:lang w:val="lt-LT"/>
        </w:rPr>
        <w:t>tablečių.</w:t>
      </w:r>
    </w:p>
    <w:p w:rsidR="004226AB" w:rsidRPr="00F169F4" w:rsidRDefault="004226AB" w:rsidP="004226AB">
      <w:pPr>
        <w:keepNext/>
        <w:spacing w:after="0" w:line="240" w:lineRule="auto"/>
        <w:rPr>
          <w:rFonts w:ascii="Times New Roman" w:hAnsi="Times New Roman"/>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Registruotojas ir gamintojas</w:t>
      </w:r>
    </w:p>
    <w:p w:rsidR="004226AB" w:rsidRPr="00F169F4" w:rsidRDefault="004226AB" w:rsidP="004226AB">
      <w:pPr>
        <w:spacing w:after="0" w:line="240" w:lineRule="auto"/>
        <w:rPr>
          <w:rFonts w:ascii="Times New Roman" w:hAnsi="Times New Roman"/>
          <w:b/>
          <w:lang w:val="lt-LT"/>
        </w:rPr>
      </w:pPr>
    </w:p>
    <w:p w:rsidR="004226AB" w:rsidRPr="00F169F4" w:rsidRDefault="004226AB" w:rsidP="004226AB">
      <w:pPr>
        <w:spacing w:after="0" w:line="240" w:lineRule="auto"/>
        <w:rPr>
          <w:rFonts w:ascii="Times New Roman" w:hAnsi="Times New Roman"/>
          <w:b/>
          <w:lang w:val="lt-LT"/>
        </w:rPr>
      </w:pPr>
      <w:r w:rsidRPr="00F169F4">
        <w:rPr>
          <w:rFonts w:ascii="Times New Roman" w:hAnsi="Times New Roman"/>
          <w:b/>
          <w:lang w:val="lt-LT"/>
        </w:rPr>
        <w:t>Registruotojas</w:t>
      </w:r>
    </w:p>
    <w:p w:rsidR="004226AB" w:rsidRDefault="004226AB" w:rsidP="004226AB">
      <w:pPr>
        <w:pStyle w:val="prastasiniatinklio"/>
        <w:spacing w:before="0" w:beforeAutospacing="0" w:after="0" w:afterAutospacing="0"/>
        <w:rPr>
          <w:sz w:val="22"/>
          <w:szCs w:val="22"/>
          <w:lang w:val="lv-LV"/>
        </w:rPr>
      </w:pPr>
      <w:r w:rsidRPr="00EC78AE">
        <w:rPr>
          <w:sz w:val="22"/>
          <w:szCs w:val="22"/>
        </w:rPr>
        <w:t xml:space="preserve">ADVANZ PHARMA LIMITED </w:t>
      </w:r>
    </w:p>
    <w:p w:rsidR="004226AB" w:rsidRPr="00E06033" w:rsidRDefault="004226AB" w:rsidP="004226AB">
      <w:pPr>
        <w:spacing w:after="0" w:line="278" w:lineRule="auto"/>
        <w:rPr>
          <w:rFonts w:ascii="Times New Roman" w:hAnsi="Times New Roman" w:cs="Times New Roman"/>
        </w:rPr>
      </w:pPr>
      <w:r w:rsidRPr="00E06033">
        <w:rPr>
          <w:rFonts w:ascii="Times New Roman" w:hAnsi="Times New Roman" w:cs="Times New Roman"/>
        </w:rPr>
        <w:t>Unit 17, Northwood House,</w:t>
      </w:r>
    </w:p>
    <w:p w:rsidR="004226AB" w:rsidRPr="00E06033" w:rsidRDefault="004226AB" w:rsidP="004226AB">
      <w:pPr>
        <w:spacing w:after="0" w:line="278" w:lineRule="auto"/>
        <w:rPr>
          <w:rFonts w:ascii="Times New Roman" w:hAnsi="Times New Roman" w:cs="Times New Roman"/>
        </w:rPr>
      </w:pPr>
      <w:r w:rsidRPr="00E06033">
        <w:rPr>
          <w:rFonts w:ascii="Times New Roman" w:hAnsi="Times New Roman" w:cs="Times New Roman"/>
        </w:rPr>
        <w:t>Northwood Crescent,</w:t>
      </w:r>
    </w:p>
    <w:p w:rsidR="004226AB" w:rsidRPr="00E06033" w:rsidRDefault="004226AB" w:rsidP="004226AB">
      <w:pPr>
        <w:spacing w:after="0" w:line="278" w:lineRule="auto"/>
        <w:rPr>
          <w:rFonts w:ascii="Times New Roman" w:hAnsi="Times New Roman" w:cs="Times New Roman"/>
        </w:rPr>
      </w:pPr>
      <w:proofErr w:type="spellStart"/>
      <w:r w:rsidRPr="00E06033">
        <w:rPr>
          <w:rFonts w:ascii="Times New Roman" w:hAnsi="Times New Roman" w:cs="Times New Roman"/>
        </w:rPr>
        <w:t>Dublín</w:t>
      </w:r>
      <w:proofErr w:type="spellEnd"/>
      <w:r w:rsidRPr="00E06033">
        <w:rPr>
          <w:rFonts w:ascii="Times New Roman" w:hAnsi="Times New Roman" w:cs="Times New Roman"/>
        </w:rPr>
        <w:t xml:space="preserve"> 9,</w:t>
      </w:r>
    </w:p>
    <w:p w:rsidR="004226AB" w:rsidRPr="00082C4D" w:rsidRDefault="004226AB" w:rsidP="004226AB">
      <w:pPr>
        <w:pStyle w:val="prastasiniatinklio"/>
        <w:spacing w:before="0" w:beforeAutospacing="0" w:after="0" w:afterAutospacing="0"/>
        <w:rPr>
          <w:sz w:val="22"/>
          <w:szCs w:val="22"/>
        </w:rPr>
      </w:pPr>
      <w:r w:rsidRPr="00082C4D">
        <w:t>D09 V504</w:t>
      </w:r>
    </w:p>
    <w:p w:rsidR="004226AB" w:rsidRPr="00082C4D" w:rsidRDefault="004226AB" w:rsidP="004226AB">
      <w:pPr>
        <w:pStyle w:val="prastasiniatinklio"/>
        <w:spacing w:before="0" w:beforeAutospacing="0" w:after="0" w:afterAutospacing="0"/>
        <w:rPr>
          <w:noProof/>
          <w:szCs w:val="22"/>
          <w:lang w:val="lv-LV"/>
        </w:rPr>
      </w:pPr>
      <w:r w:rsidRPr="00082C4D">
        <w:rPr>
          <w:sz w:val="22"/>
          <w:szCs w:val="22"/>
          <w:lang w:val="lv-LV"/>
        </w:rPr>
        <w:t>Airija</w:t>
      </w:r>
    </w:p>
    <w:p w:rsidR="004226AB" w:rsidRPr="00F169F4" w:rsidRDefault="004226AB" w:rsidP="004226AB">
      <w:pPr>
        <w:spacing w:after="0" w:line="240" w:lineRule="auto"/>
        <w:jc w:val="both"/>
        <w:rPr>
          <w:rFonts w:ascii="Times New Roman" w:hAnsi="Times New Roman"/>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b/>
          <w:lang w:val="lt-LT"/>
        </w:rPr>
        <w:t>Gamintojas</w:t>
      </w: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lang w:val="lt-LT"/>
        </w:rPr>
        <w:t xml:space="preserve">Bayer </w:t>
      </w:r>
      <w:proofErr w:type="spellStart"/>
      <w:r w:rsidRPr="00F169F4">
        <w:rPr>
          <w:rFonts w:ascii="Times New Roman" w:hAnsi="Times New Roman"/>
          <w:lang w:val="lt-LT"/>
        </w:rPr>
        <w:t>Weimar</w:t>
      </w:r>
      <w:proofErr w:type="spellEnd"/>
      <w:r w:rsidRPr="00F169F4">
        <w:rPr>
          <w:rFonts w:ascii="Times New Roman" w:hAnsi="Times New Roman"/>
          <w:lang w:val="lt-LT"/>
        </w:rPr>
        <w:t xml:space="preserve"> </w:t>
      </w:r>
      <w:proofErr w:type="spellStart"/>
      <w:r w:rsidRPr="00F169F4">
        <w:rPr>
          <w:rFonts w:ascii="Times New Roman" w:hAnsi="Times New Roman"/>
          <w:lang w:val="lt-LT"/>
        </w:rPr>
        <w:t>GmbH</w:t>
      </w:r>
      <w:proofErr w:type="spellEnd"/>
      <w:r w:rsidRPr="00F169F4">
        <w:rPr>
          <w:rFonts w:ascii="Times New Roman" w:hAnsi="Times New Roman"/>
          <w:lang w:val="lt-LT"/>
        </w:rPr>
        <w:t xml:space="preserve"> &amp; </w:t>
      </w:r>
      <w:proofErr w:type="spellStart"/>
      <w:r w:rsidRPr="00F169F4">
        <w:rPr>
          <w:rFonts w:ascii="Times New Roman" w:hAnsi="Times New Roman"/>
          <w:lang w:val="lt-LT"/>
        </w:rPr>
        <w:t>Co</w:t>
      </w:r>
      <w:proofErr w:type="spellEnd"/>
      <w:r w:rsidRPr="00F169F4">
        <w:rPr>
          <w:rFonts w:ascii="Times New Roman" w:hAnsi="Times New Roman"/>
          <w:lang w:val="lt-LT"/>
        </w:rPr>
        <w:t xml:space="preserve">. KG, </w:t>
      </w:r>
      <w:proofErr w:type="spellStart"/>
      <w:r w:rsidRPr="00F169F4">
        <w:rPr>
          <w:rFonts w:ascii="Times New Roman" w:hAnsi="Times New Roman"/>
          <w:lang w:val="lt-LT"/>
        </w:rPr>
        <w:t>Döbereinerstr</w:t>
      </w:r>
      <w:proofErr w:type="spellEnd"/>
      <w:r w:rsidRPr="00F169F4">
        <w:rPr>
          <w:rFonts w:ascii="Times New Roman" w:hAnsi="Times New Roman"/>
          <w:lang w:val="lt-LT"/>
        </w:rPr>
        <w:t xml:space="preserve">. 20, 99427 </w:t>
      </w:r>
      <w:proofErr w:type="spellStart"/>
      <w:r w:rsidRPr="00F169F4">
        <w:rPr>
          <w:rFonts w:ascii="Times New Roman" w:hAnsi="Times New Roman"/>
          <w:lang w:val="lt-LT"/>
        </w:rPr>
        <w:t>Weimar</w:t>
      </w:r>
      <w:proofErr w:type="spellEnd"/>
      <w:r w:rsidRPr="00F169F4">
        <w:rPr>
          <w:rFonts w:ascii="Times New Roman" w:hAnsi="Times New Roman"/>
          <w:lang w:val="lt-LT"/>
        </w:rPr>
        <w:t>, Vokietija</w:t>
      </w:r>
    </w:p>
    <w:p w:rsidR="004226AB" w:rsidRPr="00F169F4" w:rsidRDefault="004226AB" w:rsidP="004226AB">
      <w:pPr>
        <w:spacing w:after="0" w:line="240" w:lineRule="auto"/>
        <w:rPr>
          <w:rFonts w:ascii="Times New Roman" w:hAnsi="Times New Roman"/>
          <w:b/>
          <w:lang w:val="lt-LT"/>
        </w:rPr>
      </w:pPr>
    </w:p>
    <w:p w:rsidR="004226AB" w:rsidRPr="00F169F4" w:rsidRDefault="004226AB" w:rsidP="004226AB">
      <w:pPr>
        <w:spacing w:after="0" w:line="240" w:lineRule="auto"/>
        <w:rPr>
          <w:rFonts w:ascii="Times New Roman" w:hAnsi="Times New Roman"/>
          <w:b/>
          <w:color w:val="000000"/>
          <w:lang w:val="lt-LT"/>
        </w:rPr>
      </w:pPr>
    </w:p>
    <w:p w:rsidR="004226AB" w:rsidRPr="00F169F4" w:rsidRDefault="004226AB" w:rsidP="004226AB">
      <w:pPr>
        <w:spacing w:after="0" w:line="240" w:lineRule="auto"/>
        <w:rPr>
          <w:rFonts w:ascii="Times New Roman" w:hAnsi="Times New Roman"/>
          <w:lang w:val="lt-LT"/>
        </w:rPr>
      </w:pPr>
      <w:r w:rsidRPr="00F169F4">
        <w:rPr>
          <w:rFonts w:ascii="Times New Roman" w:hAnsi="Times New Roman"/>
          <w:b/>
          <w:color w:val="000000"/>
          <w:lang w:val="lt-LT"/>
        </w:rPr>
        <w:t xml:space="preserve">Šis pakuotės lapelis paskutinį kartą </w:t>
      </w:r>
      <w:r w:rsidRPr="00F169F4">
        <w:rPr>
          <w:rFonts w:ascii="Times New Roman" w:hAnsi="Times New Roman"/>
          <w:b/>
          <w:lang w:val="lt-LT"/>
        </w:rPr>
        <w:t>peržiūrėtas</w:t>
      </w:r>
      <w:r>
        <w:rPr>
          <w:rFonts w:ascii="Times New Roman" w:hAnsi="Times New Roman"/>
          <w:b/>
          <w:color w:val="000000"/>
          <w:lang w:val="lt-LT"/>
        </w:rPr>
        <w:t xml:space="preserve">  2025-02-01.</w:t>
      </w:r>
    </w:p>
    <w:p w:rsidR="004226AB" w:rsidRPr="00F169F4" w:rsidRDefault="004226AB" w:rsidP="004226AB">
      <w:pPr>
        <w:spacing w:after="0" w:line="240" w:lineRule="auto"/>
        <w:rPr>
          <w:rFonts w:ascii="Times New Roman" w:hAnsi="Times New Roman"/>
          <w:lang w:val="lt-LT"/>
        </w:rPr>
      </w:pPr>
    </w:p>
    <w:p w:rsidR="004226AB" w:rsidRPr="00F169F4" w:rsidRDefault="004226AB" w:rsidP="004226AB">
      <w:pPr>
        <w:numPr>
          <w:ilvl w:val="12"/>
          <w:numId w:val="0"/>
        </w:numPr>
        <w:tabs>
          <w:tab w:val="left" w:pos="567"/>
        </w:tabs>
        <w:spacing w:after="0" w:line="240" w:lineRule="auto"/>
        <w:ind w:right="-2"/>
        <w:rPr>
          <w:rFonts w:ascii="Times New Roman" w:hAnsi="Times New Roman"/>
          <w:lang w:val="lt-LT"/>
        </w:rPr>
      </w:pPr>
      <w:r w:rsidRPr="004D637E">
        <w:rPr>
          <w:rFonts w:ascii="Times New Roman" w:hAnsi="Times New Roman"/>
          <w:lang w:val="lt-LT"/>
        </w:rPr>
        <w:t xml:space="preserve">Išsami informacija apie šį vaistą pateikiama Valstybinės vaistų kontrolės tarnybos prie Lietuvos Respublikos sveikatos apsaugos ministerijos tinklalapyje </w:t>
      </w:r>
      <w:r w:rsidRPr="004D637E">
        <w:rPr>
          <w:rFonts w:ascii="Times New Roman" w:hAnsi="Times New Roman"/>
          <w:u w:val="single"/>
          <w:lang w:val="lt-LT"/>
        </w:rPr>
        <w:t>https://vvkt.lrv.lt/lt/</w:t>
      </w:r>
      <w:r w:rsidRPr="004D637E">
        <w:rPr>
          <w:rFonts w:ascii="Times New Roman" w:hAnsi="Times New Roman"/>
          <w:lang w:val="lt-LT"/>
        </w:rPr>
        <w:t>.</w:t>
      </w:r>
    </w:p>
    <w:p w:rsidR="004226AB" w:rsidRPr="00F169F4" w:rsidRDefault="004226AB" w:rsidP="004226AB">
      <w:pPr>
        <w:spacing w:after="0" w:line="240" w:lineRule="auto"/>
        <w:rPr>
          <w:rFonts w:ascii="Times New Roman" w:hAnsi="Times New Roman"/>
          <w:lang w:val="lt-LT"/>
        </w:rPr>
      </w:pPr>
    </w:p>
    <w:p w:rsidR="00BA6577" w:rsidRDefault="00BA6577">
      <w:bookmarkStart w:id="4" w:name="_GoBack"/>
      <w:bookmarkEnd w:id="4"/>
    </w:p>
    <w:sectPr w:rsidR="00BA6577">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44" w:rsidRDefault="004226AB">
    <w:pPr>
      <w:pStyle w:val="Porat"/>
    </w:pPr>
    <w:r>
      <w:rPr>
        <w:lang w:eastAsia="lt-LT"/>
      </w:rPr>
      <mc:AlternateContent>
        <mc:Choice Requires="wps">
          <w:drawing>
            <wp:anchor distT="0" distB="0" distL="114300" distR="114300" simplePos="0" relativeHeight="251659264" behindDoc="0" locked="0" layoutInCell="0" allowOverlap="1" wp14:anchorId="13CA1DE4" wp14:editId="4BE98294">
              <wp:simplePos x="0" y="0"/>
              <wp:positionH relativeFrom="page">
                <wp:posOffset>0</wp:posOffset>
              </wp:positionH>
              <wp:positionV relativeFrom="page">
                <wp:posOffset>9491345</wp:posOffset>
              </wp:positionV>
              <wp:extent cx="7772400" cy="375920"/>
              <wp:effectExtent l="0" t="0" r="0" b="5080"/>
              <wp:wrapNone/>
              <wp:docPr id="3" name="MSIPCM9df64043b01009eeb9b840a2"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90C44" w:rsidRPr="00F268E1" w:rsidRDefault="004226AB" w:rsidP="00F268E1">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3CA1DE4" id="_x0000_t202" coordsize="21600,21600" o:spt="202" path="m,l,21600r21600,l21600,xe">
              <v:stroke joinstyle="miter"/>
              <v:path gradientshapeok="t" o:connecttype="rect"/>
            </v:shapetype>
            <v:shape id="MSIPCM9df64043b01009eeb9b840a2"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" o:allowincell="f" filled="f" stroked="f" strokeweight=".5pt">
              <v:textbox inset=",0,20pt,0">
                <w:txbxContent>
                  <w:p w:rsidR="00790C44" w:rsidRPr="00F268E1" w:rsidRDefault="004226AB" w:rsidP="00F268E1">
                    <w:pPr>
                      <w:spacing w:after="0"/>
                      <w:jc w:val="right"/>
                      <w:rPr>
                        <w:rFonts w:ascii="Calibri" w:hAnsi="Calibri" w:cs="Calibri"/>
                        <w:color w:val="FF8939"/>
                        <w:sz w:val="44"/>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73612"/>
    <w:multiLevelType w:val="hybridMultilevel"/>
    <w:tmpl w:val="8EACF326"/>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D65D4"/>
    <w:multiLevelType w:val="hybridMultilevel"/>
    <w:tmpl w:val="AB78C134"/>
    <w:lvl w:ilvl="0" w:tplc="979E2A1E">
      <w:start w:val="1"/>
      <w:numFmt w:val="bullet"/>
      <w:lvlText w:val=""/>
      <w:lvlJc w:val="left"/>
      <w:pPr>
        <w:tabs>
          <w:tab w:val="num" w:pos="600"/>
        </w:tabs>
        <w:ind w:left="6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C56"/>
    <w:multiLevelType w:val="hybridMultilevel"/>
    <w:tmpl w:val="50A08822"/>
    <w:lvl w:ilvl="0" w:tplc="04090001">
      <w:start w:val="1"/>
      <w:numFmt w:val="bullet"/>
      <w:lvlText w:val=""/>
      <w:lvlJc w:val="left"/>
      <w:pPr>
        <w:tabs>
          <w:tab w:val="num" w:pos="720"/>
        </w:tabs>
        <w:ind w:left="720" w:hanging="360"/>
      </w:pPr>
      <w:rPr>
        <w:rFonts w:ascii="Symbol" w:hAnsi="Symbol" w:hint="default"/>
      </w:rPr>
    </w:lvl>
    <w:lvl w:ilvl="1" w:tplc="8EBC3236">
      <w:start w:val="1"/>
      <w:numFmt w:val="bullet"/>
      <w:lvlText w:val=""/>
      <w:lvlJc w:val="left"/>
      <w:pPr>
        <w:tabs>
          <w:tab w:val="num" w:pos="1800"/>
        </w:tabs>
        <w:ind w:left="1800" w:hanging="72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31BD8"/>
    <w:multiLevelType w:val="hybridMultilevel"/>
    <w:tmpl w:val="E4F07FFE"/>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00B73"/>
    <w:multiLevelType w:val="multilevel"/>
    <w:tmpl w:val="CB7E2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121E9"/>
    <w:multiLevelType w:val="hybridMultilevel"/>
    <w:tmpl w:val="F9C8FCA6"/>
    <w:lvl w:ilvl="0" w:tplc="ECC032B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AFD08A0"/>
    <w:multiLevelType w:val="hybridMultilevel"/>
    <w:tmpl w:val="E4E6E7DA"/>
    <w:lvl w:ilvl="0" w:tplc="04090005">
      <w:start w:val="1"/>
      <w:numFmt w:val="bullet"/>
      <w:lvlText w:val=""/>
      <w:lvlJc w:val="left"/>
      <w:pPr>
        <w:tabs>
          <w:tab w:val="num" w:pos="720"/>
        </w:tabs>
        <w:ind w:left="720" w:hanging="360"/>
      </w:pPr>
      <w:rPr>
        <w:rFonts w:ascii="Wingdings" w:hAnsi="Wingdings" w:hint="default"/>
      </w:rPr>
    </w:lvl>
    <w:lvl w:ilvl="1" w:tplc="979E2A1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A0BD5"/>
    <w:multiLevelType w:val="hybridMultilevel"/>
    <w:tmpl w:val="34AAB100"/>
    <w:lvl w:ilvl="0" w:tplc="B960185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2654A"/>
    <w:multiLevelType w:val="hybridMultilevel"/>
    <w:tmpl w:val="246EE28E"/>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0" w15:restartNumberingAfterBreak="0">
    <w:nsid w:val="5DFA7DFA"/>
    <w:multiLevelType w:val="multilevel"/>
    <w:tmpl w:val="8C9CB1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265BD8"/>
    <w:multiLevelType w:val="hybridMultilevel"/>
    <w:tmpl w:val="5A9686C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C5B3513"/>
    <w:multiLevelType w:val="multilevel"/>
    <w:tmpl w:val="8E1666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6559F"/>
    <w:multiLevelType w:val="hybridMultilevel"/>
    <w:tmpl w:val="F7622A78"/>
    <w:lvl w:ilvl="0" w:tplc="6C508F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3A0080"/>
    <w:multiLevelType w:val="hybridMultilevel"/>
    <w:tmpl w:val="D9A677CA"/>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D0C16"/>
    <w:multiLevelType w:val="hybridMultilevel"/>
    <w:tmpl w:val="FA2C00C6"/>
    <w:lvl w:ilvl="0" w:tplc="3C4A5164">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6B4508"/>
    <w:multiLevelType w:val="multilevel"/>
    <w:tmpl w:val="283CDB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AF36BF"/>
    <w:multiLevelType w:val="multilevel"/>
    <w:tmpl w:val="EBC46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8"/>
  </w:num>
  <w:num w:numId="4">
    <w:abstractNumId w:val="12"/>
  </w:num>
  <w:num w:numId="5">
    <w:abstractNumId w:val="16"/>
  </w:num>
  <w:num w:numId="6">
    <w:abstractNumId w:val="17"/>
  </w:num>
  <w:num w:numId="7">
    <w:abstractNumId w:val="3"/>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7"/>
  </w:num>
  <w:num w:numId="15">
    <w:abstractNumId w:val="14"/>
  </w:num>
  <w:num w:numId="16">
    <w:abstractNumId w:val="1"/>
  </w:num>
  <w:num w:numId="17">
    <w:abstractNumId w:val="0"/>
    <w:lvlOverride w:ilvl="0">
      <w:lvl w:ilvl="0">
        <w:start w:val="1"/>
        <w:numFmt w:val="bullet"/>
        <w:lvlText w:val="-"/>
        <w:lvlJc w:val="left"/>
        <w:pPr>
          <w:ind w:left="360" w:hanging="360"/>
        </w:pPr>
      </w:lvl>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AB"/>
    <w:rsid w:val="00072F85"/>
    <w:rsid w:val="000A5E72"/>
    <w:rsid w:val="000A7B60"/>
    <w:rsid w:val="00181364"/>
    <w:rsid w:val="002945D9"/>
    <w:rsid w:val="00305C48"/>
    <w:rsid w:val="003362C6"/>
    <w:rsid w:val="004226AB"/>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DE887-E6F1-45AB-ABA9-3086E02E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6AB"/>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4226AB"/>
    <w:pPr>
      <w:tabs>
        <w:tab w:val="center" w:pos="4153"/>
        <w:tab w:val="right" w:pos="8306"/>
      </w:tabs>
      <w:spacing w:after="0" w:line="240" w:lineRule="auto"/>
    </w:pPr>
    <w:rPr>
      <w:rFonts w:ascii="Times New Roman" w:eastAsia="Times New Roman" w:hAnsi="Times New Roman" w:cs="Times New Roman"/>
      <w:noProof/>
      <w:szCs w:val="20"/>
      <w:lang w:val="lt-LT"/>
    </w:rPr>
  </w:style>
  <w:style w:type="character" w:customStyle="1" w:styleId="PoratDiagrama">
    <w:name w:val="Poraštė Diagrama"/>
    <w:basedOn w:val="Numatytasispastraiposriftas"/>
    <w:link w:val="Porat"/>
    <w:rsid w:val="004226AB"/>
    <w:rPr>
      <w:rFonts w:ascii="Times New Roman" w:eastAsia="Times New Roman" w:hAnsi="Times New Roman" w:cs="Times New Roman"/>
      <w:noProof/>
      <w:szCs w:val="20"/>
    </w:rPr>
  </w:style>
  <w:style w:type="paragraph" w:styleId="prastasiniatinklio">
    <w:name w:val="Normal (Web)"/>
    <w:basedOn w:val="prastasis"/>
    <w:uiPriority w:val="99"/>
    <w:unhideWhenUsed/>
    <w:rsid w:val="004226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15660</Words>
  <Characters>8927</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Pakuotės lapelis: informacija vartotojui</vt:lpstr>
      <vt:lpstr>    1.	Kas yra Androcur ir kam jis vartojamas</vt:lpstr>
      <vt:lpstr>Dėl ko Androcur vartojamas moterims</vt:lpstr>
      <vt:lpstr>    2.	Kas žinotina prieš vartojant Androcur</vt:lpstr>
      <vt:lpstr>        Androcur vartoti negalima</vt:lpstr>
      <vt:lpstr>        Kiti vaistai ir Androcur</vt:lpstr>
      <vt:lpstr>        Vairavimas ir mechanizmų valdymas</vt:lpstr>
      <vt:lpstr>    3.	Kaip vartoti Androcur</vt:lpstr>
      <vt:lpstr>Dozavimas moterims</vt:lpstr>
      <vt:lpstr>    </vt:lpstr>
      <vt:lpstr>        4.	Galimas šalutinis poveikis</vt:lpstr>
      <vt:lpstr>    5.	Kaip laikyti Androcur</vt:lpstr>
      <vt:lpstr>    6.	Pakuotės turinys ir kita informacija</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2025-01-31T06:59:00Z</dcterms:created>
  <dcterms:modified xsi:type="dcterms:W3CDTF">2025-01-31T06:59:00Z</dcterms:modified>
</cp:coreProperties>
</file>