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4094" w14:textId="77777777" w:rsidR="00075BFC" w:rsidRPr="00F165FC" w:rsidRDefault="00075BFC" w:rsidP="00075BFC">
      <w:pPr>
        <w:tabs>
          <w:tab w:val="left" w:pos="567"/>
        </w:tabs>
        <w:ind w:left="567" w:hanging="567"/>
        <w:jc w:val="center"/>
        <w:outlineLvl w:val="0"/>
        <w:rPr>
          <w:b/>
          <w:szCs w:val="22"/>
          <w:lang w:eastAsia="x-none"/>
        </w:rPr>
      </w:pPr>
      <w:bookmarkStart w:id="0" w:name="_Toc129243138"/>
      <w:bookmarkStart w:id="1" w:name="_Toc129243263"/>
      <w:r w:rsidRPr="00F165FC">
        <w:rPr>
          <w:b/>
          <w:szCs w:val="22"/>
          <w:lang w:eastAsia="x-none"/>
        </w:rPr>
        <w:t xml:space="preserve">Pakuotės lapelis: </w:t>
      </w:r>
      <w:bookmarkEnd w:id="0"/>
      <w:bookmarkEnd w:id="1"/>
      <w:r w:rsidRPr="00F165FC">
        <w:rPr>
          <w:b/>
          <w:szCs w:val="22"/>
          <w:lang w:eastAsia="x-none"/>
        </w:rPr>
        <w:t>informacija vartotojui</w:t>
      </w:r>
    </w:p>
    <w:p w14:paraId="270D67E7" w14:textId="77777777" w:rsidR="00075BFC" w:rsidRPr="00F165FC" w:rsidRDefault="00075BFC" w:rsidP="00075BFC">
      <w:pPr>
        <w:rPr>
          <w:iCs/>
          <w:szCs w:val="22"/>
          <w:lang w:val="x-none" w:eastAsia="x-none"/>
        </w:rPr>
      </w:pPr>
    </w:p>
    <w:p w14:paraId="4857BF3E" w14:textId="77777777" w:rsidR="00075BFC" w:rsidRPr="00F165FC" w:rsidRDefault="00075BFC" w:rsidP="00075BFC">
      <w:pPr>
        <w:jc w:val="center"/>
        <w:rPr>
          <w:b/>
          <w:iCs/>
          <w:szCs w:val="22"/>
          <w:lang w:val="x-none" w:eastAsia="x-none"/>
        </w:rPr>
      </w:pPr>
      <w:r w:rsidRPr="00F165FC">
        <w:rPr>
          <w:b/>
          <w:iCs/>
          <w:szCs w:val="22"/>
          <w:lang w:val="x-none" w:eastAsia="x-none"/>
        </w:rPr>
        <w:t>XANAX 0,25 mg tabletės</w:t>
      </w:r>
    </w:p>
    <w:p w14:paraId="69507B72" w14:textId="77777777" w:rsidR="00075BFC" w:rsidRPr="00F165FC" w:rsidRDefault="00075BFC" w:rsidP="00075BFC">
      <w:pPr>
        <w:jc w:val="center"/>
        <w:rPr>
          <w:b/>
          <w:iCs/>
          <w:szCs w:val="22"/>
          <w:lang w:val="x-none" w:eastAsia="x-none"/>
        </w:rPr>
      </w:pPr>
      <w:r w:rsidRPr="00F165FC">
        <w:rPr>
          <w:b/>
          <w:iCs/>
          <w:szCs w:val="22"/>
          <w:lang w:val="x-none" w:eastAsia="x-none"/>
        </w:rPr>
        <w:t>XANAX 0,5 mg tabletės</w:t>
      </w:r>
    </w:p>
    <w:p w14:paraId="4F9CC105" w14:textId="77777777" w:rsidR="00075BFC" w:rsidRPr="00F165FC" w:rsidRDefault="00075BFC" w:rsidP="00075BFC">
      <w:pPr>
        <w:jc w:val="center"/>
        <w:rPr>
          <w:b/>
          <w:iCs/>
          <w:szCs w:val="22"/>
          <w:lang w:val="x-none" w:eastAsia="x-none"/>
        </w:rPr>
      </w:pPr>
      <w:r w:rsidRPr="00F165FC">
        <w:rPr>
          <w:b/>
          <w:iCs/>
          <w:szCs w:val="22"/>
          <w:lang w:val="x-none" w:eastAsia="x-none"/>
        </w:rPr>
        <w:t>XANAX 1 mg tabletės</w:t>
      </w:r>
    </w:p>
    <w:p w14:paraId="4BA5B947" w14:textId="77777777" w:rsidR="00075BFC" w:rsidRPr="00F165FC" w:rsidRDefault="00075BFC" w:rsidP="00075BFC">
      <w:pPr>
        <w:jc w:val="center"/>
        <w:rPr>
          <w:iCs/>
          <w:noProof/>
          <w:szCs w:val="22"/>
          <w:lang w:val="x-none" w:eastAsia="x-none"/>
        </w:rPr>
      </w:pPr>
      <w:r w:rsidRPr="00F165FC">
        <w:rPr>
          <w:iCs/>
          <w:noProof/>
          <w:szCs w:val="22"/>
          <w:lang w:val="x-none" w:eastAsia="x-none"/>
        </w:rPr>
        <w:t>Alprazolamas</w:t>
      </w:r>
    </w:p>
    <w:p w14:paraId="2FC1B82E" w14:textId="77777777" w:rsidR="00075BFC" w:rsidRPr="00F165FC" w:rsidRDefault="00075BFC" w:rsidP="00075BFC">
      <w:pPr>
        <w:rPr>
          <w:iCs/>
          <w:szCs w:val="22"/>
          <w:lang w:val="x-none" w:eastAsia="x-none"/>
        </w:rPr>
      </w:pPr>
    </w:p>
    <w:p w14:paraId="35C378F4" w14:textId="77777777" w:rsidR="00075BFC" w:rsidRPr="00F165FC" w:rsidRDefault="00075BFC" w:rsidP="00075BFC">
      <w:pPr>
        <w:rPr>
          <w:iCs/>
          <w:szCs w:val="22"/>
          <w:lang w:val="x-none" w:eastAsia="x-none"/>
        </w:rPr>
      </w:pPr>
    </w:p>
    <w:p w14:paraId="270403FB" w14:textId="77777777" w:rsidR="00075BFC" w:rsidRPr="00F165FC" w:rsidRDefault="00075BFC" w:rsidP="00075BFC">
      <w:pPr>
        <w:rPr>
          <w:b/>
          <w:bCs/>
          <w:iCs/>
          <w:noProof/>
          <w:szCs w:val="22"/>
          <w:lang w:val="x-none" w:eastAsia="x-none"/>
        </w:rPr>
      </w:pPr>
      <w:r w:rsidRPr="00F165FC">
        <w:rPr>
          <w:b/>
          <w:bCs/>
          <w:iCs/>
          <w:noProof/>
          <w:szCs w:val="22"/>
          <w:lang w:val="x-none" w:eastAsia="x-none"/>
        </w:rPr>
        <w:t>Atidžiai perskaitykite visą šį lapelį, prieš pradėdami vartoti vaistą, nes jame pateikiama Jums svarbi informacija.</w:t>
      </w:r>
    </w:p>
    <w:p w14:paraId="601977C4" w14:textId="77777777" w:rsidR="00075BFC" w:rsidRPr="00E1751B" w:rsidRDefault="00075BFC" w:rsidP="00075BFC">
      <w:pPr>
        <w:pStyle w:val="Sraopastraipa"/>
        <w:numPr>
          <w:ilvl w:val="0"/>
          <w:numId w:val="5"/>
        </w:numPr>
        <w:ind w:left="360"/>
        <w:rPr>
          <w:szCs w:val="22"/>
        </w:rPr>
      </w:pPr>
      <w:r w:rsidRPr="00E1751B">
        <w:rPr>
          <w:szCs w:val="22"/>
        </w:rPr>
        <w:t>Neišmeskite šio lapelio, nes vėl gali prireikti jį perskaityti.</w:t>
      </w:r>
    </w:p>
    <w:p w14:paraId="4C149443" w14:textId="77777777" w:rsidR="00075BFC" w:rsidRPr="00E1751B" w:rsidRDefault="00075BFC" w:rsidP="00075BFC">
      <w:pPr>
        <w:pStyle w:val="Sraopastraipa"/>
        <w:numPr>
          <w:ilvl w:val="0"/>
          <w:numId w:val="5"/>
        </w:numPr>
        <w:ind w:left="360"/>
        <w:rPr>
          <w:szCs w:val="22"/>
        </w:rPr>
      </w:pPr>
      <w:r w:rsidRPr="00E1751B">
        <w:rPr>
          <w:szCs w:val="22"/>
        </w:rPr>
        <w:t>Jeigu kiltų daugiau klausimų, kreipkitės į gydytoją arba vaistininką.</w:t>
      </w:r>
    </w:p>
    <w:p w14:paraId="4C88A40F" w14:textId="77777777" w:rsidR="00075BFC" w:rsidRPr="00E1751B" w:rsidRDefault="00075BFC" w:rsidP="00075BFC">
      <w:pPr>
        <w:pStyle w:val="Sraopastraipa"/>
        <w:numPr>
          <w:ilvl w:val="0"/>
          <w:numId w:val="5"/>
        </w:numPr>
        <w:ind w:left="360"/>
        <w:rPr>
          <w:szCs w:val="22"/>
        </w:rPr>
      </w:pPr>
      <w:r w:rsidRPr="00E1751B">
        <w:rPr>
          <w:szCs w:val="22"/>
        </w:rPr>
        <w:t>Šis vaistas skirtas tik Jums, todėl kitiems žmonėms jo duoti negalima. Vaistas gali jiems pakenkti (net tiems, kurių ligos požymiai yra tokie patys kaip Jūsų).</w:t>
      </w:r>
    </w:p>
    <w:p w14:paraId="310AA57F" w14:textId="77777777" w:rsidR="00075BFC" w:rsidRPr="00E1751B" w:rsidRDefault="00075BFC" w:rsidP="00075BFC">
      <w:pPr>
        <w:pStyle w:val="Sraopastraipa"/>
        <w:numPr>
          <w:ilvl w:val="0"/>
          <w:numId w:val="5"/>
        </w:numPr>
        <w:ind w:left="360"/>
        <w:rPr>
          <w:szCs w:val="22"/>
        </w:rPr>
      </w:pPr>
      <w:r w:rsidRPr="00E1751B">
        <w:rPr>
          <w:szCs w:val="22"/>
        </w:rPr>
        <w:t>Jeigu pasireiškė šalutinis poveikis (net jeigu jis šiame lapelyje nenurodytas), kreipkitės į gydytoją arba vaistininką. Žr. 4 skyrių.</w:t>
      </w:r>
    </w:p>
    <w:p w14:paraId="007BCF02" w14:textId="77777777" w:rsidR="00075BFC" w:rsidRPr="00F165FC" w:rsidRDefault="00075BFC" w:rsidP="00075BFC">
      <w:pPr>
        <w:tabs>
          <w:tab w:val="num" w:pos="567"/>
          <w:tab w:val="num" w:pos="720"/>
        </w:tabs>
        <w:ind w:left="567" w:hanging="567"/>
        <w:rPr>
          <w:noProof/>
          <w:szCs w:val="22"/>
          <w:lang w:val="x-none" w:eastAsia="x-none"/>
        </w:rPr>
      </w:pPr>
    </w:p>
    <w:p w14:paraId="28C13959" w14:textId="77777777" w:rsidR="00075BFC" w:rsidRPr="00F165FC" w:rsidRDefault="00075BFC" w:rsidP="00075BFC">
      <w:pPr>
        <w:rPr>
          <w:b/>
          <w:szCs w:val="22"/>
          <w:lang w:val="x-none" w:eastAsia="x-none"/>
        </w:rPr>
      </w:pPr>
      <w:r w:rsidRPr="00F165FC">
        <w:rPr>
          <w:b/>
          <w:szCs w:val="22"/>
          <w:lang w:val="x-none" w:eastAsia="x-none"/>
        </w:rPr>
        <w:t>Apie ką rašoma šiame lapelyje?</w:t>
      </w:r>
    </w:p>
    <w:p w14:paraId="17C1D8F6" w14:textId="77777777" w:rsidR="00075BFC" w:rsidRPr="00F165FC" w:rsidRDefault="00075BFC" w:rsidP="00075BFC">
      <w:pPr>
        <w:rPr>
          <w:b/>
          <w:szCs w:val="22"/>
          <w:lang w:val="x-none" w:eastAsia="x-none"/>
        </w:rPr>
      </w:pPr>
    </w:p>
    <w:p w14:paraId="02AD1B3E" w14:textId="77777777" w:rsidR="00075BFC" w:rsidRPr="00F165FC" w:rsidRDefault="00075BFC" w:rsidP="00075BFC">
      <w:pPr>
        <w:tabs>
          <w:tab w:val="left" w:pos="567"/>
        </w:tabs>
        <w:rPr>
          <w:szCs w:val="22"/>
          <w:lang w:val="x-none" w:eastAsia="x-none"/>
        </w:rPr>
      </w:pPr>
      <w:r w:rsidRPr="00F165FC">
        <w:rPr>
          <w:szCs w:val="22"/>
          <w:lang w:val="x-none" w:eastAsia="x-none"/>
        </w:rPr>
        <w:t>1.</w:t>
      </w:r>
      <w:r w:rsidRPr="00F165FC">
        <w:rPr>
          <w:szCs w:val="22"/>
          <w:lang w:val="x-none" w:eastAsia="x-none"/>
        </w:rPr>
        <w:tab/>
        <w:t>Kas yra XANAX ir kam jis vartojamas</w:t>
      </w:r>
    </w:p>
    <w:p w14:paraId="45FAC864" w14:textId="77777777" w:rsidR="00075BFC" w:rsidRPr="00F165FC" w:rsidRDefault="00075BFC" w:rsidP="00075BFC">
      <w:pPr>
        <w:tabs>
          <w:tab w:val="left" w:pos="567"/>
        </w:tabs>
        <w:rPr>
          <w:szCs w:val="22"/>
          <w:lang w:val="x-none" w:eastAsia="x-none"/>
        </w:rPr>
      </w:pPr>
      <w:r w:rsidRPr="00F165FC">
        <w:rPr>
          <w:szCs w:val="22"/>
          <w:lang w:val="x-none" w:eastAsia="x-none"/>
        </w:rPr>
        <w:t>2.</w:t>
      </w:r>
      <w:r w:rsidRPr="00F165FC">
        <w:rPr>
          <w:szCs w:val="22"/>
          <w:lang w:val="x-none" w:eastAsia="x-none"/>
        </w:rPr>
        <w:tab/>
        <w:t>Kas žinotina prieš vartojant XANAX</w:t>
      </w:r>
    </w:p>
    <w:p w14:paraId="40E682A1" w14:textId="77777777" w:rsidR="00075BFC" w:rsidRPr="00F165FC" w:rsidRDefault="00075BFC" w:rsidP="00075BFC">
      <w:pPr>
        <w:tabs>
          <w:tab w:val="left" w:pos="567"/>
        </w:tabs>
        <w:rPr>
          <w:szCs w:val="22"/>
          <w:lang w:val="x-none" w:eastAsia="x-none"/>
        </w:rPr>
      </w:pPr>
      <w:r w:rsidRPr="00F165FC">
        <w:rPr>
          <w:szCs w:val="22"/>
          <w:lang w:val="x-none" w:eastAsia="x-none"/>
        </w:rPr>
        <w:t>3.</w:t>
      </w:r>
      <w:r w:rsidRPr="00F165FC">
        <w:rPr>
          <w:szCs w:val="22"/>
          <w:lang w:val="en-US" w:eastAsia="x-none"/>
        </w:rPr>
        <w:tab/>
      </w:r>
      <w:r w:rsidRPr="00F165FC">
        <w:rPr>
          <w:szCs w:val="22"/>
          <w:lang w:val="x-none" w:eastAsia="x-none"/>
        </w:rPr>
        <w:t>Kaip vartoti XANAX</w:t>
      </w:r>
    </w:p>
    <w:p w14:paraId="662E2890" w14:textId="77777777" w:rsidR="00075BFC" w:rsidRPr="00F165FC" w:rsidRDefault="00075BFC" w:rsidP="00075BFC">
      <w:pPr>
        <w:tabs>
          <w:tab w:val="left" w:pos="567"/>
        </w:tabs>
        <w:rPr>
          <w:szCs w:val="22"/>
          <w:lang w:val="x-none" w:eastAsia="x-none"/>
        </w:rPr>
      </w:pPr>
      <w:r w:rsidRPr="00F165FC">
        <w:rPr>
          <w:szCs w:val="22"/>
          <w:lang w:val="x-none" w:eastAsia="x-none"/>
        </w:rPr>
        <w:t>4.</w:t>
      </w:r>
      <w:r w:rsidRPr="00F165FC">
        <w:rPr>
          <w:szCs w:val="22"/>
          <w:lang w:val="x-none" w:eastAsia="x-none"/>
        </w:rPr>
        <w:tab/>
        <w:t>Galimas šalutinis poveikis</w:t>
      </w:r>
    </w:p>
    <w:p w14:paraId="13D7007F" w14:textId="77777777" w:rsidR="00075BFC" w:rsidRPr="00F165FC" w:rsidRDefault="00075BFC" w:rsidP="00075BFC">
      <w:pPr>
        <w:tabs>
          <w:tab w:val="left" w:pos="567"/>
        </w:tabs>
        <w:rPr>
          <w:szCs w:val="22"/>
          <w:lang w:val="x-none" w:eastAsia="x-none"/>
        </w:rPr>
      </w:pPr>
      <w:r w:rsidRPr="00F165FC">
        <w:rPr>
          <w:szCs w:val="22"/>
          <w:lang w:val="x-none" w:eastAsia="x-none"/>
        </w:rPr>
        <w:t>5.</w:t>
      </w:r>
      <w:r w:rsidRPr="00F165FC">
        <w:rPr>
          <w:szCs w:val="22"/>
          <w:lang w:val="x-none" w:eastAsia="x-none"/>
        </w:rPr>
        <w:tab/>
        <w:t>Kaip laikyti XANAX</w:t>
      </w:r>
    </w:p>
    <w:p w14:paraId="3A3AB5FE" w14:textId="77777777" w:rsidR="00075BFC" w:rsidRPr="00F165FC" w:rsidRDefault="00075BFC" w:rsidP="00075BFC">
      <w:pPr>
        <w:tabs>
          <w:tab w:val="left" w:pos="567"/>
        </w:tabs>
        <w:rPr>
          <w:szCs w:val="22"/>
          <w:lang w:val="x-none" w:eastAsia="x-none"/>
        </w:rPr>
      </w:pPr>
      <w:r w:rsidRPr="00F165FC">
        <w:rPr>
          <w:szCs w:val="22"/>
          <w:lang w:val="x-none" w:eastAsia="x-none"/>
        </w:rPr>
        <w:t>6.</w:t>
      </w:r>
      <w:r w:rsidRPr="00F165FC">
        <w:rPr>
          <w:szCs w:val="22"/>
          <w:lang w:val="x-none" w:eastAsia="x-none"/>
        </w:rPr>
        <w:tab/>
        <w:t>Pakuotės turinys ir kita informacija</w:t>
      </w:r>
    </w:p>
    <w:p w14:paraId="7964B167" w14:textId="77777777" w:rsidR="00075BFC" w:rsidRPr="00F165FC" w:rsidRDefault="00075BFC" w:rsidP="00075BFC">
      <w:pPr>
        <w:tabs>
          <w:tab w:val="left" w:pos="567"/>
        </w:tabs>
        <w:rPr>
          <w:szCs w:val="22"/>
          <w:lang w:val="x-none" w:eastAsia="x-none"/>
        </w:rPr>
      </w:pPr>
    </w:p>
    <w:p w14:paraId="26F6BE58" w14:textId="77777777" w:rsidR="00075BFC" w:rsidRPr="00F165FC" w:rsidRDefault="00075BFC" w:rsidP="00075BFC">
      <w:pPr>
        <w:tabs>
          <w:tab w:val="left" w:pos="567"/>
        </w:tabs>
        <w:rPr>
          <w:szCs w:val="22"/>
          <w:lang w:val="x-none" w:eastAsia="x-none"/>
        </w:rPr>
      </w:pPr>
    </w:p>
    <w:p w14:paraId="62F10E9B" w14:textId="77777777" w:rsidR="00075BFC" w:rsidRPr="00F165FC" w:rsidRDefault="00075BFC" w:rsidP="00075BFC">
      <w:pPr>
        <w:keepNext/>
        <w:tabs>
          <w:tab w:val="left" w:pos="567"/>
        </w:tabs>
        <w:outlineLvl w:val="1"/>
        <w:rPr>
          <w:b/>
          <w:bCs/>
          <w:iCs/>
          <w:szCs w:val="22"/>
          <w:lang w:val="x-none" w:eastAsia="x-none"/>
        </w:rPr>
      </w:pPr>
      <w:r w:rsidRPr="00F165FC">
        <w:rPr>
          <w:b/>
          <w:bCs/>
          <w:iCs/>
          <w:szCs w:val="22"/>
          <w:lang w:val="x-none" w:eastAsia="x-none"/>
        </w:rPr>
        <w:t>1.</w:t>
      </w:r>
      <w:r w:rsidRPr="00F165FC">
        <w:rPr>
          <w:b/>
          <w:bCs/>
          <w:iCs/>
          <w:szCs w:val="22"/>
          <w:lang w:val="x-none" w:eastAsia="x-none"/>
        </w:rPr>
        <w:tab/>
        <w:t>Kas yra XANAX ir kam jis vartojamas</w:t>
      </w:r>
    </w:p>
    <w:p w14:paraId="54CA4BF0" w14:textId="77777777" w:rsidR="00075BFC" w:rsidRPr="00F165FC" w:rsidRDefault="00075BFC" w:rsidP="00075BFC">
      <w:pPr>
        <w:rPr>
          <w:iCs/>
          <w:szCs w:val="22"/>
          <w:lang w:val="x-none" w:eastAsia="x-none"/>
        </w:rPr>
      </w:pPr>
    </w:p>
    <w:p w14:paraId="6FD02B26" w14:textId="77777777" w:rsidR="00075BFC" w:rsidRDefault="00075BFC" w:rsidP="00075BFC">
      <w:pPr>
        <w:rPr>
          <w:iCs/>
          <w:szCs w:val="22"/>
          <w:lang w:eastAsia="x-none"/>
        </w:rPr>
      </w:pPr>
      <w:bookmarkStart w:id="2" w:name="_Hlk84930201"/>
      <w:r>
        <w:rPr>
          <w:iCs/>
          <w:szCs w:val="22"/>
          <w:lang w:eastAsia="x-none"/>
        </w:rPr>
        <w:t>XANAX sudėtyje yra veikliosios medžiagos a</w:t>
      </w:r>
      <w:proofErr w:type="spellStart"/>
      <w:r w:rsidRPr="00F165FC">
        <w:rPr>
          <w:iCs/>
          <w:szCs w:val="22"/>
          <w:lang w:val="x-none" w:eastAsia="x-none"/>
        </w:rPr>
        <w:t>lprazolam</w:t>
      </w:r>
      <w:r>
        <w:rPr>
          <w:iCs/>
          <w:szCs w:val="22"/>
          <w:lang w:eastAsia="x-none"/>
        </w:rPr>
        <w:t>o</w:t>
      </w:r>
      <w:proofErr w:type="spellEnd"/>
      <w:r>
        <w:rPr>
          <w:iCs/>
          <w:szCs w:val="22"/>
          <w:lang w:eastAsia="x-none"/>
        </w:rPr>
        <w:t>.</w:t>
      </w:r>
      <w:r w:rsidRPr="00F165FC">
        <w:rPr>
          <w:iCs/>
          <w:szCs w:val="22"/>
          <w:lang w:val="x-none" w:eastAsia="x-none"/>
        </w:rPr>
        <w:t xml:space="preserve"> </w:t>
      </w:r>
      <w:r>
        <w:rPr>
          <w:iCs/>
          <w:szCs w:val="22"/>
          <w:lang w:eastAsia="x-none"/>
        </w:rPr>
        <w:t xml:space="preserve">Jis priklauso vaistų, vadinamų benzodiazepinais (nerimą malšinančių vaistų), grupei. </w:t>
      </w:r>
    </w:p>
    <w:p w14:paraId="20143F67" w14:textId="77777777" w:rsidR="00075BFC" w:rsidRDefault="00075BFC" w:rsidP="00075BFC">
      <w:pPr>
        <w:rPr>
          <w:iCs/>
          <w:szCs w:val="22"/>
          <w:lang w:eastAsia="x-none"/>
        </w:rPr>
      </w:pPr>
    </w:p>
    <w:p w14:paraId="43D109CA" w14:textId="77777777" w:rsidR="00075BFC" w:rsidRPr="00F165FC" w:rsidRDefault="00075BFC" w:rsidP="00075BFC">
      <w:pPr>
        <w:rPr>
          <w:iCs/>
          <w:szCs w:val="22"/>
          <w:lang w:val="x-none" w:eastAsia="x-none"/>
        </w:rPr>
      </w:pPr>
      <w:r>
        <w:rPr>
          <w:iCs/>
          <w:szCs w:val="22"/>
          <w:lang w:eastAsia="x-none"/>
        </w:rPr>
        <w:t xml:space="preserve">XANAX </w:t>
      </w:r>
      <w:r w:rsidRPr="00F165FC">
        <w:rPr>
          <w:iCs/>
          <w:szCs w:val="22"/>
          <w:lang w:val="x-none" w:eastAsia="x-none"/>
        </w:rPr>
        <w:t xml:space="preserve">vartojamas </w:t>
      </w:r>
      <w:r>
        <w:rPr>
          <w:iCs/>
          <w:szCs w:val="22"/>
          <w:lang w:eastAsia="x-none"/>
        </w:rPr>
        <w:t xml:space="preserve">simptominiam </w:t>
      </w:r>
      <w:r w:rsidRPr="00F165FC">
        <w:rPr>
          <w:iCs/>
          <w:szCs w:val="22"/>
          <w:lang w:val="x-none" w:eastAsia="x-none"/>
        </w:rPr>
        <w:t>nerim</w:t>
      </w:r>
      <w:r>
        <w:rPr>
          <w:iCs/>
          <w:szCs w:val="22"/>
          <w:lang w:eastAsia="x-none"/>
        </w:rPr>
        <w:t>o gydymui</w:t>
      </w:r>
      <w:r w:rsidRPr="00521122">
        <w:rPr>
          <w:iCs/>
          <w:szCs w:val="22"/>
          <w:lang w:eastAsia="x-none"/>
        </w:rPr>
        <w:t xml:space="preserve"> </w:t>
      </w:r>
      <w:r>
        <w:rPr>
          <w:iCs/>
          <w:szCs w:val="22"/>
          <w:lang w:eastAsia="x-none"/>
        </w:rPr>
        <w:t>suaugusiesiems, kai sutrikimai yra sunkūs, riboja paciento veiklą ir labai vargina</w:t>
      </w:r>
      <w:r w:rsidRPr="00F165FC">
        <w:rPr>
          <w:iCs/>
          <w:szCs w:val="22"/>
          <w:lang w:val="x-none" w:eastAsia="x-none"/>
        </w:rPr>
        <w:t xml:space="preserve">. </w:t>
      </w:r>
      <w:r>
        <w:rPr>
          <w:iCs/>
          <w:szCs w:val="22"/>
          <w:lang w:eastAsia="x-none"/>
        </w:rPr>
        <w:t xml:space="preserve">Šis vaistas skirtas tik trumpalaikiam </w:t>
      </w:r>
      <w:proofErr w:type="spellStart"/>
      <w:r>
        <w:rPr>
          <w:iCs/>
          <w:szCs w:val="22"/>
          <w:lang w:eastAsia="x-none"/>
        </w:rPr>
        <w:t>vartojamui</w:t>
      </w:r>
      <w:proofErr w:type="spellEnd"/>
      <w:r>
        <w:rPr>
          <w:iCs/>
          <w:szCs w:val="22"/>
          <w:lang w:eastAsia="x-none"/>
        </w:rPr>
        <w:t>.</w:t>
      </w:r>
      <w:bookmarkEnd w:id="2"/>
    </w:p>
    <w:p w14:paraId="45716D23" w14:textId="77777777" w:rsidR="00075BFC" w:rsidRPr="00F165FC" w:rsidRDefault="00075BFC" w:rsidP="00075BFC">
      <w:pPr>
        <w:rPr>
          <w:iCs/>
          <w:szCs w:val="22"/>
          <w:lang w:val="x-none" w:eastAsia="x-none"/>
        </w:rPr>
      </w:pPr>
    </w:p>
    <w:p w14:paraId="2B74C0FE" w14:textId="77777777" w:rsidR="00075BFC" w:rsidRPr="00F165FC" w:rsidRDefault="00075BFC" w:rsidP="00075BFC">
      <w:pPr>
        <w:rPr>
          <w:iCs/>
          <w:szCs w:val="22"/>
          <w:lang w:val="x-none" w:eastAsia="x-none"/>
        </w:rPr>
      </w:pPr>
    </w:p>
    <w:p w14:paraId="391C8B9E" w14:textId="77777777" w:rsidR="00075BFC" w:rsidRPr="00F165FC" w:rsidRDefault="00075BFC" w:rsidP="00075BFC">
      <w:pPr>
        <w:keepNext/>
        <w:tabs>
          <w:tab w:val="left" w:pos="567"/>
        </w:tabs>
        <w:outlineLvl w:val="1"/>
        <w:rPr>
          <w:b/>
          <w:bCs/>
          <w:iCs/>
          <w:szCs w:val="22"/>
          <w:lang w:val="x-none" w:eastAsia="x-none"/>
        </w:rPr>
      </w:pPr>
      <w:r w:rsidRPr="00F165FC">
        <w:rPr>
          <w:b/>
          <w:bCs/>
          <w:iCs/>
          <w:szCs w:val="22"/>
          <w:lang w:val="x-none" w:eastAsia="x-none"/>
        </w:rPr>
        <w:t>2.</w:t>
      </w:r>
      <w:r w:rsidRPr="00F165FC">
        <w:rPr>
          <w:b/>
          <w:bCs/>
          <w:iCs/>
          <w:szCs w:val="22"/>
          <w:lang w:val="x-none" w:eastAsia="x-none"/>
        </w:rPr>
        <w:tab/>
        <w:t>Kas žinotina prieš vartojant XANAX</w:t>
      </w:r>
    </w:p>
    <w:p w14:paraId="172500D8" w14:textId="77777777" w:rsidR="00075BFC" w:rsidRPr="00F165FC" w:rsidRDefault="00075BFC" w:rsidP="00075BFC">
      <w:pPr>
        <w:rPr>
          <w:iCs/>
          <w:szCs w:val="22"/>
          <w:lang w:val="x-none" w:eastAsia="x-none"/>
        </w:rPr>
      </w:pPr>
    </w:p>
    <w:p w14:paraId="019E2D26" w14:textId="77777777" w:rsidR="00075BFC" w:rsidRPr="00F165FC" w:rsidRDefault="00075BFC" w:rsidP="00075BFC">
      <w:pPr>
        <w:keepNext/>
        <w:tabs>
          <w:tab w:val="left" w:pos="567"/>
        </w:tabs>
        <w:outlineLvl w:val="2"/>
        <w:rPr>
          <w:b/>
          <w:szCs w:val="22"/>
        </w:rPr>
      </w:pPr>
      <w:r w:rsidRPr="00F165FC">
        <w:rPr>
          <w:b/>
          <w:szCs w:val="22"/>
        </w:rPr>
        <w:t xml:space="preserve">XANAX vartoti </w:t>
      </w:r>
      <w:r>
        <w:rPr>
          <w:b/>
          <w:szCs w:val="22"/>
        </w:rPr>
        <w:t>draudžiama</w:t>
      </w:r>
      <w:r w:rsidRPr="00F165FC">
        <w:rPr>
          <w:b/>
          <w:szCs w:val="22"/>
        </w:rPr>
        <w:t>:</w:t>
      </w:r>
    </w:p>
    <w:p w14:paraId="2C36B3A4" w14:textId="77777777" w:rsidR="00075BFC" w:rsidRPr="00F165FC" w:rsidRDefault="00075BFC" w:rsidP="00075BFC">
      <w:pPr>
        <w:ind w:left="567" w:hanging="567"/>
        <w:rPr>
          <w:szCs w:val="22"/>
          <w:lang w:val="x-none" w:eastAsia="x-none"/>
        </w:rPr>
      </w:pPr>
      <w:r w:rsidRPr="00F165FC">
        <w:rPr>
          <w:szCs w:val="22"/>
          <w:lang w:val="x-none" w:eastAsia="x-none"/>
        </w:rPr>
        <w:t>-</w:t>
      </w:r>
      <w:r w:rsidRPr="00F165FC">
        <w:rPr>
          <w:szCs w:val="22"/>
          <w:lang w:val="x-none" w:eastAsia="x-none"/>
        </w:rPr>
        <w:tab/>
        <w:t xml:space="preserve">jeigu yra alergija </w:t>
      </w:r>
      <w:proofErr w:type="spellStart"/>
      <w:r w:rsidRPr="00F165FC">
        <w:rPr>
          <w:szCs w:val="22"/>
          <w:lang w:val="x-none" w:eastAsia="x-none"/>
        </w:rPr>
        <w:t>alprazolamui</w:t>
      </w:r>
      <w:proofErr w:type="spellEnd"/>
      <w:r w:rsidRPr="00F165FC">
        <w:rPr>
          <w:szCs w:val="22"/>
          <w:lang w:val="x-none" w:eastAsia="x-none"/>
        </w:rPr>
        <w:t>, benzodiazepinams arba bet kuriai pagalbinei šio vaisto medžiagai (jos išvardytos 6 skyriuje);</w:t>
      </w:r>
    </w:p>
    <w:p w14:paraId="49967431" w14:textId="77777777" w:rsidR="00075BFC" w:rsidRPr="00F165FC" w:rsidRDefault="00075BFC" w:rsidP="00075BFC">
      <w:pPr>
        <w:tabs>
          <w:tab w:val="left" w:pos="540"/>
        </w:tabs>
        <w:rPr>
          <w:szCs w:val="22"/>
        </w:rPr>
      </w:pPr>
      <w:r w:rsidRPr="00F165FC">
        <w:rPr>
          <w:szCs w:val="22"/>
        </w:rPr>
        <w:t>-</w:t>
      </w:r>
      <w:r w:rsidRPr="00F165FC">
        <w:rPr>
          <w:szCs w:val="22"/>
        </w:rPr>
        <w:tab/>
        <w:t xml:space="preserve">jeigu Jums diagnozuota sunkioji </w:t>
      </w:r>
      <w:proofErr w:type="spellStart"/>
      <w:r w:rsidRPr="00F165FC">
        <w:rPr>
          <w:szCs w:val="22"/>
        </w:rPr>
        <w:t>miastenija</w:t>
      </w:r>
      <w:proofErr w:type="spellEnd"/>
      <w:r w:rsidRPr="00F165FC">
        <w:rPr>
          <w:szCs w:val="22"/>
        </w:rPr>
        <w:t xml:space="preserve"> (liga, dėl kurios silpnėja raumenys);</w:t>
      </w:r>
    </w:p>
    <w:p w14:paraId="2BF46A6F" w14:textId="77777777" w:rsidR="00075BFC" w:rsidRPr="00F165FC" w:rsidRDefault="00075BFC" w:rsidP="00075BFC">
      <w:pPr>
        <w:ind w:left="540" w:hanging="540"/>
        <w:rPr>
          <w:szCs w:val="22"/>
        </w:rPr>
      </w:pPr>
      <w:r w:rsidRPr="00F165FC">
        <w:rPr>
          <w:szCs w:val="22"/>
        </w:rPr>
        <w:t>-</w:t>
      </w:r>
      <w:r w:rsidRPr="00F165FC">
        <w:rPr>
          <w:szCs w:val="22"/>
        </w:rPr>
        <w:tab/>
        <w:t>jeigu sergate sunkiu kvėpavimo nepakankamumu;</w:t>
      </w:r>
    </w:p>
    <w:p w14:paraId="5AA3F266" w14:textId="77777777" w:rsidR="00075BFC" w:rsidRPr="00F165FC" w:rsidRDefault="00075BFC" w:rsidP="00075BFC">
      <w:pPr>
        <w:ind w:left="540" w:hanging="540"/>
        <w:rPr>
          <w:szCs w:val="22"/>
        </w:rPr>
      </w:pPr>
      <w:r w:rsidRPr="00F165FC">
        <w:rPr>
          <w:szCs w:val="22"/>
        </w:rPr>
        <w:t>-</w:t>
      </w:r>
      <w:r w:rsidRPr="00F165FC">
        <w:rPr>
          <w:szCs w:val="22"/>
        </w:rPr>
        <w:tab/>
        <w:t xml:space="preserve">jeigu sergate miego </w:t>
      </w:r>
      <w:proofErr w:type="spellStart"/>
      <w:r w:rsidRPr="00F165FC">
        <w:rPr>
          <w:szCs w:val="22"/>
        </w:rPr>
        <w:t>apnėja</w:t>
      </w:r>
      <w:proofErr w:type="spellEnd"/>
      <w:r w:rsidRPr="00F165FC">
        <w:rPr>
          <w:szCs w:val="22"/>
        </w:rPr>
        <w:t xml:space="preserve"> (ilgalaikis praeinantis kvėpavimo sustojimas miego metu);</w:t>
      </w:r>
    </w:p>
    <w:p w14:paraId="5E97173B" w14:textId="77777777" w:rsidR="00075BFC" w:rsidRPr="00F165FC" w:rsidRDefault="00075BFC" w:rsidP="00075BFC">
      <w:pPr>
        <w:ind w:left="540" w:hanging="540"/>
        <w:rPr>
          <w:szCs w:val="22"/>
        </w:rPr>
      </w:pPr>
      <w:r w:rsidRPr="00F165FC">
        <w:rPr>
          <w:szCs w:val="22"/>
        </w:rPr>
        <w:t>-</w:t>
      </w:r>
      <w:r w:rsidRPr="00F165FC">
        <w:rPr>
          <w:szCs w:val="22"/>
        </w:rPr>
        <w:tab/>
        <w:t>jeigu sergate sunkiu kepenų funkcijos nepakankamumu.</w:t>
      </w:r>
    </w:p>
    <w:p w14:paraId="65632D04" w14:textId="77777777" w:rsidR="00075BFC" w:rsidRPr="00F165FC" w:rsidRDefault="00075BFC" w:rsidP="00075BFC">
      <w:pPr>
        <w:ind w:left="567" w:hanging="567"/>
        <w:rPr>
          <w:szCs w:val="22"/>
          <w:lang w:val="x-none" w:eastAsia="x-none"/>
        </w:rPr>
      </w:pPr>
    </w:p>
    <w:p w14:paraId="28C2D296" w14:textId="77777777" w:rsidR="00075BFC" w:rsidRPr="00F165FC" w:rsidRDefault="00075BFC" w:rsidP="00075BFC">
      <w:pPr>
        <w:keepNext/>
        <w:tabs>
          <w:tab w:val="left" w:pos="567"/>
        </w:tabs>
        <w:outlineLvl w:val="2"/>
        <w:rPr>
          <w:b/>
          <w:szCs w:val="22"/>
        </w:rPr>
      </w:pPr>
      <w:r w:rsidRPr="00F165FC">
        <w:rPr>
          <w:b/>
          <w:szCs w:val="22"/>
        </w:rPr>
        <w:t>Įspėjimai ir atsargumo priemonės</w:t>
      </w:r>
    </w:p>
    <w:p w14:paraId="5515A00E" w14:textId="77777777" w:rsidR="00075BFC" w:rsidRPr="00F165FC" w:rsidRDefault="00075BFC" w:rsidP="00075BFC">
      <w:pPr>
        <w:rPr>
          <w:szCs w:val="22"/>
        </w:rPr>
      </w:pPr>
      <w:r w:rsidRPr="00F165FC">
        <w:rPr>
          <w:rFonts w:eastAsia="SimSun"/>
          <w:szCs w:val="22"/>
          <w:lang w:eastAsia="zh-CN"/>
        </w:rPr>
        <w:t>Pasitarkite su gydytoju arba vaistininku, prieš pradėdami vartoti</w:t>
      </w:r>
      <w:r w:rsidRPr="00F165FC">
        <w:rPr>
          <w:rFonts w:eastAsia="SimSun"/>
          <w:b/>
          <w:szCs w:val="22"/>
          <w:lang w:eastAsia="zh-CN"/>
        </w:rPr>
        <w:t xml:space="preserve"> </w:t>
      </w:r>
      <w:r w:rsidRPr="00F165FC">
        <w:rPr>
          <w:szCs w:val="22"/>
        </w:rPr>
        <w:t>XANAX.</w:t>
      </w:r>
    </w:p>
    <w:p w14:paraId="39AA1194" w14:textId="77777777" w:rsidR="00075BFC" w:rsidRPr="00F165FC" w:rsidRDefault="00075BFC" w:rsidP="00075BFC">
      <w:pPr>
        <w:rPr>
          <w:iCs/>
          <w:szCs w:val="22"/>
          <w:lang w:val="x-none" w:eastAsia="x-none"/>
        </w:rPr>
      </w:pPr>
      <w:r w:rsidRPr="00F165FC">
        <w:rPr>
          <w:iCs/>
          <w:szCs w:val="22"/>
          <w:lang w:val="x-none" w:eastAsia="x-none"/>
        </w:rPr>
        <w:t xml:space="preserve">Pacientams, kurių inkstų funkcija sutrikusi arba kuriems yra lengvas arba vidutinio sunkumo kepenų funkcijos nepakankamumas, sergantiems sunkiu kvėpavimo funkcijos nepakankamumu arba miego </w:t>
      </w:r>
      <w:proofErr w:type="spellStart"/>
      <w:r w:rsidRPr="00F165FC">
        <w:rPr>
          <w:iCs/>
          <w:szCs w:val="22"/>
          <w:lang w:val="x-none" w:eastAsia="x-none"/>
        </w:rPr>
        <w:t>apnėja</w:t>
      </w:r>
      <w:proofErr w:type="spellEnd"/>
      <w:r w:rsidRPr="00F165FC">
        <w:rPr>
          <w:iCs/>
          <w:szCs w:val="22"/>
          <w:lang w:val="x-none" w:eastAsia="x-none"/>
        </w:rPr>
        <w:t xml:space="preserve">, XANAX skiriamas atsargiai. Retais atvejais gauta pranešimų apie kvėpavimo slopinimo ir </w:t>
      </w:r>
      <w:proofErr w:type="spellStart"/>
      <w:r w:rsidRPr="00F165FC">
        <w:rPr>
          <w:iCs/>
          <w:szCs w:val="22"/>
          <w:lang w:val="x-none" w:eastAsia="x-none"/>
        </w:rPr>
        <w:t>apnėjos</w:t>
      </w:r>
      <w:proofErr w:type="spellEnd"/>
      <w:r w:rsidRPr="00F165FC">
        <w:rPr>
          <w:iCs/>
          <w:szCs w:val="22"/>
          <w:lang w:val="x-none" w:eastAsia="x-none"/>
        </w:rPr>
        <w:t xml:space="preserve"> atvejus pacientams, kurių kvėpavimo funkcija sutrikusi.</w:t>
      </w:r>
    </w:p>
    <w:p w14:paraId="4C712219" w14:textId="77777777" w:rsidR="00075BFC" w:rsidRPr="00F165FC" w:rsidRDefault="00075BFC" w:rsidP="00075BFC">
      <w:pPr>
        <w:rPr>
          <w:iCs/>
          <w:szCs w:val="22"/>
          <w:lang w:val="x-none" w:eastAsia="x-none"/>
        </w:rPr>
      </w:pPr>
    </w:p>
    <w:p w14:paraId="2B35EFED" w14:textId="77777777" w:rsidR="00075BFC" w:rsidRPr="00F165FC" w:rsidRDefault="00075BFC" w:rsidP="00075BFC">
      <w:pPr>
        <w:rPr>
          <w:iCs/>
          <w:szCs w:val="22"/>
          <w:lang w:val="x-none" w:eastAsia="x-none"/>
        </w:rPr>
      </w:pPr>
      <w:r w:rsidRPr="00F165FC">
        <w:rPr>
          <w:iCs/>
          <w:szCs w:val="22"/>
          <w:lang w:val="x-none" w:eastAsia="x-none"/>
        </w:rPr>
        <w:lastRenderedPageBreak/>
        <w:t>Atsargiai šio vaisto būtina vartoti ligoniams, anksčiau piktnaudžiavusiems alkoholiu, vaistais ar narkotikais.</w:t>
      </w:r>
    </w:p>
    <w:p w14:paraId="4F421E94" w14:textId="77777777" w:rsidR="00075BFC" w:rsidRPr="00F165FC" w:rsidRDefault="00075BFC" w:rsidP="00075BFC">
      <w:pPr>
        <w:rPr>
          <w:szCs w:val="22"/>
        </w:rPr>
      </w:pPr>
    </w:p>
    <w:p w14:paraId="369BF88C" w14:textId="77777777" w:rsidR="00075BFC" w:rsidRPr="00F165FC" w:rsidRDefault="00075BFC" w:rsidP="00075BFC">
      <w:pPr>
        <w:rPr>
          <w:szCs w:val="22"/>
        </w:rPr>
      </w:pPr>
      <w:r w:rsidRPr="00F165FC">
        <w:rPr>
          <w:szCs w:val="22"/>
        </w:rPr>
        <w:t xml:space="preserve">Benzodiazepinų ir į juos panašių </w:t>
      </w:r>
      <w:r>
        <w:rPr>
          <w:szCs w:val="22"/>
        </w:rPr>
        <w:t>vaistų</w:t>
      </w:r>
      <w:r w:rsidRPr="00F165FC">
        <w:rPr>
          <w:szCs w:val="22"/>
        </w:rPr>
        <w:t xml:space="preserve"> reikia </w:t>
      </w:r>
      <w:r>
        <w:rPr>
          <w:szCs w:val="22"/>
        </w:rPr>
        <w:t xml:space="preserve">ypač </w:t>
      </w:r>
      <w:r w:rsidRPr="00F165FC">
        <w:rPr>
          <w:szCs w:val="22"/>
        </w:rPr>
        <w:t xml:space="preserve">atsargiai vartoti senyviems pacientams dėl </w:t>
      </w:r>
      <w:proofErr w:type="spellStart"/>
      <w:r w:rsidRPr="00F165FC">
        <w:rPr>
          <w:szCs w:val="22"/>
        </w:rPr>
        <w:t>sedacijos</w:t>
      </w:r>
      <w:proofErr w:type="spellEnd"/>
      <w:r w:rsidRPr="00F165FC">
        <w:rPr>
          <w:szCs w:val="22"/>
        </w:rPr>
        <w:t xml:space="preserve"> ir (ar) skeleto raumenų silpnumo rizikos, nes tai gali sąlygoti griuvimus, dažnai su rimtomis pasekmėmis šiai populiacijai.</w:t>
      </w:r>
    </w:p>
    <w:p w14:paraId="189AD21A" w14:textId="77777777" w:rsidR="00075BFC" w:rsidRPr="00F165FC" w:rsidRDefault="00075BFC" w:rsidP="00075BFC">
      <w:pPr>
        <w:rPr>
          <w:szCs w:val="22"/>
        </w:rPr>
      </w:pPr>
    </w:p>
    <w:p w14:paraId="067AEE9D" w14:textId="77777777" w:rsidR="00075BFC" w:rsidRPr="00130116" w:rsidRDefault="00075BFC" w:rsidP="00075BFC">
      <w:pPr>
        <w:rPr>
          <w:iCs/>
          <w:szCs w:val="22"/>
          <w:lang w:eastAsia="x-none"/>
        </w:rPr>
      </w:pPr>
      <w:r w:rsidRPr="00F165FC">
        <w:rPr>
          <w:iCs/>
          <w:szCs w:val="22"/>
          <w:lang w:val="x-none" w:eastAsia="x-none"/>
        </w:rPr>
        <w:t>Ilgai vartojami benzodiazepinai, įskaitant XANAX,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r>
        <w:rPr>
          <w:iCs/>
          <w:szCs w:val="22"/>
          <w:lang w:eastAsia="x-none"/>
        </w:rPr>
        <w:t xml:space="preserve"> </w:t>
      </w:r>
      <w:proofErr w:type="spellStart"/>
      <w:r>
        <w:rPr>
          <w:iCs/>
          <w:szCs w:val="22"/>
          <w:lang w:eastAsia="x-none"/>
        </w:rPr>
        <w:t>Piknaudžiavimas</w:t>
      </w:r>
      <w:proofErr w:type="spellEnd"/>
      <w:r>
        <w:rPr>
          <w:iCs/>
          <w:szCs w:val="22"/>
          <w:lang w:eastAsia="x-none"/>
        </w:rPr>
        <w:t xml:space="preserve"> vaistais – žinoma </w:t>
      </w:r>
      <w:proofErr w:type="spellStart"/>
      <w:r>
        <w:rPr>
          <w:iCs/>
          <w:szCs w:val="22"/>
          <w:lang w:eastAsia="x-none"/>
        </w:rPr>
        <w:t>alprazolamo</w:t>
      </w:r>
      <w:proofErr w:type="spellEnd"/>
      <w:r>
        <w:rPr>
          <w:iCs/>
          <w:szCs w:val="22"/>
          <w:lang w:eastAsia="x-none"/>
        </w:rPr>
        <w:t xml:space="preserve"> ir kitų benzodiazepinų rizika.</w:t>
      </w:r>
      <w:r w:rsidRPr="007339F2">
        <w:rPr>
          <w:iCs/>
          <w:szCs w:val="22"/>
          <w:lang w:eastAsia="x-none"/>
        </w:rPr>
        <w:t xml:space="preserve"> Gauta pranešimų apie su perdozavimu susijusias mirtis dėl piktnaudžiavimo </w:t>
      </w:r>
      <w:proofErr w:type="spellStart"/>
      <w:r w:rsidRPr="007339F2">
        <w:rPr>
          <w:iCs/>
          <w:szCs w:val="22"/>
          <w:lang w:eastAsia="x-none"/>
        </w:rPr>
        <w:t>alprazolamu</w:t>
      </w:r>
      <w:proofErr w:type="spellEnd"/>
      <w:r w:rsidRPr="007339F2">
        <w:rPr>
          <w:iCs/>
          <w:szCs w:val="22"/>
          <w:lang w:eastAsia="x-none"/>
        </w:rPr>
        <w:t xml:space="preserve"> kartu su kitomis centrinę nervų sistemą slopinančiomis medžiagomis, įskaitant </w:t>
      </w:r>
      <w:proofErr w:type="spellStart"/>
      <w:r w:rsidRPr="007339F2">
        <w:rPr>
          <w:iCs/>
          <w:szCs w:val="22"/>
          <w:lang w:eastAsia="x-none"/>
        </w:rPr>
        <w:t>opioidus</w:t>
      </w:r>
      <w:proofErr w:type="spellEnd"/>
      <w:r w:rsidRPr="007339F2">
        <w:rPr>
          <w:iCs/>
          <w:szCs w:val="22"/>
          <w:lang w:eastAsia="x-none"/>
        </w:rPr>
        <w:t>, kitus benzodiazepinus ir alkoholį. Šiai</w:t>
      </w:r>
      <w:r>
        <w:rPr>
          <w:iCs/>
          <w:szCs w:val="22"/>
          <w:lang w:eastAsia="x-none"/>
        </w:rPr>
        <w:t xml:space="preserve"> rizikai sumažinti reikia vartoti</w:t>
      </w:r>
      <w:r w:rsidRPr="007339F2">
        <w:rPr>
          <w:iCs/>
          <w:szCs w:val="22"/>
          <w:lang w:eastAsia="x-none"/>
        </w:rPr>
        <w:t xml:space="preserve"> kuo mažesnį tinkamą kiekį</w:t>
      </w:r>
      <w:r>
        <w:rPr>
          <w:iCs/>
          <w:szCs w:val="22"/>
          <w:lang w:eastAsia="x-none"/>
        </w:rPr>
        <w:t xml:space="preserve">, </w:t>
      </w:r>
      <w:r w:rsidRPr="007339F2">
        <w:rPr>
          <w:iCs/>
          <w:szCs w:val="22"/>
          <w:lang w:eastAsia="x-none"/>
        </w:rPr>
        <w:t xml:space="preserve"> tinkamai laikyti ir </w:t>
      </w:r>
      <w:r w:rsidRPr="00294EA8">
        <w:rPr>
          <w:iCs/>
          <w:szCs w:val="22"/>
          <w:lang w:eastAsia="x-none"/>
        </w:rPr>
        <w:t xml:space="preserve">tvarkyti </w:t>
      </w:r>
      <w:r w:rsidRPr="00E93088">
        <w:rPr>
          <w:iCs/>
          <w:szCs w:val="22"/>
          <w:lang w:eastAsia="x-none"/>
        </w:rPr>
        <w:t>nesuvartoto vaisto likučius</w:t>
      </w:r>
      <w:r>
        <w:rPr>
          <w:iCs/>
          <w:szCs w:val="22"/>
          <w:lang w:eastAsia="x-none"/>
        </w:rPr>
        <w:t>.</w:t>
      </w:r>
    </w:p>
    <w:p w14:paraId="3520B53B" w14:textId="77777777" w:rsidR="00075BFC" w:rsidRPr="00F165FC" w:rsidRDefault="00075BFC" w:rsidP="00075BFC">
      <w:pPr>
        <w:rPr>
          <w:szCs w:val="22"/>
        </w:rPr>
      </w:pPr>
    </w:p>
    <w:p w14:paraId="42D57B1D" w14:textId="77777777" w:rsidR="00075BFC" w:rsidRPr="00F165FC" w:rsidRDefault="00075BFC" w:rsidP="00075BFC">
      <w:pPr>
        <w:rPr>
          <w:iCs/>
          <w:szCs w:val="22"/>
          <w:lang w:val="x-none" w:eastAsia="x-none"/>
        </w:rPr>
      </w:pPr>
      <w:r w:rsidRPr="00F165FC">
        <w:rPr>
          <w:iCs/>
          <w:szCs w:val="22"/>
          <w:lang w:val="x-none" w:eastAsia="x-none"/>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F165FC">
        <w:rPr>
          <w:bCs/>
          <w:iCs/>
          <w:szCs w:val="22"/>
          <w:lang w:val="x-none" w:eastAsia="x-none"/>
        </w:rPr>
        <w:t xml:space="preserve">XANAX </w:t>
      </w:r>
      <w:r w:rsidRPr="00F165FC">
        <w:rPr>
          <w:iCs/>
          <w:szCs w:val="22"/>
          <w:lang w:val="x-none" w:eastAsia="x-none"/>
        </w:rPr>
        <w:t>vartojimą.</w:t>
      </w:r>
    </w:p>
    <w:p w14:paraId="12E0E9D8" w14:textId="77777777" w:rsidR="00075BFC" w:rsidRPr="00F165FC" w:rsidRDefault="00075BFC" w:rsidP="00075BFC">
      <w:pPr>
        <w:rPr>
          <w:iCs/>
          <w:szCs w:val="22"/>
          <w:lang w:val="x-none" w:eastAsia="x-none"/>
        </w:rPr>
      </w:pPr>
    </w:p>
    <w:p w14:paraId="5977C2EF" w14:textId="77777777" w:rsidR="00075BFC" w:rsidRPr="00F165FC" w:rsidRDefault="00075BFC" w:rsidP="00075BFC">
      <w:pPr>
        <w:rPr>
          <w:iCs/>
          <w:szCs w:val="22"/>
          <w:lang w:val="x-none" w:eastAsia="x-none"/>
        </w:rPr>
      </w:pPr>
      <w:r w:rsidRPr="00F165FC">
        <w:rPr>
          <w:iCs/>
          <w:szCs w:val="22"/>
          <w:lang w:val="x-none" w:eastAsia="x-none"/>
        </w:rPr>
        <w:t>Visi benzodiazepinai, įskaitant XANAX, gali laikinai sutrikdyti atmintį (sukelti amneziją). Toks poveikis dažniausiai pasireiškia po vaisto suvartojimo praėjus kelioms valandoms.</w:t>
      </w:r>
    </w:p>
    <w:p w14:paraId="627E1EE4" w14:textId="77777777" w:rsidR="00075BFC" w:rsidRPr="00F165FC" w:rsidRDefault="00075BFC" w:rsidP="00075BFC">
      <w:pPr>
        <w:rPr>
          <w:iCs/>
          <w:szCs w:val="22"/>
          <w:lang w:val="x-none" w:eastAsia="x-none"/>
        </w:rPr>
      </w:pPr>
    </w:p>
    <w:p w14:paraId="1B740964" w14:textId="77777777" w:rsidR="00075BFC" w:rsidRPr="00F165FC" w:rsidRDefault="00075BFC" w:rsidP="00075BFC">
      <w:pPr>
        <w:rPr>
          <w:iCs/>
          <w:szCs w:val="22"/>
          <w:lang w:val="x-none" w:eastAsia="x-none"/>
        </w:rPr>
      </w:pPr>
      <w:r w:rsidRPr="00F165FC">
        <w:rPr>
          <w:iCs/>
          <w:szCs w:val="22"/>
          <w:lang w:val="x-none" w:eastAsia="x-none"/>
        </w:rPr>
        <w:t xml:space="preserve">Gauta duomenų, kad vartojant benzodiazepinų gali atsirasti tokių reakcijų kaip </w:t>
      </w:r>
      <w:proofErr w:type="spellStart"/>
      <w:r w:rsidRPr="00F165FC">
        <w:rPr>
          <w:iCs/>
          <w:szCs w:val="22"/>
          <w:lang w:val="x-none" w:eastAsia="x-none"/>
        </w:rPr>
        <w:t>nenustygstamumas</w:t>
      </w:r>
      <w:proofErr w:type="spellEnd"/>
      <w:r w:rsidRPr="00F165FC">
        <w:rPr>
          <w:iCs/>
          <w:szCs w:val="22"/>
          <w:lang w:val="x-none" w:eastAsia="x-none"/>
        </w:rPr>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14:paraId="4D98FEC5" w14:textId="77777777" w:rsidR="00075BFC" w:rsidRPr="00F165FC" w:rsidRDefault="00075BFC" w:rsidP="00075BFC">
      <w:pPr>
        <w:tabs>
          <w:tab w:val="left" w:pos="567"/>
        </w:tabs>
        <w:spacing w:line="260" w:lineRule="exact"/>
        <w:rPr>
          <w:rFonts w:eastAsia="MS Mincho"/>
          <w:noProof/>
          <w:szCs w:val="22"/>
          <w:lang w:val="en-US" w:eastAsia="x-none"/>
        </w:rPr>
      </w:pPr>
    </w:p>
    <w:p w14:paraId="0172A350" w14:textId="77777777" w:rsidR="00075BFC" w:rsidRPr="00F165FC" w:rsidRDefault="00075BFC" w:rsidP="00075BFC">
      <w:pPr>
        <w:rPr>
          <w:iCs/>
          <w:noProof/>
          <w:szCs w:val="22"/>
          <w:lang w:val="x-none" w:eastAsia="x-none"/>
        </w:rPr>
      </w:pPr>
      <w:r w:rsidRPr="00F165FC">
        <w:rPr>
          <w:iCs/>
          <w:noProof/>
          <w:szCs w:val="22"/>
          <w:lang w:val="x-none" w:eastAsia="x-none"/>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14:paraId="25EFDC13" w14:textId="77777777" w:rsidR="00075BFC" w:rsidRPr="00F165FC" w:rsidRDefault="00075BFC" w:rsidP="00075BFC">
      <w:pPr>
        <w:rPr>
          <w:iCs/>
          <w:noProof/>
          <w:szCs w:val="22"/>
          <w:lang w:val="x-none" w:eastAsia="x-none"/>
        </w:rPr>
      </w:pPr>
    </w:p>
    <w:p w14:paraId="7DDA9E97" w14:textId="77777777" w:rsidR="00075BFC" w:rsidRPr="00F165FC" w:rsidRDefault="00075BFC" w:rsidP="00075BFC">
      <w:pPr>
        <w:spacing w:after="120"/>
        <w:rPr>
          <w:b/>
          <w:bCs/>
          <w:szCs w:val="22"/>
          <w:lang w:val="x-none" w:eastAsia="x-none"/>
        </w:rPr>
      </w:pPr>
      <w:r w:rsidRPr="00F165FC">
        <w:rPr>
          <w:b/>
          <w:bCs/>
          <w:szCs w:val="22"/>
          <w:lang w:val="x-none" w:eastAsia="x-none"/>
        </w:rPr>
        <w:t>Vaikams ir paaugliams</w:t>
      </w:r>
    </w:p>
    <w:p w14:paraId="4702FC75" w14:textId="77777777" w:rsidR="00075BFC" w:rsidRPr="00F165FC" w:rsidRDefault="00075BFC" w:rsidP="00075BFC">
      <w:pPr>
        <w:rPr>
          <w:iCs/>
          <w:noProof/>
          <w:szCs w:val="22"/>
          <w:lang w:val="x-none" w:eastAsia="x-none"/>
        </w:rPr>
      </w:pPr>
      <w:r w:rsidRPr="00F165FC">
        <w:rPr>
          <w:iCs/>
          <w:noProof/>
          <w:szCs w:val="22"/>
          <w:lang w:val="x-none" w:eastAsia="x-none"/>
        </w:rPr>
        <w:t>XANAX nerekomenduojama vartoti jaunesniems kaip 18 metų vaikams</w:t>
      </w:r>
      <w:r w:rsidRPr="00F165FC">
        <w:rPr>
          <w:iCs/>
          <w:noProof/>
          <w:szCs w:val="22"/>
          <w:lang w:eastAsia="x-none"/>
        </w:rPr>
        <w:t xml:space="preserve"> ir paaugliams</w:t>
      </w:r>
      <w:r w:rsidRPr="00F165FC">
        <w:rPr>
          <w:iCs/>
          <w:noProof/>
          <w:szCs w:val="22"/>
          <w:lang w:val="x-none" w:eastAsia="x-none"/>
        </w:rPr>
        <w:t>, nes duomenų apie saugumą ir veiksmingumą nepakanka.</w:t>
      </w:r>
    </w:p>
    <w:p w14:paraId="589BDE75" w14:textId="77777777" w:rsidR="00075BFC" w:rsidRPr="00F165FC" w:rsidRDefault="00075BFC" w:rsidP="00075BFC">
      <w:pPr>
        <w:rPr>
          <w:szCs w:val="22"/>
          <w:lang w:val="x-none" w:eastAsia="x-none"/>
        </w:rPr>
      </w:pPr>
    </w:p>
    <w:p w14:paraId="6EB2130E" w14:textId="77777777" w:rsidR="00075BFC" w:rsidRPr="00F165FC" w:rsidRDefault="00075BFC" w:rsidP="00075BFC">
      <w:pPr>
        <w:keepNext/>
        <w:tabs>
          <w:tab w:val="left" w:pos="567"/>
        </w:tabs>
        <w:outlineLvl w:val="2"/>
        <w:rPr>
          <w:b/>
          <w:szCs w:val="22"/>
        </w:rPr>
      </w:pPr>
      <w:r w:rsidRPr="00F165FC">
        <w:rPr>
          <w:b/>
          <w:szCs w:val="22"/>
        </w:rPr>
        <w:t>Kiti vaistai ir XANAX</w:t>
      </w:r>
    </w:p>
    <w:p w14:paraId="4091F726" w14:textId="77777777" w:rsidR="00075BFC" w:rsidRPr="00F165FC" w:rsidRDefault="00075BFC" w:rsidP="00075BFC">
      <w:pPr>
        <w:rPr>
          <w:szCs w:val="22"/>
          <w:lang w:val="x-none" w:eastAsia="x-none"/>
        </w:rPr>
      </w:pPr>
      <w:r w:rsidRPr="00F165FC">
        <w:rPr>
          <w:szCs w:val="22"/>
          <w:lang w:val="x-none" w:eastAsia="x-none"/>
        </w:rPr>
        <w:t>Jeigu vartojate arba neseniai vartojote kitų vaistų arba dėl to nesate tikri, pasakykite gydytojui arba vaistininkui.</w:t>
      </w:r>
    </w:p>
    <w:p w14:paraId="3AC33868" w14:textId="77777777" w:rsidR="00075BFC" w:rsidRPr="00F165FC" w:rsidRDefault="00075BFC" w:rsidP="00075BFC">
      <w:pPr>
        <w:rPr>
          <w:szCs w:val="22"/>
          <w:lang w:val="x-none" w:eastAsia="x-none"/>
        </w:rPr>
      </w:pPr>
    </w:p>
    <w:p w14:paraId="6E57D22F" w14:textId="77777777" w:rsidR="00075BFC" w:rsidRPr="00F165FC" w:rsidRDefault="00075BFC" w:rsidP="00075BFC">
      <w:pPr>
        <w:rPr>
          <w:szCs w:val="22"/>
          <w:lang w:val="x-none" w:eastAsia="x-none"/>
        </w:rPr>
      </w:pPr>
      <w:r w:rsidRPr="00F165FC">
        <w:rPr>
          <w:szCs w:val="22"/>
          <w:lang w:val="x-none" w:eastAsia="x-none"/>
        </w:rPr>
        <w:t xml:space="preserve">Kartu su benzodiazepinais (įskaitant </w:t>
      </w:r>
      <w:proofErr w:type="spellStart"/>
      <w:r w:rsidRPr="00F165FC">
        <w:rPr>
          <w:szCs w:val="22"/>
          <w:lang w:val="x-none" w:eastAsia="x-none"/>
        </w:rPr>
        <w:t>alprazolamą</w:t>
      </w:r>
      <w:proofErr w:type="spellEnd"/>
      <w:r w:rsidRPr="00F165FC">
        <w:rPr>
          <w:szCs w:val="22"/>
          <w:lang w:val="x-none" w:eastAsia="x-none"/>
        </w:rPr>
        <w:t>) vartojant kitas medžiagas, kurios slopina centrinę nervų sistemą, slopinamasis poveikis sumuojasi.</w:t>
      </w:r>
    </w:p>
    <w:p w14:paraId="3A273E33" w14:textId="77777777" w:rsidR="00075BFC" w:rsidRPr="00F165FC" w:rsidRDefault="00075BFC" w:rsidP="00075BFC">
      <w:pPr>
        <w:rPr>
          <w:szCs w:val="22"/>
          <w:lang w:val="x-none" w:eastAsia="x-none"/>
        </w:rPr>
      </w:pPr>
    </w:p>
    <w:p w14:paraId="0E89FE60" w14:textId="77777777" w:rsidR="00075BFC" w:rsidRPr="00F165FC" w:rsidRDefault="00075BFC" w:rsidP="00075BFC">
      <w:pPr>
        <w:rPr>
          <w:szCs w:val="22"/>
          <w:lang w:val="x-none" w:eastAsia="x-none"/>
        </w:rPr>
      </w:pPr>
      <w:proofErr w:type="spellStart"/>
      <w:r w:rsidRPr="00F165FC">
        <w:rPr>
          <w:szCs w:val="22"/>
          <w:lang w:val="x-none" w:eastAsia="x-none"/>
        </w:rPr>
        <w:t>Alprazolamą</w:t>
      </w:r>
      <w:proofErr w:type="spellEnd"/>
      <w:r w:rsidRPr="00F165FC">
        <w:rPr>
          <w:szCs w:val="22"/>
          <w:lang w:val="x-none" w:eastAsia="x-none"/>
        </w:rPr>
        <w:t xml:space="preserve"> vartojant kartu su vaistais, kurie trikdo jo metabolizmą, gali padidėti </w:t>
      </w:r>
      <w:proofErr w:type="spellStart"/>
      <w:r w:rsidRPr="00F165FC">
        <w:rPr>
          <w:szCs w:val="22"/>
          <w:lang w:val="x-none" w:eastAsia="x-none"/>
        </w:rPr>
        <w:t>alprazolamo</w:t>
      </w:r>
      <w:proofErr w:type="spellEnd"/>
      <w:r w:rsidRPr="00F165FC">
        <w:rPr>
          <w:szCs w:val="22"/>
          <w:lang w:val="x-none" w:eastAsia="x-none"/>
        </w:rPr>
        <w:t xml:space="preserve"> koncentracija ir sustiprėti jo poveikis.</w:t>
      </w:r>
    </w:p>
    <w:p w14:paraId="5EF0662A" w14:textId="77777777" w:rsidR="00075BFC" w:rsidRPr="00F165FC" w:rsidRDefault="00075BFC" w:rsidP="00075BFC">
      <w:pPr>
        <w:rPr>
          <w:szCs w:val="22"/>
          <w:lang w:val="x-none" w:eastAsia="x-none"/>
        </w:rPr>
      </w:pPr>
    </w:p>
    <w:p w14:paraId="478C496D" w14:textId="77777777" w:rsidR="00075BFC" w:rsidRPr="00F165FC" w:rsidRDefault="00075BFC" w:rsidP="00075BFC">
      <w:pPr>
        <w:rPr>
          <w:szCs w:val="22"/>
          <w:lang w:val="x-none" w:eastAsia="x-none"/>
        </w:rPr>
      </w:pPr>
      <w:r w:rsidRPr="00F165FC">
        <w:rPr>
          <w:szCs w:val="22"/>
          <w:lang w:val="x-none" w:eastAsia="x-none"/>
        </w:rPr>
        <w:t xml:space="preserve">Remiantis </w:t>
      </w:r>
      <w:proofErr w:type="spellStart"/>
      <w:r w:rsidRPr="00F165FC">
        <w:rPr>
          <w:szCs w:val="22"/>
          <w:lang w:val="x-none" w:eastAsia="x-none"/>
        </w:rPr>
        <w:t>alprazolamo</w:t>
      </w:r>
      <w:proofErr w:type="spellEnd"/>
      <w:r w:rsidRPr="00F165FC">
        <w:rPr>
          <w:szCs w:val="22"/>
          <w:lang w:val="x-none" w:eastAsia="x-none"/>
        </w:rPr>
        <w:t xml:space="preserve"> </w:t>
      </w:r>
      <w:r w:rsidRPr="00F165FC">
        <w:rPr>
          <w:noProof/>
          <w:szCs w:val="22"/>
          <w:lang w:val="x-none" w:eastAsia="x-none"/>
        </w:rPr>
        <w:t>klinikinių tyrimų</w:t>
      </w:r>
      <w:r w:rsidRPr="00F165FC">
        <w:rPr>
          <w:szCs w:val="22"/>
          <w:lang w:val="x-none" w:eastAsia="x-none"/>
        </w:rPr>
        <w:t xml:space="preserve"> duomenimis, galimos rekomendacijos:</w:t>
      </w:r>
    </w:p>
    <w:p w14:paraId="6BE9B136" w14:textId="77777777" w:rsidR="00075BFC" w:rsidRPr="00F165FC" w:rsidRDefault="00075BFC" w:rsidP="00075BFC">
      <w:pPr>
        <w:rPr>
          <w:szCs w:val="22"/>
          <w:lang w:val="x-none" w:eastAsia="x-none"/>
        </w:rPr>
      </w:pPr>
      <w:r w:rsidRPr="00F165FC">
        <w:rPr>
          <w:szCs w:val="22"/>
          <w:lang w:val="x-none" w:eastAsia="x-none"/>
        </w:rPr>
        <w:t xml:space="preserve">XANAX nerekomenduojama skirti kartu su vaistais nuo grybelių sukeltų ligų (pvz., </w:t>
      </w:r>
      <w:proofErr w:type="spellStart"/>
      <w:r w:rsidRPr="00F165FC">
        <w:rPr>
          <w:szCs w:val="22"/>
          <w:lang w:val="x-none" w:eastAsia="x-none"/>
        </w:rPr>
        <w:t>ketokonazolo</w:t>
      </w:r>
      <w:proofErr w:type="spellEnd"/>
      <w:r w:rsidRPr="00F165FC">
        <w:rPr>
          <w:szCs w:val="22"/>
          <w:lang w:val="x-none" w:eastAsia="x-none"/>
        </w:rPr>
        <w:t xml:space="preserve">,, </w:t>
      </w:r>
      <w:proofErr w:type="spellStart"/>
      <w:r w:rsidRPr="00F165FC">
        <w:rPr>
          <w:szCs w:val="22"/>
          <w:lang w:val="x-none" w:eastAsia="x-none"/>
        </w:rPr>
        <w:t>itrakonazolo</w:t>
      </w:r>
      <w:proofErr w:type="spellEnd"/>
      <w:r w:rsidRPr="00F165FC">
        <w:rPr>
          <w:szCs w:val="22"/>
          <w:lang w:val="x-none" w:eastAsia="x-none"/>
        </w:rPr>
        <w:t xml:space="preserve"> ir kitų </w:t>
      </w:r>
      <w:proofErr w:type="spellStart"/>
      <w:r w:rsidRPr="00F165FC">
        <w:rPr>
          <w:szCs w:val="22"/>
          <w:lang w:val="x-none" w:eastAsia="x-none"/>
        </w:rPr>
        <w:t>azolų</w:t>
      </w:r>
      <w:proofErr w:type="spellEnd"/>
      <w:r w:rsidRPr="00F165FC">
        <w:rPr>
          <w:szCs w:val="22"/>
          <w:lang w:val="x-none" w:eastAsia="x-none"/>
        </w:rPr>
        <w:t xml:space="preserve"> grupės vaistų).</w:t>
      </w:r>
    </w:p>
    <w:p w14:paraId="7F4063EB" w14:textId="77777777" w:rsidR="00075BFC" w:rsidRPr="00F165FC" w:rsidRDefault="00075BFC" w:rsidP="00075BFC">
      <w:pPr>
        <w:ind w:left="567"/>
        <w:rPr>
          <w:szCs w:val="22"/>
          <w:lang w:val="x-none" w:eastAsia="x-none"/>
        </w:rPr>
      </w:pPr>
    </w:p>
    <w:p w14:paraId="64461F96" w14:textId="77777777" w:rsidR="00075BFC" w:rsidRPr="00F165FC" w:rsidRDefault="00075BFC" w:rsidP="00075BFC">
      <w:pPr>
        <w:rPr>
          <w:szCs w:val="22"/>
          <w:lang w:val="x-none" w:eastAsia="x-none"/>
        </w:rPr>
      </w:pPr>
      <w:r w:rsidRPr="00F165FC">
        <w:rPr>
          <w:szCs w:val="22"/>
          <w:lang w:val="x-none" w:eastAsia="x-none"/>
        </w:rPr>
        <w:t>XANAX rekomenduojama skirti atsargiai kartu su:</w:t>
      </w:r>
    </w:p>
    <w:p w14:paraId="7136A903" w14:textId="77777777" w:rsidR="00075BFC" w:rsidRPr="00F165FC" w:rsidRDefault="00075BFC" w:rsidP="00075BFC">
      <w:pPr>
        <w:ind w:left="540" w:hanging="540"/>
        <w:rPr>
          <w:szCs w:val="22"/>
        </w:rPr>
      </w:pPr>
      <w:r w:rsidRPr="00F165FC">
        <w:rPr>
          <w:szCs w:val="22"/>
        </w:rPr>
        <w:lastRenderedPageBreak/>
        <w:t>-</w:t>
      </w:r>
      <w:r w:rsidRPr="00F165FC">
        <w:rPr>
          <w:szCs w:val="22"/>
        </w:rPr>
        <w:tab/>
        <w:t xml:space="preserve">antidepresantais (pvz., </w:t>
      </w:r>
      <w:proofErr w:type="spellStart"/>
      <w:r w:rsidRPr="00F165FC">
        <w:rPr>
          <w:szCs w:val="22"/>
        </w:rPr>
        <w:t>nefazodonu</w:t>
      </w:r>
      <w:proofErr w:type="spellEnd"/>
      <w:r w:rsidRPr="00F165FC">
        <w:rPr>
          <w:szCs w:val="22"/>
        </w:rPr>
        <w:t xml:space="preserve">, </w:t>
      </w:r>
      <w:proofErr w:type="spellStart"/>
      <w:r w:rsidRPr="00F165FC">
        <w:rPr>
          <w:szCs w:val="22"/>
        </w:rPr>
        <w:t>fluvoksaminu</w:t>
      </w:r>
      <w:proofErr w:type="spellEnd"/>
      <w:r w:rsidRPr="00F165FC">
        <w:rPr>
          <w:szCs w:val="22"/>
        </w:rPr>
        <w:t xml:space="preserve">, </w:t>
      </w:r>
      <w:proofErr w:type="spellStart"/>
      <w:r w:rsidRPr="00F165FC">
        <w:rPr>
          <w:szCs w:val="22"/>
        </w:rPr>
        <w:t>sertralinu</w:t>
      </w:r>
      <w:proofErr w:type="spellEnd"/>
      <w:r w:rsidRPr="00F165FC">
        <w:rPr>
          <w:szCs w:val="22"/>
        </w:rPr>
        <w:t xml:space="preserve">, </w:t>
      </w:r>
      <w:proofErr w:type="spellStart"/>
      <w:r w:rsidRPr="00F165FC">
        <w:rPr>
          <w:szCs w:val="22"/>
        </w:rPr>
        <w:t>paroksetinu</w:t>
      </w:r>
      <w:proofErr w:type="spellEnd"/>
      <w:r w:rsidRPr="00F165FC">
        <w:rPr>
          <w:szCs w:val="22"/>
        </w:rPr>
        <w:t>);</w:t>
      </w:r>
    </w:p>
    <w:p w14:paraId="58FECB07" w14:textId="77777777" w:rsidR="00075BFC" w:rsidRPr="00F165FC" w:rsidRDefault="00075BFC" w:rsidP="00075BFC">
      <w:pPr>
        <w:ind w:left="540" w:hanging="540"/>
        <w:rPr>
          <w:szCs w:val="22"/>
        </w:rPr>
      </w:pPr>
      <w:r w:rsidRPr="00F165FC">
        <w:rPr>
          <w:szCs w:val="22"/>
        </w:rPr>
        <w:t>-</w:t>
      </w:r>
      <w:r w:rsidRPr="00F165FC">
        <w:rPr>
          <w:szCs w:val="22"/>
        </w:rPr>
        <w:tab/>
      </w:r>
      <w:proofErr w:type="spellStart"/>
      <w:r w:rsidRPr="00F165FC">
        <w:rPr>
          <w:szCs w:val="22"/>
        </w:rPr>
        <w:t>cimetidinu</w:t>
      </w:r>
      <w:proofErr w:type="spellEnd"/>
      <w:r w:rsidRPr="00F165FC">
        <w:rPr>
          <w:szCs w:val="22"/>
        </w:rPr>
        <w:t xml:space="preserve"> (vaisto nuo opaligės ir </w:t>
      </w:r>
      <w:proofErr w:type="spellStart"/>
      <w:r w:rsidRPr="00F165FC">
        <w:rPr>
          <w:szCs w:val="22"/>
        </w:rPr>
        <w:t>gastroezofaginio</w:t>
      </w:r>
      <w:proofErr w:type="spellEnd"/>
      <w:r w:rsidRPr="00F165FC">
        <w:rPr>
          <w:szCs w:val="22"/>
        </w:rPr>
        <w:t xml:space="preserve"> </w:t>
      </w:r>
      <w:proofErr w:type="spellStart"/>
      <w:r w:rsidRPr="00F165FC">
        <w:rPr>
          <w:szCs w:val="22"/>
        </w:rPr>
        <w:t>refliukso</w:t>
      </w:r>
      <w:proofErr w:type="spellEnd"/>
      <w:r w:rsidRPr="00F165FC">
        <w:rPr>
          <w:szCs w:val="22"/>
        </w:rPr>
        <w:t xml:space="preserve"> ligos);</w:t>
      </w:r>
    </w:p>
    <w:p w14:paraId="41BFBDF5" w14:textId="77777777" w:rsidR="00075BFC" w:rsidRPr="00F165FC" w:rsidRDefault="00075BFC" w:rsidP="00075BFC">
      <w:pPr>
        <w:ind w:left="540" w:hanging="540"/>
        <w:rPr>
          <w:szCs w:val="22"/>
        </w:rPr>
      </w:pPr>
      <w:r w:rsidRPr="00F165FC">
        <w:rPr>
          <w:szCs w:val="22"/>
        </w:rPr>
        <w:t>-</w:t>
      </w:r>
      <w:r w:rsidRPr="00F165FC">
        <w:rPr>
          <w:szCs w:val="22"/>
        </w:rPr>
        <w:tab/>
      </w:r>
      <w:proofErr w:type="spellStart"/>
      <w:r w:rsidRPr="00F165FC">
        <w:rPr>
          <w:szCs w:val="22"/>
        </w:rPr>
        <w:t>makrolidų</w:t>
      </w:r>
      <w:proofErr w:type="spellEnd"/>
      <w:r w:rsidRPr="00F165FC">
        <w:rPr>
          <w:szCs w:val="22"/>
        </w:rPr>
        <w:t xml:space="preserve"> grupės antibiotikais (pvz., </w:t>
      </w:r>
      <w:proofErr w:type="spellStart"/>
      <w:r w:rsidRPr="00F165FC">
        <w:rPr>
          <w:szCs w:val="22"/>
        </w:rPr>
        <w:t>eritromicinu</w:t>
      </w:r>
      <w:proofErr w:type="spellEnd"/>
      <w:r w:rsidRPr="00F165FC">
        <w:rPr>
          <w:szCs w:val="22"/>
        </w:rPr>
        <w:t xml:space="preserve">, </w:t>
      </w:r>
      <w:proofErr w:type="spellStart"/>
      <w:r w:rsidRPr="00F165FC">
        <w:rPr>
          <w:szCs w:val="22"/>
        </w:rPr>
        <w:t>klaritromicinu</w:t>
      </w:r>
      <w:proofErr w:type="spellEnd"/>
      <w:r w:rsidRPr="00F165FC">
        <w:rPr>
          <w:szCs w:val="22"/>
        </w:rPr>
        <w:t xml:space="preserve">, </w:t>
      </w:r>
      <w:proofErr w:type="spellStart"/>
      <w:r w:rsidRPr="00F165FC">
        <w:rPr>
          <w:szCs w:val="22"/>
        </w:rPr>
        <w:t>troleandomicinu</w:t>
      </w:r>
      <w:proofErr w:type="spellEnd"/>
      <w:r w:rsidRPr="00F165FC">
        <w:rPr>
          <w:szCs w:val="22"/>
        </w:rPr>
        <w:t>);</w:t>
      </w:r>
    </w:p>
    <w:p w14:paraId="73E747DA" w14:textId="77777777" w:rsidR="00075BFC" w:rsidRPr="00F165FC" w:rsidRDefault="00075BFC" w:rsidP="00075BFC">
      <w:pPr>
        <w:ind w:left="540" w:hanging="540"/>
        <w:rPr>
          <w:szCs w:val="22"/>
        </w:rPr>
      </w:pPr>
      <w:r w:rsidRPr="00F165FC">
        <w:rPr>
          <w:szCs w:val="22"/>
        </w:rPr>
        <w:t>-</w:t>
      </w:r>
      <w:r w:rsidRPr="00F165FC">
        <w:rPr>
          <w:szCs w:val="22"/>
        </w:rPr>
        <w:tab/>
        <w:t xml:space="preserve">kalcio kanalų blokatoriais (pvz., </w:t>
      </w:r>
      <w:proofErr w:type="spellStart"/>
      <w:r w:rsidRPr="00F165FC">
        <w:rPr>
          <w:szCs w:val="22"/>
        </w:rPr>
        <w:t>diltiazemu</w:t>
      </w:r>
      <w:proofErr w:type="spellEnd"/>
      <w:r w:rsidRPr="00F165FC">
        <w:rPr>
          <w:szCs w:val="22"/>
        </w:rPr>
        <w:t xml:space="preserve"> ar </w:t>
      </w:r>
      <w:proofErr w:type="spellStart"/>
      <w:r w:rsidRPr="00F165FC">
        <w:rPr>
          <w:szCs w:val="22"/>
        </w:rPr>
        <w:t>verapamiliu</w:t>
      </w:r>
      <w:proofErr w:type="spellEnd"/>
      <w:r w:rsidRPr="00F165FC">
        <w:rPr>
          <w:szCs w:val="22"/>
        </w:rPr>
        <w:t>, kuriais gydomos širdies ligos);</w:t>
      </w:r>
    </w:p>
    <w:p w14:paraId="0ABC6CF6" w14:textId="77777777" w:rsidR="00075BFC" w:rsidRPr="00F165FC" w:rsidRDefault="00075BFC" w:rsidP="00075BFC">
      <w:pPr>
        <w:ind w:left="540" w:hanging="540"/>
        <w:rPr>
          <w:szCs w:val="22"/>
        </w:rPr>
      </w:pPr>
      <w:r w:rsidRPr="00F165FC">
        <w:rPr>
          <w:szCs w:val="22"/>
        </w:rPr>
        <w:t>-</w:t>
      </w:r>
      <w:r w:rsidRPr="00F165FC">
        <w:rPr>
          <w:szCs w:val="22"/>
        </w:rPr>
        <w:tab/>
      </w:r>
      <w:proofErr w:type="spellStart"/>
      <w:r w:rsidRPr="00F165FC">
        <w:rPr>
          <w:szCs w:val="22"/>
        </w:rPr>
        <w:t>digoksinu</w:t>
      </w:r>
      <w:proofErr w:type="spellEnd"/>
      <w:r w:rsidRPr="00F165FC">
        <w:rPr>
          <w:szCs w:val="22"/>
        </w:rPr>
        <w:t xml:space="preserve"> (vaistu nuo širdies ligų);</w:t>
      </w:r>
    </w:p>
    <w:p w14:paraId="79ACC918" w14:textId="77777777" w:rsidR="00075BFC" w:rsidRPr="00F165FC" w:rsidRDefault="00075BFC" w:rsidP="00075BFC">
      <w:pPr>
        <w:ind w:left="540" w:hanging="540"/>
        <w:rPr>
          <w:szCs w:val="22"/>
        </w:rPr>
      </w:pPr>
      <w:r w:rsidRPr="00F165FC">
        <w:rPr>
          <w:szCs w:val="22"/>
        </w:rPr>
        <w:t>-</w:t>
      </w:r>
      <w:r w:rsidRPr="00F165FC">
        <w:rPr>
          <w:szCs w:val="22"/>
        </w:rPr>
        <w:tab/>
        <w:t>geriamaisiais kontraceptikais;</w:t>
      </w:r>
    </w:p>
    <w:p w14:paraId="74AB929B" w14:textId="77777777" w:rsidR="00075BFC" w:rsidRPr="00F165FC" w:rsidRDefault="00075BFC" w:rsidP="00075BFC">
      <w:pPr>
        <w:ind w:left="540" w:hanging="540"/>
        <w:rPr>
          <w:szCs w:val="22"/>
        </w:rPr>
      </w:pPr>
      <w:r w:rsidRPr="00F165FC">
        <w:rPr>
          <w:szCs w:val="22"/>
        </w:rPr>
        <w:t>-</w:t>
      </w:r>
      <w:r w:rsidRPr="00F165FC">
        <w:rPr>
          <w:szCs w:val="22"/>
        </w:rPr>
        <w:tab/>
        <w:t xml:space="preserve">vaistais, kuriais gydomi ŽIV infekuoti ligoniai (pvz., ritonaviru ar </w:t>
      </w:r>
      <w:proofErr w:type="spellStart"/>
      <w:r w:rsidRPr="00F165FC">
        <w:rPr>
          <w:szCs w:val="22"/>
        </w:rPr>
        <w:t>efavirenzu</w:t>
      </w:r>
      <w:proofErr w:type="spellEnd"/>
      <w:r w:rsidRPr="00F165FC">
        <w:rPr>
          <w:szCs w:val="22"/>
        </w:rPr>
        <w:t>);</w:t>
      </w:r>
    </w:p>
    <w:p w14:paraId="75242BEE" w14:textId="77777777" w:rsidR="00075BFC" w:rsidRPr="00F165FC" w:rsidRDefault="00075BFC" w:rsidP="00075BFC">
      <w:pPr>
        <w:ind w:left="540" w:hanging="540"/>
        <w:rPr>
          <w:szCs w:val="22"/>
        </w:rPr>
      </w:pPr>
      <w:r w:rsidRPr="00F165FC">
        <w:rPr>
          <w:szCs w:val="22"/>
        </w:rPr>
        <w:t>-</w:t>
      </w:r>
      <w:r w:rsidRPr="00F165FC">
        <w:rPr>
          <w:szCs w:val="22"/>
        </w:rPr>
        <w:tab/>
        <w:t>vaistais nuo psichikos sutrikimų (</w:t>
      </w:r>
      <w:proofErr w:type="spellStart"/>
      <w:r w:rsidRPr="00F165FC">
        <w:rPr>
          <w:szCs w:val="22"/>
        </w:rPr>
        <w:t>neuroleptikais</w:t>
      </w:r>
      <w:proofErr w:type="spellEnd"/>
      <w:r w:rsidRPr="00F165FC">
        <w:rPr>
          <w:szCs w:val="22"/>
        </w:rPr>
        <w:t>);</w:t>
      </w:r>
    </w:p>
    <w:p w14:paraId="07B651C2" w14:textId="77777777" w:rsidR="00075BFC" w:rsidRPr="00F165FC" w:rsidRDefault="00075BFC" w:rsidP="00075BFC">
      <w:pPr>
        <w:ind w:left="540" w:hanging="540"/>
        <w:rPr>
          <w:szCs w:val="22"/>
        </w:rPr>
      </w:pPr>
      <w:r w:rsidRPr="00F165FC">
        <w:rPr>
          <w:szCs w:val="22"/>
        </w:rPr>
        <w:t>-</w:t>
      </w:r>
      <w:r w:rsidRPr="00F165FC">
        <w:rPr>
          <w:szCs w:val="22"/>
        </w:rPr>
        <w:tab/>
        <w:t>migdomaisiais, nerimą šalinančiais ir raminamąjį poveikį sukeliančiais vaistais;</w:t>
      </w:r>
    </w:p>
    <w:p w14:paraId="786B4289" w14:textId="77777777" w:rsidR="00075BFC" w:rsidRPr="00F165FC" w:rsidRDefault="00075BFC" w:rsidP="00075BFC">
      <w:pPr>
        <w:ind w:left="540" w:hanging="540"/>
        <w:rPr>
          <w:szCs w:val="22"/>
        </w:rPr>
      </w:pPr>
      <w:r w:rsidRPr="00F165FC">
        <w:rPr>
          <w:szCs w:val="22"/>
        </w:rPr>
        <w:t>-</w:t>
      </w:r>
      <w:r w:rsidRPr="00F165FC">
        <w:rPr>
          <w:szCs w:val="22"/>
        </w:rPr>
        <w:tab/>
        <w:t xml:space="preserve">anestezijai sukelti vartojamais </w:t>
      </w:r>
      <w:r>
        <w:rPr>
          <w:szCs w:val="22"/>
        </w:rPr>
        <w:t>vaistais</w:t>
      </w:r>
      <w:r w:rsidRPr="00F165FC">
        <w:rPr>
          <w:szCs w:val="22"/>
        </w:rPr>
        <w:t>;</w:t>
      </w:r>
    </w:p>
    <w:p w14:paraId="45E4716A" w14:textId="77777777" w:rsidR="00075BFC" w:rsidRPr="00F165FC" w:rsidRDefault="00075BFC" w:rsidP="00075BFC">
      <w:pPr>
        <w:ind w:left="540" w:hanging="540"/>
        <w:rPr>
          <w:szCs w:val="22"/>
        </w:rPr>
      </w:pPr>
      <w:r w:rsidRPr="00F165FC">
        <w:rPr>
          <w:szCs w:val="22"/>
        </w:rPr>
        <w:t>-</w:t>
      </w:r>
      <w:r w:rsidRPr="00F165FC">
        <w:rPr>
          <w:szCs w:val="22"/>
        </w:rPr>
        <w:tab/>
      </w:r>
      <w:proofErr w:type="spellStart"/>
      <w:r w:rsidRPr="00F165FC">
        <w:rPr>
          <w:szCs w:val="22"/>
        </w:rPr>
        <w:t>antihistamininiais</w:t>
      </w:r>
      <w:proofErr w:type="spellEnd"/>
      <w:r w:rsidRPr="00F165FC">
        <w:rPr>
          <w:szCs w:val="22"/>
        </w:rPr>
        <w:t xml:space="preserve"> vaistais (jų vartojama pasireiškus alergijai).</w:t>
      </w:r>
    </w:p>
    <w:p w14:paraId="67DFBBDC" w14:textId="77777777" w:rsidR="00075BFC" w:rsidRPr="00DD7811" w:rsidRDefault="00075BFC" w:rsidP="00075BFC"/>
    <w:p w14:paraId="0D36C449" w14:textId="77777777" w:rsidR="00075BFC" w:rsidRPr="008C3301" w:rsidRDefault="00075BFC" w:rsidP="00075BFC">
      <w:pPr>
        <w:tabs>
          <w:tab w:val="left" w:pos="567"/>
        </w:tabs>
        <w:spacing w:line="260" w:lineRule="exact"/>
        <w:rPr>
          <w:rFonts w:eastAsia="MS Mincho"/>
          <w:noProof/>
          <w:szCs w:val="22"/>
          <w:lang w:eastAsia="x-none"/>
        </w:rPr>
      </w:pPr>
      <w:r w:rsidRPr="008C3301">
        <w:rPr>
          <w:rFonts w:eastAsia="MS Mincho"/>
          <w:noProof/>
          <w:szCs w:val="22"/>
          <w:lang w:val="x-none" w:eastAsia="x-none"/>
        </w:rPr>
        <w:t xml:space="preserve">Kartu vartojami </w:t>
      </w:r>
      <w:r>
        <w:rPr>
          <w:rFonts w:eastAsia="MS Mincho"/>
          <w:szCs w:val="22"/>
          <w:lang w:eastAsia="en-US"/>
        </w:rPr>
        <w:t>XANAX</w:t>
      </w:r>
      <w:r w:rsidRPr="00130116">
        <w:rPr>
          <w:rFonts w:eastAsia="MS Mincho"/>
          <w:szCs w:val="22"/>
          <w:lang w:eastAsia="en-US"/>
        </w:rPr>
        <w:t xml:space="preserve"> </w:t>
      </w:r>
      <w:r w:rsidRPr="008C3301">
        <w:rPr>
          <w:rFonts w:eastAsia="MS Mincho"/>
          <w:noProof/>
          <w:szCs w:val="22"/>
          <w:lang w:val="x-none" w:eastAsia="x-none"/>
        </w:rPr>
        <w:t xml:space="preserve">ir opioidai </w:t>
      </w:r>
      <w:r w:rsidRPr="008C3301">
        <w:rPr>
          <w:rFonts w:eastAsia="MS Mincho"/>
          <w:noProof/>
          <w:szCs w:val="22"/>
          <w:lang w:eastAsia="x-none"/>
        </w:rPr>
        <w:t>(vaistai stipriam skausmui malšinti, vaistai pakaitinei terapijai ir kai kurie vaistai nuo kosulio) didina mieguistumo, sunkumo kvėpuojant (</w:t>
      </w:r>
      <w:r w:rsidRPr="008C3301">
        <w:rPr>
          <w:rFonts w:eastAsia="MS Mincho"/>
          <w:noProof/>
          <w:szCs w:val="22"/>
          <w:lang w:val="x-none" w:eastAsia="x-none"/>
        </w:rPr>
        <w:t>kvėpavimo slopinim</w:t>
      </w:r>
      <w:r w:rsidRPr="008C3301">
        <w:rPr>
          <w:rFonts w:eastAsia="MS Mincho"/>
          <w:noProof/>
          <w:szCs w:val="22"/>
          <w:lang w:eastAsia="x-none"/>
        </w:rPr>
        <w:t>o)</w:t>
      </w:r>
      <w:r w:rsidRPr="008C3301">
        <w:rPr>
          <w:rFonts w:eastAsia="MS Mincho"/>
          <w:noProof/>
          <w:szCs w:val="22"/>
          <w:lang w:val="x-none" w:eastAsia="x-none"/>
        </w:rPr>
        <w:t>, kom</w:t>
      </w:r>
      <w:r w:rsidRPr="008C3301">
        <w:rPr>
          <w:rFonts w:eastAsia="MS Mincho"/>
          <w:noProof/>
          <w:szCs w:val="22"/>
          <w:lang w:eastAsia="x-none"/>
        </w:rPr>
        <w:t>os riziką ir gali būti gyvybei pavojingi</w:t>
      </w:r>
      <w:r w:rsidRPr="008C3301">
        <w:rPr>
          <w:rFonts w:eastAsia="MS Mincho"/>
          <w:noProof/>
          <w:szCs w:val="22"/>
          <w:lang w:val="x-none" w:eastAsia="x-none"/>
        </w:rPr>
        <w:t>.</w:t>
      </w:r>
      <w:r w:rsidRPr="00130116">
        <w:rPr>
          <w:rFonts w:eastAsia="MS Mincho"/>
          <w:noProof/>
          <w:szCs w:val="22"/>
          <w:lang w:eastAsia="x-none"/>
        </w:rPr>
        <w:t xml:space="preserve"> </w:t>
      </w:r>
      <w:r w:rsidRPr="0009059A">
        <w:rPr>
          <w:rFonts w:eastAsia="MS Mincho"/>
        </w:rPr>
        <w:t>D</w:t>
      </w:r>
      <w:r w:rsidRPr="008C3301">
        <w:rPr>
          <w:rFonts w:eastAsia="MS Mincho"/>
          <w:noProof/>
          <w:szCs w:val="22"/>
          <w:lang w:eastAsia="x-none"/>
        </w:rPr>
        <w:t>ėl to vartojimas kartu turėtų būti svarstomas tik nesant kitų gydymo galimybių.</w:t>
      </w:r>
      <w:r w:rsidRPr="008C3301">
        <w:rPr>
          <w:rFonts w:eastAsia="MS Mincho"/>
          <w:noProof/>
          <w:szCs w:val="22"/>
          <w:lang w:val="x-none" w:eastAsia="x-none"/>
        </w:rPr>
        <w:t xml:space="preserve"> </w:t>
      </w:r>
    </w:p>
    <w:p w14:paraId="0914E470" w14:textId="77777777" w:rsidR="00075BFC" w:rsidRPr="008C3301" w:rsidRDefault="00075BFC" w:rsidP="00075BFC">
      <w:pPr>
        <w:tabs>
          <w:tab w:val="left" w:pos="567"/>
        </w:tabs>
        <w:spacing w:line="260" w:lineRule="exact"/>
        <w:rPr>
          <w:rFonts w:eastAsia="MS Mincho"/>
          <w:noProof/>
          <w:szCs w:val="22"/>
          <w:lang w:eastAsia="x-none"/>
        </w:rPr>
      </w:pPr>
      <w:r w:rsidRPr="008C3301">
        <w:rPr>
          <w:rFonts w:eastAsia="MS Mincho"/>
          <w:noProof/>
          <w:szCs w:val="22"/>
          <w:lang w:eastAsia="x-none"/>
        </w:rPr>
        <w:t xml:space="preserve">Vis dėlto, jei gydytojas Jums paskirtų </w:t>
      </w:r>
      <w:r>
        <w:rPr>
          <w:rFonts w:eastAsia="MS Mincho"/>
          <w:noProof/>
          <w:szCs w:val="22"/>
          <w:lang w:eastAsia="x-none"/>
        </w:rPr>
        <w:t>XANAX</w:t>
      </w:r>
      <w:r w:rsidRPr="008C3301">
        <w:rPr>
          <w:rFonts w:eastAsia="MS Mincho"/>
          <w:noProof/>
          <w:szCs w:val="22"/>
          <w:lang w:eastAsia="x-none"/>
        </w:rPr>
        <w:t xml:space="preserve"> kartu su opioidais, jis turėtų </w:t>
      </w:r>
      <w:r w:rsidRPr="00130116">
        <w:rPr>
          <w:rFonts w:eastAsia="MS Mincho"/>
          <w:noProof/>
          <w:szCs w:val="22"/>
          <w:lang w:eastAsia="x-none"/>
        </w:rPr>
        <w:t>apriboti</w:t>
      </w:r>
      <w:r w:rsidRPr="008C3301">
        <w:rPr>
          <w:rFonts w:eastAsia="MS Mincho"/>
          <w:noProof/>
          <w:szCs w:val="22"/>
          <w:lang w:eastAsia="x-none"/>
        </w:rPr>
        <w:t xml:space="preserve"> dozę ir vartojimo kartu trukmę. </w:t>
      </w:r>
    </w:p>
    <w:p w14:paraId="018C4DD8" w14:textId="77777777" w:rsidR="00075BFC" w:rsidRPr="00130116" w:rsidRDefault="00075BFC" w:rsidP="00075BFC">
      <w:pPr>
        <w:rPr>
          <w:szCs w:val="22"/>
          <w:lang w:eastAsia="x-none"/>
        </w:rPr>
      </w:pPr>
      <w:r w:rsidRPr="008C3301">
        <w:rPr>
          <w:rFonts w:eastAsia="MS Mincho"/>
          <w:noProof/>
          <w:szCs w:val="22"/>
          <w:lang w:eastAsia="x-none"/>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7E9310EF" w14:textId="77777777" w:rsidR="00075BFC" w:rsidRPr="00130116" w:rsidRDefault="00075BFC" w:rsidP="00075BFC">
      <w:pPr>
        <w:rPr>
          <w:szCs w:val="22"/>
          <w:lang w:eastAsia="x-none"/>
        </w:rPr>
      </w:pPr>
    </w:p>
    <w:p w14:paraId="6AFDAD3D" w14:textId="77777777" w:rsidR="00075BFC" w:rsidRPr="00F165FC" w:rsidRDefault="00075BFC" w:rsidP="00075BFC">
      <w:pPr>
        <w:spacing w:line="220" w:lineRule="exact"/>
        <w:rPr>
          <w:b/>
          <w:bCs/>
          <w:szCs w:val="22"/>
          <w:lang w:eastAsia="en-US"/>
        </w:rPr>
      </w:pPr>
      <w:r w:rsidRPr="00F165FC">
        <w:rPr>
          <w:b/>
          <w:bCs/>
          <w:szCs w:val="22"/>
          <w:lang w:eastAsia="en-US"/>
        </w:rPr>
        <w:t>XANAX vartojimas su maistu ir gėrimais</w:t>
      </w:r>
    </w:p>
    <w:p w14:paraId="20EBF1AD" w14:textId="77777777" w:rsidR="00075BFC" w:rsidRPr="00F165FC" w:rsidRDefault="00075BFC" w:rsidP="00075BFC">
      <w:pPr>
        <w:rPr>
          <w:szCs w:val="22"/>
          <w:lang w:val="x-none" w:eastAsia="x-none"/>
        </w:rPr>
      </w:pPr>
      <w:r w:rsidRPr="00F165FC">
        <w:rPr>
          <w:szCs w:val="22"/>
          <w:lang w:val="x-none" w:eastAsia="x-none"/>
        </w:rPr>
        <w:t>Vartodami XANAX tablečių, visiškai negerkite alkoholio.</w:t>
      </w:r>
    </w:p>
    <w:p w14:paraId="16A33EB6" w14:textId="77777777" w:rsidR="00075BFC" w:rsidRPr="00F165FC" w:rsidRDefault="00075BFC" w:rsidP="00075BFC">
      <w:pPr>
        <w:rPr>
          <w:szCs w:val="22"/>
          <w:lang w:val="x-none" w:eastAsia="x-none"/>
        </w:rPr>
      </w:pPr>
    </w:p>
    <w:p w14:paraId="0FA97CD3" w14:textId="77777777" w:rsidR="00075BFC" w:rsidRPr="00F165FC" w:rsidRDefault="00075BFC" w:rsidP="00075BFC">
      <w:pPr>
        <w:rPr>
          <w:b/>
          <w:bCs/>
          <w:iCs/>
          <w:noProof/>
          <w:szCs w:val="22"/>
          <w:lang w:val="x-none" w:eastAsia="x-none"/>
        </w:rPr>
      </w:pPr>
      <w:r w:rsidRPr="00F165FC">
        <w:rPr>
          <w:b/>
          <w:bCs/>
          <w:iCs/>
          <w:noProof/>
          <w:szCs w:val="22"/>
          <w:lang w:val="x-none" w:eastAsia="x-none"/>
        </w:rPr>
        <w:t>Nėštumas, žindymo laikotarpis ir vaisingumas</w:t>
      </w:r>
    </w:p>
    <w:p w14:paraId="742660AC" w14:textId="77777777" w:rsidR="00075BFC" w:rsidRPr="00F165FC" w:rsidRDefault="00075BFC" w:rsidP="00075BFC">
      <w:pPr>
        <w:rPr>
          <w:szCs w:val="22"/>
        </w:rPr>
      </w:pPr>
      <w:r w:rsidRPr="00F165FC">
        <w:rPr>
          <w:szCs w:val="22"/>
        </w:rPr>
        <w:t xml:space="preserve">Jeigu esate nėščia, žindote kūdikį, manote, kad galbūt esate nėščia arba planuojate pastoti, tai prieš vartodama šį vaistą pasitarkite su gydytoju arba vaistininku. </w:t>
      </w:r>
    </w:p>
    <w:p w14:paraId="7F57A542" w14:textId="77777777" w:rsidR="00075BFC" w:rsidRPr="00F165FC" w:rsidRDefault="00075BFC" w:rsidP="00075BFC">
      <w:pPr>
        <w:spacing w:line="220" w:lineRule="exact"/>
        <w:rPr>
          <w:b/>
          <w:bCs/>
          <w:szCs w:val="22"/>
          <w:lang w:eastAsia="en-US"/>
        </w:rPr>
      </w:pPr>
    </w:p>
    <w:p w14:paraId="606BE211" w14:textId="77777777" w:rsidR="00075BFC" w:rsidRDefault="00075BFC" w:rsidP="00075BFC">
      <w:pPr>
        <w:rPr>
          <w:szCs w:val="22"/>
        </w:rPr>
      </w:pPr>
      <w:r w:rsidRPr="00F165FC">
        <w:rPr>
          <w:szCs w:val="22"/>
        </w:rPr>
        <w:t xml:space="preserve">XANAX nėštumo metu vartoti negalima, išskyrus atvejus, kai gydytojas nusprendžia, kad toks motinos gydymas neabejotinai būtinas. </w:t>
      </w:r>
    </w:p>
    <w:p w14:paraId="25CC8137" w14:textId="77777777" w:rsidR="00075BFC" w:rsidRPr="00F165FC" w:rsidRDefault="00075BFC" w:rsidP="00075BFC">
      <w:pPr>
        <w:rPr>
          <w:szCs w:val="22"/>
        </w:rPr>
      </w:pPr>
      <w:r w:rsidRPr="00F165FC">
        <w:rPr>
          <w:szCs w:val="22"/>
        </w:rPr>
        <w:t>Jeigu esate nėščia arba planuojate pastoti, pasitarkite su gydytoju, kaip būtų galima nutraukti XANAX gydymą. Jeigu vartojate XANAX iki gimdymo, apie tai pasakykite gydytojui, nes gimusiam naujagimiui gali pasireikšti nutraukimo simptomai.</w:t>
      </w:r>
    </w:p>
    <w:p w14:paraId="3185E90F" w14:textId="77777777" w:rsidR="00075BFC" w:rsidRPr="00F165FC" w:rsidRDefault="00075BFC" w:rsidP="00075BFC">
      <w:pPr>
        <w:rPr>
          <w:szCs w:val="22"/>
          <w:lang w:val="x-none" w:eastAsia="x-none"/>
        </w:rPr>
      </w:pPr>
      <w:r w:rsidRPr="00F165FC">
        <w:rPr>
          <w:szCs w:val="22"/>
          <w:lang w:val="x-none" w:eastAsia="x-none"/>
        </w:rPr>
        <w:t xml:space="preserve">Benzodiazepinų (įskaitant </w:t>
      </w:r>
      <w:proofErr w:type="spellStart"/>
      <w:r w:rsidRPr="00F165FC">
        <w:rPr>
          <w:szCs w:val="22"/>
          <w:lang w:val="x-none" w:eastAsia="x-none"/>
        </w:rPr>
        <w:t>alprazolamą</w:t>
      </w:r>
      <w:proofErr w:type="spellEnd"/>
      <w:r w:rsidRPr="00F165FC">
        <w:rPr>
          <w:szCs w:val="22"/>
          <w:lang w:val="x-none" w:eastAsia="x-none"/>
        </w:rPr>
        <w:t>) išsiskiria į motinos pieną. XANAX žindymo laikotarpiu vartoti negalima.</w:t>
      </w:r>
    </w:p>
    <w:p w14:paraId="794AA243" w14:textId="77777777" w:rsidR="00075BFC" w:rsidRPr="00F165FC" w:rsidRDefault="00075BFC" w:rsidP="00075BFC">
      <w:pPr>
        <w:rPr>
          <w:szCs w:val="22"/>
          <w:lang w:val="x-none" w:eastAsia="x-none"/>
        </w:rPr>
      </w:pPr>
    </w:p>
    <w:p w14:paraId="3F3FDEEC" w14:textId="77777777" w:rsidR="00075BFC" w:rsidRPr="00F165FC" w:rsidRDefault="00075BFC" w:rsidP="00075BFC">
      <w:pPr>
        <w:spacing w:line="220" w:lineRule="exact"/>
        <w:rPr>
          <w:b/>
          <w:bCs/>
          <w:szCs w:val="22"/>
          <w:lang w:eastAsia="en-US"/>
        </w:rPr>
      </w:pPr>
      <w:r w:rsidRPr="00F165FC">
        <w:rPr>
          <w:b/>
          <w:bCs/>
          <w:szCs w:val="22"/>
          <w:lang w:eastAsia="en-US"/>
        </w:rPr>
        <w:t>Vairavimas ir mechanizmų valdymas</w:t>
      </w:r>
    </w:p>
    <w:p w14:paraId="1057E3DF" w14:textId="77777777" w:rsidR="00075BFC" w:rsidRPr="00F165FC" w:rsidRDefault="00075BFC" w:rsidP="00075BFC">
      <w:pPr>
        <w:textAlignment w:val="top"/>
        <w:rPr>
          <w:color w:val="888888"/>
          <w:szCs w:val="22"/>
        </w:rPr>
      </w:pPr>
      <w:r w:rsidRPr="00F165FC">
        <w:rPr>
          <w:szCs w:val="22"/>
        </w:rPr>
        <w:t xml:space="preserve">Gydymas XANAX (kaip ir kitais CNS </w:t>
      </w:r>
      <w:proofErr w:type="spellStart"/>
      <w:r w:rsidRPr="00F165FC">
        <w:rPr>
          <w:szCs w:val="22"/>
        </w:rPr>
        <w:t>veikančiais</w:t>
      </w:r>
      <w:proofErr w:type="spellEnd"/>
      <w:r w:rsidRPr="00F165FC">
        <w:rPr>
          <w:szCs w:val="22"/>
        </w:rPr>
        <w:t xml:space="preserve"> vaistais) gali paveikti Jūsų gebėjimą reaguoti ir sukoncentruoti dėmesį - Jūs galite tapti mieguistas ir (arba) užmaršus. Nevairuokite arba nevaldykite mechanizmų, jei jaučiate tokį poveikį.</w:t>
      </w:r>
    </w:p>
    <w:p w14:paraId="16CD9737" w14:textId="77777777" w:rsidR="00075BFC" w:rsidRPr="00F165FC" w:rsidRDefault="00075BFC" w:rsidP="00075BFC">
      <w:pPr>
        <w:rPr>
          <w:iCs/>
          <w:szCs w:val="22"/>
          <w:lang w:val="x-none" w:eastAsia="x-none"/>
        </w:rPr>
      </w:pPr>
    </w:p>
    <w:p w14:paraId="682ECB1B" w14:textId="77777777" w:rsidR="00075BFC" w:rsidRDefault="00075BFC" w:rsidP="00075BFC">
      <w:pPr>
        <w:rPr>
          <w:iCs/>
          <w:szCs w:val="22"/>
          <w:lang w:val="x-none" w:eastAsia="x-none"/>
        </w:rPr>
      </w:pPr>
      <w:r w:rsidRPr="00F165FC">
        <w:rPr>
          <w:iCs/>
          <w:noProof/>
          <w:szCs w:val="22"/>
          <w:lang w:val="x-none" w:eastAsia="x-none"/>
        </w:rPr>
        <w:t>XANAX</w:t>
      </w:r>
      <w:r w:rsidRPr="00F165FC">
        <w:rPr>
          <w:iCs/>
          <w:szCs w:val="22"/>
          <w:lang w:val="x-none" w:eastAsia="x-none"/>
        </w:rPr>
        <w:t xml:space="preserve"> sudėtyje yra laktozės</w:t>
      </w:r>
      <w:r>
        <w:rPr>
          <w:iCs/>
          <w:szCs w:val="22"/>
          <w:lang w:eastAsia="x-none"/>
        </w:rPr>
        <w:t xml:space="preserve">, natrio ir natrio </w:t>
      </w:r>
      <w:proofErr w:type="spellStart"/>
      <w:r>
        <w:rPr>
          <w:iCs/>
          <w:szCs w:val="22"/>
          <w:lang w:eastAsia="x-none"/>
        </w:rPr>
        <w:t>benzoato</w:t>
      </w:r>
      <w:proofErr w:type="spellEnd"/>
      <w:r w:rsidRPr="00F165FC">
        <w:rPr>
          <w:iCs/>
          <w:szCs w:val="22"/>
          <w:lang w:val="x-none" w:eastAsia="x-none"/>
        </w:rPr>
        <w:t xml:space="preserve"> </w:t>
      </w:r>
    </w:p>
    <w:p w14:paraId="6632B880" w14:textId="77777777" w:rsidR="00075BFC" w:rsidRPr="00F165FC" w:rsidRDefault="00075BFC" w:rsidP="00075BFC">
      <w:pPr>
        <w:rPr>
          <w:iCs/>
          <w:szCs w:val="22"/>
          <w:lang w:val="x-none" w:eastAsia="x-none"/>
        </w:rPr>
      </w:pPr>
      <w:r>
        <w:rPr>
          <w:iCs/>
          <w:szCs w:val="22"/>
          <w:lang w:val="en-US" w:eastAsia="x-none"/>
        </w:rPr>
        <w:t>K</w:t>
      </w:r>
      <w:proofErr w:type="spellStart"/>
      <w:r w:rsidRPr="00F165FC">
        <w:rPr>
          <w:iCs/>
          <w:szCs w:val="22"/>
          <w:lang w:val="x-none" w:eastAsia="x-none"/>
        </w:rPr>
        <w:t>iekvienoje</w:t>
      </w:r>
      <w:proofErr w:type="spellEnd"/>
      <w:r w:rsidRPr="00F165FC">
        <w:rPr>
          <w:iCs/>
          <w:szCs w:val="22"/>
          <w:lang w:val="x-none" w:eastAsia="x-none"/>
        </w:rPr>
        <w:t xml:space="preserve"> </w:t>
      </w:r>
      <w:r>
        <w:rPr>
          <w:iCs/>
          <w:szCs w:val="22"/>
          <w:lang w:val="en-US" w:eastAsia="x-none"/>
        </w:rPr>
        <w:t xml:space="preserve">0,25 mg, 0,5 mg </w:t>
      </w:r>
      <w:proofErr w:type="spellStart"/>
      <w:r>
        <w:rPr>
          <w:iCs/>
          <w:szCs w:val="22"/>
          <w:lang w:val="en-US" w:eastAsia="x-none"/>
        </w:rPr>
        <w:t>ir</w:t>
      </w:r>
      <w:proofErr w:type="spellEnd"/>
      <w:r>
        <w:rPr>
          <w:iCs/>
          <w:szCs w:val="22"/>
          <w:lang w:val="en-US" w:eastAsia="x-none"/>
        </w:rPr>
        <w:t xml:space="preserve"> 1 mg </w:t>
      </w:r>
      <w:r w:rsidRPr="00F165FC">
        <w:rPr>
          <w:iCs/>
          <w:szCs w:val="22"/>
          <w:lang w:val="x-none" w:eastAsia="x-none"/>
        </w:rPr>
        <w:t xml:space="preserve">tabletėje yra </w:t>
      </w:r>
      <w:r>
        <w:rPr>
          <w:iCs/>
          <w:szCs w:val="22"/>
          <w:lang w:eastAsia="x-none"/>
        </w:rPr>
        <w:t xml:space="preserve">0,11 mg natrio </w:t>
      </w:r>
      <w:proofErr w:type="spellStart"/>
      <w:r>
        <w:rPr>
          <w:iCs/>
          <w:szCs w:val="22"/>
          <w:lang w:eastAsia="x-none"/>
        </w:rPr>
        <w:t>benzoato</w:t>
      </w:r>
      <w:proofErr w:type="spellEnd"/>
      <w:r>
        <w:rPr>
          <w:iCs/>
          <w:szCs w:val="22"/>
          <w:lang w:eastAsia="x-none"/>
        </w:rPr>
        <w:t xml:space="preserve"> (E 211)</w:t>
      </w:r>
      <w:r w:rsidRPr="00F165FC">
        <w:rPr>
          <w:iCs/>
          <w:szCs w:val="22"/>
          <w:lang w:val="x-none" w:eastAsia="x-none"/>
        </w:rPr>
        <w:t>.</w:t>
      </w:r>
    </w:p>
    <w:p w14:paraId="42DD03B5" w14:textId="77777777" w:rsidR="00075BFC" w:rsidRPr="00F165FC" w:rsidRDefault="00075BFC" w:rsidP="00075BFC">
      <w:pPr>
        <w:rPr>
          <w:iCs/>
          <w:szCs w:val="22"/>
          <w:lang w:val="x-none" w:eastAsia="x-none"/>
        </w:rPr>
      </w:pPr>
      <w:r w:rsidRPr="00F165FC">
        <w:rPr>
          <w:iCs/>
          <w:szCs w:val="22"/>
          <w:lang w:val="x-none" w:eastAsia="x-none"/>
        </w:rPr>
        <w:t>Jeigu gydytojas Jums yra sakęs, kad netoleruojate kokių nors angliavandenių, kreipkitės į jį prieš pradėdami vartoti šį vaistą.</w:t>
      </w:r>
    </w:p>
    <w:p w14:paraId="33E3FE3D" w14:textId="77777777" w:rsidR="00075BFC" w:rsidRPr="00130116" w:rsidRDefault="00075BFC" w:rsidP="00075BFC">
      <w:pPr>
        <w:rPr>
          <w:iCs/>
          <w:szCs w:val="22"/>
          <w:lang w:eastAsia="x-none"/>
        </w:rPr>
      </w:pPr>
    </w:p>
    <w:p w14:paraId="4C9D2893" w14:textId="77777777" w:rsidR="00075BFC" w:rsidRPr="0009059A" w:rsidRDefault="00075BFC" w:rsidP="00075BFC">
      <w:r>
        <w:t>Vienoje šio vaisto tabletėje yra</w:t>
      </w:r>
      <w:r>
        <w:rPr>
          <w:lang w:eastAsia="ja-JP"/>
        </w:rPr>
        <w:t xml:space="preserve"> mažiau kaip 1 </w:t>
      </w:r>
      <w:proofErr w:type="spellStart"/>
      <w:r>
        <w:rPr>
          <w:lang w:eastAsia="ja-JP"/>
        </w:rPr>
        <w:t>mmol</w:t>
      </w:r>
      <w:proofErr w:type="spellEnd"/>
      <w:r>
        <w:rPr>
          <w:lang w:eastAsia="ja-JP"/>
        </w:rPr>
        <w:t xml:space="preserve"> (23 mg) natrio, t. y. jis beveik neturi reikšmės.</w:t>
      </w:r>
    </w:p>
    <w:p w14:paraId="442A7501" w14:textId="77777777" w:rsidR="00075BFC" w:rsidRDefault="00075BFC" w:rsidP="00075BFC">
      <w:pPr>
        <w:rPr>
          <w:iCs/>
          <w:szCs w:val="22"/>
          <w:lang w:eastAsia="x-none"/>
        </w:rPr>
      </w:pPr>
    </w:p>
    <w:p w14:paraId="2BD78CE5" w14:textId="77777777" w:rsidR="00075BFC" w:rsidRPr="00E1751B" w:rsidRDefault="00075BFC" w:rsidP="00075BFC">
      <w:pPr>
        <w:rPr>
          <w:iCs/>
          <w:szCs w:val="22"/>
          <w:lang w:eastAsia="x-none"/>
        </w:rPr>
      </w:pPr>
    </w:p>
    <w:p w14:paraId="0744E564" w14:textId="77777777" w:rsidR="00075BFC" w:rsidRPr="00F165FC" w:rsidRDefault="00075BFC" w:rsidP="00075BFC">
      <w:pPr>
        <w:keepNext/>
        <w:tabs>
          <w:tab w:val="left" w:pos="567"/>
        </w:tabs>
        <w:outlineLvl w:val="1"/>
        <w:rPr>
          <w:b/>
          <w:bCs/>
          <w:iCs/>
          <w:szCs w:val="22"/>
          <w:lang w:val="x-none" w:eastAsia="x-none"/>
        </w:rPr>
      </w:pPr>
      <w:r w:rsidRPr="00F165FC">
        <w:rPr>
          <w:b/>
          <w:bCs/>
          <w:iCs/>
          <w:szCs w:val="22"/>
          <w:lang w:val="x-none" w:eastAsia="x-none"/>
        </w:rPr>
        <w:t>3.</w:t>
      </w:r>
      <w:r w:rsidRPr="00F165FC">
        <w:rPr>
          <w:b/>
          <w:bCs/>
          <w:iCs/>
          <w:szCs w:val="22"/>
          <w:lang w:val="x-none" w:eastAsia="x-none"/>
        </w:rPr>
        <w:tab/>
        <w:t>Kaip vartoti XANAX</w:t>
      </w:r>
    </w:p>
    <w:p w14:paraId="7920E9A4" w14:textId="77777777" w:rsidR="00075BFC" w:rsidRPr="00F165FC" w:rsidRDefault="00075BFC" w:rsidP="00075BFC">
      <w:pPr>
        <w:rPr>
          <w:szCs w:val="22"/>
          <w:lang w:val="x-none" w:eastAsia="x-none"/>
        </w:rPr>
      </w:pPr>
    </w:p>
    <w:p w14:paraId="7EB0413E" w14:textId="77777777" w:rsidR="00075BFC" w:rsidRDefault="00075BFC" w:rsidP="00075BFC">
      <w:pPr>
        <w:rPr>
          <w:szCs w:val="22"/>
          <w:lang w:eastAsia="x-none"/>
        </w:rPr>
      </w:pPr>
      <w:r w:rsidRPr="00F165FC">
        <w:rPr>
          <w:szCs w:val="22"/>
          <w:lang w:val="x-none" w:eastAsia="x-none"/>
        </w:rPr>
        <w:lastRenderedPageBreak/>
        <w:t>Visada vartokite šį vaistą tiksliai kaip nurodė gydytojas. Jeigu abejojate, kreipkitės į gydytoją arba vaistininką.</w:t>
      </w:r>
    </w:p>
    <w:p w14:paraId="4AC3F3B7" w14:textId="77777777" w:rsidR="00075BFC" w:rsidRPr="00E1751B" w:rsidRDefault="00075BFC" w:rsidP="00075BFC">
      <w:pPr>
        <w:rPr>
          <w:szCs w:val="22"/>
          <w:lang w:eastAsia="x-none"/>
        </w:rPr>
      </w:pPr>
    </w:p>
    <w:p w14:paraId="5A6987A0" w14:textId="77777777" w:rsidR="00075BFC" w:rsidRPr="00A34BE9" w:rsidRDefault="00075BFC" w:rsidP="00075BFC">
      <w:pPr>
        <w:rPr>
          <w:i/>
          <w:iCs/>
          <w:szCs w:val="22"/>
          <w:u w:val="single"/>
          <w:lang w:eastAsia="x-none"/>
        </w:rPr>
      </w:pPr>
      <w:r w:rsidRPr="00A34BE9">
        <w:rPr>
          <w:i/>
          <w:iCs/>
          <w:szCs w:val="22"/>
          <w:u w:val="single"/>
          <w:lang w:eastAsia="x-none"/>
        </w:rPr>
        <w:t>Gydymo trukmė</w:t>
      </w:r>
    </w:p>
    <w:p w14:paraId="1D84DE4B" w14:textId="77777777" w:rsidR="00075BFC" w:rsidRDefault="00075BFC" w:rsidP="00075BFC">
      <w:pPr>
        <w:rPr>
          <w:iCs/>
          <w:szCs w:val="22"/>
          <w:lang w:eastAsia="x-none"/>
        </w:rPr>
      </w:pPr>
      <w:r>
        <w:rPr>
          <w:iCs/>
          <w:szCs w:val="22"/>
          <w:lang w:eastAsia="x-none"/>
        </w:rPr>
        <w:t xml:space="preserve">Priklausomybės ir piktnaudžiavimo XANAX rizika gali didėti, tiesiogiai proporcingai dozei ir gydymo trukmei, todėl gydytojas skirs kiek galima mažesnę veiksmingą dozę ir kuo trumpesnį laiką. </w:t>
      </w:r>
      <w:bookmarkStart w:id="3" w:name="_Hlk84930394"/>
      <w:r>
        <w:rPr>
          <w:iCs/>
          <w:szCs w:val="22"/>
          <w:lang w:eastAsia="x-none"/>
        </w:rPr>
        <w:t xml:space="preserve">Taip pat dažnai tikrins dėl tęstinio gydymo poreikio (žr. 2 skyrių </w:t>
      </w:r>
      <w:r w:rsidRPr="00F32D21">
        <w:rPr>
          <w:iCs/>
          <w:szCs w:val="22"/>
          <w:lang w:eastAsia="x-none"/>
        </w:rPr>
        <w:t>„</w:t>
      </w:r>
      <w:r w:rsidRPr="00A34BE9">
        <w:rPr>
          <w:szCs w:val="22"/>
        </w:rPr>
        <w:t>Įspėjimai ir atsargumo priemonės“)</w:t>
      </w:r>
      <w:r w:rsidRPr="00F32D21">
        <w:rPr>
          <w:iCs/>
          <w:szCs w:val="22"/>
          <w:lang w:eastAsia="x-none"/>
        </w:rPr>
        <w:t>.</w:t>
      </w:r>
    </w:p>
    <w:p w14:paraId="0D509C92" w14:textId="77777777" w:rsidR="00075BFC" w:rsidRDefault="00075BFC" w:rsidP="00075BFC">
      <w:pPr>
        <w:rPr>
          <w:szCs w:val="22"/>
          <w:lang w:val="x-none" w:eastAsia="x-none"/>
        </w:rPr>
      </w:pPr>
    </w:p>
    <w:p w14:paraId="68933ECA" w14:textId="77777777" w:rsidR="00075BFC" w:rsidRDefault="00075BFC" w:rsidP="00075BFC">
      <w:pPr>
        <w:rPr>
          <w:iCs/>
          <w:szCs w:val="22"/>
          <w:lang w:eastAsia="x-none"/>
        </w:rPr>
      </w:pPr>
      <w:r>
        <w:rPr>
          <w:szCs w:val="22"/>
          <w:lang w:eastAsia="x-none"/>
        </w:rPr>
        <w:t xml:space="preserve">Maksimali gydymo trukmė neturi viršyti 2-4 savaičių. </w:t>
      </w:r>
      <w:r w:rsidRPr="00360C6D">
        <w:rPr>
          <w:iCs/>
          <w:szCs w:val="22"/>
          <w:lang w:eastAsia="x-none"/>
        </w:rPr>
        <w:t>Ilgalaikis gydymas nerekomenduojamas.</w:t>
      </w:r>
      <w:bookmarkEnd w:id="3"/>
    </w:p>
    <w:p w14:paraId="73DCBC99" w14:textId="77777777" w:rsidR="00075BFC" w:rsidRPr="00A34BE9" w:rsidRDefault="00075BFC" w:rsidP="00075BFC">
      <w:pPr>
        <w:rPr>
          <w:szCs w:val="22"/>
          <w:lang w:eastAsia="x-none"/>
        </w:rPr>
      </w:pPr>
    </w:p>
    <w:p w14:paraId="763C2507" w14:textId="77777777" w:rsidR="00075BFC" w:rsidRPr="00A34BE9" w:rsidRDefault="00075BFC" w:rsidP="00075BFC">
      <w:pPr>
        <w:rPr>
          <w:i/>
          <w:iCs/>
          <w:szCs w:val="22"/>
          <w:u w:val="single"/>
        </w:rPr>
      </w:pPr>
      <w:r w:rsidRPr="00A34BE9">
        <w:rPr>
          <w:i/>
          <w:iCs/>
          <w:szCs w:val="22"/>
          <w:u w:val="single"/>
        </w:rPr>
        <w:t>Suaugusieji (18 metų ir vyresni)</w:t>
      </w:r>
    </w:p>
    <w:p w14:paraId="7C6569A9" w14:textId="77777777" w:rsidR="00075BFC" w:rsidRPr="00F165FC" w:rsidRDefault="00075BFC" w:rsidP="00075BFC">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suaugusių žmonių paros dozė yra 0,75–1,5 mg. Ji vartojama išdalyta į 2-3 dalis.</w:t>
      </w:r>
    </w:p>
    <w:p w14:paraId="59937CCB" w14:textId="77777777" w:rsidR="00075BFC" w:rsidRPr="00F165FC" w:rsidRDefault="00075BFC" w:rsidP="00075BFC">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suaugusių žmonių paros dozė yra 0,5–4 mg per parą. Ji vartojama išdalyta į 2-3 dalis.</w:t>
      </w:r>
    </w:p>
    <w:p w14:paraId="0A275017" w14:textId="77777777" w:rsidR="00075BFC" w:rsidRPr="00F165FC" w:rsidRDefault="00075BFC" w:rsidP="00075BFC">
      <w:pPr>
        <w:rPr>
          <w:iCs/>
          <w:szCs w:val="22"/>
          <w:lang w:val="x-none" w:eastAsia="x-none"/>
        </w:rPr>
      </w:pPr>
    </w:p>
    <w:p w14:paraId="21383BC1" w14:textId="77777777" w:rsidR="00075BFC" w:rsidRPr="00F165FC" w:rsidRDefault="00075BFC" w:rsidP="00075BFC">
      <w:pPr>
        <w:rPr>
          <w:i/>
          <w:szCs w:val="22"/>
          <w:u w:val="single"/>
          <w:lang w:val="x-none" w:eastAsia="x-none"/>
        </w:rPr>
      </w:pPr>
      <w:r w:rsidRPr="00F165FC">
        <w:rPr>
          <w:i/>
          <w:szCs w:val="22"/>
          <w:u w:val="single"/>
          <w:lang w:val="x-none" w:eastAsia="x-none"/>
        </w:rPr>
        <w:t>Senyvi pacientai</w:t>
      </w:r>
    </w:p>
    <w:p w14:paraId="055913D7" w14:textId="77777777" w:rsidR="00075BFC" w:rsidRPr="00F165FC" w:rsidRDefault="00075BFC" w:rsidP="00075BFC">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senyvų žmonių paros dozė yra 0,5–0,75 mg. Ji vartojama išdalyta į 3 dalis.</w:t>
      </w:r>
    </w:p>
    <w:p w14:paraId="455ABF79" w14:textId="77777777" w:rsidR="00075BFC" w:rsidRPr="00F165FC" w:rsidRDefault="00075BFC" w:rsidP="00075BFC">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senyvų žmonių paros dozė yra 0,5–0,75 mg per parą (per kelis kartus). Jei pacientas toleruoja, prireikus dozę galima palaipsniui didinti.</w:t>
      </w:r>
    </w:p>
    <w:p w14:paraId="457070C7" w14:textId="77777777" w:rsidR="00075BFC" w:rsidRPr="00F165FC" w:rsidRDefault="00075BFC" w:rsidP="00075BFC">
      <w:pPr>
        <w:rPr>
          <w:i/>
          <w:szCs w:val="22"/>
          <w:u w:val="single"/>
          <w:lang w:val="x-none" w:eastAsia="x-none"/>
        </w:rPr>
      </w:pPr>
    </w:p>
    <w:p w14:paraId="05A36ABF" w14:textId="77777777" w:rsidR="00075BFC" w:rsidRPr="00F165FC" w:rsidRDefault="00075BFC" w:rsidP="00075BFC">
      <w:pPr>
        <w:rPr>
          <w:i/>
          <w:szCs w:val="22"/>
          <w:u w:val="single"/>
          <w:lang w:val="x-none" w:eastAsia="x-none"/>
        </w:rPr>
      </w:pPr>
      <w:r w:rsidRPr="00F165FC">
        <w:rPr>
          <w:i/>
          <w:szCs w:val="22"/>
          <w:u w:val="single"/>
          <w:lang w:val="x-none" w:eastAsia="x-none"/>
        </w:rPr>
        <w:t xml:space="preserve">Pacientai, kurių inkstų ir (ar) kepenų veikla sutrikusi </w:t>
      </w:r>
    </w:p>
    <w:p w14:paraId="6942DCCD" w14:textId="77777777" w:rsidR="00075BFC" w:rsidRPr="00F165FC" w:rsidRDefault="00075BFC" w:rsidP="00075BFC">
      <w:pPr>
        <w:rPr>
          <w:iCs/>
          <w:szCs w:val="22"/>
          <w:lang w:val="x-none" w:eastAsia="x-none"/>
        </w:rPr>
      </w:pPr>
      <w:r w:rsidRPr="00F165FC">
        <w:rPr>
          <w:iCs/>
          <w:szCs w:val="22"/>
          <w:lang w:val="x-none" w:eastAsia="x-none"/>
        </w:rPr>
        <w:t>Pacientams, kurių inkstų ar kepenų funkcija sutrikusi, skiriama minimali veiksminga dozė.</w:t>
      </w:r>
    </w:p>
    <w:p w14:paraId="451DA640" w14:textId="77777777" w:rsidR="00075BFC" w:rsidRDefault="00075BFC" w:rsidP="00075BFC">
      <w:pPr>
        <w:rPr>
          <w:iCs/>
          <w:szCs w:val="22"/>
          <w:lang w:val="x-none" w:eastAsia="x-none"/>
        </w:rPr>
      </w:pPr>
    </w:p>
    <w:p w14:paraId="1D7FAFCE" w14:textId="77777777" w:rsidR="00075BFC" w:rsidRPr="00F165FC" w:rsidRDefault="00075BFC" w:rsidP="00075BFC">
      <w:pPr>
        <w:rPr>
          <w:iCs/>
          <w:szCs w:val="22"/>
          <w:lang w:val="x-none" w:eastAsia="x-none"/>
        </w:rPr>
      </w:pPr>
      <w:r w:rsidRPr="00F165FC">
        <w:rPr>
          <w:iCs/>
          <w:szCs w:val="22"/>
          <w:lang w:val="x-none" w:eastAsia="x-none"/>
        </w:rPr>
        <w:t>Jeigu manote, kad XANAX veikia per stipriai arba per silpnai, kreipkitės į gydytoją arba vaistininką.</w:t>
      </w:r>
    </w:p>
    <w:p w14:paraId="46884169" w14:textId="77777777" w:rsidR="00075BFC" w:rsidRPr="00F165FC" w:rsidRDefault="00075BFC" w:rsidP="00075BFC">
      <w:pPr>
        <w:rPr>
          <w:iCs/>
          <w:szCs w:val="22"/>
          <w:lang w:val="x-none" w:eastAsia="x-none"/>
        </w:rPr>
      </w:pPr>
    </w:p>
    <w:p w14:paraId="74422F3C" w14:textId="77777777" w:rsidR="00075BFC" w:rsidRPr="00130116" w:rsidRDefault="00075BFC" w:rsidP="00075BFC">
      <w:pPr>
        <w:rPr>
          <w:b/>
          <w:iCs/>
          <w:szCs w:val="22"/>
          <w:lang w:val="x-none" w:eastAsia="x-none"/>
        </w:rPr>
      </w:pPr>
      <w:r w:rsidRPr="00130116">
        <w:rPr>
          <w:b/>
          <w:iCs/>
          <w:szCs w:val="22"/>
          <w:lang w:val="x-none" w:eastAsia="x-none"/>
        </w:rPr>
        <w:t>Vartojimas vaikams ir paaugliams</w:t>
      </w:r>
    </w:p>
    <w:p w14:paraId="2A1B05B0" w14:textId="77777777" w:rsidR="00075BFC" w:rsidRDefault="00075BFC" w:rsidP="00075BFC">
      <w:pPr>
        <w:rPr>
          <w:iCs/>
          <w:szCs w:val="22"/>
          <w:lang w:eastAsia="x-none"/>
        </w:rPr>
      </w:pPr>
      <w:r w:rsidRPr="00F165FC">
        <w:rPr>
          <w:iCs/>
          <w:szCs w:val="22"/>
          <w:lang w:val="x-none" w:eastAsia="x-none"/>
        </w:rPr>
        <w:t>Vaist</w:t>
      </w:r>
      <w:r>
        <w:rPr>
          <w:iCs/>
          <w:szCs w:val="22"/>
          <w:lang w:eastAsia="x-none"/>
        </w:rPr>
        <w:t>o</w:t>
      </w:r>
      <w:r w:rsidRPr="00F165FC">
        <w:rPr>
          <w:iCs/>
          <w:szCs w:val="22"/>
          <w:lang w:val="x-none" w:eastAsia="x-none"/>
        </w:rPr>
        <w:t xml:space="preserve"> saugumas ir veiksmingumas netirtas jaunesniems nei 18 metų vaikams.</w:t>
      </w:r>
    </w:p>
    <w:p w14:paraId="69B5F233" w14:textId="77777777" w:rsidR="00075BFC" w:rsidRPr="00F165FC" w:rsidRDefault="00075BFC" w:rsidP="00075BFC">
      <w:pPr>
        <w:rPr>
          <w:iCs/>
          <w:szCs w:val="22"/>
          <w:lang w:val="x-none" w:eastAsia="x-none"/>
        </w:rPr>
      </w:pPr>
    </w:p>
    <w:p w14:paraId="04197063" w14:textId="77777777" w:rsidR="00075BFC" w:rsidRPr="00F165FC" w:rsidRDefault="00075BFC" w:rsidP="00075BFC">
      <w:pPr>
        <w:keepNext/>
        <w:tabs>
          <w:tab w:val="left" w:pos="567"/>
        </w:tabs>
        <w:outlineLvl w:val="2"/>
        <w:rPr>
          <w:b/>
          <w:szCs w:val="22"/>
        </w:rPr>
      </w:pPr>
      <w:r w:rsidRPr="00F165FC">
        <w:rPr>
          <w:b/>
          <w:szCs w:val="22"/>
        </w:rPr>
        <w:t>Ką daryti pavartojus per didelę XANAX dozę</w:t>
      </w:r>
    </w:p>
    <w:p w14:paraId="5EF941FB" w14:textId="77777777" w:rsidR="00075BFC" w:rsidRPr="00F165FC" w:rsidRDefault="00075BFC" w:rsidP="00075BFC">
      <w:pPr>
        <w:rPr>
          <w:iCs/>
          <w:szCs w:val="22"/>
          <w:lang w:val="x-none" w:eastAsia="x-none"/>
        </w:rPr>
      </w:pPr>
      <w:r w:rsidRPr="00F165FC">
        <w:rPr>
          <w:iCs/>
          <w:szCs w:val="22"/>
          <w:lang w:val="x-none" w:eastAsia="x-none"/>
        </w:rPr>
        <w:t>Jeigu išgėrėte arba kas nors kitas išgėrė per daug šio vaisto (XANAX), nedelsdami kreipkitės į savo gydytoją arba ligoninę.</w:t>
      </w:r>
    </w:p>
    <w:p w14:paraId="1B6526FB" w14:textId="77777777" w:rsidR="00075BFC" w:rsidRPr="00F165FC" w:rsidDel="00A972EF" w:rsidRDefault="00075BFC" w:rsidP="00075BFC">
      <w:pPr>
        <w:rPr>
          <w:iCs/>
          <w:szCs w:val="22"/>
          <w:lang w:val="x-none" w:eastAsia="x-none"/>
        </w:rPr>
      </w:pPr>
      <w:r w:rsidRPr="00F165FC">
        <w:rPr>
          <w:bCs/>
          <w:iCs/>
          <w:szCs w:val="22"/>
          <w:lang w:val="x-none" w:eastAsia="x-none"/>
        </w:rPr>
        <w:t>XANAX</w:t>
      </w:r>
      <w:r w:rsidRPr="00F165FC">
        <w:rPr>
          <w:iCs/>
          <w:szCs w:val="22"/>
          <w:lang w:val="x-none" w:eastAsia="x-none"/>
        </w:rPr>
        <w:t xml:space="preserve"> tablečių perdozavimas gali pasireikšti mieguistumu, sumišimu, koordinacijos sutrikimais, neaiškia kalba ir galiausiai – koma. Buvo atvejų, kai, perdozavus </w:t>
      </w:r>
      <w:r w:rsidRPr="00F165FC">
        <w:rPr>
          <w:bCs/>
          <w:iCs/>
          <w:szCs w:val="22"/>
          <w:lang w:val="x-none" w:eastAsia="x-none"/>
        </w:rPr>
        <w:t>XANAX</w:t>
      </w:r>
      <w:r w:rsidRPr="00F165FC">
        <w:rPr>
          <w:iCs/>
          <w:szCs w:val="22"/>
          <w:lang w:val="x-none" w:eastAsia="x-none"/>
        </w:rPr>
        <w:t xml:space="preserve">, susilpnėjo kvėpavimas, ištiko </w:t>
      </w:r>
      <w:proofErr w:type="spellStart"/>
      <w:r w:rsidRPr="00F165FC">
        <w:rPr>
          <w:iCs/>
          <w:szCs w:val="22"/>
          <w:lang w:val="x-none" w:eastAsia="x-none"/>
        </w:rPr>
        <w:t>apnėja</w:t>
      </w:r>
      <w:proofErr w:type="spellEnd"/>
      <w:r w:rsidRPr="00F165FC">
        <w:rPr>
          <w:iCs/>
          <w:szCs w:val="22"/>
          <w:lang w:val="x-none" w:eastAsia="x-none"/>
        </w:rPr>
        <w:t xml:space="preserve"> (kvėpavimo sustojimas), kartais prasidėjo traukuliai. Kaip ir perdozavus kitų vaistų, reikėtų stebėti kvėpavimą, pulsą ir kraujospūdį, prireikus imtis bendrųjų priemonių šioms funkcijoms palaikyti.</w:t>
      </w:r>
    </w:p>
    <w:p w14:paraId="12953B23" w14:textId="77777777" w:rsidR="00075BFC" w:rsidRPr="00F165FC" w:rsidRDefault="00075BFC" w:rsidP="00075BFC">
      <w:pPr>
        <w:rPr>
          <w:iCs/>
          <w:szCs w:val="22"/>
          <w:lang w:val="x-none" w:eastAsia="x-none"/>
        </w:rPr>
      </w:pPr>
    </w:p>
    <w:p w14:paraId="020A59ED" w14:textId="77777777" w:rsidR="00075BFC" w:rsidRPr="00F165FC" w:rsidRDefault="00075BFC" w:rsidP="00075BFC">
      <w:pPr>
        <w:keepNext/>
        <w:tabs>
          <w:tab w:val="left" w:pos="567"/>
        </w:tabs>
        <w:outlineLvl w:val="2"/>
        <w:rPr>
          <w:b/>
          <w:szCs w:val="22"/>
        </w:rPr>
      </w:pPr>
      <w:r w:rsidRPr="00F165FC">
        <w:rPr>
          <w:b/>
          <w:szCs w:val="22"/>
        </w:rPr>
        <w:t>Pamiršus pavartoti XANAX</w:t>
      </w:r>
    </w:p>
    <w:p w14:paraId="62289304" w14:textId="77777777" w:rsidR="00075BFC" w:rsidRPr="00F165FC" w:rsidRDefault="00075BFC" w:rsidP="00075BFC">
      <w:pPr>
        <w:rPr>
          <w:iCs/>
          <w:szCs w:val="22"/>
          <w:lang w:val="x-none" w:eastAsia="x-none"/>
        </w:rPr>
      </w:pPr>
      <w:r w:rsidRPr="00F165FC">
        <w:rPr>
          <w:iCs/>
          <w:szCs w:val="22"/>
          <w:lang w:val="x-none" w:eastAsia="x-none"/>
        </w:rPr>
        <w:t>Negalima vartoti dvigubos dozės norint kompensuoti praleistą dozę.</w:t>
      </w:r>
    </w:p>
    <w:p w14:paraId="499CE9F4" w14:textId="77777777" w:rsidR="00075BFC" w:rsidRPr="00F165FC" w:rsidRDefault="00075BFC" w:rsidP="00075BFC">
      <w:pPr>
        <w:rPr>
          <w:iCs/>
          <w:szCs w:val="22"/>
          <w:lang w:val="x-none" w:eastAsia="x-none"/>
        </w:rPr>
      </w:pPr>
    </w:p>
    <w:p w14:paraId="23C81CE5" w14:textId="77777777" w:rsidR="00075BFC" w:rsidRPr="00F165FC" w:rsidRDefault="00075BFC" w:rsidP="00075BFC">
      <w:pPr>
        <w:keepNext/>
        <w:tabs>
          <w:tab w:val="left" w:pos="567"/>
        </w:tabs>
        <w:outlineLvl w:val="2"/>
        <w:rPr>
          <w:b/>
          <w:szCs w:val="22"/>
        </w:rPr>
      </w:pPr>
      <w:r w:rsidRPr="00F165FC">
        <w:rPr>
          <w:b/>
          <w:szCs w:val="22"/>
        </w:rPr>
        <w:t>Nustojus vartoti XANAX</w:t>
      </w:r>
    </w:p>
    <w:p w14:paraId="4F093C35" w14:textId="77777777" w:rsidR="00075BFC" w:rsidRPr="00F165FC" w:rsidRDefault="00075BFC" w:rsidP="00075BFC">
      <w:pPr>
        <w:rPr>
          <w:iCs/>
          <w:szCs w:val="22"/>
          <w:lang w:val="x-none" w:eastAsia="x-none"/>
        </w:rPr>
      </w:pPr>
      <w:r w:rsidRPr="00F165FC">
        <w:rPr>
          <w:iCs/>
          <w:szCs w:val="22"/>
          <w:lang w:val="x-none" w:eastAsia="x-none"/>
        </w:rPr>
        <w:t xml:space="preserve">Staigus gydymo benzodiazepinais (įskaitant XANAX) nutraukimas gali sukelti nutraukimo simptomų. Gali pradėti skaudėti galvą ir raumenis, atsirasti nerimas, įtampa, </w:t>
      </w:r>
      <w:proofErr w:type="spellStart"/>
      <w:r w:rsidRPr="00F165FC">
        <w:rPr>
          <w:iCs/>
          <w:szCs w:val="22"/>
          <w:lang w:val="x-none" w:eastAsia="x-none"/>
        </w:rPr>
        <w:t>nenustygstamumas</w:t>
      </w:r>
      <w:proofErr w:type="spellEnd"/>
      <w:r w:rsidRPr="00F165FC">
        <w:rPr>
          <w:iCs/>
          <w:szCs w:val="22"/>
          <w:lang w:val="x-none" w:eastAsia="x-none"/>
        </w:rPr>
        <w:t xml:space="preserve">,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
    <w:p w14:paraId="30578DE1" w14:textId="77777777" w:rsidR="00075BFC" w:rsidRPr="00F165FC" w:rsidRDefault="00075BFC" w:rsidP="00075BFC">
      <w:pPr>
        <w:rPr>
          <w:iCs/>
          <w:szCs w:val="22"/>
          <w:lang w:val="x-none" w:eastAsia="x-none"/>
        </w:rPr>
      </w:pPr>
    </w:p>
    <w:p w14:paraId="29EAB54D" w14:textId="77777777" w:rsidR="00075BFC" w:rsidRPr="00F165FC" w:rsidRDefault="00075BFC" w:rsidP="00075BFC">
      <w:pPr>
        <w:rPr>
          <w:iCs/>
          <w:szCs w:val="22"/>
          <w:lang w:val="x-none" w:eastAsia="x-none"/>
        </w:rPr>
      </w:pPr>
      <w:r w:rsidRPr="00F165FC">
        <w:rPr>
          <w:iCs/>
          <w:szCs w:val="22"/>
          <w:lang w:val="x-none" w:eastAsia="x-none"/>
        </w:rPr>
        <w:t>Jeigu kiltų daugiau klausimų dėl šio vaisto vartojimo, kreipkitės į gydytoją arba vaistininką.</w:t>
      </w:r>
    </w:p>
    <w:p w14:paraId="2C3A062B" w14:textId="77777777" w:rsidR="00075BFC" w:rsidRPr="00F165FC" w:rsidRDefault="00075BFC" w:rsidP="00075BFC">
      <w:pPr>
        <w:rPr>
          <w:iCs/>
          <w:szCs w:val="22"/>
          <w:lang w:val="x-none" w:eastAsia="x-none"/>
        </w:rPr>
      </w:pPr>
    </w:p>
    <w:p w14:paraId="490B6621" w14:textId="77777777" w:rsidR="00075BFC" w:rsidRPr="00F165FC" w:rsidRDefault="00075BFC" w:rsidP="00075BFC">
      <w:pPr>
        <w:rPr>
          <w:iCs/>
          <w:szCs w:val="22"/>
          <w:lang w:val="x-none" w:eastAsia="x-none"/>
        </w:rPr>
      </w:pPr>
    </w:p>
    <w:p w14:paraId="5559D6E7" w14:textId="77777777" w:rsidR="00075BFC" w:rsidRPr="00F165FC" w:rsidRDefault="00075BFC" w:rsidP="00075BFC">
      <w:pPr>
        <w:keepNext/>
        <w:tabs>
          <w:tab w:val="left" w:pos="567"/>
        </w:tabs>
        <w:outlineLvl w:val="1"/>
        <w:rPr>
          <w:b/>
          <w:bCs/>
          <w:iCs/>
          <w:szCs w:val="22"/>
          <w:lang w:val="x-none" w:eastAsia="x-none"/>
        </w:rPr>
      </w:pPr>
      <w:r w:rsidRPr="00F165FC">
        <w:rPr>
          <w:b/>
          <w:bCs/>
          <w:iCs/>
          <w:szCs w:val="22"/>
          <w:lang w:val="x-none" w:eastAsia="x-none"/>
        </w:rPr>
        <w:t>4.</w:t>
      </w:r>
      <w:r w:rsidRPr="00F165FC">
        <w:rPr>
          <w:b/>
          <w:bCs/>
          <w:iCs/>
          <w:szCs w:val="22"/>
          <w:lang w:val="x-none" w:eastAsia="x-none"/>
        </w:rPr>
        <w:tab/>
        <w:t>Galimas šalutinis poveikis</w:t>
      </w:r>
    </w:p>
    <w:p w14:paraId="729650BA" w14:textId="77777777" w:rsidR="00075BFC" w:rsidRPr="00F165FC" w:rsidRDefault="00075BFC" w:rsidP="00075BFC">
      <w:pPr>
        <w:rPr>
          <w:iCs/>
          <w:szCs w:val="22"/>
          <w:lang w:val="x-none" w:eastAsia="x-none"/>
        </w:rPr>
      </w:pPr>
    </w:p>
    <w:p w14:paraId="0BA3F698" w14:textId="77777777" w:rsidR="00075BFC" w:rsidRPr="00F165FC" w:rsidRDefault="00075BFC" w:rsidP="00075BFC">
      <w:pPr>
        <w:rPr>
          <w:iCs/>
          <w:szCs w:val="22"/>
          <w:lang w:val="x-none" w:eastAsia="x-none"/>
        </w:rPr>
      </w:pPr>
      <w:r w:rsidRPr="00F165FC">
        <w:rPr>
          <w:iCs/>
          <w:szCs w:val="22"/>
          <w:lang w:val="x-none" w:eastAsia="x-none"/>
        </w:rPr>
        <w:t>Šis vaistas, kaip ir visi kiti, gali sukelti šalutinį poveikį, nors jis pasireiškia ne visiems žmonėms.</w:t>
      </w:r>
    </w:p>
    <w:p w14:paraId="2C37E4FC" w14:textId="77777777" w:rsidR="00075BFC" w:rsidRPr="00F165FC" w:rsidRDefault="00075BFC" w:rsidP="00075BFC">
      <w:pPr>
        <w:rPr>
          <w:iCs/>
          <w:szCs w:val="22"/>
          <w:lang w:val="x-none" w:eastAsia="x-none"/>
        </w:rPr>
      </w:pPr>
    </w:p>
    <w:p w14:paraId="77586120" w14:textId="77777777" w:rsidR="00075BFC" w:rsidRPr="00F165FC" w:rsidRDefault="00075BFC" w:rsidP="00075BFC">
      <w:pPr>
        <w:rPr>
          <w:szCs w:val="22"/>
          <w:lang w:val="x-none" w:eastAsia="x-none"/>
        </w:rPr>
      </w:pPr>
      <w:r w:rsidRPr="00F165FC">
        <w:rPr>
          <w:szCs w:val="22"/>
          <w:lang w:val="x-none" w:eastAsia="x-none"/>
        </w:rPr>
        <w:t>Šalutinių poveikių dažniausiai pasireiškia gydymo pradžioje ir</w:t>
      </w:r>
      <w:r w:rsidRPr="00F165FC">
        <w:rPr>
          <w:szCs w:val="22"/>
          <w:lang w:eastAsia="x-none"/>
        </w:rPr>
        <w:t>,</w:t>
      </w:r>
      <w:r w:rsidRPr="00F165FC">
        <w:rPr>
          <w:szCs w:val="22"/>
          <w:lang w:val="x-none" w:eastAsia="x-none"/>
        </w:rPr>
        <w:t xml:space="preserve"> tęsiant vaisto vartojimą ar sumažinus dozę, jie paprastai išnyksta.</w:t>
      </w:r>
    </w:p>
    <w:p w14:paraId="1492F0B4" w14:textId="77777777" w:rsidR="00075BFC" w:rsidRPr="00F165FC" w:rsidRDefault="00075BFC" w:rsidP="00075BFC">
      <w:pPr>
        <w:rPr>
          <w:szCs w:val="22"/>
          <w:lang w:val="x-none" w:eastAsia="x-none"/>
        </w:rPr>
      </w:pPr>
    </w:p>
    <w:p w14:paraId="6428E867" w14:textId="77777777" w:rsidR="00075BFC" w:rsidRPr="00F165FC" w:rsidRDefault="00075BFC" w:rsidP="00075BFC">
      <w:pPr>
        <w:rPr>
          <w:b/>
          <w:bCs/>
          <w:szCs w:val="22"/>
          <w:lang w:eastAsia="x-none"/>
        </w:rPr>
      </w:pPr>
      <w:bookmarkStart w:id="4" w:name="_Hlk89113239"/>
      <w:r w:rsidRPr="005D554B">
        <w:rPr>
          <w:b/>
          <w:bCs/>
          <w:noProof/>
          <w:snapToGrid w:val="0"/>
          <w:szCs w:val="22"/>
        </w:rPr>
        <w:t>Labai dažni šalutinio poveikio reiškiniai (gali pasireikšti ne rečiau kaip 1 iš 10 asmenų):</w:t>
      </w:r>
      <w:bookmarkEnd w:id="4"/>
    </w:p>
    <w:p w14:paraId="1068AE68" w14:textId="77777777" w:rsidR="00075BFC" w:rsidRPr="00F165FC" w:rsidRDefault="00075BFC" w:rsidP="00075BFC">
      <w:pPr>
        <w:numPr>
          <w:ilvl w:val="0"/>
          <w:numId w:val="1"/>
        </w:numPr>
        <w:spacing w:after="200" w:line="276" w:lineRule="auto"/>
        <w:contextualSpacing/>
      </w:pPr>
      <w:r w:rsidRPr="00F165FC">
        <w:t>depresija;</w:t>
      </w:r>
    </w:p>
    <w:p w14:paraId="1AF79058" w14:textId="77777777" w:rsidR="00075BFC" w:rsidRPr="00F165FC" w:rsidRDefault="00075BFC" w:rsidP="00075BFC">
      <w:pPr>
        <w:numPr>
          <w:ilvl w:val="0"/>
          <w:numId w:val="1"/>
        </w:numPr>
        <w:spacing w:after="200" w:line="276" w:lineRule="auto"/>
        <w:contextualSpacing/>
      </w:pPr>
      <w:proofErr w:type="spellStart"/>
      <w:r w:rsidRPr="00F165FC">
        <w:t>sedacija</w:t>
      </w:r>
      <w:proofErr w:type="spellEnd"/>
      <w:r w:rsidRPr="00F165FC">
        <w:t xml:space="preserve"> (raminamasis poveikis), mieguistumas, </w:t>
      </w:r>
      <w:proofErr w:type="spellStart"/>
      <w:r w:rsidRPr="00F165FC">
        <w:t>ataksija</w:t>
      </w:r>
      <w:proofErr w:type="spellEnd"/>
      <w:r w:rsidRPr="00F165FC">
        <w:t xml:space="preserve"> (judesių koordinacijos nebuvimas), atminties pablogėjimas, kalbos sutrikimas, galvos skausmas, galvos apsvaigimas;</w:t>
      </w:r>
    </w:p>
    <w:p w14:paraId="26693B2A" w14:textId="77777777" w:rsidR="00075BFC" w:rsidRPr="00F165FC" w:rsidRDefault="00075BFC" w:rsidP="00075BFC">
      <w:pPr>
        <w:numPr>
          <w:ilvl w:val="0"/>
          <w:numId w:val="1"/>
        </w:numPr>
        <w:spacing w:after="200" w:line="276" w:lineRule="auto"/>
        <w:contextualSpacing/>
      </w:pPr>
      <w:r w:rsidRPr="00F165FC">
        <w:t>vidurių užkietėjimas, burnos džiūvimas;</w:t>
      </w:r>
    </w:p>
    <w:p w14:paraId="2E0F80C4" w14:textId="77777777" w:rsidR="00075BFC" w:rsidRPr="00F165FC" w:rsidRDefault="00075BFC" w:rsidP="00075BFC">
      <w:pPr>
        <w:numPr>
          <w:ilvl w:val="0"/>
          <w:numId w:val="1"/>
        </w:numPr>
        <w:spacing w:after="200" w:line="276" w:lineRule="auto"/>
        <w:contextualSpacing/>
      </w:pPr>
      <w:r w:rsidRPr="00F165FC">
        <w:t>nuovargis, irzlumas.</w:t>
      </w:r>
    </w:p>
    <w:p w14:paraId="23CBB61F" w14:textId="77777777" w:rsidR="00075BFC" w:rsidRPr="00F165FC" w:rsidRDefault="00075BFC" w:rsidP="00075BFC">
      <w:pPr>
        <w:rPr>
          <w:szCs w:val="22"/>
          <w:lang w:val="x-none" w:eastAsia="x-none"/>
        </w:rPr>
      </w:pPr>
    </w:p>
    <w:p w14:paraId="591691B6" w14:textId="77777777" w:rsidR="00075BFC" w:rsidRPr="00F165FC" w:rsidRDefault="00075BFC" w:rsidP="00075BFC">
      <w:pPr>
        <w:rPr>
          <w:szCs w:val="22"/>
        </w:rPr>
      </w:pPr>
      <w:bookmarkStart w:id="5" w:name="_Hlk89113256"/>
      <w:r w:rsidRPr="005D554B">
        <w:rPr>
          <w:b/>
          <w:bCs/>
          <w:noProof/>
          <w:snapToGrid w:val="0"/>
          <w:szCs w:val="22"/>
        </w:rPr>
        <w:t>Dažni šalutinio poveikio reiškiniai (gali pasireikšti rečiau kaip 1 iš 10 asmenų):</w:t>
      </w:r>
      <w:bookmarkEnd w:id="5"/>
    </w:p>
    <w:p w14:paraId="51E0D3C6" w14:textId="77777777" w:rsidR="00075BFC" w:rsidRPr="00F165FC" w:rsidRDefault="00075BFC" w:rsidP="00075BFC">
      <w:pPr>
        <w:numPr>
          <w:ilvl w:val="0"/>
          <w:numId w:val="2"/>
        </w:numPr>
        <w:spacing w:after="200" w:line="276" w:lineRule="auto"/>
        <w:contextualSpacing/>
      </w:pPr>
      <w:r w:rsidRPr="00F165FC">
        <w:t>apetito sumažėjimas;</w:t>
      </w:r>
    </w:p>
    <w:p w14:paraId="392938E8" w14:textId="77777777" w:rsidR="00075BFC" w:rsidRPr="00F165FC" w:rsidRDefault="00075BFC" w:rsidP="00075BFC">
      <w:pPr>
        <w:numPr>
          <w:ilvl w:val="0"/>
          <w:numId w:val="2"/>
        </w:numPr>
        <w:spacing w:after="200" w:line="276" w:lineRule="auto"/>
        <w:contextualSpacing/>
      </w:pPr>
      <w:r w:rsidRPr="00F165FC">
        <w:t>sumišimas, orientacijos sutrikimas, lytinio potraukio sumažėjimas, nerimas, nemiga, nervingumas, lytinio potraukio padidėjimas;</w:t>
      </w:r>
    </w:p>
    <w:p w14:paraId="7D78FE49" w14:textId="77777777" w:rsidR="00075BFC" w:rsidRPr="00F165FC" w:rsidRDefault="00075BFC" w:rsidP="00075BFC">
      <w:pPr>
        <w:numPr>
          <w:ilvl w:val="0"/>
          <w:numId w:val="2"/>
        </w:numPr>
        <w:spacing w:after="200" w:line="276" w:lineRule="auto"/>
        <w:contextualSpacing/>
      </w:pPr>
      <w:r w:rsidRPr="00F165FC">
        <w:t>pusiausvyros sutrikimai, judesių koordinavimo sutrikimai, dėmesio sutrikimas, pernelyg didelis mieguistumas, letargija, drebulys (tremoras) ;</w:t>
      </w:r>
    </w:p>
    <w:p w14:paraId="25C026D7" w14:textId="77777777" w:rsidR="00075BFC" w:rsidRPr="00F165FC" w:rsidRDefault="00075BFC" w:rsidP="00075BFC">
      <w:pPr>
        <w:numPr>
          <w:ilvl w:val="0"/>
          <w:numId w:val="2"/>
        </w:numPr>
        <w:spacing w:after="200" w:line="276" w:lineRule="auto"/>
        <w:contextualSpacing/>
      </w:pPr>
      <w:r w:rsidRPr="00F165FC">
        <w:t>neryškus matymas;</w:t>
      </w:r>
    </w:p>
    <w:p w14:paraId="579EC45F" w14:textId="77777777" w:rsidR="00075BFC" w:rsidRPr="00F165FC" w:rsidRDefault="00075BFC" w:rsidP="00075BFC">
      <w:pPr>
        <w:numPr>
          <w:ilvl w:val="0"/>
          <w:numId w:val="2"/>
        </w:numPr>
        <w:spacing w:after="200" w:line="276" w:lineRule="auto"/>
        <w:contextualSpacing/>
      </w:pPr>
      <w:r w:rsidRPr="00F165FC">
        <w:t>pykinimas;</w:t>
      </w:r>
    </w:p>
    <w:p w14:paraId="00E0482F" w14:textId="77777777" w:rsidR="00075BFC" w:rsidRPr="00F165FC" w:rsidRDefault="00075BFC" w:rsidP="00075BFC">
      <w:pPr>
        <w:numPr>
          <w:ilvl w:val="0"/>
          <w:numId w:val="2"/>
        </w:numPr>
        <w:spacing w:after="200" w:line="276" w:lineRule="auto"/>
        <w:contextualSpacing/>
      </w:pPr>
      <w:r w:rsidRPr="00F165FC">
        <w:t>odos uždegimas (dermatitas);</w:t>
      </w:r>
    </w:p>
    <w:p w14:paraId="373DD41E" w14:textId="77777777" w:rsidR="00075BFC" w:rsidRPr="00F165FC" w:rsidRDefault="00075BFC" w:rsidP="00075BFC">
      <w:pPr>
        <w:numPr>
          <w:ilvl w:val="0"/>
          <w:numId w:val="2"/>
        </w:numPr>
        <w:spacing w:after="200" w:line="276" w:lineRule="auto"/>
        <w:contextualSpacing/>
      </w:pPr>
      <w:r w:rsidRPr="00F165FC">
        <w:t>lytinės veiklos sutrikimas;</w:t>
      </w:r>
    </w:p>
    <w:p w14:paraId="59FF60B5" w14:textId="77777777" w:rsidR="00075BFC" w:rsidRPr="00F165FC" w:rsidRDefault="00075BFC" w:rsidP="00075BFC">
      <w:pPr>
        <w:numPr>
          <w:ilvl w:val="0"/>
          <w:numId w:val="2"/>
        </w:numPr>
        <w:spacing w:after="200" w:line="276" w:lineRule="auto"/>
        <w:contextualSpacing/>
      </w:pPr>
      <w:r w:rsidRPr="00F165FC">
        <w:t>kūno svorio padidėjimas, kūno svorio sumažėjimas.</w:t>
      </w:r>
    </w:p>
    <w:p w14:paraId="352DF4F1" w14:textId="77777777" w:rsidR="00075BFC" w:rsidRPr="00F165FC" w:rsidRDefault="00075BFC" w:rsidP="00075BFC">
      <w:pPr>
        <w:ind w:left="540"/>
        <w:rPr>
          <w:szCs w:val="22"/>
        </w:rPr>
      </w:pPr>
    </w:p>
    <w:p w14:paraId="3F1A9EB0" w14:textId="77777777" w:rsidR="00075BFC" w:rsidRPr="00F165FC" w:rsidRDefault="00075BFC" w:rsidP="00075BFC">
      <w:pPr>
        <w:rPr>
          <w:i/>
          <w:noProof/>
          <w:szCs w:val="22"/>
        </w:rPr>
      </w:pPr>
      <w:bookmarkStart w:id="6" w:name="_Hlk89113276"/>
      <w:r w:rsidRPr="005D554B">
        <w:rPr>
          <w:b/>
          <w:bCs/>
          <w:noProof/>
          <w:snapToGrid w:val="0"/>
          <w:szCs w:val="22"/>
        </w:rPr>
        <w:t>Nedažni šalutinio poveikio reiškiniai (gali pasireikšti rečiau kaip 1 iš 100 asmenų):</w:t>
      </w:r>
      <w:bookmarkEnd w:id="6"/>
    </w:p>
    <w:p w14:paraId="7B46974E" w14:textId="77777777" w:rsidR="00075BFC" w:rsidRPr="00F165FC" w:rsidRDefault="00075BFC" w:rsidP="00075BFC">
      <w:pPr>
        <w:numPr>
          <w:ilvl w:val="0"/>
          <w:numId w:val="3"/>
        </w:numPr>
        <w:spacing w:after="200" w:line="276" w:lineRule="auto"/>
        <w:contextualSpacing/>
      </w:pPr>
      <w:r w:rsidRPr="00F165FC">
        <w:t>manija;</w:t>
      </w:r>
    </w:p>
    <w:p w14:paraId="5E279594" w14:textId="77777777" w:rsidR="00075BFC" w:rsidRPr="00F165FC" w:rsidRDefault="00075BFC" w:rsidP="00075BFC">
      <w:pPr>
        <w:numPr>
          <w:ilvl w:val="0"/>
          <w:numId w:val="3"/>
        </w:numPr>
        <w:spacing w:after="200" w:line="276" w:lineRule="auto"/>
        <w:contextualSpacing/>
      </w:pPr>
      <w:r w:rsidRPr="00F165FC">
        <w:t>haliucinacijos, pyktis, susijaudinimas (</w:t>
      </w:r>
      <w:proofErr w:type="spellStart"/>
      <w:r w:rsidRPr="00F165FC">
        <w:t>ažitacija</w:t>
      </w:r>
      <w:proofErr w:type="spellEnd"/>
      <w:r w:rsidRPr="00F165FC">
        <w:t>)</w:t>
      </w:r>
      <w:r>
        <w:t>, priklausomybė nuo vaisto</w:t>
      </w:r>
      <w:r w:rsidRPr="00F165FC">
        <w:t>;</w:t>
      </w:r>
    </w:p>
    <w:p w14:paraId="2FA22D8D" w14:textId="77777777" w:rsidR="00075BFC" w:rsidRPr="00F165FC" w:rsidRDefault="00075BFC" w:rsidP="00075BFC">
      <w:pPr>
        <w:numPr>
          <w:ilvl w:val="0"/>
          <w:numId w:val="3"/>
        </w:numPr>
        <w:spacing w:after="200" w:line="276" w:lineRule="auto"/>
        <w:contextualSpacing/>
      </w:pPr>
      <w:r w:rsidRPr="00F165FC">
        <w:t>atminties netekimas (amnezija);</w:t>
      </w:r>
    </w:p>
    <w:p w14:paraId="7BBA4B71" w14:textId="77777777" w:rsidR="00075BFC" w:rsidRPr="00F165FC" w:rsidRDefault="00075BFC" w:rsidP="00075BFC">
      <w:pPr>
        <w:numPr>
          <w:ilvl w:val="0"/>
          <w:numId w:val="3"/>
        </w:numPr>
        <w:spacing w:after="200" w:line="276" w:lineRule="auto"/>
        <w:contextualSpacing/>
      </w:pPr>
      <w:r w:rsidRPr="00F165FC">
        <w:t>raumenų silpnumas;</w:t>
      </w:r>
    </w:p>
    <w:p w14:paraId="34ED2A5C" w14:textId="77777777" w:rsidR="00075BFC" w:rsidRPr="00F165FC" w:rsidRDefault="00075BFC" w:rsidP="00075BFC">
      <w:pPr>
        <w:numPr>
          <w:ilvl w:val="0"/>
          <w:numId w:val="3"/>
        </w:numPr>
        <w:spacing w:after="200" w:line="276" w:lineRule="auto"/>
        <w:contextualSpacing/>
      </w:pPr>
      <w:r w:rsidRPr="00F165FC">
        <w:t>šlapimo nelaikymas;</w:t>
      </w:r>
    </w:p>
    <w:p w14:paraId="097ECC17" w14:textId="77777777" w:rsidR="00075BFC" w:rsidRPr="00F165FC" w:rsidRDefault="00075BFC" w:rsidP="00075BFC">
      <w:pPr>
        <w:numPr>
          <w:ilvl w:val="0"/>
          <w:numId w:val="3"/>
        </w:numPr>
        <w:spacing w:after="200" w:line="276" w:lineRule="auto"/>
        <w:contextualSpacing/>
      </w:pPr>
      <w:r w:rsidRPr="00F165FC">
        <w:t>nereguliarios mėnesinės.</w:t>
      </w:r>
    </w:p>
    <w:p w14:paraId="60683877" w14:textId="77777777" w:rsidR="00075BFC" w:rsidRPr="00F165FC" w:rsidRDefault="00075BFC" w:rsidP="00075BFC">
      <w:pPr>
        <w:rPr>
          <w:szCs w:val="22"/>
        </w:rPr>
      </w:pPr>
    </w:p>
    <w:p w14:paraId="194B0A38" w14:textId="77777777" w:rsidR="00075BFC" w:rsidRPr="00F165FC" w:rsidRDefault="00075BFC" w:rsidP="00075BFC">
      <w:pPr>
        <w:rPr>
          <w:i/>
          <w:noProof/>
          <w:szCs w:val="22"/>
        </w:rPr>
      </w:pPr>
      <w:bookmarkStart w:id="7" w:name="_Hlk89113289"/>
      <w:r w:rsidRPr="005D554B">
        <w:rPr>
          <w:b/>
          <w:bCs/>
          <w:noProof/>
          <w:snapToGrid w:val="0"/>
          <w:szCs w:val="22"/>
        </w:rPr>
        <w:t>Šalutinio poveikio reiškiniai, kurių dažnis nežinomas (negali būti apskaičiuotas pagal turimus duomenis):</w:t>
      </w:r>
      <w:bookmarkEnd w:id="7"/>
    </w:p>
    <w:p w14:paraId="6ED3C9C7" w14:textId="77777777" w:rsidR="00075BFC" w:rsidRPr="00F165FC" w:rsidRDefault="00075BFC" w:rsidP="00075BFC">
      <w:pPr>
        <w:numPr>
          <w:ilvl w:val="0"/>
          <w:numId w:val="4"/>
        </w:numPr>
        <w:spacing w:after="200" w:line="276" w:lineRule="auto"/>
        <w:contextualSpacing/>
      </w:pPr>
      <w:r w:rsidRPr="00F165FC">
        <w:t>padidėjusi prolaktino koncentracija kraujyje;</w:t>
      </w:r>
    </w:p>
    <w:p w14:paraId="4DF0C36A" w14:textId="77777777" w:rsidR="00075BFC" w:rsidRPr="00F165FC" w:rsidRDefault="00075BFC" w:rsidP="00075BFC">
      <w:pPr>
        <w:numPr>
          <w:ilvl w:val="0"/>
          <w:numId w:val="4"/>
        </w:numPr>
        <w:spacing w:after="200" w:line="276" w:lineRule="auto"/>
        <w:contextualSpacing/>
      </w:pPr>
      <w:r w:rsidRPr="00F165FC">
        <w:t xml:space="preserve">lengva manija, agresyvumas, priešiškumas, mąstymo sutrikimai, </w:t>
      </w:r>
      <w:proofErr w:type="spellStart"/>
      <w:r w:rsidRPr="00F165FC">
        <w:t>nenustygstamumas</w:t>
      </w:r>
      <w:proofErr w:type="spellEnd"/>
      <w:r>
        <w:t>, piktnaudžiavimas vaistu</w:t>
      </w:r>
      <w:r w:rsidRPr="00F165FC">
        <w:t>;</w:t>
      </w:r>
    </w:p>
    <w:p w14:paraId="2885978B" w14:textId="77777777" w:rsidR="00075BFC" w:rsidRPr="00F165FC" w:rsidRDefault="00075BFC" w:rsidP="00075BFC">
      <w:pPr>
        <w:numPr>
          <w:ilvl w:val="0"/>
          <w:numId w:val="4"/>
        </w:numPr>
        <w:spacing w:after="200" w:line="276" w:lineRule="auto"/>
        <w:contextualSpacing/>
      </w:pPr>
      <w:r w:rsidRPr="00F165FC">
        <w:t>autonominės nervų sistemos pusiausvyros sutrikimas, raumenų tonuso sutrikimai;</w:t>
      </w:r>
    </w:p>
    <w:p w14:paraId="281387C3" w14:textId="77777777" w:rsidR="00075BFC" w:rsidRPr="00F165FC" w:rsidRDefault="00075BFC" w:rsidP="00075BFC">
      <w:pPr>
        <w:numPr>
          <w:ilvl w:val="0"/>
          <w:numId w:val="4"/>
        </w:numPr>
        <w:spacing w:after="200" w:line="276" w:lineRule="auto"/>
        <w:contextualSpacing/>
      </w:pPr>
      <w:r w:rsidRPr="00F165FC">
        <w:rPr>
          <w:lang w:eastAsia="en-US"/>
        </w:rPr>
        <w:t>virškinimo trakto sutrikimai;</w:t>
      </w:r>
    </w:p>
    <w:p w14:paraId="104C1CA2" w14:textId="77777777" w:rsidR="00075BFC" w:rsidRPr="00F165FC" w:rsidRDefault="00075BFC" w:rsidP="00075BFC">
      <w:pPr>
        <w:numPr>
          <w:ilvl w:val="0"/>
          <w:numId w:val="4"/>
        </w:numPr>
        <w:spacing w:after="200" w:line="276" w:lineRule="auto"/>
        <w:contextualSpacing/>
      </w:pPr>
      <w:r w:rsidRPr="00F165FC">
        <w:t>kepenų uždegimas (hepatitas), kepenų veiklos sutrikimai, gelta;</w:t>
      </w:r>
    </w:p>
    <w:p w14:paraId="52F32FB1" w14:textId="77777777" w:rsidR="00075BFC" w:rsidRPr="00F165FC" w:rsidRDefault="00075BFC" w:rsidP="00075BFC">
      <w:pPr>
        <w:numPr>
          <w:ilvl w:val="0"/>
          <w:numId w:val="4"/>
        </w:numPr>
        <w:spacing w:after="200" w:line="276" w:lineRule="auto"/>
        <w:contextualSpacing/>
      </w:pPr>
      <w:r w:rsidRPr="00F165FC">
        <w:t>alerginis pabrinkimas (staigus veido, lūpų, liežuvio ir gerklės patinimas), padidėjusio jautrumo šviesai reakcija;</w:t>
      </w:r>
    </w:p>
    <w:p w14:paraId="56798605" w14:textId="77777777" w:rsidR="00075BFC" w:rsidRPr="00F165FC" w:rsidRDefault="00075BFC" w:rsidP="00075BFC">
      <w:pPr>
        <w:numPr>
          <w:ilvl w:val="0"/>
          <w:numId w:val="4"/>
        </w:numPr>
        <w:spacing w:after="200" w:line="276" w:lineRule="auto"/>
        <w:contextualSpacing/>
      </w:pPr>
      <w:r w:rsidRPr="00F165FC">
        <w:t>periferiniai pabrinkimai;</w:t>
      </w:r>
    </w:p>
    <w:p w14:paraId="0F175D2A" w14:textId="77777777" w:rsidR="00075BFC" w:rsidRDefault="00075BFC" w:rsidP="00075BFC">
      <w:pPr>
        <w:numPr>
          <w:ilvl w:val="0"/>
          <w:numId w:val="4"/>
        </w:numPr>
        <w:spacing w:after="200" w:line="276" w:lineRule="auto"/>
        <w:contextualSpacing/>
      </w:pPr>
      <w:r w:rsidRPr="00F165FC">
        <w:t>šlapimo susilaikymas;</w:t>
      </w:r>
    </w:p>
    <w:p w14:paraId="0E5DC497" w14:textId="77777777" w:rsidR="00075BFC" w:rsidRPr="00F165FC" w:rsidRDefault="00075BFC" w:rsidP="00075BFC">
      <w:pPr>
        <w:numPr>
          <w:ilvl w:val="0"/>
          <w:numId w:val="4"/>
        </w:numPr>
        <w:spacing w:after="200" w:line="276" w:lineRule="auto"/>
        <w:contextualSpacing/>
      </w:pPr>
      <w:r>
        <w:t>vaistų vartojimo nutraukimo sindromas;</w:t>
      </w:r>
    </w:p>
    <w:p w14:paraId="3E4B8E67" w14:textId="77777777" w:rsidR="00075BFC" w:rsidRPr="00F165FC" w:rsidRDefault="00075BFC" w:rsidP="00075BFC">
      <w:pPr>
        <w:numPr>
          <w:ilvl w:val="0"/>
          <w:numId w:val="4"/>
        </w:numPr>
        <w:spacing w:after="200" w:line="276" w:lineRule="auto"/>
        <w:contextualSpacing/>
      </w:pPr>
      <w:r w:rsidRPr="00F165FC">
        <w:t>akies vidaus spaudimo padidėjimas.</w:t>
      </w:r>
    </w:p>
    <w:p w14:paraId="73A2CC13" w14:textId="77777777" w:rsidR="00075BFC" w:rsidRPr="00F165FC" w:rsidRDefault="00075BFC" w:rsidP="00075BFC">
      <w:pPr>
        <w:rPr>
          <w:iCs/>
          <w:szCs w:val="22"/>
          <w:lang w:val="x-none" w:eastAsia="x-none"/>
        </w:rPr>
      </w:pPr>
    </w:p>
    <w:p w14:paraId="477BD9C1" w14:textId="77777777" w:rsidR="00075BFC" w:rsidRPr="00F165FC" w:rsidRDefault="00075BFC" w:rsidP="00075BFC">
      <w:pPr>
        <w:rPr>
          <w:iCs/>
          <w:szCs w:val="22"/>
          <w:lang w:val="x-none" w:eastAsia="x-none"/>
        </w:rPr>
      </w:pPr>
      <w:r w:rsidRPr="00F165FC">
        <w:rPr>
          <w:iCs/>
          <w:szCs w:val="22"/>
          <w:lang w:val="x-none" w:eastAsia="x-none"/>
        </w:rPr>
        <w:t>Vartojant XANAX, gali pasireikšti psichinė ir fizinė priklausomybė bei piktnaudžiavimas. Nutraukus XANAX vartojimą, gali atsirasti nutraukimo simptomų (žr. skyrių „Įspėjimai ir atsargumo priemonės“).</w:t>
      </w:r>
    </w:p>
    <w:p w14:paraId="755DADD5" w14:textId="77777777" w:rsidR="00075BFC" w:rsidRPr="00F165FC" w:rsidRDefault="00075BFC" w:rsidP="00075BFC">
      <w:pPr>
        <w:rPr>
          <w:iCs/>
          <w:szCs w:val="22"/>
          <w:lang w:val="x-none" w:eastAsia="x-none"/>
        </w:rPr>
      </w:pPr>
    </w:p>
    <w:p w14:paraId="25E2B3B9" w14:textId="77777777" w:rsidR="00075BFC" w:rsidRPr="00F165FC" w:rsidRDefault="00075BFC" w:rsidP="00075BFC">
      <w:pPr>
        <w:rPr>
          <w:noProof/>
          <w:szCs w:val="22"/>
        </w:rPr>
      </w:pPr>
      <w:r w:rsidRPr="00F165FC">
        <w:rPr>
          <w:b/>
          <w:noProof/>
          <w:szCs w:val="22"/>
        </w:rPr>
        <w:t>Pranešimas apie šalutinį poveikį</w:t>
      </w:r>
    </w:p>
    <w:p w14:paraId="0515970E" w14:textId="77777777" w:rsidR="00075BFC" w:rsidRPr="005D554B" w:rsidRDefault="00075BFC" w:rsidP="00075BFC">
      <w:pPr>
        <w:tabs>
          <w:tab w:val="left" w:pos="567"/>
        </w:tabs>
        <w:spacing w:line="260" w:lineRule="exact"/>
        <w:ind w:right="-1"/>
        <w:rPr>
          <w:snapToGrid w:val="0"/>
        </w:rPr>
      </w:pPr>
      <w:bookmarkStart w:id="8" w:name="_Hlk89113391"/>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w:t>
      </w:r>
      <w:r w:rsidRPr="005D554B">
        <w:rPr>
          <w:snapToGrid w:val="0"/>
        </w:rPr>
        <w:t>Pranešdami apie šalutinį poveikį galite mums padėti gauti daugiau informacijos apie šio vaisto saugumą.</w:t>
      </w:r>
    </w:p>
    <w:bookmarkEnd w:id="8"/>
    <w:p w14:paraId="28509535" w14:textId="77777777" w:rsidR="00075BFC" w:rsidRPr="00F165FC" w:rsidRDefault="00075BFC" w:rsidP="00075BFC">
      <w:pPr>
        <w:tabs>
          <w:tab w:val="left" w:pos="567"/>
        </w:tabs>
        <w:spacing w:line="260" w:lineRule="exact"/>
        <w:ind w:right="-449"/>
        <w:rPr>
          <w:noProof/>
          <w:szCs w:val="22"/>
        </w:rPr>
      </w:pPr>
      <w:r w:rsidRPr="00F165FC">
        <w:rPr>
          <w:noProof/>
          <w:szCs w:val="22"/>
        </w:rPr>
        <w:t xml:space="preserve"> </w:t>
      </w:r>
    </w:p>
    <w:p w14:paraId="3678D0AC" w14:textId="77777777" w:rsidR="00075BFC" w:rsidRPr="00F165FC" w:rsidRDefault="00075BFC" w:rsidP="00075BFC">
      <w:pPr>
        <w:rPr>
          <w:iCs/>
          <w:szCs w:val="22"/>
          <w:lang w:val="x-none" w:eastAsia="x-none"/>
        </w:rPr>
      </w:pPr>
    </w:p>
    <w:p w14:paraId="53EA15B9" w14:textId="77777777" w:rsidR="00075BFC" w:rsidRPr="00F165FC" w:rsidRDefault="00075BFC" w:rsidP="00075BFC">
      <w:pPr>
        <w:keepNext/>
        <w:tabs>
          <w:tab w:val="left" w:pos="567"/>
        </w:tabs>
        <w:outlineLvl w:val="1"/>
        <w:rPr>
          <w:b/>
          <w:bCs/>
          <w:iCs/>
          <w:szCs w:val="22"/>
          <w:lang w:val="x-none" w:eastAsia="x-none"/>
        </w:rPr>
      </w:pPr>
      <w:bookmarkStart w:id="9" w:name="_Toc129243143"/>
      <w:bookmarkStart w:id="10" w:name="_Toc129243268"/>
      <w:r w:rsidRPr="00F165FC">
        <w:rPr>
          <w:b/>
          <w:bCs/>
          <w:iCs/>
          <w:szCs w:val="22"/>
          <w:lang w:val="x-none" w:eastAsia="x-none"/>
        </w:rPr>
        <w:t>5.</w:t>
      </w:r>
      <w:r w:rsidRPr="00F165FC">
        <w:rPr>
          <w:b/>
          <w:bCs/>
          <w:iCs/>
          <w:szCs w:val="22"/>
          <w:lang w:val="x-none" w:eastAsia="x-none"/>
        </w:rPr>
        <w:tab/>
        <w:t>Kaip laikyti XANAX</w:t>
      </w:r>
    </w:p>
    <w:bookmarkEnd w:id="9"/>
    <w:bookmarkEnd w:id="10"/>
    <w:p w14:paraId="56503FBC" w14:textId="77777777" w:rsidR="00075BFC" w:rsidRPr="00F165FC" w:rsidRDefault="00075BFC" w:rsidP="00075BFC">
      <w:pPr>
        <w:rPr>
          <w:iCs/>
          <w:szCs w:val="22"/>
          <w:lang w:val="x-none" w:eastAsia="x-none"/>
        </w:rPr>
      </w:pPr>
    </w:p>
    <w:p w14:paraId="5FA9EDDB" w14:textId="77777777" w:rsidR="00075BFC" w:rsidRPr="00F165FC" w:rsidRDefault="00075BFC" w:rsidP="00075BFC">
      <w:pPr>
        <w:numPr>
          <w:ilvl w:val="12"/>
          <w:numId w:val="0"/>
        </w:numPr>
        <w:ind w:right="-2"/>
        <w:rPr>
          <w:rFonts w:eastAsia="SimSun"/>
          <w:szCs w:val="22"/>
          <w:lang w:eastAsia="zh-CN"/>
        </w:rPr>
      </w:pPr>
      <w:r w:rsidRPr="00F165FC">
        <w:rPr>
          <w:rFonts w:eastAsia="SimSun"/>
          <w:szCs w:val="22"/>
          <w:lang w:eastAsia="zh-CN"/>
        </w:rPr>
        <w:t>Šį vaistą laikykite vaikams nepastebimoje ir nepasiekiamoje vietoje.</w:t>
      </w:r>
    </w:p>
    <w:p w14:paraId="1516CD3E" w14:textId="77777777" w:rsidR="00075BFC" w:rsidRPr="00F165FC" w:rsidRDefault="00075BFC" w:rsidP="00075BFC">
      <w:pPr>
        <w:rPr>
          <w:iCs/>
          <w:szCs w:val="22"/>
          <w:lang w:val="x-none" w:eastAsia="x-none"/>
        </w:rPr>
      </w:pPr>
    </w:p>
    <w:p w14:paraId="26CC7F78" w14:textId="77777777" w:rsidR="00075BFC" w:rsidRPr="00F165FC" w:rsidRDefault="00075BFC" w:rsidP="00075BFC">
      <w:pPr>
        <w:rPr>
          <w:iCs/>
          <w:szCs w:val="22"/>
          <w:lang w:val="x-none" w:eastAsia="x-none"/>
        </w:rPr>
      </w:pPr>
      <w:r w:rsidRPr="00F165FC">
        <w:rPr>
          <w:iCs/>
          <w:szCs w:val="22"/>
          <w:lang w:val="x-none" w:eastAsia="x-none"/>
        </w:rPr>
        <w:t>Laikyti ne aukštesnėje kaip 25 </w:t>
      </w:r>
      <w:r w:rsidRPr="00F165FC">
        <w:rPr>
          <w:iCs/>
          <w:szCs w:val="22"/>
          <w:lang w:val="x-none" w:eastAsia="x-none"/>
        </w:rPr>
        <w:sym w:font="Symbol" w:char="F0B0"/>
      </w:r>
      <w:r w:rsidRPr="00F165FC">
        <w:rPr>
          <w:iCs/>
          <w:szCs w:val="22"/>
          <w:lang w:val="x-none" w:eastAsia="x-none"/>
        </w:rPr>
        <w:t>C temperatūroje.</w:t>
      </w:r>
    </w:p>
    <w:p w14:paraId="0E42DE10" w14:textId="77777777" w:rsidR="00075BFC" w:rsidRPr="00F165FC" w:rsidRDefault="00075BFC" w:rsidP="00075BFC">
      <w:pPr>
        <w:rPr>
          <w:iCs/>
          <w:szCs w:val="22"/>
          <w:lang w:val="x-none" w:eastAsia="x-none"/>
        </w:rPr>
      </w:pPr>
      <w:r w:rsidRPr="00F165FC">
        <w:rPr>
          <w:iCs/>
          <w:szCs w:val="22"/>
          <w:lang w:val="x-none" w:eastAsia="x-none"/>
        </w:rPr>
        <w:t xml:space="preserve">Lizdines plokšteles laikyti kartono dėžutėje, kad </w:t>
      </w:r>
      <w:r w:rsidRPr="00F165FC">
        <w:rPr>
          <w:iCs/>
          <w:szCs w:val="22"/>
          <w:lang w:eastAsia="x-none"/>
        </w:rPr>
        <w:t>vaistas</w:t>
      </w:r>
      <w:r w:rsidRPr="00F165FC">
        <w:rPr>
          <w:iCs/>
          <w:szCs w:val="22"/>
          <w:lang w:val="x-none" w:eastAsia="x-none"/>
        </w:rPr>
        <w:t xml:space="preserve"> būtų apsaugotas nuo šviesos.</w:t>
      </w:r>
    </w:p>
    <w:p w14:paraId="364DB985" w14:textId="77777777" w:rsidR="00075BFC" w:rsidRPr="00F165FC" w:rsidRDefault="00075BFC" w:rsidP="00075BFC">
      <w:pPr>
        <w:rPr>
          <w:iCs/>
          <w:szCs w:val="22"/>
          <w:lang w:val="x-none" w:eastAsia="x-none"/>
        </w:rPr>
      </w:pPr>
    </w:p>
    <w:p w14:paraId="5ED2F583" w14:textId="77777777" w:rsidR="00075BFC" w:rsidRPr="00F165FC" w:rsidRDefault="00075BFC" w:rsidP="00075BFC">
      <w:pPr>
        <w:rPr>
          <w:iCs/>
          <w:szCs w:val="22"/>
          <w:lang w:val="x-none" w:eastAsia="x-none"/>
        </w:rPr>
      </w:pPr>
      <w:r w:rsidRPr="00F165FC">
        <w:rPr>
          <w:iCs/>
          <w:szCs w:val="22"/>
          <w:lang w:val="x-none" w:eastAsia="x-none"/>
        </w:rPr>
        <w:t>Ant dėžutės ir lizdinės plokštelės po „Tinka iki“ nurodytam tinkamumo laikui pasibaigus, šio vaisto vartoti negalima. Vaistas tinka vartoti iki paskutinės nurodyto mėnesio dienos.</w:t>
      </w:r>
    </w:p>
    <w:p w14:paraId="5E218665" w14:textId="77777777" w:rsidR="00075BFC" w:rsidRPr="00F165FC" w:rsidRDefault="00075BFC" w:rsidP="00075BFC">
      <w:pPr>
        <w:rPr>
          <w:iCs/>
          <w:szCs w:val="22"/>
          <w:lang w:val="x-none" w:eastAsia="x-none"/>
        </w:rPr>
      </w:pPr>
    </w:p>
    <w:p w14:paraId="472DA86F" w14:textId="77777777" w:rsidR="00075BFC" w:rsidRPr="00F165FC" w:rsidRDefault="00075BFC" w:rsidP="00075BFC">
      <w:pPr>
        <w:rPr>
          <w:iCs/>
          <w:szCs w:val="22"/>
          <w:lang w:val="x-none" w:eastAsia="x-none"/>
        </w:rPr>
      </w:pPr>
      <w:r w:rsidRPr="00F165FC">
        <w:rPr>
          <w:iCs/>
          <w:szCs w:val="22"/>
          <w:lang w:val="x-none" w:eastAsia="x-none"/>
        </w:rPr>
        <w:t>Vaistų negalima išmesti į kanalizaciją arba su buitinėmis atliekomis. Kaip išmesti nereikalingus vaistus, klauskite vaistininko. Šios priemonės padės apsaugoti aplinką.</w:t>
      </w:r>
    </w:p>
    <w:p w14:paraId="3DA378B3" w14:textId="77777777" w:rsidR="00075BFC" w:rsidRPr="00F165FC" w:rsidRDefault="00075BFC" w:rsidP="00075BFC">
      <w:pPr>
        <w:rPr>
          <w:iCs/>
          <w:szCs w:val="22"/>
          <w:lang w:val="x-none" w:eastAsia="x-none"/>
        </w:rPr>
      </w:pPr>
    </w:p>
    <w:p w14:paraId="435A44B7" w14:textId="77777777" w:rsidR="00075BFC" w:rsidRPr="00F165FC" w:rsidRDefault="00075BFC" w:rsidP="00075BFC">
      <w:pPr>
        <w:rPr>
          <w:iCs/>
          <w:szCs w:val="22"/>
          <w:lang w:val="x-none" w:eastAsia="x-none"/>
        </w:rPr>
      </w:pPr>
    </w:p>
    <w:p w14:paraId="790B0A93" w14:textId="77777777" w:rsidR="00075BFC" w:rsidRPr="00F165FC" w:rsidRDefault="00075BFC" w:rsidP="00075BFC">
      <w:pPr>
        <w:keepNext/>
        <w:ind w:left="540" w:hanging="540"/>
        <w:outlineLvl w:val="1"/>
        <w:rPr>
          <w:b/>
          <w:bCs/>
          <w:iCs/>
          <w:szCs w:val="22"/>
          <w:lang w:val="x-none" w:eastAsia="en-US"/>
        </w:rPr>
      </w:pPr>
      <w:bookmarkStart w:id="11" w:name="_Toc129243144"/>
      <w:bookmarkStart w:id="12" w:name="_Toc129243269"/>
      <w:r w:rsidRPr="00F165FC">
        <w:rPr>
          <w:b/>
          <w:bCs/>
          <w:iCs/>
          <w:szCs w:val="22"/>
          <w:lang w:val="x-none" w:eastAsia="en-US"/>
        </w:rPr>
        <w:t>6.</w:t>
      </w:r>
      <w:r w:rsidRPr="00F165FC">
        <w:rPr>
          <w:b/>
          <w:bCs/>
          <w:iCs/>
          <w:szCs w:val="22"/>
          <w:lang w:val="x-none" w:eastAsia="en-US"/>
        </w:rPr>
        <w:tab/>
        <w:t>Pakuotės turinys ir kita informacija</w:t>
      </w:r>
    </w:p>
    <w:p w14:paraId="37A1B166" w14:textId="77777777" w:rsidR="00075BFC" w:rsidRPr="00F165FC" w:rsidRDefault="00075BFC" w:rsidP="00075BFC">
      <w:pPr>
        <w:rPr>
          <w:iCs/>
          <w:szCs w:val="22"/>
          <w:lang w:val="x-none" w:eastAsia="x-none"/>
        </w:rPr>
      </w:pPr>
    </w:p>
    <w:p w14:paraId="511F639B" w14:textId="77777777" w:rsidR="00075BFC" w:rsidRPr="00F165FC" w:rsidRDefault="00075BFC" w:rsidP="00075BFC">
      <w:pPr>
        <w:spacing w:line="220" w:lineRule="exact"/>
        <w:rPr>
          <w:b/>
          <w:bCs/>
          <w:szCs w:val="22"/>
          <w:lang w:eastAsia="en-US"/>
        </w:rPr>
      </w:pPr>
      <w:r w:rsidRPr="00F165FC">
        <w:rPr>
          <w:b/>
          <w:bCs/>
          <w:szCs w:val="22"/>
          <w:lang w:eastAsia="en-US"/>
        </w:rPr>
        <w:t>XANAX sudėtis</w:t>
      </w:r>
    </w:p>
    <w:p w14:paraId="3C3D0B13" w14:textId="77777777" w:rsidR="00075BFC" w:rsidRPr="00F165FC" w:rsidRDefault="00075BFC" w:rsidP="00075BFC">
      <w:pPr>
        <w:tabs>
          <w:tab w:val="num" w:pos="567"/>
          <w:tab w:val="num" w:pos="720"/>
        </w:tabs>
        <w:ind w:left="567" w:hanging="567"/>
        <w:rPr>
          <w:noProof/>
          <w:szCs w:val="22"/>
          <w:lang w:val="x-none" w:eastAsia="x-none"/>
        </w:rPr>
      </w:pPr>
      <w:r w:rsidRPr="00F165FC">
        <w:rPr>
          <w:noProof/>
          <w:szCs w:val="22"/>
          <w:lang w:val="x-none" w:eastAsia="x-none"/>
        </w:rPr>
        <w:t>Veiklioji medžiaga yra alprazolamas.</w:t>
      </w:r>
    </w:p>
    <w:p w14:paraId="0CDEA29C" w14:textId="77777777" w:rsidR="00075BFC" w:rsidRPr="00D266E5" w:rsidRDefault="00075BFC" w:rsidP="00075BFC">
      <w:pPr>
        <w:rPr>
          <w:szCs w:val="22"/>
        </w:rPr>
      </w:pPr>
      <w:r w:rsidRPr="00D266E5">
        <w:rPr>
          <w:szCs w:val="22"/>
        </w:rPr>
        <w:t xml:space="preserve">Kiekvienoje XANAX 0,25 mg tabletėje yra 0,25 mg </w:t>
      </w:r>
      <w:proofErr w:type="spellStart"/>
      <w:r w:rsidRPr="00D266E5">
        <w:rPr>
          <w:szCs w:val="22"/>
        </w:rPr>
        <w:t>alprazolamo</w:t>
      </w:r>
      <w:proofErr w:type="spellEnd"/>
      <w:r w:rsidRPr="00D266E5">
        <w:rPr>
          <w:szCs w:val="22"/>
        </w:rPr>
        <w:t xml:space="preserve">. Kiekvienoje XANAX 0,5 mg tabletėje yra 0,5 mg </w:t>
      </w:r>
      <w:proofErr w:type="spellStart"/>
      <w:r w:rsidRPr="00D266E5">
        <w:rPr>
          <w:szCs w:val="22"/>
        </w:rPr>
        <w:t>alprazolamo</w:t>
      </w:r>
      <w:proofErr w:type="spellEnd"/>
      <w:r w:rsidRPr="00D266E5">
        <w:rPr>
          <w:szCs w:val="22"/>
        </w:rPr>
        <w:t xml:space="preserve">. Kiekvienoje XANAX 1 mg tabletėje yra 1 mg </w:t>
      </w:r>
      <w:proofErr w:type="spellStart"/>
      <w:r w:rsidRPr="00D266E5">
        <w:rPr>
          <w:szCs w:val="22"/>
        </w:rPr>
        <w:t>alprazolamo</w:t>
      </w:r>
      <w:proofErr w:type="spellEnd"/>
      <w:r w:rsidRPr="00D266E5">
        <w:rPr>
          <w:szCs w:val="22"/>
        </w:rPr>
        <w:t>.</w:t>
      </w:r>
    </w:p>
    <w:p w14:paraId="5410F1D1" w14:textId="77777777" w:rsidR="00075BFC" w:rsidRDefault="00075BFC" w:rsidP="00075BFC">
      <w:pPr>
        <w:rPr>
          <w:szCs w:val="22"/>
        </w:rPr>
      </w:pPr>
      <w:r w:rsidRPr="00D266E5">
        <w:rPr>
          <w:szCs w:val="22"/>
        </w:rPr>
        <w:t xml:space="preserve">Pagalbinės medžiagos yra laktozė </w:t>
      </w:r>
      <w:proofErr w:type="spellStart"/>
      <w:r w:rsidRPr="00D266E5">
        <w:rPr>
          <w:szCs w:val="22"/>
        </w:rPr>
        <w:t>monohidratas</w:t>
      </w:r>
      <w:proofErr w:type="spellEnd"/>
      <w:r w:rsidRPr="00D266E5">
        <w:rPr>
          <w:szCs w:val="22"/>
        </w:rPr>
        <w:t xml:space="preserve">, </w:t>
      </w:r>
      <w:proofErr w:type="spellStart"/>
      <w:r w:rsidRPr="00D266E5">
        <w:rPr>
          <w:szCs w:val="22"/>
        </w:rPr>
        <w:t>mikrokristalinė</w:t>
      </w:r>
      <w:proofErr w:type="spellEnd"/>
      <w:r w:rsidRPr="00D266E5">
        <w:rPr>
          <w:szCs w:val="22"/>
        </w:rPr>
        <w:t xml:space="preserve"> celiuliozė, </w:t>
      </w:r>
      <w:proofErr w:type="spellStart"/>
      <w:r w:rsidRPr="00D266E5">
        <w:rPr>
          <w:szCs w:val="22"/>
        </w:rPr>
        <w:t>dokuzato</w:t>
      </w:r>
      <w:proofErr w:type="spellEnd"/>
      <w:r w:rsidRPr="00D266E5">
        <w:rPr>
          <w:szCs w:val="22"/>
        </w:rPr>
        <w:t xml:space="preserve"> natrio druska, natrio </w:t>
      </w:r>
      <w:proofErr w:type="spellStart"/>
      <w:r w:rsidRPr="00D266E5">
        <w:rPr>
          <w:szCs w:val="22"/>
        </w:rPr>
        <w:t>benzoatas</w:t>
      </w:r>
      <w:proofErr w:type="spellEnd"/>
      <w:r w:rsidRPr="00D266E5">
        <w:rPr>
          <w:szCs w:val="22"/>
        </w:rPr>
        <w:t xml:space="preserve"> (E211), koloidinis bevandenis silicio dioksidas, magnio </w:t>
      </w:r>
      <w:proofErr w:type="spellStart"/>
      <w:r w:rsidRPr="00D266E5">
        <w:rPr>
          <w:szCs w:val="22"/>
        </w:rPr>
        <w:t>stearatas</w:t>
      </w:r>
      <w:proofErr w:type="spellEnd"/>
      <w:r w:rsidRPr="00D266E5">
        <w:rPr>
          <w:szCs w:val="22"/>
        </w:rPr>
        <w:t xml:space="preserve">, kukurūzų krakmolas; </w:t>
      </w:r>
      <w:proofErr w:type="spellStart"/>
      <w:r w:rsidRPr="00D266E5">
        <w:rPr>
          <w:szCs w:val="22"/>
        </w:rPr>
        <w:t>eritrozinas</w:t>
      </w:r>
      <w:proofErr w:type="spellEnd"/>
      <w:r w:rsidRPr="00D266E5">
        <w:rPr>
          <w:szCs w:val="22"/>
        </w:rPr>
        <w:t xml:space="preserve"> (E127) – tik XANAX 0,5 mg ir XANAX 1 mg; </w:t>
      </w:r>
      <w:proofErr w:type="spellStart"/>
      <w:r w:rsidRPr="00D266E5">
        <w:rPr>
          <w:szCs w:val="22"/>
        </w:rPr>
        <w:t>indigokarminas</w:t>
      </w:r>
      <w:proofErr w:type="spellEnd"/>
      <w:r w:rsidRPr="00D266E5">
        <w:rPr>
          <w:szCs w:val="22"/>
        </w:rPr>
        <w:t xml:space="preserve"> (E132) – tik XANAX 0,5 mg.</w:t>
      </w:r>
    </w:p>
    <w:p w14:paraId="2919D324" w14:textId="77777777" w:rsidR="00075BFC" w:rsidRPr="00F165FC" w:rsidRDefault="00075BFC" w:rsidP="00075BFC">
      <w:pPr>
        <w:rPr>
          <w:iCs/>
          <w:szCs w:val="22"/>
          <w:lang w:val="x-none" w:eastAsia="x-none"/>
        </w:rPr>
      </w:pPr>
    </w:p>
    <w:bookmarkEnd w:id="11"/>
    <w:bookmarkEnd w:id="12"/>
    <w:p w14:paraId="5EC5DB5A" w14:textId="77777777" w:rsidR="00075BFC" w:rsidRPr="00F165FC" w:rsidRDefault="00075BFC" w:rsidP="00075BFC">
      <w:pPr>
        <w:spacing w:line="220" w:lineRule="exact"/>
        <w:rPr>
          <w:b/>
          <w:bCs/>
          <w:szCs w:val="22"/>
          <w:lang w:eastAsia="en-US"/>
        </w:rPr>
      </w:pPr>
      <w:r w:rsidRPr="00F165FC">
        <w:rPr>
          <w:b/>
          <w:bCs/>
          <w:szCs w:val="22"/>
          <w:lang w:eastAsia="en-US"/>
        </w:rPr>
        <w:t>XANAX išvaizda ir kiekis pakuotėje</w:t>
      </w:r>
    </w:p>
    <w:p w14:paraId="677CEC47" w14:textId="77777777" w:rsidR="00075BFC" w:rsidRPr="00F165FC" w:rsidRDefault="00075BFC" w:rsidP="00075BFC">
      <w:pPr>
        <w:rPr>
          <w:iCs/>
          <w:szCs w:val="22"/>
          <w:lang w:val="x-none" w:eastAsia="x-none"/>
        </w:rPr>
      </w:pPr>
      <w:r w:rsidRPr="00F165FC">
        <w:rPr>
          <w:iCs/>
          <w:szCs w:val="22"/>
          <w:lang w:val="x-none" w:eastAsia="x-none"/>
        </w:rPr>
        <w:t xml:space="preserve">XANAX 0,25 mg </w:t>
      </w:r>
      <w:r w:rsidRPr="00F165FC">
        <w:rPr>
          <w:iCs/>
          <w:szCs w:val="22"/>
          <w:lang w:val="x-none" w:eastAsia="x-none" w:bidi="ar-SY"/>
        </w:rPr>
        <w:t>tabletės</w:t>
      </w:r>
      <w:r w:rsidRPr="00F165FC">
        <w:rPr>
          <w:iCs/>
          <w:szCs w:val="22"/>
          <w:lang w:val="x-none" w:eastAsia="x-none"/>
        </w:rPr>
        <w:t xml:space="preserve"> yra baltos, ovalios, abipus i</w:t>
      </w:r>
      <w:r w:rsidRPr="00F165FC">
        <w:rPr>
          <w:iCs/>
          <w:szCs w:val="22"/>
          <w:lang w:val="x-none" w:eastAsia="x-none" w:bidi="ar-SY"/>
        </w:rPr>
        <w:t>šgaubtos, su laužimo vagele vienoje pusėje ir užrašu „</w:t>
      </w:r>
      <w:proofErr w:type="spellStart"/>
      <w:r w:rsidRPr="00F165FC">
        <w:rPr>
          <w:iCs/>
          <w:szCs w:val="22"/>
          <w:lang w:val="x-none" w:eastAsia="x-none"/>
        </w:rPr>
        <w:t>Upjohn</w:t>
      </w:r>
      <w:proofErr w:type="spellEnd"/>
      <w:r w:rsidRPr="00F165FC">
        <w:rPr>
          <w:iCs/>
          <w:szCs w:val="22"/>
          <w:lang w:val="x-none" w:eastAsia="x-none"/>
        </w:rPr>
        <w:t xml:space="preserve"> 29“ kitoje.</w:t>
      </w:r>
    </w:p>
    <w:p w14:paraId="3E813ECD" w14:textId="77777777" w:rsidR="00075BFC" w:rsidRPr="00F165FC" w:rsidRDefault="00075BFC" w:rsidP="00075BFC">
      <w:pPr>
        <w:rPr>
          <w:iCs/>
          <w:szCs w:val="22"/>
          <w:lang w:val="x-none" w:eastAsia="x-none"/>
        </w:rPr>
      </w:pPr>
      <w:r w:rsidRPr="00F165FC">
        <w:rPr>
          <w:iCs/>
          <w:szCs w:val="22"/>
          <w:lang w:val="x-none" w:eastAsia="x-none"/>
        </w:rPr>
        <w:t>XANAX 0,5 mg tabletės yra rožinės, ovalios, abipus išgaubtos</w:t>
      </w:r>
      <w:r w:rsidRPr="00F165FC">
        <w:rPr>
          <w:iCs/>
          <w:szCs w:val="22"/>
          <w:lang w:val="x-none" w:eastAsia="x-none" w:bidi="ar-SY"/>
        </w:rPr>
        <w:t>, su laužimo vagele vienoje pusėje ir užrašu „</w:t>
      </w:r>
      <w:proofErr w:type="spellStart"/>
      <w:r w:rsidRPr="00F165FC">
        <w:rPr>
          <w:iCs/>
          <w:szCs w:val="22"/>
          <w:lang w:val="x-none" w:eastAsia="x-none"/>
        </w:rPr>
        <w:t>Upjohn</w:t>
      </w:r>
      <w:proofErr w:type="spellEnd"/>
      <w:r w:rsidRPr="00F165FC">
        <w:rPr>
          <w:iCs/>
          <w:szCs w:val="22"/>
          <w:lang w:val="x-none" w:eastAsia="x-none"/>
        </w:rPr>
        <w:t xml:space="preserve"> 55“ kitoje</w:t>
      </w:r>
      <w:r w:rsidRPr="00F165FC">
        <w:rPr>
          <w:iCs/>
          <w:szCs w:val="22"/>
          <w:lang w:val="x-none" w:eastAsia="x-none" w:bidi="ar-SY"/>
        </w:rPr>
        <w:t>.</w:t>
      </w:r>
    </w:p>
    <w:p w14:paraId="7F532499" w14:textId="77777777" w:rsidR="00075BFC" w:rsidRPr="00F165FC" w:rsidRDefault="00075BFC" w:rsidP="00075BFC">
      <w:pPr>
        <w:rPr>
          <w:iCs/>
          <w:szCs w:val="22"/>
          <w:lang w:val="x-none" w:eastAsia="x-none"/>
        </w:rPr>
      </w:pPr>
      <w:r w:rsidRPr="00F165FC">
        <w:rPr>
          <w:iCs/>
          <w:szCs w:val="22"/>
          <w:lang w:val="x-none" w:eastAsia="x-none"/>
        </w:rPr>
        <w:t>XANAX 1 mg tabletės yra violetin</w:t>
      </w:r>
      <w:r w:rsidRPr="00F165FC">
        <w:rPr>
          <w:iCs/>
          <w:szCs w:val="22"/>
          <w:lang w:val="x-none" w:eastAsia="x-none" w:bidi="ar-SY"/>
        </w:rPr>
        <w:t>ės, ovalios, abipus išgaubtos, su laužimo vagele vienoje pusėje ir užrašu „</w:t>
      </w:r>
      <w:proofErr w:type="spellStart"/>
      <w:r w:rsidRPr="00F165FC">
        <w:rPr>
          <w:iCs/>
          <w:szCs w:val="22"/>
          <w:lang w:val="x-none" w:eastAsia="x-none"/>
        </w:rPr>
        <w:t>Upjohn</w:t>
      </w:r>
      <w:proofErr w:type="spellEnd"/>
      <w:r w:rsidRPr="00F165FC">
        <w:rPr>
          <w:iCs/>
          <w:szCs w:val="22"/>
          <w:lang w:val="x-none" w:eastAsia="x-none"/>
        </w:rPr>
        <w:t xml:space="preserve"> 90“ kitoje.</w:t>
      </w:r>
    </w:p>
    <w:p w14:paraId="33AFF187" w14:textId="77777777" w:rsidR="00075BFC" w:rsidRPr="00F165FC" w:rsidRDefault="00075BFC" w:rsidP="00075BFC">
      <w:pPr>
        <w:rPr>
          <w:iCs/>
          <w:szCs w:val="22"/>
          <w:lang w:val="x-none" w:eastAsia="x-none"/>
        </w:rPr>
      </w:pPr>
      <w:r w:rsidRPr="00F165FC">
        <w:rPr>
          <w:iCs/>
          <w:szCs w:val="22"/>
          <w:lang w:val="x-none" w:eastAsia="x-none"/>
        </w:rPr>
        <w:t>Vagelė skirta tik tabletei perlaužti, kad būtų lengviau nuryti, bet ne jai padalyti į lygias dozes.</w:t>
      </w:r>
    </w:p>
    <w:p w14:paraId="7FD189E7" w14:textId="77777777" w:rsidR="00075BFC" w:rsidRPr="00F165FC" w:rsidRDefault="00075BFC" w:rsidP="00075BFC">
      <w:pPr>
        <w:rPr>
          <w:iCs/>
          <w:szCs w:val="22"/>
          <w:lang w:val="x-none" w:eastAsia="x-none"/>
        </w:rPr>
      </w:pPr>
    </w:p>
    <w:p w14:paraId="24A45629" w14:textId="77777777" w:rsidR="00075BFC" w:rsidRPr="00F165FC" w:rsidRDefault="00075BFC" w:rsidP="00075BFC">
      <w:pPr>
        <w:rPr>
          <w:iCs/>
          <w:szCs w:val="22"/>
          <w:lang w:val="x-none" w:eastAsia="x-none"/>
        </w:rPr>
      </w:pPr>
      <w:r w:rsidRPr="00F165FC">
        <w:rPr>
          <w:iCs/>
          <w:szCs w:val="22"/>
          <w:lang w:val="x-none" w:eastAsia="x-none"/>
        </w:rPr>
        <w:t>Tabletės supakuotos PVC/aliuminio lizdinėse plokštelėse po 10 tablečių. Vaistas tiekiamas kartono dėžutėse, kuriose yra 30 arba 100 tablečių.</w:t>
      </w:r>
    </w:p>
    <w:p w14:paraId="4F8A2475" w14:textId="77777777" w:rsidR="00075BFC" w:rsidRPr="00F165FC" w:rsidRDefault="00075BFC" w:rsidP="00075BFC">
      <w:pPr>
        <w:rPr>
          <w:iCs/>
          <w:szCs w:val="22"/>
          <w:lang w:val="x-none" w:eastAsia="x-none"/>
        </w:rPr>
      </w:pPr>
      <w:r w:rsidRPr="00F165FC">
        <w:rPr>
          <w:iCs/>
          <w:szCs w:val="22"/>
          <w:lang w:val="x-none" w:eastAsia="x-none"/>
        </w:rPr>
        <w:t>Gali būti tiekiamos ne visų dydžių pakuotės.</w:t>
      </w:r>
    </w:p>
    <w:p w14:paraId="01A573E0" w14:textId="77777777" w:rsidR="00075BFC" w:rsidRPr="00F165FC" w:rsidRDefault="00075BFC" w:rsidP="00075BFC">
      <w:pPr>
        <w:rPr>
          <w:iCs/>
          <w:szCs w:val="22"/>
          <w:lang w:val="x-none" w:eastAsia="x-none"/>
        </w:rPr>
      </w:pPr>
    </w:p>
    <w:p w14:paraId="435B03E9" w14:textId="77777777" w:rsidR="00075BFC" w:rsidRPr="00F165FC" w:rsidRDefault="00075BFC" w:rsidP="00075BFC">
      <w:pPr>
        <w:spacing w:line="220" w:lineRule="exact"/>
        <w:rPr>
          <w:b/>
          <w:bCs/>
          <w:szCs w:val="22"/>
          <w:lang w:eastAsia="en-US"/>
        </w:rPr>
      </w:pPr>
      <w:r w:rsidRPr="00F165FC">
        <w:rPr>
          <w:b/>
          <w:bCs/>
          <w:snapToGrid w:val="0"/>
          <w:szCs w:val="22"/>
          <w:lang w:eastAsia="en-US"/>
        </w:rPr>
        <w:t xml:space="preserve">Registruotojas </w:t>
      </w:r>
      <w:r w:rsidRPr="00F165FC">
        <w:rPr>
          <w:b/>
          <w:bCs/>
          <w:szCs w:val="22"/>
          <w:lang w:eastAsia="en-US"/>
        </w:rPr>
        <w:t xml:space="preserve"> ir gamintojas</w:t>
      </w:r>
    </w:p>
    <w:p w14:paraId="15B1C994" w14:textId="77777777" w:rsidR="00075BFC" w:rsidRPr="00F165FC" w:rsidRDefault="00075BFC" w:rsidP="00075BFC">
      <w:pPr>
        <w:rPr>
          <w:iCs/>
          <w:szCs w:val="22"/>
          <w:u w:val="single"/>
          <w:lang w:val="x-none" w:eastAsia="x-none"/>
        </w:rPr>
      </w:pPr>
      <w:r w:rsidRPr="00F165FC">
        <w:rPr>
          <w:iCs/>
          <w:szCs w:val="22"/>
          <w:u w:val="single"/>
          <w:lang w:val="x-none" w:eastAsia="x-none"/>
        </w:rPr>
        <w:t xml:space="preserve">Registruotojas </w:t>
      </w:r>
    </w:p>
    <w:p w14:paraId="608F0017" w14:textId="77777777" w:rsidR="00075BFC" w:rsidRPr="00207967" w:rsidRDefault="00075BFC" w:rsidP="00075BFC">
      <w:proofErr w:type="spellStart"/>
      <w:r w:rsidRPr="00207967">
        <w:t>Viatris</w:t>
      </w:r>
      <w:proofErr w:type="spellEnd"/>
      <w:r w:rsidRPr="00207967">
        <w:t xml:space="preserve"> SIA</w:t>
      </w:r>
    </w:p>
    <w:p w14:paraId="69035D93" w14:textId="77777777" w:rsidR="00075BFC" w:rsidRPr="00207967" w:rsidRDefault="00075BFC" w:rsidP="00075BFC">
      <w:proofErr w:type="spellStart"/>
      <w:r w:rsidRPr="00207967">
        <w:t>Mūkusalas</w:t>
      </w:r>
      <w:proofErr w:type="spellEnd"/>
      <w:r w:rsidRPr="00207967">
        <w:t xml:space="preserve"> </w:t>
      </w:r>
      <w:proofErr w:type="spellStart"/>
      <w:r w:rsidRPr="00207967">
        <w:t>iela</w:t>
      </w:r>
      <w:proofErr w:type="spellEnd"/>
      <w:r w:rsidRPr="00207967">
        <w:t xml:space="preserve"> 101</w:t>
      </w:r>
    </w:p>
    <w:p w14:paraId="4129CDD5" w14:textId="77777777" w:rsidR="00075BFC" w:rsidRPr="00207967" w:rsidRDefault="00075BFC" w:rsidP="00075BFC">
      <w:proofErr w:type="spellStart"/>
      <w:r w:rsidRPr="00207967">
        <w:t>Rīga</w:t>
      </w:r>
      <w:proofErr w:type="spellEnd"/>
      <w:r w:rsidRPr="00207967">
        <w:t>, LV-1004</w:t>
      </w:r>
    </w:p>
    <w:p w14:paraId="7BCA40C3" w14:textId="77777777" w:rsidR="00075BFC" w:rsidRDefault="00075BFC" w:rsidP="00075BFC">
      <w:pPr>
        <w:rPr>
          <w:szCs w:val="22"/>
        </w:rPr>
      </w:pPr>
      <w:r w:rsidRPr="00207967">
        <w:t>Latvija</w:t>
      </w:r>
    </w:p>
    <w:p w14:paraId="1923779F" w14:textId="77777777" w:rsidR="00075BFC" w:rsidRPr="00F165FC" w:rsidRDefault="00075BFC" w:rsidP="00075BFC">
      <w:pPr>
        <w:rPr>
          <w:iCs/>
          <w:szCs w:val="22"/>
          <w:lang w:val="x-none" w:eastAsia="x-none"/>
        </w:rPr>
      </w:pPr>
    </w:p>
    <w:p w14:paraId="00B0CF21" w14:textId="77777777" w:rsidR="00075BFC" w:rsidRPr="00F165FC" w:rsidRDefault="00075BFC" w:rsidP="00075BFC">
      <w:pPr>
        <w:rPr>
          <w:szCs w:val="22"/>
          <w:u w:val="single"/>
          <w:lang w:val="x-none" w:eastAsia="x-none"/>
        </w:rPr>
      </w:pPr>
      <w:r w:rsidRPr="00F165FC">
        <w:rPr>
          <w:szCs w:val="22"/>
          <w:u w:val="single"/>
          <w:lang w:val="x-none" w:eastAsia="x-none"/>
        </w:rPr>
        <w:lastRenderedPageBreak/>
        <w:t xml:space="preserve">Gamintojas </w:t>
      </w:r>
    </w:p>
    <w:p w14:paraId="1A06D997" w14:textId="77777777" w:rsidR="00075BFC" w:rsidRPr="00F165FC" w:rsidRDefault="00075BFC" w:rsidP="00075BFC">
      <w:pPr>
        <w:rPr>
          <w:szCs w:val="22"/>
          <w:lang w:val="x-none" w:eastAsia="x-none"/>
        </w:rPr>
      </w:pPr>
      <w:r w:rsidRPr="00F165FC">
        <w:rPr>
          <w:szCs w:val="22"/>
          <w:lang w:val="x-none" w:eastAsia="x-none"/>
        </w:rPr>
        <w:t xml:space="preserve">Pfizer </w:t>
      </w:r>
      <w:proofErr w:type="spellStart"/>
      <w:r w:rsidRPr="00F165FC">
        <w:rPr>
          <w:szCs w:val="22"/>
          <w:lang w:val="x-none" w:eastAsia="x-none"/>
        </w:rPr>
        <w:t>Italia</w:t>
      </w:r>
      <w:proofErr w:type="spellEnd"/>
      <w:r w:rsidRPr="00F165FC">
        <w:rPr>
          <w:szCs w:val="22"/>
          <w:lang w:val="x-none" w:eastAsia="x-none"/>
        </w:rPr>
        <w:t xml:space="preserve"> </w:t>
      </w:r>
      <w:proofErr w:type="spellStart"/>
      <w:r w:rsidRPr="00F165FC">
        <w:rPr>
          <w:szCs w:val="22"/>
          <w:lang w:val="x-none" w:eastAsia="x-none"/>
        </w:rPr>
        <w:t>S.r.l</w:t>
      </w:r>
      <w:proofErr w:type="spellEnd"/>
      <w:r w:rsidRPr="00F165FC">
        <w:rPr>
          <w:szCs w:val="22"/>
          <w:lang w:val="x-none" w:eastAsia="x-none"/>
        </w:rPr>
        <w:t>.</w:t>
      </w:r>
    </w:p>
    <w:p w14:paraId="13D63CF7" w14:textId="77777777" w:rsidR="00075BFC" w:rsidRPr="00F165FC" w:rsidRDefault="00075BFC" w:rsidP="00075BFC">
      <w:pPr>
        <w:rPr>
          <w:szCs w:val="22"/>
          <w:lang w:val="x-none" w:eastAsia="x-none"/>
        </w:rPr>
      </w:pPr>
      <w:proofErr w:type="spellStart"/>
      <w:r w:rsidRPr="00F165FC">
        <w:rPr>
          <w:szCs w:val="22"/>
          <w:lang w:val="x-none" w:eastAsia="x-none"/>
        </w:rPr>
        <w:t>Localita</w:t>
      </w:r>
      <w:proofErr w:type="spellEnd"/>
      <w:r w:rsidRPr="00F165FC">
        <w:rPr>
          <w:szCs w:val="22"/>
          <w:lang w:val="x-none" w:eastAsia="x-none"/>
        </w:rPr>
        <w:t xml:space="preserve"> Marino </w:t>
      </w:r>
      <w:proofErr w:type="spellStart"/>
      <w:r w:rsidRPr="00F165FC">
        <w:rPr>
          <w:szCs w:val="22"/>
          <w:lang w:val="x-none" w:eastAsia="x-none"/>
        </w:rPr>
        <w:t>del</w:t>
      </w:r>
      <w:proofErr w:type="spellEnd"/>
      <w:r w:rsidRPr="00F165FC">
        <w:rPr>
          <w:szCs w:val="22"/>
          <w:lang w:val="x-none" w:eastAsia="x-none"/>
        </w:rPr>
        <w:t xml:space="preserve"> </w:t>
      </w:r>
      <w:proofErr w:type="spellStart"/>
      <w:r w:rsidRPr="00F165FC">
        <w:rPr>
          <w:szCs w:val="22"/>
          <w:lang w:val="x-none" w:eastAsia="x-none"/>
        </w:rPr>
        <w:t>Tronto</w:t>
      </w:r>
      <w:proofErr w:type="spellEnd"/>
    </w:p>
    <w:p w14:paraId="1CED9D2C" w14:textId="77777777" w:rsidR="00075BFC" w:rsidRPr="00F165FC" w:rsidRDefault="00075BFC" w:rsidP="00075BFC">
      <w:pPr>
        <w:rPr>
          <w:lang w:eastAsia="x-none"/>
        </w:rPr>
      </w:pPr>
      <w:r w:rsidRPr="00F165FC">
        <w:rPr>
          <w:szCs w:val="22"/>
          <w:lang w:eastAsia="x-none"/>
        </w:rPr>
        <w:t xml:space="preserve">63100 </w:t>
      </w:r>
      <w:proofErr w:type="spellStart"/>
      <w:r w:rsidRPr="00F165FC">
        <w:rPr>
          <w:szCs w:val="22"/>
          <w:lang w:val="x-none" w:eastAsia="x-none"/>
        </w:rPr>
        <w:t>Ascoli</w:t>
      </w:r>
      <w:proofErr w:type="spellEnd"/>
      <w:r w:rsidRPr="00F165FC">
        <w:rPr>
          <w:szCs w:val="22"/>
          <w:lang w:val="x-none" w:eastAsia="x-none"/>
        </w:rPr>
        <w:t xml:space="preserve"> </w:t>
      </w:r>
      <w:proofErr w:type="spellStart"/>
      <w:r w:rsidRPr="00F165FC">
        <w:rPr>
          <w:szCs w:val="22"/>
          <w:lang w:val="x-none" w:eastAsia="x-none"/>
        </w:rPr>
        <w:t>Piceno</w:t>
      </w:r>
      <w:proofErr w:type="spellEnd"/>
      <w:r w:rsidRPr="00F165FC">
        <w:rPr>
          <w:szCs w:val="22"/>
          <w:lang w:eastAsia="x-none"/>
        </w:rPr>
        <w:t xml:space="preserve"> (AP)</w:t>
      </w:r>
    </w:p>
    <w:p w14:paraId="62B35D1D" w14:textId="77777777" w:rsidR="00075BFC" w:rsidRDefault="00075BFC" w:rsidP="00075BFC">
      <w:pPr>
        <w:rPr>
          <w:iCs/>
          <w:szCs w:val="22"/>
          <w:lang w:val="en-US" w:eastAsia="x-none"/>
        </w:rPr>
      </w:pPr>
      <w:r w:rsidRPr="00F165FC">
        <w:rPr>
          <w:iCs/>
          <w:szCs w:val="22"/>
          <w:lang w:val="x-none" w:eastAsia="x-none"/>
        </w:rPr>
        <w:t>Italija</w:t>
      </w:r>
    </w:p>
    <w:p w14:paraId="1608059B" w14:textId="77777777" w:rsidR="00075BFC" w:rsidRDefault="00075BFC" w:rsidP="00075BFC">
      <w:pPr>
        <w:rPr>
          <w:iCs/>
          <w:szCs w:val="22"/>
          <w:lang w:val="en-US" w:eastAsia="x-none"/>
        </w:rPr>
      </w:pPr>
    </w:p>
    <w:p w14:paraId="4CCBC1DB" w14:textId="77777777" w:rsidR="00075BFC" w:rsidRDefault="00075BFC" w:rsidP="00075BFC">
      <w:pPr>
        <w:rPr>
          <w:iCs/>
          <w:szCs w:val="22"/>
          <w:lang w:val="en-US" w:eastAsia="x-none"/>
        </w:rPr>
      </w:pPr>
      <w:proofErr w:type="spellStart"/>
      <w:r>
        <w:rPr>
          <w:iCs/>
          <w:szCs w:val="22"/>
          <w:lang w:val="en-US" w:eastAsia="x-none"/>
        </w:rPr>
        <w:t>arba</w:t>
      </w:r>
      <w:proofErr w:type="spellEnd"/>
    </w:p>
    <w:p w14:paraId="3FD8D164" w14:textId="77777777" w:rsidR="00075BFC" w:rsidRDefault="00075BFC" w:rsidP="00075BFC">
      <w:pPr>
        <w:rPr>
          <w:iCs/>
          <w:szCs w:val="22"/>
          <w:lang w:val="en-US" w:eastAsia="x-none"/>
        </w:rPr>
      </w:pPr>
    </w:p>
    <w:p w14:paraId="7BE5B334" w14:textId="77777777" w:rsidR="00075BFC" w:rsidRDefault="00075BFC" w:rsidP="00075BFC">
      <w:pPr>
        <w:rPr>
          <w:iCs/>
          <w:szCs w:val="22"/>
          <w:lang w:val="en-US" w:eastAsia="x-none"/>
        </w:rPr>
      </w:pPr>
      <w:r>
        <w:rPr>
          <w:iCs/>
          <w:szCs w:val="22"/>
          <w:lang w:val="en-US" w:eastAsia="x-none"/>
        </w:rPr>
        <w:t>Mylan Hungary Kft.</w:t>
      </w:r>
    </w:p>
    <w:p w14:paraId="3618D5D7" w14:textId="77777777" w:rsidR="00075BFC" w:rsidRDefault="00075BFC" w:rsidP="00075BFC">
      <w:pPr>
        <w:rPr>
          <w:iCs/>
          <w:szCs w:val="22"/>
          <w:lang w:val="en-US" w:eastAsia="x-none"/>
        </w:rPr>
      </w:pPr>
      <w:r>
        <w:rPr>
          <w:iCs/>
          <w:szCs w:val="22"/>
          <w:lang w:val="en-US" w:eastAsia="x-none"/>
        </w:rPr>
        <w:t xml:space="preserve">Mylan </w:t>
      </w:r>
      <w:proofErr w:type="spellStart"/>
      <w:r>
        <w:rPr>
          <w:iCs/>
          <w:szCs w:val="22"/>
          <w:lang w:val="en-US" w:eastAsia="x-none"/>
        </w:rPr>
        <w:t>utca</w:t>
      </w:r>
      <w:proofErr w:type="spellEnd"/>
      <w:r>
        <w:rPr>
          <w:iCs/>
          <w:szCs w:val="22"/>
          <w:lang w:val="en-US" w:eastAsia="x-none"/>
        </w:rPr>
        <w:t xml:space="preserve"> 1</w:t>
      </w:r>
    </w:p>
    <w:p w14:paraId="71D06DFF" w14:textId="77777777" w:rsidR="00075BFC" w:rsidRDefault="00075BFC" w:rsidP="00075BFC">
      <w:pPr>
        <w:rPr>
          <w:iCs/>
          <w:szCs w:val="22"/>
          <w:lang w:val="en-US" w:eastAsia="x-none"/>
        </w:rPr>
      </w:pPr>
      <w:proofErr w:type="spellStart"/>
      <w:r>
        <w:rPr>
          <w:iCs/>
          <w:szCs w:val="22"/>
          <w:lang w:val="en-US" w:eastAsia="x-none"/>
        </w:rPr>
        <w:t>Komárom</w:t>
      </w:r>
      <w:proofErr w:type="spellEnd"/>
      <w:r>
        <w:rPr>
          <w:iCs/>
          <w:szCs w:val="22"/>
          <w:lang w:val="en-US" w:eastAsia="x-none"/>
        </w:rPr>
        <w:t xml:space="preserve"> 2900</w:t>
      </w:r>
    </w:p>
    <w:p w14:paraId="6418C81F" w14:textId="77777777" w:rsidR="00075BFC" w:rsidRPr="00E1751B" w:rsidRDefault="00075BFC" w:rsidP="00075BFC">
      <w:pPr>
        <w:rPr>
          <w:iCs/>
          <w:szCs w:val="22"/>
          <w:lang w:val="x-none" w:eastAsia="x-none"/>
        </w:rPr>
      </w:pPr>
      <w:proofErr w:type="spellStart"/>
      <w:r w:rsidRPr="00E1751B">
        <w:rPr>
          <w:iCs/>
          <w:szCs w:val="22"/>
          <w:lang w:val="en-US" w:eastAsia="x-none"/>
        </w:rPr>
        <w:t>Vengrija</w:t>
      </w:r>
      <w:proofErr w:type="spellEnd"/>
    </w:p>
    <w:p w14:paraId="25C22A1A" w14:textId="77777777" w:rsidR="00075BFC" w:rsidRPr="00F165FC" w:rsidRDefault="00075BFC" w:rsidP="00075BFC">
      <w:pPr>
        <w:rPr>
          <w:iCs/>
          <w:szCs w:val="22"/>
          <w:lang w:val="x-none" w:eastAsia="x-none"/>
        </w:rPr>
      </w:pPr>
    </w:p>
    <w:p w14:paraId="24D5DCF2" w14:textId="77777777" w:rsidR="00075BFC" w:rsidRPr="00F165FC" w:rsidRDefault="00075BFC" w:rsidP="00075BFC">
      <w:pPr>
        <w:rPr>
          <w:iCs/>
          <w:szCs w:val="22"/>
          <w:lang w:val="x-none" w:eastAsia="x-none"/>
        </w:rPr>
      </w:pPr>
      <w:r w:rsidRPr="00F165FC">
        <w:rPr>
          <w:iCs/>
          <w:szCs w:val="22"/>
          <w:lang w:val="x-none" w:eastAsia="x-none"/>
        </w:rPr>
        <w:t xml:space="preserve">Jeigu apie šį vaistą norite sužinoti daugiau, kreipkitės į vietinį </w:t>
      </w:r>
      <w:r w:rsidRPr="00F165FC">
        <w:rPr>
          <w:iCs/>
          <w:noProof/>
          <w:snapToGrid w:val="0"/>
          <w:szCs w:val="24"/>
          <w:lang w:eastAsia="x-none"/>
        </w:rPr>
        <w:t>registruotojo</w:t>
      </w:r>
      <w:r w:rsidRPr="00F165FC">
        <w:rPr>
          <w:iCs/>
          <w:szCs w:val="22"/>
          <w:lang w:val="x-none" w:eastAsia="x-none"/>
        </w:rPr>
        <w:t xml:space="preserve"> atstovą.</w:t>
      </w:r>
    </w:p>
    <w:p w14:paraId="3B89FDEA" w14:textId="77777777" w:rsidR="00075BFC" w:rsidRPr="00F165FC" w:rsidRDefault="00075BFC" w:rsidP="00075BFC">
      <w:pPr>
        <w:rPr>
          <w:iCs/>
          <w:szCs w:val="22"/>
          <w:lang w:val="x-none" w:eastAsia="x-none"/>
        </w:rPr>
      </w:pPr>
    </w:p>
    <w:p w14:paraId="37DED738" w14:textId="77777777" w:rsidR="00075BFC" w:rsidRDefault="00075BFC" w:rsidP="00075BFC">
      <w:pPr>
        <w:rPr>
          <w:iCs/>
          <w:szCs w:val="22"/>
          <w:lang w:eastAsia="x-none"/>
        </w:rPr>
      </w:pPr>
      <w:proofErr w:type="spellStart"/>
      <w:r>
        <w:rPr>
          <w:iCs/>
          <w:szCs w:val="22"/>
          <w:lang w:eastAsia="x-none"/>
        </w:rPr>
        <w:t>Viatris</w:t>
      </w:r>
      <w:proofErr w:type="spellEnd"/>
      <w:r>
        <w:rPr>
          <w:iCs/>
          <w:szCs w:val="22"/>
          <w:lang w:eastAsia="x-none"/>
        </w:rPr>
        <w:t xml:space="preserve"> UAB</w:t>
      </w:r>
    </w:p>
    <w:p w14:paraId="7AF357AE" w14:textId="77777777" w:rsidR="00075BFC" w:rsidRPr="00AF15ED" w:rsidRDefault="00075BFC" w:rsidP="00075BFC">
      <w:pPr>
        <w:rPr>
          <w:iCs/>
          <w:szCs w:val="22"/>
          <w:lang w:eastAsia="x-none"/>
        </w:rPr>
      </w:pPr>
      <w:r w:rsidRPr="00AD2119">
        <w:rPr>
          <w:iCs/>
          <w:szCs w:val="22"/>
          <w:lang w:eastAsia="x-none"/>
        </w:rPr>
        <w:t>Tel. +370 5 205 12 88</w:t>
      </w:r>
    </w:p>
    <w:p w14:paraId="6477B455" w14:textId="77777777" w:rsidR="00075BFC" w:rsidRPr="00F165FC" w:rsidRDefault="00075BFC" w:rsidP="00075BFC">
      <w:pPr>
        <w:rPr>
          <w:iCs/>
          <w:szCs w:val="22"/>
          <w:lang w:val="x-none" w:eastAsia="x-none"/>
        </w:rPr>
      </w:pPr>
    </w:p>
    <w:p w14:paraId="5F4E001C" w14:textId="77777777" w:rsidR="00075BFC" w:rsidRPr="00F165FC" w:rsidRDefault="00075BFC" w:rsidP="00075BFC">
      <w:pPr>
        <w:rPr>
          <w:iCs/>
          <w:szCs w:val="22"/>
          <w:lang w:val="x-none" w:eastAsia="x-none"/>
        </w:rPr>
      </w:pPr>
    </w:p>
    <w:p w14:paraId="4E672D34" w14:textId="77777777" w:rsidR="00075BFC" w:rsidRPr="00F165FC" w:rsidRDefault="00075BFC" w:rsidP="00075BFC">
      <w:pPr>
        <w:rPr>
          <w:b/>
          <w:bCs/>
          <w:iCs/>
          <w:noProof/>
          <w:szCs w:val="22"/>
          <w:lang w:eastAsia="x-none"/>
        </w:rPr>
      </w:pPr>
      <w:r w:rsidRPr="00F165FC">
        <w:rPr>
          <w:b/>
          <w:bCs/>
          <w:iCs/>
          <w:noProof/>
          <w:szCs w:val="22"/>
          <w:lang w:val="x-none" w:eastAsia="x-none"/>
        </w:rPr>
        <w:t>Šis pakuotės lapelis paskutinį kartą peržiūrėtas</w:t>
      </w:r>
      <w:r>
        <w:rPr>
          <w:b/>
          <w:bCs/>
          <w:iCs/>
          <w:noProof/>
          <w:szCs w:val="22"/>
          <w:lang w:eastAsia="x-none"/>
        </w:rPr>
        <w:t xml:space="preserve"> 2026-07-01</w:t>
      </w:r>
      <w:r>
        <w:rPr>
          <w:b/>
          <w:lang w:val="en-US"/>
        </w:rPr>
        <w:t>.</w:t>
      </w:r>
    </w:p>
    <w:p w14:paraId="673E0778" w14:textId="77777777" w:rsidR="00075BFC" w:rsidRPr="00F165FC" w:rsidRDefault="00075BFC" w:rsidP="00075BFC">
      <w:pPr>
        <w:rPr>
          <w:szCs w:val="22"/>
        </w:rPr>
      </w:pPr>
    </w:p>
    <w:p w14:paraId="51B16FCB" w14:textId="77777777" w:rsidR="00075BFC" w:rsidRDefault="00075BFC" w:rsidP="00075BFC">
      <w:pPr>
        <w:rPr>
          <w:iCs/>
          <w:szCs w:val="22"/>
          <w:u w:val="single"/>
          <w:lang w:eastAsia="x-none"/>
        </w:rPr>
      </w:pPr>
      <w:r w:rsidRPr="00F165FC">
        <w:rPr>
          <w:iCs/>
          <w:szCs w:val="22"/>
          <w:lang w:val="x-none" w:eastAsia="x-none"/>
        </w:rPr>
        <w:t xml:space="preserve">Išsami informacija apie šį vaistą pateikiama Valstybinės vaistų kontrolės tarnybos prie Lietuvos Respublikos sveikatos apsaugos ministerijos tinklalapyje </w:t>
      </w:r>
      <w:r>
        <w:rPr>
          <w:color w:val="0000EE"/>
          <w:szCs w:val="22"/>
          <w:u w:val="single"/>
        </w:rPr>
        <w:t>https://vvkt.lrv.lt/lt/</w:t>
      </w:r>
      <w:r w:rsidRPr="00F165FC">
        <w:rPr>
          <w:iCs/>
          <w:szCs w:val="22"/>
          <w:u w:val="single"/>
          <w:lang w:eastAsia="x-none"/>
        </w:rPr>
        <w:t>.</w:t>
      </w:r>
    </w:p>
    <w:p w14:paraId="1F1A997D" w14:textId="77777777" w:rsidR="00075BFC" w:rsidRPr="00F165FC" w:rsidRDefault="00075BFC" w:rsidP="00075BFC">
      <w:pPr>
        <w:rPr>
          <w:iCs/>
          <w:szCs w:val="22"/>
          <w:u w:val="single"/>
          <w:lang w:eastAsia="x-none"/>
        </w:rPr>
      </w:pPr>
    </w:p>
    <w:p w14:paraId="28A39E61" w14:textId="77777777" w:rsidR="00222FED" w:rsidRDefault="00222FED"/>
    <w:sectPr w:rsidR="00222FED" w:rsidSect="00075BFC">
      <w:headerReference w:type="default" r:id="rId5"/>
      <w:footerReference w:type="even" r:id="rId6"/>
      <w:footerReference w:type="default" r:id="rId7"/>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28F7" w14:textId="77777777" w:rsidR="00075BFC" w:rsidRDefault="00075BFC" w:rsidP="005535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B95395" w14:textId="77777777" w:rsidR="00075BFC" w:rsidRDefault="00075BFC" w:rsidP="005535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D0E5" w14:textId="77777777" w:rsidR="00075BFC" w:rsidRDefault="00075BFC" w:rsidP="005535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7</w:t>
    </w:r>
    <w:r>
      <w:rPr>
        <w:rStyle w:val="Puslapionumeris"/>
      </w:rPr>
      <w:fldChar w:fldCharType="end"/>
    </w:r>
  </w:p>
  <w:p w14:paraId="71F6D687" w14:textId="77777777" w:rsidR="00075BFC" w:rsidRDefault="00075BFC" w:rsidP="0055350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029C" w14:textId="77777777" w:rsidR="00075BFC" w:rsidRDefault="00075B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494F"/>
    <w:multiLevelType w:val="hybridMultilevel"/>
    <w:tmpl w:val="4EE41612"/>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C03634"/>
    <w:multiLevelType w:val="hybridMultilevel"/>
    <w:tmpl w:val="6478C696"/>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7912DB"/>
    <w:multiLevelType w:val="hybridMultilevel"/>
    <w:tmpl w:val="2D769574"/>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2E04AA"/>
    <w:multiLevelType w:val="hybridMultilevel"/>
    <w:tmpl w:val="537E644C"/>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2E4C0E"/>
    <w:multiLevelType w:val="hybridMultilevel"/>
    <w:tmpl w:val="026C62E4"/>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697032">
    <w:abstractNumId w:val="3"/>
  </w:num>
  <w:num w:numId="2" w16cid:durableId="485049919">
    <w:abstractNumId w:val="2"/>
  </w:num>
  <w:num w:numId="3" w16cid:durableId="258372677">
    <w:abstractNumId w:val="0"/>
  </w:num>
  <w:num w:numId="4" w16cid:durableId="297228786">
    <w:abstractNumId w:val="1"/>
  </w:num>
  <w:num w:numId="5" w16cid:durableId="317728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FC"/>
    <w:rsid w:val="00075BFC"/>
    <w:rsid w:val="00222FED"/>
    <w:rsid w:val="005F173E"/>
    <w:rsid w:val="008B3AD4"/>
    <w:rsid w:val="008C4A87"/>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724D"/>
  <w15:chartTrackingRefBased/>
  <w15:docId w15:val="{F7F4C5AA-5637-45E7-90DC-40CBEB26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FC"/>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075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5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5B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5B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5BF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75BF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5BF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75BF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5BF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5B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5B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5BF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5BF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5BF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75BF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5BF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75BF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5BF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75BF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5B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5B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5BF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5B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5BFC"/>
    <w:rPr>
      <w:i/>
      <w:iCs/>
      <w:color w:val="404040" w:themeColor="text1" w:themeTint="BF"/>
    </w:rPr>
  </w:style>
  <w:style w:type="paragraph" w:styleId="Sraopastraipa">
    <w:name w:val="List Paragraph"/>
    <w:basedOn w:val="prastasis"/>
    <w:uiPriority w:val="34"/>
    <w:qFormat/>
    <w:rsid w:val="00075BFC"/>
    <w:pPr>
      <w:ind w:left="720"/>
      <w:contextualSpacing/>
    </w:pPr>
  </w:style>
  <w:style w:type="character" w:styleId="Rykuspabraukimas">
    <w:name w:val="Intense Emphasis"/>
    <w:basedOn w:val="Numatytasispastraiposriftas"/>
    <w:uiPriority w:val="21"/>
    <w:qFormat/>
    <w:rsid w:val="00075BFC"/>
    <w:rPr>
      <w:i/>
      <w:iCs/>
      <w:color w:val="0F4761" w:themeColor="accent1" w:themeShade="BF"/>
    </w:rPr>
  </w:style>
  <w:style w:type="paragraph" w:styleId="Iskirtacitata">
    <w:name w:val="Intense Quote"/>
    <w:basedOn w:val="prastasis"/>
    <w:next w:val="prastasis"/>
    <w:link w:val="IskirtacitataDiagrama"/>
    <w:uiPriority w:val="30"/>
    <w:qFormat/>
    <w:rsid w:val="00075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5BFC"/>
    <w:rPr>
      <w:i/>
      <w:iCs/>
      <w:color w:val="0F4761" w:themeColor="accent1" w:themeShade="BF"/>
    </w:rPr>
  </w:style>
  <w:style w:type="character" w:styleId="Rykinuoroda">
    <w:name w:val="Intense Reference"/>
    <w:basedOn w:val="Numatytasispastraiposriftas"/>
    <w:uiPriority w:val="32"/>
    <w:qFormat/>
    <w:rsid w:val="00075BFC"/>
    <w:rPr>
      <w:b/>
      <w:bCs/>
      <w:smallCaps/>
      <w:color w:val="0F4761" w:themeColor="accent1" w:themeShade="BF"/>
      <w:spacing w:val="5"/>
    </w:rPr>
  </w:style>
  <w:style w:type="paragraph" w:styleId="Antrats">
    <w:name w:val="header"/>
    <w:basedOn w:val="prastasis"/>
    <w:link w:val="AntratsDiagrama"/>
    <w:uiPriority w:val="99"/>
    <w:rsid w:val="00075BFC"/>
    <w:pPr>
      <w:tabs>
        <w:tab w:val="center" w:pos="4986"/>
        <w:tab w:val="right" w:pos="9972"/>
      </w:tabs>
    </w:pPr>
  </w:style>
  <w:style w:type="character" w:customStyle="1" w:styleId="AntratsDiagrama">
    <w:name w:val="Antraštės Diagrama"/>
    <w:basedOn w:val="Numatytasispastraiposriftas"/>
    <w:link w:val="Antrats"/>
    <w:uiPriority w:val="99"/>
    <w:rsid w:val="00075BFC"/>
    <w:rPr>
      <w:rFonts w:eastAsia="Times New Roman"/>
      <w:kern w:val="0"/>
      <w:szCs w:val="20"/>
      <w:lang w:eastAsia="lt-LT"/>
      <w14:ligatures w14:val="none"/>
    </w:rPr>
  </w:style>
  <w:style w:type="paragraph" w:styleId="Porat">
    <w:name w:val="footer"/>
    <w:basedOn w:val="prastasis"/>
    <w:link w:val="PoratDiagrama"/>
    <w:uiPriority w:val="99"/>
    <w:rsid w:val="00075BFC"/>
    <w:pPr>
      <w:tabs>
        <w:tab w:val="center" w:pos="4986"/>
        <w:tab w:val="right" w:pos="9972"/>
      </w:tabs>
    </w:pPr>
    <w:rPr>
      <w:sz w:val="20"/>
      <w:lang w:val="x-none" w:eastAsia="x-none"/>
    </w:rPr>
  </w:style>
  <w:style w:type="character" w:customStyle="1" w:styleId="PoratDiagrama">
    <w:name w:val="Poraštė Diagrama"/>
    <w:basedOn w:val="Numatytasispastraiposriftas"/>
    <w:link w:val="Porat"/>
    <w:uiPriority w:val="99"/>
    <w:rsid w:val="00075BFC"/>
    <w:rPr>
      <w:rFonts w:eastAsia="Times New Roman"/>
      <w:kern w:val="0"/>
      <w:sz w:val="20"/>
      <w:szCs w:val="20"/>
      <w:lang w:val="x-none" w:eastAsia="x-none"/>
      <w14:ligatures w14:val="none"/>
    </w:rPr>
  </w:style>
  <w:style w:type="character" w:styleId="Puslapionumeris">
    <w:name w:val="page number"/>
    <w:uiPriority w:val="99"/>
    <w:rsid w:val="00075B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10465</Words>
  <Characters>5966</Characters>
  <Application>Microsoft Office Word</Application>
  <DocSecurity>0</DocSecurity>
  <Lines>49</Lines>
  <Paragraphs>32</Paragraphs>
  <ScaleCrop>false</ScaleCrop>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2026-07-01T07:50:00Z</dcterms:created>
  <dcterms:modified xsi:type="dcterms:W3CDTF">2026-07-01T07:51:00Z</dcterms:modified>
</cp:coreProperties>
</file>