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E7A" w:rsidRPr="004B20CE" w:rsidRDefault="008F0E7A" w:rsidP="008F0E7A">
      <w:pPr>
        <w:keepNext/>
        <w:tabs>
          <w:tab w:val="left" w:pos="567"/>
        </w:tabs>
        <w:spacing w:after="0" w:line="240" w:lineRule="auto"/>
        <w:jc w:val="center"/>
        <w:outlineLvl w:val="1"/>
        <w:rPr>
          <w:rFonts w:ascii="Times New Roman" w:hAnsi="Times New Roman"/>
          <w:b/>
          <w:snapToGrid w:val="0"/>
          <w:lang w:val="lt-LT"/>
        </w:rPr>
      </w:pPr>
      <w:r w:rsidRPr="004B20CE">
        <w:rPr>
          <w:rFonts w:ascii="Times New Roman" w:hAnsi="Times New Roman"/>
          <w:b/>
          <w:bCs/>
          <w:iCs/>
          <w:snapToGrid w:val="0"/>
          <w:lang w:val="lt-LT"/>
        </w:rPr>
        <w:t>Pakuotės lapelis:</w:t>
      </w:r>
      <w:r w:rsidRPr="004B20CE">
        <w:rPr>
          <w:rFonts w:ascii="Times New Roman" w:hAnsi="Times New Roman"/>
          <w:b/>
          <w:snapToGrid w:val="0"/>
          <w:lang w:val="lt-LT"/>
        </w:rPr>
        <w:t xml:space="preserve"> </w:t>
      </w:r>
      <w:r w:rsidRPr="004B20CE">
        <w:rPr>
          <w:rFonts w:ascii="Times New Roman" w:hAnsi="Times New Roman"/>
          <w:b/>
          <w:bCs/>
          <w:iCs/>
          <w:snapToGrid w:val="0"/>
          <w:lang w:val="lt-LT"/>
        </w:rPr>
        <w:t>informacija vartotojui</w:t>
      </w:r>
    </w:p>
    <w:p w:rsidR="008F0E7A" w:rsidRPr="004B20CE" w:rsidRDefault="008F0E7A" w:rsidP="008F0E7A">
      <w:pPr>
        <w:pStyle w:val="BTEMEASMCA"/>
      </w:pPr>
    </w:p>
    <w:p w:rsidR="008F0E7A" w:rsidRPr="004B20CE" w:rsidRDefault="008F0E7A" w:rsidP="008F0E7A">
      <w:pPr>
        <w:spacing w:after="0" w:line="240" w:lineRule="auto"/>
        <w:jc w:val="center"/>
        <w:rPr>
          <w:rFonts w:ascii="Times New Roman" w:hAnsi="Times New Roman"/>
          <w:b/>
          <w:lang w:val="lt-LT"/>
        </w:rPr>
      </w:pPr>
      <w:r w:rsidRPr="004B20CE">
        <w:rPr>
          <w:rFonts w:ascii="Times New Roman" w:hAnsi="Times New Roman"/>
          <w:b/>
          <w:lang w:val="lt-LT"/>
        </w:rPr>
        <w:t>Tiapridal</w:t>
      </w:r>
      <w:r w:rsidRPr="004B20CE">
        <w:rPr>
          <w:rFonts w:ascii="Times New Roman" w:hAnsi="Times New Roman"/>
          <w:b/>
          <w:vertAlign w:val="superscript"/>
          <w:lang w:val="lt-LT"/>
        </w:rPr>
        <w:t xml:space="preserve"> </w:t>
      </w:r>
      <w:r w:rsidRPr="004B20CE">
        <w:rPr>
          <w:rFonts w:ascii="Times New Roman" w:hAnsi="Times New Roman"/>
          <w:b/>
          <w:lang w:val="lt-LT"/>
        </w:rPr>
        <w:t>100 mg tabletės</w:t>
      </w:r>
    </w:p>
    <w:p w:rsidR="008F0E7A" w:rsidRPr="004B20CE" w:rsidRDefault="008F0E7A" w:rsidP="008F0E7A">
      <w:pPr>
        <w:pStyle w:val="BTeEMEASMCA"/>
        <w:rPr>
          <w:u w:val="none"/>
        </w:rPr>
      </w:pPr>
      <w:r w:rsidRPr="004B20CE">
        <w:rPr>
          <w:u w:val="none"/>
        </w:rPr>
        <w:t>tiapridas</w:t>
      </w:r>
    </w:p>
    <w:p w:rsidR="008F0E7A" w:rsidRPr="004B20CE" w:rsidRDefault="008F0E7A" w:rsidP="008F0E7A">
      <w:pPr>
        <w:pStyle w:val="BTEMEASMCA"/>
        <w:rPr>
          <w:u w:val="none"/>
        </w:rPr>
      </w:pPr>
    </w:p>
    <w:p w:rsidR="008F0E7A" w:rsidRPr="004B20CE" w:rsidRDefault="008F0E7A" w:rsidP="008F0E7A">
      <w:pPr>
        <w:pStyle w:val="BTbEMEASMCA"/>
        <w:rPr>
          <w:u w:val="none"/>
        </w:rPr>
      </w:pPr>
      <w:r w:rsidRPr="004B20CE">
        <w:rPr>
          <w:u w:val="none"/>
        </w:rPr>
        <w:t>Atidžiai perskaitykite visą šį lapelį, prieš pradėdami vartoti vaistą, nes jame pateikiama Jums svarbi informacija.</w:t>
      </w:r>
    </w:p>
    <w:p w:rsidR="008F0E7A" w:rsidRPr="004B20CE" w:rsidRDefault="008F0E7A" w:rsidP="008F0E7A">
      <w:pPr>
        <w:pStyle w:val="BT-EMEASMCA"/>
        <w:numPr>
          <w:ilvl w:val="0"/>
          <w:numId w:val="5"/>
        </w:numPr>
        <w:rPr>
          <w:u w:val="none"/>
        </w:rPr>
      </w:pPr>
      <w:r w:rsidRPr="004B20CE">
        <w:rPr>
          <w:u w:val="none"/>
        </w:rPr>
        <w:t>Neišmeskite šio lapelio, nes vėl gali prireikti jį perskaityti.</w:t>
      </w:r>
    </w:p>
    <w:p w:rsidR="008F0E7A" w:rsidRPr="004B20CE" w:rsidRDefault="008F0E7A" w:rsidP="008F0E7A">
      <w:pPr>
        <w:pStyle w:val="BT-EMEASMCA"/>
        <w:numPr>
          <w:ilvl w:val="0"/>
          <w:numId w:val="5"/>
        </w:numPr>
        <w:rPr>
          <w:u w:val="none"/>
        </w:rPr>
      </w:pPr>
      <w:r w:rsidRPr="004B20CE">
        <w:rPr>
          <w:u w:val="none"/>
        </w:rPr>
        <w:t>Jeigu kiltų daugiau klausimų, kreipkitės į gydytoją arba vaistininką.</w:t>
      </w:r>
    </w:p>
    <w:p w:rsidR="008F0E7A" w:rsidRPr="004B20CE" w:rsidRDefault="008F0E7A" w:rsidP="008F0E7A">
      <w:pPr>
        <w:pStyle w:val="BT-EMEASMCA"/>
        <w:numPr>
          <w:ilvl w:val="0"/>
          <w:numId w:val="5"/>
        </w:numPr>
        <w:rPr>
          <w:u w:val="none"/>
        </w:rPr>
      </w:pPr>
      <w:r w:rsidRPr="004B20CE">
        <w:rPr>
          <w:u w:val="none"/>
        </w:rPr>
        <w:t>Šis vaistas skirtas</w:t>
      </w:r>
      <w:r w:rsidRPr="004B20CE">
        <w:rPr>
          <w:noProof/>
          <w:u w:val="none"/>
        </w:rPr>
        <w:t xml:space="preserve"> </w:t>
      </w:r>
      <w:r w:rsidRPr="004B20CE">
        <w:rPr>
          <w:u w:val="none"/>
        </w:rPr>
        <w:t>tik Jums, todėl kitiems žmonėms jo duoti negalima. Vaistas gali jiems pakenkti (net tiems, kurių ligos požymiai yra tokie patys kaip Jūsų).</w:t>
      </w:r>
    </w:p>
    <w:p w:rsidR="008F0E7A" w:rsidRPr="004B20CE" w:rsidRDefault="008F0E7A" w:rsidP="008F0E7A">
      <w:pPr>
        <w:pStyle w:val="BT-EMEASMCA"/>
        <w:numPr>
          <w:ilvl w:val="0"/>
          <w:numId w:val="5"/>
        </w:numPr>
        <w:rPr>
          <w:u w:val="none"/>
        </w:rPr>
      </w:pPr>
      <w:r w:rsidRPr="004B20CE">
        <w:rPr>
          <w:u w:val="none"/>
        </w:rPr>
        <w:t>Jeigu pasireiškė šalutinis poveikis (net jeigu jis šiame lapelyje nenurodytas), kreipkitės į gydytoją arba vaistininką. Žr. 4 skyrių.</w:t>
      </w:r>
    </w:p>
    <w:p w:rsidR="008F0E7A" w:rsidRPr="004B20CE" w:rsidRDefault="008F0E7A" w:rsidP="008F0E7A">
      <w:pPr>
        <w:pStyle w:val="BTEMEASMCA"/>
        <w:rPr>
          <w:u w:val="none"/>
        </w:rPr>
      </w:pPr>
    </w:p>
    <w:p w:rsidR="008F0E7A" w:rsidRPr="004B20CE" w:rsidRDefault="008F0E7A" w:rsidP="008F0E7A">
      <w:pPr>
        <w:pStyle w:val="BTEMEASMCA"/>
        <w:rPr>
          <w:b/>
          <w:bCs/>
          <w:u w:val="none"/>
        </w:rPr>
      </w:pPr>
      <w:r w:rsidRPr="004B20CE">
        <w:rPr>
          <w:b/>
          <w:bCs/>
          <w:u w:val="none"/>
        </w:rPr>
        <w:t>Apie ką rašoma šiame lapelyje?</w:t>
      </w:r>
    </w:p>
    <w:p w:rsidR="008F0E7A" w:rsidRPr="004B20CE" w:rsidRDefault="008F0E7A" w:rsidP="008F0E7A">
      <w:pPr>
        <w:pStyle w:val="BTEMEASMCA"/>
        <w:rPr>
          <w:u w:val="none"/>
        </w:rPr>
      </w:pPr>
    </w:p>
    <w:p w:rsidR="008F0E7A" w:rsidRPr="004B20CE" w:rsidRDefault="008F0E7A" w:rsidP="008F0E7A">
      <w:pPr>
        <w:pStyle w:val="BTEMEASMCA"/>
        <w:numPr>
          <w:ilvl w:val="0"/>
          <w:numId w:val="6"/>
        </w:numPr>
        <w:rPr>
          <w:u w:val="none"/>
        </w:rPr>
      </w:pPr>
      <w:r w:rsidRPr="004B20CE">
        <w:rPr>
          <w:u w:val="none"/>
        </w:rPr>
        <w:t>Kas yra Tiapridal ir kam jis vartojamas</w:t>
      </w:r>
    </w:p>
    <w:p w:rsidR="008F0E7A" w:rsidRPr="004B20CE" w:rsidRDefault="008F0E7A" w:rsidP="008F0E7A">
      <w:pPr>
        <w:pStyle w:val="BTEMEASMCA"/>
        <w:numPr>
          <w:ilvl w:val="0"/>
          <w:numId w:val="6"/>
        </w:numPr>
        <w:rPr>
          <w:u w:val="none"/>
        </w:rPr>
      </w:pPr>
      <w:r w:rsidRPr="004B20CE">
        <w:rPr>
          <w:u w:val="none"/>
        </w:rPr>
        <w:t>Kas žinotina prieš vartojant Tiapridal</w:t>
      </w:r>
    </w:p>
    <w:p w:rsidR="008F0E7A" w:rsidRPr="004B20CE" w:rsidRDefault="008F0E7A" w:rsidP="008F0E7A">
      <w:pPr>
        <w:pStyle w:val="BTEMEASMCA"/>
        <w:numPr>
          <w:ilvl w:val="0"/>
          <w:numId w:val="6"/>
        </w:numPr>
        <w:rPr>
          <w:u w:val="none"/>
        </w:rPr>
      </w:pPr>
      <w:r w:rsidRPr="004B20CE">
        <w:rPr>
          <w:u w:val="none"/>
        </w:rPr>
        <w:t>Kaip vartoti Tiapridal</w:t>
      </w:r>
    </w:p>
    <w:p w:rsidR="008F0E7A" w:rsidRPr="004B20CE" w:rsidRDefault="008F0E7A" w:rsidP="008F0E7A">
      <w:pPr>
        <w:pStyle w:val="BTEMEASMCA"/>
        <w:numPr>
          <w:ilvl w:val="0"/>
          <w:numId w:val="6"/>
        </w:numPr>
        <w:rPr>
          <w:u w:val="none"/>
        </w:rPr>
      </w:pPr>
      <w:r w:rsidRPr="004B20CE">
        <w:rPr>
          <w:u w:val="none"/>
        </w:rPr>
        <w:t>Galimas šalutinis poveikis</w:t>
      </w:r>
    </w:p>
    <w:p w:rsidR="008F0E7A" w:rsidRPr="004B20CE" w:rsidRDefault="008F0E7A" w:rsidP="008F0E7A">
      <w:pPr>
        <w:pStyle w:val="BTEMEASMCA"/>
        <w:numPr>
          <w:ilvl w:val="0"/>
          <w:numId w:val="6"/>
        </w:numPr>
        <w:rPr>
          <w:u w:val="none"/>
        </w:rPr>
      </w:pPr>
      <w:r w:rsidRPr="004B20CE">
        <w:rPr>
          <w:u w:val="none"/>
        </w:rPr>
        <w:t>Kaip laikyti Tiapridal</w:t>
      </w:r>
    </w:p>
    <w:p w:rsidR="008F0E7A" w:rsidRPr="004B20CE" w:rsidRDefault="008F0E7A" w:rsidP="008F0E7A">
      <w:pPr>
        <w:spacing w:after="0"/>
        <w:ind w:left="567" w:hanging="567"/>
        <w:rPr>
          <w:rFonts w:ascii="Times New Roman" w:hAnsi="Times New Roman"/>
          <w:lang w:val="lt-LT"/>
        </w:rPr>
      </w:pPr>
      <w:r w:rsidRPr="004B20CE">
        <w:rPr>
          <w:rFonts w:ascii="Times New Roman" w:hAnsi="Times New Roman"/>
          <w:noProof/>
          <w:lang w:val="lt-LT"/>
        </w:rPr>
        <w:t>6.</w:t>
      </w:r>
      <w:r w:rsidRPr="004B20CE">
        <w:rPr>
          <w:rFonts w:ascii="Times New Roman" w:hAnsi="Times New Roman"/>
          <w:noProof/>
          <w:lang w:val="lt-LT"/>
        </w:rPr>
        <w:tab/>
        <w:t>Pakuotės turinys ir kita</w:t>
      </w:r>
      <w:r w:rsidRPr="004B20CE">
        <w:rPr>
          <w:rFonts w:ascii="Times New Roman" w:hAnsi="Times New Roman"/>
          <w:lang w:val="lt-LT"/>
        </w:rPr>
        <w:t xml:space="preserve"> informacija</w:t>
      </w:r>
    </w:p>
    <w:p w:rsidR="008F0E7A" w:rsidRPr="004B20CE" w:rsidRDefault="008F0E7A" w:rsidP="008F0E7A">
      <w:pPr>
        <w:pStyle w:val="BTEMEASMCA"/>
        <w:rPr>
          <w:u w:val="none"/>
        </w:rPr>
      </w:pPr>
    </w:p>
    <w:p w:rsidR="008F0E7A" w:rsidRPr="004B20CE" w:rsidRDefault="008F0E7A" w:rsidP="008F0E7A">
      <w:pPr>
        <w:pStyle w:val="PI-1EMEASMCA"/>
      </w:pPr>
      <w:bookmarkStart w:id="0" w:name="_Toc129243264"/>
      <w:bookmarkStart w:id="1" w:name="_Toc129243139"/>
      <w:r w:rsidRPr="004B20CE">
        <w:t>1.</w:t>
      </w:r>
      <w:r w:rsidRPr="004B20CE">
        <w:tab/>
        <w:t>Kas yra Tiapridal ir kam jis vartojamas</w:t>
      </w:r>
      <w:bookmarkEnd w:id="0"/>
      <w:bookmarkEnd w:id="1"/>
    </w:p>
    <w:p w:rsidR="008F0E7A" w:rsidRPr="004B20CE" w:rsidRDefault="008F0E7A" w:rsidP="008F0E7A">
      <w:pPr>
        <w:pStyle w:val="BTEMEASMCA"/>
        <w:rPr>
          <w:u w:val="none"/>
        </w:rPr>
      </w:pP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Šis vaistas vartojamas suaugusiųjų nevalingų judesių ar tam tikrų elgesio sutrikimų (pvz., sukeltų tam tikrų ligų, amžiaus) gydymui ar trumpalaikiam alkoholio vartojimo sukeltų tam tikrų elgesio sutrikimų gydymui.</w:t>
      </w:r>
    </w:p>
    <w:p w:rsidR="008F0E7A" w:rsidRPr="004B20CE" w:rsidRDefault="008F0E7A" w:rsidP="008F0E7A">
      <w:pPr>
        <w:spacing w:after="0" w:line="240" w:lineRule="auto"/>
        <w:rPr>
          <w:rFonts w:ascii="Times New Roman" w:hAnsi="Times New Roman"/>
          <w:lang w:val="lt-LT"/>
        </w:rPr>
      </w:pP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Šis vaistas vartojamas nevalingų judesių (sunkaus tiko) gydymui vaikams.</w:t>
      </w:r>
    </w:p>
    <w:p w:rsidR="008F0E7A" w:rsidRPr="004B20CE" w:rsidRDefault="008F0E7A" w:rsidP="008F0E7A">
      <w:pPr>
        <w:spacing w:after="0" w:line="240" w:lineRule="auto"/>
        <w:rPr>
          <w:rFonts w:ascii="Times New Roman" w:hAnsi="Times New Roman"/>
          <w:lang w:val="lt-LT"/>
        </w:rPr>
      </w:pP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Šis vaistas vartojamas senyvų žmonių tam tikrų elgesio sutrikimų trumpalaikiam gydymui.</w:t>
      </w:r>
    </w:p>
    <w:p w:rsidR="008F0E7A" w:rsidRPr="004B20CE" w:rsidRDefault="008F0E7A" w:rsidP="008F0E7A">
      <w:pPr>
        <w:pStyle w:val="BTEMEASMCA"/>
        <w:rPr>
          <w:u w:val="none"/>
        </w:rPr>
      </w:pPr>
    </w:p>
    <w:p w:rsidR="008F0E7A" w:rsidRPr="004B20CE" w:rsidRDefault="008F0E7A" w:rsidP="008F0E7A">
      <w:pPr>
        <w:pStyle w:val="BTEMEASMCA"/>
        <w:rPr>
          <w:u w:val="none"/>
        </w:rPr>
      </w:pPr>
    </w:p>
    <w:p w:rsidR="008F0E7A" w:rsidRPr="004B20CE" w:rsidRDefault="008F0E7A" w:rsidP="008F0E7A">
      <w:pPr>
        <w:pStyle w:val="PI-1EMEASMCA"/>
      </w:pPr>
      <w:bookmarkStart w:id="2" w:name="_Toc129243265"/>
      <w:bookmarkStart w:id="3" w:name="_Toc129243140"/>
      <w:r w:rsidRPr="004B20CE">
        <w:t>2.</w:t>
      </w:r>
      <w:r w:rsidRPr="004B20CE">
        <w:tab/>
        <w:t xml:space="preserve">Kas žinotina prieš vartojant Tiapridal </w:t>
      </w:r>
      <w:bookmarkEnd w:id="2"/>
      <w:bookmarkEnd w:id="3"/>
    </w:p>
    <w:p w:rsidR="008F0E7A" w:rsidRPr="004B20CE" w:rsidRDefault="008F0E7A" w:rsidP="008F0E7A">
      <w:pPr>
        <w:pStyle w:val="BTEMEASMCA"/>
        <w:rPr>
          <w:u w:val="none"/>
        </w:rPr>
      </w:pPr>
    </w:p>
    <w:p w:rsidR="008F0E7A" w:rsidRPr="004B20CE" w:rsidRDefault="008F0E7A" w:rsidP="008F0E7A">
      <w:pPr>
        <w:pStyle w:val="PI-3EMEASMCA"/>
      </w:pPr>
      <w:r w:rsidRPr="004B20CE">
        <w:t>Tiapridal vartoti draudžiama:</w:t>
      </w:r>
    </w:p>
    <w:p w:rsidR="008F0E7A" w:rsidRPr="004B20CE" w:rsidRDefault="008F0E7A" w:rsidP="008F0E7A">
      <w:pPr>
        <w:pStyle w:val="BT-EMEASMCA"/>
        <w:tabs>
          <w:tab w:val="clear" w:pos="360"/>
        </w:tabs>
        <w:rPr>
          <w:u w:val="none"/>
        </w:rPr>
      </w:pPr>
      <w:r w:rsidRPr="004B20CE">
        <w:rPr>
          <w:u w:val="none"/>
        </w:rPr>
        <w:t>jeigu yra alergija veikliajai medžiagai arba bet kuriai pagalbinei šio vaisto medžiagai (jos išvardytos 6 skyriuje);</w:t>
      </w:r>
    </w:p>
    <w:p w:rsidR="008F0E7A" w:rsidRPr="004B20CE" w:rsidRDefault="008F0E7A" w:rsidP="008F0E7A">
      <w:pPr>
        <w:pStyle w:val="BT-EMEASMCA"/>
        <w:tabs>
          <w:tab w:val="clear" w:pos="360"/>
        </w:tabs>
        <w:rPr>
          <w:u w:val="none"/>
        </w:rPr>
      </w:pPr>
      <w:r w:rsidRPr="004B20CE">
        <w:rPr>
          <w:u w:val="none"/>
        </w:rPr>
        <w:t>jeigu yra nustatytas arba įtariamas navikas, priklausomas nuo prolaktino, pavyzdžiui, posmegeninės liaukos navikas (prolaktiną gaminanti adenoma) arba krūties vėžys;</w:t>
      </w:r>
    </w:p>
    <w:p w:rsidR="008F0E7A" w:rsidRPr="004B20CE" w:rsidRDefault="008F0E7A" w:rsidP="008F0E7A">
      <w:pPr>
        <w:pStyle w:val="BT-EMEASMCA"/>
        <w:tabs>
          <w:tab w:val="clear" w:pos="360"/>
        </w:tabs>
        <w:rPr>
          <w:u w:val="none"/>
        </w:rPr>
      </w:pPr>
      <w:r w:rsidRPr="004B20CE">
        <w:rPr>
          <w:u w:val="none"/>
        </w:rPr>
        <w:t>jeigu yra nustatyta arba įtariama feochromocitoma (antinksčių navikas, sukeliantis didelę hipertenziją);</w:t>
      </w:r>
    </w:p>
    <w:p w:rsidR="008F0E7A" w:rsidRPr="004B20CE" w:rsidRDefault="008F0E7A" w:rsidP="008F0E7A">
      <w:pPr>
        <w:pStyle w:val="BT-EMEASMCA"/>
        <w:tabs>
          <w:tab w:val="clear" w:pos="360"/>
        </w:tabs>
        <w:rPr>
          <w:u w:val="none"/>
        </w:rPr>
      </w:pPr>
      <w:r w:rsidRPr="004B20CE">
        <w:rPr>
          <w:u w:val="none"/>
        </w:rPr>
        <w:t>kai kartu vartojama levodopa arba kitokių dopaminerginių vaistų.</w:t>
      </w:r>
    </w:p>
    <w:p w:rsidR="008F0E7A" w:rsidRPr="004B20CE" w:rsidRDefault="008F0E7A" w:rsidP="008F0E7A">
      <w:pPr>
        <w:spacing w:after="0" w:line="240" w:lineRule="auto"/>
      </w:pPr>
    </w:p>
    <w:p w:rsidR="008F0E7A" w:rsidRPr="004B20CE" w:rsidRDefault="008F0E7A" w:rsidP="008F0E7A">
      <w:pPr>
        <w:spacing w:after="0" w:line="240" w:lineRule="auto"/>
        <w:rPr>
          <w:b/>
          <w:bCs/>
        </w:rPr>
      </w:pPr>
      <w:r w:rsidRPr="004B20CE">
        <w:rPr>
          <w:rFonts w:ascii="Times New Roman" w:hAnsi="Times New Roman"/>
          <w:b/>
          <w:bCs/>
        </w:rPr>
        <w:t xml:space="preserve">Įspėjimai ir atsargumo priemonės </w:t>
      </w:r>
    </w:p>
    <w:p w:rsidR="008F0E7A" w:rsidRPr="004B20CE" w:rsidRDefault="008F0E7A" w:rsidP="008F0E7A">
      <w:pPr>
        <w:spacing w:after="0" w:line="240" w:lineRule="auto"/>
      </w:pPr>
      <w:r w:rsidRPr="004B20CE">
        <w:rPr>
          <w:rFonts w:ascii="Times New Roman" w:hAnsi="Times New Roman"/>
        </w:rPr>
        <w:t>Pasitarkite su gydytoju arba vaistininku, prieš pradėdami vartoti Tiapridal.</w:t>
      </w:r>
    </w:p>
    <w:p w:rsidR="008F0E7A" w:rsidRPr="004B20CE" w:rsidRDefault="008F0E7A" w:rsidP="008F0E7A">
      <w:pPr>
        <w:pStyle w:val="PI-3EMEASMCA"/>
      </w:pPr>
    </w:p>
    <w:p w:rsidR="008F0E7A" w:rsidRPr="004B20CE" w:rsidRDefault="008F0E7A" w:rsidP="008F0E7A">
      <w:pPr>
        <w:tabs>
          <w:tab w:val="left" w:pos="1260"/>
        </w:tabs>
        <w:spacing w:after="0" w:line="240" w:lineRule="auto"/>
        <w:rPr>
          <w:rFonts w:ascii="Times New Roman" w:hAnsi="Times New Roman"/>
          <w:lang w:val="lt-LT"/>
        </w:rPr>
      </w:pPr>
      <w:r w:rsidRPr="004B20CE">
        <w:rPr>
          <w:noProof/>
          <w:lang w:val="lt-LT" w:eastAsia="lt-LT"/>
        </w:rPr>
        <mc:AlternateContent>
          <mc:Choice Requires="wps">
            <w:drawing>
              <wp:anchor distT="0" distB="0" distL="114300" distR="114300" simplePos="0" relativeHeight="251659264" behindDoc="0" locked="0" layoutInCell="1" allowOverlap="1" wp14:anchorId="4DE36CF8" wp14:editId="28D843AE">
                <wp:simplePos x="0" y="0"/>
                <wp:positionH relativeFrom="margin">
                  <wp:align>left</wp:align>
                </wp:positionH>
                <wp:positionV relativeFrom="paragraph">
                  <wp:posOffset>20955</wp:posOffset>
                </wp:positionV>
                <wp:extent cx="5715000" cy="108585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85850"/>
                        </a:xfrm>
                        <a:prstGeom prst="rect">
                          <a:avLst/>
                        </a:prstGeom>
                        <a:solidFill>
                          <a:srgbClr val="FFFFFF"/>
                        </a:solidFill>
                        <a:ln w="9525">
                          <a:solidFill>
                            <a:srgbClr val="000000"/>
                          </a:solidFill>
                          <a:miter lim="800000"/>
                          <a:headEnd/>
                          <a:tailEnd/>
                        </a:ln>
                      </wps:spPr>
                      <wps:txbx>
                        <w:txbxContent>
                          <w:p w:rsidR="008F0E7A" w:rsidRPr="00AC3F3E" w:rsidRDefault="008F0E7A" w:rsidP="008F0E7A">
                            <w:pPr>
                              <w:spacing w:after="0" w:line="240" w:lineRule="auto"/>
                              <w:rPr>
                                <w:rFonts w:ascii="Times New Roman" w:hAnsi="Times New Roman"/>
                                <w:lang w:val="lt-LT"/>
                              </w:rPr>
                            </w:pPr>
                            <w:r w:rsidRPr="004B20CE">
                              <w:rPr>
                                <w:rFonts w:ascii="Times New Roman" w:hAnsi="Times New Roman"/>
                                <w:lang w:val="lt-LT"/>
                              </w:rPr>
                              <w:t>Prasidėjus neaiškios kilmės karščiavimui, blyškimui, gausiam prakaitavimui, kraujospūdžio pokyčiams, sąmonės sutrikimams, raumenų rigidiškumui, ypač jeigu jau vartojate kitų vaistų psichikos sutrikimams gydyti, reikia nedelsiant kreiptis į gydytoją arba skubios pagalbos skyrių, nes tai gali būti mirtinai pavojingos komplikacijos - piktybinio neurolepsinio sindromo požymiai.</w:t>
                            </w:r>
                            <w:r w:rsidRPr="004B20CE">
                              <w:t xml:space="preserve"> </w:t>
                            </w:r>
                            <w:r w:rsidRPr="004B20CE">
                              <w:rPr>
                                <w:rFonts w:ascii="Times New Roman" w:hAnsi="Times New Roman"/>
                                <w:lang w:val="lt-LT"/>
                              </w:rPr>
                              <w:t>Buvo ir atipinio pasireiškimo, pvz., be raumenų rigidiškumo ar kraujospūdžio padidėjimo arba su mažesniu karščiavimu, atvejų.</w:t>
                            </w:r>
                          </w:p>
                          <w:p w:rsidR="008F0E7A" w:rsidRDefault="008F0E7A" w:rsidP="008F0E7A">
                            <w:pPr>
                              <w:rPr>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36CF8" id="Rectangle 2" o:spid="_x0000_s1026" style="position:absolute;margin-left:0;margin-top:1.65pt;width:450pt;height:8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">
                <v:textbox>
                  <w:txbxContent>
                    <w:p w:rsidR="008F0E7A" w:rsidRPr="00AC3F3E" w:rsidRDefault="008F0E7A" w:rsidP="008F0E7A">
                      <w:pPr>
                        <w:spacing w:after="0" w:line="240" w:lineRule="auto"/>
                        <w:rPr>
                          <w:rFonts w:ascii="Times New Roman" w:hAnsi="Times New Roman"/>
                          <w:lang w:val="lt-LT"/>
                        </w:rPr>
                      </w:pPr>
                      <w:r w:rsidRPr="004B20CE">
                        <w:rPr>
                          <w:rFonts w:ascii="Times New Roman" w:hAnsi="Times New Roman"/>
                          <w:lang w:val="lt-LT"/>
                        </w:rPr>
                        <w:t>Prasidėjus neaiškios kilmės karščiavimui, blyškimui, gausiam prakaitavimui, kraujospūdžio pokyčiams, sąmonės sutrikimams, raumenų rigidiškumui, ypač jeigu jau vartojate kitų vaistų psichikos sutrikimams gydyti, reikia nedelsiant kreiptis į gydytoją arba skubios pagalbos skyrių, nes tai gali būti mirtinai pavojingos komplikacijos - piktybinio neurolepsinio sindromo požymiai.</w:t>
                      </w:r>
                      <w:r w:rsidRPr="004B20CE">
                        <w:t xml:space="preserve"> </w:t>
                      </w:r>
                      <w:r w:rsidRPr="004B20CE">
                        <w:rPr>
                          <w:rFonts w:ascii="Times New Roman" w:hAnsi="Times New Roman"/>
                          <w:lang w:val="lt-LT"/>
                        </w:rPr>
                        <w:t>Buvo ir atipinio pasireiškimo, pvz., be raumenų rigidiškumo ar kraujospūdžio padidėjimo arba su mažesniu karščiavimu, atvejų.</w:t>
                      </w:r>
                    </w:p>
                    <w:p w:rsidR="008F0E7A" w:rsidRDefault="008F0E7A" w:rsidP="008F0E7A">
                      <w:pPr>
                        <w:rPr>
                          <w:lang w:val="lt-LT"/>
                        </w:rPr>
                      </w:pPr>
                    </w:p>
                  </w:txbxContent>
                </v:textbox>
                <w10:wrap anchorx="margin"/>
              </v:rect>
            </w:pict>
          </mc:Fallback>
        </mc:AlternateContent>
      </w:r>
    </w:p>
    <w:p w:rsidR="008F0E7A" w:rsidRPr="004B20CE" w:rsidRDefault="008F0E7A" w:rsidP="008F0E7A">
      <w:pPr>
        <w:pStyle w:val="BTEMEASMCA"/>
      </w:pPr>
    </w:p>
    <w:p w:rsidR="008F0E7A" w:rsidRPr="004B20CE" w:rsidRDefault="008F0E7A" w:rsidP="008F0E7A">
      <w:pPr>
        <w:pStyle w:val="PI-3EMEASMCA"/>
      </w:pPr>
    </w:p>
    <w:p w:rsidR="008F0E7A" w:rsidRPr="004B20CE" w:rsidRDefault="008F0E7A" w:rsidP="008F0E7A">
      <w:pPr>
        <w:pStyle w:val="PI-3EMEASMCA"/>
      </w:pPr>
    </w:p>
    <w:p w:rsidR="008F0E7A" w:rsidRPr="004B20CE" w:rsidRDefault="008F0E7A" w:rsidP="008F0E7A">
      <w:pPr>
        <w:pStyle w:val="PI-3EMEASMCA"/>
      </w:pPr>
    </w:p>
    <w:p w:rsidR="008F0E7A" w:rsidRPr="004B20CE" w:rsidRDefault="008F0E7A" w:rsidP="008F0E7A">
      <w:pPr>
        <w:spacing w:after="0" w:line="240" w:lineRule="auto"/>
        <w:rPr>
          <w:rFonts w:ascii="Times New Roman" w:hAnsi="Times New Roman"/>
          <w:lang w:val="lt-LT"/>
        </w:rPr>
      </w:pPr>
    </w:p>
    <w:p w:rsidR="008F0E7A" w:rsidRPr="004B20CE" w:rsidRDefault="008F0E7A" w:rsidP="008F0E7A">
      <w:pPr>
        <w:spacing w:after="0" w:line="240" w:lineRule="auto"/>
        <w:rPr>
          <w:rFonts w:ascii="Times New Roman" w:hAnsi="Times New Roman"/>
          <w:lang w:val="lt-LT"/>
        </w:rPr>
      </w:pP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Kad gydytojas galėtų nustatyti vaisto dozę ir (arba) prižiūrėti gydymą, būtina jį informuoti jei:</w:t>
      </w:r>
    </w:p>
    <w:p w:rsidR="008F0E7A" w:rsidRPr="004B20CE" w:rsidRDefault="008F0E7A" w:rsidP="008F0E7A">
      <w:pPr>
        <w:numPr>
          <w:ilvl w:val="0"/>
          <w:numId w:val="1"/>
        </w:numPr>
        <w:spacing w:after="0" w:line="240" w:lineRule="auto"/>
        <w:ind w:left="0" w:firstLine="0"/>
        <w:rPr>
          <w:rFonts w:ascii="Times New Roman" w:hAnsi="Times New Roman"/>
          <w:lang w:val="lt-LT"/>
        </w:rPr>
      </w:pPr>
      <w:r w:rsidRPr="004B20CE">
        <w:rPr>
          <w:rFonts w:ascii="Times New Roman" w:hAnsi="Times New Roman"/>
          <w:lang w:val="lt-LT"/>
        </w:rPr>
        <w:t>sergate širdies ritmo sutrikimais (gydytojas gali Jums užrašyti EKG),</w:t>
      </w:r>
    </w:p>
    <w:p w:rsidR="008F0E7A" w:rsidRPr="004B20CE" w:rsidRDefault="008F0E7A" w:rsidP="008F0E7A">
      <w:pPr>
        <w:numPr>
          <w:ilvl w:val="0"/>
          <w:numId w:val="1"/>
        </w:numPr>
        <w:spacing w:after="0" w:line="240" w:lineRule="auto"/>
        <w:ind w:left="0" w:firstLine="0"/>
        <w:rPr>
          <w:rFonts w:ascii="Times New Roman" w:hAnsi="Times New Roman"/>
          <w:lang w:val="lt-LT"/>
        </w:rPr>
      </w:pPr>
      <w:r w:rsidRPr="004B20CE">
        <w:rPr>
          <w:rFonts w:ascii="Times New Roman" w:hAnsi="Times New Roman"/>
          <w:lang w:val="lt-LT"/>
        </w:rPr>
        <w:lastRenderedPageBreak/>
        <w:t>yra įgimtas ilgas QT intervalas,</w:t>
      </w:r>
    </w:p>
    <w:p w:rsidR="008F0E7A" w:rsidRPr="004B20CE" w:rsidRDefault="008F0E7A" w:rsidP="008F0E7A">
      <w:pPr>
        <w:numPr>
          <w:ilvl w:val="0"/>
          <w:numId w:val="1"/>
        </w:numPr>
        <w:spacing w:after="0" w:line="240" w:lineRule="auto"/>
        <w:rPr>
          <w:rFonts w:ascii="Times New Roman" w:hAnsi="Times New Roman"/>
          <w:lang w:val="lt-LT"/>
        </w:rPr>
      </w:pPr>
      <w:r w:rsidRPr="004B20CE">
        <w:rPr>
          <w:rFonts w:ascii="Times New Roman" w:hAnsi="Times New Roman"/>
          <w:lang w:val="lt-LT"/>
        </w:rPr>
        <w:t>turite arba turėjote problemų dėl alkoholio vartojimo (žr. skyrių „Tiapridal vartojimas su maistu, gėrimais ir alkoholiu“),</w:t>
      </w:r>
    </w:p>
    <w:p w:rsidR="008F0E7A" w:rsidRPr="004B20CE" w:rsidRDefault="008F0E7A" w:rsidP="008F0E7A">
      <w:pPr>
        <w:numPr>
          <w:ilvl w:val="0"/>
          <w:numId w:val="1"/>
        </w:numPr>
        <w:spacing w:after="0" w:line="240" w:lineRule="auto"/>
        <w:rPr>
          <w:rFonts w:ascii="Times New Roman" w:hAnsi="Times New Roman"/>
          <w:lang w:val="lt-LT"/>
        </w:rPr>
      </w:pPr>
      <w:r w:rsidRPr="004B20CE">
        <w:rPr>
          <w:rFonts w:ascii="Times New Roman" w:hAnsi="Times New Roman"/>
          <w:lang w:val="lt-LT"/>
        </w:rPr>
        <w:t>vartojate vaistus, kurie gali sukelti širdies ritmo, elektrolitų pusiausvyros sutrikimus (žr. 2 skyriaus poskyrį „Kiti vaistai ir Tiapridal“),</w:t>
      </w:r>
    </w:p>
    <w:p w:rsidR="008F0E7A" w:rsidRPr="004B20CE" w:rsidRDefault="008F0E7A" w:rsidP="008F0E7A">
      <w:pPr>
        <w:numPr>
          <w:ilvl w:val="0"/>
          <w:numId w:val="1"/>
        </w:numPr>
        <w:spacing w:after="0" w:line="240" w:lineRule="auto"/>
        <w:ind w:left="0" w:firstLine="0"/>
        <w:rPr>
          <w:rFonts w:ascii="Times New Roman" w:hAnsi="Times New Roman"/>
          <w:lang w:val="lt-LT"/>
        </w:rPr>
      </w:pPr>
      <w:r w:rsidRPr="004B20CE">
        <w:rPr>
          <w:rFonts w:ascii="Times New Roman" w:hAnsi="Times New Roman"/>
          <w:lang w:val="lt-LT"/>
        </w:rPr>
        <w:t>sergate Parkinsono liga,</w:t>
      </w:r>
    </w:p>
    <w:p w:rsidR="008F0E7A" w:rsidRPr="004B20CE" w:rsidRDefault="008F0E7A" w:rsidP="008F0E7A">
      <w:pPr>
        <w:numPr>
          <w:ilvl w:val="0"/>
          <w:numId w:val="1"/>
        </w:numPr>
        <w:spacing w:after="0" w:line="240" w:lineRule="auto"/>
        <w:rPr>
          <w:rFonts w:ascii="Times New Roman" w:hAnsi="Times New Roman"/>
          <w:lang w:val="lt-LT"/>
        </w:rPr>
      </w:pPr>
      <w:r w:rsidRPr="004B20CE">
        <w:rPr>
          <w:rFonts w:ascii="Times New Roman" w:hAnsi="Times New Roman"/>
          <w:lang w:val="lt-LT"/>
        </w:rPr>
        <w:t>yra inkstų veiklos sutrikimų (yra perdozavimo sukeltos komos pasireiškimo rizika),</w:t>
      </w:r>
    </w:p>
    <w:p w:rsidR="008F0E7A" w:rsidRPr="004B20CE" w:rsidRDefault="008F0E7A" w:rsidP="008F0E7A">
      <w:pPr>
        <w:numPr>
          <w:ilvl w:val="0"/>
          <w:numId w:val="1"/>
        </w:numPr>
        <w:spacing w:after="0" w:line="240" w:lineRule="auto"/>
        <w:ind w:left="0" w:firstLine="0"/>
        <w:rPr>
          <w:rFonts w:ascii="Times New Roman" w:hAnsi="Times New Roman"/>
          <w:lang w:val="lt-LT"/>
        </w:rPr>
      </w:pPr>
      <w:r w:rsidRPr="004B20CE">
        <w:rPr>
          <w:rFonts w:ascii="Times New Roman" w:hAnsi="Times New Roman"/>
          <w:lang w:val="lt-LT"/>
        </w:rPr>
        <w:t>sergate epilepsija,</w:t>
      </w:r>
    </w:p>
    <w:p w:rsidR="008F0E7A" w:rsidRPr="004B20CE" w:rsidRDefault="008F0E7A" w:rsidP="008F0E7A">
      <w:pPr>
        <w:numPr>
          <w:ilvl w:val="0"/>
          <w:numId w:val="1"/>
        </w:numPr>
        <w:spacing w:after="0" w:line="240" w:lineRule="auto"/>
        <w:rPr>
          <w:rFonts w:ascii="Times New Roman" w:hAnsi="Times New Roman"/>
          <w:lang w:val="lt-LT"/>
        </w:rPr>
      </w:pPr>
      <w:r w:rsidRPr="004B20CE">
        <w:rPr>
          <w:rFonts w:ascii="Times New Roman" w:hAnsi="Times New Roman"/>
          <w:lang w:val="lt-LT"/>
        </w:rPr>
        <w:t>Jums daugiau nei 65 metai (yra sąmonės sutrikimo ir komos pasireiškimo rizika),</w:t>
      </w:r>
    </w:p>
    <w:p w:rsidR="008F0E7A" w:rsidRPr="004B20CE" w:rsidRDefault="008F0E7A" w:rsidP="008F0E7A">
      <w:pPr>
        <w:numPr>
          <w:ilvl w:val="0"/>
          <w:numId w:val="1"/>
        </w:numPr>
        <w:spacing w:after="0" w:line="240" w:lineRule="auto"/>
        <w:ind w:left="0" w:firstLine="0"/>
        <w:rPr>
          <w:rFonts w:ascii="Times New Roman" w:hAnsi="Times New Roman"/>
          <w:lang w:val="lt-LT"/>
        </w:rPr>
      </w:pPr>
      <w:r w:rsidRPr="004B20CE">
        <w:rPr>
          <w:rFonts w:ascii="Times New Roman" w:hAnsi="Times New Roman"/>
          <w:lang w:val="lt-LT"/>
        </w:rPr>
        <w:t>sergate demencija,</w:t>
      </w:r>
    </w:p>
    <w:p w:rsidR="008F0E7A" w:rsidRPr="004B20CE" w:rsidRDefault="008F0E7A" w:rsidP="008F0E7A">
      <w:pPr>
        <w:numPr>
          <w:ilvl w:val="0"/>
          <w:numId w:val="1"/>
        </w:numPr>
        <w:spacing w:after="0" w:line="240" w:lineRule="auto"/>
        <w:ind w:left="0" w:firstLine="0"/>
        <w:rPr>
          <w:rFonts w:ascii="Times New Roman" w:hAnsi="Times New Roman"/>
          <w:lang w:val="lt-LT"/>
        </w:rPr>
      </w:pPr>
      <w:r w:rsidRPr="004B20CE">
        <w:rPr>
          <w:rFonts w:ascii="Times New Roman" w:hAnsi="Times New Roman"/>
          <w:lang w:val="lt-LT"/>
        </w:rPr>
        <w:t>sumažėjęs kalio kiekis Jūsų kraujyje,</w:t>
      </w:r>
    </w:p>
    <w:p w:rsidR="008F0E7A" w:rsidRPr="004B20CE" w:rsidRDefault="008F0E7A" w:rsidP="008F0E7A">
      <w:pPr>
        <w:numPr>
          <w:ilvl w:val="0"/>
          <w:numId w:val="1"/>
        </w:numPr>
        <w:spacing w:after="0" w:line="240" w:lineRule="auto"/>
        <w:ind w:left="0" w:firstLine="0"/>
        <w:rPr>
          <w:rFonts w:ascii="Times New Roman" w:hAnsi="Times New Roman"/>
          <w:lang w:val="lt-LT"/>
        </w:rPr>
      </w:pPr>
      <w:r w:rsidRPr="004B20CE">
        <w:rPr>
          <w:rFonts w:ascii="Times New Roman" w:hAnsi="Times New Roman"/>
          <w:lang w:val="lt-LT"/>
        </w:rPr>
        <w:t>turite insulto rizikos veiksnių,</w:t>
      </w:r>
    </w:p>
    <w:p w:rsidR="008F0E7A" w:rsidRPr="004B20CE" w:rsidRDefault="008F0E7A" w:rsidP="008F0E7A">
      <w:pPr>
        <w:numPr>
          <w:ilvl w:val="0"/>
          <w:numId w:val="1"/>
        </w:numPr>
        <w:spacing w:after="0" w:line="240" w:lineRule="auto"/>
        <w:rPr>
          <w:rFonts w:ascii="Times New Roman" w:hAnsi="Times New Roman"/>
          <w:lang w:val="lt-LT"/>
        </w:rPr>
      </w:pPr>
      <w:r w:rsidRPr="004B20CE">
        <w:rPr>
          <w:rFonts w:ascii="Times New Roman" w:hAnsi="Times New Roman"/>
          <w:lang w:val="lt-LT"/>
        </w:rPr>
        <w:t>Jums arba kažkam iš Jūsų šeimos buvo susidaręs kraujo krešulys, kadangi vaistai, tokie kaip šis, yra susiję su krešulių formavimusi,</w:t>
      </w:r>
    </w:p>
    <w:p w:rsidR="008F0E7A" w:rsidRPr="004B20CE" w:rsidRDefault="008F0E7A" w:rsidP="008F0E7A">
      <w:pPr>
        <w:numPr>
          <w:ilvl w:val="0"/>
          <w:numId w:val="1"/>
        </w:numPr>
        <w:spacing w:after="0" w:line="240" w:lineRule="auto"/>
        <w:rPr>
          <w:rFonts w:ascii="Times New Roman" w:hAnsi="Times New Roman"/>
          <w:lang w:val="lt-LT"/>
        </w:rPr>
      </w:pPr>
      <w:r w:rsidRPr="004B20CE">
        <w:rPr>
          <w:rFonts w:ascii="Times New Roman" w:hAnsi="Times New Roman"/>
          <w:lang w:val="lt-LT"/>
        </w:rPr>
        <w:t>Jūs arba bet kuris Jūsų giminaitis sirgo krūties vėžiu.</w:t>
      </w:r>
    </w:p>
    <w:p w:rsidR="008F0E7A" w:rsidRPr="004B20CE" w:rsidRDefault="008F0E7A" w:rsidP="008F0E7A">
      <w:pPr>
        <w:spacing w:after="0" w:line="240" w:lineRule="auto"/>
        <w:rPr>
          <w:rFonts w:ascii="Times New Roman" w:hAnsi="Times New Roman"/>
          <w:lang w:val="lt-LT"/>
        </w:rPr>
      </w:pPr>
    </w:p>
    <w:p w:rsidR="008F0E7A" w:rsidRPr="004B20CE" w:rsidRDefault="008F0E7A" w:rsidP="008F0E7A">
      <w:pPr>
        <w:autoSpaceDE w:val="0"/>
        <w:autoSpaceDN w:val="0"/>
        <w:adjustRightInd w:val="0"/>
        <w:spacing w:after="0"/>
        <w:rPr>
          <w:rFonts w:ascii="Times New Roman" w:hAnsi="Times New Roman"/>
          <w:color w:val="000000"/>
          <w:lang w:val="lt-LT"/>
        </w:rPr>
      </w:pPr>
      <w:r w:rsidRPr="004B20CE">
        <w:rPr>
          <w:rFonts w:ascii="Times New Roman" w:hAnsi="Times New Roman"/>
          <w:color w:val="000000"/>
          <w:lang w:val="lt-LT"/>
        </w:rPr>
        <w:t>Nepaaiškinamos infekcijos ar karščiavimas, atsiradę vartojant vaistų nuo psichozių, įskaitant ir Tiapridal, gali būti tam tikrų kraujo ląstelių kiekio sutrikimo požymis. Tokiu atveju reikia skubiai ištirti kraują.</w:t>
      </w:r>
    </w:p>
    <w:p w:rsidR="008F0E7A" w:rsidRPr="004B20CE" w:rsidRDefault="008F0E7A" w:rsidP="008F0E7A">
      <w:pPr>
        <w:spacing w:after="0" w:line="240" w:lineRule="auto"/>
        <w:rPr>
          <w:rFonts w:ascii="Times New Roman" w:hAnsi="Times New Roman"/>
          <w:lang w:val="lt-LT"/>
        </w:rPr>
      </w:pPr>
    </w:p>
    <w:p w:rsidR="008F0E7A" w:rsidRPr="004B20CE" w:rsidRDefault="008F0E7A" w:rsidP="008F0E7A">
      <w:pPr>
        <w:spacing w:after="0" w:line="240" w:lineRule="auto"/>
        <w:jc w:val="both"/>
        <w:rPr>
          <w:rFonts w:ascii="Times New Roman" w:hAnsi="Times New Roman"/>
          <w:i/>
          <w:lang w:val="lt-LT"/>
        </w:rPr>
      </w:pPr>
      <w:r w:rsidRPr="004B20CE">
        <w:rPr>
          <w:rFonts w:ascii="Times New Roman" w:hAnsi="Times New Roman"/>
          <w:b/>
          <w:lang w:val="lt-LT"/>
        </w:rPr>
        <w:t>Vaikams</w:t>
      </w:r>
    </w:p>
    <w:p w:rsidR="008F0E7A" w:rsidRPr="004B20CE" w:rsidRDefault="008F0E7A" w:rsidP="008F0E7A">
      <w:pPr>
        <w:spacing w:after="0" w:line="240" w:lineRule="auto"/>
        <w:jc w:val="both"/>
        <w:rPr>
          <w:rFonts w:ascii="Times New Roman" w:hAnsi="Times New Roman"/>
          <w:lang w:val="lt-LT"/>
        </w:rPr>
      </w:pPr>
      <w:r w:rsidRPr="004B20CE">
        <w:rPr>
          <w:rFonts w:ascii="Times New Roman" w:hAnsi="Times New Roman"/>
          <w:lang w:val="lt-LT"/>
        </w:rPr>
        <w:t>Svarbu reguliariai tikrinti šiuo vaistu gydomų vaikų sveikatą.</w:t>
      </w:r>
    </w:p>
    <w:p w:rsidR="008F0E7A" w:rsidRPr="004B20CE" w:rsidRDefault="008F0E7A" w:rsidP="008F0E7A">
      <w:pPr>
        <w:spacing w:after="0" w:line="240" w:lineRule="auto"/>
        <w:jc w:val="both"/>
        <w:rPr>
          <w:rFonts w:ascii="Times New Roman" w:hAnsi="Times New Roman"/>
          <w:lang w:val="lt-LT"/>
        </w:rPr>
      </w:pPr>
      <w:r w:rsidRPr="004B20CE">
        <w:rPr>
          <w:rFonts w:ascii="Times New Roman" w:hAnsi="Times New Roman"/>
          <w:lang w:val="lt-LT"/>
        </w:rPr>
        <w:t>Tablečių negalima vartoti vaikams iki 6 metų, nes vaikas gali užspringti.</w:t>
      </w:r>
    </w:p>
    <w:p w:rsidR="008F0E7A" w:rsidRPr="004B20CE" w:rsidRDefault="008F0E7A" w:rsidP="008F0E7A">
      <w:pPr>
        <w:spacing w:after="0" w:line="240" w:lineRule="auto"/>
        <w:jc w:val="both"/>
        <w:rPr>
          <w:rFonts w:ascii="Times New Roman" w:hAnsi="Times New Roman"/>
          <w:lang w:val="lt-LT"/>
        </w:rPr>
      </w:pPr>
    </w:p>
    <w:p w:rsidR="008F0E7A" w:rsidRPr="004B20CE" w:rsidRDefault="008F0E7A" w:rsidP="008F0E7A">
      <w:pPr>
        <w:pStyle w:val="PI-3EMEASMCA"/>
      </w:pPr>
      <w:r w:rsidRPr="004B20CE">
        <w:t>Kiti vaistai ir Tiapridal</w:t>
      </w:r>
    </w:p>
    <w:p w:rsidR="008F0E7A" w:rsidRPr="004B20CE" w:rsidRDefault="008F0E7A" w:rsidP="008F0E7A">
      <w:pPr>
        <w:pStyle w:val="BTEMEASMCA"/>
        <w:rPr>
          <w:u w:val="none"/>
        </w:rPr>
      </w:pPr>
      <w:r w:rsidRPr="004B20CE">
        <w:rPr>
          <w:u w:val="none"/>
        </w:rPr>
        <w:t>Jeigu vartojate ar neseniai vartojote kitų vaistų</w:t>
      </w:r>
      <w:r w:rsidRPr="004B20CE">
        <w:rPr>
          <w:noProof/>
          <w:snapToGrid w:val="0"/>
          <w:u w:val="none"/>
        </w:rPr>
        <w:t xml:space="preserve"> </w:t>
      </w:r>
      <w:r w:rsidRPr="004B20CE">
        <w:rPr>
          <w:u w:val="none"/>
        </w:rPr>
        <w:t>arba dėl to nesate tikri, apie tai pasakykite gydytojui arba vaistininkui.</w:t>
      </w:r>
    </w:p>
    <w:p w:rsidR="008F0E7A" w:rsidRPr="004B20CE" w:rsidRDefault="008F0E7A" w:rsidP="008F0E7A">
      <w:pPr>
        <w:pStyle w:val="Pagrindinistekstas"/>
        <w:jc w:val="left"/>
        <w:rPr>
          <w:rFonts w:ascii="Times New Roman" w:hAnsi="Times New Roman"/>
          <w:szCs w:val="22"/>
          <w:lang w:val="lt-LT"/>
        </w:rPr>
      </w:pPr>
    </w:p>
    <w:p w:rsidR="008F0E7A" w:rsidRPr="004B20CE" w:rsidRDefault="008F0E7A" w:rsidP="008F0E7A">
      <w:pPr>
        <w:pStyle w:val="Pagrindinistekstas"/>
        <w:jc w:val="left"/>
        <w:rPr>
          <w:rFonts w:ascii="Times New Roman" w:hAnsi="Times New Roman"/>
          <w:szCs w:val="22"/>
          <w:lang w:val="lt-LT"/>
        </w:rPr>
      </w:pPr>
      <w:r w:rsidRPr="004B20CE">
        <w:rPr>
          <w:rFonts w:ascii="Times New Roman" w:hAnsi="Times New Roman"/>
          <w:szCs w:val="22"/>
          <w:lang w:val="lt-LT"/>
        </w:rPr>
        <w:t xml:space="preserve">Tiapridal </w:t>
      </w:r>
      <w:r w:rsidRPr="004B20CE">
        <w:rPr>
          <w:rFonts w:ascii="Times New Roman" w:hAnsi="Times New Roman"/>
          <w:b/>
          <w:szCs w:val="22"/>
          <w:lang w:val="lt-LT"/>
        </w:rPr>
        <w:t>negalima</w:t>
      </w:r>
      <w:r w:rsidRPr="004B20CE">
        <w:rPr>
          <w:rFonts w:ascii="Times New Roman" w:hAnsi="Times New Roman"/>
          <w:szCs w:val="22"/>
          <w:lang w:val="lt-LT"/>
        </w:rPr>
        <w:t xml:space="preserve"> vartoti kartu su dopaminerginiais agonistais, išskyrus vartojamais Parkinsono ligai gydyti (kabergolinas, kvinagolidas) (žr. 2 skyriaus poskyrį „Tiapridal vartoti draudžiama“).</w:t>
      </w:r>
    </w:p>
    <w:p w:rsidR="008F0E7A" w:rsidRPr="004B20CE" w:rsidRDefault="008F0E7A" w:rsidP="008F0E7A">
      <w:pPr>
        <w:pStyle w:val="Pagrindinistekstas"/>
        <w:rPr>
          <w:rFonts w:ascii="Times New Roman" w:hAnsi="Times New Roman"/>
          <w:szCs w:val="22"/>
          <w:lang w:val="lt-LT"/>
        </w:rPr>
      </w:pPr>
    </w:p>
    <w:p w:rsidR="008F0E7A" w:rsidRPr="004B20CE" w:rsidRDefault="008F0E7A" w:rsidP="008F0E7A">
      <w:pPr>
        <w:pStyle w:val="Pagrindinistekstas"/>
        <w:rPr>
          <w:rFonts w:ascii="Times New Roman" w:hAnsi="Times New Roman"/>
          <w:szCs w:val="22"/>
          <w:lang w:val="lt-LT"/>
        </w:rPr>
      </w:pPr>
      <w:r w:rsidRPr="004B20CE">
        <w:rPr>
          <w:rFonts w:ascii="Times New Roman" w:hAnsi="Times New Roman"/>
          <w:szCs w:val="22"/>
          <w:lang w:val="lt-LT"/>
        </w:rPr>
        <w:t xml:space="preserve">Vaistai, kurių vartoti kartu su Tiapridal </w:t>
      </w:r>
      <w:r w:rsidRPr="004B20CE">
        <w:rPr>
          <w:rFonts w:ascii="Times New Roman" w:hAnsi="Times New Roman"/>
          <w:b/>
          <w:szCs w:val="22"/>
          <w:lang w:val="lt-LT"/>
        </w:rPr>
        <w:t>nepatariama</w:t>
      </w:r>
      <w:r w:rsidRPr="004B20CE">
        <w:rPr>
          <w:rFonts w:ascii="Times New Roman" w:hAnsi="Times New Roman"/>
          <w:szCs w:val="22"/>
          <w:lang w:val="lt-LT"/>
        </w:rPr>
        <w:t>:</w:t>
      </w:r>
    </w:p>
    <w:p w:rsidR="008F0E7A" w:rsidRPr="004B20CE" w:rsidRDefault="008F0E7A" w:rsidP="008F0E7A">
      <w:pPr>
        <w:pStyle w:val="Pagrindinistekstas"/>
        <w:numPr>
          <w:ilvl w:val="0"/>
          <w:numId w:val="2"/>
        </w:numPr>
        <w:ind w:left="0" w:firstLine="0"/>
        <w:jc w:val="left"/>
        <w:rPr>
          <w:rFonts w:ascii="Times New Roman" w:hAnsi="Times New Roman"/>
          <w:szCs w:val="22"/>
          <w:lang w:val="lt-LT"/>
        </w:rPr>
      </w:pPr>
      <w:r w:rsidRPr="004B20CE">
        <w:rPr>
          <w:rFonts w:ascii="Times New Roman" w:hAnsi="Times New Roman"/>
          <w:szCs w:val="22"/>
          <w:lang w:val="lt-LT"/>
        </w:rPr>
        <w:t xml:space="preserve">Vaistai, galintys sukelti pavojingą širdies ritmo sutrikimą </w:t>
      </w:r>
      <w:r w:rsidRPr="004B20CE">
        <w:rPr>
          <w:rFonts w:ascii="Times New Roman" w:hAnsi="Times New Roman"/>
          <w:bCs/>
          <w:color w:val="000000"/>
          <w:szCs w:val="22"/>
          <w:lang w:val="lt-LT"/>
        </w:rPr>
        <w:t>(torsade de pointes)</w:t>
      </w:r>
      <w:r w:rsidRPr="004B20CE">
        <w:rPr>
          <w:rFonts w:ascii="Times New Roman" w:hAnsi="Times New Roman"/>
          <w:szCs w:val="22"/>
          <w:lang w:val="lt-LT"/>
        </w:rPr>
        <w:t>:</w:t>
      </w:r>
    </w:p>
    <w:p w:rsidR="008F0E7A" w:rsidRPr="004B20CE" w:rsidRDefault="008F0E7A" w:rsidP="008F0E7A">
      <w:pPr>
        <w:pStyle w:val="Pagrindinistekstas"/>
        <w:numPr>
          <w:ilvl w:val="0"/>
          <w:numId w:val="7"/>
        </w:numPr>
        <w:jc w:val="left"/>
        <w:rPr>
          <w:rFonts w:ascii="Times New Roman" w:hAnsi="Times New Roman"/>
          <w:szCs w:val="22"/>
          <w:lang w:val="lt-LT"/>
        </w:rPr>
      </w:pPr>
      <w:r w:rsidRPr="004B20CE">
        <w:rPr>
          <w:rFonts w:ascii="Times New Roman" w:hAnsi="Times New Roman"/>
          <w:szCs w:val="22"/>
          <w:lang w:val="lt-LT"/>
        </w:rPr>
        <w:t>Ia klasės antiaritminiai vaistai (chinidinas, hidrochinidinas, dizopiramidas),</w:t>
      </w:r>
    </w:p>
    <w:p w:rsidR="008F0E7A" w:rsidRPr="004B20CE" w:rsidRDefault="008F0E7A" w:rsidP="008F0E7A">
      <w:pPr>
        <w:pStyle w:val="Pagrindinistekstas"/>
        <w:numPr>
          <w:ilvl w:val="0"/>
          <w:numId w:val="7"/>
        </w:numPr>
        <w:jc w:val="left"/>
        <w:rPr>
          <w:rFonts w:ascii="Times New Roman" w:hAnsi="Times New Roman"/>
          <w:szCs w:val="22"/>
          <w:lang w:val="lt-LT"/>
        </w:rPr>
      </w:pPr>
      <w:r w:rsidRPr="004B20CE">
        <w:rPr>
          <w:rFonts w:ascii="Times New Roman" w:hAnsi="Times New Roman"/>
          <w:szCs w:val="22"/>
          <w:lang w:val="lt-LT"/>
        </w:rPr>
        <w:t>III klasės antiaritminiai vaistai (amjodaronas, sotalolis, dofetilidas, ibutilidas),</w:t>
      </w:r>
    </w:p>
    <w:p w:rsidR="008F0E7A" w:rsidRPr="004B20CE" w:rsidRDefault="008F0E7A" w:rsidP="008F0E7A">
      <w:pPr>
        <w:pStyle w:val="Pagrindinistekstas"/>
        <w:numPr>
          <w:ilvl w:val="0"/>
          <w:numId w:val="7"/>
        </w:numPr>
        <w:jc w:val="left"/>
        <w:rPr>
          <w:rFonts w:ascii="Times New Roman" w:hAnsi="Times New Roman"/>
          <w:szCs w:val="22"/>
          <w:lang w:val="lt-LT"/>
        </w:rPr>
      </w:pPr>
      <w:r w:rsidRPr="004B20CE">
        <w:rPr>
          <w:rFonts w:ascii="Times New Roman" w:hAnsi="Times New Roman"/>
          <w:szCs w:val="22"/>
          <w:lang w:val="lt-LT"/>
        </w:rPr>
        <w:t>kai kurie neuroleptikai (pimozidas, sultopridas, pipotiazinas, sertindolas, veralipidas, chlorpromazinas, levomepromazinas, trifluoperazinas, ciamemazinas, sulpiridas, haloperidolis, droperidolis, flufenazinas, pipamperonas, flupentiksolis, zuklopentiksolis),</w:t>
      </w:r>
    </w:p>
    <w:p w:rsidR="008F0E7A" w:rsidRPr="004B20CE" w:rsidRDefault="008F0E7A" w:rsidP="008F0E7A">
      <w:pPr>
        <w:pStyle w:val="Pagrindinistekstas"/>
        <w:numPr>
          <w:ilvl w:val="0"/>
          <w:numId w:val="7"/>
        </w:numPr>
        <w:jc w:val="left"/>
        <w:rPr>
          <w:rFonts w:ascii="Times New Roman" w:hAnsi="Times New Roman"/>
          <w:szCs w:val="22"/>
          <w:lang w:val="lt-LT"/>
        </w:rPr>
      </w:pPr>
      <w:r w:rsidRPr="004B20CE">
        <w:rPr>
          <w:rFonts w:ascii="Times New Roman" w:hAnsi="Times New Roman"/>
          <w:szCs w:val="22"/>
          <w:lang w:val="lt-LT"/>
        </w:rPr>
        <w:t>kai kurie antiparazitiniai vaistai (halofantrinas, lumefrantinas, pentamidinas),</w:t>
      </w:r>
    </w:p>
    <w:p w:rsidR="008F0E7A" w:rsidRPr="004B20CE" w:rsidRDefault="008F0E7A" w:rsidP="008F0E7A">
      <w:pPr>
        <w:pStyle w:val="Pagrindinistekstas"/>
        <w:numPr>
          <w:ilvl w:val="0"/>
          <w:numId w:val="7"/>
        </w:numPr>
        <w:jc w:val="left"/>
        <w:rPr>
          <w:rFonts w:ascii="Times New Roman" w:hAnsi="Times New Roman"/>
          <w:szCs w:val="22"/>
          <w:lang w:val="lt-LT"/>
        </w:rPr>
      </w:pPr>
      <w:r w:rsidRPr="004B20CE">
        <w:rPr>
          <w:rFonts w:ascii="Times New Roman" w:hAnsi="Times New Roman"/>
          <w:szCs w:val="22"/>
          <w:lang w:val="lt-LT"/>
        </w:rPr>
        <w:t xml:space="preserve">kitokie vaistai (į veną leidžiamas eritromicinas, į veną leidžiamas spiramicinas, į veną leidžiamas vinkaminas, moksifloksacinas, bepridilis, cisapridas, difemanilis, mizolastinas). </w:t>
      </w:r>
    </w:p>
    <w:p w:rsidR="008F0E7A" w:rsidRPr="004B20CE" w:rsidRDefault="008F0E7A" w:rsidP="008F0E7A">
      <w:pPr>
        <w:pStyle w:val="Pagrindinistekstas"/>
        <w:numPr>
          <w:ilvl w:val="0"/>
          <w:numId w:val="2"/>
        </w:numPr>
        <w:jc w:val="left"/>
        <w:rPr>
          <w:rFonts w:ascii="Times New Roman" w:hAnsi="Times New Roman"/>
          <w:szCs w:val="22"/>
          <w:lang w:val="lt-LT"/>
        </w:rPr>
      </w:pPr>
      <w:r w:rsidRPr="004B20CE">
        <w:rPr>
          <w:rFonts w:ascii="Times New Roman" w:hAnsi="Times New Roman"/>
          <w:szCs w:val="22"/>
          <w:lang w:val="lt-LT"/>
        </w:rPr>
        <w:t>Levodopa (vaistas Parkinsono ligai gydyti) – gydytojas turi paskirti mažiausią veiksmingą dozę abiejų kartu vartojamų vaistų.</w:t>
      </w:r>
    </w:p>
    <w:p w:rsidR="008F0E7A" w:rsidRPr="004B20CE" w:rsidRDefault="008F0E7A" w:rsidP="008F0E7A">
      <w:pPr>
        <w:pStyle w:val="Pagrindinistekstas"/>
        <w:numPr>
          <w:ilvl w:val="0"/>
          <w:numId w:val="2"/>
        </w:numPr>
        <w:jc w:val="left"/>
        <w:rPr>
          <w:rFonts w:ascii="Times New Roman" w:hAnsi="Times New Roman"/>
          <w:szCs w:val="22"/>
          <w:lang w:val="lt-LT"/>
        </w:rPr>
      </w:pPr>
      <w:r w:rsidRPr="004B20CE">
        <w:rPr>
          <w:rFonts w:ascii="Times New Roman" w:hAnsi="Times New Roman"/>
          <w:szCs w:val="22"/>
          <w:lang w:val="lt-LT"/>
        </w:rPr>
        <w:t>Jei sergate Parkinsono liga ir gydotės dopaminerginiais agonistais, išskyrus levodopą (amantadinas, apomorfinas, bromokriptinas, entakaponas, lizuridas, pergolidas, piribedilis, pramipeksolis, ropinirolis, selegilinas); jei Parkinsono liga sergančiam pacientui būtinas gydymas Tiapridal, dopaminerginių agonistų vartojimas turi būti laipsniškai mažinamas ir nutraukiamas; dopaminerginiai agonistai gali sukelti ar pasunkinti psichikos sutrikimus.</w:t>
      </w:r>
    </w:p>
    <w:p w:rsidR="008F0E7A" w:rsidRPr="004B20CE" w:rsidRDefault="008F0E7A" w:rsidP="008F0E7A">
      <w:pPr>
        <w:pStyle w:val="Pagrindinistekstas"/>
        <w:numPr>
          <w:ilvl w:val="0"/>
          <w:numId w:val="2"/>
        </w:numPr>
        <w:ind w:left="0" w:firstLine="0"/>
        <w:jc w:val="left"/>
        <w:rPr>
          <w:rFonts w:ascii="Times New Roman" w:hAnsi="Times New Roman"/>
          <w:szCs w:val="22"/>
          <w:lang w:val="lt-LT"/>
        </w:rPr>
      </w:pPr>
      <w:r w:rsidRPr="004B20CE">
        <w:rPr>
          <w:rFonts w:ascii="Times New Roman" w:hAnsi="Times New Roman"/>
          <w:szCs w:val="22"/>
          <w:lang w:val="lt-LT"/>
        </w:rPr>
        <w:t>Metadonas.</w:t>
      </w:r>
    </w:p>
    <w:p w:rsidR="008F0E7A" w:rsidRPr="004B20CE" w:rsidRDefault="008F0E7A" w:rsidP="008F0E7A">
      <w:pPr>
        <w:pStyle w:val="Pagrindinistekstas"/>
        <w:numPr>
          <w:ilvl w:val="0"/>
          <w:numId w:val="2"/>
        </w:numPr>
        <w:ind w:left="0" w:firstLine="0"/>
        <w:jc w:val="left"/>
        <w:rPr>
          <w:rFonts w:ascii="Times New Roman" w:hAnsi="Times New Roman"/>
          <w:szCs w:val="22"/>
          <w:lang w:val="lt-LT"/>
        </w:rPr>
      </w:pPr>
      <w:r w:rsidRPr="004B20CE">
        <w:rPr>
          <w:rFonts w:ascii="Times New Roman" w:hAnsi="Times New Roman"/>
          <w:szCs w:val="22"/>
          <w:lang w:val="lt-LT"/>
        </w:rPr>
        <w:t>Vaistai, kurių sudėtyje yra alkoholio, nes alkoholis stiprina raminamąjį poveikį.</w:t>
      </w:r>
    </w:p>
    <w:p w:rsidR="008F0E7A" w:rsidRPr="004B20CE" w:rsidRDefault="008F0E7A" w:rsidP="008F0E7A">
      <w:pPr>
        <w:pStyle w:val="Pagrindinistekstas"/>
        <w:rPr>
          <w:rFonts w:ascii="Times New Roman" w:hAnsi="Times New Roman"/>
          <w:szCs w:val="22"/>
          <w:lang w:val="lt-LT"/>
        </w:rPr>
      </w:pPr>
    </w:p>
    <w:p w:rsidR="008F0E7A" w:rsidRPr="004B20CE" w:rsidRDefault="008F0E7A" w:rsidP="008F0E7A">
      <w:pPr>
        <w:pStyle w:val="Pagrindinistekstas"/>
        <w:tabs>
          <w:tab w:val="left" w:pos="567"/>
        </w:tabs>
        <w:rPr>
          <w:rFonts w:ascii="Times New Roman" w:hAnsi="Times New Roman"/>
          <w:szCs w:val="22"/>
          <w:lang w:val="lt-LT"/>
        </w:rPr>
      </w:pPr>
      <w:r w:rsidRPr="004B20CE">
        <w:rPr>
          <w:rFonts w:ascii="Times New Roman" w:hAnsi="Times New Roman"/>
          <w:szCs w:val="22"/>
          <w:lang w:val="lt-LT"/>
        </w:rPr>
        <w:t xml:space="preserve">Vaistai, kuriuos vartoti su Tiapridal reikia </w:t>
      </w:r>
      <w:r w:rsidRPr="004B20CE">
        <w:rPr>
          <w:rFonts w:ascii="Times New Roman" w:hAnsi="Times New Roman"/>
          <w:b/>
          <w:szCs w:val="22"/>
          <w:lang w:val="lt-LT"/>
        </w:rPr>
        <w:t>atsargiai</w:t>
      </w:r>
      <w:r w:rsidRPr="004B20CE">
        <w:rPr>
          <w:rFonts w:ascii="Times New Roman" w:hAnsi="Times New Roman"/>
          <w:szCs w:val="22"/>
          <w:lang w:val="lt-LT"/>
        </w:rPr>
        <w:t>:</w:t>
      </w:r>
    </w:p>
    <w:p w:rsidR="008F0E7A" w:rsidRPr="004B20CE" w:rsidRDefault="008F0E7A" w:rsidP="008F0E7A">
      <w:pPr>
        <w:pStyle w:val="Pagrindinistekstas"/>
        <w:numPr>
          <w:ilvl w:val="0"/>
          <w:numId w:val="4"/>
        </w:numPr>
        <w:tabs>
          <w:tab w:val="left" w:pos="567"/>
        </w:tabs>
        <w:jc w:val="left"/>
        <w:rPr>
          <w:rFonts w:ascii="Times New Roman" w:hAnsi="Times New Roman"/>
          <w:szCs w:val="22"/>
          <w:lang w:val="lt-LT"/>
        </w:rPr>
      </w:pPr>
      <w:r w:rsidRPr="004B20CE">
        <w:rPr>
          <w:rFonts w:ascii="Times New Roman" w:hAnsi="Times New Roman"/>
          <w:szCs w:val="22"/>
          <w:lang w:val="lt-LT"/>
        </w:rPr>
        <w:t>vaistai, sukeliantys lėtą širdies plakimą (bradikardiją) (Ia klasės antiaritminiai vaistai, beta blokatoriai, kai kurie II klasės antiaritminiai vaistai, kai kurie kalcio antagonistai, širdį veikiantys glikozidai, pilokarpinas, cholinesterazės inhibitoriai);</w:t>
      </w:r>
    </w:p>
    <w:p w:rsidR="008F0E7A" w:rsidRPr="004B20CE" w:rsidRDefault="008F0E7A" w:rsidP="008F0E7A">
      <w:pPr>
        <w:pStyle w:val="Pagrindinistekstas"/>
        <w:numPr>
          <w:ilvl w:val="0"/>
          <w:numId w:val="4"/>
        </w:numPr>
        <w:tabs>
          <w:tab w:val="left" w:pos="567"/>
        </w:tabs>
        <w:jc w:val="left"/>
        <w:rPr>
          <w:rFonts w:ascii="Times New Roman" w:hAnsi="Times New Roman"/>
          <w:szCs w:val="22"/>
          <w:lang w:val="lt-LT"/>
        </w:rPr>
      </w:pPr>
      <w:r w:rsidRPr="004B20CE">
        <w:rPr>
          <w:rFonts w:ascii="Times New Roman" w:hAnsi="Times New Roman"/>
          <w:szCs w:val="22"/>
          <w:lang w:val="lt-LT"/>
        </w:rPr>
        <w:lastRenderedPageBreak/>
        <w:t>beta blokatoriai, kuriais gydomas širdies nepakankamumas (bisoprololis, karvedilolis, metoprololis, nebivololis);</w:t>
      </w:r>
    </w:p>
    <w:p w:rsidR="008F0E7A" w:rsidRPr="004B20CE" w:rsidRDefault="008F0E7A" w:rsidP="008F0E7A">
      <w:pPr>
        <w:numPr>
          <w:ilvl w:val="0"/>
          <w:numId w:val="4"/>
        </w:numPr>
        <w:tabs>
          <w:tab w:val="left" w:pos="567"/>
        </w:tabs>
        <w:spacing w:after="0" w:line="240" w:lineRule="auto"/>
        <w:rPr>
          <w:rFonts w:ascii="Times New Roman" w:hAnsi="Times New Roman"/>
          <w:lang w:val="lt-LT"/>
        </w:rPr>
      </w:pPr>
      <w:r w:rsidRPr="004B20CE">
        <w:rPr>
          <w:rFonts w:ascii="Times New Roman" w:hAnsi="Times New Roman"/>
          <w:lang w:val="lt-LT"/>
        </w:rPr>
        <w:t>kalio kiekį organizme mažinantys vaistai (kalio kiekį organizme mažinantys diuretikai, stimuliuojamojo poveikio vidurius laisvinantieji preparatai, į veną leidžiamas amfotericinas B, gliukokortikoidai, kosintropinas).</w:t>
      </w:r>
    </w:p>
    <w:p w:rsidR="008F0E7A" w:rsidRPr="004B20CE" w:rsidRDefault="008F0E7A" w:rsidP="008F0E7A">
      <w:pPr>
        <w:pStyle w:val="Pagrindinistekstas"/>
        <w:tabs>
          <w:tab w:val="left" w:pos="567"/>
        </w:tabs>
        <w:jc w:val="left"/>
        <w:rPr>
          <w:rFonts w:ascii="Times New Roman" w:hAnsi="Times New Roman"/>
          <w:szCs w:val="22"/>
          <w:lang w:val="lt-LT"/>
        </w:rPr>
      </w:pPr>
    </w:p>
    <w:p w:rsidR="008F0E7A" w:rsidRPr="004B20CE" w:rsidRDefault="008F0E7A" w:rsidP="008F0E7A">
      <w:pPr>
        <w:pStyle w:val="Pagrindinistekstas"/>
        <w:keepNext/>
        <w:keepLines/>
        <w:tabs>
          <w:tab w:val="left" w:pos="567"/>
        </w:tabs>
        <w:rPr>
          <w:rFonts w:ascii="Times New Roman" w:hAnsi="Times New Roman"/>
          <w:szCs w:val="22"/>
          <w:lang w:val="lt-LT"/>
        </w:rPr>
      </w:pPr>
      <w:r w:rsidRPr="004B20CE">
        <w:rPr>
          <w:rFonts w:ascii="Times New Roman" w:hAnsi="Times New Roman"/>
          <w:szCs w:val="22"/>
          <w:lang w:val="lt-LT"/>
        </w:rPr>
        <w:t xml:space="preserve">Vaistai, į kurių sąveiką su Tiapridal reikia </w:t>
      </w:r>
      <w:r w:rsidRPr="004B20CE">
        <w:rPr>
          <w:rFonts w:ascii="Times New Roman" w:hAnsi="Times New Roman"/>
          <w:b/>
          <w:szCs w:val="22"/>
          <w:lang w:val="lt-LT"/>
        </w:rPr>
        <w:t>atsižvelgti</w:t>
      </w:r>
      <w:r w:rsidRPr="004B20CE">
        <w:rPr>
          <w:rFonts w:ascii="Times New Roman" w:hAnsi="Times New Roman"/>
          <w:szCs w:val="22"/>
          <w:lang w:val="lt-LT"/>
        </w:rPr>
        <w:t>:</w:t>
      </w:r>
    </w:p>
    <w:p w:rsidR="008F0E7A" w:rsidRPr="004B20CE" w:rsidRDefault="008F0E7A" w:rsidP="008F0E7A">
      <w:pPr>
        <w:pStyle w:val="Pagrindinistekstas"/>
        <w:keepNext/>
        <w:keepLines/>
        <w:numPr>
          <w:ilvl w:val="0"/>
          <w:numId w:val="3"/>
        </w:numPr>
        <w:tabs>
          <w:tab w:val="left" w:pos="567"/>
        </w:tabs>
        <w:jc w:val="left"/>
        <w:rPr>
          <w:rFonts w:ascii="Times New Roman" w:hAnsi="Times New Roman"/>
          <w:szCs w:val="22"/>
          <w:lang w:val="lt-LT"/>
        </w:rPr>
      </w:pPr>
      <w:r w:rsidRPr="004B20CE">
        <w:rPr>
          <w:rFonts w:ascii="Times New Roman" w:hAnsi="Times New Roman"/>
          <w:szCs w:val="22"/>
          <w:lang w:val="lt-LT"/>
        </w:rPr>
        <w:t>vaistai, vartojami kraujospūdžiui mažinti (kadangi sumuojasi vaistų poveikis, didėja ortostatinės hipotenzijos pavojus);</w:t>
      </w:r>
    </w:p>
    <w:p w:rsidR="008F0E7A" w:rsidRPr="004B20CE" w:rsidRDefault="008F0E7A" w:rsidP="008F0E7A">
      <w:pPr>
        <w:pStyle w:val="Pagrindinistekstas"/>
        <w:numPr>
          <w:ilvl w:val="0"/>
          <w:numId w:val="3"/>
        </w:numPr>
        <w:tabs>
          <w:tab w:val="left" w:pos="567"/>
        </w:tabs>
        <w:jc w:val="left"/>
        <w:rPr>
          <w:rFonts w:ascii="Times New Roman" w:hAnsi="Times New Roman"/>
          <w:szCs w:val="22"/>
          <w:lang w:val="lt-LT"/>
        </w:rPr>
      </w:pPr>
      <w:r w:rsidRPr="004B20CE">
        <w:rPr>
          <w:rFonts w:ascii="Times New Roman" w:hAnsi="Times New Roman"/>
          <w:szCs w:val="22"/>
          <w:lang w:val="lt-LT"/>
        </w:rPr>
        <w:t>centrinę nervų sistemą slopinantys vaistai: narkotinės medžiagos (analgetikai, vaistai nuo kosulio ir pakeičiamajai opioidų terapijai vartojami vaistai); barbitūratai, benzodiazepinai, ne benzodiazepinų grupės nerimą slopinantys vaistai, hipnotikai, neuroleptikai, raminamieji antidepresantai (amitriptilinas, doksepinas, mianserinas, mirtazapinas, trimipraminas), raminamieji H1 antihistamininiai vaistai, centrinio poveikio antihipertenziniai vaistai, kitokie vaistai (baklofenas, talidomidas, pizotifenas);</w:t>
      </w:r>
    </w:p>
    <w:p w:rsidR="008F0E7A" w:rsidRPr="004B20CE" w:rsidRDefault="008F0E7A" w:rsidP="008F0E7A">
      <w:pPr>
        <w:numPr>
          <w:ilvl w:val="0"/>
          <w:numId w:val="3"/>
        </w:numPr>
        <w:spacing w:after="0" w:line="240" w:lineRule="auto"/>
        <w:rPr>
          <w:rFonts w:ascii="Times New Roman" w:hAnsi="Times New Roman"/>
          <w:lang w:val="lt-LT"/>
        </w:rPr>
      </w:pPr>
      <w:r w:rsidRPr="004B20CE">
        <w:rPr>
          <w:rFonts w:ascii="Times New Roman" w:hAnsi="Times New Roman"/>
          <w:lang w:val="lt-LT"/>
        </w:rPr>
        <w:t>beta blokatoriai (išskyrus esmololį, sotalolį ir nuo širdies nepakankamumo vartojamus beta blokatorius) (plečiamos kraujagyslės, ir atsiranda hipotenzijos, ypač ortostatinės, rizika);</w:t>
      </w:r>
    </w:p>
    <w:p w:rsidR="008F0E7A" w:rsidRPr="004B20CE" w:rsidRDefault="008F0E7A" w:rsidP="008F0E7A">
      <w:pPr>
        <w:numPr>
          <w:ilvl w:val="0"/>
          <w:numId w:val="3"/>
        </w:numPr>
        <w:spacing w:after="0" w:line="240" w:lineRule="auto"/>
        <w:rPr>
          <w:rFonts w:ascii="Times New Roman" w:hAnsi="Times New Roman"/>
          <w:lang w:val="lt-LT"/>
        </w:rPr>
      </w:pPr>
      <w:r w:rsidRPr="004B20CE">
        <w:rPr>
          <w:rFonts w:ascii="Times New Roman" w:hAnsi="Times New Roman"/>
          <w:lang w:val="lt-LT"/>
        </w:rPr>
        <w:t>nitratų dariniai ir susiję preparatai.</w:t>
      </w:r>
    </w:p>
    <w:p w:rsidR="008F0E7A" w:rsidRPr="004B20CE" w:rsidRDefault="008F0E7A" w:rsidP="008F0E7A">
      <w:pPr>
        <w:pStyle w:val="BTEMEASMCA"/>
      </w:pPr>
    </w:p>
    <w:p w:rsidR="008F0E7A" w:rsidRPr="004B20CE" w:rsidRDefault="008F0E7A" w:rsidP="008F0E7A">
      <w:pPr>
        <w:pStyle w:val="PI-3EMEASMCA"/>
      </w:pPr>
      <w:r w:rsidRPr="004B20CE">
        <w:t>Tiapridal vartojimas su maistu, gėrimais ir alkoholiu</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Gydantis šiuo vaistu primygtinai rekomenduojama nevartoti alkoholio.</w:t>
      </w:r>
    </w:p>
    <w:p w:rsidR="008F0E7A" w:rsidRPr="004B20CE" w:rsidRDefault="008F0E7A" w:rsidP="008F0E7A">
      <w:pPr>
        <w:pStyle w:val="BTEMEASMCA"/>
        <w:rPr>
          <w:u w:val="none"/>
        </w:rPr>
      </w:pPr>
      <w:r w:rsidRPr="004B20CE">
        <w:rPr>
          <w:u w:val="none"/>
        </w:rPr>
        <w:t>Alkoholio vartojimas vartojant Tiapridal taip pat gali sukelti elektrolitų disbalansą (mineralinių medžiagų pusiausvyros sutrikimą kraujyje) ir tai gali sukelti QT intervalo pailgėjimą (širdies ritmo / susiraukimų dažnio sutrikimą) (žr. skyrių „Įspėjimai ir atsargumo priemonės“).</w:t>
      </w:r>
    </w:p>
    <w:p w:rsidR="008F0E7A" w:rsidRPr="004B20CE" w:rsidRDefault="008F0E7A" w:rsidP="008F0E7A">
      <w:pPr>
        <w:pStyle w:val="BTEMEASMCA"/>
        <w:rPr>
          <w:u w:val="none"/>
        </w:rPr>
      </w:pPr>
    </w:p>
    <w:p w:rsidR="008F0E7A" w:rsidRPr="004B20CE" w:rsidRDefault="008F0E7A" w:rsidP="008F0E7A">
      <w:pPr>
        <w:pStyle w:val="PI-3EMEASMCA"/>
      </w:pPr>
      <w:r w:rsidRPr="004B20CE">
        <w:t>Nėštumas, žindymo laikotarpis ir vaisingumas</w:t>
      </w:r>
    </w:p>
    <w:p w:rsidR="008F0E7A" w:rsidRPr="004B20CE" w:rsidRDefault="008F0E7A" w:rsidP="008F0E7A">
      <w:pPr>
        <w:pStyle w:val="BTEMEASMCA"/>
        <w:rPr>
          <w:u w:val="none"/>
        </w:rPr>
      </w:pPr>
      <w:r w:rsidRPr="004B20CE">
        <w:rPr>
          <w:u w:val="none"/>
        </w:rPr>
        <w:t>Jeigu esate nėščia, žindote kūdikį, manote, kad galbūt esate nėščia, arba planuojate pastoti, tai prieš vartodama šį vaistą, pasitarkite su gydytoju.</w:t>
      </w:r>
      <w:r w:rsidRPr="004B20CE" w:rsidDel="00D84FC1">
        <w:rPr>
          <w:u w:val="none"/>
        </w:rPr>
        <w:t xml:space="preserve"> </w:t>
      </w:r>
      <w:r w:rsidRPr="004B20CE">
        <w:rPr>
          <w:rFonts w:eastAsia="SimSun"/>
          <w:snapToGrid w:val="0"/>
          <w:u w:val="none"/>
          <w:lang w:eastAsia="zh-CN"/>
        </w:rPr>
        <w:t xml:space="preserve">Jeigu esate vaisingo amžiaus moteris ir nenaudojate veiksmingo kontracepcijos metodo, </w:t>
      </w:r>
      <w:r w:rsidRPr="004B20CE">
        <w:rPr>
          <w:rFonts w:eastAsia="SimSun"/>
          <w:snapToGrid w:val="0"/>
          <w:szCs w:val="20"/>
          <w:u w:val="none"/>
          <w:lang w:eastAsia="zh-CN"/>
        </w:rPr>
        <w:t xml:space="preserve">tai </w:t>
      </w:r>
      <w:r w:rsidRPr="004B20CE">
        <w:rPr>
          <w:rFonts w:eastAsia="SimSun"/>
          <w:snapToGrid w:val="0"/>
          <w:u w:val="none"/>
          <w:lang w:eastAsia="zh-CN"/>
        </w:rPr>
        <w:t>prieš vartodama šį vaistą pasitarkite su gydytoju.</w:t>
      </w:r>
    </w:p>
    <w:p w:rsidR="008F0E7A" w:rsidRPr="004B20CE" w:rsidRDefault="008F0E7A" w:rsidP="008F0E7A">
      <w:pPr>
        <w:pStyle w:val="BTEMEASMCA"/>
        <w:rPr>
          <w:u w:val="none"/>
        </w:rPr>
      </w:pPr>
    </w:p>
    <w:p w:rsidR="008F0E7A" w:rsidRPr="004B20CE" w:rsidRDefault="008F0E7A" w:rsidP="008F0E7A">
      <w:pPr>
        <w:spacing w:after="0" w:line="240" w:lineRule="auto"/>
        <w:rPr>
          <w:i/>
          <w:iCs/>
        </w:rPr>
      </w:pPr>
      <w:r w:rsidRPr="004B20CE">
        <w:rPr>
          <w:rFonts w:ascii="Times New Roman" w:hAnsi="Times New Roman"/>
          <w:i/>
          <w:iCs/>
        </w:rPr>
        <w:t>Nėštumas</w:t>
      </w:r>
    </w:p>
    <w:p w:rsidR="008F0E7A" w:rsidRPr="004B20CE" w:rsidRDefault="008F0E7A" w:rsidP="008F0E7A">
      <w:pPr>
        <w:pStyle w:val="BTEMEASMCA"/>
        <w:rPr>
          <w:u w:val="none"/>
        </w:rPr>
      </w:pPr>
      <w:r w:rsidRPr="004B20CE">
        <w:rPr>
          <w:rFonts w:eastAsia="SimSun"/>
          <w:snapToGrid w:val="0"/>
          <w:u w:val="none"/>
          <w:shd w:val="clear" w:color="auto" w:fill="FFFFFF"/>
          <w:lang w:eastAsia="zh-CN"/>
        </w:rPr>
        <w:t>Nėščioms bei vaisingoms ir veiksmingo kontracepcijos metodo nenaudojančioms moterims Tiapridal vartoti nerekomenduojama.</w:t>
      </w:r>
    </w:p>
    <w:p w:rsidR="008F0E7A" w:rsidRPr="004B20CE" w:rsidRDefault="008F0E7A" w:rsidP="008F0E7A">
      <w:pPr>
        <w:autoSpaceDE w:val="0"/>
        <w:autoSpaceDN w:val="0"/>
        <w:adjustRightInd w:val="0"/>
        <w:spacing w:after="0" w:line="240" w:lineRule="auto"/>
        <w:rPr>
          <w:rFonts w:ascii="Times New Roman" w:hAnsi="Times New Roman"/>
          <w:lang w:val="lt-LT"/>
        </w:rPr>
      </w:pPr>
      <w:r w:rsidRPr="004B20CE">
        <w:rPr>
          <w:rFonts w:ascii="Times New Roman" w:hAnsi="Times New Roman"/>
          <w:lang w:val="lt-LT"/>
        </w:rPr>
        <w:t>Jeigu paskutinius 3 nėštumo mėnesius vartojote Tiapridal, Jūsų naujagimiui gali pasireikšti šie simptomai: sujaudinimas, hipertonija, tremoras, mieguistumas, respiracinio distreso sindromas ar maitinimosi sutrikimai. Jeigu jūsų naujagimiui atsirado bet kuris iš šių išvardytų simptomų, kreipkitės į savo gydytoją.</w:t>
      </w:r>
    </w:p>
    <w:p w:rsidR="008F0E7A" w:rsidRPr="004B20CE" w:rsidRDefault="008F0E7A" w:rsidP="008F0E7A">
      <w:pPr>
        <w:pStyle w:val="BTEMEASMCA"/>
        <w:rPr>
          <w:u w:val="none"/>
        </w:rPr>
      </w:pPr>
    </w:p>
    <w:p w:rsidR="008F0E7A" w:rsidRPr="004B20CE" w:rsidRDefault="008F0E7A" w:rsidP="008F0E7A">
      <w:pPr>
        <w:spacing w:after="0" w:line="240" w:lineRule="auto"/>
        <w:rPr>
          <w:i/>
          <w:iCs/>
        </w:rPr>
      </w:pPr>
      <w:r w:rsidRPr="004B20CE">
        <w:rPr>
          <w:rFonts w:ascii="Times New Roman" w:hAnsi="Times New Roman"/>
          <w:i/>
          <w:iCs/>
        </w:rPr>
        <w:t>Žindymas</w:t>
      </w:r>
    </w:p>
    <w:p w:rsidR="008F0E7A" w:rsidRPr="004B20CE" w:rsidRDefault="008F0E7A" w:rsidP="008F0E7A">
      <w:pPr>
        <w:pStyle w:val="BTEMEASMCA"/>
        <w:rPr>
          <w:u w:val="none"/>
        </w:rPr>
      </w:pPr>
      <w:r w:rsidRPr="004B20CE">
        <w:rPr>
          <w:u w:val="none"/>
        </w:rPr>
        <w:t>Gydymo Tiapridal metu maitinti krūtimi negalima. Pasitarkite su gydytoju, kaip geriausia maitinti kūdikį, jei vartojate Tiapridal.</w:t>
      </w:r>
    </w:p>
    <w:p w:rsidR="008F0E7A" w:rsidRPr="004B20CE" w:rsidRDefault="008F0E7A" w:rsidP="008F0E7A">
      <w:pPr>
        <w:numPr>
          <w:ilvl w:val="12"/>
          <w:numId w:val="0"/>
        </w:numPr>
        <w:spacing w:after="0" w:line="240" w:lineRule="auto"/>
        <w:rPr>
          <w:rFonts w:ascii="Times New Roman" w:eastAsia="SimSun" w:hAnsi="Times New Roman"/>
          <w:snapToGrid w:val="0"/>
          <w:lang w:val="lt-LT" w:eastAsia="zh-CN"/>
        </w:rPr>
      </w:pPr>
    </w:p>
    <w:p w:rsidR="008F0E7A" w:rsidRPr="004B20CE" w:rsidRDefault="008F0E7A" w:rsidP="008F0E7A">
      <w:pPr>
        <w:numPr>
          <w:ilvl w:val="12"/>
          <w:numId w:val="0"/>
        </w:numPr>
        <w:spacing w:after="0" w:line="240" w:lineRule="auto"/>
        <w:rPr>
          <w:rFonts w:ascii="Times New Roman" w:hAnsi="Times New Roman"/>
          <w:i/>
          <w:lang w:val="lt-LT"/>
        </w:rPr>
      </w:pPr>
      <w:r w:rsidRPr="004B20CE">
        <w:rPr>
          <w:rFonts w:ascii="Times New Roman" w:hAnsi="Times New Roman"/>
          <w:i/>
          <w:lang w:val="lt-LT"/>
        </w:rPr>
        <w:t>Vaisingumas</w:t>
      </w:r>
    </w:p>
    <w:p w:rsidR="008F0E7A" w:rsidRPr="004B20CE" w:rsidRDefault="008F0E7A" w:rsidP="008F0E7A">
      <w:pPr>
        <w:numPr>
          <w:ilvl w:val="12"/>
          <w:numId w:val="0"/>
        </w:numPr>
        <w:spacing w:after="0" w:line="240" w:lineRule="auto"/>
        <w:rPr>
          <w:rFonts w:ascii="Times New Roman" w:eastAsia="SimSun" w:hAnsi="Times New Roman"/>
          <w:snapToGrid w:val="0"/>
          <w:lang w:val="lt-LT" w:eastAsia="zh-CN"/>
        </w:rPr>
      </w:pPr>
      <w:r w:rsidRPr="004B20CE">
        <w:rPr>
          <w:rFonts w:ascii="Times New Roman" w:hAnsi="Times New Roman"/>
          <w:lang w:val="lt-LT"/>
        </w:rPr>
        <w:t>Tiapridal gali sukelti menstruacijų arba ovuliacijos nebuvimą ir sumažinti žmogaus vaisingumą.</w:t>
      </w:r>
    </w:p>
    <w:p w:rsidR="008F0E7A" w:rsidRPr="004B20CE" w:rsidRDefault="008F0E7A" w:rsidP="008F0E7A">
      <w:pPr>
        <w:pStyle w:val="BTEMEASMCA"/>
      </w:pPr>
    </w:p>
    <w:p w:rsidR="008F0E7A" w:rsidRPr="004B20CE" w:rsidRDefault="008F0E7A" w:rsidP="008F0E7A">
      <w:pPr>
        <w:pStyle w:val="PI-3EMEASMCA"/>
      </w:pPr>
      <w:r w:rsidRPr="004B20CE">
        <w:t>Vairavimas ir mechanizmų valdymas</w:t>
      </w:r>
    </w:p>
    <w:p w:rsidR="008F0E7A" w:rsidRPr="004B20CE" w:rsidRDefault="008F0E7A" w:rsidP="008F0E7A">
      <w:pPr>
        <w:autoSpaceDE w:val="0"/>
        <w:autoSpaceDN w:val="0"/>
        <w:adjustRightInd w:val="0"/>
        <w:spacing w:after="0" w:line="240" w:lineRule="auto"/>
        <w:rPr>
          <w:rFonts w:ascii="Times New Roman" w:hAnsi="Times New Roman"/>
          <w:lang w:val="lt-LT"/>
        </w:rPr>
      </w:pPr>
      <w:r w:rsidRPr="004B20CE">
        <w:rPr>
          <w:rFonts w:ascii="Times New Roman" w:hAnsi="Times New Roman"/>
          <w:lang w:val="lt-LT"/>
        </w:rPr>
        <w:t>Net vartojamas kaip rekomenduojama Tiapridal gali sukelti mieguistumą, todėl sutrikdo gebėjimą vairuoti ir valdyti mechanizmus.</w:t>
      </w:r>
    </w:p>
    <w:p w:rsidR="008F0E7A" w:rsidRPr="004B20CE" w:rsidRDefault="008F0E7A" w:rsidP="008F0E7A">
      <w:pPr>
        <w:pStyle w:val="BTEMEASMCA"/>
      </w:pPr>
    </w:p>
    <w:p w:rsidR="008F0E7A" w:rsidRPr="004B20CE" w:rsidRDefault="008F0E7A" w:rsidP="008F0E7A">
      <w:pPr>
        <w:pStyle w:val="BTEMEASMCA"/>
      </w:pPr>
    </w:p>
    <w:p w:rsidR="008F0E7A" w:rsidRPr="004B20CE" w:rsidRDefault="008F0E7A" w:rsidP="008F0E7A">
      <w:pPr>
        <w:pStyle w:val="PI-1EMEASMCA"/>
      </w:pPr>
      <w:bookmarkStart w:id="4" w:name="_Toc129243266"/>
      <w:bookmarkStart w:id="5" w:name="_Toc129243141"/>
      <w:r w:rsidRPr="004B20CE">
        <w:t>3.</w:t>
      </w:r>
      <w:r w:rsidRPr="004B20CE">
        <w:tab/>
        <w:t xml:space="preserve">Kaip vartoti Tiapridal </w:t>
      </w:r>
      <w:bookmarkEnd w:id="4"/>
      <w:bookmarkEnd w:id="5"/>
    </w:p>
    <w:p w:rsidR="008F0E7A" w:rsidRPr="004B20CE" w:rsidRDefault="008F0E7A" w:rsidP="008F0E7A">
      <w:pPr>
        <w:pStyle w:val="BTEMEASMCA"/>
      </w:pPr>
    </w:p>
    <w:p w:rsidR="008F0E7A" w:rsidRPr="004B20CE" w:rsidRDefault="008F0E7A" w:rsidP="008F0E7A">
      <w:pPr>
        <w:pStyle w:val="BTEMEASMCA"/>
        <w:rPr>
          <w:u w:val="none"/>
        </w:rPr>
      </w:pPr>
      <w:r w:rsidRPr="004B20CE">
        <w:rPr>
          <w:u w:val="none"/>
        </w:rPr>
        <w:t>Dozė gali būti įvairi ir turi būti pritaikyta kiekvienam pacientui.</w:t>
      </w:r>
    </w:p>
    <w:p w:rsidR="008F0E7A" w:rsidRPr="004B20CE" w:rsidRDefault="008F0E7A" w:rsidP="008F0E7A">
      <w:pPr>
        <w:pStyle w:val="BTEMEASMCA"/>
      </w:pPr>
      <w:r w:rsidRPr="004B20CE">
        <w:rPr>
          <w:u w:val="none"/>
        </w:rPr>
        <w:t>Visada vartokite šį vaistą tiksliai, kaip nurodė gydytojas arba vaistininkas. Jeigu abejojate, kreipkitės į gydytoją arba vaistininką</w:t>
      </w:r>
      <w:r w:rsidRPr="004B20CE">
        <w:t>.</w:t>
      </w:r>
    </w:p>
    <w:p w:rsidR="008F0E7A" w:rsidRPr="004B20CE" w:rsidRDefault="008F0E7A" w:rsidP="008F0E7A">
      <w:pPr>
        <w:pStyle w:val="BTEMEASMCA"/>
      </w:pPr>
    </w:p>
    <w:p w:rsidR="008F0E7A" w:rsidRPr="004B20CE" w:rsidRDefault="008F0E7A" w:rsidP="008F0E7A">
      <w:pPr>
        <w:pStyle w:val="BTEMEASMCA"/>
      </w:pPr>
      <w:r w:rsidRPr="004B20CE">
        <w:t>Dozavimas</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lastRenderedPageBreak/>
        <w:t>Tiapridal 100 mg tabletės skirtos suaugusiems ir vyresniems kaip 6 metų vaikams.</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Gydytojas Jums paskirs mažiausią veiksmingą dozę, vėliau palaipsniui ją didins.</w:t>
      </w:r>
    </w:p>
    <w:p w:rsidR="008F0E7A" w:rsidRPr="004B20CE" w:rsidRDefault="008F0E7A" w:rsidP="008F0E7A">
      <w:pPr>
        <w:pStyle w:val="Pagrindinistekstas2"/>
        <w:spacing w:after="0" w:line="240" w:lineRule="auto"/>
        <w:rPr>
          <w:sz w:val="22"/>
          <w:szCs w:val="22"/>
          <w:u w:val="single"/>
          <w:lang w:val="lt-LT"/>
        </w:rPr>
      </w:pPr>
    </w:p>
    <w:p w:rsidR="008F0E7A" w:rsidRPr="004B20CE" w:rsidRDefault="008F0E7A" w:rsidP="008F0E7A">
      <w:pPr>
        <w:pStyle w:val="Pagrindinistekstas2"/>
        <w:keepNext/>
        <w:keepLines/>
        <w:spacing w:after="0" w:line="240" w:lineRule="auto"/>
        <w:rPr>
          <w:sz w:val="22"/>
          <w:szCs w:val="22"/>
          <w:u w:val="single"/>
          <w:lang w:val="lt-LT"/>
        </w:rPr>
      </w:pPr>
      <w:r w:rsidRPr="004B20CE">
        <w:rPr>
          <w:sz w:val="22"/>
          <w:szCs w:val="22"/>
          <w:u w:val="single"/>
          <w:lang w:val="lt-LT"/>
        </w:rPr>
        <w:t xml:space="preserve">Ažitacijos ir agresijos būklės </w:t>
      </w:r>
    </w:p>
    <w:p w:rsidR="008F0E7A" w:rsidRPr="004B20CE" w:rsidRDefault="008F0E7A" w:rsidP="008F0E7A">
      <w:pPr>
        <w:keepNext/>
        <w:keepLines/>
        <w:spacing w:after="0" w:line="240" w:lineRule="auto"/>
        <w:rPr>
          <w:rFonts w:ascii="Times New Roman" w:hAnsi="Times New Roman"/>
          <w:i/>
          <w:lang w:val="lt-LT"/>
        </w:rPr>
      </w:pPr>
      <w:r w:rsidRPr="004B20CE">
        <w:rPr>
          <w:rFonts w:ascii="Times New Roman" w:hAnsi="Times New Roman"/>
          <w:i/>
          <w:lang w:val="lt-LT"/>
        </w:rPr>
        <w:t>Suaugusiesiems</w:t>
      </w:r>
    </w:p>
    <w:p w:rsidR="008F0E7A" w:rsidRPr="004B20CE" w:rsidRDefault="008F0E7A" w:rsidP="008F0E7A">
      <w:pPr>
        <w:pStyle w:val="Pagrindinistekstas2"/>
        <w:keepNext/>
        <w:keepLines/>
        <w:spacing w:after="0" w:line="240" w:lineRule="auto"/>
        <w:rPr>
          <w:sz w:val="22"/>
          <w:szCs w:val="22"/>
          <w:lang w:val="lt-LT"/>
        </w:rPr>
      </w:pPr>
      <w:r w:rsidRPr="004B20CE">
        <w:rPr>
          <w:sz w:val="22"/>
          <w:szCs w:val="22"/>
          <w:lang w:val="lt-LT"/>
        </w:rPr>
        <w:t>Įprastinė dozė – 200 mg (2 tabletės), didžiausia paros dozė – 300 mg (3 tabletės).</w:t>
      </w:r>
    </w:p>
    <w:p w:rsidR="008F0E7A" w:rsidRPr="004B20CE" w:rsidRDefault="008F0E7A" w:rsidP="008F0E7A">
      <w:pPr>
        <w:spacing w:after="0" w:line="240" w:lineRule="auto"/>
        <w:rPr>
          <w:rFonts w:ascii="Times New Roman" w:hAnsi="Times New Roman"/>
          <w:lang w:val="lt-LT"/>
        </w:rPr>
      </w:pPr>
    </w:p>
    <w:p w:rsidR="008F0E7A" w:rsidRPr="004B20CE" w:rsidRDefault="008F0E7A" w:rsidP="008F0E7A">
      <w:pPr>
        <w:keepNext/>
        <w:keepLines/>
        <w:spacing w:after="0" w:line="240" w:lineRule="auto"/>
        <w:rPr>
          <w:rFonts w:ascii="Times New Roman" w:hAnsi="Times New Roman"/>
          <w:iCs/>
          <w:u w:val="single"/>
          <w:lang w:val="lt-LT"/>
        </w:rPr>
      </w:pPr>
      <w:r w:rsidRPr="004B20CE">
        <w:rPr>
          <w:rFonts w:ascii="Times New Roman" w:hAnsi="Times New Roman"/>
          <w:iCs/>
          <w:u w:val="single"/>
          <w:lang w:val="lt-LT"/>
        </w:rPr>
        <w:t>Sunki chorėja sergant Hantingtono (</w:t>
      </w:r>
      <w:r w:rsidRPr="004B20CE">
        <w:rPr>
          <w:rFonts w:ascii="Times New Roman" w:hAnsi="Times New Roman"/>
          <w:i/>
          <w:iCs/>
          <w:u w:val="single"/>
          <w:lang w:val="lt-LT"/>
        </w:rPr>
        <w:t>Huntington</w:t>
      </w:r>
      <w:r w:rsidRPr="004B20CE">
        <w:rPr>
          <w:rFonts w:ascii="Times New Roman" w:hAnsi="Times New Roman"/>
          <w:iCs/>
          <w:u w:val="single"/>
          <w:lang w:val="lt-LT"/>
        </w:rPr>
        <w:t>) liga, sunkus tikas</w:t>
      </w:r>
    </w:p>
    <w:p w:rsidR="008F0E7A" w:rsidRPr="004B20CE" w:rsidRDefault="008F0E7A" w:rsidP="008F0E7A">
      <w:pPr>
        <w:spacing w:after="0" w:line="240" w:lineRule="auto"/>
        <w:rPr>
          <w:rFonts w:ascii="Times New Roman" w:hAnsi="Times New Roman"/>
          <w:i/>
          <w:lang w:val="lt-LT"/>
        </w:rPr>
      </w:pPr>
      <w:r w:rsidRPr="004B20CE">
        <w:rPr>
          <w:rFonts w:ascii="Times New Roman" w:hAnsi="Times New Roman"/>
          <w:i/>
          <w:lang w:val="lt-LT"/>
        </w:rPr>
        <w:t>Suaugusiesiems</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300–800 mg (3</w:t>
      </w:r>
      <w:r w:rsidRPr="004B20CE">
        <w:rPr>
          <w:lang w:val="lt-LT"/>
        </w:rPr>
        <w:t>–</w:t>
      </w:r>
      <w:r w:rsidRPr="004B20CE">
        <w:rPr>
          <w:rFonts w:ascii="Times New Roman" w:hAnsi="Times New Roman"/>
          <w:lang w:val="lt-LT"/>
        </w:rPr>
        <w:t>8 tabletės) per parą.</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 xml:space="preserve">Gydyti pradedama labai maža doze – 25 mg per parą (¼ tabletės), paskui dozė labai pamažu didinama iki mažiausios veiksmingos dozės. </w:t>
      </w:r>
    </w:p>
    <w:p w:rsidR="008F0E7A" w:rsidRPr="004B20CE" w:rsidRDefault="008F0E7A" w:rsidP="008F0E7A">
      <w:pPr>
        <w:spacing w:after="0" w:line="240" w:lineRule="auto"/>
        <w:rPr>
          <w:rFonts w:ascii="Times New Roman" w:hAnsi="Times New Roman"/>
          <w:i/>
          <w:lang w:val="lt-LT"/>
        </w:rPr>
      </w:pPr>
    </w:p>
    <w:p w:rsidR="008F0E7A" w:rsidRPr="004B20CE" w:rsidRDefault="008F0E7A" w:rsidP="008F0E7A">
      <w:pPr>
        <w:spacing w:after="0" w:line="240" w:lineRule="auto"/>
        <w:rPr>
          <w:rFonts w:ascii="Times New Roman" w:hAnsi="Times New Roman"/>
          <w:u w:val="single"/>
          <w:lang w:val="lt-LT"/>
        </w:rPr>
      </w:pPr>
      <w:r w:rsidRPr="004B20CE">
        <w:rPr>
          <w:rFonts w:ascii="Times New Roman" w:hAnsi="Times New Roman"/>
          <w:u w:val="single"/>
          <w:lang w:val="lt-LT"/>
        </w:rPr>
        <w:t>Sunkus tikas</w:t>
      </w:r>
    </w:p>
    <w:p w:rsidR="008F0E7A" w:rsidRPr="004B20CE" w:rsidRDefault="008F0E7A" w:rsidP="008F0E7A">
      <w:pPr>
        <w:spacing w:after="0" w:line="240" w:lineRule="auto"/>
        <w:rPr>
          <w:rFonts w:ascii="Times New Roman" w:hAnsi="Times New Roman"/>
          <w:i/>
          <w:lang w:val="lt-LT"/>
        </w:rPr>
      </w:pPr>
      <w:r w:rsidRPr="004B20CE">
        <w:rPr>
          <w:rFonts w:ascii="Times New Roman" w:hAnsi="Times New Roman"/>
          <w:i/>
          <w:lang w:val="lt-LT"/>
        </w:rPr>
        <w:t>Vyresniems kaip 6 metų vaikams</w:t>
      </w:r>
    </w:p>
    <w:p w:rsidR="008F0E7A" w:rsidRPr="004B20CE" w:rsidRDefault="008F0E7A" w:rsidP="008F0E7A">
      <w:pPr>
        <w:keepNext/>
        <w:keepLines/>
        <w:spacing w:after="0" w:line="240" w:lineRule="auto"/>
        <w:rPr>
          <w:rFonts w:ascii="Times New Roman" w:hAnsi="Times New Roman"/>
          <w:lang w:val="lt-LT"/>
        </w:rPr>
      </w:pPr>
      <w:r w:rsidRPr="004B20CE">
        <w:rPr>
          <w:rFonts w:ascii="Times New Roman" w:hAnsi="Times New Roman"/>
          <w:lang w:val="lt-LT"/>
        </w:rPr>
        <w:t xml:space="preserve">Įprastinė paros dozė yra 100 </w:t>
      </w:r>
      <w:r w:rsidRPr="004B20CE">
        <w:rPr>
          <w:lang w:val="lt-LT"/>
        </w:rPr>
        <w:t>–</w:t>
      </w:r>
      <w:r w:rsidRPr="004B20CE">
        <w:rPr>
          <w:rFonts w:ascii="Times New Roman" w:hAnsi="Times New Roman"/>
          <w:lang w:val="lt-LT"/>
        </w:rPr>
        <w:t xml:space="preserve">150 mg, didžiausia paros dozė − 300 mg. </w:t>
      </w:r>
    </w:p>
    <w:p w:rsidR="008F0E7A" w:rsidRPr="004B20CE" w:rsidRDefault="008F0E7A" w:rsidP="008F0E7A">
      <w:pPr>
        <w:pStyle w:val="BTEMEASMCA"/>
      </w:pPr>
    </w:p>
    <w:p w:rsidR="008F0E7A" w:rsidRPr="004B20CE" w:rsidRDefault="008F0E7A" w:rsidP="008F0E7A">
      <w:pPr>
        <w:pStyle w:val="BTEMEASMCA"/>
      </w:pPr>
      <w:r w:rsidRPr="004B20CE">
        <w:t>Vartojimo metodas</w:t>
      </w:r>
    </w:p>
    <w:p w:rsidR="008F0E7A" w:rsidRPr="004B20CE" w:rsidRDefault="008F0E7A" w:rsidP="008F0E7A">
      <w:pPr>
        <w:pStyle w:val="BTEMEASMCA"/>
        <w:rPr>
          <w:u w:val="none"/>
        </w:rPr>
      </w:pPr>
      <w:r w:rsidRPr="004B20CE">
        <w:rPr>
          <w:u w:val="none"/>
        </w:rPr>
        <w:t>Vaistas yra geriamas.</w:t>
      </w:r>
    </w:p>
    <w:p w:rsidR="008F0E7A" w:rsidRPr="004B20CE" w:rsidRDefault="008F0E7A" w:rsidP="008F0E7A">
      <w:pPr>
        <w:pStyle w:val="BTEMEASMCA"/>
        <w:rPr>
          <w:u w:val="none"/>
        </w:rPr>
      </w:pPr>
    </w:p>
    <w:p w:rsidR="008F0E7A" w:rsidRPr="004B20CE" w:rsidRDefault="008F0E7A" w:rsidP="008F0E7A">
      <w:pPr>
        <w:spacing w:after="0" w:line="240" w:lineRule="auto"/>
        <w:rPr>
          <w:rFonts w:ascii="Times New Roman" w:hAnsi="Times New Roman"/>
          <w:i/>
          <w:lang w:val="lt-LT"/>
        </w:rPr>
      </w:pPr>
      <w:r w:rsidRPr="004B20CE">
        <w:rPr>
          <w:rFonts w:ascii="Times New Roman" w:hAnsi="Times New Roman"/>
          <w:i/>
          <w:lang w:val="lt-LT"/>
        </w:rPr>
        <w:t xml:space="preserve">Senyviems pacientams </w:t>
      </w:r>
    </w:p>
    <w:p w:rsidR="008F0E7A" w:rsidRPr="004B20CE" w:rsidRDefault="008F0E7A" w:rsidP="008F0E7A">
      <w:pPr>
        <w:pStyle w:val="BTEMEASMCA"/>
        <w:rPr>
          <w:u w:val="none"/>
        </w:rPr>
      </w:pPr>
      <w:r w:rsidRPr="004B20CE">
        <w:rPr>
          <w:u w:val="none"/>
        </w:rPr>
        <w:t>Pradinė dozė gali būti mažesnė. Dozės didinimo periodas gali būti ilgesnis.</w:t>
      </w:r>
    </w:p>
    <w:p w:rsidR="008F0E7A" w:rsidRPr="004B20CE" w:rsidRDefault="008F0E7A" w:rsidP="008F0E7A">
      <w:pPr>
        <w:pStyle w:val="Style"/>
        <w:tabs>
          <w:tab w:val="left" w:pos="567"/>
        </w:tabs>
        <w:rPr>
          <w:rFonts w:ascii="Times New Roman" w:hAnsi="Times New Roman" w:cs="Times New Roman"/>
          <w:sz w:val="22"/>
          <w:szCs w:val="22"/>
          <w:lang w:val="lt-LT"/>
        </w:rPr>
      </w:pPr>
    </w:p>
    <w:p w:rsidR="008F0E7A" w:rsidRPr="004B20CE" w:rsidRDefault="008F0E7A" w:rsidP="008F0E7A">
      <w:pPr>
        <w:pStyle w:val="Style"/>
        <w:rPr>
          <w:rFonts w:ascii="Times New Roman" w:hAnsi="Times New Roman" w:cs="Times New Roman"/>
          <w:i/>
          <w:sz w:val="22"/>
          <w:szCs w:val="22"/>
          <w:lang w:val="lt-LT"/>
        </w:rPr>
      </w:pPr>
      <w:r w:rsidRPr="004B20CE">
        <w:rPr>
          <w:rFonts w:ascii="Times New Roman" w:hAnsi="Times New Roman" w:cs="Times New Roman"/>
          <w:i/>
          <w:sz w:val="22"/>
          <w:szCs w:val="22"/>
          <w:lang w:val="lt-LT"/>
        </w:rPr>
        <w:t>Pacientams, kurių kepenų funkcija sutrikusi</w:t>
      </w:r>
    </w:p>
    <w:p w:rsidR="008F0E7A" w:rsidRPr="004B20CE" w:rsidRDefault="008F0E7A" w:rsidP="008F0E7A">
      <w:pPr>
        <w:pStyle w:val="BTEMEASMCA"/>
        <w:rPr>
          <w:u w:val="none"/>
        </w:rPr>
      </w:pPr>
      <w:r w:rsidRPr="004B20CE">
        <w:rPr>
          <w:u w:val="none"/>
        </w:rPr>
        <w:t>Dozės mažinti nebūtina.</w:t>
      </w:r>
    </w:p>
    <w:p w:rsidR="008F0E7A" w:rsidRPr="004B20CE" w:rsidRDefault="008F0E7A" w:rsidP="008F0E7A">
      <w:pPr>
        <w:pStyle w:val="BTEMEASMCA"/>
        <w:rPr>
          <w:u w:val="none"/>
        </w:rPr>
      </w:pPr>
    </w:p>
    <w:p w:rsidR="008F0E7A" w:rsidRPr="004B20CE" w:rsidRDefault="008F0E7A" w:rsidP="008F0E7A">
      <w:pPr>
        <w:pStyle w:val="BTEMEASMCA"/>
        <w:rPr>
          <w:i/>
          <w:iCs/>
          <w:u w:val="none"/>
        </w:rPr>
      </w:pPr>
      <w:r w:rsidRPr="004B20CE">
        <w:rPr>
          <w:i/>
          <w:iCs/>
          <w:u w:val="none"/>
        </w:rPr>
        <w:t>Pacientams, kurių inkstų funkcija sutrikusi</w:t>
      </w:r>
    </w:p>
    <w:p w:rsidR="008F0E7A" w:rsidRPr="004B20CE" w:rsidRDefault="008F0E7A" w:rsidP="008F0E7A">
      <w:pPr>
        <w:pStyle w:val="BTEMEASMCA"/>
        <w:rPr>
          <w:u w:val="none"/>
        </w:rPr>
      </w:pPr>
      <w:r w:rsidRPr="004B20CE">
        <w:rPr>
          <w:u w:val="none"/>
        </w:rPr>
        <w:t>Dozė turi būti sumažinta, atsižvelgiant į kreatinino klirensą.</w:t>
      </w:r>
    </w:p>
    <w:p w:rsidR="008F0E7A" w:rsidRPr="004B20CE" w:rsidRDefault="008F0E7A" w:rsidP="008F0E7A">
      <w:pPr>
        <w:pStyle w:val="BTEMEASMCA"/>
        <w:rPr>
          <w:u w:val="none"/>
        </w:rPr>
      </w:pPr>
    </w:p>
    <w:p w:rsidR="008F0E7A" w:rsidRPr="004B20CE" w:rsidRDefault="008F0E7A" w:rsidP="008F0E7A">
      <w:pPr>
        <w:pStyle w:val="PI-3EMEASMCA"/>
      </w:pPr>
      <w:r w:rsidRPr="004B20CE">
        <w:t>Ką daryti pavartojus per didelę Tiapridal dozę</w:t>
      </w:r>
    </w:p>
    <w:p w:rsidR="008F0E7A" w:rsidRPr="004B20CE" w:rsidRDefault="008F0E7A" w:rsidP="008F0E7A">
      <w:pPr>
        <w:pStyle w:val="BTEMEASMCA"/>
        <w:rPr>
          <w:u w:val="none"/>
        </w:rPr>
      </w:pPr>
      <w:r w:rsidRPr="004B20CE">
        <w:rPr>
          <w:u w:val="none"/>
        </w:rPr>
        <w:t>Pavartoję per didelę vaisto dozę, nedelsdami kreipkitės į gydytoją arba vykite į ligoninės skubios pagalbos skyrių, nes gali atsirasti sunkių širdies sutrikimų.</w:t>
      </w:r>
    </w:p>
    <w:p w:rsidR="008F0E7A" w:rsidRPr="004B20CE" w:rsidRDefault="008F0E7A" w:rsidP="008F0E7A">
      <w:pPr>
        <w:pStyle w:val="BTEMEASMCA"/>
        <w:rPr>
          <w:u w:val="none"/>
        </w:rPr>
      </w:pPr>
      <w:r w:rsidRPr="004B20CE">
        <w:rPr>
          <w:u w:val="none"/>
        </w:rPr>
        <w:t>Apie mirtinus atvejus dažniausiai pranešta kartu vartojant kitų vaistų nuo psichozių.</w:t>
      </w:r>
    </w:p>
    <w:p w:rsidR="008F0E7A" w:rsidRPr="004B20CE" w:rsidRDefault="008F0E7A" w:rsidP="008F0E7A">
      <w:pPr>
        <w:pStyle w:val="BTEMEASMCA"/>
        <w:rPr>
          <w:u w:val="none"/>
        </w:rPr>
      </w:pPr>
    </w:p>
    <w:p w:rsidR="008F0E7A" w:rsidRPr="004B20CE" w:rsidRDefault="008F0E7A" w:rsidP="008F0E7A">
      <w:pPr>
        <w:pStyle w:val="PI-3EMEASMCA"/>
      </w:pPr>
      <w:r w:rsidRPr="004B20CE">
        <w:t>Pamiršus pavartoti Tiapridal</w:t>
      </w:r>
    </w:p>
    <w:p w:rsidR="008F0E7A" w:rsidRPr="004B20CE" w:rsidRDefault="008F0E7A" w:rsidP="008F0E7A">
      <w:pPr>
        <w:pStyle w:val="BTEMEASMCA"/>
        <w:rPr>
          <w:u w:val="none"/>
        </w:rPr>
      </w:pPr>
      <w:r w:rsidRPr="004B20CE">
        <w:rPr>
          <w:u w:val="none"/>
        </w:rPr>
        <w:t xml:space="preserve">Vartokite kitą dozę įprastu laiku. Negalima vartoti dvigubos dozės norint kompensuoti praleistą tabletę. </w:t>
      </w:r>
    </w:p>
    <w:p w:rsidR="008F0E7A" w:rsidRPr="004B20CE" w:rsidRDefault="008F0E7A" w:rsidP="008F0E7A">
      <w:pPr>
        <w:pStyle w:val="BTEMEASMCA"/>
        <w:rPr>
          <w:u w:val="none"/>
        </w:rPr>
      </w:pPr>
      <w:r w:rsidRPr="004B20CE">
        <w:rPr>
          <w:u w:val="none"/>
        </w:rPr>
        <w:t xml:space="preserve">Jei praleidote kelias dozes iš eilės arba dozę praleidote kartotinai, informuokite gydytoją. </w:t>
      </w:r>
    </w:p>
    <w:p w:rsidR="008F0E7A" w:rsidRPr="004B20CE" w:rsidRDefault="008F0E7A" w:rsidP="008F0E7A">
      <w:pPr>
        <w:pStyle w:val="BTEMEASMCA"/>
        <w:rPr>
          <w:u w:val="none"/>
        </w:rPr>
      </w:pPr>
    </w:p>
    <w:p w:rsidR="008F0E7A" w:rsidRPr="004B20CE" w:rsidRDefault="008F0E7A" w:rsidP="008F0E7A">
      <w:pPr>
        <w:pStyle w:val="BTEMEASMCA"/>
        <w:rPr>
          <w:u w:val="none"/>
        </w:rPr>
      </w:pPr>
      <w:r w:rsidRPr="004B20CE">
        <w:rPr>
          <w:u w:val="none"/>
        </w:rPr>
        <w:t>Jeigu kiltų daugiau klausimų dėl šio vaisto vartojimo, kreipkitės į gydytoją arba vaistininką.</w:t>
      </w:r>
    </w:p>
    <w:p w:rsidR="008F0E7A" w:rsidRPr="004B20CE" w:rsidRDefault="008F0E7A" w:rsidP="008F0E7A">
      <w:pPr>
        <w:pStyle w:val="BTEMEASMCA"/>
        <w:rPr>
          <w:u w:val="none"/>
        </w:rPr>
      </w:pPr>
    </w:p>
    <w:p w:rsidR="008F0E7A" w:rsidRPr="004B20CE" w:rsidRDefault="008F0E7A" w:rsidP="008F0E7A">
      <w:pPr>
        <w:pStyle w:val="BTEMEASMCA"/>
        <w:rPr>
          <w:u w:val="none"/>
        </w:rPr>
      </w:pPr>
    </w:p>
    <w:p w:rsidR="008F0E7A" w:rsidRPr="004B20CE" w:rsidRDefault="008F0E7A" w:rsidP="008F0E7A">
      <w:pPr>
        <w:pStyle w:val="PI-1EMEASMCA"/>
      </w:pPr>
      <w:bookmarkStart w:id="6" w:name="_Toc129243267"/>
      <w:bookmarkStart w:id="7" w:name="_Toc129243142"/>
      <w:r w:rsidRPr="004B20CE">
        <w:t>4.</w:t>
      </w:r>
      <w:r w:rsidRPr="004B20CE">
        <w:tab/>
        <w:t>Galimas šalutinis poveikis</w:t>
      </w:r>
      <w:bookmarkEnd w:id="6"/>
      <w:bookmarkEnd w:id="7"/>
    </w:p>
    <w:p w:rsidR="008F0E7A" w:rsidRPr="004B20CE" w:rsidRDefault="008F0E7A" w:rsidP="008F0E7A">
      <w:pPr>
        <w:pStyle w:val="BTEMEASMCA"/>
      </w:pPr>
    </w:p>
    <w:p w:rsidR="008F0E7A" w:rsidRPr="004B20CE" w:rsidRDefault="008F0E7A" w:rsidP="008F0E7A">
      <w:pPr>
        <w:pStyle w:val="BTEMEASMCA"/>
        <w:rPr>
          <w:u w:val="none"/>
        </w:rPr>
      </w:pPr>
      <w:r w:rsidRPr="004B20CE">
        <w:rPr>
          <w:u w:val="none"/>
        </w:rPr>
        <w:t>Šis vaistas, kaip ir visi kiti, gali sukelti šalutinį poveikį, nors jis pasireiškia ne visiems žmonėms.</w:t>
      </w:r>
    </w:p>
    <w:p w:rsidR="008F0E7A" w:rsidRPr="004B20CE" w:rsidRDefault="008F0E7A" w:rsidP="008F0E7A">
      <w:pPr>
        <w:pStyle w:val="BTEMEASMCA"/>
      </w:pPr>
    </w:p>
    <w:p w:rsidR="008F0E7A" w:rsidRPr="004B20CE" w:rsidRDefault="008F0E7A" w:rsidP="008F0E7A">
      <w:pPr>
        <w:spacing w:after="0" w:line="240" w:lineRule="auto"/>
        <w:rPr>
          <w:rFonts w:ascii="Times New Roman" w:hAnsi="Times New Roman"/>
          <w:i/>
          <w:lang w:val="lt-LT"/>
        </w:rPr>
      </w:pPr>
      <w:r w:rsidRPr="004B20CE">
        <w:rPr>
          <w:rFonts w:ascii="Times New Roman" w:hAnsi="Times New Roman"/>
          <w:b/>
          <w:bCs/>
          <w:noProof/>
          <w:snapToGrid w:val="0"/>
          <w:lang w:val="lt-LT"/>
        </w:rPr>
        <w:t>Dažni šalutinio poveikio reiškiniai (gali pasireikšti rečiau kaip 1 iš 10 asmenų)</w:t>
      </w:r>
    </w:p>
    <w:p w:rsidR="008F0E7A" w:rsidRPr="004B20CE" w:rsidRDefault="008F0E7A" w:rsidP="008F0E7A">
      <w:pPr>
        <w:spacing w:after="0" w:line="240" w:lineRule="auto"/>
        <w:ind w:left="567" w:hanging="567"/>
        <w:rPr>
          <w:rFonts w:ascii="Times New Roman" w:hAnsi="Times New Roman"/>
          <w:lang w:val="lt-LT"/>
        </w:rPr>
      </w:pPr>
      <w:r w:rsidRPr="004B20CE">
        <w:rPr>
          <w:rFonts w:ascii="Times New Roman" w:hAnsi="Times New Roman"/>
          <w:lang w:val="lt-LT"/>
        </w:rPr>
        <w:t>-</w:t>
      </w:r>
      <w:r w:rsidRPr="004B20CE">
        <w:rPr>
          <w:rFonts w:ascii="Times New Roman" w:hAnsi="Times New Roman"/>
          <w:lang w:val="lt-LT"/>
        </w:rPr>
        <w:tab/>
        <w:t xml:space="preserve">Padidėjęs prolaktino kiekis kraujyje, galintis sukelti kitų sutrikimų. Nedažnai gali pasireikšti krūtų skausmas, krūtų padidėjimas ir pieno išsiskyrimas (ginekomastija, galaktorėja), menstruacijų ciklo sutrikimas (dismenorėja, amenorėja) moterims, orgazmo pojūčio sutrikimas ir impotencija vyrams. </w:t>
      </w:r>
      <w:r w:rsidRPr="004B20CE">
        <w:rPr>
          <w:rFonts w:ascii="Times New Roman" w:hAnsi="Times New Roman"/>
          <w:lang w:val="lt-LT" w:eastAsia="fr-FR"/>
        </w:rPr>
        <w:t>Toks poveikis išnyksta nutraukus vaisto vartojimą.</w:t>
      </w:r>
    </w:p>
    <w:p w:rsidR="008F0E7A" w:rsidRPr="004B20CE" w:rsidRDefault="008F0E7A" w:rsidP="008F0E7A">
      <w:pPr>
        <w:spacing w:after="0" w:line="240" w:lineRule="auto"/>
        <w:ind w:left="567" w:hanging="567"/>
        <w:rPr>
          <w:rFonts w:ascii="Times New Roman" w:hAnsi="Times New Roman"/>
          <w:bCs/>
          <w:color w:val="000000"/>
          <w:lang w:val="lt-LT"/>
        </w:rPr>
      </w:pPr>
      <w:r w:rsidRPr="004B20CE">
        <w:rPr>
          <w:rFonts w:ascii="Times New Roman" w:hAnsi="Times New Roman"/>
          <w:b/>
          <w:lang w:val="lt-LT"/>
        </w:rPr>
        <w:t>-</w:t>
      </w:r>
      <w:r w:rsidRPr="004B20CE">
        <w:rPr>
          <w:rFonts w:ascii="Times New Roman" w:hAnsi="Times New Roman"/>
          <w:lang w:val="lt-LT"/>
        </w:rPr>
        <w:tab/>
        <w:t>Apsnūdimas ar mieguistumas (įskaitant laba stiprų), nemiga, sujaudinimas, apatija</w:t>
      </w:r>
      <w:r w:rsidRPr="004B20CE">
        <w:rPr>
          <w:rFonts w:ascii="Times New Roman" w:hAnsi="Times New Roman"/>
          <w:bCs/>
          <w:color w:val="000000"/>
          <w:lang w:val="lt-LT"/>
        </w:rPr>
        <w:t>.</w:t>
      </w:r>
    </w:p>
    <w:p w:rsidR="008F0E7A" w:rsidRPr="004B20CE" w:rsidRDefault="008F0E7A" w:rsidP="008F0E7A">
      <w:pPr>
        <w:spacing w:after="0" w:line="240" w:lineRule="auto"/>
        <w:ind w:left="567" w:hanging="567"/>
        <w:rPr>
          <w:rFonts w:ascii="Times New Roman" w:hAnsi="Times New Roman"/>
          <w:lang w:val="lt-LT"/>
        </w:rPr>
      </w:pPr>
      <w:r w:rsidRPr="004B20CE">
        <w:rPr>
          <w:rFonts w:ascii="Times New Roman" w:hAnsi="Times New Roman"/>
          <w:b/>
          <w:lang w:val="lt-LT"/>
        </w:rPr>
        <w:t>-</w:t>
      </w:r>
      <w:r w:rsidRPr="004B20CE">
        <w:rPr>
          <w:rFonts w:ascii="Times New Roman" w:hAnsi="Times New Roman"/>
          <w:b/>
          <w:lang w:val="lt-LT"/>
        </w:rPr>
        <w:tab/>
      </w:r>
      <w:r w:rsidRPr="004B20CE">
        <w:rPr>
          <w:rFonts w:ascii="Times New Roman" w:hAnsi="Times New Roman"/>
          <w:lang w:val="lt-LT"/>
        </w:rPr>
        <w:t>Galvos svaigimas ar sukimasis, galvos skausmas.</w:t>
      </w:r>
    </w:p>
    <w:p w:rsidR="008F0E7A" w:rsidRPr="004B20CE" w:rsidRDefault="008F0E7A" w:rsidP="008F0E7A">
      <w:pPr>
        <w:pStyle w:val="Sraopastraipa"/>
        <w:numPr>
          <w:ilvl w:val="0"/>
          <w:numId w:val="10"/>
        </w:numPr>
        <w:spacing w:after="0" w:line="240" w:lineRule="auto"/>
        <w:ind w:left="567" w:hanging="567"/>
        <w:rPr>
          <w:rFonts w:ascii="Times New Roman" w:hAnsi="Times New Roman"/>
          <w:lang w:val="lt-LT" w:eastAsia="fr-FR"/>
        </w:rPr>
      </w:pPr>
      <w:r w:rsidRPr="004B20CE">
        <w:rPr>
          <w:rFonts w:ascii="Times New Roman" w:hAnsi="Times New Roman"/>
          <w:lang w:val="lt-LT" w:eastAsia="fr-FR"/>
        </w:rPr>
        <w:t xml:space="preserve">Į Parkinsono ligą panašūs simptomai (drebulys, raumenų standumas, padidėjęs raumenų tonusas, susilpnėję kūno judesiai (hipokinezija) ir padidėjęs seilėtekis). Tokie simptomai paprastai išnyksta skyrus vadinamųjų anticholinerginių vaistų (pvz., biperideno). </w:t>
      </w:r>
    </w:p>
    <w:p w:rsidR="008F0E7A" w:rsidRPr="004B20CE" w:rsidRDefault="008F0E7A" w:rsidP="008F0E7A">
      <w:pPr>
        <w:pStyle w:val="Sraopastraipa"/>
        <w:numPr>
          <w:ilvl w:val="0"/>
          <w:numId w:val="10"/>
        </w:numPr>
        <w:spacing w:after="0" w:line="240" w:lineRule="auto"/>
        <w:ind w:left="567" w:hanging="567"/>
        <w:rPr>
          <w:rFonts w:ascii="Times New Roman" w:hAnsi="Times New Roman"/>
          <w:lang w:val="lt-LT" w:eastAsia="fr-FR"/>
        </w:rPr>
      </w:pPr>
      <w:r w:rsidRPr="004B20CE">
        <w:rPr>
          <w:rFonts w:ascii="Times New Roman" w:hAnsi="Times New Roman"/>
          <w:lang w:val="lt-LT" w:eastAsia="fr-FR"/>
        </w:rPr>
        <w:t>Bendras silpnumas ir nuovargis.</w:t>
      </w:r>
    </w:p>
    <w:p w:rsidR="008F0E7A" w:rsidRPr="004B20CE" w:rsidRDefault="008F0E7A" w:rsidP="008F0E7A">
      <w:pPr>
        <w:spacing w:after="0" w:line="240" w:lineRule="auto"/>
        <w:ind w:left="720" w:hanging="720"/>
        <w:rPr>
          <w:rFonts w:ascii="Times New Roman" w:hAnsi="Times New Roman"/>
          <w:b/>
          <w:lang w:val="lt-LT"/>
        </w:rPr>
      </w:pP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b/>
          <w:bCs/>
          <w:noProof/>
          <w:snapToGrid w:val="0"/>
          <w:lang w:val="lt-LT"/>
        </w:rPr>
        <w:t>Nedažni šalutinio poveikio reiškiniai (gali pasireikšti rečiau kaip 1 iš 100 asmenų):</w:t>
      </w:r>
    </w:p>
    <w:p w:rsidR="008F0E7A" w:rsidRPr="004B20CE" w:rsidRDefault="008F0E7A" w:rsidP="008F0E7A">
      <w:pPr>
        <w:pStyle w:val="Sraopastraipa"/>
        <w:numPr>
          <w:ilvl w:val="0"/>
          <w:numId w:val="8"/>
        </w:numPr>
        <w:spacing w:after="0" w:line="240" w:lineRule="auto"/>
        <w:rPr>
          <w:rFonts w:ascii="Times New Roman" w:hAnsi="Times New Roman"/>
          <w:lang w:val="lt-LT"/>
        </w:rPr>
      </w:pPr>
      <w:r w:rsidRPr="004B20CE">
        <w:rPr>
          <w:b/>
          <w:bCs/>
          <w:noProof/>
          <w:snapToGrid w:val="0"/>
          <w:lang w:val="lt-LT"/>
        </w:rPr>
        <w:t xml:space="preserve"> </w:t>
      </w:r>
      <w:r w:rsidRPr="004B20CE">
        <w:rPr>
          <w:rFonts w:ascii="Times New Roman" w:hAnsi="Times New Roman"/>
          <w:lang w:val="lt-LT"/>
        </w:rPr>
        <w:t>Minčių susipainiojimas, haliucinacijos.</w:t>
      </w:r>
    </w:p>
    <w:p w:rsidR="008F0E7A" w:rsidRPr="004B20CE" w:rsidRDefault="008F0E7A" w:rsidP="008F0E7A">
      <w:pPr>
        <w:numPr>
          <w:ilvl w:val="0"/>
          <w:numId w:val="8"/>
        </w:numPr>
        <w:spacing w:after="0" w:line="240" w:lineRule="auto"/>
        <w:rPr>
          <w:rFonts w:ascii="Times New Roman" w:hAnsi="Times New Roman"/>
          <w:bCs/>
          <w:lang w:val="lt-LT" w:eastAsia="fr-FR"/>
        </w:rPr>
      </w:pPr>
      <w:r w:rsidRPr="004B20CE">
        <w:rPr>
          <w:rFonts w:ascii="Times New Roman" w:hAnsi="Times New Roman"/>
          <w:lang w:val="lt-LT" w:eastAsia="fr-FR"/>
        </w:rPr>
        <w:t>Ankstyvoji diskinezija, distonija (raumenų spazmai, kreivakaklystė, akių obuolių judesių sutrikimas (vadinamoj okulogyrinė krizė), mėšlungiškas žandikaulių sukandimas. Tokie simptomai paprastai išnyksta skyrus vadinamųjų anticholinerginių vaistų (pvz., biperideno).</w:t>
      </w:r>
    </w:p>
    <w:p w:rsidR="008F0E7A" w:rsidRPr="004B20CE" w:rsidRDefault="008F0E7A" w:rsidP="008F0E7A">
      <w:pPr>
        <w:numPr>
          <w:ilvl w:val="0"/>
          <w:numId w:val="8"/>
        </w:numPr>
        <w:spacing w:after="0" w:line="240" w:lineRule="auto"/>
        <w:rPr>
          <w:rFonts w:ascii="Times New Roman" w:hAnsi="Times New Roman"/>
          <w:bCs/>
          <w:lang w:val="lt-LT" w:eastAsia="fr-FR"/>
        </w:rPr>
      </w:pPr>
      <w:r w:rsidRPr="004B20CE">
        <w:rPr>
          <w:rFonts w:ascii="Times New Roman" w:hAnsi="Times New Roman"/>
          <w:lang w:val="lt-LT" w:eastAsia="fr-FR"/>
        </w:rPr>
        <w:t>Apalpimas, traukuliai.</w:t>
      </w:r>
    </w:p>
    <w:p w:rsidR="008F0E7A" w:rsidRPr="004B20CE" w:rsidRDefault="008F0E7A" w:rsidP="008F0E7A">
      <w:pPr>
        <w:numPr>
          <w:ilvl w:val="0"/>
          <w:numId w:val="8"/>
        </w:numPr>
        <w:spacing w:after="0" w:line="240" w:lineRule="auto"/>
        <w:rPr>
          <w:rFonts w:ascii="Times New Roman" w:hAnsi="Times New Roman"/>
          <w:bCs/>
          <w:lang w:val="lt-LT" w:eastAsia="fr-FR"/>
        </w:rPr>
      </w:pPr>
      <w:r w:rsidRPr="004B20CE">
        <w:rPr>
          <w:rFonts w:ascii="Times New Roman" w:hAnsi="Times New Roman"/>
          <w:bCs/>
          <w:lang w:val="lt-LT" w:eastAsia="fr-FR"/>
        </w:rPr>
        <w:t>Kraujospūdžio sumažėjimas, ypač staigiai atsistojus, giliųjų venų trombozė (kraujo krešuliai venose).</w:t>
      </w:r>
    </w:p>
    <w:p w:rsidR="008F0E7A" w:rsidRPr="004B20CE" w:rsidRDefault="008F0E7A" w:rsidP="008F0E7A">
      <w:pPr>
        <w:numPr>
          <w:ilvl w:val="0"/>
          <w:numId w:val="8"/>
        </w:numPr>
        <w:spacing w:after="0" w:line="240" w:lineRule="auto"/>
        <w:rPr>
          <w:rFonts w:ascii="Times New Roman" w:hAnsi="Times New Roman"/>
          <w:lang w:val="lt-LT" w:eastAsia="fr-FR"/>
        </w:rPr>
      </w:pPr>
      <w:r w:rsidRPr="004B20CE">
        <w:rPr>
          <w:rFonts w:ascii="Times New Roman" w:hAnsi="Times New Roman"/>
          <w:lang w:val="lt-LT" w:eastAsia="fr-FR"/>
        </w:rPr>
        <w:t>Vidurių užkietėjimas.</w:t>
      </w:r>
    </w:p>
    <w:p w:rsidR="008F0E7A" w:rsidRPr="004B20CE" w:rsidRDefault="008F0E7A" w:rsidP="008F0E7A">
      <w:pPr>
        <w:numPr>
          <w:ilvl w:val="0"/>
          <w:numId w:val="8"/>
        </w:numPr>
        <w:spacing w:after="0" w:line="240" w:lineRule="auto"/>
        <w:rPr>
          <w:rFonts w:ascii="Times New Roman" w:hAnsi="Times New Roman"/>
          <w:lang w:val="lt-LT" w:eastAsia="fr-FR"/>
        </w:rPr>
      </w:pPr>
      <w:r w:rsidRPr="004B20CE">
        <w:rPr>
          <w:rFonts w:ascii="Times New Roman" w:hAnsi="Times New Roman"/>
          <w:lang w:val="lt-LT" w:eastAsia="fr-FR"/>
        </w:rPr>
        <w:t>Odos išbėrimas (įskaitant paraudimą ir išbėrimą mazgeliais ar dėmėmis).</w:t>
      </w:r>
    </w:p>
    <w:p w:rsidR="008F0E7A" w:rsidRPr="004B20CE" w:rsidRDefault="008F0E7A" w:rsidP="008F0E7A">
      <w:pPr>
        <w:numPr>
          <w:ilvl w:val="0"/>
          <w:numId w:val="8"/>
        </w:numPr>
        <w:spacing w:after="0" w:line="240" w:lineRule="auto"/>
        <w:rPr>
          <w:rFonts w:ascii="Times New Roman" w:hAnsi="Times New Roman"/>
          <w:bCs/>
          <w:lang w:val="lt-LT" w:eastAsia="fr-FR"/>
        </w:rPr>
      </w:pPr>
      <w:r w:rsidRPr="004B20CE">
        <w:rPr>
          <w:rFonts w:ascii="Times New Roman" w:hAnsi="Times New Roman"/>
          <w:bCs/>
          <w:lang w:val="lt-LT" w:eastAsia="fr-FR"/>
        </w:rPr>
        <w:t>Mėnesinių dingimas, orgazmo pojūčio sutrikimas.</w:t>
      </w:r>
    </w:p>
    <w:p w:rsidR="008F0E7A" w:rsidRPr="004B20CE" w:rsidRDefault="008F0E7A" w:rsidP="008F0E7A">
      <w:pPr>
        <w:numPr>
          <w:ilvl w:val="0"/>
          <w:numId w:val="8"/>
        </w:numPr>
        <w:spacing w:after="0" w:line="240" w:lineRule="auto"/>
        <w:rPr>
          <w:rFonts w:ascii="Times New Roman" w:hAnsi="Times New Roman"/>
          <w:bCs/>
          <w:color w:val="000000"/>
          <w:lang w:val="lt-LT"/>
        </w:rPr>
      </w:pPr>
      <w:r w:rsidRPr="004B20CE">
        <w:rPr>
          <w:rFonts w:ascii="Times New Roman" w:hAnsi="Times New Roman"/>
          <w:lang w:val="lt-LT"/>
        </w:rPr>
        <w:t>Kūno svorio padidėjimas.</w:t>
      </w:r>
    </w:p>
    <w:p w:rsidR="008F0E7A" w:rsidRPr="004B20CE" w:rsidRDefault="008F0E7A" w:rsidP="008F0E7A">
      <w:pPr>
        <w:spacing w:after="0" w:line="240" w:lineRule="auto"/>
        <w:rPr>
          <w:rFonts w:ascii="Times New Roman" w:hAnsi="Times New Roman"/>
          <w:b/>
          <w:lang w:val="lt-LT"/>
        </w:rPr>
      </w:pPr>
    </w:p>
    <w:p w:rsidR="008F0E7A" w:rsidRPr="004B20CE" w:rsidRDefault="008F0E7A" w:rsidP="008F0E7A">
      <w:pPr>
        <w:spacing w:after="0" w:line="240" w:lineRule="auto"/>
        <w:rPr>
          <w:rFonts w:ascii="Times New Roman" w:hAnsi="Times New Roman"/>
          <w:i/>
          <w:lang w:val="lt-LT"/>
        </w:rPr>
      </w:pPr>
      <w:r w:rsidRPr="004B20CE">
        <w:rPr>
          <w:rFonts w:ascii="Times New Roman" w:hAnsi="Times New Roman"/>
          <w:b/>
          <w:bCs/>
          <w:noProof/>
          <w:snapToGrid w:val="0"/>
          <w:lang w:val="lt-LT"/>
        </w:rPr>
        <w:t>Reti šalutinio poveikio reiškiniai (gali pasireikšti rečiau kaip 1 iš 1 000 asmenų):</w:t>
      </w:r>
    </w:p>
    <w:p w:rsidR="008F0E7A" w:rsidRPr="004B20CE" w:rsidRDefault="008F0E7A" w:rsidP="008F0E7A">
      <w:pPr>
        <w:numPr>
          <w:ilvl w:val="0"/>
          <w:numId w:val="8"/>
        </w:numPr>
        <w:autoSpaceDE w:val="0"/>
        <w:autoSpaceDN w:val="0"/>
        <w:adjustRightInd w:val="0"/>
        <w:spacing w:after="0" w:line="240" w:lineRule="auto"/>
        <w:rPr>
          <w:rFonts w:ascii="Times New Roman" w:hAnsi="Times New Roman"/>
          <w:b/>
          <w:lang w:val="lt-LT"/>
        </w:rPr>
      </w:pPr>
      <w:r w:rsidRPr="004B20CE">
        <w:rPr>
          <w:rFonts w:ascii="Times New Roman" w:hAnsi="Times New Roman"/>
          <w:bCs/>
          <w:color w:val="000000"/>
          <w:lang w:val="lt-LT" w:eastAsia="fr-FR"/>
        </w:rPr>
        <w:t>Baltųjų kraujo kūnelių kiekio sumažėjimas (leukopenija), neutropenija (tam tikros baltųjų kraujo kūnelių rūšies kiekio sumažėjimas) ir agranulocitozė (tam tikros baltųjų kraujo kūnelių rūšies išnykimas).</w:t>
      </w:r>
    </w:p>
    <w:p w:rsidR="008F0E7A" w:rsidRPr="004B20CE" w:rsidRDefault="008F0E7A" w:rsidP="008F0E7A">
      <w:pPr>
        <w:numPr>
          <w:ilvl w:val="0"/>
          <w:numId w:val="8"/>
        </w:numPr>
        <w:autoSpaceDE w:val="0"/>
        <w:autoSpaceDN w:val="0"/>
        <w:adjustRightInd w:val="0"/>
        <w:spacing w:after="0" w:line="240" w:lineRule="auto"/>
        <w:rPr>
          <w:rFonts w:ascii="Times New Roman" w:hAnsi="Times New Roman"/>
          <w:iCs/>
          <w:color w:val="000000"/>
          <w:lang w:val="lt-LT" w:eastAsia="fr-FR"/>
        </w:rPr>
      </w:pPr>
      <w:r w:rsidRPr="004B20CE">
        <w:rPr>
          <w:rFonts w:ascii="Times New Roman" w:hAnsi="Times New Roman"/>
          <w:lang w:val="lt-LT" w:eastAsia="fr-FR"/>
        </w:rPr>
        <w:t xml:space="preserve">Natrio kiekio sumažėjimas kraujyje (hiponatremija), antidiurezinio hormono kiekio padidėjimas (sutrikimas, vadinamas sutrikusios antidiurezinio hormono sekrecijos sindromu, </w:t>
      </w:r>
      <w:r w:rsidRPr="004B20CE">
        <w:rPr>
          <w:rFonts w:ascii="Times New Roman" w:hAnsi="Times New Roman"/>
          <w:strike/>
          <w:lang w:val="lt-LT" w:eastAsia="fr-FR"/>
        </w:rPr>
        <w:t>(</w:t>
      </w:r>
      <w:r w:rsidRPr="004B20CE">
        <w:rPr>
          <w:rFonts w:ascii="Times New Roman" w:hAnsi="Times New Roman"/>
          <w:lang w:val="lt-LT" w:eastAsia="fr-FR"/>
        </w:rPr>
        <w:t>SAHSS).</w:t>
      </w:r>
    </w:p>
    <w:p w:rsidR="008F0E7A" w:rsidRPr="004B20CE" w:rsidRDefault="008F0E7A" w:rsidP="008F0E7A">
      <w:pPr>
        <w:numPr>
          <w:ilvl w:val="0"/>
          <w:numId w:val="8"/>
        </w:numPr>
        <w:tabs>
          <w:tab w:val="left" w:pos="0"/>
        </w:tabs>
        <w:suppressAutoHyphens/>
        <w:spacing w:after="0" w:line="240" w:lineRule="auto"/>
        <w:rPr>
          <w:rFonts w:ascii="Times New Roman" w:hAnsi="Times New Roman"/>
          <w:lang w:val="lt-LT" w:eastAsia="fr-FR"/>
        </w:rPr>
      </w:pPr>
      <w:r w:rsidRPr="004B20CE">
        <w:rPr>
          <w:rFonts w:ascii="Times New Roman" w:hAnsi="Times New Roman"/>
          <w:lang w:val="lt-LT" w:eastAsia="fr-FR"/>
        </w:rPr>
        <w:t>Kaip ir vartojant bet kokių vaistų nuo psichikos sutrikimų (neuroleptikų grupės vaistų), po ilgalaikio (ilgesnio kaip 3 mėnesių) vartojimo pranešta apie vėlyvosios diskinezijos atvejus. Tokiai būklei būdingi ritmiški nevalingi judesiai, ypač liežuvio ir (arba) veido raumenų. Jei atsiranda toks judesių sutrikimas, apie tai būtina nedelsiant informuoti gydytoją. Jis nuspręs, kokių priemonių reikia imtis. Vaistai nuo Parkinsono ligos negali būti vartojami kaip priešnuodžiai, kadangi jie bus neveiksmingi ar net pasunkins simptomus.</w:t>
      </w:r>
    </w:p>
    <w:p w:rsidR="008F0E7A" w:rsidRPr="004B20CE" w:rsidRDefault="008F0E7A" w:rsidP="008F0E7A">
      <w:pPr>
        <w:numPr>
          <w:ilvl w:val="0"/>
          <w:numId w:val="8"/>
        </w:numPr>
        <w:spacing w:after="0" w:line="240" w:lineRule="auto"/>
        <w:rPr>
          <w:rFonts w:ascii="Times New Roman" w:hAnsi="Times New Roman"/>
          <w:lang w:val="lt-LT"/>
        </w:rPr>
      </w:pPr>
      <w:r w:rsidRPr="004B20CE">
        <w:rPr>
          <w:rFonts w:ascii="Times New Roman" w:hAnsi="Times New Roman"/>
          <w:lang w:val="lt-LT"/>
        </w:rPr>
        <w:t>Kaip ir vartojant bet kokių neuroleptikų grupės vaistų, gali pasireikšti piktybinis neurolepsinis sindromas, kuris gali būti mirtinas (žr. 2 skyrių „Kas žinotina prieš vartojant Tiapridal“).</w:t>
      </w:r>
    </w:p>
    <w:p w:rsidR="008F0E7A" w:rsidRPr="004B20CE" w:rsidRDefault="008F0E7A" w:rsidP="008F0E7A">
      <w:pPr>
        <w:numPr>
          <w:ilvl w:val="0"/>
          <w:numId w:val="8"/>
        </w:numPr>
        <w:spacing w:after="0" w:line="240" w:lineRule="auto"/>
        <w:contextualSpacing/>
        <w:rPr>
          <w:rFonts w:ascii="Times New Roman" w:hAnsi="Times New Roman"/>
          <w:lang w:val="lt-LT"/>
        </w:rPr>
      </w:pPr>
      <w:r w:rsidRPr="004B20CE">
        <w:rPr>
          <w:rFonts w:ascii="Times New Roman" w:hAnsi="Times New Roman"/>
          <w:lang w:val="lt-LT"/>
        </w:rPr>
        <w:t>Sąmonės praradimas.</w:t>
      </w:r>
    </w:p>
    <w:p w:rsidR="008F0E7A" w:rsidRPr="004B20CE" w:rsidRDefault="008F0E7A" w:rsidP="008F0E7A">
      <w:pPr>
        <w:numPr>
          <w:ilvl w:val="0"/>
          <w:numId w:val="8"/>
        </w:numPr>
        <w:spacing w:after="0" w:line="240" w:lineRule="auto"/>
        <w:contextualSpacing/>
        <w:rPr>
          <w:rFonts w:ascii="Times New Roman" w:hAnsi="Times New Roman"/>
          <w:lang w:val="lt-LT" w:eastAsia="fr-FR"/>
        </w:rPr>
      </w:pPr>
      <w:r w:rsidRPr="004B20CE">
        <w:rPr>
          <w:rFonts w:ascii="Times New Roman" w:hAnsi="Times New Roman"/>
          <w:bCs/>
          <w:color w:val="000000"/>
          <w:lang w:val="lt-LT" w:eastAsia="fr-FR"/>
        </w:rPr>
        <w:t>Buvo širdies laidumo sutrikimų (QT intervalo pailgėjimo) atvejų ir sunkių širdies ritmo sutrikimų (vadinamoji paroksizminė polimorfinė skilvelių tachikardija) ir net skilvelių virpėjimas ar širdies sustojimas bei staigi mirtis (žr. 2 skyriaus poskyrius „Įspėjimai ir atsargumo priemonės“ bei „Tiapridal ir kiti vaistai“).</w:t>
      </w:r>
    </w:p>
    <w:p w:rsidR="008F0E7A" w:rsidRPr="004B20CE" w:rsidRDefault="008F0E7A" w:rsidP="008F0E7A">
      <w:pPr>
        <w:numPr>
          <w:ilvl w:val="0"/>
          <w:numId w:val="8"/>
        </w:numPr>
        <w:spacing w:after="0" w:line="240" w:lineRule="auto"/>
        <w:contextualSpacing/>
        <w:rPr>
          <w:rFonts w:ascii="Times New Roman" w:hAnsi="Times New Roman"/>
          <w:bCs/>
          <w:color w:val="000000"/>
          <w:lang w:val="lt-LT" w:eastAsia="fr-FR"/>
        </w:rPr>
      </w:pPr>
      <w:r w:rsidRPr="004B20CE">
        <w:rPr>
          <w:rFonts w:ascii="Times New Roman" w:hAnsi="Times New Roman"/>
          <w:bCs/>
          <w:color w:val="000000"/>
          <w:lang w:val="lt-LT" w:eastAsia="fr-FR"/>
        </w:rPr>
        <w:t xml:space="preserve">Kraujo krešuliai venose, ypač kojų (pasireiškiant kojų patinimui, skausmui ir paraudimui). Krešuliai kraujagyslėmis gali patekti į plaučius ir sukelti krūtinės skausmą bei kvėpavimo pasunkėjimą. Jei pastebėsite tokių simptomų, nedelsdami kreipkitės į medikus </w:t>
      </w:r>
      <w:r w:rsidRPr="004B20CE">
        <w:rPr>
          <w:rFonts w:ascii="Times New Roman" w:hAnsi="Times New Roman"/>
          <w:lang w:val="lt-LT"/>
        </w:rPr>
        <w:t>(žr. 2 skyrių „Kas žinotina prieš vartojant Tiapridal“). K</w:t>
      </w:r>
      <w:r w:rsidRPr="004B20CE">
        <w:rPr>
          <w:rFonts w:ascii="Times New Roman" w:hAnsi="Times New Roman"/>
          <w:bCs/>
          <w:color w:val="000000"/>
          <w:lang w:val="lt-LT" w:eastAsia="fr-FR"/>
        </w:rPr>
        <w:t>artais plaučių embolija gali būti mirtina.</w:t>
      </w:r>
    </w:p>
    <w:p w:rsidR="008F0E7A" w:rsidRPr="004B20CE" w:rsidRDefault="008F0E7A" w:rsidP="008F0E7A">
      <w:pPr>
        <w:numPr>
          <w:ilvl w:val="0"/>
          <w:numId w:val="8"/>
        </w:numPr>
        <w:spacing w:after="0" w:line="240" w:lineRule="auto"/>
        <w:contextualSpacing/>
        <w:rPr>
          <w:rFonts w:ascii="Times New Roman" w:hAnsi="Times New Roman"/>
          <w:bCs/>
          <w:color w:val="000000"/>
          <w:lang w:val="lt-LT" w:eastAsia="fr-FR"/>
        </w:rPr>
      </w:pPr>
      <w:r w:rsidRPr="004B20CE">
        <w:rPr>
          <w:rFonts w:ascii="Times New Roman" w:hAnsi="Times New Roman"/>
          <w:bCs/>
          <w:color w:val="000000"/>
          <w:lang w:val="lt-LT" w:eastAsia="fr-FR"/>
        </w:rPr>
        <w:t>Tam tikra plaučių uždegimo forma, kurią sukelia netyčinis maisto ar skysčių patekimas į kvėpavimo takus (aspiracinis plaučių uždegimas), kvėpavimo pasunkėjimas (kvėpavimo slopinimas).</w:t>
      </w:r>
    </w:p>
    <w:p w:rsidR="008F0E7A" w:rsidRPr="004B20CE" w:rsidRDefault="008F0E7A" w:rsidP="008F0E7A">
      <w:pPr>
        <w:numPr>
          <w:ilvl w:val="0"/>
          <w:numId w:val="8"/>
        </w:numPr>
        <w:spacing w:after="0" w:line="240" w:lineRule="auto"/>
        <w:contextualSpacing/>
        <w:rPr>
          <w:rFonts w:ascii="Times New Roman" w:hAnsi="Times New Roman"/>
          <w:bCs/>
          <w:color w:val="000000"/>
          <w:lang w:val="lt-LT" w:eastAsia="fr-FR"/>
        </w:rPr>
      </w:pPr>
      <w:r w:rsidRPr="004B20CE">
        <w:rPr>
          <w:rFonts w:ascii="Times New Roman" w:hAnsi="Times New Roman"/>
          <w:bCs/>
          <w:color w:val="000000"/>
          <w:lang w:val="lt-LT" w:eastAsia="fr-FR"/>
        </w:rPr>
        <w:t>Žarnų užsikimšimas (obstrukcija), žarnų nepraeinamumas.</w:t>
      </w:r>
    </w:p>
    <w:p w:rsidR="008F0E7A" w:rsidRPr="004B20CE" w:rsidRDefault="008F0E7A" w:rsidP="008F0E7A">
      <w:pPr>
        <w:numPr>
          <w:ilvl w:val="0"/>
          <w:numId w:val="8"/>
        </w:numPr>
        <w:spacing w:after="0" w:line="240" w:lineRule="auto"/>
        <w:contextualSpacing/>
        <w:rPr>
          <w:rFonts w:ascii="Times New Roman" w:hAnsi="Times New Roman"/>
          <w:bCs/>
          <w:color w:val="000000"/>
          <w:lang w:val="lt-LT" w:eastAsia="fr-FR"/>
        </w:rPr>
      </w:pPr>
      <w:r w:rsidRPr="004B20CE">
        <w:rPr>
          <w:rFonts w:ascii="Times New Roman" w:hAnsi="Times New Roman"/>
          <w:bCs/>
          <w:color w:val="000000"/>
          <w:lang w:val="lt-LT" w:eastAsia="fr-FR"/>
        </w:rPr>
        <w:t>Kepenų fermentų aktyvumo padidėjimas.</w:t>
      </w:r>
    </w:p>
    <w:p w:rsidR="008F0E7A" w:rsidRPr="004B20CE" w:rsidRDefault="008F0E7A" w:rsidP="008F0E7A">
      <w:pPr>
        <w:numPr>
          <w:ilvl w:val="0"/>
          <w:numId w:val="8"/>
        </w:numPr>
        <w:spacing w:after="0" w:line="240" w:lineRule="auto"/>
        <w:contextualSpacing/>
        <w:rPr>
          <w:rFonts w:ascii="Times New Roman" w:hAnsi="Times New Roman"/>
          <w:lang w:val="lt-LT" w:eastAsia="fr-FR"/>
        </w:rPr>
      </w:pPr>
      <w:r w:rsidRPr="004B20CE">
        <w:rPr>
          <w:rFonts w:ascii="Times New Roman" w:hAnsi="Times New Roman"/>
          <w:bCs/>
          <w:color w:val="000000"/>
          <w:lang w:val="lt-LT" w:eastAsia="fr-FR"/>
        </w:rPr>
        <w:t>Odos išbėrimas (dilgėlinė).</w:t>
      </w:r>
    </w:p>
    <w:p w:rsidR="008F0E7A" w:rsidRPr="004B20CE" w:rsidRDefault="008F0E7A" w:rsidP="008F0E7A">
      <w:pPr>
        <w:numPr>
          <w:ilvl w:val="0"/>
          <w:numId w:val="8"/>
        </w:numPr>
        <w:spacing w:after="0" w:line="240" w:lineRule="auto"/>
        <w:contextualSpacing/>
        <w:rPr>
          <w:rFonts w:ascii="Times New Roman" w:hAnsi="Times New Roman"/>
          <w:bCs/>
          <w:color w:val="000000"/>
          <w:lang w:val="lt-LT" w:eastAsia="fr-FR"/>
        </w:rPr>
      </w:pPr>
      <w:r w:rsidRPr="004B20CE">
        <w:rPr>
          <w:rFonts w:ascii="Times New Roman" w:hAnsi="Times New Roman"/>
          <w:bCs/>
          <w:color w:val="000000"/>
          <w:lang w:val="lt-LT" w:eastAsia="fr-FR"/>
        </w:rPr>
        <w:t>Kreatinfosfokinazės aktyvumo kraujyje padidėjimas, raumenų skaidulų suirimas ir raumenų skausmas (rabdomiolizė).</w:t>
      </w:r>
    </w:p>
    <w:p w:rsidR="008F0E7A" w:rsidRPr="004B20CE" w:rsidRDefault="008F0E7A" w:rsidP="008F0E7A">
      <w:pPr>
        <w:numPr>
          <w:ilvl w:val="0"/>
          <w:numId w:val="8"/>
        </w:numPr>
        <w:spacing w:after="0" w:line="240" w:lineRule="auto"/>
        <w:contextualSpacing/>
        <w:rPr>
          <w:rFonts w:ascii="Times New Roman" w:hAnsi="Times New Roman"/>
          <w:bCs/>
          <w:lang w:val="lt-LT"/>
        </w:rPr>
      </w:pPr>
      <w:r w:rsidRPr="004B20CE">
        <w:rPr>
          <w:rFonts w:ascii="Times New Roman" w:hAnsi="Times New Roman"/>
          <w:bCs/>
          <w:lang w:val="lt-LT"/>
        </w:rPr>
        <w:t>Krūtų padidėjimas, krūtų skausmingumas, pieno susidarymas ir išsiskyrimas, vyrų krūtų padidėjimas, erekcijos sutrikimas.</w:t>
      </w:r>
    </w:p>
    <w:p w:rsidR="008F0E7A" w:rsidRPr="004B20CE" w:rsidRDefault="008F0E7A" w:rsidP="008F0E7A">
      <w:pPr>
        <w:spacing w:after="0" w:line="240" w:lineRule="auto"/>
        <w:ind w:left="567"/>
        <w:contextualSpacing/>
        <w:rPr>
          <w:rFonts w:ascii="Times New Roman" w:hAnsi="Times New Roman"/>
          <w:b/>
          <w:lang w:val="lt-LT"/>
        </w:rPr>
      </w:pPr>
    </w:p>
    <w:p w:rsidR="008F0E7A" w:rsidRPr="004B20CE" w:rsidRDefault="008F0E7A" w:rsidP="008F0E7A">
      <w:pPr>
        <w:spacing w:after="0" w:line="240" w:lineRule="auto"/>
        <w:contextualSpacing/>
        <w:rPr>
          <w:rFonts w:ascii="Times New Roman" w:hAnsi="Times New Roman"/>
          <w:b/>
          <w:color w:val="000000"/>
          <w:lang w:val="lt-LT" w:eastAsia="fr-FR"/>
        </w:rPr>
      </w:pPr>
    </w:p>
    <w:p w:rsidR="008F0E7A" w:rsidRPr="004B20CE" w:rsidRDefault="008F0E7A" w:rsidP="008F0E7A">
      <w:pPr>
        <w:spacing w:after="0" w:line="240" w:lineRule="auto"/>
        <w:contextualSpacing/>
        <w:rPr>
          <w:b/>
          <w:noProof/>
          <w:snapToGrid w:val="0"/>
          <w:lang w:val="lt-LT"/>
        </w:rPr>
      </w:pPr>
      <w:r w:rsidRPr="004B20CE">
        <w:rPr>
          <w:rFonts w:ascii="Times New Roman" w:hAnsi="Times New Roman"/>
          <w:b/>
          <w:color w:val="000000"/>
          <w:lang w:val="lt-LT" w:eastAsia="fr-FR"/>
        </w:rPr>
        <w:t>Šalutinio poveikio reiškiniai, kurių dažnis nežinomas (negali būti apskaičiuotas pagal turimus duomenis):</w:t>
      </w:r>
      <w:r w:rsidRPr="004B20CE">
        <w:rPr>
          <w:b/>
          <w:noProof/>
          <w:snapToGrid w:val="0"/>
          <w:lang w:val="lt-LT"/>
        </w:rPr>
        <w:t xml:space="preserve"> </w:t>
      </w:r>
    </w:p>
    <w:p w:rsidR="008F0E7A" w:rsidRPr="004B20CE" w:rsidRDefault="008F0E7A" w:rsidP="008F0E7A">
      <w:pPr>
        <w:pStyle w:val="Sraopastraipa"/>
        <w:numPr>
          <w:ilvl w:val="0"/>
          <w:numId w:val="11"/>
        </w:numPr>
        <w:spacing w:after="0" w:line="240" w:lineRule="auto"/>
        <w:ind w:left="567" w:hanging="567"/>
        <w:rPr>
          <w:b/>
          <w:noProof/>
          <w:snapToGrid w:val="0"/>
          <w:lang w:val="lt-LT"/>
        </w:rPr>
      </w:pPr>
      <w:r w:rsidRPr="004B20CE">
        <w:rPr>
          <w:rFonts w:ascii="Times New Roman" w:hAnsi="Times New Roman"/>
          <w:lang w:val="lt-LT" w:eastAsia="fr-FR"/>
        </w:rPr>
        <w:t>Vaisto vartojimo nutraukimo sindromas naujagimiams (žr. 2 skyriaus poskyrį „Nėštumas ir žindymo laikotarpis“).</w:t>
      </w:r>
    </w:p>
    <w:p w:rsidR="008F0E7A" w:rsidRPr="004B20CE" w:rsidRDefault="008F0E7A" w:rsidP="008F0E7A">
      <w:pPr>
        <w:numPr>
          <w:ilvl w:val="0"/>
          <w:numId w:val="8"/>
        </w:numPr>
        <w:tabs>
          <w:tab w:val="left" w:pos="0"/>
        </w:tabs>
        <w:suppressAutoHyphens/>
        <w:spacing w:after="0" w:line="240" w:lineRule="auto"/>
        <w:rPr>
          <w:rFonts w:ascii="Times New Roman" w:hAnsi="Times New Roman"/>
          <w:lang w:val="lt-LT" w:eastAsia="fr-FR"/>
        </w:rPr>
      </w:pPr>
      <w:r w:rsidRPr="004B20CE">
        <w:rPr>
          <w:rFonts w:ascii="Times New Roman" w:hAnsi="Times New Roman"/>
          <w:lang w:val="lt-LT" w:eastAsia="fr-FR"/>
        </w:rPr>
        <w:t>Griuvimas (ypač senyviems pacientams).</w:t>
      </w:r>
    </w:p>
    <w:p w:rsidR="008F0E7A" w:rsidRPr="004B20CE" w:rsidRDefault="008F0E7A" w:rsidP="008F0E7A">
      <w:pPr>
        <w:tabs>
          <w:tab w:val="left" w:pos="0"/>
        </w:tabs>
        <w:suppressAutoHyphens/>
        <w:spacing w:after="0" w:line="240" w:lineRule="auto"/>
        <w:rPr>
          <w:rFonts w:ascii="Times New Roman" w:hAnsi="Times New Roman"/>
          <w:lang w:val="lt-LT" w:eastAsia="fr-FR"/>
        </w:rPr>
      </w:pPr>
    </w:p>
    <w:p w:rsidR="008F0E7A" w:rsidRPr="004B20CE" w:rsidRDefault="008F0E7A" w:rsidP="008F0E7A">
      <w:pPr>
        <w:tabs>
          <w:tab w:val="left" w:pos="567"/>
        </w:tabs>
        <w:spacing w:after="0" w:line="240" w:lineRule="auto"/>
        <w:rPr>
          <w:rFonts w:ascii="Times New Roman" w:hAnsi="Times New Roman"/>
          <w:b/>
          <w:snapToGrid w:val="0"/>
          <w:lang w:val="lt-LT"/>
        </w:rPr>
      </w:pPr>
      <w:r w:rsidRPr="004B20CE">
        <w:rPr>
          <w:rFonts w:ascii="Times New Roman" w:hAnsi="Times New Roman"/>
          <w:b/>
          <w:noProof/>
          <w:snapToGrid w:val="0"/>
          <w:lang w:val="lt-LT"/>
        </w:rPr>
        <w:t>Pranešimas apie šalutinį poveikį</w:t>
      </w:r>
    </w:p>
    <w:p w:rsidR="008F0E7A" w:rsidRPr="00F31C3B" w:rsidRDefault="008F0E7A" w:rsidP="008F0E7A">
      <w:pPr>
        <w:tabs>
          <w:tab w:val="left" w:pos="567"/>
        </w:tabs>
        <w:spacing w:after="0" w:line="240" w:lineRule="auto"/>
        <w:rPr>
          <w:rFonts w:ascii="Times New Roman" w:hAnsi="Times New Roman"/>
          <w:snapToGrid w:val="0"/>
          <w:lang w:val="lt-LT"/>
        </w:rPr>
      </w:pPr>
      <w:r w:rsidRPr="00F31C3B">
        <w:rPr>
          <w:rFonts w:ascii="Times New Roman" w:hAnsi="Times New Roman"/>
          <w:snapToGrid w:val="0"/>
          <w:lang w:val="lt-LT"/>
        </w:rPr>
        <w:lastRenderedPageBreak/>
        <w:t xml:space="preserve">Jeigu pasireiškė šalutinis poveikis, įskaitant šiame lapelyje nenurodytą, pasakykite gydytojui arba vaistininkui. </w:t>
      </w:r>
      <w:bookmarkStart w:id="8" w:name="_Hlk194263388"/>
      <w:r w:rsidRPr="00F31C3B">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F31C3B">
        <w:rPr>
          <w:rFonts w:ascii="Times New Roman" w:hAnsi="Times New Roman"/>
          <w:color w:val="0000EE"/>
          <w:u w:val="single"/>
          <w:lang w:eastAsia="lt-LT"/>
        </w:rPr>
        <w:t>https://vvkt.lrv.lt/lt/</w:t>
      </w:r>
      <w:r w:rsidRPr="00F31C3B">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bookmarkEnd w:id="8"/>
    </w:p>
    <w:p w:rsidR="008F0E7A" w:rsidRPr="004B20CE" w:rsidRDefault="008F0E7A" w:rsidP="008F0E7A">
      <w:pPr>
        <w:pStyle w:val="BTEMEASMCA"/>
      </w:pPr>
    </w:p>
    <w:p w:rsidR="008F0E7A" w:rsidRPr="004B20CE" w:rsidRDefault="008F0E7A" w:rsidP="008F0E7A">
      <w:pPr>
        <w:pStyle w:val="BTEMEASMCA"/>
      </w:pPr>
    </w:p>
    <w:p w:rsidR="008F0E7A" w:rsidRPr="004B20CE" w:rsidRDefault="008F0E7A" w:rsidP="008F0E7A">
      <w:pPr>
        <w:pStyle w:val="PI-1EMEASMCA"/>
      </w:pPr>
      <w:bookmarkStart w:id="9" w:name="_Toc129243268"/>
      <w:bookmarkStart w:id="10" w:name="_Toc129243143"/>
      <w:r w:rsidRPr="004B20CE">
        <w:t>5.</w:t>
      </w:r>
      <w:r w:rsidRPr="004B20CE">
        <w:tab/>
        <w:t xml:space="preserve">Kaip laikyti Tiapridal </w:t>
      </w:r>
      <w:bookmarkEnd w:id="9"/>
      <w:bookmarkEnd w:id="10"/>
    </w:p>
    <w:p w:rsidR="008F0E7A" w:rsidRPr="004B20CE" w:rsidRDefault="008F0E7A" w:rsidP="008F0E7A">
      <w:pPr>
        <w:pStyle w:val="BTEMEASMCA"/>
      </w:pPr>
    </w:p>
    <w:p w:rsidR="008F0E7A" w:rsidRPr="004B20CE" w:rsidRDefault="008F0E7A" w:rsidP="008F0E7A">
      <w:pPr>
        <w:pStyle w:val="BTEMEASMCA"/>
        <w:rPr>
          <w:u w:val="none"/>
        </w:rPr>
      </w:pPr>
      <w:r w:rsidRPr="004B20CE">
        <w:rPr>
          <w:u w:val="none"/>
        </w:rPr>
        <w:t>Šį vaistą laikykite vaikams nepastebimoje ir nepasiekiamoje vietoje.</w:t>
      </w:r>
    </w:p>
    <w:p w:rsidR="008F0E7A" w:rsidRPr="004B20CE" w:rsidRDefault="008F0E7A" w:rsidP="008F0E7A">
      <w:pPr>
        <w:pStyle w:val="BTEMEASMCA"/>
        <w:rPr>
          <w:u w:val="none"/>
        </w:rPr>
      </w:pPr>
      <w:r w:rsidRPr="004B20CE">
        <w:rPr>
          <w:u w:val="none"/>
        </w:rPr>
        <w:t>Šiam vaistui specialių laikymo sąlygų nereikia.</w:t>
      </w:r>
    </w:p>
    <w:p w:rsidR="008F0E7A" w:rsidRPr="004B20CE" w:rsidRDefault="008F0E7A" w:rsidP="008F0E7A">
      <w:pPr>
        <w:pStyle w:val="BTEMEASMCA"/>
        <w:rPr>
          <w:u w:val="none"/>
        </w:rPr>
      </w:pPr>
    </w:p>
    <w:p w:rsidR="008F0E7A" w:rsidRPr="004B20CE" w:rsidRDefault="008F0E7A" w:rsidP="008F0E7A">
      <w:pPr>
        <w:pStyle w:val="BTEMEASMCA"/>
        <w:rPr>
          <w:u w:val="none"/>
        </w:rPr>
      </w:pPr>
      <w:r w:rsidRPr="004B20CE">
        <w:rPr>
          <w:u w:val="none"/>
        </w:rPr>
        <w:t>Ant dėžutės ir lizdinės plokštelės po „EXP“ nurodytam tinkamumo laikui pasibaigus, šio vaisto vartoti negalima. Vaistas tinkamas vartoti iki paskutinės nurodyto mėnesio dienos.</w:t>
      </w:r>
    </w:p>
    <w:p w:rsidR="008F0E7A" w:rsidRPr="004B20CE" w:rsidRDefault="008F0E7A" w:rsidP="008F0E7A">
      <w:pPr>
        <w:pStyle w:val="BTEMEASMCA"/>
        <w:rPr>
          <w:u w:val="none"/>
        </w:rPr>
      </w:pPr>
    </w:p>
    <w:p w:rsidR="008F0E7A" w:rsidRPr="004B20CE" w:rsidRDefault="008F0E7A" w:rsidP="008F0E7A">
      <w:pPr>
        <w:pStyle w:val="BTEMEASMCA"/>
        <w:rPr>
          <w:u w:val="none"/>
        </w:rPr>
      </w:pPr>
      <w:r w:rsidRPr="004B20CE">
        <w:rPr>
          <w:u w:val="none"/>
        </w:rPr>
        <w:t>Vaistų negalima išmesti į kanalizaciją arba su buitinėmis atliekomis. Kaip išmesti nereikalingus vaistus, klauskite vaistininko. Šios priemonės padės apsaugoti aplinką.</w:t>
      </w:r>
    </w:p>
    <w:p w:rsidR="008F0E7A" w:rsidRPr="004B20CE" w:rsidRDefault="008F0E7A" w:rsidP="008F0E7A">
      <w:pPr>
        <w:pStyle w:val="BTEMEASMCA"/>
        <w:rPr>
          <w:u w:val="none"/>
        </w:rPr>
      </w:pPr>
    </w:p>
    <w:p w:rsidR="008F0E7A" w:rsidRPr="004B20CE" w:rsidRDefault="008F0E7A" w:rsidP="008F0E7A">
      <w:pPr>
        <w:pStyle w:val="BTEMEASMCA"/>
        <w:rPr>
          <w:u w:val="none"/>
        </w:rPr>
      </w:pPr>
    </w:p>
    <w:p w:rsidR="008F0E7A" w:rsidRPr="004B20CE" w:rsidRDefault="008F0E7A" w:rsidP="008F0E7A">
      <w:pPr>
        <w:pStyle w:val="PI-1EMEASMCA"/>
      </w:pPr>
      <w:bookmarkStart w:id="11" w:name="_Toc129243269"/>
      <w:bookmarkStart w:id="12" w:name="_Toc129243144"/>
      <w:r w:rsidRPr="004B20CE">
        <w:t>6.</w:t>
      </w:r>
      <w:r w:rsidRPr="004B20CE">
        <w:tab/>
        <w:t>Pakuotės turinys ir kita informacija</w:t>
      </w:r>
      <w:bookmarkEnd w:id="11"/>
      <w:bookmarkEnd w:id="12"/>
    </w:p>
    <w:p w:rsidR="008F0E7A" w:rsidRPr="004B20CE" w:rsidRDefault="008F0E7A" w:rsidP="008F0E7A">
      <w:pPr>
        <w:pStyle w:val="BTEMEASMCA"/>
        <w:rPr>
          <w:u w:val="none"/>
        </w:rPr>
      </w:pPr>
    </w:p>
    <w:p w:rsidR="008F0E7A" w:rsidRPr="004B20CE" w:rsidRDefault="008F0E7A" w:rsidP="008F0E7A">
      <w:pPr>
        <w:pStyle w:val="PI-3EMEASMCA"/>
      </w:pPr>
      <w:r w:rsidRPr="004B20CE">
        <w:t>Tiapridal sudėtis</w:t>
      </w:r>
    </w:p>
    <w:p w:rsidR="008F0E7A" w:rsidRPr="004B20CE" w:rsidRDefault="008F0E7A" w:rsidP="008F0E7A">
      <w:pPr>
        <w:pStyle w:val="BTEMEASMCA"/>
        <w:rPr>
          <w:u w:val="none"/>
        </w:rPr>
      </w:pPr>
    </w:p>
    <w:p w:rsidR="008F0E7A" w:rsidRPr="004B20CE" w:rsidRDefault="008F0E7A" w:rsidP="008F0E7A">
      <w:pPr>
        <w:pStyle w:val="BT-EMEASMCA"/>
        <w:tabs>
          <w:tab w:val="clear" w:pos="360"/>
        </w:tabs>
        <w:rPr>
          <w:u w:val="none"/>
        </w:rPr>
      </w:pPr>
      <w:r w:rsidRPr="004B20CE">
        <w:rPr>
          <w:u w:val="none"/>
        </w:rPr>
        <w:t>Veiklioji medžiaga yra tiapridas. Vienoje tabletėje yra 111,1 mg tiaprido hidrochlorido, atitinkančio 100 mg tiaprido.</w:t>
      </w:r>
    </w:p>
    <w:p w:rsidR="008F0E7A" w:rsidRPr="004B20CE" w:rsidRDefault="008F0E7A" w:rsidP="008F0E7A">
      <w:pPr>
        <w:pStyle w:val="BT-EMEASMCA"/>
        <w:tabs>
          <w:tab w:val="clear" w:pos="360"/>
        </w:tabs>
        <w:rPr>
          <w:u w:val="none"/>
        </w:rPr>
      </w:pPr>
      <w:r w:rsidRPr="004B20CE">
        <w:rPr>
          <w:u w:val="none"/>
        </w:rPr>
        <w:t xml:space="preserve">Pagalbinės medžiagos yra manitolis (E421), mikrokristalinė celiuliozė, povidonas, koloidinis hidratuotas silicio dioksidas, magnio stearatas. </w:t>
      </w:r>
    </w:p>
    <w:p w:rsidR="008F0E7A" w:rsidRPr="004B20CE" w:rsidRDefault="008F0E7A" w:rsidP="008F0E7A">
      <w:pPr>
        <w:pStyle w:val="BTEMEASMCA"/>
        <w:rPr>
          <w:u w:val="none"/>
        </w:rPr>
      </w:pPr>
    </w:p>
    <w:p w:rsidR="008F0E7A" w:rsidRPr="004B20CE" w:rsidRDefault="008F0E7A" w:rsidP="008F0E7A">
      <w:pPr>
        <w:pStyle w:val="PI-3EMEASMCA"/>
      </w:pPr>
      <w:r w:rsidRPr="004B20CE">
        <w:t>Tiapridal išvaizda ir kiekis pakuotėje</w:t>
      </w:r>
    </w:p>
    <w:p w:rsidR="008F0E7A" w:rsidRPr="004B20CE" w:rsidRDefault="008F0E7A" w:rsidP="008F0E7A">
      <w:pPr>
        <w:pStyle w:val="BTEMEASMCA"/>
        <w:rPr>
          <w:u w:val="none"/>
        </w:rPr>
      </w:pPr>
      <w:r w:rsidRPr="004B20CE">
        <w:rPr>
          <w:u w:val="none"/>
        </w:rPr>
        <w:t>Tabletės baltos ar dramblio kaulo baltumo, apvalios, plokščios, su nuožulnia briauna abipus, su kryžmine vagele vienoje pusėje ir įspaudu „T 100“ kitoje pusėje.</w:t>
      </w:r>
    </w:p>
    <w:p w:rsidR="008F0E7A" w:rsidRPr="004B20CE" w:rsidRDefault="008F0E7A" w:rsidP="008F0E7A">
      <w:pPr>
        <w:pStyle w:val="BTEMEASMCA"/>
        <w:rPr>
          <w:u w:val="none"/>
        </w:rPr>
      </w:pPr>
      <w:r w:rsidRPr="004B20CE">
        <w:rPr>
          <w:u w:val="none"/>
        </w:rPr>
        <w:t>Tabletę galima padalyti į lygias dozes.</w:t>
      </w:r>
    </w:p>
    <w:p w:rsidR="008F0E7A" w:rsidRPr="004B20CE" w:rsidRDefault="008F0E7A" w:rsidP="008F0E7A">
      <w:pPr>
        <w:pStyle w:val="BTEMEASMCA"/>
        <w:rPr>
          <w:u w:val="none"/>
        </w:rPr>
      </w:pPr>
    </w:p>
    <w:p w:rsidR="008F0E7A" w:rsidRPr="004B20CE" w:rsidRDefault="008F0E7A" w:rsidP="008F0E7A">
      <w:pPr>
        <w:pStyle w:val="BTEMEASMCA"/>
        <w:rPr>
          <w:u w:val="none"/>
        </w:rPr>
      </w:pPr>
      <w:r w:rsidRPr="004B20CE">
        <w:rPr>
          <w:u w:val="none"/>
        </w:rPr>
        <w:t>PVC ir aliuminio lizdinės plokštelės.</w:t>
      </w:r>
    </w:p>
    <w:p w:rsidR="008F0E7A" w:rsidRPr="004B20CE" w:rsidRDefault="008F0E7A" w:rsidP="008F0E7A">
      <w:pPr>
        <w:pStyle w:val="BTEMEASMCA"/>
        <w:rPr>
          <w:u w:val="none"/>
        </w:rPr>
      </w:pPr>
      <w:r w:rsidRPr="004B20CE">
        <w:rPr>
          <w:u w:val="none"/>
        </w:rPr>
        <w:t>Dėžutėje yra 20 tablečių lizdinėse plokštelėse.</w:t>
      </w:r>
    </w:p>
    <w:p w:rsidR="008F0E7A" w:rsidRPr="004B20CE" w:rsidRDefault="008F0E7A" w:rsidP="008F0E7A">
      <w:pPr>
        <w:pStyle w:val="BTEMEASMCA"/>
        <w:rPr>
          <w:u w:val="none"/>
        </w:rPr>
      </w:pPr>
    </w:p>
    <w:p w:rsidR="008F0E7A" w:rsidRPr="004B20CE" w:rsidRDefault="008F0E7A" w:rsidP="008F0E7A">
      <w:pPr>
        <w:pStyle w:val="PI-3EMEASMCA"/>
      </w:pPr>
      <w:r w:rsidRPr="004B20CE">
        <w:t>Registruotojas ir gamintojas</w:t>
      </w:r>
    </w:p>
    <w:p w:rsidR="008F0E7A" w:rsidRPr="004B20CE" w:rsidRDefault="008F0E7A" w:rsidP="008F0E7A">
      <w:pPr>
        <w:pStyle w:val="PI-3EMEASMCA"/>
      </w:pPr>
    </w:p>
    <w:p w:rsidR="008F0E7A" w:rsidRPr="004B20CE" w:rsidRDefault="008F0E7A" w:rsidP="008F0E7A">
      <w:pPr>
        <w:spacing w:after="0" w:line="240" w:lineRule="auto"/>
        <w:rPr>
          <w:rFonts w:ascii="Times New Roman" w:hAnsi="Times New Roman"/>
          <w:i/>
          <w:lang w:val="lt-LT"/>
        </w:rPr>
      </w:pPr>
      <w:r w:rsidRPr="004B20CE">
        <w:rPr>
          <w:rFonts w:ascii="Times New Roman" w:hAnsi="Times New Roman"/>
          <w:i/>
          <w:lang w:val="lt-LT"/>
        </w:rPr>
        <w:t xml:space="preserve">Registruotojas </w:t>
      </w:r>
    </w:p>
    <w:p w:rsidR="008F0E7A" w:rsidRPr="004B20CE" w:rsidRDefault="008F0E7A" w:rsidP="008F0E7A">
      <w:pPr>
        <w:spacing w:after="0" w:line="240" w:lineRule="auto"/>
        <w:rPr>
          <w:rFonts w:ascii="Times New Roman" w:hAnsi="Times New Roman"/>
          <w:lang w:val="lt-LT"/>
        </w:rPr>
      </w:pPr>
      <w:r>
        <w:rPr>
          <w:rFonts w:ascii="Times New Roman" w:hAnsi="Times New Roman"/>
          <w:lang w:val="lt-LT"/>
        </w:rPr>
        <w:t>n</w:t>
      </w:r>
      <w:r w:rsidRPr="004B20CE">
        <w:rPr>
          <w:rFonts w:ascii="Times New Roman" w:hAnsi="Times New Roman"/>
          <w:lang w:val="lt-LT"/>
        </w:rPr>
        <w:t>euraxpharm Arzneimittel GmbH</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 xml:space="preserve">Elisabeth-Selbert-Straße 23 </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40764 Langenfeld</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Vokietija</w:t>
      </w:r>
    </w:p>
    <w:p w:rsidR="008F0E7A" w:rsidRPr="004B20CE" w:rsidRDefault="008F0E7A" w:rsidP="008F0E7A">
      <w:pPr>
        <w:spacing w:after="0" w:line="240" w:lineRule="auto"/>
        <w:rPr>
          <w:rFonts w:ascii="Times New Roman" w:hAnsi="Times New Roman"/>
          <w:lang w:val="lt-LT"/>
        </w:rPr>
      </w:pPr>
    </w:p>
    <w:p w:rsidR="008F0E7A" w:rsidRPr="004B20CE" w:rsidRDefault="008F0E7A" w:rsidP="008F0E7A">
      <w:pPr>
        <w:spacing w:after="0" w:line="240" w:lineRule="auto"/>
        <w:rPr>
          <w:rFonts w:ascii="Times New Roman" w:hAnsi="Times New Roman"/>
          <w:i/>
          <w:lang w:val="lt-LT"/>
        </w:rPr>
      </w:pPr>
      <w:r w:rsidRPr="004B20CE">
        <w:rPr>
          <w:rFonts w:ascii="Times New Roman" w:hAnsi="Times New Roman"/>
          <w:i/>
          <w:lang w:val="lt-LT"/>
        </w:rPr>
        <w:t>Gamintojai</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Delpharm Dijon</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6, boulevard de l’Europe</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21800 Quetigny</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Prancūzija</w:t>
      </w:r>
    </w:p>
    <w:p w:rsidR="008F0E7A" w:rsidRPr="004B20CE" w:rsidRDefault="008F0E7A" w:rsidP="008F0E7A">
      <w:pPr>
        <w:spacing w:after="0" w:line="240" w:lineRule="auto"/>
        <w:rPr>
          <w:rFonts w:ascii="Times New Roman" w:hAnsi="Times New Roman"/>
          <w:lang w:val="lt-LT"/>
        </w:rPr>
      </w:pP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arba</w:t>
      </w:r>
    </w:p>
    <w:p w:rsidR="008F0E7A" w:rsidRPr="004B20CE" w:rsidRDefault="008F0E7A" w:rsidP="008F0E7A">
      <w:pPr>
        <w:spacing w:after="0" w:line="240" w:lineRule="auto"/>
        <w:rPr>
          <w:rFonts w:ascii="Times New Roman" w:hAnsi="Times New Roman"/>
          <w:lang w:val="lt-LT"/>
        </w:rPr>
      </w:pPr>
    </w:p>
    <w:p w:rsidR="008F0E7A" w:rsidRPr="004B20CE" w:rsidRDefault="008F0E7A" w:rsidP="008F0E7A">
      <w:pPr>
        <w:spacing w:after="0" w:line="240" w:lineRule="auto"/>
        <w:jc w:val="both"/>
        <w:rPr>
          <w:rFonts w:ascii="Times New Roman" w:hAnsi="Times New Roman"/>
          <w:lang w:val="lt-LT"/>
        </w:rPr>
      </w:pPr>
      <w:r w:rsidRPr="004B20CE">
        <w:rPr>
          <w:rFonts w:ascii="Times New Roman" w:hAnsi="Times New Roman"/>
          <w:lang w:val="lt-LT"/>
        </w:rPr>
        <w:t>SANOFI-AVENTIS Zrt.</w:t>
      </w:r>
    </w:p>
    <w:p w:rsidR="008F0E7A" w:rsidRPr="004B20CE" w:rsidRDefault="008F0E7A" w:rsidP="008F0E7A">
      <w:pPr>
        <w:spacing w:after="0" w:line="240" w:lineRule="auto"/>
        <w:jc w:val="both"/>
        <w:rPr>
          <w:rFonts w:ascii="Times New Roman" w:hAnsi="Times New Roman"/>
          <w:lang w:val="lt-LT"/>
        </w:rPr>
      </w:pPr>
      <w:r w:rsidRPr="004B20CE">
        <w:rPr>
          <w:rFonts w:ascii="Times New Roman" w:hAnsi="Times New Roman"/>
          <w:lang w:val="lt-LT"/>
        </w:rPr>
        <w:t>Campona u. 1. (Harbor Park)</w:t>
      </w:r>
    </w:p>
    <w:p w:rsidR="008F0E7A" w:rsidRPr="004B20CE" w:rsidRDefault="008F0E7A" w:rsidP="008F0E7A">
      <w:pPr>
        <w:spacing w:after="0" w:line="240" w:lineRule="auto"/>
        <w:jc w:val="both"/>
        <w:rPr>
          <w:rFonts w:ascii="Times New Roman" w:hAnsi="Times New Roman"/>
          <w:lang w:val="lt-LT"/>
        </w:rPr>
      </w:pPr>
      <w:r w:rsidRPr="004B20CE">
        <w:rPr>
          <w:rFonts w:ascii="Times New Roman" w:hAnsi="Times New Roman"/>
          <w:lang w:val="lt-LT"/>
        </w:rPr>
        <w:t>1225 Budapest</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 xml:space="preserve">Vengrija </w:t>
      </w:r>
    </w:p>
    <w:p w:rsidR="008F0E7A" w:rsidRPr="004B20CE" w:rsidRDefault="008F0E7A" w:rsidP="008F0E7A">
      <w:pPr>
        <w:pStyle w:val="BTEMEASMCA"/>
      </w:pP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lastRenderedPageBreak/>
        <w:t>Jeigu apie šį vaistą norite sužinoti daugiau, kreipkitės į vietinį registruotojo atstovą.</w:t>
      </w:r>
    </w:p>
    <w:p w:rsidR="008F0E7A" w:rsidRPr="004B20CE" w:rsidRDefault="008F0E7A" w:rsidP="008F0E7A">
      <w:pPr>
        <w:spacing w:after="0" w:line="240" w:lineRule="auto"/>
        <w:rPr>
          <w:rFonts w:ascii="Times New Roman" w:hAnsi="Times New Roman"/>
          <w:lang w:val="lt-LT"/>
        </w:rPr>
      </w:pP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UAB „Swixx Biopharma“</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Bokšto g. 1-3</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LT-01126 Vilnius</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Lietuva</w:t>
      </w:r>
    </w:p>
    <w:p w:rsidR="008F0E7A" w:rsidRPr="004B20CE" w:rsidRDefault="008F0E7A" w:rsidP="008F0E7A">
      <w:pPr>
        <w:spacing w:after="0" w:line="240" w:lineRule="auto"/>
        <w:rPr>
          <w:rFonts w:ascii="Times New Roman" w:hAnsi="Times New Roman"/>
          <w:lang w:val="lt-LT"/>
        </w:rPr>
      </w:pPr>
      <w:r w:rsidRPr="004B20CE">
        <w:rPr>
          <w:rFonts w:ascii="Times New Roman" w:hAnsi="Times New Roman"/>
          <w:lang w:val="lt-LT"/>
        </w:rPr>
        <w:t>Tel.: +370 5 236 9140</w:t>
      </w:r>
    </w:p>
    <w:p w:rsidR="008F0E7A" w:rsidRPr="004B20CE" w:rsidRDefault="008F0E7A" w:rsidP="008F0E7A">
      <w:pPr>
        <w:pStyle w:val="BTEMEASMCA"/>
      </w:pPr>
    </w:p>
    <w:p w:rsidR="008F0E7A" w:rsidRPr="004B20CE" w:rsidRDefault="008F0E7A" w:rsidP="008F0E7A">
      <w:pPr>
        <w:pStyle w:val="PI-1EMEASMCA"/>
      </w:pPr>
      <w:r w:rsidRPr="004B20CE">
        <w:t xml:space="preserve">Šis pakuotės lapelis paskutinį kartą peržiūrėtas </w:t>
      </w:r>
      <w:r>
        <w:t>2025-04-07.</w:t>
      </w:r>
    </w:p>
    <w:p w:rsidR="008F0E7A" w:rsidRPr="004B20CE" w:rsidRDefault="008F0E7A" w:rsidP="008F0E7A">
      <w:pPr>
        <w:pStyle w:val="BTbEMEASMCA"/>
      </w:pPr>
    </w:p>
    <w:p w:rsidR="008F0E7A" w:rsidRPr="00576F9F" w:rsidRDefault="008F0E7A" w:rsidP="008F0E7A">
      <w:pPr>
        <w:numPr>
          <w:ilvl w:val="12"/>
          <w:numId w:val="0"/>
        </w:numPr>
        <w:tabs>
          <w:tab w:val="left" w:pos="567"/>
        </w:tabs>
        <w:spacing w:after="0" w:line="240" w:lineRule="auto"/>
        <w:ind w:right="-2"/>
        <w:rPr>
          <w:rFonts w:ascii="Times New Roman" w:hAnsi="Times New Roman"/>
          <w:lang w:val="lt-LT"/>
        </w:rPr>
      </w:pPr>
      <w:r w:rsidRPr="004B20CE">
        <w:rPr>
          <w:rFonts w:ascii="Times New Roman" w:hAnsi="Times New Roman"/>
          <w:snapToGrid w:val="0"/>
          <w:lang w:val="lt-LT"/>
        </w:rPr>
        <w:t>Išsami informacija apie šį vaistą</w:t>
      </w:r>
      <w:r w:rsidRPr="004B20CE">
        <w:rPr>
          <w:rFonts w:ascii="Times New Roman" w:hAnsi="Times New Roman"/>
          <w:lang w:val="lt-LT"/>
        </w:rPr>
        <w:t xml:space="preserve"> pateikiama Valstybinės vaistų kontrolės tarnybos prie Lietuvos Respublikos sveikatos apsaugos ministerijos </w:t>
      </w:r>
      <w:r w:rsidRPr="004B20CE">
        <w:rPr>
          <w:rFonts w:ascii="Times New Roman" w:hAnsi="Times New Roman"/>
          <w:snapToGrid w:val="0"/>
          <w:lang w:val="lt-LT"/>
        </w:rPr>
        <w:t xml:space="preserve">tinklalapyje </w:t>
      </w:r>
      <w:bookmarkStart w:id="13" w:name="_Hlk194263437"/>
      <w:r w:rsidRPr="004B20CE">
        <w:rPr>
          <w:rFonts w:ascii="Times New Roman" w:hAnsi="Times New Roman"/>
          <w:color w:val="0000EE"/>
          <w:u w:val="single"/>
          <w:lang w:eastAsia="lt-LT"/>
        </w:rPr>
        <w:t>https://vvkt.lrv.lt/lt/</w:t>
      </w:r>
      <w:r w:rsidRPr="004B20CE">
        <w:rPr>
          <w:rFonts w:ascii="Times New Roman" w:hAnsi="Times New Roman"/>
          <w:lang w:eastAsia="lt-LT"/>
        </w:rPr>
        <w:t>.</w:t>
      </w:r>
      <w:bookmarkEnd w:id="13"/>
    </w:p>
    <w:p w:rsidR="008F0E7A" w:rsidRPr="00576F9F" w:rsidRDefault="008F0E7A" w:rsidP="008F0E7A">
      <w:pPr>
        <w:spacing w:after="0" w:line="240" w:lineRule="auto"/>
        <w:rPr>
          <w:rFonts w:ascii="Times New Roman" w:hAnsi="Times New Roman"/>
          <w:lang w:val="lt-LT"/>
        </w:rPr>
      </w:pPr>
    </w:p>
    <w:p w:rsidR="008F0E7A" w:rsidRPr="00576F9F" w:rsidRDefault="008F0E7A" w:rsidP="008F0E7A">
      <w:pPr>
        <w:rPr>
          <w:rFonts w:ascii="Times New Roman" w:hAnsi="Times New Roman"/>
          <w:lang w:val="lt-LT"/>
        </w:rPr>
      </w:pPr>
    </w:p>
    <w:p w:rsidR="00BA6577" w:rsidRDefault="00BA6577">
      <w:bookmarkStart w:id="14" w:name="_GoBack"/>
      <w:bookmarkEnd w:id="14"/>
    </w:p>
    <w:sectPr w:rsidR="00BA6577" w:rsidSect="000654F9">
      <w:footerReference w:type="even" r:id="rId5"/>
      <w:footerReference w:type="default" r:id="rId6"/>
      <w:pgSz w:w="11906" w:h="16838"/>
      <w:pgMar w:top="1134" w:right="1418" w:bottom="1134" w:left="1418"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B1C" w:rsidRDefault="008F0E7A" w:rsidP="000654F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6B1C" w:rsidRDefault="008F0E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B1C" w:rsidRDefault="008F0E7A" w:rsidP="000654F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436B1C" w:rsidRDefault="008F0E7A">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288A"/>
    <w:multiLevelType w:val="hybridMultilevel"/>
    <w:tmpl w:val="E08283BA"/>
    <w:lvl w:ilvl="0" w:tplc="314A55D0">
      <w:start w:val="1"/>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D4828A7"/>
    <w:multiLevelType w:val="hybridMultilevel"/>
    <w:tmpl w:val="6FEA0242"/>
    <w:lvl w:ilvl="0" w:tplc="AC083AE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B3445"/>
    <w:multiLevelType w:val="hybridMultilevel"/>
    <w:tmpl w:val="C778E650"/>
    <w:lvl w:ilvl="0" w:tplc="5A68ACB8">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EE4125"/>
    <w:multiLevelType w:val="hybridMultilevel"/>
    <w:tmpl w:val="E1E0DBA0"/>
    <w:lvl w:ilvl="0" w:tplc="5A68ACB8">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82F28DD"/>
    <w:multiLevelType w:val="hybridMultilevel"/>
    <w:tmpl w:val="CA001160"/>
    <w:lvl w:ilvl="0" w:tplc="02FE35A6">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E0A55B2"/>
    <w:multiLevelType w:val="hybridMultilevel"/>
    <w:tmpl w:val="853CF548"/>
    <w:lvl w:ilvl="0" w:tplc="5A68ACB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D21E6"/>
    <w:multiLevelType w:val="hybridMultilevel"/>
    <w:tmpl w:val="490CB7A4"/>
    <w:lvl w:ilvl="0" w:tplc="91307A68">
      <w:start w:val="1"/>
      <w:numFmt w:val="bullet"/>
      <w:lvlText w:val="-"/>
      <w:lvlJc w:val="left"/>
      <w:pPr>
        <w:tabs>
          <w:tab w:val="num" w:pos="567"/>
        </w:tabs>
        <w:ind w:left="567" w:hanging="567"/>
      </w:pPr>
      <w:rPr>
        <w:rFonts w:ascii="Times New Roman" w:eastAsia="Times New Roman" w:hAnsi="Times New Roman" w:hint="default"/>
      </w:rPr>
    </w:lvl>
    <w:lvl w:ilvl="1" w:tplc="10A61E32">
      <w:numFmt w:val="bullet"/>
      <w:lvlText w:val="-"/>
      <w:lvlJc w:val="left"/>
      <w:pPr>
        <w:tabs>
          <w:tab w:val="num" w:pos="1647"/>
        </w:tabs>
        <w:ind w:left="1647" w:hanging="567"/>
      </w:pPr>
      <w:rPr>
        <w:rFonts w:ascii="Times New Roman" w:hAnsi="Times New Roman"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7" w15:restartNumberingAfterBreak="0">
    <w:nsid w:val="43002319"/>
    <w:multiLevelType w:val="hybridMultilevel"/>
    <w:tmpl w:val="6D1417D6"/>
    <w:lvl w:ilvl="0" w:tplc="3A94C634">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C41287"/>
    <w:multiLevelType w:val="hybridMultilevel"/>
    <w:tmpl w:val="7DE08EBE"/>
    <w:lvl w:ilvl="0" w:tplc="A5D0AEF8">
      <w:start w:val="1"/>
      <w:numFmt w:val="bullet"/>
      <w:pStyle w:val="BT-EMEASMCA"/>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77DA47C3"/>
    <w:multiLevelType w:val="hybridMultilevel"/>
    <w:tmpl w:val="0960E190"/>
    <w:lvl w:ilvl="0" w:tplc="98C6843C">
      <w:numFmt w:val="bullet"/>
      <w:lvlText w:val="-"/>
      <w:lvlJc w:val="left"/>
      <w:pPr>
        <w:tabs>
          <w:tab w:val="num" w:pos="567"/>
        </w:tabs>
        <w:ind w:left="567" w:hanging="567"/>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numFmt w:val="bullet"/>
      <w:lvlText w:val="-"/>
      <w:lvlJc w:val="left"/>
      <w:pPr>
        <w:tabs>
          <w:tab w:val="num" w:pos="2340"/>
        </w:tabs>
        <w:ind w:left="2340" w:hanging="360"/>
      </w:pPr>
      <w:rPr>
        <w:rFonts w:ascii="Times New Roman" w:eastAsia="Times New Roman" w:hAnsi="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79767C0B"/>
    <w:multiLevelType w:val="hybridMultilevel"/>
    <w:tmpl w:val="159C8168"/>
    <w:lvl w:ilvl="0" w:tplc="C22A7980">
      <w:start w:val="4"/>
      <w:numFmt w:val="bullet"/>
      <w:lvlText w:val="-"/>
      <w:lvlJc w:val="left"/>
      <w:pPr>
        <w:tabs>
          <w:tab w:val="num" w:pos="1134"/>
        </w:tabs>
        <w:ind w:left="1134" w:hanging="567"/>
      </w:pPr>
      <w:rPr>
        <w:rFonts w:ascii="Times New Roman" w:eastAsia="Times New Roman" w:hAnsi="Times New Roman" w:hint="default"/>
      </w:rPr>
    </w:lvl>
    <w:lvl w:ilvl="1" w:tplc="04090003">
      <w:start w:val="1"/>
      <w:numFmt w:val="bullet"/>
      <w:lvlText w:val=""/>
      <w:lvlJc w:val="left"/>
      <w:pPr>
        <w:tabs>
          <w:tab w:val="num" w:pos="2857"/>
        </w:tabs>
        <w:ind w:left="2857" w:hanging="360"/>
      </w:pPr>
      <w:rPr>
        <w:rFonts w:ascii="Symbol" w:hAnsi="Symbol" w:hint="default"/>
      </w:rPr>
    </w:lvl>
    <w:lvl w:ilvl="2" w:tplc="04090005">
      <w:numFmt w:val="bullet"/>
      <w:lvlText w:val="-"/>
      <w:lvlJc w:val="left"/>
      <w:pPr>
        <w:tabs>
          <w:tab w:val="num" w:pos="3757"/>
        </w:tabs>
        <w:ind w:left="3757" w:hanging="360"/>
      </w:pPr>
      <w:rPr>
        <w:rFonts w:ascii="Times New Roman" w:eastAsia="Times New Roman" w:hAnsi="Times New Roman" w:hint="default"/>
      </w:rPr>
    </w:lvl>
    <w:lvl w:ilvl="3" w:tplc="04090001">
      <w:start w:val="1"/>
      <w:numFmt w:val="decimal"/>
      <w:lvlText w:val="%4."/>
      <w:lvlJc w:val="left"/>
      <w:pPr>
        <w:tabs>
          <w:tab w:val="num" w:pos="4297"/>
        </w:tabs>
        <w:ind w:left="4297" w:hanging="360"/>
      </w:pPr>
      <w:rPr>
        <w:rFonts w:cs="Times New Roman"/>
      </w:rPr>
    </w:lvl>
    <w:lvl w:ilvl="4" w:tplc="04090003">
      <w:start w:val="1"/>
      <w:numFmt w:val="decimal"/>
      <w:lvlText w:val="%5."/>
      <w:lvlJc w:val="left"/>
      <w:pPr>
        <w:tabs>
          <w:tab w:val="num" w:pos="5017"/>
        </w:tabs>
        <w:ind w:left="5017" w:hanging="360"/>
      </w:pPr>
      <w:rPr>
        <w:rFonts w:cs="Times New Roman"/>
      </w:rPr>
    </w:lvl>
    <w:lvl w:ilvl="5" w:tplc="04090005">
      <w:start w:val="1"/>
      <w:numFmt w:val="decimal"/>
      <w:lvlText w:val="%6."/>
      <w:lvlJc w:val="left"/>
      <w:pPr>
        <w:tabs>
          <w:tab w:val="num" w:pos="5737"/>
        </w:tabs>
        <w:ind w:left="5737" w:hanging="360"/>
      </w:pPr>
      <w:rPr>
        <w:rFonts w:cs="Times New Roman"/>
      </w:rPr>
    </w:lvl>
    <w:lvl w:ilvl="6" w:tplc="04090001">
      <w:start w:val="1"/>
      <w:numFmt w:val="decimal"/>
      <w:lvlText w:val="%7."/>
      <w:lvlJc w:val="left"/>
      <w:pPr>
        <w:tabs>
          <w:tab w:val="num" w:pos="6457"/>
        </w:tabs>
        <w:ind w:left="6457" w:hanging="360"/>
      </w:pPr>
      <w:rPr>
        <w:rFonts w:cs="Times New Roman"/>
      </w:rPr>
    </w:lvl>
    <w:lvl w:ilvl="7" w:tplc="04090003">
      <w:start w:val="1"/>
      <w:numFmt w:val="decimal"/>
      <w:lvlText w:val="%8."/>
      <w:lvlJc w:val="left"/>
      <w:pPr>
        <w:tabs>
          <w:tab w:val="num" w:pos="7177"/>
        </w:tabs>
        <w:ind w:left="7177" w:hanging="360"/>
      </w:pPr>
      <w:rPr>
        <w:rFonts w:cs="Times New Roman"/>
      </w:rPr>
    </w:lvl>
    <w:lvl w:ilvl="8" w:tplc="04090005">
      <w:start w:val="1"/>
      <w:numFmt w:val="decimal"/>
      <w:lvlText w:val="%9."/>
      <w:lvlJc w:val="left"/>
      <w:pPr>
        <w:tabs>
          <w:tab w:val="num" w:pos="7897"/>
        </w:tabs>
        <w:ind w:left="7897"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7"/>
  </w:num>
  <w:num w:numId="5">
    <w:abstractNumId w:val="6"/>
  </w:num>
  <w:num w:numId="6">
    <w:abstractNumId w:val="4"/>
  </w:num>
  <w:num w:numId="7">
    <w:abstractNumId w:val="10"/>
  </w:num>
  <w:num w:numId="8">
    <w:abstractNumId w:val="2"/>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E7A"/>
    <w:rsid w:val="00072F85"/>
    <w:rsid w:val="000A5E72"/>
    <w:rsid w:val="000A7B60"/>
    <w:rsid w:val="00181364"/>
    <w:rsid w:val="002945D9"/>
    <w:rsid w:val="00305C48"/>
    <w:rsid w:val="003362C6"/>
    <w:rsid w:val="00497D4D"/>
    <w:rsid w:val="00742EBF"/>
    <w:rsid w:val="008F0E7A"/>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D4C9C-5FB7-4CD6-878D-6791C90A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0E7A"/>
    <w:pPr>
      <w:spacing w:after="200" w:line="276" w:lineRule="auto"/>
    </w:pPr>
    <w:rPr>
      <w:rFonts w:ascii="Calibri" w:eastAsia="Times New Roman" w:hAnsi="Calibri" w:cs="Times New Roman"/>
      <w:lang w:val="en-US"/>
    </w:rPr>
  </w:style>
  <w:style w:type="paragraph" w:styleId="Antrat2">
    <w:name w:val="heading 2"/>
    <w:basedOn w:val="prastasis"/>
    <w:next w:val="prastasis"/>
    <w:link w:val="Antrat2Diagrama"/>
    <w:uiPriority w:val="9"/>
    <w:semiHidden/>
    <w:unhideWhenUsed/>
    <w:qFormat/>
    <w:rsid w:val="008F0E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8F0E7A"/>
    <w:pPr>
      <w:tabs>
        <w:tab w:val="center" w:pos="4153"/>
        <w:tab w:val="right" w:pos="8306"/>
      </w:tabs>
      <w:spacing w:after="0" w:line="240" w:lineRule="auto"/>
    </w:pPr>
    <w:rPr>
      <w:rFonts w:ascii="Times New Roman" w:hAnsi="Times New Roman"/>
      <w:sz w:val="24"/>
      <w:szCs w:val="20"/>
      <w:lang w:val="en-GB" w:eastAsia="fr-FR"/>
    </w:rPr>
  </w:style>
  <w:style w:type="character" w:customStyle="1" w:styleId="PoratDiagrama">
    <w:name w:val="Poraštė Diagrama"/>
    <w:basedOn w:val="Numatytasispastraiposriftas"/>
    <w:link w:val="Porat"/>
    <w:rsid w:val="008F0E7A"/>
    <w:rPr>
      <w:rFonts w:ascii="Times New Roman" w:eastAsia="Times New Roman" w:hAnsi="Times New Roman" w:cs="Times New Roman"/>
      <w:sz w:val="24"/>
      <w:szCs w:val="20"/>
      <w:lang w:val="en-GB" w:eastAsia="fr-FR"/>
    </w:rPr>
  </w:style>
  <w:style w:type="paragraph" w:styleId="Pagrindinistekstas">
    <w:name w:val="Body Text"/>
    <w:basedOn w:val="prastasis"/>
    <w:link w:val="PagrindinistekstasDiagrama"/>
    <w:rsid w:val="008F0E7A"/>
    <w:pPr>
      <w:spacing w:after="0" w:line="240" w:lineRule="auto"/>
      <w:jc w:val="both"/>
    </w:pPr>
    <w:rPr>
      <w:rFonts w:ascii="Arial" w:hAnsi="Arial"/>
      <w:szCs w:val="20"/>
      <w:lang w:val="en-GB" w:eastAsia="fr-FR"/>
    </w:rPr>
  </w:style>
  <w:style w:type="character" w:customStyle="1" w:styleId="PagrindinistekstasDiagrama">
    <w:name w:val="Pagrindinis tekstas Diagrama"/>
    <w:basedOn w:val="Numatytasispastraiposriftas"/>
    <w:link w:val="Pagrindinistekstas"/>
    <w:rsid w:val="008F0E7A"/>
    <w:rPr>
      <w:rFonts w:ascii="Arial" w:eastAsia="Times New Roman" w:hAnsi="Arial" w:cs="Times New Roman"/>
      <w:szCs w:val="20"/>
      <w:lang w:val="en-GB" w:eastAsia="fr-FR"/>
    </w:rPr>
  </w:style>
  <w:style w:type="paragraph" w:styleId="Pagrindinistekstas2">
    <w:name w:val="Body Text 2"/>
    <w:basedOn w:val="prastasis"/>
    <w:link w:val="Pagrindinistekstas2Diagrama"/>
    <w:rsid w:val="008F0E7A"/>
    <w:pPr>
      <w:spacing w:after="120" w:line="480" w:lineRule="auto"/>
    </w:pPr>
    <w:rPr>
      <w:rFonts w:ascii="Times New Roman" w:hAnsi="Times New Roman"/>
      <w:sz w:val="24"/>
      <w:szCs w:val="20"/>
      <w:lang w:val="en-GB" w:eastAsia="fr-FR"/>
    </w:rPr>
  </w:style>
  <w:style w:type="character" w:customStyle="1" w:styleId="Pagrindinistekstas2Diagrama">
    <w:name w:val="Pagrindinis tekstas 2 Diagrama"/>
    <w:basedOn w:val="Numatytasispastraiposriftas"/>
    <w:link w:val="Pagrindinistekstas2"/>
    <w:rsid w:val="008F0E7A"/>
    <w:rPr>
      <w:rFonts w:ascii="Times New Roman" w:eastAsia="Times New Roman" w:hAnsi="Times New Roman" w:cs="Times New Roman"/>
      <w:sz w:val="24"/>
      <w:szCs w:val="20"/>
      <w:lang w:val="en-GB" w:eastAsia="fr-FR"/>
    </w:rPr>
  </w:style>
  <w:style w:type="paragraph" w:customStyle="1" w:styleId="BTEMEASMCA">
    <w:name w:val="BT EMEA_SMCA"/>
    <w:basedOn w:val="prastasis"/>
    <w:link w:val="BTEMEASMCAChar"/>
    <w:autoRedefine/>
    <w:uiPriority w:val="99"/>
    <w:rsid w:val="008F0E7A"/>
    <w:pPr>
      <w:spacing w:after="0" w:line="240" w:lineRule="auto"/>
    </w:pPr>
    <w:rPr>
      <w:rFonts w:ascii="Times New Roman" w:hAnsi="Times New Roman"/>
      <w:u w:val="single"/>
      <w:lang w:val="lt-LT"/>
    </w:rPr>
  </w:style>
  <w:style w:type="character" w:customStyle="1" w:styleId="BTEMEASMCAChar">
    <w:name w:val="BT EMEA_SMCA Char"/>
    <w:link w:val="BTEMEASMCA"/>
    <w:uiPriority w:val="99"/>
    <w:locked/>
    <w:rsid w:val="008F0E7A"/>
    <w:rPr>
      <w:rFonts w:ascii="Times New Roman" w:eastAsia="Times New Roman" w:hAnsi="Times New Roman" w:cs="Times New Roman"/>
      <w:u w:val="single"/>
    </w:rPr>
  </w:style>
  <w:style w:type="paragraph" w:customStyle="1" w:styleId="PI-1EMEASMCA">
    <w:name w:val="PI-1 EMEA_SMCA"/>
    <w:basedOn w:val="Antrat2"/>
    <w:autoRedefine/>
    <w:rsid w:val="008F0E7A"/>
    <w:pPr>
      <w:keepLines w:val="0"/>
      <w:tabs>
        <w:tab w:val="left" w:pos="567"/>
      </w:tabs>
      <w:spacing w:before="0" w:line="240" w:lineRule="auto"/>
    </w:pPr>
    <w:rPr>
      <w:rFonts w:ascii="Times New Roman" w:eastAsia="Times New Roman" w:hAnsi="Times New Roman" w:cs="Times New Roman"/>
      <w:b/>
      <w:color w:val="auto"/>
      <w:sz w:val="22"/>
      <w:szCs w:val="22"/>
      <w:lang w:val="lt-LT"/>
    </w:rPr>
  </w:style>
  <w:style w:type="paragraph" w:customStyle="1" w:styleId="BT-EMEASMCA">
    <w:name w:val="BT- EMEA_SMCA"/>
    <w:basedOn w:val="BTEMEASMCA"/>
    <w:autoRedefine/>
    <w:rsid w:val="008F0E7A"/>
    <w:pPr>
      <w:numPr>
        <w:numId w:val="9"/>
      </w:numPr>
      <w:tabs>
        <w:tab w:val="num" w:pos="360"/>
        <w:tab w:val="left" w:pos="540"/>
      </w:tabs>
      <w:ind w:left="567" w:hanging="567"/>
    </w:pPr>
  </w:style>
  <w:style w:type="paragraph" w:customStyle="1" w:styleId="PI-3EMEASMCA">
    <w:name w:val="PI-3 EMEA_SMCA"/>
    <w:basedOn w:val="prastasis"/>
    <w:autoRedefine/>
    <w:rsid w:val="008F0E7A"/>
    <w:pPr>
      <w:spacing w:after="0" w:line="240" w:lineRule="auto"/>
    </w:pPr>
    <w:rPr>
      <w:rFonts w:ascii="Times New Roman" w:hAnsi="Times New Roman"/>
      <w:b/>
      <w:lang w:val="lt-LT"/>
    </w:rPr>
  </w:style>
  <w:style w:type="paragraph" w:customStyle="1" w:styleId="BTbEMEASMCA">
    <w:name w:val="BT(b) EMEA_SMCA"/>
    <w:basedOn w:val="BTEMEASMCA"/>
    <w:autoRedefine/>
    <w:rsid w:val="008F0E7A"/>
    <w:rPr>
      <w:b/>
      <w:bCs/>
    </w:rPr>
  </w:style>
  <w:style w:type="paragraph" w:customStyle="1" w:styleId="BTeEMEASMCA">
    <w:name w:val="BT(e) EMEA_SMCA"/>
    <w:basedOn w:val="BTEMEASMCA"/>
    <w:autoRedefine/>
    <w:rsid w:val="008F0E7A"/>
    <w:pPr>
      <w:jc w:val="center"/>
    </w:pPr>
  </w:style>
  <w:style w:type="paragraph" w:customStyle="1" w:styleId="Style">
    <w:name w:val="Style"/>
    <w:rsid w:val="008F0E7A"/>
    <w:pPr>
      <w:widowControl w:val="0"/>
      <w:autoSpaceDE w:val="0"/>
      <w:autoSpaceDN w:val="0"/>
      <w:adjustRightInd w:val="0"/>
      <w:spacing w:after="0" w:line="240" w:lineRule="auto"/>
    </w:pPr>
    <w:rPr>
      <w:rFonts w:ascii="Arial" w:eastAsia="MS Mincho" w:hAnsi="Arial" w:cs="Arial"/>
      <w:sz w:val="24"/>
      <w:szCs w:val="24"/>
      <w:lang w:val="en-US" w:eastAsia="ja-JP"/>
    </w:rPr>
  </w:style>
  <w:style w:type="character" w:styleId="Puslapionumeris">
    <w:name w:val="page number"/>
    <w:rsid w:val="008F0E7A"/>
    <w:rPr>
      <w:rFonts w:cs="Times New Roman"/>
    </w:rPr>
  </w:style>
  <w:style w:type="paragraph" w:styleId="Sraopastraipa">
    <w:name w:val="List Paragraph"/>
    <w:basedOn w:val="prastasis"/>
    <w:uiPriority w:val="34"/>
    <w:qFormat/>
    <w:rsid w:val="008F0E7A"/>
    <w:pPr>
      <w:ind w:left="720"/>
      <w:contextualSpacing/>
    </w:pPr>
  </w:style>
  <w:style w:type="character" w:customStyle="1" w:styleId="Antrat2Diagrama">
    <w:name w:val="Antraštė 2 Diagrama"/>
    <w:basedOn w:val="Numatytasispastraiposriftas"/>
    <w:link w:val="Antrat2"/>
    <w:uiPriority w:val="9"/>
    <w:semiHidden/>
    <w:rsid w:val="008F0E7A"/>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10718</Words>
  <Characters>6110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2025-04-07T10:57:00Z</dcterms:created>
  <dcterms:modified xsi:type="dcterms:W3CDTF">2025-04-07T10:58:00Z</dcterms:modified>
</cp:coreProperties>
</file>