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191B23" w14:textId="77777777" w:rsidR="00A0704E" w:rsidRPr="00A0704E" w:rsidRDefault="00A0704E" w:rsidP="00A0704E">
      <w:pPr>
        <w:tabs>
          <w:tab w:val="left" w:pos="567"/>
        </w:tabs>
        <w:spacing w:after="0" w:line="240" w:lineRule="auto"/>
        <w:rPr>
          <w:rFonts w:ascii="Times New Roman" w:eastAsia="Times New Roman" w:hAnsi="Times New Roman" w:cs="Times New Roman"/>
        </w:rPr>
      </w:pPr>
      <w:bookmarkStart w:id="0" w:name="_GoBack"/>
      <w:bookmarkEnd w:id="0"/>
    </w:p>
    <w:p w14:paraId="7432D25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CBC88D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7DB226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CC2E7DD"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C45D018"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D4CF525"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C6570C5"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AA417B8"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42EEC1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0724576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8398F2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3351C8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7959AE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1645AA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1F5634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DEE4247"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871936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831C38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08278A8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FF95CFD"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C7145DA"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091A46C"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E5D901C"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bookmarkStart w:id="1" w:name="_Toc129243096"/>
      <w:bookmarkStart w:id="2" w:name="_Toc129243221"/>
      <w:r w:rsidRPr="00A0704E">
        <w:rPr>
          <w:rFonts w:ascii="Times New Roman" w:eastAsia="Times New Roman" w:hAnsi="Times New Roman" w:cs="Times New Roman"/>
          <w:b/>
          <w:caps/>
        </w:rPr>
        <w:t>I PRIEDAS</w:t>
      </w:r>
      <w:bookmarkEnd w:id="1"/>
      <w:bookmarkEnd w:id="2"/>
      <w:r w:rsidRPr="00A0704E">
        <w:rPr>
          <w:rFonts w:ascii="Times New Roman" w:eastAsia="Times New Roman" w:hAnsi="Times New Roman" w:cs="Times New Roman"/>
          <w:b/>
          <w:caps/>
        </w:rPr>
        <w:fldChar w:fldCharType="begin"/>
      </w:r>
      <w:r w:rsidRPr="00A0704E">
        <w:rPr>
          <w:rFonts w:ascii="Times New Roman" w:eastAsia="Times New Roman" w:hAnsi="Times New Roman" w:cs="Times New Roman"/>
          <w:b/>
          <w:caps/>
        </w:rPr>
        <w:instrText xml:space="preserve"> DOCVARIABLE VAULT_ND_0eb5c99a-b025-42f5-a6c9-ee3645294aee \* MERGEFORMAT </w:instrText>
      </w:r>
      <w:r w:rsidRPr="00A0704E">
        <w:rPr>
          <w:rFonts w:ascii="Times New Roman" w:eastAsia="Times New Roman" w:hAnsi="Times New Roman" w:cs="Times New Roman"/>
          <w:b/>
          <w:caps/>
        </w:rPr>
        <w:fldChar w:fldCharType="separate"/>
      </w:r>
      <w:r w:rsidRPr="00A0704E">
        <w:rPr>
          <w:rFonts w:ascii="Times New Roman" w:eastAsia="Times New Roman" w:hAnsi="Times New Roman" w:cs="Times New Roman"/>
          <w:b/>
          <w:caps/>
        </w:rPr>
        <w:t xml:space="preserve"> </w:t>
      </w:r>
      <w:r w:rsidRPr="00A0704E">
        <w:rPr>
          <w:rFonts w:ascii="Times New Roman" w:eastAsia="Times New Roman" w:hAnsi="Times New Roman" w:cs="Times New Roman"/>
          <w:b/>
          <w:caps/>
        </w:rPr>
        <w:fldChar w:fldCharType="end"/>
      </w:r>
    </w:p>
    <w:p w14:paraId="466E69F3"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4E358B6"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bookmarkStart w:id="3" w:name="_Toc129243097"/>
      <w:bookmarkStart w:id="4" w:name="_Toc129243222"/>
      <w:r w:rsidRPr="00A0704E">
        <w:rPr>
          <w:rFonts w:ascii="Times New Roman" w:eastAsia="Times New Roman" w:hAnsi="Times New Roman" w:cs="Times New Roman"/>
          <w:b/>
          <w:caps/>
        </w:rPr>
        <w:t>PREPARATO CHARAKTERISTIKŲ SANTRAUKA</w:t>
      </w:r>
      <w:bookmarkEnd w:id="3"/>
      <w:bookmarkEnd w:id="4"/>
      <w:r w:rsidRPr="00A0704E">
        <w:rPr>
          <w:rFonts w:ascii="Times New Roman" w:eastAsia="Times New Roman" w:hAnsi="Times New Roman" w:cs="Times New Roman"/>
          <w:b/>
          <w:caps/>
        </w:rPr>
        <w:fldChar w:fldCharType="begin"/>
      </w:r>
      <w:r w:rsidRPr="00A0704E">
        <w:rPr>
          <w:rFonts w:ascii="Times New Roman" w:eastAsia="Times New Roman" w:hAnsi="Times New Roman" w:cs="Times New Roman"/>
          <w:b/>
          <w:caps/>
        </w:rPr>
        <w:instrText xml:space="preserve"> DOCVARIABLE VAULT_ND_9afc914a-95a1-4a7c-9558-292f1e319305 \* MERGEFORMAT </w:instrText>
      </w:r>
      <w:r w:rsidRPr="00A0704E">
        <w:rPr>
          <w:rFonts w:ascii="Times New Roman" w:eastAsia="Times New Roman" w:hAnsi="Times New Roman" w:cs="Times New Roman"/>
          <w:b/>
          <w:caps/>
        </w:rPr>
        <w:fldChar w:fldCharType="separate"/>
      </w:r>
      <w:r w:rsidRPr="00A0704E">
        <w:rPr>
          <w:rFonts w:ascii="Times New Roman" w:eastAsia="Times New Roman" w:hAnsi="Times New Roman" w:cs="Times New Roman"/>
          <w:b/>
          <w:caps/>
        </w:rPr>
        <w:t xml:space="preserve"> </w:t>
      </w:r>
      <w:r w:rsidRPr="00A0704E">
        <w:rPr>
          <w:rFonts w:ascii="Times New Roman" w:eastAsia="Times New Roman" w:hAnsi="Times New Roman" w:cs="Times New Roman"/>
          <w:b/>
          <w:caps/>
        </w:rPr>
        <w:fldChar w:fldCharType="end"/>
      </w:r>
    </w:p>
    <w:p w14:paraId="70CEF1E4" w14:textId="77777777" w:rsidR="00A0704E" w:rsidRPr="00A0704E" w:rsidRDefault="00A0704E" w:rsidP="00A0704E">
      <w:pPr>
        <w:tabs>
          <w:tab w:val="left" w:pos="567"/>
        </w:tabs>
        <w:spacing w:after="0" w:line="240" w:lineRule="auto"/>
        <w:rPr>
          <w:rFonts w:ascii="Times New Roman" w:eastAsia="Times New Roman" w:hAnsi="Times New Roman" w:cs="Times New Roman"/>
          <w:b/>
        </w:rPr>
      </w:pPr>
      <w:r w:rsidRPr="00A0704E">
        <w:rPr>
          <w:rFonts w:ascii="Times New Roman" w:eastAsia="Times New Roman" w:hAnsi="Times New Roman" w:cs="Times New Roman"/>
          <w:bCs/>
          <w:iCs/>
        </w:rPr>
        <w:br w:type="page"/>
      </w:r>
      <w:bookmarkStart w:id="5" w:name="_Toc129243098"/>
      <w:bookmarkStart w:id="6" w:name="_Toc129243223"/>
      <w:r w:rsidRPr="00A0704E">
        <w:rPr>
          <w:rFonts w:ascii="Times New Roman" w:eastAsia="Times New Roman" w:hAnsi="Times New Roman" w:cs="Times New Roman"/>
          <w:b/>
        </w:rPr>
        <w:lastRenderedPageBreak/>
        <w:t>1.</w:t>
      </w:r>
      <w:r w:rsidRPr="00A0704E">
        <w:rPr>
          <w:rFonts w:ascii="Times New Roman" w:eastAsia="Times New Roman" w:hAnsi="Times New Roman" w:cs="Times New Roman"/>
          <w:b/>
        </w:rPr>
        <w:tab/>
        <w:t>VAISTINIO PREPARATO PAVADINIMAS</w:t>
      </w:r>
      <w:bookmarkEnd w:id="5"/>
      <w:bookmarkEnd w:id="6"/>
    </w:p>
    <w:p w14:paraId="4E22A55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22F1CE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Cordarone 200 mg tabletės</w:t>
      </w:r>
    </w:p>
    <w:p w14:paraId="0475B42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28BE50D"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BDEEAC1" w14:textId="77777777" w:rsidR="00A0704E" w:rsidRPr="00A0704E" w:rsidRDefault="00A0704E" w:rsidP="00A0704E">
      <w:pPr>
        <w:tabs>
          <w:tab w:val="left" w:pos="567"/>
        </w:tabs>
        <w:spacing w:after="0" w:line="240" w:lineRule="auto"/>
        <w:rPr>
          <w:rFonts w:ascii="Times New Roman" w:eastAsia="Times New Roman" w:hAnsi="Times New Roman" w:cs="Times New Roman"/>
          <w:b/>
        </w:rPr>
      </w:pPr>
      <w:bookmarkStart w:id="7" w:name="_Toc129243099"/>
      <w:bookmarkStart w:id="8" w:name="_Toc129243224"/>
      <w:r w:rsidRPr="00A0704E">
        <w:rPr>
          <w:rFonts w:ascii="Times New Roman" w:eastAsia="Times New Roman" w:hAnsi="Times New Roman" w:cs="Times New Roman"/>
          <w:b/>
        </w:rPr>
        <w:t>2.</w:t>
      </w:r>
      <w:r w:rsidRPr="00A0704E">
        <w:rPr>
          <w:rFonts w:ascii="Times New Roman" w:eastAsia="Times New Roman" w:hAnsi="Times New Roman" w:cs="Times New Roman"/>
          <w:b/>
        </w:rPr>
        <w:tab/>
        <w:t>KOKYBINĖ IR KIEKYBINĖ SUDĖTIS</w:t>
      </w:r>
      <w:bookmarkEnd w:id="7"/>
      <w:bookmarkEnd w:id="8"/>
    </w:p>
    <w:p w14:paraId="71E0CF7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883206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Vienoje tabletėje yra 200 mg amjodarono hidrochlorido.</w:t>
      </w:r>
    </w:p>
    <w:p w14:paraId="397E0CA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3B8D763"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u w:val="single"/>
        </w:rPr>
        <w:t>Pagalbinė medžiaga, kurios poveikis žinomas</w:t>
      </w:r>
      <w:r w:rsidRPr="00A0704E">
        <w:rPr>
          <w:rFonts w:ascii="Times New Roman" w:eastAsia="Times New Roman" w:hAnsi="Times New Roman" w:cs="Times New Roman"/>
        </w:rPr>
        <w:t>: vienoje tabletėje yra 71 mg laktozės monohidrato.</w:t>
      </w:r>
    </w:p>
    <w:p w14:paraId="552BAD95"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07AF04F3"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Visos pagalbinės medžiagos išvardytos 6.1 skyriuje.</w:t>
      </w:r>
    </w:p>
    <w:p w14:paraId="605D8D4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0000F28D"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F65A8F8" w14:textId="77777777" w:rsidR="00A0704E" w:rsidRPr="00A0704E" w:rsidRDefault="00A0704E" w:rsidP="00A0704E">
      <w:pPr>
        <w:tabs>
          <w:tab w:val="left" w:pos="567"/>
        </w:tabs>
        <w:spacing w:after="0" w:line="240" w:lineRule="auto"/>
        <w:rPr>
          <w:rFonts w:ascii="Times New Roman" w:eastAsia="Times New Roman" w:hAnsi="Times New Roman" w:cs="Times New Roman"/>
          <w:b/>
        </w:rPr>
      </w:pPr>
      <w:bookmarkStart w:id="9" w:name="_Toc129243100"/>
      <w:bookmarkStart w:id="10" w:name="_Toc129243225"/>
      <w:r w:rsidRPr="00A0704E">
        <w:rPr>
          <w:rFonts w:ascii="Times New Roman" w:eastAsia="Times New Roman" w:hAnsi="Times New Roman" w:cs="Times New Roman"/>
          <w:b/>
        </w:rPr>
        <w:t>3.</w:t>
      </w:r>
      <w:r w:rsidRPr="00A0704E">
        <w:rPr>
          <w:rFonts w:ascii="Times New Roman" w:eastAsia="Times New Roman" w:hAnsi="Times New Roman" w:cs="Times New Roman"/>
          <w:b/>
        </w:rPr>
        <w:tab/>
        <w:t>FARMACINĖ FORMA</w:t>
      </w:r>
      <w:bookmarkEnd w:id="9"/>
      <w:bookmarkEnd w:id="10"/>
    </w:p>
    <w:p w14:paraId="3A101035"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54A87EA"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Tabletė</w:t>
      </w:r>
    </w:p>
    <w:p w14:paraId="674CDA7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0A6726B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Tabletės yra nuo baltos iki švelniai kreminės spalvos apvalios su vagele bei vienoje pusėje įspaustu širdelės formos simboliu ir skaičiumi „200“. </w:t>
      </w:r>
    </w:p>
    <w:p w14:paraId="3244CF2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4CC36D5"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Vagelė skirta tik tabletei perlaužti, kad būtų lengviau nuryti, bet ne jai padalyti į lygias dozes. </w:t>
      </w:r>
    </w:p>
    <w:p w14:paraId="7960422C"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CD7860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bookmarkStart w:id="11" w:name="_Toc129243101"/>
      <w:bookmarkStart w:id="12" w:name="_Toc129243226"/>
    </w:p>
    <w:p w14:paraId="733E6222" w14:textId="77777777" w:rsidR="00A0704E" w:rsidRPr="00A0704E" w:rsidRDefault="00A0704E" w:rsidP="00A0704E">
      <w:pPr>
        <w:tabs>
          <w:tab w:val="left" w:pos="567"/>
        </w:tabs>
        <w:spacing w:after="0" w:line="240" w:lineRule="auto"/>
        <w:rPr>
          <w:rFonts w:ascii="Times New Roman" w:eastAsia="Times New Roman" w:hAnsi="Times New Roman" w:cs="Times New Roman"/>
          <w:b/>
        </w:rPr>
      </w:pPr>
      <w:r w:rsidRPr="00A0704E">
        <w:rPr>
          <w:rFonts w:ascii="Times New Roman" w:eastAsia="Times New Roman" w:hAnsi="Times New Roman" w:cs="Times New Roman"/>
          <w:b/>
        </w:rPr>
        <w:t>4.</w:t>
      </w:r>
      <w:r w:rsidRPr="00A0704E">
        <w:rPr>
          <w:rFonts w:ascii="Times New Roman" w:eastAsia="Times New Roman" w:hAnsi="Times New Roman" w:cs="Times New Roman"/>
          <w:b/>
        </w:rPr>
        <w:tab/>
        <w:t>KLINIKINĖ INFORMACIJA</w:t>
      </w:r>
      <w:bookmarkEnd w:id="11"/>
      <w:bookmarkEnd w:id="12"/>
    </w:p>
    <w:p w14:paraId="3B47A238"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6271F87" w14:textId="77777777" w:rsidR="00A0704E" w:rsidRPr="00A0704E" w:rsidRDefault="00A0704E" w:rsidP="00A0704E">
      <w:pPr>
        <w:keepNext/>
        <w:keepLines/>
        <w:numPr>
          <w:ilvl w:val="1"/>
          <w:numId w:val="4"/>
        </w:numPr>
        <w:tabs>
          <w:tab w:val="clear" w:pos="570"/>
          <w:tab w:val="left" w:pos="567"/>
        </w:tabs>
        <w:spacing w:after="0" w:line="240" w:lineRule="auto"/>
        <w:outlineLvl w:val="2"/>
        <w:rPr>
          <w:rFonts w:ascii="Times New Roman" w:eastAsia="Times New Roman" w:hAnsi="Times New Roman" w:cs="Times New Roman"/>
          <w:b/>
          <w:bCs/>
          <w:kern w:val="28"/>
        </w:rPr>
      </w:pPr>
      <w:bookmarkStart w:id="13" w:name="_Toc129243102"/>
      <w:bookmarkStart w:id="14" w:name="_Toc129243227"/>
      <w:r w:rsidRPr="00A0704E">
        <w:rPr>
          <w:rFonts w:ascii="Times New Roman" w:eastAsia="Times New Roman" w:hAnsi="Times New Roman" w:cs="Times New Roman"/>
          <w:b/>
          <w:bCs/>
          <w:kern w:val="28"/>
        </w:rPr>
        <w:t>Terapinės indikacijos</w:t>
      </w:r>
      <w:bookmarkEnd w:id="13"/>
      <w:bookmarkEnd w:id="14"/>
      <w:r w:rsidRPr="00A0704E">
        <w:rPr>
          <w:rFonts w:ascii="Times New Roman" w:eastAsia="Times New Roman" w:hAnsi="Times New Roman" w:cs="Times New Roman"/>
          <w:b/>
          <w:bCs/>
          <w:kern w:val="28"/>
        </w:rPr>
        <w:fldChar w:fldCharType="begin"/>
      </w:r>
      <w:r w:rsidRPr="00A0704E">
        <w:rPr>
          <w:rFonts w:ascii="Times New Roman" w:eastAsia="Times New Roman" w:hAnsi="Times New Roman" w:cs="Times New Roman"/>
          <w:b/>
          <w:bCs/>
          <w:kern w:val="28"/>
        </w:rPr>
        <w:instrText xml:space="preserve"> DOCVARIABLE vault_nd_0142301f-5377-41ae-8bfb-08916924f89b \* MERGEFORMAT </w:instrText>
      </w:r>
      <w:r w:rsidRPr="00A0704E">
        <w:rPr>
          <w:rFonts w:ascii="Times New Roman" w:eastAsia="Times New Roman" w:hAnsi="Times New Roman" w:cs="Times New Roman"/>
          <w:b/>
          <w:bCs/>
          <w:kern w:val="28"/>
        </w:rPr>
        <w:fldChar w:fldCharType="separate"/>
      </w:r>
      <w:r w:rsidRPr="00A0704E">
        <w:rPr>
          <w:rFonts w:ascii="Times New Roman" w:eastAsia="Times New Roman" w:hAnsi="Times New Roman" w:cs="Times New Roman"/>
          <w:b/>
          <w:bCs/>
          <w:kern w:val="28"/>
        </w:rPr>
        <w:t xml:space="preserve"> </w:t>
      </w:r>
      <w:r w:rsidRPr="00A0704E">
        <w:rPr>
          <w:rFonts w:ascii="Times New Roman" w:eastAsia="Times New Roman" w:hAnsi="Times New Roman" w:cs="Times New Roman"/>
          <w:b/>
          <w:bCs/>
          <w:kern w:val="28"/>
        </w:rPr>
        <w:fldChar w:fldCharType="end"/>
      </w:r>
    </w:p>
    <w:p w14:paraId="65F1481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466C60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Pradėti gydyti amjodaronu ir gydymo eigą sekti galima tik specialistui prižiūrint arba ligoninėje. Geriamaisiais amjodarono preparatais gydomi tik sunkūs širdies ritmo sutrikimai tuo atveju, jeigu kiti antiaritminiai preparatai yra neveiksmingi arba netinka.</w:t>
      </w:r>
    </w:p>
    <w:p w14:paraId="25C9206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FEC6862" w14:textId="77777777" w:rsidR="00A0704E" w:rsidRPr="00A0704E" w:rsidRDefault="00A0704E" w:rsidP="00A0704E">
      <w:pPr>
        <w:numPr>
          <w:ilvl w:val="0"/>
          <w:numId w:val="10"/>
        </w:numPr>
        <w:tabs>
          <w:tab w:val="left" w:pos="0"/>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Supraventrikulinės (įskaitant atrioventrikulinę mazginę) ar skilvelinės paroksizminės tachikardijos atsinaujinimo profilaktika. </w:t>
      </w:r>
    </w:p>
    <w:p w14:paraId="1B6D3917" w14:textId="77777777" w:rsidR="00A0704E" w:rsidRPr="00A0704E" w:rsidRDefault="00A0704E" w:rsidP="00A0704E">
      <w:pPr>
        <w:numPr>
          <w:ilvl w:val="0"/>
          <w:numId w:val="10"/>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Prieširdžių virpėjimo ar plazdėjimo atsinaujinimo profilaktika.</w:t>
      </w:r>
    </w:p>
    <w:p w14:paraId="4833F7C1" w14:textId="77777777" w:rsidR="00A0704E" w:rsidRPr="00A0704E" w:rsidRDefault="00A0704E" w:rsidP="00A0704E">
      <w:pPr>
        <w:numPr>
          <w:ilvl w:val="0"/>
          <w:numId w:val="10"/>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Skilvelių virpėjimo atsinaujinimo profilaktika. </w:t>
      </w:r>
    </w:p>
    <w:p w14:paraId="0CB47D22" w14:textId="77777777" w:rsidR="00A0704E" w:rsidRPr="00A0704E" w:rsidRDefault="00A0704E" w:rsidP="00A0704E">
      <w:pPr>
        <w:numPr>
          <w:ilvl w:val="0"/>
          <w:numId w:val="10"/>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Su Volfo-Parkinsono-Vaito sindromu susijusios tachikardijos atsinaujinimo profilaktika.</w:t>
      </w:r>
    </w:p>
    <w:p w14:paraId="033148EA" w14:textId="77777777" w:rsidR="00A0704E" w:rsidRPr="00A0704E" w:rsidRDefault="00A0704E" w:rsidP="00A0704E">
      <w:pPr>
        <w:keepNext/>
        <w:keepLines/>
        <w:tabs>
          <w:tab w:val="left" w:pos="567"/>
        </w:tabs>
        <w:spacing w:after="0" w:line="240" w:lineRule="auto"/>
        <w:outlineLvl w:val="2"/>
        <w:rPr>
          <w:rFonts w:ascii="Times New Roman" w:eastAsia="Times New Roman" w:hAnsi="Times New Roman" w:cs="Times New Roman"/>
          <w:b/>
          <w:bCs/>
          <w:kern w:val="28"/>
        </w:rPr>
      </w:pPr>
      <w:bookmarkStart w:id="15" w:name="_Toc129243103"/>
      <w:bookmarkStart w:id="16" w:name="_Toc129243228"/>
    </w:p>
    <w:p w14:paraId="14C6D808" w14:textId="77777777" w:rsidR="00A0704E" w:rsidRPr="00A0704E" w:rsidRDefault="00A0704E" w:rsidP="00A0704E">
      <w:pPr>
        <w:keepNext/>
        <w:keepLines/>
        <w:tabs>
          <w:tab w:val="left" w:pos="567"/>
        </w:tabs>
        <w:spacing w:after="0" w:line="240" w:lineRule="auto"/>
        <w:outlineLvl w:val="2"/>
        <w:rPr>
          <w:rFonts w:ascii="Times New Roman" w:eastAsia="Times New Roman" w:hAnsi="Times New Roman" w:cs="Times New Roman"/>
          <w:b/>
          <w:bCs/>
          <w:kern w:val="28"/>
        </w:rPr>
      </w:pPr>
      <w:r w:rsidRPr="00A0704E">
        <w:rPr>
          <w:rFonts w:ascii="Times New Roman" w:eastAsia="Times New Roman" w:hAnsi="Times New Roman" w:cs="Times New Roman"/>
          <w:b/>
          <w:bCs/>
          <w:kern w:val="28"/>
        </w:rPr>
        <w:t>4.2</w:t>
      </w:r>
      <w:r w:rsidRPr="00A0704E">
        <w:rPr>
          <w:rFonts w:ascii="Times New Roman" w:eastAsia="Times New Roman" w:hAnsi="Times New Roman" w:cs="Times New Roman"/>
          <w:b/>
          <w:bCs/>
          <w:kern w:val="28"/>
        </w:rPr>
        <w:tab/>
        <w:t>Dozavimas ir vartojimo metodas</w:t>
      </w:r>
      <w:bookmarkEnd w:id="15"/>
      <w:bookmarkEnd w:id="16"/>
      <w:r w:rsidRPr="00A0704E">
        <w:rPr>
          <w:rFonts w:ascii="Times New Roman" w:eastAsia="Times New Roman" w:hAnsi="Times New Roman" w:cs="Times New Roman"/>
          <w:b/>
          <w:bCs/>
          <w:kern w:val="28"/>
        </w:rPr>
        <w:fldChar w:fldCharType="begin"/>
      </w:r>
      <w:r w:rsidRPr="00A0704E">
        <w:rPr>
          <w:rFonts w:ascii="Times New Roman" w:eastAsia="Times New Roman" w:hAnsi="Times New Roman" w:cs="Times New Roman"/>
          <w:b/>
          <w:bCs/>
          <w:kern w:val="28"/>
        </w:rPr>
        <w:instrText xml:space="preserve"> DOCVARIABLE vault_nd_f900fbe0-673a-49bb-86fc-a8ee7936ed17 \* MERGEFORMAT </w:instrText>
      </w:r>
      <w:r w:rsidRPr="00A0704E">
        <w:rPr>
          <w:rFonts w:ascii="Times New Roman" w:eastAsia="Times New Roman" w:hAnsi="Times New Roman" w:cs="Times New Roman"/>
          <w:b/>
          <w:bCs/>
          <w:kern w:val="28"/>
        </w:rPr>
        <w:fldChar w:fldCharType="separate"/>
      </w:r>
      <w:r w:rsidRPr="00A0704E">
        <w:rPr>
          <w:rFonts w:ascii="Times New Roman" w:eastAsia="Times New Roman" w:hAnsi="Times New Roman" w:cs="Times New Roman"/>
          <w:b/>
          <w:bCs/>
          <w:kern w:val="28"/>
        </w:rPr>
        <w:t xml:space="preserve"> </w:t>
      </w:r>
      <w:r w:rsidRPr="00A0704E">
        <w:rPr>
          <w:rFonts w:ascii="Times New Roman" w:eastAsia="Times New Roman" w:hAnsi="Times New Roman" w:cs="Times New Roman"/>
          <w:b/>
          <w:bCs/>
          <w:kern w:val="28"/>
        </w:rPr>
        <w:fldChar w:fldCharType="end"/>
      </w:r>
    </w:p>
    <w:p w14:paraId="2B5A6607"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608F11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bookmarkStart w:id="17" w:name="OLE_LINK8"/>
      <w:bookmarkStart w:id="18" w:name="OLE_LINK9"/>
      <w:r w:rsidRPr="00A0704E">
        <w:rPr>
          <w:rFonts w:ascii="Times New Roman" w:eastAsia="Times New Roman" w:hAnsi="Times New Roman" w:cs="Times New Roman"/>
        </w:rPr>
        <w:t>Nurodytas dozavimas tinka visų indikacijų atvejais.</w:t>
      </w:r>
    </w:p>
    <w:p w14:paraId="6015AAF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A4C94A1" w14:textId="77777777" w:rsidR="00A0704E" w:rsidRPr="00A0704E" w:rsidRDefault="00A0704E" w:rsidP="00A0704E">
      <w:pPr>
        <w:tabs>
          <w:tab w:val="left" w:pos="567"/>
        </w:tabs>
        <w:spacing w:after="0" w:line="240" w:lineRule="auto"/>
        <w:rPr>
          <w:rFonts w:ascii="Times New Roman" w:eastAsia="Times New Roman" w:hAnsi="Times New Roman" w:cs="Times New Roman"/>
          <w:u w:val="single"/>
        </w:rPr>
      </w:pPr>
      <w:r w:rsidRPr="00A0704E">
        <w:rPr>
          <w:rFonts w:ascii="Times New Roman" w:eastAsia="Times New Roman" w:hAnsi="Times New Roman" w:cs="Times New Roman"/>
          <w:u w:val="single"/>
        </w:rPr>
        <w:t>Suaugusiems žmonėms</w:t>
      </w:r>
    </w:p>
    <w:p w14:paraId="26EEC898"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Pradinė dozė</w:t>
      </w:r>
    </w:p>
    <w:p w14:paraId="31923C7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Pirmąsias 8-10 parų reikia gerti po vieną 200 mg tabletę 3 kartus per parą. Po to dozę reikia mažinti iki 200 mg 2 kartus per parą. </w:t>
      </w:r>
    </w:p>
    <w:p w14:paraId="5226ABD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09B7F05"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Palaikomoji dozė</w:t>
      </w:r>
    </w:p>
    <w:p w14:paraId="5864BED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Reikia gydyti mažiausia veiksminga doze, kuri atskiriems pacientams yra skirtinga. Dažniausiai pakanka 100 mg (vienos 200 mg tabletės kas antrą parą) arba 200 mg paros dozės. Retais atvejais gali prireikti didesnės paros dozės. Palaikomoji paros dozė turi būti nuolat peržiūrima, ypač jei ji viršija 200 mg paros dozę.</w:t>
      </w:r>
    </w:p>
    <w:p w14:paraId="2BF9A6F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386B39D"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Dozės nereikia koreguoti sergantiems inkstų ar kepenų funkcijos nepakankamumu ir senyviems pacientams.</w:t>
      </w:r>
    </w:p>
    <w:p w14:paraId="01A540C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BB2518E"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lastRenderedPageBreak/>
        <w:t>Cordarone galima vartoti pacientams, sergantiems išemine širdies liga ir (ar) pablogėjusia kairiojo skilvelio funkcija (žr. 5.1 skyrių).</w:t>
      </w:r>
    </w:p>
    <w:p w14:paraId="42EF90D3"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i/>
        </w:rPr>
      </w:pPr>
    </w:p>
    <w:p w14:paraId="7B93C497"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Vaikų populiacija</w:t>
      </w:r>
    </w:p>
    <w:p w14:paraId="6EE9E22B"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Amjodarono saugumas ir veiksmingumas vaikams nenustatytas.</w:t>
      </w:r>
    </w:p>
    <w:bookmarkEnd w:id="17"/>
    <w:bookmarkEnd w:id="18"/>
    <w:p w14:paraId="1D967BA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Šiuo metu turimi duomenys aprašyti 5.1 ir 5.2 skyriuose.</w:t>
      </w:r>
    </w:p>
    <w:p w14:paraId="31120B5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C49A408" w14:textId="77777777" w:rsidR="00A0704E" w:rsidRPr="00A0704E" w:rsidRDefault="00A0704E" w:rsidP="00A0704E">
      <w:pPr>
        <w:spacing w:after="0" w:line="240" w:lineRule="auto"/>
        <w:rPr>
          <w:rFonts w:ascii="Times New Roman" w:eastAsia="Times New Roman" w:hAnsi="Times New Roman" w:cs="Times New Roman"/>
          <w:u w:val="single"/>
        </w:rPr>
      </w:pPr>
      <w:r w:rsidRPr="00A0704E">
        <w:rPr>
          <w:rFonts w:ascii="Times New Roman" w:eastAsia="Times New Roman" w:hAnsi="Times New Roman" w:cs="Times New Roman"/>
          <w:noProof/>
          <w:u w:val="single"/>
        </w:rPr>
        <w:t>Vartojimo metodas</w:t>
      </w:r>
      <w:r w:rsidRPr="00A0704E">
        <w:rPr>
          <w:rFonts w:ascii="Times New Roman" w:eastAsia="Times New Roman" w:hAnsi="Times New Roman" w:cs="Times New Roman"/>
          <w:u w:val="single"/>
        </w:rPr>
        <w:t xml:space="preserve"> </w:t>
      </w:r>
    </w:p>
    <w:p w14:paraId="50268CD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Vartoti per burną.</w:t>
      </w:r>
    </w:p>
    <w:p w14:paraId="71F4F375"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D2CBEEC" w14:textId="77777777" w:rsidR="00A0704E" w:rsidRPr="00A0704E" w:rsidRDefault="00A0704E" w:rsidP="00A0704E">
      <w:pPr>
        <w:keepNext/>
        <w:keepLines/>
        <w:tabs>
          <w:tab w:val="left" w:pos="567"/>
        </w:tabs>
        <w:spacing w:after="0" w:line="240" w:lineRule="auto"/>
        <w:outlineLvl w:val="2"/>
        <w:rPr>
          <w:rFonts w:ascii="Times New Roman" w:eastAsia="Times New Roman" w:hAnsi="Times New Roman" w:cs="Times New Roman"/>
          <w:b/>
          <w:bCs/>
          <w:kern w:val="28"/>
        </w:rPr>
      </w:pPr>
      <w:bookmarkStart w:id="19" w:name="_Toc129243104"/>
      <w:bookmarkStart w:id="20" w:name="_Toc129243229"/>
      <w:r w:rsidRPr="00A0704E">
        <w:rPr>
          <w:rFonts w:ascii="Times New Roman" w:eastAsia="Times New Roman" w:hAnsi="Times New Roman" w:cs="Times New Roman"/>
          <w:b/>
          <w:bCs/>
          <w:kern w:val="28"/>
        </w:rPr>
        <w:t>4.3</w:t>
      </w:r>
      <w:r w:rsidRPr="00A0704E">
        <w:rPr>
          <w:rFonts w:ascii="Times New Roman" w:eastAsia="Times New Roman" w:hAnsi="Times New Roman" w:cs="Times New Roman"/>
          <w:b/>
          <w:bCs/>
          <w:kern w:val="28"/>
        </w:rPr>
        <w:tab/>
        <w:t>Kontraindikacijos</w:t>
      </w:r>
      <w:bookmarkEnd w:id="19"/>
      <w:bookmarkEnd w:id="20"/>
      <w:r w:rsidRPr="00A0704E">
        <w:rPr>
          <w:rFonts w:ascii="Times New Roman" w:eastAsia="Times New Roman" w:hAnsi="Times New Roman" w:cs="Times New Roman"/>
          <w:b/>
          <w:bCs/>
          <w:kern w:val="28"/>
        </w:rPr>
        <w:fldChar w:fldCharType="begin"/>
      </w:r>
      <w:r w:rsidRPr="00A0704E">
        <w:rPr>
          <w:rFonts w:ascii="Times New Roman" w:eastAsia="Times New Roman" w:hAnsi="Times New Roman" w:cs="Times New Roman"/>
          <w:b/>
          <w:bCs/>
          <w:kern w:val="28"/>
        </w:rPr>
        <w:instrText xml:space="preserve"> DOCVARIABLE vault_nd_c407a5e0-9a99-4246-8d95-3e6f8ea4b6f5 \* MERGEFORMAT </w:instrText>
      </w:r>
      <w:r w:rsidRPr="00A0704E">
        <w:rPr>
          <w:rFonts w:ascii="Times New Roman" w:eastAsia="Times New Roman" w:hAnsi="Times New Roman" w:cs="Times New Roman"/>
          <w:b/>
          <w:bCs/>
          <w:kern w:val="28"/>
        </w:rPr>
        <w:fldChar w:fldCharType="separate"/>
      </w:r>
      <w:r w:rsidRPr="00A0704E">
        <w:rPr>
          <w:rFonts w:ascii="Times New Roman" w:eastAsia="Times New Roman" w:hAnsi="Times New Roman" w:cs="Times New Roman"/>
          <w:b/>
          <w:bCs/>
          <w:kern w:val="28"/>
        </w:rPr>
        <w:t xml:space="preserve"> </w:t>
      </w:r>
      <w:r w:rsidRPr="00A0704E">
        <w:rPr>
          <w:rFonts w:ascii="Times New Roman" w:eastAsia="Times New Roman" w:hAnsi="Times New Roman" w:cs="Times New Roman"/>
          <w:b/>
          <w:bCs/>
          <w:kern w:val="28"/>
        </w:rPr>
        <w:fldChar w:fldCharType="end"/>
      </w:r>
    </w:p>
    <w:p w14:paraId="18A5417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6CD7B5A" w14:textId="77777777" w:rsidR="00A0704E" w:rsidRPr="00A0704E" w:rsidRDefault="00A0704E" w:rsidP="00BB3C7B">
      <w:pPr>
        <w:numPr>
          <w:ilvl w:val="0"/>
          <w:numId w:val="1"/>
        </w:numPr>
        <w:tabs>
          <w:tab w:val="clear" w:pos="3402"/>
          <w:tab w:val="num"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Padidėjęs jautrumas amjodarono hidrochloridui, jodui arba bet kuriai 6.1 skyriuje nurodytai pagalbinei medžiagai.</w:t>
      </w:r>
    </w:p>
    <w:p w14:paraId="6401EE9B" w14:textId="77777777" w:rsidR="00A0704E" w:rsidRPr="00A0704E" w:rsidRDefault="00A0704E" w:rsidP="00BB3C7B">
      <w:pPr>
        <w:numPr>
          <w:ilvl w:val="0"/>
          <w:numId w:val="1"/>
        </w:numPr>
        <w:tabs>
          <w:tab w:val="clear" w:pos="3402"/>
          <w:tab w:val="num"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Sinusinė bradikardija, sinoatrialinė blokada.</w:t>
      </w:r>
    </w:p>
    <w:p w14:paraId="392B9204" w14:textId="77777777" w:rsidR="00A0704E" w:rsidRPr="00A0704E" w:rsidRDefault="00A0704E" w:rsidP="00BB3C7B">
      <w:pPr>
        <w:numPr>
          <w:ilvl w:val="0"/>
          <w:numId w:val="1"/>
        </w:numPr>
        <w:tabs>
          <w:tab w:val="clear" w:pos="3402"/>
          <w:tab w:val="num"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 xml:space="preserve">Sinusinio mazgo silpnumo sindromas (sinusinio mazgo veiklos sustojimo pavojus). </w:t>
      </w:r>
    </w:p>
    <w:p w14:paraId="578D77E5" w14:textId="77777777" w:rsidR="00A0704E" w:rsidRPr="00A0704E" w:rsidRDefault="00A0704E" w:rsidP="00BB3C7B">
      <w:pPr>
        <w:numPr>
          <w:ilvl w:val="0"/>
          <w:numId w:val="1"/>
        </w:numPr>
        <w:tabs>
          <w:tab w:val="clear" w:pos="3402"/>
          <w:tab w:val="num"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Atrioventrikulinė širdies blokada, išskyrus atvejus, kai implantuotas širdies elektrostimuliatorius.</w:t>
      </w:r>
    </w:p>
    <w:p w14:paraId="693D813A" w14:textId="77777777" w:rsidR="00A0704E" w:rsidRPr="00A0704E" w:rsidRDefault="00A0704E" w:rsidP="00BB3C7B">
      <w:pPr>
        <w:numPr>
          <w:ilvl w:val="0"/>
          <w:numId w:val="1"/>
        </w:numPr>
        <w:tabs>
          <w:tab w:val="clear" w:pos="3402"/>
          <w:tab w:val="num"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Skydliaukės funkcijos sutrikimas (vartojant amjodarono jis gali pasunkėti).</w:t>
      </w:r>
    </w:p>
    <w:p w14:paraId="779383A1" w14:textId="77777777" w:rsidR="00A0704E" w:rsidRPr="00A0704E" w:rsidRDefault="00A0704E" w:rsidP="00BB3C7B">
      <w:pPr>
        <w:numPr>
          <w:ilvl w:val="0"/>
          <w:numId w:val="1"/>
        </w:numPr>
        <w:tabs>
          <w:tab w:val="clear" w:pos="3402"/>
          <w:tab w:val="num"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Nėštumo laikotarpis (išskyrus neabejotinai būtinus atvejus).</w:t>
      </w:r>
    </w:p>
    <w:p w14:paraId="712DB777" w14:textId="77777777" w:rsidR="00A0704E" w:rsidRPr="00A0704E" w:rsidRDefault="00A0704E" w:rsidP="00BB3C7B">
      <w:pPr>
        <w:numPr>
          <w:ilvl w:val="0"/>
          <w:numId w:val="1"/>
        </w:numPr>
        <w:tabs>
          <w:tab w:val="clear" w:pos="3402"/>
          <w:tab w:val="num"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Žindymo laikotarpis.</w:t>
      </w:r>
    </w:p>
    <w:p w14:paraId="01E4335D" w14:textId="77777777" w:rsidR="00A0704E" w:rsidRPr="00A0704E" w:rsidRDefault="00A0704E" w:rsidP="00BB3C7B">
      <w:pPr>
        <w:numPr>
          <w:ilvl w:val="0"/>
          <w:numId w:val="1"/>
        </w:numPr>
        <w:tabs>
          <w:tab w:val="clear" w:pos="3402"/>
          <w:tab w:val="num"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Derinimas su vaistiniais preparatais, galinčiais sukelti polimorfinę skilvelinę paroksizminę tachikardiją (</w:t>
      </w:r>
      <w:r w:rsidRPr="00A0704E">
        <w:rPr>
          <w:rFonts w:ascii="Times New Roman" w:eastAsia="Times New Roman" w:hAnsi="Times New Roman" w:cs="Times New Roman"/>
          <w:i/>
        </w:rPr>
        <w:t>torsade de pointes)</w:t>
      </w:r>
      <w:r w:rsidRPr="00A0704E">
        <w:rPr>
          <w:rFonts w:ascii="Times New Roman" w:eastAsia="Times New Roman" w:hAnsi="Times New Roman" w:cs="Times New Roman"/>
        </w:rPr>
        <w:t>(žr. 4.5 skyrių).</w:t>
      </w:r>
    </w:p>
    <w:p w14:paraId="2A93364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C950952" w14:textId="77777777" w:rsidR="00A0704E" w:rsidRPr="00A0704E" w:rsidRDefault="00A0704E" w:rsidP="00A0704E">
      <w:pPr>
        <w:keepNext/>
        <w:keepLines/>
        <w:tabs>
          <w:tab w:val="left" w:pos="567"/>
        </w:tabs>
        <w:spacing w:after="0" w:line="240" w:lineRule="auto"/>
        <w:outlineLvl w:val="2"/>
        <w:rPr>
          <w:rFonts w:ascii="Times New Roman" w:eastAsia="Times New Roman" w:hAnsi="Times New Roman" w:cs="Times New Roman"/>
          <w:b/>
          <w:bCs/>
          <w:kern w:val="28"/>
        </w:rPr>
      </w:pPr>
      <w:bookmarkStart w:id="21" w:name="_Toc129243105"/>
      <w:bookmarkStart w:id="22" w:name="_Toc129243230"/>
      <w:r w:rsidRPr="00A0704E">
        <w:rPr>
          <w:rFonts w:ascii="Times New Roman" w:eastAsia="Times New Roman" w:hAnsi="Times New Roman" w:cs="Times New Roman"/>
          <w:b/>
          <w:bCs/>
          <w:kern w:val="28"/>
        </w:rPr>
        <w:t>4.4</w:t>
      </w:r>
      <w:r w:rsidRPr="00A0704E">
        <w:rPr>
          <w:rFonts w:ascii="Times New Roman" w:eastAsia="Times New Roman" w:hAnsi="Times New Roman" w:cs="Times New Roman"/>
          <w:b/>
          <w:bCs/>
          <w:kern w:val="28"/>
        </w:rPr>
        <w:tab/>
        <w:t>Specialūs įspėjimai ir atsargumo priemonės</w:t>
      </w:r>
      <w:bookmarkEnd w:id="21"/>
      <w:bookmarkEnd w:id="22"/>
      <w:r w:rsidRPr="00A0704E">
        <w:rPr>
          <w:rFonts w:ascii="Times New Roman" w:eastAsia="Times New Roman" w:hAnsi="Times New Roman" w:cs="Times New Roman"/>
          <w:b/>
          <w:bCs/>
          <w:kern w:val="28"/>
        </w:rPr>
        <w:fldChar w:fldCharType="begin"/>
      </w:r>
      <w:r w:rsidRPr="00A0704E">
        <w:rPr>
          <w:rFonts w:ascii="Times New Roman" w:eastAsia="Times New Roman" w:hAnsi="Times New Roman" w:cs="Times New Roman"/>
          <w:b/>
          <w:bCs/>
          <w:kern w:val="28"/>
        </w:rPr>
        <w:instrText xml:space="preserve"> DOCVARIABLE vault_nd_afa300a8-a140-4c51-86f6-170f93342f2c \* MERGEFORMAT </w:instrText>
      </w:r>
      <w:r w:rsidRPr="00A0704E">
        <w:rPr>
          <w:rFonts w:ascii="Times New Roman" w:eastAsia="Times New Roman" w:hAnsi="Times New Roman" w:cs="Times New Roman"/>
          <w:b/>
          <w:bCs/>
          <w:kern w:val="28"/>
        </w:rPr>
        <w:fldChar w:fldCharType="separate"/>
      </w:r>
      <w:r w:rsidRPr="00A0704E">
        <w:rPr>
          <w:rFonts w:ascii="Times New Roman" w:eastAsia="Times New Roman" w:hAnsi="Times New Roman" w:cs="Times New Roman"/>
          <w:b/>
          <w:bCs/>
          <w:kern w:val="28"/>
        </w:rPr>
        <w:t xml:space="preserve"> </w:t>
      </w:r>
      <w:r w:rsidRPr="00A0704E">
        <w:rPr>
          <w:rFonts w:ascii="Times New Roman" w:eastAsia="Times New Roman" w:hAnsi="Times New Roman" w:cs="Times New Roman"/>
          <w:b/>
          <w:bCs/>
          <w:kern w:val="28"/>
        </w:rPr>
        <w:fldChar w:fldCharType="end"/>
      </w:r>
    </w:p>
    <w:p w14:paraId="2C9377FD"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06EFFA6" w14:textId="77777777" w:rsidR="00A0704E" w:rsidRPr="00A0704E" w:rsidRDefault="00A0704E" w:rsidP="00A0704E">
      <w:pPr>
        <w:tabs>
          <w:tab w:val="left" w:pos="567"/>
        </w:tabs>
        <w:spacing w:after="0" w:line="240" w:lineRule="auto"/>
        <w:rPr>
          <w:rFonts w:ascii="Times New Roman" w:eastAsia="Times New Roman" w:hAnsi="Times New Roman" w:cs="Times New Roman"/>
          <w:i/>
          <w:u w:val="single"/>
        </w:rPr>
      </w:pPr>
      <w:r w:rsidRPr="00A0704E">
        <w:rPr>
          <w:rFonts w:ascii="Times New Roman" w:eastAsia="Times New Roman" w:hAnsi="Times New Roman" w:cs="Times New Roman"/>
          <w:i/>
          <w:u w:val="single"/>
        </w:rPr>
        <w:t>Specialūs įspėjimai</w:t>
      </w:r>
    </w:p>
    <w:p w14:paraId="2D525BDF" w14:textId="77777777" w:rsidR="00A0704E" w:rsidRPr="00A0704E" w:rsidRDefault="00A0704E" w:rsidP="00A0704E">
      <w:pPr>
        <w:tabs>
          <w:tab w:val="left" w:pos="567"/>
        </w:tabs>
        <w:spacing w:after="0" w:line="240" w:lineRule="auto"/>
        <w:rPr>
          <w:rFonts w:ascii="Times New Roman" w:eastAsia="Times New Roman" w:hAnsi="Times New Roman" w:cs="Times New Roman"/>
          <w:i/>
          <w:u w:val="single"/>
        </w:rPr>
      </w:pPr>
    </w:p>
    <w:p w14:paraId="4B9B4850"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Širdies sutrikimai (žr. 4.8 skyrių)</w:t>
      </w:r>
    </w:p>
    <w:p w14:paraId="1F31F7C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Prieš pradedant vartoti amjodaroną, būtina užrašyti elektrokardiogramą.</w:t>
      </w:r>
    </w:p>
    <w:p w14:paraId="5AFBA1E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Senyviems žmonėms gali labai sumažėti širdies susitraukimų dažnis.</w:t>
      </w:r>
    </w:p>
    <w:p w14:paraId="027DEFA3"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Dėl amjodarono poveikio pakinta elektrokardiograma: prailgėja QT intervalas (dėl prailgėjusios repoliarizacijos), gali atsirasti U banga. Šie pokyčiai rodo įsotinimą, bet ne toksinį poveikį.</w:t>
      </w:r>
    </w:p>
    <w:p w14:paraId="345EEADA"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Jei pasireiškia antrojo ar trečiojo laipsnio atrioventrikulinė blokada, sinoatrialinė blokada arba bifascikulinė blokada, šio vaistinio preparato vartojimą reikia nutraukti. Pasireiškus pirmojo laipsnio atrioventrikulinei blokadai, pacientą būtina stebėti atidžiau.</w:t>
      </w:r>
    </w:p>
    <w:p w14:paraId="38646E3C"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Buvo naujos aritmijos atsiradimo ar jau gydomos aritmijos pablogėjimo atvejų, kurie kartais būdavo mirtini. Nors ir sunku, labai svarbu atskirti vaistinio preparato veiksmingumo stoką nuo proaritminio jo poveikio, nepriklausomai nuo to, ar pablogėjo širdies būklė. Proaritminis poveikis, vartojant amjodaroną, pasireiškia rečiau, nei vartojant kitus antiaritminius preparatus, ir paprastai pasireiškia, jei atsiranda QT pailgėjimo veiksnių, tokių kaip, amjodarono ir kitų vaistinių preparatų sąveika ir (arba) elektrolitų pusiausvyros sutrikimas (žr. 4.5 ir 4.8 skyrius). Nepaisant QT intervalo pailgėjimo, amjodarono sukeliamas paroksizminės polimorfinės skilvelinės tachikardijos atsiradimą skatinantis poveikis yra silpnas.</w:t>
      </w:r>
    </w:p>
    <w:p w14:paraId="7FE5D7BF" w14:textId="77777777" w:rsidR="00A0704E" w:rsidRPr="00A0704E" w:rsidRDefault="00A0704E" w:rsidP="00A0704E">
      <w:pPr>
        <w:tabs>
          <w:tab w:val="left" w:pos="567"/>
        </w:tabs>
        <w:spacing w:after="0" w:line="240" w:lineRule="auto"/>
        <w:rPr>
          <w:rFonts w:ascii="Times New Roman" w:eastAsia="Times New Roman" w:hAnsi="Times New Roman" w:cs="Times New Roman"/>
          <w:iCs/>
        </w:rPr>
      </w:pPr>
    </w:p>
    <w:p w14:paraId="2F92C66E" w14:textId="77777777" w:rsidR="00A0704E" w:rsidRPr="00A0704E" w:rsidRDefault="00A0704E" w:rsidP="00A0704E">
      <w:pPr>
        <w:tabs>
          <w:tab w:val="left" w:pos="567"/>
        </w:tabs>
        <w:spacing w:after="0" w:line="240" w:lineRule="auto"/>
        <w:rPr>
          <w:rFonts w:ascii="Times New Roman" w:eastAsia="Times New Roman" w:hAnsi="Times New Roman" w:cs="Times New Roman"/>
          <w:iCs/>
        </w:rPr>
      </w:pPr>
      <w:r w:rsidRPr="00A0704E">
        <w:rPr>
          <w:rFonts w:ascii="Times New Roman" w:eastAsia="Times New Roman" w:hAnsi="Times New Roman" w:cs="Times New Roman"/>
          <w:iCs/>
        </w:rPr>
        <w:t>Retrospektyvinių tyrimų metu pacientų, kuriems buvo persodinta širdis, gydymas amjodaronu prieš transplantaciją buvo susijęs su padidėjusia pirminės persodinto organo disfunkcijos (PPOD) rizika.</w:t>
      </w:r>
    </w:p>
    <w:p w14:paraId="2CD3302C" w14:textId="77777777" w:rsidR="00A0704E" w:rsidRPr="00A0704E" w:rsidRDefault="00A0704E" w:rsidP="00A0704E">
      <w:pPr>
        <w:tabs>
          <w:tab w:val="left" w:pos="567"/>
        </w:tabs>
        <w:spacing w:after="0" w:line="240" w:lineRule="auto"/>
        <w:rPr>
          <w:rFonts w:ascii="Times New Roman" w:eastAsia="Times New Roman" w:hAnsi="Times New Roman" w:cs="Times New Roman"/>
          <w:iCs/>
        </w:rPr>
      </w:pPr>
      <w:r w:rsidRPr="00A0704E">
        <w:rPr>
          <w:rFonts w:ascii="Times New Roman" w:eastAsia="Times New Roman" w:hAnsi="Times New Roman" w:cs="Times New Roman"/>
          <w:iCs/>
        </w:rPr>
        <w:t>PPOD yra gyvybei pavojinga širdies persodinimo komplikacija, pasireiškianti kairiojo, dešiniojo ar abiejų skilvelių disfunkcija, kuri prasideda per pirmąsias 24 valandas po persodinimo operacijos, kai nenustatoma jokių antrinių priežasčių (žr. 4.8 skyrių). Sunki PPOD gali būti negrįžtama.</w:t>
      </w:r>
    </w:p>
    <w:p w14:paraId="3CEBC307" w14:textId="77777777" w:rsidR="00A0704E" w:rsidRPr="00A0704E" w:rsidRDefault="00A0704E" w:rsidP="00A0704E">
      <w:pPr>
        <w:tabs>
          <w:tab w:val="left" w:pos="567"/>
        </w:tabs>
        <w:spacing w:after="0" w:line="240" w:lineRule="auto"/>
        <w:rPr>
          <w:rFonts w:ascii="Times New Roman" w:eastAsia="Times New Roman" w:hAnsi="Times New Roman" w:cs="Times New Roman"/>
          <w:iCs/>
        </w:rPr>
      </w:pPr>
      <w:r w:rsidRPr="00A0704E">
        <w:rPr>
          <w:rFonts w:ascii="Times New Roman" w:eastAsia="Times New Roman" w:hAnsi="Times New Roman" w:cs="Times New Roman"/>
          <w:iCs/>
        </w:rPr>
        <w:t>Pacientams, kurie yra įtraukti į laukiančiųjų širdies persodinimo sąrašą, reikia apsvarstyti kitų antiaritminių vaistinių preparatų skyrimo galimybę kiek įmanoma anksčiau prieš persodinimą.</w:t>
      </w:r>
    </w:p>
    <w:p w14:paraId="3BA5C27A"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rPr>
      </w:pPr>
    </w:p>
    <w:p w14:paraId="6122A17A"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Sunki bradikardija ir širdies blokada</w:t>
      </w:r>
    </w:p>
    <w:p w14:paraId="0899B963"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iCs/>
        </w:rPr>
      </w:pPr>
      <w:r w:rsidRPr="00A0704E">
        <w:rPr>
          <w:rFonts w:ascii="Times New Roman" w:eastAsia="Times New Roman" w:hAnsi="Times New Roman" w:cs="Times New Roman"/>
          <w:iCs/>
        </w:rPr>
        <w:t>Gyvybei pavojingų sunkios bradikardijos ir širdies blokados atvejų nustatyta, taikant gydymą sofosbuviru ir tuo pat metu vartojant amjodarono.</w:t>
      </w:r>
    </w:p>
    <w:p w14:paraId="0C69CC4E"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iCs/>
        </w:rPr>
      </w:pPr>
    </w:p>
    <w:p w14:paraId="51CF8ECC"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iCs/>
        </w:rPr>
      </w:pPr>
      <w:r w:rsidRPr="00A0704E">
        <w:rPr>
          <w:rFonts w:ascii="Times New Roman" w:eastAsia="Times New Roman" w:hAnsi="Times New Roman" w:cs="Times New Roman"/>
          <w:iCs/>
        </w:rPr>
        <w:lastRenderedPageBreak/>
        <w:t>Bradikardija paprastai pasireikšdavo po kelių valandų arba parų, tačiau būta ir atvejų, kai simptomai ėmė reikštis po ilgesnio laiko, dažniausiai praėjus iki 2 savaičių nuo HCV gydymo pradžios.</w:t>
      </w:r>
    </w:p>
    <w:p w14:paraId="22A6065F"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iCs/>
        </w:rPr>
      </w:pPr>
    </w:p>
    <w:p w14:paraId="564F3151" w14:textId="5C34508D"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iCs/>
        </w:rPr>
      </w:pPr>
      <w:r w:rsidRPr="00A0704E">
        <w:rPr>
          <w:rFonts w:ascii="Times New Roman" w:eastAsia="Times New Roman" w:hAnsi="Times New Roman" w:cs="Times New Roman"/>
          <w:iCs/>
        </w:rPr>
        <w:t>Amjodaroną galima skirti tik tiems pacientams, kuriems taikomas gydymas sofosbuviru, kurie netoleruoja arba kuriems negalima taikyti kito galimo antiaritminio gydymo.</w:t>
      </w:r>
    </w:p>
    <w:p w14:paraId="3723E337"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iCs/>
        </w:rPr>
      </w:pPr>
    </w:p>
    <w:p w14:paraId="76D0994E"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iCs/>
        </w:rPr>
      </w:pPr>
      <w:r w:rsidRPr="00A0704E">
        <w:rPr>
          <w:rFonts w:ascii="Times New Roman" w:eastAsia="Times New Roman" w:hAnsi="Times New Roman" w:cs="Times New Roman"/>
          <w:iCs/>
        </w:rPr>
        <w:t>Jeigu laikomasi nuomonės, kad tuo pat metu vartoti amjodaroną būtina, pirmąsias 48 valandas nuo skyrimo kartu pradžios rekomenduojama stebėti paciento širdies veiklą ligoninėje, o paskui mažiausiai pirmąsias 2 gydymo savaites paciento širdies ritmą reikia kasdien stebėti ambulatoriškai arba pacientas turi jį stebėti pats.</w:t>
      </w:r>
    </w:p>
    <w:p w14:paraId="3B964DDB"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iCs/>
        </w:rPr>
      </w:pPr>
    </w:p>
    <w:p w14:paraId="1035A29A"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iCs/>
        </w:rPr>
      </w:pPr>
      <w:r w:rsidRPr="00A0704E">
        <w:rPr>
          <w:rFonts w:ascii="Times New Roman" w:eastAsia="Times New Roman" w:hAnsi="Times New Roman" w:cs="Times New Roman"/>
          <w:iCs/>
        </w:rPr>
        <w:t>Dėl ilgo amjodarono pusinės eliminacijos laiko reikia stebėti širdies veiklą, kaip nurodyta pirmiau, ir tiems pacientams, kurie amjodaroną nustojo vartoti per pastaruosius kelis mėnesius ir kuriems pradedamas gydymas sofosbuviru.</w:t>
      </w:r>
    </w:p>
    <w:p w14:paraId="74ABB1D4"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iCs/>
        </w:rPr>
      </w:pPr>
    </w:p>
    <w:p w14:paraId="79D20195"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iCs/>
        </w:rPr>
      </w:pPr>
      <w:r w:rsidRPr="00A0704E">
        <w:rPr>
          <w:rFonts w:ascii="Times New Roman" w:eastAsia="Times New Roman" w:hAnsi="Times New Roman" w:cs="Times New Roman"/>
          <w:iCs/>
        </w:rPr>
        <w:t>Visus pacientus, kurie vartoja amjodarono ir kuriems kartu taikomas gydymas sofosbuviru, reikia įspėti dėl bradikardijos ir širdies blokados simptomų ir informuoti, kad, pasireiškus šiems simptomams, jie turi nedelsdami kreiptis į gydytoją.</w:t>
      </w:r>
    </w:p>
    <w:p w14:paraId="08939CCE"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iCs/>
        </w:rPr>
      </w:pPr>
    </w:p>
    <w:p w14:paraId="21F33F10"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Hipertiroidizmas (žr. 4.8 skyrių)</w:t>
      </w:r>
    </w:p>
    <w:p w14:paraId="0BC71372"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Hipertiroidizmas gali atsirasti gydymo amjodaronu metu arba kelių mėnesių laikotarpyje po jo nutraukimo. Į tokius klinikinius simptomus (paprastai nesunkius) kaip kūno svorio mažėjimas, aritmijos atsiradimas, krūtinės angina, stazinis širdies nepakankamumas, gydytojas turi atkreipti dėmesį. Diagnozė patvirtinama, jei serume aiškiai sumažėja TSH koncentracija (nustatyta </w:t>
      </w:r>
      <w:r w:rsidRPr="00A0704E">
        <w:rPr>
          <w:rFonts w:ascii="Times New Roman" w:eastAsia="Times New Roman" w:hAnsi="Times New Roman" w:cs="Times New Roman"/>
          <w:bCs/>
          <w:iCs/>
        </w:rPr>
        <w:t>ultrajautriu būdu</w:t>
      </w:r>
      <w:r w:rsidRPr="00A0704E">
        <w:rPr>
          <w:rFonts w:ascii="Times New Roman" w:eastAsia="Times New Roman" w:hAnsi="Times New Roman" w:cs="Times New Roman"/>
        </w:rPr>
        <w:t xml:space="preserve">). Tokiu atveju amjodarono vartojimą reikia nutraukti. Būklė paprastai sunormalėja per keletą mėnesių po gydymo nutraukimo: pirmiausia tampa normali klinikinė būklė, po to - skydliaukės funkcijos tyrimo rodmenys. Kai kliniškai pasireiškia tirotoksikozė, sunkiais atvejais, kurie gali būti mirtini, reikia skubaus terapinio gydymo. </w:t>
      </w:r>
    </w:p>
    <w:p w14:paraId="6F41AC97"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5871531"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Plaučių sutrikimai (žr. 4.8 skyrių)</w:t>
      </w:r>
    </w:p>
    <w:p w14:paraId="6A44C7D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Pasireiškus dusuliui ar sausam kosuliui kartu su (be) bendru savijautos pablogėjimu, reikia įtarti toksinį poveikį plaučiams, pvz., intersticinį pneumonitą. Jeigu krūvio metu atsiranda dispnėja (izoliuota arba susijusi su bendru būklės pablogėjimu, pasireiškiant nuovargiui, svorio mažėjimui, karščiavimui), būtina atlikti krūtinės ląstos rentgenogramą bei iš naujo apsvarstyti gydymą amjodaronu, nes anksti nutraukus jo vartojimą intersticinis pneumonitas paprastai praeina: klinikiniai požymiai dažniausiai išnyksta per 3 </w:t>
      </w:r>
      <w:r w:rsidRPr="00A0704E">
        <w:rPr>
          <w:rFonts w:ascii="Times New Roman" w:eastAsia="Times New Roman" w:hAnsi="Times New Roman" w:cs="Times New Roman"/>
        </w:rPr>
        <w:noBreakHyphen/>
        <w:t> 4 savaites, o radiologinis vaizdas ir plaučių funkcija gerėja lėčiau (kelis mėnesius). Būtina apsvarstyti, ar neskirti kortikosteroidų.</w:t>
      </w:r>
    </w:p>
    <w:p w14:paraId="6BB3C1D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Labai retais atvejais, paprastai iš karto po operacijos, gali pasireikšti sunki, kartais mirtina, kvėpavimo sistemos komplikacija (suaugusių ūminis respiracinis distreso sindromas). Manoma, kad šis sutrikimas gali būti susijęs su didele deguonies koncentracija (žr. 4.5 ir 4.8 skyrius). </w:t>
      </w:r>
    </w:p>
    <w:p w14:paraId="6A21736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0545BAF"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Kepenų sutrikimai (žr. 4.8 skyrių)</w:t>
      </w:r>
    </w:p>
    <w:p w14:paraId="5F4DFD52"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 xml:space="preserve">Tik pradėjus gydymą bei reguliariai jo metu rekomenduojama tirti kepenų funkciją (transaminazių koncentraciją) ir padaryti EKG. Vartojant geriamą ar į veną švirkščiamą amjodaroną, bei per 24 valandas po intraveninio amjodarono pavartojimo, </w:t>
      </w:r>
      <w:r w:rsidRPr="00A0704E">
        <w:rPr>
          <w:rFonts w:ascii="Times New Roman" w:eastAsia="Times New Roman" w:hAnsi="Times New Roman" w:cs="Times New Roman"/>
        </w:rPr>
        <w:t>gali pasireikšti ūminiai kepenų funkcijos sutrikimai (įskaitant sunkų hepatoceliulinį ar kepenų funkcijos nepakankamumą, kartais mirtiną) ir lėtinis kepenų funkcijos sutrikimas</w:t>
      </w:r>
      <w:r w:rsidRPr="00A0704E">
        <w:rPr>
          <w:rFonts w:ascii="Times New Roman" w:eastAsia="Times New Roman" w:hAnsi="Times New Roman" w:cs="Times New Roman"/>
          <w:bCs/>
          <w:iCs/>
        </w:rPr>
        <w:t xml:space="preserve">. Todėl, </w:t>
      </w:r>
      <w:r w:rsidRPr="00A0704E">
        <w:rPr>
          <w:rFonts w:ascii="Times New Roman" w:eastAsia="Times New Roman" w:hAnsi="Times New Roman" w:cs="Times New Roman"/>
        </w:rPr>
        <w:t>jei transaminazių koncentracija normalią viršija tris kartus,</w:t>
      </w:r>
      <w:r w:rsidRPr="00A0704E">
        <w:rPr>
          <w:rFonts w:ascii="Times New Roman" w:eastAsia="Times New Roman" w:hAnsi="Times New Roman" w:cs="Times New Roman"/>
          <w:bCs/>
          <w:iCs/>
        </w:rPr>
        <w:t xml:space="preserve"> </w:t>
      </w:r>
      <w:r w:rsidRPr="00A0704E">
        <w:rPr>
          <w:rFonts w:ascii="Times New Roman" w:eastAsia="Times New Roman" w:hAnsi="Times New Roman" w:cs="Times New Roman"/>
        </w:rPr>
        <w:t>amjodarono dozę būtina sumažinti arba nutraukti jo vartojimą</w:t>
      </w:r>
      <w:r w:rsidRPr="00A0704E">
        <w:rPr>
          <w:rFonts w:ascii="Times New Roman" w:eastAsia="Times New Roman" w:hAnsi="Times New Roman" w:cs="Times New Roman"/>
          <w:bCs/>
          <w:iCs/>
        </w:rPr>
        <w:t xml:space="preserve">. </w:t>
      </w:r>
    </w:p>
    <w:p w14:paraId="4DFC2E32"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 xml:space="preserve">Geriamo amjodarono sukelto lėtinio kepenų </w:t>
      </w:r>
      <w:r w:rsidRPr="00A0704E">
        <w:rPr>
          <w:rFonts w:ascii="Times New Roman" w:eastAsia="Times New Roman" w:hAnsi="Times New Roman" w:cs="Times New Roman"/>
        </w:rPr>
        <w:t xml:space="preserve">funkcijos </w:t>
      </w:r>
      <w:r w:rsidRPr="00A0704E">
        <w:rPr>
          <w:rFonts w:ascii="Times New Roman" w:eastAsia="Times New Roman" w:hAnsi="Times New Roman" w:cs="Times New Roman"/>
          <w:bCs/>
          <w:iCs/>
        </w:rPr>
        <w:t>sutrikimo klinikiniai ir laboratoriniai simptomai (hepatomegalija, transaminzių koncentracijos padidėjimas iki 5 kartų, palyginti su normalia) gali būti minimalūs ir gydymą nutraukus praeiti, nors buvo ir mirties atvejų.</w:t>
      </w:r>
    </w:p>
    <w:p w14:paraId="5E851438"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bCs/>
          <w:iCs/>
        </w:rPr>
      </w:pPr>
    </w:p>
    <w:p w14:paraId="3265A34D" w14:textId="77777777" w:rsidR="00A0704E" w:rsidRPr="00A0704E" w:rsidRDefault="00A0704E" w:rsidP="00A0704E">
      <w:pPr>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Sunkios pūslinės reakcijos</w:t>
      </w:r>
    </w:p>
    <w:p w14:paraId="00369D97" w14:textId="77777777" w:rsidR="00A0704E" w:rsidRPr="00A0704E" w:rsidRDefault="00A0704E" w:rsidP="00A0704E">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Gyvybei pavojingos ar net mirtinos odos reakcijos </w:t>
      </w:r>
      <w:r w:rsidRPr="00A0704E">
        <w:rPr>
          <w:rFonts w:ascii="Times New Roman" w:eastAsia="Times New Roman" w:hAnsi="Times New Roman" w:cs="Times New Roman"/>
          <w:i/>
        </w:rPr>
        <w:t>Stevens-Johnson</w:t>
      </w:r>
      <w:r w:rsidRPr="00A0704E">
        <w:rPr>
          <w:rFonts w:ascii="Times New Roman" w:eastAsia="Times New Roman" w:hAnsi="Times New Roman" w:cs="Times New Roman"/>
        </w:rPr>
        <w:t xml:space="preserve"> sindromas (SJS), toksinė epidermio nekrolizė (TEN) (žr. 4.8 skyrių). Jei atsiranda SJS ar TEN požymių ar simptomų (pvz., progresuojantis odos išbėrimas, dažnai kartu atsirandant pūslių ar gleivinės pažeidimų), gydymą amjodaronu būtina nedelsiant nutraukti.</w:t>
      </w:r>
    </w:p>
    <w:p w14:paraId="4A484A73"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25CF824"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Nervų ir raumenų sutrikimai (žr. 4.8 skyrių)</w:t>
      </w:r>
    </w:p>
    <w:p w14:paraId="53A8678D"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Amjodaronas gali sukelti periferinę sensomotorinę neuropatiją ir (arba) miopatiją. Paprastai šie sutrikimai praeina per kelis mėnesius po amjodarono vartojimo nutraukimo, tačiau kartais nevisiškai.</w:t>
      </w:r>
    </w:p>
    <w:p w14:paraId="7E996A5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E911E1C"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Akių sutrikimai (žr. 4.8 skyrių)</w:t>
      </w:r>
    </w:p>
    <w:p w14:paraId="003D134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Jei matomas vaizdas tampa neryškus arba pablogėja regėjimas, būtina nedelsiant atlikti pilną oftalmologinį ištyrimą, įskaitant fundoskopiją. Jei atsiranda regos nervo neuropatija ir (arba) regos nervo neuritas, dėl galimo būklės progresavimo iki aklumo amjodarono vartojimą būtina nutraukti.</w:t>
      </w:r>
    </w:p>
    <w:p w14:paraId="42197557"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5B76FAF"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Sąveika su kitais vaistiniais preparatais (žr. 4.5 skyrių)</w:t>
      </w:r>
    </w:p>
    <w:p w14:paraId="49447613"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Amjodarono rekomenduojama nevartoti kartu su beta blokatoriais, širdies susitraukimus retinančiais kalcio kanalų blokatoriais (verapamiliu, diltiazemu) bei stimuliuojamo poveikio vidurius laisvinančiais vaistiniais preparatais, kurie gali sukelti hipokalemiją.</w:t>
      </w:r>
    </w:p>
    <w:p w14:paraId="6272872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EB7AB3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Vaistinio preparato sudėtyje yra laktozės, todėl jo negalima vartoti pacientams, sergantiems įgimta galaktozemija, gliukozės ir galaktozės malabsorbcijos sindromu arba laktozės stygiumi.</w:t>
      </w:r>
    </w:p>
    <w:p w14:paraId="4731860C"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p>
    <w:p w14:paraId="51F0655B"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u w:val="single"/>
        </w:rPr>
        <w:t>Atsargumo priemonės</w:t>
      </w:r>
      <w:r w:rsidRPr="00A0704E">
        <w:rPr>
          <w:rFonts w:ascii="Times New Roman" w:eastAsia="Times New Roman" w:hAnsi="Times New Roman" w:cs="Times New Roman"/>
          <w:i/>
        </w:rPr>
        <w:t xml:space="preserve"> </w:t>
      </w:r>
    </w:p>
    <w:p w14:paraId="0E6D3C9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Kadangi nepageidaujamas poveikis dažniausiai būna susijęs su per didele doze, todėl būtina atidžiai parinkti mažiausią veiksmingą palaikomąją dozę, norint jo išvengti arba sumažinti.</w:t>
      </w:r>
    </w:p>
    <w:p w14:paraId="0FBA08E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EF37707"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Pacientus reikėtų perspėti, kad vartojant šį vaistinį preparatą, negalima būti saulės šviesoje, bei kad būtina imtis priemonių, kad ji nepaveiktų odos (žr. 4.8 skyrių).</w:t>
      </w:r>
    </w:p>
    <w:p w14:paraId="0D2A38D7"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7D335CC"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Būklės stebėjimas (žr. 4.8 skyrių)</w:t>
      </w:r>
    </w:p>
    <w:p w14:paraId="6CC39498"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 xml:space="preserve">Prieš gydymą amjodaronu rekomenduojama užrašyti EKG ir ištirti kalio kiekį kraujo serume. Gydymo metu rekomenduojama reguliariai tirti kepenų funkciją (transaminazių koncentraciją) ir stebėti EKG. </w:t>
      </w:r>
    </w:p>
    <w:p w14:paraId="262881FB"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Be to, amjodaronas gali sukelti hipotiroidizmą ar hipertiroidizmą, ypač jei pacientui jau buvo skydliaukės sutrikimų, todėl prieš jo vartojimą rekomenduojama atlikti klinikinį bei laboratorinį (TSH ultrajautriu būdu) ištyrimą. Tokius stebėjimus reikia atlikinėti viso gydymo metu bei kelis mėnesius po jo nutraukimo. Jei įtariama, kad skydliaukės funkcija sutrikusi, reikia ištirti TSH koncentraciją serume.</w:t>
      </w:r>
    </w:p>
    <w:p w14:paraId="7B0F5046" w14:textId="77777777" w:rsidR="00A0704E" w:rsidRPr="00A0704E" w:rsidRDefault="00A0704E" w:rsidP="00A0704E">
      <w:pPr>
        <w:tabs>
          <w:tab w:val="left" w:pos="567"/>
        </w:tabs>
        <w:autoSpaceDE w:val="0"/>
        <w:autoSpaceDN w:val="0"/>
        <w:adjustRightInd w:val="0"/>
        <w:spacing w:after="0" w:line="240" w:lineRule="auto"/>
        <w:jc w:val="both"/>
        <w:rPr>
          <w:rFonts w:ascii="Times New Roman" w:eastAsia="Times New Roman" w:hAnsi="Times New Roman" w:cs="Times New Roman"/>
          <w:bCs/>
          <w:iCs/>
        </w:rPr>
      </w:pPr>
      <w:r w:rsidRPr="00A0704E">
        <w:rPr>
          <w:rFonts w:ascii="Times New Roman" w:eastAsia="Times New Roman" w:hAnsi="Times New Roman" w:cs="Times New Roman"/>
          <w:bCs/>
          <w:iCs/>
        </w:rPr>
        <w:t xml:space="preserve">Pastebėta, kad nuolat skiriant antiaritminius vaistinius preparatus, padidėja širdies stimuliatoriaus ar implantuojamų kardioverterių-defibriliatorių skilvelių defibriliacijos ir/ar ritmo vedlio slenkstis, dėl ko gali sutrikti prietaiso efektyvus veikimas. Todėl, prieš gydymą ir gydymo amjodoronu metu, rekomenduojama dažnai tikrinti prietaiso veikimą. </w:t>
      </w:r>
    </w:p>
    <w:p w14:paraId="15878252" w14:textId="77777777" w:rsidR="00A0704E" w:rsidRPr="00A0704E" w:rsidRDefault="00A0704E" w:rsidP="00A0704E">
      <w:pPr>
        <w:tabs>
          <w:tab w:val="left" w:pos="567"/>
        </w:tabs>
        <w:spacing w:after="0" w:line="240" w:lineRule="auto"/>
        <w:rPr>
          <w:rFonts w:ascii="Times New Roman" w:eastAsia="Times New Roman" w:hAnsi="Times New Roman" w:cs="Times New Roman"/>
          <w:u w:val="single"/>
        </w:rPr>
      </w:pPr>
    </w:p>
    <w:p w14:paraId="0A9F450E"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Skydliaukės sutrikimai (žr. 4.8 skyrių)</w:t>
      </w:r>
    </w:p>
    <w:p w14:paraId="1B28E595"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Amjodarono sudėtyje yra jodo, todėl galima sąveika su radioaktyviuoju jodu. </w:t>
      </w:r>
    </w:p>
    <w:p w14:paraId="0AFC4126"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Amjodaronas slopina periferinį tiroksino (T4) virtimą trijodtironinu (T3) ir gali sukelti izoliuotus biocheminius pokyčius (didinti laisvo T4 koncentraciją serume, laisvo T3 koncentracijai kiek mažėjant ar net išliekant normaliai), nors kliniškai pacientui būna eutiroidizmas. Tokiu atveju amjodarono vartojimo nutraukti nereikia.</w:t>
      </w:r>
    </w:p>
    <w:p w14:paraId="0A5C153E"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Kad pasireiškė hipotirozė, galima įtarti, kai yra tokių klinikinių požymių (paprastai jie būna lengvi): kūno svorio didėjimas, šalčio netoleravimas, aktyvumo sumažėjimas, didelė bradikardija. Diagnozė patvirtinama, jei serume aiškiai padidėja TSH koncentracija. Eutiroidizmas paprastai pasiekiamas po gydymo nutraukimo praėjus 1 </w:t>
      </w:r>
      <w:r w:rsidRPr="00A0704E">
        <w:rPr>
          <w:rFonts w:ascii="Times New Roman" w:eastAsia="Times New Roman" w:hAnsi="Times New Roman" w:cs="Times New Roman"/>
        </w:rPr>
        <w:noBreakHyphen/>
        <w:t> 3 mėnesiams. Jei yra gyvybei pavojinga būklė, amjodarono vartojimą galima tęsti, tačiau kartu reikia vartoti L-tiroksiną (jo dozė nustatoma pagal TSH koncentraciją).</w:t>
      </w:r>
    </w:p>
    <w:p w14:paraId="09A7951D"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rPr>
      </w:pPr>
    </w:p>
    <w:p w14:paraId="7D1025BD"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u w:val="single"/>
        </w:rPr>
      </w:pPr>
      <w:r w:rsidRPr="00A0704E">
        <w:rPr>
          <w:rFonts w:ascii="Times New Roman" w:eastAsia="Times New Roman" w:hAnsi="Times New Roman" w:cs="Times New Roman"/>
          <w:u w:val="single"/>
        </w:rPr>
        <w:t>Vaikų populiacija</w:t>
      </w:r>
    </w:p>
    <w:p w14:paraId="6F84CA4E"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Cordarone vaikams vartoti nerekomenduojama, nes jo saugumas ir veiksmingumas tokio amžiaus pacientams kontroliuotų klinikinių tyrimų metu netirtas.</w:t>
      </w:r>
    </w:p>
    <w:p w14:paraId="5451FBE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839F0EF" w14:textId="77777777" w:rsidR="00A0704E" w:rsidRPr="00A0704E" w:rsidRDefault="00A0704E" w:rsidP="00A0704E">
      <w:pPr>
        <w:tabs>
          <w:tab w:val="left" w:pos="567"/>
        </w:tabs>
        <w:autoSpaceDE w:val="0"/>
        <w:autoSpaceDN w:val="0"/>
        <w:adjustRightInd w:val="0"/>
        <w:spacing w:after="0" w:line="240" w:lineRule="auto"/>
        <w:jc w:val="both"/>
        <w:rPr>
          <w:rFonts w:ascii="Times New Roman" w:eastAsia="Times New Roman" w:hAnsi="Times New Roman" w:cs="Times New Roman"/>
          <w:i/>
          <w:iCs/>
        </w:rPr>
      </w:pPr>
      <w:r w:rsidRPr="00A0704E">
        <w:rPr>
          <w:rFonts w:ascii="Times New Roman" w:eastAsia="Times New Roman" w:hAnsi="Times New Roman" w:cs="Times New Roman"/>
          <w:i/>
          <w:iCs/>
        </w:rPr>
        <w:t>Anestezija (žr. 4.5 ir 4.8 skyrius)</w:t>
      </w:r>
    </w:p>
    <w:p w14:paraId="11DCF21E"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Prieš operaciją anesteziologą reikėtų informuoti apie tai, jog pacientas vartoja amjodaroną.</w:t>
      </w:r>
    </w:p>
    <w:p w14:paraId="644134F3" w14:textId="77777777" w:rsidR="00A0704E" w:rsidRPr="00A0704E" w:rsidRDefault="00A0704E" w:rsidP="007A18FA">
      <w:pPr>
        <w:keepNext/>
        <w:keepLines/>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lastRenderedPageBreak/>
        <w:t>Jei vaistinis preparatas vartojamas ilgai, vietinės ar bendrosios anestezijos metu gali padidėti nepageidaujamo poveikio (kraujotakos sutrikimų) pavojus. Dažniausiai gali labai suretėti širdies susitraukinėjimai, sumažėti arterinis kraujospūdis ir širdies išstumiamo kraujo tūris, atsirasti laidumo sutrikimų.</w:t>
      </w:r>
    </w:p>
    <w:p w14:paraId="3499362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Žinomi keli atvejai, kai pacientams, vartojantiems amjodaroną, pasibaigus operacijai, pasireiškė kvėpavimo distreso sindromas, todėl, pradėjus dirbtinę plaučių ventiliaciją, tokius pacientus būtina atidžiai stebėti. </w:t>
      </w:r>
    </w:p>
    <w:p w14:paraId="74BE6062"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p>
    <w:p w14:paraId="46848BFC" w14:textId="77777777" w:rsidR="00A0704E" w:rsidRPr="00A0704E" w:rsidRDefault="00A0704E" w:rsidP="00A0704E">
      <w:pPr>
        <w:keepNext/>
        <w:keepLines/>
        <w:tabs>
          <w:tab w:val="left" w:pos="567"/>
        </w:tabs>
        <w:spacing w:after="0" w:line="240" w:lineRule="auto"/>
        <w:outlineLvl w:val="2"/>
        <w:rPr>
          <w:rFonts w:ascii="Times New Roman" w:eastAsia="Times New Roman" w:hAnsi="Times New Roman" w:cs="Times New Roman"/>
          <w:b/>
          <w:bCs/>
          <w:kern w:val="28"/>
        </w:rPr>
      </w:pPr>
      <w:bookmarkStart w:id="23" w:name="_Toc129243106"/>
      <w:bookmarkStart w:id="24" w:name="_Toc129243231"/>
      <w:r w:rsidRPr="00A0704E">
        <w:rPr>
          <w:rFonts w:ascii="Times New Roman" w:eastAsia="Times New Roman" w:hAnsi="Times New Roman" w:cs="Times New Roman"/>
          <w:b/>
          <w:bCs/>
          <w:kern w:val="28"/>
        </w:rPr>
        <w:t>4.5</w:t>
      </w:r>
      <w:r w:rsidRPr="00A0704E">
        <w:rPr>
          <w:rFonts w:ascii="Times New Roman" w:eastAsia="Times New Roman" w:hAnsi="Times New Roman" w:cs="Times New Roman"/>
          <w:b/>
          <w:bCs/>
          <w:kern w:val="28"/>
        </w:rPr>
        <w:tab/>
        <w:t>Sąveika su kitais vaistiniais preparatais ir kitokia sąveika</w:t>
      </w:r>
      <w:bookmarkEnd w:id="23"/>
      <w:bookmarkEnd w:id="24"/>
      <w:r w:rsidRPr="00A0704E">
        <w:rPr>
          <w:rFonts w:ascii="Times New Roman" w:eastAsia="Times New Roman" w:hAnsi="Times New Roman" w:cs="Times New Roman"/>
          <w:b/>
          <w:bCs/>
          <w:kern w:val="28"/>
        </w:rPr>
        <w:fldChar w:fldCharType="begin"/>
      </w:r>
      <w:r w:rsidRPr="00A0704E">
        <w:rPr>
          <w:rFonts w:ascii="Times New Roman" w:eastAsia="Times New Roman" w:hAnsi="Times New Roman" w:cs="Times New Roman"/>
          <w:b/>
          <w:bCs/>
          <w:kern w:val="28"/>
        </w:rPr>
        <w:instrText xml:space="preserve"> DOCVARIABLE vault_nd_dd45d3f7-1bb9-4f29-b350-09cc4726dcba \* MERGEFORMAT </w:instrText>
      </w:r>
      <w:r w:rsidRPr="00A0704E">
        <w:rPr>
          <w:rFonts w:ascii="Times New Roman" w:eastAsia="Times New Roman" w:hAnsi="Times New Roman" w:cs="Times New Roman"/>
          <w:b/>
          <w:bCs/>
          <w:kern w:val="28"/>
        </w:rPr>
        <w:fldChar w:fldCharType="separate"/>
      </w:r>
      <w:r w:rsidRPr="00A0704E">
        <w:rPr>
          <w:rFonts w:ascii="Times New Roman" w:eastAsia="Times New Roman" w:hAnsi="Times New Roman" w:cs="Times New Roman"/>
          <w:b/>
          <w:bCs/>
          <w:kern w:val="28"/>
        </w:rPr>
        <w:t xml:space="preserve"> </w:t>
      </w:r>
      <w:r w:rsidRPr="00A0704E">
        <w:rPr>
          <w:rFonts w:ascii="Times New Roman" w:eastAsia="Times New Roman" w:hAnsi="Times New Roman" w:cs="Times New Roman"/>
          <w:b/>
          <w:bCs/>
          <w:kern w:val="28"/>
        </w:rPr>
        <w:fldChar w:fldCharType="end"/>
      </w:r>
    </w:p>
    <w:p w14:paraId="65FB0A1A"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ABF7331" w14:textId="77777777" w:rsidR="00A0704E" w:rsidRPr="00A0704E" w:rsidRDefault="00A0704E" w:rsidP="00A0704E">
      <w:pPr>
        <w:spacing w:after="0" w:line="240" w:lineRule="auto"/>
        <w:rPr>
          <w:rFonts w:ascii="Times New Roman" w:eastAsia="Times New Roman" w:hAnsi="Times New Roman" w:cs="Times New Roman"/>
        </w:rPr>
      </w:pPr>
      <w:bookmarkStart w:id="25" w:name="_Toc129243107"/>
      <w:bookmarkStart w:id="26" w:name="_Toc129243232"/>
      <w:r w:rsidRPr="00A0704E">
        <w:rPr>
          <w:rFonts w:ascii="Times New Roman" w:eastAsia="Times New Roman" w:hAnsi="Times New Roman" w:cs="Times New Roman"/>
        </w:rPr>
        <w:t xml:space="preserve">Dauguma vaistinių preparatų nuo aritmijos gali slopinti širdies automatizmą, pabloginti laidumą ir mažinti širdies susitraukinėjimų jėgą. </w:t>
      </w:r>
    </w:p>
    <w:p w14:paraId="4DB30048" w14:textId="77777777" w:rsidR="00A0704E" w:rsidRPr="00A0704E" w:rsidRDefault="00A0704E" w:rsidP="00A0704E">
      <w:pPr>
        <w:spacing w:after="0" w:line="240" w:lineRule="auto"/>
        <w:rPr>
          <w:rFonts w:ascii="Times New Roman" w:eastAsia="Times New Roman" w:hAnsi="Times New Roman" w:cs="Times New Roman"/>
        </w:rPr>
      </w:pPr>
    </w:p>
    <w:p w14:paraId="671EB00F" w14:textId="77777777" w:rsidR="00A0704E" w:rsidRPr="00A0704E" w:rsidRDefault="00A0704E" w:rsidP="00A0704E">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Derinant skirtingų klasių vaistinius preparatus nuo aritmijos, galimas palankus terapinis poveikis, tačiau tai reikia daryti labai atsargiai ir atidžiai stebint klinikinę paciento būklę bei elektrokardiogramą. Polimorfinę paroksizminę skilvelinę tachikardiją (</w:t>
      </w:r>
      <w:r w:rsidRPr="00A0704E">
        <w:rPr>
          <w:rFonts w:ascii="Times New Roman" w:eastAsia="Times New Roman" w:hAnsi="Times New Roman" w:cs="Times New Roman"/>
          <w:i/>
        </w:rPr>
        <w:t xml:space="preserve">torsade de pointes) </w:t>
      </w:r>
      <w:r w:rsidRPr="00A0704E">
        <w:rPr>
          <w:rFonts w:ascii="Times New Roman" w:eastAsia="Times New Roman" w:hAnsi="Times New Roman" w:cs="Times New Roman"/>
        </w:rPr>
        <w:t xml:space="preserve">sukeliančius preparatus (pvz., amjodaroną), vieną su kitu derinti draudžiama. </w:t>
      </w:r>
    </w:p>
    <w:p w14:paraId="1F550A7D" w14:textId="77777777" w:rsidR="00A0704E" w:rsidRPr="00A0704E" w:rsidRDefault="00A0704E" w:rsidP="00A0704E">
      <w:pPr>
        <w:spacing w:after="0" w:line="240" w:lineRule="auto"/>
        <w:rPr>
          <w:rFonts w:ascii="Times New Roman" w:eastAsia="Times New Roman" w:hAnsi="Times New Roman" w:cs="Times New Roman"/>
        </w:rPr>
      </w:pPr>
    </w:p>
    <w:p w14:paraId="1C802B7D" w14:textId="77777777" w:rsidR="00A0704E" w:rsidRPr="00A0704E" w:rsidRDefault="00A0704E" w:rsidP="00A0704E">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Derinti tos pačios grupės vaistinius preparatus nuo aritmijos nerekomenduojama, išskyrus išimtinius atvejus, nes didėja nepageidaujamo poveikio širdžiai rizika. </w:t>
      </w:r>
    </w:p>
    <w:p w14:paraId="7C111839" w14:textId="77777777" w:rsidR="00A0704E" w:rsidRPr="00A0704E" w:rsidRDefault="00A0704E" w:rsidP="00A0704E">
      <w:pPr>
        <w:spacing w:after="0" w:line="240" w:lineRule="auto"/>
        <w:rPr>
          <w:rFonts w:ascii="Times New Roman" w:eastAsia="Times New Roman" w:hAnsi="Times New Roman" w:cs="Times New Roman"/>
        </w:rPr>
      </w:pPr>
    </w:p>
    <w:p w14:paraId="36DB3D4A" w14:textId="77777777" w:rsidR="00A0704E" w:rsidRPr="00A0704E" w:rsidRDefault="00A0704E" w:rsidP="00A0704E">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Derinant su vaistiniais preparatais, sukeliančiais neigiamą inotropinį poveikį, bradikardiją ir (ar) bloginančiais širdies laidumą, būtina atsargiai ir atidžiai stebėti klinikinę paciento būklę bei elektrokardiogramą.</w:t>
      </w:r>
    </w:p>
    <w:p w14:paraId="13CB2005" w14:textId="77777777" w:rsidR="00A0704E" w:rsidRPr="00A0704E" w:rsidRDefault="00A0704E" w:rsidP="00A0704E">
      <w:pPr>
        <w:spacing w:after="0" w:line="240" w:lineRule="auto"/>
        <w:rPr>
          <w:rFonts w:ascii="Times New Roman" w:eastAsia="Times New Roman" w:hAnsi="Times New Roman" w:cs="Times New Roman"/>
        </w:rPr>
      </w:pPr>
    </w:p>
    <w:p w14:paraId="72981503" w14:textId="77777777" w:rsidR="00A0704E" w:rsidRPr="00A0704E" w:rsidRDefault="00A0704E" w:rsidP="00A0704E">
      <w:pPr>
        <w:spacing w:after="0" w:line="240" w:lineRule="auto"/>
        <w:rPr>
          <w:rFonts w:ascii="Times New Roman" w:eastAsia="Times New Roman" w:hAnsi="Times New Roman" w:cs="Times New Roman"/>
          <w:u w:val="single"/>
        </w:rPr>
      </w:pPr>
      <w:r w:rsidRPr="00A0704E">
        <w:rPr>
          <w:rFonts w:ascii="Times New Roman" w:eastAsia="Times New Roman" w:hAnsi="Times New Roman" w:cs="Times New Roman"/>
          <w:u w:val="single"/>
        </w:rPr>
        <w:t>Farmakodinaminė sąveika</w:t>
      </w:r>
    </w:p>
    <w:p w14:paraId="4F6B12F1" w14:textId="77777777" w:rsidR="00A0704E" w:rsidRPr="00A0704E" w:rsidRDefault="00A0704E" w:rsidP="00A0704E">
      <w:pPr>
        <w:spacing w:after="0" w:line="240" w:lineRule="auto"/>
        <w:rPr>
          <w:rFonts w:ascii="Times New Roman" w:eastAsia="Times New Roman" w:hAnsi="Times New Roman" w:cs="Times New Roman"/>
          <w:i/>
        </w:rPr>
      </w:pPr>
    </w:p>
    <w:p w14:paraId="59C29552" w14:textId="77777777" w:rsidR="00A0704E" w:rsidRPr="00A0704E" w:rsidRDefault="00A0704E" w:rsidP="00A0704E">
      <w:pPr>
        <w:numPr>
          <w:ilvl w:val="0"/>
          <w:numId w:val="27"/>
        </w:numPr>
        <w:tabs>
          <w:tab w:val="clear" w:pos="284"/>
          <w:tab w:val="num" w:pos="567"/>
        </w:tabs>
        <w:spacing w:after="0" w:line="240" w:lineRule="auto"/>
        <w:ind w:left="567" w:hanging="567"/>
        <w:rPr>
          <w:rFonts w:ascii="Times New Roman" w:eastAsia="Times New Roman" w:hAnsi="Times New Roman" w:cs="Times New Roman"/>
        </w:rPr>
      </w:pPr>
      <w:r w:rsidRPr="00A0704E">
        <w:rPr>
          <w:rFonts w:ascii="Times New Roman" w:eastAsia="Times New Roman" w:hAnsi="Times New Roman" w:cs="Times New Roman"/>
        </w:rPr>
        <w:t xml:space="preserve">Preparatai, kurie gali sukelti paroksizminę polimorfinę skilvelinę tachikardiją </w:t>
      </w:r>
      <w:r w:rsidRPr="00A0704E">
        <w:rPr>
          <w:rFonts w:ascii="Times New Roman" w:eastAsia="Times New Roman" w:hAnsi="Times New Roman" w:cs="Times New Roman"/>
          <w:i/>
        </w:rPr>
        <w:t xml:space="preserve">(torsade de pointes) </w:t>
      </w:r>
      <w:r w:rsidRPr="00A0704E">
        <w:rPr>
          <w:rFonts w:ascii="Times New Roman" w:eastAsia="Times New Roman" w:hAnsi="Times New Roman" w:cs="Times New Roman"/>
        </w:rPr>
        <w:t>ar ilginti QT intervalą</w:t>
      </w:r>
    </w:p>
    <w:p w14:paraId="18E7489A" w14:textId="77777777" w:rsidR="00A0704E" w:rsidRPr="00A0704E" w:rsidRDefault="00A0704E" w:rsidP="00A0704E">
      <w:pPr>
        <w:spacing w:after="0" w:line="240" w:lineRule="auto"/>
        <w:rPr>
          <w:rFonts w:ascii="Times New Roman" w:eastAsia="Times New Roman" w:hAnsi="Times New Roman" w:cs="Times New Roman"/>
          <w:i/>
        </w:rPr>
      </w:pPr>
    </w:p>
    <w:p w14:paraId="7BD8FF4D" w14:textId="77777777" w:rsidR="00A0704E" w:rsidRPr="00A0704E" w:rsidRDefault="00A0704E" w:rsidP="00A0704E">
      <w:pPr>
        <w:numPr>
          <w:ilvl w:val="0"/>
          <w:numId w:val="38"/>
        </w:numPr>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Preparatai, kurie gali sukelti paroksizminę polimorfinę skilvelinę tachikardiją (torsade de pointes)</w:t>
      </w:r>
    </w:p>
    <w:p w14:paraId="4EC7387D" w14:textId="77777777" w:rsidR="00A0704E" w:rsidRPr="00A0704E" w:rsidRDefault="00A0704E" w:rsidP="00A0704E">
      <w:pPr>
        <w:spacing w:after="0" w:line="240" w:lineRule="auto"/>
        <w:ind w:left="851"/>
        <w:rPr>
          <w:rFonts w:ascii="Times New Roman" w:eastAsia="Times New Roman" w:hAnsi="Times New Roman" w:cs="Times New Roman"/>
        </w:rPr>
      </w:pPr>
      <w:r w:rsidRPr="00A0704E">
        <w:rPr>
          <w:rFonts w:ascii="Times New Roman" w:eastAsia="Times New Roman" w:hAnsi="Times New Roman" w:cs="Times New Roman"/>
        </w:rPr>
        <w:t xml:space="preserve">Kartu su amjodaronu draudžiama vartoti vaistinių preparatų, galinčių sukelti paroksizminę polimorfinę skilvelinę tachikardiją </w:t>
      </w:r>
      <w:r w:rsidRPr="00A0704E">
        <w:rPr>
          <w:rFonts w:ascii="Times New Roman" w:eastAsia="Times New Roman" w:hAnsi="Times New Roman" w:cs="Times New Roman"/>
          <w:i/>
        </w:rPr>
        <w:t>(torsade de pointes)</w:t>
      </w:r>
      <w:r w:rsidRPr="00A0704E">
        <w:rPr>
          <w:rFonts w:ascii="Times New Roman" w:eastAsia="Times New Roman" w:hAnsi="Times New Roman" w:cs="Times New Roman"/>
        </w:rPr>
        <w:t xml:space="preserve"> (žr. 4.3 skyrių):</w:t>
      </w:r>
    </w:p>
    <w:p w14:paraId="4BCEF5A4" w14:textId="77777777" w:rsidR="00A0704E" w:rsidRPr="00A0704E" w:rsidRDefault="00A0704E" w:rsidP="00A0704E">
      <w:pPr>
        <w:numPr>
          <w:ilvl w:val="0"/>
          <w:numId w:val="11"/>
        </w:num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Vaistiniai preparatai nuo aritmijos, pvz., Ia grupės (chinidinas, hidrochinidinas, dizopiramidas), III grupės (sotalolis, dofetilidas, ibutilidas), bepridilis;</w:t>
      </w:r>
    </w:p>
    <w:p w14:paraId="5DB27370" w14:textId="77777777" w:rsidR="00A0704E" w:rsidRPr="00A0704E" w:rsidRDefault="00A0704E" w:rsidP="00A0704E">
      <w:pPr>
        <w:numPr>
          <w:ilvl w:val="0"/>
          <w:numId w:val="11"/>
        </w:num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Neantiaritminiai vaistiniai preparatai: kai kurie neuroleptikai, cisapridas, difemanilis, mizolastinas, į veną injekuojami eritromicinas ir vinkaminas bei parenteriniu būdu vartojamas pentamidinas, nes didėja mirtinos skilvelinės aritmijos, ypač polimorfinės skilvelinės paroksizminės tachikardijos, pavojus.</w:t>
      </w:r>
    </w:p>
    <w:p w14:paraId="220367E1" w14:textId="77777777" w:rsidR="00A0704E" w:rsidRPr="00A0704E" w:rsidRDefault="00A0704E" w:rsidP="00A0704E">
      <w:pPr>
        <w:spacing w:after="0" w:line="240" w:lineRule="auto"/>
        <w:rPr>
          <w:rFonts w:ascii="Times New Roman" w:eastAsia="Times New Roman" w:hAnsi="Times New Roman" w:cs="Times New Roman"/>
          <w:i/>
        </w:rPr>
      </w:pPr>
    </w:p>
    <w:p w14:paraId="77B4F48F" w14:textId="77777777" w:rsidR="00A0704E" w:rsidRPr="00A0704E" w:rsidRDefault="00A0704E" w:rsidP="00A0704E">
      <w:pPr>
        <w:numPr>
          <w:ilvl w:val="1"/>
          <w:numId w:val="11"/>
        </w:numPr>
        <w:tabs>
          <w:tab w:val="left" w:pos="1260"/>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QT intervalą ilginantys vaistiniai preparatai</w:t>
      </w:r>
    </w:p>
    <w:p w14:paraId="7416F946" w14:textId="77777777" w:rsidR="00A0704E" w:rsidRPr="00A0704E" w:rsidRDefault="00A0704E" w:rsidP="00A0704E">
      <w:pPr>
        <w:tabs>
          <w:tab w:val="left" w:pos="900"/>
        </w:tabs>
        <w:spacing w:after="0" w:line="240" w:lineRule="auto"/>
        <w:ind w:left="851"/>
        <w:rPr>
          <w:rFonts w:ascii="Times New Roman" w:eastAsia="Times New Roman" w:hAnsi="Times New Roman" w:cs="Times New Roman"/>
        </w:rPr>
      </w:pPr>
      <w:r w:rsidRPr="00A0704E">
        <w:rPr>
          <w:rFonts w:ascii="Times New Roman" w:eastAsia="Times New Roman" w:hAnsi="Times New Roman" w:cs="Times New Roman"/>
        </w:rPr>
        <w:tab/>
        <w:t xml:space="preserve">Kartu su amjodaronu vartoti QT intervalą ilginančių vaistinių preparatų (pvz. klaritromiciną) galima tik kiekvienam pacientui atidžiai įvertinus galimos rizikos ir naudos santykį, kadangi didėja paroksizminės polimorfinės skilvelinės tachikardijos </w:t>
      </w:r>
      <w:r w:rsidRPr="00A0704E">
        <w:rPr>
          <w:rFonts w:ascii="Times New Roman" w:eastAsia="Times New Roman" w:hAnsi="Times New Roman" w:cs="Times New Roman"/>
          <w:i/>
        </w:rPr>
        <w:t>(torsade de pointes)</w:t>
      </w:r>
      <w:r w:rsidRPr="00A0704E">
        <w:rPr>
          <w:rFonts w:ascii="Times New Roman" w:eastAsia="Times New Roman" w:hAnsi="Times New Roman" w:cs="Times New Roman"/>
        </w:rPr>
        <w:t xml:space="preserve"> rizika (žr. 4.4 skyrių), be to, pacientus būtina stebėti, ar nepailgėja QT intervalas.</w:t>
      </w:r>
    </w:p>
    <w:p w14:paraId="3065DEDA" w14:textId="77777777" w:rsidR="00A0704E" w:rsidRPr="00A0704E" w:rsidRDefault="00A0704E" w:rsidP="00A0704E">
      <w:pPr>
        <w:spacing w:after="0" w:line="240" w:lineRule="auto"/>
        <w:rPr>
          <w:rFonts w:ascii="Times New Roman" w:eastAsia="Times New Roman" w:hAnsi="Times New Roman" w:cs="Times New Roman"/>
        </w:rPr>
      </w:pPr>
    </w:p>
    <w:p w14:paraId="4F2324BD" w14:textId="77777777" w:rsidR="00A0704E" w:rsidRPr="00A0704E" w:rsidRDefault="00A0704E" w:rsidP="00A0704E">
      <w:pPr>
        <w:tabs>
          <w:tab w:val="left" w:pos="900"/>
        </w:tabs>
        <w:spacing w:after="0" w:line="240" w:lineRule="auto"/>
        <w:ind w:left="900"/>
        <w:rPr>
          <w:rFonts w:ascii="Times New Roman" w:eastAsia="Times New Roman" w:hAnsi="Times New Roman" w:cs="Times New Roman"/>
        </w:rPr>
      </w:pPr>
      <w:r w:rsidRPr="00A0704E">
        <w:rPr>
          <w:rFonts w:ascii="Times New Roman" w:eastAsia="Times New Roman" w:hAnsi="Times New Roman" w:cs="Times New Roman"/>
        </w:rPr>
        <w:t>Amjodaronu gydomiems pacientams fluorochinolonų ir antimaliarinių vaistinių preparatų (pvz., chlorokvino, meflokvino, halofantrino) vartoti nerekomenduojama.</w:t>
      </w:r>
    </w:p>
    <w:p w14:paraId="124554CF" w14:textId="77777777" w:rsidR="00A0704E" w:rsidRPr="00A0704E" w:rsidRDefault="00A0704E" w:rsidP="00A0704E">
      <w:pPr>
        <w:spacing w:after="0" w:line="240" w:lineRule="auto"/>
        <w:rPr>
          <w:rFonts w:ascii="Times New Roman" w:eastAsia="Times New Roman" w:hAnsi="Times New Roman" w:cs="Times New Roman"/>
        </w:rPr>
      </w:pPr>
    </w:p>
    <w:p w14:paraId="08D33D21" w14:textId="77777777" w:rsidR="00A0704E" w:rsidRPr="00A0704E" w:rsidRDefault="00A0704E" w:rsidP="00BB3C7B">
      <w:pPr>
        <w:numPr>
          <w:ilvl w:val="0"/>
          <w:numId w:val="28"/>
        </w:numPr>
        <w:tabs>
          <w:tab w:val="clear" w:pos="284"/>
          <w:tab w:val="num" w:pos="567"/>
        </w:tabs>
        <w:spacing w:after="0" w:line="240" w:lineRule="auto"/>
        <w:ind w:left="567" w:hanging="567"/>
        <w:rPr>
          <w:rFonts w:ascii="Times New Roman" w:eastAsia="Times New Roman" w:hAnsi="Times New Roman" w:cs="Times New Roman"/>
        </w:rPr>
      </w:pPr>
      <w:r w:rsidRPr="00A0704E">
        <w:rPr>
          <w:rFonts w:ascii="Times New Roman" w:eastAsia="Times New Roman" w:hAnsi="Times New Roman" w:cs="Times New Roman"/>
        </w:rPr>
        <w:t>Širdies susitraukimų dažnį mažinantys ar automatizmo ar laidumo sutrikimus sukeliantys vaistiniai preparatai.</w:t>
      </w:r>
    </w:p>
    <w:p w14:paraId="2ADCC9BF" w14:textId="77777777" w:rsidR="00A0704E" w:rsidRPr="00A0704E" w:rsidRDefault="00A0704E" w:rsidP="00A0704E">
      <w:pPr>
        <w:spacing w:after="0" w:line="240" w:lineRule="auto"/>
        <w:ind w:firstLine="284"/>
        <w:rPr>
          <w:rFonts w:ascii="Times New Roman" w:eastAsia="Times New Roman" w:hAnsi="Times New Roman" w:cs="Times New Roman"/>
        </w:rPr>
      </w:pPr>
      <w:r w:rsidRPr="00A0704E">
        <w:rPr>
          <w:rFonts w:ascii="Times New Roman" w:eastAsia="Times New Roman" w:hAnsi="Times New Roman" w:cs="Times New Roman"/>
        </w:rPr>
        <w:t>Toliau išvardintų vaistinių preparatų kartu su amjodaronu vartoti nerekomenduojama.</w:t>
      </w:r>
    </w:p>
    <w:p w14:paraId="7334650C" w14:textId="77777777" w:rsidR="00A0704E" w:rsidRPr="00A0704E" w:rsidRDefault="00A0704E" w:rsidP="00A0704E">
      <w:pPr>
        <w:spacing w:after="0" w:line="240" w:lineRule="auto"/>
        <w:ind w:left="284"/>
        <w:rPr>
          <w:rFonts w:ascii="Times New Roman" w:eastAsia="Times New Roman" w:hAnsi="Times New Roman" w:cs="Times New Roman"/>
        </w:rPr>
      </w:pPr>
      <w:r w:rsidRPr="00A0704E">
        <w:rPr>
          <w:rFonts w:ascii="Times New Roman" w:eastAsia="Times New Roman" w:hAnsi="Times New Roman" w:cs="Times New Roman"/>
        </w:rPr>
        <w:t>Kartu vartojami beta adrenoblokatoriai ir širdies susitraukimų dažnį mažinantys kalcio kanalų blokatoriai (verapamilis, diltiazemas) gali sukelti automatizmo (sunkią bradikardiją) ir laidumo sutrikimų.</w:t>
      </w:r>
    </w:p>
    <w:p w14:paraId="3C157432" w14:textId="77777777" w:rsidR="00A0704E" w:rsidRPr="00A0704E" w:rsidRDefault="00A0704E" w:rsidP="00A0704E">
      <w:pPr>
        <w:spacing w:after="0" w:line="240" w:lineRule="auto"/>
        <w:rPr>
          <w:rFonts w:ascii="Times New Roman" w:eastAsia="Times New Roman" w:hAnsi="Times New Roman" w:cs="Times New Roman"/>
        </w:rPr>
      </w:pPr>
    </w:p>
    <w:p w14:paraId="1E177F4D" w14:textId="77777777" w:rsidR="00A0704E" w:rsidRPr="00A0704E" w:rsidRDefault="00A0704E" w:rsidP="00BB3C7B">
      <w:pPr>
        <w:numPr>
          <w:ilvl w:val="0"/>
          <w:numId w:val="29"/>
        </w:numPr>
        <w:tabs>
          <w:tab w:val="clear" w:pos="284"/>
          <w:tab w:val="num" w:pos="567"/>
        </w:tabs>
        <w:spacing w:after="0" w:line="240" w:lineRule="auto"/>
        <w:ind w:left="567" w:hanging="567"/>
        <w:rPr>
          <w:rFonts w:ascii="Times New Roman" w:eastAsia="Times New Roman" w:hAnsi="Times New Roman" w:cs="Times New Roman"/>
        </w:rPr>
      </w:pPr>
      <w:r w:rsidRPr="00A0704E">
        <w:rPr>
          <w:rFonts w:ascii="Times New Roman" w:eastAsia="Times New Roman" w:hAnsi="Times New Roman" w:cs="Times New Roman"/>
        </w:rPr>
        <w:lastRenderedPageBreak/>
        <w:t>Vaistiniai preparatai, galintys sukelti hipokalemiją.</w:t>
      </w:r>
    </w:p>
    <w:p w14:paraId="067B7E59" w14:textId="77777777" w:rsidR="00A0704E" w:rsidRPr="00A0704E" w:rsidRDefault="00A0704E" w:rsidP="00A0704E">
      <w:pPr>
        <w:spacing w:after="0" w:line="240" w:lineRule="auto"/>
        <w:rPr>
          <w:rFonts w:ascii="Times New Roman" w:eastAsia="Times New Roman" w:hAnsi="Times New Roman" w:cs="Times New Roman"/>
        </w:rPr>
      </w:pPr>
    </w:p>
    <w:p w14:paraId="4AAAD9D9" w14:textId="77777777" w:rsidR="00A0704E" w:rsidRPr="00A0704E" w:rsidRDefault="00A0704E" w:rsidP="00A0704E">
      <w:pPr>
        <w:spacing w:after="0" w:line="240" w:lineRule="auto"/>
        <w:ind w:firstLine="284"/>
        <w:rPr>
          <w:rFonts w:ascii="Times New Roman" w:eastAsia="Times New Roman" w:hAnsi="Times New Roman" w:cs="Times New Roman"/>
        </w:rPr>
      </w:pPr>
      <w:r w:rsidRPr="00A0704E">
        <w:rPr>
          <w:rFonts w:ascii="Times New Roman" w:eastAsia="Times New Roman" w:hAnsi="Times New Roman" w:cs="Times New Roman"/>
        </w:rPr>
        <w:t xml:space="preserve">Amjodarono </w:t>
      </w:r>
      <w:r w:rsidRPr="00A0704E">
        <w:rPr>
          <w:rFonts w:ascii="Times New Roman" w:eastAsia="Times New Roman" w:hAnsi="Times New Roman" w:cs="Times New Roman"/>
          <w:i/>
        </w:rPr>
        <w:t>nerekomenduojama</w:t>
      </w:r>
      <w:r w:rsidRPr="00A0704E">
        <w:rPr>
          <w:rFonts w:ascii="Times New Roman" w:eastAsia="Times New Roman" w:hAnsi="Times New Roman" w:cs="Times New Roman"/>
        </w:rPr>
        <w:t xml:space="preserve"> vartoti kartu su toliau išvardytais vaistiniais preparatais.</w:t>
      </w:r>
    </w:p>
    <w:p w14:paraId="1774388B" w14:textId="77777777" w:rsidR="00A0704E" w:rsidRPr="00A0704E" w:rsidRDefault="00A0704E" w:rsidP="00A0704E">
      <w:pPr>
        <w:spacing w:after="0" w:line="240" w:lineRule="auto"/>
        <w:rPr>
          <w:rFonts w:ascii="Times New Roman" w:eastAsia="Times New Roman" w:hAnsi="Times New Roman" w:cs="Times New Roman"/>
        </w:rPr>
      </w:pPr>
    </w:p>
    <w:p w14:paraId="60A9F6C0" w14:textId="77777777" w:rsidR="00A0704E" w:rsidRPr="00A0704E" w:rsidRDefault="00A0704E" w:rsidP="00A0704E">
      <w:pPr>
        <w:numPr>
          <w:ilvl w:val="0"/>
          <w:numId w:val="31"/>
        </w:num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Stimuliuojamojo poveikio vidurių laisvinamieji preparatai, kurie gali sukelti hipokalemiją ir didinti paroksizminės polimorfinės skilvelinės tachikardijos</w:t>
      </w:r>
      <w:r w:rsidRPr="00A0704E">
        <w:rPr>
          <w:rFonts w:ascii="Times New Roman" w:eastAsia="Times New Roman" w:hAnsi="Times New Roman" w:cs="Times New Roman"/>
          <w:i/>
        </w:rPr>
        <w:t xml:space="preserve"> (torsade de pointes)</w:t>
      </w:r>
      <w:r w:rsidRPr="00A0704E">
        <w:rPr>
          <w:rFonts w:ascii="Times New Roman" w:eastAsia="Times New Roman" w:hAnsi="Times New Roman" w:cs="Times New Roman"/>
        </w:rPr>
        <w:t xml:space="preserve"> riziką (turi būti vartojama kitokio poveikio vidurių laisvinamųjų vaistinių preparatų).</w:t>
      </w:r>
    </w:p>
    <w:p w14:paraId="736BFDD0" w14:textId="77777777" w:rsidR="00A0704E" w:rsidRPr="00A0704E" w:rsidRDefault="00A0704E" w:rsidP="00A0704E">
      <w:pPr>
        <w:spacing w:after="0" w:line="240" w:lineRule="auto"/>
        <w:rPr>
          <w:rFonts w:ascii="Times New Roman" w:eastAsia="Times New Roman" w:hAnsi="Times New Roman" w:cs="Times New Roman"/>
        </w:rPr>
      </w:pPr>
    </w:p>
    <w:p w14:paraId="10F4FB24" w14:textId="77777777" w:rsidR="00A0704E" w:rsidRPr="00A0704E" w:rsidRDefault="00A0704E" w:rsidP="00A0704E">
      <w:pPr>
        <w:spacing w:after="0" w:line="240" w:lineRule="auto"/>
        <w:ind w:firstLine="284"/>
        <w:rPr>
          <w:rFonts w:ascii="Times New Roman" w:eastAsia="Times New Roman" w:hAnsi="Times New Roman" w:cs="Times New Roman"/>
        </w:rPr>
      </w:pPr>
      <w:r w:rsidRPr="00A0704E">
        <w:rPr>
          <w:rFonts w:ascii="Times New Roman" w:eastAsia="Times New Roman" w:hAnsi="Times New Roman" w:cs="Times New Roman"/>
        </w:rPr>
        <w:t xml:space="preserve">Cordarone reikia </w:t>
      </w:r>
      <w:r w:rsidRPr="00A0704E">
        <w:rPr>
          <w:rFonts w:ascii="Times New Roman" w:eastAsia="Times New Roman" w:hAnsi="Times New Roman" w:cs="Times New Roman"/>
          <w:i/>
        </w:rPr>
        <w:t xml:space="preserve">atsargiai </w:t>
      </w:r>
      <w:r w:rsidRPr="00A0704E">
        <w:rPr>
          <w:rFonts w:ascii="Times New Roman" w:eastAsia="Times New Roman" w:hAnsi="Times New Roman" w:cs="Times New Roman"/>
        </w:rPr>
        <w:t>vartoti kartu su šiais vaistiniais preparatais:</w:t>
      </w:r>
    </w:p>
    <w:p w14:paraId="2153612E" w14:textId="77777777" w:rsidR="00A0704E" w:rsidRPr="00A0704E" w:rsidRDefault="00A0704E" w:rsidP="00A0704E">
      <w:pPr>
        <w:numPr>
          <w:ilvl w:val="0"/>
          <w:numId w:val="25"/>
        </w:num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hipokalemiją sukeliančiais diuretikais (monoterapijos ar kompleksinio gydymo metu);</w:t>
      </w:r>
    </w:p>
    <w:p w14:paraId="16C3F808" w14:textId="77777777" w:rsidR="00A0704E" w:rsidRPr="00A0704E" w:rsidRDefault="00A0704E" w:rsidP="00A0704E">
      <w:pPr>
        <w:numPr>
          <w:ilvl w:val="0"/>
          <w:numId w:val="25"/>
        </w:num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sisteminio poveikio kortikosteroidais (gliukokortikoidais, mineralkortikoidais), tetrakozaktidu; </w:t>
      </w:r>
    </w:p>
    <w:p w14:paraId="770F07F8" w14:textId="77777777" w:rsidR="00A0704E" w:rsidRPr="00A0704E" w:rsidRDefault="00A0704E" w:rsidP="00A0704E">
      <w:pPr>
        <w:numPr>
          <w:ilvl w:val="0"/>
          <w:numId w:val="25"/>
        </w:num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į veną leidžiamu amfotericinu B.</w:t>
      </w:r>
    </w:p>
    <w:p w14:paraId="16B1B6B9" w14:textId="77777777" w:rsidR="00A0704E" w:rsidRPr="00A0704E" w:rsidRDefault="00A0704E" w:rsidP="00A0704E">
      <w:pPr>
        <w:spacing w:after="0" w:line="240" w:lineRule="auto"/>
        <w:rPr>
          <w:rFonts w:ascii="Times New Roman" w:eastAsia="Times New Roman" w:hAnsi="Times New Roman" w:cs="Times New Roman"/>
        </w:rPr>
      </w:pPr>
    </w:p>
    <w:p w14:paraId="3ABB93F9" w14:textId="77777777" w:rsidR="00A0704E" w:rsidRPr="00A0704E" w:rsidRDefault="00A0704E" w:rsidP="00A0704E">
      <w:pPr>
        <w:spacing w:after="0" w:line="240" w:lineRule="auto"/>
        <w:ind w:left="540"/>
        <w:rPr>
          <w:rFonts w:ascii="Times New Roman" w:eastAsia="Times New Roman" w:hAnsi="Times New Roman" w:cs="Times New Roman"/>
        </w:rPr>
      </w:pPr>
      <w:r w:rsidRPr="00A0704E">
        <w:rPr>
          <w:rFonts w:ascii="Times New Roman" w:eastAsia="Times New Roman" w:hAnsi="Times New Roman" w:cs="Times New Roman"/>
        </w:rPr>
        <w:t>Būtina hipokalemijos prevencija, atsiradusią hipokalemiją būtina koreguoti. Būtina stebėti QT intervalą, jei pasireiškia paroksizminė polimorfinė skilvelinė tachikardija</w:t>
      </w:r>
      <w:r w:rsidRPr="00A0704E">
        <w:rPr>
          <w:rFonts w:ascii="Times New Roman" w:eastAsia="Times New Roman" w:hAnsi="Times New Roman" w:cs="Times New Roman"/>
          <w:i/>
        </w:rPr>
        <w:t xml:space="preserve"> (torsade de pointes)</w:t>
      </w:r>
      <w:r w:rsidRPr="00A0704E">
        <w:rPr>
          <w:rFonts w:ascii="Times New Roman" w:eastAsia="Times New Roman" w:hAnsi="Times New Roman" w:cs="Times New Roman"/>
        </w:rPr>
        <w:t>, negalima vartoti antiaritminių vaistinių preparatų (reikia pradėti skilvelių stimuliavimą; galima į veną leisti magnio preparatų).</w:t>
      </w:r>
    </w:p>
    <w:p w14:paraId="49289D36" w14:textId="77777777" w:rsidR="00A0704E" w:rsidRPr="00A0704E" w:rsidRDefault="00A0704E" w:rsidP="00A0704E">
      <w:pPr>
        <w:spacing w:after="0" w:line="240" w:lineRule="auto"/>
        <w:rPr>
          <w:rFonts w:ascii="Times New Roman" w:eastAsia="Times New Roman" w:hAnsi="Times New Roman" w:cs="Times New Roman"/>
        </w:rPr>
      </w:pPr>
    </w:p>
    <w:p w14:paraId="3623EDB8" w14:textId="77777777" w:rsidR="00A0704E" w:rsidRPr="00A0704E" w:rsidRDefault="00A0704E" w:rsidP="00A0704E">
      <w:pPr>
        <w:numPr>
          <w:ilvl w:val="0"/>
          <w:numId w:val="30"/>
        </w:numPr>
        <w:tabs>
          <w:tab w:val="clear" w:pos="284"/>
          <w:tab w:val="num" w:pos="567"/>
        </w:tabs>
        <w:spacing w:after="0" w:line="240" w:lineRule="auto"/>
        <w:ind w:left="567" w:hanging="567"/>
        <w:rPr>
          <w:rFonts w:ascii="Times New Roman" w:eastAsia="Times New Roman" w:hAnsi="Times New Roman" w:cs="Times New Roman"/>
        </w:rPr>
      </w:pPr>
      <w:r w:rsidRPr="00A0704E">
        <w:rPr>
          <w:rFonts w:ascii="Times New Roman" w:eastAsia="Times New Roman" w:hAnsi="Times New Roman" w:cs="Times New Roman"/>
          <w:i/>
        </w:rPr>
        <w:t>Bendroji anestezija</w:t>
      </w:r>
      <w:r w:rsidRPr="00A0704E">
        <w:rPr>
          <w:rFonts w:ascii="Times New Roman" w:eastAsia="Times New Roman" w:hAnsi="Times New Roman" w:cs="Times New Roman"/>
        </w:rPr>
        <w:t xml:space="preserve"> (žr. 4.4 ir 4.8 skyrius).</w:t>
      </w:r>
    </w:p>
    <w:p w14:paraId="1B63822A"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rPr>
      </w:pPr>
      <w:bookmarkStart w:id="27" w:name="OLE_LINK10"/>
      <w:r w:rsidRPr="00A0704E">
        <w:rPr>
          <w:rFonts w:ascii="Times New Roman" w:eastAsia="Times New Roman" w:hAnsi="Times New Roman" w:cs="Times New Roman"/>
        </w:rPr>
        <w:t xml:space="preserve">Pacientams, kuriems buvo sukelta bendroji anestezija, buvo potencialiai sunkių komplikacijų: bradikardija (nereaguojanti į atropiną), hipotenzija, laidumo sutrikimai, širdies išstumiamo kraujo tūrio sumažėjimas. </w:t>
      </w:r>
    </w:p>
    <w:p w14:paraId="53854253"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Buvo labai retų sunkaus kvėpavimo sistemos funkcijos sutrikimo (ūminio suaugusiųjų respiracinio distreso sindromo) atvejų, kartais mirtinų. Toks sutrikimas paprastai pasireikšdavo iš karto po operacijos. Gali būti, kad jo atsiradimui turi įtakos amjodarono ir didelės koncentracijos deguonies sąveika.</w:t>
      </w:r>
    </w:p>
    <w:bookmarkEnd w:id="27"/>
    <w:p w14:paraId="3A4E456A" w14:textId="77777777" w:rsidR="00A0704E" w:rsidRPr="00A0704E" w:rsidRDefault="00A0704E" w:rsidP="00A0704E">
      <w:pPr>
        <w:spacing w:after="0" w:line="240" w:lineRule="auto"/>
        <w:rPr>
          <w:rFonts w:ascii="Times New Roman" w:eastAsia="Times New Roman" w:hAnsi="Times New Roman" w:cs="Times New Roman"/>
        </w:rPr>
      </w:pPr>
    </w:p>
    <w:p w14:paraId="67C9D67C" w14:textId="77777777" w:rsidR="00A0704E" w:rsidRPr="00A0704E" w:rsidRDefault="00A0704E" w:rsidP="00A0704E">
      <w:pPr>
        <w:tabs>
          <w:tab w:val="left" w:pos="0"/>
        </w:tabs>
        <w:spacing w:after="0" w:line="240" w:lineRule="auto"/>
        <w:rPr>
          <w:rFonts w:ascii="Times New Roman" w:eastAsia="Times New Roman" w:hAnsi="Times New Roman" w:cs="Times New Roman"/>
          <w:u w:val="single"/>
        </w:rPr>
      </w:pPr>
      <w:r w:rsidRPr="00A0704E">
        <w:rPr>
          <w:rFonts w:ascii="Times New Roman" w:eastAsia="Times New Roman" w:hAnsi="Times New Roman" w:cs="Times New Roman"/>
          <w:u w:val="single"/>
        </w:rPr>
        <w:t>Cordarone poveikis kitiems vaistiniams preparatams</w:t>
      </w:r>
    </w:p>
    <w:p w14:paraId="4536513A" w14:textId="77777777" w:rsidR="00A0704E" w:rsidRPr="00A0704E" w:rsidRDefault="00A0704E" w:rsidP="00A0704E">
      <w:pPr>
        <w:spacing w:after="0" w:line="240" w:lineRule="auto"/>
        <w:rPr>
          <w:rFonts w:ascii="Times New Roman" w:eastAsia="Times New Roman" w:hAnsi="Times New Roman" w:cs="Times New Roman"/>
        </w:rPr>
      </w:pPr>
    </w:p>
    <w:p w14:paraId="4FD6F36A"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color w:val="000000"/>
          <w:lang w:eastAsia="lt-LT"/>
        </w:rPr>
      </w:pPr>
      <w:r w:rsidRPr="00A0704E">
        <w:rPr>
          <w:rFonts w:ascii="Times New Roman" w:eastAsia="Times New Roman" w:hAnsi="Times New Roman" w:cs="Times New Roman"/>
          <w:color w:val="000000"/>
          <w:lang w:eastAsia="lt-LT"/>
        </w:rPr>
        <w:t>Amjodaronas ir (arba) jo metabolitas desetilamjodaronas gali slopinti CYP1A1, CYP1A2, CYP3A4, CYP2C9, CYP2D6 izofermentus ir P</w:t>
      </w:r>
      <w:r w:rsidRPr="00A0704E">
        <w:rPr>
          <w:rFonts w:ascii="Times New Roman" w:eastAsia="Times New Roman" w:hAnsi="Times New Roman" w:cs="Times New Roman"/>
          <w:color w:val="000000"/>
          <w:lang w:eastAsia="lt-LT"/>
        </w:rPr>
        <w:noBreakHyphen/>
        <w:t>glikoproteiną (</w:t>
      </w:r>
      <w:r w:rsidRPr="00A0704E">
        <w:rPr>
          <w:rFonts w:ascii="Times New Roman" w:eastAsia="Times New Roman" w:hAnsi="Times New Roman" w:cs="Times New Roman"/>
          <w:bCs/>
          <w:color w:val="000000"/>
          <w:lang w:eastAsia="lt-LT"/>
        </w:rPr>
        <w:t xml:space="preserve">P-gp) </w:t>
      </w:r>
      <w:r w:rsidRPr="00A0704E">
        <w:rPr>
          <w:rFonts w:ascii="Times New Roman" w:eastAsia="Times New Roman" w:hAnsi="Times New Roman" w:cs="Times New Roman"/>
          <w:color w:val="000000"/>
          <w:lang w:eastAsia="lt-LT"/>
        </w:rPr>
        <w:t>bei gali didinti jų substratų ekspoziciją.</w:t>
      </w:r>
    </w:p>
    <w:p w14:paraId="0444FF14"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bCs/>
          <w:color w:val="000000"/>
          <w:lang w:eastAsia="lt-LT"/>
        </w:rPr>
      </w:pPr>
      <w:r w:rsidRPr="00A0704E">
        <w:rPr>
          <w:rFonts w:ascii="Times New Roman" w:eastAsia="Times New Roman" w:hAnsi="Times New Roman" w:cs="Times New Roman"/>
          <w:bCs/>
          <w:color w:val="000000"/>
          <w:lang w:eastAsia="lt-LT"/>
        </w:rPr>
        <w:t>Amjodarono pusinės eliminacijos laikas yra ilgas, todėl sąveika gali pasireikšti po amjodarono vartojimo nutraukimo praėjus keliems mėnesiams.</w:t>
      </w:r>
    </w:p>
    <w:p w14:paraId="65FA6660"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bCs/>
          <w:color w:val="000000"/>
          <w:lang w:eastAsia="lt-LT"/>
        </w:rPr>
      </w:pPr>
    </w:p>
    <w:p w14:paraId="52364EFC" w14:textId="77777777" w:rsidR="00A0704E" w:rsidRPr="00A0704E" w:rsidRDefault="00A0704E" w:rsidP="00BB3C7B">
      <w:pPr>
        <w:numPr>
          <w:ilvl w:val="0"/>
          <w:numId w:val="32"/>
        </w:numPr>
        <w:tabs>
          <w:tab w:val="clear" w:pos="284"/>
          <w:tab w:val="num" w:pos="567"/>
        </w:tabs>
        <w:spacing w:after="0" w:line="240" w:lineRule="auto"/>
        <w:ind w:left="567" w:hanging="567"/>
        <w:rPr>
          <w:rFonts w:ascii="Times New Roman" w:eastAsia="Times New Roman" w:hAnsi="Times New Roman" w:cs="Times New Roman"/>
        </w:rPr>
      </w:pPr>
      <w:r w:rsidRPr="00A0704E">
        <w:rPr>
          <w:rFonts w:ascii="Times New Roman" w:eastAsia="Times New Roman" w:hAnsi="Times New Roman" w:cs="Times New Roman"/>
        </w:rPr>
        <w:t xml:space="preserve">P-gP substratai </w:t>
      </w:r>
    </w:p>
    <w:p w14:paraId="0880F8C9"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bCs/>
          <w:color w:val="000000"/>
          <w:lang w:eastAsia="lt-LT"/>
        </w:rPr>
      </w:pPr>
      <w:r w:rsidRPr="00A0704E">
        <w:rPr>
          <w:rFonts w:ascii="Times New Roman" w:eastAsia="Times New Roman" w:hAnsi="Times New Roman" w:cs="Times New Roman"/>
          <w:bCs/>
          <w:color w:val="000000"/>
          <w:lang w:eastAsia="lt-LT"/>
        </w:rPr>
        <w:t>Amjodaronas yra P-gp inhibitorius. Amjodarono vartojant kartu su P-gp substratais, gali padidėti jų ekspozicija.</w:t>
      </w:r>
    </w:p>
    <w:p w14:paraId="56D4E553" w14:textId="77777777" w:rsidR="00A0704E" w:rsidRPr="00A0704E" w:rsidRDefault="00A0704E" w:rsidP="00A0704E">
      <w:pPr>
        <w:spacing w:after="0" w:line="240" w:lineRule="auto"/>
        <w:rPr>
          <w:rFonts w:ascii="Times New Roman" w:eastAsia="Times New Roman" w:hAnsi="Times New Roman" w:cs="Times New Roman"/>
        </w:rPr>
      </w:pPr>
    </w:p>
    <w:p w14:paraId="406E84BB" w14:textId="77777777" w:rsidR="00A0704E" w:rsidRPr="00A0704E" w:rsidRDefault="00A0704E" w:rsidP="00A0704E">
      <w:pPr>
        <w:numPr>
          <w:ilvl w:val="0"/>
          <w:numId w:val="39"/>
        </w:num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Širdį veikiantys glikozidai</w:t>
      </w:r>
    </w:p>
    <w:p w14:paraId="6AE6E321" w14:textId="77777777" w:rsidR="00A0704E" w:rsidRPr="00A0704E" w:rsidRDefault="00A0704E" w:rsidP="00A0704E">
      <w:pPr>
        <w:spacing w:after="0" w:line="240" w:lineRule="auto"/>
        <w:ind w:left="900" w:hanging="49"/>
        <w:rPr>
          <w:rFonts w:ascii="Times New Roman" w:eastAsia="Times New Roman" w:hAnsi="Times New Roman" w:cs="Times New Roman"/>
        </w:rPr>
      </w:pPr>
      <w:r w:rsidRPr="00A0704E">
        <w:rPr>
          <w:rFonts w:ascii="Times New Roman" w:eastAsia="Times New Roman" w:hAnsi="Times New Roman" w:cs="Times New Roman"/>
        </w:rPr>
        <w:t>Gali sutrikti automatizmas (pasireikšti sunki bradikardija) ir atrioventrikulinis laidumas (sinergetinis poveikis). Be to, dėl digoksino klirenso sumažėjimo gali padidėti digoksino koncentracija plazmoje.</w:t>
      </w:r>
    </w:p>
    <w:p w14:paraId="36A46A17" w14:textId="77777777" w:rsidR="00A0704E" w:rsidRPr="00A0704E" w:rsidRDefault="00A0704E" w:rsidP="00A0704E">
      <w:pPr>
        <w:spacing w:after="0" w:line="240" w:lineRule="auto"/>
        <w:ind w:left="851"/>
        <w:rPr>
          <w:rFonts w:ascii="Times New Roman" w:eastAsia="Times New Roman" w:hAnsi="Times New Roman" w:cs="Times New Roman"/>
        </w:rPr>
      </w:pPr>
      <w:r w:rsidRPr="00A0704E">
        <w:rPr>
          <w:rFonts w:ascii="Times New Roman" w:eastAsia="Times New Roman" w:hAnsi="Times New Roman" w:cs="Times New Roman"/>
        </w:rPr>
        <w:t>Būtina stebėti EKG bei digoksino koncentraciją plazmoje. Reikia stebėti paciento būklę, ar neatsiranda klinikinių toksinio širdį veikiančių glikozidų poveikio požymių. Gali reikėti koreguoti digoksino dozę.</w:t>
      </w:r>
    </w:p>
    <w:p w14:paraId="5C86CCFF" w14:textId="77777777" w:rsidR="00A0704E" w:rsidRPr="00A0704E" w:rsidRDefault="00A0704E" w:rsidP="00A0704E">
      <w:pPr>
        <w:spacing w:after="0" w:line="240" w:lineRule="auto"/>
        <w:rPr>
          <w:rFonts w:ascii="Times New Roman" w:eastAsia="Times New Roman" w:hAnsi="Times New Roman" w:cs="Times New Roman"/>
        </w:rPr>
      </w:pPr>
    </w:p>
    <w:p w14:paraId="3A7327E8" w14:textId="77777777" w:rsidR="00A0704E" w:rsidRPr="00A0704E" w:rsidRDefault="00A0704E" w:rsidP="00A0704E">
      <w:pPr>
        <w:numPr>
          <w:ilvl w:val="0"/>
          <w:numId w:val="40"/>
        </w:num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Dabigatranas</w:t>
      </w:r>
    </w:p>
    <w:p w14:paraId="6ECEBDE1" w14:textId="77777777" w:rsidR="00A0704E" w:rsidRPr="00A0704E" w:rsidRDefault="00A0704E" w:rsidP="00A0704E">
      <w:pPr>
        <w:spacing w:after="0" w:line="240" w:lineRule="auto"/>
        <w:ind w:left="851"/>
        <w:rPr>
          <w:rFonts w:ascii="Times New Roman" w:eastAsia="Times New Roman" w:hAnsi="Times New Roman" w:cs="Times New Roman"/>
        </w:rPr>
      </w:pPr>
      <w:r w:rsidRPr="00A0704E">
        <w:rPr>
          <w:rFonts w:ascii="Times New Roman" w:eastAsia="Times New Roman" w:hAnsi="Times New Roman" w:cs="Times New Roman"/>
        </w:rPr>
        <w:t>Amjodarono vartoti kartu su dabigatranu būtina atsargiai, kadangi gali pasireikšti kraujavimas. Gali reikėti koreguoti dabigatrano koncentraciją, kaip nurodyta dabigatrano preparato charakteristikų santraukoje.</w:t>
      </w:r>
    </w:p>
    <w:p w14:paraId="0C574F56" w14:textId="77777777" w:rsidR="00A0704E" w:rsidRPr="00A0704E" w:rsidRDefault="00A0704E" w:rsidP="00A0704E">
      <w:pPr>
        <w:spacing w:after="0" w:line="240" w:lineRule="auto"/>
        <w:rPr>
          <w:rFonts w:ascii="Times New Roman" w:eastAsia="Times New Roman" w:hAnsi="Times New Roman" w:cs="Times New Roman"/>
        </w:rPr>
      </w:pPr>
    </w:p>
    <w:p w14:paraId="0C8B4D9E" w14:textId="77777777" w:rsidR="00A0704E" w:rsidRPr="00A0704E" w:rsidRDefault="00A0704E" w:rsidP="00BB3C7B">
      <w:pPr>
        <w:numPr>
          <w:ilvl w:val="0"/>
          <w:numId w:val="33"/>
        </w:numPr>
        <w:tabs>
          <w:tab w:val="clear" w:pos="284"/>
          <w:tab w:val="num" w:pos="567"/>
        </w:tabs>
        <w:autoSpaceDE w:val="0"/>
        <w:autoSpaceDN w:val="0"/>
        <w:adjustRightInd w:val="0"/>
        <w:spacing w:after="0" w:line="240" w:lineRule="auto"/>
        <w:ind w:left="567" w:hanging="567"/>
        <w:rPr>
          <w:rFonts w:ascii="Times New Roman" w:eastAsia="Times New Roman" w:hAnsi="Times New Roman" w:cs="Times New Roman"/>
          <w:color w:val="000000"/>
          <w:lang w:eastAsia="lt-LT"/>
        </w:rPr>
      </w:pPr>
      <w:r w:rsidRPr="00A0704E">
        <w:rPr>
          <w:rFonts w:ascii="Times New Roman" w:eastAsia="Times New Roman" w:hAnsi="Times New Roman" w:cs="Times New Roman"/>
          <w:color w:val="000000"/>
          <w:lang w:eastAsia="lt-LT"/>
        </w:rPr>
        <w:t>CYP 2C9 substratai</w:t>
      </w:r>
    </w:p>
    <w:p w14:paraId="572D62CA"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bCs/>
          <w:color w:val="000000"/>
          <w:lang w:eastAsia="lt-LT"/>
        </w:rPr>
      </w:pPr>
      <w:r w:rsidRPr="00A0704E">
        <w:rPr>
          <w:rFonts w:ascii="Times New Roman" w:eastAsia="Times New Roman" w:hAnsi="Times New Roman" w:cs="Times New Roman"/>
          <w:bCs/>
          <w:color w:val="000000"/>
          <w:lang w:eastAsia="lt-LT"/>
        </w:rPr>
        <w:t xml:space="preserve">Amjodaronas didina CYP 2C9 substratų, </w:t>
      </w:r>
      <w:r w:rsidRPr="00A0704E">
        <w:rPr>
          <w:rFonts w:ascii="Times New Roman" w:eastAsia="Times New Roman" w:hAnsi="Times New Roman" w:cs="Times New Roman"/>
          <w:color w:val="000000"/>
          <w:lang w:eastAsia="lt-LT"/>
        </w:rPr>
        <w:t xml:space="preserve">pvz., varfarino ir fenitoino, koncentraciją, nes slopina citochromą </w:t>
      </w:r>
      <w:r w:rsidRPr="00A0704E">
        <w:rPr>
          <w:rFonts w:ascii="Times New Roman" w:eastAsia="Times New Roman" w:hAnsi="Times New Roman" w:cs="Times New Roman"/>
          <w:bCs/>
          <w:color w:val="000000"/>
          <w:lang w:eastAsia="lt-LT"/>
        </w:rPr>
        <w:t xml:space="preserve">P450 2C9. </w:t>
      </w:r>
    </w:p>
    <w:p w14:paraId="0333C8A9"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color w:val="000000"/>
          <w:lang w:eastAsia="lt-LT"/>
        </w:rPr>
      </w:pPr>
    </w:p>
    <w:p w14:paraId="74A5B6BC" w14:textId="77777777" w:rsidR="00A0704E" w:rsidRPr="00A0704E" w:rsidRDefault="00A0704E" w:rsidP="007A18FA">
      <w:pPr>
        <w:keepNext/>
        <w:keepLines/>
        <w:numPr>
          <w:ilvl w:val="0"/>
          <w:numId w:val="34"/>
        </w:numPr>
        <w:autoSpaceDE w:val="0"/>
        <w:autoSpaceDN w:val="0"/>
        <w:adjustRightInd w:val="0"/>
        <w:spacing w:after="0" w:line="240" w:lineRule="auto"/>
        <w:rPr>
          <w:rFonts w:ascii="Times New Roman" w:eastAsia="Times New Roman" w:hAnsi="Times New Roman" w:cs="Times New Roman"/>
          <w:color w:val="000000"/>
          <w:lang w:eastAsia="lt-LT"/>
        </w:rPr>
      </w:pPr>
      <w:r w:rsidRPr="00A0704E">
        <w:rPr>
          <w:rFonts w:ascii="Times New Roman" w:eastAsia="Times New Roman" w:hAnsi="Times New Roman" w:cs="Times New Roman"/>
          <w:color w:val="000000"/>
          <w:lang w:eastAsia="lt-LT"/>
        </w:rPr>
        <w:lastRenderedPageBreak/>
        <w:t xml:space="preserve">Varfarinas </w:t>
      </w:r>
    </w:p>
    <w:p w14:paraId="1460451C" w14:textId="77777777" w:rsidR="00A0704E" w:rsidRPr="00A0704E" w:rsidRDefault="00A0704E" w:rsidP="007A18FA">
      <w:pPr>
        <w:keepNext/>
        <w:keepLines/>
        <w:autoSpaceDE w:val="0"/>
        <w:autoSpaceDN w:val="0"/>
        <w:adjustRightInd w:val="0"/>
        <w:spacing w:after="0" w:line="240" w:lineRule="auto"/>
        <w:ind w:left="851"/>
        <w:rPr>
          <w:rFonts w:ascii="Times New Roman" w:eastAsia="Times New Roman" w:hAnsi="Times New Roman" w:cs="Times New Roman"/>
          <w:color w:val="000000"/>
          <w:lang w:eastAsia="lt-LT"/>
        </w:rPr>
      </w:pPr>
      <w:r w:rsidRPr="00A0704E">
        <w:rPr>
          <w:rFonts w:ascii="Times New Roman" w:eastAsia="Times New Roman" w:hAnsi="Times New Roman" w:cs="Times New Roman"/>
          <w:color w:val="000000"/>
          <w:lang w:eastAsia="lt-LT"/>
        </w:rPr>
        <w:t>Varfariną vartojant su amjodaronu, gali stiprėti geriamojo antikoagulianto poveikis ir didėti kraujavimo rizika. Būtina dažniau tirti protrombino laiką (tarptautinį normalizuotą santykį - TNS) ir koreguoti geriamojo antikoagulianto dozę gydymo amjodaronu metu ir jį nutraukus.</w:t>
      </w:r>
    </w:p>
    <w:p w14:paraId="4C48027C"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color w:val="000000"/>
          <w:lang w:eastAsia="lt-LT"/>
        </w:rPr>
      </w:pPr>
    </w:p>
    <w:p w14:paraId="01943B8C" w14:textId="77777777" w:rsidR="00A0704E" w:rsidRPr="00A0704E" w:rsidRDefault="00A0704E" w:rsidP="00A0704E">
      <w:pPr>
        <w:numPr>
          <w:ilvl w:val="0"/>
          <w:numId w:val="35"/>
        </w:numPr>
        <w:autoSpaceDE w:val="0"/>
        <w:autoSpaceDN w:val="0"/>
        <w:adjustRightInd w:val="0"/>
        <w:spacing w:after="0" w:line="240" w:lineRule="auto"/>
        <w:rPr>
          <w:rFonts w:ascii="Times New Roman" w:eastAsia="Times New Roman" w:hAnsi="Times New Roman" w:cs="Times New Roman"/>
          <w:color w:val="000000"/>
          <w:lang w:eastAsia="lt-LT"/>
        </w:rPr>
      </w:pPr>
      <w:r w:rsidRPr="00A0704E">
        <w:rPr>
          <w:rFonts w:ascii="Times New Roman" w:eastAsia="Times New Roman" w:hAnsi="Times New Roman" w:cs="Times New Roman"/>
          <w:color w:val="000000"/>
          <w:lang w:eastAsia="lt-LT"/>
        </w:rPr>
        <w:t>Fenitoinas</w:t>
      </w:r>
    </w:p>
    <w:p w14:paraId="2EBD1DF0" w14:textId="77777777" w:rsidR="00A0704E" w:rsidRPr="00A0704E" w:rsidRDefault="00A0704E" w:rsidP="00A0704E">
      <w:pPr>
        <w:autoSpaceDE w:val="0"/>
        <w:autoSpaceDN w:val="0"/>
        <w:adjustRightInd w:val="0"/>
        <w:spacing w:after="0" w:line="240" w:lineRule="auto"/>
        <w:ind w:left="851"/>
        <w:rPr>
          <w:rFonts w:ascii="Times New Roman" w:eastAsia="Times New Roman" w:hAnsi="Times New Roman" w:cs="Times New Roman"/>
          <w:color w:val="000000"/>
          <w:lang w:eastAsia="lt-LT"/>
        </w:rPr>
      </w:pPr>
      <w:r w:rsidRPr="00A0704E">
        <w:rPr>
          <w:rFonts w:ascii="Times New Roman" w:eastAsia="Times New Roman" w:hAnsi="Times New Roman" w:cs="Times New Roman"/>
          <w:bCs/>
          <w:color w:val="000000"/>
          <w:lang w:eastAsia="lt-LT"/>
        </w:rPr>
        <w:t xml:space="preserve">Jei kartu vartojama fenitoino ir amjodarono, gali pasireikšti fenitoino perdozavimas ir atsirasti neurologinių sutrikimų požymių. Reikia stebėti klinikinę paciento būklę ir po pirmųjų perdozavimo požymių atsiradimo mažinti fenitoino dozę. Būtina tirti fenitoino koncentraciją plazmoje. </w:t>
      </w:r>
    </w:p>
    <w:p w14:paraId="28323CE2"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color w:val="000000"/>
          <w:lang w:eastAsia="lt-LT"/>
        </w:rPr>
      </w:pPr>
    </w:p>
    <w:p w14:paraId="2A566E07" w14:textId="77777777" w:rsidR="00A0704E" w:rsidRPr="00A0704E" w:rsidRDefault="00A0704E" w:rsidP="00A0704E">
      <w:pPr>
        <w:numPr>
          <w:ilvl w:val="0"/>
          <w:numId w:val="26"/>
        </w:numPr>
        <w:tabs>
          <w:tab w:val="clear" w:pos="284"/>
          <w:tab w:val="num" w:pos="567"/>
        </w:tabs>
        <w:autoSpaceDE w:val="0"/>
        <w:autoSpaceDN w:val="0"/>
        <w:adjustRightInd w:val="0"/>
        <w:spacing w:after="0" w:line="240" w:lineRule="auto"/>
        <w:ind w:left="567" w:hanging="567"/>
        <w:rPr>
          <w:rFonts w:ascii="Times New Roman" w:eastAsia="Times New Roman" w:hAnsi="Times New Roman" w:cs="Times New Roman"/>
          <w:color w:val="000000"/>
          <w:lang w:eastAsia="lt-LT"/>
        </w:rPr>
      </w:pPr>
      <w:r w:rsidRPr="00A0704E">
        <w:rPr>
          <w:rFonts w:ascii="Times New Roman" w:eastAsia="Times New Roman" w:hAnsi="Times New Roman" w:cs="Times New Roman"/>
          <w:color w:val="000000"/>
          <w:lang w:eastAsia="lt-LT"/>
        </w:rPr>
        <w:t xml:space="preserve">CYP 2D6 substratai </w:t>
      </w:r>
    </w:p>
    <w:p w14:paraId="50C7BC0D"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color w:val="000000"/>
          <w:lang w:eastAsia="lt-LT"/>
        </w:rPr>
      </w:pPr>
    </w:p>
    <w:p w14:paraId="19861515" w14:textId="77777777" w:rsidR="00A0704E" w:rsidRPr="00A0704E" w:rsidRDefault="00A0704E" w:rsidP="00A0704E">
      <w:pPr>
        <w:numPr>
          <w:ilvl w:val="0"/>
          <w:numId w:val="36"/>
        </w:numPr>
        <w:autoSpaceDE w:val="0"/>
        <w:autoSpaceDN w:val="0"/>
        <w:adjustRightInd w:val="0"/>
        <w:spacing w:after="0" w:line="240" w:lineRule="auto"/>
        <w:rPr>
          <w:rFonts w:ascii="Times New Roman" w:eastAsia="Times New Roman" w:hAnsi="Times New Roman" w:cs="Times New Roman"/>
          <w:color w:val="000000"/>
          <w:lang w:eastAsia="lt-LT"/>
        </w:rPr>
      </w:pPr>
      <w:r w:rsidRPr="00A0704E">
        <w:rPr>
          <w:rFonts w:ascii="Times New Roman" w:eastAsia="Times New Roman" w:hAnsi="Times New Roman" w:cs="Times New Roman"/>
          <w:color w:val="000000"/>
          <w:lang w:eastAsia="lt-LT"/>
        </w:rPr>
        <w:t>Flekainidas</w:t>
      </w:r>
    </w:p>
    <w:p w14:paraId="47E37409" w14:textId="77777777" w:rsidR="00A0704E" w:rsidRPr="00A0704E" w:rsidRDefault="00A0704E" w:rsidP="00A0704E">
      <w:pPr>
        <w:autoSpaceDE w:val="0"/>
        <w:autoSpaceDN w:val="0"/>
        <w:adjustRightInd w:val="0"/>
        <w:spacing w:after="0" w:line="240" w:lineRule="auto"/>
        <w:ind w:left="851"/>
        <w:rPr>
          <w:rFonts w:ascii="Times New Roman" w:eastAsia="Times New Roman" w:hAnsi="Times New Roman" w:cs="Times New Roman"/>
          <w:bCs/>
          <w:color w:val="000000"/>
          <w:lang w:eastAsia="lt-LT"/>
        </w:rPr>
      </w:pPr>
      <w:r w:rsidRPr="00A0704E">
        <w:rPr>
          <w:rFonts w:ascii="Times New Roman" w:eastAsia="Times New Roman" w:hAnsi="Times New Roman" w:cs="Times New Roman"/>
          <w:bCs/>
          <w:color w:val="000000"/>
          <w:lang w:eastAsia="lt-LT"/>
        </w:rPr>
        <w:t>Dėl amjodarono sukeliamo citochromo CYP 2D6 slopinimo didėja flekainido koncentracija plazmoje. Dėl šios priežasties flekainido dozę būtina koreguoti.</w:t>
      </w:r>
    </w:p>
    <w:p w14:paraId="7BE759F4"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rPr>
      </w:pPr>
    </w:p>
    <w:p w14:paraId="7572D9ED" w14:textId="77777777" w:rsidR="00A0704E" w:rsidRPr="00A0704E" w:rsidRDefault="00A0704E" w:rsidP="00BB3C7B">
      <w:pPr>
        <w:numPr>
          <w:ilvl w:val="0"/>
          <w:numId w:val="37"/>
        </w:numPr>
        <w:tabs>
          <w:tab w:val="clear" w:pos="283"/>
          <w:tab w:val="num" w:pos="567"/>
        </w:tabs>
        <w:spacing w:after="0" w:line="240" w:lineRule="auto"/>
        <w:ind w:left="567" w:hanging="567"/>
        <w:rPr>
          <w:rFonts w:ascii="Times New Roman" w:eastAsia="Times New Roman" w:hAnsi="Times New Roman" w:cs="Times New Roman"/>
        </w:rPr>
      </w:pPr>
      <w:r w:rsidRPr="00A0704E">
        <w:rPr>
          <w:rFonts w:ascii="Times New Roman" w:eastAsia="Times New Roman" w:hAnsi="Times New Roman" w:cs="Times New Roman"/>
        </w:rPr>
        <w:t>CYP P450 3A4 substratai</w:t>
      </w:r>
    </w:p>
    <w:p w14:paraId="521F55B4"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Tokių vaistinių preparatų, vartojamų su CYP 3A4 inhibitoriumi amjodaronu, koncentracija plazmoje gali padidėti, todėl gali padidėti toksinio poveikio pavojus.</w:t>
      </w:r>
    </w:p>
    <w:p w14:paraId="1727B6EE" w14:textId="77777777" w:rsidR="00A0704E" w:rsidRPr="00A0704E" w:rsidRDefault="00A0704E" w:rsidP="00A0704E">
      <w:pPr>
        <w:numPr>
          <w:ilvl w:val="0"/>
          <w:numId w:val="34"/>
        </w:numPr>
        <w:autoSpaceDE w:val="0"/>
        <w:autoSpaceDN w:val="0"/>
        <w:adjustRightInd w:val="0"/>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Ciklosporinas: koncentracija plazmoje gali padidėti. Būtina koreguoti dozę.</w:t>
      </w:r>
    </w:p>
    <w:p w14:paraId="69A18873" w14:textId="77777777" w:rsidR="00A0704E" w:rsidRPr="00A0704E" w:rsidRDefault="00A0704E" w:rsidP="00A0704E">
      <w:pPr>
        <w:numPr>
          <w:ilvl w:val="0"/>
          <w:numId w:val="34"/>
        </w:numPr>
        <w:autoSpaceDE w:val="0"/>
        <w:autoSpaceDN w:val="0"/>
        <w:adjustRightInd w:val="0"/>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Fentanilis: farmakologinis poveikis gali sustiprėti, todėl padidėja toksinio poveikio pavojus.</w:t>
      </w:r>
    </w:p>
    <w:p w14:paraId="74FC8242" w14:textId="77777777" w:rsidR="00A0704E" w:rsidRPr="00A0704E" w:rsidRDefault="00A0704E" w:rsidP="00A0704E">
      <w:pPr>
        <w:numPr>
          <w:ilvl w:val="0"/>
          <w:numId w:val="34"/>
        </w:numPr>
        <w:autoSpaceDE w:val="0"/>
        <w:autoSpaceDN w:val="0"/>
        <w:adjustRightInd w:val="0"/>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Statinai: amjodaroną vartojant kartu su statinais, kuriuos metabolizuoja citochromas CYP 3A4 (simvastatinas, atorvastatinas, lovastatinas), didėja toksinio poveikio raumenims (pvz., rabdomiolizės) pavojus.</w:t>
      </w:r>
    </w:p>
    <w:p w14:paraId="161E200E" w14:textId="77777777" w:rsidR="00A0704E" w:rsidRPr="00A0704E" w:rsidRDefault="00A0704E" w:rsidP="00A0704E">
      <w:pPr>
        <w:numPr>
          <w:ilvl w:val="0"/>
          <w:numId w:val="34"/>
        </w:numPr>
        <w:autoSpaceDE w:val="0"/>
        <w:autoSpaceDN w:val="0"/>
        <w:adjustRightInd w:val="0"/>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Rekomenduojama amjodaroną vartoti kartu su statinais, kurių nemetabolizuoja citochromas CYP 3A4.</w:t>
      </w:r>
    </w:p>
    <w:p w14:paraId="1CC07927" w14:textId="57B34199" w:rsidR="00A0704E" w:rsidRPr="00A0704E" w:rsidRDefault="00A0704E" w:rsidP="00A0704E">
      <w:pPr>
        <w:numPr>
          <w:ilvl w:val="0"/>
          <w:numId w:val="34"/>
        </w:numPr>
        <w:autoSpaceDE w:val="0"/>
        <w:autoSpaceDN w:val="0"/>
        <w:adjustRightInd w:val="0"/>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Kiti vaistiniai preparatai, kuriuos metabolizuoja citochromas CYP 3A4: lidokainas, </w:t>
      </w:r>
      <w:r w:rsidR="00D13077" w:rsidRPr="00D13077">
        <w:rPr>
          <w:rFonts w:ascii="Times New Roman" w:eastAsia="Times New Roman" w:hAnsi="Times New Roman" w:cs="Times New Roman"/>
        </w:rPr>
        <w:t>sirolimuzas,</w:t>
      </w:r>
      <w:r w:rsidR="00D13077">
        <w:rPr>
          <w:rFonts w:ascii="Times New Roman" w:eastAsia="Times New Roman" w:hAnsi="Times New Roman" w:cs="Times New Roman"/>
        </w:rPr>
        <w:t xml:space="preserve"> </w:t>
      </w:r>
      <w:r w:rsidRPr="00A0704E">
        <w:rPr>
          <w:rFonts w:ascii="Times New Roman" w:eastAsia="Times New Roman" w:hAnsi="Times New Roman" w:cs="Times New Roman"/>
        </w:rPr>
        <w:t>takrolimuzas, sildenafilis, midazolamas, triazolamas, dihidroergotaminas, ergotaminas, kolchicinas.</w:t>
      </w:r>
    </w:p>
    <w:p w14:paraId="1EF48C43"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rPr>
      </w:pPr>
    </w:p>
    <w:p w14:paraId="26B59792" w14:textId="77777777" w:rsidR="00A0704E" w:rsidRPr="00A0704E" w:rsidRDefault="00A0704E" w:rsidP="00A0704E">
      <w:pPr>
        <w:spacing w:after="0" w:line="240" w:lineRule="auto"/>
        <w:outlineLvl w:val="0"/>
        <w:rPr>
          <w:rFonts w:ascii="Times New Roman" w:eastAsia="Times New Roman" w:hAnsi="Times New Roman" w:cs="Times New Roman"/>
          <w:u w:val="single"/>
        </w:rPr>
      </w:pPr>
      <w:r w:rsidRPr="00A0704E">
        <w:rPr>
          <w:rFonts w:ascii="Times New Roman" w:eastAsia="Times New Roman" w:hAnsi="Times New Roman" w:cs="Times New Roman"/>
          <w:u w:val="single"/>
        </w:rPr>
        <w:t>Kitų preparatų poveikis Cordarone</w:t>
      </w:r>
      <w:r w:rsidRPr="00A0704E">
        <w:rPr>
          <w:rFonts w:ascii="Times New Roman" w:eastAsia="Times New Roman" w:hAnsi="Times New Roman" w:cs="Times New Roman"/>
          <w:u w:val="single"/>
        </w:rPr>
        <w:fldChar w:fldCharType="begin"/>
      </w:r>
      <w:r w:rsidRPr="00A0704E">
        <w:rPr>
          <w:rFonts w:ascii="Times New Roman" w:eastAsia="Times New Roman" w:hAnsi="Times New Roman" w:cs="Times New Roman"/>
          <w:u w:val="single"/>
        </w:rPr>
        <w:instrText xml:space="preserve"> DOCVARIABLE vault_nd_7be55fe0-c41e-4b87-964b-f3c423be5604 \* MERGEFORMAT </w:instrText>
      </w:r>
      <w:r w:rsidRPr="00A0704E">
        <w:rPr>
          <w:rFonts w:ascii="Times New Roman" w:eastAsia="Times New Roman" w:hAnsi="Times New Roman" w:cs="Times New Roman"/>
          <w:u w:val="single"/>
        </w:rPr>
        <w:fldChar w:fldCharType="separate"/>
      </w:r>
      <w:r w:rsidRPr="00A0704E">
        <w:rPr>
          <w:rFonts w:ascii="Times New Roman" w:eastAsia="Times New Roman" w:hAnsi="Times New Roman" w:cs="Times New Roman"/>
          <w:u w:val="single"/>
        </w:rPr>
        <w:t xml:space="preserve"> </w:t>
      </w:r>
      <w:r w:rsidRPr="00A0704E">
        <w:rPr>
          <w:rFonts w:ascii="Times New Roman" w:eastAsia="Times New Roman" w:hAnsi="Times New Roman" w:cs="Times New Roman"/>
          <w:u w:val="single"/>
        </w:rPr>
        <w:fldChar w:fldCharType="end"/>
      </w:r>
    </w:p>
    <w:p w14:paraId="1F847C7B"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color w:val="000000"/>
          <w:lang w:eastAsia="lt-LT"/>
        </w:rPr>
      </w:pPr>
    </w:p>
    <w:p w14:paraId="38A83641"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color w:val="000000"/>
          <w:lang w:eastAsia="lt-LT"/>
        </w:rPr>
      </w:pPr>
      <w:r w:rsidRPr="00A0704E">
        <w:rPr>
          <w:rFonts w:ascii="Times New Roman" w:eastAsia="Times New Roman" w:hAnsi="Times New Roman" w:cs="Times New Roman"/>
          <w:color w:val="000000"/>
          <w:lang w:eastAsia="lt-LT"/>
        </w:rPr>
        <w:t>CYP 3A4 inhibitoriai (pvz., klaritromicinas) ir CYP 2C8 inhibitoriai gali slopinti amjodarono metabolizmą ir didinti jo ekspoziciją, todėl padidėja toksinio poveikio rizika.</w:t>
      </w:r>
    </w:p>
    <w:p w14:paraId="28361E9A"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bCs/>
          <w:color w:val="000000"/>
          <w:lang w:eastAsia="lt-LT"/>
        </w:rPr>
      </w:pPr>
      <w:r w:rsidRPr="00A0704E">
        <w:rPr>
          <w:rFonts w:ascii="Times New Roman" w:eastAsia="Times New Roman" w:hAnsi="Times New Roman" w:cs="Times New Roman"/>
          <w:bCs/>
          <w:color w:val="000000"/>
          <w:lang w:eastAsia="lt-LT"/>
        </w:rPr>
        <w:t xml:space="preserve">Gydymo amjodaronu metu rekomenduojama vengti vartoti CYP 3A4 inhibitorių (pvz., greipfrutų sulčių ir tam tikrų vaistinių preparatų). </w:t>
      </w:r>
    </w:p>
    <w:p w14:paraId="3F40BC42"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bCs/>
          <w:color w:val="000000"/>
          <w:lang w:eastAsia="lt-LT"/>
        </w:rPr>
      </w:pPr>
    </w:p>
    <w:p w14:paraId="3183004D" w14:textId="77777777" w:rsidR="00A0704E" w:rsidRPr="00A0704E" w:rsidRDefault="00A0704E" w:rsidP="00A0704E">
      <w:pPr>
        <w:keepNext/>
        <w:autoSpaceDE w:val="0"/>
        <w:autoSpaceDN w:val="0"/>
        <w:adjustRightInd w:val="0"/>
        <w:spacing w:after="0" w:line="240" w:lineRule="auto"/>
        <w:rPr>
          <w:rFonts w:ascii="Times New Roman" w:eastAsia="Times New Roman" w:hAnsi="Times New Roman" w:cs="Times New Roman"/>
          <w:bCs/>
          <w:color w:val="000000"/>
          <w:u w:val="single"/>
          <w:lang w:eastAsia="lt-LT"/>
        </w:rPr>
      </w:pPr>
      <w:r w:rsidRPr="00A0704E">
        <w:rPr>
          <w:rFonts w:ascii="Times New Roman" w:eastAsia="Times New Roman" w:hAnsi="Times New Roman" w:cs="Times New Roman"/>
          <w:bCs/>
          <w:color w:val="000000"/>
          <w:u w:val="single"/>
          <w:lang w:eastAsia="lt-LT"/>
        </w:rPr>
        <w:t>Kitų vaistinių preparatų sąveika su Cordarone (žr. 4.4 skyrių)</w:t>
      </w:r>
    </w:p>
    <w:p w14:paraId="09AF5907" w14:textId="77777777" w:rsidR="00A0704E" w:rsidRPr="00A0704E" w:rsidRDefault="00A0704E" w:rsidP="00A0704E">
      <w:pPr>
        <w:keepNext/>
        <w:autoSpaceDE w:val="0"/>
        <w:autoSpaceDN w:val="0"/>
        <w:adjustRightInd w:val="0"/>
        <w:spacing w:after="0" w:line="240" w:lineRule="auto"/>
        <w:rPr>
          <w:rFonts w:ascii="Times New Roman" w:eastAsia="Times New Roman" w:hAnsi="Times New Roman" w:cs="Times New Roman"/>
          <w:bCs/>
          <w:color w:val="000000"/>
          <w:u w:val="single"/>
          <w:lang w:eastAsia="lt-LT"/>
        </w:rPr>
      </w:pPr>
    </w:p>
    <w:p w14:paraId="26F706DC"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iCs/>
        </w:rPr>
      </w:pPr>
      <w:r w:rsidRPr="00A0704E">
        <w:rPr>
          <w:rFonts w:ascii="Times New Roman" w:eastAsia="Times New Roman" w:hAnsi="Times New Roman" w:cs="Times New Roman"/>
          <w:color w:val="000000"/>
          <w:lang w:eastAsia="lt-LT"/>
        </w:rPr>
        <w:t>Vartojant amjodarono, kai kartu taikomas gydymas sofosbuviru, gali prasidėti pavojinga simptominė bradikardija.</w:t>
      </w:r>
    </w:p>
    <w:p w14:paraId="6DCEEAEE"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color w:val="000000"/>
          <w:lang w:eastAsia="lt-LT"/>
        </w:rPr>
      </w:pPr>
      <w:r w:rsidRPr="00A0704E">
        <w:rPr>
          <w:rFonts w:ascii="Times New Roman" w:eastAsia="Times New Roman" w:hAnsi="Times New Roman" w:cs="Times New Roman"/>
          <w:iCs/>
          <w:color w:val="000000"/>
          <w:lang w:eastAsia="lt-LT"/>
        </w:rPr>
        <w:t xml:space="preserve">Jei manoma, kad toks kombinuotasis vartojimas yra būtinas, rekomenduojama stebėti širdies veiklą </w:t>
      </w:r>
      <w:r w:rsidRPr="00A0704E">
        <w:rPr>
          <w:rFonts w:ascii="Times New Roman" w:eastAsia="Times New Roman" w:hAnsi="Times New Roman" w:cs="Times New Roman"/>
          <w:color w:val="000000"/>
          <w:lang w:eastAsia="lt-LT"/>
        </w:rPr>
        <w:t>(žr. 4.4 skyrių).</w:t>
      </w:r>
    </w:p>
    <w:p w14:paraId="36179177"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color w:val="000000"/>
          <w:lang w:eastAsia="lt-LT"/>
        </w:rPr>
      </w:pPr>
    </w:p>
    <w:p w14:paraId="41345660" w14:textId="77777777" w:rsidR="00A0704E" w:rsidRPr="00A0704E" w:rsidRDefault="00A0704E" w:rsidP="00A0704E">
      <w:pPr>
        <w:keepNext/>
        <w:keepLines/>
        <w:tabs>
          <w:tab w:val="left" w:pos="567"/>
        </w:tabs>
        <w:spacing w:after="0" w:line="240" w:lineRule="auto"/>
        <w:outlineLvl w:val="2"/>
        <w:rPr>
          <w:rFonts w:ascii="Times New Roman" w:eastAsia="Times New Roman" w:hAnsi="Times New Roman" w:cs="Times New Roman"/>
          <w:b/>
          <w:bCs/>
          <w:kern w:val="28"/>
        </w:rPr>
      </w:pPr>
      <w:r w:rsidRPr="00A0704E">
        <w:rPr>
          <w:rFonts w:ascii="Times New Roman" w:eastAsia="Times New Roman" w:hAnsi="Times New Roman" w:cs="Times New Roman"/>
          <w:b/>
          <w:bCs/>
          <w:kern w:val="28"/>
        </w:rPr>
        <w:t>4.6</w:t>
      </w:r>
      <w:r w:rsidRPr="00A0704E">
        <w:rPr>
          <w:rFonts w:ascii="Times New Roman" w:eastAsia="Times New Roman" w:hAnsi="Times New Roman" w:cs="Times New Roman"/>
          <w:b/>
          <w:bCs/>
          <w:kern w:val="28"/>
        </w:rPr>
        <w:tab/>
        <w:t>Vaisingumas, nėštumo ir žindymo laikotarpis</w:t>
      </w:r>
      <w:bookmarkEnd w:id="25"/>
      <w:bookmarkEnd w:id="26"/>
      <w:r w:rsidRPr="00A0704E">
        <w:rPr>
          <w:rFonts w:ascii="Times New Roman" w:eastAsia="Times New Roman" w:hAnsi="Times New Roman" w:cs="Times New Roman"/>
          <w:b/>
          <w:bCs/>
          <w:kern w:val="28"/>
        </w:rPr>
        <w:fldChar w:fldCharType="begin"/>
      </w:r>
      <w:r w:rsidRPr="00A0704E">
        <w:rPr>
          <w:rFonts w:ascii="Times New Roman" w:eastAsia="Times New Roman" w:hAnsi="Times New Roman" w:cs="Times New Roman"/>
          <w:b/>
          <w:bCs/>
          <w:kern w:val="28"/>
        </w:rPr>
        <w:instrText xml:space="preserve"> DOCVARIABLE vault_nd_5011d318-d324-48a1-9ad7-62cadb7dfd02 \* MERGEFORMAT </w:instrText>
      </w:r>
      <w:r w:rsidRPr="00A0704E">
        <w:rPr>
          <w:rFonts w:ascii="Times New Roman" w:eastAsia="Times New Roman" w:hAnsi="Times New Roman" w:cs="Times New Roman"/>
          <w:b/>
          <w:bCs/>
          <w:kern w:val="28"/>
        </w:rPr>
        <w:fldChar w:fldCharType="separate"/>
      </w:r>
      <w:r w:rsidRPr="00A0704E">
        <w:rPr>
          <w:rFonts w:ascii="Times New Roman" w:eastAsia="Times New Roman" w:hAnsi="Times New Roman" w:cs="Times New Roman"/>
          <w:b/>
          <w:bCs/>
          <w:kern w:val="28"/>
        </w:rPr>
        <w:t xml:space="preserve"> </w:t>
      </w:r>
      <w:r w:rsidRPr="00A0704E">
        <w:rPr>
          <w:rFonts w:ascii="Times New Roman" w:eastAsia="Times New Roman" w:hAnsi="Times New Roman" w:cs="Times New Roman"/>
          <w:b/>
          <w:bCs/>
          <w:kern w:val="28"/>
        </w:rPr>
        <w:fldChar w:fldCharType="end"/>
      </w:r>
    </w:p>
    <w:p w14:paraId="0FE27A0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E70B150" w14:textId="77777777" w:rsidR="00A0704E" w:rsidRPr="00A0704E" w:rsidRDefault="00A0704E" w:rsidP="00A0704E">
      <w:pPr>
        <w:tabs>
          <w:tab w:val="left" w:pos="567"/>
        </w:tabs>
        <w:spacing w:after="0" w:line="240" w:lineRule="auto"/>
        <w:rPr>
          <w:rFonts w:ascii="Times New Roman" w:eastAsia="Times New Roman" w:hAnsi="Times New Roman" w:cs="Times New Roman"/>
          <w:u w:val="single"/>
        </w:rPr>
      </w:pPr>
      <w:bookmarkStart w:id="28" w:name="OLE_LINK6"/>
      <w:r w:rsidRPr="00A0704E">
        <w:rPr>
          <w:rFonts w:ascii="Times New Roman" w:eastAsia="Times New Roman" w:hAnsi="Times New Roman" w:cs="Times New Roman"/>
          <w:u w:val="single"/>
        </w:rPr>
        <w:t>Nėštumas</w:t>
      </w:r>
    </w:p>
    <w:p w14:paraId="444F488B" w14:textId="77777777" w:rsidR="00A0704E" w:rsidRPr="00A0704E" w:rsidRDefault="00A0704E" w:rsidP="00A0704E">
      <w:pPr>
        <w:tabs>
          <w:tab w:val="left" w:pos="567"/>
        </w:tabs>
        <w:spacing w:after="0" w:line="240" w:lineRule="auto"/>
        <w:rPr>
          <w:rFonts w:ascii="Times New Roman" w:eastAsia="Times New Roman" w:hAnsi="Times New Roman" w:cs="Times New Roman"/>
          <w:color w:val="000000"/>
        </w:rPr>
      </w:pPr>
      <w:r w:rsidRPr="00A0704E">
        <w:rPr>
          <w:rFonts w:ascii="Times New Roman" w:eastAsia="Times New Roman" w:hAnsi="Times New Roman" w:cs="Times New Roman"/>
          <w:color w:val="000000"/>
        </w:rPr>
        <w:t>Nėra pakankamai duomenų apie amjodarono vartojimą nėštumo metu, kad būtų galima įvertinti jo toksiškumą.</w:t>
      </w:r>
    </w:p>
    <w:p w14:paraId="309EC75A"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color w:val="000000"/>
        </w:rPr>
        <w:t xml:space="preserve">Atsižvelgiant į tai, kad amjodaronas gali turėti poveikį vaisiaus skydliaukei, jį nėštumo laikotarpiu vartoti draudžiama, </w:t>
      </w:r>
      <w:r w:rsidRPr="00A0704E">
        <w:rPr>
          <w:rFonts w:ascii="Times New Roman" w:eastAsia="Times New Roman" w:hAnsi="Times New Roman" w:cs="Times New Roman"/>
        </w:rPr>
        <w:t xml:space="preserve">išskyrus neabejotinai būtinus atvejus. </w:t>
      </w:r>
    </w:p>
    <w:p w14:paraId="56528CC7"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p>
    <w:p w14:paraId="37EF9A44" w14:textId="77777777" w:rsidR="00A0704E" w:rsidRPr="00A0704E" w:rsidRDefault="00A0704E" w:rsidP="00A0704E">
      <w:pPr>
        <w:tabs>
          <w:tab w:val="left" w:pos="567"/>
        </w:tabs>
        <w:spacing w:after="0" w:line="240" w:lineRule="auto"/>
        <w:rPr>
          <w:rFonts w:ascii="Times New Roman" w:eastAsia="Times New Roman" w:hAnsi="Times New Roman" w:cs="Times New Roman"/>
          <w:u w:val="single"/>
        </w:rPr>
      </w:pPr>
      <w:r w:rsidRPr="00A0704E">
        <w:rPr>
          <w:rFonts w:ascii="Times New Roman" w:eastAsia="Times New Roman" w:hAnsi="Times New Roman" w:cs="Times New Roman"/>
          <w:u w:val="single"/>
        </w:rPr>
        <w:t>Žindymas</w:t>
      </w:r>
    </w:p>
    <w:p w14:paraId="7DFDF2B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Didelis kiekis amjodarono išsiskiria su motinos pienu, todėl vartoti amjodarono žindančiai motinai draudžiama.</w:t>
      </w:r>
    </w:p>
    <w:bookmarkEnd w:id="28"/>
    <w:p w14:paraId="1255A31D"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A5F4568" w14:textId="77777777" w:rsidR="00A0704E" w:rsidRPr="00A0704E" w:rsidRDefault="00A0704E" w:rsidP="00A0704E">
      <w:pPr>
        <w:keepNext/>
        <w:keepLines/>
        <w:tabs>
          <w:tab w:val="left" w:pos="567"/>
        </w:tabs>
        <w:spacing w:after="0" w:line="240" w:lineRule="auto"/>
        <w:outlineLvl w:val="2"/>
        <w:rPr>
          <w:rFonts w:ascii="Times New Roman" w:eastAsia="Times New Roman" w:hAnsi="Times New Roman" w:cs="Times New Roman"/>
          <w:b/>
          <w:bCs/>
          <w:kern w:val="28"/>
        </w:rPr>
      </w:pPr>
      <w:bookmarkStart w:id="29" w:name="_Toc129243108"/>
      <w:bookmarkStart w:id="30" w:name="_Toc129243233"/>
      <w:r w:rsidRPr="00A0704E">
        <w:rPr>
          <w:rFonts w:ascii="Times New Roman" w:eastAsia="Times New Roman" w:hAnsi="Times New Roman" w:cs="Times New Roman"/>
          <w:b/>
          <w:bCs/>
          <w:kern w:val="28"/>
        </w:rPr>
        <w:lastRenderedPageBreak/>
        <w:t>4.7</w:t>
      </w:r>
      <w:r w:rsidRPr="00A0704E">
        <w:rPr>
          <w:rFonts w:ascii="Times New Roman" w:eastAsia="Times New Roman" w:hAnsi="Times New Roman" w:cs="Times New Roman"/>
          <w:b/>
          <w:bCs/>
          <w:kern w:val="28"/>
        </w:rPr>
        <w:tab/>
        <w:t>Poveikis gebėjimui vairuoti ir valdyti mechanizmus</w:t>
      </w:r>
      <w:bookmarkEnd w:id="29"/>
      <w:bookmarkEnd w:id="30"/>
      <w:r w:rsidRPr="00A0704E">
        <w:rPr>
          <w:rFonts w:ascii="Times New Roman" w:eastAsia="Times New Roman" w:hAnsi="Times New Roman" w:cs="Times New Roman"/>
          <w:b/>
          <w:bCs/>
          <w:kern w:val="28"/>
        </w:rPr>
        <w:fldChar w:fldCharType="begin"/>
      </w:r>
      <w:r w:rsidRPr="00A0704E">
        <w:rPr>
          <w:rFonts w:ascii="Times New Roman" w:eastAsia="Times New Roman" w:hAnsi="Times New Roman" w:cs="Times New Roman"/>
          <w:b/>
          <w:bCs/>
          <w:kern w:val="28"/>
        </w:rPr>
        <w:instrText xml:space="preserve"> DOCVARIABLE vault_nd_ba49a25c-f2b9-4cf7-8048-09cdf830dcec \* MERGEFORMAT </w:instrText>
      </w:r>
      <w:r w:rsidRPr="00A0704E">
        <w:rPr>
          <w:rFonts w:ascii="Times New Roman" w:eastAsia="Times New Roman" w:hAnsi="Times New Roman" w:cs="Times New Roman"/>
          <w:b/>
          <w:bCs/>
          <w:kern w:val="28"/>
        </w:rPr>
        <w:fldChar w:fldCharType="separate"/>
      </w:r>
      <w:r w:rsidRPr="00A0704E">
        <w:rPr>
          <w:rFonts w:ascii="Times New Roman" w:eastAsia="Times New Roman" w:hAnsi="Times New Roman" w:cs="Times New Roman"/>
          <w:b/>
          <w:bCs/>
          <w:kern w:val="28"/>
        </w:rPr>
        <w:t xml:space="preserve"> </w:t>
      </w:r>
      <w:r w:rsidRPr="00A0704E">
        <w:rPr>
          <w:rFonts w:ascii="Times New Roman" w:eastAsia="Times New Roman" w:hAnsi="Times New Roman" w:cs="Times New Roman"/>
          <w:b/>
          <w:bCs/>
          <w:kern w:val="28"/>
        </w:rPr>
        <w:fldChar w:fldCharType="end"/>
      </w:r>
    </w:p>
    <w:p w14:paraId="33F697A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6239DE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Atsiradęs akių sutrikimas gali turėti įtakos gebėjimui vairuoti ir valdyti mechanizmus. Jeigu jis pasireiškia, minėto darbo dirbti negalima.</w:t>
      </w:r>
    </w:p>
    <w:p w14:paraId="6F6CA8E3" w14:textId="77777777" w:rsidR="00A0704E" w:rsidRPr="00A0704E" w:rsidRDefault="00A0704E" w:rsidP="00A0704E">
      <w:pPr>
        <w:keepNext/>
        <w:keepLines/>
        <w:tabs>
          <w:tab w:val="left" w:pos="567"/>
        </w:tabs>
        <w:spacing w:after="0" w:line="240" w:lineRule="auto"/>
        <w:outlineLvl w:val="2"/>
        <w:rPr>
          <w:rFonts w:ascii="Times New Roman" w:eastAsia="Times New Roman" w:hAnsi="Times New Roman" w:cs="Times New Roman"/>
          <w:b/>
          <w:bCs/>
          <w:kern w:val="28"/>
        </w:rPr>
      </w:pPr>
      <w:bookmarkStart w:id="31" w:name="_Toc129243109"/>
      <w:bookmarkStart w:id="32" w:name="_Toc129243234"/>
    </w:p>
    <w:p w14:paraId="3697F8BD" w14:textId="77777777" w:rsidR="00A0704E" w:rsidRPr="00A0704E" w:rsidRDefault="00A0704E" w:rsidP="00A0704E">
      <w:pPr>
        <w:keepNext/>
        <w:keepLines/>
        <w:tabs>
          <w:tab w:val="left" w:pos="567"/>
        </w:tabs>
        <w:spacing w:after="0" w:line="240" w:lineRule="auto"/>
        <w:outlineLvl w:val="2"/>
        <w:rPr>
          <w:rFonts w:ascii="Times New Roman" w:eastAsia="Times New Roman" w:hAnsi="Times New Roman" w:cs="Times New Roman"/>
          <w:b/>
          <w:bCs/>
          <w:kern w:val="28"/>
        </w:rPr>
      </w:pPr>
      <w:r w:rsidRPr="00A0704E">
        <w:rPr>
          <w:rFonts w:ascii="Times New Roman" w:eastAsia="Times New Roman" w:hAnsi="Times New Roman" w:cs="Times New Roman"/>
          <w:b/>
          <w:bCs/>
          <w:kern w:val="28"/>
        </w:rPr>
        <w:t>4.8</w:t>
      </w:r>
      <w:r w:rsidRPr="00A0704E">
        <w:rPr>
          <w:rFonts w:ascii="Times New Roman" w:eastAsia="Times New Roman" w:hAnsi="Times New Roman" w:cs="Times New Roman"/>
          <w:b/>
          <w:bCs/>
          <w:kern w:val="28"/>
        </w:rPr>
        <w:tab/>
        <w:t>Nepageidaujamas poveikis</w:t>
      </w:r>
      <w:bookmarkEnd w:id="31"/>
      <w:bookmarkEnd w:id="32"/>
      <w:r w:rsidRPr="00A0704E">
        <w:rPr>
          <w:rFonts w:ascii="Times New Roman" w:eastAsia="Times New Roman" w:hAnsi="Times New Roman" w:cs="Times New Roman"/>
          <w:b/>
          <w:bCs/>
          <w:kern w:val="28"/>
        </w:rPr>
        <w:fldChar w:fldCharType="begin"/>
      </w:r>
      <w:r w:rsidRPr="00A0704E">
        <w:rPr>
          <w:rFonts w:ascii="Times New Roman" w:eastAsia="Times New Roman" w:hAnsi="Times New Roman" w:cs="Times New Roman"/>
          <w:b/>
          <w:bCs/>
          <w:kern w:val="28"/>
        </w:rPr>
        <w:instrText xml:space="preserve"> DOCVARIABLE vault_nd_231ed4e2-476e-45c9-b06c-ea86165fb6e9 \* MERGEFORMAT </w:instrText>
      </w:r>
      <w:r w:rsidRPr="00A0704E">
        <w:rPr>
          <w:rFonts w:ascii="Times New Roman" w:eastAsia="Times New Roman" w:hAnsi="Times New Roman" w:cs="Times New Roman"/>
          <w:b/>
          <w:bCs/>
          <w:kern w:val="28"/>
        </w:rPr>
        <w:fldChar w:fldCharType="separate"/>
      </w:r>
      <w:r w:rsidRPr="00A0704E">
        <w:rPr>
          <w:rFonts w:ascii="Times New Roman" w:eastAsia="Times New Roman" w:hAnsi="Times New Roman" w:cs="Times New Roman"/>
          <w:b/>
          <w:bCs/>
          <w:kern w:val="28"/>
        </w:rPr>
        <w:t xml:space="preserve"> </w:t>
      </w:r>
      <w:r w:rsidRPr="00A0704E">
        <w:rPr>
          <w:rFonts w:ascii="Times New Roman" w:eastAsia="Times New Roman" w:hAnsi="Times New Roman" w:cs="Times New Roman"/>
          <w:b/>
          <w:bCs/>
          <w:kern w:val="28"/>
        </w:rPr>
        <w:fldChar w:fldCharType="end"/>
      </w:r>
    </w:p>
    <w:p w14:paraId="7F2E304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9FE9717"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Nepageidaujamo poveikio dažnis apibūdinamas taip</w:t>
      </w:r>
      <w:r w:rsidRPr="00A0704E">
        <w:rPr>
          <w:rFonts w:ascii="Times New Roman" w:eastAsia="Times New Roman" w:hAnsi="Times New Roman" w:cs="Times New Roman"/>
          <w:bCs/>
          <w:iCs/>
        </w:rPr>
        <w:t>:</w:t>
      </w:r>
      <w:r w:rsidRPr="00A0704E">
        <w:rPr>
          <w:rFonts w:ascii="Times New Roman" w:eastAsia="Times New Roman" w:hAnsi="Times New Roman" w:cs="Times New Roman"/>
        </w:rPr>
        <w:t xml:space="preserve"> labai dažnas (≥1/10), dažnas (nuo ≥1/100 iki &lt;1/10), nedažnas (nuo ≥1/1000 iki &lt;1/100), retas (nuo ≥1/10000 iki &lt;1/1000), labai retas (&lt;1/10000) ir dažnis nežinomas (negali būti apskaičiuotas pagal turimus duomenis).</w:t>
      </w:r>
    </w:p>
    <w:p w14:paraId="26F726E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29BFB5A"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noProof/>
        </w:rPr>
        <w:t>Kraujo ir limfinės sistemos sutrikimai</w:t>
      </w:r>
    </w:p>
    <w:p w14:paraId="6506959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Labai reti:</w:t>
      </w:r>
    </w:p>
    <w:p w14:paraId="48A4CED7" w14:textId="77777777" w:rsidR="00A0704E" w:rsidRPr="00A0704E" w:rsidRDefault="00A0704E" w:rsidP="00BB3C7B">
      <w:pPr>
        <w:numPr>
          <w:ilvl w:val="0"/>
          <w:numId w:val="12"/>
        </w:numPr>
        <w:tabs>
          <w:tab w:val="clear" w:pos="1134"/>
          <w:tab w:val="num"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trombocitopenija;</w:t>
      </w:r>
    </w:p>
    <w:p w14:paraId="759FEEE9" w14:textId="77777777" w:rsidR="00A0704E" w:rsidRPr="00A0704E" w:rsidRDefault="00A0704E" w:rsidP="00BB3C7B">
      <w:pPr>
        <w:numPr>
          <w:ilvl w:val="0"/>
          <w:numId w:val="12"/>
        </w:numPr>
        <w:tabs>
          <w:tab w:val="clear" w:pos="1134"/>
          <w:tab w:val="num"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aplazinė anemija;</w:t>
      </w:r>
    </w:p>
    <w:p w14:paraId="139D5490" w14:textId="77777777" w:rsidR="00A0704E" w:rsidRPr="00A0704E" w:rsidRDefault="00A0704E" w:rsidP="00BB3C7B">
      <w:pPr>
        <w:numPr>
          <w:ilvl w:val="0"/>
          <w:numId w:val="12"/>
        </w:numPr>
        <w:tabs>
          <w:tab w:val="clear" w:pos="1134"/>
          <w:tab w:val="num"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hemolizinė anemija.</w:t>
      </w:r>
    </w:p>
    <w:p w14:paraId="15C1CBCB" w14:textId="77777777" w:rsidR="00A0704E" w:rsidRPr="00A0704E" w:rsidRDefault="00A0704E" w:rsidP="00A0704E">
      <w:pPr>
        <w:tabs>
          <w:tab w:val="left" w:pos="1530"/>
          <w:tab w:val="left" w:pos="2925"/>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Dažnis nežinomas:</w:t>
      </w:r>
    </w:p>
    <w:p w14:paraId="46B3D60E" w14:textId="77777777" w:rsidR="00A0704E" w:rsidRPr="00A0704E" w:rsidRDefault="00A0704E" w:rsidP="00A0704E">
      <w:pPr>
        <w:numPr>
          <w:ilvl w:val="0"/>
          <w:numId w:val="12"/>
        </w:numPr>
        <w:tabs>
          <w:tab w:val="num" w:pos="0"/>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neutropenija;</w:t>
      </w:r>
    </w:p>
    <w:p w14:paraId="7C27B079" w14:textId="77777777" w:rsidR="00A0704E" w:rsidRPr="00A0704E" w:rsidRDefault="00A0704E" w:rsidP="00A0704E">
      <w:pPr>
        <w:numPr>
          <w:ilvl w:val="0"/>
          <w:numId w:val="12"/>
        </w:numPr>
        <w:tabs>
          <w:tab w:val="num" w:pos="0"/>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agranulocitozė.</w:t>
      </w:r>
    </w:p>
    <w:p w14:paraId="19AA068C"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AC9F49D"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noProof/>
        </w:rPr>
        <w:t>Širdies sutrikimai</w:t>
      </w:r>
    </w:p>
    <w:p w14:paraId="20B9F70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Dažni: bradikardija, dažniausiai vidutinio sunkumo ir nuo dozės priklausoma.</w:t>
      </w:r>
    </w:p>
    <w:p w14:paraId="19460EFA"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Nedažni: </w:t>
      </w:r>
    </w:p>
    <w:p w14:paraId="2FB93AFA" w14:textId="77777777" w:rsidR="00A0704E" w:rsidRPr="00A0704E" w:rsidRDefault="00A0704E" w:rsidP="00BB3C7B">
      <w:pPr>
        <w:numPr>
          <w:ilvl w:val="0"/>
          <w:numId w:val="13"/>
        </w:numPr>
        <w:tabs>
          <w:tab w:val="clear" w:pos="1134"/>
          <w:tab w:val="num"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 xml:space="preserve">aritmija arba jos pasunkėjimas, </w:t>
      </w:r>
      <w:bookmarkStart w:id="33" w:name="OLE_LINK7"/>
      <w:r w:rsidRPr="00A0704E">
        <w:rPr>
          <w:rFonts w:ascii="Times New Roman" w:eastAsia="Times New Roman" w:hAnsi="Times New Roman" w:cs="Times New Roman"/>
        </w:rPr>
        <w:t xml:space="preserve">kartais sąlygojanti širdies sustojimą </w:t>
      </w:r>
      <w:bookmarkEnd w:id="33"/>
      <w:r w:rsidRPr="00A0704E">
        <w:rPr>
          <w:rFonts w:ascii="Times New Roman" w:eastAsia="Times New Roman" w:hAnsi="Times New Roman" w:cs="Times New Roman"/>
        </w:rPr>
        <w:t>(žr. 4.4 ir 4.5 skyrius);</w:t>
      </w:r>
    </w:p>
    <w:p w14:paraId="70185E76" w14:textId="77777777" w:rsidR="00A0704E" w:rsidRPr="00A0704E" w:rsidRDefault="00A0704E" w:rsidP="00BB3C7B">
      <w:pPr>
        <w:numPr>
          <w:ilvl w:val="0"/>
          <w:numId w:val="13"/>
        </w:numPr>
        <w:tabs>
          <w:tab w:val="clear" w:pos="1134"/>
          <w:tab w:val="num"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laidumo sutrikimas (sinoatrialinė blokada, įvairaus laipsnio AV blokada) (žr. 4.4 skyrių).</w:t>
      </w:r>
    </w:p>
    <w:p w14:paraId="71ECC64E"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Labai reti: sunki bradikardija ar sinusinio mazgo veiklos nutrūkimas pacientams, kuriems yra sinusinio mazgo funkcijos sutrikimas ir (arba) kurie yra senyvi.</w:t>
      </w:r>
    </w:p>
    <w:p w14:paraId="23809ED7"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Dažnis nežinomas: paroksizminė polimorfinė skilvelinė tachikardija</w:t>
      </w:r>
      <w:r w:rsidRPr="00A0704E">
        <w:rPr>
          <w:rFonts w:ascii="Times New Roman" w:eastAsia="Times New Roman" w:hAnsi="Times New Roman" w:cs="Times New Roman"/>
          <w:i/>
        </w:rPr>
        <w:t xml:space="preserve"> (torsade de pointes)</w:t>
      </w:r>
      <w:r w:rsidRPr="00A0704E">
        <w:rPr>
          <w:rFonts w:ascii="Times New Roman" w:eastAsia="Times New Roman" w:hAnsi="Times New Roman" w:cs="Times New Roman"/>
        </w:rPr>
        <w:t xml:space="preserve"> (žr. 4.4 ir 4.5 skyrius).</w:t>
      </w:r>
    </w:p>
    <w:p w14:paraId="185A655D"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EEF70A8"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i/>
          <w:noProof/>
        </w:rPr>
        <w:t>Endokrininiai sutrikimai</w:t>
      </w:r>
      <w:r w:rsidRPr="00A0704E">
        <w:rPr>
          <w:rFonts w:ascii="Times New Roman" w:eastAsia="Times New Roman" w:hAnsi="Times New Roman" w:cs="Times New Roman"/>
          <w:b/>
        </w:rPr>
        <w:t xml:space="preserve"> </w:t>
      </w:r>
      <w:r w:rsidRPr="00A0704E">
        <w:rPr>
          <w:rFonts w:ascii="Times New Roman" w:eastAsia="Times New Roman" w:hAnsi="Times New Roman" w:cs="Times New Roman"/>
        </w:rPr>
        <w:t>( žr. 4.4 skyrių)</w:t>
      </w:r>
    </w:p>
    <w:p w14:paraId="22C1CF0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Dažni:</w:t>
      </w:r>
    </w:p>
    <w:p w14:paraId="002EF10B" w14:textId="77777777" w:rsidR="00A0704E" w:rsidRPr="00A0704E" w:rsidRDefault="00A0704E" w:rsidP="00BB3C7B">
      <w:pPr>
        <w:numPr>
          <w:ilvl w:val="0"/>
          <w:numId w:val="14"/>
        </w:numPr>
        <w:tabs>
          <w:tab w:val="clear" w:pos="1134"/>
          <w:tab w:val="num"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hipotirozė;</w:t>
      </w:r>
    </w:p>
    <w:p w14:paraId="23E1F5C2" w14:textId="77777777" w:rsidR="00A0704E" w:rsidRPr="00A0704E" w:rsidRDefault="00A0704E" w:rsidP="00BB3C7B">
      <w:pPr>
        <w:numPr>
          <w:ilvl w:val="0"/>
          <w:numId w:val="14"/>
        </w:numPr>
        <w:tabs>
          <w:tab w:val="clear" w:pos="1134"/>
          <w:tab w:val="num" w:pos="567"/>
        </w:tabs>
        <w:spacing w:after="0" w:line="240" w:lineRule="auto"/>
        <w:ind w:left="567"/>
        <w:rPr>
          <w:rFonts w:ascii="Times New Roman" w:eastAsia="Times New Roman" w:hAnsi="Times New Roman" w:cs="Times New Roman"/>
          <w:b/>
        </w:rPr>
      </w:pPr>
      <w:r w:rsidRPr="00A0704E">
        <w:rPr>
          <w:rFonts w:ascii="Times New Roman" w:eastAsia="Times New Roman" w:hAnsi="Times New Roman" w:cs="Times New Roman"/>
        </w:rPr>
        <w:t>hipertirozė (kartais mirtina).</w:t>
      </w:r>
    </w:p>
    <w:p w14:paraId="2E9DE740" w14:textId="77777777" w:rsidR="00A0704E" w:rsidRPr="00A0704E" w:rsidRDefault="00A0704E" w:rsidP="00A0704E">
      <w:pPr>
        <w:tabs>
          <w:tab w:val="left" w:pos="567"/>
        </w:tabs>
        <w:spacing w:after="0" w:line="240" w:lineRule="auto"/>
        <w:rPr>
          <w:rFonts w:ascii="Times New Roman" w:eastAsia="Times New Roman" w:hAnsi="Times New Roman" w:cs="Times New Roman"/>
          <w:b/>
        </w:rPr>
      </w:pPr>
      <w:r w:rsidRPr="00A0704E">
        <w:rPr>
          <w:rFonts w:ascii="Times New Roman" w:eastAsia="Times New Roman" w:hAnsi="Times New Roman" w:cs="Times New Roman"/>
        </w:rPr>
        <w:t>Labai reti: sutrikusios antidiurezinio hormono sekrecijos sindromas (SAHSS).</w:t>
      </w:r>
    </w:p>
    <w:p w14:paraId="7ABD46F5" w14:textId="77777777" w:rsidR="00A0704E" w:rsidRPr="00A0704E" w:rsidRDefault="00A0704E" w:rsidP="00A0704E">
      <w:pPr>
        <w:tabs>
          <w:tab w:val="left" w:pos="567"/>
        </w:tabs>
        <w:spacing w:after="0" w:line="240" w:lineRule="auto"/>
        <w:rPr>
          <w:rFonts w:ascii="Times New Roman" w:eastAsia="Times New Roman" w:hAnsi="Times New Roman" w:cs="Times New Roman"/>
          <w:b/>
        </w:rPr>
      </w:pPr>
    </w:p>
    <w:p w14:paraId="4A58147F"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Akių sutrikimai</w:t>
      </w:r>
    </w:p>
    <w:p w14:paraId="301730C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Labai dažni: smulkios nuosėdos ragenoje (paprastai už vyzdžio). Akinamoje šviesoje gali matytis spalvoti ratilai ar matomas vaizdas gali tapti neryškus. Smulkias nuosėdas ragenoje sudaro lipidų kompleksai, kurie gydymą nutraukus išnyksta.</w:t>
      </w:r>
    </w:p>
    <w:p w14:paraId="04B6A6E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Labai reti: regos nervo neuropatija ar regos nervo neuritas, galintys progresuoti iki aklumo (žr. 4.4 skyrių).</w:t>
      </w:r>
    </w:p>
    <w:p w14:paraId="6E2C806A"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C4766AF"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noProof/>
        </w:rPr>
        <w:t>Virškinimo trakto sutrikimai</w:t>
      </w:r>
    </w:p>
    <w:p w14:paraId="1A3B0AF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Labai dažni: lengvi virškinimo sutrikimai (pykinimas, vėmimas, skonio jutimo sutrikimas), paprastai atsirandantys pradėjus vartoti įsotinamąją dozę ir praeinantys ją sumažinus.</w:t>
      </w:r>
    </w:p>
    <w:p w14:paraId="661F57FA"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Dažni: vidurių užkietėjimas.</w:t>
      </w:r>
    </w:p>
    <w:p w14:paraId="5B7EF3E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Nedažni: burnos džiūvimas.</w:t>
      </w:r>
    </w:p>
    <w:p w14:paraId="305FB5D8" w14:textId="77777777" w:rsidR="00A0704E" w:rsidRPr="00A0704E" w:rsidRDefault="00A0704E" w:rsidP="00A0704E">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Dažnis nežinomas: pankreatitas (ūminis).</w:t>
      </w:r>
    </w:p>
    <w:p w14:paraId="62CFD98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AD95434"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noProof/>
        </w:rPr>
        <w:t>Kepenų, tulžies pūslės ir latakų sutrikimai</w:t>
      </w:r>
      <w:r w:rsidRPr="00A0704E">
        <w:rPr>
          <w:rFonts w:ascii="Times New Roman" w:eastAsia="Times New Roman" w:hAnsi="Times New Roman" w:cs="Times New Roman"/>
          <w:i/>
        </w:rPr>
        <w:t xml:space="preserve"> (žr. 4.4 skyrių)</w:t>
      </w:r>
    </w:p>
    <w:p w14:paraId="5E803D4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Labai dažni: izoliuotas transaminazių aktyvumo serume padidėjimas, paprastai vidutinio dydžio (normali koncentracija viršijama 1,5 </w:t>
      </w:r>
      <w:r w:rsidRPr="00A0704E">
        <w:rPr>
          <w:rFonts w:ascii="Times New Roman" w:eastAsia="Times New Roman" w:hAnsi="Times New Roman" w:cs="Times New Roman"/>
        </w:rPr>
        <w:noBreakHyphen/>
        <w:t> 3 kartus), pasireiškiantis gydymo pradžioje. Aktyvumas gali sunormalėti sumažinus dozę ar net dozavimo nekeičiant.</w:t>
      </w:r>
    </w:p>
    <w:p w14:paraId="78BAFC2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Dažni: ūminis kepenų funkcijos sutrikimas, labai padidėjus transaminazių aktyvumui serume ir (arba) pasireiškiant geltai, įskaitant kepenų funkcijos nepakankamumą, kuris kartais būna mirtinas.</w:t>
      </w:r>
    </w:p>
    <w:p w14:paraId="3868ECBE"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Labai reti: lėtinis kepenų funkcijos sutrikimas (pseudoalkoholinis hepatitas, cirozė), kartais mirtinas.</w:t>
      </w:r>
    </w:p>
    <w:p w14:paraId="2C4EF6E3"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C622F57"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Imuninės sistemos sutrikimai</w:t>
      </w:r>
    </w:p>
    <w:p w14:paraId="0DBF046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Dažnis nežinomas:</w:t>
      </w:r>
    </w:p>
    <w:p w14:paraId="7417ED1A" w14:textId="77777777" w:rsidR="00A0704E" w:rsidRPr="00A0704E" w:rsidRDefault="00A0704E" w:rsidP="00A0704E">
      <w:pPr>
        <w:numPr>
          <w:ilvl w:val="0"/>
          <w:numId w:val="14"/>
        </w:numPr>
        <w:tabs>
          <w:tab w:val="left" w:pos="567"/>
        </w:tabs>
        <w:spacing w:after="0" w:line="240" w:lineRule="auto"/>
        <w:ind w:hanging="1134"/>
        <w:contextualSpacing/>
        <w:rPr>
          <w:rFonts w:ascii="Times New Roman" w:eastAsia="Times New Roman" w:hAnsi="Times New Roman" w:cs="Times New Roman"/>
        </w:rPr>
      </w:pPr>
      <w:r w:rsidRPr="00A0704E">
        <w:rPr>
          <w:rFonts w:ascii="Times New Roman" w:eastAsia="Times New Roman" w:hAnsi="Times New Roman" w:cs="Times New Roman"/>
        </w:rPr>
        <w:t>angioneurozinė edema (Kvinkės edema).</w:t>
      </w:r>
    </w:p>
    <w:p w14:paraId="54F005EA" w14:textId="77777777" w:rsidR="00A0704E" w:rsidRPr="00A0704E" w:rsidRDefault="00A0704E" w:rsidP="00BB3C7B">
      <w:pPr>
        <w:numPr>
          <w:ilvl w:val="0"/>
          <w:numId w:val="14"/>
        </w:numPr>
        <w:tabs>
          <w:tab w:val="clear" w:pos="1134"/>
          <w:tab w:val="num"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anafilaksinės reakcijos, anafilaksinis šokas.</w:t>
      </w:r>
    </w:p>
    <w:p w14:paraId="171FCB6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9CC2A9B"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Tyrimai</w:t>
      </w:r>
    </w:p>
    <w:p w14:paraId="688B488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Labai reti: inkstų funkcijos pablogėjimas, pasireiškiantis kreatinino koncentracijos serume padidėjimu.</w:t>
      </w:r>
    </w:p>
    <w:p w14:paraId="4269990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81FF69B" w14:textId="77777777" w:rsidR="00A0704E" w:rsidRPr="00A0704E" w:rsidRDefault="00A0704E" w:rsidP="00A0704E">
      <w:pPr>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Metabolizmo ir mitybos sutrikimai</w:t>
      </w:r>
    </w:p>
    <w:p w14:paraId="2D449571" w14:textId="77777777" w:rsidR="00A0704E" w:rsidRPr="00A0704E" w:rsidRDefault="00A0704E" w:rsidP="00A0704E">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Dažnis nežinomas: apetito sumažėjimas.</w:t>
      </w:r>
    </w:p>
    <w:p w14:paraId="3B25D091" w14:textId="77777777" w:rsidR="00A0704E" w:rsidRPr="00A0704E" w:rsidRDefault="00A0704E" w:rsidP="00A0704E">
      <w:pPr>
        <w:spacing w:after="0" w:line="240" w:lineRule="auto"/>
        <w:rPr>
          <w:rFonts w:ascii="Times New Roman" w:eastAsia="Times New Roman" w:hAnsi="Times New Roman" w:cs="Times New Roman"/>
        </w:rPr>
      </w:pPr>
    </w:p>
    <w:p w14:paraId="34BF0D37" w14:textId="77777777" w:rsidR="00A0704E" w:rsidRPr="00A0704E" w:rsidRDefault="00A0704E" w:rsidP="00A0704E">
      <w:pPr>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Skeleto, raumenų ir jungiamojo audinio sutrikimai</w:t>
      </w:r>
    </w:p>
    <w:p w14:paraId="206AB5D9" w14:textId="77777777" w:rsidR="00A0704E" w:rsidRPr="00A0704E" w:rsidRDefault="00A0704E" w:rsidP="00A0704E">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Dažnis nežinomas: į vilkligę panašus sindromas.</w:t>
      </w:r>
    </w:p>
    <w:p w14:paraId="38CF0885"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986A31D"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bCs/>
          <w:i/>
          <w:iCs/>
        </w:rPr>
      </w:pPr>
      <w:r w:rsidRPr="00A0704E">
        <w:rPr>
          <w:rFonts w:ascii="Times New Roman" w:eastAsia="Times New Roman" w:hAnsi="Times New Roman" w:cs="Times New Roman"/>
          <w:bCs/>
          <w:i/>
          <w:iCs/>
        </w:rPr>
        <w:t>Nervų sistemos sutrikimai</w:t>
      </w:r>
    </w:p>
    <w:p w14:paraId="3D2C96B5"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Dažni:</w:t>
      </w:r>
    </w:p>
    <w:p w14:paraId="729E6B4D" w14:textId="77777777" w:rsidR="00A0704E" w:rsidRPr="00A0704E" w:rsidRDefault="00A0704E" w:rsidP="00BB3C7B">
      <w:pPr>
        <w:numPr>
          <w:ilvl w:val="0"/>
          <w:numId w:val="15"/>
        </w:numPr>
        <w:tabs>
          <w:tab w:val="clear" w:pos="1134"/>
          <w:tab w:val="num" w:pos="567"/>
        </w:tabs>
        <w:autoSpaceDE w:val="0"/>
        <w:autoSpaceDN w:val="0"/>
        <w:adjustRightInd w:val="0"/>
        <w:spacing w:after="0" w:line="240" w:lineRule="auto"/>
        <w:ind w:left="567"/>
        <w:rPr>
          <w:rFonts w:ascii="Times New Roman" w:eastAsia="Times New Roman" w:hAnsi="Times New Roman" w:cs="Times New Roman"/>
          <w:bCs/>
          <w:iCs/>
        </w:rPr>
      </w:pPr>
      <w:r w:rsidRPr="00A0704E">
        <w:rPr>
          <w:rFonts w:ascii="Times New Roman" w:eastAsia="Times New Roman" w:hAnsi="Times New Roman" w:cs="Times New Roman"/>
          <w:bCs/>
          <w:iCs/>
        </w:rPr>
        <w:t>tremoras ar kiti ekstrapiramidiniai simptomai;</w:t>
      </w:r>
    </w:p>
    <w:p w14:paraId="4287691A" w14:textId="77777777" w:rsidR="00A0704E" w:rsidRPr="00A0704E" w:rsidRDefault="00A0704E" w:rsidP="00BB3C7B">
      <w:pPr>
        <w:numPr>
          <w:ilvl w:val="0"/>
          <w:numId w:val="15"/>
        </w:numPr>
        <w:tabs>
          <w:tab w:val="clear" w:pos="1134"/>
          <w:tab w:val="num" w:pos="567"/>
        </w:tabs>
        <w:autoSpaceDE w:val="0"/>
        <w:autoSpaceDN w:val="0"/>
        <w:adjustRightInd w:val="0"/>
        <w:spacing w:after="0" w:line="240" w:lineRule="auto"/>
        <w:ind w:left="567"/>
        <w:rPr>
          <w:rFonts w:ascii="Times New Roman" w:eastAsia="Times New Roman" w:hAnsi="Times New Roman" w:cs="Times New Roman"/>
          <w:bCs/>
          <w:iCs/>
        </w:rPr>
      </w:pPr>
      <w:r w:rsidRPr="00A0704E">
        <w:rPr>
          <w:rFonts w:ascii="Times New Roman" w:eastAsia="Times New Roman" w:hAnsi="Times New Roman" w:cs="Times New Roman"/>
          <w:bCs/>
          <w:iCs/>
        </w:rPr>
        <w:t>košmariški sapnai;</w:t>
      </w:r>
    </w:p>
    <w:p w14:paraId="5FD7D54C" w14:textId="77777777" w:rsidR="00A0704E" w:rsidRPr="00A0704E" w:rsidRDefault="00A0704E" w:rsidP="00BB3C7B">
      <w:pPr>
        <w:numPr>
          <w:ilvl w:val="0"/>
          <w:numId w:val="15"/>
        </w:numPr>
        <w:tabs>
          <w:tab w:val="clear" w:pos="1134"/>
          <w:tab w:val="num" w:pos="567"/>
        </w:tabs>
        <w:autoSpaceDE w:val="0"/>
        <w:autoSpaceDN w:val="0"/>
        <w:adjustRightInd w:val="0"/>
        <w:spacing w:after="0" w:line="240" w:lineRule="auto"/>
        <w:ind w:left="567"/>
        <w:rPr>
          <w:rFonts w:ascii="Times New Roman" w:eastAsia="Times New Roman" w:hAnsi="Times New Roman" w:cs="Times New Roman"/>
          <w:bCs/>
          <w:iCs/>
        </w:rPr>
      </w:pPr>
      <w:r w:rsidRPr="00A0704E">
        <w:rPr>
          <w:rFonts w:ascii="Times New Roman" w:eastAsia="Times New Roman" w:hAnsi="Times New Roman" w:cs="Times New Roman"/>
          <w:bCs/>
          <w:iCs/>
        </w:rPr>
        <w:t>miego sutrikimai.</w:t>
      </w:r>
    </w:p>
    <w:p w14:paraId="761EB00E" w14:textId="77777777" w:rsidR="00A0704E" w:rsidRPr="00A0704E" w:rsidRDefault="00A0704E" w:rsidP="007A18FA">
      <w:pPr>
        <w:tabs>
          <w:tab w:val="num" w:pos="567"/>
        </w:tabs>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Nedažni: periferinė sensorinė, motorinė ar sensomotorinė neuropatija ir (arba) miopatija, paprastai praeinanti nutraukus vaistinio preparato vartojimą (žr. 4.4 skyrių).</w:t>
      </w:r>
    </w:p>
    <w:p w14:paraId="1254F510" w14:textId="77777777" w:rsidR="00A0704E" w:rsidRPr="00A0704E" w:rsidRDefault="00A0704E" w:rsidP="00BB3C7B">
      <w:pPr>
        <w:tabs>
          <w:tab w:val="num" w:pos="567"/>
        </w:tabs>
        <w:autoSpaceDE w:val="0"/>
        <w:autoSpaceDN w:val="0"/>
        <w:adjustRightInd w:val="0"/>
        <w:spacing w:after="0" w:line="240" w:lineRule="auto"/>
        <w:ind w:left="567" w:hanging="567"/>
        <w:rPr>
          <w:rFonts w:ascii="Times New Roman" w:eastAsia="Times New Roman" w:hAnsi="Times New Roman" w:cs="Times New Roman"/>
          <w:bCs/>
          <w:iCs/>
        </w:rPr>
      </w:pPr>
      <w:r w:rsidRPr="00A0704E">
        <w:rPr>
          <w:rFonts w:ascii="Times New Roman" w:eastAsia="Times New Roman" w:hAnsi="Times New Roman" w:cs="Times New Roman"/>
          <w:bCs/>
          <w:iCs/>
        </w:rPr>
        <w:t>Labai reti:</w:t>
      </w:r>
    </w:p>
    <w:p w14:paraId="604A108C" w14:textId="77777777" w:rsidR="00A0704E" w:rsidRPr="00A0704E" w:rsidRDefault="00A0704E" w:rsidP="00BB3C7B">
      <w:pPr>
        <w:numPr>
          <w:ilvl w:val="0"/>
          <w:numId w:val="16"/>
        </w:numPr>
        <w:tabs>
          <w:tab w:val="clear" w:pos="1134"/>
          <w:tab w:val="num" w:pos="567"/>
        </w:tabs>
        <w:autoSpaceDE w:val="0"/>
        <w:autoSpaceDN w:val="0"/>
        <w:adjustRightInd w:val="0"/>
        <w:spacing w:after="0" w:line="240" w:lineRule="auto"/>
        <w:ind w:left="567"/>
        <w:rPr>
          <w:rFonts w:ascii="Times New Roman" w:eastAsia="Times New Roman" w:hAnsi="Times New Roman" w:cs="Times New Roman"/>
          <w:bCs/>
          <w:iCs/>
        </w:rPr>
      </w:pPr>
      <w:r w:rsidRPr="00A0704E">
        <w:rPr>
          <w:rFonts w:ascii="Times New Roman" w:eastAsia="Times New Roman" w:hAnsi="Times New Roman" w:cs="Times New Roman"/>
          <w:bCs/>
          <w:iCs/>
        </w:rPr>
        <w:t>smegenėlinė ataksija;</w:t>
      </w:r>
    </w:p>
    <w:p w14:paraId="1469AB5F" w14:textId="77777777" w:rsidR="00A0704E" w:rsidRPr="00A0704E" w:rsidRDefault="00A0704E" w:rsidP="00BB3C7B">
      <w:pPr>
        <w:numPr>
          <w:ilvl w:val="0"/>
          <w:numId w:val="16"/>
        </w:numPr>
        <w:tabs>
          <w:tab w:val="clear" w:pos="1134"/>
          <w:tab w:val="num" w:pos="567"/>
        </w:tabs>
        <w:autoSpaceDE w:val="0"/>
        <w:autoSpaceDN w:val="0"/>
        <w:adjustRightInd w:val="0"/>
        <w:spacing w:after="0" w:line="240" w:lineRule="auto"/>
        <w:ind w:left="567"/>
        <w:rPr>
          <w:rFonts w:ascii="Times New Roman" w:eastAsia="Times New Roman" w:hAnsi="Times New Roman" w:cs="Times New Roman"/>
          <w:bCs/>
          <w:iCs/>
        </w:rPr>
      </w:pPr>
      <w:r w:rsidRPr="00A0704E">
        <w:rPr>
          <w:rFonts w:ascii="Times New Roman" w:eastAsia="Times New Roman" w:hAnsi="Times New Roman" w:cs="Times New Roman"/>
          <w:bCs/>
          <w:iCs/>
        </w:rPr>
        <w:t>gerybinė intrakranijinė hipertenzija;</w:t>
      </w:r>
    </w:p>
    <w:p w14:paraId="34E00D31" w14:textId="77777777" w:rsidR="00A0704E" w:rsidRPr="00A0704E" w:rsidRDefault="00A0704E" w:rsidP="00BB3C7B">
      <w:pPr>
        <w:numPr>
          <w:ilvl w:val="0"/>
          <w:numId w:val="16"/>
        </w:numPr>
        <w:tabs>
          <w:tab w:val="clear" w:pos="1134"/>
          <w:tab w:val="num" w:pos="567"/>
        </w:tabs>
        <w:autoSpaceDE w:val="0"/>
        <w:autoSpaceDN w:val="0"/>
        <w:adjustRightInd w:val="0"/>
        <w:spacing w:after="0" w:line="240" w:lineRule="auto"/>
        <w:ind w:left="567"/>
        <w:rPr>
          <w:rFonts w:ascii="Times New Roman" w:eastAsia="Times New Roman" w:hAnsi="Times New Roman" w:cs="Times New Roman"/>
          <w:bCs/>
          <w:iCs/>
        </w:rPr>
      </w:pPr>
      <w:r w:rsidRPr="00A0704E">
        <w:rPr>
          <w:rFonts w:ascii="Times New Roman" w:eastAsia="Times New Roman" w:hAnsi="Times New Roman" w:cs="Times New Roman"/>
          <w:bCs/>
          <w:iCs/>
        </w:rPr>
        <w:t>galvos skausmas.</w:t>
      </w:r>
    </w:p>
    <w:p w14:paraId="1266D4B0" w14:textId="77777777" w:rsidR="00A0704E" w:rsidRPr="00A0704E" w:rsidRDefault="00A0704E" w:rsidP="00BB3C7B">
      <w:pPr>
        <w:tabs>
          <w:tab w:val="num" w:pos="567"/>
        </w:tabs>
        <w:spacing w:after="0" w:line="240" w:lineRule="auto"/>
        <w:ind w:left="567" w:hanging="567"/>
        <w:rPr>
          <w:rFonts w:ascii="Times New Roman" w:eastAsia="Times New Roman" w:hAnsi="Times New Roman" w:cs="Times New Roman"/>
        </w:rPr>
      </w:pPr>
      <w:r w:rsidRPr="00A0704E">
        <w:rPr>
          <w:rFonts w:ascii="Times New Roman" w:eastAsia="Times New Roman" w:hAnsi="Times New Roman" w:cs="Times New Roman"/>
        </w:rPr>
        <w:t xml:space="preserve">Dažnis nežinomas: </w:t>
      </w:r>
    </w:p>
    <w:p w14:paraId="0DFA2D25" w14:textId="77777777" w:rsidR="00A0704E" w:rsidRPr="00A0704E" w:rsidRDefault="00A0704E" w:rsidP="00BB3C7B">
      <w:pPr>
        <w:numPr>
          <w:ilvl w:val="0"/>
          <w:numId w:val="15"/>
        </w:numPr>
        <w:tabs>
          <w:tab w:val="clear" w:pos="1134"/>
          <w:tab w:val="num" w:pos="567"/>
        </w:tabs>
        <w:autoSpaceDE w:val="0"/>
        <w:autoSpaceDN w:val="0"/>
        <w:adjustRightInd w:val="0"/>
        <w:spacing w:after="0" w:line="240" w:lineRule="auto"/>
        <w:ind w:left="567"/>
        <w:rPr>
          <w:rFonts w:ascii="Times New Roman" w:eastAsia="Times New Roman" w:hAnsi="Times New Roman" w:cs="Times New Roman"/>
          <w:bCs/>
          <w:iCs/>
        </w:rPr>
      </w:pPr>
      <w:r w:rsidRPr="00A0704E">
        <w:rPr>
          <w:rFonts w:ascii="Times New Roman" w:eastAsia="Times New Roman" w:hAnsi="Times New Roman" w:cs="Times New Roman"/>
          <w:bCs/>
          <w:iCs/>
        </w:rPr>
        <w:t>parkinsonizmas;</w:t>
      </w:r>
    </w:p>
    <w:p w14:paraId="51A2A9AD" w14:textId="77777777" w:rsidR="00A0704E" w:rsidRPr="00A0704E" w:rsidRDefault="00A0704E" w:rsidP="00BB3C7B">
      <w:pPr>
        <w:numPr>
          <w:ilvl w:val="0"/>
          <w:numId w:val="15"/>
        </w:numPr>
        <w:tabs>
          <w:tab w:val="clear" w:pos="1134"/>
          <w:tab w:val="num" w:pos="567"/>
        </w:tabs>
        <w:autoSpaceDE w:val="0"/>
        <w:autoSpaceDN w:val="0"/>
        <w:adjustRightInd w:val="0"/>
        <w:spacing w:after="0" w:line="240" w:lineRule="auto"/>
        <w:ind w:left="567"/>
        <w:rPr>
          <w:rFonts w:ascii="Times New Roman" w:eastAsia="Times New Roman" w:hAnsi="Times New Roman" w:cs="Times New Roman"/>
          <w:bCs/>
          <w:iCs/>
        </w:rPr>
      </w:pPr>
      <w:r w:rsidRPr="00A0704E">
        <w:rPr>
          <w:rFonts w:ascii="Times New Roman" w:eastAsia="Times New Roman" w:hAnsi="Times New Roman" w:cs="Times New Roman"/>
          <w:bCs/>
          <w:iCs/>
        </w:rPr>
        <w:t>parosmija.</w:t>
      </w:r>
    </w:p>
    <w:p w14:paraId="68542564" w14:textId="77777777" w:rsidR="00A0704E" w:rsidRPr="00A0704E" w:rsidRDefault="00A0704E" w:rsidP="00BB3C7B">
      <w:pPr>
        <w:tabs>
          <w:tab w:val="num" w:pos="567"/>
        </w:tabs>
        <w:autoSpaceDE w:val="0"/>
        <w:autoSpaceDN w:val="0"/>
        <w:adjustRightInd w:val="0"/>
        <w:spacing w:after="0" w:line="240" w:lineRule="auto"/>
        <w:ind w:left="567" w:hanging="567"/>
        <w:rPr>
          <w:rFonts w:ascii="Times New Roman" w:eastAsia="Times New Roman" w:hAnsi="Times New Roman" w:cs="Times New Roman"/>
          <w:bCs/>
          <w:iCs/>
        </w:rPr>
      </w:pPr>
    </w:p>
    <w:p w14:paraId="7F2B5B78" w14:textId="77777777" w:rsidR="00A0704E" w:rsidRPr="00A0704E" w:rsidRDefault="00A0704E" w:rsidP="00BB3C7B">
      <w:pPr>
        <w:tabs>
          <w:tab w:val="num" w:pos="567"/>
        </w:tabs>
        <w:spacing w:after="0" w:line="240" w:lineRule="auto"/>
        <w:ind w:left="567" w:hanging="567"/>
        <w:rPr>
          <w:rFonts w:ascii="Times New Roman" w:eastAsia="Times New Roman" w:hAnsi="Times New Roman" w:cs="Times New Roman"/>
          <w:i/>
        </w:rPr>
      </w:pPr>
      <w:r w:rsidRPr="00A0704E">
        <w:rPr>
          <w:rFonts w:ascii="Times New Roman" w:eastAsia="Times New Roman" w:hAnsi="Times New Roman" w:cs="Times New Roman"/>
          <w:i/>
        </w:rPr>
        <w:t>Psichikos sutrikimai</w:t>
      </w:r>
    </w:p>
    <w:p w14:paraId="1B187756" w14:textId="3943108F" w:rsidR="00D13077" w:rsidRDefault="00D13077" w:rsidP="00BB3C7B">
      <w:pPr>
        <w:tabs>
          <w:tab w:val="num" w:pos="567"/>
          <w:tab w:val="left" w:pos="1530"/>
          <w:tab w:val="left" w:pos="2925"/>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Dažni: l</w:t>
      </w:r>
      <w:r w:rsidRPr="00D13077">
        <w:rPr>
          <w:rFonts w:ascii="Times New Roman" w:eastAsia="Times New Roman" w:hAnsi="Times New Roman" w:cs="Times New Roman"/>
        </w:rPr>
        <w:t>ytinio potraukio sumažėjimas</w:t>
      </w:r>
      <w:r w:rsidR="000D5FB8">
        <w:rPr>
          <w:rFonts w:ascii="Times New Roman" w:eastAsia="Times New Roman" w:hAnsi="Times New Roman" w:cs="Times New Roman"/>
        </w:rPr>
        <w:t>.</w:t>
      </w:r>
    </w:p>
    <w:p w14:paraId="3D610B3F" w14:textId="7646F456" w:rsidR="00A0704E" w:rsidRPr="00A0704E" w:rsidRDefault="00A0704E" w:rsidP="00BB3C7B">
      <w:pPr>
        <w:tabs>
          <w:tab w:val="num" w:pos="567"/>
          <w:tab w:val="left" w:pos="1530"/>
          <w:tab w:val="left" w:pos="2925"/>
        </w:tabs>
        <w:spacing w:after="0" w:line="240" w:lineRule="auto"/>
        <w:ind w:left="567" w:hanging="567"/>
        <w:rPr>
          <w:rFonts w:ascii="Times New Roman" w:eastAsia="Times New Roman" w:hAnsi="Times New Roman" w:cs="Times New Roman"/>
        </w:rPr>
      </w:pPr>
      <w:r w:rsidRPr="00A0704E">
        <w:rPr>
          <w:rFonts w:ascii="Times New Roman" w:eastAsia="Times New Roman" w:hAnsi="Times New Roman" w:cs="Times New Roman"/>
        </w:rPr>
        <w:t>Dažnis nežinomas:</w:t>
      </w:r>
    </w:p>
    <w:p w14:paraId="4EF94514" w14:textId="77777777" w:rsidR="00A0704E" w:rsidRPr="00A0704E" w:rsidRDefault="00A0704E" w:rsidP="00BB3C7B">
      <w:pPr>
        <w:numPr>
          <w:ilvl w:val="0"/>
          <w:numId w:val="15"/>
        </w:numPr>
        <w:tabs>
          <w:tab w:val="clear" w:pos="1134"/>
          <w:tab w:val="num" w:pos="567"/>
        </w:tabs>
        <w:autoSpaceDE w:val="0"/>
        <w:autoSpaceDN w:val="0"/>
        <w:adjustRightInd w:val="0"/>
        <w:spacing w:after="0" w:line="240" w:lineRule="auto"/>
        <w:ind w:left="567"/>
        <w:rPr>
          <w:rFonts w:ascii="Times New Roman" w:eastAsia="Times New Roman" w:hAnsi="Times New Roman" w:cs="Times New Roman"/>
          <w:bCs/>
          <w:iCs/>
        </w:rPr>
      </w:pPr>
      <w:r w:rsidRPr="00A0704E">
        <w:rPr>
          <w:rFonts w:ascii="Times New Roman" w:eastAsia="Times New Roman" w:hAnsi="Times New Roman" w:cs="Times New Roman"/>
          <w:bCs/>
          <w:iCs/>
        </w:rPr>
        <w:t>delyras (įskaitant sumišimą);</w:t>
      </w:r>
    </w:p>
    <w:p w14:paraId="4BDBFE43" w14:textId="77777777" w:rsidR="00A0704E" w:rsidRPr="00A0704E" w:rsidRDefault="00A0704E" w:rsidP="00BB3C7B">
      <w:pPr>
        <w:numPr>
          <w:ilvl w:val="0"/>
          <w:numId w:val="15"/>
        </w:numPr>
        <w:tabs>
          <w:tab w:val="clear" w:pos="1134"/>
          <w:tab w:val="num" w:pos="567"/>
        </w:tabs>
        <w:autoSpaceDE w:val="0"/>
        <w:autoSpaceDN w:val="0"/>
        <w:adjustRightInd w:val="0"/>
        <w:spacing w:after="0" w:line="240" w:lineRule="auto"/>
        <w:ind w:left="567"/>
        <w:rPr>
          <w:rFonts w:ascii="Times New Roman" w:eastAsia="Times New Roman" w:hAnsi="Times New Roman" w:cs="Times New Roman"/>
          <w:bCs/>
          <w:iCs/>
        </w:rPr>
      </w:pPr>
      <w:r w:rsidRPr="00A0704E">
        <w:rPr>
          <w:rFonts w:ascii="Times New Roman" w:eastAsia="Times New Roman" w:hAnsi="Times New Roman" w:cs="Times New Roman"/>
          <w:bCs/>
          <w:iCs/>
        </w:rPr>
        <w:t>haliucinacijos.</w:t>
      </w:r>
    </w:p>
    <w:p w14:paraId="51B61CB1" w14:textId="77777777" w:rsidR="00A0704E" w:rsidRPr="00A0704E" w:rsidRDefault="00A0704E" w:rsidP="00BB3C7B">
      <w:pPr>
        <w:tabs>
          <w:tab w:val="num" w:pos="567"/>
        </w:tabs>
        <w:autoSpaceDE w:val="0"/>
        <w:autoSpaceDN w:val="0"/>
        <w:adjustRightInd w:val="0"/>
        <w:spacing w:after="0" w:line="240" w:lineRule="auto"/>
        <w:ind w:left="567" w:hanging="567"/>
        <w:rPr>
          <w:rFonts w:ascii="Times New Roman" w:eastAsia="Times New Roman" w:hAnsi="Times New Roman" w:cs="Times New Roman"/>
          <w:bCs/>
          <w:iCs/>
        </w:rPr>
      </w:pPr>
    </w:p>
    <w:p w14:paraId="52778FA9" w14:textId="77777777" w:rsidR="00A0704E" w:rsidRPr="00A0704E" w:rsidRDefault="00A0704E" w:rsidP="00BB3C7B">
      <w:pPr>
        <w:tabs>
          <w:tab w:val="num" w:pos="567"/>
        </w:tabs>
        <w:autoSpaceDE w:val="0"/>
        <w:autoSpaceDN w:val="0"/>
        <w:adjustRightInd w:val="0"/>
        <w:spacing w:after="0" w:line="240" w:lineRule="auto"/>
        <w:ind w:left="567" w:hanging="567"/>
        <w:rPr>
          <w:rFonts w:ascii="Times New Roman" w:eastAsia="Times New Roman" w:hAnsi="Times New Roman" w:cs="Times New Roman"/>
          <w:bCs/>
          <w:i/>
          <w:iCs/>
        </w:rPr>
      </w:pPr>
      <w:r w:rsidRPr="00A0704E">
        <w:rPr>
          <w:rFonts w:ascii="Times New Roman" w:eastAsia="Times New Roman" w:hAnsi="Times New Roman" w:cs="Times New Roman"/>
          <w:i/>
          <w:noProof/>
        </w:rPr>
        <w:t>Lytinės sistemos ir krūties sutrikimai</w:t>
      </w:r>
    </w:p>
    <w:p w14:paraId="4FCF2CAC" w14:textId="77777777" w:rsidR="00A0704E" w:rsidRPr="00A0704E" w:rsidRDefault="00A0704E" w:rsidP="00BB3C7B">
      <w:pPr>
        <w:tabs>
          <w:tab w:val="num" w:pos="567"/>
        </w:tabs>
        <w:autoSpaceDE w:val="0"/>
        <w:autoSpaceDN w:val="0"/>
        <w:adjustRightInd w:val="0"/>
        <w:spacing w:after="0" w:line="240" w:lineRule="auto"/>
        <w:ind w:left="567" w:hanging="567"/>
        <w:rPr>
          <w:rFonts w:ascii="Times New Roman" w:eastAsia="Times New Roman" w:hAnsi="Times New Roman" w:cs="Times New Roman"/>
          <w:bCs/>
          <w:iCs/>
        </w:rPr>
      </w:pPr>
      <w:r w:rsidRPr="00A0704E">
        <w:rPr>
          <w:rFonts w:ascii="Times New Roman" w:eastAsia="Times New Roman" w:hAnsi="Times New Roman" w:cs="Times New Roman"/>
          <w:bCs/>
          <w:iCs/>
        </w:rPr>
        <w:t>Labai reti:</w:t>
      </w:r>
    </w:p>
    <w:p w14:paraId="59F19A00" w14:textId="77777777" w:rsidR="00A0704E" w:rsidRPr="00A0704E" w:rsidRDefault="00A0704E" w:rsidP="00BB3C7B">
      <w:pPr>
        <w:numPr>
          <w:ilvl w:val="0"/>
          <w:numId w:val="17"/>
        </w:numPr>
        <w:tabs>
          <w:tab w:val="clear" w:pos="1134"/>
          <w:tab w:val="num" w:pos="567"/>
        </w:tabs>
        <w:autoSpaceDE w:val="0"/>
        <w:autoSpaceDN w:val="0"/>
        <w:adjustRightInd w:val="0"/>
        <w:spacing w:after="0" w:line="240" w:lineRule="auto"/>
        <w:ind w:left="567"/>
        <w:rPr>
          <w:rFonts w:ascii="Times New Roman" w:eastAsia="Times New Roman" w:hAnsi="Times New Roman" w:cs="Times New Roman"/>
          <w:bCs/>
          <w:iCs/>
        </w:rPr>
      </w:pPr>
      <w:r w:rsidRPr="00A0704E">
        <w:rPr>
          <w:rFonts w:ascii="Times New Roman" w:eastAsia="Times New Roman" w:hAnsi="Times New Roman" w:cs="Times New Roman"/>
          <w:bCs/>
          <w:iCs/>
        </w:rPr>
        <w:t>epididimitas;</w:t>
      </w:r>
    </w:p>
    <w:p w14:paraId="24ADD1D6" w14:textId="77777777" w:rsidR="00A0704E" w:rsidRPr="00A0704E" w:rsidRDefault="00A0704E" w:rsidP="00BB3C7B">
      <w:pPr>
        <w:numPr>
          <w:ilvl w:val="0"/>
          <w:numId w:val="17"/>
        </w:numPr>
        <w:tabs>
          <w:tab w:val="clear" w:pos="1134"/>
          <w:tab w:val="num" w:pos="567"/>
        </w:tabs>
        <w:autoSpaceDE w:val="0"/>
        <w:autoSpaceDN w:val="0"/>
        <w:adjustRightInd w:val="0"/>
        <w:spacing w:after="0" w:line="240" w:lineRule="auto"/>
        <w:ind w:left="567"/>
        <w:rPr>
          <w:rFonts w:ascii="Times New Roman" w:eastAsia="Times New Roman" w:hAnsi="Times New Roman" w:cs="Times New Roman"/>
          <w:bCs/>
          <w:iCs/>
        </w:rPr>
      </w:pPr>
      <w:r w:rsidRPr="00A0704E">
        <w:rPr>
          <w:rFonts w:ascii="Times New Roman" w:eastAsia="Times New Roman" w:hAnsi="Times New Roman" w:cs="Times New Roman"/>
          <w:bCs/>
          <w:iCs/>
        </w:rPr>
        <w:t>impotencija.</w:t>
      </w:r>
    </w:p>
    <w:p w14:paraId="30316AF0" w14:textId="77777777" w:rsidR="00A0704E" w:rsidRPr="00A0704E" w:rsidRDefault="00A0704E" w:rsidP="00BB3C7B">
      <w:pPr>
        <w:tabs>
          <w:tab w:val="num" w:pos="567"/>
        </w:tabs>
        <w:autoSpaceDE w:val="0"/>
        <w:autoSpaceDN w:val="0"/>
        <w:adjustRightInd w:val="0"/>
        <w:spacing w:after="0" w:line="240" w:lineRule="auto"/>
        <w:ind w:left="567" w:hanging="567"/>
        <w:rPr>
          <w:rFonts w:ascii="Times New Roman" w:eastAsia="Times New Roman" w:hAnsi="Times New Roman" w:cs="Times New Roman"/>
          <w:bCs/>
          <w:iCs/>
          <w:highlight w:val="yellow"/>
        </w:rPr>
      </w:pPr>
    </w:p>
    <w:p w14:paraId="72E03F05" w14:textId="77777777" w:rsidR="00A0704E" w:rsidRPr="00A0704E" w:rsidRDefault="00A0704E" w:rsidP="00BB3C7B">
      <w:pPr>
        <w:tabs>
          <w:tab w:val="num" w:pos="567"/>
        </w:tabs>
        <w:autoSpaceDE w:val="0"/>
        <w:autoSpaceDN w:val="0"/>
        <w:adjustRightInd w:val="0"/>
        <w:spacing w:after="0" w:line="240" w:lineRule="auto"/>
        <w:ind w:left="567" w:hanging="567"/>
        <w:rPr>
          <w:rFonts w:ascii="Times New Roman" w:eastAsia="Times New Roman" w:hAnsi="Times New Roman" w:cs="Times New Roman"/>
          <w:bCs/>
          <w:i/>
          <w:iCs/>
        </w:rPr>
      </w:pPr>
      <w:r w:rsidRPr="00A0704E">
        <w:rPr>
          <w:rFonts w:ascii="Times New Roman" w:eastAsia="Times New Roman" w:hAnsi="Times New Roman" w:cs="Times New Roman"/>
          <w:i/>
          <w:noProof/>
        </w:rPr>
        <w:t>Kvėpavimo sistemos, krūtinės ląstos ir tarpuplaučio sutrikimai</w:t>
      </w:r>
    </w:p>
    <w:p w14:paraId="1FDE87BF" w14:textId="77777777" w:rsidR="00A0704E" w:rsidRPr="00A0704E" w:rsidRDefault="00A0704E" w:rsidP="007A18FA">
      <w:pPr>
        <w:tabs>
          <w:tab w:val="num" w:pos="567"/>
        </w:tabs>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 xml:space="preserve">Dažni: toksinis poveikis plaučiams (alveolinis ar intersticinis pneumonitas arba fibrozė, pleuritas, </w:t>
      </w:r>
      <w:r w:rsidRPr="00A0704E">
        <w:rPr>
          <w:rFonts w:ascii="Times New Roman" w:eastAsia="Times New Roman" w:hAnsi="Times New Roman" w:cs="Times New Roman"/>
        </w:rPr>
        <w:t>obliteruojantis bronchiolitas ir organizacinė pneumonija</w:t>
      </w:r>
      <w:r w:rsidRPr="00A0704E">
        <w:rPr>
          <w:rFonts w:ascii="Times New Roman" w:eastAsia="Times New Roman" w:hAnsi="Times New Roman" w:cs="Times New Roman"/>
          <w:bCs/>
          <w:iCs/>
        </w:rPr>
        <w:t>), kartais mirtinas (žr. 4.4 skyrių).</w:t>
      </w:r>
    </w:p>
    <w:p w14:paraId="370A77A3" w14:textId="77777777" w:rsidR="00A0704E" w:rsidRPr="00A0704E" w:rsidRDefault="00A0704E" w:rsidP="00BB3C7B">
      <w:pPr>
        <w:tabs>
          <w:tab w:val="num" w:pos="567"/>
        </w:tabs>
        <w:autoSpaceDE w:val="0"/>
        <w:autoSpaceDN w:val="0"/>
        <w:adjustRightInd w:val="0"/>
        <w:spacing w:after="0" w:line="240" w:lineRule="auto"/>
        <w:ind w:left="567" w:hanging="567"/>
        <w:rPr>
          <w:rFonts w:ascii="Times New Roman" w:eastAsia="Times New Roman" w:hAnsi="Times New Roman" w:cs="Times New Roman"/>
          <w:bCs/>
          <w:iCs/>
        </w:rPr>
      </w:pPr>
      <w:r w:rsidRPr="00A0704E">
        <w:rPr>
          <w:rFonts w:ascii="Times New Roman" w:eastAsia="Times New Roman" w:hAnsi="Times New Roman" w:cs="Times New Roman"/>
          <w:bCs/>
          <w:iCs/>
        </w:rPr>
        <w:t>Labai reti:</w:t>
      </w:r>
    </w:p>
    <w:p w14:paraId="279C8C79" w14:textId="77777777" w:rsidR="00A0704E" w:rsidRPr="00A0704E" w:rsidRDefault="00A0704E" w:rsidP="00BB3C7B">
      <w:pPr>
        <w:numPr>
          <w:ilvl w:val="0"/>
          <w:numId w:val="18"/>
        </w:numPr>
        <w:tabs>
          <w:tab w:val="clear" w:pos="1134"/>
          <w:tab w:val="num" w:pos="567"/>
        </w:tabs>
        <w:autoSpaceDE w:val="0"/>
        <w:autoSpaceDN w:val="0"/>
        <w:adjustRightInd w:val="0"/>
        <w:spacing w:after="0" w:line="240" w:lineRule="auto"/>
        <w:ind w:left="567"/>
        <w:rPr>
          <w:rFonts w:ascii="Times New Roman" w:eastAsia="Times New Roman" w:hAnsi="Times New Roman" w:cs="Times New Roman"/>
          <w:bCs/>
          <w:iCs/>
        </w:rPr>
      </w:pPr>
      <w:r w:rsidRPr="00A0704E">
        <w:rPr>
          <w:rFonts w:ascii="Times New Roman" w:eastAsia="Times New Roman" w:hAnsi="Times New Roman" w:cs="Times New Roman"/>
          <w:bCs/>
          <w:iCs/>
        </w:rPr>
        <w:t>bronchų spazmas, ypač pacientams su kvėpavimo nepakankamumu ar astma sergantiems žmonėms;</w:t>
      </w:r>
    </w:p>
    <w:p w14:paraId="3BC5B2C8" w14:textId="77777777" w:rsidR="00A0704E" w:rsidRPr="00A0704E" w:rsidRDefault="00A0704E" w:rsidP="00BB3C7B">
      <w:pPr>
        <w:numPr>
          <w:ilvl w:val="0"/>
          <w:numId w:val="18"/>
        </w:numPr>
        <w:tabs>
          <w:tab w:val="clear" w:pos="1134"/>
          <w:tab w:val="num" w:pos="567"/>
        </w:tabs>
        <w:autoSpaceDE w:val="0"/>
        <w:autoSpaceDN w:val="0"/>
        <w:adjustRightInd w:val="0"/>
        <w:spacing w:after="0" w:line="240" w:lineRule="auto"/>
        <w:ind w:left="567"/>
        <w:rPr>
          <w:rFonts w:ascii="Times New Roman" w:eastAsia="Times New Roman" w:hAnsi="Times New Roman" w:cs="Times New Roman"/>
          <w:bCs/>
          <w:iCs/>
        </w:rPr>
      </w:pPr>
      <w:r w:rsidRPr="00A0704E">
        <w:rPr>
          <w:rFonts w:ascii="Times New Roman" w:eastAsia="Times New Roman" w:hAnsi="Times New Roman" w:cs="Times New Roman"/>
          <w:bCs/>
          <w:iCs/>
        </w:rPr>
        <w:t xml:space="preserve">ūminis </w:t>
      </w:r>
      <w:r w:rsidRPr="00A0704E">
        <w:rPr>
          <w:rFonts w:ascii="Times New Roman" w:eastAsia="Times New Roman" w:hAnsi="Times New Roman" w:cs="Times New Roman"/>
        </w:rPr>
        <w:t>respiracinio distreso sindromas</w:t>
      </w:r>
      <w:r w:rsidRPr="00A0704E">
        <w:rPr>
          <w:rFonts w:ascii="Times New Roman" w:eastAsia="Times New Roman" w:hAnsi="Times New Roman" w:cs="Times New Roman"/>
          <w:bCs/>
          <w:iCs/>
        </w:rPr>
        <w:t>, kartais mirtinas, paprastai pasireiškiantis iš karto po operacijos (galbūt dėl sąveikos su didelės koncentracijos deguonimi) (žr. 4.4 ir 4.5 skyrius).</w:t>
      </w:r>
    </w:p>
    <w:p w14:paraId="2A687EAB"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bCs/>
          <w:iCs/>
        </w:rPr>
      </w:pPr>
      <w:bookmarkStart w:id="34" w:name="OLE_LINK1"/>
      <w:r w:rsidRPr="00A0704E">
        <w:rPr>
          <w:rFonts w:ascii="Times New Roman" w:eastAsia="Times New Roman" w:hAnsi="Times New Roman" w:cs="Times New Roman"/>
          <w:bCs/>
          <w:iCs/>
        </w:rPr>
        <w:t>Dažnis nežinomas: kraujavimas iš plaučių.</w:t>
      </w:r>
      <w:bookmarkEnd w:id="34"/>
    </w:p>
    <w:p w14:paraId="05D04210"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bCs/>
          <w:iCs/>
        </w:rPr>
      </w:pPr>
    </w:p>
    <w:p w14:paraId="21830E6C"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bCs/>
          <w:i/>
          <w:iCs/>
        </w:rPr>
      </w:pPr>
      <w:r w:rsidRPr="00A0704E">
        <w:rPr>
          <w:rFonts w:ascii="Times New Roman" w:eastAsia="Times New Roman" w:hAnsi="Times New Roman" w:cs="Times New Roman"/>
          <w:bCs/>
          <w:i/>
          <w:iCs/>
        </w:rPr>
        <w:t>Odos ir poodinio audinio sutrikimai</w:t>
      </w:r>
    </w:p>
    <w:p w14:paraId="3BCCF7F6"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Labai dažni: padidėjęs jautrumas šviesai (žr. 4.4 skyrių).</w:t>
      </w:r>
    </w:p>
    <w:p w14:paraId="41517115"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 xml:space="preserve">Dažni: </w:t>
      </w:r>
    </w:p>
    <w:p w14:paraId="6C6C0EDD" w14:textId="77777777" w:rsidR="00A0704E" w:rsidRPr="00A0704E" w:rsidRDefault="00A0704E" w:rsidP="00A0704E">
      <w:pPr>
        <w:numPr>
          <w:ilvl w:val="0"/>
          <w:numId w:val="18"/>
        </w:numPr>
        <w:tabs>
          <w:tab w:val="left" w:pos="567"/>
        </w:tabs>
        <w:autoSpaceDE w:val="0"/>
        <w:autoSpaceDN w:val="0"/>
        <w:adjustRightInd w:val="0"/>
        <w:spacing w:after="0" w:line="240" w:lineRule="auto"/>
        <w:ind w:hanging="1134"/>
        <w:contextualSpacing/>
        <w:rPr>
          <w:rFonts w:ascii="Times New Roman" w:eastAsia="Times New Roman" w:hAnsi="Times New Roman" w:cs="Times New Roman"/>
          <w:bCs/>
          <w:iCs/>
        </w:rPr>
      </w:pPr>
      <w:r w:rsidRPr="00A0704E">
        <w:rPr>
          <w:rFonts w:ascii="Times New Roman" w:eastAsia="Times New Roman" w:hAnsi="Times New Roman" w:cs="Times New Roman"/>
          <w:bCs/>
          <w:iCs/>
        </w:rPr>
        <w:t>egzema;</w:t>
      </w:r>
    </w:p>
    <w:p w14:paraId="08832522" w14:textId="77777777" w:rsidR="00A0704E" w:rsidRPr="00A0704E" w:rsidRDefault="00A0704E" w:rsidP="00A0704E">
      <w:pPr>
        <w:numPr>
          <w:ilvl w:val="0"/>
          <w:numId w:val="18"/>
        </w:numPr>
        <w:tabs>
          <w:tab w:val="num" w:pos="567"/>
        </w:tabs>
        <w:autoSpaceDE w:val="0"/>
        <w:autoSpaceDN w:val="0"/>
        <w:adjustRightInd w:val="0"/>
        <w:spacing w:after="0" w:line="240" w:lineRule="auto"/>
        <w:ind w:left="567"/>
        <w:contextualSpacing/>
        <w:rPr>
          <w:rFonts w:ascii="Times New Roman" w:eastAsia="Times New Roman" w:hAnsi="Times New Roman" w:cs="Times New Roman"/>
          <w:bCs/>
          <w:iCs/>
        </w:rPr>
      </w:pPr>
      <w:r w:rsidRPr="00A0704E">
        <w:rPr>
          <w:rFonts w:ascii="Times New Roman" w:eastAsia="Times New Roman" w:hAnsi="Times New Roman" w:cs="Times New Roman"/>
          <w:bCs/>
          <w:iCs/>
        </w:rPr>
        <w:t>alyvų spalvos arba melsvai pilka odos pigmentacija (jei gydoma ilgai ir vartojama didelė paros dozė). Baigus gydymą, tokia pigmentacija lėtai, t.y. per 10-24 mėnesių, išnyksta.</w:t>
      </w:r>
    </w:p>
    <w:p w14:paraId="2A342BBF"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lastRenderedPageBreak/>
        <w:t xml:space="preserve">Labai reti: </w:t>
      </w:r>
    </w:p>
    <w:p w14:paraId="2E7F002D" w14:textId="77777777" w:rsidR="00A0704E" w:rsidRPr="00A0704E" w:rsidRDefault="00A0704E" w:rsidP="00BB3C7B">
      <w:pPr>
        <w:numPr>
          <w:ilvl w:val="0"/>
          <w:numId w:val="19"/>
        </w:numPr>
        <w:tabs>
          <w:tab w:val="clear" w:pos="1134"/>
          <w:tab w:val="num" w:pos="567"/>
        </w:tabs>
        <w:autoSpaceDE w:val="0"/>
        <w:autoSpaceDN w:val="0"/>
        <w:adjustRightInd w:val="0"/>
        <w:spacing w:after="0" w:line="240" w:lineRule="auto"/>
        <w:ind w:left="567"/>
        <w:rPr>
          <w:rFonts w:ascii="Times New Roman" w:eastAsia="Times New Roman" w:hAnsi="Times New Roman" w:cs="Times New Roman"/>
          <w:bCs/>
          <w:iCs/>
        </w:rPr>
      </w:pPr>
      <w:r w:rsidRPr="00A0704E">
        <w:rPr>
          <w:rFonts w:ascii="Times New Roman" w:eastAsia="Times New Roman" w:hAnsi="Times New Roman" w:cs="Times New Roman"/>
          <w:bCs/>
          <w:iCs/>
        </w:rPr>
        <w:t>eritema, atsirandanti spindulinio gydymo metu;</w:t>
      </w:r>
    </w:p>
    <w:p w14:paraId="59368441" w14:textId="77777777" w:rsidR="00A0704E" w:rsidRPr="00A0704E" w:rsidRDefault="00A0704E" w:rsidP="00BB3C7B">
      <w:pPr>
        <w:numPr>
          <w:ilvl w:val="0"/>
          <w:numId w:val="19"/>
        </w:numPr>
        <w:tabs>
          <w:tab w:val="clear" w:pos="1134"/>
          <w:tab w:val="num" w:pos="567"/>
        </w:tabs>
        <w:autoSpaceDE w:val="0"/>
        <w:autoSpaceDN w:val="0"/>
        <w:adjustRightInd w:val="0"/>
        <w:spacing w:after="0" w:line="240" w:lineRule="auto"/>
        <w:ind w:left="567"/>
        <w:rPr>
          <w:rFonts w:ascii="Times New Roman" w:eastAsia="Times New Roman" w:hAnsi="Times New Roman" w:cs="Times New Roman"/>
          <w:bCs/>
          <w:iCs/>
        </w:rPr>
      </w:pPr>
      <w:r w:rsidRPr="00A0704E">
        <w:rPr>
          <w:rFonts w:ascii="Times New Roman" w:eastAsia="Times New Roman" w:hAnsi="Times New Roman" w:cs="Times New Roman"/>
          <w:bCs/>
          <w:iCs/>
        </w:rPr>
        <w:t>odos išbėrimas (paprastai nespecifinis);</w:t>
      </w:r>
    </w:p>
    <w:p w14:paraId="1B7C9D83" w14:textId="77777777" w:rsidR="00A0704E" w:rsidRPr="00A0704E" w:rsidRDefault="00A0704E" w:rsidP="00BB3C7B">
      <w:pPr>
        <w:numPr>
          <w:ilvl w:val="0"/>
          <w:numId w:val="19"/>
        </w:numPr>
        <w:tabs>
          <w:tab w:val="clear" w:pos="1134"/>
          <w:tab w:val="num" w:pos="567"/>
        </w:tabs>
        <w:autoSpaceDE w:val="0"/>
        <w:autoSpaceDN w:val="0"/>
        <w:adjustRightInd w:val="0"/>
        <w:spacing w:after="0" w:line="240" w:lineRule="auto"/>
        <w:ind w:left="567"/>
        <w:rPr>
          <w:rFonts w:ascii="Times New Roman" w:eastAsia="Times New Roman" w:hAnsi="Times New Roman" w:cs="Times New Roman"/>
          <w:bCs/>
          <w:iCs/>
        </w:rPr>
      </w:pPr>
      <w:r w:rsidRPr="00A0704E">
        <w:rPr>
          <w:rFonts w:ascii="Times New Roman" w:eastAsia="Times New Roman" w:hAnsi="Times New Roman" w:cs="Times New Roman"/>
          <w:bCs/>
          <w:iCs/>
        </w:rPr>
        <w:t>eksfoliacinis dermatitas;</w:t>
      </w:r>
    </w:p>
    <w:p w14:paraId="16B373A6" w14:textId="77777777" w:rsidR="00A0704E" w:rsidRPr="00A0704E" w:rsidRDefault="00A0704E" w:rsidP="00BB3C7B">
      <w:pPr>
        <w:numPr>
          <w:ilvl w:val="0"/>
          <w:numId w:val="19"/>
        </w:numPr>
        <w:tabs>
          <w:tab w:val="clear" w:pos="1134"/>
          <w:tab w:val="num" w:pos="567"/>
        </w:tabs>
        <w:autoSpaceDE w:val="0"/>
        <w:autoSpaceDN w:val="0"/>
        <w:adjustRightInd w:val="0"/>
        <w:spacing w:after="0" w:line="240" w:lineRule="auto"/>
        <w:ind w:left="567"/>
        <w:rPr>
          <w:rFonts w:ascii="Times New Roman" w:eastAsia="Times New Roman" w:hAnsi="Times New Roman" w:cs="Times New Roman"/>
          <w:bCs/>
          <w:iCs/>
        </w:rPr>
      </w:pPr>
      <w:r w:rsidRPr="00A0704E">
        <w:rPr>
          <w:rFonts w:ascii="Times New Roman" w:eastAsia="Times New Roman" w:hAnsi="Times New Roman" w:cs="Times New Roman"/>
          <w:bCs/>
          <w:iCs/>
        </w:rPr>
        <w:t>alopecija;</w:t>
      </w:r>
    </w:p>
    <w:p w14:paraId="7D685E99" w14:textId="77777777" w:rsidR="00A0704E" w:rsidRPr="00A0704E" w:rsidRDefault="00A0704E" w:rsidP="00A0704E">
      <w:pPr>
        <w:autoSpaceDE w:val="0"/>
        <w:autoSpaceDN w:val="0"/>
        <w:adjustRightInd w:val="0"/>
        <w:spacing w:after="0" w:line="240" w:lineRule="auto"/>
        <w:contextualSpacing/>
        <w:rPr>
          <w:rFonts w:ascii="Times New Roman" w:eastAsia="Times New Roman" w:hAnsi="Times New Roman" w:cs="Times New Roman"/>
          <w:bCs/>
          <w:iCs/>
        </w:rPr>
      </w:pPr>
      <w:r w:rsidRPr="00A0704E">
        <w:rPr>
          <w:rFonts w:ascii="Times New Roman" w:eastAsia="Times New Roman" w:hAnsi="Times New Roman" w:cs="Times New Roman"/>
          <w:bCs/>
          <w:iCs/>
        </w:rPr>
        <w:t xml:space="preserve">Dažnis nežinomas: dilgėlinė, sunkios odos reakcijos, pvz., toksinė epidermio nekrolizė (TEN), </w:t>
      </w:r>
      <w:r w:rsidRPr="00A0704E">
        <w:rPr>
          <w:rFonts w:ascii="Times New Roman" w:eastAsia="Times New Roman" w:hAnsi="Times New Roman" w:cs="Times New Roman"/>
          <w:bCs/>
          <w:i/>
          <w:iCs/>
        </w:rPr>
        <w:t xml:space="preserve">Stevens- Johnson </w:t>
      </w:r>
      <w:r w:rsidRPr="00A0704E">
        <w:rPr>
          <w:rFonts w:ascii="Times New Roman" w:eastAsia="Times New Roman" w:hAnsi="Times New Roman" w:cs="Times New Roman"/>
          <w:bCs/>
          <w:iCs/>
        </w:rPr>
        <w:t>sindromas (SJS), pūslinis dermatitas, reakcija į vaistinį preparatą su eozinofilija ir sisteminiais simptomais (</w:t>
      </w:r>
      <w:r w:rsidRPr="00A0704E">
        <w:rPr>
          <w:rFonts w:ascii="Times New Roman" w:eastAsia="Times New Roman" w:hAnsi="Times New Roman" w:cs="Times New Roman"/>
          <w:bCs/>
          <w:i/>
          <w:iCs/>
        </w:rPr>
        <w:t>DRESS</w:t>
      </w:r>
      <w:r w:rsidRPr="00A0704E">
        <w:rPr>
          <w:rFonts w:ascii="Times New Roman" w:eastAsia="Times New Roman" w:hAnsi="Times New Roman" w:cs="Times New Roman"/>
          <w:bCs/>
          <w:iCs/>
        </w:rPr>
        <w:t>).</w:t>
      </w:r>
    </w:p>
    <w:p w14:paraId="280215BC"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bCs/>
          <w:iCs/>
        </w:rPr>
      </w:pPr>
    </w:p>
    <w:p w14:paraId="73089467"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bCs/>
          <w:i/>
          <w:iCs/>
        </w:rPr>
      </w:pPr>
      <w:r w:rsidRPr="00A0704E">
        <w:rPr>
          <w:rFonts w:ascii="Times New Roman" w:eastAsia="Times New Roman" w:hAnsi="Times New Roman" w:cs="Times New Roman"/>
          <w:bCs/>
          <w:i/>
          <w:iCs/>
        </w:rPr>
        <w:t>Kraujagyslių sutrikimai</w:t>
      </w:r>
    </w:p>
    <w:p w14:paraId="2B321BB8"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Labai reti: angitas.</w:t>
      </w:r>
    </w:p>
    <w:p w14:paraId="3C5E35B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053E8499" w14:textId="77777777" w:rsidR="00A0704E" w:rsidRPr="00A0704E" w:rsidRDefault="00A0704E" w:rsidP="00A0704E">
      <w:pPr>
        <w:tabs>
          <w:tab w:val="left" w:pos="567"/>
        </w:tabs>
        <w:spacing w:after="0" w:line="240" w:lineRule="auto"/>
        <w:rPr>
          <w:rFonts w:ascii="Times New Roman" w:eastAsia="Times New Roman" w:hAnsi="Times New Roman" w:cs="Times New Roman"/>
          <w:i/>
          <w:u w:val="single"/>
        </w:rPr>
      </w:pPr>
      <w:r w:rsidRPr="00A0704E">
        <w:rPr>
          <w:rFonts w:ascii="Times New Roman" w:eastAsia="Times New Roman" w:hAnsi="Times New Roman" w:cs="Times New Roman"/>
          <w:i/>
        </w:rPr>
        <w:t>Bendrieji sutrikimai ir vartojimo vietos pažeidimai</w:t>
      </w:r>
    </w:p>
    <w:p w14:paraId="4A71850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Dažnis nežinomas: granuloma, įskaitant kaulų čiulpų granulomą. </w:t>
      </w:r>
    </w:p>
    <w:p w14:paraId="00090DCD" w14:textId="77777777" w:rsidR="00A0704E" w:rsidRPr="00A0704E" w:rsidRDefault="00A0704E" w:rsidP="00A0704E">
      <w:pPr>
        <w:spacing w:after="0" w:line="240" w:lineRule="auto"/>
        <w:rPr>
          <w:rFonts w:ascii="Times New Roman" w:eastAsia="Times New Roman" w:hAnsi="Times New Roman" w:cs="Times New Roman"/>
        </w:rPr>
      </w:pPr>
    </w:p>
    <w:p w14:paraId="7663240C"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Sužalojimai, apsinuodijimai ir procedūrų komplikacijos</w:t>
      </w:r>
    </w:p>
    <w:p w14:paraId="546AD180" w14:textId="77777777" w:rsidR="00A0704E" w:rsidRPr="00A0704E" w:rsidRDefault="00A0704E" w:rsidP="00A0704E">
      <w:pPr>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Dažnis nežinomas: pirminė persodinto organo disfunkcija po širdies persodinimo (žr. 4.4 skyrių).</w:t>
      </w:r>
    </w:p>
    <w:p w14:paraId="20F40DC5" w14:textId="77777777" w:rsidR="00A0704E" w:rsidRPr="00A0704E" w:rsidRDefault="00A0704E" w:rsidP="00A0704E">
      <w:pPr>
        <w:spacing w:after="0" w:line="240" w:lineRule="auto"/>
        <w:rPr>
          <w:rFonts w:ascii="Times New Roman" w:eastAsia="Times New Roman" w:hAnsi="Times New Roman" w:cs="Times New Roman"/>
        </w:rPr>
      </w:pPr>
    </w:p>
    <w:p w14:paraId="4DC0F21E" w14:textId="77777777" w:rsidR="00A0704E" w:rsidRPr="00A0704E" w:rsidRDefault="00A0704E" w:rsidP="00A0704E">
      <w:pPr>
        <w:spacing w:after="0" w:line="240" w:lineRule="auto"/>
        <w:rPr>
          <w:rFonts w:ascii="Times New Roman" w:eastAsia="Times New Roman" w:hAnsi="Times New Roman" w:cs="Times New Roman"/>
          <w:u w:val="single"/>
        </w:rPr>
      </w:pPr>
      <w:r w:rsidRPr="00A0704E">
        <w:rPr>
          <w:rFonts w:ascii="Times New Roman" w:eastAsia="Times New Roman" w:hAnsi="Times New Roman" w:cs="Times New Roman"/>
          <w:u w:val="single"/>
        </w:rPr>
        <w:t>Pranešimas apie įtariamas nepageidaujamas reakcijas</w:t>
      </w:r>
    </w:p>
    <w:p w14:paraId="7E154189" w14:textId="77777777" w:rsidR="00A0704E" w:rsidRPr="00A0704E" w:rsidRDefault="00A0704E" w:rsidP="00A0704E">
      <w:pPr>
        <w:spacing w:after="0" w:line="240" w:lineRule="auto"/>
        <w:rPr>
          <w:rFonts w:ascii="Times New Roman" w:eastAsia="Times New Roman" w:hAnsi="Times New Roman" w:cs="Times New Roman"/>
        </w:rPr>
      </w:pPr>
      <w:r w:rsidRPr="00A0704E">
        <w:rPr>
          <w:rFonts w:ascii="Times New Roman" w:eastAsia="Times New Roman" w:hAnsi="Times New Roman" w:cs="Times New Roman"/>
          <w:noProof/>
        </w:rPr>
        <w:t>Svarbu pranešti apie įtariamas nepageidaujamas reakcijas, pastebėtas po vaistinio preparato registracijos, nes tai leidžia nuolat stebėti vaistinio preparato naudos ir rizikos santykį.</w:t>
      </w:r>
      <w:r w:rsidRPr="00A0704E">
        <w:rPr>
          <w:rFonts w:ascii="Times New Roman" w:eastAsia="Times New Roman" w:hAnsi="Times New Roman" w:cs="Times New Roman"/>
        </w:rPr>
        <w:t xml:space="preserve"> </w:t>
      </w:r>
      <w:r w:rsidRPr="00A0704E">
        <w:rPr>
          <w:rFonts w:ascii="Times New Roman" w:eastAsia="Times New Roman" w:hAnsi="Times New Roman" w:cs="Times New Roman"/>
          <w:noProof/>
        </w:rPr>
        <w:t>Sveikatos priežiūros specialistai turi pranešti apie bet kokias įtariamas nepageidaujamas reakcijas, užpildę interneto svetainėje http://</w:t>
      </w:r>
      <w:hyperlink r:id="rId7" w:history="1">
        <w:r w:rsidRPr="00A0704E">
          <w:rPr>
            <w:rFonts w:ascii="Times New Roman" w:eastAsia="SimSun" w:hAnsi="Times New Roman" w:cs="Times New Roman"/>
            <w:noProof/>
            <w:color w:val="0000FF"/>
            <w:u w:val="single"/>
          </w:rPr>
          <w:t>www.vvkt.lt</w:t>
        </w:r>
      </w:hyperlink>
      <w:r w:rsidRPr="00A0704E">
        <w:rPr>
          <w:rFonts w:ascii="Times New Roman" w:eastAsia="Times New Roman" w:hAnsi="Times New Roman" w:cs="Times New Roman"/>
          <w:noProof/>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A0704E">
          <w:rPr>
            <w:rFonts w:ascii="Times New Roman" w:eastAsia="SimSun" w:hAnsi="Times New Roman" w:cs="Times New Roman"/>
            <w:noProof/>
            <w:color w:val="0000FF"/>
            <w:u w:val="single"/>
          </w:rPr>
          <w:t>NepageidaujamaR@vvkt.lt</w:t>
        </w:r>
      </w:hyperlink>
      <w:r w:rsidRPr="00A0704E">
        <w:rPr>
          <w:rFonts w:ascii="Times New Roman" w:eastAsia="Times New Roman" w:hAnsi="Times New Roman" w:cs="Times New Roman"/>
          <w:noProof/>
        </w:rPr>
        <w:t>), per interneto svetainę (adresu http://www.vvkt.lt).</w:t>
      </w:r>
    </w:p>
    <w:p w14:paraId="10802068" w14:textId="77777777" w:rsidR="00A0704E" w:rsidRPr="00A0704E" w:rsidRDefault="00A0704E" w:rsidP="00A0704E">
      <w:pPr>
        <w:spacing w:after="0" w:line="240" w:lineRule="auto"/>
        <w:rPr>
          <w:rFonts w:ascii="Times New Roman" w:eastAsia="Times New Roman" w:hAnsi="Times New Roman" w:cs="Times New Roman"/>
        </w:rPr>
      </w:pPr>
    </w:p>
    <w:p w14:paraId="1E67DE2C" w14:textId="77777777" w:rsidR="00A0704E" w:rsidRPr="00A0704E" w:rsidRDefault="00A0704E" w:rsidP="00A0704E">
      <w:pPr>
        <w:keepNext/>
        <w:keepLines/>
        <w:tabs>
          <w:tab w:val="left" w:pos="567"/>
        </w:tabs>
        <w:spacing w:after="0" w:line="240" w:lineRule="auto"/>
        <w:outlineLvl w:val="2"/>
        <w:rPr>
          <w:rFonts w:ascii="Times New Roman" w:eastAsia="Times New Roman" w:hAnsi="Times New Roman" w:cs="Times New Roman"/>
          <w:b/>
          <w:bCs/>
          <w:kern w:val="28"/>
        </w:rPr>
      </w:pPr>
      <w:bookmarkStart w:id="35" w:name="_Toc129243110"/>
      <w:bookmarkStart w:id="36" w:name="_Toc129243235"/>
      <w:r w:rsidRPr="00A0704E">
        <w:rPr>
          <w:rFonts w:ascii="Times New Roman" w:eastAsia="Times New Roman" w:hAnsi="Times New Roman" w:cs="Times New Roman"/>
          <w:b/>
          <w:bCs/>
          <w:kern w:val="28"/>
        </w:rPr>
        <w:t>4.9</w:t>
      </w:r>
      <w:r w:rsidRPr="00A0704E">
        <w:rPr>
          <w:rFonts w:ascii="Times New Roman" w:eastAsia="Times New Roman" w:hAnsi="Times New Roman" w:cs="Times New Roman"/>
          <w:b/>
          <w:bCs/>
          <w:kern w:val="28"/>
        </w:rPr>
        <w:tab/>
        <w:t>Perdozavimas</w:t>
      </w:r>
      <w:bookmarkEnd w:id="35"/>
      <w:bookmarkEnd w:id="36"/>
      <w:r w:rsidRPr="00A0704E">
        <w:rPr>
          <w:rFonts w:ascii="Times New Roman" w:eastAsia="Times New Roman" w:hAnsi="Times New Roman" w:cs="Times New Roman"/>
          <w:b/>
          <w:bCs/>
          <w:kern w:val="28"/>
        </w:rPr>
        <w:fldChar w:fldCharType="begin"/>
      </w:r>
      <w:r w:rsidRPr="00A0704E">
        <w:rPr>
          <w:rFonts w:ascii="Times New Roman" w:eastAsia="Times New Roman" w:hAnsi="Times New Roman" w:cs="Times New Roman"/>
          <w:b/>
          <w:bCs/>
          <w:kern w:val="28"/>
        </w:rPr>
        <w:instrText xml:space="preserve"> DOCVARIABLE vault_nd_eef2bc31-195d-47a5-853e-f9f099726d43 \* MERGEFORMAT </w:instrText>
      </w:r>
      <w:r w:rsidRPr="00A0704E">
        <w:rPr>
          <w:rFonts w:ascii="Times New Roman" w:eastAsia="Times New Roman" w:hAnsi="Times New Roman" w:cs="Times New Roman"/>
          <w:b/>
          <w:bCs/>
          <w:kern w:val="28"/>
        </w:rPr>
        <w:fldChar w:fldCharType="separate"/>
      </w:r>
      <w:r w:rsidRPr="00A0704E">
        <w:rPr>
          <w:rFonts w:ascii="Times New Roman" w:eastAsia="Times New Roman" w:hAnsi="Times New Roman" w:cs="Times New Roman"/>
          <w:b/>
          <w:bCs/>
          <w:kern w:val="28"/>
        </w:rPr>
        <w:t xml:space="preserve"> </w:t>
      </w:r>
      <w:r w:rsidRPr="00A0704E">
        <w:rPr>
          <w:rFonts w:ascii="Times New Roman" w:eastAsia="Times New Roman" w:hAnsi="Times New Roman" w:cs="Times New Roman"/>
          <w:b/>
          <w:bCs/>
          <w:kern w:val="28"/>
        </w:rPr>
        <w:fldChar w:fldCharType="end"/>
      </w:r>
    </w:p>
    <w:p w14:paraId="11C2EDC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E2933D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Pranešta apie kelis ūminio apsinuodijimo didele amjodarono doze atvejus. Žinomi keli atvejai, kuomet pasireiškė sinusinė bradikardija, skilvelių aritmija, polimorfinė skilvelinė paroksizminė tachikardija, kraujotakos sutrikimas</w:t>
      </w:r>
      <w:r w:rsidRPr="00A0704E">
        <w:rPr>
          <w:rFonts w:ascii="Times New Roman" w:eastAsia="Times New Roman" w:hAnsi="Times New Roman" w:cs="Times New Roman"/>
          <w:i/>
        </w:rPr>
        <w:t xml:space="preserve"> </w:t>
      </w:r>
      <w:r w:rsidRPr="00A0704E">
        <w:rPr>
          <w:rFonts w:ascii="Times New Roman" w:eastAsia="Times New Roman" w:hAnsi="Times New Roman" w:cs="Times New Roman"/>
        </w:rPr>
        <w:t xml:space="preserve">ir kepenų pažeidimas. </w:t>
      </w:r>
    </w:p>
    <w:p w14:paraId="0DB7FBE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Gydyti reikia simptominėmis priemonėmis. Žinant vaistinio preparato kinetines savybes, paciento būklę, ypač jų širdies veiklą, būtina ilgai stebėti. Nei amjodarono, nei jo metabolitų hemodialize iš organizmo pašalinti neįmanoma.</w:t>
      </w:r>
    </w:p>
    <w:p w14:paraId="6646C8F8"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498B0F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0C958D5" w14:textId="77777777" w:rsidR="00A0704E" w:rsidRPr="00A0704E" w:rsidRDefault="00A0704E" w:rsidP="00A0704E">
      <w:pPr>
        <w:tabs>
          <w:tab w:val="left" w:pos="567"/>
        </w:tabs>
        <w:spacing w:after="0" w:line="240" w:lineRule="auto"/>
        <w:rPr>
          <w:rFonts w:ascii="Times New Roman" w:eastAsia="Times New Roman" w:hAnsi="Times New Roman" w:cs="Times New Roman"/>
          <w:b/>
        </w:rPr>
      </w:pPr>
      <w:bookmarkStart w:id="37" w:name="_Toc129243111"/>
      <w:bookmarkStart w:id="38" w:name="_Toc129243236"/>
      <w:r w:rsidRPr="00A0704E">
        <w:rPr>
          <w:rFonts w:ascii="Times New Roman" w:eastAsia="Times New Roman" w:hAnsi="Times New Roman" w:cs="Times New Roman"/>
          <w:b/>
        </w:rPr>
        <w:t>5.</w:t>
      </w:r>
      <w:r w:rsidRPr="00A0704E">
        <w:rPr>
          <w:rFonts w:ascii="Times New Roman" w:eastAsia="Times New Roman" w:hAnsi="Times New Roman" w:cs="Times New Roman"/>
          <w:b/>
        </w:rPr>
        <w:tab/>
        <w:t>FARMAKOLOGINĖS SAVYBĖS</w:t>
      </w:r>
      <w:bookmarkEnd w:id="37"/>
      <w:bookmarkEnd w:id="38"/>
    </w:p>
    <w:p w14:paraId="3761B53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A714CDB" w14:textId="77777777" w:rsidR="00A0704E" w:rsidRPr="00A0704E" w:rsidRDefault="00A0704E" w:rsidP="00A0704E">
      <w:pPr>
        <w:keepNext/>
        <w:keepLines/>
        <w:tabs>
          <w:tab w:val="left" w:pos="567"/>
        </w:tabs>
        <w:spacing w:after="0" w:line="240" w:lineRule="auto"/>
        <w:outlineLvl w:val="2"/>
        <w:rPr>
          <w:rFonts w:ascii="Times New Roman" w:eastAsia="Times New Roman" w:hAnsi="Times New Roman" w:cs="Times New Roman"/>
          <w:b/>
          <w:bCs/>
          <w:kern w:val="28"/>
        </w:rPr>
      </w:pPr>
      <w:bookmarkStart w:id="39" w:name="_Toc129243112"/>
      <w:bookmarkStart w:id="40" w:name="_Toc129243237"/>
      <w:r w:rsidRPr="00A0704E">
        <w:rPr>
          <w:rFonts w:ascii="Times New Roman" w:eastAsia="Times New Roman" w:hAnsi="Times New Roman" w:cs="Times New Roman"/>
          <w:b/>
          <w:bCs/>
          <w:kern w:val="28"/>
        </w:rPr>
        <w:t>5.1</w:t>
      </w:r>
      <w:r w:rsidRPr="00A0704E">
        <w:rPr>
          <w:rFonts w:ascii="Times New Roman" w:eastAsia="Times New Roman" w:hAnsi="Times New Roman" w:cs="Times New Roman"/>
          <w:b/>
          <w:bCs/>
          <w:kern w:val="28"/>
        </w:rPr>
        <w:tab/>
        <w:t>Farmakodinaminės savybės</w:t>
      </w:r>
      <w:bookmarkEnd w:id="39"/>
      <w:bookmarkEnd w:id="40"/>
      <w:r w:rsidRPr="00A0704E">
        <w:rPr>
          <w:rFonts w:ascii="Times New Roman" w:eastAsia="Times New Roman" w:hAnsi="Times New Roman" w:cs="Times New Roman"/>
          <w:b/>
          <w:bCs/>
          <w:kern w:val="28"/>
        </w:rPr>
        <w:fldChar w:fldCharType="begin"/>
      </w:r>
      <w:r w:rsidRPr="00A0704E">
        <w:rPr>
          <w:rFonts w:ascii="Times New Roman" w:eastAsia="Times New Roman" w:hAnsi="Times New Roman" w:cs="Times New Roman"/>
          <w:b/>
          <w:bCs/>
          <w:kern w:val="28"/>
        </w:rPr>
        <w:instrText xml:space="preserve"> DOCVARIABLE vault_nd_e529220e-6999-4eab-9e4a-4a575ef7ffef \* MERGEFORMAT </w:instrText>
      </w:r>
      <w:r w:rsidRPr="00A0704E">
        <w:rPr>
          <w:rFonts w:ascii="Times New Roman" w:eastAsia="Times New Roman" w:hAnsi="Times New Roman" w:cs="Times New Roman"/>
          <w:b/>
          <w:bCs/>
          <w:kern w:val="28"/>
        </w:rPr>
        <w:fldChar w:fldCharType="separate"/>
      </w:r>
      <w:r w:rsidRPr="00A0704E">
        <w:rPr>
          <w:rFonts w:ascii="Times New Roman" w:eastAsia="Times New Roman" w:hAnsi="Times New Roman" w:cs="Times New Roman"/>
          <w:b/>
          <w:bCs/>
          <w:kern w:val="28"/>
        </w:rPr>
        <w:t xml:space="preserve"> </w:t>
      </w:r>
      <w:r w:rsidRPr="00A0704E">
        <w:rPr>
          <w:rFonts w:ascii="Times New Roman" w:eastAsia="Times New Roman" w:hAnsi="Times New Roman" w:cs="Times New Roman"/>
          <w:b/>
          <w:bCs/>
          <w:kern w:val="28"/>
        </w:rPr>
        <w:fldChar w:fldCharType="end"/>
      </w:r>
    </w:p>
    <w:p w14:paraId="279E338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B2C27F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Farmakoterapinė grupė – Antiaritmikai (III klasė), ATC kodas – C01BD01.</w:t>
      </w:r>
    </w:p>
    <w:p w14:paraId="68074CE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B1F4ADB"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Antiaritmininės savybės</w:t>
      </w:r>
    </w:p>
    <w:p w14:paraId="7A87B22F" w14:textId="77777777" w:rsidR="00A0704E" w:rsidRPr="00A0704E" w:rsidRDefault="00A0704E" w:rsidP="00A0704E">
      <w:pPr>
        <w:numPr>
          <w:ilvl w:val="0"/>
          <w:numId w:val="2"/>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Prailgina trečiąją veikimo potencialo fazę širdies laidžiosios sistemos ląstelėse, daugiausia dėl kalio srovės susilpnėjimo (šis poveikis būdingas III klasės vaistiniams preparatams nuo aritmijos pagal </w:t>
      </w:r>
      <w:r w:rsidRPr="00A0704E">
        <w:rPr>
          <w:rFonts w:ascii="Times New Roman" w:eastAsia="Times New Roman" w:hAnsi="Times New Roman" w:cs="Times New Roman"/>
          <w:i/>
        </w:rPr>
        <w:t>Vaughan-Williams</w:t>
      </w:r>
      <w:r w:rsidRPr="00A0704E">
        <w:rPr>
          <w:rFonts w:ascii="Times New Roman" w:eastAsia="Times New Roman" w:hAnsi="Times New Roman" w:cs="Times New Roman"/>
        </w:rPr>
        <w:t xml:space="preserve"> klasifikaciją). </w:t>
      </w:r>
    </w:p>
    <w:p w14:paraId="42CBB461" w14:textId="77777777" w:rsidR="00A0704E" w:rsidRPr="00A0704E" w:rsidRDefault="00A0704E" w:rsidP="00A0704E">
      <w:pPr>
        <w:numPr>
          <w:ilvl w:val="0"/>
          <w:numId w:val="2"/>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Mažina sinusinio mazgo automatizmą, todėl pasireiškia bradikardija, kurios neveikia atropinas.</w:t>
      </w:r>
    </w:p>
    <w:p w14:paraId="1BD3B818" w14:textId="77777777" w:rsidR="00A0704E" w:rsidRPr="00A0704E" w:rsidRDefault="00A0704E" w:rsidP="00A0704E">
      <w:pPr>
        <w:numPr>
          <w:ilvl w:val="0"/>
          <w:numId w:val="2"/>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Nekonkurenciniu būdu slopina alfa adrenoreceptorius ir beta adrenoreceptorius.</w:t>
      </w:r>
    </w:p>
    <w:p w14:paraId="244A35CE" w14:textId="77777777" w:rsidR="00A0704E" w:rsidRPr="00A0704E" w:rsidRDefault="00A0704E" w:rsidP="00A0704E">
      <w:pPr>
        <w:numPr>
          <w:ilvl w:val="0"/>
          <w:numId w:val="2"/>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Mažina sinoatrialinį, prieširdinį ir atrioventrikulinio mazgo laidumą (šis poveikis stipresnis, kuomet širdis susitraukinėja dažnai).</w:t>
      </w:r>
    </w:p>
    <w:p w14:paraId="4DFEE572" w14:textId="77777777" w:rsidR="00A0704E" w:rsidRPr="00A0704E" w:rsidRDefault="00A0704E" w:rsidP="00A0704E">
      <w:pPr>
        <w:numPr>
          <w:ilvl w:val="0"/>
          <w:numId w:val="2"/>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Nekeičia laidumo skilveliuose.</w:t>
      </w:r>
    </w:p>
    <w:p w14:paraId="46B51670" w14:textId="77777777" w:rsidR="00A0704E" w:rsidRPr="00A0704E" w:rsidRDefault="00A0704E" w:rsidP="00A0704E">
      <w:pPr>
        <w:numPr>
          <w:ilvl w:val="0"/>
          <w:numId w:val="2"/>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Prailgina refrakterinį laiką ir mažina miokardo dirglumą prieširdžiuose, atrioventrikuliniame mazge ir skilveliuose.</w:t>
      </w:r>
    </w:p>
    <w:p w14:paraId="2C2AA03A" w14:textId="77777777" w:rsidR="00A0704E" w:rsidRPr="00A0704E" w:rsidRDefault="00A0704E" w:rsidP="00A0704E">
      <w:pPr>
        <w:numPr>
          <w:ilvl w:val="0"/>
          <w:numId w:val="2"/>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Mažina laidumą ir prailgina refrakterinį laiką papildomuose atrioventrikuliniuose pluoštuose.</w:t>
      </w:r>
    </w:p>
    <w:p w14:paraId="7A51AD3B"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p>
    <w:p w14:paraId="2A6F9A4F"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Kitos savybės</w:t>
      </w:r>
    </w:p>
    <w:p w14:paraId="167F9581" w14:textId="77777777" w:rsidR="00A0704E" w:rsidRPr="00A0704E" w:rsidRDefault="00A0704E" w:rsidP="00A0704E">
      <w:pPr>
        <w:numPr>
          <w:ilvl w:val="0"/>
          <w:numId w:val="3"/>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lastRenderedPageBreak/>
        <w:t>Mažina periferinį pasipriešinimą ir širdies susitraukinėjimų dažnį, todėl ji sunaudoja mažiau deguonies.</w:t>
      </w:r>
    </w:p>
    <w:p w14:paraId="3797304F" w14:textId="77777777" w:rsidR="00A0704E" w:rsidRPr="00A0704E" w:rsidRDefault="00A0704E" w:rsidP="00A0704E">
      <w:pPr>
        <w:numPr>
          <w:ilvl w:val="0"/>
          <w:numId w:val="3"/>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Dėl tiesioginio poveikio miokardo arterijų lygiesiems raumenims gerina vainikinę kraujotaką, palaiko širdies minutinį tūrį, kadangi mažina kraujospūdį ir periferinį pasipriešinimą, nesukelia neigiamo inotropinio poveikio.</w:t>
      </w:r>
    </w:p>
    <w:p w14:paraId="3E251440" w14:textId="77777777" w:rsidR="00A0704E" w:rsidRPr="00A0704E" w:rsidRDefault="00A0704E" w:rsidP="00A0704E">
      <w:pPr>
        <w:numPr>
          <w:ilvl w:val="0"/>
          <w:numId w:val="3"/>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Atlikta trisdešimties prospektyviųjų, kontroliuojamųjų ir randomizuotų tyrimų analizė. Šiuose tyrimuose dalyvavo 6553 pacientai, nesenai persirgę miokardo infarktu (78 % pacientų) arba širdies nepakankamumu (22 % pacientų). Pacientai stebėti 0,4-2,5 metų. Dažniausiai jie vartojo 200-400 mg per parą. Paaiškėjo, kad amjodaronas 13 % sumažina bendrąjį (Cl</w:t>
      </w:r>
      <w:r w:rsidRPr="00A0704E">
        <w:rPr>
          <w:rFonts w:ascii="Times New Roman" w:eastAsia="Times New Roman" w:hAnsi="Times New Roman" w:cs="Times New Roman"/>
          <w:vertAlign w:val="subscript"/>
        </w:rPr>
        <w:t>95%</w:t>
      </w:r>
      <w:r w:rsidRPr="00A0704E">
        <w:rPr>
          <w:rFonts w:ascii="Times New Roman" w:eastAsia="Times New Roman" w:hAnsi="Times New Roman" w:cs="Times New Roman"/>
        </w:rPr>
        <w:t xml:space="preserve"> 0,78-0,99; p </w:t>
      </w:r>
      <w:r w:rsidRPr="00A0704E">
        <w:rPr>
          <w:rFonts w:ascii="Times New Roman" w:eastAsia="Times New Roman" w:hAnsi="Times New Roman" w:cs="Times New Roman"/>
        </w:rPr>
        <w:sym w:font="Symbol" w:char="F03D"/>
      </w:r>
      <w:r w:rsidRPr="00A0704E">
        <w:rPr>
          <w:rFonts w:ascii="Times New Roman" w:eastAsia="Times New Roman" w:hAnsi="Times New Roman" w:cs="Times New Roman"/>
        </w:rPr>
        <w:t xml:space="preserve"> 0,03) ir 29 % aritmijų sukeltą (Cl</w:t>
      </w:r>
      <w:r w:rsidRPr="00A0704E">
        <w:rPr>
          <w:rFonts w:ascii="Times New Roman" w:eastAsia="Times New Roman" w:hAnsi="Times New Roman" w:cs="Times New Roman"/>
          <w:vertAlign w:val="subscript"/>
        </w:rPr>
        <w:t>95%</w:t>
      </w:r>
      <w:r w:rsidRPr="00A0704E">
        <w:rPr>
          <w:rFonts w:ascii="Times New Roman" w:eastAsia="Times New Roman" w:hAnsi="Times New Roman" w:cs="Times New Roman"/>
        </w:rPr>
        <w:t xml:space="preserve"> 0,59-0,85; p </w:t>
      </w:r>
      <w:r w:rsidRPr="00A0704E">
        <w:rPr>
          <w:rFonts w:ascii="Times New Roman" w:eastAsia="Times New Roman" w:hAnsi="Times New Roman" w:cs="Times New Roman"/>
        </w:rPr>
        <w:sym w:font="Symbol" w:char="F03D"/>
      </w:r>
      <w:r w:rsidRPr="00A0704E">
        <w:rPr>
          <w:rFonts w:ascii="Times New Roman" w:eastAsia="Times New Roman" w:hAnsi="Times New Roman" w:cs="Times New Roman"/>
        </w:rPr>
        <w:t xml:space="preserve"> 0,0003) mirštamumą. Visgi šiuos duomenis reikėtų vertinti atsargiai, nes atlikti tyrimai labai skyrėsi: į tyrimus įtraukti skirtingi pacientai, nevienodai ilgai gydyti, tyrimai atlikti ir įvertinti įvairiais būdais. Pacientai, vartoję amjodaroną, gydymą nutraukė dažniau (41 % pacientų) negu vartoję placebą (27 % pacientų). 7 % tiriamųjų, vartojusių amjodaroną, pasireiškė hipotiroidizmas; vartojusiems placebą – 1 % pacientų. Hipertiroidizmas pasireiškė 1,4 % pacientų, vartojusių amjodaroną, ir 0,5 % - placebą. Intersticinė pneumopatija pasireiškė 1,6 % tiriamųjų, gėrusių amjodaroną, ir 0,5 % - placebą.</w:t>
      </w:r>
    </w:p>
    <w:p w14:paraId="2F86B50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DDB2528"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Kontroliuojamų tyrimų vaikams nebuvo atlikta.</w:t>
      </w:r>
    </w:p>
    <w:p w14:paraId="3B2D4D0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Publikuotuose tyrimuose amjodarono saugumas buvo vertinamas 1118 vaikų, sergančių įvairiomis aritmijomis. Pediatriniuose klinikiniuose tyrimuose buvo naudojamos toliau aprašytos dozės.</w:t>
      </w:r>
    </w:p>
    <w:p w14:paraId="53F16CD8"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FE9901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Geriamoji dozė:</w:t>
      </w:r>
    </w:p>
    <w:p w14:paraId="6E4A3C63"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 </w:t>
      </w:r>
      <w:r w:rsidRPr="00A0704E">
        <w:rPr>
          <w:rFonts w:ascii="Times New Roman" w:eastAsia="Times New Roman" w:hAnsi="Times New Roman" w:cs="Times New Roman"/>
        </w:rPr>
        <w:tab/>
        <w:t>Pradinė dozė: 10-20 mg/kg per parą 7-10 dienų (arba 500 mg/m</w:t>
      </w:r>
      <w:r w:rsidRPr="00A0704E">
        <w:rPr>
          <w:rFonts w:ascii="Times New Roman" w:eastAsia="Times New Roman" w:hAnsi="Times New Roman" w:cs="Times New Roman"/>
          <w:vertAlign w:val="superscript"/>
        </w:rPr>
        <w:t xml:space="preserve">2 </w:t>
      </w:r>
      <w:r w:rsidRPr="00A0704E">
        <w:rPr>
          <w:rFonts w:ascii="Times New Roman" w:eastAsia="Times New Roman" w:hAnsi="Times New Roman" w:cs="Times New Roman"/>
        </w:rPr>
        <w:t>per parą, išreiškiant dozę kūno plotui).</w:t>
      </w:r>
    </w:p>
    <w:p w14:paraId="30FBA76A"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 </w:t>
      </w:r>
      <w:r w:rsidRPr="00A0704E">
        <w:rPr>
          <w:rFonts w:ascii="Times New Roman" w:eastAsia="Times New Roman" w:hAnsi="Times New Roman" w:cs="Times New Roman"/>
        </w:rPr>
        <w:tab/>
        <w:t>Palaikomoji dozė: turi būti vartojama mažiausia veiksminga dozė; pagal individualų organizmo atsaką ji gali svyruoti nuo 5 iki 10 mg/kg per parą (arba 250 mg/m</w:t>
      </w:r>
      <w:r w:rsidRPr="00A0704E">
        <w:rPr>
          <w:rFonts w:ascii="Times New Roman" w:eastAsia="Times New Roman" w:hAnsi="Times New Roman" w:cs="Times New Roman"/>
          <w:vertAlign w:val="superscript"/>
        </w:rPr>
        <w:t xml:space="preserve">2 </w:t>
      </w:r>
      <w:r w:rsidRPr="00A0704E">
        <w:rPr>
          <w:rFonts w:ascii="Times New Roman" w:eastAsia="Times New Roman" w:hAnsi="Times New Roman" w:cs="Times New Roman"/>
        </w:rPr>
        <w:t>per parą, išreiškiant dozę kūno plotui).</w:t>
      </w:r>
    </w:p>
    <w:p w14:paraId="4152545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0E7973DB" w14:textId="77777777" w:rsidR="00A0704E" w:rsidRPr="00A0704E" w:rsidRDefault="00A0704E" w:rsidP="00A0704E">
      <w:pPr>
        <w:keepNext/>
        <w:keepLines/>
        <w:tabs>
          <w:tab w:val="left" w:pos="567"/>
        </w:tabs>
        <w:spacing w:after="0" w:line="240" w:lineRule="auto"/>
        <w:outlineLvl w:val="2"/>
        <w:rPr>
          <w:rFonts w:ascii="Times New Roman" w:eastAsia="Times New Roman" w:hAnsi="Times New Roman" w:cs="Times New Roman"/>
          <w:b/>
          <w:bCs/>
          <w:kern w:val="28"/>
        </w:rPr>
      </w:pPr>
      <w:bookmarkStart w:id="41" w:name="_Toc129243113"/>
      <w:bookmarkStart w:id="42" w:name="_Toc129243238"/>
      <w:r w:rsidRPr="00A0704E">
        <w:rPr>
          <w:rFonts w:ascii="Times New Roman" w:eastAsia="Times New Roman" w:hAnsi="Times New Roman" w:cs="Times New Roman"/>
          <w:b/>
          <w:bCs/>
          <w:kern w:val="28"/>
        </w:rPr>
        <w:t>5.2</w:t>
      </w:r>
      <w:r w:rsidRPr="00A0704E">
        <w:rPr>
          <w:rFonts w:ascii="Times New Roman" w:eastAsia="Times New Roman" w:hAnsi="Times New Roman" w:cs="Times New Roman"/>
          <w:b/>
          <w:bCs/>
          <w:kern w:val="28"/>
        </w:rPr>
        <w:tab/>
        <w:t>Farmakokinetinės savybės</w:t>
      </w:r>
      <w:bookmarkEnd w:id="41"/>
      <w:bookmarkEnd w:id="42"/>
      <w:r w:rsidRPr="00A0704E">
        <w:rPr>
          <w:rFonts w:ascii="Times New Roman" w:eastAsia="Times New Roman" w:hAnsi="Times New Roman" w:cs="Times New Roman"/>
          <w:b/>
          <w:bCs/>
          <w:kern w:val="28"/>
        </w:rPr>
        <w:fldChar w:fldCharType="begin"/>
      </w:r>
      <w:r w:rsidRPr="00A0704E">
        <w:rPr>
          <w:rFonts w:ascii="Times New Roman" w:eastAsia="Times New Roman" w:hAnsi="Times New Roman" w:cs="Times New Roman"/>
          <w:b/>
          <w:bCs/>
          <w:kern w:val="28"/>
        </w:rPr>
        <w:instrText xml:space="preserve"> DOCVARIABLE vault_nd_07cc5fc5-a939-4c24-857d-ef6c2d2f7623 \* MERGEFORMAT </w:instrText>
      </w:r>
      <w:r w:rsidRPr="00A0704E">
        <w:rPr>
          <w:rFonts w:ascii="Times New Roman" w:eastAsia="Times New Roman" w:hAnsi="Times New Roman" w:cs="Times New Roman"/>
          <w:b/>
          <w:bCs/>
          <w:kern w:val="28"/>
        </w:rPr>
        <w:fldChar w:fldCharType="separate"/>
      </w:r>
      <w:r w:rsidRPr="00A0704E">
        <w:rPr>
          <w:rFonts w:ascii="Times New Roman" w:eastAsia="Times New Roman" w:hAnsi="Times New Roman" w:cs="Times New Roman"/>
          <w:b/>
          <w:bCs/>
          <w:kern w:val="28"/>
        </w:rPr>
        <w:t xml:space="preserve"> </w:t>
      </w:r>
      <w:r w:rsidRPr="00A0704E">
        <w:rPr>
          <w:rFonts w:ascii="Times New Roman" w:eastAsia="Times New Roman" w:hAnsi="Times New Roman" w:cs="Times New Roman"/>
          <w:b/>
          <w:bCs/>
          <w:kern w:val="28"/>
        </w:rPr>
        <w:fldChar w:fldCharType="end"/>
      </w:r>
    </w:p>
    <w:p w14:paraId="645E568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22A34D7"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Amjodaroną metabolizuoja CYP 3A4 (daugiausia) ir CYP 2C8. </w:t>
      </w:r>
    </w:p>
    <w:p w14:paraId="7839CDA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Amjodaronas ir jo metabolitas desetilamjodaronas </w:t>
      </w:r>
      <w:r w:rsidRPr="00A0704E">
        <w:rPr>
          <w:rFonts w:ascii="Times New Roman" w:eastAsia="Times New Roman" w:hAnsi="Times New Roman" w:cs="Times New Roman"/>
          <w:i/>
        </w:rPr>
        <w:t>in vitro</w:t>
      </w:r>
      <w:r w:rsidRPr="00A0704E">
        <w:rPr>
          <w:rFonts w:ascii="Times New Roman" w:eastAsia="Times New Roman" w:hAnsi="Times New Roman" w:cs="Times New Roman"/>
        </w:rPr>
        <w:t xml:space="preserve"> gali slopinti CYP1A1, CYP1A2, CYP2C9, CYP2C19, CYP2D6, CYP3A4, CYP2A6, CYP2B6 ir 2C8. Be to, amjodaronas ir jo metabolitas desetilamjodaronas gali slopinti kai kuriuos nešiklius, tokius kaip P-gp ir organinis katijonų nešiklis (OKN2). Vieno tyrimo metu nustatytas kreatinino (OKN 2 substrato) koncentracijos padidėjimas 1,1 %.</w:t>
      </w:r>
    </w:p>
    <w:p w14:paraId="5C929C2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Gauta</w:t>
      </w:r>
      <w:r w:rsidRPr="00A0704E">
        <w:rPr>
          <w:rFonts w:ascii="Times New Roman" w:eastAsia="Times New Roman" w:hAnsi="Times New Roman" w:cs="Times New Roman"/>
          <w:i/>
        </w:rPr>
        <w:t xml:space="preserve"> in vivo</w:t>
      </w:r>
      <w:r w:rsidRPr="00A0704E">
        <w:rPr>
          <w:rFonts w:ascii="Times New Roman" w:eastAsia="Times New Roman" w:hAnsi="Times New Roman" w:cs="Times New Roman"/>
        </w:rPr>
        <w:t xml:space="preserve"> duomenų apie amjodarono ir CYP3A4, CYP2C9, CYP2D6 bei P-gp substratų sąveiką. </w:t>
      </w:r>
    </w:p>
    <w:p w14:paraId="7F7DC8B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7898C3E"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Išgertas amjodaronas rezorbuojasi lėtai ir gerai patenka į audinius.</w:t>
      </w:r>
    </w:p>
    <w:p w14:paraId="12D5DAE7"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Priklausomai nuo individualių organizmo savybių išgerto amjodarono biologinis pasisavinimas - 30-80 % (vidutiniškai apie 50 %). Išgėrus vieną dozę, didžiausia koncentracija plazmoje susidaro po 3-7 val. Gydomasis poveikis dažniausiai pasireiškia per savaitę, tačiau gali pasireikšti ir po kelių dienų ar dviejų savaičių.</w:t>
      </w:r>
    </w:p>
    <w:p w14:paraId="313B821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Amjodarono pusinės eliminacijos laikas yra ilgas ir skirtingų žmonių organizme labai skiriasi (nuo 20 iki 100 dienų). Per pirmąsias vartojimo dienas šis vaistinis preparatas kaupiasi beveik visuose audiniuose, ypač riebaliniame. Eliminacija prasideda po kelių dienų. Pusiausvyrinė koncentracija plazmoje susidaro po vieno ar kelių mėnesių, priklausomai nuo individualių organizmo savybių. Dėl tokių preparato savybių, norint, kad greitai susidarytų būtina koncentraciją audiniuose, iš pradžių vartojama įsotinamoji dozė.</w:t>
      </w:r>
    </w:p>
    <w:p w14:paraId="52FBAD9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Dalis jodo atsiskiria nuo preparato ir išsiskiria su šlapimu jodido pavidalu. Vartojant 200 mg paros dozę, tai prilygsta 6 mg per parą. Likusi dalis preparato ir didžioji jodo dalis per kepenis patenka į išmatas ir pasišalina. Dėl nereikšmingo išsiskyrimo pro inkstus pacientams, sergantiems inkstų nepakankamumu, tinka įprastinė amjodarono dozė.</w:t>
      </w:r>
    </w:p>
    <w:p w14:paraId="1C3E400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Baigus vartoti amjodaroną, jo eliminacija tęsiasi dar kelis mėnesius. Reikia atsižvelgti į tai, kad vaistinio preparato vartojimą nutraukus, jo poveikis išlieka nuo 10 dienų iki vieno mėnesio.</w:t>
      </w:r>
    </w:p>
    <w:p w14:paraId="1B2B612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A39E9E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lastRenderedPageBreak/>
        <w:t>Kontroliuojamų tyrimų vaikams nebuvo atlikta. Esančiuose ribotuose publikuotuose duomenyse apie vaikus nebuvo nurodyta skirtumų lyginant su suaugusiaisiais. </w:t>
      </w:r>
    </w:p>
    <w:p w14:paraId="4ACE541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87D2A7B" w14:textId="77777777" w:rsidR="00A0704E" w:rsidRPr="00A0704E" w:rsidRDefault="00A0704E" w:rsidP="00A0704E">
      <w:pPr>
        <w:keepNext/>
        <w:keepLines/>
        <w:tabs>
          <w:tab w:val="left" w:pos="567"/>
        </w:tabs>
        <w:spacing w:after="0" w:line="240" w:lineRule="auto"/>
        <w:outlineLvl w:val="2"/>
        <w:rPr>
          <w:rFonts w:ascii="Times New Roman" w:eastAsia="Times New Roman" w:hAnsi="Times New Roman" w:cs="Times New Roman"/>
          <w:b/>
          <w:bCs/>
          <w:kern w:val="28"/>
        </w:rPr>
      </w:pPr>
      <w:bookmarkStart w:id="43" w:name="_Toc129243114"/>
      <w:bookmarkStart w:id="44" w:name="_Toc129243239"/>
      <w:r w:rsidRPr="00A0704E">
        <w:rPr>
          <w:rFonts w:ascii="Times New Roman" w:eastAsia="Times New Roman" w:hAnsi="Times New Roman" w:cs="Times New Roman"/>
          <w:b/>
          <w:bCs/>
          <w:kern w:val="28"/>
        </w:rPr>
        <w:t>5.3</w:t>
      </w:r>
      <w:r w:rsidRPr="00A0704E">
        <w:rPr>
          <w:rFonts w:ascii="Times New Roman" w:eastAsia="Times New Roman" w:hAnsi="Times New Roman" w:cs="Times New Roman"/>
          <w:b/>
          <w:bCs/>
          <w:kern w:val="28"/>
        </w:rPr>
        <w:tab/>
        <w:t>Ikiklinikinių saugumo tyrimų duomenys</w:t>
      </w:r>
      <w:bookmarkEnd w:id="43"/>
      <w:bookmarkEnd w:id="44"/>
      <w:r w:rsidRPr="00A0704E">
        <w:rPr>
          <w:rFonts w:ascii="Times New Roman" w:eastAsia="Times New Roman" w:hAnsi="Times New Roman" w:cs="Times New Roman"/>
          <w:b/>
          <w:bCs/>
          <w:kern w:val="28"/>
        </w:rPr>
        <w:fldChar w:fldCharType="begin"/>
      </w:r>
      <w:r w:rsidRPr="00A0704E">
        <w:rPr>
          <w:rFonts w:ascii="Times New Roman" w:eastAsia="Times New Roman" w:hAnsi="Times New Roman" w:cs="Times New Roman"/>
          <w:b/>
          <w:bCs/>
          <w:kern w:val="28"/>
        </w:rPr>
        <w:instrText xml:space="preserve"> DOCVARIABLE vault_nd_561a5943-a468-4deb-9f71-cff92c3b3bdb \* MERGEFORMAT </w:instrText>
      </w:r>
      <w:r w:rsidRPr="00A0704E">
        <w:rPr>
          <w:rFonts w:ascii="Times New Roman" w:eastAsia="Times New Roman" w:hAnsi="Times New Roman" w:cs="Times New Roman"/>
          <w:b/>
          <w:bCs/>
          <w:kern w:val="28"/>
        </w:rPr>
        <w:fldChar w:fldCharType="separate"/>
      </w:r>
      <w:r w:rsidRPr="00A0704E">
        <w:rPr>
          <w:rFonts w:ascii="Times New Roman" w:eastAsia="Times New Roman" w:hAnsi="Times New Roman" w:cs="Times New Roman"/>
          <w:b/>
          <w:bCs/>
          <w:kern w:val="28"/>
        </w:rPr>
        <w:t xml:space="preserve"> </w:t>
      </w:r>
      <w:r w:rsidRPr="00A0704E">
        <w:rPr>
          <w:rFonts w:ascii="Times New Roman" w:eastAsia="Times New Roman" w:hAnsi="Times New Roman" w:cs="Times New Roman"/>
          <w:b/>
          <w:bCs/>
          <w:kern w:val="28"/>
        </w:rPr>
        <w:fldChar w:fldCharType="end"/>
      </w:r>
    </w:p>
    <w:p w14:paraId="24D3A40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6475C6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2 metų trukmės kancerogeninio poveikio tyrimo su žiurkėmis metu amjodaronas, esant kliniškai reikšmingai ekspozicijai, ir patinams, ir patelėms sukėlė skydliaukės folikulinių navikų (adenomų ir (arba) karcinomų) atsiradimo padažnėjimą. Kadangi mutageninio poveikio tyrimų rezultatai buvo neigiami, manoma, kad šio tipo naviko atsiradimą sukelia epigeninis, o ne genotoksinis mechanizmas. Pelėms karcinomų neatsirado, tačiau pasireiškė nuo dozės priklausoma skydliaukės folikulinė hiperplazija. Tokį poveikį žiurkių ir pelių skydliaukei tikriausiai sukelia amjodarono poveikis skydliaukės hormonų sintezei ir (arba) išsiskyrimui. Tokio poveikio reikšmė žmonėms yra nedidelė.</w:t>
      </w:r>
    </w:p>
    <w:p w14:paraId="5AAFE0E9" w14:textId="77777777" w:rsidR="00A0704E" w:rsidRPr="00A0704E" w:rsidRDefault="00A0704E" w:rsidP="00A0704E">
      <w:pPr>
        <w:spacing w:after="0" w:line="240" w:lineRule="auto"/>
        <w:rPr>
          <w:rFonts w:ascii="Times New Roman" w:eastAsia="Times New Roman" w:hAnsi="Times New Roman" w:cs="Times New Roman"/>
        </w:rPr>
      </w:pPr>
    </w:p>
    <w:p w14:paraId="2854252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F22598E" w14:textId="77777777" w:rsidR="00A0704E" w:rsidRPr="00A0704E" w:rsidRDefault="00A0704E" w:rsidP="00A0704E">
      <w:pPr>
        <w:tabs>
          <w:tab w:val="left" w:pos="567"/>
        </w:tabs>
        <w:spacing w:after="0" w:line="240" w:lineRule="auto"/>
        <w:rPr>
          <w:rFonts w:ascii="Times New Roman" w:eastAsia="Times New Roman" w:hAnsi="Times New Roman" w:cs="Times New Roman"/>
          <w:b/>
        </w:rPr>
      </w:pPr>
      <w:bookmarkStart w:id="45" w:name="_Toc129243115"/>
      <w:bookmarkStart w:id="46" w:name="_Toc129243240"/>
      <w:r w:rsidRPr="00A0704E">
        <w:rPr>
          <w:rFonts w:ascii="Times New Roman" w:eastAsia="Times New Roman" w:hAnsi="Times New Roman" w:cs="Times New Roman"/>
          <w:b/>
        </w:rPr>
        <w:t>6.</w:t>
      </w:r>
      <w:r w:rsidRPr="00A0704E">
        <w:rPr>
          <w:rFonts w:ascii="Times New Roman" w:eastAsia="Times New Roman" w:hAnsi="Times New Roman" w:cs="Times New Roman"/>
          <w:b/>
        </w:rPr>
        <w:tab/>
        <w:t>FARMACINĖ INFORMACIJA</w:t>
      </w:r>
      <w:bookmarkEnd w:id="45"/>
      <w:bookmarkEnd w:id="46"/>
    </w:p>
    <w:p w14:paraId="23D2774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C35A3D8" w14:textId="77777777" w:rsidR="00A0704E" w:rsidRPr="00A0704E" w:rsidRDefault="00A0704E" w:rsidP="00A0704E">
      <w:pPr>
        <w:keepNext/>
        <w:keepLines/>
        <w:tabs>
          <w:tab w:val="left" w:pos="567"/>
        </w:tabs>
        <w:spacing w:after="0" w:line="240" w:lineRule="auto"/>
        <w:outlineLvl w:val="2"/>
        <w:rPr>
          <w:rFonts w:ascii="Times New Roman" w:eastAsia="Times New Roman" w:hAnsi="Times New Roman" w:cs="Times New Roman"/>
          <w:b/>
          <w:bCs/>
          <w:kern w:val="28"/>
        </w:rPr>
      </w:pPr>
      <w:bookmarkStart w:id="47" w:name="_Toc129243116"/>
      <w:bookmarkStart w:id="48" w:name="_Toc129243241"/>
      <w:r w:rsidRPr="00A0704E">
        <w:rPr>
          <w:rFonts w:ascii="Times New Roman" w:eastAsia="Times New Roman" w:hAnsi="Times New Roman" w:cs="Times New Roman"/>
          <w:b/>
          <w:bCs/>
          <w:kern w:val="28"/>
        </w:rPr>
        <w:t>6.1</w:t>
      </w:r>
      <w:r w:rsidRPr="00A0704E">
        <w:rPr>
          <w:rFonts w:ascii="Times New Roman" w:eastAsia="Times New Roman" w:hAnsi="Times New Roman" w:cs="Times New Roman"/>
          <w:b/>
          <w:bCs/>
          <w:kern w:val="28"/>
        </w:rPr>
        <w:tab/>
        <w:t>Pagalbinių medžiagų sąrašas</w:t>
      </w:r>
      <w:bookmarkEnd w:id="47"/>
      <w:bookmarkEnd w:id="48"/>
      <w:r w:rsidRPr="00A0704E">
        <w:rPr>
          <w:rFonts w:ascii="Times New Roman" w:eastAsia="Times New Roman" w:hAnsi="Times New Roman" w:cs="Times New Roman"/>
          <w:b/>
          <w:bCs/>
          <w:kern w:val="28"/>
        </w:rPr>
        <w:fldChar w:fldCharType="begin"/>
      </w:r>
      <w:r w:rsidRPr="00A0704E">
        <w:rPr>
          <w:rFonts w:ascii="Times New Roman" w:eastAsia="Times New Roman" w:hAnsi="Times New Roman" w:cs="Times New Roman"/>
          <w:b/>
          <w:bCs/>
          <w:kern w:val="28"/>
        </w:rPr>
        <w:instrText xml:space="preserve"> DOCVARIABLE vault_nd_97693b2f-820e-4bb9-b1cb-6a887f6a06ea \* MERGEFORMAT </w:instrText>
      </w:r>
      <w:r w:rsidRPr="00A0704E">
        <w:rPr>
          <w:rFonts w:ascii="Times New Roman" w:eastAsia="Times New Roman" w:hAnsi="Times New Roman" w:cs="Times New Roman"/>
          <w:b/>
          <w:bCs/>
          <w:kern w:val="28"/>
        </w:rPr>
        <w:fldChar w:fldCharType="separate"/>
      </w:r>
      <w:r w:rsidRPr="00A0704E">
        <w:rPr>
          <w:rFonts w:ascii="Times New Roman" w:eastAsia="Times New Roman" w:hAnsi="Times New Roman" w:cs="Times New Roman"/>
          <w:b/>
          <w:bCs/>
          <w:kern w:val="28"/>
        </w:rPr>
        <w:t xml:space="preserve"> </w:t>
      </w:r>
      <w:r w:rsidRPr="00A0704E">
        <w:rPr>
          <w:rFonts w:ascii="Times New Roman" w:eastAsia="Times New Roman" w:hAnsi="Times New Roman" w:cs="Times New Roman"/>
          <w:b/>
          <w:bCs/>
          <w:kern w:val="28"/>
        </w:rPr>
        <w:fldChar w:fldCharType="end"/>
      </w:r>
    </w:p>
    <w:p w14:paraId="10DB8E4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1ED25F5"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rPr>
        <w:t xml:space="preserve">Laktozė monohidratas </w:t>
      </w:r>
    </w:p>
    <w:p w14:paraId="11D619C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Kukurūzų krakmolas</w:t>
      </w:r>
    </w:p>
    <w:p w14:paraId="5DA683E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Povidonas </w:t>
      </w:r>
    </w:p>
    <w:p w14:paraId="581E6A97"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Bevandenis koloidinis silicio dioksidas</w:t>
      </w:r>
    </w:p>
    <w:p w14:paraId="21EBF58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Magnio stearatas</w:t>
      </w:r>
    </w:p>
    <w:p w14:paraId="743616C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A13A920" w14:textId="77777777" w:rsidR="00A0704E" w:rsidRPr="00A0704E" w:rsidRDefault="00A0704E" w:rsidP="00A0704E">
      <w:pPr>
        <w:keepNext/>
        <w:keepLines/>
        <w:tabs>
          <w:tab w:val="left" w:pos="567"/>
        </w:tabs>
        <w:spacing w:after="0" w:line="240" w:lineRule="auto"/>
        <w:outlineLvl w:val="2"/>
        <w:rPr>
          <w:rFonts w:ascii="Times New Roman" w:eastAsia="Times New Roman" w:hAnsi="Times New Roman" w:cs="Times New Roman"/>
          <w:b/>
          <w:bCs/>
          <w:kern w:val="28"/>
        </w:rPr>
      </w:pPr>
      <w:bookmarkStart w:id="49" w:name="_Toc129243117"/>
      <w:bookmarkStart w:id="50" w:name="_Toc129243242"/>
      <w:r w:rsidRPr="00A0704E">
        <w:rPr>
          <w:rFonts w:ascii="Times New Roman" w:eastAsia="Times New Roman" w:hAnsi="Times New Roman" w:cs="Times New Roman"/>
          <w:b/>
          <w:bCs/>
          <w:kern w:val="28"/>
        </w:rPr>
        <w:t>6.2</w:t>
      </w:r>
      <w:r w:rsidRPr="00A0704E">
        <w:rPr>
          <w:rFonts w:ascii="Times New Roman" w:eastAsia="Times New Roman" w:hAnsi="Times New Roman" w:cs="Times New Roman"/>
          <w:b/>
          <w:bCs/>
          <w:kern w:val="28"/>
        </w:rPr>
        <w:tab/>
        <w:t>Nesuderinamumas</w:t>
      </w:r>
      <w:bookmarkEnd w:id="49"/>
      <w:bookmarkEnd w:id="50"/>
      <w:r w:rsidRPr="00A0704E">
        <w:rPr>
          <w:rFonts w:ascii="Times New Roman" w:eastAsia="Times New Roman" w:hAnsi="Times New Roman" w:cs="Times New Roman"/>
          <w:b/>
          <w:bCs/>
          <w:kern w:val="28"/>
        </w:rPr>
        <w:fldChar w:fldCharType="begin"/>
      </w:r>
      <w:r w:rsidRPr="00A0704E">
        <w:rPr>
          <w:rFonts w:ascii="Times New Roman" w:eastAsia="Times New Roman" w:hAnsi="Times New Roman" w:cs="Times New Roman"/>
          <w:b/>
          <w:bCs/>
          <w:kern w:val="28"/>
        </w:rPr>
        <w:instrText xml:space="preserve"> DOCVARIABLE vault_nd_12d70ffc-49ad-4b3b-b601-4e7a4d030ef3 \* MERGEFORMAT </w:instrText>
      </w:r>
      <w:r w:rsidRPr="00A0704E">
        <w:rPr>
          <w:rFonts w:ascii="Times New Roman" w:eastAsia="Times New Roman" w:hAnsi="Times New Roman" w:cs="Times New Roman"/>
          <w:b/>
          <w:bCs/>
          <w:kern w:val="28"/>
        </w:rPr>
        <w:fldChar w:fldCharType="separate"/>
      </w:r>
      <w:r w:rsidRPr="00A0704E">
        <w:rPr>
          <w:rFonts w:ascii="Times New Roman" w:eastAsia="Times New Roman" w:hAnsi="Times New Roman" w:cs="Times New Roman"/>
          <w:b/>
          <w:bCs/>
          <w:kern w:val="28"/>
        </w:rPr>
        <w:t xml:space="preserve"> </w:t>
      </w:r>
      <w:r w:rsidRPr="00A0704E">
        <w:rPr>
          <w:rFonts w:ascii="Times New Roman" w:eastAsia="Times New Roman" w:hAnsi="Times New Roman" w:cs="Times New Roman"/>
          <w:b/>
          <w:bCs/>
          <w:kern w:val="28"/>
        </w:rPr>
        <w:fldChar w:fldCharType="end"/>
      </w:r>
    </w:p>
    <w:p w14:paraId="3F4C27B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79B5677"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Duomenys nebūtini.</w:t>
      </w:r>
    </w:p>
    <w:p w14:paraId="4D50F0AA"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52D9701" w14:textId="77777777" w:rsidR="00A0704E" w:rsidRPr="00A0704E" w:rsidRDefault="00A0704E" w:rsidP="00A0704E">
      <w:pPr>
        <w:keepNext/>
        <w:keepLines/>
        <w:tabs>
          <w:tab w:val="left" w:pos="567"/>
        </w:tabs>
        <w:spacing w:after="0" w:line="240" w:lineRule="auto"/>
        <w:outlineLvl w:val="2"/>
        <w:rPr>
          <w:rFonts w:ascii="Times New Roman" w:eastAsia="Times New Roman" w:hAnsi="Times New Roman" w:cs="Times New Roman"/>
          <w:b/>
          <w:bCs/>
          <w:kern w:val="28"/>
        </w:rPr>
      </w:pPr>
      <w:bookmarkStart w:id="51" w:name="_Toc129243118"/>
      <w:bookmarkStart w:id="52" w:name="_Toc129243243"/>
      <w:r w:rsidRPr="00A0704E">
        <w:rPr>
          <w:rFonts w:ascii="Times New Roman" w:eastAsia="Times New Roman" w:hAnsi="Times New Roman" w:cs="Times New Roman"/>
          <w:b/>
          <w:bCs/>
          <w:kern w:val="28"/>
        </w:rPr>
        <w:t>6.3</w:t>
      </w:r>
      <w:r w:rsidRPr="00A0704E">
        <w:rPr>
          <w:rFonts w:ascii="Times New Roman" w:eastAsia="Times New Roman" w:hAnsi="Times New Roman" w:cs="Times New Roman"/>
          <w:b/>
          <w:bCs/>
          <w:kern w:val="28"/>
        </w:rPr>
        <w:tab/>
        <w:t>Tinkamumo laikas</w:t>
      </w:r>
      <w:bookmarkEnd w:id="51"/>
      <w:bookmarkEnd w:id="52"/>
      <w:r w:rsidRPr="00A0704E">
        <w:rPr>
          <w:rFonts w:ascii="Times New Roman" w:eastAsia="Times New Roman" w:hAnsi="Times New Roman" w:cs="Times New Roman"/>
          <w:b/>
          <w:bCs/>
          <w:kern w:val="28"/>
        </w:rPr>
        <w:fldChar w:fldCharType="begin"/>
      </w:r>
      <w:r w:rsidRPr="00A0704E">
        <w:rPr>
          <w:rFonts w:ascii="Times New Roman" w:eastAsia="Times New Roman" w:hAnsi="Times New Roman" w:cs="Times New Roman"/>
          <w:b/>
          <w:bCs/>
          <w:kern w:val="28"/>
        </w:rPr>
        <w:instrText xml:space="preserve"> DOCVARIABLE vault_nd_6aa13ca8-f93d-4f69-a4ef-25ad5b68af8c \* MERGEFORMAT </w:instrText>
      </w:r>
      <w:r w:rsidRPr="00A0704E">
        <w:rPr>
          <w:rFonts w:ascii="Times New Roman" w:eastAsia="Times New Roman" w:hAnsi="Times New Roman" w:cs="Times New Roman"/>
          <w:b/>
          <w:bCs/>
          <w:kern w:val="28"/>
        </w:rPr>
        <w:fldChar w:fldCharType="separate"/>
      </w:r>
      <w:r w:rsidRPr="00A0704E">
        <w:rPr>
          <w:rFonts w:ascii="Times New Roman" w:eastAsia="Times New Roman" w:hAnsi="Times New Roman" w:cs="Times New Roman"/>
          <w:b/>
          <w:bCs/>
          <w:kern w:val="28"/>
        </w:rPr>
        <w:t xml:space="preserve"> </w:t>
      </w:r>
      <w:r w:rsidRPr="00A0704E">
        <w:rPr>
          <w:rFonts w:ascii="Times New Roman" w:eastAsia="Times New Roman" w:hAnsi="Times New Roman" w:cs="Times New Roman"/>
          <w:b/>
          <w:bCs/>
          <w:kern w:val="28"/>
        </w:rPr>
        <w:fldChar w:fldCharType="end"/>
      </w:r>
    </w:p>
    <w:p w14:paraId="3106D4C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E1CF6A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3 metai.</w:t>
      </w:r>
    </w:p>
    <w:p w14:paraId="68307A1A"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6C93241" w14:textId="77777777" w:rsidR="00A0704E" w:rsidRPr="00A0704E" w:rsidRDefault="00A0704E" w:rsidP="00A0704E">
      <w:pPr>
        <w:keepNext/>
        <w:keepLines/>
        <w:tabs>
          <w:tab w:val="left" w:pos="567"/>
        </w:tabs>
        <w:spacing w:after="0" w:line="240" w:lineRule="auto"/>
        <w:outlineLvl w:val="2"/>
        <w:rPr>
          <w:rFonts w:ascii="Times New Roman" w:eastAsia="Times New Roman" w:hAnsi="Times New Roman" w:cs="Times New Roman"/>
          <w:b/>
          <w:bCs/>
          <w:kern w:val="28"/>
        </w:rPr>
      </w:pPr>
      <w:bookmarkStart w:id="53" w:name="_Toc129243119"/>
      <w:bookmarkStart w:id="54" w:name="_Toc129243244"/>
      <w:r w:rsidRPr="00A0704E">
        <w:rPr>
          <w:rFonts w:ascii="Times New Roman" w:eastAsia="Times New Roman" w:hAnsi="Times New Roman" w:cs="Times New Roman"/>
          <w:b/>
          <w:bCs/>
          <w:kern w:val="28"/>
        </w:rPr>
        <w:t>6.4</w:t>
      </w:r>
      <w:r w:rsidRPr="00A0704E">
        <w:rPr>
          <w:rFonts w:ascii="Times New Roman" w:eastAsia="Times New Roman" w:hAnsi="Times New Roman" w:cs="Times New Roman"/>
          <w:b/>
          <w:bCs/>
          <w:kern w:val="28"/>
        </w:rPr>
        <w:tab/>
        <w:t>Specialios laikymo sąlygos</w:t>
      </w:r>
      <w:bookmarkEnd w:id="53"/>
      <w:bookmarkEnd w:id="54"/>
      <w:r w:rsidRPr="00A0704E">
        <w:rPr>
          <w:rFonts w:ascii="Times New Roman" w:eastAsia="Times New Roman" w:hAnsi="Times New Roman" w:cs="Times New Roman"/>
          <w:b/>
          <w:bCs/>
          <w:kern w:val="28"/>
        </w:rPr>
        <w:fldChar w:fldCharType="begin"/>
      </w:r>
      <w:r w:rsidRPr="00A0704E">
        <w:rPr>
          <w:rFonts w:ascii="Times New Roman" w:eastAsia="Times New Roman" w:hAnsi="Times New Roman" w:cs="Times New Roman"/>
          <w:b/>
          <w:bCs/>
          <w:kern w:val="28"/>
        </w:rPr>
        <w:instrText xml:space="preserve"> DOCVARIABLE vault_nd_1445d7f0-9e83-4ac1-9b3b-d3a928721833 \* MERGEFORMAT </w:instrText>
      </w:r>
      <w:r w:rsidRPr="00A0704E">
        <w:rPr>
          <w:rFonts w:ascii="Times New Roman" w:eastAsia="Times New Roman" w:hAnsi="Times New Roman" w:cs="Times New Roman"/>
          <w:b/>
          <w:bCs/>
          <w:kern w:val="28"/>
        </w:rPr>
        <w:fldChar w:fldCharType="separate"/>
      </w:r>
      <w:r w:rsidRPr="00A0704E">
        <w:rPr>
          <w:rFonts w:ascii="Times New Roman" w:eastAsia="Times New Roman" w:hAnsi="Times New Roman" w:cs="Times New Roman"/>
          <w:b/>
          <w:bCs/>
          <w:kern w:val="28"/>
        </w:rPr>
        <w:t xml:space="preserve"> </w:t>
      </w:r>
      <w:r w:rsidRPr="00A0704E">
        <w:rPr>
          <w:rFonts w:ascii="Times New Roman" w:eastAsia="Times New Roman" w:hAnsi="Times New Roman" w:cs="Times New Roman"/>
          <w:b/>
          <w:bCs/>
          <w:kern w:val="28"/>
        </w:rPr>
        <w:fldChar w:fldCharType="end"/>
      </w:r>
    </w:p>
    <w:p w14:paraId="0F99B64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6F3041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Laikyti žemesnėje kaip 30 ºC temperatūroje. Laikyti gamintojo pakuotėje, kad preparatas būtų apsaugotas nuo šviesos.</w:t>
      </w:r>
    </w:p>
    <w:p w14:paraId="03F0733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A81F4A7" w14:textId="77777777" w:rsidR="00A0704E" w:rsidRPr="00A0704E" w:rsidRDefault="00A0704E" w:rsidP="00A0704E">
      <w:pPr>
        <w:keepNext/>
        <w:keepLines/>
        <w:tabs>
          <w:tab w:val="left" w:pos="567"/>
        </w:tabs>
        <w:spacing w:after="0" w:line="240" w:lineRule="auto"/>
        <w:outlineLvl w:val="2"/>
        <w:rPr>
          <w:rFonts w:ascii="Times New Roman" w:eastAsia="Times New Roman" w:hAnsi="Times New Roman" w:cs="Times New Roman"/>
          <w:b/>
          <w:bCs/>
          <w:kern w:val="28"/>
        </w:rPr>
      </w:pPr>
      <w:bookmarkStart w:id="55" w:name="_Toc129243120"/>
      <w:bookmarkStart w:id="56" w:name="_Toc129243245"/>
      <w:r w:rsidRPr="00A0704E">
        <w:rPr>
          <w:rFonts w:ascii="Times New Roman" w:eastAsia="Times New Roman" w:hAnsi="Times New Roman" w:cs="Times New Roman"/>
          <w:b/>
          <w:bCs/>
          <w:kern w:val="28"/>
        </w:rPr>
        <w:t>6.5</w:t>
      </w:r>
      <w:r w:rsidRPr="00A0704E">
        <w:rPr>
          <w:rFonts w:ascii="Times New Roman" w:eastAsia="Times New Roman" w:hAnsi="Times New Roman" w:cs="Times New Roman"/>
          <w:b/>
          <w:bCs/>
          <w:kern w:val="28"/>
        </w:rPr>
        <w:tab/>
        <w:t>Talpyklės pobūdis ir jos turinys</w:t>
      </w:r>
      <w:bookmarkEnd w:id="55"/>
      <w:bookmarkEnd w:id="56"/>
      <w:r w:rsidRPr="00A0704E">
        <w:rPr>
          <w:rFonts w:ascii="Times New Roman" w:eastAsia="Times New Roman" w:hAnsi="Times New Roman" w:cs="Times New Roman"/>
          <w:b/>
          <w:bCs/>
          <w:kern w:val="28"/>
        </w:rPr>
        <w:fldChar w:fldCharType="begin"/>
      </w:r>
      <w:r w:rsidRPr="00A0704E">
        <w:rPr>
          <w:rFonts w:ascii="Times New Roman" w:eastAsia="Times New Roman" w:hAnsi="Times New Roman" w:cs="Times New Roman"/>
          <w:b/>
          <w:bCs/>
          <w:kern w:val="28"/>
        </w:rPr>
        <w:instrText xml:space="preserve"> DOCVARIABLE vault_nd_8c662aa4-6081-4060-8e8c-f10aeb22a47e \* MERGEFORMAT </w:instrText>
      </w:r>
      <w:r w:rsidRPr="00A0704E">
        <w:rPr>
          <w:rFonts w:ascii="Times New Roman" w:eastAsia="Times New Roman" w:hAnsi="Times New Roman" w:cs="Times New Roman"/>
          <w:b/>
          <w:bCs/>
          <w:kern w:val="28"/>
        </w:rPr>
        <w:fldChar w:fldCharType="separate"/>
      </w:r>
      <w:r w:rsidRPr="00A0704E">
        <w:rPr>
          <w:rFonts w:ascii="Times New Roman" w:eastAsia="Times New Roman" w:hAnsi="Times New Roman" w:cs="Times New Roman"/>
          <w:b/>
          <w:bCs/>
          <w:kern w:val="28"/>
        </w:rPr>
        <w:t xml:space="preserve"> </w:t>
      </w:r>
      <w:r w:rsidRPr="00A0704E">
        <w:rPr>
          <w:rFonts w:ascii="Times New Roman" w:eastAsia="Times New Roman" w:hAnsi="Times New Roman" w:cs="Times New Roman"/>
          <w:b/>
          <w:bCs/>
          <w:kern w:val="28"/>
        </w:rPr>
        <w:fldChar w:fldCharType="end"/>
      </w:r>
    </w:p>
    <w:p w14:paraId="2693906C"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06184C57" w14:textId="77777777" w:rsidR="00A0704E" w:rsidRPr="00A0704E" w:rsidRDefault="00A0704E" w:rsidP="00A0704E">
      <w:pPr>
        <w:tabs>
          <w:tab w:val="left" w:pos="567"/>
        </w:tabs>
        <w:spacing w:after="0" w:line="240" w:lineRule="auto"/>
        <w:rPr>
          <w:rFonts w:ascii="Times New Roman" w:eastAsia="Times New Roman" w:hAnsi="Times New Roman" w:cs="Times New Roman"/>
          <w:color w:val="000000"/>
        </w:rPr>
      </w:pPr>
      <w:r w:rsidRPr="00A0704E">
        <w:rPr>
          <w:rFonts w:ascii="Times New Roman" w:eastAsia="Times New Roman" w:hAnsi="Times New Roman" w:cs="Times New Roman"/>
          <w:color w:val="000000"/>
        </w:rPr>
        <w:t>PVC/Al lizdinė plokštelė, kurioje yra 15 tablečių. Kartono dėžutėje yra 30 tablečių.</w:t>
      </w:r>
    </w:p>
    <w:p w14:paraId="6D35558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2203261" w14:textId="77777777" w:rsidR="00A0704E" w:rsidRPr="00A0704E" w:rsidRDefault="00A0704E" w:rsidP="00A0704E">
      <w:pPr>
        <w:keepNext/>
        <w:keepLines/>
        <w:tabs>
          <w:tab w:val="left" w:pos="567"/>
        </w:tabs>
        <w:spacing w:after="0" w:line="240" w:lineRule="auto"/>
        <w:outlineLvl w:val="2"/>
        <w:rPr>
          <w:rFonts w:ascii="Times New Roman" w:eastAsia="Times New Roman" w:hAnsi="Times New Roman" w:cs="Times New Roman"/>
          <w:b/>
          <w:bCs/>
          <w:kern w:val="28"/>
        </w:rPr>
      </w:pPr>
      <w:bookmarkStart w:id="57" w:name="_Toc129243121"/>
      <w:bookmarkStart w:id="58" w:name="_Toc129243246"/>
      <w:r w:rsidRPr="00A0704E">
        <w:rPr>
          <w:rFonts w:ascii="Times New Roman" w:eastAsia="Times New Roman" w:hAnsi="Times New Roman" w:cs="Times New Roman"/>
          <w:b/>
          <w:bCs/>
          <w:kern w:val="28"/>
        </w:rPr>
        <w:t>6.6</w:t>
      </w:r>
      <w:r w:rsidRPr="00A0704E">
        <w:rPr>
          <w:rFonts w:ascii="Times New Roman" w:eastAsia="Times New Roman" w:hAnsi="Times New Roman" w:cs="Times New Roman"/>
          <w:b/>
          <w:bCs/>
          <w:kern w:val="28"/>
        </w:rPr>
        <w:tab/>
        <w:t>Specialūs reikalavimai atliekoms tvarkyti</w:t>
      </w:r>
      <w:bookmarkEnd w:id="57"/>
      <w:bookmarkEnd w:id="58"/>
      <w:r w:rsidRPr="00A0704E">
        <w:rPr>
          <w:rFonts w:ascii="Times New Roman" w:eastAsia="Times New Roman" w:hAnsi="Times New Roman" w:cs="Times New Roman"/>
          <w:b/>
          <w:bCs/>
          <w:kern w:val="28"/>
        </w:rPr>
        <w:fldChar w:fldCharType="begin"/>
      </w:r>
      <w:r w:rsidRPr="00A0704E">
        <w:rPr>
          <w:rFonts w:ascii="Times New Roman" w:eastAsia="Times New Roman" w:hAnsi="Times New Roman" w:cs="Times New Roman"/>
          <w:b/>
          <w:bCs/>
          <w:kern w:val="28"/>
        </w:rPr>
        <w:instrText xml:space="preserve"> DOCVARIABLE vault_nd_7a6392e6-e679-4699-b9e4-270c13cbe274 \* MERGEFORMAT </w:instrText>
      </w:r>
      <w:r w:rsidRPr="00A0704E">
        <w:rPr>
          <w:rFonts w:ascii="Times New Roman" w:eastAsia="Times New Roman" w:hAnsi="Times New Roman" w:cs="Times New Roman"/>
          <w:b/>
          <w:bCs/>
          <w:kern w:val="28"/>
        </w:rPr>
        <w:fldChar w:fldCharType="separate"/>
      </w:r>
      <w:r w:rsidRPr="00A0704E">
        <w:rPr>
          <w:rFonts w:ascii="Times New Roman" w:eastAsia="Times New Roman" w:hAnsi="Times New Roman" w:cs="Times New Roman"/>
          <w:b/>
          <w:bCs/>
          <w:kern w:val="28"/>
        </w:rPr>
        <w:t xml:space="preserve"> </w:t>
      </w:r>
      <w:r w:rsidRPr="00A0704E">
        <w:rPr>
          <w:rFonts w:ascii="Times New Roman" w:eastAsia="Times New Roman" w:hAnsi="Times New Roman" w:cs="Times New Roman"/>
          <w:b/>
          <w:bCs/>
          <w:kern w:val="28"/>
        </w:rPr>
        <w:fldChar w:fldCharType="end"/>
      </w:r>
    </w:p>
    <w:p w14:paraId="18398E9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31F875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Specialių reikalavimų nėra.</w:t>
      </w:r>
    </w:p>
    <w:p w14:paraId="1B985B65"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EF6E11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0273B47" w14:textId="77777777" w:rsidR="00A0704E" w:rsidRPr="00A0704E" w:rsidRDefault="00A0704E" w:rsidP="00A0704E">
      <w:pPr>
        <w:tabs>
          <w:tab w:val="left" w:pos="567"/>
        </w:tabs>
        <w:spacing w:after="0" w:line="240" w:lineRule="auto"/>
        <w:rPr>
          <w:rFonts w:ascii="Times New Roman" w:eastAsia="Times New Roman" w:hAnsi="Times New Roman" w:cs="Times New Roman"/>
          <w:b/>
        </w:rPr>
      </w:pPr>
      <w:bookmarkStart w:id="59" w:name="_Toc129243122"/>
      <w:bookmarkStart w:id="60" w:name="_Toc129243247"/>
      <w:r w:rsidRPr="00A0704E">
        <w:rPr>
          <w:rFonts w:ascii="Times New Roman" w:eastAsia="Times New Roman" w:hAnsi="Times New Roman" w:cs="Times New Roman"/>
          <w:b/>
        </w:rPr>
        <w:t>7.</w:t>
      </w:r>
      <w:r w:rsidRPr="00A0704E">
        <w:rPr>
          <w:rFonts w:ascii="Times New Roman" w:eastAsia="Times New Roman" w:hAnsi="Times New Roman" w:cs="Times New Roman"/>
          <w:b/>
        </w:rPr>
        <w:tab/>
        <w:t>REGISTRUOTOJAS</w:t>
      </w:r>
      <w:bookmarkEnd w:id="59"/>
      <w:bookmarkEnd w:id="60"/>
    </w:p>
    <w:p w14:paraId="1C19E48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5C109FA" w14:textId="77777777" w:rsidR="006B7B13" w:rsidRPr="007B692E" w:rsidRDefault="006B7B13" w:rsidP="006B7B13">
      <w:pPr>
        <w:spacing w:after="0" w:line="240" w:lineRule="auto"/>
        <w:rPr>
          <w:rFonts w:ascii="Times New Roman" w:eastAsia="Times New Roman" w:hAnsi="Times New Roman"/>
        </w:rPr>
      </w:pPr>
      <w:r w:rsidRPr="007B692E">
        <w:rPr>
          <w:rFonts w:ascii="Times New Roman" w:eastAsia="Times New Roman" w:hAnsi="Times New Roman"/>
        </w:rPr>
        <w:t>Sanofi Winthrop Industrie</w:t>
      </w:r>
    </w:p>
    <w:p w14:paraId="49A8895F" w14:textId="77777777" w:rsidR="006B7B13" w:rsidRPr="007B692E" w:rsidRDefault="006B7B13" w:rsidP="006B7B13">
      <w:pPr>
        <w:spacing w:after="0" w:line="240" w:lineRule="auto"/>
        <w:rPr>
          <w:rFonts w:ascii="Times New Roman" w:eastAsia="Times New Roman" w:hAnsi="Times New Roman"/>
        </w:rPr>
      </w:pPr>
      <w:r w:rsidRPr="007B692E">
        <w:rPr>
          <w:rFonts w:ascii="Times New Roman" w:eastAsia="Times New Roman" w:hAnsi="Times New Roman"/>
        </w:rPr>
        <w:t>82, avenue Raspail</w:t>
      </w:r>
    </w:p>
    <w:p w14:paraId="61AADB46" w14:textId="77777777" w:rsidR="006B7B13" w:rsidRPr="007B692E" w:rsidRDefault="006B7B13" w:rsidP="006B7B13">
      <w:pPr>
        <w:spacing w:after="0" w:line="240" w:lineRule="auto"/>
        <w:rPr>
          <w:rFonts w:ascii="Times New Roman" w:eastAsia="Times New Roman" w:hAnsi="Times New Roman"/>
        </w:rPr>
      </w:pPr>
      <w:r w:rsidRPr="007B692E">
        <w:rPr>
          <w:rFonts w:ascii="Times New Roman" w:eastAsia="Times New Roman" w:hAnsi="Times New Roman"/>
        </w:rPr>
        <w:t>94250 Gentilly</w:t>
      </w:r>
    </w:p>
    <w:p w14:paraId="7C22DAFC" w14:textId="72AAFD7E" w:rsidR="006B047B" w:rsidRPr="006B047B" w:rsidRDefault="006B7B13" w:rsidP="006B7B13">
      <w:pPr>
        <w:spacing w:after="0" w:line="240" w:lineRule="auto"/>
        <w:rPr>
          <w:rFonts w:ascii="Times New Roman" w:hAnsi="Times New Roman" w:cs="Times New Roman"/>
        </w:rPr>
      </w:pPr>
      <w:r w:rsidRPr="007B692E">
        <w:rPr>
          <w:rFonts w:ascii="Times New Roman" w:hAnsi="Times New Roman"/>
        </w:rPr>
        <w:t>Prancūzija</w:t>
      </w:r>
    </w:p>
    <w:p w14:paraId="581AC516" w14:textId="77777777" w:rsidR="00A0704E" w:rsidRPr="006B047B" w:rsidRDefault="00A0704E" w:rsidP="006B047B">
      <w:pPr>
        <w:tabs>
          <w:tab w:val="left" w:pos="567"/>
        </w:tabs>
        <w:spacing w:after="0" w:line="240" w:lineRule="auto"/>
        <w:rPr>
          <w:rFonts w:ascii="Times New Roman" w:eastAsia="Times New Roman" w:hAnsi="Times New Roman" w:cs="Times New Roman"/>
        </w:rPr>
      </w:pPr>
    </w:p>
    <w:p w14:paraId="1607B363" w14:textId="77777777" w:rsidR="00A0704E" w:rsidRPr="006B047B" w:rsidRDefault="00A0704E" w:rsidP="006B047B">
      <w:pPr>
        <w:tabs>
          <w:tab w:val="left" w:pos="567"/>
        </w:tabs>
        <w:spacing w:after="0" w:line="240" w:lineRule="auto"/>
        <w:rPr>
          <w:rFonts w:ascii="Times New Roman" w:eastAsia="Times New Roman" w:hAnsi="Times New Roman" w:cs="Times New Roman"/>
        </w:rPr>
      </w:pPr>
    </w:p>
    <w:p w14:paraId="4079A100" w14:textId="77777777" w:rsidR="00A0704E" w:rsidRPr="00A0704E" w:rsidRDefault="00A0704E" w:rsidP="00A0704E">
      <w:pPr>
        <w:tabs>
          <w:tab w:val="left" w:pos="567"/>
        </w:tabs>
        <w:spacing w:after="0" w:line="240" w:lineRule="auto"/>
        <w:rPr>
          <w:rFonts w:ascii="Times New Roman" w:eastAsia="Times New Roman" w:hAnsi="Times New Roman" w:cs="Times New Roman"/>
          <w:b/>
        </w:rPr>
      </w:pPr>
      <w:bookmarkStart w:id="61" w:name="_Toc129243123"/>
      <w:bookmarkStart w:id="62" w:name="_Toc129243248"/>
      <w:r w:rsidRPr="00A0704E">
        <w:rPr>
          <w:rFonts w:ascii="Times New Roman" w:eastAsia="Times New Roman" w:hAnsi="Times New Roman" w:cs="Times New Roman"/>
          <w:b/>
        </w:rPr>
        <w:t>8.</w:t>
      </w:r>
      <w:r w:rsidRPr="00A0704E">
        <w:rPr>
          <w:rFonts w:ascii="Times New Roman" w:eastAsia="Times New Roman" w:hAnsi="Times New Roman" w:cs="Times New Roman"/>
          <w:b/>
        </w:rPr>
        <w:tab/>
        <w:t>REGISTRACIJOS PAŽYMĖJIMO NUMERIS</w:t>
      </w:r>
      <w:bookmarkEnd w:id="61"/>
      <w:bookmarkEnd w:id="62"/>
      <w:r w:rsidRPr="00A0704E">
        <w:rPr>
          <w:rFonts w:ascii="Times New Roman" w:eastAsia="Times New Roman" w:hAnsi="Times New Roman" w:cs="Times New Roman"/>
          <w:b/>
        </w:rPr>
        <w:t xml:space="preserve"> (-IAI)</w:t>
      </w:r>
    </w:p>
    <w:p w14:paraId="15225425"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102CC6E" w14:textId="77777777" w:rsidR="00A0704E" w:rsidRPr="00A0704E" w:rsidRDefault="00A0704E" w:rsidP="00A0704E">
      <w:pPr>
        <w:tabs>
          <w:tab w:val="left" w:pos="567"/>
        </w:tabs>
        <w:spacing w:after="0" w:line="240" w:lineRule="auto"/>
        <w:rPr>
          <w:rFonts w:ascii="Times New Roman" w:eastAsia="Times New Roman" w:hAnsi="Times New Roman" w:cs="Times New Roman"/>
          <w:caps/>
        </w:rPr>
      </w:pPr>
      <w:r w:rsidRPr="00A0704E">
        <w:rPr>
          <w:rFonts w:ascii="Times New Roman" w:eastAsia="Times New Roman" w:hAnsi="Times New Roman" w:cs="Times New Roman"/>
          <w:caps/>
        </w:rPr>
        <w:t>LT/1/96/1502/001</w:t>
      </w:r>
    </w:p>
    <w:p w14:paraId="4369929E"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42A9E8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20F6BF1" w14:textId="77777777" w:rsidR="00A0704E" w:rsidRPr="00A0704E" w:rsidRDefault="00A0704E" w:rsidP="00A0704E">
      <w:pPr>
        <w:tabs>
          <w:tab w:val="left" w:pos="567"/>
        </w:tabs>
        <w:spacing w:after="0" w:line="240" w:lineRule="auto"/>
        <w:rPr>
          <w:rFonts w:ascii="Times New Roman" w:eastAsia="Times New Roman" w:hAnsi="Times New Roman" w:cs="Times New Roman"/>
          <w:b/>
        </w:rPr>
      </w:pPr>
      <w:bookmarkStart w:id="63" w:name="_Toc129243124"/>
      <w:bookmarkStart w:id="64" w:name="_Toc129243249"/>
      <w:r w:rsidRPr="00A0704E">
        <w:rPr>
          <w:rFonts w:ascii="Times New Roman" w:eastAsia="Times New Roman" w:hAnsi="Times New Roman" w:cs="Times New Roman"/>
          <w:b/>
        </w:rPr>
        <w:t>9.</w:t>
      </w:r>
      <w:r w:rsidRPr="00A0704E">
        <w:rPr>
          <w:rFonts w:ascii="Times New Roman" w:eastAsia="Times New Roman" w:hAnsi="Times New Roman" w:cs="Times New Roman"/>
          <w:b/>
        </w:rPr>
        <w:tab/>
        <w:t>REGISTRAVIMO / PERREGISTRAVIMO DATA</w:t>
      </w:r>
      <w:bookmarkEnd w:id="63"/>
      <w:bookmarkEnd w:id="64"/>
    </w:p>
    <w:p w14:paraId="14ACD56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5842DAE" w14:textId="77777777" w:rsidR="00A0704E" w:rsidRPr="00A0704E" w:rsidRDefault="00A0704E" w:rsidP="00A0704E">
      <w:pPr>
        <w:tabs>
          <w:tab w:val="left" w:pos="567"/>
        </w:tabs>
        <w:spacing w:after="0" w:line="240" w:lineRule="auto"/>
        <w:jc w:val="both"/>
        <w:rPr>
          <w:rFonts w:ascii="Times New Roman" w:eastAsia="Times New Roman" w:hAnsi="Times New Roman" w:cs="Times New Roman"/>
        </w:rPr>
      </w:pPr>
      <w:r w:rsidRPr="00A0704E">
        <w:rPr>
          <w:rFonts w:ascii="Times New Roman" w:eastAsia="Times New Roman" w:hAnsi="Times New Roman" w:cs="Times New Roman"/>
        </w:rPr>
        <w:t xml:space="preserve">Registravimo data 1996 m. vasario 15 d. </w:t>
      </w:r>
    </w:p>
    <w:p w14:paraId="7AD954C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Paskutinio perregistravimo data 2009 m. balandžio 01 d.</w:t>
      </w:r>
    </w:p>
    <w:p w14:paraId="7E9778EA"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406A29F" w14:textId="77777777" w:rsidR="00A0704E" w:rsidRPr="00A0704E" w:rsidRDefault="00A0704E" w:rsidP="00A0704E">
      <w:pPr>
        <w:spacing w:after="0" w:line="240" w:lineRule="auto"/>
        <w:rPr>
          <w:rFonts w:ascii="Times New Roman" w:eastAsia="Times New Roman" w:hAnsi="Times New Roman" w:cs="Times New Roman"/>
        </w:rPr>
      </w:pPr>
    </w:p>
    <w:p w14:paraId="5D9959BE" w14:textId="77777777" w:rsidR="00A0704E" w:rsidRPr="00A0704E" w:rsidRDefault="00A0704E" w:rsidP="00A0704E">
      <w:pPr>
        <w:tabs>
          <w:tab w:val="left" w:pos="567"/>
        </w:tabs>
        <w:spacing w:after="0" w:line="240" w:lineRule="auto"/>
        <w:rPr>
          <w:rFonts w:ascii="Times New Roman" w:eastAsia="Times New Roman" w:hAnsi="Times New Roman" w:cs="Times New Roman"/>
          <w:b/>
        </w:rPr>
      </w:pPr>
      <w:bookmarkStart w:id="65" w:name="_Toc129243125"/>
      <w:bookmarkStart w:id="66" w:name="_Toc129243250"/>
      <w:r w:rsidRPr="00A0704E">
        <w:rPr>
          <w:rFonts w:ascii="Times New Roman" w:eastAsia="Times New Roman" w:hAnsi="Times New Roman" w:cs="Times New Roman"/>
          <w:b/>
        </w:rPr>
        <w:t>10.</w:t>
      </w:r>
      <w:r w:rsidRPr="00A0704E">
        <w:rPr>
          <w:rFonts w:ascii="Times New Roman" w:eastAsia="Times New Roman" w:hAnsi="Times New Roman" w:cs="Times New Roman"/>
          <w:b/>
        </w:rPr>
        <w:tab/>
        <w:t>TEKSTO PERŽIŪROS DATA</w:t>
      </w:r>
      <w:bookmarkEnd w:id="65"/>
      <w:bookmarkEnd w:id="66"/>
    </w:p>
    <w:p w14:paraId="5F14BFC3"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7EBE153" w14:textId="77777777" w:rsidR="006B7B13" w:rsidRPr="00E77FDC" w:rsidRDefault="006B7B13" w:rsidP="006B7B13">
      <w:pPr>
        <w:spacing w:after="0" w:line="240" w:lineRule="auto"/>
        <w:rPr>
          <w:rFonts w:ascii="Times New Roman" w:eastAsia="MS Mincho" w:hAnsi="Times New Roman"/>
        </w:rPr>
      </w:pPr>
      <w:r w:rsidRPr="00E77FDC">
        <w:rPr>
          <w:rFonts w:ascii="Times New Roman" w:eastAsia="MS Mincho" w:hAnsi="Times New Roman"/>
        </w:rPr>
        <w:t>2023 m. liepos 15 d.</w:t>
      </w:r>
    </w:p>
    <w:p w14:paraId="42DD70DC" w14:textId="77777777" w:rsidR="007A18FA" w:rsidRPr="00A0704E" w:rsidRDefault="007A18FA" w:rsidP="00A0704E">
      <w:pPr>
        <w:spacing w:after="0" w:line="240" w:lineRule="auto"/>
        <w:rPr>
          <w:rFonts w:ascii="Times New Roman" w:eastAsia="Times New Roman" w:hAnsi="Times New Roman" w:cs="Times New Roman"/>
        </w:rPr>
      </w:pPr>
    </w:p>
    <w:p w14:paraId="27F81B9A"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Išsami informacija apie šį vaistinį preparatą pateikiama Valstybinės vaistų kontrolės tarnybos prie Lietuvos Respublikos sveikatos apsaugos ministerijos tinklapyje </w:t>
      </w:r>
      <w:hyperlink r:id="rId9" w:history="1">
        <w:r w:rsidRPr="00A0704E">
          <w:rPr>
            <w:rFonts w:ascii="Times New Roman" w:eastAsia="Times New Roman" w:hAnsi="Times New Roman" w:cs="Times New Roman"/>
            <w:color w:val="0000FF"/>
            <w:u w:val="single"/>
          </w:rPr>
          <w:t>http://www.vvkt.lt/</w:t>
        </w:r>
      </w:hyperlink>
      <w:r w:rsidRPr="00A0704E">
        <w:rPr>
          <w:rFonts w:ascii="Times New Roman" w:eastAsia="Times New Roman" w:hAnsi="Times New Roman" w:cs="Times New Roman"/>
          <w:color w:val="0000FF"/>
        </w:rPr>
        <w:t xml:space="preserve"> </w:t>
      </w:r>
    </w:p>
    <w:p w14:paraId="7447A3D5"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B6507C1" w14:textId="77777777" w:rsidR="00A0704E" w:rsidRPr="00A0704E" w:rsidRDefault="00A0704E" w:rsidP="00A0704E">
      <w:pPr>
        <w:spacing w:after="200" w:line="276" w:lineRule="auto"/>
        <w:rPr>
          <w:rFonts w:ascii="Times New Roman" w:eastAsia="Times New Roman" w:hAnsi="Times New Roman" w:cs="Times New Roman"/>
        </w:rPr>
      </w:pPr>
      <w:r w:rsidRPr="00A0704E">
        <w:rPr>
          <w:rFonts w:ascii="Times New Roman" w:eastAsia="Times New Roman" w:hAnsi="Times New Roman" w:cs="Times New Roman"/>
        </w:rPr>
        <w:br w:type="page"/>
      </w:r>
    </w:p>
    <w:p w14:paraId="6DE76E2C"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27A7FF3"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08B71C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097E935"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EDA65E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B842BF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89806BD"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B47503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9DDE3E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07C706E"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00F1F43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D31D98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C733F8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C58EC6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0A729E9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A39BE0C"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43CB3FE"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p>
    <w:p w14:paraId="67D1E4B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A416C8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AEE05A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85CE7B5"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F32027C"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p>
    <w:p w14:paraId="3C96594A"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p>
    <w:p w14:paraId="6EEC4AAA"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r w:rsidRPr="00A0704E">
        <w:rPr>
          <w:rFonts w:ascii="Times New Roman" w:eastAsia="Times New Roman" w:hAnsi="Times New Roman" w:cs="Times New Roman"/>
          <w:b/>
          <w:caps/>
        </w:rPr>
        <w:t>II PRIEDAS</w:t>
      </w:r>
      <w:r w:rsidRPr="00A0704E">
        <w:rPr>
          <w:rFonts w:ascii="Times New Roman" w:eastAsia="Times New Roman" w:hAnsi="Times New Roman" w:cs="Times New Roman"/>
          <w:b/>
          <w:caps/>
        </w:rPr>
        <w:fldChar w:fldCharType="begin"/>
      </w:r>
      <w:r w:rsidRPr="00A0704E">
        <w:rPr>
          <w:rFonts w:ascii="Times New Roman" w:eastAsia="Times New Roman" w:hAnsi="Times New Roman" w:cs="Times New Roman"/>
          <w:b/>
          <w:caps/>
        </w:rPr>
        <w:instrText xml:space="preserve"> DOCVARIABLE VAULT_ND_1a1124c1-059c-4f71-94ee-bd6489f65b41 \* MERGEFORMAT </w:instrText>
      </w:r>
      <w:r w:rsidRPr="00A0704E">
        <w:rPr>
          <w:rFonts w:ascii="Times New Roman" w:eastAsia="Times New Roman" w:hAnsi="Times New Roman" w:cs="Times New Roman"/>
          <w:b/>
          <w:caps/>
        </w:rPr>
        <w:fldChar w:fldCharType="separate"/>
      </w:r>
      <w:r w:rsidRPr="00A0704E">
        <w:rPr>
          <w:rFonts w:ascii="Times New Roman" w:eastAsia="Times New Roman" w:hAnsi="Times New Roman" w:cs="Times New Roman"/>
          <w:b/>
          <w:caps/>
        </w:rPr>
        <w:t xml:space="preserve"> </w:t>
      </w:r>
      <w:r w:rsidRPr="00A0704E">
        <w:rPr>
          <w:rFonts w:ascii="Times New Roman" w:eastAsia="Times New Roman" w:hAnsi="Times New Roman" w:cs="Times New Roman"/>
          <w:b/>
          <w:caps/>
        </w:rPr>
        <w:fldChar w:fldCharType="end"/>
      </w:r>
    </w:p>
    <w:p w14:paraId="79F95357"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p>
    <w:p w14:paraId="6CFF2CE9"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r w:rsidRPr="00A0704E">
        <w:rPr>
          <w:rFonts w:ascii="Times New Roman" w:eastAsia="Times New Roman" w:hAnsi="Times New Roman" w:cs="Times New Roman"/>
          <w:b/>
          <w:caps/>
        </w:rPr>
        <w:t>REGISTRACIJOS SĄLYGOS</w:t>
      </w:r>
      <w:r w:rsidRPr="00A0704E">
        <w:rPr>
          <w:rFonts w:ascii="Times New Roman" w:eastAsia="Times New Roman" w:hAnsi="Times New Roman" w:cs="Times New Roman"/>
          <w:b/>
          <w:caps/>
        </w:rPr>
        <w:fldChar w:fldCharType="begin"/>
      </w:r>
      <w:r w:rsidRPr="00A0704E">
        <w:rPr>
          <w:rFonts w:ascii="Times New Roman" w:eastAsia="Times New Roman" w:hAnsi="Times New Roman" w:cs="Times New Roman"/>
          <w:b/>
          <w:caps/>
        </w:rPr>
        <w:instrText xml:space="preserve"> DOCVARIABLE VAULT_ND_fd6a068b-4327-4d77-996e-f6f2ac509812 \* MERGEFORMAT </w:instrText>
      </w:r>
      <w:r w:rsidRPr="00A0704E">
        <w:rPr>
          <w:rFonts w:ascii="Times New Roman" w:eastAsia="Times New Roman" w:hAnsi="Times New Roman" w:cs="Times New Roman"/>
          <w:b/>
          <w:caps/>
        </w:rPr>
        <w:fldChar w:fldCharType="separate"/>
      </w:r>
      <w:r w:rsidRPr="00A0704E">
        <w:rPr>
          <w:rFonts w:ascii="Times New Roman" w:eastAsia="Times New Roman" w:hAnsi="Times New Roman" w:cs="Times New Roman"/>
          <w:b/>
          <w:caps/>
        </w:rPr>
        <w:t xml:space="preserve"> </w:t>
      </w:r>
      <w:r w:rsidRPr="00A0704E">
        <w:rPr>
          <w:rFonts w:ascii="Times New Roman" w:eastAsia="Times New Roman" w:hAnsi="Times New Roman" w:cs="Times New Roman"/>
          <w:b/>
          <w:caps/>
        </w:rPr>
        <w:fldChar w:fldCharType="end"/>
      </w:r>
    </w:p>
    <w:p w14:paraId="146ACDAD"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0611008" w14:textId="77777777" w:rsidR="00A0704E" w:rsidRPr="00A0704E" w:rsidRDefault="00A0704E" w:rsidP="00A0704E">
      <w:pPr>
        <w:tabs>
          <w:tab w:val="left" w:pos="567"/>
          <w:tab w:val="left" w:pos="1701"/>
        </w:tabs>
        <w:spacing w:after="0" w:line="240" w:lineRule="auto"/>
        <w:ind w:left="1134"/>
        <w:rPr>
          <w:rFonts w:ascii="Times New Roman" w:eastAsia="Times New Roman" w:hAnsi="Times New Roman" w:cs="Times New Roman"/>
          <w:b/>
          <w:highlight w:val="yellow"/>
        </w:rPr>
      </w:pPr>
      <w:r w:rsidRPr="00A0704E">
        <w:rPr>
          <w:rFonts w:ascii="Times New Roman" w:eastAsia="Times New Roman" w:hAnsi="Times New Roman" w:cs="Times New Roman"/>
          <w:b/>
        </w:rPr>
        <w:t>A.</w:t>
      </w:r>
      <w:r w:rsidRPr="00A0704E">
        <w:rPr>
          <w:rFonts w:ascii="Times New Roman" w:eastAsia="Times New Roman" w:hAnsi="Times New Roman" w:cs="Times New Roman"/>
          <w:b/>
        </w:rPr>
        <w:tab/>
        <w:t>GAMINTOJAS (-AI), ATSAKINGAS (-I) UŽ SERIJŲ IŠLEIDIMĄ</w:t>
      </w:r>
    </w:p>
    <w:p w14:paraId="06B0E6DD" w14:textId="77777777" w:rsidR="00A0704E" w:rsidRPr="00A0704E" w:rsidRDefault="00A0704E" w:rsidP="00A0704E">
      <w:pPr>
        <w:tabs>
          <w:tab w:val="left" w:pos="567"/>
          <w:tab w:val="left" w:pos="1701"/>
        </w:tabs>
        <w:spacing w:after="0" w:line="240" w:lineRule="auto"/>
        <w:ind w:left="1134"/>
        <w:rPr>
          <w:rFonts w:ascii="Times New Roman" w:eastAsia="Times New Roman" w:hAnsi="Times New Roman" w:cs="Times New Roman"/>
          <w:b/>
          <w:highlight w:val="yellow"/>
        </w:rPr>
      </w:pPr>
    </w:p>
    <w:p w14:paraId="4B956B99" w14:textId="77777777" w:rsidR="00A0704E" w:rsidRPr="00A0704E" w:rsidRDefault="00A0704E" w:rsidP="00A0704E">
      <w:pPr>
        <w:tabs>
          <w:tab w:val="left" w:pos="567"/>
          <w:tab w:val="left" w:pos="1701"/>
        </w:tabs>
        <w:spacing w:after="0" w:line="240" w:lineRule="auto"/>
        <w:ind w:left="1134"/>
        <w:rPr>
          <w:rFonts w:ascii="Times New Roman" w:eastAsia="Times New Roman" w:hAnsi="Times New Roman" w:cs="Times New Roman"/>
          <w:b/>
        </w:rPr>
      </w:pPr>
      <w:r w:rsidRPr="00A0704E">
        <w:rPr>
          <w:rFonts w:ascii="Times New Roman" w:eastAsia="Times New Roman" w:hAnsi="Times New Roman" w:cs="Times New Roman"/>
          <w:b/>
        </w:rPr>
        <w:t>B.</w:t>
      </w:r>
      <w:r w:rsidRPr="00A0704E">
        <w:rPr>
          <w:rFonts w:ascii="Times New Roman" w:eastAsia="Times New Roman" w:hAnsi="Times New Roman" w:cs="Times New Roman"/>
          <w:b/>
        </w:rPr>
        <w:tab/>
        <w:t>TIEKIMO IR VARTOJIMO SĄLYGOS AR APRIBOJIMAI</w:t>
      </w:r>
    </w:p>
    <w:p w14:paraId="3E4DB914" w14:textId="77777777" w:rsidR="00A0704E" w:rsidRPr="00A0704E" w:rsidRDefault="00A0704E" w:rsidP="00A0704E">
      <w:pPr>
        <w:tabs>
          <w:tab w:val="left" w:pos="567"/>
          <w:tab w:val="left" w:pos="1701"/>
        </w:tabs>
        <w:spacing w:after="0" w:line="240" w:lineRule="auto"/>
        <w:ind w:left="1134"/>
        <w:rPr>
          <w:rFonts w:ascii="Times New Roman" w:eastAsia="Times New Roman" w:hAnsi="Times New Roman" w:cs="Times New Roman"/>
          <w:b/>
        </w:rPr>
      </w:pPr>
    </w:p>
    <w:p w14:paraId="46C20EB4" w14:textId="77777777" w:rsidR="00A0704E" w:rsidRPr="00A0704E" w:rsidRDefault="00A0704E" w:rsidP="00A0704E">
      <w:pPr>
        <w:tabs>
          <w:tab w:val="left" w:pos="567"/>
        </w:tabs>
        <w:spacing w:after="0" w:line="240" w:lineRule="auto"/>
        <w:rPr>
          <w:rFonts w:ascii="Times New Roman" w:eastAsia="Times New Roman" w:hAnsi="Times New Roman" w:cs="Times New Roman"/>
          <w:b/>
        </w:rPr>
      </w:pPr>
    </w:p>
    <w:p w14:paraId="1DBAF273" w14:textId="77777777" w:rsidR="00A0704E" w:rsidRPr="00A0704E" w:rsidRDefault="00A0704E" w:rsidP="00A0704E">
      <w:pPr>
        <w:spacing w:after="200" w:line="276" w:lineRule="auto"/>
        <w:rPr>
          <w:rFonts w:ascii="Times New Roman" w:eastAsia="Times New Roman" w:hAnsi="Times New Roman" w:cs="Times New Roman"/>
          <w:b/>
        </w:rPr>
      </w:pPr>
      <w:r w:rsidRPr="00A0704E">
        <w:rPr>
          <w:rFonts w:ascii="Times New Roman" w:eastAsia="Times New Roman" w:hAnsi="Times New Roman" w:cs="Times New Roman"/>
          <w:b/>
        </w:rPr>
        <w:br w:type="page"/>
      </w:r>
    </w:p>
    <w:p w14:paraId="27F3DE33" w14:textId="77777777" w:rsidR="00A0704E" w:rsidRPr="00A0704E" w:rsidRDefault="00A0704E" w:rsidP="00A0704E">
      <w:pPr>
        <w:tabs>
          <w:tab w:val="left" w:pos="567"/>
        </w:tabs>
        <w:spacing w:after="0" w:line="240" w:lineRule="auto"/>
        <w:rPr>
          <w:rFonts w:ascii="Times New Roman" w:eastAsia="Times New Roman" w:hAnsi="Times New Roman" w:cs="Times New Roman"/>
          <w:b/>
        </w:rPr>
      </w:pPr>
      <w:r w:rsidRPr="00A0704E">
        <w:rPr>
          <w:rFonts w:ascii="Times New Roman" w:eastAsia="Times New Roman" w:hAnsi="Times New Roman" w:cs="Times New Roman"/>
          <w:b/>
        </w:rPr>
        <w:lastRenderedPageBreak/>
        <w:t>A.</w:t>
      </w:r>
      <w:r w:rsidRPr="00A0704E">
        <w:rPr>
          <w:rFonts w:ascii="Times New Roman" w:eastAsia="Times New Roman" w:hAnsi="Times New Roman" w:cs="Times New Roman"/>
          <w:b/>
        </w:rPr>
        <w:tab/>
        <w:t>GAMINTOJAS (-AI), ATSAKINGAS (-I) UŽ SERIJŲ IŠLEIDIMĄ</w:t>
      </w:r>
    </w:p>
    <w:p w14:paraId="51A01BC0" w14:textId="77777777" w:rsidR="00A0704E" w:rsidRPr="00A0704E" w:rsidRDefault="00A0704E" w:rsidP="00A0704E">
      <w:pPr>
        <w:tabs>
          <w:tab w:val="left" w:pos="567"/>
        </w:tabs>
        <w:spacing w:after="0" w:line="240" w:lineRule="auto"/>
        <w:rPr>
          <w:rFonts w:ascii="Times New Roman" w:eastAsia="Times New Roman" w:hAnsi="Times New Roman" w:cs="Times New Roman"/>
          <w:highlight w:val="yellow"/>
        </w:rPr>
      </w:pPr>
    </w:p>
    <w:p w14:paraId="06556AB2" w14:textId="77777777" w:rsidR="00A0704E" w:rsidRPr="00A0704E" w:rsidRDefault="00A0704E" w:rsidP="00A0704E">
      <w:pPr>
        <w:tabs>
          <w:tab w:val="left" w:pos="567"/>
        </w:tabs>
        <w:spacing w:after="0" w:line="240" w:lineRule="auto"/>
        <w:rPr>
          <w:rFonts w:ascii="Times New Roman" w:eastAsia="Times New Roman" w:hAnsi="Times New Roman" w:cs="Times New Roman"/>
          <w:u w:val="single"/>
        </w:rPr>
      </w:pPr>
      <w:r w:rsidRPr="00A0704E">
        <w:rPr>
          <w:rFonts w:ascii="Times New Roman" w:eastAsia="Times New Roman" w:hAnsi="Times New Roman" w:cs="Times New Roman"/>
          <w:u w:val="single"/>
        </w:rPr>
        <w:t>Gamintojų, atsakingų už serijų išleidimą, pavadinimai ir adresai</w:t>
      </w:r>
    </w:p>
    <w:p w14:paraId="15EAEF4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0E95A1E"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SANOFI WINTHROP INDUSTRIE</w:t>
      </w:r>
    </w:p>
    <w:p w14:paraId="4333120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1, rue de la Vierge</w:t>
      </w:r>
    </w:p>
    <w:p w14:paraId="194699CA"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33440 Ambares</w:t>
      </w:r>
    </w:p>
    <w:p w14:paraId="4486A3AA"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Prancūzija</w:t>
      </w:r>
    </w:p>
    <w:p w14:paraId="7C417CF5"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763B8CA"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arba</w:t>
      </w:r>
    </w:p>
    <w:p w14:paraId="47B50BE7"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079673C3" w14:textId="77777777" w:rsidR="00A0704E" w:rsidRPr="00A0704E" w:rsidRDefault="00A0704E" w:rsidP="00A0704E">
      <w:pPr>
        <w:tabs>
          <w:tab w:val="left" w:pos="567"/>
        </w:tabs>
        <w:spacing w:after="0" w:line="240" w:lineRule="auto"/>
        <w:rPr>
          <w:rFonts w:ascii="Times New Roman" w:eastAsia="Times New Roman" w:hAnsi="Times New Roman" w:cs="Times New Roman"/>
          <w:bCs/>
        </w:rPr>
      </w:pPr>
      <w:r w:rsidRPr="00A0704E">
        <w:rPr>
          <w:rFonts w:ascii="Times New Roman" w:eastAsia="Times New Roman" w:hAnsi="Times New Roman" w:cs="Times New Roman"/>
          <w:bCs/>
        </w:rPr>
        <w:t xml:space="preserve">Opella Healthcare Hungary Limited Liability Company </w:t>
      </w:r>
    </w:p>
    <w:p w14:paraId="31E3C753" w14:textId="77777777" w:rsidR="00A0704E" w:rsidRPr="00A0704E" w:rsidRDefault="00A0704E" w:rsidP="00A0704E">
      <w:pPr>
        <w:tabs>
          <w:tab w:val="left" w:pos="567"/>
        </w:tabs>
        <w:spacing w:after="0" w:line="240" w:lineRule="auto"/>
        <w:rPr>
          <w:rFonts w:ascii="Times New Roman" w:eastAsia="Times New Roman" w:hAnsi="Times New Roman" w:cs="Times New Roman"/>
          <w:bCs/>
        </w:rPr>
      </w:pPr>
      <w:r w:rsidRPr="00A0704E">
        <w:rPr>
          <w:rFonts w:ascii="Times New Roman" w:eastAsia="Times New Roman" w:hAnsi="Times New Roman" w:cs="Times New Roman"/>
          <w:bCs/>
        </w:rPr>
        <w:t>(Opella Healthcare Hungary Ltd.)</w:t>
      </w:r>
    </w:p>
    <w:p w14:paraId="0A627992" w14:textId="77777777" w:rsidR="00A0704E" w:rsidRPr="00A0704E" w:rsidRDefault="00A0704E" w:rsidP="00A0704E">
      <w:pPr>
        <w:tabs>
          <w:tab w:val="left" w:pos="567"/>
        </w:tabs>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 xml:space="preserve">2112 Veresegyhaz </w:t>
      </w:r>
    </w:p>
    <w:p w14:paraId="7EDE9546" w14:textId="77777777" w:rsidR="00A0704E" w:rsidRPr="00A0704E" w:rsidRDefault="00A0704E" w:rsidP="00A0704E">
      <w:pPr>
        <w:tabs>
          <w:tab w:val="left" w:pos="567"/>
        </w:tabs>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Levai u.5</w:t>
      </w:r>
    </w:p>
    <w:p w14:paraId="3C11AA5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bCs/>
          <w:iCs/>
        </w:rPr>
        <w:t>Vengrija</w:t>
      </w:r>
    </w:p>
    <w:p w14:paraId="0CBFEA6D" w14:textId="77777777" w:rsidR="00A0704E" w:rsidRPr="00A0704E" w:rsidRDefault="00A0704E" w:rsidP="00A0704E">
      <w:pPr>
        <w:tabs>
          <w:tab w:val="left" w:pos="567"/>
        </w:tabs>
        <w:spacing w:after="0" w:line="240" w:lineRule="auto"/>
        <w:rPr>
          <w:rFonts w:ascii="Times New Roman" w:eastAsia="Times New Roman" w:hAnsi="Times New Roman" w:cs="Times New Roman"/>
          <w:highlight w:val="yellow"/>
        </w:rPr>
      </w:pPr>
    </w:p>
    <w:p w14:paraId="39911AE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Su pakuote pateikiamame lapelyje nurodomas gamintojo, atsakingo už konkrečios serijos išleidimą, pavadinimas ir adresas.</w:t>
      </w:r>
    </w:p>
    <w:p w14:paraId="0EC12E4A" w14:textId="77777777" w:rsidR="00A0704E" w:rsidRPr="00A0704E" w:rsidRDefault="00A0704E" w:rsidP="00A0704E">
      <w:pPr>
        <w:tabs>
          <w:tab w:val="left" w:pos="567"/>
        </w:tabs>
        <w:spacing w:after="0" w:line="240" w:lineRule="auto"/>
        <w:rPr>
          <w:rFonts w:ascii="Times New Roman" w:eastAsia="Times New Roman" w:hAnsi="Times New Roman" w:cs="Times New Roman"/>
          <w:highlight w:val="yellow"/>
        </w:rPr>
      </w:pPr>
    </w:p>
    <w:p w14:paraId="24198CB9" w14:textId="77777777" w:rsidR="00A0704E" w:rsidRPr="00A0704E" w:rsidRDefault="00A0704E" w:rsidP="00A0704E">
      <w:pPr>
        <w:tabs>
          <w:tab w:val="left" w:pos="567"/>
        </w:tabs>
        <w:spacing w:after="0" w:line="240" w:lineRule="auto"/>
        <w:rPr>
          <w:rFonts w:ascii="Times New Roman" w:eastAsia="Times New Roman" w:hAnsi="Times New Roman" w:cs="Times New Roman"/>
          <w:highlight w:val="yellow"/>
        </w:rPr>
      </w:pPr>
    </w:p>
    <w:p w14:paraId="033865C2" w14:textId="77777777" w:rsidR="00A0704E" w:rsidRPr="00A0704E" w:rsidRDefault="00A0704E" w:rsidP="00A0704E">
      <w:pPr>
        <w:tabs>
          <w:tab w:val="left" w:pos="567"/>
        </w:tabs>
        <w:spacing w:after="0" w:line="240" w:lineRule="auto"/>
        <w:rPr>
          <w:rFonts w:ascii="Times New Roman" w:eastAsia="Times New Roman" w:hAnsi="Times New Roman" w:cs="Times New Roman"/>
          <w:b/>
        </w:rPr>
      </w:pPr>
      <w:bookmarkStart w:id="67" w:name="_Toc129243129"/>
      <w:bookmarkStart w:id="68" w:name="_Toc129243254"/>
      <w:r w:rsidRPr="00A0704E">
        <w:rPr>
          <w:rFonts w:ascii="Times New Roman" w:eastAsia="Times New Roman" w:hAnsi="Times New Roman" w:cs="Times New Roman"/>
          <w:b/>
        </w:rPr>
        <w:t>B.</w:t>
      </w:r>
      <w:r w:rsidRPr="00A0704E">
        <w:rPr>
          <w:rFonts w:ascii="Times New Roman" w:eastAsia="Times New Roman" w:hAnsi="Times New Roman" w:cs="Times New Roman"/>
          <w:b/>
        </w:rPr>
        <w:tab/>
        <w:t>TIEKIMO IR VARTOJIMO SĄLYGOS AR APRIBOJIMAI</w:t>
      </w:r>
      <w:bookmarkEnd w:id="67"/>
      <w:bookmarkEnd w:id="68"/>
    </w:p>
    <w:p w14:paraId="25A4811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2F84ED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Receptinis vaistinis preparatas</w:t>
      </w:r>
    </w:p>
    <w:p w14:paraId="7AF604B1" w14:textId="77777777" w:rsidR="00A0704E" w:rsidRPr="00A0704E" w:rsidRDefault="00A0704E" w:rsidP="00A0704E">
      <w:pPr>
        <w:tabs>
          <w:tab w:val="left" w:pos="567"/>
        </w:tabs>
        <w:spacing w:after="0" w:line="240" w:lineRule="auto"/>
        <w:rPr>
          <w:rFonts w:ascii="Times New Roman" w:eastAsia="Times New Roman" w:hAnsi="Times New Roman" w:cs="Times New Roman"/>
          <w:highlight w:val="yellow"/>
        </w:rPr>
      </w:pPr>
    </w:p>
    <w:p w14:paraId="4B1EF209" w14:textId="77777777" w:rsidR="00A0704E" w:rsidRPr="00A0704E" w:rsidRDefault="00A0704E" w:rsidP="00A0704E">
      <w:pPr>
        <w:tabs>
          <w:tab w:val="left" w:pos="567"/>
        </w:tabs>
        <w:spacing w:after="0" w:line="240" w:lineRule="auto"/>
        <w:rPr>
          <w:rFonts w:ascii="Times New Roman" w:eastAsia="Times New Roman" w:hAnsi="Times New Roman" w:cs="Times New Roman"/>
          <w:highlight w:val="yellow"/>
        </w:rPr>
      </w:pPr>
    </w:p>
    <w:p w14:paraId="7D38274C"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E487B4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br w:type="page"/>
      </w:r>
    </w:p>
    <w:p w14:paraId="6DAD5523"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DA8088A"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25C7478"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FECED5E"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F5B1DD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593BFA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02B621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B6028FC"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31130B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586251D"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64A7418"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01549D28"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61DB23E"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C4BBC88"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08C81BD"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095A0708"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DCC697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05F5DBFC"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405146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1ECCD0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4822098"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F2930A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A3C2A71"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p>
    <w:p w14:paraId="71351E98"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r w:rsidRPr="00A0704E">
        <w:rPr>
          <w:rFonts w:ascii="Times New Roman" w:eastAsia="Times New Roman" w:hAnsi="Times New Roman" w:cs="Times New Roman"/>
          <w:b/>
          <w:caps/>
        </w:rPr>
        <w:t>III PRIEDAS</w:t>
      </w:r>
      <w:r w:rsidRPr="00A0704E">
        <w:rPr>
          <w:rFonts w:ascii="Times New Roman" w:eastAsia="Times New Roman" w:hAnsi="Times New Roman" w:cs="Times New Roman"/>
          <w:b/>
          <w:caps/>
        </w:rPr>
        <w:fldChar w:fldCharType="begin"/>
      </w:r>
      <w:r w:rsidRPr="00A0704E">
        <w:rPr>
          <w:rFonts w:ascii="Times New Roman" w:eastAsia="Times New Roman" w:hAnsi="Times New Roman" w:cs="Times New Roman"/>
          <w:b/>
          <w:caps/>
        </w:rPr>
        <w:instrText xml:space="preserve"> DOCVARIABLE VAULT_ND_e83d5c8c-be46-44ae-9b6e-5c2d56718201 \* MERGEFORMAT </w:instrText>
      </w:r>
      <w:r w:rsidRPr="00A0704E">
        <w:rPr>
          <w:rFonts w:ascii="Times New Roman" w:eastAsia="Times New Roman" w:hAnsi="Times New Roman" w:cs="Times New Roman"/>
          <w:b/>
          <w:caps/>
        </w:rPr>
        <w:fldChar w:fldCharType="separate"/>
      </w:r>
      <w:r w:rsidRPr="00A0704E">
        <w:rPr>
          <w:rFonts w:ascii="Times New Roman" w:eastAsia="Times New Roman" w:hAnsi="Times New Roman" w:cs="Times New Roman"/>
          <w:b/>
          <w:caps/>
        </w:rPr>
        <w:t xml:space="preserve"> </w:t>
      </w:r>
      <w:r w:rsidRPr="00A0704E">
        <w:rPr>
          <w:rFonts w:ascii="Times New Roman" w:eastAsia="Times New Roman" w:hAnsi="Times New Roman" w:cs="Times New Roman"/>
          <w:b/>
          <w:caps/>
        </w:rPr>
        <w:fldChar w:fldCharType="end"/>
      </w:r>
    </w:p>
    <w:p w14:paraId="1DE39CA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FFCF6F3"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r w:rsidRPr="00A0704E">
        <w:rPr>
          <w:rFonts w:ascii="Times New Roman" w:eastAsia="Times New Roman" w:hAnsi="Times New Roman" w:cs="Times New Roman"/>
          <w:b/>
          <w:caps/>
        </w:rPr>
        <w:t>ŽENKLINIMAS IR PAKUOTĖS LAPELIS</w:t>
      </w:r>
      <w:r w:rsidRPr="00A0704E">
        <w:rPr>
          <w:rFonts w:ascii="Times New Roman" w:eastAsia="Times New Roman" w:hAnsi="Times New Roman" w:cs="Times New Roman"/>
          <w:b/>
          <w:caps/>
        </w:rPr>
        <w:fldChar w:fldCharType="begin"/>
      </w:r>
      <w:r w:rsidRPr="00A0704E">
        <w:rPr>
          <w:rFonts w:ascii="Times New Roman" w:eastAsia="Times New Roman" w:hAnsi="Times New Roman" w:cs="Times New Roman"/>
          <w:b/>
          <w:caps/>
        </w:rPr>
        <w:instrText xml:space="preserve"> DOCVARIABLE VAULT_ND_d18acb73-e1b9-4e4f-a784-20bbc090acaf \* MERGEFORMAT </w:instrText>
      </w:r>
      <w:r w:rsidRPr="00A0704E">
        <w:rPr>
          <w:rFonts w:ascii="Times New Roman" w:eastAsia="Times New Roman" w:hAnsi="Times New Roman" w:cs="Times New Roman"/>
          <w:b/>
          <w:caps/>
        </w:rPr>
        <w:fldChar w:fldCharType="separate"/>
      </w:r>
      <w:r w:rsidRPr="00A0704E">
        <w:rPr>
          <w:rFonts w:ascii="Times New Roman" w:eastAsia="Times New Roman" w:hAnsi="Times New Roman" w:cs="Times New Roman"/>
          <w:b/>
          <w:caps/>
        </w:rPr>
        <w:t xml:space="preserve"> </w:t>
      </w:r>
      <w:r w:rsidRPr="00A0704E">
        <w:rPr>
          <w:rFonts w:ascii="Times New Roman" w:eastAsia="Times New Roman" w:hAnsi="Times New Roman" w:cs="Times New Roman"/>
          <w:b/>
          <w:caps/>
        </w:rPr>
        <w:fldChar w:fldCharType="end"/>
      </w:r>
    </w:p>
    <w:p w14:paraId="669AAB08"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br w:type="page"/>
      </w:r>
    </w:p>
    <w:p w14:paraId="56A03B2E"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C0B356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50D1E5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350D81A"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F7F2CA5"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CE08F8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DF01DB7"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FB0DB3C"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ED759E5"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6A0A2E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B95287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43D525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F8BAA3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0C0CFF8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9B4B7A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4F7B14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D57EE0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153F74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D4181F5"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5236BE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0AEF0C8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0FBF825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0F6FB8C"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bookmarkStart w:id="69" w:name="_Toc129243136"/>
      <w:bookmarkStart w:id="70" w:name="_Toc129243261"/>
    </w:p>
    <w:p w14:paraId="5E1D0472"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r w:rsidRPr="00A0704E">
        <w:rPr>
          <w:rFonts w:ascii="Times New Roman" w:eastAsia="Times New Roman" w:hAnsi="Times New Roman" w:cs="Times New Roman"/>
          <w:b/>
          <w:caps/>
        </w:rPr>
        <w:t>A. ŽENKLINIMAS</w:t>
      </w:r>
      <w:bookmarkEnd w:id="69"/>
      <w:bookmarkEnd w:id="70"/>
      <w:r w:rsidRPr="00A0704E">
        <w:rPr>
          <w:rFonts w:ascii="Times New Roman" w:eastAsia="Times New Roman" w:hAnsi="Times New Roman" w:cs="Times New Roman"/>
          <w:b/>
          <w:caps/>
        </w:rPr>
        <w:fldChar w:fldCharType="begin"/>
      </w:r>
      <w:r w:rsidRPr="00A0704E">
        <w:rPr>
          <w:rFonts w:ascii="Times New Roman" w:eastAsia="Times New Roman" w:hAnsi="Times New Roman" w:cs="Times New Roman"/>
          <w:b/>
          <w:caps/>
        </w:rPr>
        <w:instrText xml:space="preserve"> DOCVARIABLE VAULT_ND_ca59ad72-1e02-4f37-93d6-d6e6149212d0 \* MERGEFORMAT </w:instrText>
      </w:r>
      <w:r w:rsidRPr="00A0704E">
        <w:rPr>
          <w:rFonts w:ascii="Times New Roman" w:eastAsia="Times New Roman" w:hAnsi="Times New Roman" w:cs="Times New Roman"/>
          <w:b/>
          <w:caps/>
        </w:rPr>
        <w:fldChar w:fldCharType="separate"/>
      </w:r>
      <w:r w:rsidRPr="00A0704E">
        <w:rPr>
          <w:rFonts w:ascii="Times New Roman" w:eastAsia="Times New Roman" w:hAnsi="Times New Roman" w:cs="Times New Roman"/>
          <w:b/>
          <w:caps/>
        </w:rPr>
        <w:t xml:space="preserve"> </w:t>
      </w:r>
      <w:r w:rsidRPr="00A0704E">
        <w:rPr>
          <w:rFonts w:ascii="Times New Roman" w:eastAsia="Times New Roman" w:hAnsi="Times New Roman" w:cs="Times New Roman"/>
          <w:b/>
          <w:caps/>
        </w:rPr>
        <w:fldChar w:fldCharType="end"/>
      </w:r>
    </w:p>
    <w:p w14:paraId="1A407A6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br w:type="page"/>
      </w:r>
    </w:p>
    <w:p w14:paraId="36A4BE53" w14:textId="77777777" w:rsidR="00A0704E" w:rsidRPr="00A0704E" w:rsidRDefault="00A0704E" w:rsidP="00A0704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A0704E">
        <w:rPr>
          <w:rFonts w:ascii="Times New Roman" w:eastAsia="Times New Roman" w:hAnsi="Times New Roman" w:cs="Times New Roman"/>
          <w:b/>
          <w:noProof/>
        </w:rPr>
        <w:lastRenderedPageBreak/>
        <w:t>INFORMACIJA ANT IŠORINĖS PAKUOTĖS</w:t>
      </w:r>
    </w:p>
    <w:p w14:paraId="6926481F" w14:textId="77777777" w:rsidR="00A0704E" w:rsidRPr="00A0704E" w:rsidRDefault="00A0704E" w:rsidP="00A0704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p>
    <w:p w14:paraId="7CA9C285" w14:textId="77777777" w:rsidR="00A0704E" w:rsidRPr="00A0704E" w:rsidRDefault="00A0704E" w:rsidP="00A0704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bCs/>
          <w:noProof/>
        </w:rPr>
      </w:pPr>
      <w:r w:rsidRPr="00A0704E">
        <w:rPr>
          <w:rFonts w:ascii="Times New Roman" w:eastAsia="Times New Roman" w:hAnsi="Times New Roman" w:cs="Times New Roman"/>
          <w:b/>
          <w:noProof/>
        </w:rPr>
        <w:t>KARTONO DĖŽUTĖ</w:t>
      </w:r>
    </w:p>
    <w:p w14:paraId="179872C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E785645"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9927951" w14:textId="77777777" w:rsidR="00A0704E" w:rsidRPr="00A0704E" w:rsidRDefault="00A0704E" w:rsidP="00A0704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A0704E">
        <w:rPr>
          <w:rFonts w:ascii="Times New Roman" w:eastAsia="Times New Roman" w:hAnsi="Times New Roman" w:cs="Times New Roman"/>
          <w:b/>
          <w:noProof/>
        </w:rPr>
        <w:t>1.</w:t>
      </w:r>
      <w:r w:rsidRPr="00A0704E">
        <w:rPr>
          <w:rFonts w:ascii="Times New Roman" w:eastAsia="Times New Roman" w:hAnsi="Times New Roman" w:cs="Times New Roman"/>
          <w:b/>
          <w:noProof/>
        </w:rPr>
        <w:tab/>
        <w:t>VAISTINIO PREPARATO PAVADINIMAS</w:t>
      </w:r>
    </w:p>
    <w:p w14:paraId="034519F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0D0267E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Cordarone 200 mg tabletės</w:t>
      </w:r>
    </w:p>
    <w:p w14:paraId="3059123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Amiodaroni hydrochloridum</w:t>
      </w:r>
    </w:p>
    <w:p w14:paraId="641BA347"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353C24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0F5214E3" w14:textId="77777777" w:rsidR="00A0704E" w:rsidRPr="00A0704E" w:rsidRDefault="00A0704E" w:rsidP="00A0704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A0704E">
        <w:rPr>
          <w:rFonts w:ascii="Times New Roman" w:eastAsia="Times New Roman" w:hAnsi="Times New Roman" w:cs="Times New Roman"/>
          <w:b/>
          <w:noProof/>
        </w:rPr>
        <w:t>2.</w:t>
      </w:r>
      <w:r w:rsidRPr="00A0704E">
        <w:rPr>
          <w:rFonts w:ascii="Times New Roman" w:eastAsia="Times New Roman" w:hAnsi="Times New Roman" w:cs="Times New Roman"/>
          <w:b/>
          <w:noProof/>
        </w:rPr>
        <w:tab/>
        <w:t>VEIKLIOJI (-IOS) MEDŽIAGA (-OS) IR JOS (-Ų) KIEKIS (-IAI)</w:t>
      </w:r>
    </w:p>
    <w:p w14:paraId="5AF8072E"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8384AD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Vienoje tabletėje yra 200 mg amjodarono hidrochlorido.</w:t>
      </w:r>
    </w:p>
    <w:p w14:paraId="229B55B3"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C336DCC"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C0806AD" w14:textId="77777777" w:rsidR="00A0704E" w:rsidRPr="00A0704E" w:rsidRDefault="00A0704E" w:rsidP="00A0704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highlight w:val="lightGray"/>
        </w:rPr>
      </w:pPr>
      <w:r w:rsidRPr="00A0704E">
        <w:rPr>
          <w:rFonts w:ascii="Times New Roman" w:eastAsia="Times New Roman" w:hAnsi="Times New Roman" w:cs="Times New Roman"/>
          <w:b/>
          <w:noProof/>
        </w:rPr>
        <w:t>3.</w:t>
      </w:r>
      <w:r w:rsidRPr="00A0704E">
        <w:rPr>
          <w:rFonts w:ascii="Times New Roman" w:eastAsia="Times New Roman" w:hAnsi="Times New Roman" w:cs="Times New Roman"/>
          <w:b/>
          <w:noProof/>
        </w:rPr>
        <w:tab/>
        <w:t>PAGALBINIŲ MEDŽIAGŲ SĄRAŠAS</w:t>
      </w:r>
    </w:p>
    <w:p w14:paraId="7AF4CCF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C685A28"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noProof/>
        </w:rPr>
        <w:t xml:space="preserve">Sudėtyje yra </w:t>
      </w:r>
      <w:r w:rsidRPr="00A0704E">
        <w:rPr>
          <w:rFonts w:ascii="Times New Roman" w:eastAsia="Times New Roman" w:hAnsi="Times New Roman" w:cs="Times New Roman"/>
        </w:rPr>
        <w:t>laktozės.</w:t>
      </w:r>
    </w:p>
    <w:p w14:paraId="6A57610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5317793"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5C500D1" w14:textId="77777777" w:rsidR="00A0704E" w:rsidRPr="00A0704E" w:rsidRDefault="00A0704E" w:rsidP="00A0704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A0704E">
        <w:rPr>
          <w:rFonts w:ascii="Times New Roman" w:eastAsia="Times New Roman" w:hAnsi="Times New Roman" w:cs="Times New Roman"/>
          <w:b/>
          <w:noProof/>
        </w:rPr>
        <w:t>4.</w:t>
      </w:r>
      <w:r w:rsidRPr="00A0704E">
        <w:rPr>
          <w:rFonts w:ascii="Times New Roman" w:eastAsia="Times New Roman" w:hAnsi="Times New Roman" w:cs="Times New Roman"/>
          <w:b/>
          <w:noProof/>
        </w:rPr>
        <w:tab/>
        <w:t>FARMACINĖ FORMA IR KIEKIS PAKUOTĖJE</w:t>
      </w:r>
    </w:p>
    <w:p w14:paraId="31BD3788"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3081B9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30 tablečių.</w:t>
      </w:r>
    </w:p>
    <w:p w14:paraId="29168E9A"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1696643"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384FAA6" w14:textId="77777777" w:rsidR="00A0704E" w:rsidRPr="00A0704E" w:rsidRDefault="00A0704E" w:rsidP="00A0704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highlight w:val="lightGray"/>
        </w:rPr>
      </w:pPr>
      <w:r w:rsidRPr="00A0704E">
        <w:rPr>
          <w:rFonts w:ascii="Times New Roman" w:eastAsia="Times New Roman" w:hAnsi="Times New Roman" w:cs="Times New Roman"/>
          <w:b/>
          <w:noProof/>
        </w:rPr>
        <w:t>5.</w:t>
      </w:r>
      <w:r w:rsidRPr="00A0704E">
        <w:rPr>
          <w:rFonts w:ascii="Times New Roman" w:eastAsia="Times New Roman" w:hAnsi="Times New Roman" w:cs="Times New Roman"/>
          <w:b/>
          <w:noProof/>
        </w:rPr>
        <w:tab/>
        <w:t>VARTOJIMO METODAS IR BŪDAS (-AI)</w:t>
      </w:r>
    </w:p>
    <w:p w14:paraId="3F9071C5"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36966A3"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Vartoti per burną.</w:t>
      </w:r>
    </w:p>
    <w:p w14:paraId="1D934D6A"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Prieš vartojimą perskaitykite pakuotės lapelį.</w:t>
      </w:r>
    </w:p>
    <w:p w14:paraId="370D98F3"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FB17A05"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6A2E030" w14:textId="77777777" w:rsidR="00A0704E" w:rsidRPr="00A0704E" w:rsidRDefault="00A0704E" w:rsidP="00A0704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A0704E">
        <w:rPr>
          <w:rFonts w:ascii="Times New Roman" w:eastAsia="Times New Roman" w:hAnsi="Times New Roman" w:cs="Times New Roman"/>
          <w:b/>
          <w:noProof/>
        </w:rPr>
        <w:t>6.</w:t>
      </w:r>
      <w:r w:rsidRPr="00A0704E">
        <w:rPr>
          <w:rFonts w:ascii="Times New Roman" w:eastAsia="Times New Roman" w:hAnsi="Times New Roman" w:cs="Times New Roman"/>
          <w:b/>
          <w:noProof/>
        </w:rPr>
        <w:tab/>
        <w:t>SPECIALUS ĮSPĖJIMAS, KAD VAISTINĮ PREPARATĄ BŪTINA LAIKYTI VAIKAMS NEPASTEBIMOJE IR NEPASIEKIAMOJE VIETOJE</w:t>
      </w:r>
    </w:p>
    <w:p w14:paraId="617F917D"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5FD5295"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Laikyti vaikams nepastebimoje ir nepasiekiamoje vietoje.</w:t>
      </w:r>
    </w:p>
    <w:p w14:paraId="125606B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094CFD4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99DD30D" w14:textId="77777777" w:rsidR="00A0704E" w:rsidRPr="00A0704E" w:rsidRDefault="00A0704E" w:rsidP="00A0704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highlight w:val="lightGray"/>
        </w:rPr>
      </w:pPr>
      <w:r w:rsidRPr="00A0704E">
        <w:rPr>
          <w:rFonts w:ascii="Times New Roman" w:eastAsia="Times New Roman" w:hAnsi="Times New Roman" w:cs="Times New Roman"/>
          <w:b/>
          <w:noProof/>
        </w:rPr>
        <w:t>7.</w:t>
      </w:r>
      <w:r w:rsidRPr="00A0704E">
        <w:rPr>
          <w:rFonts w:ascii="Times New Roman" w:eastAsia="Times New Roman" w:hAnsi="Times New Roman" w:cs="Times New Roman"/>
          <w:b/>
          <w:noProof/>
        </w:rPr>
        <w:tab/>
        <w:t>KITAS (-I) SPECIALUS (-ŪS) ĮSPĖJIMAS (-AI) (JEI REIKIA)</w:t>
      </w:r>
    </w:p>
    <w:p w14:paraId="66B68B63"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040E43DD"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24E222B" w14:textId="77777777" w:rsidR="00A0704E" w:rsidRPr="00A0704E" w:rsidRDefault="00A0704E" w:rsidP="00A0704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highlight w:val="lightGray"/>
        </w:rPr>
      </w:pPr>
      <w:r w:rsidRPr="00A0704E">
        <w:rPr>
          <w:rFonts w:ascii="Times New Roman" w:eastAsia="Times New Roman" w:hAnsi="Times New Roman" w:cs="Times New Roman"/>
          <w:b/>
          <w:noProof/>
        </w:rPr>
        <w:t>8.</w:t>
      </w:r>
      <w:r w:rsidRPr="00A0704E">
        <w:rPr>
          <w:rFonts w:ascii="Times New Roman" w:eastAsia="Times New Roman" w:hAnsi="Times New Roman" w:cs="Times New Roman"/>
          <w:b/>
          <w:noProof/>
        </w:rPr>
        <w:tab/>
        <w:t>TINKAMUMO LAIKAS</w:t>
      </w:r>
    </w:p>
    <w:p w14:paraId="7A819DE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9931E9A"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EXP {mm/MMMM}</w:t>
      </w:r>
    </w:p>
    <w:p w14:paraId="7C09CDA3"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F22E24C"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8504FA9" w14:textId="77777777" w:rsidR="00A0704E" w:rsidRPr="00A0704E" w:rsidRDefault="00A0704E" w:rsidP="00A0704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A0704E">
        <w:rPr>
          <w:rFonts w:ascii="Times New Roman" w:eastAsia="Times New Roman" w:hAnsi="Times New Roman" w:cs="Times New Roman"/>
          <w:b/>
          <w:noProof/>
        </w:rPr>
        <w:t>9.</w:t>
      </w:r>
      <w:r w:rsidRPr="00A0704E">
        <w:rPr>
          <w:rFonts w:ascii="Times New Roman" w:eastAsia="Times New Roman" w:hAnsi="Times New Roman" w:cs="Times New Roman"/>
          <w:b/>
          <w:noProof/>
        </w:rPr>
        <w:tab/>
        <w:t>SPECIALIOS LAIKYMO SĄLYGOS</w:t>
      </w:r>
    </w:p>
    <w:p w14:paraId="5C0CB5E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EAB188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Laikyti žemesnėje kaip 30 ºC temperatūroje. Laikyti gamintojo pakuotėje, kad vaistas būtų apsaugotas nuo šviesos.</w:t>
      </w:r>
    </w:p>
    <w:p w14:paraId="34D933C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0BA37A3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9943034" w14:textId="77777777" w:rsidR="00A0704E" w:rsidRPr="00A0704E" w:rsidRDefault="00A0704E" w:rsidP="00A0704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A0704E">
        <w:rPr>
          <w:rFonts w:ascii="Times New Roman" w:eastAsia="Times New Roman" w:hAnsi="Times New Roman" w:cs="Times New Roman"/>
          <w:b/>
          <w:noProof/>
        </w:rPr>
        <w:t>10.</w:t>
      </w:r>
      <w:r w:rsidRPr="00A0704E">
        <w:rPr>
          <w:rFonts w:ascii="Times New Roman" w:eastAsia="Times New Roman" w:hAnsi="Times New Roman" w:cs="Times New Roman"/>
          <w:b/>
          <w:noProof/>
        </w:rPr>
        <w:tab/>
        <w:t xml:space="preserve">SPECIALIOS ATSARGUMO PRIEMONĖS DĖL NESUVARTOTO </w:t>
      </w:r>
      <w:r w:rsidRPr="00A0704E">
        <w:rPr>
          <w:rFonts w:ascii="Times New Roman" w:eastAsia="Times New Roman" w:hAnsi="Times New Roman" w:cs="Times New Roman"/>
          <w:b/>
          <w:bCs/>
          <w:noProof/>
        </w:rPr>
        <w:t xml:space="preserve">VAISTINIO PREPARATO AR JO ATLIEKŲ </w:t>
      </w:r>
      <w:r w:rsidRPr="00A0704E">
        <w:rPr>
          <w:rFonts w:ascii="Times New Roman" w:eastAsia="Times New Roman" w:hAnsi="Times New Roman" w:cs="Times New Roman"/>
          <w:b/>
          <w:noProof/>
        </w:rPr>
        <w:t>TVARKYMO (JEI REIKIA)</w:t>
      </w:r>
    </w:p>
    <w:p w14:paraId="6509F26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9A596D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09870C6" w14:textId="77777777" w:rsidR="00A0704E" w:rsidRPr="00A0704E" w:rsidRDefault="00A0704E" w:rsidP="00A0704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A0704E">
        <w:rPr>
          <w:rFonts w:ascii="Times New Roman" w:eastAsia="Times New Roman" w:hAnsi="Times New Roman" w:cs="Times New Roman"/>
          <w:b/>
          <w:noProof/>
        </w:rPr>
        <w:t>11.</w:t>
      </w:r>
      <w:r w:rsidRPr="00A0704E">
        <w:rPr>
          <w:rFonts w:ascii="Times New Roman" w:eastAsia="Times New Roman" w:hAnsi="Times New Roman" w:cs="Times New Roman"/>
          <w:b/>
          <w:noProof/>
        </w:rPr>
        <w:tab/>
        <w:t>REGISTRUOTOJO PAVADINIMAS IR ADRESAS</w:t>
      </w:r>
    </w:p>
    <w:p w14:paraId="232B3E63"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940B895" w14:textId="77777777" w:rsidR="006B7B13" w:rsidRPr="007B692E" w:rsidRDefault="006B7B13" w:rsidP="006B7B13">
      <w:pPr>
        <w:spacing w:after="0" w:line="240" w:lineRule="auto"/>
        <w:rPr>
          <w:rFonts w:ascii="Times New Roman" w:eastAsia="Times New Roman" w:hAnsi="Times New Roman"/>
        </w:rPr>
      </w:pPr>
      <w:r w:rsidRPr="007B692E">
        <w:rPr>
          <w:rFonts w:ascii="Times New Roman" w:eastAsia="Times New Roman" w:hAnsi="Times New Roman"/>
        </w:rPr>
        <w:t>Sanofi Winthrop Industrie</w:t>
      </w:r>
    </w:p>
    <w:p w14:paraId="32F5F4BC" w14:textId="77777777" w:rsidR="006B7B13" w:rsidRPr="007B692E" w:rsidRDefault="006B7B13" w:rsidP="006B7B13">
      <w:pPr>
        <w:spacing w:after="0" w:line="240" w:lineRule="auto"/>
        <w:rPr>
          <w:rFonts w:ascii="Times New Roman" w:eastAsia="Times New Roman" w:hAnsi="Times New Roman"/>
        </w:rPr>
      </w:pPr>
      <w:r w:rsidRPr="007B692E">
        <w:rPr>
          <w:rFonts w:ascii="Times New Roman" w:eastAsia="Times New Roman" w:hAnsi="Times New Roman"/>
        </w:rPr>
        <w:t>82, avenue Raspail</w:t>
      </w:r>
    </w:p>
    <w:p w14:paraId="20BAAA83" w14:textId="77777777" w:rsidR="006B7B13" w:rsidRPr="007B692E" w:rsidRDefault="006B7B13" w:rsidP="006B7B13">
      <w:pPr>
        <w:spacing w:after="0" w:line="240" w:lineRule="auto"/>
        <w:rPr>
          <w:rFonts w:ascii="Times New Roman" w:eastAsia="Times New Roman" w:hAnsi="Times New Roman"/>
        </w:rPr>
      </w:pPr>
      <w:r w:rsidRPr="007B692E">
        <w:rPr>
          <w:rFonts w:ascii="Times New Roman" w:eastAsia="Times New Roman" w:hAnsi="Times New Roman"/>
        </w:rPr>
        <w:t>94250 Gentilly</w:t>
      </w:r>
    </w:p>
    <w:p w14:paraId="017D7E69" w14:textId="342C31BE" w:rsidR="006B047B" w:rsidRPr="006B047B" w:rsidRDefault="006B7B13" w:rsidP="006B7B13">
      <w:pPr>
        <w:spacing w:after="0" w:line="240" w:lineRule="auto"/>
        <w:rPr>
          <w:rFonts w:ascii="Times New Roman" w:hAnsi="Times New Roman" w:cs="Times New Roman"/>
        </w:rPr>
      </w:pPr>
      <w:r w:rsidRPr="007B692E">
        <w:rPr>
          <w:rFonts w:ascii="Times New Roman" w:hAnsi="Times New Roman"/>
        </w:rPr>
        <w:t>Prancūzija</w:t>
      </w:r>
    </w:p>
    <w:p w14:paraId="4BF1255D"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D33300E"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FC79008" w14:textId="77777777" w:rsidR="00A0704E" w:rsidRPr="00A0704E" w:rsidRDefault="00A0704E" w:rsidP="00A0704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A0704E">
        <w:rPr>
          <w:rFonts w:ascii="Times New Roman" w:eastAsia="Times New Roman" w:hAnsi="Times New Roman" w:cs="Times New Roman"/>
          <w:b/>
          <w:noProof/>
        </w:rPr>
        <w:t>12.</w:t>
      </w:r>
      <w:r w:rsidRPr="00A0704E">
        <w:rPr>
          <w:rFonts w:ascii="Times New Roman" w:eastAsia="Times New Roman" w:hAnsi="Times New Roman" w:cs="Times New Roman"/>
          <w:b/>
          <w:noProof/>
        </w:rPr>
        <w:tab/>
        <w:t>REGISTRACIJOS PAŽYMĖJIMO NUMERIS (-IAI)</w:t>
      </w:r>
    </w:p>
    <w:p w14:paraId="15ED61FE"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ED51401" w14:textId="77777777" w:rsidR="00A0704E" w:rsidRPr="00A0704E" w:rsidRDefault="00A0704E" w:rsidP="00A0704E">
      <w:pPr>
        <w:tabs>
          <w:tab w:val="left" w:pos="567"/>
        </w:tabs>
        <w:spacing w:after="0" w:line="240" w:lineRule="auto"/>
        <w:rPr>
          <w:rFonts w:ascii="Times New Roman" w:eastAsia="Times New Roman" w:hAnsi="Times New Roman" w:cs="Times New Roman"/>
          <w:caps/>
        </w:rPr>
      </w:pPr>
      <w:r w:rsidRPr="00A0704E">
        <w:rPr>
          <w:rFonts w:ascii="Times New Roman" w:eastAsia="Times New Roman" w:hAnsi="Times New Roman" w:cs="Times New Roman"/>
          <w:caps/>
        </w:rPr>
        <w:t>LT/1/96/1502/001</w:t>
      </w:r>
    </w:p>
    <w:p w14:paraId="5F6D562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00903187"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6C8C376" w14:textId="77777777" w:rsidR="00A0704E" w:rsidRPr="00A0704E" w:rsidRDefault="00A0704E" w:rsidP="00A0704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A0704E">
        <w:rPr>
          <w:rFonts w:ascii="Times New Roman" w:eastAsia="Times New Roman" w:hAnsi="Times New Roman" w:cs="Times New Roman"/>
          <w:b/>
          <w:noProof/>
        </w:rPr>
        <w:t>13.</w:t>
      </w:r>
      <w:r w:rsidRPr="00A0704E">
        <w:rPr>
          <w:rFonts w:ascii="Times New Roman" w:eastAsia="Times New Roman" w:hAnsi="Times New Roman" w:cs="Times New Roman"/>
          <w:b/>
          <w:noProof/>
        </w:rPr>
        <w:tab/>
        <w:t>SERIJOS NUMERIS</w:t>
      </w:r>
    </w:p>
    <w:p w14:paraId="4EFF6148"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643DD2D"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Lot {numeris}</w:t>
      </w:r>
    </w:p>
    <w:p w14:paraId="6488CEE7"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F765FAA" w14:textId="77777777" w:rsidR="00A0704E" w:rsidRPr="00A0704E" w:rsidRDefault="00A0704E" w:rsidP="00A0704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A0704E">
        <w:rPr>
          <w:rFonts w:ascii="Times New Roman" w:eastAsia="Times New Roman" w:hAnsi="Times New Roman" w:cs="Times New Roman"/>
          <w:b/>
          <w:noProof/>
        </w:rPr>
        <w:t>14.</w:t>
      </w:r>
      <w:r w:rsidRPr="00A0704E">
        <w:rPr>
          <w:rFonts w:ascii="Times New Roman" w:eastAsia="Times New Roman" w:hAnsi="Times New Roman" w:cs="Times New Roman"/>
          <w:b/>
          <w:noProof/>
        </w:rPr>
        <w:tab/>
        <w:t>PARDAVIMO (IŠDAVIMO) TVARKA</w:t>
      </w:r>
    </w:p>
    <w:p w14:paraId="2B40DE3E"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29AB023"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Receptinis vaistas</w:t>
      </w:r>
    </w:p>
    <w:p w14:paraId="336410B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0E2532A"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59D3073" w14:textId="77777777" w:rsidR="00A0704E" w:rsidRPr="00A0704E" w:rsidRDefault="00A0704E" w:rsidP="00A0704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A0704E">
        <w:rPr>
          <w:rFonts w:ascii="Times New Roman" w:eastAsia="Times New Roman" w:hAnsi="Times New Roman" w:cs="Times New Roman"/>
          <w:b/>
          <w:noProof/>
        </w:rPr>
        <w:t>15.</w:t>
      </w:r>
      <w:r w:rsidRPr="00A0704E">
        <w:rPr>
          <w:rFonts w:ascii="Times New Roman" w:eastAsia="Times New Roman" w:hAnsi="Times New Roman" w:cs="Times New Roman"/>
          <w:b/>
          <w:noProof/>
        </w:rPr>
        <w:tab/>
        <w:t>VARTOJIMO INSTRUKCIJA</w:t>
      </w:r>
    </w:p>
    <w:p w14:paraId="1A587C7A"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FAC1FD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94EA545" w14:textId="77777777" w:rsidR="00A0704E" w:rsidRPr="00A0704E" w:rsidRDefault="00A0704E" w:rsidP="00A0704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A0704E">
        <w:rPr>
          <w:rFonts w:ascii="Times New Roman" w:eastAsia="Times New Roman" w:hAnsi="Times New Roman" w:cs="Times New Roman"/>
          <w:b/>
          <w:noProof/>
        </w:rPr>
        <w:t>16.</w:t>
      </w:r>
      <w:r w:rsidRPr="00A0704E">
        <w:rPr>
          <w:rFonts w:ascii="Times New Roman" w:eastAsia="Times New Roman" w:hAnsi="Times New Roman" w:cs="Times New Roman"/>
          <w:b/>
          <w:noProof/>
        </w:rPr>
        <w:tab/>
        <w:t>INFORMACIJA BRAILIO RAŠTU</w:t>
      </w:r>
    </w:p>
    <w:p w14:paraId="79270EF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A7553AC"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Cordarone 200 mg</w:t>
      </w:r>
    </w:p>
    <w:p w14:paraId="3217CDC5"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63DC1B3"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A3CE6A4" w14:textId="77777777" w:rsidR="00A0704E" w:rsidRPr="00A0704E" w:rsidRDefault="00A0704E" w:rsidP="00A0704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A0704E">
        <w:rPr>
          <w:rFonts w:ascii="Times New Roman" w:eastAsia="Times New Roman" w:hAnsi="Times New Roman" w:cs="Times New Roman"/>
          <w:b/>
          <w:noProof/>
        </w:rPr>
        <w:t>17.</w:t>
      </w:r>
      <w:r w:rsidRPr="00A0704E">
        <w:rPr>
          <w:rFonts w:ascii="Times New Roman" w:eastAsia="Times New Roman" w:hAnsi="Times New Roman" w:cs="Times New Roman"/>
          <w:b/>
          <w:noProof/>
        </w:rPr>
        <w:tab/>
        <w:t>UNIKALUS IDENTIFIKATORIUS – 2D BRŪKŠNINIS KODAS</w:t>
      </w:r>
    </w:p>
    <w:p w14:paraId="2D68E9A9" w14:textId="77777777" w:rsidR="00A0704E" w:rsidRPr="00A0704E" w:rsidRDefault="00A0704E" w:rsidP="00A0704E">
      <w:pPr>
        <w:tabs>
          <w:tab w:val="left" w:pos="540"/>
        </w:tabs>
        <w:spacing w:after="0" w:line="240" w:lineRule="auto"/>
        <w:rPr>
          <w:rFonts w:ascii="Times New Roman" w:eastAsia="Times New Roman" w:hAnsi="Times New Roman" w:cs="Times New Roman"/>
          <w:noProof/>
        </w:rPr>
      </w:pPr>
    </w:p>
    <w:p w14:paraId="2CD8C832" w14:textId="77777777" w:rsidR="00A0704E" w:rsidRPr="00A0704E" w:rsidRDefault="00A0704E" w:rsidP="00A0704E">
      <w:pPr>
        <w:tabs>
          <w:tab w:val="left" w:pos="540"/>
        </w:tabs>
        <w:spacing w:after="0" w:line="240" w:lineRule="auto"/>
        <w:rPr>
          <w:rFonts w:ascii="Times New Roman" w:eastAsia="Times New Roman" w:hAnsi="Times New Roman" w:cs="Times New Roman"/>
          <w:noProof/>
        </w:rPr>
      </w:pPr>
      <w:r w:rsidRPr="00A0704E">
        <w:rPr>
          <w:rFonts w:ascii="Times New Roman" w:eastAsia="Times New Roman" w:hAnsi="Times New Roman" w:cs="Times New Roman"/>
          <w:noProof/>
          <w:highlight w:val="lightGray"/>
        </w:rPr>
        <w:t>2D brūkšninis kodas su nurodytu unikaliu identifikatoriumi.</w:t>
      </w:r>
    </w:p>
    <w:p w14:paraId="1384EACD" w14:textId="77777777" w:rsidR="00A0704E" w:rsidRPr="00A0704E" w:rsidRDefault="00A0704E" w:rsidP="00A0704E">
      <w:pPr>
        <w:tabs>
          <w:tab w:val="left" w:pos="540"/>
        </w:tabs>
        <w:spacing w:after="0" w:line="240" w:lineRule="auto"/>
        <w:rPr>
          <w:rFonts w:ascii="Times New Roman" w:eastAsia="Times New Roman" w:hAnsi="Times New Roman" w:cs="Times New Roman"/>
          <w:noProof/>
        </w:rPr>
      </w:pPr>
    </w:p>
    <w:p w14:paraId="6D307CA2" w14:textId="77777777" w:rsidR="00A0704E" w:rsidRPr="00A0704E" w:rsidRDefault="00A0704E" w:rsidP="00A0704E">
      <w:pPr>
        <w:tabs>
          <w:tab w:val="left" w:pos="540"/>
        </w:tabs>
        <w:spacing w:after="0" w:line="240" w:lineRule="auto"/>
        <w:rPr>
          <w:rFonts w:ascii="Times New Roman" w:eastAsia="Times New Roman" w:hAnsi="Times New Roman" w:cs="Times New Roman"/>
          <w:noProof/>
        </w:rPr>
      </w:pPr>
    </w:p>
    <w:p w14:paraId="782A3B99" w14:textId="77777777" w:rsidR="00A0704E" w:rsidRPr="00A0704E" w:rsidRDefault="00A0704E" w:rsidP="00A0704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noProof/>
        </w:rPr>
      </w:pPr>
      <w:r w:rsidRPr="00A0704E">
        <w:rPr>
          <w:rFonts w:ascii="Times New Roman" w:eastAsia="Times New Roman" w:hAnsi="Times New Roman" w:cs="Times New Roman"/>
          <w:b/>
          <w:noProof/>
        </w:rPr>
        <w:t>18.</w:t>
      </w:r>
      <w:r w:rsidRPr="00A0704E">
        <w:rPr>
          <w:rFonts w:ascii="Times New Roman" w:eastAsia="Times New Roman" w:hAnsi="Times New Roman" w:cs="Times New Roman"/>
          <w:b/>
          <w:noProof/>
        </w:rPr>
        <w:tab/>
        <w:t>UNIKALUS IDENTIFIKATORIUS – ŽMONĖMS SUPRANTAMI DUOMENYS</w:t>
      </w:r>
    </w:p>
    <w:p w14:paraId="073D5A64" w14:textId="77777777" w:rsidR="00A0704E" w:rsidRPr="00A0704E" w:rsidRDefault="00A0704E" w:rsidP="00A0704E">
      <w:pPr>
        <w:tabs>
          <w:tab w:val="left" w:pos="540"/>
        </w:tabs>
        <w:spacing w:after="0" w:line="240" w:lineRule="auto"/>
        <w:rPr>
          <w:rFonts w:ascii="Times New Roman" w:eastAsia="Times New Roman" w:hAnsi="Times New Roman" w:cs="Times New Roman"/>
          <w:noProof/>
        </w:rPr>
      </w:pPr>
    </w:p>
    <w:p w14:paraId="57C160E7" w14:textId="77777777" w:rsidR="00A0704E" w:rsidRPr="00A0704E" w:rsidRDefault="00A0704E" w:rsidP="00A0704E">
      <w:pPr>
        <w:tabs>
          <w:tab w:val="left" w:pos="540"/>
        </w:tabs>
        <w:spacing w:after="0" w:line="240" w:lineRule="auto"/>
        <w:rPr>
          <w:rFonts w:ascii="Times New Roman" w:eastAsia="Times New Roman" w:hAnsi="Times New Roman" w:cs="Times New Roman"/>
          <w:noProof/>
        </w:rPr>
      </w:pPr>
      <w:r w:rsidRPr="00A0704E">
        <w:rPr>
          <w:rFonts w:ascii="Times New Roman" w:eastAsia="Times New Roman" w:hAnsi="Times New Roman" w:cs="Times New Roman"/>
          <w:noProof/>
        </w:rPr>
        <w:t>PC: {numeris}</w:t>
      </w:r>
    </w:p>
    <w:p w14:paraId="30AF6F10" w14:textId="77777777" w:rsidR="00A0704E" w:rsidRPr="00A0704E" w:rsidRDefault="00A0704E" w:rsidP="00A0704E">
      <w:pPr>
        <w:tabs>
          <w:tab w:val="left" w:pos="540"/>
        </w:tabs>
        <w:spacing w:after="0" w:line="240" w:lineRule="auto"/>
        <w:rPr>
          <w:rFonts w:ascii="Times New Roman" w:eastAsia="Times New Roman" w:hAnsi="Times New Roman" w:cs="Times New Roman"/>
          <w:noProof/>
        </w:rPr>
      </w:pPr>
      <w:r w:rsidRPr="00A0704E">
        <w:rPr>
          <w:rFonts w:ascii="Times New Roman" w:eastAsia="Times New Roman" w:hAnsi="Times New Roman" w:cs="Times New Roman"/>
          <w:noProof/>
        </w:rPr>
        <w:t>SN: {numeris}</w:t>
      </w:r>
    </w:p>
    <w:p w14:paraId="554476ED" w14:textId="77777777" w:rsidR="00A0704E" w:rsidRPr="00A0704E" w:rsidRDefault="00A0704E" w:rsidP="00A0704E">
      <w:pPr>
        <w:tabs>
          <w:tab w:val="left" w:pos="540"/>
        </w:tabs>
        <w:spacing w:after="0" w:line="240" w:lineRule="auto"/>
        <w:rPr>
          <w:rFonts w:ascii="Times New Roman" w:eastAsia="Times New Roman" w:hAnsi="Times New Roman" w:cs="Times New Roman"/>
          <w:noProof/>
        </w:rPr>
      </w:pPr>
      <w:r w:rsidRPr="00A0704E">
        <w:rPr>
          <w:rFonts w:ascii="Times New Roman" w:eastAsia="Times New Roman" w:hAnsi="Times New Roman" w:cs="Times New Roman"/>
          <w:noProof/>
          <w:highlight w:val="lightGray"/>
        </w:rPr>
        <w:t>NN: {numeris}</w:t>
      </w:r>
    </w:p>
    <w:p w14:paraId="3E93523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4C4F173"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026FA5D8"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039F383"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A3FAA3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772686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B1C48D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br w:type="page"/>
      </w:r>
    </w:p>
    <w:p w14:paraId="2723C2B1" w14:textId="77777777" w:rsidR="00A0704E" w:rsidRPr="00A0704E" w:rsidRDefault="00A0704E" w:rsidP="00A0704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A0704E">
        <w:rPr>
          <w:rFonts w:ascii="Times New Roman" w:eastAsia="Times New Roman" w:hAnsi="Times New Roman" w:cs="Times New Roman"/>
          <w:b/>
          <w:noProof/>
        </w:rPr>
        <w:lastRenderedPageBreak/>
        <w:t xml:space="preserve">MINIMALI </w:t>
      </w:r>
      <w:r w:rsidRPr="00A0704E">
        <w:rPr>
          <w:rFonts w:ascii="Times New Roman" w:eastAsia="Times New Roman" w:hAnsi="Times New Roman" w:cs="Times New Roman"/>
          <w:b/>
          <w:caps/>
          <w:noProof/>
        </w:rPr>
        <w:t xml:space="preserve">informacija ant </w:t>
      </w:r>
      <w:r w:rsidRPr="00A0704E">
        <w:rPr>
          <w:rFonts w:ascii="Times New Roman" w:eastAsia="Times New Roman" w:hAnsi="Times New Roman" w:cs="Times New Roman"/>
          <w:b/>
          <w:noProof/>
        </w:rPr>
        <w:t>LIZDINIŲ PLOKŠTELIŲ ARBA DVISLUOKSNIŲ JUOSTELIŲ</w:t>
      </w:r>
    </w:p>
    <w:p w14:paraId="21F0BE91" w14:textId="77777777" w:rsidR="00A0704E" w:rsidRPr="00A0704E" w:rsidRDefault="00A0704E" w:rsidP="00A0704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p>
    <w:p w14:paraId="2BCB9858" w14:textId="77777777" w:rsidR="00A0704E" w:rsidRPr="00A0704E" w:rsidRDefault="00A0704E" w:rsidP="00A0704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A0704E">
        <w:rPr>
          <w:rFonts w:ascii="Times New Roman" w:eastAsia="Times New Roman" w:hAnsi="Times New Roman" w:cs="Times New Roman"/>
          <w:b/>
          <w:noProof/>
        </w:rPr>
        <w:t>LIZDINĖ PLOKŠTELĖ</w:t>
      </w:r>
    </w:p>
    <w:p w14:paraId="3CA02F6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84653A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D054A4C" w14:textId="77777777" w:rsidR="00A0704E" w:rsidRPr="00A0704E" w:rsidRDefault="00A0704E" w:rsidP="00A0704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A0704E">
        <w:rPr>
          <w:rFonts w:ascii="Times New Roman" w:eastAsia="Times New Roman" w:hAnsi="Times New Roman" w:cs="Times New Roman"/>
          <w:b/>
          <w:noProof/>
        </w:rPr>
        <w:t>1.</w:t>
      </w:r>
      <w:r w:rsidRPr="00A0704E">
        <w:rPr>
          <w:rFonts w:ascii="Times New Roman" w:eastAsia="Times New Roman" w:hAnsi="Times New Roman" w:cs="Times New Roman"/>
          <w:b/>
          <w:noProof/>
        </w:rPr>
        <w:tab/>
        <w:t>VAISTINIO PREPARATO PAVADINIMAS</w:t>
      </w:r>
    </w:p>
    <w:p w14:paraId="7F002AC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4755D1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Cordarone 200 mg tabletės</w:t>
      </w:r>
    </w:p>
    <w:p w14:paraId="65805A7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Amiodaroni hydrochloridum</w:t>
      </w:r>
    </w:p>
    <w:p w14:paraId="081BB31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9B3539A"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F9AFC48" w14:textId="77777777" w:rsidR="00A0704E" w:rsidRPr="00A0704E" w:rsidRDefault="00A0704E" w:rsidP="00A0704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A0704E">
        <w:rPr>
          <w:rFonts w:ascii="Times New Roman" w:eastAsia="Times New Roman" w:hAnsi="Times New Roman" w:cs="Times New Roman"/>
          <w:b/>
          <w:noProof/>
        </w:rPr>
        <w:t>2.</w:t>
      </w:r>
      <w:r w:rsidRPr="00A0704E">
        <w:rPr>
          <w:rFonts w:ascii="Times New Roman" w:eastAsia="Times New Roman" w:hAnsi="Times New Roman" w:cs="Times New Roman"/>
          <w:b/>
          <w:noProof/>
        </w:rPr>
        <w:tab/>
        <w:t>REGISTRUOTOJO PAVADINIMAS</w:t>
      </w:r>
    </w:p>
    <w:p w14:paraId="57CD3EF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7F6017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SANOFI</w:t>
      </w:r>
    </w:p>
    <w:p w14:paraId="33A2393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17A0C35"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233388C" w14:textId="77777777" w:rsidR="00A0704E" w:rsidRPr="00A0704E" w:rsidRDefault="00A0704E" w:rsidP="00A0704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A0704E">
        <w:rPr>
          <w:rFonts w:ascii="Times New Roman" w:eastAsia="Times New Roman" w:hAnsi="Times New Roman" w:cs="Times New Roman"/>
          <w:b/>
          <w:noProof/>
        </w:rPr>
        <w:t>3.</w:t>
      </w:r>
      <w:r w:rsidRPr="00A0704E">
        <w:rPr>
          <w:rFonts w:ascii="Times New Roman" w:eastAsia="Times New Roman" w:hAnsi="Times New Roman" w:cs="Times New Roman"/>
          <w:b/>
          <w:noProof/>
        </w:rPr>
        <w:tab/>
        <w:t>TINKAMUMO LAIKAS</w:t>
      </w:r>
    </w:p>
    <w:p w14:paraId="320D574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4D9575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EXP {mm/MMMM}</w:t>
      </w:r>
    </w:p>
    <w:p w14:paraId="60F79E2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67C502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A1BFBA1" w14:textId="77777777" w:rsidR="00A0704E" w:rsidRPr="00A0704E" w:rsidRDefault="00A0704E" w:rsidP="00A0704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A0704E">
        <w:rPr>
          <w:rFonts w:ascii="Times New Roman" w:eastAsia="Times New Roman" w:hAnsi="Times New Roman" w:cs="Times New Roman"/>
          <w:b/>
          <w:noProof/>
        </w:rPr>
        <w:t>4.</w:t>
      </w:r>
      <w:r w:rsidRPr="00A0704E">
        <w:rPr>
          <w:rFonts w:ascii="Times New Roman" w:eastAsia="Times New Roman" w:hAnsi="Times New Roman" w:cs="Times New Roman"/>
          <w:b/>
          <w:noProof/>
        </w:rPr>
        <w:tab/>
        <w:t>SERIJOS NUMERIS</w:t>
      </w:r>
    </w:p>
    <w:p w14:paraId="5E9114F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EDD705C"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Lot</w:t>
      </w:r>
    </w:p>
    <w:p w14:paraId="102C819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673732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615E3C7" w14:textId="77777777" w:rsidR="00A0704E" w:rsidRPr="00A0704E" w:rsidRDefault="00A0704E" w:rsidP="00A0704E">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noProof/>
        </w:rPr>
      </w:pPr>
      <w:r w:rsidRPr="00A0704E">
        <w:rPr>
          <w:rFonts w:ascii="Times New Roman" w:eastAsia="Times New Roman" w:hAnsi="Times New Roman" w:cs="Times New Roman"/>
          <w:b/>
          <w:noProof/>
        </w:rPr>
        <w:t>5.</w:t>
      </w:r>
      <w:r w:rsidRPr="00A0704E">
        <w:rPr>
          <w:rFonts w:ascii="Times New Roman" w:eastAsia="Times New Roman" w:hAnsi="Times New Roman" w:cs="Times New Roman"/>
          <w:b/>
          <w:noProof/>
        </w:rPr>
        <w:tab/>
        <w:t>KITA</w:t>
      </w:r>
    </w:p>
    <w:p w14:paraId="70D03B1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F7877A3"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B9299B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2207BF7"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340953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FA81FD7"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0FDA46F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3E011C5"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06168F55"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A855E6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983B44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CA7718A"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EBB96F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D9C82A2" w14:textId="054DD409" w:rsidR="00BB3C7B" w:rsidRDefault="00BB3C7B">
      <w:pPr>
        <w:rPr>
          <w:rFonts w:ascii="Times New Roman" w:eastAsia="Times New Roman" w:hAnsi="Times New Roman" w:cs="Times New Roman"/>
        </w:rPr>
      </w:pPr>
      <w:r>
        <w:rPr>
          <w:rFonts w:ascii="Times New Roman" w:eastAsia="Times New Roman" w:hAnsi="Times New Roman" w:cs="Times New Roman"/>
        </w:rPr>
        <w:br w:type="page"/>
      </w:r>
    </w:p>
    <w:p w14:paraId="15CC0EA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0D090B00" w14:textId="77777777" w:rsidR="00A0704E" w:rsidRPr="00A0704E" w:rsidRDefault="00A0704E" w:rsidP="00A0704E">
      <w:pPr>
        <w:tabs>
          <w:tab w:val="left" w:pos="567"/>
        </w:tabs>
        <w:spacing w:after="0" w:line="240" w:lineRule="auto"/>
        <w:outlineLvl w:val="0"/>
        <w:rPr>
          <w:rFonts w:ascii="Times New Roman" w:eastAsia="Times New Roman" w:hAnsi="Times New Roman" w:cs="Times New Roman"/>
          <w:b/>
          <w:caps/>
        </w:rPr>
      </w:pPr>
    </w:p>
    <w:p w14:paraId="2EF7BA45" w14:textId="77777777" w:rsidR="00A0704E" w:rsidRPr="00A0704E" w:rsidRDefault="00A0704E" w:rsidP="00A0704E">
      <w:pPr>
        <w:tabs>
          <w:tab w:val="left" w:pos="567"/>
        </w:tabs>
        <w:spacing w:after="0" w:line="240" w:lineRule="auto"/>
        <w:outlineLvl w:val="0"/>
        <w:rPr>
          <w:rFonts w:ascii="Times New Roman" w:eastAsia="Times New Roman" w:hAnsi="Times New Roman" w:cs="Times New Roman"/>
          <w:b/>
          <w:caps/>
        </w:rPr>
      </w:pPr>
    </w:p>
    <w:p w14:paraId="70B1B68A"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p>
    <w:p w14:paraId="6CB4C54A"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p>
    <w:p w14:paraId="6E019D25"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p>
    <w:p w14:paraId="4EF6789F"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p>
    <w:p w14:paraId="607E400E"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p>
    <w:p w14:paraId="666C402F"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p>
    <w:p w14:paraId="61E748E1"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p>
    <w:p w14:paraId="00E3B89B"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p>
    <w:p w14:paraId="3B2DD61F"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p>
    <w:p w14:paraId="687C257F"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p>
    <w:p w14:paraId="7DB77451"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p>
    <w:p w14:paraId="01F638F2"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p>
    <w:p w14:paraId="5DF35695"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p>
    <w:p w14:paraId="5B4D7496"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p>
    <w:p w14:paraId="457E82E5"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p>
    <w:p w14:paraId="21707451"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p>
    <w:p w14:paraId="722B1B31"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p>
    <w:p w14:paraId="7ABF29D9"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p>
    <w:p w14:paraId="12B55E33"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p>
    <w:p w14:paraId="52EB8173"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p>
    <w:p w14:paraId="2FD1F816"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p>
    <w:p w14:paraId="25273FA2"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r w:rsidRPr="00A0704E">
        <w:rPr>
          <w:rFonts w:ascii="Times New Roman" w:eastAsia="Times New Roman" w:hAnsi="Times New Roman" w:cs="Times New Roman"/>
          <w:b/>
          <w:caps/>
        </w:rPr>
        <w:t>B. PAKUOTĖS LAPELIS</w:t>
      </w:r>
      <w:r w:rsidRPr="00A0704E">
        <w:rPr>
          <w:rFonts w:ascii="Times New Roman" w:eastAsia="Times New Roman" w:hAnsi="Times New Roman" w:cs="Times New Roman"/>
          <w:b/>
          <w:caps/>
        </w:rPr>
        <w:fldChar w:fldCharType="begin"/>
      </w:r>
      <w:r w:rsidRPr="00A0704E">
        <w:rPr>
          <w:rFonts w:ascii="Times New Roman" w:eastAsia="Times New Roman" w:hAnsi="Times New Roman" w:cs="Times New Roman"/>
          <w:b/>
          <w:caps/>
        </w:rPr>
        <w:instrText xml:space="preserve"> DOCVARIABLE VAULT_ND_4124c53f-cca6-4ea6-a08d-73171242d93e \* MERGEFORMAT </w:instrText>
      </w:r>
      <w:r w:rsidRPr="00A0704E">
        <w:rPr>
          <w:rFonts w:ascii="Times New Roman" w:eastAsia="Times New Roman" w:hAnsi="Times New Roman" w:cs="Times New Roman"/>
          <w:b/>
          <w:caps/>
        </w:rPr>
        <w:fldChar w:fldCharType="separate"/>
      </w:r>
      <w:r w:rsidRPr="00A0704E">
        <w:rPr>
          <w:rFonts w:ascii="Times New Roman" w:eastAsia="Times New Roman" w:hAnsi="Times New Roman" w:cs="Times New Roman"/>
          <w:b/>
          <w:caps/>
        </w:rPr>
        <w:t xml:space="preserve"> </w:t>
      </w:r>
      <w:r w:rsidRPr="00A0704E">
        <w:rPr>
          <w:rFonts w:ascii="Times New Roman" w:eastAsia="Times New Roman" w:hAnsi="Times New Roman" w:cs="Times New Roman"/>
          <w:b/>
          <w:caps/>
        </w:rPr>
        <w:fldChar w:fldCharType="end"/>
      </w:r>
    </w:p>
    <w:p w14:paraId="6DC0E2F2" w14:textId="77777777" w:rsidR="00A0704E" w:rsidRPr="00A0704E" w:rsidRDefault="00A0704E" w:rsidP="00A0704E">
      <w:pPr>
        <w:tabs>
          <w:tab w:val="left" w:pos="567"/>
        </w:tabs>
        <w:spacing w:after="0" w:line="240" w:lineRule="auto"/>
        <w:jc w:val="center"/>
        <w:outlineLvl w:val="0"/>
        <w:rPr>
          <w:rFonts w:ascii="Times New Roman" w:eastAsia="Times New Roman" w:hAnsi="Times New Roman" w:cs="Times New Roman"/>
          <w:b/>
          <w:caps/>
        </w:rPr>
      </w:pPr>
      <w:r w:rsidRPr="00A0704E">
        <w:rPr>
          <w:rFonts w:ascii="Times New Roman" w:eastAsia="Times New Roman" w:hAnsi="Times New Roman" w:cs="Times New Roman"/>
          <w:b/>
          <w:caps/>
        </w:rPr>
        <w:br w:type="page"/>
      </w:r>
      <w:bookmarkStart w:id="71" w:name="_Toc129243138"/>
      <w:bookmarkStart w:id="72" w:name="_Toc129243263"/>
      <w:r w:rsidRPr="00A0704E">
        <w:rPr>
          <w:rFonts w:ascii="Times New Roman" w:eastAsia="Times New Roman" w:hAnsi="Times New Roman" w:cs="Times New Roman"/>
          <w:b/>
        </w:rPr>
        <w:lastRenderedPageBreak/>
        <w:t>Pakuotės lapelis: informacija vartotojui</w:t>
      </w:r>
      <w:bookmarkEnd w:id="71"/>
      <w:bookmarkEnd w:id="72"/>
      <w:r w:rsidRPr="00A0704E">
        <w:rPr>
          <w:rFonts w:ascii="Times New Roman" w:eastAsia="Times New Roman" w:hAnsi="Times New Roman" w:cs="Times New Roman"/>
          <w:b/>
        </w:rPr>
        <w:fldChar w:fldCharType="begin"/>
      </w:r>
      <w:r w:rsidRPr="00A0704E">
        <w:rPr>
          <w:rFonts w:ascii="Times New Roman" w:eastAsia="Times New Roman" w:hAnsi="Times New Roman" w:cs="Times New Roman"/>
          <w:b/>
        </w:rPr>
        <w:instrText xml:space="preserve"> DOCVARIABLE vault_nd_3ca3d912-e914-4a38-a0fb-c9ae8ff9da5e \* MERGEFORMAT </w:instrText>
      </w:r>
      <w:r w:rsidRPr="00A0704E">
        <w:rPr>
          <w:rFonts w:ascii="Times New Roman" w:eastAsia="Times New Roman" w:hAnsi="Times New Roman" w:cs="Times New Roman"/>
          <w:b/>
        </w:rPr>
        <w:fldChar w:fldCharType="separate"/>
      </w:r>
      <w:r w:rsidRPr="00A0704E">
        <w:rPr>
          <w:rFonts w:ascii="Times New Roman" w:eastAsia="Times New Roman" w:hAnsi="Times New Roman" w:cs="Times New Roman"/>
          <w:b/>
        </w:rPr>
        <w:t xml:space="preserve"> </w:t>
      </w:r>
      <w:r w:rsidRPr="00A0704E">
        <w:rPr>
          <w:rFonts w:ascii="Times New Roman" w:eastAsia="Times New Roman" w:hAnsi="Times New Roman" w:cs="Times New Roman"/>
          <w:b/>
        </w:rPr>
        <w:fldChar w:fldCharType="end"/>
      </w:r>
    </w:p>
    <w:p w14:paraId="1BCF477E"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9F65DB3" w14:textId="77777777" w:rsidR="00A0704E" w:rsidRPr="00A0704E" w:rsidRDefault="00A0704E" w:rsidP="00A0704E">
      <w:pPr>
        <w:tabs>
          <w:tab w:val="left" w:pos="567"/>
        </w:tabs>
        <w:spacing w:after="0" w:line="240" w:lineRule="auto"/>
        <w:jc w:val="center"/>
        <w:rPr>
          <w:rFonts w:ascii="Times New Roman" w:eastAsia="Times New Roman" w:hAnsi="Times New Roman" w:cs="Times New Roman"/>
          <w:b/>
        </w:rPr>
      </w:pPr>
      <w:r w:rsidRPr="00A0704E">
        <w:rPr>
          <w:rFonts w:ascii="Times New Roman" w:eastAsia="Times New Roman" w:hAnsi="Times New Roman" w:cs="Times New Roman"/>
          <w:b/>
        </w:rPr>
        <w:t>Cordarone 200 mg tabletės</w:t>
      </w:r>
    </w:p>
    <w:p w14:paraId="7B758D51" w14:textId="77777777" w:rsidR="00A0704E" w:rsidRPr="00A0704E" w:rsidRDefault="00A0704E" w:rsidP="00A0704E">
      <w:pPr>
        <w:tabs>
          <w:tab w:val="left" w:pos="567"/>
        </w:tabs>
        <w:spacing w:after="0" w:line="240" w:lineRule="auto"/>
        <w:jc w:val="center"/>
        <w:rPr>
          <w:rFonts w:ascii="Times New Roman" w:eastAsia="Times New Roman" w:hAnsi="Times New Roman" w:cs="Times New Roman"/>
        </w:rPr>
      </w:pPr>
      <w:r w:rsidRPr="00A0704E">
        <w:rPr>
          <w:rFonts w:ascii="Times New Roman" w:eastAsia="Times New Roman" w:hAnsi="Times New Roman" w:cs="Times New Roman"/>
        </w:rPr>
        <w:t>Amjodarono hidrochloridas</w:t>
      </w:r>
    </w:p>
    <w:p w14:paraId="67BB4ED7"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7CC7609" w14:textId="77777777" w:rsidR="00A0704E" w:rsidRPr="00A0704E" w:rsidRDefault="00A0704E" w:rsidP="00A0704E">
      <w:pPr>
        <w:tabs>
          <w:tab w:val="left" w:pos="567"/>
        </w:tabs>
        <w:spacing w:after="0" w:line="240" w:lineRule="auto"/>
        <w:rPr>
          <w:rFonts w:ascii="Times New Roman" w:eastAsia="Times New Roman" w:hAnsi="Times New Roman" w:cs="Times New Roman"/>
          <w:b/>
        </w:rPr>
      </w:pPr>
      <w:r w:rsidRPr="00A0704E">
        <w:rPr>
          <w:rFonts w:ascii="Times New Roman" w:eastAsia="Times New Roman" w:hAnsi="Times New Roman" w:cs="Times New Roman"/>
          <w:b/>
        </w:rPr>
        <w:t>Atidžiai perskaitykite visą šį lapelį, prieš pradėdami vartoti vaistą, nes jame pateikiama Jums svarbi informacija.</w:t>
      </w:r>
    </w:p>
    <w:p w14:paraId="19D8E846" w14:textId="77777777" w:rsidR="00A0704E" w:rsidRPr="00A0704E" w:rsidRDefault="00A0704E" w:rsidP="00A0704E">
      <w:pPr>
        <w:numPr>
          <w:ilvl w:val="0"/>
          <w:numId w:val="19"/>
        </w:numPr>
        <w:tabs>
          <w:tab w:val="left"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Neišmeskite šio lapelio, nes vėl gali prireikti jį perskaityti.</w:t>
      </w:r>
    </w:p>
    <w:p w14:paraId="31539754" w14:textId="77777777" w:rsidR="00A0704E" w:rsidRPr="00A0704E" w:rsidRDefault="00A0704E" w:rsidP="00A0704E">
      <w:pPr>
        <w:numPr>
          <w:ilvl w:val="0"/>
          <w:numId w:val="19"/>
        </w:numPr>
        <w:tabs>
          <w:tab w:val="left"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Jeigu kiltų daugiau klausimų, kreipkitės į gydytoją arba vaistininką.</w:t>
      </w:r>
    </w:p>
    <w:p w14:paraId="6EE13972" w14:textId="77777777" w:rsidR="00A0704E" w:rsidRPr="00A0704E" w:rsidRDefault="00A0704E" w:rsidP="00A0704E">
      <w:pPr>
        <w:numPr>
          <w:ilvl w:val="0"/>
          <w:numId w:val="19"/>
        </w:numPr>
        <w:tabs>
          <w:tab w:val="left"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14:paraId="5165B2A3" w14:textId="77777777" w:rsidR="00A0704E" w:rsidRPr="00A0704E" w:rsidRDefault="00A0704E" w:rsidP="00A0704E">
      <w:pPr>
        <w:numPr>
          <w:ilvl w:val="0"/>
          <w:numId w:val="19"/>
        </w:numPr>
        <w:tabs>
          <w:tab w:val="left"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 xml:space="preserve">Jeigu pasireiškė šalutinis poveikis (net jeigu jis šiame lapelyje nenurodytas), kreipkitės į gydytoją arba vaistininką. Žr. 4 skyrių. </w:t>
      </w:r>
    </w:p>
    <w:p w14:paraId="45830A88"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F37CBC9" w14:textId="77777777" w:rsidR="00A0704E" w:rsidRPr="00A0704E" w:rsidRDefault="00A0704E" w:rsidP="00A0704E">
      <w:pPr>
        <w:keepNext/>
        <w:tabs>
          <w:tab w:val="left" w:pos="567"/>
        </w:tabs>
        <w:spacing w:after="0" w:line="260" w:lineRule="exact"/>
        <w:jc w:val="both"/>
        <w:outlineLvl w:val="3"/>
        <w:rPr>
          <w:rFonts w:ascii="Times New Roman" w:eastAsia="SimSun" w:hAnsi="Times New Roman" w:cs="Times New Roman"/>
          <w:b/>
        </w:rPr>
      </w:pPr>
      <w:r w:rsidRPr="00A0704E">
        <w:rPr>
          <w:rFonts w:ascii="Times New Roman" w:eastAsia="SimSun" w:hAnsi="Times New Roman" w:cs="Times New Roman"/>
          <w:b/>
        </w:rPr>
        <w:t>Apie ką rašoma šiame lapelyje?</w:t>
      </w:r>
      <w:r w:rsidRPr="00A0704E">
        <w:rPr>
          <w:rFonts w:ascii="Times New Roman" w:eastAsia="SimSun" w:hAnsi="Times New Roman" w:cs="Times New Roman"/>
          <w:b/>
        </w:rPr>
        <w:fldChar w:fldCharType="begin"/>
      </w:r>
      <w:r w:rsidRPr="00A0704E">
        <w:rPr>
          <w:rFonts w:ascii="Times New Roman" w:eastAsia="SimSun" w:hAnsi="Times New Roman" w:cs="Times New Roman"/>
          <w:b/>
        </w:rPr>
        <w:instrText xml:space="preserve"> DOCVARIABLE vault_nd_dd46b523-3dde-4318-b17a-2c1a7051f052 \* MERGEFORMAT </w:instrText>
      </w:r>
      <w:r w:rsidRPr="00A0704E">
        <w:rPr>
          <w:rFonts w:ascii="Times New Roman" w:eastAsia="SimSun" w:hAnsi="Times New Roman" w:cs="Times New Roman"/>
          <w:b/>
        </w:rPr>
        <w:fldChar w:fldCharType="separate"/>
      </w:r>
      <w:r w:rsidRPr="00A0704E">
        <w:rPr>
          <w:rFonts w:ascii="Times New Roman" w:eastAsia="SimSun" w:hAnsi="Times New Roman" w:cs="Times New Roman"/>
          <w:b/>
        </w:rPr>
        <w:t xml:space="preserve"> </w:t>
      </w:r>
      <w:r w:rsidRPr="00A0704E">
        <w:rPr>
          <w:rFonts w:ascii="Times New Roman" w:eastAsia="SimSun" w:hAnsi="Times New Roman" w:cs="Times New Roman"/>
          <w:b/>
        </w:rPr>
        <w:fldChar w:fldCharType="end"/>
      </w:r>
    </w:p>
    <w:p w14:paraId="2A91C9B1" w14:textId="77777777" w:rsidR="00A0704E" w:rsidRPr="00A0704E" w:rsidRDefault="00A0704E" w:rsidP="00A0704E">
      <w:pPr>
        <w:keepNext/>
        <w:tabs>
          <w:tab w:val="left" w:pos="567"/>
        </w:tabs>
        <w:spacing w:after="0" w:line="260" w:lineRule="exact"/>
        <w:jc w:val="both"/>
        <w:outlineLvl w:val="3"/>
        <w:rPr>
          <w:rFonts w:ascii="Times New Roman" w:eastAsia="SimSun" w:hAnsi="Times New Roman" w:cs="Times New Roman"/>
          <w:b/>
        </w:rPr>
      </w:pPr>
    </w:p>
    <w:p w14:paraId="35F365D1" w14:textId="77777777" w:rsidR="00A0704E" w:rsidRPr="00A0704E" w:rsidRDefault="00A0704E" w:rsidP="00A0704E">
      <w:pPr>
        <w:numPr>
          <w:ilvl w:val="0"/>
          <w:numId w:val="9"/>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Kas yra Cordarone ir kam jis vartojamas</w:t>
      </w:r>
    </w:p>
    <w:p w14:paraId="5595C696" w14:textId="77777777" w:rsidR="00A0704E" w:rsidRPr="00A0704E" w:rsidRDefault="00A0704E" w:rsidP="00A0704E">
      <w:pPr>
        <w:numPr>
          <w:ilvl w:val="0"/>
          <w:numId w:val="9"/>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Kas žinotina prieš vartojant Cordarone</w:t>
      </w:r>
    </w:p>
    <w:p w14:paraId="6DF04327" w14:textId="77777777" w:rsidR="00A0704E" w:rsidRPr="00A0704E" w:rsidRDefault="00A0704E" w:rsidP="00A0704E">
      <w:pPr>
        <w:numPr>
          <w:ilvl w:val="0"/>
          <w:numId w:val="9"/>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Kaip vartoti Cordarone</w:t>
      </w:r>
    </w:p>
    <w:p w14:paraId="354D2721" w14:textId="77777777" w:rsidR="00A0704E" w:rsidRPr="00A0704E" w:rsidRDefault="00A0704E" w:rsidP="00A0704E">
      <w:pPr>
        <w:numPr>
          <w:ilvl w:val="0"/>
          <w:numId w:val="9"/>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Galimas šalutinis poveikis</w:t>
      </w:r>
    </w:p>
    <w:p w14:paraId="6BE2EF7B" w14:textId="77777777" w:rsidR="00A0704E" w:rsidRPr="00A0704E" w:rsidRDefault="00A0704E" w:rsidP="00A0704E">
      <w:pPr>
        <w:numPr>
          <w:ilvl w:val="0"/>
          <w:numId w:val="9"/>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Kaip laikyti Cordarone</w:t>
      </w:r>
    </w:p>
    <w:p w14:paraId="7C0A415C" w14:textId="77777777" w:rsidR="00A0704E" w:rsidRPr="00A0704E" w:rsidRDefault="00A0704E" w:rsidP="00A0704E">
      <w:pPr>
        <w:numPr>
          <w:ilvl w:val="0"/>
          <w:numId w:val="9"/>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Pakuotės turinys ir kita informacija</w:t>
      </w:r>
    </w:p>
    <w:p w14:paraId="307A540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FF6F9F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0DF8B7D" w14:textId="77777777" w:rsidR="00A0704E" w:rsidRPr="00A0704E" w:rsidRDefault="00A0704E" w:rsidP="00A0704E">
      <w:pPr>
        <w:keepNext/>
        <w:tabs>
          <w:tab w:val="left" w:pos="567"/>
        </w:tabs>
        <w:spacing w:after="0" w:line="240" w:lineRule="auto"/>
        <w:outlineLvl w:val="1"/>
        <w:rPr>
          <w:rFonts w:ascii="Times New Roman" w:eastAsia="Times New Roman" w:hAnsi="Times New Roman" w:cs="Times New Roman"/>
          <w:b/>
        </w:rPr>
      </w:pPr>
      <w:bookmarkStart w:id="73" w:name="_Toc129243139"/>
      <w:bookmarkStart w:id="74" w:name="_Toc129243264"/>
      <w:r w:rsidRPr="00A0704E">
        <w:rPr>
          <w:rFonts w:ascii="Times New Roman" w:eastAsia="Times New Roman" w:hAnsi="Times New Roman" w:cs="Times New Roman"/>
          <w:b/>
        </w:rPr>
        <w:t>1.</w:t>
      </w:r>
      <w:r w:rsidRPr="00A0704E">
        <w:rPr>
          <w:rFonts w:ascii="Times New Roman" w:eastAsia="Times New Roman" w:hAnsi="Times New Roman" w:cs="Times New Roman"/>
          <w:b/>
        </w:rPr>
        <w:tab/>
        <w:t>Kas yra Cordarone ir kam jis vartoja</w:t>
      </w:r>
      <w:bookmarkEnd w:id="73"/>
      <w:bookmarkEnd w:id="74"/>
      <w:r w:rsidRPr="00A0704E">
        <w:rPr>
          <w:rFonts w:ascii="Times New Roman" w:eastAsia="Times New Roman" w:hAnsi="Times New Roman" w:cs="Times New Roman"/>
          <w:b/>
        </w:rPr>
        <w:t>mas</w:t>
      </w:r>
      <w:r w:rsidRPr="00A0704E">
        <w:rPr>
          <w:rFonts w:ascii="Times New Roman" w:eastAsia="Times New Roman" w:hAnsi="Times New Roman" w:cs="Times New Roman"/>
          <w:b/>
        </w:rPr>
        <w:fldChar w:fldCharType="begin"/>
      </w:r>
      <w:r w:rsidRPr="00A0704E">
        <w:rPr>
          <w:rFonts w:ascii="Times New Roman" w:eastAsia="Times New Roman" w:hAnsi="Times New Roman" w:cs="Times New Roman"/>
          <w:b/>
        </w:rPr>
        <w:instrText xml:space="preserve"> DOCVARIABLE vault_nd_d44a7cff-7df5-4355-92a4-b261180fa3a2 \* MERGEFORMAT </w:instrText>
      </w:r>
      <w:r w:rsidRPr="00A0704E">
        <w:rPr>
          <w:rFonts w:ascii="Times New Roman" w:eastAsia="Times New Roman" w:hAnsi="Times New Roman" w:cs="Times New Roman"/>
          <w:b/>
        </w:rPr>
        <w:fldChar w:fldCharType="separate"/>
      </w:r>
      <w:r w:rsidRPr="00A0704E">
        <w:rPr>
          <w:rFonts w:ascii="Times New Roman" w:eastAsia="Times New Roman" w:hAnsi="Times New Roman" w:cs="Times New Roman"/>
          <w:b/>
        </w:rPr>
        <w:t xml:space="preserve"> </w:t>
      </w:r>
      <w:r w:rsidRPr="00A0704E">
        <w:rPr>
          <w:rFonts w:ascii="Times New Roman" w:eastAsia="Times New Roman" w:hAnsi="Times New Roman" w:cs="Times New Roman"/>
          <w:b/>
        </w:rPr>
        <w:fldChar w:fldCharType="end"/>
      </w:r>
    </w:p>
    <w:p w14:paraId="3AF6F455"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F08240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Cordarone priskiriamas III vaistų nuo aritmijos grupei.</w:t>
      </w:r>
    </w:p>
    <w:p w14:paraId="665A7DB3"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8952A7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Pradėti gydyti amjodaronu ir gydymo eigą sekti galima tik specialistui prižiūrint arba ligoninėje. Geriamaisiais amjodarono preparatais gydomi tik sunkūs širdies ritmo sutrikimai tuo atveju, jeigu kiti antiaritminiai preparatai yra neveiksmingi arba netinka.</w:t>
      </w:r>
    </w:p>
    <w:p w14:paraId="4D8B33C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04D5E1C" w14:textId="77777777" w:rsidR="00A0704E" w:rsidRPr="00A0704E" w:rsidRDefault="00A0704E" w:rsidP="00A0704E">
      <w:pPr>
        <w:numPr>
          <w:ilvl w:val="0"/>
          <w:numId w:val="20"/>
        </w:numPr>
        <w:tabs>
          <w:tab w:val="left" w:pos="0"/>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Supraventrikulinės (įskaitant atrioventrikulinę mazginę) ar skilvelinės paroksizminės tachikardijos atsinaujinimo profilaktika. </w:t>
      </w:r>
    </w:p>
    <w:p w14:paraId="632040B2" w14:textId="77777777" w:rsidR="00A0704E" w:rsidRPr="00A0704E" w:rsidRDefault="00A0704E" w:rsidP="00A0704E">
      <w:pPr>
        <w:numPr>
          <w:ilvl w:val="0"/>
          <w:numId w:val="20"/>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Prieširdžių virpėjimo ar plazdėjimo atsinaujinimo profilaktika.</w:t>
      </w:r>
    </w:p>
    <w:p w14:paraId="675ED57D" w14:textId="77777777" w:rsidR="00A0704E" w:rsidRPr="00A0704E" w:rsidRDefault="00A0704E" w:rsidP="00A0704E">
      <w:pPr>
        <w:numPr>
          <w:ilvl w:val="0"/>
          <w:numId w:val="20"/>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Skilvelių virpėjimo atsinaujinimo profilaktika. </w:t>
      </w:r>
    </w:p>
    <w:p w14:paraId="3C30FAAC" w14:textId="77777777" w:rsidR="00A0704E" w:rsidRPr="00A0704E" w:rsidRDefault="00A0704E" w:rsidP="00A0704E">
      <w:pPr>
        <w:numPr>
          <w:ilvl w:val="0"/>
          <w:numId w:val="20"/>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Su Volfo-Parkinsono-Vaito sindromu susijusios tachikardijos atsinaujinimo profilaktika.</w:t>
      </w:r>
    </w:p>
    <w:p w14:paraId="3E0D5F4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20D8CAD"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CDA86CF" w14:textId="77777777" w:rsidR="00A0704E" w:rsidRPr="00A0704E" w:rsidRDefault="00A0704E" w:rsidP="00A0704E">
      <w:pPr>
        <w:keepNext/>
        <w:tabs>
          <w:tab w:val="left" w:pos="567"/>
        </w:tabs>
        <w:spacing w:after="0" w:line="240" w:lineRule="auto"/>
        <w:outlineLvl w:val="1"/>
        <w:rPr>
          <w:rFonts w:ascii="Times New Roman" w:eastAsia="Times New Roman" w:hAnsi="Times New Roman" w:cs="Times New Roman"/>
          <w:b/>
        </w:rPr>
      </w:pPr>
      <w:bookmarkStart w:id="75" w:name="_Toc129243140"/>
      <w:bookmarkStart w:id="76" w:name="_Toc129243265"/>
      <w:r w:rsidRPr="00A0704E">
        <w:rPr>
          <w:rFonts w:ascii="Times New Roman" w:eastAsia="Times New Roman" w:hAnsi="Times New Roman" w:cs="Times New Roman"/>
          <w:b/>
        </w:rPr>
        <w:t>2.</w:t>
      </w:r>
      <w:r w:rsidRPr="00A0704E">
        <w:rPr>
          <w:rFonts w:ascii="Times New Roman" w:eastAsia="Times New Roman" w:hAnsi="Times New Roman" w:cs="Times New Roman"/>
          <w:b/>
        </w:rPr>
        <w:tab/>
        <w:t xml:space="preserve">Kas žinotina prieš vartojant </w:t>
      </w:r>
      <w:bookmarkEnd w:id="75"/>
      <w:bookmarkEnd w:id="76"/>
      <w:r w:rsidRPr="00A0704E">
        <w:rPr>
          <w:rFonts w:ascii="Times New Roman" w:eastAsia="Times New Roman" w:hAnsi="Times New Roman" w:cs="Times New Roman"/>
          <w:b/>
        </w:rPr>
        <w:t>Cordarone</w:t>
      </w:r>
      <w:r w:rsidRPr="00A0704E">
        <w:rPr>
          <w:rFonts w:ascii="Times New Roman" w:eastAsia="Times New Roman" w:hAnsi="Times New Roman" w:cs="Times New Roman"/>
          <w:b/>
        </w:rPr>
        <w:fldChar w:fldCharType="begin"/>
      </w:r>
      <w:r w:rsidRPr="00A0704E">
        <w:rPr>
          <w:rFonts w:ascii="Times New Roman" w:eastAsia="Times New Roman" w:hAnsi="Times New Roman" w:cs="Times New Roman"/>
          <w:b/>
        </w:rPr>
        <w:instrText xml:space="preserve"> DOCVARIABLE vault_nd_146a9529-409f-4837-94e5-b8fb64576d9a \* MERGEFORMAT </w:instrText>
      </w:r>
      <w:r w:rsidRPr="00A0704E">
        <w:rPr>
          <w:rFonts w:ascii="Times New Roman" w:eastAsia="Times New Roman" w:hAnsi="Times New Roman" w:cs="Times New Roman"/>
          <w:b/>
        </w:rPr>
        <w:fldChar w:fldCharType="separate"/>
      </w:r>
      <w:r w:rsidRPr="00A0704E">
        <w:rPr>
          <w:rFonts w:ascii="Times New Roman" w:eastAsia="Times New Roman" w:hAnsi="Times New Roman" w:cs="Times New Roman"/>
          <w:b/>
        </w:rPr>
        <w:t xml:space="preserve"> </w:t>
      </w:r>
      <w:r w:rsidRPr="00A0704E">
        <w:rPr>
          <w:rFonts w:ascii="Times New Roman" w:eastAsia="Times New Roman" w:hAnsi="Times New Roman" w:cs="Times New Roman"/>
          <w:b/>
        </w:rPr>
        <w:fldChar w:fldCharType="end"/>
      </w:r>
    </w:p>
    <w:p w14:paraId="6672BBB7"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A9859E2" w14:textId="77777777" w:rsidR="00A0704E" w:rsidRPr="00A0704E" w:rsidRDefault="00A0704E" w:rsidP="00A0704E">
      <w:pPr>
        <w:tabs>
          <w:tab w:val="left" w:pos="567"/>
        </w:tabs>
        <w:spacing w:after="0" w:line="220" w:lineRule="exact"/>
        <w:rPr>
          <w:rFonts w:ascii="Times New Roman" w:eastAsia="Times New Roman" w:hAnsi="Times New Roman" w:cs="Times New Roman"/>
          <w:b/>
          <w:bCs/>
        </w:rPr>
      </w:pPr>
      <w:r w:rsidRPr="00A0704E">
        <w:rPr>
          <w:rFonts w:ascii="Times New Roman" w:eastAsia="Times New Roman" w:hAnsi="Times New Roman" w:cs="Times New Roman"/>
          <w:b/>
          <w:bCs/>
        </w:rPr>
        <w:t xml:space="preserve">Cordarone vartoti negalima: </w:t>
      </w:r>
    </w:p>
    <w:p w14:paraId="21BD1D5A" w14:textId="77777777" w:rsidR="00A0704E" w:rsidRPr="00A0704E" w:rsidRDefault="00A0704E" w:rsidP="00A0704E">
      <w:pPr>
        <w:numPr>
          <w:ilvl w:val="0"/>
          <w:numId w:val="7"/>
        </w:numPr>
        <w:tabs>
          <w:tab w:val="clear" w:pos="1701"/>
          <w:tab w:val="num"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jeigu yra alergija amjodarono hidrochloridui, jodui arba bet kuriai pagalbinei šio vaisto medžiagai (jos išvardytos 6 skyriuje);</w:t>
      </w:r>
    </w:p>
    <w:p w14:paraId="6F1BCEE6" w14:textId="77777777" w:rsidR="00A0704E" w:rsidRPr="00A0704E" w:rsidRDefault="00A0704E" w:rsidP="00A0704E">
      <w:pPr>
        <w:numPr>
          <w:ilvl w:val="0"/>
          <w:numId w:val="7"/>
        </w:numPr>
        <w:tabs>
          <w:tab w:val="clear" w:pos="1701"/>
          <w:tab w:val="num"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jeigu yra laidumo sutrikimas ir Jums nėra implantuotas širdies elektrostimuliatorius;</w:t>
      </w:r>
    </w:p>
    <w:p w14:paraId="18DD3928" w14:textId="77777777" w:rsidR="00A0704E" w:rsidRPr="00A0704E" w:rsidRDefault="00A0704E" w:rsidP="00A0704E">
      <w:pPr>
        <w:numPr>
          <w:ilvl w:val="0"/>
          <w:numId w:val="7"/>
        </w:numPr>
        <w:tabs>
          <w:tab w:val="clear" w:pos="1701"/>
          <w:tab w:val="num"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jeigu yra labai retas širdies susitraukinėjimas (sinusinė bradikardija) arba yra sinoatrialinė blokada;</w:t>
      </w:r>
    </w:p>
    <w:p w14:paraId="79E660B6" w14:textId="77777777" w:rsidR="00A0704E" w:rsidRPr="00A0704E" w:rsidRDefault="00A0704E" w:rsidP="00A0704E">
      <w:pPr>
        <w:numPr>
          <w:ilvl w:val="0"/>
          <w:numId w:val="7"/>
        </w:numPr>
        <w:tabs>
          <w:tab w:val="clear" w:pos="1701"/>
          <w:tab w:val="num"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jeigu sutrikusi skydliaukės veikla;</w:t>
      </w:r>
    </w:p>
    <w:p w14:paraId="16191444" w14:textId="77777777" w:rsidR="00A0704E" w:rsidRPr="00A0704E" w:rsidRDefault="00A0704E" w:rsidP="00A0704E">
      <w:pPr>
        <w:numPr>
          <w:ilvl w:val="0"/>
          <w:numId w:val="7"/>
        </w:numPr>
        <w:tabs>
          <w:tab w:val="clear" w:pos="1701"/>
          <w:tab w:val="num"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jeigu vartojate vaistus, galinčius sukelti tam tikrą širdies ritmo sutrikimą (polimorfinę skilvelinę paroksizminę tachikardiją) (žr. poskyrį „Kiti vaistai ir Cordarone“);</w:t>
      </w:r>
    </w:p>
    <w:p w14:paraId="5B2B28C7" w14:textId="77777777" w:rsidR="00A0704E" w:rsidRPr="00A0704E" w:rsidRDefault="00A0704E" w:rsidP="00A0704E">
      <w:pPr>
        <w:numPr>
          <w:ilvl w:val="0"/>
          <w:numId w:val="7"/>
        </w:numPr>
        <w:tabs>
          <w:tab w:val="clear" w:pos="1701"/>
          <w:tab w:val="num"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jeigu esate nėščia (išskyrus neabejotinai būtinus atvejus);</w:t>
      </w:r>
    </w:p>
    <w:p w14:paraId="21C83D5A" w14:textId="77777777" w:rsidR="00A0704E" w:rsidRPr="00A0704E" w:rsidRDefault="00A0704E" w:rsidP="00A0704E">
      <w:pPr>
        <w:numPr>
          <w:ilvl w:val="0"/>
          <w:numId w:val="7"/>
        </w:numPr>
        <w:tabs>
          <w:tab w:val="clear" w:pos="1701"/>
          <w:tab w:val="num" w:pos="567"/>
        </w:tabs>
        <w:spacing w:after="0" w:line="240" w:lineRule="auto"/>
        <w:ind w:left="567"/>
        <w:rPr>
          <w:rFonts w:ascii="Times New Roman" w:eastAsia="Times New Roman" w:hAnsi="Times New Roman" w:cs="Times New Roman"/>
        </w:rPr>
      </w:pPr>
      <w:r w:rsidRPr="00A0704E">
        <w:rPr>
          <w:rFonts w:ascii="Times New Roman" w:eastAsia="Times New Roman" w:hAnsi="Times New Roman" w:cs="Times New Roman"/>
        </w:rPr>
        <w:t>jeigu žindote.</w:t>
      </w:r>
    </w:p>
    <w:p w14:paraId="19E65E1E" w14:textId="77777777" w:rsidR="00A0704E" w:rsidRPr="00A0704E" w:rsidRDefault="00A0704E" w:rsidP="00A0704E">
      <w:pPr>
        <w:tabs>
          <w:tab w:val="num" w:pos="567"/>
        </w:tabs>
        <w:spacing w:after="0" w:line="240" w:lineRule="auto"/>
        <w:rPr>
          <w:rFonts w:ascii="Times New Roman" w:eastAsia="Times New Roman" w:hAnsi="Times New Roman" w:cs="Times New Roman"/>
        </w:rPr>
      </w:pPr>
    </w:p>
    <w:p w14:paraId="35B5761F" w14:textId="77777777" w:rsidR="00A0704E" w:rsidRPr="00A0704E" w:rsidRDefault="00A0704E" w:rsidP="00A0704E">
      <w:pPr>
        <w:keepNext/>
        <w:tabs>
          <w:tab w:val="left" w:pos="567"/>
        </w:tabs>
        <w:spacing w:after="0" w:line="260" w:lineRule="exact"/>
        <w:jc w:val="both"/>
        <w:outlineLvl w:val="3"/>
        <w:rPr>
          <w:rFonts w:ascii="Times New Roman" w:eastAsia="SimSun" w:hAnsi="Times New Roman" w:cs="Times New Roman"/>
          <w:b/>
        </w:rPr>
      </w:pPr>
      <w:r w:rsidRPr="00A0704E">
        <w:rPr>
          <w:rFonts w:ascii="Times New Roman" w:eastAsia="SimSun" w:hAnsi="Times New Roman" w:cs="Times New Roman"/>
          <w:b/>
        </w:rPr>
        <w:t>Įspėjimai ir atsargumo priemonės</w:t>
      </w:r>
      <w:r w:rsidRPr="00A0704E">
        <w:rPr>
          <w:rFonts w:ascii="Times New Roman" w:eastAsia="SimSun" w:hAnsi="Times New Roman" w:cs="Times New Roman"/>
          <w:b/>
        </w:rPr>
        <w:fldChar w:fldCharType="begin"/>
      </w:r>
      <w:r w:rsidRPr="00A0704E">
        <w:rPr>
          <w:rFonts w:ascii="Times New Roman" w:eastAsia="SimSun" w:hAnsi="Times New Roman" w:cs="Times New Roman"/>
          <w:b/>
        </w:rPr>
        <w:instrText xml:space="preserve"> DOCVARIABLE vault_nd_5bd7bfa5-947d-4902-aef1-3de992cfca4b \* MERGEFORMAT </w:instrText>
      </w:r>
      <w:r w:rsidRPr="00A0704E">
        <w:rPr>
          <w:rFonts w:ascii="Times New Roman" w:eastAsia="SimSun" w:hAnsi="Times New Roman" w:cs="Times New Roman"/>
          <w:b/>
        </w:rPr>
        <w:fldChar w:fldCharType="separate"/>
      </w:r>
      <w:r w:rsidRPr="00A0704E">
        <w:rPr>
          <w:rFonts w:ascii="Times New Roman" w:eastAsia="SimSun" w:hAnsi="Times New Roman" w:cs="Times New Roman"/>
          <w:b/>
        </w:rPr>
        <w:t xml:space="preserve"> </w:t>
      </w:r>
      <w:r w:rsidRPr="00A0704E">
        <w:rPr>
          <w:rFonts w:ascii="Times New Roman" w:eastAsia="SimSun" w:hAnsi="Times New Roman" w:cs="Times New Roman"/>
          <w:b/>
        </w:rPr>
        <w:fldChar w:fldCharType="end"/>
      </w:r>
    </w:p>
    <w:p w14:paraId="0D815935" w14:textId="77777777" w:rsidR="00A0704E" w:rsidRPr="00A0704E" w:rsidRDefault="00A0704E" w:rsidP="00A0704E">
      <w:pPr>
        <w:numPr>
          <w:ilvl w:val="12"/>
          <w:numId w:val="0"/>
        </w:numPr>
        <w:tabs>
          <w:tab w:val="left" w:pos="567"/>
        </w:tabs>
        <w:spacing w:after="0" w:line="240" w:lineRule="auto"/>
        <w:ind w:right="-2"/>
        <w:rPr>
          <w:rFonts w:ascii="Times New Roman" w:eastAsia="SimSun" w:hAnsi="Times New Roman" w:cs="Times New Roman"/>
          <w:lang w:eastAsia="zh-CN"/>
        </w:rPr>
      </w:pPr>
      <w:r w:rsidRPr="00A0704E">
        <w:rPr>
          <w:rFonts w:ascii="Times New Roman" w:eastAsia="SimSun" w:hAnsi="Times New Roman" w:cs="Times New Roman"/>
          <w:lang w:eastAsia="zh-CN"/>
        </w:rPr>
        <w:t xml:space="preserve">Pasitarkite su gydytoju arba vaistininku, prieš pradėdami vartoti </w:t>
      </w:r>
      <w:r w:rsidRPr="00A0704E">
        <w:rPr>
          <w:rFonts w:ascii="Times New Roman" w:eastAsia="Times New Roman" w:hAnsi="Times New Roman" w:cs="Times New Roman"/>
        </w:rPr>
        <w:t>Cordarone</w:t>
      </w:r>
      <w:r w:rsidRPr="00A0704E">
        <w:rPr>
          <w:rFonts w:ascii="Times New Roman" w:eastAsia="SimSun" w:hAnsi="Times New Roman" w:cs="Times New Roman"/>
          <w:lang w:eastAsia="zh-CN"/>
        </w:rPr>
        <w:t>:</w:t>
      </w:r>
    </w:p>
    <w:p w14:paraId="364806D8" w14:textId="77777777" w:rsidR="00A0704E" w:rsidRPr="00A0704E" w:rsidRDefault="00A0704E" w:rsidP="00A0704E">
      <w:pPr>
        <w:numPr>
          <w:ilvl w:val="0"/>
          <w:numId w:val="5"/>
        </w:numPr>
        <w:tabs>
          <w:tab w:val="left" w:pos="567"/>
        </w:tabs>
        <w:spacing w:after="0" w:line="240" w:lineRule="auto"/>
        <w:rPr>
          <w:rFonts w:ascii="Times New Roman" w:eastAsia="Times New Roman" w:hAnsi="Times New Roman" w:cs="Times New Roman"/>
          <w:bCs/>
        </w:rPr>
      </w:pPr>
      <w:r w:rsidRPr="00A0704E">
        <w:rPr>
          <w:rFonts w:ascii="Times New Roman" w:eastAsia="Times New Roman" w:hAnsi="Times New Roman" w:cs="Times New Roman"/>
          <w:bCs/>
        </w:rPr>
        <w:t>jeigu Jums yra širdies veiklos sutrikimų;</w:t>
      </w:r>
    </w:p>
    <w:p w14:paraId="043B55FA" w14:textId="77777777" w:rsidR="00A0704E" w:rsidRPr="00A0704E" w:rsidRDefault="00A0704E" w:rsidP="00A0704E">
      <w:pPr>
        <w:numPr>
          <w:ilvl w:val="0"/>
          <w:numId w:val="5"/>
        </w:numPr>
        <w:tabs>
          <w:tab w:val="left" w:pos="567"/>
        </w:tabs>
        <w:spacing w:after="0" w:line="240" w:lineRule="auto"/>
        <w:rPr>
          <w:rFonts w:ascii="Times New Roman" w:eastAsia="Times New Roman" w:hAnsi="Times New Roman" w:cs="Times New Roman"/>
          <w:bCs/>
        </w:rPr>
      </w:pPr>
      <w:r w:rsidRPr="00A0704E">
        <w:rPr>
          <w:rFonts w:ascii="Times New Roman" w:eastAsia="Times New Roman" w:hAnsi="Times New Roman" w:cs="Times New Roman"/>
          <w:bCs/>
        </w:rPr>
        <w:lastRenderedPageBreak/>
        <w:t>jeigu Jūs esate senyvo amžiaus (virš 65 metų), nes gali labai sumažėti širdies susitraukimų dažnis;</w:t>
      </w:r>
    </w:p>
    <w:p w14:paraId="735E1290" w14:textId="77777777" w:rsidR="00A0704E" w:rsidRPr="00A0704E" w:rsidRDefault="00A0704E" w:rsidP="00A0704E">
      <w:pPr>
        <w:numPr>
          <w:ilvl w:val="0"/>
          <w:numId w:val="5"/>
        </w:numPr>
        <w:tabs>
          <w:tab w:val="left" w:pos="567"/>
        </w:tabs>
        <w:spacing w:after="0" w:line="240" w:lineRule="auto"/>
        <w:rPr>
          <w:rFonts w:ascii="Times New Roman" w:eastAsia="Times New Roman" w:hAnsi="Times New Roman" w:cs="Times New Roman"/>
          <w:bCs/>
        </w:rPr>
      </w:pPr>
      <w:r w:rsidRPr="00A0704E">
        <w:rPr>
          <w:rFonts w:ascii="Times New Roman" w:eastAsia="Times New Roman" w:hAnsi="Times New Roman" w:cs="Times New Roman"/>
          <w:bCs/>
        </w:rPr>
        <w:t>jeigu Jums yra plaučių veiklos sutrikimų ar sergate astma;</w:t>
      </w:r>
    </w:p>
    <w:p w14:paraId="7AFB07BC" w14:textId="77777777" w:rsidR="00A0704E" w:rsidRPr="00A0704E" w:rsidRDefault="00A0704E" w:rsidP="00A0704E">
      <w:pPr>
        <w:numPr>
          <w:ilvl w:val="0"/>
          <w:numId w:val="5"/>
        </w:numPr>
        <w:tabs>
          <w:tab w:val="left" w:pos="567"/>
        </w:tabs>
        <w:spacing w:after="0" w:line="240" w:lineRule="auto"/>
        <w:rPr>
          <w:rFonts w:ascii="Times New Roman" w:eastAsia="Times New Roman" w:hAnsi="Times New Roman" w:cs="Times New Roman"/>
          <w:bCs/>
        </w:rPr>
      </w:pPr>
      <w:r w:rsidRPr="00A0704E">
        <w:rPr>
          <w:rFonts w:ascii="Times New Roman" w:eastAsia="Times New Roman" w:hAnsi="Times New Roman" w:cs="Times New Roman"/>
          <w:bCs/>
        </w:rPr>
        <w:t>jeigu Jums yra kepenų veiklos sutrikimų;</w:t>
      </w:r>
    </w:p>
    <w:p w14:paraId="0B64A705" w14:textId="77777777" w:rsidR="00A0704E" w:rsidRPr="00A0704E" w:rsidRDefault="00A0704E" w:rsidP="00A0704E">
      <w:pPr>
        <w:numPr>
          <w:ilvl w:val="0"/>
          <w:numId w:val="5"/>
        </w:numPr>
        <w:tabs>
          <w:tab w:val="left" w:pos="567"/>
        </w:tabs>
        <w:spacing w:after="0" w:line="240" w:lineRule="auto"/>
        <w:rPr>
          <w:rFonts w:ascii="Times New Roman" w:eastAsia="Times New Roman" w:hAnsi="Times New Roman" w:cs="Times New Roman"/>
          <w:bCs/>
        </w:rPr>
      </w:pPr>
      <w:r w:rsidRPr="00A0704E">
        <w:rPr>
          <w:rFonts w:ascii="Times New Roman" w:eastAsia="Times New Roman" w:hAnsi="Times New Roman" w:cs="Times New Roman"/>
          <w:bCs/>
        </w:rPr>
        <w:t>jeigu Jums sutrinka jutimai, atsiranda raumenų silpnumas;</w:t>
      </w:r>
    </w:p>
    <w:p w14:paraId="2F6817B3" w14:textId="77777777" w:rsidR="00A0704E" w:rsidRPr="00A0704E" w:rsidRDefault="00A0704E" w:rsidP="00A0704E">
      <w:pPr>
        <w:numPr>
          <w:ilvl w:val="0"/>
          <w:numId w:val="5"/>
        </w:numPr>
        <w:tabs>
          <w:tab w:val="left" w:pos="567"/>
        </w:tabs>
        <w:spacing w:after="0" w:line="240" w:lineRule="auto"/>
        <w:rPr>
          <w:rFonts w:ascii="Times New Roman" w:eastAsia="Times New Roman" w:hAnsi="Times New Roman" w:cs="Times New Roman"/>
          <w:bCs/>
        </w:rPr>
      </w:pPr>
      <w:r w:rsidRPr="00A0704E">
        <w:rPr>
          <w:rFonts w:ascii="Times New Roman" w:eastAsia="Times New Roman" w:hAnsi="Times New Roman" w:cs="Times New Roman"/>
          <w:bCs/>
        </w:rPr>
        <w:t>jeigu Jums yra regėjimo sutrikimų;</w:t>
      </w:r>
    </w:p>
    <w:p w14:paraId="4762004C" w14:textId="77777777" w:rsidR="00A0704E" w:rsidRPr="00A0704E" w:rsidRDefault="00A0704E" w:rsidP="00A0704E">
      <w:pPr>
        <w:numPr>
          <w:ilvl w:val="0"/>
          <w:numId w:val="5"/>
        </w:numPr>
        <w:tabs>
          <w:tab w:val="left" w:pos="567"/>
        </w:tabs>
        <w:spacing w:after="0" w:line="240" w:lineRule="auto"/>
        <w:rPr>
          <w:rFonts w:ascii="Times New Roman" w:eastAsia="Times New Roman" w:hAnsi="Times New Roman" w:cs="Times New Roman"/>
          <w:bCs/>
        </w:rPr>
      </w:pPr>
      <w:r w:rsidRPr="00A0704E">
        <w:rPr>
          <w:rFonts w:ascii="Times New Roman" w:eastAsia="Times New Roman" w:hAnsi="Times New Roman" w:cs="Times New Roman"/>
          <w:bCs/>
        </w:rPr>
        <w:t xml:space="preserve">jeigu vartojant Cordarone tabletes, sutriko skydliaukės veikla (hipertiroidizmas); </w:t>
      </w:r>
    </w:p>
    <w:p w14:paraId="15B24E63" w14:textId="77777777" w:rsidR="00A0704E" w:rsidRPr="00A0704E" w:rsidRDefault="00A0704E" w:rsidP="00A0704E">
      <w:pPr>
        <w:numPr>
          <w:ilvl w:val="0"/>
          <w:numId w:val="5"/>
        </w:numPr>
        <w:tabs>
          <w:tab w:val="left" w:pos="567"/>
        </w:tabs>
        <w:spacing w:after="0" w:line="240" w:lineRule="auto"/>
        <w:rPr>
          <w:rFonts w:ascii="Times New Roman" w:eastAsia="Times New Roman" w:hAnsi="Times New Roman" w:cs="Times New Roman"/>
          <w:bCs/>
        </w:rPr>
      </w:pPr>
      <w:r w:rsidRPr="00A0704E">
        <w:rPr>
          <w:rFonts w:ascii="Times New Roman" w:eastAsia="Times New Roman" w:hAnsi="Times New Roman" w:cs="Times New Roman"/>
          <w:bCs/>
        </w:rPr>
        <w:t>jeigu Jums numatoma operacija;</w:t>
      </w:r>
    </w:p>
    <w:p w14:paraId="7475D938" w14:textId="77777777" w:rsidR="00A0704E" w:rsidRPr="00A0704E" w:rsidRDefault="00A0704E" w:rsidP="00A0704E">
      <w:pPr>
        <w:numPr>
          <w:ilvl w:val="0"/>
          <w:numId w:val="5"/>
        </w:numPr>
        <w:tabs>
          <w:tab w:val="left" w:pos="567"/>
        </w:tabs>
        <w:spacing w:after="0" w:line="240" w:lineRule="auto"/>
        <w:rPr>
          <w:rFonts w:ascii="Times New Roman" w:eastAsia="Times New Roman" w:hAnsi="Times New Roman" w:cs="Times New Roman"/>
          <w:bCs/>
        </w:rPr>
      </w:pPr>
      <w:r w:rsidRPr="00A0704E">
        <w:rPr>
          <w:rFonts w:ascii="Times New Roman" w:eastAsia="Times New Roman" w:hAnsi="Times New Roman" w:cs="Times New Roman"/>
          <w:bCs/>
        </w:rPr>
        <w:t>norint išvengti saulės nudegimą primenančios reakcijos, reikia saugotis saulės poveikio</w:t>
      </w:r>
    </w:p>
    <w:p w14:paraId="681B2E74" w14:textId="77777777" w:rsidR="00A0704E" w:rsidRPr="00A0704E" w:rsidRDefault="00A0704E" w:rsidP="00A0704E">
      <w:pPr>
        <w:tabs>
          <w:tab w:val="num" w:pos="540"/>
          <w:tab w:val="left" w:pos="567"/>
        </w:tabs>
        <w:spacing w:after="0" w:line="240" w:lineRule="auto"/>
        <w:ind w:left="567"/>
        <w:rPr>
          <w:rFonts w:ascii="Times New Roman" w:eastAsia="Times New Roman" w:hAnsi="Times New Roman" w:cs="Times New Roman"/>
          <w:bCs/>
        </w:rPr>
      </w:pPr>
      <w:r w:rsidRPr="00A0704E">
        <w:rPr>
          <w:rFonts w:ascii="Times New Roman" w:eastAsia="Times New Roman" w:hAnsi="Times New Roman" w:cs="Times New Roman"/>
          <w:bCs/>
        </w:rPr>
        <w:t>vartojant Cordarone;</w:t>
      </w:r>
    </w:p>
    <w:p w14:paraId="75D214BE" w14:textId="77777777" w:rsidR="00A0704E" w:rsidRPr="00A0704E" w:rsidRDefault="00A0704E" w:rsidP="00A0704E">
      <w:pPr>
        <w:numPr>
          <w:ilvl w:val="0"/>
          <w:numId w:val="5"/>
        </w:numPr>
        <w:tabs>
          <w:tab w:val="left" w:pos="567"/>
        </w:tabs>
        <w:spacing w:after="0" w:line="240" w:lineRule="auto"/>
        <w:rPr>
          <w:rFonts w:ascii="Times New Roman" w:eastAsia="Times New Roman" w:hAnsi="Times New Roman" w:cs="Times New Roman"/>
          <w:bCs/>
        </w:rPr>
      </w:pPr>
      <w:r w:rsidRPr="00A0704E">
        <w:rPr>
          <w:rFonts w:ascii="Times New Roman" w:eastAsia="Times New Roman" w:hAnsi="Times New Roman" w:cs="Times New Roman"/>
          <w:bCs/>
        </w:rPr>
        <w:t>jei Jums įsodintas širdies stimuliatorius ar kardioverteris-defibriliatorius, rekomenduojama prieš gydymą ir gydymo Cordarone metu dažnai tikrinti prietaiso veikimą;</w:t>
      </w:r>
    </w:p>
    <w:p w14:paraId="1772BFDA" w14:textId="77777777" w:rsidR="00A0704E" w:rsidRPr="00A0704E" w:rsidRDefault="00A0704E" w:rsidP="00A0704E">
      <w:pPr>
        <w:numPr>
          <w:ilvl w:val="0"/>
          <w:numId w:val="5"/>
        </w:num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jei šiuo metu vartojate hepatitui C gydyti skirto vaisto, kurio sudėtyje yra sofosbuviro, nes tai gali sukelti gyvybei pavojingą širdies ritmo sulėtėjimą. Gydytojas gali apsvarstyti galimybę skirti kitų vaistų. Jeigu gydymas amjodaronu ir sofosbuviru būtinas, gali prireikti papildomai stebėti Jūsų širdies veiklą.</w:t>
      </w:r>
    </w:p>
    <w:p w14:paraId="2836C75E"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88B2B5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Prieš gydymą Cordarone Jums rekomenduojama užrašyti elektrokardiogramą (EKG), ištirti kalio kiekį kraujyje ir ištirti skydliaukės funkciją.</w:t>
      </w:r>
    </w:p>
    <w:p w14:paraId="6E0A089C"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Gydymo metu rekomenduojama reguliariai tirti kepenų funkciją ir stebėti EKG. Skydliaukės funkciją reikia stebėti viso gydymo metu ir kelis mėnesius po jo nutraukimo.</w:t>
      </w:r>
    </w:p>
    <w:p w14:paraId="11F9335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034902A" w14:textId="77777777" w:rsidR="00A0704E" w:rsidRPr="00A0704E" w:rsidRDefault="00A0704E" w:rsidP="00A0704E">
      <w:pPr>
        <w:spacing w:after="0" w:line="220" w:lineRule="exact"/>
        <w:rPr>
          <w:rFonts w:ascii="Times New Roman" w:eastAsia="Times New Roman" w:hAnsi="Times New Roman" w:cs="Times New Roman"/>
          <w:bCs/>
        </w:rPr>
      </w:pPr>
      <w:r w:rsidRPr="00A0704E">
        <w:rPr>
          <w:rFonts w:ascii="Times New Roman" w:eastAsia="Times New Roman" w:hAnsi="Times New Roman" w:cs="Times New Roman"/>
          <w:bCs/>
        </w:rPr>
        <w:t xml:space="preserve">Jei atsiranda sunkios pūslinės odos reakcijos simptomų, gydymą Cordarone būtina nedelsiant nutraukti. Tai gali būti gyvybei pavojingos ir net mirtinos reakcijos </w:t>
      </w:r>
      <w:r w:rsidRPr="00A0704E">
        <w:rPr>
          <w:rFonts w:ascii="Times New Roman" w:eastAsia="Times New Roman" w:hAnsi="Times New Roman" w:cs="Times New Roman"/>
          <w:bCs/>
          <w:i/>
        </w:rPr>
        <w:t>Stevens-Johnson</w:t>
      </w:r>
      <w:r w:rsidRPr="00A0704E">
        <w:rPr>
          <w:rFonts w:ascii="Times New Roman" w:eastAsia="Times New Roman" w:hAnsi="Times New Roman" w:cs="Times New Roman"/>
          <w:bCs/>
        </w:rPr>
        <w:t xml:space="preserve"> sindromas ar toksinė epidermio nekrolizė (žr. 4 skyrių).</w:t>
      </w:r>
    </w:p>
    <w:p w14:paraId="1B8B6E2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F0CBDC8"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Jeigu Jūs esate įtraukti į laukiančiųjų širdies persodinimo sąrašą, gydytojas gali pakeisti Jūsų gydymą, nes nustatyta, kad amjodarono vartojimas prieš širdies persodinimą didina gyvybei pavojingos komplikacijos (pirminės persodinto organo disfunkcijos), kuriai pasireiškus persodinta širdis nustoja veikti tinkamai per pirmąsias 24 valandas po operacijos, riziką.</w:t>
      </w:r>
    </w:p>
    <w:p w14:paraId="36D97AAC"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043EA3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Vaikams ir paaugliams šio vaisto vartoti nerekomenduojama.</w:t>
      </w:r>
    </w:p>
    <w:p w14:paraId="587DB9CA"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A4D6AD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Nedelsdami pasakykite savo gydytojui, jeigu vartojote hepatitui C gydyti skirto vaisto, kurio sudėtyje yra sofosbuviro, ir gydymo laikotarpiu Jums pasireikštų:</w:t>
      </w:r>
    </w:p>
    <w:p w14:paraId="3708F953" w14:textId="77777777" w:rsidR="00A0704E" w:rsidRPr="00A0704E" w:rsidRDefault="00A0704E" w:rsidP="00A0704E">
      <w:pPr>
        <w:numPr>
          <w:ilvl w:val="0"/>
          <w:numId w:val="20"/>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lėtas arba nereguliarus širdies plakimas arba širdies ritmo sutrikimai;</w:t>
      </w:r>
    </w:p>
    <w:p w14:paraId="6E51AD9B" w14:textId="77777777" w:rsidR="00A0704E" w:rsidRPr="00A0704E" w:rsidRDefault="00A0704E" w:rsidP="00A0704E">
      <w:pPr>
        <w:numPr>
          <w:ilvl w:val="0"/>
          <w:numId w:val="20"/>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dusulys arba esamo dusulio pablogėjimas;</w:t>
      </w:r>
    </w:p>
    <w:p w14:paraId="4E7E05F3" w14:textId="77777777" w:rsidR="00A0704E" w:rsidRPr="00A0704E" w:rsidRDefault="00A0704E" w:rsidP="00A0704E">
      <w:pPr>
        <w:numPr>
          <w:ilvl w:val="0"/>
          <w:numId w:val="20"/>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krūtinės skausmas;</w:t>
      </w:r>
    </w:p>
    <w:p w14:paraId="53B711D2" w14:textId="77777777" w:rsidR="00A0704E" w:rsidRPr="00A0704E" w:rsidRDefault="00A0704E" w:rsidP="00A0704E">
      <w:pPr>
        <w:numPr>
          <w:ilvl w:val="0"/>
          <w:numId w:val="20"/>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galvos sukimasis;</w:t>
      </w:r>
    </w:p>
    <w:p w14:paraId="31337743" w14:textId="77777777" w:rsidR="00A0704E" w:rsidRPr="00A0704E" w:rsidRDefault="00A0704E" w:rsidP="00A0704E">
      <w:pPr>
        <w:numPr>
          <w:ilvl w:val="0"/>
          <w:numId w:val="20"/>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stiprus, juntamas širdies plakimas;</w:t>
      </w:r>
    </w:p>
    <w:p w14:paraId="1E73143E" w14:textId="77777777" w:rsidR="00A0704E" w:rsidRPr="00A0704E" w:rsidRDefault="00A0704E" w:rsidP="00A0704E">
      <w:pPr>
        <w:numPr>
          <w:ilvl w:val="0"/>
          <w:numId w:val="20"/>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į alpimą panaši būsena arba apalpimas.</w:t>
      </w:r>
    </w:p>
    <w:p w14:paraId="3FDC4C4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016699F5" w14:textId="77777777" w:rsidR="00A0704E" w:rsidRPr="00A0704E" w:rsidRDefault="00A0704E" w:rsidP="00A0704E">
      <w:pPr>
        <w:tabs>
          <w:tab w:val="left" w:pos="567"/>
        </w:tabs>
        <w:spacing w:after="0" w:line="240" w:lineRule="auto"/>
        <w:rPr>
          <w:rFonts w:ascii="Times New Roman" w:eastAsia="Times New Roman" w:hAnsi="Times New Roman" w:cs="Times New Roman"/>
          <w:b/>
          <w:bCs/>
        </w:rPr>
      </w:pPr>
      <w:r w:rsidRPr="00A0704E">
        <w:rPr>
          <w:rFonts w:ascii="Times New Roman" w:eastAsia="Times New Roman" w:hAnsi="Times New Roman" w:cs="Times New Roman"/>
          <w:b/>
          <w:bCs/>
        </w:rPr>
        <w:t>Kiti vaistai ir Cordarone</w:t>
      </w:r>
    </w:p>
    <w:p w14:paraId="582D09E5"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Jeigu vartojate ar neseniai vartojote kitų vaistų arba dėl to nesate tikri, apie tai pasakykite gydytojui arba vaistininkui.</w:t>
      </w:r>
    </w:p>
    <w:p w14:paraId="52E1716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DC77DB7" w14:textId="77777777" w:rsidR="00A0704E" w:rsidRPr="00A0704E" w:rsidRDefault="00A0704E" w:rsidP="00A0704E">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Derinant skirtingus vaistus nuo aritmijos, galimas palankus terapinis poveikis, tačiau tai reikia daryti labai atsargiai ir atidžiai stebint klinikinę būklę bei elektrokardiogramą. </w:t>
      </w:r>
    </w:p>
    <w:p w14:paraId="592EA96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Derinti tos pačios grupės vaistus nuo aritmijos nerekomenduojama, išskyrus išimtinius atvejus, nes didėja nepageidaujamo poveikio širdžiai rizika. </w:t>
      </w:r>
    </w:p>
    <w:p w14:paraId="6E2598AD"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35F10E5"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Vaistai, kurių vartoti kartu su Cordarone</w:t>
      </w:r>
      <w:r w:rsidRPr="00A0704E">
        <w:rPr>
          <w:rFonts w:ascii="Times New Roman" w:eastAsia="Times New Roman" w:hAnsi="Times New Roman" w:cs="Times New Roman"/>
          <w:b/>
          <w:i/>
        </w:rPr>
        <w:t xml:space="preserve"> draudžiama</w:t>
      </w:r>
    </w:p>
    <w:p w14:paraId="6117F855" w14:textId="77777777" w:rsidR="00A0704E" w:rsidRPr="00A0704E" w:rsidRDefault="00A0704E" w:rsidP="00A0704E">
      <w:pPr>
        <w:numPr>
          <w:ilvl w:val="0"/>
          <w:numId w:val="21"/>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Vaistai, kurie gali sukelti pavojingą širdies ritmo sutrikimą (polimorfinę paroksizminę skilvelinę tachikardiją)</w:t>
      </w:r>
      <w:r w:rsidRPr="00A0704E">
        <w:rPr>
          <w:rFonts w:ascii="Times New Roman" w:eastAsia="Times New Roman" w:hAnsi="Times New Roman" w:cs="Times New Roman"/>
          <w:iCs/>
        </w:rPr>
        <w:t>:</w:t>
      </w:r>
    </w:p>
    <w:p w14:paraId="6F9EB83B" w14:textId="77777777" w:rsidR="00A0704E" w:rsidRPr="00A0704E" w:rsidRDefault="00A0704E" w:rsidP="00A0704E">
      <w:pPr>
        <w:numPr>
          <w:ilvl w:val="0"/>
          <w:numId w:val="22"/>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vaistai nuo aritmijos, pvz., Ia grupės (chinidinas, hidrochinidinas, dizopiramidas), III grupės (sotalolis, dofetilidas, ibutilidas), bepridilis;</w:t>
      </w:r>
    </w:p>
    <w:p w14:paraId="370EAA18" w14:textId="77777777" w:rsidR="00A0704E" w:rsidRPr="00A0704E" w:rsidRDefault="00A0704E" w:rsidP="00A0704E">
      <w:pPr>
        <w:numPr>
          <w:ilvl w:val="0"/>
          <w:numId w:val="22"/>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lastRenderedPageBreak/>
        <w:t>neantiaritminiai vaistai: kai kurie neuroleptikai, cisapridas, difemanilis, mizolastinas, į veną leidžiami eritromicinas ir vinkaminas bei parenteraliniu būdu vartojamas pentamidinas, nes didėja mirtinos skilvelinės aritmijos, ypač polimorfinės skilvelinės paroksizminės tachikardijos, pavojus.</w:t>
      </w:r>
    </w:p>
    <w:p w14:paraId="48A01B88"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14D0ED1"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 xml:space="preserve">Vaistai, kurių vartoti kartu su Cordarone </w:t>
      </w:r>
      <w:r w:rsidRPr="00A0704E">
        <w:rPr>
          <w:rFonts w:ascii="Times New Roman" w:eastAsia="Times New Roman" w:hAnsi="Times New Roman" w:cs="Times New Roman"/>
          <w:b/>
          <w:i/>
        </w:rPr>
        <w:t>nerekomenduojama</w:t>
      </w:r>
    </w:p>
    <w:p w14:paraId="443E3CAB" w14:textId="77777777" w:rsidR="00A0704E" w:rsidRPr="00A0704E" w:rsidRDefault="00A0704E" w:rsidP="00A0704E">
      <w:pPr>
        <w:numPr>
          <w:ilvl w:val="0"/>
          <w:numId w:val="21"/>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Kalio sumažėjimą galintys sukelti stimuliuojamojo poveikio vidurius laisvinantieji vaistai, galintys sukelti sunkų širdies ritmo sutrikimą (kitokio poveikio vidurius laisvinantieji vaistai gali būti vartojami).</w:t>
      </w:r>
    </w:p>
    <w:p w14:paraId="22AA56AC" w14:textId="77777777" w:rsidR="00A0704E" w:rsidRPr="00A0704E" w:rsidRDefault="00A0704E" w:rsidP="00A0704E">
      <w:pPr>
        <w:numPr>
          <w:ilvl w:val="0"/>
          <w:numId w:val="21"/>
        </w:num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Vaistai, galintys sukelti retą širdies ritmą: kalcio kanalų blokatoriai (geriamieji diltiazemas, verapamilis), beta adrenoblokatoriai (esmololis, metoprololis).</w:t>
      </w:r>
    </w:p>
    <w:p w14:paraId="7BCBC332" w14:textId="77777777" w:rsidR="00A0704E" w:rsidRPr="00A0704E" w:rsidRDefault="00A0704E" w:rsidP="00A0704E">
      <w:pPr>
        <w:numPr>
          <w:ilvl w:val="0"/>
          <w:numId w:val="21"/>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Vaistai nuo maliarijos (pvz., chlorokvinas, meflokvinas, halofantrinas).</w:t>
      </w:r>
    </w:p>
    <w:p w14:paraId="530C56A4" w14:textId="77777777" w:rsidR="00A0704E" w:rsidRPr="00A0704E" w:rsidRDefault="00A0704E" w:rsidP="00A0704E">
      <w:pPr>
        <w:numPr>
          <w:ilvl w:val="0"/>
          <w:numId w:val="21"/>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Fluorchinolonai (sparfloksacinas, moksifloksacinas).</w:t>
      </w:r>
    </w:p>
    <w:p w14:paraId="1B64A6A0" w14:textId="77777777" w:rsidR="00A0704E" w:rsidRPr="00A0704E" w:rsidRDefault="00A0704E" w:rsidP="00A0704E">
      <w:pPr>
        <w:tabs>
          <w:tab w:val="left" w:pos="567"/>
        </w:tabs>
        <w:spacing w:after="0" w:line="240" w:lineRule="auto"/>
        <w:rPr>
          <w:rFonts w:ascii="Times New Roman" w:eastAsia="Times New Roman" w:hAnsi="Times New Roman" w:cs="Times New Roman"/>
          <w:iCs/>
          <w:u w:val="single"/>
        </w:rPr>
      </w:pPr>
    </w:p>
    <w:p w14:paraId="7F5901D1" w14:textId="77777777" w:rsidR="00A0704E" w:rsidRPr="00A0704E" w:rsidRDefault="00A0704E" w:rsidP="00A0704E">
      <w:pPr>
        <w:tabs>
          <w:tab w:val="left" w:pos="567"/>
        </w:tabs>
        <w:spacing w:after="0" w:line="240" w:lineRule="auto"/>
        <w:rPr>
          <w:rFonts w:ascii="Times New Roman" w:eastAsia="Times New Roman" w:hAnsi="Times New Roman" w:cs="Times New Roman"/>
          <w:i/>
          <w:u w:val="single"/>
        </w:rPr>
      </w:pPr>
      <w:r w:rsidRPr="00A0704E">
        <w:rPr>
          <w:rFonts w:ascii="Times New Roman" w:eastAsia="Times New Roman" w:hAnsi="Times New Roman" w:cs="Times New Roman"/>
          <w:i/>
          <w:u w:val="single"/>
        </w:rPr>
        <w:t>Pasakykite gydytojui, jei vartojate:</w:t>
      </w:r>
    </w:p>
    <w:p w14:paraId="14A7A9E3" w14:textId="77777777" w:rsidR="00A0704E" w:rsidRPr="00A0704E" w:rsidRDefault="00A0704E" w:rsidP="00A0704E">
      <w:pPr>
        <w:numPr>
          <w:ilvl w:val="0"/>
          <w:numId w:val="21"/>
        </w:num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sofosbuvirą, vartojamą hepatitui C gydyti.</w:t>
      </w:r>
    </w:p>
    <w:p w14:paraId="7F2D1FC9" w14:textId="77777777" w:rsidR="00A0704E" w:rsidRPr="00A0704E" w:rsidRDefault="00A0704E" w:rsidP="00A0704E">
      <w:pPr>
        <w:tabs>
          <w:tab w:val="left" w:pos="567"/>
        </w:tabs>
        <w:spacing w:after="0" w:line="240" w:lineRule="auto"/>
        <w:rPr>
          <w:rFonts w:ascii="Times New Roman" w:eastAsia="Times New Roman" w:hAnsi="Times New Roman" w:cs="Times New Roman"/>
          <w:iCs/>
          <w:u w:val="single"/>
        </w:rPr>
      </w:pPr>
    </w:p>
    <w:p w14:paraId="01295650"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 xml:space="preserve">Vaistai, kuriuos vartoti kartu su Cordarone reikia </w:t>
      </w:r>
      <w:r w:rsidRPr="00A0704E">
        <w:rPr>
          <w:rFonts w:ascii="Times New Roman" w:eastAsia="Times New Roman" w:hAnsi="Times New Roman" w:cs="Times New Roman"/>
          <w:b/>
          <w:i/>
        </w:rPr>
        <w:t>atsargiai</w:t>
      </w:r>
    </w:p>
    <w:p w14:paraId="29E0EAF1" w14:textId="77777777" w:rsidR="00A0704E" w:rsidRPr="00A0704E" w:rsidRDefault="00A0704E" w:rsidP="00A0704E">
      <w:pPr>
        <w:numPr>
          <w:ilvl w:val="0"/>
          <w:numId w:val="23"/>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Kalio kiekį kraujyje mažinantys vaistai: hipokalemiją sukeliantys diuretikai (šlapimo išsiskyrimą skatinantys vaistai).</w:t>
      </w:r>
    </w:p>
    <w:p w14:paraId="34A1FC04" w14:textId="77777777" w:rsidR="00A0704E" w:rsidRPr="00A0704E" w:rsidRDefault="00A0704E" w:rsidP="00A0704E">
      <w:pPr>
        <w:numPr>
          <w:ilvl w:val="0"/>
          <w:numId w:val="23"/>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Sisteminio poveikio kortikosteroidai (gliukokortikoidai, mineralkortikoidai), tetrakozaktidas. </w:t>
      </w:r>
    </w:p>
    <w:p w14:paraId="454DE9FA" w14:textId="77777777" w:rsidR="00A0704E" w:rsidRPr="00A0704E" w:rsidRDefault="00A0704E" w:rsidP="00A0704E">
      <w:pPr>
        <w:numPr>
          <w:ilvl w:val="0"/>
          <w:numId w:val="23"/>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Į veną leidžiamas amfotericinas B (priešgrybelinis vaistas).</w:t>
      </w:r>
    </w:p>
    <w:p w14:paraId="5915E6B6" w14:textId="77777777" w:rsidR="00A0704E" w:rsidRPr="00A0704E" w:rsidRDefault="00A0704E" w:rsidP="00A0704E">
      <w:pPr>
        <w:numPr>
          <w:ilvl w:val="0"/>
          <w:numId w:val="23"/>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Klaritromicinas (vaistas nuo infekcinių ligų).</w:t>
      </w:r>
    </w:p>
    <w:p w14:paraId="3840AFD5" w14:textId="77777777" w:rsidR="00A0704E" w:rsidRPr="00A0704E" w:rsidRDefault="00A0704E" w:rsidP="00A0704E">
      <w:pPr>
        <w:numPr>
          <w:ilvl w:val="0"/>
          <w:numId w:val="23"/>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Bendrieji anestetikai ir didelės deguonies dozės, naudojamos operacijų metu.</w:t>
      </w:r>
    </w:p>
    <w:p w14:paraId="24A63E72" w14:textId="5BEF6866" w:rsidR="00A0704E" w:rsidRPr="00A0704E" w:rsidRDefault="00A0704E" w:rsidP="00A0704E">
      <w:pPr>
        <w:numPr>
          <w:ilvl w:val="0"/>
          <w:numId w:val="24"/>
        </w:numPr>
        <w:tabs>
          <w:tab w:val="left" w:pos="567"/>
        </w:tabs>
        <w:autoSpaceDE w:val="0"/>
        <w:autoSpaceDN w:val="0"/>
        <w:adjustRightInd w:val="0"/>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Vaistai, kurių poveikis gali sustiprėti, vartojant kartu su Cordarone:</w:t>
      </w:r>
    </w:p>
    <w:p w14:paraId="18B65A82" w14:textId="0122C4D1" w:rsidR="00A0704E" w:rsidRPr="00BB3C7B" w:rsidRDefault="00A0704E" w:rsidP="00BB3C7B">
      <w:pPr>
        <w:pStyle w:val="Sraopastraipa"/>
        <w:numPr>
          <w:ilvl w:val="0"/>
          <w:numId w:val="42"/>
        </w:numPr>
        <w:tabs>
          <w:tab w:val="left" w:pos="567"/>
        </w:tabs>
        <w:autoSpaceDE w:val="0"/>
        <w:autoSpaceDN w:val="0"/>
        <w:adjustRightInd w:val="0"/>
        <w:ind w:left="1134" w:hanging="567"/>
        <w:rPr>
          <w:sz w:val="22"/>
          <w:szCs w:val="22"/>
        </w:rPr>
      </w:pPr>
      <w:r w:rsidRPr="00BB3C7B">
        <w:rPr>
          <w:sz w:val="22"/>
          <w:szCs w:val="22"/>
        </w:rPr>
        <w:t>Flekainidas (vaistas nuo aritmijos);</w:t>
      </w:r>
    </w:p>
    <w:p w14:paraId="26BADE75" w14:textId="77777777" w:rsidR="00A0704E" w:rsidRPr="00BB3C7B" w:rsidRDefault="00A0704E" w:rsidP="00BB3C7B">
      <w:pPr>
        <w:pStyle w:val="Sraopastraipa"/>
        <w:numPr>
          <w:ilvl w:val="0"/>
          <w:numId w:val="42"/>
        </w:numPr>
        <w:tabs>
          <w:tab w:val="left" w:pos="567"/>
        </w:tabs>
        <w:autoSpaceDE w:val="0"/>
        <w:autoSpaceDN w:val="0"/>
        <w:adjustRightInd w:val="0"/>
        <w:ind w:left="1134" w:hanging="567"/>
        <w:rPr>
          <w:sz w:val="22"/>
          <w:szCs w:val="22"/>
        </w:rPr>
      </w:pPr>
      <w:r w:rsidRPr="00BB3C7B">
        <w:rPr>
          <w:sz w:val="22"/>
          <w:szCs w:val="22"/>
        </w:rPr>
        <w:t>Širdį veikiantys glikozidai (gali suretėti širdies ritmas);</w:t>
      </w:r>
    </w:p>
    <w:p w14:paraId="69F4EEF1" w14:textId="5C90D047" w:rsidR="00A0704E" w:rsidRPr="00BB3C7B" w:rsidRDefault="00A0704E" w:rsidP="00BB3C7B">
      <w:pPr>
        <w:pStyle w:val="Sraopastraipa"/>
        <w:numPr>
          <w:ilvl w:val="0"/>
          <w:numId w:val="42"/>
        </w:numPr>
        <w:tabs>
          <w:tab w:val="left" w:pos="567"/>
        </w:tabs>
        <w:ind w:left="1134" w:hanging="567"/>
        <w:rPr>
          <w:sz w:val="22"/>
          <w:szCs w:val="22"/>
        </w:rPr>
      </w:pPr>
      <w:r w:rsidRPr="00BB3C7B">
        <w:rPr>
          <w:sz w:val="22"/>
          <w:szCs w:val="22"/>
        </w:rPr>
        <w:t>Ciklosporinas (sumažėja ciklosporino metabolizmas kepenyse, todėl didėja jo koncentracija kraujyje ir toksinio poveikio inkstams rizika);</w:t>
      </w:r>
    </w:p>
    <w:p w14:paraId="747F757B" w14:textId="7F8A95D0" w:rsidR="00A0704E" w:rsidRPr="00BB3C7B" w:rsidRDefault="00A0704E" w:rsidP="00BB3C7B">
      <w:pPr>
        <w:pStyle w:val="Sraopastraipa"/>
        <w:numPr>
          <w:ilvl w:val="0"/>
          <w:numId w:val="42"/>
        </w:numPr>
        <w:tabs>
          <w:tab w:val="left" w:pos="567"/>
        </w:tabs>
        <w:autoSpaceDE w:val="0"/>
        <w:autoSpaceDN w:val="0"/>
        <w:adjustRightInd w:val="0"/>
        <w:ind w:left="1134" w:hanging="567"/>
        <w:rPr>
          <w:sz w:val="22"/>
          <w:szCs w:val="22"/>
        </w:rPr>
      </w:pPr>
      <w:r w:rsidRPr="00BB3C7B">
        <w:rPr>
          <w:sz w:val="22"/>
          <w:szCs w:val="22"/>
        </w:rPr>
        <w:t>Fentanilis (vaistas nuo skausmo);</w:t>
      </w:r>
    </w:p>
    <w:p w14:paraId="58CAD908" w14:textId="77777777" w:rsidR="00A0704E" w:rsidRPr="00BB3C7B" w:rsidRDefault="00A0704E" w:rsidP="00BB3C7B">
      <w:pPr>
        <w:pStyle w:val="Sraopastraipa"/>
        <w:numPr>
          <w:ilvl w:val="0"/>
          <w:numId w:val="42"/>
        </w:numPr>
        <w:tabs>
          <w:tab w:val="left" w:pos="567"/>
        </w:tabs>
        <w:autoSpaceDE w:val="0"/>
        <w:autoSpaceDN w:val="0"/>
        <w:adjustRightInd w:val="0"/>
        <w:ind w:left="1134" w:hanging="567"/>
        <w:rPr>
          <w:sz w:val="22"/>
          <w:szCs w:val="22"/>
        </w:rPr>
      </w:pPr>
      <w:r w:rsidRPr="00BB3C7B">
        <w:rPr>
          <w:sz w:val="22"/>
          <w:szCs w:val="22"/>
        </w:rPr>
        <w:t>Statinai (vaistai cholesteroliui mažinti): simvastatinas, atorvastatinas, lovastatinas;</w:t>
      </w:r>
    </w:p>
    <w:p w14:paraId="78F4F0BA" w14:textId="77777777" w:rsidR="00A0704E" w:rsidRPr="00BB3C7B" w:rsidRDefault="00A0704E" w:rsidP="00BB3C7B">
      <w:pPr>
        <w:pStyle w:val="Sraopastraipa"/>
        <w:numPr>
          <w:ilvl w:val="0"/>
          <w:numId w:val="42"/>
        </w:numPr>
        <w:tabs>
          <w:tab w:val="left" w:pos="567"/>
        </w:tabs>
        <w:autoSpaceDE w:val="0"/>
        <w:autoSpaceDN w:val="0"/>
        <w:adjustRightInd w:val="0"/>
        <w:ind w:left="1134" w:hanging="567"/>
        <w:rPr>
          <w:sz w:val="22"/>
          <w:szCs w:val="22"/>
        </w:rPr>
      </w:pPr>
      <w:r w:rsidRPr="00BB3C7B">
        <w:rPr>
          <w:sz w:val="22"/>
          <w:szCs w:val="22"/>
        </w:rPr>
        <w:t>Dabigatranas (gali pasireikšti kraujavimas);</w:t>
      </w:r>
    </w:p>
    <w:p w14:paraId="67C41431" w14:textId="77777777" w:rsidR="00A0704E" w:rsidRPr="00BB3C7B" w:rsidRDefault="00A0704E" w:rsidP="00BB3C7B">
      <w:pPr>
        <w:pStyle w:val="Sraopastraipa"/>
        <w:numPr>
          <w:ilvl w:val="0"/>
          <w:numId w:val="42"/>
        </w:numPr>
        <w:tabs>
          <w:tab w:val="left" w:pos="567"/>
        </w:tabs>
        <w:autoSpaceDE w:val="0"/>
        <w:autoSpaceDN w:val="0"/>
        <w:adjustRightInd w:val="0"/>
        <w:ind w:left="1134" w:hanging="567"/>
        <w:rPr>
          <w:sz w:val="22"/>
          <w:szCs w:val="22"/>
        </w:rPr>
      </w:pPr>
      <w:r w:rsidRPr="00BB3C7B">
        <w:rPr>
          <w:sz w:val="22"/>
          <w:szCs w:val="22"/>
        </w:rPr>
        <w:t>Varfarinas (geriamasis kraują skystinantis vaistas) – gali didėti kraujavimo pavojus;</w:t>
      </w:r>
    </w:p>
    <w:p w14:paraId="6847891E" w14:textId="77777777" w:rsidR="00A0704E" w:rsidRPr="00BB3C7B" w:rsidRDefault="00A0704E" w:rsidP="00BB3C7B">
      <w:pPr>
        <w:pStyle w:val="Sraopastraipa"/>
        <w:numPr>
          <w:ilvl w:val="0"/>
          <w:numId w:val="42"/>
        </w:numPr>
        <w:tabs>
          <w:tab w:val="left" w:pos="567"/>
        </w:tabs>
        <w:autoSpaceDE w:val="0"/>
        <w:autoSpaceDN w:val="0"/>
        <w:adjustRightInd w:val="0"/>
        <w:ind w:left="1134" w:hanging="567"/>
        <w:rPr>
          <w:sz w:val="22"/>
          <w:szCs w:val="22"/>
        </w:rPr>
      </w:pPr>
      <w:r w:rsidRPr="00BB3C7B">
        <w:rPr>
          <w:sz w:val="22"/>
          <w:szCs w:val="22"/>
        </w:rPr>
        <w:t>Fenitoinas (vaistas nuo traukulių) – gali pasireikšti fenitoino perdozavimo požymių ir atsirasti neurologinių (nervų sistemos sutrikimo) simptomų;</w:t>
      </w:r>
    </w:p>
    <w:p w14:paraId="1B6444A1" w14:textId="1FEA9529" w:rsidR="00A0704E" w:rsidRPr="00BB3C7B" w:rsidRDefault="00A0704E" w:rsidP="00BB3C7B">
      <w:pPr>
        <w:pStyle w:val="Sraopastraipa"/>
        <w:numPr>
          <w:ilvl w:val="0"/>
          <w:numId w:val="42"/>
        </w:numPr>
        <w:tabs>
          <w:tab w:val="left" w:pos="567"/>
        </w:tabs>
        <w:autoSpaceDE w:val="0"/>
        <w:autoSpaceDN w:val="0"/>
        <w:adjustRightInd w:val="0"/>
        <w:ind w:left="1134" w:hanging="567"/>
        <w:rPr>
          <w:sz w:val="22"/>
          <w:szCs w:val="22"/>
        </w:rPr>
      </w:pPr>
      <w:r w:rsidRPr="00BB3C7B">
        <w:rPr>
          <w:sz w:val="22"/>
          <w:szCs w:val="22"/>
        </w:rPr>
        <w:t>Lidokainas (vaistas nejautrai);</w:t>
      </w:r>
    </w:p>
    <w:p w14:paraId="70A98A36" w14:textId="2E62343A" w:rsidR="00A0704E" w:rsidRPr="00BB3C7B" w:rsidRDefault="00A0704E" w:rsidP="00BB3C7B">
      <w:pPr>
        <w:pStyle w:val="Sraopastraipa"/>
        <w:numPr>
          <w:ilvl w:val="0"/>
          <w:numId w:val="42"/>
        </w:numPr>
        <w:tabs>
          <w:tab w:val="left" w:pos="567"/>
        </w:tabs>
        <w:autoSpaceDE w:val="0"/>
        <w:autoSpaceDN w:val="0"/>
        <w:adjustRightInd w:val="0"/>
        <w:ind w:left="1134" w:hanging="567"/>
        <w:rPr>
          <w:sz w:val="22"/>
          <w:szCs w:val="22"/>
        </w:rPr>
      </w:pPr>
      <w:r w:rsidRPr="00BB3C7B">
        <w:rPr>
          <w:sz w:val="22"/>
          <w:szCs w:val="22"/>
        </w:rPr>
        <w:t xml:space="preserve">Takrolimuzas </w:t>
      </w:r>
      <w:r w:rsidR="00D13077">
        <w:rPr>
          <w:sz w:val="22"/>
          <w:szCs w:val="22"/>
        </w:rPr>
        <w:t xml:space="preserve">ir </w:t>
      </w:r>
      <w:r w:rsidR="00D13077" w:rsidRPr="00D13077">
        <w:rPr>
          <w:sz w:val="22"/>
          <w:szCs w:val="22"/>
        </w:rPr>
        <w:t xml:space="preserve">sirolimuzas </w:t>
      </w:r>
      <w:r w:rsidRPr="00BB3C7B">
        <w:rPr>
          <w:sz w:val="22"/>
          <w:szCs w:val="22"/>
        </w:rPr>
        <w:t>(</w:t>
      </w:r>
      <w:r w:rsidR="00D13077" w:rsidRPr="00D13077">
        <w:rPr>
          <w:sz w:val="22"/>
          <w:szCs w:val="22"/>
        </w:rPr>
        <w:t>jų vartojama persodinto organo atmetimo profilaktikai</w:t>
      </w:r>
      <w:r w:rsidRPr="00BB3C7B">
        <w:rPr>
          <w:sz w:val="22"/>
          <w:szCs w:val="22"/>
        </w:rPr>
        <w:t>);</w:t>
      </w:r>
    </w:p>
    <w:p w14:paraId="33281C86" w14:textId="406592C5" w:rsidR="00A0704E" w:rsidRPr="00BB3C7B" w:rsidRDefault="00A0704E" w:rsidP="00BB3C7B">
      <w:pPr>
        <w:pStyle w:val="Sraopastraipa"/>
        <w:numPr>
          <w:ilvl w:val="0"/>
          <w:numId w:val="42"/>
        </w:numPr>
        <w:tabs>
          <w:tab w:val="left" w:pos="567"/>
        </w:tabs>
        <w:autoSpaceDE w:val="0"/>
        <w:autoSpaceDN w:val="0"/>
        <w:adjustRightInd w:val="0"/>
        <w:ind w:left="1134" w:hanging="567"/>
        <w:rPr>
          <w:sz w:val="22"/>
          <w:szCs w:val="22"/>
        </w:rPr>
      </w:pPr>
      <w:r w:rsidRPr="00BB3C7B">
        <w:rPr>
          <w:sz w:val="22"/>
          <w:szCs w:val="22"/>
        </w:rPr>
        <w:t>Sildenafilis (vaistas nuo impotencijos);</w:t>
      </w:r>
    </w:p>
    <w:p w14:paraId="24DB1188" w14:textId="77777777" w:rsidR="00A0704E" w:rsidRPr="00BB3C7B" w:rsidRDefault="00A0704E" w:rsidP="00BB3C7B">
      <w:pPr>
        <w:pStyle w:val="Sraopastraipa"/>
        <w:numPr>
          <w:ilvl w:val="0"/>
          <w:numId w:val="42"/>
        </w:numPr>
        <w:tabs>
          <w:tab w:val="left" w:pos="567"/>
        </w:tabs>
        <w:autoSpaceDE w:val="0"/>
        <w:autoSpaceDN w:val="0"/>
        <w:adjustRightInd w:val="0"/>
        <w:ind w:left="1134" w:hanging="567"/>
        <w:rPr>
          <w:sz w:val="22"/>
          <w:szCs w:val="22"/>
        </w:rPr>
      </w:pPr>
      <w:r w:rsidRPr="00BB3C7B">
        <w:rPr>
          <w:sz w:val="22"/>
          <w:szCs w:val="22"/>
        </w:rPr>
        <w:t>Midazolamas (vaistas nuo nerimo);</w:t>
      </w:r>
    </w:p>
    <w:p w14:paraId="033C4183" w14:textId="5104F590" w:rsidR="00A0704E" w:rsidRPr="00BB3C7B" w:rsidRDefault="00A0704E" w:rsidP="00BB3C7B">
      <w:pPr>
        <w:pStyle w:val="Sraopastraipa"/>
        <w:numPr>
          <w:ilvl w:val="0"/>
          <w:numId w:val="42"/>
        </w:numPr>
        <w:tabs>
          <w:tab w:val="left" w:pos="567"/>
        </w:tabs>
        <w:autoSpaceDE w:val="0"/>
        <w:autoSpaceDN w:val="0"/>
        <w:adjustRightInd w:val="0"/>
        <w:ind w:left="1134" w:hanging="567"/>
        <w:rPr>
          <w:sz w:val="22"/>
          <w:szCs w:val="22"/>
        </w:rPr>
      </w:pPr>
      <w:r w:rsidRPr="00BB3C7B">
        <w:rPr>
          <w:sz w:val="22"/>
          <w:szCs w:val="22"/>
        </w:rPr>
        <w:t>Triazolamas (vaistas nuo nemigos);</w:t>
      </w:r>
    </w:p>
    <w:p w14:paraId="39A9ED6C" w14:textId="77777777" w:rsidR="00A0704E" w:rsidRPr="00BB3C7B" w:rsidRDefault="00A0704E" w:rsidP="00BB3C7B">
      <w:pPr>
        <w:pStyle w:val="Sraopastraipa"/>
        <w:numPr>
          <w:ilvl w:val="0"/>
          <w:numId w:val="42"/>
        </w:numPr>
        <w:tabs>
          <w:tab w:val="left" w:pos="567"/>
        </w:tabs>
        <w:autoSpaceDE w:val="0"/>
        <w:autoSpaceDN w:val="0"/>
        <w:adjustRightInd w:val="0"/>
        <w:ind w:left="1134" w:hanging="567"/>
        <w:rPr>
          <w:sz w:val="22"/>
          <w:szCs w:val="22"/>
        </w:rPr>
      </w:pPr>
      <w:r w:rsidRPr="00BB3C7B">
        <w:rPr>
          <w:sz w:val="22"/>
          <w:szCs w:val="22"/>
        </w:rPr>
        <w:t>Dihidroergotaminas, ergotaminas (vaistai nuo migrenos);</w:t>
      </w:r>
    </w:p>
    <w:p w14:paraId="47060FDE" w14:textId="77777777" w:rsidR="00A0704E" w:rsidRPr="00BB3C7B" w:rsidRDefault="00A0704E" w:rsidP="00BB3C7B">
      <w:pPr>
        <w:pStyle w:val="Sraopastraipa"/>
        <w:numPr>
          <w:ilvl w:val="0"/>
          <w:numId w:val="42"/>
        </w:numPr>
        <w:tabs>
          <w:tab w:val="left" w:pos="567"/>
        </w:tabs>
        <w:autoSpaceDE w:val="0"/>
        <w:autoSpaceDN w:val="0"/>
        <w:adjustRightInd w:val="0"/>
        <w:ind w:left="1134" w:hanging="567"/>
        <w:rPr>
          <w:sz w:val="22"/>
          <w:szCs w:val="22"/>
        </w:rPr>
      </w:pPr>
      <w:r w:rsidRPr="00BB3C7B">
        <w:rPr>
          <w:sz w:val="22"/>
          <w:szCs w:val="22"/>
        </w:rPr>
        <w:t>Kolchicinas (vaistas nuo podagros).</w:t>
      </w:r>
    </w:p>
    <w:p w14:paraId="4E9B9B01" w14:textId="77777777" w:rsidR="00A0704E" w:rsidRPr="00A0704E" w:rsidRDefault="00A0704E" w:rsidP="00A0704E">
      <w:pPr>
        <w:spacing w:after="0" w:line="240" w:lineRule="auto"/>
        <w:rPr>
          <w:rFonts w:ascii="Times New Roman" w:eastAsia="Times New Roman" w:hAnsi="Times New Roman" w:cs="Times New Roman"/>
          <w:b/>
        </w:rPr>
      </w:pPr>
    </w:p>
    <w:p w14:paraId="429649A8" w14:textId="77777777" w:rsidR="00A0704E" w:rsidRPr="00A0704E" w:rsidRDefault="00A0704E" w:rsidP="00A0704E">
      <w:pPr>
        <w:spacing w:after="0" w:line="240" w:lineRule="auto"/>
        <w:rPr>
          <w:rFonts w:ascii="Times New Roman" w:eastAsia="Times New Roman" w:hAnsi="Times New Roman" w:cs="Times New Roman"/>
          <w:b/>
        </w:rPr>
      </w:pPr>
      <w:r w:rsidRPr="00A0704E">
        <w:rPr>
          <w:rFonts w:ascii="Times New Roman" w:eastAsia="Times New Roman" w:hAnsi="Times New Roman" w:cs="Times New Roman"/>
          <w:b/>
        </w:rPr>
        <w:t>Cordarone vartojimas su maistu ir gėrimais</w:t>
      </w:r>
    </w:p>
    <w:p w14:paraId="1A949923"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Negerkite greipfrutų sulčių kartu su Cordarone, nes jų sąveika gali padidinti galimybę šalutiniam poveikiui pasireikšti. </w:t>
      </w:r>
    </w:p>
    <w:p w14:paraId="51C384CB" w14:textId="77777777" w:rsidR="00A0704E" w:rsidRPr="00A0704E" w:rsidRDefault="00A0704E" w:rsidP="00A0704E">
      <w:pPr>
        <w:tabs>
          <w:tab w:val="left" w:pos="567"/>
        </w:tabs>
        <w:spacing w:after="0" w:line="220" w:lineRule="exact"/>
        <w:rPr>
          <w:rFonts w:ascii="Times New Roman" w:eastAsia="Times New Roman" w:hAnsi="Times New Roman" w:cs="Times New Roman"/>
          <w:b/>
          <w:bCs/>
        </w:rPr>
      </w:pPr>
    </w:p>
    <w:p w14:paraId="54CA389C" w14:textId="77777777" w:rsidR="00A0704E" w:rsidRPr="00A0704E" w:rsidRDefault="00A0704E" w:rsidP="00A0704E">
      <w:pPr>
        <w:tabs>
          <w:tab w:val="left" w:pos="567"/>
        </w:tabs>
        <w:spacing w:after="0" w:line="220" w:lineRule="exact"/>
        <w:rPr>
          <w:rFonts w:ascii="Times New Roman" w:eastAsia="Times New Roman" w:hAnsi="Times New Roman" w:cs="Times New Roman"/>
          <w:b/>
          <w:bCs/>
        </w:rPr>
      </w:pPr>
      <w:r w:rsidRPr="00A0704E">
        <w:rPr>
          <w:rFonts w:ascii="Times New Roman" w:eastAsia="Times New Roman" w:hAnsi="Times New Roman" w:cs="Times New Roman"/>
          <w:b/>
          <w:bCs/>
        </w:rPr>
        <w:t xml:space="preserve">Nėštumas ir žindymo laikotarpis </w:t>
      </w:r>
    </w:p>
    <w:p w14:paraId="6CEAA2D8" w14:textId="77777777" w:rsidR="00A0704E" w:rsidRPr="00A0704E" w:rsidRDefault="00A0704E" w:rsidP="00A0704E">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14:paraId="00762113"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EDF78E5" w14:textId="77777777" w:rsidR="00A0704E" w:rsidRPr="00A0704E" w:rsidRDefault="00A0704E" w:rsidP="00A0704E">
      <w:pPr>
        <w:tabs>
          <w:tab w:val="left" w:pos="567"/>
        </w:tabs>
        <w:spacing w:after="0" w:line="240" w:lineRule="auto"/>
        <w:rPr>
          <w:rFonts w:ascii="Times New Roman" w:eastAsia="Times New Roman" w:hAnsi="Times New Roman" w:cs="Times New Roman"/>
        </w:rPr>
      </w:pPr>
      <w:bookmarkStart w:id="77" w:name="OLE_LINK17"/>
      <w:bookmarkStart w:id="78" w:name="OLE_LINK18"/>
      <w:r w:rsidRPr="00A0704E">
        <w:rPr>
          <w:rFonts w:ascii="Times New Roman" w:eastAsia="Times New Roman" w:hAnsi="Times New Roman" w:cs="Times New Roman"/>
        </w:rPr>
        <w:t>Nėštumas</w:t>
      </w:r>
      <w:bookmarkEnd w:id="77"/>
      <w:bookmarkEnd w:id="78"/>
      <w:r w:rsidRPr="00A0704E">
        <w:rPr>
          <w:rFonts w:ascii="Times New Roman" w:eastAsia="Times New Roman" w:hAnsi="Times New Roman" w:cs="Times New Roman"/>
        </w:rPr>
        <w:t xml:space="preserve"> </w:t>
      </w:r>
    </w:p>
    <w:p w14:paraId="6E2DBC5C"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Preparato sudėtyje yra jodo, todėl nėštumo laikotarpiu jo galima vartoti tik su gydytojo leidimu.</w:t>
      </w:r>
    </w:p>
    <w:p w14:paraId="6BA0128D"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6F4923F" w14:textId="48C10170"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Žindymo laikotarpis</w:t>
      </w:r>
    </w:p>
    <w:p w14:paraId="1F9B71CD"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Žindančiai motinai Cordarone vartoti draudžiama.</w:t>
      </w:r>
    </w:p>
    <w:p w14:paraId="2969832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FD8C25C" w14:textId="77777777" w:rsidR="00A0704E" w:rsidRPr="00A0704E" w:rsidRDefault="00A0704E" w:rsidP="00A0704E">
      <w:pPr>
        <w:keepNext/>
        <w:tabs>
          <w:tab w:val="left" w:pos="567"/>
        </w:tabs>
        <w:spacing w:after="0" w:line="220" w:lineRule="exact"/>
        <w:rPr>
          <w:rFonts w:ascii="Times New Roman" w:eastAsia="Times New Roman" w:hAnsi="Times New Roman" w:cs="Times New Roman"/>
          <w:b/>
          <w:bCs/>
        </w:rPr>
      </w:pPr>
      <w:r w:rsidRPr="00A0704E">
        <w:rPr>
          <w:rFonts w:ascii="Times New Roman" w:eastAsia="Times New Roman" w:hAnsi="Times New Roman" w:cs="Times New Roman"/>
          <w:b/>
          <w:bCs/>
        </w:rPr>
        <w:lastRenderedPageBreak/>
        <w:t>Vairavimas ir mechanizmų valdymas</w:t>
      </w:r>
    </w:p>
    <w:p w14:paraId="49A52BCC"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Atsiradęs akių sutrikimas gali turėti įtakos gebėjimui vairuoti ir valdyti mechanizmus. Jeigu jis pasireiškia, minėto darbo dirbti negalima.</w:t>
      </w:r>
    </w:p>
    <w:p w14:paraId="608E0BEC"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46C3C45" w14:textId="77777777" w:rsidR="00A0704E" w:rsidRPr="00A0704E" w:rsidRDefault="00A0704E" w:rsidP="00A0704E">
      <w:pPr>
        <w:tabs>
          <w:tab w:val="left" w:pos="567"/>
        </w:tabs>
        <w:spacing w:after="0" w:line="220" w:lineRule="exact"/>
        <w:rPr>
          <w:rFonts w:ascii="Times New Roman" w:eastAsia="Times New Roman" w:hAnsi="Times New Roman" w:cs="Times New Roman"/>
          <w:b/>
          <w:bCs/>
        </w:rPr>
      </w:pPr>
      <w:r w:rsidRPr="00A0704E">
        <w:rPr>
          <w:rFonts w:ascii="Times New Roman" w:eastAsia="Times New Roman" w:hAnsi="Times New Roman" w:cs="Times New Roman"/>
          <w:b/>
          <w:bCs/>
        </w:rPr>
        <w:t>Cordarone sudėtyje yra laktozės</w:t>
      </w:r>
    </w:p>
    <w:p w14:paraId="0750ED4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Jeigu gydytojas Jums yra sakęs, kad netoleruojate kokių nors angliavandenių, kreipkitės į jį prieš pradėdami vartoti šį vaistą.</w:t>
      </w:r>
    </w:p>
    <w:p w14:paraId="46AA5CF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0BDF3E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241F1C0" w14:textId="77777777" w:rsidR="00A0704E" w:rsidRPr="00A0704E" w:rsidRDefault="00A0704E" w:rsidP="00A0704E">
      <w:pPr>
        <w:keepNext/>
        <w:tabs>
          <w:tab w:val="left" w:pos="567"/>
        </w:tabs>
        <w:spacing w:after="0" w:line="240" w:lineRule="auto"/>
        <w:outlineLvl w:val="1"/>
        <w:rPr>
          <w:rFonts w:ascii="Times New Roman" w:eastAsia="Times New Roman" w:hAnsi="Times New Roman" w:cs="Times New Roman"/>
          <w:b/>
        </w:rPr>
      </w:pPr>
      <w:bookmarkStart w:id="79" w:name="_Toc129243141"/>
      <w:bookmarkStart w:id="80" w:name="_Toc129243266"/>
      <w:r w:rsidRPr="00A0704E">
        <w:rPr>
          <w:rFonts w:ascii="Times New Roman" w:eastAsia="Times New Roman" w:hAnsi="Times New Roman" w:cs="Times New Roman"/>
          <w:b/>
        </w:rPr>
        <w:t>3.</w:t>
      </w:r>
      <w:r w:rsidRPr="00A0704E">
        <w:rPr>
          <w:rFonts w:ascii="Times New Roman" w:eastAsia="Times New Roman" w:hAnsi="Times New Roman" w:cs="Times New Roman"/>
          <w:b/>
        </w:rPr>
        <w:tab/>
        <w:t xml:space="preserve">Kaip vartoti </w:t>
      </w:r>
      <w:bookmarkEnd w:id="79"/>
      <w:bookmarkEnd w:id="80"/>
      <w:r w:rsidRPr="00A0704E">
        <w:rPr>
          <w:rFonts w:ascii="Times New Roman" w:eastAsia="Times New Roman" w:hAnsi="Times New Roman" w:cs="Times New Roman"/>
          <w:b/>
        </w:rPr>
        <w:t>Cordarone</w:t>
      </w:r>
      <w:r w:rsidRPr="00A0704E">
        <w:rPr>
          <w:rFonts w:ascii="Times New Roman" w:eastAsia="Times New Roman" w:hAnsi="Times New Roman" w:cs="Times New Roman"/>
          <w:b/>
        </w:rPr>
        <w:fldChar w:fldCharType="begin"/>
      </w:r>
      <w:r w:rsidRPr="00A0704E">
        <w:rPr>
          <w:rFonts w:ascii="Times New Roman" w:eastAsia="Times New Roman" w:hAnsi="Times New Roman" w:cs="Times New Roman"/>
          <w:b/>
        </w:rPr>
        <w:instrText xml:space="preserve"> DOCVARIABLE vault_nd_d65d1532-749c-400a-a059-4e4088d324ae \* MERGEFORMAT </w:instrText>
      </w:r>
      <w:r w:rsidRPr="00A0704E">
        <w:rPr>
          <w:rFonts w:ascii="Times New Roman" w:eastAsia="Times New Roman" w:hAnsi="Times New Roman" w:cs="Times New Roman"/>
          <w:b/>
        </w:rPr>
        <w:fldChar w:fldCharType="separate"/>
      </w:r>
      <w:r w:rsidRPr="00A0704E">
        <w:rPr>
          <w:rFonts w:ascii="Times New Roman" w:eastAsia="Times New Roman" w:hAnsi="Times New Roman" w:cs="Times New Roman"/>
          <w:b/>
        </w:rPr>
        <w:t xml:space="preserve"> </w:t>
      </w:r>
      <w:r w:rsidRPr="00A0704E">
        <w:rPr>
          <w:rFonts w:ascii="Times New Roman" w:eastAsia="Times New Roman" w:hAnsi="Times New Roman" w:cs="Times New Roman"/>
          <w:b/>
        </w:rPr>
        <w:fldChar w:fldCharType="end"/>
      </w:r>
    </w:p>
    <w:p w14:paraId="16E44BFD"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F43D857"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Visada vartokite šį vaistą tiksliai kaip nurodė gydytojas. Jeigu abejojate, kreipkitės į gydytoją arba vaistininką.</w:t>
      </w:r>
    </w:p>
    <w:p w14:paraId="78CF5A9E"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5D45782" w14:textId="1567EA10" w:rsidR="00A0704E" w:rsidRPr="00A0704E" w:rsidRDefault="00A0704E" w:rsidP="00A0704E">
      <w:pPr>
        <w:keepNext/>
        <w:tabs>
          <w:tab w:val="left" w:pos="-720"/>
          <w:tab w:val="left" w:pos="567"/>
          <w:tab w:val="left" w:pos="4536"/>
        </w:tabs>
        <w:suppressAutoHyphens/>
        <w:spacing w:after="0" w:line="240" w:lineRule="auto"/>
        <w:outlineLvl w:val="5"/>
        <w:rPr>
          <w:rFonts w:ascii="Times New Roman" w:eastAsia="Times New Roman" w:hAnsi="Times New Roman" w:cs="Times New Roman"/>
          <w:i/>
        </w:rPr>
      </w:pPr>
      <w:r w:rsidRPr="00A0704E">
        <w:rPr>
          <w:rFonts w:ascii="Times New Roman" w:eastAsia="Times New Roman" w:hAnsi="Times New Roman" w:cs="Times New Roman"/>
        </w:rPr>
        <w:t>Vaistas yra geriamas.</w:t>
      </w:r>
    </w:p>
    <w:p w14:paraId="7E2DF6A8"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Nurodytas dozavimas tinka visų nurodytų indikacijų atvejais.</w:t>
      </w:r>
    </w:p>
    <w:p w14:paraId="445C8278"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C05FDC0" w14:textId="77777777" w:rsidR="00A0704E" w:rsidRPr="00A0704E" w:rsidRDefault="00A0704E" w:rsidP="00A0704E">
      <w:pPr>
        <w:tabs>
          <w:tab w:val="left" w:pos="567"/>
        </w:tabs>
        <w:spacing w:after="0" w:line="240" w:lineRule="auto"/>
        <w:rPr>
          <w:rFonts w:ascii="Times New Roman" w:eastAsia="Times New Roman" w:hAnsi="Times New Roman" w:cs="Times New Roman"/>
          <w:u w:val="single"/>
        </w:rPr>
      </w:pPr>
      <w:r w:rsidRPr="00A0704E">
        <w:rPr>
          <w:rFonts w:ascii="Times New Roman" w:eastAsia="Times New Roman" w:hAnsi="Times New Roman" w:cs="Times New Roman"/>
          <w:u w:val="single"/>
        </w:rPr>
        <w:t>Suaugusiems žmonėms</w:t>
      </w:r>
    </w:p>
    <w:p w14:paraId="7CE48583"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Pradinė dozė</w:t>
      </w:r>
    </w:p>
    <w:p w14:paraId="65E2FFD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Pirmąsias 8-10 parų reikia gerti po vieną 200 mg tabletę 3 kartus per parą. Po to dozę reikia mažinti iki 200 mg 2 kartus per parą. </w:t>
      </w:r>
    </w:p>
    <w:p w14:paraId="507D50FD"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298E61B"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Palaikomoji dozė</w:t>
      </w:r>
    </w:p>
    <w:p w14:paraId="6EC07EBC"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Reikia gydyti mažiausia veiksminga doze, kuri atskiriems pacientams yra skirtinga. Dažniausiai pakanka 100 mg (vienos 200 mg tabletės kas antrą parą) arba 200 mg paros dozės. Retais atvejais gali prireikti didesnės paros dozės. Palaikomoji paros dozė turi būti nuolat peržiūrima, ypač jei ji viršija 200 mg paros dozę.</w:t>
      </w:r>
    </w:p>
    <w:p w14:paraId="69CAE5E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7E2FFFA"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Dozės nereikia koreguoti sergantiems inkstų ar kepenų funkcijos nepakankamumu ir senyviems pacientams.</w:t>
      </w:r>
    </w:p>
    <w:p w14:paraId="4A82D59D"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Cordarone galima vartoti pacientams, sergantiems išemine širdies liga ir (ar) pablogėjusia kairiojo skilvelio funkcija.</w:t>
      </w:r>
    </w:p>
    <w:p w14:paraId="1849BFEE"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i/>
        </w:rPr>
      </w:pPr>
    </w:p>
    <w:p w14:paraId="6054C368"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Gydymo trukmė</w:t>
      </w:r>
    </w:p>
    <w:p w14:paraId="2ED96498"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Prašome tiksliai laikytis gydytojo nurodymų.</w:t>
      </w:r>
    </w:p>
    <w:p w14:paraId="64F4DFB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136D6FB" w14:textId="77777777" w:rsidR="00A0704E" w:rsidRPr="00A0704E" w:rsidRDefault="00A0704E" w:rsidP="00A0704E">
      <w:pPr>
        <w:tabs>
          <w:tab w:val="left" w:pos="567"/>
        </w:tabs>
        <w:spacing w:after="0" w:line="240" w:lineRule="auto"/>
        <w:rPr>
          <w:rFonts w:ascii="Times New Roman" w:eastAsia="Times New Roman" w:hAnsi="Times New Roman" w:cs="Times New Roman"/>
          <w:b/>
        </w:rPr>
      </w:pPr>
      <w:bookmarkStart w:id="81" w:name="OLE_LINK19"/>
      <w:r w:rsidRPr="00A0704E">
        <w:rPr>
          <w:rFonts w:ascii="Times New Roman" w:eastAsia="Times New Roman" w:hAnsi="Times New Roman" w:cs="Times New Roman"/>
          <w:b/>
        </w:rPr>
        <w:t>Vartojimas vaikams ir paaugliams</w:t>
      </w:r>
    </w:p>
    <w:p w14:paraId="4FE225D0" w14:textId="77777777" w:rsidR="00A0704E" w:rsidRPr="00A0704E" w:rsidRDefault="00A0704E" w:rsidP="00A0704E">
      <w:pPr>
        <w:tabs>
          <w:tab w:val="left" w:pos="567"/>
        </w:tabs>
        <w:spacing w:after="0" w:line="220" w:lineRule="exact"/>
        <w:rPr>
          <w:rFonts w:ascii="Times New Roman" w:eastAsia="Times New Roman" w:hAnsi="Times New Roman" w:cs="Times New Roman"/>
          <w:bCs/>
        </w:rPr>
      </w:pPr>
      <w:r w:rsidRPr="00A0704E">
        <w:rPr>
          <w:rFonts w:ascii="Times New Roman" w:eastAsia="Times New Roman" w:hAnsi="Times New Roman" w:cs="Times New Roman"/>
          <w:bCs/>
        </w:rPr>
        <w:t xml:space="preserve">Turimi tik riboti duomenys apie saugumą ir veiksmingumą vaikams. Jūsų gydytojas nuspręs apie tinkamą dozę. </w:t>
      </w:r>
    </w:p>
    <w:bookmarkEnd w:id="81"/>
    <w:p w14:paraId="31D1731B" w14:textId="77777777" w:rsidR="00A0704E" w:rsidRPr="00A0704E" w:rsidRDefault="00A0704E" w:rsidP="00A0704E">
      <w:pPr>
        <w:tabs>
          <w:tab w:val="left" w:pos="567"/>
        </w:tabs>
        <w:spacing w:after="0" w:line="220" w:lineRule="exact"/>
        <w:rPr>
          <w:rFonts w:ascii="Times New Roman" w:eastAsia="Times New Roman" w:hAnsi="Times New Roman" w:cs="Times New Roman"/>
          <w:bCs/>
        </w:rPr>
      </w:pPr>
    </w:p>
    <w:p w14:paraId="4B39A4C8" w14:textId="77777777" w:rsidR="00A0704E" w:rsidRPr="00A0704E" w:rsidRDefault="00A0704E" w:rsidP="00A0704E">
      <w:pPr>
        <w:tabs>
          <w:tab w:val="left" w:pos="567"/>
        </w:tabs>
        <w:spacing w:after="0" w:line="220" w:lineRule="exact"/>
        <w:rPr>
          <w:rFonts w:ascii="Times New Roman" w:eastAsia="Times New Roman" w:hAnsi="Times New Roman" w:cs="Times New Roman"/>
          <w:b/>
          <w:bCs/>
        </w:rPr>
      </w:pPr>
      <w:r w:rsidRPr="00A0704E">
        <w:rPr>
          <w:rFonts w:ascii="Times New Roman" w:eastAsia="Times New Roman" w:hAnsi="Times New Roman" w:cs="Times New Roman"/>
          <w:b/>
          <w:bCs/>
        </w:rPr>
        <w:t>Ką daryti pavartojus per didelę Cordarone dozę?</w:t>
      </w:r>
    </w:p>
    <w:p w14:paraId="7D735B8D" w14:textId="77777777" w:rsidR="00A0704E" w:rsidRPr="00A0704E" w:rsidRDefault="00A0704E" w:rsidP="00A0704E">
      <w:pPr>
        <w:tabs>
          <w:tab w:val="left" w:pos="567"/>
        </w:tabs>
        <w:spacing w:after="0" w:line="240" w:lineRule="auto"/>
        <w:rPr>
          <w:rFonts w:ascii="Times New Roman" w:eastAsia="Times New Roman" w:hAnsi="Times New Roman" w:cs="Times New Roman"/>
          <w:b/>
        </w:rPr>
      </w:pPr>
      <w:r w:rsidRPr="00A0704E">
        <w:rPr>
          <w:rFonts w:ascii="Times New Roman" w:eastAsia="Times New Roman" w:hAnsi="Times New Roman" w:cs="Times New Roman"/>
        </w:rPr>
        <w:t>Jei jūs išgėrėte per didelę amjodarono dozę, nedelsdami apie tai praneškite gydytojui arba kreipkitės į arčiausią apsinuodijimų gydymo centrą.</w:t>
      </w:r>
    </w:p>
    <w:p w14:paraId="4D8C3AB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7B4658E" w14:textId="77777777" w:rsidR="00A0704E" w:rsidRPr="00A0704E" w:rsidRDefault="00A0704E" w:rsidP="00A0704E">
      <w:pPr>
        <w:tabs>
          <w:tab w:val="left" w:pos="567"/>
        </w:tabs>
        <w:spacing w:after="0" w:line="220" w:lineRule="exact"/>
        <w:rPr>
          <w:rFonts w:ascii="Times New Roman" w:eastAsia="Times New Roman" w:hAnsi="Times New Roman" w:cs="Times New Roman"/>
          <w:b/>
          <w:bCs/>
        </w:rPr>
      </w:pPr>
      <w:r w:rsidRPr="00A0704E">
        <w:rPr>
          <w:rFonts w:ascii="Times New Roman" w:eastAsia="Times New Roman" w:hAnsi="Times New Roman" w:cs="Times New Roman"/>
          <w:b/>
          <w:bCs/>
        </w:rPr>
        <w:t>Pamiršus pavartoti Cordarone</w:t>
      </w:r>
    </w:p>
    <w:p w14:paraId="7EA8B67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Pamiršus išgerti vieną tabletę, gerkite ją kai tik prisiminsite. Jei artėja laikas, kai turite gerti sekančią tabletę, tai praleiskite pamirštą dozę. </w:t>
      </w:r>
    </w:p>
    <w:p w14:paraId="296D418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Negalima vartoti dvigubos dozės norint kompensuoti praleistą tabletę.</w:t>
      </w:r>
    </w:p>
    <w:p w14:paraId="5F76F45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18783F7"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Jeigu kiltų daugiau klausimų dėl šio vaisto vartojimo, kreipkitės į gydytoją arba vaistininką.</w:t>
      </w:r>
    </w:p>
    <w:p w14:paraId="76DE91F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391A417"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550E298" w14:textId="77777777" w:rsidR="00A0704E" w:rsidRPr="00A0704E" w:rsidRDefault="00A0704E" w:rsidP="00A0704E">
      <w:pPr>
        <w:keepNext/>
        <w:tabs>
          <w:tab w:val="left" w:pos="567"/>
        </w:tabs>
        <w:spacing w:after="0" w:line="240" w:lineRule="auto"/>
        <w:outlineLvl w:val="1"/>
        <w:rPr>
          <w:rFonts w:ascii="Times New Roman" w:eastAsia="Times New Roman" w:hAnsi="Times New Roman" w:cs="Times New Roman"/>
          <w:b/>
        </w:rPr>
      </w:pPr>
      <w:bookmarkStart w:id="82" w:name="_Toc129243142"/>
      <w:bookmarkStart w:id="83" w:name="_Toc129243267"/>
      <w:r w:rsidRPr="00A0704E">
        <w:rPr>
          <w:rFonts w:ascii="Times New Roman" w:eastAsia="Times New Roman" w:hAnsi="Times New Roman" w:cs="Times New Roman"/>
          <w:b/>
        </w:rPr>
        <w:t>4.</w:t>
      </w:r>
      <w:r w:rsidRPr="00A0704E">
        <w:rPr>
          <w:rFonts w:ascii="Times New Roman" w:eastAsia="Times New Roman" w:hAnsi="Times New Roman" w:cs="Times New Roman"/>
          <w:b/>
        </w:rPr>
        <w:tab/>
        <w:t>Galimas šalutinis poveikis</w:t>
      </w:r>
      <w:bookmarkEnd w:id="82"/>
      <w:bookmarkEnd w:id="83"/>
      <w:r w:rsidRPr="00A0704E">
        <w:rPr>
          <w:rFonts w:ascii="Times New Roman" w:eastAsia="Times New Roman" w:hAnsi="Times New Roman" w:cs="Times New Roman"/>
          <w:b/>
        </w:rPr>
        <w:fldChar w:fldCharType="begin"/>
      </w:r>
      <w:r w:rsidRPr="00A0704E">
        <w:rPr>
          <w:rFonts w:ascii="Times New Roman" w:eastAsia="Times New Roman" w:hAnsi="Times New Roman" w:cs="Times New Roman"/>
          <w:b/>
        </w:rPr>
        <w:instrText xml:space="preserve"> DOCVARIABLE vault_nd_4f403b6b-fd68-4164-8ff1-9e5101df29a9 \* MERGEFORMAT </w:instrText>
      </w:r>
      <w:r w:rsidRPr="00A0704E">
        <w:rPr>
          <w:rFonts w:ascii="Times New Roman" w:eastAsia="Times New Roman" w:hAnsi="Times New Roman" w:cs="Times New Roman"/>
          <w:b/>
        </w:rPr>
        <w:fldChar w:fldCharType="separate"/>
      </w:r>
      <w:r w:rsidRPr="00A0704E">
        <w:rPr>
          <w:rFonts w:ascii="Times New Roman" w:eastAsia="Times New Roman" w:hAnsi="Times New Roman" w:cs="Times New Roman"/>
          <w:b/>
        </w:rPr>
        <w:t xml:space="preserve"> </w:t>
      </w:r>
      <w:r w:rsidRPr="00A0704E">
        <w:rPr>
          <w:rFonts w:ascii="Times New Roman" w:eastAsia="Times New Roman" w:hAnsi="Times New Roman" w:cs="Times New Roman"/>
          <w:b/>
        </w:rPr>
        <w:fldChar w:fldCharType="end"/>
      </w:r>
    </w:p>
    <w:p w14:paraId="5B11ABB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FF4BAA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bookmarkStart w:id="84" w:name="OLE_LINK15"/>
      <w:bookmarkStart w:id="85" w:name="OLE_LINK16"/>
      <w:r w:rsidRPr="00A0704E">
        <w:rPr>
          <w:rFonts w:ascii="Times New Roman" w:eastAsia="Times New Roman" w:hAnsi="Times New Roman" w:cs="Times New Roman"/>
        </w:rPr>
        <w:t>Šis vaistas, kaip ir visi kiti, gali sukelti šalutinį poveikį, nors jis pasireiškia ne visiems žmonėms.</w:t>
      </w:r>
    </w:p>
    <w:p w14:paraId="7AA8B31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4EA615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Toliau išvardytas nepageidaujamas poveikis suskirstytas pagal dažnį: </w:t>
      </w:r>
    </w:p>
    <w:p w14:paraId="1EA4986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labai dažni (gali pasireikšti daugiau kaip 1 iš 10 žmonių), </w:t>
      </w:r>
    </w:p>
    <w:p w14:paraId="2B7671F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lastRenderedPageBreak/>
        <w:t xml:space="preserve">dažni (gali pasireikšti ne daugiau kaip 1 iš 10 žmonių), </w:t>
      </w:r>
    </w:p>
    <w:p w14:paraId="79FE06E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nedažni (gali pasireikšti ne daugiau kaip 1 iš 100 žmonių), </w:t>
      </w:r>
    </w:p>
    <w:p w14:paraId="215CFD9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reti (gali pasireikšti ne daugiau kaip 1 iš 1000 žmonių), </w:t>
      </w:r>
    </w:p>
    <w:p w14:paraId="0779E3AD"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labai reti (gali pasireikšti ne daugiau kaip 1 iš 10000 žmonių), </w:t>
      </w:r>
    </w:p>
    <w:p w14:paraId="6A20187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dažnis nežinomas (negali būti apskaičiuotas pagal turimus duomenis).</w:t>
      </w:r>
    </w:p>
    <w:bookmarkEnd w:id="84"/>
    <w:bookmarkEnd w:id="85"/>
    <w:p w14:paraId="6C56BAE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64C5867"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noProof/>
        </w:rPr>
        <w:t>Kraujo ir limfinės sistemos sutrikimai</w:t>
      </w:r>
    </w:p>
    <w:p w14:paraId="49E83B43" w14:textId="77777777" w:rsidR="00A0704E" w:rsidRPr="00A0704E" w:rsidRDefault="00A0704E" w:rsidP="00A0704E">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Labai reti: trombocitopenija (trombocitų kiekio kraujyje sumažėjimas); tam tikra mažakraujystė (aplazinė anemija, hemolizinė anemija).</w:t>
      </w:r>
    </w:p>
    <w:p w14:paraId="6D365CFE" w14:textId="1E37751C" w:rsidR="00A0704E" w:rsidRPr="00A0704E" w:rsidRDefault="00A0704E" w:rsidP="000D5FB8">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Dažnis nežinomas: </w:t>
      </w:r>
      <w:r w:rsidR="000D5FB8" w:rsidRPr="000D5FB8">
        <w:rPr>
          <w:rFonts w:ascii="Times New Roman" w:eastAsia="Times New Roman" w:hAnsi="Times New Roman" w:cs="Times New Roman"/>
        </w:rPr>
        <w:t>infekcijos gali pasireikšti dažniau nei įprasta. Tai gali sukelti baltųjų kraujo ląstelių skaičiaus sumažėjimas</w:t>
      </w:r>
      <w:r w:rsidR="000D5FB8">
        <w:rPr>
          <w:rFonts w:ascii="Times New Roman" w:eastAsia="Times New Roman" w:hAnsi="Times New Roman" w:cs="Times New Roman"/>
        </w:rPr>
        <w:t xml:space="preserve"> (</w:t>
      </w:r>
      <w:r w:rsidRPr="00A0704E">
        <w:rPr>
          <w:rFonts w:ascii="Times New Roman" w:eastAsia="Times New Roman" w:hAnsi="Times New Roman" w:cs="Times New Roman"/>
        </w:rPr>
        <w:t>neutropenija</w:t>
      </w:r>
      <w:r w:rsidR="000D5FB8">
        <w:rPr>
          <w:rFonts w:ascii="Times New Roman" w:eastAsia="Times New Roman" w:hAnsi="Times New Roman" w:cs="Times New Roman"/>
        </w:rPr>
        <w:t>)</w:t>
      </w:r>
      <w:r w:rsidR="00206D2B">
        <w:rPr>
          <w:rFonts w:ascii="Times New Roman" w:eastAsia="Times New Roman" w:hAnsi="Times New Roman" w:cs="Times New Roman"/>
        </w:rPr>
        <w:t>;</w:t>
      </w:r>
      <w:r w:rsidR="000D5FB8">
        <w:rPr>
          <w:rFonts w:ascii="Times New Roman" w:eastAsia="Times New Roman" w:hAnsi="Times New Roman" w:cs="Times New Roman"/>
        </w:rPr>
        <w:t xml:space="preserve"> l</w:t>
      </w:r>
      <w:r w:rsidR="000D5FB8" w:rsidRPr="000D5FB8">
        <w:rPr>
          <w:rFonts w:ascii="Times New Roman" w:eastAsia="Times New Roman" w:hAnsi="Times New Roman" w:cs="Times New Roman"/>
        </w:rPr>
        <w:t>abai sumažėjęs baltųjų kraujo ląstelių skaičius</w:t>
      </w:r>
      <w:r w:rsidR="00206D2B">
        <w:rPr>
          <w:rFonts w:ascii="Times New Roman" w:eastAsia="Times New Roman" w:hAnsi="Times New Roman" w:cs="Times New Roman"/>
        </w:rPr>
        <w:t xml:space="preserve"> </w:t>
      </w:r>
      <w:r w:rsidR="000D5FB8">
        <w:rPr>
          <w:rFonts w:ascii="Times New Roman" w:eastAsia="Times New Roman" w:hAnsi="Times New Roman" w:cs="Times New Roman"/>
        </w:rPr>
        <w:t>(</w:t>
      </w:r>
      <w:r w:rsidRPr="00A0704E">
        <w:rPr>
          <w:rFonts w:ascii="Times New Roman" w:eastAsia="Times New Roman" w:hAnsi="Times New Roman" w:cs="Times New Roman"/>
        </w:rPr>
        <w:t>agranulocitozė)</w:t>
      </w:r>
      <w:r w:rsidR="00206D2B">
        <w:rPr>
          <w:rFonts w:ascii="Times New Roman" w:eastAsia="Times New Roman" w:hAnsi="Times New Roman" w:cs="Times New Roman"/>
        </w:rPr>
        <w:t xml:space="preserve"> </w:t>
      </w:r>
      <w:r w:rsidR="00206D2B" w:rsidRPr="000D5FB8">
        <w:rPr>
          <w:rFonts w:ascii="Times New Roman" w:eastAsia="Times New Roman" w:hAnsi="Times New Roman" w:cs="Times New Roman"/>
        </w:rPr>
        <w:t>ir dėl to dar labiau</w:t>
      </w:r>
      <w:r w:rsidR="00206D2B">
        <w:rPr>
          <w:rFonts w:ascii="Times New Roman" w:eastAsia="Times New Roman" w:hAnsi="Times New Roman" w:cs="Times New Roman"/>
        </w:rPr>
        <w:t xml:space="preserve"> </w:t>
      </w:r>
      <w:r w:rsidR="00206D2B" w:rsidRPr="000D5FB8">
        <w:rPr>
          <w:rFonts w:ascii="Times New Roman" w:eastAsia="Times New Roman" w:hAnsi="Times New Roman" w:cs="Times New Roman"/>
        </w:rPr>
        <w:t>padidėjusi infekcijos pasireiškimo rizika</w:t>
      </w:r>
      <w:r w:rsidRPr="00A0704E">
        <w:rPr>
          <w:rFonts w:ascii="Times New Roman" w:eastAsia="Times New Roman" w:hAnsi="Times New Roman" w:cs="Times New Roman"/>
        </w:rPr>
        <w:t>.</w:t>
      </w:r>
    </w:p>
    <w:p w14:paraId="599A6C7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43F01BF"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noProof/>
        </w:rPr>
        <w:t>Širdies sutrikimai</w:t>
      </w:r>
    </w:p>
    <w:p w14:paraId="5032B5EE" w14:textId="77777777" w:rsidR="00A0704E" w:rsidRPr="00A0704E" w:rsidRDefault="00A0704E" w:rsidP="00A0704E">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Dažni: bradikardija (retas širdies susitraukinėjimas).</w:t>
      </w:r>
    </w:p>
    <w:p w14:paraId="447A587B" w14:textId="77777777" w:rsidR="00A0704E" w:rsidRPr="00A0704E" w:rsidRDefault="00A0704E" w:rsidP="00A0704E">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Nedažni: aritmija (neritmiška širdies veikla) arba jos pasunkėjimas, kartais sąlygojanti širdies sustojimą; širdies laidumo sutrikimas.</w:t>
      </w:r>
    </w:p>
    <w:p w14:paraId="24A14B8A" w14:textId="77777777" w:rsidR="00A0704E" w:rsidRPr="00A0704E" w:rsidRDefault="00A0704E" w:rsidP="00A0704E">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Labai reti: sunki bradikardija (retas širdies susitraukinėjimas), ypač pacientams, kuriems yra sinusinio mazgo funkcijos sutrikimas ir (arba) senyviems.</w:t>
      </w:r>
    </w:p>
    <w:p w14:paraId="5ADBB357" w14:textId="77777777" w:rsidR="00A0704E" w:rsidRPr="00A0704E" w:rsidRDefault="00A0704E" w:rsidP="00A0704E">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Dažnis nežinomas: pavojingas širdies ritmo sutrikimas (paroksizminė polimorfinė skilvelinė tachikardija).</w:t>
      </w:r>
    </w:p>
    <w:p w14:paraId="397BF203"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3003C0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i/>
          <w:noProof/>
        </w:rPr>
        <w:t>Endokrininiai sutrikimai</w:t>
      </w:r>
      <w:r w:rsidRPr="00A0704E">
        <w:rPr>
          <w:rFonts w:ascii="Times New Roman" w:eastAsia="Times New Roman" w:hAnsi="Times New Roman" w:cs="Times New Roman"/>
          <w:b/>
        </w:rPr>
        <w:t xml:space="preserve"> </w:t>
      </w:r>
    </w:p>
    <w:p w14:paraId="1B0B9157" w14:textId="77777777" w:rsidR="00A0704E" w:rsidRPr="00A0704E" w:rsidRDefault="00A0704E" w:rsidP="00A0704E">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Dažni: hipotirozė (skydliaukės funkcijos susilpnėjimas, pasireiškiantis nuovargiu, silpnumu, svorio padidėjimu, šalčio pojūčiu, vidurių užkietėjimu, raumenų skausmu); hipertirozė (skydliaukės funkcijos sustiprėjimas, pasireiškiantis neramumu, svorio mažėjimu, padidėjusiu prakaitavimu, karščio mušimu, viduriavimu), kuri kartais gali būti mirtinai pavojinga.</w:t>
      </w:r>
    </w:p>
    <w:p w14:paraId="25D3844F" w14:textId="77777777" w:rsidR="00A0704E" w:rsidRPr="00A0704E" w:rsidRDefault="00A0704E" w:rsidP="00A0704E">
      <w:pPr>
        <w:spacing w:after="0" w:line="240" w:lineRule="auto"/>
        <w:rPr>
          <w:rFonts w:ascii="Times New Roman" w:eastAsia="Times New Roman" w:hAnsi="Times New Roman" w:cs="Times New Roman"/>
          <w:b/>
        </w:rPr>
      </w:pPr>
      <w:r w:rsidRPr="00A0704E">
        <w:rPr>
          <w:rFonts w:ascii="Times New Roman" w:eastAsia="Times New Roman" w:hAnsi="Times New Roman" w:cs="Times New Roman"/>
        </w:rPr>
        <w:t>Labai reti: sutrikusios antidiurezinio hormono sekrecijos sindromas (SAHSS).</w:t>
      </w:r>
    </w:p>
    <w:p w14:paraId="3E878C09" w14:textId="77777777" w:rsidR="00A0704E" w:rsidRPr="00A0704E" w:rsidRDefault="00A0704E" w:rsidP="00A0704E">
      <w:pPr>
        <w:tabs>
          <w:tab w:val="left" w:pos="567"/>
        </w:tabs>
        <w:spacing w:after="0" w:line="240" w:lineRule="auto"/>
        <w:rPr>
          <w:rFonts w:ascii="Times New Roman" w:eastAsia="Times New Roman" w:hAnsi="Times New Roman" w:cs="Times New Roman"/>
          <w:b/>
        </w:rPr>
      </w:pPr>
    </w:p>
    <w:p w14:paraId="71141E17"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Akių sutrikimai</w:t>
      </w:r>
    </w:p>
    <w:p w14:paraId="2BD35CFB" w14:textId="77777777" w:rsidR="00A0704E" w:rsidRPr="00A0704E" w:rsidRDefault="00A0704E" w:rsidP="00A0704E">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Labai dažni: smulkios nuosėdos ragenoje (paprastai už vyzdžio). Akinamoje šviesoje gali matytis spalvoti ratilai ar matomas vaizdas gali tapti neryškus. Smulkios nuosėdos ragenoje nutraukus gydymą išnyksta.</w:t>
      </w:r>
    </w:p>
    <w:p w14:paraId="66A2D023" w14:textId="77777777" w:rsidR="00A0704E" w:rsidRPr="00A0704E" w:rsidRDefault="00A0704E" w:rsidP="00A0704E">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Labai reti: regos nervo neuropatija ar optinis neuritas (vienoje akyje sumažėja regėjimas ar jis pasidaro neryškus, atsiranda akių jautrumas, skausmas, skausmingi akių judesiai), galintys progresuoti iki aklumo.</w:t>
      </w:r>
    </w:p>
    <w:p w14:paraId="0F17CF7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F7DFE24"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noProof/>
        </w:rPr>
        <w:t>Virškinimo trakto sutrikimai</w:t>
      </w:r>
    </w:p>
    <w:p w14:paraId="3F8B679F" w14:textId="77777777" w:rsidR="00A0704E" w:rsidRPr="00A0704E" w:rsidRDefault="00A0704E" w:rsidP="00A0704E">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Labai dažni: lengvi virškinimo sutrikimai (pykinimas, vėmimas, skonio jutimo sutrikimas).</w:t>
      </w:r>
    </w:p>
    <w:p w14:paraId="62130F9C" w14:textId="77777777" w:rsidR="00A0704E" w:rsidRPr="00A0704E" w:rsidRDefault="00A0704E" w:rsidP="00A0704E">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Dažni: vidurių užkietėjimas.</w:t>
      </w:r>
    </w:p>
    <w:p w14:paraId="104AAD24" w14:textId="77777777" w:rsidR="00A0704E" w:rsidRPr="00A0704E" w:rsidRDefault="00A0704E" w:rsidP="00A0704E">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Nedažni: burnos džiūvimas.</w:t>
      </w:r>
    </w:p>
    <w:p w14:paraId="1BE0ECE9" w14:textId="77777777" w:rsidR="00A0704E" w:rsidRPr="00A0704E" w:rsidRDefault="00A0704E" w:rsidP="00A0704E">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Dažnis nežinomas: staiga pasireiškiantis kasos uždegimas (pankreatitas (ūminis)).</w:t>
      </w:r>
    </w:p>
    <w:p w14:paraId="1EED6E47"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5AC6626"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noProof/>
        </w:rPr>
        <w:t>Kepenų, tulžies pūslės ir latakų sutrikimai</w:t>
      </w:r>
      <w:r w:rsidRPr="00A0704E">
        <w:rPr>
          <w:rFonts w:ascii="Times New Roman" w:eastAsia="Times New Roman" w:hAnsi="Times New Roman" w:cs="Times New Roman"/>
          <w:i/>
        </w:rPr>
        <w:t xml:space="preserve"> </w:t>
      </w:r>
    </w:p>
    <w:p w14:paraId="11D776CE" w14:textId="77777777" w:rsidR="00A0704E" w:rsidRPr="00A0704E" w:rsidRDefault="00A0704E" w:rsidP="00A0704E">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Labai dažni: kepenų fermentų serume padidėjimas paprastai gydymo pradžioje.</w:t>
      </w:r>
    </w:p>
    <w:p w14:paraId="11F57CC1" w14:textId="77777777" w:rsidR="00A0704E" w:rsidRPr="00A0704E" w:rsidRDefault="00A0704E" w:rsidP="00A0704E">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Dažni: ūminis kepenų funkcijos sutrikimas, labai padidėjus kepenų fermentų koncentracijai serume ir (arba) pasireiškiant geltai, įskaitant kepenų funkcijos nepakankamumą (jaučiamas silpnumas, atsiranda gelta, sumažėja apetitas, atsiranda pilvo skausmai ar pakyla temperatūra), kuris kartais būna mirtinas.</w:t>
      </w:r>
    </w:p>
    <w:p w14:paraId="11BFA945" w14:textId="77777777" w:rsidR="00A0704E" w:rsidRPr="00A0704E" w:rsidRDefault="00A0704E" w:rsidP="00A0704E">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Labai reti: lėtinis kepenų funkcijos sutrikimas (pseudoalkoholinis hepatitas, cirozė), kartais mirtinas.</w:t>
      </w:r>
    </w:p>
    <w:p w14:paraId="00CD758A"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522EED2"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Imuninės sistemos sutrikimai</w:t>
      </w:r>
    </w:p>
    <w:p w14:paraId="0830D745" w14:textId="77777777" w:rsidR="00A0704E" w:rsidRPr="00A0704E" w:rsidRDefault="00A0704E" w:rsidP="00A0704E">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Dažnis nežinomas: sunki alerginė reakcija - angioneurozinė edema (Kvinkės edema). Gali atsirasti bėrimas, sutrinka rijimas, sunku kvėpuoti, patinsta veidas, lūpos, liežuvis ir gerklė, sunkios alerginės reakcijos (anafilaksinė reakcija, anafilaksinis šokas).</w:t>
      </w:r>
    </w:p>
    <w:p w14:paraId="54BF1D0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2C865E9"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Tyrimai</w:t>
      </w:r>
    </w:p>
    <w:p w14:paraId="1CFA7E7A" w14:textId="77777777" w:rsidR="00A0704E" w:rsidRPr="00A0704E" w:rsidRDefault="00A0704E" w:rsidP="00A0704E">
      <w:pPr>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Labai reti: inkstų funkcijos pablogėjimas, pasireiškiantis kreatinino koncentracijos serume padidėjimu.</w:t>
      </w:r>
    </w:p>
    <w:p w14:paraId="50D2D833" w14:textId="77777777" w:rsidR="00A0704E" w:rsidRPr="00A0704E" w:rsidRDefault="00A0704E" w:rsidP="00A0704E">
      <w:pPr>
        <w:spacing w:after="0" w:line="240" w:lineRule="auto"/>
        <w:rPr>
          <w:rFonts w:ascii="Times New Roman" w:eastAsia="Times New Roman" w:hAnsi="Times New Roman" w:cs="Times New Roman"/>
        </w:rPr>
      </w:pPr>
    </w:p>
    <w:p w14:paraId="43BCFA1D" w14:textId="77777777" w:rsidR="00A0704E" w:rsidRPr="00A0704E" w:rsidRDefault="00A0704E" w:rsidP="00A0704E">
      <w:pPr>
        <w:spacing w:after="0" w:line="240" w:lineRule="auto"/>
        <w:rPr>
          <w:rFonts w:ascii="Times New Roman" w:eastAsia="Times New Roman" w:hAnsi="Times New Roman" w:cs="Times New Roman"/>
          <w:i/>
          <w:color w:val="000000"/>
          <w:lang w:eastAsia="lt-LT"/>
        </w:rPr>
      </w:pPr>
      <w:r w:rsidRPr="00A0704E">
        <w:rPr>
          <w:rFonts w:ascii="Times New Roman" w:eastAsia="Times New Roman" w:hAnsi="Times New Roman" w:cs="Times New Roman"/>
          <w:i/>
          <w:color w:val="000000"/>
          <w:lang w:eastAsia="lt-LT"/>
        </w:rPr>
        <w:t>Metabolizmo ir mitybos sutrikimai</w:t>
      </w:r>
    </w:p>
    <w:p w14:paraId="43D3FF5B" w14:textId="77777777" w:rsidR="00A0704E" w:rsidRPr="00A0704E" w:rsidRDefault="00A0704E" w:rsidP="00A0704E">
      <w:pPr>
        <w:tabs>
          <w:tab w:val="num" w:pos="709"/>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Dažnis nežinomas: apetito sumažėjimas.</w:t>
      </w:r>
    </w:p>
    <w:p w14:paraId="36F81136" w14:textId="77777777" w:rsidR="00A0704E" w:rsidRPr="00A0704E" w:rsidRDefault="00A0704E" w:rsidP="00A0704E">
      <w:pPr>
        <w:tabs>
          <w:tab w:val="num" w:pos="709"/>
        </w:tabs>
        <w:spacing w:after="0" w:line="240" w:lineRule="auto"/>
        <w:rPr>
          <w:rFonts w:ascii="Times New Roman" w:eastAsia="Times New Roman" w:hAnsi="Times New Roman" w:cs="Times New Roman"/>
        </w:rPr>
      </w:pPr>
    </w:p>
    <w:p w14:paraId="65B92593" w14:textId="77777777" w:rsidR="00A0704E" w:rsidRPr="00A0704E" w:rsidRDefault="00A0704E" w:rsidP="00A0704E">
      <w:pPr>
        <w:tabs>
          <w:tab w:val="num" w:pos="709"/>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Skeleto, raumenų ir jungiamojo audinio sutrikimai</w:t>
      </w:r>
    </w:p>
    <w:p w14:paraId="0AE353E5" w14:textId="77777777" w:rsidR="00A0704E" w:rsidRPr="00A0704E" w:rsidRDefault="00A0704E" w:rsidP="00A0704E">
      <w:pPr>
        <w:tabs>
          <w:tab w:val="num" w:pos="709"/>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Dažnis nežinomas: į vilkligę panašus sindromas (liga, kai imuninė sistema atakuoja įvairias kūno dalis ir pasireiškia sąnarių skausmas, stingulys ir patinimas bei odos paraudimas, kuris kartais gali atsirasti ant veido ir turėti drugelio sparnų formą).</w:t>
      </w:r>
    </w:p>
    <w:p w14:paraId="4E162359"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256FF26"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bCs/>
          <w:i/>
          <w:iCs/>
        </w:rPr>
      </w:pPr>
      <w:r w:rsidRPr="00A0704E">
        <w:rPr>
          <w:rFonts w:ascii="Times New Roman" w:eastAsia="Times New Roman" w:hAnsi="Times New Roman" w:cs="Times New Roman"/>
          <w:bCs/>
          <w:i/>
          <w:iCs/>
        </w:rPr>
        <w:t>Nervų sistemos sutrikimai</w:t>
      </w:r>
    </w:p>
    <w:p w14:paraId="1E872B46"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Dažni: drebulys ar kiti ekstrapiramidiniai simptomai (rankų ar kojų drebėjimas); košmariški sapnai; miego sutrikimai.</w:t>
      </w:r>
    </w:p>
    <w:p w14:paraId="4293E76F"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Nedažni: periferinė sensorinė, motorinė ar sensomotorinė neuropatija (nutirpimas, silpnumas, dilgčiojimas arba deginimo pojūtis įvairiose kūno vietose) ir (arba) miopatija (raumenų spazmai, mėšlungis), paprastai praeinanti nutraukus vaisto vartojimą.</w:t>
      </w:r>
    </w:p>
    <w:p w14:paraId="3F226058"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Labai reti: smegenėlinė ataksija (pasireiškia svyruojančia eisena, mėtymu į šalis, neaiškia sulėtėjusia kalba); gerybinė intrakranijinė hipertenzija (dėl padidėjusio galvos smegenų spaudimo gali atsirasti pykinimas, galvos skausmas, ypač rytais, regėjimo problemų); galvos skausmas.</w:t>
      </w:r>
    </w:p>
    <w:p w14:paraId="24D6F3B3"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Dažnis nežinomas: neįprasti raumenų judesiai, stingulys, drebulys ir neramumas (parkinsonizmas), nenormalus uoslės pojūtis (parosmija).</w:t>
      </w:r>
    </w:p>
    <w:p w14:paraId="654FEACC"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bCs/>
          <w:iCs/>
        </w:rPr>
      </w:pPr>
    </w:p>
    <w:p w14:paraId="45EF8CF8"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bCs/>
          <w:i/>
          <w:iCs/>
        </w:rPr>
      </w:pPr>
      <w:r w:rsidRPr="00A0704E">
        <w:rPr>
          <w:rFonts w:ascii="Times New Roman" w:eastAsia="Times New Roman" w:hAnsi="Times New Roman" w:cs="Times New Roman"/>
          <w:bCs/>
          <w:i/>
          <w:iCs/>
        </w:rPr>
        <w:t>Psichikos sutrikimai</w:t>
      </w:r>
    </w:p>
    <w:p w14:paraId="1772FD82" w14:textId="141C728E" w:rsidR="000D5FB8" w:rsidRDefault="000D5FB8" w:rsidP="00A0704E">
      <w:pPr>
        <w:tabs>
          <w:tab w:val="left" w:pos="567"/>
        </w:tabs>
        <w:autoSpaceDE w:val="0"/>
        <w:autoSpaceDN w:val="0"/>
        <w:adjustRightInd w:val="0"/>
        <w:spacing w:after="0" w:line="240" w:lineRule="auto"/>
        <w:rPr>
          <w:rFonts w:ascii="Times New Roman" w:eastAsia="Times New Roman" w:hAnsi="Times New Roman" w:cs="Times New Roman"/>
          <w:bCs/>
          <w:iCs/>
        </w:rPr>
      </w:pPr>
      <w:r>
        <w:rPr>
          <w:rFonts w:ascii="Times New Roman" w:eastAsia="Times New Roman" w:hAnsi="Times New Roman" w:cs="Times New Roman"/>
          <w:bCs/>
          <w:iCs/>
        </w:rPr>
        <w:t>Dažni: l</w:t>
      </w:r>
      <w:r w:rsidRPr="000D5FB8">
        <w:rPr>
          <w:rFonts w:ascii="Times New Roman" w:eastAsia="Times New Roman" w:hAnsi="Times New Roman" w:cs="Times New Roman"/>
          <w:bCs/>
          <w:iCs/>
        </w:rPr>
        <w:t>ytinio potraukio sumažėjimas</w:t>
      </w:r>
      <w:r>
        <w:rPr>
          <w:rFonts w:ascii="Times New Roman" w:eastAsia="Times New Roman" w:hAnsi="Times New Roman" w:cs="Times New Roman"/>
          <w:bCs/>
          <w:iCs/>
        </w:rPr>
        <w:t>.</w:t>
      </w:r>
    </w:p>
    <w:p w14:paraId="11FFDF69" w14:textId="29718949"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Dažnis nežinomas: minčių susipainiojimas (delyras)</w:t>
      </w:r>
      <w:r w:rsidR="00206D2B">
        <w:rPr>
          <w:rFonts w:ascii="Times New Roman" w:eastAsia="Times New Roman" w:hAnsi="Times New Roman" w:cs="Times New Roman"/>
          <w:bCs/>
          <w:iCs/>
        </w:rPr>
        <w:t>;</w:t>
      </w:r>
      <w:r w:rsidRPr="00A0704E">
        <w:rPr>
          <w:rFonts w:ascii="Times New Roman" w:eastAsia="Times New Roman" w:hAnsi="Times New Roman" w:cs="Times New Roman"/>
          <w:bCs/>
          <w:iCs/>
        </w:rPr>
        <w:t xml:space="preserve"> </w:t>
      </w:r>
      <w:r w:rsidR="000D5FB8">
        <w:rPr>
          <w:rFonts w:ascii="Times New Roman" w:eastAsia="Times New Roman" w:hAnsi="Times New Roman" w:cs="Times New Roman"/>
          <w:bCs/>
          <w:iCs/>
        </w:rPr>
        <w:t>n</w:t>
      </w:r>
      <w:r w:rsidR="000D5FB8" w:rsidRPr="000D5FB8">
        <w:rPr>
          <w:rFonts w:ascii="Times New Roman" w:eastAsia="Times New Roman" w:hAnsi="Times New Roman" w:cs="Times New Roman"/>
          <w:bCs/>
          <w:iCs/>
        </w:rPr>
        <w:t>esamų daiktų matymas, girdėjimas ar jutimas</w:t>
      </w:r>
      <w:r w:rsidR="000D5FB8">
        <w:rPr>
          <w:rFonts w:ascii="Times New Roman" w:eastAsia="Times New Roman" w:hAnsi="Times New Roman" w:cs="Times New Roman"/>
          <w:bCs/>
          <w:iCs/>
        </w:rPr>
        <w:t xml:space="preserve"> (</w:t>
      </w:r>
      <w:r w:rsidRPr="00A0704E">
        <w:rPr>
          <w:rFonts w:ascii="Times New Roman" w:eastAsia="Times New Roman" w:hAnsi="Times New Roman" w:cs="Times New Roman"/>
          <w:bCs/>
          <w:iCs/>
        </w:rPr>
        <w:t>haliucinacijos</w:t>
      </w:r>
      <w:r w:rsidR="000D5FB8">
        <w:rPr>
          <w:rFonts w:ascii="Times New Roman" w:eastAsia="Times New Roman" w:hAnsi="Times New Roman" w:cs="Times New Roman"/>
          <w:bCs/>
          <w:iCs/>
        </w:rPr>
        <w:t>)</w:t>
      </w:r>
      <w:r w:rsidRPr="00A0704E">
        <w:rPr>
          <w:rFonts w:ascii="Times New Roman" w:eastAsia="Times New Roman" w:hAnsi="Times New Roman" w:cs="Times New Roman"/>
          <w:bCs/>
          <w:iCs/>
        </w:rPr>
        <w:t>.</w:t>
      </w:r>
    </w:p>
    <w:p w14:paraId="202A8667"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bCs/>
          <w:iCs/>
        </w:rPr>
      </w:pPr>
    </w:p>
    <w:p w14:paraId="1A72ED4B"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bCs/>
          <w:i/>
          <w:iCs/>
        </w:rPr>
      </w:pPr>
      <w:r w:rsidRPr="00A0704E">
        <w:rPr>
          <w:rFonts w:ascii="Times New Roman" w:eastAsia="Times New Roman" w:hAnsi="Times New Roman" w:cs="Times New Roman"/>
          <w:i/>
          <w:noProof/>
        </w:rPr>
        <w:t>Lytinės sistemos ir krūties sutrikimai</w:t>
      </w:r>
    </w:p>
    <w:p w14:paraId="460621D9"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Labai reti: epididimitas; impotencija.</w:t>
      </w:r>
    </w:p>
    <w:p w14:paraId="5857F4EC"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bCs/>
          <w:iCs/>
          <w:highlight w:val="yellow"/>
        </w:rPr>
      </w:pPr>
    </w:p>
    <w:p w14:paraId="415BD594"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bCs/>
          <w:i/>
          <w:iCs/>
        </w:rPr>
      </w:pPr>
      <w:r w:rsidRPr="00A0704E">
        <w:rPr>
          <w:rFonts w:ascii="Times New Roman" w:eastAsia="Times New Roman" w:hAnsi="Times New Roman" w:cs="Times New Roman"/>
          <w:i/>
          <w:noProof/>
        </w:rPr>
        <w:t>Kvėpavimo sistemos, krūtinės ląstos ir tarpuplaučio sutrikimai</w:t>
      </w:r>
    </w:p>
    <w:p w14:paraId="7B1D726B"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Dažni: toksinis poveikis plaučiams (pasireiškiantis apsunkintu kvėpavimu, sunkumo pojūčiu krūtinėje, kosuliu, dusuliu, karščiavimu), kartais mirtinai pavojingas.</w:t>
      </w:r>
    </w:p>
    <w:p w14:paraId="33BB630A"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 xml:space="preserve">Labai reti: bronchų spazmas, ypač sergantiems astma žmonėms; ūminis </w:t>
      </w:r>
      <w:r w:rsidRPr="00A0704E">
        <w:rPr>
          <w:rFonts w:ascii="Times New Roman" w:eastAsia="Times New Roman" w:hAnsi="Times New Roman" w:cs="Times New Roman"/>
        </w:rPr>
        <w:t>respiracinio distreso sindromas</w:t>
      </w:r>
      <w:r w:rsidRPr="00A0704E">
        <w:rPr>
          <w:rFonts w:ascii="Times New Roman" w:eastAsia="Times New Roman" w:hAnsi="Times New Roman" w:cs="Times New Roman"/>
          <w:bCs/>
          <w:iCs/>
        </w:rPr>
        <w:t>, kartais mirtinas, paprastai pasireiškiantis iš karto po operacijos (galbūt dėl sąveikos su didelės koncentracijos deguonimi).</w:t>
      </w:r>
    </w:p>
    <w:p w14:paraId="36D34D53"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Dažnis nežinomas: kraujavimas iš plaučių.</w:t>
      </w:r>
    </w:p>
    <w:p w14:paraId="634A490F"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bCs/>
          <w:iCs/>
        </w:rPr>
      </w:pPr>
    </w:p>
    <w:p w14:paraId="33E1B179"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bCs/>
          <w:i/>
          <w:iCs/>
        </w:rPr>
      </w:pPr>
      <w:r w:rsidRPr="00A0704E">
        <w:rPr>
          <w:rFonts w:ascii="Times New Roman" w:eastAsia="Times New Roman" w:hAnsi="Times New Roman" w:cs="Times New Roman"/>
          <w:bCs/>
          <w:i/>
          <w:iCs/>
        </w:rPr>
        <w:t>Odos ir poodinio audinio sutrikimai</w:t>
      </w:r>
    </w:p>
    <w:p w14:paraId="74622D72"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Labai dažni: padidėjęs jautrumas šviesai.</w:t>
      </w:r>
    </w:p>
    <w:p w14:paraId="75765AFB"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Dažni: išbėrimas su niežuliu ir paraudimu (egzema), alyvų spalvos arba melsvai pilka odos pigmentacija (jei gydoma ilgai ir vartojama didelė paros dozė). Baigus gydymą, tokia pigmentacija lėtai, t.y. per 10-24 mėnesių, išnyksta.</w:t>
      </w:r>
    </w:p>
    <w:p w14:paraId="588D5707"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Labai reti: eritema (paraudimas), atsirandanti spindulinio gydymo metu; odos išbėrimas; eksfoliacinis dermatitas (pasireiškiantis plaukų slinkimu, nagų lūžinėjimu, paraudusia pleiskanojančia oda); alopecija (plikimas, plaukų slinkimas).</w:t>
      </w:r>
    </w:p>
    <w:p w14:paraId="41508D85"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 xml:space="preserve">Dažnis nežinomas: dilgėlinė (smulkus, rausvas odos bėrimas), gyvybei pavojingos odos reakcijos, kurioms būdingi išbėrimai, pūslės, odos lupimasis ir skausmas (toksinė epidermio nekrolizė (TEN), </w:t>
      </w:r>
      <w:r w:rsidRPr="00A0704E">
        <w:rPr>
          <w:rFonts w:ascii="Times New Roman" w:eastAsia="Times New Roman" w:hAnsi="Times New Roman" w:cs="Times New Roman"/>
          <w:bCs/>
          <w:i/>
          <w:iCs/>
        </w:rPr>
        <w:t>Stevens- Johnson</w:t>
      </w:r>
      <w:r w:rsidRPr="00A0704E">
        <w:rPr>
          <w:rFonts w:ascii="Times New Roman" w:eastAsia="Times New Roman" w:hAnsi="Times New Roman" w:cs="Times New Roman"/>
          <w:bCs/>
          <w:iCs/>
        </w:rPr>
        <w:t xml:space="preserve"> sindromas (SJS), pūslinis dermatitas, reakcija į vaistą su eozinofilija ir sisteminiais simptomais (</w:t>
      </w:r>
      <w:r w:rsidRPr="00A0704E">
        <w:rPr>
          <w:rFonts w:ascii="Times New Roman" w:eastAsia="Times New Roman" w:hAnsi="Times New Roman" w:cs="Times New Roman"/>
          <w:bCs/>
          <w:i/>
          <w:iCs/>
        </w:rPr>
        <w:t>DRESS</w:t>
      </w:r>
      <w:r w:rsidRPr="00A0704E">
        <w:rPr>
          <w:rFonts w:ascii="Times New Roman" w:eastAsia="Times New Roman" w:hAnsi="Times New Roman" w:cs="Times New Roman"/>
          <w:bCs/>
          <w:iCs/>
        </w:rPr>
        <w:t>)).</w:t>
      </w:r>
    </w:p>
    <w:p w14:paraId="4A520953"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bCs/>
          <w:iCs/>
        </w:rPr>
      </w:pPr>
    </w:p>
    <w:p w14:paraId="483C7F1B" w14:textId="77777777" w:rsidR="00A0704E" w:rsidRPr="00A0704E" w:rsidRDefault="00A0704E" w:rsidP="00A0704E">
      <w:pPr>
        <w:tabs>
          <w:tab w:val="left" w:pos="567"/>
        </w:tabs>
        <w:autoSpaceDE w:val="0"/>
        <w:autoSpaceDN w:val="0"/>
        <w:adjustRightInd w:val="0"/>
        <w:spacing w:after="0" w:line="240" w:lineRule="auto"/>
        <w:rPr>
          <w:rFonts w:ascii="Times New Roman" w:eastAsia="Times New Roman" w:hAnsi="Times New Roman" w:cs="Times New Roman"/>
          <w:bCs/>
          <w:i/>
          <w:iCs/>
        </w:rPr>
      </w:pPr>
      <w:r w:rsidRPr="00A0704E">
        <w:rPr>
          <w:rFonts w:ascii="Times New Roman" w:eastAsia="Times New Roman" w:hAnsi="Times New Roman" w:cs="Times New Roman"/>
          <w:bCs/>
          <w:i/>
          <w:iCs/>
        </w:rPr>
        <w:t>Kraujagyslių sutrikimai</w:t>
      </w:r>
    </w:p>
    <w:p w14:paraId="53E5135D" w14:textId="77777777" w:rsidR="00A0704E" w:rsidRPr="00A0704E" w:rsidRDefault="00A0704E" w:rsidP="00A0704E">
      <w:pPr>
        <w:autoSpaceDE w:val="0"/>
        <w:autoSpaceDN w:val="0"/>
        <w:adjustRightInd w:val="0"/>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rPr>
        <w:t>Labai reti: angitas (pasireiškiantis odos išbėrimu dėl susiaurėjusių kraujagyslių).</w:t>
      </w:r>
    </w:p>
    <w:p w14:paraId="1624A77C"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73A0B94" w14:textId="77777777" w:rsidR="00A0704E" w:rsidRPr="00A0704E" w:rsidRDefault="00A0704E" w:rsidP="00A0704E">
      <w:pPr>
        <w:tabs>
          <w:tab w:val="left" w:pos="567"/>
        </w:tabs>
        <w:spacing w:after="0" w:line="240" w:lineRule="auto"/>
        <w:rPr>
          <w:rFonts w:ascii="Times New Roman" w:eastAsia="Times New Roman" w:hAnsi="Times New Roman" w:cs="Times New Roman"/>
          <w:i/>
          <w:u w:val="single"/>
        </w:rPr>
      </w:pPr>
      <w:r w:rsidRPr="00A0704E">
        <w:rPr>
          <w:rFonts w:ascii="Times New Roman" w:eastAsia="Times New Roman" w:hAnsi="Times New Roman" w:cs="Times New Roman"/>
          <w:i/>
        </w:rPr>
        <w:t>Bendrieji sutrikimai ir vartojimo vietos pažeidimai</w:t>
      </w:r>
    </w:p>
    <w:p w14:paraId="28DAE3D7"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Dažnis nežinomas: granuloma (uždegiminis mazgelis), įskaitant kaulų čiulpų granulomą. </w:t>
      </w:r>
    </w:p>
    <w:p w14:paraId="706375FC"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2B23E4E" w14:textId="77777777" w:rsidR="00A0704E" w:rsidRPr="00A0704E" w:rsidRDefault="00A0704E" w:rsidP="00A0704E">
      <w:pPr>
        <w:keepNext/>
        <w:tabs>
          <w:tab w:val="left" w:pos="567"/>
        </w:tabs>
        <w:spacing w:after="0" w:line="240" w:lineRule="auto"/>
        <w:rPr>
          <w:rFonts w:ascii="Times New Roman" w:eastAsia="Times New Roman" w:hAnsi="Times New Roman" w:cs="Times New Roman"/>
          <w:i/>
          <w:iCs/>
        </w:rPr>
      </w:pPr>
      <w:r w:rsidRPr="00A0704E">
        <w:rPr>
          <w:rFonts w:ascii="Times New Roman" w:eastAsia="Times New Roman" w:hAnsi="Times New Roman" w:cs="Times New Roman"/>
          <w:i/>
          <w:iCs/>
        </w:rPr>
        <w:lastRenderedPageBreak/>
        <w:t>Sužalojimai, apsinuodijimai ir procedūrų komplikacijos</w:t>
      </w:r>
    </w:p>
    <w:p w14:paraId="7B0D169E"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Dažnis nežinomas (negali būti apskaičiuotas pagal turimus duomenis): gyvybei pavojinga komplikacija po širdies persodinimo (pirminė persodinto organo disfunkcija), kai persodinta širdis nustoja veikti tinkamai (žr. 2 skyriaus poskyrį „Įspėjimai ir atsargumo priemonės“).</w:t>
      </w:r>
    </w:p>
    <w:p w14:paraId="402994E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6420BCE" w14:textId="77777777" w:rsidR="00A0704E" w:rsidRPr="00A0704E" w:rsidRDefault="00A0704E" w:rsidP="00A0704E">
      <w:pPr>
        <w:spacing w:after="0" w:line="240" w:lineRule="auto"/>
        <w:rPr>
          <w:rFonts w:ascii="Times New Roman" w:eastAsia="Times New Roman" w:hAnsi="Times New Roman" w:cs="Times New Roman"/>
          <w:b/>
          <w:bCs/>
        </w:rPr>
      </w:pPr>
      <w:r w:rsidRPr="00A0704E">
        <w:rPr>
          <w:rFonts w:ascii="Times New Roman" w:eastAsia="Times New Roman" w:hAnsi="Times New Roman" w:cs="Times New Roman"/>
          <w:b/>
          <w:bCs/>
        </w:rPr>
        <w:t>Pranešimas apie šalutinį poveikį</w:t>
      </w:r>
    </w:p>
    <w:p w14:paraId="7ECBA5EA" w14:textId="77777777" w:rsidR="00A0704E" w:rsidRPr="00A0704E" w:rsidRDefault="00A0704E" w:rsidP="00A0704E">
      <w:pPr>
        <w:spacing w:after="0" w:line="240" w:lineRule="auto"/>
        <w:rPr>
          <w:rFonts w:ascii="Times New Roman" w:eastAsia="Times New Roman" w:hAnsi="Times New Roman" w:cs="Times New Roman"/>
          <w:bCs/>
        </w:rPr>
      </w:pPr>
      <w:r w:rsidRPr="00A0704E">
        <w:rPr>
          <w:rFonts w:ascii="Times New Roman" w:eastAsia="Times New Roman" w:hAnsi="Times New Roman" w:cs="Times New Roman"/>
        </w:rPr>
        <w:t>Jeigu pasireiškė šalutinis poveikis</w:t>
      </w:r>
      <w:r w:rsidRPr="00A0704E">
        <w:rPr>
          <w:rFonts w:ascii="Times New Roman" w:eastAsia="Times New Roman" w:hAnsi="Times New Roman" w:cs="Times New Roman"/>
          <w:noProof/>
          <w:snapToGrid w:val="0"/>
        </w:rPr>
        <w:t>, įskaitant</w:t>
      </w:r>
      <w:r w:rsidRPr="00A0704E">
        <w:rPr>
          <w:rFonts w:ascii="Times New Roman" w:eastAsia="Times New Roman" w:hAnsi="Times New Roman" w:cs="Times New Roman"/>
        </w:rPr>
        <w:t xml:space="preserve"> šiame lapelyje nenurodytą, pasakykite gydytojui arba vaistininkui.</w:t>
      </w:r>
      <w:r w:rsidRPr="00A0704E">
        <w:rPr>
          <w:rFonts w:ascii="Times New Roman" w:eastAsia="Times New Roman" w:hAnsi="Times New Roman" w:cs="Times New Roman"/>
          <w:noProof/>
          <w:snapToGrid w:val="0"/>
        </w:rPr>
        <w:t xml:space="preserve"> </w:t>
      </w:r>
      <w:r w:rsidRPr="00A0704E">
        <w:rPr>
          <w:rFonts w:ascii="Times New Roman" w:eastAsia="Times New Roman" w:hAnsi="Times New Roman" w:cs="Times New Roman"/>
          <w:snapToGrid w:val="0"/>
        </w:rPr>
        <w:t>Apie šalutinį poveikį taip pat galite pranešti Valstybinei vaistų kontrolės tarnybai prie Lietuvos Respublikos sveikatos apsaugos ministerijos nemokamu t</w:t>
      </w:r>
      <w:r w:rsidRPr="00A0704E">
        <w:rPr>
          <w:rFonts w:ascii="Times New Roman" w:eastAsia="Times New Roman" w:hAnsi="Times New Roman" w:cs="Times New Roman"/>
          <w:snapToGrid w:val="0"/>
          <w:lang w:eastAsia="zh-CN"/>
        </w:rPr>
        <w:t>elefonu 8 800 73568</w:t>
      </w:r>
      <w:r w:rsidRPr="00A0704E">
        <w:rPr>
          <w:rFonts w:ascii="Times New Roman" w:eastAsia="Times New Roman" w:hAnsi="Times New Roman" w:cs="Times New Roman"/>
          <w:snapToGrid w:val="0"/>
        </w:rPr>
        <w:t xml:space="preserve"> arba užpildyti interneto svetainėje </w:t>
      </w:r>
      <w:hyperlink r:id="rId10" w:history="1">
        <w:r w:rsidRPr="00A0704E">
          <w:rPr>
            <w:rFonts w:ascii="Times New Roman" w:eastAsia="SimSun" w:hAnsi="Times New Roman" w:cs="Times New Roman"/>
            <w:snapToGrid w:val="0"/>
            <w:color w:val="0000FF"/>
            <w:u w:val="single"/>
          </w:rPr>
          <w:t>www.vvkt.lt</w:t>
        </w:r>
      </w:hyperlink>
      <w:r w:rsidRPr="00A0704E">
        <w:rPr>
          <w:rFonts w:ascii="Times New Roman" w:eastAsia="Times New Roman" w:hAnsi="Times New Roman" w:cs="Times New Roman"/>
          <w:snapToGrid w:val="0"/>
        </w:rPr>
        <w:t xml:space="preserve"> esančią formą ir pateikti ją Valstybinei vaistų kontrolės tarnybai prie Lietuvos Respublikos sveikatos apsaugos ministerijos vienu iš šių būdų: raštu (adresu Žirmūnų g. 139A, LT-09120 Vilnius), </w:t>
      </w:r>
      <w:r w:rsidRPr="00A0704E">
        <w:rPr>
          <w:rFonts w:ascii="Times New Roman" w:eastAsia="Times New Roman" w:hAnsi="Times New Roman" w:cs="Times New Roman"/>
          <w:snapToGrid w:val="0"/>
          <w:lang w:eastAsia="zh-CN"/>
        </w:rPr>
        <w:t xml:space="preserve">nemokamu </w:t>
      </w:r>
      <w:r w:rsidRPr="00A0704E">
        <w:rPr>
          <w:rFonts w:ascii="Times New Roman" w:eastAsia="Times New Roman" w:hAnsi="Times New Roman" w:cs="Times New Roman"/>
          <w:snapToGrid w:val="0"/>
        </w:rPr>
        <w:t>fakso numeriu 8 800 20131</w:t>
      </w:r>
      <w:r w:rsidRPr="00A0704E">
        <w:rPr>
          <w:rFonts w:ascii="Times New Roman" w:eastAsia="Times New Roman" w:hAnsi="Times New Roman" w:cs="Times New Roman"/>
          <w:snapToGrid w:val="0"/>
          <w:lang w:eastAsia="zh-CN"/>
        </w:rPr>
        <w:t xml:space="preserve">, </w:t>
      </w:r>
      <w:r w:rsidRPr="00A0704E">
        <w:rPr>
          <w:rFonts w:ascii="Times New Roman" w:eastAsia="Times New Roman" w:hAnsi="Times New Roman" w:cs="Times New Roman"/>
          <w:snapToGrid w:val="0"/>
        </w:rPr>
        <w:t xml:space="preserve">el. paštu </w:t>
      </w:r>
      <w:hyperlink r:id="rId11" w:history="1">
        <w:r w:rsidRPr="00A0704E">
          <w:rPr>
            <w:rFonts w:ascii="Times New Roman" w:eastAsia="SimSun" w:hAnsi="Times New Roman" w:cs="Times New Roman"/>
            <w:snapToGrid w:val="0"/>
            <w:color w:val="0000FF"/>
            <w:u w:val="single"/>
          </w:rPr>
          <w:t>NepageidaujamaR@vvkt.lt</w:t>
        </w:r>
      </w:hyperlink>
      <w:r w:rsidRPr="00A0704E">
        <w:rPr>
          <w:rFonts w:ascii="Times New Roman" w:eastAsia="Times New Roman" w:hAnsi="Times New Roman" w:cs="Times New Roman"/>
          <w:snapToGrid w:val="0"/>
        </w:rPr>
        <w:t xml:space="preserve">, taip pat per Valstybinės vaistų kontrolės tarnybos prie Lietuvos Respublikos sveikatos apsaugos ministerijos interneto svetainę (adresu </w:t>
      </w:r>
      <w:hyperlink r:id="rId12" w:history="1">
        <w:r w:rsidRPr="00A0704E">
          <w:rPr>
            <w:rFonts w:ascii="Times New Roman" w:eastAsia="SimSun" w:hAnsi="Times New Roman" w:cs="Times New Roman"/>
            <w:snapToGrid w:val="0"/>
            <w:color w:val="0000FF"/>
            <w:u w:val="single"/>
          </w:rPr>
          <w:t>http://www.vvkt.lt</w:t>
        </w:r>
      </w:hyperlink>
      <w:r w:rsidRPr="00A0704E">
        <w:rPr>
          <w:rFonts w:ascii="Times New Roman" w:eastAsia="Times New Roman" w:hAnsi="Times New Roman" w:cs="Times New Roman"/>
          <w:snapToGrid w:val="0"/>
        </w:rPr>
        <w:t>). Pranešdami apie šalutinį poveikį galite mums padėti gauti daugiau informacijos apie šio vaisto saugumą.</w:t>
      </w:r>
    </w:p>
    <w:p w14:paraId="65A8F82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E4574B2"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99A99CB" w14:textId="77777777" w:rsidR="00A0704E" w:rsidRPr="00A0704E" w:rsidRDefault="00A0704E" w:rsidP="00A0704E">
      <w:pPr>
        <w:keepNext/>
        <w:tabs>
          <w:tab w:val="left" w:pos="567"/>
        </w:tabs>
        <w:spacing w:after="0" w:line="240" w:lineRule="auto"/>
        <w:outlineLvl w:val="1"/>
        <w:rPr>
          <w:rFonts w:ascii="Times New Roman" w:eastAsia="Times New Roman" w:hAnsi="Times New Roman" w:cs="Times New Roman"/>
          <w:b/>
        </w:rPr>
      </w:pPr>
      <w:bookmarkStart w:id="86" w:name="_Toc129243143"/>
      <w:bookmarkStart w:id="87" w:name="_Toc129243268"/>
      <w:r w:rsidRPr="00A0704E">
        <w:rPr>
          <w:rFonts w:ascii="Times New Roman" w:eastAsia="Times New Roman" w:hAnsi="Times New Roman" w:cs="Times New Roman"/>
          <w:b/>
        </w:rPr>
        <w:t>5.</w:t>
      </w:r>
      <w:r w:rsidRPr="00A0704E">
        <w:rPr>
          <w:rFonts w:ascii="Times New Roman" w:eastAsia="Times New Roman" w:hAnsi="Times New Roman" w:cs="Times New Roman"/>
          <w:b/>
        </w:rPr>
        <w:tab/>
        <w:t xml:space="preserve">Kaip laikyti </w:t>
      </w:r>
      <w:bookmarkEnd w:id="86"/>
      <w:bookmarkEnd w:id="87"/>
      <w:r w:rsidRPr="00A0704E">
        <w:rPr>
          <w:rFonts w:ascii="Times New Roman" w:eastAsia="Times New Roman" w:hAnsi="Times New Roman" w:cs="Times New Roman"/>
          <w:b/>
        </w:rPr>
        <w:t>Cordarone</w:t>
      </w:r>
      <w:r w:rsidRPr="00A0704E">
        <w:rPr>
          <w:rFonts w:ascii="Times New Roman" w:eastAsia="Times New Roman" w:hAnsi="Times New Roman" w:cs="Times New Roman"/>
          <w:b/>
        </w:rPr>
        <w:fldChar w:fldCharType="begin"/>
      </w:r>
      <w:r w:rsidRPr="00A0704E">
        <w:rPr>
          <w:rFonts w:ascii="Times New Roman" w:eastAsia="Times New Roman" w:hAnsi="Times New Roman" w:cs="Times New Roman"/>
          <w:b/>
        </w:rPr>
        <w:instrText xml:space="preserve"> DOCVARIABLE vault_nd_009b85a0-f2e2-4316-821f-e699f024b69f \* MERGEFORMAT </w:instrText>
      </w:r>
      <w:r w:rsidRPr="00A0704E">
        <w:rPr>
          <w:rFonts w:ascii="Times New Roman" w:eastAsia="Times New Roman" w:hAnsi="Times New Roman" w:cs="Times New Roman"/>
          <w:b/>
        </w:rPr>
        <w:fldChar w:fldCharType="separate"/>
      </w:r>
      <w:r w:rsidRPr="00A0704E">
        <w:rPr>
          <w:rFonts w:ascii="Times New Roman" w:eastAsia="Times New Roman" w:hAnsi="Times New Roman" w:cs="Times New Roman"/>
          <w:b/>
        </w:rPr>
        <w:t xml:space="preserve"> </w:t>
      </w:r>
      <w:r w:rsidRPr="00A0704E">
        <w:rPr>
          <w:rFonts w:ascii="Times New Roman" w:eastAsia="Times New Roman" w:hAnsi="Times New Roman" w:cs="Times New Roman"/>
          <w:b/>
        </w:rPr>
        <w:fldChar w:fldCharType="end"/>
      </w:r>
    </w:p>
    <w:p w14:paraId="6B0AE55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1C0E6B8B" w14:textId="77777777" w:rsidR="00A0704E" w:rsidRPr="00A0704E" w:rsidRDefault="00A0704E" w:rsidP="00A0704E">
      <w:pPr>
        <w:tabs>
          <w:tab w:val="left" w:pos="567"/>
        </w:tabs>
        <w:spacing w:after="0" w:line="240" w:lineRule="auto"/>
        <w:ind w:left="567" w:hanging="567"/>
        <w:rPr>
          <w:rFonts w:ascii="Times New Roman" w:eastAsia="Times New Roman" w:hAnsi="Times New Roman" w:cs="Times New Roman"/>
        </w:rPr>
      </w:pPr>
      <w:r w:rsidRPr="00A0704E">
        <w:rPr>
          <w:rFonts w:ascii="Times New Roman" w:eastAsia="Times New Roman" w:hAnsi="Times New Roman" w:cs="Times New Roman"/>
        </w:rPr>
        <w:t>Šį vaistą laikykite vaikams nepastebimoje ir nepasiekiamoje vietoje.</w:t>
      </w:r>
    </w:p>
    <w:p w14:paraId="70407B0D"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Laikyti žemesnėje kaip 30 ºC temperatūroje. Laikyti gamintojo pakuotėje, kad vaistas būtų apsaugotas nuo šviesos.</w:t>
      </w:r>
    </w:p>
    <w:p w14:paraId="74BD8D77"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6E9163A"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Ant dėžutės ir lizdinės plokštelės po „EXP“ nurodytam tinkamumo laikui pasibaigus, šio vaisto vartoti negalima. Vaistas tinkamas vartoti iki paskutinės nurodyto mėnesio dienos.</w:t>
      </w:r>
    </w:p>
    <w:p w14:paraId="57067C9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2EE7B987"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Vaistų negalima išmesti į kanalizaciją arba išmesti su buitinėmis atliekomis. Kaip išmesti nereikalingus vaistus, klauskite vaistininko. Šios priemonės padės apsaugoti aplinką.</w:t>
      </w:r>
    </w:p>
    <w:p w14:paraId="0AC53AC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B6B8EE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7855DB67" w14:textId="77777777" w:rsidR="00A0704E" w:rsidRPr="00A0704E" w:rsidRDefault="00A0704E" w:rsidP="00A0704E">
      <w:pPr>
        <w:keepNext/>
        <w:tabs>
          <w:tab w:val="left" w:pos="567"/>
        </w:tabs>
        <w:spacing w:after="0" w:line="240" w:lineRule="auto"/>
        <w:outlineLvl w:val="1"/>
        <w:rPr>
          <w:rFonts w:ascii="Times New Roman" w:eastAsia="Times New Roman" w:hAnsi="Times New Roman" w:cs="Times New Roman"/>
          <w:b/>
        </w:rPr>
      </w:pPr>
      <w:bookmarkStart w:id="88" w:name="_Toc129243144"/>
      <w:bookmarkStart w:id="89" w:name="_Toc129243269"/>
      <w:r w:rsidRPr="00A0704E">
        <w:rPr>
          <w:rFonts w:ascii="Times New Roman" w:eastAsia="Times New Roman" w:hAnsi="Times New Roman" w:cs="Times New Roman"/>
          <w:b/>
        </w:rPr>
        <w:t>6.</w:t>
      </w:r>
      <w:r w:rsidRPr="00A0704E">
        <w:rPr>
          <w:rFonts w:ascii="Times New Roman" w:eastAsia="Times New Roman" w:hAnsi="Times New Roman" w:cs="Times New Roman"/>
          <w:b/>
        </w:rPr>
        <w:tab/>
        <w:t>Pakuotės turinys ir kita informacija</w:t>
      </w:r>
      <w:bookmarkEnd w:id="88"/>
      <w:bookmarkEnd w:id="89"/>
      <w:r w:rsidRPr="00A0704E">
        <w:rPr>
          <w:rFonts w:ascii="Times New Roman" w:eastAsia="Times New Roman" w:hAnsi="Times New Roman" w:cs="Times New Roman"/>
          <w:b/>
        </w:rPr>
        <w:fldChar w:fldCharType="begin"/>
      </w:r>
      <w:r w:rsidRPr="00A0704E">
        <w:rPr>
          <w:rFonts w:ascii="Times New Roman" w:eastAsia="Times New Roman" w:hAnsi="Times New Roman" w:cs="Times New Roman"/>
          <w:b/>
        </w:rPr>
        <w:instrText xml:space="preserve"> DOCVARIABLE vault_nd_a613a4a7-b1bc-4a0c-8ac4-e666e8f7abe0 \* MERGEFORMAT </w:instrText>
      </w:r>
      <w:r w:rsidRPr="00A0704E">
        <w:rPr>
          <w:rFonts w:ascii="Times New Roman" w:eastAsia="Times New Roman" w:hAnsi="Times New Roman" w:cs="Times New Roman"/>
          <w:b/>
        </w:rPr>
        <w:fldChar w:fldCharType="separate"/>
      </w:r>
      <w:r w:rsidRPr="00A0704E">
        <w:rPr>
          <w:rFonts w:ascii="Times New Roman" w:eastAsia="Times New Roman" w:hAnsi="Times New Roman" w:cs="Times New Roman"/>
          <w:b/>
        </w:rPr>
        <w:t xml:space="preserve"> </w:t>
      </w:r>
      <w:r w:rsidRPr="00A0704E">
        <w:rPr>
          <w:rFonts w:ascii="Times New Roman" w:eastAsia="Times New Roman" w:hAnsi="Times New Roman" w:cs="Times New Roman"/>
          <w:b/>
        </w:rPr>
        <w:fldChar w:fldCharType="end"/>
      </w:r>
    </w:p>
    <w:p w14:paraId="10CEF40F"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E759DD1" w14:textId="77777777" w:rsidR="00A0704E" w:rsidRPr="00A0704E" w:rsidRDefault="00A0704E" w:rsidP="00A0704E">
      <w:pPr>
        <w:tabs>
          <w:tab w:val="left" w:pos="567"/>
        </w:tabs>
        <w:spacing w:after="0" w:line="220" w:lineRule="exact"/>
        <w:rPr>
          <w:rFonts w:ascii="Times New Roman" w:eastAsia="Times New Roman" w:hAnsi="Times New Roman" w:cs="Times New Roman"/>
          <w:b/>
          <w:bCs/>
        </w:rPr>
      </w:pPr>
      <w:r w:rsidRPr="00A0704E">
        <w:rPr>
          <w:rFonts w:ascii="Times New Roman" w:eastAsia="Times New Roman" w:hAnsi="Times New Roman" w:cs="Times New Roman"/>
          <w:b/>
          <w:bCs/>
        </w:rPr>
        <w:t>Cordarone sudėtis</w:t>
      </w:r>
    </w:p>
    <w:p w14:paraId="313447DF" w14:textId="77777777" w:rsidR="00A0704E" w:rsidRPr="00A0704E" w:rsidRDefault="00A0704E" w:rsidP="00A0704E">
      <w:pPr>
        <w:numPr>
          <w:ilvl w:val="0"/>
          <w:numId w:val="8"/>
        </w:numPr>
        <w:tabs>
          <w:tab w:val="left" w:pos="567"/>
          <w:tab w:val="num" w:pos="1143"/>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Veiklioji medžiaga yra amjodarono hidrochloridas. Vienoje tabletėje yra 200 mg amjodarono hidrochlorido.</w:t>
      </w:r>
    </w:p>
    <w:p w14:paraId="3DB6140C" w14:textId="77777777" w:rsidR="00A0704E" w:rsidRPr="00A0704E" w:rsidRDefault="00A0704E" w:rsidP="00A0704E">
      <w:pPr>
        <w:numPr>
          <w:ilvl w:val="0"/>
          <w:numId w:val="8"/>
        </w:num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Pagalbinės medžiagos yra laktozės monohidratas, kukurūzų krakmolas, povidonas, koloidinis bevandenis silicio dioksidas ir magnio stearatas.</w:t>
      </w:r>
    </w:p>
    <w:p w14:paraId="0D2BE8A1"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68881AEA" w14:textId="77777777" w:rsidR="00A0704E" w:rsidRPr="00A0704E" w:rsidRDefault="00A0704E" w:rsidP="00A0704E">
      <w:pPr>
        <w:tabs>
          <w:tab w:val="left" w:pos="567"/>
        </w:tabs>
        <w:spacing w:after="0" w:line="220" w:lineRule="exact"/>
        <w:rPr>
          <w:rFonts w:ascii="Times New Roman" w:eastAsia="Times New Roman" w:hAnsi="Times New Roman" w:cs="Times New Roman"/>
          <w:b/>
          <w:bCs/>
        </w:rPr>
      </w:pPr>
      <w:r w:rsidRPr="00A0704E">
        <w:rPr>
          <w:rFonts w:ascii="Times New Roman" w:eastAsia="Times New Roman" w:hAnsi="Times New Roman" w:cs="Times New Roman"/>
          <w:b/>
          <w:bCs/>
        </w:rPr>
        <w:t>Cordarone išvaizda ir kiekis pakuotėje</w:t>
      </w:r>
    </w:p>
    <w:p w14:paraId="487D663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Tabletės yra nuo baltos iki švelniai kreminės spalvos apvalios su vagele, bei vienoje pusėje įspaustu širdelės formos simboliu ir skaičiumi „200“. Vagelė skirta tik tabletei perlaužti, kad būtų lengviau nuryti, bet ne jai padalyti į lygias dozes. </w:t>
      </w:r>
    </w:p>
    <w:p w14:paraId="0DC71257" w14:textId="77777777" w:rsidR="00A0704E" w:rsidRPr="00A0704E" w:rsidRDefault="00A0704E" w:rsidP="00A0704E">
      <w:pPr>
        <w:tabs>
          <w:tab w:val="left" w:pos="567"/>
        </w:tabs>
        <w:spacing w:after="0" w:line="240" w:lineRule="auto"/>
        <w:rPr>
          <w:rFonts w:ascii="Times New Roman" w:eastAsia="Times New Roman" w:hAnsi="Times New Roman" w:cs="Times New Roman"/>
          <w:u w:val="single"/>
        </w:rPr>
      </w:pPr>
      <w:r w:rsidRPr="00A0704E">
        <w:rPr>
          <w:rFonts w:ascii="Times New Roman" w:eastAsia="Times New Roman" w:hAnsi="Times New Roman" w:cs="Times New Roman"/>
        </w:rPr>
        <w:t>Cordarone tabletės tiekiamos lizdinėmis plokštelėmis, kiekvienoje jų yra 15 tablečių. Dėžutėje yra 30 tablečių.</w:t>
      </w:r>
    </w:p>
    <w:p w14:paraId="29175C9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0047BD30" w14:textId="77777777" w:rsidR="00A0704E" w:rsidRPr="00A0704E" w:rsidRDefault="00A0704E" w:rsidP="00A0704E">
      <w:pPr>
        <w:tabs>
          <w:tab w:val="left" w:pos="567"/>
        </w:tabs>
        <w:spacing w:after="0" w:line="220" w:lineRule="exact"/>
        <w:rPr>
          <w:rFonts w:ascii="Times New Roman" w:eastAsia="Times New Roman" w:hAnsi="Times New Roman" w:cs="Times New Roman"/>
          <w:b/>
          <w:bCs/>
        </w:rPr>
      </w:pPr>
      <w:r w:rsidRPr="00A0704E">
        <w:rPr>
          <w:rFonts w:ascii="Times New Roman" w:eastAsia="Times New Roman" w:hAnsi="Times New Roman" w:cs="Times New Roman"/>
          <w:b/>
          <w:bCs/>
        </w:rPr>
        <w:t>Registruotojas ir gamintojas</w:t>
      </w:r>
    </w:p>
    <w:p w14:paraId="5B3193FB"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Registruotojas</w:t>
      </w:r>
    </w:p>
    <w:p w14:paraId="0370D1B5" w14:textId="77777777" w:rsidR="006B7B13" w:rsidRPr="007B692E" w:rsidRDefault="006B7B13" w:rsidP="006B7B13">
      <w:pPr>
        <w:spacing w:after="0" w:line="240" w:lineRule="auto"/>
        <w:rPr>
          <w:rFonts w:ascii="Times New Roman" w:eastAsia="Times New Roman" w:hAnsi="Times New Roman"/>
        </w:rPr>
      </w:pPr>
      <w:r w:rsidRPr="007B692E">
        <w:rPr>
          <w:rFonts w:ascii="Times New Roman" w:eastAsia="Times New Roman" w:hAnsi="Times New Roman"/>
        </w:rPr>
        <w:t>Sanofi Winthrop Industrie</w:t>
      </w:r>
    </w:p>
    <w:p w14:paraId="1A29BA50" w14:textId="77777777" w:rsidR="006B7B13" w:rsidRPr="007B692E" w:rsidRDefault="006B7B13" w:rsidP="006B7B13">
      <w:pPr>
        <w:spacing w:after="0" w:line="240" w:lineRule="auto"/>
        <w:rPr>
          <w:rFonts w:ascii="Times New Roman" w:eastAsia="Times New Roman" w:hAnsi="Times New Roman"/>
        </w:rPr>
      </w:pPr>
      <w:r w:rsidRPr="007B692E">
        <w:rPr>
          <w:rFonts w:ascii="Times New Roman" w:eastAsia="Times New Roman" w:hAnsi="Times New Roman"/>
        </w:rPr>
        <w:t>82, avenue Raspail</w:t>
      </w:r>
    </w:p>
    <w:p w14:paraId="4DDD5352" w14:textId="77777777" w:rsidR="006B7B13" w:rsidRPr="007B692E" w:rsidRDefault="006B7B13" w:rsidP="006B7B13">
      <w:pPr>
        <w:spacing w:after="0" w:line="240" w:lineRule="auto"/>
        <w:rPr>
          <w:rFonts w:ascii="Times New Roman" w:eastAsia="Times New Roman" w:hAnsi="Times New Roman"/>
        </w:rPr>
      </w:pPr>
      <w:r w:rsidRPr="007B692E">
        <w:rPr>
          <w:rFonts w:ascii="Times New Roman" w:eastAsia="Times New Roman" w:hAnsi="Times New Roman"/>
        </w:rPr>
        <w:t>94250 Gentilly</w:t>
      </w:r>
    </w:p>
    <w:p w14:paraId="6F1780FD" w14:textId="288C7530" w:rsidR="00A0704E" w:rsidRDefault="006B7B13" w:rsidP="006B7B13">
      <w:pPr>
        <w:tabs>
          <w:tab w:val="left" w:pos="567"/>
        </w:tabs>
        <w:spacing w:after="0" w:line="240" w:lineRule="auto"/>
        <w:rPr>
          <w:rFonts w:ascii="Times New Roman" w:hAnsi="Times New Roman"/>
        </w:rPr>
      </w:pPr>
      <w:r w:rsidRPr="007B692E">
        <w:rPr>
          <w:rFonts w:ascii="Times New Roman" w:hAnsi="Times New Roman"/>
        </w:rPr>
        <w:t>Prancūzija</w:t>
      </w:r>
    </w:p>
    <w:p w14:paraId="2F7885D6" w14:textId="77777777" w:rsidR="006B7B13" w:rsidRPr="00A0704E" w:rsidRDefault="006B7B13" w:rsidP="006B7B13">
      <w:pPr>
        <w:tabs>
          <w:tab w:val="left" w:pos="567"/>
        </w:tabs>
        <w:spacing w:after="0" w:line="240" w:lineRule="auto"/>
        <w:rPr>
          <w:rFonts w:ascii="Times New Roman" w:eastAsia="Times New Roman" w:hAnsi="Times New Roman" w:cs="Times New Roman"/>
        </w:rPr>
      </w:pPr>
    </w:p>
    <w:p w14:paraId="73BC5787" w14:textId="77777777" w:rsidR="00A0704E" w:rsidRPr="00A0704E" w:rsidRDefault="00A0704E" w:rsidP="00A0704E">
      <w:pPr>
        <w:tabs>
          <w:tab w:val="left" w:pos="567"/>
        </w:tabs>
        <w:spacing w:after="0" w:line="240" w:lineRule="auto"/>
        <w:rPr>
          <w:rFonts w:ascii="Times New Roman" w:eastAsia="Times New Roman" w:hAnsi="Times New Roman" w:cs="Times New Roman"/>
          <w:i/>
        </w:rPr>
      </w:pPr>
      <w:r w:rsidRPr="00A0704E">
        <w:rPr>
          <w:rFonts w:ascii="Times New Roman" w:eastAsia="Times New Roman" w:hAnsi="Times New Roman" w:cs="Times New Roman"/>
          <w:i/>
        </w:rPr>
        <w:t>Gamintojas</w:t>
      </w:r>
    </w:p>
    <w:p w14:paraId="1B76CC5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SANOFI WINTHROP INDUSTRIE</w:t>
      </w:r>
    </w:p>
    <w:p w14:paraId="378A91B5"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1, rue de la Vierge</w:t>
      </w:r>
    </w:p>
    <w:p w14:paraId="5A048DA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33440 Ambares</w:t>
      </w:r>
    </w:p>
    <w:p w14:paraId="7BBAB1F4"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lastRenderedPageBreak/>
        <w:t>Prancūzija</w:t>
      </w:r>
    </w:p>
    <w:p w14:paraId="4449D4A0"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5F6EE90C"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arba</w:t>
      </w:r>
    </w:p>
    <w:p w14:paraId="3CEF52EB"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444CC7E1" w14:textId="77777777" w:rsidR="00A0704E" w:rsidRPr="00A0704E" w:rsidRDefault="00A0704E" w:rsidP="00A0704E">
      <w:pPr>
        <w:tabs>
          <w:tab w:val="left" w:pos="567"/>
        </w:tabs>
        <w:spacing w:after="0" w:line="240" w:lineRule="auto"/>
        <w:rPr>
          <w:rFonts w:ascii="Times New Roman" w:eastAsia="Times New Roman" w:hAnsi="Times New Roman" w:cs="Times New Roman"/>
          <w:bCs/>
        </w:rPr>
      </w:pPr>
      <w:r w:rsidRPr="00A0704E">
        <w:rPr>
          <w:rFonts w:ascii="Times New Roman" w:eastAsia="Times New Roman" w:hAnsi="Times New Roman" w:cs="Times New Roman"/>
          <w:bCs/>
        </w:rPr>
        <w:t xml:space="preserve">Opella Healthcare Hungary Limited Liability Company </w:t>
      </w:r>
    </w:p>
    <w:p w14:paraId="509CD9A8" w14:textId="77777777" w:rsidR="00A0704E" w:rsidRPr="00A0704E" w:rsidRDefault="00A0704E" w:rsidP="00A0704E">
      <w:pPr>
        <w:tabs>
          <w:tab w:val="left" w:pos="567"/>
        </w:tabs>
        <w:spacing w:after="0" w:line="240" w:lineRule="auto"/>
        <w:rPr>
          <w:rFonts w:ascii="Times New Roman" w:eastAsia="Times New Roman" w:hAnsi="Times New Roman" w:cs="Times New Roman"/>
          <w:bCs/>
        </w:rPr>
      </w:pPr>
      <w:r w:rsidRPr="00A0704E">
        <w:rPr>
          <w:rFonts w:ascii="Times New Roman" w:eastAsia="Times New Roman" w:hAnsi="Times New Roman" w:cs="Times New Roman"/>
          <w:bCs/>
        </w:rPr>
        <w:t>(Opella Healthcare Hungary Ltd.)</w:t>
      </w:r>
    </w:p>
    <w:p w14:paraId="2C56D07C" w14:textId="77777777" w:rsidR="00A0704E" w:rsidRPr="00A0704E" w:rsidRDefault="00A0704E" w:rsidP="00A0704E">
      <w:pPr>
        <w:tabs>
          <w:tab w:val="left" w:pos="567"/>
        </w:tabs>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 xml:space="preserve">2112 Veresegyhaz </w:t>
      </w:r>
    </w:p>
    <w:p w14:paraId="1988DF58" w14:textId="77777777" w:rsidR="00A0704E" w:rsidRPr="00A0704E" w:rsidRDefault="00A0704E" w:rsidP="00A0704E">
      <w:pPr>
        <w:tabs>
          <w:tab w:val="left" w:pos="567"/>
        </w:tabs>
        <w:spacing w:after="0" w:line="240" w:lineRule="auto"/>
        <w:rPr>
          <w:rFonts w:ascii="Times New Roman" w:eastAsia="Times New Roman" w:hAnsi="Times New Roman" w:cs="Times New Roman"/>
          <w:bCs/>
          <w:iCs/>
        </w:rPr>
      </w:pPr>
      <w:r w:rsidRPr="00A0704E">
        <w:rPr>
          <w:rFonts w:ascii="Times New Roman" w:eastAsia="Times New Roman" w:hAnsi="Times New Roman" w:cs="Times New Roman"/>
          <w:bCs/>
          <w:iCs/>
        </w:rPr>
        <w:t>Levai u.5</w:t>
      </w:r>
    </w:p>
    <w:p w14:paraId="32ECF296"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bCs/>
          <w:iCs/>
        </w:rPr>
        <w:t>Vengrija</w:t>
      </w:r>
    </w:p>
    <w:p w14:paraId="47232023" w14:textId="77777777" w:rsidR="00A0704E" w:rsidRPr="006B047B" w:rsidRDefault="00A0704E" w:rsidP="006B047B">
      <w:pPr>
        <w:tabs>
          <w:tab w:val="left" w:pos="567"/>
        </w:tabs>
        <w:spacing w:after="0" w:line="240" w:lineRule="auto"/>
        <w:rPr>
          <w:rFonts w:ascii="Times New Roman" w:eastAsia="Times New Roman" w:hAnsi="Times New Roman" w:cs="Times New Roman"/>
        </w:rPr>
      </w:pPr>
    </w:p>
    <w:p w14:paraId="669953C7" w14:textId="77777777" w:rsidR="006B047B" w:rsidRPr="006B047B" w:rsidRDefault="006B047B" w:rsidP="006B047B">
      <w:pPr>
        <w:spacing w:after="0" w:line="240" w:lineRule="auto"/>
        <w:rPr>
          <w:rFonts w:ascii="Times New Roman" w:hAnsi="Times New Roman" w:cs="Times New Roman"/>
        </w:rPr>
      </w:pPr>
      <w:r w:rsidRPr="006B047B">
        <w:rPr>
          <w:rFonts w:ascii="Times New Roman" w:hAnsi="Times New Roman" w:cs="Times New Roman"/>
        </w:rPr>
        <w:t>Jeigu apie šį vaistą norite sužinoti daugiau, kreipkitės į vietinį registruotojo atstovą.</w:t>
      </w:r>
    </w:p>
    <w:p w14:paraId="799BE9DD" w14:textId="77777777" w:rsidR="006B047B" w:rsidRDefault="006B047B" w:rsidP="006B047B">
      <w:pPr>
        <w:spacing w:after="0" w:line="240" w:lineRule="auto"/>
        <w:rPr>
          <w:rFonts w:ascii="Times New Roman" w:hAnsi="Times New Roman" w:cs="Times New Roman"/>
        </w:rPr>
      </w:pPr>
    </w:p>
    <w:p w14:paraId="232FE1F8" w14:textId="15EE7F72" w:rsidR="006B047B" w:rsidRPr="006B047B" w:rsidRDefault="006B047B" w:rsidP="006B047B">
      <w:pPr>
        <w:spacing w:after="0" w:line="240" w:lineRule="auto"/>
        <w:rPr>
          <w:rFonts w:ascii="Times New Roman" w:hAnsi="Times New Roman" w:cs="Times New Roman"/>
        </w:rPr>
      </w:pPr>
      <w:r w:rsidRPr="006B047B">
        <w:rPr>
          <w:rFonts w:ascii="Times New Roman" w:hAnsi="Times New Roman" w:cs="Times New Roman"/>
        </w:rPr>
        <w:t>UAB „Swixx Biopharma“</w:t>
      </w:r>
    </w:p>
    <w:p w14:paraId="7EFCB76A" w14:textId="77777777" w:rsidR="006B047B" w:rsidRPr="006B047B" w:rsidRDefault="006B047B" w:rsidP="006B047B">
      <w:pPr>
        <w:spacing w:after="0" w:line="240" w:lineRule="auto"/>
        <w:rPr>
          <w:rFonts w:ascii="Times New Roman" w:hAnsi="Times New Roman" w:cs="Times New Roman"/>
        </w:rPr>
      </w:pPr>
      <w:r w:rsidRPr="006B047B">
        <w:rPr>
          <w:rFonts w:ascii="Times New Roman" w:hAnsi="Times New Roman" w:cs="Times New Roman"/>
        </w:rPr>
        <w:t>Bokšto g. 1-3</w:t>
      </w:r>
    </w:p>
    <w:p w14:paraId="401552EC" w14:textId="77777777" w:rsidR="006B047B" w:rsidRPr="006B047B" w:rsidRDefault="006B047B" w:rsidP="006B047B">
      <w:pPr>
        <w:spacing w:after="0" w:line="240" w:lineRule="auto"/>
        <w:rPr>
          <w:rFonts w:ascii="Times New Roman" w:hAnsi="Times New Roman" w:cs="Times New Roman"/>
        </w:rPr>
      </w:pPr>
      <w:r w:rsidRPr="006B047B">
        <w:rPr>
          <w:rFonts w:ascii="Times New Roman" w:hAnsi="Times New Roman" w:cs="Times New Roman"/>
        </w:rPr>
        <w:t>LT-01126 Vilnius</w:t>
      </w:r>
    </w:p>
    <w:p w14:paraId="0D1AF37E" w14:textId="77777777" w:rsidR="006B047B" w:rsidRPr="006B047B" w:rsidRDefault="006B047B" w:rsidP="006B047B">
      <w:pPr>
        <w:spacing w:after="0" w:line="240" w:lineRule="auto"/>
        <w:rPr>
          <w:rFonts w:ascii="Times New Roman" w:hAnsi="Times New Roman" w:cs="Times New Roman"/>
        </w:rPr>
      </w:pPr>
      <w:r w:rsidRPr="006B047B">
        <w:rPr>
          <w:rFonts w:ascii="Times New Roman" w:hAnsi="Times New Roman" w:cs="Times New Roman"/>
        </w:rPr>
        <w:t>Lietuva</w:t>
      </w:r>
    </w:p>
    <w:p w14:paraId="5DFBCE63" w14:textId="77777777" w:rsidR="006B047B" w:rsidRPr="006B047B" w:rsidRDefault="006B047B" w:rsidP="006B047B">
      <w:pPr>
        <w:spacing w:after="0" w:line="240" w:lineRule="auto"/>
        <w:rPr>
          <w:rFonts w:ascii="Times New Roman" w:hAnsi="Times New Roman" w:cs="Times New Roman"/>
        </w:rPr>
      </w:pPr>
      <w:r w:rsidRPr="006B047B">
        <w:rPr>
          <w:rFonts w:ascii="Times New Roman" w:hAnsi="Times New Roman" w:cs="Times New Roman"/>
        </w:rPr>
        <w:t>Tel.: +370 5 236 9140</w:t>
      </w:r>
    </w:p>
    <w:p w14:paraId="20298CD9" w14:textId="77777777" w:rsidR="006B047B" w:rsidRPr="00083D19" w:rsidRDefault="006B047B" w:rsidP="006B047B">
      <w:pPr>
        <w:tabs>
          <w:tab w:val="left" w:pos="567"/>
        </w:tabs>
      </w:pPr>
    </w:p>
    <w:p w14:paraId="750D3559" w14:textId="76E77013" w:rsidR="006B047B" w:rsidRPr="006B047B" w:rsidRDefault="006B047B" w:rsidP="006B047B">
      <w:pPr>
        <w:tabs>
          <w:tab w:val="left" w:pos="567"/>
        </w:tabs>
        <w:spacing w:after="0" w:line="240" w:lineRule="auto"/>
        <w:rPr>
          <w:rFonts w:ascii="Times New Roman" w:hAnsi="Times New Roman" w:cs="Times New Roman"/>
        </w:rPr>
      </w:pPr>
      <w:r w:rsidRPr="006B047B">
        <w:rPr>
          <w:rFonts w:ascii="Times New Roman" w:hAnsi="Times New Roman" w:cs="Times New Roman"/>
          <w:b/>
          <w:bCs/>
        </w:rPr>
        <w:t>Šis pakuotės lapelis</w:t>
      </w:r>
      <w:r w:rsidRPr="006B047B">
        <w:rPr>
          <w:rFonts w:ascii="Times New Roman" w:hAnsi="Times New Roman" w:cs="Times New Roman"/>
          <w:b/>
        </w:rPr>
        <w:t xml:space="preserve"> paskutinį kartą peržiūrėtas 202</w:t>
      </w:r>
      <w:r w:rsidR="006B7B13">
        <w:rPr>
          <w:rFonts w:ascii="Times New Roman" w:hAnsi="Times New Roman" w:cs="Times New Roman"/>
          <w:b/>
        </w:rPr>
        <w:t>3-07-15</w:t>
      </w:r>
      <w:r w:rsidRPr="006B047B">
        <w:rPr>
          <w:rFonts w:ascii="Times New Roman" w:hAnsi="Times New Roman" w:cs="Times New Roman"/>
          <w:b/>
        </w:rPr>
        <w:t>.</w:t>
      </w:r>
    </w:p>
    <w:p w14:paraId="359C11C7" w14:textId="77777777" w:rsidR="00A0704E" w:rsidRPr="00A0704E" w:rsidRDefault="00A0704E" w:rsidP="00A0704E">
      <w:pPr>
        <w:tabs>
          <w:tab w:val="left" w:pos="567"/>
        </w:tabs>
        <w:spacing w:after="0" w:line="240" w:lineRule="auto"/>
        <w:rPr>
          <w:rFonts w:ascii="Times New Roman" w:eastAsia="Times New Roman" w:hAnsi="Times New Roman" w:cs="Times New Roman"/>
        </w:rPr>
      </w:pPr>
    </w:p>
    <w:p w14:paraId="3F62D29D" w14:textId="77777777" w:rsidR="00A0704E" w:rsidRPr="00A0704E" w:rsidRDefault="00A0704E" w:rsidP="00A0704E">
      <w:pPr>
        <w:tabs>
          <w:tab w:val="left" w:pos="567"/>
        </w:tabs>
        <w:spacing w:after="0" w:line="240" w:lineRule="auto"/>
        <w:rPr>
          <w:rFonts w:ascii="Times New Roman" w:eastAsia="Times New Roman" w:hAnsi="Times New Roman" w:cs="Times New Roman"/>
        </w:rPr>
      </w:pPr>
      <w:r w:rsidRPr="00A0704E">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13" w:history="1">
        <w:r w:rsidRPr="00A0704E">
          <w:rPr>
            <w:rFonts w:ascii="Times New Roman" w:eastAsia="Times New Roman" w:hAnsi="Times New Roman" w:cs="Times New Roman"/>
            <w:color w:val="0000FF"/>
            <w:u w:val="single"/>
          </w:rPr>
          <w:t>http://www.vvkt.lt/</w:t>
        </w:r>
      </w:hyperlink>
    </w:p>
    <w:p w14:paraId="4D36AA46" w14:textId="77777777" w:rsidR="00A0704E" w:rsidRPr="00A0704E" w:rsidRDefault="00A0704E" w:rsidP="00A0704E">
      <w:pPr>
        <w:spacing w:after="0" w:line="240" w:lineRule="auto"/>
        <w:rPr>
          <w:rFonts w:ascii="Times New Roman" w:eastAsia="Times New Roman" w:hAnsi="Times New Roman" w:cs="Times New Roman"/>
        </w:rPr>
      </w:pPr>
    </w:p>
    <w:p w14:paraId="1885DE8D" w14:textId="77777777" w:rsidR="00343DA1" w:rsidRPr="00A0704E" w:rsidRDefault="00343DA1">
      <w:pPr>
        <w:rPr>
          <w:rFonts w:ascii="Times New Roman" w:hAnsi="Times New Roman" w:cs="Times New Roman"/>
        </w:rPr>
      </w:pPr>
    </w:p>
    <w:sectPr w:rsidR="00343DA1" w:rsidRPr="00A0704E" w:rsidSect="00701FC1">
      <w:headerReference w:type="default" r:id="rId14"/>
      <w:footerReference w:type="even" r:id="rId15"/>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A7FD5" w14:textId="77777777" w:rsidR="006F7061" w:rsidRDefault="006F7061">
      <w:pPr>
        <w:spacing w:after="0" w:line="240" w:lineRule="auto"/>
      </w:pPr>
      <w:r>
        <w:separator/>
      </w:r>
    </w:p>
  </w:endnote>
  <w:endnote w:type="continuationSeparator" w:id="0">
    <w:p w14:paraId="7299F20F" w14:textId="77777777" w:rsidR="006F7061" w:rsidRDefault="006F7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altName w:val="Leelawadee UI"/>
    <w:panose1 w:val="02020603050405020304"/>
    <w:charset w:val="00"/>
    <w:family w:val="roman"/>
    <w:pitch w:val="variable"/>
    <w:sig w:usb0="00000000"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B105A" w14:textId="77777777" w:rsidR="00CE240E" w:rsidRDefault="00206D2B">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FAF349F" w14:textId="77777777" w:rsidR="00CE240E" w:rsidRDefault="00347C4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9B6E3" w14:textId="66670922" w:rsidR="00CE240E" w:rsidRDefault="00206D2B">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47C45">
      <w:rPr>
        <w:rStyle w:val="Puslapionumeris"/>
        <w:noProof/>
      </w:rPr>
      <w:t>2</w:t>
    </w:r>
    <w:r>
      <w:rPr>
        <w:rStyle w:val="Puslapionumeris"/>
      </w:rPr>
      <w:fldChar w:fldCharType="end"/>
    </w:r>
  </w:p>
  <w:p w14:paraId="05A9EA66" w14:textId="77777777" w:rsidR="00CE240E" w:rsidRDefault="00347C4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B23A62" w14:textId="77777777" w:rsidR="006F7061" w:rsidRDefault="006F7061">
      <w:pPr>
        <w:spacing w:after="0" w:line="240" w:lineRule="auto"/>
      </w:pPr>
      <w:r>
        <w:separator/>
      </w:r>
    </w:p>
  </w:footnote>
  <w:footnote w:type="continuationSeparator" w:id="0">
    <w:p w14:paraId="6BF1C0DD" w14:textId="77777777" w:rsidR="006F7061" w:rsidRDefault="006F7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F2615" w14:textId="77777777" w:rsidR="004749CF" w:rsidRDefault="00347C4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E709D"/>
    <w:multiLevelType w:val="hybridMultilevel"/>
    <w:tmpl w:val="2C08A080"/>
    <w:lvl w:ilvl="0" w:tplc="3FD64AF8">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1B1E29"/>
    <w:multiLevelType w:val="hybridMultilevel"/>
    <w:tmpl w:val="7D62BABE"/>
    <w:lvl w:ilvl="0" w:tplc="13306054">
      <w:start w:val="1"/>
      <w:numFmt w:val="bullet"/>
      <w:lvlText w:val="-"/>
      <w:lvlJc w:val="left"/>
      <w:pPr>
        <w:tabs>
          <w:tab w:val="num" w:pos="851"/>
        </w:tabs>
        <w:ind w:left="851" w:hanging="567"/>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493F2E"/>
    <w:multiLevelType w:val="hybridMultilevel"/>
    <w:tmpl w:val="F5B24D3C"/>
    <w:lvl w:ilvl="0" w:tplc="CA8AC13E">
      <w:start w:val="1"/>
      <w:numFmt w:val="decimal"/>
      <w:lvlText w:val="%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B3B7FFB"/>
    <w:multiLevelType w:val="hybridMultilevel"/>
    <w:tmpl w:val="4F98D6A4"/>
    <w:lvl w:ilvl="0" w:tplc="FE04A9BC">
      <w:start w:val="1"/>
      <w:numFmt w:val="bullet"/>
      <w:lvlText w:val=""/>
      <w:lvlJc w:val="left"/>
      <w:pPr>
        <w:tabs>
          <w:tab w:val="num" w:pos="567"/>
        </w:tabs>
        <w:ind w:left="567" w:hanging="567"/>
      </w:pPr>
      <w:rPr>
        <w:rFonts w:ascii="Symbol" w:hAnsi="Symbol" w:hint="default"/>
      </w:rPr>
    </w:lvl>
    <w:lvl w:ilvl="1" w:tplc="15863070">
      <w:start w:val="1"/>
      <w:numFmt w:val="decimal"/>
      <w:lvlText w:val="%2."/>
      <w:lvlJc w:val="left"/>
      <w:pPr>
        <w:tabs>
          <w:tab w:val="num" w:pos="567"/>
        </w:tabs>
        <w:ind w:left="567" w:hanging="567"/>
      </w:pPr>
      <w:rPr>
        <w:rFonts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DC5769F"/>
    <w:multiLevelType w:val="hybridMultilevel"/>
    <w:tmpl w:val="24FE7444"/>
    <w:lvl w:ilvl="0" w:tplc="B58C6CBE">
      <w:numFmt w:val="bullet"/>
      <w:lvlText w:val="-"/>
      <w:lvlJc w:val="left"/>
      <w:pPr>
        <w:tabs>
          <w:tab w:val="num" w:pos="567"/>
        </w:tabs>
        <w:ind w:left="567" w:hanging="567"/>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A51385"/>
    <w:multiLevelType w:val="hybridMultilevel"/>
    <w:tmpl w:val="2EBEBDD8"/>
    <w:lvl w:ilvl="0" w:tplc="3E4EB084">
      <w:numFmt w:val="bullet"/>
      <w:lvlText w:val="-"/>
      <w:lvlJc w:val="left"/>
      <w:pPr>
        <w:tabs>
          <w:tab w:val="num" w:pos="851"/>
        </w:tabs>
        <w:ind w:left="851" w:hanging="567"/>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C432B2"/>
    <w:multiLevelType w:val="hybridMultilevel"/>
    <w:tmpl w:val="36386490"/>
    <w:lvl w:ilvl="0" w:tplc="C302AD90">
      <w:start w:val="1"/>
      <w:numFmt w:val="bullet"/>
      <w:lvlText w:val=""/>
      <w:lvlJc w:val="left"/>
      <w:pPr>
        <w:tabs>
          <w:tab w:val="num" w:pos="3402"/>
        </w:tabs>
        <w:ind w:left="3402" w:hanging="567"/>
      </w:pPr>
      <w:rPr>
        <w:rFonts w:ascii="Wingdings" w:hAnsi="Wingdings" w:hint="default"/>
      </w:rPr>
    </w:lvl>
    <w:lvl w:ilvl="1" w:tplc="04090003" w:tentative="1">
      <w:start w:val="1"/>
      <w:numFmt w:val="bullet"/>
      <w:lvlText w:val="o"/>
      <w:lvlJc w:val="left"/>
      <w:pPr>
        <w:tabs>
          <w:tab w:val="num" w:pos="4275"/>
        </w:tabs>
        <w:ind w:left="4275" w:hanging="360"/>
      </w:pPr>
      <w:rPr>
        <w:rFonts w:ascii="Courier New" w:hAnsi="Courier New" w:hint="default"/>
      </w:rPr>
    </w:lvl>
    <w:lvl w:ilvl="2" w:tplc="04090005" w:tentative="1">
      <w:start w:val="1"/>
      <w:numFmt w:val="bullet"/>
      <w:lvlText w:val=""/>
      <w:lvlJc w:val="left"/>
      <w:pPr>
        <w:tabs>
          <w:tab w:val="num" w:pos="4995"/>
        </w:tabs>
        <w:ind w:left="4995" w:hanging="360"/>
      </w:pPr>
      <w:rPr>
        <w:rFonts w:ascii="Wingdings" w:hAnsi="Wingdings" w:hint="default"/>
      </w:rPr>
    </w:lvl>
    <w:lvl w:ilvl="3" w:tplc="04090001" w:tentative="1">
      <w:start w:val="1"/>
      <w:numFmt w:val="bullet"/>
      <w:lvlText w:val=""/>
      <w:lvlJc w:val="left"/>
      <w:pPr>
        <w:tabs>
          <w:tab w:val="num" w:pos="5715"/>
        </w:tabs>
        <w:ind w:left="5715" w:hanging="360"/>
      </w:pPr>
      <w:rPr>
        <w:rFonts w:ascii="Symbol" w:hAnsi="Symbol" w:hint="default"/>
      </w:rPr>
    </w:lvl>
    <w:lvl w:ilvl="4" w:tplc="04090003" w:tentative="1">
      <w:start w:val="1"/>
      <w:numFmt w:val="bullet"/>
      <w:lvlText w:val="o"/>
      <w:lvlJc w:val="left"/>
      <w:pPr>
        <w:tabs>
          <w:tab w:val="num" w:pos="6435"/>
        </w:tabs>
        <w:ind w:left="6435" w:hanging="360"/>
      </w:pPr>
      <w:rPr>
        <w:rFonts w:ascii="Courier New" w:hAnsi="Courier New" w:hint="default"/>
      </w:rPr>
    </w:lvl>
    <w:lvl w:ilvl="5" w:tplc="04090005" w:tentative="1">
      <w:start w:val="1"/>
      <w:numFmt w:val="bullet"/>
      <w:lvlText w:val=""/>
      <w:lvlJc w:val="left"/>
      <w:pPr>
        <w:tabs>
          <w:tab w:val="num" w:pos="7155"/>
        </w:tabs>
        <w:ind w:left="7155" w:hanging="360"/>
      </w:pPr>
      <w:rPr>
        <w:rFonts w:ascii="Wingdings" w:hAnsi="Wingdings" w:hint="default"/>
      </w:rPr>
    </w:lvl>
    <w:lvl w:ilvl="6" w:tplc="04090001" w:tentative="1">
      <w:start w:val="1"/>
      <w:numFmt w:val="bullet"/>
      <w:lvlText w:val=""/>
      <w:lvlJc w:val="left"/>
      <w:pPr>
        <w:tabs>
          <w:tab w:val="num" w:pos="7875"/>
        </w:tabs>
        <w:ind w:left="7875" w:hanging="360"/>
      </w:pPr>
      <w:rPr>
        <w:rFonts w:ascii="Symbol" w:hAnsi="Symbol" w:hint="default"/>
      </w:rPr>
    </w:lvl>
    <w:lvl w:ilvl="7" w:tplc="04090003" w:tentative="1">
      <w:start w:val="1"/>
      <w:numFmt w:val="bullet"/>
      <w:lvlText w:val="o"/>
      <w:lvlJc w:val="left"/>
      <w:pPr>
        <w:tabs>
          <w:tab w:val="num" w:pos="8595"/>
        </w:tabs>
        <w:ind w:left="8595" w:hanging="360"/>
      </w:pPr>
      <w:rPr>
        <w:rFonts w:ascii="Courier New" w:hAnsi="Courier New" w:hint="default"/>
      </w:rPr>
    </w:lvl>
    <w:lvl w:ilvl="8" w:tplc="04090005" w:tentative="1">
      <w:start w:val="1"/>
      <w:numFmt w:val="bullet"/>
      <w:lvlText w:val=""/>
      <w:lvlJc w:val="left"/>
      <w:pPr>
        <w:tabs>
          <w:tab w:val="num" w:pos="9315"/>
        </w:tabs>
        <w:ind w:left="9315" w:hanging="360"/>
      </w:pPr>
      <w:rPr>
        <w:rFonts w:ascii="Wingdings" w:hAnsi="Wingdings" w:hint="default"/>
      </w:rPr>
    </w:lvl>
  </w:abstractNum>
  <w:abstractNum w:abstractNumId="7" w15:restartNumberingAfterBreak="0">
    <w:nsid w:val="10B52738"/>
    <w:multiLevelType w:val="hybridMultilevel"/>
    <w:tmpl w:val="9892B4A4"/>
    <w:lvl w:ilvl="0" w:tplc="EEB8A240">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622188"/>
    <w:multiLevelType w:val="hybridMultilevel"/>
    <w:tmpl w:val="A50EB6E6"/>
    <w:lvl w:ilvl="0" w:tplc="FE04A9BC">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6929C9"/>
    <w:multiLevelType w:val="hybridMultilevel"/>
    <w:tmpl w:val="C876E284"/>
    <w:lvl w:ilvl="0" w:tplc="F4561A0C">
      <w:start w:val="1"/>
      <w:numFmt w:val="bullet"/>
      <w:lvlText w:val="-"/>
      <w:lvlJc w:val="left"/>
      <w:pPr>
        <w:tabs>
          <w:tab w:val="num" w:pos="567"/>
        </w:tabs>
        <w:ind w:left="567" w:hanging="567"/>
      </w:pPr>
      <w:rPr>
        <w:rFonts w:ascii="Times New Roman" w:hAnsi="Times New Roman" w:hint="default"/>
      </w:rPr>
    </w:lvl>
    <w:lvl w:ilvl="1" w:tplc="A1EC57DE">
      <w:start w:val="1"/>
      <w:numFmt w:val="bullet"/>
      <w:lvlText w:val="-"/>
      <w:lvlJc w:val="left"/>
      <w:pPr>
        <w:tabs>
          <w:tab w:val="num" w:pos="1003"/>
        </w:tabs>
        <w:ind w:left="1003" w:hanging="283"/>
      </w:pPr>
      <w:rPr>
        <w:rFonts w:ascii="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88131E3"/>
    <w:multiLevelType w:val="hybridMultilevel"/>
    <w:tmpl w:val="3DDC7410"/>
    <w:lvl w:ilvl="0" w:tplc="7EB21314">
      <w:start w:val="1"/>
      <w:numFmt w:val="bullet"/>
      <w:lvlText w:val="-"/>
      <w:lvlJc w:val="left"/>
      <w:pPr>
        <w:tabs>
          <w:tab w:val="num" w:pos="851"/>
        </w:tabs>
        <w:ind w:left="851" w:hanging="567"/>
      </w:pPr>
      <w:rPr>
        <w:rFonts w:ascii="Times New Roman" w:eastAsia="Times New Roman" w:hAnsi="Times New Roman" w:hint="default"/>
      </w:rPr>
    </w:lvl>
    <w:lvl w:ilvl="1" w:tplc="090A4940">
      <w:start w:val="1"/>
      <w:numFmt w:val="bullet"/>
      <w:lvlText w:val="-"/>
      <w:lvlJc w:val="left"/>
      <w:pPr>
        <w:tabs>
          <w:tab w:val="num" w:pos="1647"/>
        </w:tabs>
        <w:ind w:left="1647" w:hanging="567"/>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A33F94"/>
    <w:multiLevelType w:val="multilevel"/>
    <w:tmpl w:val="870E954C"/>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1E9B4EF9"/>
    <w:multiLevelType w:val="hybridMultilevel"/>
    <w:tmpl w:val="DCC05114"/>
    <w:lvl w:ilvl="0" w:tplc="46E2D792">
      <w:numFmt w:val="bullet"/>
      <w:lvlText w:val="-"/>
      <w:lvlJc w:val="left"/>
      <w:pPr>
        <w:tabs>
          <w:tab w:val="num" w:pos="851"/>
        </w:tabs>
        <w:ind w:left="851" w:hanging="567"/>
      </w:pPr>
      <w:rPr>
        <w:rFonts w:ascii="Times New Roman" w:eastAsia="Times New Roman" w:hAnsi="Times New Roman"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1FF23528"/>
    <w:multiLevelType w:val="hybridMultilevel"/>
    <w:tmpl w:val="29F03510"/>
    <w:lvl w:ilvl="0" w:tplc="04090001">
      <w:start w:val="1"/>
      <w:numFmt w:val="bullet"/>
      <w:lvlText w:val=""/>
      <w:lvlJc w:val="left"/>
      <w:pPr>
        <w:tabs>
          <w:tab w:val="num" w:pos="720"/>
        </w:tabs>
        <w:ind w:left="720" w:hanging="360"/>
      </w:pPr>
      <w:rPr>
        <w:rFonts w:ascii="Symbol" w:hAnsi="Symbol" w:hint="default"/>
      </w:rPr>
    </w:lvl>
    <w:lvl w:ilvl="1" w:tplc="F4561A0C">
      <w:start w:val="1"/>
      <w:numFmt w:val="bullet"/>
      <w:lvlText w:val="-"/>
      <w:lvlJc w:val="left"/>
      <w:pPr>
        <w:tabs>
          <w:tab w:val="num" w:pos="1440"/>
        </w:tabs>
        <w:ind w:left="1440" w:hanging="360"/>
      </w:pPr>
      <w:rPr>
        <w:rFonts w:ascii="Times New Roman" w:hAnsi="Times New Roman"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544263"/>
    <w:multiLevelType w:val="hybridMultilevel"/>
    <w:tmpl w:val="2E6E8896"/>
    <w:lvl w:ilvl="0" w:tplc="1CC297EA">
      <w:start w:val="1"/>
      <w:numFmt w:val="bullet"/>
      <w:lvlText w:val="-"/>
      <w:lvlJc w:val="left"/>
      <w:pPr>
        <w:tabs>
          <w:tab w:val="num" w:pos="1134"/>
        </w:tabs>
        <w:ind w:left="1134" w:hanging="567"/>
      </w:pPr>
      <w:rPr>
        <w:rFonts w:ascii="Arial"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633A7B"/>
    <w:multiLevelType w:val="hybridMultilevel"/>
    <w:tmpl w:val="9FE6BB8A"/>
    <w:lvl w:ilvl="0" w:tplc="6B1EF6F4">
      <w:start w:val="1"/>
      <w:numFmt w:val="bullet"/>
      <w:lvlText w:val="-"/>
      <w:lvlJc w:val="left"/>
      <w:pPr>
        <w:tabs>
          <w:tab w:val="num" w:pos="1134"/>
        </w:tabs>
        <w:ind w:left="1134" w:hanging="567"/>
      </w:pPr>
      <w:rPr>
        <w:rFonts w:ascii="Arial" w:hAnsi="Aria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29CA74F4"/>
    <w:multiLevelType w:val="hybridMultilevel"/>
    <w:tmpl w:val="00BEBDAC"/>
    <w:lvl w:ilvl="0" w:tplc="76F05C94">
      <w:start w:val="1"/>
      <w:numFmt w:val="bullet"/>
      <w:lvlText w:val="-"/>
      <w:lvlJc w:val="left"/>
      <w:pPr>
        <w:tabs>
          <w:tab w:val="num" w:pos="1701"/>
        </w:tabs>
        <w:ind w:left="1701" w:hanging="567"/>
      </w:pPr>
      <w:rPr>
        <w:rFonts w:ascii="Times New Roman" w:hAnsi="Times New Roman"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2C503AAD"/>
    <w:multiLevelType w:val="hybridMultilevel"/>
    <w:tmpl w:val="7EC23DE0"/>
    <w:lvl w:ilvl="0" w:tplc="A8740614">
      <w:start w:val="1"/>
      <w:numFmt w:val="bullet"/>
      <w:lvlText w:val=""/>
      <w:lvlJc w:val="left"/>
      <w:pPr>
        <w:tabs>
          <w:tab w:val="num" w:pos="567"/>
        </w:tabs>
        <w:ind w:left="567" w:hanging="567"/>
      </w:pPr>
      <w:rPr>
        <w:rFonts w:ascii="Symbol" w:hAnsi="Symbol" w:hint="default"/>
      </w:rPr>
    </w:lvl>
    <w:lvl w:ilvl="1" w:tplc="FFFFFFFF">
      <w:start w:val="1"/>
      <w:numFmt w:val="bullet"/>
      <w:lvlText w:val=""/>
      <w:lvlJc w:val="left"/>
      <w:pPr>
        <w:tabs>
          <w:tab w:val="num" w:pos="1440"/>
        </w:tabs>
        <w:ind w:left="1364" w:hanging="284"/>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FA3957"/>
    <w:multiLevelType w:val="hybridMultilevel"/>
    <w:tmpl w:val="DAC2EBB2"/>
    <w:lvl w:ilvl="0" w:tplc="1CC297EA">
      <w:start w:val="1"/>
      <w:numFmt w:val="bullet"/>
      <w:lvlText w:val="-"/>
      <w:lvlJc w:val="left"/>
      <w:pPr>
        <w:tabs>
          <w:tab w:val="num" w:pos="1134"/>
        </w:tabs>
        <w:ind w:left="1134" w:hanging="567"/>
      </w:pPr>
      <w:rPr>
        <w:rFonts w:ascii="Arial"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7641C2"/>
    <w:multiLevelType w:val="hybridMultilevel"/>
    <w:tmpl w:val="C4A6CB9A"/>
    <w:lvl w:ilvl="0" w:tplc="ECC2786C">
      <w:start w:val="1"/>
      <w:numFmt w:val="bullet"/>
      <w:lvlText w:val=""/>
      <w:lvlJc w:val="left"/>
      <w:pPr>
        <w:tabs>
          <w:tab w:val="num" w:pos="283"/>
        </w:tabs>
        <w:ind w:left="283" w:hanging="283"/>
      </w:pPr>
      <w:rPr>
        <w:rFonts w:ascii="Symbol" w:hAnsi="Symbol" w:hint="default"/>
      </w:rPr>
    </w:lvl>
    <w:lvl w:ilvl="1" w:tplc="26B2E8CA">
      <w:start w:val="1"/>
      <w:numFmt w:val="bullet"/>
      <w:lvlText w:val="-"/>
      <w:lvlJc w:val="left"/>
      <w:pPr>
        <w:tabs>
          <w:tab w:val="num" w:pos="283"/>
        </w:tabs>
        <w:ind w:left="283" w:hanging="567"/>
      </w:pPr>
      <w:rPr>
        <w:rFonts w:ascii="Times New Roman" w:hAnsi="Times New Roman" w:hint="default"/>
      </w:rPr>
    </w:lvl>
    <w:lvl w:ilvl="2" w:tplc="04090005" w:tentative="1">
      <w:start w:val="1"/>
      <w:numFmt w:val="bullet"/>
      <w:lvlText w:val=""/>
      <w:lvlJc w:val="left"/>
      <w:pPr>
        <w:tabs>
          <w:tab w:val="num" w:pos="1876"/>
        </w:tabs>
        <w:ind w:left="1876" w:hanging="360"/>
      </w:pPr>
      <w:rPr>
        <w:rFonts w:ascii="Wingdings" w:hAnsi="Wingdings" w:hint="default"/>
      </w:rPr>
    </w:lvl>
    <w:lvl w:ilvl="3" w:tplc="04090001" w:tentative="1">
      <w:start w:val="1"/>
      <w:numFmt w:val="bullet"/>
      <w:lvlText w:val=""/>
      <w:lvlJc w:val="left"/>
      <w:pPr>
        <w:tabs>
          <w:tab w:val="num" w:pos="2596"/>
        </w:tabs>
        <w:ind w:left="2596" w:hanging="360"/>
      </w:pPr>
      <w:rPr>
        <w:rFonts w:ascii="Symbol" w:hAnsi="Symbol" w:hint="default"/>
      </w:rPr>
    </w:lvl>
    <w:lvl w:ilvl="4" w:tplc="04090003" w:tentative="1">
      <w:start w:val="1"/>
      <w:numFmt w:val="bullet"/>
      <w:lvlText w:val="o"/>
      <w:lvlJc w:val="left"/>
      <w:pPr>
        <w:tabs>
          <w:tab w:val="num" w:pos="3316"/>
        </w:tabs>
        <w:ind w:left="3316" w:hanging="360"/>
      </w:pPr>
      <w:rPr>
        <w:rFonts w:ascii="Courier New" w:hAnsi="Courier New" w:hint="default"/>
      </w:rPr>
    </w:lvl>
    <w:lvl w:ilvl="5" w:tplc="04090005" w:tentative="1">
      <w:start w:val="1"/>
      <w:numFmt w:val="bullet"/>
      <w:lvlText w:val=""/>
      <w:lvlJc w:val="left"/>
      <w:pPr>
        <w:tabs>
          <w:tab w:val="num" w:pos="4036"/>
        </w:tabs>
        <w:ind w:left="4036" w:hanging="360"/>
      </w:pPr>
      <w:rPr>
        <w:rFonts w:ascii="Wingdings" w:hAnsi="Wingdings" w:hint="default"/>
      </w:rPr>
    </w:lvl>
    <w:lvl w:ilvl="6" w:tplc="04090001" w:tentative="1">
      <w:start w:val="1"/>
      <w:numFmt w:val="bullet"/>
      <w:lvlText w:val=""/>
      <w:lvlJc w:val="left"/>
      <w:pPr>
        <w:tabs>
          <w:tab w:val="num" w:pos="4756"/>
        </w:tabs>
        <w:ind w:left="4756" w:hanging="360"/>
      </w:pPr>
      <w:rPr>
        <w:rFonts w:ascii="Symbol" w:hAnsi="Symbol" w:hint="default"/>
      </w:rPr>
    </w:lvl>
    <w:lvl w:ilvl="7" w:tplc="04090003" w:tentative="1">
      <w:start w:val="1"/>
      <w:numFmt w:val="bullet"/>
      <w:lvlText w:val="o"/>
      <w:lvlJc w:val="left"/>
      <w:pPr>
        <w:tabs>
          <w:tab w:val="num" w:pos="5476"/>
        </w:tabs>
        <w:ind w:left="5476" w:hanging="360"/>
      </w:pPr>
      <w:rPr>
        <w:rFonts w:ascii="Courier New" w:hAnsi="Courier New" w:hint="default"/>
      </w:rPr>
    </w:lvl>
    <w:lvl w:ilvl="8" w:tplc="04090005" w:tentative="1">
      <w:start w:val="1"/>
      <w:numFmt w:val="bullet"/>
      <w:lvlText w:val=""/>
      <w:lvlJc w:val="left"/>
      <w:pPr>
        <w:tabs>
          <w:tab w:val="num" w:pos="6196"/>
        </w:tabs>
        <w:ind w:left="6196" w:hanging="360"/>
      </w:pPr>
      <w:rPr>
        <w:rFonts w:ascii="Wingdings" w:hAnsi="Wingdings" w:hint="default"/>
      </w:rPr>
    </w:lvl>
  </w:abstractNum>
  <w:abstractNum w:abstractNumId="20" w15:restartNumberingAfterBreak="0">
    <w:nsid w:val="2DEF607B"/>
    <w:multiLevelType w:val="hybridMultilevel"/>
    <w:tmpl w:val="57E440FA"/>
    <w:lvl w:ilvl="0" w:tplc="B2469842">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21" w15:restartNumberingAfterBreak="0">
    <w:nsid w:val="2DF95375"/>
    <w:multiLevelType w:val="hybridMultilevel"/>
    <w:tmpl w:val="06F2B4E6"/>
    <w:lvl w:ilvl="0" w:tplc="1CC297EA">
      <w:start w:val="1"/>
      <w:numFmt w:val="bullet"/>
      <w:lvlText w:val="-"/>
      <w:lvlJc w:val="left"/>
      <w:pPr>
        <w:tabs>
          <w:tab w:val="num" w:pos="1134"/>
        </w:tabs>
        <w:ind w:left="1134" w:hanging="567"/>
      </w:pPr>
      <w:rPr>
        <w:rFonts w:ascii="Arial"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525C3D"/>
    <w:multiLevelType w:val="hybridMultilevel"/>
    <w:tmpl w:val="B6AC8D3A"/>
    <w:lvl w:ilvl="0" w:tplc="734A37EA">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4421EE"/>
    <w:multiLevelType w:val="hybridMultilevel"/>
    <w:tmpl w:val="6CE6174C"/>
    <w:lvl w:ilvl="0" w:tplc="3D5C690C">
      <w:start w:val="1"/>
      <w:numFmt w:val="bullet"/>
      <w:pStyle w:val="BT-EMEASMCA"/>
      <w:lvlText w:val="-"/>
      <w:lvlJc w:val="left"/>
      <w:pPr>
        <w:tabs>
          <w:tab w:val="num" w:pos="567"/>
        </w:tabs>
        <w:ind w:left="567" w:hanging="567"/>
      </w:pPr>
      <w:rPr>
        <w:rFonts w:ascii="Times New Roman" w:hAnsi="Times New Roman" w:hint="default"/>
      </w:rPr>
    </w:lvl>
    <w:lvl w:ilvl="1" w:tplc="CA8AC13E">
      <w:start w:val="1"/>
      <w:numFmt w:val="decimal"/>
      <w:lvlText w:val="%2."/>
      <w:lvlJc w:val="left"/>
      <w:pPr>
        <w:tabs>
          <w:tab w:val="num" w:pos="1647"/>
        </w:tabs>
        <w:ind w:left="1647" w:hanging="567"/>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D616F5"/>
    <w:multiLevelType w:val="hybridMultilevel"/>
    <w:tmpl w:val="E2A0944A"/>
    <w:lvl w:ilvl="0" w:tplc="CFF6C852">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25" w15:restartNumberingAfterBreak="0">
    <w:nsid w:val="484D66F6"/>
    <w:multiLevelType w:val="hybridMultilevel"/>
    <w:tmpl w:val="F9863428"/>
    <w:lvl w:ilvl="0" w:tplc="EA0EBD2A">
      <w:start w:val="1"/>
      <w:numFmt w:val="bullet"/>
      <w:lvlText w:val="-"/>
      <w:lvlJc w:val="left"/>
      <w:pPr>
        <w:tabs>
          <w:tab w:val="num" w:pos="1134"/>
        </w:tabs>
        <w:ind w:left="1134" w:hanging="567"/>
      </w:pPr>
      <w:rPr>
        <w:rFonts w:ascii="Arial"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E243C4"/>
    <w:multiLevelType w:val="hybridMultilevel"/>
    <w:tmpl w:val="DD5EFD1E"/>
    <w:lvl w:ilvl="0" w:tplc="EA0EBD2A">
      <w:start w:val="1"/>
      <w:numFmt w:val="bullet"/>
      <w:lvlText w:val="-"/>
      <w:lvlJc w:val="left"/>
      <w:pPr>
        <w:tabs>
          <w:tab w:val="num" w:pos="1134"/>
        </w:tabs>
        <w:ind w:left="1134" w:hanging="567"/>
      </w:pPr>
      <w:rPr>
        <w:rFonts w:ascii="Arial"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3C241C"/>
    <w:multiLevelType w:val="hybridMultilevel"/>
    <w:tmpl w:val="206A0C18"/>
    <w:lvl w:ilvl="0" w:tplc="39EA3BC8">
      <w:start w:val="1"/>
      <w:numFmt w:val="bullet"/>
      <w:lvlText w:val=""/>
      <w:lvlJc w:val="left"/>
      <w:pPr>
        <w:tabs>
          <w:tab w:val="num" w:pos="567"/>
        </w:tabs>
        <w:ind w:left="567" w:hanging="567"/>
      </w:pPr>
      <w:rPr>
        <w:rFonts w:ascii="Symbol" w:hAnsi="Symbol" w:hint="default"/>
      </w:rPr>
    </w:lvl>
    <w:lvl w:ilvl="1" w:tplc="15863070">
      <w:start w:val="1"/>
      <w:numFmt w:val="decimal"/>
      <w:lvlText w:val="%2."/>
      <w:lvlJc w:val="left"/>
      <w:pPr>
        <w:tabs>
          <w:tab w:val="num" w:pos="567"/>
        </w:tabs>
        <w:ind w:left="567" w:hanging="567"/>
      </w:pPr>
      <w:rPr>
        <w:rFonts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7616D9C"/>
    <w:multiLevelType w:val="hybridMultilevel"/>
    <w:tmpl w:val="326E1840"/>
    <w:lvl w:ilvl="0" w:tplc="5164DEC8">
      <w:start w:val="1"/>
      <w:numFmt w:val="bullet"/>
      <w:lvlText w:val="-"/>
      <w:lvlJc w:val="left"/>
      <w:pPr>
        <w:tabs>
          <w:tab w:val="num" w:pos="851"/>
        </w:tabs>
        <w:ind w:left="851" w:hanging="567"/>
      </w:pPr>
      <w:rPr>
        <w:rFonts w:ascii="Times New Roman" w:eastAsia="Times New Roman" w:hAnsi="Times New Roman" w:hint="default"/>
      </w:rPr>
    </w:lvl>
    <w:lvl w:ilvl="1" w:tplc="090A4940">
      <w:start w:val="1"/>
      <w:numFmt w:val="bullet"/>
      <w:lvlText w:val="-"/>
      <w:lvlJc w:val="left"/>
      <w:pPr>
        <w:tabs>
          <w:tab w:val="num" w:pos="1647"/>
        </w:tabs>
        <w:ind w:left="1647" w:hanging="567"/>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F94F7A"/>
    <w:multiLevelType w:val="hybridMultilevel"/>
    <w:tmpl w:val="8320F7A8"/>
    <w:lvl w:ilvl="0" w:tplc="F4561A0C">
      <w:start w:val="1"/>
      <w:numFmt w:val="bullet"/>
      <w:lvlText w:val="-"/>
      <w:lvlJc w:val="left"/>
      <w:pPr>
        <w:ind w:left="1287" w:hanging="360"/>
      </w:pPr>
      <w:rPr>
        <w:rFonts w:ascii="Times New Roman" w:hAnsi="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0" w15:restartNumberingAfterBreak="0">
    <w:nsid w:val="5B07644B"/>
    <w:multiLevelType w:val="hybridMultilevel"/>
    <w:tmpl w:val="BF161FA0"/>
    <w:lvl w:ilvl="0" w:tplc="37B0ED86">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31" w15:restartNumberingAfterBreak="0">
    <w:nsid w:val="5F406449"/>
    <w:multiLevelType w:val="hybridMultilevel"/>
    <w:tmpl w:val="0776B05A"/>
    <w:lvl w:ilvl="0" w:tplc="A874061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D039E7"/>
    <w:multiLevelType w:val="hybridMultilevel"/>
    <w:tmpl w:val="311C6340"/>
    <w:lvl w:ilvl="0" w:tplc="10866274">
      <w:start w:val="1"/>
      <w:numFmt w:val="bullet"/>
      <w:lvlText w:val="-"/>
      <w:lvlJc w:val="left"/>
      <w:pPr>
        <w:tabs>
          <w:tab w:val="num" w:pos="851"/>
        </w:tabs>
        <w:ind w:left="851" w:hanging="567"/>
      </w:pPr>
      <w:rPr>
        <w:rFonts w:ascii="Arial" w:hAnsi="Arial" w:hint="default"/>
      </w:rPr>
    </w:lvl>
    <w:lvl w:ilvl="1" w:tplc="FFFFFFFF">
      <w:start w:val="1"/>
      <w:numFmt w:val="bullet"/>
      <w:lvlText w:val=""/>
      <w:lvlJc w:val="left"/>
      <w:pPr>
        <w:tabs>
          <w:tab w:val="num" w:pos="589"/>
        </w:tabs>
        <w:ind w:left="513" w:hanging="284"/>
      </w:pPr>
      <w:rPr>
        <w:rFonts w:ascii="Symbol" w:hAnsi="Symbol" w:hint="default"/>
      </w:rPr>
    </w:lvl>
    <w:lvl w:ilvl="2" w:tplc="FFFFFFFF" w:tentative="1">
      <w:start w:val="1"/>
      <w:numFmt w:val="bullet"/>
      <w:lvlText w:val=""/>
      <w:lvlJc w:val="left"/>
      <w:pPr>
        <w:tabs>
          <w:tab w:val="num" w:pos="1309"/>
        </w:tabs>
        <w:ind w:left="1309" w:hanging="360"/>
      </w:pPr>
      <w:rPr>
        <w:rFonts w:ascii="Wingdings" w:hAnsi="Wingdings" w:hint="default"/>
      </w:rPr>
    </w:lvl>
    <w:lvl w:ilvl="3" w:tplc="FFFFFFFF" w:tentative="1">
      <w:start w:val="1"/>
      <w:numFmt w:val="bullet"/>
      <w:lvlText w:val=""/>
      <w:lvlJc w:val="left"/>
      <w:pPr>
        <w:tabs>
          <w:tab w:val="num" w:pos="2029"/>
        </w:tabs>
        <w:ind w:left="2029" w:hanging="360"/>
      </w:pPr>
      <w:rPr>
        <w:rFonts w:ascii="Symbol" w:hAnsi="Symbol" w:hint="default"/>
      </w:rPr>
    </w:lvl>
    <w:lvl w:ilvl="4" w:tplc="FFFFFFFF" w:tentative="1">
      <w:start w:val="1"/>
      <w:numFmt w:val="bullet"/>
      <w:lvlText w:val="o"/>
      <w:lvlJc w:val="left"/>
      <w:pPr>
        <w:tabs>
          <w:tab w:val="num" w:pos="2749"/>
        </w:tabs>
        <w:ind w:left="2749" w:hanging="360"/>
      </w:pPr>
      <w:rPr>
        <w:rFonts w:ascii="Courier New" w:hAnsi="Courier New" w:hint="default"/>
      </w:rPr>
    </w:lvl>
    <w:lvl w:ilvl="5" w:tplc="FFFFFFFF" w:tentative="1">
      <w:start w:val="1"/>
      <w:numFmt w:val="bullet"/>
      <w:lvlText w:val=""/>
      <w:lvlJc w:val="left"/>
      <w:pPr>
        <w:tabs>
          <w:tab w:val="num" w:pos="3469"/>
        </w:tabs>
        <w:ind w:left="3469" w:hanging="360"/>
      </w:pPr>
      <w:rPr>
        <w:rFonts w:ascii="Wingdings" w:hAnsi="Wingdings" w:hint="default"/>
      </w:rPr>
    </w:lvl>
    <w:lvl w:ilvl="6" w:tplc="FFFFFFFF" w:tentative="1">
      <w:start w:val="1"/>
      <w:numFmt w:val="bullet"/>
      <w:lvlText w:val=""/>
      <w:lvlJc w:val="left"/>
      <w:pPr>
        <w:tabs>
          <w:tab w:val="num" w:pos="4189"/>
        </w:tabs>
        <w:ind w:left="4189" w:hanging="360"/>
      </w:pPr>
      <w:rPr>
        <w:rFonts w:ascii="Symbol" w:hAnsi="Symbol" w:hint="default"/>
      </w:rPr>
    </w:lvl>
    <w:lvl w:ilvl="7" w:tplc="FFFFFFFF" w:tentative="1">
      <w:start w:val="1"/>
      <w:numFmt w:val="bullet"/>
      <w:lvlText w:val="o"/>
      <w:lvlJc w:val="left"/>
      <w:pPr>
        <w:tabs>
          <w:tab w:val="num" w:pos="4909"/>
        </w:tabs>
        <w:ind w:left="4909" w:hanging="360"/>
      </w:pPr>
      <w:rPr>
        <w:rFonts w:ascii="Courier New" w:hAnsi="Courier New" w:hint="default"/>
      </w:rPr>
    </w:lvl>
    <w:lvl w:ilvl="8" w:tplc="FFFFFFFF" w:tentative="1">
      <w:start w:val="1"/>
      <w:numFmt w:val="bullet"/>
      <w:lvlText w:val=""/>
      <w:lvlJc w:val="left"/>
      <w:pPr>
        <w:tabs>
          <w:tab w:val="num" w:pos="5629"/>
        </w:tabs>
        <w:ind w:left="5629" w:hanging="360"/>
      </w:pPr>
      <w:rPr>
        <w:rFonts w:ascii="Wingdings" w:hAnsi="Wingdings" w:hint="default"/>
      </w:rPr>
    </w:lvl>
  </w:abstractNum>
  <w:abstractNum w:abstractNumId="33" w15:restartNumberingAfterBreak="0">
    <w:nsid w:val="65D57BA5"/>
    <w:multiLevelType w:val="hybridMultilevel"/>
    <w:tmpl w:val="46BCED12"/>
    <w:lvl w:ilvl="0" w:tplc="E52C77FC">
      <w:start w:val="1"/>
      <w:numFmt w:val="bullet"/>
      <w:lvlText w:val=""/>
      <w:lvlJc w:val="left"/>
      <w:pPr>
        <w:tabs>
          <w:tab w:val="num" w:pos="1418"/>
        </w:tabs>
        <w:ind w:left="1418" w:hanging="567"/>
      </w:pPr>
      <w:rPr>
        <w:rFonts w:ascii="Symbol" w:hAnsi="Symbol" w:hint="default"/>
      </w:rPr>
    </w:lvl>
    <w:lvl w:ilvl="1" w:tplc="3CCE2DF4">
      <w:start w:val="1"/>
      <w:numFmt w:val="bullet"/>
      <w:lvlText w:val="-"/>
      <w:lvlJc w:val="left"/>
      <w:pPr>
        <w:tabs>
          <w:tab w:val="num" w:pos="851"/>
        </w:tabs>
        <w:ind w:left="851" w:hanging="567"/>
      </w:pPr>
      <w:rPr>
        <w:rFonts w:ascii="Times New Roman" w:eastAsia="Times New Roman" w:hAnsi="Times New Roman"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6C961418"/>
    <w:multiLevelType w:val="hybridMultilevel"/>
    <w:tmpl w:val="04C45462"/>
    <w:lvl w:ilvl="0" w:tplc="606C7A3E">
      <w:start w:val="1"/>
      <w:numFmt w:val="bullet"/>
      <w:lvlText w:val=""/>
      <w:lvlJc w:val="left"/>
      <w:pPr>
        <w:tabs>
          <w:tab w:val="num" w:pos="284"/>
        </w:tabs>
        <w:ind w:left="284" w:hanging="284"/>
      </w:pPr>
      <w:rPr>
        <w:rFonts w:ascii="Symbol" w:hAnsi="Symbol" w:hint="default"/>
      </w:rPr>
    </w:lvl>
    <w:lvl w:ilvl="1" w:tplc="090A4940">
      <w:start w:val="1"/>
      <w:numFmt w:val="bullet"/>
      <w:lvlText w:val="-"/>
      <w:lvlJc w:val="left"/>
      <w:pPr>
        <w:tabs>
          <w:tab w:val="num" w:pos="1363"/>
        </w:tabs>
        <w:ind w:left="1363" w:hanging="567"/>
      </w:pPr>
      <w:rPr>
        <w:rFonts w:ascii="Times New Roman" w:eastAsia="Times New Roman" w:hAnsi="Times New Roman" w:hint="default"/>
      </w:rPr>
    </w:lvl>
    <w:lvl w:ilvl="2" w:tplc="04090005">
      <w:start w:val="1"/>
      <w:numFmt w:val="bullet"/>
      <w:lvlText w:val=""/>
      <w:lvlJc w:val="left"/>
      <w:pPr>
        <w:tabs>
          <w:tab w:val="num" w:pos="1876"/>
        </w:tabs>
        <w:ind w:left="1876" w:hanging="360"/>
      </w:pPr>
      <w:rPr>
        <w:rFonts w:ascii="Wingdings" w:hAnsi="Wingdings" w:hint="default"/>
      </w:rPr>
    </w:lvl>
    <w:lvl w:ilvl="3" w:tplc="04090001">
      <w:start w:val="1"/>
      <w:numFmt w:val="bullet"/>
      <w:lvlText w:val=""/>
      <w:lvlJc w:val="left"/>
      <w:pPr>
        <w:tabs>
          <w:tab w:val="num" w:pos="2596"/>
        </w:tabs>
        <w:ind w:left="2596" w:hanging="360"/>
      </w:pPr>
      <w:rPr>
        <w:rFonts w:ascii="Symbol" w:hAnsi="Symbol" w:hint="default"/>
      </w:rPr>
    </w:lvl>
    <w:lvl w:ilvl="4" w:tplc="04090003">
      <w:start w:val="1"/>
      <w:numFmt w:val="bullet"/>
      <w:lvlText w:val="o"/>
      <w:lvlJc w:val="left"/>
      <w:pPr>
        <w:tabs>
          <w:tab w:val="num" w:pos="3316"/>
        </w:tabs>
        <w:ind w:left="3316" w:hanging="360"/>
      </w:pPr>
      <w:rPr>
        <w:rFonts w:ascii="Courier New" w:hAnsi="Courier New" w:hint="default"/>
      </w:rPr>
    </w:lvl>
    <w:lvl w:ilvl="5" w:tplc="04090005">
      <w:start w:val="1"/>
      <w:numFmt w:val="bullet"/>
      <w:lvlText w:val=""/>
      <w:lvlJc w:val="left"/>
      <w:pPr>
        <w:tabs>
          <w:tab w:val="num" w:pos="4036"/>
        </w:tabs>
        <w:ind w:left="4036" w:hanging="360"/>
      </w:pPr>
      <w:rPr>
        <w:rFonts w:ascii="Wingdings" w:hAnsi="Wingdings" w:hint="default"/>
      </w:rPr>
    </w:lvl>
    <w:lvl w:ilvl="6" w:tplc="04090001">
      <w:start w:val="1"/>
      <w:numFmt w:val="bullet"/>
      <w:lvlText w:val=""/>
      <w:lvlJc w:val="left"/>
      <w:pPr>
        <w:tabs>
          <w:tab w:val="num" w:pos="4756"/>
        </w:tabs>
        <w:ind w:left="4756" w:hanging="360"/>
      </w:pPr>
      <w:rPr>
        <w:rFonts w:ascii="Symbol" w:hAnsi="Symbol" w:hint="default"/>
      </w:rPr>
    </w:lvl>
    <w:lvl w:ilvl="7" w:tplc="04090003">
      <w:start w:val="1"/>
      <w:numFmt w:val="bullet"/>
      <w:lvlText w:val="o"/>
      <w:lvlJc w:val="left"/>
      <w:pPr>
        <w:tabs>
          <w:tab w:val="num" w:pos="5476"/>
        </w:tabs>
        <w:ind w:left="5476" w:hanging="360"/>
      </w:pPr>
      <w:rPr>
        <w:rFonts w:ascii="Courier New" w:hAnsi="Courier New" w:hint="default"/>
      </w:rPr>
    </w:lvl>
    <w:lvl w:ilvl="8" w:tplc="04090005">
      <w:start w:val="1"/>
      <w:numFmt w:val="bullet"/>
      <w:lvlText w:val=""/>
      <w:lvlJc w:val="left"/>
      <w:pPr>
        <w:tabs>
          <w:tab w:val="num" w:pos="6196"/>
        </w:tabs>
        <w:ind w:left="6196" w:hanging="360"/>
      </w:pPr>
      <w:rPr>
        <w:rFonts w:ascii="Wingdings" w:hAnsi="Wingdings" w:hint="default"/>
      </w:rPr>
    </w:lvl>
  </w:abstractNum>
  <w:abstractNum w:abstractNumId="35" w15:restartNumberingAfterBreak="0">
    <w:nsid w:val="718D7106"/>
    <w:multiLevelType w:val="hybridMultilevel"/>
    <w:tmpl w:val="75D285A8"/>
    <w:lvl w:ilvl="0" w:tplc="C098244A">
      <w:start w:val="1"/>
      <w:numFmt w:val="bullet"/>
      <w:lvlText w:val=""/>
      <w:lvlJc w:val="left"/>
      <w:pPr>
        <w:tabs>
          <w:tab w:val="num" w:pos="284"/>
        </w:tabs>
        <w:ind w:left="284" w:hanging="284"/>
      </w:pPr>
      <w:rPr>
        <w:rFonts w:ascii="Symbol" w:hAnsi="Symbol" w:hint="default"/>
      </w:rPr>
    </w:lvl>
    <w:lvl w:ilvl="1" w:tplc="090A4940">
      <w:start w:val="1"/>
      <w:numFmt w:val="bullet"/>
      <w:lvlText w:val="-"/>
      <w:lvlJc w:val="left"/>
      <w:pPr>
        <w:tabs>
          <w:tab w:val="num" w:pos="1647"/>
        </w:tabs>
        <w:ind w:left="1647" w:hanging="567"/>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EB0D4F"/>
    <w:multiLevelType w:val="hybridMultilevel"/>
    <w:tmpl w:val="7B7A6FE6"/>
    <w:lvl w:ilvl="0" w:tplc="B128BD6C">
      <w:start w:val="1"/>
      <w:numFmt w:val="bullet"/>
      <w:lvlText w:val="-"/>
      <w:lvlJc w:val="left"/>
      <w:pPr>
        <w:tabs>
          <w:tab w:val="num" w:pos="1134"/>
        </w:tabs>
        <w:ind w:left="1134" w:hanging="567"/>
      </w:pPr>
      <w:rPr>
        <w:rFonts w:ascii="Arial" w:hAnsi="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2805CB8"/>
    <w:multiLevelType w:val="hybridMultilevel"/>
    <w:tmpl w:val="72BE60A6"/>
    <w:lvl w:ilvl="0" w:tplc="EA0EBD2A">
      <w:start w:val="1"/>
      <w:numFmt w:val="bullet"/>
      <w:lvlText w:val="-"/>
      <w:lvlJc w:val="left"/>
      <w:pPr>
        <w:tabs>
          <w:tab w:val="num" w:pos="1134"/>
        </w:tabs>
        <w:ind w:left="1134" w:hanging="567"/>
      </w:pPr>
      <w:rPr>
        <w:rFonts w:ascii="Arial"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8D6D93"/>
    <w:multiLevelType w:val="hybridMultilevel"/>
    <w:tmpl w:val="D12289A0"/>
    <w:lvl w:ilvl="0" w:tplc="734A37EA">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9F22CA"/>
    <w:multiLevelType w:val="hybridMultilevel"/>
    <w:tmpl w:val="B052D204"/>
    <w:lvl w:ilvl="0" w:tplc="37D2EA90">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40" w15:restartNumberingAfterBreak="0">
    <w:nsid w:val="7D974C57"/>
    <w:multiLevelType w:val="hybridMultilevel"/>
    <w:tmpl w:val="D5CA3F72"/>
    <w:lvl w:ilvl="0" w:tplc="1CC297EA">
      <w:start w:val="1"/>
      <w:numFmt w:val="bullet"/>
      <w:lvlText w:val="-"/>
      <w:lvlJc w:val="left"/>
      <w:pPr>
        <w:tabs>
          <w:tab w:val="num" w:pos="1134"/>
        </w:tabs>
        <w:ind w:left="1134" w:hanging="567"/>
      </w:pPr>
      <w:rPr>
        <w:rFonts w:ascii="Arial" w:hAnsi="Aria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7DD40A4A"/>
    <w:multiLevelType w:val="hybridMultilevel"/>
    <w:tmpl w:val="D34EE8E4"/>
    <w:lvl w:ilvl="0" w:tplc="EA66DE60">
      <w:start w:val="1"/>
      <w:numFmt w:val="bullet"/>
      <w:lvlText w:val="-"/>
      <w:lvlJc w:val="left"/>
      <w:pPr>
        <w:tabs>
          <w:tab w:val="num" w:pos="851"/>
        </w:tabs>
        <w:ind w:left="851" w:hanging="567"/>
      </w:pPr>
      <w:rPr>
        <w:rFonts w:ascii="Times New Roman" w:eastAsia="Times New Roman" w:hAnsi="Times New Roman" w:hint="default"/>
      </w:rPr>
    </w:lvl>
    <w:lvl w:ilvl="1" w:tplc="090A4940">
      <w:start w:val="1"/>
      <w:numFmt w:val="bullet"/>
      <w:lvlText w:val="-"/>
      <w:lvlJc w:val="left"/>
      <w:pPr>
        <w:tabs>
          <w:tab w:val="num" w:pos="1647"/>
        </w:tabs>
        <w:ind w:left="1647" w:hanging="567"/>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2"/>
  </w:num>
  <w:num w:numId="3">
    <w:abstractNumId w:val="38"/>
  </w:num>
  <w:num w:numId="4">
    <w:abstractNumId w:val="11"/>
  </w:num>
  <w:num w:numId="5">
    <w:abstractNumId w:val="9"/>
  </w:num>
  <w:num w:numId="6">
    <w:abstractNumId w:val="23"/>
  </w:num>
  <w:num w:numId="7">
    <w:abstractNumId w:val="16"/>
  </w:num>
  <w:num w:numId="8">
    <w:abstractNumId w:val="7"/>
  </w:num>
  <w:num w:numId="9">
    <w:abstractNumId w:val="2"/>
  </w:num>
  <w:num w:numId="10">
    <w:abstractNumId w:val="27"/>
  </w:num>
  <w:num w:numId="11">
    <w:abstractNumId w:val="33"/>
  </w:num>
  <w:num w:numId="12">
    <w:abstractNumId w:val="15"/>
  </w:num>
  <w:num w:numId="13">
    <w:abstractNumId w:val="14"/>
  </w:num>
  <w:num w:numId="14">
    <w:abstractNumId w:val="21"/>
  </w:num>
  <w:num w:numId="15">
    <w:abstractNumId w:val="18"/>
  </w:num>
  <w:num w:numId="16">
    <w:abstractNumId w:val="40"/>
  </w:num>
  <w:num w:numId="17">
    <w:abstractNumId w:val="26"/>
  </w:num>
  <w:num w:numId="18">
    <w:abstractNumId w:val="37"/>
  </w:num>
  <w:num w:numId="19">
    <w:abstractNumId w:val="25"/>
  </w:num>
  <w:num w:numId="20">
    <w:abstractNumId w:val="3"/>
  </w:num>
  <w:num w:numId="21">
    <w:abstractNumId w:val="8"/>
  </w:num>
  <w:num w:numId="22">
    <w:abstractNumId w:val="36"/>
  </w:num>
  <w:num w:numId="23">
    <w:abstractNumId w:val="17"/>
  </w:num>
  <w:num w:numId="24">
    <w:abstractNumId w:val="31"/>
  </w:num>
  <w:num w:numId="25">
    <w:abstractNumId w:val="4"/>
  </w:num>
  <w:num w:numId="26">
    <w:abstractNumId w:val="35"/>
  </w:num>
  <w:num w:numId="27">
    <w:abstractNumId w:val="20"/>
  </w:num>
  <w:num w:numId="28">
    <w:abstractNumId w:val="39"/>
  </w:num>
  <w:num w:numId="29">
    <w:abstractNumId w:val="24"/>
  </w:num>
  <w:num w:numId="30">
    <w:abstractNumId w:val="0"/>
  </w:num>
  <w:num w:numId="31">
    <w:abstractNumId w:val="12"/>
  </w:num>
  <w:num w:numId="32">
    <w:abstractNumId w:val="30"/>
  </w:num>
  <w:num w:numId="33">
    <w:abstractNumId w:val="34"/>
  </w:num>
  <w:num w:numId="34">
    <w:abstractNumId w:val="28"/>
  </w:num>
  <w:num w:numId="35">
    <w:abstractNumId w:val="10"/>
  </w:num>
  <w:num w:numId="36">
    <w:abstractNumId w:val="41"/>
  </w:num>
  <w:num w:numId="37">
    <w:abstractNumId w:val="19"/>
  </w:num>
  <w:num w:numId="38">
    <w:abstractNumId w:val="5"/>
  </w:num>
  <w:num w:numId="39">
    <w:abstractNumId w:val="32"/>
  </w:num>
  <w:num w:numId="40">
    <w:abstractNumId w:val="1"/>
  </w:num>
  <w:num w:numId="41">
    <w:abstractNumId w:val="13"/>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42F"/>
    <w:rsid w:val="000D5FB8"/>
    <w:rsid w:val="00206D2B"/>
    <w:rsid w:val="002306F1"/>
    <w:rsid w:val="002827FA"/>
    <w:rsid w:val="00343DA1"/>
    <w:rsid w:val="00347C45"/>
    <w:rsid w:val="0045465A"/>
    <w:rsid w:val="006B047B"/>
    <w:rsid w:val="006B7B13"/>
    <w:rsid w:val="006F7061"/>
    <w:rsid w:val="0077046F"/>
    <w:rsid w:val="007A18FA"/>
    <w:rsid w:val="00A0704E"/>
    <w:rsid w:val="00A11FEE"/>
    <w:rsid w:val="00B6342F"/>
    <w:rsid w:val="00B83EEF"/>
    <w:rsid w:val="00BB3C7B"/>
    <w:rsid w:val="00D13077"/>
    <w:rsid w:val="00FE62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93DF7"/>
  <w15:chartTrackingRefBased/>
  <w15:docId w15:val="{F100B589-03C7-451E-8C46-1CB6FEBCA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A0704E"/>
    <w:pPr>
      <w:keepNext/>
      <w:spacing w:before="240" w:after="60" w:line="240" w:lineRule="auto"/>
      <w:outlineLvl w:val="0"/>
    </w:pPr>
    <w:rPr>
      <w:rFonts w:ascii="Arial" w:eastAsia="Times New Roman" w:hAnsi="Arial" w:cs="Times New Roman"/>
      <w:b/>
      <w:kern w:val="32"/>
      <w:sz w:val="32"/>
      <w:szCs w:val="20"/>
      <w:lang w:val="x-none"/>
    </w:rPr>
  </w:style>
  <w:style w:type="paragraph" w:styleId="Antrat2">
    <w:name w:val="heading 2"/>
    <w:basedOn w:val="prastasis"/>
    <w:next w:val="prastasis"/>
    <w:link w:val="Antrat2Diagrama"/>
    <w:qFormat/>
    <w:rsid w:val="00A0704E"/>
    <w:pPr>
      <w:keepNext/>
      <w:spacing w:before="240" w:after="60" w:line="240" w:lineRule="auto"/>
      <w:outlineLvl w:val="1"/>
    </w:pPr>
    <w:rPr>
      <w:rFonts w:ascii="Arial" w:eastAsia="Times New Roman" w:hAnsi="Arial" w:cs="Times New Roman"/>
      <w:b/>
      <w:i/>
      <w:sz w:val="28"/>
      <w:szCs w:val="20"/>
      <w:lang w:val="x-none"/>
    </w:rPr>
  </w:style>
  <w:style w:type="paragraph" w:styleId="Antrat3">
    <w:name w:val="heading 3"/>
    <w:basedOn w:val="prastasis"/>
    <w:next w:val="prastasis"/>
    <w:link w:val="Antrat3Diagrama"/>
    <w:uiPriority w:val="9"/>
    <w:qFormat/>
    <w:rsid w:val="00A0704E"/>
    <w:pPr>
      <w:keepNext/>
      <w:spacing w:before="240" w:after="60" w:line="240" w:lineRule="auto"/>
      <w:outlineLvl w:val="2"/>
    </w:pPr>
    <w:rPr>
      <w:rFonts w:ascii="Arial" w:eastAsia="Times New Roman" w:hAnsi="Arial" w:cs="Times New Roman"/>
      <w:b/>
      <w:sz w:val="26"/>
      <w:szCs w:val="20"/>
      <w:lang w:val="x-none"/>
    </w:rPr>
  </w:style>
  <w:style w:type="paragraph" w:styleId="Antrat6">
    <w:name w:val="heading 6"/>
    <w:basedOn w:val="prastasis"/>
    <w:next w:val="prastasis"/>
    <w:link w:val="Antrat6Diagrama"/>
    <w:qFormat/>
    <w:rsid w:val="00A0704E"/>
    <w:pPr>
      <w:keepNext/>
      <w:tabs>
        <w:tab w:val="left" w:pos="-720"/>
        <w:tab w:val="left" w:pos="567"/>
        <w:tab w:val="left" w:pos="4536"/>
      </w:tabs>
      <w:suppressAutoHyphens/>
      <w:spacing w:after="0" w:line="260" w:lineRule="exact"/>
      <w:outlineLvl w:val="5"/>
    </w:pPr>
    <w:rPr>
      <w:rFonts w:ascii="Times New Roman" w:eastAsia="Times New Roman" w:hAnsi="Times New Roman" w:cs="Times New Roman"/>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0704E"/>
    <w:rPr>
      <w:rFonts w:ascii="Arial" w:eastAsia="Times New Roman" w:hAnsi="Arial" w:cs="Times New Roman"/>
      <w:b/>
      <w:kern w:val="32"/>
      <w:sz w:val="32"/>
      <w:szCs w:val="20"/>
      <w:lang w:val="x-none"/>
    </w:rPr>
  </w:style>
  <w:style w:type="character" w:customStyle="1" w:styleId="Antrat2Diagrama">
    <w:name w:val="Antraštė 2 Diagrama"/>
    <w:basedOn w:val="Numatytasispastraiposriftas"/>
    <w:link w:val="Antrat2"/>
    <w:rsid w:val="00A0704E"/>
    <w:rPr>
      <w:rFonts w:ascii="Arial" w:eastAsia="Times New Roman" w:hAnsi="Arial" w:cs="Times New Roman"/>
      <w:b/>
      <w:i/>
      <w:sz w:val="28"/>
      <w:szCs w:val="20"/>
      <w:lang w:val="x-none"/>
    </w:rPr>
  </w:style>
  <w:style w:type="character" w:customStyle="1" w:styleId="Antrat3Diagrama">
    <w:name w:val="Antraštė 3 Diagrama"/>
    <w:basedOn w:val="Numatytasispastraiposriftas"/>
    <w:link w:val="Antrat3"/>
    <w:uiPriority w:val="9"/>
    <w:rsid w:val="00A0704E"/>
    <w:rPr>
      <w:rFonts w:ascii="Arial" w:eastAsia="Times New Roman" w:hAnsi="Arial" w:cs="Times New Roman"/>
      <w:b/>
      <w:sz w:val="26"/>
      <w:szCs w:val="20"/>
      <w:lang w:val="x-none"/>
    </w:rPr>
  </w:style>
  <w:style w:type="character" w:customStyle="1" w:styleId="Antrat6Diagrama">
    <w:name w:val="Antraštė 6 Diagrama"/>
    <w:basedOn w:val="Numatytasispastraiposriftas"/>
    <w:link w:val="Antrat6"/>
    <w:rsid w:val="00A0704E"/>
    <w:rPr>
      <w:rFonts w:ascii="Times New Roman" w:eastAsia="Times New Roman" w:hAnsi="Times New Roman" w:cs="Times New Roman"/>
      <w:i/>
      <w:szCs w:val="20"/>
      <w:lang w:val="cs-CZ"/>
    </w:rPr>
  </w:style>
  <w:style w:type="numbering" w:customStyle="1" w:styleId="NoList1">
    <w:name w:val="No List1"/>
    <w:next w:val="Sraonra"/>
    <w:uiPriority w:val="99"/>
    <w:semiHidden/>
    <w:unhideWhenUsed/>
    <w:rsid w:val="00A0704E"/>
  </w:style>
  <w:style w:type="character" w:styleId="Hipersaitas">
    <w:name w:val="Hyperlink"/>
    <w:rsid w:val="00A0704E"/>
    <w:rPr>
      <w:color w:val="0000FF"/>
      <w:u w:val="single"/>
    </w:rPr>
  </w:style>
  <w:style w:type="character" w:customStyle="1" w:styleId="KomentarotekstasDiagrama">
    <w:name w:val="Komentaro tekstas Diagrama"/>
    <w:link w:val="Komentarotekstas"/>
    <w:semiHidden/>
    <w:locked/>
    <w:rsid w:val="00A0704E"/>
    <w:rPr>
      <w:lang w:val="x-none"/>
    </w:rPr>
  </w:style>
  <w:style w:type="paragraph" w:customStyle="1" w:styleId="PI-1labEMEASMCA">
    <w:name w:val="PI-1_lab EMEA_SMCA"/>
    <w:basedOn w:val="prastasis"/>
    <w:link w:val="PI-1labEMEASMCAChar"/>
    <w:autoRedefine/>
    <w:rsid w:val="00A0704E"/>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szCs w:val="20"/>
    </w:rPr>
  </w:style>
  <w:style w:type="character" w:customStyle="1" w:styleId="PI-1labEMEASMCAChar">
    <w:name w:val="PI-1_lab EMEA_SMCA Char"/>
    <w:link w:val="PI-1labEMEASMCA"/>
    <w:locked/>
    <w:rsid w:val="00A0704E"/>
    <w:rPr>
      <w:rFonts w:ascii="Times New Roman" w:eastAsia="Times New Roman" w:hAnsi="Times New Roman" w:cs="Times New Roman"/>
      <w:b/>
      <w:noProof/>
      <w:szCs w:val="20"/>
    </w:rPr>
  </w:style>
  <w:style w:type="paragraph" w:customStyle="1" w:styleId="PI-2EMEASMCA">
    <w:name w:val="PI-2 EMEA_SMCA"/>
    <w:basedOn w:val="Antrat3"/>
    <w:autoRedefine/>
    <w:rsid w:val="00A0704E"/>
    <w:pPr>
      <w:keepLines/>
      <w:tabs>
        <w:tab w:val="left" w:pos="567"/>
      </w:tabs>
      <w:spacing w:before="0" w:after="0"/>
      <w:ind w:left="567" w:hanging="567"/>
    </w:pPr>
    <w:rPr>
      <w:rFonts w:ascii="Times New Roman" w:hAnsi="Times New Roman"/>
      <w:bCs/>
      <w:kern w:val="28"/>
      <w:sz w:val="22"/>
      <w:szCs w:val="22"/>
    </w:rPr>
  </w:style>
  <w:style w:type="character" w:customStyle="1" w:styleId="KomentarotekstasDiagrama1">
    <w:name w:val="Komentaro tekstas Diagrama1"/>
    <w:uiPriority w:val="99"/>
    <w:semiHidden/>
    <w:rsid w:val="00A0704E"/>
    <w:rPr>
      <w:rFonts w:ascii="Times New Roman" w:eastAsia="Times New Roman" w:hAnsi="Times New Roman" w:cs="Times New Roman"/>
      <w:sz w:val="20"/>
      <w:szCs w:val="20"/>
    </w:rPr>
  </w:style>
  <w:style w:type="character" w:customStyle="1" w:styleId="BTEMEASMCAChar">
    <w:name w:val="BT EMEA_SMCA Char"/>
    <w:locked/>
    <w:rsid w:val="00A0704E"/>
    <w:rPr>
      <w:sz w:val="22"/>
      <w:szCs w:val="22"/>
      <w:lang w:eastAsia="en-US"/>
    </w:rPr>
  </w:style>
  <w:style w:type="paragraph" w:customStyle="1" w:styleId="TTEMEASMCA">
    <w:name w:val="TT EMEA_SMCA"/>
    <w:basedOn w:val="Antrat1"/>
    <w:link w:val="TTEMEASMCAChar"/>
    <w:autoRedefine/>
    <w:rsid w:val="00A0704E"/>
    <w:pPr>
      <w:keepNext w:val="0"/>
      <w:tabs>
        <w:tab w:val="left" w:pos="567"/>
      </w:tabs>
      <w:spacing w:before="0" w:after="0"/>
      <w:ind w:left="567" w:hanging="567"/>
      <w:jc w:val="center"/>
    </w:pPr>
    <w:rPr>
      <w:rFonts w:ascii="Times New Roman" w:hAnsi="Times New Roman"/>
      <w:caps/>
      <w:kern w:val="0"/>
      <w:sz w:val="22"/>
      <w:lang w:val="en-US"/>
    </w:rPr>
  </w:style>
  <w:style w:type="character" w:customStyle="1" w:styleId="TTEMEASMCAChar">
    <w:name w:val="TT EMEA_SMCA Char"/>
    <w:link w:val="TTEMEASMCA"/>
    <w:locked/>
    <w:rsid w:val="00A0704E"/>
    <w:rPr>
      <w:rFonts w:ascii="Times New Roman" w:eastAsia="Times New Roman" w:hAnsi="Times New Roman" w:cs="Times New Roman"/>
      <w:b/>
      <w:caps/>
      <w:szCs w:val="20"/>
      <w:lang w:val="en-US"/>
    </w:rPr>
  </w:style>
  <w:style w:type="paragraph" w:styleId="Debesliotekstas">
    <w:name w:val="Balloon Text"/>
    <w:basedOn w:val="prastasis"/>
    <w:link w:val="DebesliotekstasDiagrama"/>
    <w:semiHidden/>
    <w:rsid w:val="00A0704E"/>
    <w:pPr>
      <w:spacing w:after="0" w:line="240" w:lineRule="auto"/>
    </w:pPr>
    <w:rPr>
      <w:rFonts w:ascii="Tahoma" w:eastAsia="Times New Roman" w:hAnsi="Tahoma" w:cs="Times New Roman"/>
      <w:sz w:val="16"/>
      <w:szCs w:val="20"/>
      <w:lang w:val="x-none"/>
    </w:rPr>
  </w:style>
  <w:style w:type="character" w:customStyle="1" w:styleId="DebesliotekstasDiagrama">
    <w:name w:val="Debesėlio tekstas Diagrama"/>
    <w:basedOn w:val="Numatytasispastraiposriftas"/>
    <w:link w:val="Debesliotekstas"/>
    <w:semiHidden/>
    <w:rsid w:val="00A0704E"/>
    <w:rPr>
      <w:rFonts w:ascii="Tahoma" w:eastAsia="Times New Roman" w:hAnsi="Tahoma" w:cs="Times New Roman"/>
      <w:sz w:val="16"/>
      <w:szCs w:val="20"/>
      <w:lang w:val="x-none"/>
    </w:rPr>
  </w:style>
  <w:style w:type="paragraph" w:customStyle="1" w:styleId="BT-EMEASMCA">
    <w:name w:val="BT- EMEA_SMCA"/>
    <w:basedOn w:val="prastasis"/>
    <w:autoRedefine/>
    <w:rsid w:val="00A0704E"/>
    <w:pPr>
      <w:numPr>
        <w:numId w:val="6"/>
      </w:numPr>
      <w:tabs>
        <w:tab w:val="num" w:pos="540"/>
      </w:tabs>
      <w:spacing w:after="0" w:line="240" w:lineRule="auto"/>
    </w:pPr>
    <w:rPr>
      <w:rFonts w:ascii="Times New Roman" w:eastAsia="Times New Roman" w:hAnsi="Times New Roman" w:cs="Times New Roman"/>
      <w:sz w:val="24"/>
      <w:szCs w:val="24"/>
    </w:rPr>
  </w:style>
  <w:style w:type="paragraph" w:customStyle="1" w:styleId="PI-3EMEASMCA">
    <w:name w:val="PI-3 EMEA_SMCA"/>
    <w:basedOn w:val="prastasis"/>
    <w:autoRedefine/>
    <w:rsid w:val="00A0704E"/>
    <w:pPr>
      <w:spacing w:after="0" w:line="220" w:lineRule="exact"/>
    </w:pPr>
    <w:rPr>
      <w:rFonts w:ascii="Times New Roman" w:eastAsia="Times New Roman" w:hAnsi="Times New Roman" w:cs="Times New Roman"/>
      <w:b/>
      <w:bCs/>
    </w:rPr>
  </w:style>
  <w:style w:type="paragraph" w:customStyle="1" w:styleId="BTbEMEASMCA">
    <w:name w:val="BT(b) EMEA_SMCA"/>
    <w:basedOn w:val="prastasis"/>
    <w:autoRedefine/>
    <w:rsid w:val="00A0704E"/>
    <w:pPr>
      <w:spacing w:after="0" w:line="240" w:lineRule="auto"/>
    </w:pPr>
    <w:rPr>
      <w:rFonts w:ascii="Times New Roman" w:eastAsia="Times New Roman" w:hAnsi="Times New Roman" w:cs="Times New Roman"/>
      <w:b/>
      <w:sz w:val="24"/>
      <w:szCs w:val="24"/>
    </w:rPr>
  </w:style>
  <w:style w:type="paragraph" w:customStyle="1" w:styleId="BTbeEMEASMCA">
    <w:name w:val="BT(be) EMEA_SMCA"/>
    <w:basedOn w:val="prastasis"/>
    <w:autoRedefine/>
    <w:rsid w:val="00A0704E"/>
    <w:pPr>
      <w:spacing w:after="0" w:line="240" w:lineRule="auto"/>
      <w:jc w:val="center"/>
    </w:pPr>
    <w:rPr>
      <w:rFonts w:ascii="Times New Roman" w:eastAsia="Times New Roman" w:hAnsi="Times New Roman" w:cs="Times New Roman"/>
      <w:b/>
      <w:sz w:val="24"/>
      <w:szCs w:val="24"/>
    </w:rPr>
  </w:style>
  <w:style w:type="paragraph" w:customStyle="1" w:styleId="BTeEMEASMCA">
    <w:name w:val="BT(e) EMEA_SMCA"/>
    <w:basedOn w:val="prastasis"/>
    <w:autoRedefine/>
    <w:rsid w:val="00A0704E"/>
    <w:pPr>
      <w:spacing w:after="0" w:line="240" w:lineRule="auto"/>
      <w:jc w:val="center"/>
    </w:pPr>
    <w:rPr>
      <w:rFonts w:ascii="Times New Roman" w:eastAsia="Times New Roman" w:hAnsi="Times New Roman" w:cs="Times New Roman"/>
      <w:sz w:val="24"/>
      <w:szCs w:val="24"/>
    </w:rPr>
  </w:style>
  <w:style w:type="paragraph" w:customStyle="1" w:styleId="BTgEMEASMCA">
    <w:name w:val="BT(g) EMEA_SMCA"/>
    <w:basedOn w:val="prastasis"/>
    <w:link w:val="BTgEMEASMCAChar"/>
    <w:autoRedefine/>
    <w:rsid w:val="00A0704E"/>
    <w:pPr>
      <w:spacing w:after="0" w:line="240" w:lineRule="auto"/>
    </w:pPr>
    <w:rPr>
      <w:rFonts w:ascii="Times New Roman" w:eastAsia="Times New Roman" w:hAnsi="Times New Roman" w:cs="Times New Roman"/>
      <w:i/>
      <w:color w:val="008000"/>
      <w:szCs w:val="20"/>
    </w:rPr>
  </w:style>
  <w:style w:type="character" w:customStyle="1" w:styleId="BTgEMEASMCAChar">
    <w:name w:val="BT(g) EMEA_SMCA Char"/>
    <w:link w:val="BTgEMEASMCA"/>
    <w:locked/>
    <w:rsid w:val="00A0704E"/>
    <w:rPr>
      <w:rFonts w:ascii="Times New Roman" w:eastAsia="Times New Roman" w:hAnsi="Times New Roman" w:cs="Times New Roman"/>
      <w:i/>
      <w:color w:val="008000"/>
      <w:szCs w:val="20"/>
    </w:rPr>
  </w:style>
  <w:style w:type="paragraph" w:customStyle="1" w:styleId="BTuEMEASMCA">
    <w:name w:val="BT(u) EMEA_SMCA"/>
    <w:basedOn w:val="prastasis"/>
    <w:autoRedefine/>
    <w:rsid w:val="00A0704E"/>
    <w:pPr>
      <w:spacing w:after="0" w:line="240" w:lineRule="auto"/>
    </w:pPr>
    <w:rPr>
      <w:rFonts w:ascii="Times New Roman" w:eastAsia="Times New Roman" w:hAnsi="Times New Roman" w:cs="Times New Roman"/>
      <w:sz w:val="24"/>
      <w:szCs w:val="24"/>
      <w:u w:val="single"/>
    </w:rPr>
  </w:style>
  <w:style w:type="paragraph" w:styleId="Dokumentostruktra">
    <w:name w:val="Document Map"/>
    <w:basedOn w:val="prastasis"/>
    <w:link w:val="DokumentostruktraDiagrama"/>
    <w:semiHidden/>
    <w:rsid w:val="00A0704E"/>
    <w:pPr>
      <w:shd w:val="clear" w:color="auto" w:fill="000080"/>
      <w:spacing w:after="0" w:line="240" w:lineRule="auto"/>
    </w:pPr>
    <w:rPr>
      <w:rFonts w:ascii="Tahoma" w:eastAsia="Times New Roman" w:hAnsi="Tahoma" w:cs="Tahoma"/>
      <w:sz w:val="20"/>
      <w:szCs w:val="20"/>
    </w:rPr>
  </w:style>
  <w:style w:type="character" w:customStyle="1" w:styleId="DokumentostruktraDiagrama">
    <w:name w:val="Dokumento struktūra Diagrama"/>
    <w:basedOn w:val="Numatytasispastraiposriftas"/>
    <w:link w:val="Dokumentostruktra"/>
    <w:semiHidden/>
    <w:rsid w:val="00A0704E"/>
    <w:rPr>
      <w:rFonts w:ascii="Tahoma" w:eastAsia="Times New Roman" w:hAnsi="Tahoma" w:cs="Tahoma"/>
      <w:sz w:val="20"/>
      <w:szCs w:val="20"/>
      <w:shd w:val="clear" w:color="auto" w:fill="000080"/>
    </w:rPr>
  </w:style>
  <w:style w:type="paragraph" w:styleId="Pagrindinistekstas">
    <w:name w:val="Body Text"/>
    <w:basedOn w:val="prastasis"/>
    <w:link w:val="PagrindinistekstasDiagrama"/>
    <w:rsid w:val="00A0704E"/>
    <w:pPr>
      <w:spacing w:after="0" w:line="360" w:lineRule="auto"/>
      <w:jc w:val="both"/>
    </w:pPr>
    <w:rPr>
      <w:rFonts w:ascii="TimesLT" w:eastAsia="Times New Roman" w:hAnsi="TimesLT" w:cs="Times New Roman"/>
      <w:sz w:val="24"/>
      <w:szCs w:val="20"/>
      <w:u w:val="single"/>
      <w:lang w:val="en-US"/>
    </w:rPr>
  </w:style>
  <w:style w:type="character" w:customStyle="1" w:styleId="PagrindinistekstasDiagrama">
    <w:name w:val="Pagrindinis tekstas Diagrama"/>
    <w:basedOn w:val="Numatytasispastraiposriftas"/>
    <w:link w:val="Pagrindinistekstas"/>
    <w:rsid w:val="00A0704E"/>
    <w:rPr>
      <w:rFonts w:ascii="TimesLT" w:eastAsia="Times New Roman" w:hAnsi="TimesLT" w:cs="Times New Roman"/>
      <w:sz w:val="24"/>
      <w:szCs w:val="20"/>
      <w:u w:val="single"/>
      <w:lang w:val="en-US"/>
    </w:rPr>
  </w:style>
  <w:style w:type="paragraph" w:styleId="Pagrindinistekstas2">
    <w:name w:val="Body Text 2"/>
    <w:basedOn w:val="prastasis"/>
    <w:link w:val="Pagrindinistekstas2Diagrama"/>
    <w:rsid w:val="00A0704E"/>
    <w:pPr>
      <w:spacing w:after="120" w:line="480" w:lineRule="auto"/>
    </w:pPr>
    <w:rPr>
      <w:rFonts w:ascii="Times New Roman" w:eastAsia="Times New Roman" w:hAnsi="Times New Roman" w:cs="Times New Roman"/>
      <w:sz w:val="24"/>
      <w:szCs w:val="20"/>
      <w:lang w:val="x-none"/>
    </w:rPr>
  </w:style>
  <w:style w:type="character" w:customStyle="1" w:styleId="Pagrindinistekstas2Diagrama">
    <w:name w:val="Pagrindinis tekstas 2 Diagrama"/>
    <w:basedOn w:val="Numatytasispastraiposriftas"/>
    <w:link w:val="Pagrindinistekstas2"/>
    <w:rsid w:val="00A0704E"/>
    <w:rPr>
      <w:rFonts w:ascii="Times New Roman" w:eastAsia="Times New Roman" w:hAnsi="Times New Roman" w:cs="Times New Roman"/>
      <w:sz w:val="24"/>
      <w:szCs w:val="20"/>
      <w:lang w:val="x-none"/>
    </w:rPr>
  </w:style>
  <w:style w:type="paragraph" w:styleId="Antrats">
    <w:name w:val="header"/>
    <w:basedOn w:val="prastasis"/>
    <w:link w:val="AntratsDiagrama"/>
    <w:rsid w:val="00A0704E"/>
    <w:pPr>
      <w:tabs>
        <w:tab w:val="left" w:pos="567"/>
        <w:tab w:val="center" w:pos="4153"/>
        <w:tab w:val="right" w:pos="8306"/>
      </w:tabs>
      <w:spacing w:after="0" w:line="240" w:lineRule="auto"/>
    </w:pPr>
    <w:rPr>
      <w:rFonts w:ascii="Helvetica" w:eastAsia="Times New Roman" w:hAnsi="Helvetica" w:cs="Times New Roman"/>
      <w:sz w:val="20"/>
      <w:szCs w:val="20"/>
      <w:lang w:val="cs-CZ"/>
    </w:rPr>
  </w:style>
  <w:style w:type="character" w:customStyle="1" w:styleId="AntratsDiagrama">
    <w:name w:val="Antraštės Diagrama"/>
    <w:basedOn w:val="Numatytasispastraiposriftas"/>
    <w:link w:val="Antrats"/>
    <w:rsid w:val="00A0704E"/>
    <w:rPr>
      <w:rFonts w:ascii="Helvetica" w:eastAsia="Times New Roman" w:hAnsi="Helvetica" w:cs="Times New Roman"/>
      <w:sz w:val="20"/>
      <w:szCs w:val="20"/>
      <w:lang w:val="cs-CZ"/>
    </w:rPr>
  </w:style>
  <w:style w:type="paragraph" w:styleId="Pagrindinistekstas3">
    <w:name w:val="Body Text 3"/>
    <w:basedOn w:val="prastasis"/>
    <w:link w:val="Pagrindinistekstas3Diagrama"/>
    <w:rsid w:val="00A0704E"/>
    <w:pPr>
      <w:spacing w:after="120" w:line="240" w:lineRule="auto"/>
    </w:pPr>
    <w:rPr>
      <w:rFonts w:ascii="Times New Roman" w:eastAsia="Times New Roman" w:hAnsi="Times New Roman" w:cs="Times New Roman"/>
      <w:sz w:val="16"/>
      <w:szCs w:val="20"/>
      <w:lang w:val="x-none"/>
    </w:rPr>
  </w:style>
  <w:style w:type="character" w:customStyle="1" w:styleId="Pagrindinistekstas3Diagrama">
    <w:name w:val="Pagrindinis tekstas 3 Diagrama"/>
    <w:basedOn w:val="Numatytasispastraiposriftas"/>
    <w:link w:val="Pagrindinistekstas3"/>
    <w:rsid w:val="00A0704E"/>
    <w:rPr>
      <w:rFonts w:ascii="Times New Roman" w:eastAsia="Times New Roman" w:hAnsi="Times New Roman" w:cs="Times New Roman"/>
      <w:sz w:val="16"/>
      <w:szCs w:val="20"/>
      <w:lang w:val="x-none"/>
    </w:rPr>
  </w:style>
  <w:style w:type="paragraph" w:styleId="Komentarotekstas">
    <w:name w:val="annotation text"/>
    <w:basedOn w:val="prastasis"/>
    <w:link w:val="KomentarotekstasDiagrama"/>
    <w:semiHidden/>
    <w:rsid w:val="00A0704E"/>
    <w:pPr>
      <w:spacing w:after="0" w:line="240" w:lineRule="auto"/>
    </w:pPr>
    <w:rPr>
      <w:lang w:val="x-none"/>
    </w:rPr>
  </w:style>
  <w:style w:type="character" w:customStyle="1" w:styleId="CommentTextChar1">
    <w:name w:val="Comment Text Char1"/>
    <w:basedOn w:val="Numatytasispastraiposriftas"/>
    <w:uiPriority w:val="99"/>
    <w:semiHidden/>
    <w:rsid w:val="00A0704E"/>
    <w:rPr>
      <w:sz w:val="20"/>
      <w:szCs w:val="20"/>
    </w:rPr>
  </w:style>
  <w:style w:type="character" w:customStyle="1" w:styleId="KomentarotekstasDiagrama2">
    <w:name w:val="Komentaro tekstas Diagrama2"/>
    <w:uiPriority w:val="99"/>
    <w:semiHidden/>
    <w:rsid w:val="00A0704E"/>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A0704E"/>
    <w:rPr>
      <w:b/>
      <w:bCs/>
    </w:rPr>
  </w:style>
  <w:style w:type="character" w:customStyle="1" w:styleId="KomentarotemaDiagrama">
    <w:name w:val="Komentaro tema Diagrama"/>
    <w:basedOn w:val="CommentTextChar1"/>
    <w:link w:val="Komentarotema"/>
    <w:semiHidden/>
    <w:rsid w:val="00A0704E"/>
    <w:rPr>
      <w:b/>
      <w:bCs/>
      <w:sz w:val="20"/>
      <w:szCs w:val="20"/>
      <w:lang w:val="x-none"/>
    </w:rPr>
  </w:style>
  <w:style w:type="paragraph" w:styleId="Porat">
    <w:name w:val="footer"/>
    <w:basedOn w:val="prastasis"/>
    <w:link w:val="PoratDiagrama"/>
    <w:rsid w:val="00A0704E"/>
    <w:pPr>
      <w:tabs>
        <w:tab w:val="center" w:pos="4320"/>
        <w:tab w:val="right" w:pos="8640"/>
      </w:tabs>
      <w:spacing w:after="0" w:line="240" w:lineRule="auto"/>
    </w:pPr>
    <w:rPr>
      <w:rFonts w:ascii="Times New Roman" w:eastAsia="Times New Roman" w:hAnsi="Times New Roman" w:cs="Times New Roman"/>
      <w:sz w:val="24"/>
      <w:szCs w:val="20"/>
      <w:lang w:val="x-none"/>
    </w:rPr>
  </w:style>
  <w:style w:type="character" w:customStyle="1" w:styleId="PoratDiagrama">
    <w:name w:val="Poraštė Diagrama"/>
    <w:basedOn w:val="Numatytasispastraiposriftas"/>
    <w:link w:val="Porat"/>
    <w:rsid w:val="00A0704E"/>
    <w:rPr>
      <w:rFonts w:ascii="Times New Roman" w:eastAsia="Times New Roman" w:hAnsi="Times New Roman" w:cs="Times New Roman"/>
      <w:sz w:val="24"/>
      <w:szCs w:val="20"/>
      <w:lang w:val="x-none"/>
    </w:rPr>
  </w:style>
  <w:style w:type="character" w:styleId="Puslapionumeris">
    <w:name w:val="page number"/>
    <w:basedOn w:val="Numatytasispastraiposriftas"/>
    <w:rsid w:val="00A0704E"/>
  </w:style>
  <w:style w:type="paragraph" w:customStyle="1" w:styleId="default">
    <w:name w:val="default"/>
    <w:basedOn w:val="prastasis"/>
    <w:rsid w:val="00A0704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0">
    <w:name w:val="Default"/>
    <w:rsid w:val="00A0704E"/>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styleId="Komentaronuoroda">
    <w:name w:val="annotation reference"/>
    <w:rsid w:val="00A0704E"/>
    <w:rPr>
      <w:rFonts w:cs="Times New Roman"/>
      <w:sz w:val="16"/>
      <w:szCs w:val="16"/>
    </w:rPr>
  </w:style>
  <w:style w:type="paragraph" w:styleId="Sraopastraipa">
    <w:name w:val="List Paragraph"/>
    <w:basedOn w:val="prastasis"/>
    <w:uiPriority w:val="34"/>
    <w:qFormat/>
    <w:rsid w:val="00A0704E"/>
    <w:pPr>
      <w:spacing w:after="0" w:line="240" w:lineRule="auto"/>
      <w:ind w:left="720"/>
      <w:contextualSpacing/>
    </w:pPr>
    <w:rPr>
      <w:rFonts w:ascii="Times New Roman" w:eastAsia="Times New Roman" w:hAnsi="Times New Roman" w:cs="Times New Roman"/>
      <w:sz w:val="24"/>
      <w:szCs w:val="24"/>
    </w:rPr>
  </w:style>
  <w:style w:type="paragraph" w:styleId="prastasiniatinklio">
    <w:name w:val="Normal (Web)"/>
    <w:basedOn w:val="prastasis"/>
    <w:rsid w:val="00A0704E"/>
    <w:pPr>
      <w:spacing w:before="100" w:beforeAutospacing="1" w:after="75" w:line="240" w:lineRule="auto"/>
    </w:pPr>
    <w:rPr>
      <w:rFonts w:ascii="Times New Roman" w:eastAsia="Times New Roman" w:hAnsi="Times New Roman" w:cs="Times New Roman"/>
      <w:color w:val="000000"/>
      <w:sz w:val="24"/>
      <w:szCs w:val="24"/>
      <w:lang w:eastAsia="lt-LT"/>
    </w:rPr>
  </w:style>
  <w:style w:type="paragraph" w:styleId="Pataisymai">
    <w:name w:val="Revision"/>
    <w:hidden/>
    <w:uiPriority w:val="99"/>
    <w:semiHidden/>
    <w:rsid w:val="00A0704E"/>
    <w:pPr>
      <w:spacing w:after="0" w:line="240" w:lineRule="auto"/>
    </w:pPr>
    <w:rPr>
      <w:rFonts w:ascii="Times New Roman" w:eastAsia="Times New Roman" w:hAnsi="Times New Roman" w:cs="Times New Roman"/>
      <w:sz w:val="24"/>
      <w:szCs w:val="24"/>
    </w:rPr>
  </w:style>
  <w:style w:type="paragraph" w:customStyle="1" w:styleId="Title1">
    <w:name w:val="Title1"/>
    <w:basedOn w:val="prastasis"/>
    <w:next w:val="prastasis"/>
    <w:uiPriority w:val="10"/>
    <w:qFormat/>
    <w:rsid w:val="00A0704E"/>
    <w:pPr>
      <w:spacing w:after="0" w:line="240" w:lineRule="auto"/>
      <w:contextualSpacing/>
    </w:pPr>
    <w:rPr>
      <w:rFonts w:ascii="Calibri Light" w:eastAsia="Yu Gothic Light" w:hAnsi="Calibri Light" w:cs="Angsana New"/>
      <w:spacing w:val="-10"/>
      <w:kern w:val="28"/>
      <w:sz w:val="56"/>
      <w:szCs w:val="56"/>
    </w:rPr>
  </w:style>
  <w:style w:type="character" w:customStyle="1" w:styleId="PavadinimasDiagrama">
    <w:name w:val="Pavadinimas Diagrama"/>
    <w:basedOn w:val="Numatytasispastraiposriftas"/>
    <w:link w:val="Pavadinimas"/>
    <w:uiPriority w:val="10"/>
    <w:rsid w:val="00A0704E"/>
    <w:rPr>
      <w:rFonts w:ascii="Calibri Light" w:eastAsia="Yu Gothic Light" w:hAnsi="Calibri Light" w:cs="Angsana New"/>
      <w:spacing w:val="-10"/>
      <w:kern w:val="28"/>
      <w:sz w:val="56"/>
      <w:szCs w:val="56"/>
      <w:lang w:eastAsia="en-US"/>
    </w:rPr>
  </w:style>
  <w:style w:type="paragraph" w:styleId="Pavadinimas">
    <w:name w:val="Title"/>
    <w:basedOn w:val="prastasis"/>
    <w:next w:val="prastasis"/>
    <w:link w:val="PavadinimasDiagrama"/>
    <w:uiPriority w:val="10"/>
    <w:qFormat/>
    <w:rsid w:val="00A0704E"/>
    <w:pPr>
      <w:spacing w:after="0" w:line="240" w:lineRule="auto"/>
      <w:contextualSpacing/>
    </w:pPr>
    <w:rPr>
      <w:rFonts w:ascii="Calibri Light" w:eastAsia="Yu Gothic Light" w:hAnsi="Calibri Light" w:cs="Angsana New"/>
      <w:spacing w:val="-10"/>
      <w:kern w:val="28"/>
      <w:sz w:val="56"/>
      <w:szCs w:val="56"/>
    </w:rPr>
  </w:style>
  <w:style w:type="character" w:customStyle="1" w:styleId="TitleChar1">
    <w:name w:val="Title Char1"/>
    <w:basedOn w:val="Numatytasispastraiposriftas"/>
    <w:uiPriority w:val="10"/>
    <w:rsid w:val="00A0704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39277</Words>
  <Characters>22388</Characters>
  <Application>Microsoft Office Word</Application>
  <DocSecurity>0</DocSecurity>
  <Lines>186</Lines>
  <Paragraphs>123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Jatkone</dc:creator>
  <cp:keywords/>
  <dc:description/>
  <cp:lastModifiedBy>Albina Burkauskaitė</cp:lastModifiedBy>
  <cp:revision>2</cp:revision>
  <dcterms:created xsi:type="dcterms:W3CDTF">2023-07-12T07:30:00Z</dcterms:created>
  <dcterms:modified xsi:type="dcterms:W3CDTF">2023-07-12T07:30:00Z</dcterms:modified>
</cp:coreProperties>
</file>