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181" w:rsidRPr="00E321A8" w:rsidRDefault="004C3181" w:rsidP="004C3181">
      <w:pPr>
        <w:tabs>
          <w:tab w:val="left" w:pos="567"/>
        </w:tabs>
        <w:spacing w:after="0" w:line="240" w:lineRule="auto"/>
        <w:jc w:val="center"/>
        <w:rPr>
          <w:rFonts w:ascii="Times New Roman" w:hAnsi="Times New Roman"/>
          <w:b/>
        </w:rPr>
      </w:pPr>
      <w:r w:rsidRPr="00E321A8">
        <w:rPr>
          <w:rFonts w:ascii="Times New Roman" w:hAnsi="Times New Roman"/>
          <w:b/>
        </w:rPr>
        <w:t>Pakuotės lapelis: informacija vartotojui</w:t>
      </w:r>
    </w:p>
    <w:p w:rsidR="004C3181" w:rsidRPr="00E321A8" w:rsidRDefault="004C3181" w:rsidP="004C3181">
      <w:pPr>
        <w:tabs>
          <w:tab w:val="left" w:pos="567"/>
        </w:tabs>
        <w:spacing w:after="0" w:line="240" w:lineRule="auto"/>
        <w:jc w:val="center"/>
        <w:rPr>
          <w:rFonts w:ascii="Times New Roman" w:hAnsi="Times New Roman"/>
          <w:b/>
        </w:rPr>
      </w:pPr>
      <w:r w:rsidRPr="00E321A8">
        <w:rPr>
          <w:rFonts w:ascii="Times New Roman" w:hAnsi="Times New Roman"/>
          <w:b/>
        </w:rPr>
        <w:t>Aminoven 10 </w:t>
      </w:r>
      <w:r w:rsidRPr="00E321A8">
        <w:rPr>
          <w:rFonts w:ascii="Times New Roman" w:hAnsi="Times New Roman"/>
          <w:b/>
        </w:rPr>
        <w:sym w:font="Symbol" w:char="F025"/>
      </w:r>
      <w:r w:rsidRPr="00E321A8">
        <w:rPr>
          <w:rFonts w:ascii="Times New Roman" w:hAnsi="Times New Roman"/>
          <w:b/>
        </w:rPr>
        <w:t xml:space="preserve"> infuzinis tirpalas</w:t>
      </w:r>
    </w:p>
    <w:p w:rsidR="004C3181" w:rsidRPr="00E321A8" w:rsidRDefault="004C3181" w:rsidP="004C3181">
      <w:pPr>
        <w:tabs>
          <w:tab w:val="left" w:pos="567"/>
        </w:tabs>
        <w:spacing w:after="0" w:line="240" w:lineRule="auto"/>
        <w:jc w:val="both"/>
        <w:rPr>
          <w:rFonts w:ascii="Times New Roman" w:hAnsi="Times New Roman"/>
          <w:b/>
        </w:rPr>
      </w:pPr>
    </w:p>
    <w:p w:rsidR="004C3181" w:rsidRPr="00E321A8" w:rsidRDefault="004C3181" w:rsidP="004C3181">
      <w:pPr>
        <w:tabs>
          <w:tab w:val="left" w:pos="567"/>
        </w:tabs>
        <w:spacing w:after="0" w:line="240" w:lineRule="auto"/>
        <w:rPr>
          <w:rFonts w:ascii="Times New Roman" w:hAnsi="Times New Roman"/>
          <w:b/>
        </w:rPr>
      </w:pPr>
      <w:r w:rsidRPr="00E321A8">
        <w:rPr>
          <w:rFonts w:ascii="Times New Roman" w:hAnsi="Times New Roman"/>
          <w:b/>
        </w:rPr>
        <w:t>Atidžiai perskaitykite visą šį lapelį, prieš pradėdami vartoti vaistą, nes jame pateikiama Jums svarbi informacija.</w:t>
      </w: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w:t>
      </w:r>
      <w:r w:rsidRPr="00E321A8">
        <w:rPr>
          <w:rFonts w:ascii="Times New Roman" w:hAnsi="Times New Roman"/>
        </w:rPr>
        <w:tab/>
        <w:t>Neišmeskite šio lapelio, nes vėl gali prireikti jį perskaityti.</w:t>
      </w: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w:t>
      </w:r>
      <w:r w:rsidRPr="00E321A8">
        <w:rPr>
          <w:rFonts w:ascii="Times New Roman" w:hAnsi="Times New Roman"/>
        </w:rPr>
        <w:tab/>
        <w:t>Jeigu kiltų daugiau klausimų, kreipkitės į gydytoją arba vaistininką.</w:t>
      </w:r>
    </w:p>
    <w:p w:rsidR="004C3181" w:rsidRPr="00E321A8" w:rsidRDefault="004C3181" w:rsidP="004C3181">
      <w:pPr>
        <w:tabs>
          <w:tab w:val="left" w:pos="567"/>
        </w:tabs>
        <w:spacing w:after="0" w:line="240" w:lineRule="auto"/>
        <w:ind w:left="567" w:hanging="567"/>
        <w:rPr>
          <w:rFonts w:ascii="Times New Roman" w:hAnsi="Times New Roman"/>
        </w:rPr>
      </w:pPr>
      <w:r w:rsidRPr="00E321A8">
        <w:rPr>
          <w:rFonts w:ascii="Times New Roman" w:hAnsi="Times New Roman"/>
        </w:rPr>
        <w:t>-</w:t>
      </w:r>
      <w:r w:rsidRPr="00E321A8">
        <w:rPr>
          <w:rFonts w:ascii="Times New Roman" w:hAnsi="Times New Roman"/>
        </w:rPr>
        <w:tab/>
        <w:t>Šis vaistas skirtas tik Jums, todėl kitiems žmonėms jo duoti negalima. Vaistas gali jiems pakenkti (net tiems, kurių ligos požymiai yra tokie patys kaip Jūsų).</w:t>
      </w:r>
    </w:p>
    <w:p w:rsidR="004C3181" w:rsidRPr="00E321A8" w:rsidRDefault="004C3181" w:rsidP="004C3181">
      <w:pPr>
        <w:tabs>
          <w:tab w:val="left" w:pos="567"/>
        </w:tabs>
        <w:spacing w:after="0" w:line="240" w:lineRule="auto"/>
        <w:ind w:left="567" w:hanging="567"/>
        <w:rPr>
          <w:rFonts w:ascii="Times New Roman" w:hAnsi="Times New Roman"/>
        </w:rPr>
      </w:pPr>
      <w:r w:rsidRPr="00E321A8">
        <w:rPr>
          <w:rFonts w:ascii="Times New Roman" w:hAnsi="Times New Roman"/>
        </w:rPr>
        <w:t>-</w:t>
      </w:r>
      <w:r w:rsidRPr="00E321A8">
        <w:rPr>
          <w:rFonts w:ascii="Times New Roman" w:hAnsi="Times New Roman"/>
        </w:rPr>
        <w:tab/>
        <w:t>Jeigu pasireiškė šalutinis poveikis (net jeigu jis šiame lapelyje nenurodytas), kreipkitės į gydytoją arba vaistininką. Žr. 4 skyrių.</w:t>
      </w:r>
    </w:p>
    <w:p w:rsidR="004C3181" w:rsidRPr="00E321A8" w:rsidRDefault="004C3181" w:rsidP="004C3181">
      <w:pPr>
        <w:tabs>
          <w:tab w:val="left" w:pos="567"/>
        </w:tabs>
        <w:spacing w:after="0" w:line="240" w:lineRule="auto"/>
        <w:jc w:val="both"/>
        <w:rPr>
          <w:rFonts w:ascii="Times New Roman" w:hAnsi="Times New Roman"/>
          <w:b/>
        </w:rPr>
      </w:pPr>
    </w:p>
    <w:p w:rsidR="004C3181" w:rsidRPr="00E321A8" w:rsidRDefault="004C3181" w:rsidP="004C3181">
      <w:pPr>
        <w:tabs>
          <w:tab w:val="left" w:pos="567"/>
        </w:tabs>
        <w:spacing w:after="0" w:line="240" w:lineRule="auto"/>
        <w:jc w:val="both"/>
        <w:rPr>
          <w:rFonts w:ascii="Times New Roman" w:hAnsi="Times New Roman"/>
          <w:b/>
        </w:rPr>
      </w:pPr>
      <w:r w:rsidRPr="00E321A8">
        <w:rPr>
          <w:rFonts w:ascii="Times New Roman" w:hAnsi="Times New Roman"/>
          <w:b/>
        </w:rPr>
        <w:t>Apie ką rašoma šiame lapelyje?</w:t>
      </w:r>
    </w:p>
    <w:p w:rsidR="004C3181" w:rsidRPr="00E321A8" w:rsidRDefault="004C3181" w:rsidP="004C3181">
      <w:pPr>
        <w:tabs>
          <w:tab w:val="left" w:pos="567"/>
        </w:tabs>
        <w:spacing w:after="0" w:line="240" w:lineRule="auto"/>
        <w:jc w:val="both"/>
        <w:rPr>
          <w:rFonts w:ascii="Times New Roman" w:hAnsi="Times New Roman"/>
        </w:rPr>
      </w:pPr>
      <w:r w:rsidRPr="00E321A8">
        <w:rPr>
          <w:rFonts w:ascii="Times New Roman" w:hAnsi="Times New Roman"/>
        </w:rPr>
        <w:t>1.</w:t>
      </w:r>
      <w:r w:rsidRPr="00E321A8">
        <w:rPr>
          <w:rFonts w:ascii="Times New Roman" w:hAnsi="Times New Roman"/>
        </w:rPr>
        <w:tab/>
        <w:t>Kas yra Aminoven ir kam jis vartojamas</w:t>
      </w:r>
    </w:p>
    <w:p w:rsidR="004C3181" w:rsidRPr="00E321A8" w:rsidRDefault="004C3181" w:rsidP="004C3181">
      <w:pPr>
        <w:tabs>
          <w:tab w:val="left" w:pos="567"/>
        </w:tabs>
        <w:spacing w:after="0" w:line="240" w:lineRule="auto"/>
        <w:jc w:val="both"/>
        <w:rPr>
          <w:rFonts w:ascii="Times New Roman" w:hAnsi="Times New Roman"/>
        </w:rPr>
      </w:pPr>
      <w:r w:rsidRPr="00E321A8">
        <w:rPr>
          <w:rFonts w:ascii="Times New Roman" w:hAnsi="Times New Roman"/>
        </w:rPr>
        <w:t>2.</w:t>
      </w:r>
      <w:r w:rsidRPr="00E321A8">
        <w:rPr>
          <w:rFonts w:ascii="Times New Roman" w:hAnsi="Times New Roman"/>
        </w:rPr>
        <w:tab/>
        <w:t>Kas žinotina prieš vartojant Aminoven</w:t>
      </w:r>
    </w:p>
    <w:p w:rsidR="004C3181" w:rsidRPr="00E321A8" w:rsidRDefault="004C3181" w:rsidP="004C3181">
      <w:pPr>
        <w:tabs>
          <w:tab w:val="left" w:pos="567"/>
        </w:tabs>
        <w:spacing w:after="0" w:line="240" w:lineRule="auto"/>
        <w:jc w:val="both"/>
        <w:rPr>
          <w:rFonts w:ascii="Times New Roman" w:hAnsi="Times New Roman"/>
        </w:rPr>
      </w:pPr>
      <w:r w:rsidRPr="00E321A8">
        <w:rPr>
          <w:rFonts w:ascii="Times New Roman" w:hAnsi="Times New Roman"/>
        </w:rPr>
        <w:t>3.</w:t>
      </w:r>
      <w:r w:rsidRPr="00E321A8">
        <w:rPr>
          <w:rFonts w:ascii="Times New Roman" w:hAnsi="Times New Roman"/>
        </w:rPr>
        <w:tab/>
        <w:t xml:space="preserve">Kaip vartoti Aminoven </w:t>
      </w:r>
    </w:p>
    <w:p w:rsidR="004C3181" w:rsidRPr="00E321A8" w:rsidRDefault="004C3181" w:rsidP="004C3181">
      <w:pPr>
        <w:tabs>
          <w:tab w:val="left" w:pos="567"/>
        </w:tabs>
        <w:spacing w:after="0" w:line="240" w:lineRule="auto"/>
        <w:jc w:val="both"/>
        <w:rPr>
          <w:rFonts w:ascii="Times New Roman" w:hAnsi="Times New Roman"/>
        </w:rPr>
      </w:pPr>
      <w:r w:rsidRPr="00E321A8">
        <w:rPr>
          <w:rFonts w:ascii="Times New Roman" w:hAnsi="Times New Roman"/>
        </w:rPr>
        <w:t>4.</w:t>
      </w:r>
      <w:r w:rsidRPr="00E321A8">
        <w:rPr>
          <w:rFonts w:ascii="Times New Roman" w:hAnsi="Times New Roman"/>
        </w:rPr>
        <w:tab/>
        <w:t>Galimas šalutinis poveikis</w:t>
      </w:r>
    </w:p>
    <w:p w:rsidR="004C3181" w:rsidRPr="00E321A8" w:rsidRDefault="004C3181" w:rsidP="004C3181">
      <w:pPr>
        <w:tabs>
          <w:tab w:val="left" w:pos="567"/>
        </w:tabs>
        <w:spacing w:after="0" w:line="240" w:lineRule="auto"/>
        <w:jc w:val="both"/>
        <w:rPr>
          <w:rFonts w:ascii="Times New Roman" w:hAnsi="Times New Roman"/>
        </w:rPr>
      </w:pPr>
      <w:r w:rsidRPr="00E321A8">
        <w:rPr>
          <w:rFonts w:ascii="Times New Roman" w:hAnsi="Times New Roman"/>
        </w:rPr>
        <w:t>5.</w:t>
      </w:r>
      <w:r w:rsidRPr="00E321A8">
        <w:rPr>
          <w:rFonts w:ascii="Times New Roman" w:hAnsi="Times New Roman"/>
        </w:rPr>
        <w:tab/>
        <w:t xml:space="preserve">Kaip laikyti Aminoven </w:t>
      </w:r>
    </w:p>
    <w:p w:rsidR="004C3181" w:rsidRPr="00E321A8" w:rsidRDefault="004C3181" w:rsidP="004C3181">
      <w:pPr>
        <w:tabs>
          <w:tab w:val="left" w:pos="567"/>
        </w:tabs>
        <w:spacing w:after="0" w:line="240" w:lineRule="auto"/>
        <w:jc w:val="both"/>
        <w:rPr>
          <w:rFonts w:ascii="Times New Roman" w:hAnsi="Times New Roman"/>
        </w:rPr>
      </w:pPr>
      <w:r w:rsidRPr="00E321A8">
        <w:rPr>
          <w:rFonts w:ascii="Times New Roman" w:hAnsi="Times New Roman"/>
        </w:rPr>
        <w:t>6.</w:t>
      </w:r>
      <w:r w:rsidRPr="00E321A8">
        <w:rPr>
          <w:rFonts w:ascii="Times New Roman" w:hAnsi="Times New Roman"/>
        </w:rPr>
        <w:tab/>
        <w:t>Pakuotės turinys ir kita informacija</w:t>
      </w:r>
    </w:p>
    <w:p w:rsidR="004C3181" w:rsidRPr="00E321A8" w:rsidRDefault="004C3181" w:rsidP="004C3181">
      <w:pPr>
        <w:tabs>
          <w:tab w:val="left" w:pos="567"/>
        </w:tabs>
        <w:spacing w:after="0" w:line="240" w:lineRule="auto"/>
        <w:jc w:val="both"/>
        <w:rPr>
          <w:rFonts w:ascii="Times New Roman" w:hAnsi="Times New Roman"/>
        </w:rPr>
      </w:pPr>
    </w:p>
    <w:p w:rsidR="004C3181" w:rsidRPr="00E321A8" w:rsidRDefault="004C3181" w:rsidP="004C3181">
      <w:pPr>
        <w:tabs>
          <w:tab w:val="left" w:pos="567"/>
        </w:tabs>
        <w:spacing w:after="0" w:line="240" w:lineRule="auto"/>
        <w:jc w:val="both"/>
        <w:rPr>
          <w:rFonts w:ascii="Times New Roman" w:hAnsi="Times New Roman"/>
        </w:rPr>
      </w:pPr>
    </w:p>
    <w:p w:rsidR="004C3181" w:rsidRPr="00E321A8" w:rsidRDefault="004C3181" w:rsidP="004C3181">
      <w:pPr>
        <w:keepNext/>
        <w:tabs>
          <w:tab w:val="left" w:pos="567"/>
        </w:tabs>
        <w:spacing w:after="0" w:line="240" w:lineRule="auto"/>
        <w:jc w:val="both"/>
        <w:outlineLvl w:val="3"/>
        <w:rPr>
          <w:rFonts w:ascii="Times New Roman" w:hAnsi="Times New Roman"/>
          <w:b/>
        </w:rPr>
      </w:pPr>
      <w:r w:rsidRPr="00E321A8">
        <w:rPr>
          <w:rFonts w:ascii="Times New Roman" w:hAnsi="Times New Roman"/>
          <w:b/>
        </w:rPr>
        <w:t>1.</w:t>
      </w:r>
      <w:r w:rsidRPr="00E321A8">
        <w:rPr>
          <w:rFonts w:ascii="Times New Roman" w:hAnsi="Times New Roman"/>
          <w:b/>
        </w:rPr>
        <w:tab/>
        <w:t>Kas yra Aminoven ir kam jis vartojamas</w:t>
      </w:r>
    </w:p>
    <w:p w:rsidR="004C3181" w:rsidRPr="00E321A8" w:rsidRDefault="004C3181" w:rsidP="004C3181">
      <w:pPr>
        <w:tabs>
          <w:tab w:val="left" w:pos="567"/>
        </w:tabs>
        <w:spacing w:after="0" w:line="240" w:lineRule="auto"/>
        <w:jc w:val="both"/>
        <w:rPr>
          <w:rFonts w:ascii="Times New Roman" w:hAnsi="Times New Roman"/>
        </w:rPr>
      </w:pP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Aminoven 10 </w:t>
      </w:r>
      <w:r w:rsidRPr="00E321A8">
        <w:rPr>
          <w:rFonts w:ascii="Times New Roman" w:hAnsi="Times New Roman"/>
        </w:rPr>
        <w:sym w:font="Symbol" w:char="0025"/>
      </w:r>
      <w:r w:rsidRPr="00E321A8">
        <w:rPr>
          <w:rFonts w:ascii="Times New Roman" w:hAnsi="Times New Roman"/>
        </w:rPr>
        <w:t xml:space="preserve"> infuzinis tirpalas – tai aminorūgščių tirpalas, skirtas </w:t>
      </w:r>
      <w:r>
        <w:rPr>
          <w:rFonts w:ascii="Times New Roman" w:eastAsia="Times New Roman" w:hAnsi="Times New Roman" w:cs="Times New Roman"/>
        </w:rPr>
        <w:t>pacientą</w:t>
      </w:r>
      <w:r w:rsidRPr="00E321A8">
        <w:rPr>
          <w:rFonts w:ascii="Times New Roman" w:hAnsi="Times New Roman"/>
        </w:rPr>
        <w:t xml:space="preserve"> maitinti parenteriniu (ne per virškinimo traktą) būdu. Aminoven 10 </w:t>
      </w:r>
      <w:r w:rsidRPr="00E321A8">
        <w:rPr>
          <w:rFonts w:ascii="Times New Roman" w:hAnsi="Times New Roman"/>
        </w:rPr>
        <w:sym w:font="Symbol" w:char="0025"/>
      </w:r>
      <w:r w:rsidRPr="00E321A8">
        <w:rPr>
          <w:rFonts w:ascii="Times New Roman" w:hAnsi="Times New Roman"/>
        </w:rPr>
        <w:t xml:space="preserve"> infuzinio tirpalo sudėtyje esančios aminorūgštys yra natūralios fiziologinės medžiagos. Kaip ir aminorūgščių dariniai, kurių atsiranda virškinimo metu iš maisto baltymų, taip ir infuzuotos aminorūgštys papildo laisvųjų aminorūgščių sankaupą plazmoje ir vėliau metabolizuojamos (virsta medžiagų apykaitos produktais).</w:t>
      </w:r>
    </w:p>
    <w:p w:rsidR="004C3181" w:rsidRPr="00E321A8" w:rsidRDefault="004C3181" w:rsidP="004C3181">
      <w:pPr>
        <w:tabs>
          <w:tab w:val="left" w:pos="567"/>
        </w:tabs>
        <w:spacing w:after="0" w:line="240" w:lineRule="auto"/>
        <w:jc w:val="both"/>
        <w:rPr>
          <w:rFonts w:ascii="Times New Roman" w:hAnsi="Times New Roman"/>
        </w:rPr>
      </w:pPr>
      <w:r w:rsidRPr="00E321A8">
        <w:rPr>
          <w:rFonts w:ascii="Times New Roman" w:hAnsi="Times New Roman"/>
        </w:rPr>
        <w:t>Aminoven 10 </w:t>
      </w:r>
      <w:r w:rsidRPr="00E321A8">
        <w:rPr>
          <w:rFonts w:ascii="Times New Roman" w:hAnsi="Times New Roman"/>
        </w:rPr>
        <w:sym w:font="Symbol" w:char="0025"/>
      </w:r>
      <w:r w:rsidRPr="00E321A8">
        <w:rPr>
          <w:rFonts w:ascii="Times New Roman" w:hAnsi="Times New Roman"/>
        </w:rPr>
        <w:t xml:space="preserve"> infuzinio tirpalo vartojama, kaip vienos iš sudedamųjų parenterinės mitybos dalių. Paprastai aminorūgščių tirpalo reikia vartoti kartu su reikiamu energinių pakaitalų kiekiu. </w:t>
      </w:r>
    </w:p>
    <w:p w:rsidR="004C3181" w:rsidRPr="00E321A8" w:rsidRDefault="004C3181" w:rsidP="004C3181">
      <w:pPr>
        <w:tabs>
          <w:tab w:val="left" w:pos="567"/>
        </w:tabs>
        <w:spacing w:after="0" w:line="240" w:lineRule="auto"/>
        <w:jc w:val="both"/>
        <w:rPr>
          <w:rFonts w:ascii="Times New Roman" w:hAnsi="Times New Roman"/>
        </w:rPr>
      </w:pPr>
    </w:p>
    <w:p w:rsidR="004C3181" w:rsidRPr="00E321A8" w:rsidRDefault="004C3181" w:rsidP="004C3181">
      <w:pPr>
        <w:tabs>
          <w:tab w:val="left" w:pos="567"/>
        </w:tabs>
        <w:spacing w:after="0" w:line="240" w:lineRule="auto"/>
        <w:jc w:val="both"/>
        <w:rPr>
          <w:rFonts w:ascii="Times New Roman" w:hAnsi="Times New Roman"/>
        </w:rPr>
      </w:pPr>
    </w:p>
    <w:p w:rsidR="004C3181" w:rsidRPr="00E321A8" w:rsidRDefault="004C3181" w:rsidP="004C3181">
      <w:pPr>
        <w:tabs>
          <w:tab w:val="left" w:pos="567"/>
        </w:tabs>
        <w:spacing w:after="0" w:line="240" w:lineRule="auto"/>
        <w:rPr>
          <w:rFonts w:ascii="Times New Roman" w:hAnsi="Times New Roman"/>
          <w:b/>
        </w:rPr>
      </w:pPr>
      <w:r w:rsidRPr="00E321A8">
        <w:rPr>
          <w:rFonts w:ascii="Times New Roman" w:hAnsi="Times New Roman"/>
          <w:b/>
        </w:rPr>
        <w:t>2.</w:t>
      </w:r>
      <w:r w:rsidRPr="00E321A8">
        <w:rPr>
          <w:rFonts w:ascii="Times New Roman" w:hAnsi="Times New Roman"/>
          <w:b/>
        </w:rPr>
        <w:tab/>
        <w:t>Kas žinotina prieš vartojant Aminoven</w:t>
      </w:r>
    </w:p>
    <w:p w:rsidR="004C3181" w:rsidRPr="00E321A8" w:rsidRDefault="004C3181" w:rsidP="004C3181">
      <w:pPr>
        <w:keepNext/>
        <w:tabs>
          <w:tab w:val="left" w:pos="567"/>
        </w:tabs>
        <w:spacing w:after="0" w:line="240" w:lineRule="auto"/>
        <w:outlineLvl w:val="3"/>
        <w:rPr>
          <w:rFonts w:ascii="Times New Roman" w:hAnsi="Times New Roman"/>
          <w:i/>
        </w:rPr>
      </w:pPr>
    </w:p>
    <w:p w:rsidR="004C3181" w:rsidRPr="00E321A8" w:rsidRDefault="004C3181" w:rsidP="004C3181">
      <w:pPr>
        <w:spacing w:after="0" w:line="240" w:lineRule="auto"/>
        <w:rPr>
          <w:rFonts w:ascii="Times New Roman" w:hAnsi="Times New Roman"/>
          <w:b/>
        </w:rPr>
      </w:pPr>
      <w:r w:rsidRPr="00E321A8">
        <w:rPr>
          <w:rFonts w:ascii="Times New Roman" w:hAnsi="Times New Roman"/>
          <w:b/>
        </w:rPr>
        <w:t>Jei yra ar kada nors buvo toliau išvardyta būklė, Aminoven vartoti negalima.</w:t>
      </w:r>
    </w:p>
    <w:p w:rsidR="004C3181" w:rsidRPr="00E321A8" w:rsidRDefault="004C3181" w:rsidP="004C3181">
      <w:pPr>
        <w:spacing w:after="0" w:line="240" w:lineRule="auto"/>
        <w:rPr>
          <w:rFonts w:ascii="Times New Roman" w:hAnsi="Times New Roman"/>
        </w:rPr>
      </w:pPr>
    </w:p>
    <w:p w:rsidR="004C3181" w:rsidRPr="00E321A8" w:rsidRDefault="004C3181" w:rsidP="004C3181">
      <w:pPr>
        <w:keepNext/>
        <w:tabs>
          <w:tab w:val="left" w:pos="567"/>
        </w:tabs>
        <w:spacing w:after="0" w:line="240" w:lineRule="auto"/>
        <w:outlineLvl w:val="3"/>
        <w:rPr>
          <w:rFonts w:ascii="Times New Roman" w:hAnsi="Times New Roman"/>
          <w:b/>
        </w:rPr>
      </w:pPr>
      <w:r w:rsidRPr="00E321A8">
        <w:rPr>
          <w:rFonts w:ascii="Times New Roman" w:hAnsi="Times New Roman"/>
          <w:b/>
        </w:rPr>
        <w:t>Aminoven vartoti negalima:</w:t>
      </w:r>
    </w:p>
    <w:p w:rsidR="004C3181" w:rsidRPr="00E321A8" w:rsidRDefault="004C3181" w:rsidP="004C3181">
      <w:pPr>
        <w:tabs>
          <w:tab w:val="left" w:pos="567"/>
        </w:tabs>
        <w:spacing w:after="0" w:line="240" w:lineRule="auto"/>
        <w:ind w:left="360" w:hanging="360"/>
        <w:rPr>
          <w:rFonts w:ascii="Times New Roman" w:hAnsi="Times New Roman"/>
        </w:rPr>
      </w:pPr>
      <w:r w:rsidRPr="00E321A8">
        <w:rPr>
          <w:rFonts w:ascii="Times New Roman" w:hAnsi="Times New Roman"/>
        </w:rPr>
        <w:t>-</w:t>
      </w:r>
      <w:r w:rsidRPr="00E321A8">
        <w:rPr>
          <w:rFonts w:ascii="Times New Roman" w:hAnsi="Times New Roman"/>
        </w:rPr>
        <w:tab/>
        <w:t>jeigu yra alergija veikliajai arba bet kuriai pagalbinei Aminoven 10 </w:t>
      </w:r>
      <w:r w:rsidRPr="00E321A8">
        <w:rPr>
          <w:rFonts w:ascii="Times New Roman" w:hAnsi="Times New Roman"/>
        </w:rPr>
        <w:sym w:font="Symbol" w:char="0025"/>
      </w:r>
      <w:r w:rsidRPr="00E321A8">
        <w:rPr>
          <w:rFonts w:ascii="Times New Roman" w:hAnsi="Times New Roman"/>
        </w:rPr>
        <w:t xml:space="preserve"> infuzinio tirpalo medžiagai;</w:t>
      </w:r>
    </w:p>
    <w:p w:rsidR="004C3181" w:rsidRPr="00E321A8" w:rsidRDefault="004C3181" w:rsidP="004C3181">
      <w:pPr>
        <w:tabs>
          <w:tab w:val="left" w:pos="567"/>
        </w:tabs>
        <w:spacing w:after="0" w:line="240" w:lineRule="auto"/>
        <w:ind w:left="360" w:hanging="360"/>
        <w:rPr>
          <w:rFonts w:ascii="Times New Roman" w:hAnsi="Times New Roman"/>
        </w:rPr>
      </w:pPr>
      <w:r w:rsidRPr="00E321A8">
        <w:rPr>
          <w:rFonts w:ascii="Times New Roman" w:hAnsi="Times New Roman"/>
        </w:rPr>
        <w:t>-</w:t>
      </w:r>
      <w:r w:rsidRPr="00E321A8">
        <w:rPr>
          <w:rFonts w:ascii="Times New Roman" w:hAnsi="Times New Roman"/>
        </w:rPr>
        <w:tab/>
      </w:r>
      <w:r w:rsidRPr="00E37425">
        <w:rPr>
          <w:rFonts w:ascii="Times New Roman" w:eastAsia="Times New Roman" w:hAnsi="Times New Roman" w:cs="Times New Roman"/>
          <w:lang w:eastAsia="lt-LT"/>
        </w:rPr>
        <w:t>jei</w:t>
      </w:r>
      <w:r>
        <w:rPr>
          <w:rFonts w:ascii="Times New Roman" w:eastAsia="Times New Roman" w:hAnsi="Times New Roman" w:cs="Times New Roman"/>
          <w:lang w:eastAsia="lt-LT"/>
        </w:rPr>
        <w:t>gu</w:t>
      </w:r>
      <w:r w:rsidRPr="00E321A8">
        <w:rPr>
          <w:rFonts w:ascii="Times New Roman" w:hAnsi="Times New Roman"/>
        </w:rPr>
        <w:t xml:space="preserve"> pacientui sutrikęs aminorūgščių metabolizmas;</w:t>
      </w:r>
    </w:p>
    <w:p w:rsidR="004C3181" w:rsidRPr="00E321A8" w:rsidRDefault="004C3181" w:rsidP="004C3181">
      <w:pPr>
        <w:tabs>
          <w:tab w:val="left" w:pos="567"/>
        </w:tabs>
        <w:spacing w:after="0" w:line="240" w:lineRule="auto"/>
        <w:ind w:left="360" w:hanging="360"/>
        <w:rPr>
          <w:rFonts w:ascii="Times New Roman" w:hAnsi="Times New Roman"/>
        </w:rPr>
      </w:pPr>
      <w:r w:rsidRPr="00E321A8">
        <w:rPr>
          <w:rFonts w:ascii="Times New Roman" w:hAnsi="Times New Roman"/>
        </w:rPr>
        <w:t>-</w:t>
      </w:r>
      <w:r w:rsidRPr="00E321A8">
        <w:rPr>
          <w:rFonts w:ascii="Times New Roman" w:hAnsi="Times New Roman"/>
        </w:rPr>
        <w:tab/>
      </w:r>
      <w:r w:rsidRPr="00E37425">
        <w:rPr>
          <w:rFonts w:ascii="Times New Roman" w:eastAsia="Times New Roman" w:hAnsi="Times New Roman" w:cs="Times New Roman"/>
          <w:lang w:eastAsia="lt-LT"/>
        </w:rPr>
        <w:t>jei</w:t>
      </w:r>
      <w:r>
        <w:rPr>
          <w:rFonts w:ascii="Times New Roman" w:eastAsia="Times New Roman" w:hAnsi="Times New Roman" w:cs="Times New Roman"/>
          <w:lang w:eastAsia="lt-LT"/>
        </w:rPr>
        <w:t>gu</w:t>
      </w:r>
      <w:r w:rsidRPr="00E321A8">
        <w:rPr>
          <w:rFonts w:ascii="Times New Roman" w:hAnsi="Times New Roman"/>
        </w:rPr>
        <w:t xml:space="preserve"> yra metabolinė acidozė (kraujo ir kitų organizmo skysčių parūgštėjimas), hipoksija (deguonies trūkumas audiniuose), sergama inkstų funkcijos nepakankamumu, tačiau </w:t>
      </w:r>
      <w:r>
        <w:rPr>
          <w:rFonts w:ascii="Times New Roman" w:eastAsia="Times New Roman" w:hAnsi="Times New Roman" w:cs="Times New Roman"/>
          <w:lang w:eastAsia="lt-LT"/>
        </w:rPr>
        <w:t>pacientas</w:t>
      </w:r>
      <w:r w:rsidRPr="00E321A8">
        <w:rPr>
          <w:rFonts w:ascii="Times New Roman" w:hAnsi="Times New Roman"/>
        </w:rPr>
        <w:t xml:space="preserve"> hemodialize arba hemofiltracija negydomas;</w:t>
      </w:r>
    </w:p>
    <w:p w:rsidR="004C3181" w:rsidRPr="00E321A8" w:rsidRDefault="004C3181" w:rsidP="004C3181">
      <w:pPr>
        <w:tabs>
          <w:tab w:val="left" w:pos="567"/>
        </w:tabs>
        <w:spacing w:after="0" w:line="240" w:lineRule="auto"/>
        <w:ind w:left="360" w:hanging="360"/>
        <w:rPr>
          <w:rFonts w:ascii="Times New Roman" w:hAnsi="Times New Roman"/>
        </w:rPr>
      </w:pPr>
      <w:r w:rsidRPr="00E321A8">
        <w:rPr>
          <w:rFonts w:ascii="Times New Roman" w:hAnsi="Times New Roman"/>
        </w:rPr>
        <w:t>-</w:t>
      </w:r>
      <w:r w:rsidRPr="00E321A8">
        <w:rPr>
          <w:rFonts w:ascii="Times New Roman" w:hAnsi="Times New Roman"/>
        </w:rPr>
        <w:tab/>
      </w:r>
      <w:r w:rsidRPr="00E37425">
        <w:rPr>
          <w:rFonts w:ascii="Times New Roman" w:eastAsia="Times New Roman" w:hAnsi="Times New Roman" w:cs="Times New Roman"/>
          <w:lang w:eastAsia="lt-LT"/>
        </w:rPr>
        <w:t>jei</w:t>
      </w:r>
      <w:r>
        <w:rPr>
          <w:rFonts w:ascii="Times New Roman" w:eastAsia="Times New Roman" w:hAnsi="Times New Roman" w:cs="Times New Roman"/>
          <w:lang w:eastAsia="lt-LT"/>
        </w:rPr>
        <w:t>gu</w:t>
      </w:r>
      <w:r w:rsidRPr="00E321A8">
        <w:rPr>
          <w:rFonts w:ascii="Times New Roman" w:hAnsi="Times New Roman"/>
        </w:rPr>
        <w:t xml:space="preserve"> sergama progresuojančiu kepenų funkcijos nepakankamumu, dekompensuotu širdies nepakankamumu;</w:t>
      </w:r>
    </w:p>
    <w:p w:rsidR="004C3181" w:rsidRPr="00E321A8" w:rsidRDefault="004C3181" w:rsidP="004C3181">
      <w:pPr>
        <w:tabs>
          <w:tab w:val="left" w:pos="567"/>
        </w:tabs>
        <w:spacing w:after="0" w:line="240" w:lineRule="auto"/>
        <w:ind w:left="360" w:hanging="360"/>
        <w:rPr>
          <w:rFonts w:ascii="Times New Roman" w:hAnsi="Times New Roman"/>
        </w:rPr>
      </w:pPr>
      <w:r w:rsidRPr="00E321A8">
        <w:rPr>
          <w:rFonts w:ascii="Times New Roman" w:hAnsi="Times New Roman"/>
        </w:rPr>
        <w:t>-</w:t>
      </w:r>
      <w:r w:rsidRPr="00E321A8">
        <w:rPr>
          <w:rFonts w:ascii="Times New Roman" w:hAnsi="Times New Roman"/>
        </w:rPr>
        <w:tab/>
      </w:r>
      <w:r w:rsidRPr="00E37425">
        <w:rPr>
          <w:rFonts w:ascii="Times New Roman" w:eastAsia="Times New Roman" w:hAnsi="Times New Roman" w:cs="Times New Roman"/>
          <w:lang w:eastAsia="lt-LT"/>
        </w:rPr>
        <w:t>jei</w:t>
      </w:r>
      <w:r>
        <w:rPr>
          <w:rFonts w:ascii="Times New Roman" w:eastAsia="Times New Roman" w:hAnsi="Times New Roman" w:cs="Times New Roman"/>
          <w:lang w:eastAsia="lt-LT"/>
        </w:rPr>
        <w:t>gu</w:t>
      </w:r>
      <w:r w:rsidRPr="00E321A8">
        <w:rPr>
          <w:rFonts w:ascii="Times New Roman" w:hAnsi="Times New Roman"/>
        </w:rPr>
        <w:t xml:space="preserve"> ištiko šokas, yra skysčių perteklius.</w:t>
      </w:r>
    </w:p>
    <w:p w:rsidR="004C3181" w:rsidRPr="00E321A8" w:rsidRDefault="004C3181" w:rsidP="004C3181">
      <w:pPr>
        <w:tabs>
          <w:tab w:val="left" w:pos="567"/>
        </w:tabs>
        <w:spacing w:after="0" w:line="240" w:lineRule="auto"/>
        <w:ind w:left="360" w:hanging="360"/>
        <w:rPr>
          <w:rFonts w:ascii="Times New Roman" w:hAnsi="Times New Roman"/>
        </w:rPr>
      </w:pP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 xml:space="preserve">Aminoven </w:t>
      </w:r>
      <w:r w:rsidRPr="00E321A8">
        <w:rPr>
          <w:rFonts w:ascii="Times New Roman" w:hAnsi="Times New Roman"/>
          <w:b/>
        </w:rPr>
        <w:t>10 </w:t>
      </w:r>
      <w:r w:rsidRPr="00E321A8">
        <w:rPr>
          <w:rFonts w:ascii="Times New Roman" w:hAnsi="Times New Roman"/>
          <w:b/>
        </w:rPr>
        <w:sym w:font="Symbol" w:char="F025"/>
      </w:r>
      <w:r w:rsidRPr="00E321A8">
        <w:rPr>
          <w:rFonts w:ascii="Times New Roman" w:hAnsi="Times New Roman"/>
        </w:rPr>
        <w:t xml:space="preserve"> infuzinio</w:t>
      </w:r>
      <w:r w:rsidRPr="00E321A8">
        <w:rPr>
          <w:rFonts w:ascii="Times New Roman" w:hAnsi="Times New Roman"/>
          <w:b/>
          <w:i/>
        </w:rPr>
        <w:t xml:space="preserve"> </w:t>
      </w:r>
      <w:r w:rsidRPr="00E321A8">
        <w:rPr>
          <w:rFonts w:ascii="Times New Roman" w:hAnsi="Times New Roman"/>
        </w:rPr>
        <w:t xml:space="preserve">tirpalo </w:t>
      </w:r>
      <w:r w:rsidRPr="00E321A8">
        <w:rPr>
          <w:rFonts w:ascii="Times New Roman" w:hAnsi="Times New Roman"/>
          <w:b/>
        </w:rPr>
        <w:t>jaunesniems kaip 2 metų vaikams</w:t>
      </w:r>
      <w:r w:rsidRPr="00E321A8">
        <w:rPr>
          <w:rFonts w:ascii="Times New Roman" w:hAnsi="Times New Roman"/>
        </w:rPr>
        <w:t xml:space="preserve"> infuzuoti draudžiama.</w:t>
      </w: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Jaunesniems kaip 2 metų vaikams reikia vartoti pediatrinį aminorūgščių preparatą, pritaikytą skirtingiems jų metaboliniams poreikiams.</w:t>
      </w:r>
    </w:p>
    <w:p w:rsidR="004C3181" w:rsidRPr="00E321A8" w:rsidRDefault="004C3181" w:rsidP="004C3181">
      <w:pPr>
        <w:tabs>
          <w:tab w:val="left" w:pos="567"/>
        </w:tabs>
        <w:spacing w:after="0" w:line="240" w:lineRule="auto"/>
        <w:rPr>
          <w:rFonts w:ascii="Times New Roman" w:hAnsi="Times New Roman"/>
        </w:rPr>
      </w:pPr>
    </w:p>
    <w:p w:rsidR="004C3181" w:rsidRPr="00E321A8" w:rsidRDefault="004C3181" w:rsidP="004C3181">
      <w:pPr>
        <w:tabs>
          <w:tab w:val="left" w:pos="567"/>
        </w:tabs>
        <w:spacing w:after="0" w:line="240" w:lineRule="auto"/>
        <w:ind w:left="567" w:hanging="567"/>
        <w:rPr>
          <w:rFonts w:ascii="Times New Roman" w:hAnsi="Times New Roman"/>
          <w:b/>
        </w:rPr>
      </w:pPr>
      <w:r w:rsidRPr="00E321A8">
        <w:rPr>
          <w:rFonts w:ascii="Times New Roman" w:hAnsi="Times New Roman"/>
          <w:b/>
        </w:rPr>
        <w:t>Įspėjimai ir atsargumo priemonės</w:t>
      </w:r>
    </w:p>
    <w:p w:rsidR="004C3181" w:rsidRPr="00E321A8" w:rsidRDefault="004C3181" w:rsidP="004C3181">
      <w:pPr>
        <w:tabs>
          <w:tab w:val="left" w:pos="567"/>
        </w:tabs>
        <w:spacing w:after="0" w:line="240" w:lineRule="auto"/>
        <w:ind w:left="567" w:hanging="567"/>
        <w:rPr>
          <w:rFonts w:ascii="Times New Roman" w:hAnsi="Times New Roman"/>
        </w:rPr>
      </w:pPr>
      <w:r w:rsidRPr="00E321A8">
        <w:rPr>
          <w:rFonts w:ascii="Times New Roman" w:hAnsi="Times New Roman"/>
        </w:rPr>
        <w:t>Pasitarkite su gydytoju:</w:t>
      </w:r>
    </w:p>
    <w:p w:rsidR="004C3181" w:rsidRPr="00E321A8" w:rsidRDefault="004C3181" w:rsidP="004C3181">
      <w:pPr>
        <w:numPr>
          <w:ilvl w:val="0"/>
          <w:numId w:val="1"/>
        </w:numPr>
        <w:tabs>
          <w:tab w:val="num" w:pos="567"/>
        </w:tabs>
        <w:spacing w:after="0" w:line="240" w:lineRule="auto"/>
        <w:ind w:left="567" w:hanging="567"/>
        <w:rPr>
          <w:rFonts w:ascii="Times New Roman" w:hAnsi="Times New Roman"/>
        </w:rPr>
      </w:pPr>
      <w:r w:rsidRPr="00E321A8">
        <w:rPr>
          <w:rFonts w:ascii="Times New Roman" w:hAnsi="Times New Roman"/>
        </w:rPr>
        <w:t xml:space="preserve">jei pasireiškia </w:t>
      </w:r>
      <w:r w:rsidRPr="00E321A8">
        <w:rPr>
          <w:rFonts w:ascii="Times New Roman" w:hAnsi="Times New Roman"/>
          <w:b/>
        </w:rPr>
        <w:t>hipokalemija</w:t>
      </w:r>
      <w:r w:rsidRPr="00E321A8">
        <w:rPr>
          <w:rFonts w:ascii="Times New Roman" w:hAnsi="Times New Roman"/>
        </w:rPr>
        <w:t xml:space="preserve"> (kalio kiekio kraujyje sumažėjimas) ir (ar) </w:t>
      </w:r>
      <w:r w:rsidRPr="00E321A8">
        <w:rPr>
          <w:rFonts w:ascii="Times New Roman" w:hAnsi="Times New Roman"/>
          <w:b/>
        </w:rPr>
        <w:t>hiponatremija</w:t>
      </w:r>
      <w:r w:rsidRPr="00E321A8">
        <w:rPr>
          <w:rFonts w:ascii="Times New Roman" w:hAnsi="Times New Roman"/>
        </w:rPr>
        <w:t xml:space="preserve"> (natrio kiekio kraujyje sumažėjimas), reikia kartu vartoti tinkamą kiekį kalio ir (arba) natrio preparatų;</w:t>
      </w:r>
    </w:p>
    <w:p w:rsidR="004C3181" w:rsidRPr="00E321A8" w:rsidRDefault="004C3181" w:rsidP="004C3181">
      <w:pPr>
        <w:tabs>
          <w:tab w:val="left" w:pos="567"/>
        </w:tabs>
        <w:spacing w:after="0" w:line="240" w:lineRule="auto"/>
        <w:ind w:left="567" w:hanging="567"/>
        <w:rPr>
          <w:rFonts w:ascii="Times New Roman" w:hAnsi="Times New Roman"/>
        </w:rPr>
      </w:pPr>
      <w:r w:rsidRPr="00E321A8">
        <w:rPr>
          <w:rFonts w:ascii="Times New Roman" w:hAnsi="Times New Roman"/>
        </w:rPr>
        <w:t>-</w:t>
      </w:r>
      <w:r w:rsidRPr="00E321A8">
        <w:rPr>
          <w:rFonts w:ascii="Times New Roman" w:hAnsi="Times New Roman"/>
        </w:rPr>
        <w:tab/>
        <w:t>aminorūgščių tirpalai gali sukelti ūminį folatų trūkumą, todėl pacientai kasdien turi vartoti folio rūgšties;</w:t>
      </w:r>
    </w:p>
    <w:p w:rsidR="004C3181" w:rsidRPr="00E321A8" w:rsidRDefault="004C3181" w:rsidP="004C3181">
      <w:pPr>
        <w:tabs>
          <w:tab w:val="left" w:pos="567"/>
        </w:tabs>
        <w:spacing w:after="0" w:line="240" w:lineRule="auto"/>
        <w:ind w:left="540" w:hanging="540"/>
        <w:rPr>
          <w:rFonts w:ascii="Times New Roman" w:hAnsi="Times New Roman"/>
        </w:rPr>
      </w:pPr>
      <w:r w:rsidRPr="00E321A8">
        <w:rPr>
          <w:rFonts w:ascii="Times New Roman" w:hAnsi="Times New Roman"/>
        </w:rPr>
        <w:lastRenderedPageBreak/>
        <w:t>-</w:t>
      </w:r>
      <w:r w:rsidRPr="00E321A8">
        <w:rPr>
          <w:rFonts w:ascii="Times New Roman" w:hAnsi="Times New Roman"/>
        </w:rPr>
        <w:tab/>
        <w:t xml:space="preserve">jei pacientas serga </w:t>
      </w:r>
      <w:r w:rsidRPr="00E321A8">
        <w:rPr>
          <w:rFonts w:ascii="Times New Roman" w:hAnsi="Times New Roman"/>
          <w:b/>
        </w:rPr>
        <w:t>širdies funkcijos nepakankamumu</w:t>
      </w:r>
      <w:r w:rsidRPr="00E321A8">
        <w:rPr>
          <w:rFonts w:ascii="Times New Roman" w:hAnsi="Times New Roman"/>
        </w:rPr>
        <w:t xml:space="preserve"> ir jam infuzuojama daug skysčio, tokį </w:t>
      </w:r>
      <w:r>
        <w:rPr>
          <w:rFonts w:ascii="Times New Roman" w:eastAsia="Times New Roman" w:hAnsi="Times New Roman" w:cs="Times New Roman"/>
          <w:lang w:eastAsia="lt-LT"/>
        </w:rPr>
        <w:t>pacientą</w:t>
      </w:r>
      <w:r w:rsidRPr="00E321A8">
        <w:rPr>
          <w:rFonts w:ascii="Times New Roman" w:hAnsi="Times New Roman"/>
        </w:rPr>
        <w:t xml:space="preserve"> reikia atidžiai sekti;</w:t>
      </w:r>
    </w:p>
    <w:p w:rsidR="004C3181" w:rsidRPr="00E321A8" w:rsidRDefault="004C3181" w:rsidP="004C3181">
      <w:pPr>
        <w:tabs>
          <w:tab w:val="left" w:pos="567"/>
        </w:tabs>
        <w:spacing w:after="0" w:line="240" w:lineRule="auto"/>
        <w:ind w:left="540" w:hanging="540"/>
        <w:rPr>
          <w:rFonts w:ascii="Times New Roman" w:hAnsi="Times New Roman"/>
        </w:rPr>
      </w:pPr>
      <w:r w:rsidRPr="00E321A8">
        <w:rPr>
          <w:rFonts w:ascii="Times New Roman" w:hAnsi="Times New Roman"/>
        </w:rPr>
        <w:t>-</w:t>
      </w:r>
      <w:r w:rsidRPr="00E321A8">
        <w:rPr>
          <w:rFonts w:ascii="Times New Roman" w:hAnsi="Times New Roman"/>
        </w:rPr>
        <w:tab/>
        <w:t>jei vartojama Aminoven 10 </w:t>
      </w:r>
      <w:r w:rsidRPr="00E321A8">
        <w:rPr>
          <w:rFonts w:ascii="Times New Roman" w:hAnsi="Times New Roman"/>
        </w:rPr>
        <w:sym w:font="Symbol" w:char="F025"/>
      </w:r>
      <w:r w:rsidRPr="00E321A8">
        <w:rPr>
          <w:rFonts w:ascii="Times New Roman" w:hAnsi="Times New Roman"/>
        </w:rPr>
        <w:t xml:space="preserve"> infuzinio tirpalo, reikia sekti kraujo serume elektrolitų, skysčio balansą ir inkstų funkciją; </w:t>
      </w:r>
    </w:p>
    <w:p w:rsidR="004C3181" w:rsidRPr="00E321A8" w:rsidRDefault="004C3181" w:rsidP="004C3181">
      <w:pPr>
        <w:tabs>
          <w:tab w:val="left" w:pos="567"/>
        </w:tabs>
        <w:spacing w:after="0" w:line="240" w:lineRule="auto"/>
        <w:ind w:left="567" w:hanging="567"/>
        <w:rPr>
          <w:rFonts w:ascii="Times New Roman" w:hAnsi="Times New Roman"/>
        </w:rPr>
      </w:pPr>
      <w:r w:rsidRPr="00E321A8">
        <w:rPr>
          <w:rFonts w:ascii="Times New Roman" w:hAnsi="Times New Roman"/>
        </w:rPr>
        <w:t>-</w:t>
      </w:r>
      <w:r w:rsidRPr="00E321A8">
        <w:rPr>
          <w:rFonts w:ascii="Times New Roman" w:hAnsi="Times New Roman"/>
        </w:rPr>
        <w:tab/>
        <w:t>infuzuojant į periferines venas, dažniausiai pasireiškia tromboflebitas (trombinis venos uždegimas), nes dirginamos venų sienelės, todėl rekomenduojama kasdien tikrinti infuzijos vietą;</w:t>
      </w:r>
    </w:p>
    <w:p w:rsidR="004C3181" w:rsidRPr="00E321A8" w:rsidRDefault="004C3181" w:rsidP="004C3181">
      <w:pPr>
        <w:tabs>
          <w:tab w:val="left" w:pos="567"/>
        </w:tabs>
        <w:spacing w:after="0" w:line="240" w:lineRule="auto"/>
        <w:ind w:left="567" w:hanging="567"/>
        <w:rPr>
          <w:rFonts w:ascii="Times New Roman" w:hAnsi="Times New Roman"/>
        </w:rPr>
      </w:pPr>
      <w:r w:rsidRPr="00E321A8">
        <w:rPr>
          <w:rFonts w:ascii="Times New Roman" w:hAnsi="Times New Roman"/>
        </w:rPr>
        <w:t>-</w:t>
      </w:r>
      <w:r w:rsidRPr="00E321A8">
        <w:rPr>
          <w:rFonts w:ascii="Times New Roman" w:hAnsi="Times New Roman"/>
        </w:rPr>
        <w:tab/>
        <w:t>jei reikia vartoti dar ir lipidų emulsijos, ją reikėtų infuzuoti, jei įmanoma, sumaišius su Aminoven 10</w:t>
      </w:r>
      <w:r w:rsidRPr="00E321A8">
        <w:rPr>
          <w:rFonts w:ascii="Times New Roman" w:hAnsi="Times New Roman"/>
        </w:rPr>
        <w:sym w:font="Symbol" w:char="F025"/>
      </w:r>
      <w:r w:rsidRPr="00E321A8">
        <w:rPr>
          <w:rFonts w:ascii="Times New Roman" w:hAnsi="Times New Roman"/>
        </w:rPr>
        <w:t xml:space="preserve"> infuziniu</w:t>
      </w:r>
      <w:r w:rsidRPr="00E321A8">
        <w:rPr>
          <w:rFonts w:ascii="Times New Roman" w:hAnsi="Times New Roman"/>
          <w:b/>
          <w:i/>
        </w:rPr>
        <w:t xml:space="preserve"> </w:t>
      </w:r>
      <w:r w:rsidRPr="00E321A8">
        <w:rPr>
          <w:rFonts w:ascii="Times New Roman" w:hAnsi="Times New Roman"/>
        </w:rPr>
        <w:t xml:space="preserve">tirpalu, kad vena kuo mažiau būtų dirginama; </w:t>
      </w:r>
    </w:p>
    <w:p w:rsidR="004C3181" w:rsidRPr="00E321A8" w:rsidRDefault="004C3181" w:rsidP="004C3181">
      <w:pPr>
        <w:tabs>
          <w:tab w:val="left" w:pos="567"/>
        </w:tabs>
        <w:spacing w:after="0" w:line="240" w:lineRule="auto"/>
        <w:ind w:left="567" w:hanging="567"/>
        <w:rPr>
          <w:rFonts w:ascii="Times New Roman" w:hAnsi="Times New Roman"/>
        </w:rPr>
      </w:pPr>
      <w:r w:rsidRPr="00E321A8">
        <w:rPr>
          <w:rFonts w:ascii="Times New Roman" w:hAnsi="Times New Roman"/>
        </w:rPr>
        <w:t>-</w:t>
      </w:r>
      <w:r w:rsidRPr="00E321A8">
        <w:rPr>
          <w:rFonts w:ascii="Times New Roman" w:hAnsi="Times New Roman"/>
        </w:rPr>
        <w:tab/>
        <w:t>kuri vena – periferinė ar centrinė – infuzijai tiktų geriau, priklauso nuo galutinio mišinio osmoso. Didžiausia priimtina infuzijos į periferinę veną riba yra maždaug 800 mosm/l, tačiau ji labai kinta priklausomai nuo paciento amžiaus, jo bendrosios ir periferinių venų būklės;</w:t>
      </w: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w:t>
      </w:r>
      <w:r w:rsidRPr="00E321A8">
        <w:rPr>
          <w:rFonts w:ascii="Times New Roman" w:hAnsi="Times New Roman"/>
        </w:rPr>
        <w:tab/>
        <w:t>reikia laikytis griežtos aseptikos, ypač tuo atveju, jei kateteris įvedamas į centrinę veną;</w:t>
      </w:r>
    </w:p>
    <w:p w:rsidR="004C3181" w:rsidRPr="00E321A8" w:rsidRDefault="004C3181" w:rsidP="004C3181">
      <w:pPr>
        <w:tabs>
          <w:tab w:val="left" w:pos="567"/>
        </w:tabs>
        <w:spacing w:after="0" w:line="240" w:lineRule="auto"/>
        <w:ind w:left="567" w:hanging="567"/>
        <w:rPr>
          <w:rFonts w:ascii="Times New Roman" w:hAnsi="Times New Roman"/>
        </w:rPr>
      </w:pPr>
      <w:r w:rsidRPr="00E321A8">
        <w:rPr>
          <w:rFonts w:ascii="Times New Roman" w:hAnsi="Times New Roman"/>
        </w:rPr>
        <w:t>-</w:t>
      </w:r>
      <w:r w:rsidRPr="00E321A8">
        <w:rPr>
          <w:rFonts w:ascii="Times New Roman" w:hAnsi="Times New Roman"/>
        </w:rPr>
        <w:tab/>
        <w:t>Aminoven 10</w:t>
      </w:r>
      <w:r w:rsidRPr="00E321A8">
        <w:rPr>
          <w:rFonts w:ascii="Times New Roman" w:hAnsi="Times New Roman"/>
        </w:rPr>
        <w:sym w:font="Symbol" w:char="F025"/>
      </w:r>
      <w:r w:rsidRPr="00E321A8">
        <w:rPr>
          <w:rFonts w:ascii="Times New Roman" w:hAnsi="Times New Roman"/>
          <w:b/>
          <w:i/>
        </w:rPr>
        <w:t xml:space="preserve"> </w:t>
      </w:r>
      <w:r w:rsidRPr="00E321A8">
        <w:rPr>
          <w:rFonts w:ascii="Times New Roman" w:hAnsi="Times New Roman"/>
        </w:rPr>
        <w:t>infuzinis tirpalas vartojamas kaip bendrosios mitybos parenteriniu būdu dalis kartu su reikiamu energinių pakaitalų (angliavandenių tirpalų, riebalų emulsija) kiekiu, elektrolitais, vitaminais ir mikroelementais.</w:t>
      </w:r>
    </w:p>
    <w:p w:rsidR="004C3181" w:rsidRPr="00E321A8" w:rsidRDefault="004C3181" w:rsidP="004C3181">
      <w:pPr>
        <w:tabs>
          <w:tab w:val="left" w:pos="567"/>
        </w:tabs>
        <w:spacing w:after="0" w:line="240" w:lineRule="auto"/>
        <w:rPr>
          <w:rFonts w:ascii="Times New Roman" w:hAnsi="Times New Roman"/>
          <w:b/>
        </w:rPr>
      </w:pPr>
    </w:p>
    <w:p w:rsidR="004C3181" w:rsidRPr="00E321A8" w:rsidRDefault="004C3181" w:rsidP="004C3181">
      <w:pPr>
        <w:tabs>
          <w:tab w:val="left" w:pos="567"/>
        </w:tabs>
        <w:spacing w:after="0" w:line="240" w:lineRule="auto"/>
        <w:rPr>
          <w:rFonts w:ascii="Times New Roman" w:hAnsi="Times New Roman"/>
          <w:b/>
        </w:rPr>
      </w:pPr>
      <w:r w:rsidRPr="00E321A8">
        <w:rPr>
          <w:rFonts w:ascii="Times New Roman" w:hAnsi="Times New Roman"/>
          <w:b/>
        </w:rPr>
        <w:t>Vaikams ir paaugliams</w:t>
      </w: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 xml:space="preserve">Aminoven 10 % </w:t>
      </w:r>
      <w:r w:rsidRPr="00E321A8">
        <w:rPr>
          <w:rFonts w:ascii="Times New Roman" w:hAnsi="Times New Roman"/>
          <w:b/>
        </w:rPr>
        <w:t>draudžiama vartoti naujagimiams ir kūdikiams jaunesniems nei 6 mėnesiai</w:t>
      </w:r>
      <w:r w:rsidRPr="00E321A8">
        <w:rPr>
          <w:rFonts w:ascii="Times New Roman" w:hAnsi="Times New Roman"/>
        </w:rPr>
        <w:t xml:space="preserve">, </w:t>
      </w:r>
      <w:r w:rsidRPr="00E321A8">
        <w:rPr>
          <w:rFonts w:ascii="Times New Roman" w:hAnsi="Times New Roman"/>
          <w:b/>
        </w:rPr>
        <w:t>nerekomenduojamas vartoti jaunesniems nei 2 metų</w:t>
      </w:r>
      <w:r w:rsidRPr="00E321A8">
        <w:rPr>
          <w:rFonts w:ascii="Times New Roman" w:hAnsi="Times New Roman"/>
        </w:rPr>
        <w:t xml:space="preserve"> vaikams. </w:t>
      </w:r>
    </w:p>
    <w:p w:rsidR="004C3181" w:rsidRPr="00E321A8" w:rsidRDefault="004C3181" w:rsidP="004C3181">
      <w:pPr>
        <w:tabs>
          <w:tab w:val="left" w:pos="567"/>
        </w:tabs>
        <w:spacing w:after="0" w:line="240" w:lineRule="auto"/>
        <w:rPr>
          <w:rFonts w:ascii="Times New Roman" w:hAnsi="Times New Roman"/>
        </w:rPr>
      </w:pPr>
    </w:p>
    <w:p w:rsidR="004C3181" w:rsidRPr="00E321A8" w:rsidRDefault="004C3181" w:rsidP="004C3181">
      <w:pPr>
        <w:tabs>
          <w:tab w:val="left" w:pos="567"/>
        </w:tabs>
        <w:spacing w:after="0" w:line="240" w:lineRule="auto"/>
        <w:rPr>
          <w:rFonts w:ascii="Times New Roman" w:hAnsi="Times New Roman"/>
          <w:b/>
        </w:rPr>
      </w:pPr>
      <w:r w:rsidRPr="00E321A8">
        <w:rPr>
          <w:rFonts w:ascii="Times New Roman" w:hAnsi="Times New Roman"/>
          <w:b/>
        </w:rPr>
        <w:t>Kiti vaistai ir Aminoven 10 %</w:t>
      </w:r>
    </w:p>
    <w:p w:rsidR="004C3181" w:rsidRPr="00E321A8" w:rsidRDefault="004C3181" w:rsidP="004C3181">
      <w:pPr>
        <w:tabs>
          <w:tab w:val="left" w:pos="567"/>
        </w:tabs>
        <w:spacing w:after="0" w:line="240" w:lineRule="auto"/>
        <w:rPr>
          <w:rFonts w:ascii="Times New Roman" w:hAnsi="Times New Roman"/>
        </w:rPr>
      </w:pPr>
      <w:r w:rsidRPr="00E37425">
        <w:rPr>
          <w:rFonts w:ascii="Times New Roman" w:eastAsia="Times New Roman" w:hAnsi="Times New Roman" w:cs="Times New Roman"/>
        </w:rPr>
        <w:t>Jei</w:t>
      </w:r>
      <w:r>
        <w:rPr>
          <w:rFonts w:ascii="Times New Roman" w:eastAsia="Times New Roman" w:hAnsi="Times New Roman" w:cs="Times New Roman"/>
        </w:rPr>
        <w:t>gu</w:t>
      </w:r>
      <w:r w:rsidRPr="00E321A8">
        <w:rPr>
          <w:rFonts w:ascii="Times New Roman" w:hAnsi="Times New Roman"/>
        </w:rPr>
        <w:t xml:space="preserve"> vartojate </w:t>
      </w:r>
      <w:r w:rsidRPr="00E37425">
        <w:rPr>
          <w:rFonts w:ascii="Times New Roman" w:eastAsia="Times New Roman" w:hAnsi="Times New Roman" w:cs="Times New Roman"/>
        </w:rPr>
        <w:t>ar</w:t>
      </w:r>
      <w:r w:rsidRPr="00E321A8">
        <w:rPr>
          <w:rFonts w:ascii="Times New Roman" w:hAnsi="Times New Roman"/>
        </w:rPr>
        <w:t xml:space="preserve"> neseniai vartojote kitų vaistų, įskaitant įsigytų be recepto, </w:t>
      </w:r>
      <w:r w:rsidRPr="00A462B4">
        <w:rPr>
          <w:rFonts w:ascii="Times New Roman" w:eastAsia="Times New Roman" w:hAnsi="Times New Roman" w:cs="Times New Roman"/>
        </w:rPr>
        <w:t xml:space="preserve">arba dėl to nesate tikri, </w:t>
      </w:r>
      <w:r>
        <w:rPr>
          <w:rFonts w:ascii="Times New Roman" w:eastAsia="Times New Roman" w:hAnsi="Times New Roman" w:cs="Times New Roman"/>
        </w:rPr>
        <w:t xml:space="preserve">apie tai </w:t>
      </w:r>
      <w:r w:rsidRPr="00E321A8">
        <w:rPr>
          <w:rFonts w:ascii="Times New Roman" w:hAnsi="Times New Roman"/>
        </w:rPr>
        <w:t>pasakykite gydytojui.</w:t>
      </w: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 xml:space="preserve">Sąveikos su kitais </w:t>
      </w:r>
      <w:r>
        <w:rPr>
          <w:rFonts w:ascii="Times New Roman" w:eastAsia="Times New Roman" w:hAnsi="Times New Roman" w:cs="Times New Roman"/>
        </w:rPr>
        <w:t>vaistais</w:t>
      </w:r>
      <w:r w:rsidRPr="00E321A8">
        <w:rPr>
          <w:rFonts w:ascii="Times New Roman" w:hAnsi="Times New Roman"/>
        </w:rPr>
        <w:t xml:space="preserve"> iki šiol nepastebėta.</w:t>
      </w:r>
    </w:p>
    <w:p w:rsidR="004C3181" w:rsidRPr="00E321A8" w:rsidRDefault="004C3181" w:rsidP="004C3181">
      <w:pPr>
        <w:tabs>
          <w:tab w:val="left" w:pos="567"/>
        </w:tabs>
        <w:spacing w:after="0" w:line="240" w:lineRule="auto"/>
        <w:rPr>
          <w:rFonts w:ascii="Times New Roman" w:hAnsi="Times New Roman"/>
        </w:rPr>
      </w:pP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 xml:space="preserve">Kad į </w:t>
      </w:r>
      <w:r>
        <w:rPr>
          <w:rFonts w:ascii="Times New Roman" w:eastAsia="Times New Roman" w:hAnsi="Times New Roman" w:cs="Times New Roman"/>
        </w:rPr>
        <w:t>vaistą</w:t>
      </w:r>
      <w:r w:rsidRPr="00E321A8">
        <w:rPr>
          <w:rFonts w:ascii="Times New Roman" w:hAnsi="Times New Roman"/>
        </w:rPr>
        <w:t xml:space="preserve"> nepatektų mikroorganizmų ir nepasireikštų nesuderinamumas, aminorūgščių tirpalų maišyti su kitais </w:t>
      </w:r>
      <w:r>
        <w:rPr>
          <w:rFonts w:ascii="Times New Roman" w:eastAsia="Times New Roman" w:hAnsi="Times New Roman" w:cs="Times New Roman"/>
        </w:rPr>
        <w:t>vaistais</w:t>
      </w:r>
      <w:r w:rsidRPr="00E321A8">
        <w:rPr>
          <w:rFonts w:ascii="Times New Roman" w:hAnsi="Times New Roman"/>
        </w:rPr>
        <w:t xml:space="preserve"> negalima. </w:t>
      </w: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Jei Aminoven 10 </w:t>
      </w:r>
      <w:r w:rsidRPr="00E321A8">
        <w:rPr>
          <w:rFonts w:ascii="Times New Roman" w:hAnsi="Times New Roman"/>
        </w:rPr>
        <w:sym w:font="Symbol" w:char="F025"/>
      </w:r>
      <w:r w:rsidRPr="00E321A8">
        <w:rPr>
          <w:rFonts w:ascii="Times New Roman" w:hAnsi="Times New Roman"/>
        </w:rPr>
        <w:t xml:space="preserve"> infuzinį tirpalą būtina maišyti su kitokiomis maisto medžiagomis, pvz., angliavandeniais, lipidų emulsija, elektrolitais, vitaminais arba mikroelementais, būtina stebėti, kad maišymo įranga būtų aseptinė (sterili) ir (ypač svarbu) kad mišiniai būtų suderinami.</w:t>
      </w: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 xml:space="preserve">Suderinamumas nustatomas, atliekant tyrimus su įvairiais mišiniais. </w:t>
      </w: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Tokius duomenis pateikia gamintojas.</w:t>
      </w:r>
    </w:p>
    <w:p w:rsidR="004C3181" w:rsidRPr="00E321A8" w:rsidRDefault="004C3181" w:rsidP="004C3181">
      <w:pPr>
        <w:tabs>
          <w:tab w:val="left" w:pos="567"/>
        </w:tabs>
        <w:spacing w:after="0" w:line="240" w:lineRule="auto"/>
        <w:rPr>
          <w:rFonts w:ascii="Times New Roman" w:hAnsi="Times New Roman"/>
        </w:rPr>
      </w:pPr>
    </w:p>
    <w:p w:rsidR="004C3181" w:rsidRPr="00E321A8" w:rsidRDefault="004C3181" w:rsidP="004C3181">
      <w:pPr>
        <w:tabs>
          <w:tab w:val="left" w:pos="567"/>
        </w:tabs>
        <w:spacing w:after="0" w:line="240" w:lineRule="auto"/>
        <w:rPr>
          <w:rFonts w:ascii="Times New Roman" w:hAnsi="Times New Roman"/>
          <w:b/>
        </w:rPr>
      </w:pPr>
      <w:r w:rsidRPr="00E321A8">
        <w:rPr>
          <w:rFonts w:ascii="Times New Roman" w:hAnsi="Times New Roman"/>
          <w:b/>
        </w:rPr>
        <w:t>Nėštumas ir žindymo laikotarpis</w:t>
      </w: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 xml:space="preserve">Specialių Aminoven 10 </w:t>
      </w:r>
      <w:r w:rsidRPr="00E321A8">
        <w:rPr>
          <w:rFonts w:ascii="Times New Roman" w:hAnsi="Times New Roman"/>
        </w:rPr>
        <w:sym w:font="Symbol" w:char="F025"/>
      </w:r>
      <w:r w:rsidRPr="00E321A8">
        <w:rPr>
          <w:rFonts w:ascii="Times New Roman" w:hAnsi="Times New Roman"/>
          <w:b/>
          <w:i/>
        </w:rPr>
        <w:t xml:space="preserve"> </w:t>
      </w:r>
      <w:r w:rsidRPr="00E321A8">
        <w:rPr>
          <w:rFonts w:ascii="Times New Roman" w:hAnsi="Times New Roman"/>
        </w:rPr>
        <w:t>infuzinio tirpalo poveikio tyrimų nėštumo laikotarpiu neatlikta, tačiau klinikinių tyrimų su panašiais parenteriniu būdu vartojamais aminorūgščių tirpalais metu pavojingo poveikio nėštumo laikotarpiu nepastebėta. Prieš Aminoven 10</w:t>
      </w:r>
      <w:r w:rsidRPr="00E321A8">
        <w:rPr>
          <w:rFonts w:ascii="Times New Roman" w:hAnsi="Times New Roman"/>
        </w:rPr>
        <w:sym w:font="Symbol" w:char="F025"/>
      </w:r>
      <w:r w:rsidRPr="00E321A8">
        <w:rPr>
          <w:rFonts w:ascii="Times New Roman" w:hAnsi="Times New Roman"/>
          <w:b/>
          <w:i/>
        </w:rPr>
        <w:t xml:space="preserve"> </w:t>
      </w:r>
      <w:r w:rsidRPr="00E321A8">
        <w:rPr>
          <w:rFonts w:ascii="Times New Roman" w:hAnsi="Times New Roman"/>
        </w:rPr>
        <w:t>infuzinio tirpalo infuziją nėščiai moteriai reikėtų nustatyti rizikos ir naudos santykį.</w:t>
      </w:r>
    </w:p>
    <w:p w:rsidR="004C3181" w:rsidRPr="00E321A8" w:rsidRDefault="004C3181" w:rsidP="004C3181">
      <w:pPr>
        <w:tabs>
          <w:tab w:val="left" w:pos="567"/>
        </w:tabs>
        <w:spacing w:after="0" w:line="240" w:lineRule="auto"/>
        <w:rPr>
          <w:rFonts w:ascii="Times New Roman" w:hAnsi="Times New Roman"/>
        </w:rPr>
      </w:pPr>
    </w:p>
    <w:p w:rsidR="004C3181" w:rsidRPr="00E321A8" w:rsidRDefault="004C3181" w:rsidP="004C3181">
      <w:pPr>
        <w:tabs>
          <w:tab w:val="left" w:pos="567"/>
        </w:tabs>
        <w:spacing w:after="0" w:line="240" w:lineRule="auto"/>
        <w:rPr>
          <w:rFonts w:ascii="Times New Roman" w:hAnsi="Times New Roman"/>
          <w:b/>
        </w:rPr>
      </w:pPr>
      <w:r w:rsidRPr="00E321A8">
        <w:rPr>
          <w:rFonts w:ascii="Times New Roman" w:hAnsi="Times New Roman"/>
          <w:b/>
        </w:rPr>
        <w:t>Vairavimas ir mechanizmų valdymas</w:t>
      </w: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Tokių tyrimų duomenų nepateikiama.</w:t>
      </w:r>
    </w:p>
    <w:p w:rsidR="004C3181" w:rsidRPr="00E321A8" w:rsidRDefault="004C3181" w:rsidP="004C3181">
      <w:pPr>
        <w:tabs>
          <w:tab w:val="left" w:pos="567"/>
        </w:tabs>
        <w:spacing w:after="0" w:line="240" w:lineRule="auto"/>
        <w:rPr>
          <w:rFonts w:ascii="Times New Roman" w:hAnsi="Times New Roman"/>
          <w:b/>
        </w:rPr>
      </w:pPr>
    </w:p>
    <w:p w:rsidR="004C3181" w:rsidRPr="00E321A8" w:rsidRDefault="004C3181" w:rsidP="004C3181">
      <w:pPr>
        <w:tabs>
          <w:tab w:val="left" w:pos="567"/>
        </w:tabs>
        <w:spacing w:after="0" w:line="240" w:lineRule="auto"/>
        <w:rPr>
          <w:rFonts w:ascii="Times New Roman" w:hAnsi="Times New Roman"/>
        </w:rPr>
      </w:pP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b/>
        </w:rPr>
        <w:t>3.</w:t>
      </w:r>
      <w:r w:rsidRPr="00E321A8">
        <w:rPr>
          <w:rFonts w:ascii="Times New Roman" w:hAnsi="Times New Roman"/>
          <w:b/>
        </w:rPr>
        <w:tab/>
        <w:t>Kaip vartoti</w:t>
      </w:r>
      <w:r w:rsidRPr="00E321A8">
        <w:rPr>
          <w:rFonts w:ascii="Times New Roman" w:hAnsi="Times New Roman"/>
        </w:rPr>
        <w:t xml:space="preserve"> </w:t>
      </w:r>
      <w:r w:rsidRPr="00E321A8">
        <w:rPr>
          <w:rFonts w:ascii="Times New Roman" w:hAnsi="Times New Roman"/>
          <w:b/>
        </w:rPr>
        <w:t>Aminoven</w:t>
      </w:r>
    </w:p>
    <w:p w:rsidR="004C3181" w:rsidRPr="00E321A8" w:rsidRDefault="004C3181" w:rsidP="004C3181">
      <w:pPr>
        <w:tabs>
          <w:tab w:val="left" w:pos="567"/>
        </w:tabs>
        <w:spacing w:after="0" w:line="240" w:lineRule="auto"/>
        <w:rPr>
          <w:rFonts w:ascii="Times New Roman" w:hAnsi="Times New Roman"/>
          <w:b/>
        </w:rPr>
      </w:pPr>
    </w:p>
    <w:p w:rsidR="004C3181" w:rsidRPr="00E321A8" w:rsidRDefault="004C3181" w:rsidP="004C3181">
      <w:pPr>
        <w:tabs>
          <w:tab w:val="left" w:pos="567"/>
        </w:tabs>
        <w:spacing w:after="0" w:line="240" w:lineRule="auto"/>
        <w:rPr>
          <w:rFonts w:ascii="Times New Roman" w:hAnsi="Times New Roman"/>
          <w:b/>
        </w:rPr>
      </w:pPr>
      <w:r w:rsidRPr="00A462B4">
        <w:rPr>
          <w:rFonts w:ascii="Times New Roman" w:eastAsia="Times New Roman" w:hAnsi="Times New Roman" w:cs="Times New Roman"/>
        </w:rPr>
        <w:t>Visada</w:t>
      </w:r>
      <w:r w:rsidRPr="00E321A8">
        <w:rPr>
          <w:rFonts w:ascii="Times New Roman" w:hAnsi="Times New Roman"/>
        </w:rPr>
        <w:t xml:space="preserve"> vartokite </w:t>
      </w:r>
      <w:r w:rsidRPr="00A462B4">
        <w:rPr>
          <w:rFonts w:ascii="Times New Roman" w:eastAsia="Times New Roman" w:hAnsi="Times New Roman" w:cs="Times New Roman"/>
        </w:rPr>
        <w:t xml:space="preserve">šį vaistą </w:t>
      </w:r>
      <w:r w:rsidRPr="00E321A8">
        <w:rPr>
          <w:rFonts w:ascii="Times New Roman" w:hAnsi="Times New Roman"/>
        </w:rPr>
        <w:t>tiksliai kaip nurodė gydytojas. Jeigu abejojate, kreipkitės į gydytoją arba vaistininką.</w:t>
      </w: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Atkimšus buteliuką, Aminoven 10 </w:t>
      </w:r>
      <w:r w:rsidRPr="00E321A8">
        <w:rPr>
          <w:rFonts w:ascii="Times New Roman" w:hAnsi="Times New Roman"/>
        </w:rPr>
        <w:sym w:font="Symbol" w:char="F025"/>
      </w:r>
      <w:r w:rsidRPr="00E321A8">
        <w:rPr>
          <w:rFonts w:ascii="Times New Roman" w:hAnsi="Times New Roman"/>
        </w:rPr>
        <w:t xml:space="preserve"> infuzinį tirpalą būtina vartoti nedelsiant. Infuzijos įranga turi būti sterili. </w:t>
      </w:r>
      <w:r>
        <w:rPr>
          <w:rFonts w:ascii="Times New Roman" w:eastAsia="Times New Roman" w:hAnsi="Times New Roman" w:cs="Times New Roman"/>
        </w:rPr>
        <w:t>Vaistas</w:t>
      </w:r>
      <w:r w:rsidRPr="00E321A8">
        <w:rPr>
          <w:rFonts w:ascii="Times New Roman" w:hAnsi="Times New Roman"/>
        </w:rPr>
        <w:t xml:space="preserve"> yra vienkartinio </w:t>
      </w:r>
      <w:r>
        <w:rPr>
          <w:rFonts w:ascii="Times New Roman" w:eastAsia="Times New Roman" w:hAnsi="Times New Roman" w:cs="Times New Roman"/>
        </w:rPr>
        <w:t>vartojimo</w:t>
      </w:r>
      <w:r w:rsidRPr="00E321A8">
        <w:rPr>
          <w:rFonts w:ascii="Times New Roman" w:hAnsi="Times New Roman"/>
        </w:rPr>
        <w:t>. Pasibaigus tinkamumo laikui, tirpalo vartoti draudžiama.</w:t>
      </w: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Tirpalą galima vartoti tik tuo atveju, jei jis yra skaidrus, jame nėra priemaišų ir pakuotė nepažeista.</w:t>
      </w: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Aminoven 10 </w:t>
      </w:r>
      <w:r w:rsidRPr="00E321A8">
        <w:rPr>
          <w:rFonts w:ascii="Times New Roman" w:hAnsi="Times New Roman"/>
        </w:rPr>
        <w:sym w:font="Symbol" w:char="F025"/>
      </w:r>
      <w:r w:rsidRPr="00E321A8">
        <w:rPr>
          <w:rFonts w:ascii="Times New Roman" w:hAnsi="Times New Roman"/>
        </w:rPr>
        <w:t xml:space="preserve"> infuzinio</w:t>
      </w:r>
      <w:r w:rsidRPr="00E321A8">
        <w:rPr>
          <w:rFonts w:ascii="Times New Roman" w:hAnsi="Times New Roman"/>
          <w:b/>
          <w:i/>
        </w:rPr>
        <w:t xml:space="preserve"> </w:t>
      </w:r>
      <w:r w:rsidRPr="00E321A8">
        <w:rPr>
          <w:rFonts w:ascii="Times New Roman" w:hAnsi="Times New Roman"/>
        </w:rPr>
        <w:t>tirpalo aseptiniu būdu galima maišyti su kitomis maistinėmis medžiagomis, pvz., riebalų emulsija, angliavandeniais ir elektrolitais. Cheminio ir fizinio mišinių stabilumo tyrimai atliekami su įvairiais mišiniais, kurie 9 paras laikomi 4 </w:t>
      </w:r>
      <w:r w:rsidRPr="00E321A8">
        <w:rPr>
          <w:rFonts w:ascii="Times New Roman" w:hAnsi="Times New Roman"/>
        </w:rPr>
        <w:sym w:font="Symbol" w:char="F0B0"/>
      </w:r>
      <w:r w:rsidRPr="00E321A8">
        <w:rPr>
          <w:rFonts w:ascii="Times New Roman" w:hAnsi="Times New Roman"/>
        </w:rPr>
        <w:t>C temperatūroje. Tokius duomenis pateikia gamintojas.</w:t>
      </w: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 xml:space="preserve">Kad mikroorganizmų nepatektų į parenteriniu būdu vartojamą maisto medžiagų mišinį tuo atveju, jei jo pagaminimo sąlygų ir metodų patikimumas nenustatytas, jį reikia suvartoti tuoj pat. Jei tuoj pat </w:t>
      </w:r>
      <w:r w:rsidRPr="00E321A8">
        <w:rPr>
          <w:rFonts w:ascii="Times New Roman" w:hAnsi="Times New Roman"/>
        </w:rPr>
        <w:lastRenderedPageBreak/>
        <w:t xml:space="preserve">infuzuoti negalima, </w:t>
      </w:r>
      <w:r>
        <w:rPr>
          <w:rFonts w:ascii="Times New Roman" w:eastAsia="Times New Roman" w:hAnsi="Times New Roman" w:cs="Times New Roman"/>
        </w:rPr>
        <w:t>vaistą</w:t>
      </w:r>
      <w:r w:rsidRPr="00E321A8">
        <w:rPr>
          <w:rFonts w:ascii="Times New Roman" w:hAnsi="Times New Roman"/>
        </w:rPr>
        <w:t xml:space="preserve"> reikia laikyti 2</w:t>
      </w:r>
      <w:r w:rsidRPr="00E321A8">
        <w:rPr>
          <w:rFonts w:ascii="Times New Roman" w:hAnsi="Times New Roman"/>
        </w:rPr>
        <w:noBreakHyphen/>
        <w:t>8 </w:t>
      </w:r>
      <w:r w:rsidRPr="00E321A8">
        <w:rPr>
          <w:rFonts w:ascii="Times New Roman" w:hAnsi="Times New Roman"/>
        </w:rPr>
        <w:sym w:font="Symbol" w:char="F0B0"/>
      </w:r>
      <w:r w:rsidRPr="00E321A8">
        <w:rPr>
          <w:rFonts w:ascii="Times New Roman" w:hAnsi="Times New Roman"/>
        </w:rPr>
        <w:t>C temperatūroje ne ilgiau kaip 24 valandas, nebent mišinio paruošimo metodai būtų patikimi.</w:t>
      </w:r>
    </w:p>
    <w:p w:rsidR="004C3181" w:rsidRPr="00E321A8" w:rsidRDefault="004C3181" w:rsidP="004C3181">
      <w:pPr>
        <w:tabs>
          <w:tab w:val="left" w:pos="567"/>
        </w:tabs>
        <w:spacing w:after="0" w:line="240" w:lineRule="auto"/>
        <w:rPr>
          <w:rFonts w:ascii="Times New Roman" w:hAnsi="Times New Roman"/>
        </w:rPr>
      </w:pP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 xml:space="preserve">Tirpalo infuzuojama nepertraukiamai į centrinę veną. </w:t>
      </w: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Tirpalo likučius reikia išpilti.</w:t>
      </w:r>
    </w:p>
    <w:p w:rsidR="004C3181" w:rsidRPr="00E321A8" w:rsidRDefault="004C3181" w:rsidP="004C3181">
      <w:pPr>
        <w:tabs>
          <w:tab w:val="left" w:pos="567"/>
        </w:tabs>
        <w:spacing w:after="0" w:line="240" w:lineRule="auto"/>
        <w:rPr>
          <w:rFonts w:ascii="Times New Roman" w:hAnsi="Times New Roman"/>
        </w:rPr>
      </w:pP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Dozė priklauso nuo katabolizmo intensyvumo ir aminorūgščių poreikio.</w:t>
      </w: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 xml:space="preserve">Jei </w:t>
      </w:r>
      <w:r>
        <w:rPr>
          <w:rFonts w:ascii="Times New Roman" w:eastAsia="Times New Roman" w:hAnsi="Times New Roman" w:cs="Times New Roman"/>
        </w:rPr>
        <w:t>pacientas</w:t>
      </w:r>
      <w:r w:rsidRPr="00E321A8">
        <w:rPr>
          <w:rFonts w:ascii="Times New Roman" w:hAnsi="Times New Roman"/>
        </w:rPr>
        <w:t xml:space="preserve"> maitinamas parenteriniu būdu, didžiausia aminorūgščių dienos dozė turi būti ne didesnė kaip 2 g/kg kūno svorio.</w:t>
      </w:r>
    </w:p>
    <w:p w:rsidR="004C3181" w:rsidRPr="00E321A8" w:rsidRDefault="004C3181" w:rsidP="004C3181">
      <w:pPr>
        <w:tabs>
          <w:tab w:val="left" w:pos="567"/>
        </w:tabs>
        <w:spacing w:after="0" w:line="240" w:lineRule="auto"/>
        <w:rPr>
          <w:rFonts w:ascii="Times New Roman" w:hAnsi="Times New Roman"/>
        </w:rPr>
      </w:pPr>
    </w:p>
    <w:p w:rsidR="004C3181" w:rsidRPr="00E321A8" w:rsidRDefault="004C3181" w:rsidP="004C3181">
      <w:pPr>
        <w:keepNext/>
        <w:tabs>
          <w:tab w:val="left" w:pos="567"/>
        </w:tabs>
        <w:spacing w:after="0" w:line="240" w:lineRule="auto"/>
        <w:ind w:left="567" w:hanging="567"/>
        <w:outlineLvl w:val="2"/>
        <w:rPr>
          <w:rFonts w:ascii="Times New Roman" w:hAnsi="Times New Roman"/>
          <w:b/>
        </w:rPr>
      </w:pPr>
      <w:r w:rsidRPr="00E321A8">
        <w:rPr>
          <w:rFonts w:ascii="Times New Roman" w:hAnsi="Times New Roman"/>
          <w:b/>
        </w:rPr>
        <w:t xml:space="preserve">Paros dozė </w:t>
      </w:r>
    </w:p>
    <w:p w:rsidR="004C3181" w:rsidRPr="00E321A8" w:rsidRDefault="004C3181" w:rsidP="004C3181">
      <w:pPr>
        <w:keepNext/>
        <w:tabs>
          <w:tab w:val="left" w:pos="0"/>
        </w:tabs>
        <w:spacing w:after="0" w:line="240" w:lineRule="auto"/>
        <w:outlineLvl w:val="2"/>
        <w:rPr>
          <w:rFonts w:ascii="Times New Roman" w:hAnsi="Times New Roman"/>
        </w:rPr>
      </w:pPr>
      <w:r w:rsidRPr="00E321A8">
        <w:rPr>
          <w:rFonts w:ascii="Times New Roman" w:hAnsi="Times New Roman"/>
          <w:b/>
        </w:rPr>
        <w:t>Paros dozė yra 10</w:t>
      </w:r>
      <w:r w:rsidRPr="00E321A8">
        <w:rPr>
          <w:rFonts w:ascii="Times New Roman" w:hAnsi="Times New Roman"/>
          <w:b/>
        </w:rPr>
        <w:noBreakHyphen/>
        <w:t>20 ml Aminoven 10</w:t>
      </w:r>
      <w:r w:rsidRPr="00E321A8">
        <w:rPr>
          <w:rFonts w:ascii="Times New Roman" w:hAnsi="Times New Roman"/>
          <w:b/>
        </w:rPr>
        <w:sym w:font="Symbol" w:char="F025"/>
      </w:r>
      <w:r w:rsidRPr="00E321A8">
        <w:rPr>
          <w:rFonts w:ascii="Times New Roman" w:hAnsi="Times New Roman"/>
          <w:b/>
        </w:rPr>
        <w:t xml:space="preserve"> infuzinio tirpalo/kg kūno svorio (atitinka 1</w:t>
      </w:r>
      <w:r w:rsidRPr="00E321A8">
        <w:rPr>
          <w:rFonts w:ascii="Times New Roman" w:hAnsi="Times New Roman"/>
          <w:b/>
        </w:rPr>
        <w:noBreakHyphen/>
        <w:t>2 g aminorūgščių/kg kūno svorio). Jei pacientas sveria 70 kg, tai Aminoven 10</w:t>
      </w:r>
      <w:r w:rsidRPr="00E321A8">
        <w:rPr>
          <w:rFonts w:ascii="Times New Roman" w:hAnsi="Times New Roman"/>
          <w:b/>
        </w:rPr>
        <w:sym w:font="Symbol" w:char="F025"/>
      </w:r>
      <w:r w:rsidRPr="00E321A8">
        <w:rPr>
          <w:rFonts w:ascii="Times New Roman" w:hAnsi="Times New Roman"/>
          <w:b/>
        </w:rPr>
        <w:t xml:space="preserve"> infuzinio </w:t>
      </w:r>
      <w:r w:rsidRPr="00E321A8">
        <w:rPr>
          <w:rFonts w:ascii="Times New Roman" w:hAnsi="Times New Roman"/>
        </w:rPr>
        <w:t>tirpalo jam reikėtų infuzuoti 700 ml</w:t>
      </w:r>
      <w:r w:rsidRPr="00E321A8">
        <w:rPr>
          <w:rFonts w:ascii="Times New Roman" w:hAnsi="Times New Roman"/>
        </w:rPr>
        <w:noBreakHyphen/>
        <w:t>1400 ml.</w:t>
      </w:r>
    </w:p>
    <w:p w:rsidR="004C3181" w:rsidRPr="00E321A8" w:rsidRDefault="004C3181" w:rsidP="004C3181">
      <w:pPr>
        <w:tabs>
          <w:tab w:val="left" w:pos="567"/>
        </w:tabs>
        <w:spacing w:after="0" w:line="240" w:lineRule="auto"/>
        <w:rPr>
          <w:rFonts w:ascii="Times New Roman" w:hAnsi="Times New Roman"/>
        </w:rPr>
      </w:pPr>
    </w:p>
    <w:p w:rsidR="004C3181" w:rsidRPr="00E321A8" w:rsidRDefault="004C3181" w:rsidP="004C3181">
      <w:pPr>
        <w:keepNext/>
        <w:tabs>
          <w:tab w:val="left" w:pos="567"/>
        </w:tabs>
        <w:spacing w:after="0" w:line="240" w:lineRule="auto"/>
        <w:outlineLvl w:val="5"/>
        <w:rPr>
          <w:rFonts w:ascii="Times New Roman" w:hAnsi="Times New Roman"/>
          <w:b/>
        </w:rPr>
      </w:pPr>
      <w:r w:rsidRPr="00E321A8">
        <w:rPr>
          <w:rFonts w:ascii="Times New Roman" w:hAnsi="Times New Roman"/>
          <w:b/>
        </w:rPr>
        <w:t xml:space="preserve">Didžiausias infuzijos greitis </w:t>
      </w:r>
    </w:p>
    <w:p w:rsidR="004C3181" w:rsidRPr="00E321A8" w:rsidRDefault="004C3181" w:rsidP="004C3181">
      <w:pPr>
        <w:tabs>
          <w:tab w:val="left" w:pos="567"/>
        </w:tabs>
        <w:spacing w:after="0" w:line="240" w:lineRule="auto"/>
        <w:rPr>
          <w:rFonts w:ascii="Times New Roman" w:hAnsi="Times New Roman"/>
        </w:rPr>
      </w:pPr>
      <w:r w:rsidRPr="00E321A8">
        <w:rPr>
          <w:rFonts w:ascii="Times New Roman" w:hAnsi="Times New Roman"/>
        </w:rPr>
        <w:t>Didžiausias infuzijos greitis yra 1 ml</w:t>
      </w:r>
      <w:r w:rsidRPr="00E321A8">
        <w:rPr>
          <w:rFonts w:ascii="Times New Roman" w:hAnsi="Times New Roman"/>
          <w:b/>
          <w:i/>
        </w:rPr>
        <w:t xml:space="preserve"> </w:t>
      </w:r>
      <w:r w:rsidRPr="00E321A8">
        <w:rPr>
          <w:rFonts w:ascii="Times New Roman" w:hAnsi="Times New Roman"/>
        </w:rPr>
        <w:t>Aminoven 10</w:t>
      </w:r>
      <w:r w:rsidRPr="00E321A8">
        <w:rPr>
          <w:rFonts w:ascii="Times New Roman" w:hAnsi="Times New Roman"/>
        </w:rPr>
        <w:sym w:font="Symbol" w:char="F025"/>
      </w:r>
      <w:r w:rsidRPr="00E321A8">
        <w:rPr>
          <w:rFonts w:ascii="Times New Roman" w:hAnsi="Times New Roman"/>
        </w:rPr>
        <w:t xml:space="preserve"> infuzinio tirpalo/kg kūno svorio per valandą (atitinka 0,1 g aminorūgščių/kg kūno svorio per valandą).</w:t>
      </w:r>
    </w:p>
    <w:p w:rsidR="004C3181" w:rsidRPr="00E321A8" w:rsidRDefault="004C3181" w:rsidP="004C3181">
      <w:pPr>
        <w:tabs>
          <w:tab w:val="left" w:pos="567"/>
        </w:tabs>
        <w:spacing w:after="0" w:line="240" w:lineRule="auto"/>
        <w:rPr>
          <w:rFonts w:ascii="Times New Roman" w:hAnsi="Times New Roman"/>
        </w:rPr>
      </w:pPr>
    </w:p>
    <w:p w:rsidR="004C3181" w:rsidRPr="002D12D7" w:rsidRDefault="004C3181" w:rsidP="004C3181">
      <w:pPr>
        <w:keepNext/>
        <w:tabs>
          <w:tab w:val="left" w:pos="567"/>
        </w:tabs>
        <w:spacing w:after="0" w:line="240" w:lineRule="auto"/>
        <w:outlineLvl w:val="0"/>
        <w:rPr>
          <w:rFonts w:ascii="Times New Roman" w:hAnsi="Times New Roman"/>
          <w:b/>
        </w:rPr>
      </w:pPr>
      <w:r w:rsidRPr="002D12D7">
        <w:rPr>
          <w:rFonts w:ascii="Times New Roman" w:hAnsi="Times New Roman"/>
          <w:b/>
        </w:rPr>
        <w:t xml:space="preserve">Didžiausia paros dozė </w:t>
      </w:r>
    </w:p>
    <w:p w:rsidR="004C3181" w:rsidRPr="002D12D7" w:rsidRDefault="004C3181" w:rsidP="004C3181">
      <w:pPr>
        <w:keepNext/>
        <w:tabs>
          <w:tab w:val="left" w:pos="567"/>
        </w:tabs>
        <w:spacing w:after="0" w:line="240" w:lineRule="auto"/>
        <w:outlineLvl w:val="0"/>
        <w:rPr>
          <w:rFonts w:ascii="Times New Roman" w:hAnsi="Times New Roman"/>
        </w:rPr>
      </w:pPr>
      <w:r w:rsidRPr="002D12D7">
        <w:rPr>
          <w:rFonts w:ascii="Times New Roman" w:hAnsi="Times New Roman"/>
        </w:rPr>
        <w:t>Didžiausia paros dozė yra 20 ml Aminoven 10</w:t>
      </w:r>
      <w:r w:rsidRPr="002D12D7">
        <w:rPr>
          <w:rFonts w:ascii="Times New Roman" w:hAnsi="Times New Roman"/>
        </w:rPr>
        <w:sym w:font="Symbol" w:char="F025"/>
      </w:r>
      <w:r w:rsidRPr="002D12D7">
        <w:rPr>
          <w:rFonts w:ascii="Times New Roman" w:hAnsi="Times New Roman"/>
          <w:i/>
        </w:rPr>
        <w:t xml:space="preserve"> </w:t>
      </w:r>
      <w:r w:rsidRPr="002D12D7">
        <w:rPr>
          <w:rFonts w:ascii="Times New Roman" w:hAnsi="Times New Roman"/>
        </w:rPr>
        <w:t xml:space="preserve">tirpalo/kg kūno svorio (atitinka 2 g </w:t>
      </w:r>
    </w:p>
    <w:p w:rsidR="004C3181" w:rsidRPr="002D12D7" w:rsidRDefault="004C3181" w:rsidP="004C3181">
      <w:pPr>
        <w:keepNext/>
        <w:tabs>
          <w:tab w:val="left" w:pos="567"/>
        </w:tabs>
        <w:spacing w:after="0" w:line="240" w:lineRule="auto"/>
        <w:outlineLvl w:val="0"/>
        <w:rPr>
          <w:rFonts w:ascii="Times New Roman" w:hAnsi="Times New Roman"/>
        </w:rPr>
      </w:pPr>
      <w:r w:rsidRPr="002D12D7">
        <w:rPr>
          <w:rFonts w:ascii="Times New Roman" w:hAnsi="Times New Roman"/>
        </w:rPr>
        <w:t>aminorūgščių/kg kūno svorio). Jei pacientas sveria 70 kg, tai infuzavus 1400 ml Aminoven 10</w:t>
      </w:r>
      <w:r w:rsidRPr="002D12D7">
        <w:rPr>
          <w:rFonts w:ascii="Times New Roman" w:hAnsi="Times New Roman"/>
        </w:rPr>
        <w:sym w:font="Symbol" w:char="F025"/>
      </w:r>
      <w:r w:rsidRPr="002D12D7">
        <w:rPr>
          <w:rFonts w:ascii="Times New Roman" w:hAnsi="Times New Roman"/>
        </w:rPr>
        <w:t xml:space="preserve"> infuzinio tirpalo, į organizmą patenka 140 g aminorūgščių. </w:t>
      </w: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rPr>
        <w:t xml:space="preserve">Tirpalo infuzija tęsiama tiek, kiek reikia maitinti parenteriniu būdu. </w:t>
      </w:r>
    </w:p>
    <w:p w:rsidR="004C3181" w:rsidRPr="002D12D7" w:rsidRDefault="004C3181" w:rsidP="004C3181">
      <w:pPr>
        <w:tabs>
          <w:tab w:val="left" w:pos="567"/>
        </w:tabs>
        <w:spacing w:after="0" w:line="240" w:lineRule="auto"/>
        <w:rPr>
          <w:rFonts w:ascii="Times New Roman" w:hAnsi="Times New Roman"/>
        </w:rPr>
      </w:pPr>
    </w:p>
    <w:p w:rsidR="004C3181" w:rsidRPr="002D12D7" w:rsidRDefault="004C3181" w:rsidP="004C3181">
      <w:pPr>
        <w:tabs>
          <w:tab w:val="left" w:pos="567"/>
        </w:tabs>
        <w:spacing w:after="0" w:line="240" w:lineRule="auto"/>
        <w:rPr>
          <w:rFonts w:ascii="Times New Roman" w:hAnsi="Times New Roman"/>
          <w:b/>
        </w:rPr>
      </w:pPr>
      <w:r w:rsidRPr="002D12D7">
        <w:rPr>
          <w:rFonts w:ascii="Times New Roman" w:hAnsi="Times New Roman"/>
          <w:b/>
        </w:rPr>
        <w:t>Ką daryti pavartojus per didelę Aminoven dozę?</w:t>
      </w: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rPr>
        <w:t xml:space="preserve">Kaip ir kitų aminorūgščių, taip ir Aminoven 10 </w:t>
      </w:r>
      <w:r w:rsidRPr="002D12D7">
        <w:rPr>
          <w:rFonts w:ascii="Times New Roman" w:hAnsi="Times New Roman"/>
        </w:rPr>
        <w:sym w:font="Symbol" w:char="F025"/>
      </w:r>
      <w:r w:rsidRPr="002D12D7">
        <w:rPr>
          <w:rFonts w:ascii="Times New Roman" w:hAnsi="Times New Roman"/>
        </w:rPr>
        <w:t xml:space="preserve"> tirpalo perdozavus arba viršijus infuzijos greitį, atsiranda drebulys, pykinimas, vėmimas, padidėja aminorūgščių išsiskyrimas su šlapimu. Pasireiškus šiems simptomams, infuziją reikia nutraukti nedelsiant. Vėliau mažesnę dozę galima vėl infuzuoti. </w:t>
      </w: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rPr>
        <w:t xml:space="preserve">Vaisto infuzavus per greitai, gali atsirasti skysčių perteklius ir sutrikti elektrolitų balansas. </w:t>
      </w: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rPr>
        <w:t xml:space="preserve">Specifinio antidoto nėra. Būtina teikti neatidėliotiną pagalbą: naudoti įprastines palaikymo priemones, ypatingą dėmesį skiriant kvėpavimo ir širdies bei kraujagyslių sistemos funkcijai. </w:t>
      </w: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rPr>
        <w:t xml:space="preserve">Būtina atidžiai sekti biocheminius pokyčius, o jiems atsiradus, tinkamai gydyti. </w:t>
      </w:r>
    </w:p>
    <w:p w:rsidR="004C3181" w:rsidRPr="002D12D7" w:rsidRDefault="004C3181" w:rsidP="004C3181">
      <w:pPr>
        <w:tabs>
          <w:tab w:val="left" w:pos="567"/>
        </w:tabs>
        <w:spacing w:after="0" w:line="240" w:lineRule="auto"/>
        <w:rPr>
          <w:rFonts w:ascii="Times New Roman" w:hAnsi="Times New Roman"/>
        </w:rPr>
      </w:pP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rPr>
        <w:t>Jeigu kiltų daugiau klausimų dėl šio vaisto vartojimo, kreipkitės į gydytoją arba vaistininką.</w:t>
      </w:r>
    </w:p>
    <w:p w:rsidR="004C3181" w:rsidRPr="002D12D7" w:rsidRDefault="004C3181" w:rsidP="004C3181">
      <w:pPr>
        <w:tabs>
          <w:tab w:val="left" w:pos="567"/>
        </w:tabs>
        <w:spacing w:after="0" w:line="240" w:lineRule="auto"/>
        <w:rPr>
          <w:rFonts w:ascii="Times New Roman" w:hAnsi="Times New Roman"/>
        </w:rPr>
      </w:pPr>
    </w:p>
    <w:p w:rsidR="004C3181" w:rsidRPr="002D12D7" w:rsidRDefault="004C3181" w:rsidP="004C3181">
      <w:pPr>
        <w:tabs>
          <w:tab w:val="left" w:pos="567"/>
        </w:tabs>
        <w:spacing w:after="0" w:line="240" w:lineRule="auto"/>
        <w:rPr>
          <w:rFonts w:ascii="Times New Roman" w:hAnsi="Times New Roman"/>
        </w:rPr>
      </w:pPr>
    </w:p>
    <w:p w:rsidR="004C3181" w:rsidRPr="002D12D7" w:rsidRDefault="004C3181" w:rsidP="004C3181">
      <w:pPr>
        <w:tabs>
          <w:tab w:val="left" w:pos="567"/>
        </w:tabs>
        <w:spacing w:after="0" w:line="240" w:lineRule="auto"/>
        <w:rPr>
          <w:rFonts w:ascii="Times New Roman" w:hAnsi="Times New Roman"/>
          <w:b/>
        </w:rPr>
      </w:pPr>
      <w:r w:rsidRPr="002D12D7">
        <w:rPr>
          <w:rFonts w:ascii="Times New Roman" w:hAnsi="Times New Roman"/>
          <w:b/>
        </w:rPr>
        <w:t>4.</w:t>
      </w:r>
      <w:r w:rsidRPr="002D12D7">
        <w:rPr>
          <w:rFonts w:ascii="Times New Roman" w:hAnsi="Times New Roman"/>
          <w:b/>
        </w:rPr>
        <w:tab/>
        <w:t>Galimas šalutinis poveikis</w:t>
      </w:r>
    </w:p>
    <w:p w:rsidR="004C3181" w:rsidRPr="002D12D7" w:rsidRDefault="004C3181" w:rsidP="004C3181">
      <w:pPr>
        <w:spacing w:after="0" w:line="240" w:lineRule="auto"/>
        <w:rPr>
          <w:rFonts w:ascii="Times New Roman" w:hAnsi="Times New Roman"/>
        </w:rPr>
      </w:pPr>
    </w:p>
    <w:p w:rsidR="004C3181" w:rsidRPr="002D12D7" w:rsidRDefault="004C3181" w:rsidP="004C3181">
      <w:pPr>
        <w:spacing w:after="0" w:line="240" w:lineRule="auto"/>
        <w:rPr>
          <w:rFonts w:ascii="Times New Roman" w:hAnsi="Times New Roman"/>
        </w:rPr>
      </w:pPr>
      <w:r w:rsidRPr="002D12D7">
        <w:rPr>
          <w:rFonts w:ascii="Times New Roman" w:hAnsi="Times New Roman"/>
        </w:rPr>
        <w:t>Šis vaistas, kaip ir visi kiti, gali sukelti šalutinį poveikį, nors jis pasireiškia ne visiems žmonėms.</w:t>
      </w:r>
    </w:p>
    <w:p w:rsidR="004C3181" w:rsidRPr="002D12D7" w:rsidRDefault="004C3181" w:rsidP="004C3181">
      <w:pPr>
        <w:tabs>
          <w:tab w:val="left" w:pos="567"/>
        </w:tabs>
        <w:spacing w:after="0" w:line="240" w:lineRule="auto"/>
        <w:rPr>
          <w:rFonts w:ascii="Times New Roman" w:hAnsi="Times New Roman"/>
        </w:rPr>
      </w:pP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rPr>
        <w:t xml:space="preserve">Tinkamai atliekant infuziją, nepageidaujamas poveikis nepasireiškia. Perdozavus </w:t>
      </w:r>
      <w:r>
        <w:rPr>
          <w:rFonts w:ascii="Times New Roman" w:eastAsia="Times New Roman" w:hAnsi="Times New Roman" w:cs="Times New Roman"/>
        </w:rPr>
        <w:t>vaisto</w:t>
      </w:r>
      <w:r w:rsidRPr="002D12D7">
        <w:rPr>
          <w:rFonts w:ascii="Times New Roman" w:hAnsi="Times New Roman"/>
        </w:rPr>
        <w:t xml:space="preserve"> gali atsirasti nepageidaujamų reakcijų, kurios paprastai būna laikinos ir nutraukus gydymą silpnėja. </w:t>
      </w: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rPr>
        <w:t>Gydymo periodu gali pasireikšti šalutinis poveikis, kuris, remiantis sutrikimų dažnio apibūdinimu, nurodytas toliau.</w:t>
      </w:r>
    </w:p>
    <w:p w:rsidR="004C3181" w:rsidRPr="002D12D7" w:rsidRDefault="004C3181" w:rsidP="004C3181">
      <w:pPr>
        <w:tabs>
          <w:tab w:val="left" w:pos="567"/>
        </w:tabs>
        <w:spacing w:after="0" w:line="240" w:lineRule="auto"/>
        <w:rPr>
          <w:rFonts w:ascii="Times New Roman" w:hAnsi="Times New Roman"/>
        </w:rPr>
      </w:pPr>
    </w:p>
    <w:tbl>
      <w:tblPr>
        <w:tblStyle w:val="Lentelstinklelis"/>
        <w:tblW w:w="0" w:type="auto"/>
        <w:tblLook w:val="01E0" w:firstRow="1" w:lastRow="1" w:firstColumn="1" w:lastColumn="1" w:noHBand="0" w:noVBand="0"/>
      </w:tblPr>
      <w:tblGrid>
        <w:gridCol w:w="1535"/>
        <w:gridCol w:w="7525"/>
      </w:tblGrid>
      <w:tr w:rsidR="004C3181" w:rsidRPr="00E37425" w:rsidTr="001A67AB">
        <w:tc>
          <w:tcPr>
            <w:tcW w:w="1548" w:type="dxa"/>
          </w:tcPr>
          <w:p w:rsidR="004C3181" w:rsidRPr="00E37425" w:rsidRDefault="004C3181" w:rsidP="001A67AB">
            <w:pPr>
              <w:tabs>
                <w:tab w:val="left" w:pos="567"/>
              </w:tabs>
              <w:rPr>
                <w:sz w:val="22"/>
                <w:szCs w:val="22"/>
                <w:lang w:val="lt-LT"/>
              </w:rPr>
            </w:pPr>
            <w:r w:rsidRPr="00E37425">
              <w:rPr>
                <w:sz w:val="22"/>
                <w:szCs w:val="22"/>
                <w:lang w:val="lt-LT"/>
              </w:rPr>
              <w:t>Labai dažni</w:t>
            </w:r>
          </w:p>
        </w:tc>
        <w:tc>
          <w:tcPr>
            <w:tcW w:w="7738" w:type="dxa"/>
          </w:tcPr>
          <w:p w:rsidR="004C3181" w:rsidRPr="00E37425" w:rsidRDefault="004C3181" w:rsidP="001A67AB">
            <w:pPr>
              <w:tabs>
                <w:tab w:val="left" w:pos="567"/>
              </w:tabs>
              <w:rPr>
                <w:sz w:val="22"/>
                <w:szCs w:val="22"/>
                <w:lang w:val="lt-LT"/>
              </w:rPr>
            </w:pPr>
            <w:r w:rsidRPr="00E37425">
              <w:rPr>
                <w:sz w:val="22"/>
                <w:szCs w:val="22"/>
                <w:lang w:val="lt-LT"/>
              </w:rPr>
              <w:t>Pasireiškia daugiau</w:t>
            </w:r>
            <w:r>
              <w:rPr>
                <w:sz w:val="22"/>
                <w:szCs w:val="22"/>
                <w:lang w:val="lt-LT"/>
              </w:rPr>
              <w:t xml:space="preserve"> </w:t>
            </w:r>
            <w:r w:rsidRPr="00E37425">
              <w:rPr>
                <w:sz w:val="22"/>
                <w:szCs w:val="22"/>
                <w:lang w:val="lt-LT"/>
              </w:rPr>
              <w:t>kaip 1 iš 10 pacientų</w:t>
            </w:r>
          </w:p>
        </w:tc>
      </w:tr>
      <w:tr w:rsidR="004C3181" w:rsidRPr="00E37425" w:rsidTr="001A67AB">
        <w:tc>
          <w:tcPr>
            <w:tcW w:w="1548" w:type="dxa"/>
          </w:tcPr>
          <w:p w:rsidR="004C3181" w:rsidRPr="00E37425" w:rsidRDefault="004C3181" w:rsidP="001A67AB">
            <w:pPr>
              <w:tabs>
                <w:tab w:val="left" w:pos="567"/>
              </w:tabs>
              <w:rPr>
                <w:sz w:val="22"/>
                <w:szCs w:val="22"/>
                <w:lang w:val="lt-LT"/>
              </w:rPr>
            </w:pPr>
            <w:r w:rsidRPr="00E37425">
              <w:rPr>
                <w:sz w:val="22"/>
                <w:szCs w:val="22"/>
                <w:lang w:val="lt-LT"/>
              </w:rPr>
              <w:t>Dažni</w:t>
            </w:r>
          </w:p>
        </w:tc>
        <w:tc>
          <w:tcPr>
            <w:tcW w:w="7738" w:type="dxa"/>
          </w:tcPr>
          <w:p w:rsidR="004C3181" w:rsidRPr="00E37425" w:rsidRDefault="004C3181" w:rsidP="001A67AB">
            <w:pPr>
              <w:tabs>
                <w:tab w:val="left" w:pos="567"/>
              </w:tabs>
              <w:rPr>
                <w:sz w:val="22"/>
                <w:szCs w:val="22"/>
                <w:lang w:val="lt-LT"/>
              </w:rPr>
            </w:pPr>
            <w:r w:rsidRPr="00E37425">
              <w:rPr>
                <w:sz w:val="22"/>
                <w:szCs w:val="22"/>
                <w:lang w:val="lt-LT"/>
              </w:rPr>
              <w:t>Pasireiškia mažiau</w:t>
            </w:r>
            <w:r>
              <w:rPr>
                <w:sz w:val="22"/>
                <w:szCs w:val="22"/>
                <w:lang w:val="lt-LT"/>
              </w:rPr>
              <w:t xml:space="preserve"> </w:t>
            </w:r>
            <w:r w:rsidRPr="00E37425">
              <w:rPr>
                <w:sz w:val="22"/>
                <w:szCs w:val="22"/>
                <w:lang w:val="lt-LT"/>
              </w:rPr>
              <w:t>kaip 1 iš 10 pacientų</w:t>
            </w:r>
          </w:p>
        </w:tc>
      </w:tr>
      <w:tr w:rsidR="004C3181" w:rsidRPr="00E37425" w:rsidTr="001A67AB">
        <w:tc>
          <w:tcPr>
            <w:tcW w:w="1548" w:type="dxa"/>
          </w:tcPr>
          <w:p w:rsidR="004C3181" w:rsidRPr="00E37425" w:rsidRDefault="004C3181" w:rsidP="001A67AB">
            <w:pPr>
              <w:tabs>
                <w:tab w:val="left" w:pos="567"/>
              </w:tabs>
              <w:rPr>
                <w:sz w:val="22"/>
                <w:szCs w:val="22"/>
                <w:lang w:val="lt-LT"/>
              </w:rPr>
            </w:pPr>
            <w:r w:rsidRPr="00E37425">
              <w:rPr>
                <w:sz w:val="22"/>
                <w:szCs w:val="22"/>
                <w:lang w:val="lt-LT"/>
              </w:rPr>
              <w:t>Nedažni</w:t>
            </w:r>
          </w:p>
        </w:tc>
        <w:tc>
          <w:tcPr>
            <w:tcW w:w="7738" w:type="dxa"/>
          </w:tcPr>
          <w:p w:rsidR="004C3181" w:rsidRPr="00E37425" w:rsidRDefault="004C3181" w:rsidP="001A67AB">
            <w:pPr>
              <w:tabs>
                <w:tab w:val="left" w:pos="567"/>
              </w:tabs>
              <w:rPr>
                <w:sz w:val="22"/>
                <w:szCs w:val="22"/>
                <w:lang w:val="lt-LT"/>
              </w:rPr>
            </w:pPr>
            <w:r w:rsidRPr="00E37425">
              <w:rPr>
                <w:sz w:val="22"/>
                <w:szCs w:val="22"/>
                <w:lang w:val="lt-LT"/>
              </w:rPr>
              <w:t>Pasireiškia mažiau kaip 1 iš 100 pacientų</w:t>
            </w:r>
          </w:p>
        </w:tc>
      </w:tr>
      <w:tr w:rsidR="004C3181" w:rsidRPr="00E37425" w:rsidTr="001A67AB">
        <w:tc>
          <w:tcPr>
            <w:tcW w:w="1548" w:type="dxa"/>
          </w:tcPr>
          <w:p w:rsidR="004C3181" w:rsidRPr="00E37425" w:rsidRDefault="004C3181" w:rsidP="001A67AB">
            <w:pPr>
              <w:tabs>
                <w:tab w:val="left" w:pos="567"/>
              </w:tabs>
              <w:rPr>
                <w:sz w:val="22"/>
                <w:szCs w:val="22"/>
                <w:lang w:val="lt-LT"/>
              </w:rPr>
            </w:pPr>
            <w:r w:rsidRPr="00E37425">
              <w:rPr>
                <w:sz w:val="22"/>
                <w:szCs w:val="22"/>
                <w:lang w:val="lt-LT"/>
              </w:rPr>
              <w:t>Reti</w:t>
            </w:r>
          </w:p>
        </w:tc>
        <w:tc>
          <w:tcPr>
            <w:tcW w:w="7738" w:type="dxa"/>
          </w:tcPr>
          <w:p w:rsidR="004C3181" w:rsidRPr="00E37425" w:rsidRDefault="004C3181" w:rsidP="001A67AB">
            <w:pPr>
              <w:tabs>
                <w:tab w:val="left" w:pos="567"/>
              </w:tabs>
              <w:rPr>
                <w:sz w:val="22"/>
                <w:szCs w:val="22"/>
                <w:lang w:val="lt-LT"/>
              </w:rPr>
            </w:pPr>
            <w:r w:rsidRPr="00E37425">
              <w:rPr>
                <w:sz w:val="22"/>
                <w:szCs w:val="22"/>
                <w:lang w:val="lt-LT"/>
              </w:rPr>
              <w:t>Pasireiškia mažiau kaip 1 iš 1000 pacientų</w:t>
            </w:r>
          </w:p>
        </w:tc>
      </w:tr>
      <w:tr w:rsidR="004C3181" w:rsidRPr="00E37425" w:rsidTr="001A67AB">
        <w:tc>
          <w:tcPr>
            <w:tcW w:w="1548" w:type="dxa"/>
          </w:tcPr>
          <w:p w:rsidR="004C3181" w:rsidRPr="00E37425" w:rsidRDefault="004C3181" w:rsidP="001A67AB">
            <w:pPr>
              <w:tabs>
                <w:tab w:val="left" w:pos="567"/>
              </w:tabs>
              <w:rPr>
                <w:sz w:val="22"/>
                <w:szCs w:val="22"/>
                <w:lang w:val="lt-LT"/>
              </w:rPr>
            </w:pPr>
            <w:r w:rsidRPr="00E37425">
              <w:rPr>
                <w:sz w:val="22"/>
                <w:szCs w:val="22"/>
                <w:lang w:val="lt-LT"/>
              </w:rPr>
              <w:t xml:space="preserve">Labai reti </w:t>
            </w:r>
          </w:p>
        </w:tc>
        <w:tc>
          <w:tcPr>
            <w:tcW w:w="7738" w:type="dxa"/>
          </w:tcPr>
          <w:p w:rsidR="004C3181" w:rsidRPr="00E37425" w:rsidRDefault="004C3181" w:rsidP="001A67AB">
            <w:pPr>
              <w:tabs>
                <w:tab w:val="left" w:pos="567"/>
              </w:tabs>
              <w:rPr>
                <w:sz w:val="22"/>
                <w:szCs w:val="22"/>
                <w:lang w:val="lt-LT"/>
              </w:rPr>
            </w:pPr>
            <w:r w:rsidRPr="00E37425">
              <w:rPr>
                <w:sz w:val="22"/>
                <w:szCs w:val="22"/>
                <w:lang w:val="lt-LT"/>
              </w:rPr>
              <w:t>Pasireiškia mažiau kaip 1 iš 10000 pacientų</w:t>
            </w:r>
          </w:p>
        </w:tc>
      </w:tr>
      <w:tr w:rsidR="004C3181" w:rsidRPr="00E37425" w:rsidTr="001A67AB">
        <w:tc>
          <w:tcPr>
            <w:tcW w:w="1548" w:type="dxa"/>
          </w:tcPr>
          <w:p w:rsidR="004C3181" w:rsidRPr="002D12D7" w:rsidRDefault="004C3181" w:rsidP="001A67AB">
            <w:pPr>
              <w:tabs>
                <w:tab w:val="left" w:pos="567"/>
              </w:tabs>
            </w:pPr>
            <w:r>
              <w:rPr>
                <w:sz w:val="22"/>
                <w:szCs w:val="22"/>
                <w:lang w:val="lt-LT"/>
              </w:rPr>
              <w:t>D</w:t>
            </w:r>
            <w:r w:rsidRPr="00E37425">
              <w:rPr>
                <w:sz w:val="22"/>
                <w:szCs w:val="22"/>
                <w:lang w:val="lt-LT"/>
              </w:rPr>
              <w:t>ažnis nežinomas</w:t>
            </w:r>
          </w:p>
        </w:tc>
        <w:tc>
          <w:tcPr>
            <w:tcW w:w="7738" w:type="dxa"/>
          </w:tcPr>
          <w:p w:rsidR="004C3181" w:rsidRPr="002D12D7" w:rsidRDefault="004C3181" w:rsidP="001A67AB">
            <w:pPr>
              <w:tabs>
                <w:tab w:val="left" w:pos="567"/>
              </w:tabs>
            </w:pPr>
            <w:r w:rsidRPr="00E37425">
              <w:rPr>
                <w:sz w:val="22"/>
                <w:szCs w:val="22"/>
                <w:lang w:val="lt-LT"/>
              </w:rPr>
              <w:t>negali būti įvertintas pagal turimus duomenis</w:t>
            </w:r>
          </w:p>
        </w:tc>
      </w:tr>
    </w:tbl>
    <w:p w:rsidR="004C3181" w:rsidRPr="002D12D7" w:rsidRDefault="004C3181" w:rsidP="004C3181">
      <w:pPr>
        <w:tabs>
          <w:tab w:val="left" w:pos="567"/>
        </w:tabs>
        <w:spacing w:after="0" w:line="240" w:lineRule="auto"/>
        <w:rPr>
          <w:rFonts w:ascii="Times New Roman" w:hAnsi="Times New Roman"/>
        </w:rPr>
      </w:pPr>
    </w:p>
    <w:p w:rsidR="004C3181" w:rsidRPr="002D12D7" w:rsidRDefault="004C3181" w:rsidP="004C3181">
      <w:pPr>
        <w:keepNext/>
        <w:keepLines/>
        <w:tabs>
          <w:tab w:val="left" w:pos="567"/>
        </w:tabs>
        <w:spacing w:after="0" w:line="240" w:lineRule="auto"/>
        <w:rPr>
          <w:rFonts w:ascii="Times New Roman" w:hAnsi="Times New Roman"/>
          <w:i/>
        </w:rPr>
      </w:pPr>
      <w:r w:rsidRPr="002D12D7">
        <w:rPr>
          <w:rFonts w:ascii="Times New Roman" w:hAnsi="Times New Roman"/>
          <w:i/>
        </w:rPr>
        <w:lastRenderedPageBreak/>
        <w:t>Reti</w:t>
      </w:r>
    </w:p>
    <w:p w:rsidR="004C3181" w:rsidRPr="002D12D7" w:rsidRDefault="004C3181" w:rsidP="004C3181">
      <w:pPr>
        <w:keepNext/>
        <w:keepLines/>
        <w:tabs>
          <w:tab w:val="left" w:pos="567"/>
        </w:tabs>
        <w:spacing w:after="0" w:line="240" w:lineRule="auto"/>
        <w:rPr>
          <w:rFonts w:ascii="Times New Roman" w:hAnsi="Times New Roman"/>
          <w:u w:val="single"/>
        </w:rPr>
      </w:pPr>
      <w:r w:rsidRPr="002D12D7">
        <w:rPr>
          <w:rFonts w:ascii="Times New Roman" w:hAnsi="Times New Roman"/>
          <w:u w:val="single"/>
        </w:rPr>
        <w:t>Bendrieji sutrikimai ir vartojimo vietos pažeidimai</w:t>
      </w:r>
    </w:p>
    <w:p w:rsidR="004C3181" w:rsidRPr="002D12D7" w:rsidRDefault="004C3181" w:rsidP="004C3181">
      <w:pPr>
        <w:keepNext/>
        <w:keepLines/>
        <w:tabs>
          <w:tab w:val="left" w:pos="567"/>
        </w:tabs>
        <w:spacing w:after="0" w:line="240" w:lineRule="auto"/>
        <w:rPr>
          <w:rFonts w:ascii="Times New Roman" w:hAnsi="Times New Roman"/>
        </w:rPr>
      </w:pPr>
      <w:r w:rsidRPr="002D12D7">
        <w:rPr>
          <w:rFonts w:ascii="Times New Roman" w:hAnsi="Times New Roman"/>
        </w:rPr>
        <w:t>Infuzuojant į periferines venas, daugiausia gali pasireikšti venų sienelių dirginimas ir tromboflebitas.</w:t>
      </w: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rPr>
        <w:t xml:space="preserve">Klinikinių tyrimų, kurių metu būtų stebėta, ar nepasireiškia nepageidaujamas poveikis, neatlikta. </w:t>
      </w:r>
    </w:p>
    <w:p w:rsidR="004C3181" w:rsidRPr="002D12D7" w:rsidRDefault="004C3181" w:rsidP="004C3181">
      <w:pPr>
        <w:tabs>
          <w:tab w:val="left" w:pos="567"/>
        </w:tabs>
        <w:spacing w:after="0" w:line="240" w:lineRule="auto"/>
        <w:rPr>
          <w:rFonts w:ascii="Times New Roman" w:hAnsi="Times New Roman"/>
        </w:rPr>
      </w:pPr>
    </w:p>
    <w:p w:rsidR="004C3181" w:rsidRPr="00A462B4" w:rsidRDefault="004C3181" w:rsidP="004C3181">
      <w:pPr>
        <w:tabs>
          <w:tab w:val="left" w:pos="567"/>
        </w:tabs>
        <w:spacing w:after="0" w:line="240" w:lineRule="auto"/>
        <w:rPr>
          <w:rFonts w:ascii="Times New Roman" w:eastAsia="Times New Roman" w:hAnsi="Times New Roman" w:cs="Times New Roman"/>
          <w:b/>
          <w:snapToGrid w:val="0"/>
          <w:szCs w:val="24"/>
        </w:rPr>
      </w:pPr>
      <w:r w:rsidRPr="00A462B4">
        <w:rPr>
          <w:rFonts w:ascii="Times New Roman" w:eastAsia="Times New Roman" w:hAnsi="Times New Roman" w:cs="Times New Roman"/>
          <w:b/>
          <w:noProof/>
          <w:snapToGrid w:val="0"/>
          <w:szCs w:val="24"/>
        </w:rPr>
        <w:t>Pranešimas apie šalutinį poveikį</w:t>
      </w:r>
    </w:p>
    <w:p w:rsidR="004C3181" w:rsidRPr="002D12D7" w:rsidRDefault="004C3181" w:rsidP="004C3181">
      <w:pPr>
        <w:tabs>
          <w:tab w:val="left" w:pos="567"/>
        </w:tabs>
        <w:spacing w:after="0" w:line="260" w:lineRule="exact"/>
        <w:ind w:right="-449"/>
        <w:rPr>
          <w:rFonts w:ascii="Times New Roman" w:hAnsi="Times New Roman"/>
        </w:rPr>
      </w:pPr>
      <w:r w:rsidRPr="002D12D7">
        <w:rPr>
          <w:rFonts w:ascii="Times New Roman" w:hAnsi="Times New Roman"/>
        </w:rPr>
        <w:t xml:space="preserve">Jeigu pasireiškė šalutinis poveikis, įskaitant šiame lapelyje nenurodytą, pasakykite </w:t>
      </w:r>
      <w:r w:rsidRPr="00A462B4">
        <w:rPr>
          <w:rFonts w:ascii="Times New Roman" w:eastAsia="Times New Roman" w:hAnsi="Times New Roman" w:cs="Times New Roman"/>
          <w:snapToGrid w:val="0"/>
          <w:szCs w:val="20"/>
        </w:rPr>
        <w:t>gydytojui</w:t>
      </w:r>
      <w:r w:rsidRPr="002D12D7">
        <w:rPr>
          <w:rFonts w:ascii="Times New Roman" w:hAnsi="Times New Roman"/>
        </w:rPr>
        <w:t xml:space="preserve"> arba vaistininkui. Apie šalutinį poveikį taip pat galite pranešti Valstybinei vaistų kontrolės tarnybai prie Lietuvos Respublikos sveikatos apsaugos ministerijos</w:t>
      </w:r>
      <w:r w:rsidRPr="00A462B4">
        <w:rPr>
          <w:rFonts w:ascii="Times New Roman" w:eastAsia="Times New Roman" w:hAnsi="Times New Roman" w:cs="Times New Roman"/>
          <w:snapToGrid w:val="0"/>
          <w:szCs w:val="20"/>
        </w:rPr>
        <w:t xml:space="preserve"> nemokamu t</w:t>
      </w:r>
      <w:r w:rsidRPr="00A462B4">
        <w:rPr>
          <w:rFonts w:ascii="Times New Roman" w:eastAsia="Times New Roman" w:hAnsi="Times New Roman" w:cs="Times New Roman"/>
          <w:snapToGrid w:val="0"/>
          <w:szCs w:val="20"/>
          <w:lang w:eastAsia="zh-CN"/>
        </w:rPr>
        <w:t>elefonu 8 800 73568</w:t>
      </w:r>
      <w:r w:rsidRPr="00A462B4">
        <w:rPr>
          <w:rFonts w:ascii="Times New Roman" w:eastAsia="Times New Roman" w:hAnsi="Times New Roman" w:cs="Times New Roman"/>
          <w:snapToGrid w:val="0"/>
          <w:szCs w:val="20"/>
        </w:rPr>
        <w:t xml:space="preserve"> arba užpildyti interneto svetainėje </w:t>
      </w:r>
      <w:hyperlink r:id="rId5" w:history="1">
        <w:r w:rsidRPr="00A462B4">
          <w:rPr>
            <w:rFonts w:ascii="Times New Roman" w:eastAsia="SimSun" w:hAnsi="Times New Roman" w:cs="Times New Roman"/>
            <w:snapToGrid w:val="0"/>
            <w:color w:val="0000FF"/>
            <w:szCs w:val="20"/>
            <w:u w:val="single"/>
          </w:rPr>
          <w:t>www.vvkt.lt</w:t>
        </w:r>
      </w:hyperlink>
      <w:r w:rsidRPr="00A462B4">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w:t>
      </w:r>
      <w:r w:rsidRPr="002D12D7">
        <w:rPr>
          <w:rFonts w:ascii="Times New Roman" w:hAnsi="Times New Roman"/>
        </w:rPr>
        <w:t xml:space="preserve"> Žirmūnų g. 139A, LT</w:t>
      </w:r>
      <w:r w:rsidRPr="00A462B4">
        <w:rPr>
          <w:rFonts w:ascii="Times New Roman" w:eastAsia="Times New Roman" w:hAnsi="Times New Roman" w:cs="Times New Roman"/>
          <w:snapToGrid w:val="0"/>
          <w:szCs w:val="20"/>
        </w:rPr>
        <w:t>-</w:t>
      </w:r>
      <w:r w:rsidRPr="002D12D7">
        <w:rPr>
          <w:rFonts w:ascii="Times New Roman" w:hAnsi="Times New Roman"/>
        </w:rPr>
        <w:t>09120 Vilnius</w:t>
      </w:r>
      <w:r w:rsidRPr="00A462B4">
        <w:rPr>
          <w:rFonts w:ascii="Times New Roman" w:eastAsia="Times New Roman" w:hAnsi="Times New Roman" w:cs="Times New Roman"/>
          <w:snapToGrid w:val="0"/>
          <w:szCs w:val="20"/>
        </w:rPr>
        <w:t xml:space="preserve">), </w:t>
      </w:r>
      <w:r w:rsidRPr="00A462B4">
        <w:rPr>
          <w:rFonts w:ascii="Times New Roman" w:eastAsia="Times New Roman" w:hAnsi="Times New Roman" w:cs="Times New Roman"/>
          <w:snapToGrid w:val="0"/>
          <w:szCs w:val="20"/>
          <w:lang w:eastAsia="zh-CN"/>
        </w:rPr>
        <w:t xml:space="preserve">nemokamu </w:t>
      </w:r>
      <w:r w:rsidRPr="00A462B4">
        <w:rPr>
          <w:rFonts w:ascii="Times New Roman" w:eastAsia="Times New Roman" w:hAnsi="Times New Roman" w:cs="Times New Roman"/>
          <w:snapToGrid w:val="0"/>
          <w:szCs w:val="20"/>
        </w:rPr>
        <w:t>fakso numeriu</w:t>
      </w:r>
      <w:r w:rsidRPr="002D12D7">
        <w:rPr>
          <w:rFonts w:ascii="Times New Roman" w:hAnsi="Times New Roman"/>
        </w:rPr>
        <w:t xml:space="preserve"> 8 800 20131</w:t>
      </w:r>
      <w:r w:rsidRPr="00A462B4">
        <w:rPr>
          <w:rFonts w:ascii="Times New Roman" w:eastAsia="Times New Roman" w:hAnsi="Times New Roman" w:cs="Times New Roman"/>
          <w:snapToGrid w:val="0"/>
          <w:szCs w:val="20"/>
          <w:lang w:eastAsia="zh-CN"/>
        </w:rPr>
        <w:t xml:space="preserve">, </w:t>
      </w:r>
      <w:r w:rsidRPr="00A462B4">
        <w:rPr>
          <w:rFonts w:ascii="Times New Roman" w:eastAsia="Times New Roman" w:hAnsi="Times New Roman" w:cs="Times New Roman"/>
          <w:snapToGrid w:val="0"/>
          <w:szCs w:val="20"/>
        </w:rPr>
        <w:t xml:space="preserve">el. paštu </w:t>
      </w:r>
      <w:hyperlink r:id="rId6" w:history="1">
        <w:r w:rsidRPr="00A462B4">
          <w:rPr>
            <w:rFonts w:ascii="Times New Roman" w:eastAsia="SimSun" w:hAnsi="Times New Roman" w:cs="Times New Roman"/>
            <w:snapToGrid w:val="0"/>
            <w:color w:val="0000FF"/>
            <w:szCs w:val="20"/>
            <w:u w:val="single"/>
          </w:rPr>
          <w:t>NepageidaujamaR@vvkt.lt</w:t>
        </w:r>
      </w:hyperlink>
      <w:r w:rsidRPr="00A462B4">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A462B4">
          <w:rPr>
            <w:rFonts w:ascii="Times New Roman" w:eastAsia="SimSun" w:hAnsi="Times New Roman" w:cs="Times New Roman"/>
            <w:snapToGrid w:val="0"/>
            <w:color w:val="0000FF"/>
            <w:szCs w:val="20"/>
            <w:u w:val="single"/>
          </w:rPr>
          <w:t>http://www.vvkt.lt</w:t>
        </w:r>
      </w:hyperlink>
      <w:r w:rsidRPr="00A462B4">
        <w:rPr>
          <w:rFonts w:ascii="Times New Roman" w:eastAsia="Times New Roman" w:hAnsi="Times New Roman" w:cs="Times New Roman"/>
          <w:snapToGrid w:val="0"/>
          <w:szCs w:val="20"/>
        </w:rPr>
        <w:t>).</w:t>
      </w:r>
      <w:r w:rsidRPr="002D12D7">
        <w:rPr>
          <w:rFonts w:ascii="Times New Roman" w:hAnsi="Times New Roman"/>
        </w:rPr>
        <w:t xml:space="preserve"> Pranešdami apie šalutinį poveikį galite mums padėti gauti daugiau informacijos apie šio vaisto saugumą.</w:t>
      </w:r>
    </w:p>
    <w:p w:rsidR="004C3181" w:rsidRPr="002D12D7" w:rsidRDefault="004C3181" w:rsidP="004C3181">
      <w:pPr>
        <w:tabs>
          <w:tab w:val="left" w:pos="567"/>
        </w:tabs>
        <w:spacing w:after="0" w:line="240" w:lineRule="auto"/>
        <w:rPr>
          <w:rFonts w:ascii="Times New Roman" w:hAnsi="Times New Roman"/>
          <w:b/>
        </w:rPr>
      </w:pPr>
    </w:p>
    <w:p w:rsidR="004C3181" w:rsidRPr="002D12D7" w:rsidRDefault="004C3181" w:rsidP="004C3181">
      <w:pPr>
        <w:tabs>
          <w:tab w:val="left" w:pos="567"/>
        </w:tabs>
        <w:spacing w:after="0" w:line="240" w:lineRule="auto"/>
        <w:rPr>
          <w:rFonts w:ascii="Times New Roman" w:hAnsi="Times New Roman"/>
          <w:b/>
        </w:rPr>
      </w:pPr>
    </w:p>
    <w:p w:rsidR="004C3181" w:rsidRPr="002D12D7" w:rsidRDefault="004C3181" w:rsidP="004C3181">
      <w:pPr>
        <w:tabs>
          <w:tab w:val="left" w:pos="567"/>
        </w:tabs>
        <w:spacing w:after="0" w:line="240" w:lineRule="auto"/>
        <w:rPr>
          <w:rFonts w:ascii="Times New Roman" w:hAnsi="Times New Roman"/>
          <w:b/>
        </w:rPr>
      </w:pPr>
      <w:r w:rsidRPr="002D12D7">
        <w:rPr>
          <w:rFonts w:ascii="Times New Roman" w:hAnsi="Times New Roman"/>
          <w:b/>
        </w:rPr>
        <w:t>5.</w:t>
      </w:r>
      <w:r w:rsidRPr="002D12D7">
        <w:rPr>
          <w:rFonts w:ascii="Times New Roman" w:hAnsi="Times New Roman"/>
          <w:b/>
        </w:rPr>
        <w:tab/>
        <w:t>Kaip laikyti Aminoven</w:t>
      </w:r>
    </w:p>
    <w:p w:rsidR="004C3181" w:rsidRPr="002D12D7" w:rsidRDefault="004C3181" w:rsidP="004C3181">
      <w:pPr>
        <w:tabs>
          <w:tab w:val="left" w:pos="567"/>
        </w:tabs>
        <w:spacing w:after="0" w:line="240" w:lineRule="auto"/>
        <w:rPr>
          <w:rFonts w:ascii="Times New Roman" w:hAnsi="Times New Roman"/>
          <w:b/>
        </w:rPr>
      </w:pPr>
    </w:p>
    <w:p w:rsidR="004C3181" w:rsidRPr="002D12D7" w:rsidRDefault="004C3181" w:rsidP="004C3181">
      <w:pPr>
        <w:tabs>
          <w:tab w:val="left" w:pos="567"/>
        </w:tabs>
        <w:spacing w:after="0" w:line="240" w:lineRule="auto"/>
        <w:rPr>
          <w:rFonts w:ascii="Times New Roman" w:hAnsi="Times New Roman"/>
          <w:b/>
        </w:rPr>
      </w:pPr>
      <w:r w:rsidRPr="002D12D7">
        <w:rPr>
          <w:rFonts w:ascii="Times New Roman" w:hAnsi="Times New Roman"/>
          <w:b/>
        </w:rPr>
        <w:t>Šį vaistą laikykite vaikams nepastebimoje ir nepasiekiamoje vietoje.</w:t>
      </w:r>
    </w:p>
    <w:p w:rsidR="004C3181" w:rsidRDefault="004C3181" w:rsidP="004C3181">
      <w:pPr>
        <w:tabs>
          <w:tab w:val="left" w:pos="567"/>
        </w:tabs>
        <w:spacing w:after="0" w:line="240" w:lineRule="auto"/>
        <w:rPr>
          <w:rFonts w:ascii="Times New Roman" w:eastAsia="Times New Roman" w:hAnsi="Times New Roman" w:cs="Times New Roman"/>
          <w:lang w:eastAsia="lt-LT"/>
        </w:rPr>
      </w:pP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color w:val="000000"/>
        </w:rPr>
        <w:t>Laikyti ne aukštesnėje kaip 25 </w:t>
      </w:r>
      <w:r w:rsidRPr="002D12D7">
        <w:rPr>
          <w:rFonts w:ascii="Times New Roman" w:hAnsi="Times New Roman"/>
          <w:color w:val="000000"/>
        </w:rPr>
        <w:sym w:font="Symbol" w:char="F0B0"/>
      </w:r>
      <w:r w:rsidRPr="002D12D7">
        <w:rPr>
          <w:rFonts w:ascii="Times New Roman" w:hAnsi="Times New Roman"/>
          <w:color w:val="000000"/>
        </w:rPr>
        <w:t xml:space="preserve">C temperatūroje. </w:t>
      </w:r>
      <w:r w:rsidRPr="002D12D7">
        <w:rPr>
          <w:rFonts w:ascii="Times New Roman" w:hAnsi="Times New Roman"/>
        </w:rPr>
        <w:t>Negalima užšaldyti.</w:t>
      </w:r>
    </w:p>
    <w:p w:rsidR="004C3181" w:rsidRDefault="004C3181" w:rsidP="004C3181">
      <w:pPr>
        <w:spacing w:after="0" w:line="240" w:lineRule="auto"/>
        <w:rPr>
          <w:rFonts w:ascii="Times New Roman" w:eastAsia="Times New Roman" w:hAnsi="Times New Roman" w:cs="Times New Roman"/>
        </w:rPr>
      </w:pPr>
    </w:p>
    <w:p w:rsidR="004C3181" w:rsidRPr="002D12D7" w:rsidRDefault="004C3181" w:rsidP="004C3181">
      <w:pPr>
        <w:spacing w:after="0" w:line="240" w:lineRule="auto"/>
        <w:rPr>
          <w:rFonts w:ascii="Times New Roman" w:hAnsi="Times New Roman"/>
        </w:rPr>
      </w:pPr>
      <w:r w:rsidRPr="002D12D7">
        <w:rPr>
          <w:rFonts w:ascii="Times New Roman" w:hAnsi="Times New Roman"/>
        </w:rPr>
        <w:t xml:space="preserve">Ant dėžutės ir buteliuko po „Tinka iki“ nurodytam tinkamumo laikui pasibaigus, </w:t>
      </w:r>
      <w:r>
        <w:rPr>
          <w:rFonts w:ascii="Times New Roman" w:eastAsia="Times New Roman" w:hAnsi="Times New Roman" w:cs="Times New Roman"/>
        </w:rPr>
        <w:t>šio vaisto</w:t>
      </w:r>
      <w:r w:rsidRPr="002D12D7">
        <w:rPr>
          <w:rFonts w:ascii="Times New Roman" w:hAnsi="Times New Roman"/>
        </w:rPr>
        <w:t xml:space="preserve"> vartoti negalima. Vaistas </w:t>
      </w:r>
      <w:r w:rsidRPr="00E37425">
        <w:rPr>
          <w:rFonts w:ascii="Times New Roman" w:eastAsia="Times New Roman" w:hAnsi="Times New Roman" w:cs="Times New Roman"/>
        </w:rPr>
        <w:t>tinka</w:t>
      </w:r>
      <w:r>
        <w:rPr>
          <w:rFonts w:ascii="Times New Roman" w:eastAsia="Times New Roman" w:hAnsi="Times New Roman" w:cs="Times New Roman"/>
        </w:rPr>
        <w:t>mas</w:t>
      </w:r>
      <w:r w:rsidRPr="002D12D7">
        <w:rPr>
          <w:rFonts w:ascii="Times New Roman" w:hAnsi="Times New Roman"/>
        </w:rPr>
        <w:t xml:space="preserve"> vartoti iki paskutinės nurodyto mėnesio dienos.</w:t>
      </w:r>
    </w:p>
    <w:p w:rsidR="004C3181" w:rsidRPr="002D12D7" w:rsidRDefault="004C3181" w:rsidP="004C3181">
      <w:pPr>
        <w:tabs>
          <w:tab w:val="left" w:pos="567"/>
        </w:tabs>
        <w:spacing w:after="0" w:line="240" w:lineRule="auto"/>
        <w:rPr>
          <w:rFonts w:ascii="Times New Roman" w:hAnsi="Times New Roman"/>
        </w:rPr>
      </w:pPr>
    </w:p>
    <w:p w:rsidR="004C3181" w:rsidRPr="002D12D7" w:rsidRDefault="004C3181" w:rsidP="004C3181">
      <w:pPr>
        <w:tabs>
          <w:tab w:val="left" w:pos="567"/>
        </w:tabs>
        <w:spacing w:after="0" w:line="240" w:lineRule="auto"/>
        <w:rPr>
          <w:rFonts w:ascii="Times New Roman" w:hAnsi="Times New Roman"/>
        </w:rPr>
      </w:pPr>
    </w:p>
    <w:p w:rsidR="004C3181" w:rsidRPr="002D12D7" w:rsidRDefault="004C3181" w:rsidP="004C3181">
      <w:pPr>
        <w:tabs>
          <w:tab w:val="left" w:pos="567"/>
        </w:tabs>
        <w:spacing w:after="0" w:line="240" w:lineRule="auto"/>
        <w:rPr>
          <w:rFonts w:ascii="Times New Roman" w:hAnsi="Times New Roman"/>
          <w:b/>
        </w:rPr>
      </w:pPr>
      <w:r w:rsidRPr="002D12D7">
        <w:rPr>
          <w:rFonts w:ascii="Times New Roman" w:hAnsi="Times New Roman"/>
          <w:b/>
        </w:rPr>
        <w:t>6.</w:t>
      </w:r>
      <w:r w:rsidRPr="002D12D7">
        <w:rPr>
          <w:rFonts w:ascii="Times New Roman" w:hAnsi="Times New Roman"/>
          <w:b/>
        </w:rPr>
        <w:tab/>
        <w:t>Pakuotės turinys ir kita informacija</w:t>
      </w:r>
    </w:p>
    <w:p w:rsidR="004C3181" w:rsidRPr="002D12D7" w:rsidRDefault="004C3181" w:rsidP="004C3181">
      <w:pPr>
        <w:tabs>
          <w:tab w:val="left" w:pos="567"/>
        </w:tabs>
        <w:spacing w:after="0" w:line="240" w:lineRule="auto"/>
        <w:rPr>
          <w:rFonts w:ascii="Times New Roman" w:hAnsi="Times New Roman"/>
          <w:b/>
        </w:rPr>
      </w:pPr>
    </w:p>
    <w:p w:rsidR="004C3181" w:rsidRPr="002D12D7" w:rsidRDefault="004C3181" w:rsidP="004C3181">
      <w:pPr>
        <w:tabs>
          <w:tab w:val="left" w:pos="567"/>
        </w:tabs>
        <w:spacing w:after="0" w:line="240" w:lineRule="auto"/>
        <w:rPr>
          <w:rFonts w:ascii="Times New Roman" w:hAnsi="Times New Roman"/>
          <w:b/>
        </w:rPr>
      </w:pPr>
      <w:r w:rsidRPr="002D12D7">
        <w:rPr>
          <w:rFonts w:ascii="Times New Roman" w:hAnsi="Times New Roman"/>
          <w:b/>
        </w:rPr>
        <w:t>Aminoven sudėtis</w:t>
      </w:r>
    </w:p>
    <w:p w:rsidR="004C3181" w:rsidRPr="002D12D7" w:rsidRDefault="004C3181" w:rsidP="004C3181">
      <w:pPr>
        <w:tabs>
          <w:tab w:val="left" w:pos="567"/>
        </w:tabs>
        <w:spacing w:after="0" w:line="240" w:lineRule="auto"/>
        <w:rPr>
          <w:rFonts w:ascii="Times New Roman" w:hAnsi="Times New Roman"/>
          <w:b/>
        </w:rPr>
      </w:pPr>
    </w:p>
    <w:p w:rsidR="004C3181" w:rsidRPr="002D12D7" w:rsidRDefault="004C3181" w:rsidP="004C3181">
      <w:pPr>
        <w:tabs>
          <w:tab w:val="left" w:pos="567"/>
        </w:tabs>
        <w:spacing w:after="0" w:line="240" w:lineRule="auto"/>
        <w:ind w:left="567" w:hanging="567"/>
        <w:rPr>
          <w:rFonts w:ascii="Times New Roman" w:hAnsi="Times New Roman"/>
          <w:color w:val="000000"/>
        </w:rPr>
      </w:pPr>
      <w:r w:rsidRPr="002D12D7">
        <w:rPr>
          <w:rFonts w:ascii="Times New Roman" w:hAnsi="Times New Roman"/>
        </w:rPr>
        <w:t>-</w:t>
      </w:r>
      <w:r w:rsidRPr="002D12D7">
        <w:rPr>
          <w:rFonts w:ascii="Times New Roman" w:hAnsi="Times New Roman"/>
        </w:rPr>
        <w:tab/>
        <w:t xml:space="preserve">Veikliosios medžiagos: 1000 ml infuzinio tirpalo yra: </w:t>
      </w:r>
      <w:r w:rsidRPr="002D12D7">
        <w:rPr>
          <w:rFonts w:ascii="Times New Roman" w:hAnsi="Times New Roman"/>
          <w:color w:val="000000"/>
        </w:rPr>
        <w:t>5,00 g izoleucino, 7,40 g leucino, 9,31 g lizino acetato (atitinka 6,60 g lizino), 4,30 g metionino, 5,10 g fenilalanino, 4,40 g treonino, 2,00 g triptofano, 6,20 g valino, 12,00 g arginino, 3,00 g histidino, 14,00 g alanino, 11,00 g glicino, 11,20 g prolino, 6,50 g serino, 0,40 g tirozino, 1,00 g taurino.</w:t>
      </w: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rPr>
        <w:t>-</w:t>
      </w:r>
      <w:r w:rsidRPr="002D12D7">
        <w:rPr>
          <w:rFonts w:ascii="Times New Roman" w:hAnsi="Times New Roman"/>
        </w:rPr>
        <w:tab/>
        <w:t>Pagalbinės medžiagos yra ledinė acto rūgštis ir injekcinis vanduo.</w:t>
      </w:r>
    </w:p>
    <w:p w:rsidR="004C3181" w:rsidRPr="002D12D7" w:rsidRDefault="004C3181" w:rsidP="004C3181">
      <w:pPr>
        <w:tabs>
          <w:tab w:val="left" w:pos="567"/>
        </w:tabs>
        <w:spacing w:after="0" w:line="240" w:lineRule="auto"/>
        <w:rPr>
          <w:rFonts w:ascii="Times New Roman" w:hAnsi="Times New Roman"/>
        </w:rPr>
      </w:pP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b/>
        </w:rPr>
        <w:t>Aminoven išvaizda ir kiekis pakuotėje</w:t>
      </w:r>
    </w:p>
    <w:p w:rsidR="004C3181" w:rsidRPr="002D12D7" w:rsidRDefault="004C3181" w:rsidP="004C3181">
      <w:pPr>
        <w:tabs>
          <w:tab w:val="left" w:pos="567"/>
        </w:tabs>
        <w:spacing w:after="0" w:line="240" w:lineRule="auto"/>
        <w:rPr>
          <w:rFonts w:ascii="Times New Roman" w:hAnsi="Times New Roman"/>
        </w:rPr>
      </w:pP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rPr>
        <w:t>Tirpalas yra skaidrus, bespalvis arba šiek tiek gelsvas.</w:t>
      </w: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rPr>
        <w:t>Tiekiama stikliniuose buteliukuose, kurių kiekviename yra 500 ml arba 1000 ml infuzinio tirpalo Buteliukas įdėtas į išorinę dėžutę.</w:t>
      </w:r>
    </w:p>
    <w:p w:rsidR="004C3181" w:rsidRPr="002D12D7" w:rsidRDefault="004C3181" w:rsidP="004C3181">
      <w:pPr>
        <w:tabs>
          <w:tab w:val="left" w:pos="567"/>
        </w:tabs>
        <w:spacing w:after="0" w:line="240" w:lineRule="auto"/>
        <w:rPr>
          <w:rFonts w:ascii="Times New Roman" w:hAnsi="Times New Roman"/>
        </w:rPr>
      </w:pP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rPr>
        <w:t>Pakuotėje yra 10 buteliukų po 500 ml.</w:t>
      </w: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rPr>
        <w:t>Pakuotė yra 6 buteliukai po 1000 ml.</w:t>
      </w: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rPr>
        <w:t>Pakuotėje yra vienas 500 ml buteliukas (pakuotės pavyzdys).</w:t>
      </w: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rPr>
        <w:t>Gali būti tiekiamos ne visų dydžių pakuotės.</w:t>
      </w:r>
    </w:p>
    <w:p w:rsidR="004C3181" w:rsidRPr="002D12D7" w:rsidRDefault="004C3181" w:rsidP="004C3181">
      <w:pPr>
        <w:tabs>
          <w:tab w:val="left" w:pos="567"/>
        </w:tabs>
        <w:spacing w:after="0" w:line="240" w:lineRule="auto"/>
        <w:rPr>
          <w:rFonts w:ascii="Times New Roman" w:hAnsi="Times New Roman"/>
        </w:rPr>
      </w:pPr>
    </w:p>
    <w:p w:rsidR="004C3181" w:rsidRPr="00E37425" w:rsidRDefault="004C3181" w:rsidP="004C3181">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Registruotojas</w:t>
      </w: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rPr>
        <w:t xml:space="preserve">Fresenius Kabi AB, </w:t>
      </w: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rPr>
        <w:t>SE-75174 Uppsala</w:t>
      </w: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rPr>
        <w:t>Švedija</w:t>
      </w:r>
    </w:p>
    <w:p w:rsidR="004C3181" w:rsidRPr="002D12D7" w:rsidRDefault="004C3181" w:rsidP="004C3181">
      <w:pPr>
        <w:tabs>
          <w:tab w:val="left" w:pos="567"/>
        </w:tabs>
        <w:spacing w:after="0" w:line="240" w:lineRule="auto"/>
        <w:rPr>
          <w:rFonts w:ascii="Times New Roman" w:hAnsi="Times New Roman"/>
          <w:b/>
        </w:rPr>
      </w:pPr>
    </w:p>
    <w:p w:rsidR="004C3181" w:rsidRPr="002D12D7" w:rsidRDefault="004C3181" w:rsidP="004C3181">
      <w:pPr>
        <w:tabs>
          <w:tab w:val="left" w:pos="567"/>
        </w:tabs>
        <w:spacing w:after="0" w:line="240" w:lineRule="auto"/>
        <w:rPr>
          <w:rFonts w:ascii="Times New Roman" w:hAnsi="Times New Roman"/>
          <w:b/>
        </w:rPr>
      </w:pPr>
      <w:r w:rsidRPr="002D12D7">
        <w:rPr>
          <w:rFonts w:ascii="Times New Roman" w:hAnsi="Times New Roman"/>
          <w:b/>
        </w:rPr>
        <w:t>Gamintojas</w:t>
      </w:r>
    </w:p>
    <w:p w:rsidR="004C3181" w:rsidRPr="002D12D7" w:rsidRDefault="004C3181" w:rsidP="004C3181">
      <w:pPr>
        <w:tabs>
          <w:tab w:val="left" w:pos="567"/>
        </w:tabs>
        <w:spacing w:after="0" w:line="240" w:lineRule="auto"/>
        <w:rPr>
          <w:rFonts w:ascii="Times New Roman" w:hAnsi="Times New Roman"/>
          <w:color w:val="000000"/>
        </w:rPr>
      </w:pPr>
      <w:r w:rsidRPr="002D12D7">
        <w:rPr>
          <w:rFonts w:ascii="Times New Roman" w:hAnsi="Times New Roman"/>
          <w:color w:val="000000"/>
        </w:rPr>
        <w:t xml:space="preserve">Fresenius Kabi Austria GmbH </w:t>
      </w: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rPr>
        <w:t xml:space="preserve">Hafnerstasse 36 </w:t>
      </w:r>
    </w:p>
    <w:p w:rsidR="004C3181" w:rsidRPr="002D12D7" w:rsidRDefault="004C3181" w:rsidP="004C3181">
      <w:pPr>
        <w:tabs>
          <w:tab w:val="left" w:pos="567"/>
        </w:tabs>
        <w:spacing w:after="0" w:line="240" w:lineRule="auto"/>
        <w:rPr>
          <w:rFonts w:ascii="Times New Roman" w:hAnsi="Times New Roman"/>
          <w:color w:val="000000"/>
        </w:rPr>
      </w:pPr>
      <w:r w:rsidRPr="002D12D7">
        <w:rPr>
          <w:rFonts w:ascii="Times New Roman" w:hAnsi="Times New Roman"/>
        </w:rPr>
        <w:t>A-</w:t>
      </w:r>
      <w:r w:rsidRPr="002D12D7">
        <w:rPr>
          <w:rFonts w:ascii="Times New Roman" w:hAnsi="Times New Roman"/>
          <w:color w:val="000000"/>
        </w:rPr>
        <w:t xml:space="preserve">8055 Graz </w:t>
      </w:r>
    </w:p>
    <w:p w:rsidR="004C3181" w:rsidRPr="002D12D7" w:rsidRDefault="004C3181" w:rsidP="004C3181">
      <w:pPr>
        <w:tabs>
          <w:tab w:val="left" w:pos="567"/>
        </w:tabs>
        <w:spacing w:after="0" w:line="240" w:lineRule="auto"/>
        <w:rPr>
          <w:rFonts w:ascii="Times New Roman" w:hAnsi="Times New Roman"/>
          <w:color w:val="000000"/>
        </w:rPr>
      </w:pPr>
      <w:r w:rsidRPr="002D12D7">
        <w:rPr>
          <w:rFonts w:ascii="Times New Roman" w:hAnsi="Times New Roman"/>
          <w:color w:val="000000"/>
        </w:rPr>
        <w:lastRenderedPageBreak/>
        <w:t>Austrija</w:t>
      </w:r>
    </w:p>
    <w:p w:rsidR="004C3181" w:rsidRPr="002D12D7" w:rsidRDefault="004C3181" w:rsidP="004C3181">
      <w:pPr>
        <w:tabs>
          <w:tab w:val="left" w:pos="567"/>
        </w:tabs>
        <w:spacing w:after="0" w:line="240" w:lineRule="auto"/>
        <w:rPr>
          <w:rFonts w:ascii="Times New Roman" w:hAnsi="Times New Roman"/>
          <w:b/>
        </w:rPr>
      </w:pPr>
    </w:p>
    <w:p w:rsidR="004C3181" w:rsidRPr="002D12D7" w:rsidRDefault="004C3181" w:rsidP="004C3181">
      <w:pPr>
        <w:tabs>
          <w:tab w:val="left" w:pos="567"/>
        </w:tabs>
        <w:spacing w:after="0" w:line="240" w:lineRule="auto"/>
        <w:rPr>
          <w:rFonts w:ascii="Times New Roman" w:hAnsi="Times New Roman"/>
        </w:rPr>
      </w:pPr>
      <w:r w:rsidRPr="002D12D7">
        <w:rPr>
          <w:rFonts w:ascii="Times New Roman" w:hAnsi="Times New Roman"/>
        </w:rPr>
        <w:t xml:space="preserve">Jeigu apie šį vaistą norite sužinoti daugiau, kreipkitės į vietinį </w:t>
      </w:r>
      <w:r>
        <w:rPr>
          <w:rFonts w:ascii="Times New Roman" w:eastAsia="Times New Roman" w:hAnsi="Times New Roman" w:cs="Times New Roman"/>
          <w:lang w:eastAsia="lt-LT"/>
        </w:rPr>
        <w:t>registruotojo</w:t>
      </w:r>
      <w:r w:rsidRPr="002D12D7">
        <w:rPr>
          <w:rFonts w:ascii="Times New Roman" w:hAnsi="Times New Roman"/>
        </w:rPr>
        <w:t xml:space="preserve"> atstovą.</w:t>
      </w:r>
    </w:p>
    <w:p w:rsidR="004C3181" w:rsidRPr="002D12D7" w:rsidRDefault="004C3181" w:rsidP="004C3181">
      <w:pPr>
        <w:tabs>
          <w:tab w:val="left" w:pos="567"/>
        </w:tabs>
        <w:spacing w:after="0" w:line="240" w:lineRule="auto"/>
        <w:rPr>
          <w:rFonts w:ascii="Times New Roman" w:hAnsi="Times New Roman"/>
        </w:rPr>
      </w:pPr>
    </w:p>
    <w:p w:rsidR="004C3181" w:rsidRPr="0042331B" w:rsidRDefault="004C3181" w:rsidP="004C3181">
      <w:pPr>
        <w:pStyle w:val="Antrats"/>
        <w:tabs>
          <w:tab w:val="left" w:pos="567"/>
        </w:tabs>
        <w:rPr>
          <w:sz w:val="22"/>
          <w:szCs w:val="22"/>
        </w:rPr>
      </w:pPr>
      <w:r w:rsidRPr="0042331B">
        <w:rPr>
          <w:sz w:val="22"/>
          <w:szCs w:val="22"/>
        </w:rPr>
        <w:t>UAB „Fresenius Kabi Baltics“</w:t>
      </w:r>
    </w:p>
    <w:p w:rsidR="004C3181" w:rsidRPr="0042331B" w:rsidRDefault="004C3181" w:rsidP="004C3181">
      <w:pPr>
        <w:pStyle w:val="Antrats"/>
        <w:tabs>
          <w:tab w:val="left" w:pos="567"/>
        </w:tabs>
        <w:rPr>
          <w:sz w:val="22"/>
          <w:szCs w:val="22"/>
        </w:rPr>
      </w:pPr>
      <w:r w:rsidRPr="0042331B">
        <w:rPr>
          <w:sz w:val="22"/>
          <w:szCs w:val="22"/>
        </w:rPr>
        <w:t>J. Basanavičiaus g. 26</w:t>
      </w:r>
    </w:p>
    <w:p w:rsidR="004C3181" w:rsidRPr="0042331B" w:rsidRDefault="004C3181" w:rsidP="004C3181">
      <w:pPr>
        <w:tabs>
          <w:tab w:val="left" w:pos="567"/>
        </w:tabs>
        <w:spacing w:after="0" w:line="240" w:lineRule="auto"/>
        <w:rPr>
          <w:rFonts w:ascii="Times New Roman" w:hAnsi="Times New Roman" w:cs="Times New Roman"/>
        </w:rPr>
      </w:pPr>
      <w:r w:rsidRPr="0042331B">
        <w:rPr>
          <w:rFonts w:ascii="Times New Roman" w:hAnsi="Times New Roman" w:cs="Times New Roman"/>
        </w:rPr>
        <w:t>LT-03244, Vilnius</w:t>
      </w:r>
    </w:p>
    <w:p w:rsidR="004C3181" w:rsidRPr="0042331B" w:rsidRDefault="004C3181" w:rsidP="004C3181">
      <w:pPr>
        <w:pStyle w:val="Antrats"/>
        <w:tabs>
          <w:tab w:val="left" w:pos="567"/>
        </w:tabs>
        <w:rPr>
          <w:sz w:val="22"/>
          <w:szCs w:val="22"/>
        </w:rPr>
      </w:pPr>
      <w:r w:rsidRPr="0042331B">
        <w:rPr>
          <w:sz w:val="22"/>
          <w:szCs w:val="22"/>
        </w:rPr>
        <w:t>Lietuva</w:t>
      </w:r>
    </w:p>
    <w:p w:rsidR="004C3181" w:rsidRPr="0042331B" w:rsidRDefault="004C3181" w:rsidP="004C3181">
      <w:pPr>
        <w:pStyle w:val="Antrats"/>
        <w:tabs>
          <w:tab w:val="left" w:pos="567"/>
        </w:tabs>
        <w:rPr>
          <w:sz w:val="22"/>
          <w:szCs w:val="22"/>
        </w:rPr>
      </w:pPr>
      <w:r w:rsidRPr="0042331B">
        <w:rPr>
          <w:sz w:val="22"/>
          <w:szCs w:val="22"/>
        </w:rPr>
        <w:t>Tel. +370 5 252 3213</w:t>
      </w:r>
    </w:p>
    <w:p w:rsidR="004C3181" w:rsidRPr="0042331B" w:rsidRDefault="004C3181" w:rsidP="004C3181">
      <w:pPr>
        <w:pStyle w:val="Antrats"/>
        <w:tabs>
          <w:tab w:val="left" w:pos="567"/>
        </w:tabs>
        <w:rPr>
          <w:b/>
          <w:sz w:val="22"/>
          <w:szCs w:val="22"/>
        </w:rPr>
      </w:pPr>
      <w:r w:rsidRPr="0042331B">
        <w:rPr>
          <w:sz w:val="22"/>
          <w:szCs w:val="22"/>
        </w:rPr>
        <w:t>Faksas +370 5 260 8696</w:t>
      </w:r>
    </w:p>
    <w:p w:rsidR="004C3181" w:rsidRPr="002D12D7" w:rsidRDefault="004C3181" w:rsidP="004C3181">
      <w:pPr>
        <w:tabs>
          <w:tab w:val="left" w:pos="567"/>
        </w:tabs>
        <w:spacing w:after="0" w:line="240" w:lineRule="auto"/>
        <w:rPr>
          <w:rFonts w:ascii="Times New Roman" w:hAnsi="Times New Roman"/>
        </w:rPr>
      </w:pPr>
    </w:p>
    <w:p w:rsidR="004C3181" w:rsidRPr="002D12D7" w:rsidRDefault="004C3181" w:rsidP="004C3181">
      <w:pPr>
        <w:tabs>
          <w:tab w:val="left" w:pos="567"/>
        </w:tabs>
        <w:spacing w:after="0" w:line="240" w:lineRule="auto"/>
        <w:rPr>
          <w:rFonts w:ascii="Times New Roman" w:hAnsi="Times New Roman"/>
          <w:b/>
        </w:rPr>
      </w:pPr>
      <w:r w:rsidRPr="002D12D7">
        <w:rPr>
          <w:rFonts w:ascii="Times New Roman" w:hAnsi="Times New Roman"/>
          <w:b/>
        </w:rPr>
        <w:t xml:space="preserve">Šis pakuotės lapelis paskutinį kartą peržiūrėtas </w:t>
      </w:r>
      <w:r>
        <w:rPr>
          <w:rFonts w:ascii="Times New Roman" w:hAnsi="Times New Roman"/>
          <w:b/>
        </w:rPr>
        <w:t>2020-11-24.</w:t>
      </w:r>
    </w:p>
    <w:p w:rsidR="004C3181" w:rsidRPr="002D12D7" w:rsidRDefault="004C3181" w:rsidP="004C3181">
      <w:pPr>
        <w:tabs>
          <w:tab w:val="left" w:pos="567"/>
        </w:tabs>
        <w:spacing w:after="0" w:line="240" w:lineRule="auto"/>
        <w:rPr>
          <w:rFonts w:ascii="Times New Roman" w:hAnsi="Times New Roman"/>
        </w:rPr>
      </w:pPr>
    </w:p>
    <w:p w:rsidR="004C3181" w:rsidRPr="002D12D7" w:rsidRDefault="004C3181" w:rsidP="004C3181">
      <w:pPr>
        <w:spacing w:after="0" w:line="240" w:lineRule="auto"/>
        <w:rPr>
          <w:rFonts w:ascii="Times New Roman" w:hAnsi="Times New Roman"/>
        </w:rPr>
      </w:pPr>
      <w:r w:rsidRPr="002D12D7">
        <w:rPr>
          <w:rFonts w:ascii="Times New Roman" w:hAnsi="Times New Roman"/>
        </w:rPr>
        <w:t xml:space="preserve">Išsami informacija apie šį vaistą pateikiama Valstybinės vaistų kontrolės tarnybos prie Lietuvos Respublikos sveikatos apsaugos ministerijos tinklalapyje </w:t>
      </w:r>
      <w:hyperlink r:id="rId8" w:history="1">
        <w:r w:rsidRPr="002D12D7">
          <w:rPr>
            <w:rFonts w:ascii="Times New Roman" w:hAnsi="Times New Roman"/>
            <w:color w:val="0000FF"/>
            <w:u w:val="single"/>
          </w:rPr>
          <w:t>http://www.vvkt.lt/</w:t>
        </w:r>
      </w:hyperlink>
      <w:r w:rsidRPr="002D12D7">
        <w:rPr>
          <w:rFonts w:ascii="Times New Roman" w:hAnsi="Times New Roman"/>
        </w:rPr>
        <w:t>.</w:t>
      </w:r>
    </w:p>
    <w:p w:rsidR="004C3181" w:rsidRPr="002D12D7" w:rsidRDefault="004C3181" w:rsidP="004C3181">
      <w:pPr>
        <w:spacing w:after="0" w:line="240" w:lineRule="auto"/>
        <w:rPr>
          <w:rFonts w:ascii="Times New Roman" w:hAnsi="Times New Roman"/>
        </w:rPr>
      </w:pPr>
    </w:p>
    <w:p w:rsidR="004C3181" w:rsidRPr="002D12D7" w:rsidRDefault="004C3181" w:rsidP="004C3181">
      <w:pPr>
        <w:rPr>
          <w:rFonts w:ascii="Times New Roman" w:hAnsi="Times New Roman"/>
        </w:rPr>
      </w:pPr>
    </w:p>
    <w:p w:rsidR="009041DB" w:rsidRDefault="009041DB">
      <w:bookmarkStart w:id="0" w:name="_GoBack"/>
      <w:bookmarkEnd w:id="0"/>
    </w:p>
    <w:sectPr w:rsidR="009041DB" w:rsidSect="00554A59">
      <w:headerReference w:type="even" r:id="rId9"/>
      <w:headerReference w:type="default" r:id="rId10"/>
      <w:footerReference w:type="default" r:id="rId11"/>
      <w:pgSz w:w="11906" w:h="16838" w:code="9"/>
      <w:pgMar w:top="1134" w:right="1418" w:bottom="1134" w:left="141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A59" w:rsidRDefault="004C3181">
    <w:pPr>
      <w:pStyle w:val="Porat"/>
      <w:jc w:val="right"/>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5</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A59" w:rsidRDefault="004C3181">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54A59" w:rsidRDefault="004C3181">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A59" w:rsidRDefault="004C3181">
    <w:pPr>
      <w:pStyle w:val="Antrats"/>
      <w:framePr w:wrap="around" w:vAnchor="text" w:hAnchor="margin" w:xAlign="right" w:y="1"/>
      <w:rPr>
        <w:rStyle w:val="Puslapionumeris"/>
      </w:rPr>
    </w:pPr>
  </w:p>
  <w:p w:rsidR="00554A59" w:rsidRDefault="004C3181">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4CA7"/>
    <w:multiLevelType w:val="hybridMultilevel"/>
    <w:tmpl w:val="D638A338"/>
    <w:lvl w:ilvl="0" w:tplc="06EE31FC">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81"/>
    <w:rsid w:val="004C3181"/>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5EC3C-6001-4314-821A-148D932E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3181"/>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C3181"/>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4C3181"/>
    <w:rPr>
      <w:rFonts w:ascii="Times New Roman" w:hAnsi="Times New Roman" w:cs="Times New Roman"/>
      <w:sz w:val="24"/>
      <w:szCs w:val="20"/>
      <w:lang w:eastAsia="lt-LT"/>
    </w:rPr>
  </w:style>
  <w:style w:type="character" w:styleId="Puslapionumeris">
    <w:name w:val="page number"/>
    <w:basedOn w:val="Numatytasispastraiposriftas"/>
    <w:rsid w:val="004C3181"/>
  </w:style>
  <w:style w:type="paragraph" w:styleId="Porat">
    <w:name w:val="footer"/>
    <w:basedOn w:val="prastasis"/>
    <w:link w:val="PoratDiagrama"/>
    <w:rsid w:val="004C3181"/>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PoratDiagrama">
    <w:name w:val="Poraštė Diagrama"/>
    <w:basedOn w:val="Numatytasispastraiposriftas"/>
    <w:link w:val="Porat"/>
    <w:rsid w:val="004C3181"/>
    <w:rPr>
      <w:rFonts w:ascii="Times New Roman" w:hAnsi="Times New Roman" w:cs="Times New Roman"/>
      <w:sz w:val="24"/>
      <w:szCs w:val="24"/>
      <w:lang w:val="en-GB"/>
    </w:rPr>
  </w:style>
  <w:style w:type="table" w:styleId="Lentelstinklelis">
    <w:name w:val="Table Grid"/>
    <w:basedOn w:val="prastojilentel"/>
    <w:rsid w:val="004C3181"/>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7807</Words>
  <Characters>4450</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2020-11-25T13:22:00Z</dcterms:created>
  <dcterms:modified xsi:type="dcterms:W3CDTF">2020-11-25T13:23:00Z</dcterms:modified>
</cp:coreProperties>
</file>