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7E" w:rsidRPr="005E2619" w:rsidRDefault="0029447E" w:rsidP="00AC03C8">
      <w:pPr>
        <w:tabs>
          <w:tab w:val="clear" w:pos="567"/>
        </w:tabs>
        <w:spacing w:line="240" w:lineRule="auto"/>
        <w:ind w:right="566"/>
        <w:rPr>
          <w:i/>
          <w:noProof/>
          <w:szCs w:val="22"/>
        </w:rPr>
      </w:pPr>
    </w:p>
    <w:p w:rsidR="0029447E" w:rsidRPr="005E2619" w:rsidRDefault="0029447E" w:rsidP="0029447E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jc w:val="center"/>
        <w:rPr>
          <w:noProof/>
          <w:szCs w:val="22"/>
        </w:rPr>
      </w:pPr>
      <w:r w:rsidRPr="005E2619">
        <w:rPr>
          <w:b/>
          <w:noProof/>
          <w:szCs w:val="22"/>
        </w:rPr>
        <w:t>I PRIEDAS</w:t>
      </w:r>
    </w:p>
    <w:p w:rsidR="0029447E" w:rsidRPr="005E2619" w:rsidRDefault="0029447E" w:rsidP="0029447E">
      <w:pPr>
        <w:spacing w:line="240" w:lineRule="auto"/>
        <w:ind w:left="567" w:hanging="567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jc w:val="center"/>
        <w:rPr>
          <w:b/>
          <w:noProof/>
          <w:szCs w:val="22"/>
        </w:rPr>
      </w:pPr>
      <w:r w:rsidRPr="005E2619">
        <w:rPr>
          <w:b/>
          <w:noProof/>
          <w:szCs w:val="22"/>
        </w:rPr>
        <w:t>PREPARATO CHARAKTERISTIKŲ SANTRAUKA</w:t>
      </w:r>
    </w:p>
    <w:p w:rsidR="0029447E" w:rsidRPr="005E2619" w:rsidRDefault="0029447E" w:rsidP="0029447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bCs/>
          <w:iCs/>
          <w:noProof/>
          <w:szCs w:val="22"/>
        </w:rPr>
        <w:br w:type="page"/>
      </w:r>
      <w:r w:rsidRPr="005E2619">
        <w:rPr>
          <w:b/>
          <w:noProof/>
          <w:szCs w:val="22"/>
        </w:rPr>
        <w:lastRenderedPageBreak/>
        <w:t>1.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VAISTINIO</w:t>
      </w:r>
      <w:r w:rsidRPr="005E2619">
        <w:rPr>
          <w:b/>
          <w:noProof/>
          <w:szCs w:val="22"/>
        </w:rPr>
        <w:t xml:space="preserve"> PREPARATO PAVADINIMAS</w:t>
      </w:r>
    </w:p>
    <w:p w:rsidR="0029447E" w:rsidRPr="005E2619" w:rsidRDefault="0029447E" w:rsidP="0029447E">
      <w:pPr>
        <w:spacing w:line="240" w:lineRule="auto"/>
        <w:rPr>
          <w:iCs/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HEMOROL žvakutės</w:t>
      </w:r>
    </w:p>
    <w:p w:rsidR="0029447E" w:rsidRPr="005E2619" w:rsidRDefault="0029447E" w:rsidP="0029447E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29447E" w:rsidRPr="005E2619" w:rsidRDefault="0029447E" w:rsidP="0029447E">
      <w:pPr>
        <w:widowControl w:val="0"/>
        <w:spacing w:line="240" w:lineRule="auto"/>
        <w:rPr>
          <w:bCs/>
          <w:noProof/>
          <w:szCs w:val="22"/>
        </w:rPr>
      </w:pPr>
    </w:p>
    <w:p w:rsidR="0029447E" w:rsidRPr="005E2619" w:rsidRDefault="0029447E" w:rsidP="0029447E">
      <w:pPr>
        <w:widowControl w:val="0"/>
        <w:spacing w:line="240" w:lineRule="auto"/>
        <w:rPr>
          <w:noProof/>
          <w:szCs w:val="22"/>
        </w:rPr>
      </w:pPr>
      <w:r w:rsidRPr="005E2619">
        <w:rPr>
          <w:b/>
          <w:noProof/>
          <w:szCs w:val="22"/>
        </w:rPr>
        <w:t>2.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kokybinė ir kiekybinė sudėtis</w:t>
      </w:r>
    </w:p>
    <w:p w:rsidR="0029447E" w:rsidRPr="005E2619" w:rsidRDefault="0029447E" w:rsidP="0029447E">
      <w:pPr>
        <w:widowControl w:val="0"/>
        <w:spacing w:line="240" w:lineRule="auto"/>
        <w:rPr>
          <w:bCs/>
          <w:noProof/>
          <w:szCs w:val="22"/>
        </w:rPr>
      </w:pPr>
    </w:p>
    <w:p w:rsidR="008377F3" w:rsidRDefault="0029447E" w:rsidP="0029447E">
      <w:pPr>
        <w:rPr>
          <w:szCs w:val="22"/>
        </w:rPr>
      </w:pPr>
      <w:r w:rsidRPr="005E2619">
        <w:rPr>
          <w:szCs w:val="22"/>
        </w:rPr>
        <w:t xml:space="preserve">Vienoje žvakutėje yra </w:t>
      </w:r>
    </w:p>
    <w:p w:rsidR="0029447E" w:rsidRPr="005E2619" w:rsidRDefault="0029447E" w:rsidP="0029447E">
      <w:pPr>
        <w:rPr>
          <w:szCs w:val="22"/>
        </w:rPr>
      </w:pPr>
      <w:r w:rsidRPr="005E2619">
        <w:rPr>
          <w:szCs w:val="22"/>
        </w:rPr>
        <w:t>50 mg</w:t>
      </w:r>
      <w:r w:rsidRPr="005E2619" w:rsidDel="006A1E6D">
        <w:rPr>
          <w:b/>
          <w:szCs w:val="22"/>
        </w:rPr>
        <w:t xml:space="preserve"> </w:t>
      </w:r>
      <w:r w:rsidRPr="005E2619">
        <w:rPr>
          <w:i/>
          <w:szCs w:val="22"/>
        </w:rPr>
        <w:t>Matricaria recutita</w:t>
      </w:r>
      <w:r w:rsidRPr="005E2619">
        <w:rPr>
          <w:szCs w:val="22"/>
        </w:rPr>
        <w:t xml:space="preserve"> L. (</w:t>
      </w:r>
      <w:r w:rsidRPr="005E2619">
        <w:rPr>
          <w:i/>
          <w:szCs w:val="22"/>
        </w:rPr>
        <w:t>Chamomilla recutita</w:t>
      </w:r>
      <w:r w:rsidRPr="005E2619">
        <w:rPr>
          <w:szCs w:val="22"/>
        </w:rPr>
        <w:t xml:space="preserve"> (L.) Rauschert.), flos (ramunėlių žiedų) tirštojo ekstrakto (3:1) (ekstrahentas: išgrynintas vanduo); 20 mg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Atropa belladonna</w:t>
      </w:r>
      <w:r w:rsidRPr="005E2619">
        <w:rPr>
          <w:rStyle w:val="s1"/>
          <w:rFonts w:ascii="Times New Roman" w:hAnsi="Times New Roman" w:cs="Times New Roman"/>
          <w:szCs w:val="22"/>
        </w:rPr>
        <w:t> L., radix (</w:t>
      </w:r>
      <w:r w:rsidRPr="005E2619">
        <w:rPr>
          <w:szCs w:val="22"/>
          <w:lang w:eastAsia="lt-LT"/>
        </w:rPr>
        <w:t>šunvyšnių šaknų) tirštojo</w:t>
      </w:r>
      <w:r w:rsidRPr="005E2619">
        <w:rPr>
          <w:szCs w:val="22"/>
        </w:rPr>
        <w:t xml:space="preserve"> ekstrakto (4:1) (ekstrahentas: etanolis 70% V/V); 80</w:t>
      </w:r>
      <w:r>
        <w:rPr>
          <w:szCs w:val="22"/>
        </w:rPr>
        <w:t> </w:t>
      </w:r>
      <w:r w:rsidRPr="005E2619">
        <w:rPr>
          <w:szCs w:val="22"/>
        </w:rPr>
        <w:t xml:space="preserve">mg tirštojo ekstrakto (4:1), pagaminto iš </w:t>
      </w:r>
      <w:r w:rsidRPr="005E2619">
        <w:rPr>
          <w:i/>
          <w:szCs w:val="22"/>
        </w:rPr>
        <w:t xml:space="preserve">Cytisus scoparius </w:t>
      </w:r>
      <w:r w:rsidRPr="005E2619">
        <w:rPr>
          <w:szCs w:val="22"/>
        </w:rPr>
        <w:t>L</w:t>
      </w:r>
      <w:r w:rsidRPr="005E2619">
        <w:rPr>
          <w:i/>
          <w:szCs w:val="22"/>
        </w:rPr>
        <w:t xml:space="preserve">., </w:t>
      </w:r>
      <w:r w:rsidRPr="005E2619">
        <w:rPr>
          <w:szCs w:val="22"/>
        </w:rPr>
        <w:t>herba</w:t>
      </w:r>
      <w:r w:rsidRPr="005E2619">
        <w:rPr>
          <w:i/>
          <w:szCs w:val="22"/>
        </w:rPr>
        <w:t xml:space="preserve"> </w:t>
      </w:r>
      <w:r w:rsidRPr="005E2619">
        <w:rPr>
          <w:szCs w:val="22"/>
        </w:rPr>
        <w:t xml:space="preserve">(šluotinių sausakrūmių žolės), </w:t>
      </w:r>
      <w:r w:rsidRPr="005E2619">
        <w:rPr>
          <w:i/>
          <w:szCs w:val="22"/>
        </w:rPr>
        <w:t>Aesculus hippocastanum</w:t>
      </w:r>
      <w:r w:rsidRPr="005E2619">
        <w:rPr>
          <w:szCs w:val="22"/>
        </w:rPr>
        <w:t xml:space="preserve"> L., cortex (paprastųjų kaštonų žievės), </w:t>
      </w:r>
      <w:r w:rsidRPr="005E2619">
        <w:rPr>
          <w:i/>
          <w:iCs/>
          <w:szCs w:val="22"/>
        </w:rPr>
        <w:t>Potentilla erecta</w:t>
      </w:r>
      <w:r w:rsidRPr="005E2619">
        <w:rPr>
          <w:szCs w:val="22"/>
        </w:rPr>
        <w:t xml:space="preserve"> L. Raeusch., rhizoma (miškinių sidabražolių šakniastiebių), </w:t>
      </w:r>
      <w:r>
        <w:rPr>
          <w:szCs w:val="22"/>
        </w:rPr>
        <w:t xml:space="preserve">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Achillea millefolium</w:t>
      </w:r>
      <w:r w:rsidRPr="005E2619">
        <w:rPr>
          <w:rStyle w:val="s1"/>
          <w:rFonts w:ascii="Times New Roman" w:hAnsi="Times New Roman" w:cs="Times New Roman"/>
          <w:szCs w:val="22"/>
        </w:rPr>
        <w:t> L., herba (</w:t>
      </w:r>
      <w:r w:rsidRPr="005E2619">
        <w:rPr>
          <w:szCs w:val="22"/>
        </w:rPr>
        <w:t>kraujažolių žolės) (ekstrahentas: etanolis 40% V/V) (1/1/1/1), 100 mg benzokaino.</w:t>
      </w:r>
    </w:p>
    <w:p w:rsidR="0029447E" w:rsidRPr="005E2619" w:rsidRDefault="0029447E" w:rsidP="0029447E">
      <w:pPr>
        <w:rPr>
          <w:szCs w:val="22"/>
        </w:rPr>
      </w:pPr>
    </w:p>
    <w:p w:rsidR="0029447E" w:rsidRPr="005E2619" w:rsidRDefault="0029447E" w:rsidP="0029447E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  <w:r w:rsidRPr="005E2619">
        <w:rPr>
          <w:noProof/>
          <w:szCs w:val="22"/>
          <w:lang w:val="lt-LT"/>
        </w:rPr>
        <w:t>Visos pagalbinės medžiagos išvardytos 6.1 skyriuje.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r w:rsidRPr="005E2619">
        <w:rPr>
          <w:b/>
          <w:noProof/>
          <w:szCs w:val="22"/>
        </w:rPr>
        <w:t>3.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FARMACINĖ forma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Žvakutė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Žvakutės yra cilindrinės formos su elipsoidiniais galais, rudos spalvos, specifinio kvapo.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r w:rsidRPr="005E2619">
        <w:rPr>
          <w:b/>
          <w:caps/>
          <w:noProof/>
          <w:szCs w:val="22"/>
        </w:rPr>
        <w:t>4.</w:t>
      </w:r>
      <w:r w:rsidRPr="005E2619">
        <w:rPr>
          <w:b/>
          <w:caps/>
          <w:noProof/>
          <w:szCs w:val="22"/>
        </w:rPr>
        <w:tab/>
        <w:t>klinikinĖ informacija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4.1</w:t>
      </w:r>
      <w:r w:rsidRPr="005E2619">
        <w:rPr>
          <w:b/>
          <w:noProof/>
          <w:szCs w:val="22"/>
        </w:rPr>
        <w:tab/>
        <w:t>Terapinės indikacijos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Išangės skausmo ir dirginimo, sukelto hemorojaus, lėtinio t</w:t>
      </w:r>
      <w:r>
        <w:rPr>
          <w:noProof/>
          <w:szCs w:val="22"/>
        </w:rPr>
        <w:t>ie</w:t>
      </w:r>
      <w:r w:rsidRPr="005E2619">
        <w:rPr>
          <w:noProof/>
          <w:szCs w:val="22"/>
        </w:rPr>
        <w:t xml:space="preserve">siosios žarnos uždegimo, gleivinės </w:t>
      </w:r>
      <w:r>
        <w:rPr>
          <w:noProof/>
          <w:szCs w:val="22"/>
        </w:rPr>
        <w:t xml:space="preserve"> </w:t>
      </w:r>
      <w:r w:rsidRPr="005E2619">
        <w:rPr>
          <w:noProof/>
          <w:szCs w:val="22"/>
        </w:rPr>
        <w:t>įtrūkimo lengvinimas.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"/>
          <w:numId w:val="4"/>
        </w:numPr>
        <w:spacing w:line="240" w:lineRule="auto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Dozavimas ir vartojimo metodas</w:t>
      </w:r>
    </w:p>
    <w:p w:rsidR="002B2962" w:rsidRDefault="002B2962" w:rsidP="002B2962">
      <w:pPr>
        <w:tabs>
          <w:tab w:val="clear" w:pos="567"/>
        </w:tabs>
        <w:rPr>
          <w:noProof/>
          <w:szCs w:val="24"/>
          <w:u w:val="single"/>
        </w:rPr>
      </w:pPr>
    </w:p>
    <w:p w:rsidR="002B2962" w:rsidRPr="002B2962" w:rsidRDefault="002B2962" w:rsidP="002B2962">
      <w:pPr>
        <w:tabs>
          <w:tab w:val="clear" w:pos="567"/>
        </w:tabs>
        <w:rPr>
          <w:szCs w:val="24"/>
          <w:u w:val="single"/>
        </w:rPr>
      </w:pPr>
      <w:r w:rsidRPr="002B2962">
        <w:rPr>
          <w:noProof/>
          <w:szCs w:val="24"/>
          <w:u w:val="single"/>
        </w:rPr>
        <w:t>Dozavimas</w:t>
      </w:r>
    </w:p>
    <w:p w:rsidR="00844F82" w:rsidRDefault="00844F82" w:rsidP="0029447E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29447E" w:rsidRPr="00AA773A" w:rsidRDefault="00844F82" w:rsidP="0029447E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AA773A">
        <w:rPr>
          <w:i/>
          <w:noProof/>
          <w:szCs w:val="22"/>
        </w:rPr>
        <w:t>Suaugu</w:t>
      </w:r>
      <w:r w:rsidR="00227DE8">
        <w:rPr>
          <w:i/>
          <w:noProof/>
          <w:szCs w:val="22"/>
        </w:rPr>
        <w:t>sie</w:t>
      </w:r>
      <w:r w:rsidRPr="00AA773A">
        <w:rPr>
          <w:i/>
          <w:noProof/>
          <w:szCs w:val="22"/>
        </w:rPr>
        <w:t>siems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Suaugusiems žmonėms reikia vartoti vieną žvakutę prieš naktį. Jei liga sunkesnė, tokią pačią dozę galima vartoti 2-3 kartus per parą.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Gydymo trukmė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Žvakutes reikia vartoti tol, kol neliks skausmo, bet ne ilgiau kaip 7 dienas iš eilės.</w:t>
      </w:r>
    </w:p>
    <w:p w:rsidR="00844F82" w:rsidRDefault="00844F82" w:rsidP="00844F8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844F82" w:rsidRPr="00AA773A" w:rsidRDefault="00844F82" w:rsidP="00844F82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AA773A">
        <w:rPr>
          <w:i/>
          <w:noProof/>
          <w:szCs w:val="22"/>
        </w:rPr>
        <w:t>Vaikų populiacija</w:t>
      </w:r>
    </w:p>
    <w:p w:rsidR="00844F82" w:rsidRDefault="00844F82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Vaikams ir paaugliams jaunesniems kaip 18 metų šio vaistinio preparato vartoti negalima.</w:t>
      </w:r>
    </w:p>
    <w:p w:rsidR="00844F82" w:rsidRDefault="00844F82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844F82" w:rsidRDefault="00844F82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Vartojimo metodas</w:t>
      </w:r>
    </w:p>
    <w:p w:rsidR="00844F82" w:rsidRPr="00844F82" w:rsidRDefault="00844F82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Vartoti į tiesiąją žarną.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4.3</w:t>
      </w:r>
      <w:r w:rsidRPr="005E2619">
        <w:rPr>
          <w:b/>
          <w:noProof/>
          <w:szCs w:val="22"/>
        </w:rPr>
        <w:tab/>
        <w:t>Kontraindikacijos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B2962" w:rsidRDefault="002B2962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B34FA1">
        <w:rPr>
          <w:noProof/>
          <w:szCs w:val="24"/>
        </w:rPr>
        <w:t>Padidėjęs jautrumas veikliajai arba bet kuriai 6.1 skyriuje nurodytai pagalbinei medžiagai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Padidėjęs jautrumas astrinių (Asteracaea=Compositae) šeimos augalams.</w:t>
      </w:r>
    </w:p>
    <w:p w:rsidR="0029447E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Neoplastinės ligos.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Nėštumas.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Vaikai ir paaugliai iki 18 metų.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Širdies aritmija.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Žarnyno nepraeinamumas.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lastRenderedPageBreak/>
        <w:t>Kepenų ir inkstų funkcijos nepakankamumas.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Glaukoma.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Prostatos adenoma.</w:t>
      </w:r>
    </w:p>
    <w:p w:rsidR="0029447E" w:rsidRPr="005E2619" w:rsidRDefault="0029447E" w:rsidP="00AA773A">
      <w:pPr>
        <w:tabs>
          <w:tab w:val="clear" w:pos="567"/>
          <w:tab w:val="left" w:pos="284"/>
        </w:tabs>
        <w:spacing w:line="240" w:lineRule="auto"/>
        <w:rPr>
          <w:szCs w:val="22"/>
          <w:lang w:eastAsia="de-DE"/>
        </w:rPr>
      </w:pPr>
      <w:r w:rsidRPr="005E2619">
        <w:rPr>
          <w:szCs w:val="22"/>
          <w:lang w:eastAsia="lt-LT"/>
        </w:rPr>
        <w:t>Plaučių edema.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4.4</w:t>
      </w:r>
      <w:r w:rsidRPr="005E2619">
        <w:rPr>
          <w:b/>
          <w:noProof/>
          <w:szCs w:val="22"/>
        </w:rPr>
        <w:tab/>
        <w:t>Specialūs įspėjimai ir atsargumo priemonės</w:t>
      </w:r>
    </w:p>
    <w:p w:rsidR="0029447E" w:rsidRPr="005E2619" w:rsidRDefault="0029447E" w:rsidP="0029447E">
      <w:pPr>
        <w:rPr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E2619">
        <w:rPr>
          <w:szCs w:val="22"/>
        </w:rPr>
        <w:t>Prieš pradedant gydymą pacientas turėtų pasikonsultuoti su gydytoju. Pacientas turėtų pasitarti</w:t>
      </w:r>
      <w:r w:rsidRPr="005E2619">
        <w:rPr>
          <w:szCs w:val="22"/>
          <w:lang w:eastAsia="pl-PL"/>
        </w:rPr>
        <w:t xml:space="preserve"> </w:t>
      </w:r>
      <w:r w:rsidRPr="005E2619">
        <w:rPr>
          <w:szCs w:val="22"/>
        </w:rPr>
        <w:t>su savo gydytoju, jei atsirado kraujo išmatose.</w:t>
      </w:r>
    </w:p>
    <w:p w:rsidR="0029447E" w:rsidRPr="005E2619" w:rsidRDefault="0029447E" w:rsidP="0029447E">
      <w:pPr>
        <w:rPr>
          <w:szCs w:val="22"/>
          <w:lang w:eastAsia="pl-PL"/>
        </w:rPr>
      </w:pPr>
    </w:p>
    <w:p w:rsidR="0029447E" w:rsidRPr="005E2619" w:rsidRDefault="0029447E" w:rsidP="0029447E">
      <w:pPr>
        <w:rPr>
          <w:noProof/>
          <w:szCs w:val="22"/>
        </w:rPr>
      </w:pPr>
      <w:r w:rsidRPr="005E2619">
        <w:rPr>
          <w:szCs w:val="22"/>
        </w:rPr>
        <w:t>Dėl benzokaino alergizuojančio poveikio rekomenduojama vaist</w:t>
      </w:r>
      <w:r w:rsidR="00844F82">
        <w:rPr>
          <w:szCs w:val="22"/>
        </w:rPr>
        <w:t>inį preparat</w:t>
      </w:r>
      <w:r w:rsidRPr="005E2619">
        <w:rPr>
          <w:szCs w:val="22"/>
        </w:rPr>
        <w:t>ą vartoti atsargiai jautriems pacientams ir ne ilgiau kaip 7 dienas. Jei ligos simptomai nepalengvėjo arba pasunkėjo, vaist</w:t>
      </w:r>
      <w:r w:rsidR="00844F82">
        <w:rPr>
          <w:szCs w:val="22"/>
        </w:rPr>
        <w:t>inio preparato</w:t>
      </w:r>
      <w:r w:rsidRPr="005E2619">
        <w:rPr>
          <w:szCs w:val="22"/>
        </w:rPr>
        <w:t xml:space="preserve"> vartojimą reikia nutraukti. Jei hemorojaus mazgai dideli, maždaug 5-10 min., t.y. kol žvakutė ištirps, gali skaudėti išangės sritį. </w:t>
      </w:r>
    </w:p>
    <w:p w:rsidR="0029447E" w:rsidRPr="005E2619" w:rsidRDefault="0029447E" w:rsidP="0029447E">
      <w:pPr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4.5</w:t>
      </w:r>
      <w:r w:rsidRPr="005E2619">
        <w:rPr>
          <w:b/>
          <w:noProof/>
          <w:szCs w:val="22"/>
        </w:rPr>
        <w:tab/>
        <w:t>Sąveika su kitais vaistiniais preparatais ir kitokia sąveika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>Sąveikos tyrimų neatlikta.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>Tricikliniai antidepresantai, amantadinas ir kvinidinas gali didinti anticholinerginį šunvyšnės  (</w:t>
      </w:r>
      <w:r w:rsidRPr="005E2619">
        <w:rPr>
          <w:i/>
          <w:szCs w:val="22"/>
          <w:lang w:eastAsia="pl-PL"/>
        </w:rPr>
        <w:t>Atropa belladonna</w:t>
      </w:r>
      <w:r w:rsidRPr="005E2619">
        <w:rPr>
          <w:szCs w:val="22"/>
          <w:lang w:eastAsia="pl-PL"/>
        </w:rPr>
        <w:t>) poveikį.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4.6</w:t>
      </w:r>
      <w:r w:rsidRPr="005E2619">
        <w:rPr>
          <w:b/>
          <w:noProof/>
          <w:szCs w:val="22"/>
        </w:rPr>
        <w:tab/>
      </w:r>
      <w:r w:rsidR="00D77B10">
        <w:rPr>
          <w:b/>
          <w:noProof/>
          <w:szCs w:val="22"/>
        </w:rPr>
        <w:t>Vaisingumas</w:t>
      </w:r>
      <w:r w:rsidR="00AC03C8">
        <w:rPr>
          <w:b/>
          <w:noProof/>
          <w:szCs w:val="22"/>
        </w:rPr>
        <w:t>,</w:t>
      </w:r>
      <w:r w:rsidR="00D77B10">
        <w:rPr>
          <w:b/>
          <w:bCs/>
          <w:noProof/>
          <w:szCs w:val="22"/>
        </w:rPr>
        <w:t xml:space="preserve"> n</w:t>
      </w:r>
      <w:r w:rsidRPr="005E2619">
        <w:rPr>
          <w:b/>
          <w:bCs/>
          <w:noProof/>
          <w:szCs w:val="22"/>
        </w:rPr>
        <w:t>ėštumo ir žindymo laikotarpis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FF2FA1" w:rsidRPr="008714B0" w:rsidRDefault="00FF2FA1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8714B0">
        <w:rPr>
          <w:noProof/>
          <w:szCs w:val="22"/>
          <w:u w:val="single"/>
        </w:rPr>
        <w:t>Nėštumas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Nėščiosioms vaist</w:t>
      </w:r>
      <w:r w:rsidR="00844F82">
        <w:rPr>
          <w:szCs w:val="22"/>
          <w:lang w:eastAsia="lt-LT"/>
        </w:rPr>
        <w:t>inio preparato</w:t>
      </w:r>
      <w:r w:rsidRPr="005E2619">
        <w:rPr>
          <w:szCs w:val="22"/>
          <w:lang w:eastAsia="lt-LT"/>
        </w:rPr>
        <w:t xml:space="preserve"> vartoti negalima, nes jis gali sukelti priešlaikinį gimdymą (</w:t>
      </w:r>
      <w:r w:rsidR="00D77B10">
        <w:rPr>
          <w:szCs w:val="22"/>
          <w:lang w:eastAsia="lt-LT"/>
        </w:rPr>
        <w:t xml:space="preserve">dėl </w:t>
      </w:r>
      <w:r w:rsidRPr="005E2619">
        <w:rPr>
          <w:szCs w:val="22"/>
          <w:lang w:eastAsia="lt-LT"/>
        </w:rPr>
        <w:t>escino poveiki</w:t>
      </w:r>
      <w:r w:rsidR="00D77B10">
        <w:rPr>
          <w:szCs w:val="22"/>
          <w:lang w:eastAsia="lt-LT"/>
        </w:rPr>
        <w:t>o</w:t>
      </w:r>
      <w:r w:rsidRPr="005E2619">
        <w:rPr>
          <w:szCs w:val="22"/>
          <w:lang w:eastAsia="lt-LT"/>
        </w:rPr>
        <w:t xml:space="preserve">). 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:rsidR="007E66EB" w:rsidRPr="008714B0" w:rsidRDefault="007E66EB" w:rsidP="0029447E">
      <w:pPr>
        <w:tabs>
          <w:tab w:val="clear" w:pos="567"/>
        </w:tabs>
        <w:spacing w:line="240" w:lineRule="auto"/>
        <w:rPr>
          <w:szCs w:val="22"/>
          <w:u w:val="single"/>
          <w:lang w:eastAsia="lt-LT"/>
        </w:rPr>
      </w:pPr>
      <w:r w:rsidRPr="008714B0">
        <w:rPr>
          <w:szCs w:val="22"/>
          <w:u w:val="single"/>
          <w:lang w:eastAsia="lt-LT"/>
        </w:rPr>
        <w:t>Žindymas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Vaist</w:t>
      </w:r>
      <w:r w:rsidR="00844F82">
        <w:rPr>
          <w:szCs w:val="22"/>
          <w:lang w:eastAsia="lt-LT"/>
        </w:rPr>
        <w:t>inio preparato</w:t>
      </w:r>
      <w:r w:rsidRPr="005E2619">
        <w:rPr>
          <w:szCs w:val="22"/>
          <w:lang w:eastAsia="lt-LT"/>
        </w:rPr>
        <w:t xml:space="preserve"> saugumas krūtimi maitinančioms moterims nebuvo tirtas, todėl, žindymo laikotarpiu vartoti nerekomenduojama.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4.7</w:t>
      </w:r>
      <w:r w:rsidRPr="005E2619">
        <w:rPr>
          <w:b/>
          <w:noProof/>
          <w:szCs w:val="22"/>
        </w:rPr>
        <w:tab/>
        <w:t>Poveikis gebėjimui vairuoti ir valdyti mechanizmus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gebėjimo vairuoti ir valdyti mechanizmus neveikia.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"/>
          <w:numId w:val="2"/>
        </w:numPr>
        <w:spacing w:line="240" w:lineRule="auto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Nepageidaujamas poveikis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D77B10" w:rsidRDefault="00D77B10" w:rsidP="0029447E">
      <w:pPr>
        <w:tabs>
          <w:tab w:val="clear" w:pos="567"/>
        </w:tabs>
        <w:spacing w:line="240" w:lineRule="auto"/>
      </w:pPr>
      <w:r w:rsidRPr="00466093">
        <w:rPr>
          <w:szCs w:val="22"/>
        </w:rPr>
        <w:t xml:space="preserve">Nepageidaujamo poveikio </w:t>
      </w:r>
      <w:r w:rsidRPr="00466093">
        <w:t>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D77B10" w:rsidRPr="005E2619" w:rsidRDefault="00D77B10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 xml:space="preserve">Vartojant HEMOROL gali pasireikšti alerginės reakcijos, niežėjimas ar paraudimas (dažnis nežinomas – negali būti </w:t>
      </w:r>
      <w:r w:rsidR="00D77B10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 xml:space="preserve">Vaisto sudėtyje esantis benzokainas gali sukelti methemoglobinemija (dažnis nežinomas – negali būti </w:t>
      </w:r>
      <w:r w:rsidR="00D77B10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D77B10" w:rsidRPr="000A79DC" w:rsidRDefault="00D77B10" w:rsidP="00D77B10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0A79DC">
        <w:rPr>
          <w:noProof/>
          <w:szCs w:val="24"/>
          <w:u w:val="single"/>
        </w:rPr>
        <w:t>Pranešimas apie įtariamas nepageidaujamas reakcijas</w:t>
      </w:r>
    </w:p>
    <w:p w:rsidR="00D77B10" w:rsidRPr="00B34FA1" w:rsidRDefault="00D77B10" w:rsidP="00D77B10">
      <w:pPr>
        <w:autoSpaceDE w:val="0"/>
        <w:autoSpaceDN w:val="0"/>
        <w:adjustRightInd w:val="0"/>
        <w:jc w:val="both"/>
        <w:rPr>
          <w:noProof/>
          <w:szCs w:val="24"/>
        </w:rPr>
      </w:pPr>
      <w:r w:rsidRPr="000A79DC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</w:rPr>
        <w:t xml:space="preserve"> </w:t>
      </w:r>
      <w:r w:rsidRPr="000A79DC">
        <w:rPr>
          <w:noProof/>
          <w:szCs w:val="24"/>
        </w:rPr>
        <w:t>Sveikatos priežiūros specialistai turi pranešti apie bet kokias įtariamas nepageidaujamas reakcijas, užpildę interneto svetainėje http</w:t>
      </w:r>
      <w:r>
        <w:rPr>
          <w:noProof/>
          <w:szCs w:val="24"/>
        </w:rPr>
        <w:t>://</w:t>
      </w:r>
      <w:hyperlink r:id="rId7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  <w:szCs w:val="24"/>
        </w:rPr>
        <w:t>(nemokamu fakso numeriu (8 800) 20 131)</w:t>
      </w:r>
      <w:r>
        <w:rPr>
          <w:noProof/>
          <w:szCs w:val="24"/>
        </w:rPr>
        <w:t xml:space="preserve">, elektroniniu paštu (adresu 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  <w:szCs w:val="24"/>
        </w:rPr>
        <w:t xml:space="preserve">), </w:t>
      </w:r>
      <w:r w:rsidRPr="001F10B8">
        <w:rPr>
          <w:noProof/>
          <w:szCs w:val="24"/>
        </w:rPr>
        <w:t xml:space="preserve">per interneto svetainę </w:t>
      </w:r>
      <w:r>
        <w:rPr>
          <w:noProof/>
          <w:szCs w:val="24"/>
        </w:rPr>
        <w:t>(</w:t>
      </w:r>
      <w:r w:rsidRPr="001F10B8">
        <w:rPr>
          <w:noProof/>
          <w:szCs w:val="24"/>
        </w:rPr>
        <w:t xml:space="preserve">adresu </w:t>
      </w:r>
      <w:hyperlink r:id="rId9" w:history="1">
        <w:r w:rsidR="00AA773A" w:rsidRPr="0047549C">
          <w:rPr>
            <w:rStyle w:val="Hipersaitas"/>
            <w:noProof/>
            <w:szCs w:val="24"/>
          </w:rPr>
          <w:t>http://www.vvkt.lt</w:t>
        </w:r>
      </w:hyperlink>
      <w:r w:rsidR="00AA773A">
        <w:rPr>
          <w:noProof/>
          <w:szCs w:val="24"/>
        </w:rPr>
        <w:t xml:space="preserve"> </w:t>
      </w:r>
      <w:r w:rsidRPr="001F10B8">
        <w:rPr>
          <w:noProof/>
          <w:szCs w:val="24"/>
        </w:rPr>
        <w:t>)</w:t>
      </w:r>
      <w:r>
        <w:rPr>
          <w:noProof/>
          <w:szCs w:val="24"/>
        </w:rPr>
        <w:t>.</w:t>
      </w:r>
    </w:p>
    <w:p w:rsidR="00D77B10" w:rsidRPr="005E2619" w:rsidRDefault="00D77B10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4.9</w:t>
      </w:r>
      <w:r w:rsidRPr="005E2619">
        <w:rPr>
          <w:b/>
          <w:noProof/>
          <w:szCs w:val="22"/>
        </w:rPr>
        <w:tab/>
        <w:t>Perdozavimas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Pranešimų apie perdozavimą negauta.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 xml:space="preserve">Perdozavimo simptomai gali pasireikšti dėl padidėjusio anticholinerginio </w:t>
      </w:r>
      <w:r w:rsidRPr="005E2619">
        <w:rPr>
          <w:i/>
          <w:noProof/>
          <w:szCs w:val="22"/>
        </w:rPr>
        <w:t>Atropa belladonna</w:t>
      </w:r>
      <w:r w:rsidRPr="005E2619">
        <w:rPr>
          <w:noProof/>
          <w:szCs w:val="22"/>
        </w:rPr>
        <w:t xml:space="preserve"> poveikio: burnos sausumas, sumažėjus prakaito liaukų sekrecija  vidurių užkietėjimas, sausa oda, hipertermija, paraudimas, tachikardija, šlapimo susilaikymas, haliucinacijos ir traukuliai.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Didelis eskulino kiekis gali sukelti sunkaus perdozavimo simptomus (pykinimą, vėmimą, viduriavimą, galvos skausmą, silpnumą, psichikos sutrikimus, koordinacijos sutrikimą, komą, paralyžių), taip pat gali padidinti kraujavimo riziką.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5.</w:t>
      </w:r>
      <w:r w:rsidRPr="005E2619">
        <w:rPr>
          <w:b/>
          <w:noProof/>
          <w:szCs w:val="22"/>
        </w:rPr>
        <w:tab/>
        <w:t xml:space="preserve">FARMAKOLOGINĖS </w:t>
      </w:r>
      <w:r w:rsidRPr="005E2619">
        <w:rPr>
          <w:b/>
          <w:caps/>
          <w:noProof/>
          <w:szCs w:val="22"/>
        </w:rPr>
        <w:t>savybės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 xml:space="preserve">5.1 </w:t>
      </w:r>
      <w:r w:rsidRPr="005E2619">
        <w:rPr>
          <w:b/>
          <w:noProof/>
          <w:szCs w:val="22"/>
        </w:rPr>
        <w:tab/>
        <w:t>Farmakodinaminės savybės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BF1841">
      <w:p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noProof/>
          <w:szCs w:val="22"/>
        </w:rPr>
        <w:t>Farmakoterapinė grupė - Vietinio vartojimo vaistai hemorojaus ir išangės įtrūkimams gydyti,  ATC kodas – C05AD 03</w:t>
      </w:r>
    </w:p>
    <w:p w:rsidR="0029447E" w:rsidRPr="005E2619" w:rsidRDefault="0029447E" w:rsidP="00BF1841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BF1841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5E2619">
        <w:rPr>
          <w:szCs w:val="22"/>
          <w:lang w:eastAsia="pl-PL"/>
        </w:rPr>
        <w:t>Žvakutės mažina skausmą dėl benzokaino anestezuoajnčio poveikio. Vaistinio preparato sudėtyje esančios medžiagos pasižymi vietiniu kraujavimą stabdančiu, prieuždegiminiu ir spazmolitiniu poveikiu.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5.2</w:t>
      </w:r>
      <w:r w:rsidRPr="005E2619">
        <w:rPr>
          <w:b/>
          <w:noProof/>
          <w:szCs w:val="22"/>
        </w:rPr>
        <w:tab/>
        <w:t>Farmakokinetinės savybės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Duomenų nėra.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5.3</w:t>
      </w:r>
      <w:r w:rsidRPr="005E2619">
        <w:rPr>
          <w:b/>
          <w:noProof/>
          <w:szCs w:val="22"/>
        </w:rPr>
        <w:tab/>
        <w:t>Ikiklinikinių saugumo tyrimų duomenys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Tosiškumo</w:t>
      </w:r>
      <w:r w:rsidRPr="005E2619">
        <w:rPr>
          <w:noProof/>
          <w:szCs w:val="22"/>
          <w:u w:val="single"/>
        </w:rPr>
        <w:t xml:space="preserve"> </w:t>
      </w:r>
      <w:r w:rsidRPr="005E2619">
        <w:rPr>
          <w:noProof/>
          <w:szCs w:val="22"/>
        </w:rPr>
        <w:t>tyrimai nebuvo atlikti.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6.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farmacinė informacija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6.1</w:t>
      </w:r>
      <w:r w:rsidRPr="005E2619">
        <w:rPr>
          <w:b/>
          <w:noProof/>
          <w:szCs w:val="22"/>
        </w:rPr>
        <w:tab/>
        <w:t>Pagalbinių medžiagų sąrašas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Glicerolis (E422)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 xml:space="preserve">Kietieji riebalai 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6.2</w:t>
      </w:r>
      <w:r w:rsidRPr="005E2619">
        <w:rPr>
          <w:b/>
          <w:noProof/>
          <w:szCs w:val="22"/>
        </w:rPr>
        <w:tab/>
        <w:t>Nesuderinamumas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 xml:space="preserve">Duomenų nėra.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6.3</w:t>
      </w:r>
      <w:r w:rsidRPr="005E2619">
        <w:rPr>
          <w:b/>
          <w:noProof/>
          <w:szCs w:val="22"/>
        </w:rPr>
        <w:tab/>
        <w:t>Tinkamumo laikas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3 metai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6.4</w:t>
      </w:r>
      <w:r w:rsidRPr="005E2619">
        <w:rPr>
          <w:b/>
          <w:noProof/>
          <w:szCs w:val="22"/>
        </w:rPr>
        <w:tab/>
        <w:t>Specialios laikymo sąlygos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szCs w:val="22"/>
        </w:rPr>
        <w:t xml:space="preserve">Laikyti ne aukštesnėje kaip 25 </w:t>
      </w:r>
      <w:r w:rsidRPr="005E2619">
        <w:rPr>
          <w:szCs w:val="22"/>
        </w:rPr>
        <w:sym w:font="Symbol" w:char="F0B0"/>
      </w:r>
      <w:r w:rsidRPr="005E2619">
        <w:rPr>
          <w:szCs w:val="22"/>
        </w:rPr>
        <w:t>C temperatūroje.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</w:rPr>
      </w:pPr>
      <w:r w:rsidRPr="005E2619">
        <w:rPr>
          <w:b/>
          <w:bCs/>
          <w:noProof/>
          <w:szCs w:val="22"/>
        </w:rPr>
        <w:t>Pakuotė ir jos turinys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iCs/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Dvi lizdinės plokštelės iš polichlorvinilo folijos (vienoje lizdinėje plokštelėje yra šešios žvakutės), supakuotos į kartoninę dėžutę.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6.6</w:t>
      </w:r>
      <w:r w:rsidRPr="005E2619">
        <w:rPr>
          <w:b/>
          <w:noProof/>
          <w:szCs w:val="22"/>
        </w:rPr>
        <w:tab/>
      </w:r>
      <w:r w:rsidRPr="005E2619">
        <w:rPr>
          <w:rStyle w:val="Grietas"/>
          <w:bCs/>
          <w:szCs w:val="22"/>
        </w:rPr>
        <w:t xml:space="preserve">Specialūs reikalavimai atliekoms tvarkyti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Specialių reikalavimų nėra.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7.</w:t>
      </w:r>
      <w:r w:rsidRPr="005E2619">
        <w:rPr>
          <w:b/>
          <w:noProof/>
          <w:szCs w:val="22"/>
        </w:rPr>
        <w:tab/>
      </w:r>
      <w:r w:rsidR="00D77B10">
        <w:rPr>
          <w:b/>
          <w:caps/>
          <w:noProof/>
          <w:szCs w:val="22"/>
        </w:rPr>
        <w:t>REGISTRUOTOJAS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Wrocławskie Zakłady Zielarskie „Herbapol” S.A.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ul. Św. Mikołaja 65/68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50-951 Wrocław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szCs w:val="22"/>
        </w:rPr>
        <w:t>Lenkija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8.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R</w:t>
      </w:r>
      <w:r w:rsidR="00D77B10">
        <w:rPr>
          <w:b/>
          <w:caps/>
          <w:noProof/>
          <w:szCs w:val="22"/>
        </w:rPr>
        <w:t>EGISTRACIJOS PAŽYMĖJIMO</w:t>
      </w:r>
      <w:r w:rsidRPr="005E2619">
        <w:rPr>
          <w:b/>
          <w:caps/>
          <w:noProof/>
          <w:szCs w:val="22"/>
        </w:rPr>
        <w:t xml:space="preserve"> numeris</w:t>
      </w:r>
      <w:r w:rsidRPr="005E2619">
        <w:rPr>
          <w:b/>
          <w:noProof/>
          <w:szCs w:val="22"/>
        </w:rPr>
        <w:t xml:space="preserve"> </w:t>
      </w:r>
      <w:r w:rsidRPr="005E2619">
        <w:rPr>
          <w:b/>
          <w:caps/>
          <w:noProof/>
          <w:szCs w:val="22"/>
        </w:rPr>
        <w:t>(-IAI)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980BB2" w:rsidRDefault="0029447E" w:rsidP="0029447E">
      <w:pPr>
        <w:tabs>
          <w:tab w:val="clear" w:pos="567"/>
        </w:tabs>
        <w:spacing w:line="240" w:lineRule="auto"/>
        <w:rPr>
          <w:bCs/>
          <w:szCs w:val="22"/>
        </w:rPr>
      </w:pPr>
      <w:r w:rsidRPr="00980BB2">
        <w:rPr>
          <w:bCs/>
          <w:szCs w:val="22"/>
        </w:rPr>
        <w:t>LT/1/96/2980/001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b/>
          <w:bCs/>
          <w:sz w:val="24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9.</w:t>
      </w:r>
      <w:r w:rsidRPr="005E2619">
        <w:rPr>
          <w:b/>
          <w:noProof/>
          <w:szCs w:val="22"/>
        </w:rPr>
        <w:tab/>
      </w:r>
      <w:r w:rsidR="00D77B10">
        <w:rPr>
          <w:b/>
          <w:caps/>
          <w:noProof/>
          <w:szCs w:val="22"/>
        </w:rPr>
        <w:t>REGISTRAVIMO</w:t>
      </w:r>
      <w:r w:rsidRPr="005E2619">
        <w:rPr>
          <w:b/>
          <w:caps/>
          <w:noProof/>
          <w:szCs w:val="22"/>
        </w:rPr>
        <w:t xml:space="preserve"> / </w:t>
      </w:r>
      <w:r w:rsidR="00D77B10">
        <w:rPr>
          <w:b/>
          <w:caps/>
          <w:noProof/>
          <w:szCs w:val="22"/>
        </w:rPr>
        <w:t>PERREGISTRAVIMO</w:t>
      </w:r>
      <w:r w:rsidRPr="005E2619">
        <w:rPr>
          <w:b/>
          <w:caps/>
          <w:noProof/>
          <w:szCs w:val="22"/>
        </w:rPr>
        <w:t xml:space="preserve"> data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D77B10" w:rsidRPr="000A79DC" w:rsidRDefault="00D77B10" w:rsidP="00D77B10">
      <w:pPr>
        <w:tabs>
          <w:tab w:val="clear" w:pos="567"/>
        </w:tabs>
        <w:spacing w:line="240" w:lineRule="auto"/>
        <w:rPr>
          <w:szCs w:val="24"/>
        </w:rPr>
      </w:pPr>
      <w:r w:rsidRPr="000A79DC">
        <w:rPr>
          <w:noProof/>
          <w:szCs w:val="24"/>
        </w:rPr>
        <w:t xml:space="preserve">Registravimo data </w:t>
      </w:r>
      <w:r>
        <w:rPr>
          <w:noProof/>
          <w:szCs w:val="24"/>
        </w:rPr>
        <w:t>1996 m. vasario</w:t>
      </w:r>
      <w:r w:rsidRPr="000A79DC">
        <w:rPr>
          <w:noProof/>
          <w:szCs w:val="24"/>
        </w:rPr>
        <w:t xml:space="preserve"> mėn.</w:t>
      </w:r>
      <w:r w:rsidRPr="000A79DC">
        <w:rPr>
          <w:szCs w:val="24"/>
        </w:rPr>
        <w:t xml:space="preserve"> </w:t>
      </w:r>
      <w:r>
        <w:rPr>
          <w:noProof/>
          <w:szCs w:val="24"/>
        </w:rPr>
        <w:t>15 d.</w:t>
      </w:r>
    </w:p>
    <w:p w:rsidR="00D77B10" w:rsidRPr="00B34FA1" w:rsidRDefault="00D77B10" w:rsidP="00D77B10">
      <w:pPr>
        <w:tabs>
          <w:tab w:val="clear" w:pos="567"/>
        </w:tabs>
        <w:spacing w:line="240" w:lineRule="auto"/>
        <w:rPr>
          <w:szCs w:val="24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 xml:space="preserve">perregistravimo data </w:t>
      </w:r>
      <w:r>
        <w:rPr>
          <w:noProof/>
          <w:szCs w:val="24"/>
        </w:rPr>
        <w:t>2012 m. birželio</w:t>
      </w:r>
      <w:r w:rsidRPr="000A79DC">
        <w:rPr>
          <w:noProof/>
          <w:szCs w:val="24"/>
        </w:rPr>
        <w:t xml:space="preserve"> mėn.</w:t>
      </w:r>
      <w:r w:rsidRPr="000A79DC">
        <w:rPr>
          <w:szCs w:val="24"/>
        </w:rPr>
        <w:t xml:space="preserve"> </w:t>
      </w:r>
      <w:r>
        <w:rPr>
          <w:noProof/>
          <w:szCs w:val="24"/>
        </w:rPr>
        <w:t>15 d.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10.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teksto peržiūros data</w:t>
      </w:r>
    </w:p>
    <w:p w:rsidR="0029447E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201</w:t>
      </w:r>
      <w:r w:rsidR="00BF1841">
        <w:rPr>
          <w:noProof/>
          <w:szCs w:val="22"/>
        </w:rPr>
        <w:t>6-12-31</w:t>
      </w:r>
    </w:p>
    <w:p w:rsidR="0029447E" w:rsidRPr="005E2619" w:rsidRDefault="0029447E" w:rsidP="0029447E">
      <w:pPr>
        <w:spacing w:line="240" w:lineRule="auto"/>
        <w:rPr>
          <w:b/>
          <w:noProof/>
          <w:szCs w:val="22"/>
        </w:rPr>
      </w:pPr>
    </w:p>
    <w:p w:rsidR="00D77B10" w:rsidRPr="00D77B10" w:rsidRDefault="00D77B10" w:rsidP="00D77B10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zCs w:val="22"/>
        </w:rPr>
      </w:pPr>
      <w:r w:rsidRPr="00D77B10">
        <w:rPr>
          <w:rFonts w:eastAsia="SimSun"/>
          <w:noProof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D77B10">
        <w:rPr>
          <w:rFonts w:eastAsia="SimSun"/>
          <w:i/>
          <w:noProof/>
          <w:szCs w:val="22"/>
        </w:rPr>
        <w:t xml:space="preserve"> </w:t>
      </w:r>
      <w:hyperlink r:id="rId10" w:history="1">
        <w:r w:rsidRPr="00D77B10">
          <w:rPr>
            <w:rFonts w:eastAsia="SimSun"/>
            <w:noProof/>
            <w:color w:val="0000FF"/>
            <w:szCs w:val="22"/>
            <w:u w:val="single"/>
          </w:rPr>
          <w:t>http://www.</w:t>
        </w:r>
        <w:r w:rsidRPr="00D77B10">
          <w:rPr>
            <w:rFonts w:eastAsia="SimSun"/>
            <w:color w:val="0000FF"/>
            <w:szCs w:val="22"/>
            <w:u w:val="single"/>
          </w:rPr>
          <w:t>vvkt.lt</w:t>
        </w:r>
      </w:hyperlink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jc w:val="center"/>
        <w:rPr>
          <w:b/>
          <w:noProof/>
          <w:szCs w:val="22"/>
        </w:rPr>
      </w:pPr>
      <w:r w:rsidRPr="005E2619">
        <w:rPr>
          <w:b/>
          <w:noProof/>
          <w:szCs w:val="22"/>
        </w:rPr>
        <w:t>II PRIEDAS</w:t>
      </w:r>
    </w:p>
    <w:p w:rsidR="00D77B10" w:rsidRDefault="00D77B10" w:rsidP="0029447E">
      <w:pPr>
        <w:spacing w:line="240" w:lineRule="auto"/>
        <w:jc w:val="center"/>
        <w:rPr>
          <w:b/>
          <w:noProof/>
          <w:szCs w:val="22"/>
        </w:rPr>
      </w:pPr>
    </w:p>
    <w:p w:rsidR="00D77B10" w:rsidRPr="00D77B10" w:rsidRDefault="00D77B10" w:rsidP="00D77B10">
      <w:pPr>
        <w:tabs>
          <w:tab w:val="left" w:pos="9000"/>
        </w:tabs>
        <w:spacing w:line="240" w:lineRule="auto"/>
        <w:ind w:left="1260" w:right="71" w:hanging="360"/>
        <w:jc w:val="center"/>
        <w:rPr>
          <w:b/>
          <w:noProof/>
          <w:szCs w:val="22"/>
        </w:rPr>
      </w:pPr>
      <w:r w:rsidRPr="00D77B10">
        <w:rPr>
          <w:b/>
          <w:noProof/>
          <w:szCs w:val="22"/>
        </w:rPr>
        <w:t>REGISTRACIJOS SĄLYGOS</w:t>
      </w:r>
    </w:p>
    <w:p w:rsidR="0029447E" w:rsidRPr="005E2619" w:rsidRDefault="0029447E" w:rsidP="0029447E">
      <w:pPr>
        <w:spacing w:line="240" w:lineRule="auto"/>
        <w:ind w:left="1701" w:right="1416" w:hanging="567"/>
        <w:rPr>
          <w:noProof/>
          <w:szCs w:val="22"/>
          <w:highlight w:val="yellow"/>
        </w:rPr>
      </w:pPr>
    </w:p>
    <w:p w:rsidR="0029447E" w:rsidRPr="005E2619" w:rsidRDefault="0029447E" w:rsidP="0029447E">
      <w:pPr>
        <w:tabs>
          <w:tab w:val="left" w:pos="9000"/>
        </w:tabs>
        <w:spacing w:line="240" w:lineRule="auto"/>
        <w:ind w:left="1260" w:right="71" w:hanging="360"/>
        <w:rPr>
          <w:b/>
          <w:noProof/>
          <w:szCs w:val="22"/>
          <w:highlight w:val="yellow"/>
        </w:rPr>
      </w:pPr>
      <w:r w:rsidRPr="005E2619">
        <w:rPr>
          <w:b/>
          <w:noProof/>
          <w:szCs w:val="22"/>
        </w:rPr>
        <w:t>A.</w:t>
      </w:r>
      <w:r w:rsidRPr="005E2619">
        <w:rPr>
          <w:b/>
          <w:noProof/>
          <w:szCs w:val="22"/>
        </w:rPr>
        <w:tab/>
      </w:r>
      <w:r w:rsidR="00D77B10">
        <w:rPr>
          <w:b/>
          <w:noProof/>
          <w:szCs w:val="22"/>
        </w:rPr>
        <w:t>GAMINTOJAS (-AI) IR</w:t>
      </w:r>
      <w:r w:rsidR="00D77B10" w:rsidRPr="00D77B10">
        <w:rPr>
          <w:b/>
          <w:noProof/>
          <w:szCs w:val="22"/>
        </w:rPr>
        <w:t xml:space="preserve"> GAMINTOJAS (-AI), ATSAKINGAS (-I) UŽ SERIJŲ IŠLEIDIMĄ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  <w:highlight w:val="yellow"/>
        </w:rPr>
      </w:pPr>
    </w:p>
    <w:p w:rsidR="0029447E" w:rsidRPr="005E2619" w:rsidRDefault="0029447E" w:rsidP="0029447E">
      <w:pPr>
        <w:spacing w:line="240" w:lineRule="auto"/>
        <w:ind w:left="1134" w:right="1416" w:hanging="234"/>
        <w:rPr>
          <w:b/>
          <w:noProof/>
          <w:szCs w:val="22"/>
        </w:rPr>
      </w:pPr>
      <w:r w:rsidRPr="005E2619">
        <w:rPr>
          <w:b/>
          <w:noProof/>
          <w:szCs w:val="22"/>
        </w:rPr>
        <w:t>B.</w:t>
      </w:r>
      <w:r w:rsidRPr="005E2619">
        <w:rPr>
          <w:b/>
          <w:noProof/>
          <w:szCs w:val="22"/>
        </w:rPr>
        <w:tab/>
        <w:t xml:space="preserve">  </w:t>
      </w:r>
      <w:r w:rsidR="00D77B10" w:rsidRPr="00D77B10">
        <w:rPr>
          <w:b/>
          <w:noProof/>
          <w:szCs w:val="22"/>
        </w:rPr>
        <w:t>TIEKIMO IR VARTOJIMO SĄLYGOS AR APRIBOJIMAI</w:t>
      </w: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A.</w:t>
      </w:r>
      <w:r w:rsidRPr="005E2619">
        <w:rPr>
          <w:b/>
          <w:noProof/>
          <w:szCs w:val="22"/>
        </w:rPr>
        <w:tab/>
      </w:r>
      <w:r w:rsidR="00D77B10" w:rsidRPr="00D77B10">
        <w:rPr>
          <w:b/>
          <w:noProof/>
          <w:szCs w:val="22"/>
        </w:rPr>
        <w:t>GAMINTOJAS (-AI), ATSAKINGAS (-I) UŽ SERIJŲ IŠLEIDIMĄ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  <w:highlight w:val="yellow"/>
        </w:rPr>
      </w:pPr>
    </w:p>
    <w:p w:rsidR="0029447E" w:rsidRPr="005E2619" w:rsidRDefault="0029447E" w:rsidP="0029447E">
      <w:pPr>
        <w:spacing w:line="240" w:lineRule="auto"/>
        <w:jc w:val="both"/>
        <w:rPr>
          <w:noProof/>
          <w:szCs w:val="22"/>
        </w:rPr>
      </w:pPr>
      <w:r w:rsidRPr="005E2619">
        <w:rPr>
          <w:noProof/>
          <w:szCs w:val="22"/>
          <w:u w:val="single"/>
        </w:rPr>
        <w:t>Gamintojo (-ų), atsakingo (-ų) už serijų išleidimą, pavadinimas (-ai) ir adresas (-ai)</w:t>
      </w:r>
    </w:p>
    <w:p w:rsidR="0029447E" w:rsidRPr="005E2619" w:rsidRDefault="0029447E" w:rsidP="0029447E">
      <w:pPr>
        <w:spacing w:line="240" w:lineRule="auto"/>
        <w:rPr>
          <w:noProof/>
          <w:szCs w:val="22"/>
          <w:highlight w:val="yellow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 xml:space="preserve">Wrocławskie Zakłady Zielarskie „Herbapol” S.A.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ul. Św. Mikołaja 65/68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50-951 Wrocław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szCs w:val="22"/>
        </w:rPr>
        <w:t>Lenkija</w:t>
      </w:r>
    </w:p>
    <w:p w:rsidR="0029447E" w:rsidRPr="005E2619" w:rsidRDefault="0029447E" w:rsidP="0029447E">
      <w:pPr>
        <w:spacing w:line="240" w:lineRule="auto"/>
        <w:rPr>
          <w:noProof/>
          <w:szCs w:val="22"/>
          <w:highlight w:val="yellow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  <w:highlight w:val="yellow"/>
        </w:rPr>
      </w:pPr>
    </w:p>
    <w:p w:rsidR="0029447E" w:rsidRPr="005E2619" w:rsidRDefault="0029447E" w:rsidP="000141A7">
      <w:pPr>
        <w:spacing w:line="240" w:lineRule="auto"/>
        <w:ind w:left="567" w:hanging="567"/>
        <w:rPr>
          <w:noProof/>
          <w:szCs w:val="22"/>
        </w:rPr>
      </w:pPr>
      <w:r w:rsidRPr="005E2619">
        <w:rPr>
          <w:b/>
          <w:noProof/>
          <w:szCs w:val="22"/>
        </w:rPr>
        <w:t>B.</w:t>
      </w:r>
      <w:r w:rsidRPr="005E2619">
        <w:rPr>
          <w:b/>
          <w:noProof/>
          <w:szCs w:val="22"/>
        </w:rPr>
        <w:tab/>
      </w:r>
      <w:r w:rsidR="000141A7" w:rsidRPr="000141A7">
        <w:rPr>
          <w:b/>
          <w:noProof/>
          <w:szCs w:val="22"/>
        </w:rPr>
        <w:t>TIEKIMO IR VARTOJIMO SĄLYGOS AR APRIBOJIMAI</w:t>
      </w:r>
      <w:r w:rsidR="000141A7" w:rsidRPr="000141A7" w:rsidDel="000141A7">
        <w:rPr>
          <w:b/>
          <w:noProof/>
          <w:szCs w:val="22"/>
        </w:rPr>
        <w:t xml:space="preserve"> 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Nereceptinis vaistinis preparatas.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rPr>
          <w:noProof/>
          <w:szCs w:val="22"/>
          <w:highlight w:val="yellow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  <w:r w:rsidRPr="005E2619">
        <w:rPr>
          <w:b/>
          <w:szCs w:val="22"/>
        </w:rPr>
        <w:br w:type="page"/>
      </w: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  <w:r w:rsidRPr="005E2619">
        <w:rPr>
          <w:b/>
          <w:szCs w:val="22"/>
        </w:rPr>
        <w:t>III PRIEDAS</w:t>
      </w:r>
    </w:p>
    <w:p w:rsidR="0029447E" w:rsidRPr="005E2619" w:rsidRDefault="0029447E" w:rsidP="0029447E">
      <w:pPr>
        <w:jc w:val="center"/>
        <w:rPr>
          <w:b/>
          <w:szCs w:val="22"/>
        </w:rPr>
      </w:pPr>
    </w:p>
    <w:p w:rsidR="0029447E" w:rsidRPr="005E2619" w:rsidRDefault="0029447E" w:rsidP="0029447E">
      <w:pPr>
        <w:jc w:val="center"/>
        <w:rPr>
          <w:b/>
          <w:szCs w:val="22"/>
        </w:rPr>
      </w:pPr>
      <w:r w:rsidRPr="005E2619">
        <w:rPr>
          <w:b/>
          <w:szCs w:val="22"/>
        </w:rPr>
        <w:t>ŽENKLINIMAS IR PAKUOTĖS LAPELIS</w:t>
      </w: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  <w:r w:rsidRPr="005E2619">
        <w:rPr>
          <w:noProof/>
          <w:szCs w:val="22"/>
        </w:rPr>
        <w:br w:type="page"/>
      </w: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A. ŽENKLINIMAS</w:t>
      </w:r>
    </w:p>
    <w:p w:rsidR="0029447E" w:rsidRPr="005E2619" w:rsidRDefault="0029447E" w:rsidP="0029447E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br w:type="page"/>
      </w: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5E2619">
        <w:rPr>
          <w:b/>
          <w:noProof/>
          <w:szCs w:val="22"/>
        </w:rPr>
        <w:lastRenderedPageBreak/>
        <w:t>INFORMACIJA ANT IŠORINĖS PAKUOTĖS</w:t>
      </w: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5E2619">
        <w:rPr>
          <w:b/>
          <w:noProof/>
          <w:szCs w:val="22"/>
        </w:rPr>
        <w:t>KARTONO DĖŽUTĖ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1.</w:t>
      </w:r>
      <w:r w:rsidRPr="005E2619">
        <w:rPr>
          <w:b/>
          <w:noProof/>
          <w:szCs w:val="22"/>
        </w:rPr>
        <w:tab/>
        <w:t>VAISTINIO PREPARATO PAVADINIMAS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žvakutės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2.</w:t>
      </w:r>
      <w:r w:rsidRPr="005E2619">
        <w:rPr>
          <w:b/>
          <w:noProof/>
          <w:szCs w:val="22"/>
        </w:rPr>
        <w:tab/>
        <w:t>VEIKLIOJI (-IOS) MEDŽIAGA (-OS) IR JOS (-Ų) KIEKIS (-IAI)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rPr>
          <w:szCs w:val="22"/>
        </w:rPr>
      </w:pPr>
      <w:r w:rsidRPr="005E2619">
        <w:rPr>
          <w:szCs w:val="22"/>
        </w:rPr>
        <w:t>Vienoje žvakutėje yra 50 mg</w:t>
      </w:r>
      <w:r w:rsidRPr="005E2619" w:rsidDel="006A1E6D">
        <w:rPr>
          <w:b/>
          <w:szCs w:val="22"/>
        </w:rPr>
        <w:t xml:space="preserve"> </w:t>
      </w:r>
      <w:r w:rsidRPr="005E2619">
        <w:rPr>
          <w:i/>
          <w:szCs w:val="22"/>
        </w:rPr>
        <w:t>Matricaria recutita</w:t>
      </w:r>
      <w:r w:rsidRPr="005E2619">
        <w:rPr>
          <w:szCs w:val="22"/>
        </w:rPr>
        <w:t xml:space="preserve"> L. (</w:t>
      </w:r>
      <w:r w:rsidRPr="005E2619">
        <w:rPr>
          <w:i/>
          <w:szCs w:val="22"/>
        </w:rPr>
        <w:t>Chamomilla recutita</w:t>
      </w:r>
      <w:r w:rsidRPr="005E2619">
        <w:rPr>
          <w:szCs w:val="22"/>
        </w:rPr>
        <w:t xml:space="preserve"> (L.) Rauschert.), flos (ramunėlių žiedų) tirštojo ekstrakto (3:1) (ekstrahentas: išgrynintas vanduo); 20 mg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Atropa belladonna</w:t>
      </w:r>
      <w:r w:rsidRPr="005E2619">
        <w:rPr>
          <w:rStyle w:val="s1"/>
          <w:rFonts w:ascii="Times New Roman" w:hAnsi="Times New Roman" w:cs="Times New Roman"/>
          <w:szCs w:val="22"/>
        </w:rPr>
        <w:t> L., radix (</w:t>
      </w:r>
      <w:r w:rsidRPr="005E2619">
        <w:rPr>
          <w:szCs w:val="22"/>
          <w:lang w:eastAsia="lt-LT"/>
        </w:rPr>
        <w:t>šunvyšnių šaknų) tirštojo</w:t>
      </w:r>
      <w:r w:rsidRPr="005E2619">
        <w:rPr>
          <w:szCs w:val="22"/>
        </w:rPr>
        <w:t xml:space="preserve"> ekstrakto (4:1) (ekstrahentas: etanolis 70% V/V); 80</w:t>
      </w:r>
      <w:r>
        <w:rPr>
          <w:szCs w:val="22"/>
        </w:rPr>
        <w:t> </w:t>
      </w:r>
      <w:r w:rsidRPr="005E2619">
        <w:rPr>
          <w:szCs w:val="22"/>
        </w:rPr>
        <w:t xml:space="preserve">mg tirštojo ekstrakto (4:1), pagaminto iš </w:t>
      </w:r>
      <w:r w:rsidRPr="005E2619">
        <w:rPr>
          <w:i/>
          <w:szCs w:val="22"/>
        </w:rPr>
        <w:t xml:space="preserve">Cytisus scoparius </w:t>
      </w:r>
      <w:r w:rsidRPr="005E2619">
        <w:rPr>
          <w:szCs w:val="22"/>
        </w:rPr>
        <w:t>L</w:t>
      </w:r>
      <w:r w:rsidRPr="005E2619">
        <w:rPr>
          <w:i/>
          <w:szCs w:val="22"/>
        </w:rPr>
        <w:t xml:space="preserve">., </w:t>
      </w:r>
      <w:r w:rsidRPr="005E2619">
        <w:rPr>
          <w:szCs w:val="22"/>
        </w:rPr>
        <w:t>herba</w:t>
      </w:r>
      <w:r w:rsidRPr="005E2619">
        <w:rPr>
          <w:i/>
          <w:szCs w:val="22"/>
        </w:rPr>
        <w:t xml:space="preserve"> </w:t>
      </w:r>
      <w:r w:rsidRPr="005E2619">
        <w:rPr>
          <w:szCs w:val="22"/>
        </w:rPr>
        <w:t xml:space="preserve">(šluotinių sausakrūmių žolės), </w:t>
      </w:r>
      <w:r w:rsidRPr="005E2619">
        <w:rPr>
          <w:i/>
          <w:szCs w:val="22"/>
        </w:rPr>
        <w:t>Aesculus hippocastanum</w:t>
      </w:r>
      <w:r w:rsidRPr="005E2619">
        <w:rPr>
          <w:szCs w:val="22"/>
        </w:rPr>
        <w:t xml:space="preserve"> L., cortex (paprastųjų kaštonų žievės), </w:t>
      </w:r>
      <w:r w:rsidRPr="005E2619">
        <w:rPr>
          <w:i/>
          <w:iCs/>
          <w:szCs w:val="22"/>
        </w:rPr>
        <w:t>Potentilla erecta</w:t>
      </w:r>
      <w:r w:rsidRPr="005E2619">
        <w:rPr>
          <w:szCs w:val="22"/>
        </w:rPr>
        <w:t xml:space="preserve"> L. Raeusch., rhizoma (miškinių sidabražolių šakniastiebių), </w:t>
      </w:r>
      <w:r>
        <w:rPr>
          <w:szCs w:val="22"/>
        </w:rPr>
        <w:t xml:space="preserve">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Achillea millefolium</w:t>
      </w:r>
      <w:r w:rsidRPr="005E2619">
        <w:rPr>
          <w:rStyle w:val="s1"/>
          <w:rFonts w:ascii="Times New Roman" w:hAnsi="Times New Roman" w:cs="Times New Roman"/>
          <w:szCs w:val="22"/>
        </w:rPr>
        <w:t> L., herba (</w:t>
      </w:r>
      <w:r w:rsidRPr="005E2619">
        <w:rPr>
          <w:szCs w:val="22"/>
        </w:rPr>
        <w:t>kraujažolių žolės) (ekstrahentas: etanolis 40% V/V) (1/1/1/1), 100 mg benzokaino.</w:t>
      </w:r>
    </w:p>
    <w:p w:rsidR="0029447E" w:rsidRPr="005E2619" w:rsidRDefault="0029447E" w:rsidP="0029447E">
      <w:pPr>
        <w:jc w:val="both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5E2619">
        <w:rPr>
          <w:b/>
          <w:noProof/>
          <w:szCs w:val="22"/>
        </w:rPr>
        <w:t>3.</w:t>
      </w:r>
      <w:r w:rsidRPr="005E2619">
        <w:rPr>
          <w:b/>
          <w:noProof/>
          <w:szCs w:val="22"/>
        </w:rPr>
        <w:tab/>
        <w:t>PAGALBINIŲ MEDŽIAGŲ SĄRAŠAS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Glicerolis (E422), kietieji riebalai.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4.</w:t>
      </w:r>
      <w:r w:rsidRPr="005E2619">
        <w:rPr>
          <w:b/>
          <w:noProof/>
          <w:szCs w:val="22"/>
        </w:rPr>
        <w:tab/>
        <w:t>FARMACINĖ FORMA IR KIEKIS PAKUOTĖJE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AA773A">
        <w:rPr>
          <w:noProof/>
          <w:szCs w:val="22"/>
          <w:highlight w:val="lightGray"/>
        </w:rPr>
        <w:t>Žvakutės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12 žvakučių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5E2619">
        <w:rPr>
          <w:b/>
          <w:noProof/>
          <w:szCs w:val="22"/>
        </w:rPr>
        <w:t>5.</w:t>
      </w:r>
      <w:r w:rsidRPr="005E2619">
        <w:rPr>
          <w:b/>
          <w:noProof/>
          <w:szCs w:val="22"/>
        </w:rPr>
        <w:tab/>
        <w:t>VARTOJIMO METODAS IR BŪDAS (-AI)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 xml:space="preserve">Vartoti į tiesiąją žarną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Prieš vartojimą perskaitykite pakuotės lapelį.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6.</w:t>
      </w:r>
      <w:r w:rsidRPr="005E2619">
        <w:rPr>
          <w:b/>
          <w:noProof/>
          <w:szCs w:val="22"/>
        </w:rPr>
        <w:tab/>
      </w:r>
      <w:r w:rsidRPr="005E2619">
        <w:rPr>
          <w:b/>
          <w:bCs/>
          <w:noProof/>
          <w:szCs w:val="22"/>
        </w:rPr>
        <w:t xml:space="preserve">SPECIALUS ĮSPĖJIMAS, KAD VAISTINĮ PREPARATĄ BŪTINA LAIKYTI VAIKAMS </w:t>
      </w:r>
      <w:r w:rsidR="000141A7" w:rsidRPr="005E2619">
        <w:rPr>
          <w:b/>
          <w:bCs/>
          <w:noProof/>
          <w:szCs w:val="22"/>
        </w:rPr>
        <w:t xml:space="preserve">NEPASTEBIMOJE </w:t>
      </w:r>
      <w:r w:rsidR="000141A7">
        <w:rPr>
          <w:b/>
          <w:bCs/>
          <w:noProof/>
          <w:szCs w:val="22"/>
        </w:rPr>
        <w:t xml:space="preserve">IR </w:t>
      </w:r>
      <w:r w:rsidRPr="005E2619">
        <w:rPr>
          <w:b/>
          <w:bCs/>
          <w:noProof/>
          <w:szCs w:val="22"/>
        </w:rPr>
        <w:t>NEPASIEKIAMOJE VIETOJE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5E2619">
        <w:rPr>
          <w:i w:val="0"/>
          <w:iCs/>
          <w:noProof/>
          <w:color w:val="auto"/>
          <w:szCs w:val="22"/>
          <w:lang w:val="lt-LT"/>
        </w:rPr>
        <w:t xml:space="preserve">Laikyti vaikams </w:t>
      </w:r>
      <w:r w:rsidR="000141A7" w:rsidRPr="005E2619">
        <w:rPr>
          <w:i w:val="0"/>
          <w:iCs/>
          <w:noProof/>
          <w:color w:val="auto"/>
          <w:szCs w:val="22"/>
          <w:lang w:val="lt-LT"/>
        </w:rPr>
        <w:t xml:space="preserve">nepastebimoje </w:t>
      </w:r>
      <w:r w:rsidR="000141A7">
        <w:rPr>
          <w:i w:val="0"/>
          <w:iCs/>
          <w:noProof/>
          <w:color w:val="auto"/>
          <w:szCs w:val="22"/>
          <w:lang w:val="lt-LT"/>
        </w:rPr>
        <w:t xml:space="preserve">ir </w:t>
      </w:r>
      <w:r w:rsidRPr="005E2619">
        <w:rPr>
          <w:i w:val="0"/>
          <w:iCs/>
          <w:noProof/>
          <w:color w:val="auto"/>
          <w:szCs w:val="22"/>
          <w:lang w:val="lt-LT"/>
        </w:rPr>
        <w:t>nepasiekiamoje vietoje.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5E2619">
        <w:rPr>
          <w:b/>
          <w:noProof/>
          <w:szCs w:val="22"/>
        </w:rPr>
        <w:t>7.</w:t>
      </w:r>
      <w:r w:rsidRPr="005E2619">
        <w:rPr>
          <w:b/>
          <w:noProof/>
          <w:szCs w:val="22"/>
        </w:rPr>
        <w:tab/>
      </w:r>
      <w:r w:rsidRPr="005E2619">
        <w:rPr>
          <w:b/>
          <w:bCs/>
          <w:noProof/>
          <w:szCs w:val="22"/>
        </w:rPr>
        <w:t>KITAS (-I) SPECIALUS (-ŪS) ĮSPĖJIMAS (-AI) (JEI REIKIA)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5E2619">
        <w:rPr>
          <w:b/>
          <w:noProof/>
          <w:szCs w:val="22"/>
        </w:rPr>
        <w:t>8.</w:t>
      </w:r>
      <w:r w:rsidRPr="005E2619">
        <w:rPr>
          <w:b/>
          <w:noProof/>
          <w:szCs w:val="22"/>
        </w:rPr>
        <w:tab/>
      </w:r>
      <w:r w:rsidRPr="005E2619">
        <w:rPr>
          <w:b/>
          <w:bCs/>
          <w:noProof/>
          <w:szCs w:val="22"/>
        </w:rPr>
        <w:t>TINKAMUMO LAIKAS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29447E" w:rsidRPr="005E2619" w:rsidRDefault="0029447E" w:rsidP="0029447E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5E2619">
        <w:rPr>
          <w:i w:val="0"/>
          <w:iCs/>
          <w:noProof/>
          <w:color w:val="auto"/>
          <w:szCs w:val="22"/>
          <w:lang w:val="lt-LT"/>
        </w:rPr>
        <w:t xml:space="preserve">Tinka iki: {mm MMMM}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9.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SPECIALIOS laikymo sąlygos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szCs w:val="22"/>
        </w:rPr>
        <w:lastRenderedPageBreak/>
        <w:t>Laikyti ne aukštesnėje kaip 25 </w:t>
      </w:r>
      <w:r w:rsidRPr="005E2619">
        <w:rPr>
          <w:szCs w:val="22"/>
        </w:rPr>
        <w:sym w:font="Symbol" w:char="F0B0"/>
      </w:r>
      <w:r w:rsidRPr="005E2619">
        <w:rPr>
          <w:szCs w:val="22"/>
        </w:rPr>
        <w:t>C temperatūroje.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10.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 xml:space="preserve">specialios atsargumo priemonės DĖL NESUVARTOTO </w:t>
      </w:r>
      <w:r w:rsidRPr="005E2619">
        <w:rPr>
          <w:b/>
          <w:bCs/>
          <w:caps/>
          <w:noProof/>
          <w:szCs w:val="22"/>
        </w:rPr>
        <w:t>VAISTINIO PREPARATO AR JO ATLIEK</w:t>
      </w:r>
      <w:r w:rsidRPr="005E2619">
        <w:rPr>
          <w:b/>
          <w:noProof/>
          <w:szCs w:val="22"/>
        </w:rPr>
        <w:t>Ų</w:t>
      </w:r>
      <w:r w:rsidRPr="005E2619">
        <w:rPr>
          <w:caps/>
          <w:noProof/>
          <w:szCs w:val="22"/>
        </w:rPr>
        <w:t xml:space="preserve"> </w:t>
      </w:r>
      <w:r w:rsidRPr="005E2619">
        <w:rPr>
          <w:b/>
          <w:bCs/>
          <w:caps/>
          <w:noProof/>
          <w:szCs w:val="22"/>
        </w:rPr>
        <w:t>TVARKYMO</w:t>
      </w:r>
      <w:r w:rsidRPr="005E2619">
        <w:rPr>
          <w:b/>
          <w:caps/>
          <w:noProof/>
          <w:szCs w:val="22"/>
        </w:rPr>
        <w:t xml:space="preserve"> (jei reikia)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11.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R</w:t>
      </w:r>
      <w:r w:rsidR="000141A7">
        <w:rPr>
          <w:b/>
          <w:caps/>
          <w:noProof/>
          <w:szCs w:val="22"/>
        </w:rPr>
        <w:t>EGISTRUOTOJO</w:t>
      </w:r>
      <w:r w:rsidRPr="005E2619">
        <w:rPr>
          <w:b/>
          <w:caps/>
          <w:noProof/>
          <w:szCs w:val="22"/>
        </w:rPr>
        <w:t xml:space="preserve"> pavadinimas ir adresas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 xml:space="preserve">Wrocławskie Zakłady Zielarskie „Herbapol” S.A.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ul. Św. Mikołaja 65/68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50-951 Wrocław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szCs w:val="22"/>
        </w:rPr>
        <w:t>Lenkija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12.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R</w:t>
      </w:r>
      <w:r w:rsidR="000141A7">
        <w:rPr>
          <w:b/>
          <w:caps/>
          <w:noProof/>
          <w:szCs w:val="22"/>
        </w:rPr>
        <w:t>EGISTRACIJOS</w:t>
      </w:r>
      <w:r w:rsidRPr="005E2619">
        <w:rPr>
          <w:b/>
          <w:caps/>
          <w:noProof/>
          <w:szCs w:val="22"/>
        </w:rPr>
        <w:t xml:space="preserve"> pažymėjimo numeris</w:t>
      </w:r>
      <w:r w:rsidRPr="005E2619">
        <w:rPr>
          <w:b/>
          <w:noProof/>
          <w:szCs w:val="22"/>
        </w:rPr>
        <w:t xml:space="preserve">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980BB2" w:rsidRDefault="0029447E" w:rsidP="0029447E">
      <w:pPr>
        <w:tabs>
          <w:tab w:val="clear" w:pos="567"/>
        </w:tabs>
        <w:spacing w:line="240" w:lineRule="auto"/>
        <w:rPr>
          <w:bCs/>
          <w:szCs w:val="22"/>
        </w:rPr>
      </w:pPr>
      <w:r w:rsidRPr="00980BB2">
        <w:rPr>
          <w:bCs/>
          <w:szCs w:val="22"/>
        </w:rPr>
        <w:t>LT/1/96/2980/001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13.</w:t>
      </w:r>
      <w:r w:rsidRPr="005E2619">
        <w:rPr>
          <w:b/>
          <w:noProof/>
          <w:szCs w:val="22"/>
        </w:rPr>
        <w:tab/>
        <w:t>SERIJOS NUMERIS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Serija {numeris}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14.</w:t>
      </w:r>
      <w:r w:rsidRPr="005E2619">
        <w:rPr>
          <w:b/>
          <w:noProof/>
          <w:szCs w:val="22"/>
        </w:rPr>
        <w:tab/>
        <w:t>PARDAVIMO (IŠDAVIMO)</w:t>
      </w:r>
      <w:r w:rsidRPr="005E2619">
        <w:rPr>
          <w:b/>
          <w:caps/>
          <w:noProof/>
          <w:szCs w:val="22"/>
        </w:rPr>
        <w:t xml:space="preserve"> tvarka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Nereceptinis vaistinis preparatas.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15.</w:t>
      </w:r>
      <w:r w:rsidRPr="005E2619">
        <w:rPr>
          <w:b/>
          <w:noProof/>
          <w:szCs w:val="22"/>
        </w:rPr>
        <w:tab/>
      </w:r>
      <w:r w:rsidRPr="005E2619">
        <w:rPr>
          <w:b/>
          <w:caps/>
          <w:noProof/>
          <w:szCs w:val="22"/>
        </w:rPr>
        <w:t>vartojimo instrukcijA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vartojamas išangės skausmo ir dirginimo, sukelto hemorojaus, lėtinio t</w:t>
      </w:r>
      <w:r>
        <w:rPr>
          <w:noProof/>
          <w:szCs w:val="22"/>
        </w:rPr>
        <w:t>ie</w:t>
      </w:r>
      <w:r w:rsidRPr="005E2619">
        <w:rPr>
          <w:noProof/>
          <w:szCs w:val="22"/>
        </w:rPr>
        <w:t>siosios žarnos uždegimo, gleivinės įtrūkimo lengvinimui.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</w:rPr>
        <w:t xml:space="preserve">Dozavimas: </w:t>
      </w:r>
      <w:r w:rsidRPr="005E2619">
        <w:rPr>
          <w:szCs w:val="22"/>
          <w:lang w:eastAsia="lt-LT"/>
        </w:rPr>
        <w:t>Suaugusiems žmonėms vartoti prieš naktį vieną žvakutę. Jeigu liga sunkesnė, tokią pačią dozę galima vartoti 2-3 kartus per dieną.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16.</w:t>
      </w:r>
      <w:r w:rsidRPr="005E2619">
        <w:rPr>
          <w:b/>
          <w:noProof/>
          <w:szCs w:val="22"/>
        </w:rPr>
        <w:tab/>
        <w:t>INFORMACIJA BRAILIO RAŠTU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rPr>
          <w:b/>
          <w:noProof/>
          <w:szCs w:val="22"/>
        </w:rPr>
      </w:pPr>
      <w:r w:rsidRPr="005E2619">
        <w:rPr>
          <w:szCs w:val="22"/>
        </w:rPr>
        <w:t>HEMOROL</w:t>
      </w:r>
      <w:r w:rsidRPr="005E2619"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rPr>
          <w:trHeight w:val="785"/>
        </w:trPr>
        <w:tc>
          <w:tcPr>
            <w:tcW w:w="9287" w:type="dxa"/>
          </w:tcPr>
          <w:p w:rsidR="0029447E" w:rsidRPr="005E2619" w:rsidRDefault="0029447E" w:rsidP="000141A7">
            <w:pPr>
              <w:spacing w:line="240" w:lineRule="auto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lastRenderedPageBreak/>
              <w:t xml:space="preserve">MINIMALI </w:t>
            </w:r>
            <w:r w:rsidRPr="005E2619">
              <w:rPr>
                <w:b/>
                <w:caps/>
                <w:noProof/>
                <w:szCs w:val="22"/>
              </w:rPr>
              <w:t xml:space="preserve">informacija ant </w:t>
            </w:r>
            <w:r w:rsidRPr="005E2619">
              <w:rPr>
                <w:b/>
                <w:noProof/>
                <w:szCs w:val="22"/>
              </w:rPr>
              <w:t>LIZDINIŲ PLOKŠTELIŲ ARBA DVISLUOKSNIŲ JUOSTELIŲ</w:t>
            </w:r>
          </w:p>
          <w:p w:rsidR="0029447E" w:rsidRPr="005E2619" w:rsidRDefault="0029447E" w:rsidP="000141A7">
            <w:pPr>
              <w:spacing w:line="240" w:lineRule="auto"/>
              <w:rPr>
                <w:b/>
                <w:noProof/>
                <w:szCs w:val="22"/>
              </w:rPr>
            </w:pPr>
          </w:p>
          <w:p w:rsidR="0029447E" w:rsidRPr="005E2619" w:rsidRDefault="0029447E" w:rsidP="000141A7">
            <w:pPr>
              <w:spacing w:line="240" w:lineRule="auto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LIZDINĖ PLOKŠTELĖ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c>
          <w:tcPr>
            <w:tcW w:w="9287" w:type="dxa"/>
          </w:tcPr>
          <w:p w:rsidR="0029447E" w:rsidRPr="005E2619" w:rsidRDefault="0029447E" w:rsidP="000141A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1.</w:t>
            </w:r>
            <w:r w:rsidRPr="005E2619">
              <w:rPr>
                <w:b/>
                <w:noProof/>
                <w:szCs w:val="22"/>
              </w:rPr>
              <w:tab/>
            </w:r>
            <w:r w:rsidRPr="005E2619">
              <w:rPr>
                <w:b/>
                <w:caps/>
                <w:noProof/>
                <w:szCs w:val="22"/>
              </w:rPr>
              <w:t>Vaistinio preparato pavadinimas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HEMOROL  žvakutės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c>
          <w:tcPr>
            <w:tcW w:w="9287" w:type="dxa"/>
          </w:tcPr>
          <w:p w:rsidR="0029447E" w:rsidRPr="005E2619" w:rsidRDefault="0029447E" w:rsidP="000141A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2.</w:t>
            </w:r>
            <w:r w:rsidRPr="005E2619">
              <w:rPr>
                <w:b/>
                <w:noProof/>
                <w:szCs w:val="22"/>
              </w:rPr>
              <w:tab/>
            </w:r>
            <w:r w:rsidRPr="005E2619">
              <w:rPr>
                <w:b/>
                <w:caps/>
                <w:noProof/>
                <w:szCs w:val="22"/>
              </w:rPr>
              <w:t>r</w:t>
            </w:r>
            <w:r w:rsidR="000141A7">
              <w:rPr>
                <w:b/>
                <w:caps/>
                <w:noProof/>
                <w:szCs w:val="22"/>
              </w:rPr>
              <w:t>EGISTRUO</w:t>
            </w:r>
            <w:r w:rsidRPr="005E2619">
              <w:rPr>
                <w:b/>
                <w:caps/>
                <w:noProof/>
                <w:szCs w:val="22"/>
              </w:rPr>
              <w:t>tojo pavadinimas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5E2619">
        <w:rPr>
          <w:noProof/>
          <w:szCs w:val="22"/>
        </w:rPr>
        <w:t xml:space="preserve">Wroclaw Herbapol S.A.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c>
          <w:tcPr>
            <w:tcW w:w="9287" w:type="dxa"/>
          </w:tcPr>
          <w:p w:rsidR="0029447E" w:rsidRPr="005E2619" w:rsidRDefault="0029447E" w:rsidP="000141A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3.</w:t>
            </w:r>
            <w:r w:rsidRPr="005E2619">
              <w:rPr>
                <w:b/>
                <w:noProof/>
                <w:szCs w:val="22"/>
              </w:rPr>
              <w:tab/>
            </w:r>
            <w:r w:rsidRPr="005E2619">
              <w:rPr>
                <w:b/>
                <w:caps/>
                <w:noProof/>
                <w:szCs w:val="22"/>
              </w:rPr>
              <w:t>tinkamumo laikas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 xml:space="preserve">EXP </w:t>
      </w:r>
      <w:r w:rsidRPr="005E2619">
        <w:rPr>
          <w:iCs/>
          <w:noProof/>
          <w:szCs w:val="22"/>
        </w:rPr>
        <w:t>{mm MMMM}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c>
          <w:tcPr>
            <w:tcW w:w="9287" w:type="dxa"/>
          </w:tcPr>
          <w:p w:rsidR="0029447E" w:rsidRPr="005E2619" w:rsidRDefault="0029447E" w:rsidP="000141A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4.</w:t>
            </w:r>
            <w:r w:rsidRPr="005E2619">
              <w:rPr>
                <w:b/>
                <w:noProof/>
                <w:szCs w:val="22"/>
              </w:rPr>
              <w:tab/>
            </w:r>
            <w:r w:rsidRPr="005E2619">
              <w:rPr>
                <w:b/>
                <w:caps/>
                <w:noProof/>
                <w:szCs w:val="22"/>
              </w:rPr>
              <w:t>serijos numeris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r w:rsidRPr="005E2619">
        <w:rPr>
          <w:noProof/>
          <w:szCs w:val="22"/>
        </w:rPr>
        <w:t>Lot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9447E" w:rsidRPr="005E2619" w:rsidTr="000141A7">
        <w:tc>
          <w:tcPr>
            <w:tcW w:w="9287" w:type="dxa"/>
          </w:tcPr>
          <w:p w:rsidR="0029447E" w:rsidRPr="005E2619" w:rsidRDefault="0029447E" w:rsidP="000141A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5E2619">
              <w:rPr>
                <w:b/>
                <w:noProof/>
                <w:szCs w:val="22"/>
              </w:rPr>
              <w:t>5.</w:t>
            </w:r>
            <w:r w:rsidRPr="005E2619">
              <w:rPr>
                <w:b/>
                <w:noProof/>
                <w:szCs w:val="22"/>
              </w:rPr>
              <w:tab/>
              <w:t>KITA</w:t>
            </w:r>
          </w:p>
        </w:tc>
      </w:tr>
    </w:tbl>
    <w:p w:rsidR="0029447E" w:rsidRPr="005E2619" w:rsidRDefault="0029447E" w:rsidP="0029447E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br w:type="page"/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5E2619">
        <w:rPr>
          <w:b/>
          <w:noProof/>
          <w:szCs w:val="22"/>
        </w:rPr>
        <w:t>B. PAKUOTĖS LAPELIS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br w:type="page"/>
      </w:r>
      <w:r w:rsidR="000141A7" w:rsidRPr="000141A7">
        <w:rPr>
          <w:b/>
          <w:noProof/>
          <w:szCs w:val="22"/>
        </w:rPr>
        <w:lastRenderedPageBreak/>
        <w:t>Pakuotės lapelis: info</w:t>
      </w:r>
      <w:r w:rsidR="000141A7">
        <w:rPr>
          <w:b/>
          <w:noProof/>
          <w:szCs w:val="22"/>
        </w:rPr>
        <w:t>rmacija vartotojui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>HEMOROL žvakutės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0141A7" w:rsidRPr="000141A7" w:rsidRDefault="000141A7" w:rsidP="000141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b/>
          <w:snapToGrid w:val="0"/>
          <w:szCs w:val="24"/>
        </w:rPr>
      </w:pPr>
      <w:r w:rsidRPr="000141A7">
        <w:rPr>
          <w:rFonts w:eastAsia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:rsidR="000141A7" w:rsidRPr="000141A7" w:rsidRDefault="000141A7" w:rsidP="000141A7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Visada vartokite šį vaistą tiksliai kaip aprašyta šiame lapelyje ar</w:t>
      </w:r>
      <w:r>
        <w:rPr>
          <w:rFonts w:eastAsia="Times New Roman"/>
          <w:noProof/>
          <w:snapToGrid w:val="0"/>
          <w:szCs w:val="24"/>
        </w:rPr>
        <w:t xml:space="preserve">ba kaip nurodė gydytojas </w:t>
      </w:r>
      <w:r w:rsidRPr="000141A7">
        <w:rPr>
          <w:rFonts w:eastAsia="Times New Roman"/>
          <w:noProof/>
          <w:snapToGrid w:val="0"/>
          <w:szCs w:val="24"/>
        </w:rPr>
        <w:t>arba</w:t>
      </w:r>
      <w:r>
        <w:rPr>
          <w:rFonts w:eastAsia="Times New Roman"/>
          <w:noProof/>
          <w:snapToGrid w:val="0"/>
          <w:szCs w:val="24"/>
        </w:rPr>
        <w:t xml:space="preserve"> </w:t>
      </w:r>
      <w:r w:rsidRPr="000141A7">
        <w:rPr>
          <w:rFonts w:eastAsia="Times New Roman"/>
          <w:noProof/>
          <w:snapToGrid w:val="0"/>
          <w:szCs w:val="24"/>
        </w:rPr>
        <w:t>vaistininkas.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Neišmeskite šio lapelio, nes vėl gali prireikti jį perskaityti.</w:t>
      </w:r>
      <w:r w:rsidRPr="000141A7">
        <w:rPr>
          <w:rFonts w:eastAsia="Times New Roman"/>
          <w:snapToGrid w:val="0"/>
          <w:szCs w:val="24"/>
        </w:rPr>
        <w:t xml:space="preserve"> 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Jeigu norite sužinoti daugiau arba pasitarti, kreipkitės į vaistininką.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Jeigu pasireiškė šalutinis poveikis (net jeigu jis šiame lapel</w:t>
      </w:r>
      <w:r>
        <w:rPr>
          <w:rFonts w:eastAsia="Times New Roman"/>
          <w:noProof/>
          <w:snapToGrid w:val="0"/>
          <w:szCs w:val="24"/>
        </w:rPr>
        <w:t>yje nenurodytas), kreipkitės į gydytoją arba vaistininką</w:t>
      </w:r>
      <w:r w:rsidRPr="000141A7">
        <w:rPr>
          <w:rFonts w:eastAsia="Times New Roman"/>
          <w:noProof/>
          <w:snapToGrid w:val="0"/>
          <w:szCs w:val="24"/>
        </w:rPr>
        <w:t>. Žr. 4 skyrių.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Jeigu </w:t>
      </w:r>
      <w:r w:rsidRPr="000141A7">
        <w:rPr>
          <w:rFonts w:eastAsia="Times New Roman"/>
          <w:noProof/>
          <w:snapToGrid w:val="0"/>
          <w:szCs w:val="24"/>
        </w:rPr>
        <w:t xml:space="preserve">per </w:t>
      </w:r>
      <w:r>
        <w:rPr>
          <w:rFonts w:eastAsia="Times New Roman"/>
          <w:noProof/>
          <w:snapToGrid w:val="0"/>
          <w:szCs w:val="24"/>
        </w:rPr>
        <w:t>7</w:t>
      </w:r>
      <w:r w:rsidRPr="000141A7">
        <w:rPr>
          <w:rFonts w:eastAsia="Times New Roman"/>
          <w:noProof/>
          <w:snapToGrid w:val="0"/>
          <w:szCs w:val="24"/>
        </w:rPr>
        <w:t xml:space="preserve"> dienas Jūsų savijauta nepagerėjo arba net pa</w:t>
      </w:r>
      <w:r>
        <w:rPr>
          <w:rFonts w:eastAsia="Times New Roman"/>
          <w:noProof/>
          <w:snapToGrid w:val="0"/>
          <w:szCs w:val="24"/>
        </w:rPr>
        <w:t>blogėjo, kreipkitės į gydytoją.</w:t>
      </w:r>
    </w:p>
    <w:p w:rsidR="000141A7" w:rsidRDefault="000141A7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0141A7" w:rsidRDefault="000141A7" w:rsidP="0029447E">
      <w:pPr>
        <w:spacing w:line="240" w:lineRule="auto"/>
        <w:ind w:left="567" w:hanging="567"/>
        <w:rPr>
          <w:b/>
          <w:noProof/>
          <w:szCs w:val="22"/>
        </w:rPr>
      </w:pPr>
      <w:r w:rsidRPr="000141A7">
        <w:rPr>
          <w:b/>
          <w:noProof/>
          <w:szCs w:val="22"/>
        </w:rPr>
        <w:t>Apie ką rašoma šiame lapelyje?</w:t>
      </w:r>
    </w:p>
    <w:p w:rsidR="000141A7" w:rsidRDefault="000141A7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1.</w:t>
      </w:r>
      <w:r w:rsidRPr="005E2619">
        <w:rPr>
          <w:noProof/>
          <w:szCs w:val="22"/>
        </w:rPr>
        <w:tab/>
        <w:t>Kas yra HEMOROL ir kam jis vartojamas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2.</w:t>
      </w:r>
      <w:r w:rsidRPr="005E2619">
        <w:rPr>
          <w:noProof/>
          <w:szCs w:val="22"/>
        </w:rPr>
        <w:tab/>
        <w:t>Kas žinotina prieš vartojant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3.</w:t>
      </w:r>
      <w:r w:rsidRPr="005E2619">
        <w:rPr>
          <w:noProof/>
          <w:szCs w:val="22"/>
        </w:rPr>
        <w:tab/>
        <w:t>Kaip vartoti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4.</w:t>
      </w:r>
      <w:r w:rsidRPr="005E2619">
        <w:rPr>
          <w:noProof/>
          <w:szCs w:val="22"/>
        </w:rPr>
        <w:tab/>
        <w:t>Galimas šalutinis poveikis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5.</w:t>
      </w:r>
      <w:r w:rsidRPr="005E2619">
        <w:rPr>
          <w:noProof/>
          <w:szCs w:val="22"/>
        </w:rPr>
        <w:tab/>
        <w:t>Kaip laikyti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6.</w:t>
      </w:r>
      <w:r w:rsidRPr="005E2619">
        <w:rPr>
          <w:noProof/>
          <w:szCs w:val="22"/>
        </w:rPr>
        <w:tab/>
      </w:r>
      <w:r w:rsidR="000141A7" w:rsidRPr="000141A7">
        <w:rPr>
          <w:noProof/>
          <w:szCs w:val="22"/>
        </w:rPr>
        <w:t>Pakuotės turinys ir kita informacija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noProof/>
          <w:szCs w:val="22"/>
        </w:rPr>
        <w:t>1.</w:t>
      </w:r>
      <w:r w:rsidRPr="005E2619">
        <w:rPr>
          <w:b/>
          <w:noProof/>
          <w:szCs w:val="22"/>
        </w:rPr>
        <w:tab/>
      </w:r>
      <w:r w:rsidR="000141A7" w:rsidRPr="000141A7">
        <w:rPr>
          <w:b/>
          <w:noProof/>
          <w:szCs w:val="22"/>
        </w:rPr>
        <w:t>Kas y</w:t>
      </w:r>
      <w:r w:rsidR="000141A7">
        <w:rPr>
          <w:b/>
          <w:noProof/>
          <w:szCs w:val="22"/>
        </w:rPr>
        <w:t>ra HEMOROL</w:t>
      </w:r>
      <w:r w:rsidR="000141A7" w:rsidRPr="000141A7">
        <w:rPr>
          <w:b/>
          <w:noProof/>
          <w:szCs w:val="22"/>
        </w:rPr>
        <w:t xml:space="preserve"> ir kam jis vartojamas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844F82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var</w:t>
      </w:r>
      <w:r>
        <w:rPr>
          <w:noProof/>
          <w:szCs w:val="22"/>
        </w:rPr>
        <w:t>t</w:t>
      </w:r>
      <w:r w:rsidRPr="005E2619">
        <w:rPr>
          <w:noProof/>
          <w:szCs w:val="22"/>
        </w:rPr>
        <w:t>ojamas išangės skausmo ir dirginimo, sukelto hemorojaus, lėtinio t</w:t>
      </w:r>
      <w:r>
        <w:rPr>
          <w:noProof/>
          <w:szCs w:val="22"/>
        </w:rPr>
        <w:t>ie</w:t>
      </w:r>
      <w:r w:rsidRPr="005E2619">
        <w:rPr>
          <w:noProof/>
          <w:szCs w:val="22"/>
        </w:rPr>
        <w:t xml:space="preserve">siosios žarnos uždegimo, gleivinės įtrūkimo lengvinimui. </w:t>
      </w:r>
    </w:p>
    <w:p w:rsidR="00844F82" w:rsidRPr="000141A7" w:rsidRDefault="00844F82" w:rsidP="00AA773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Jeigu </w:t>
      </w:r>
      <w:r w:rsidRPr="000141A7">
        <w:rPr>
          <w:rFonts w:eastAsia="Times New Roman"/>
          <w:noProof/>
          <w:snapToGrid w:val="0"/>
          <w:szCs w:val="24"/>
        </w:rPr>
        <w:t xml:space="preserve">per </w:t>
      </w:r>
      <w:r>
        <w:rPr>
          <w:rFonts w:eastAsia="Times New Roman"/>
          <w:noProof/>
          <w:snapToGrid w:val="0"/>
          <w:szCs w:val="24"/>
        </w:rPr>
        <w:t>7</w:t>
      </w:r>
      <w:r w:rsidRPr="000141A7">
        <w:rPr>
          <w:rFonts w:eastAsia="Times New Roman"/>
          <w:noProof/>
          <w:snapToGrid w:val="0"/>
          <w:szCs w:val="24"/>
        </w:rPr>
        <w:t xml:space="preserve"> dienas Jūsų savijauta nepagerėjo arba net pa</w:t>
      </w:r>
      <w:r>
        <w:rPr>
          <w:rFonts w:eastAsia="Times New Roman"/>
          <w:noProof/>
          <w:snapToGrid w:val="0"/>
          <w:szCs w:val="24"/>
        </w:rPr>
        <w:t>blogėjo, kreipkitės į gydytoją.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141A7" w:rsidRDefault="0029447E" w:rsidP="000141A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2.</w:t>
      </w:r>
      <w:r w:rsidRPr="005E2619">
        <w:rPr>
          <w:b/>
          <w:noProof/>
          <w:szCs w:val="22"/>
        </w:rPr>
        <w:tab/>
      </w:r>
      <w:r w:rsidR="000141A7">
        <w:rPr>
          <w:b/>
          <w:noProof/>
          <w:szCs w:val="22"/>
        </w:rPr>
        <w:t>Kas žinotina prieš vartojant HEMOROL</w:t>
      </w:r>
      <w:r w:rsidR="000141A7" w:rsidRPr="000141A7">
        <w:rPr>
          <w:b/>
          <w:noProof/>
          <w:szCs w:val="22"/>
        </w:rPr>
        <w:t xml:space="preserve"> </w:t>
      </w:r>
    </w:p>
    <w:p w:rsidR="0029447E" w:rsidRPr="005E2619" w:rsidRDefault="0029447E" w:rsidP="000141A7">
      <w:pPr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caps/>
          <w:noProof/>
          <w:szCs w:val="22"/>
        </w:rPr>
      </w:pPr>
      <w:r w:rsidRPr="005E2619">
        <w:rPr>
          <w:b/>
          <w:bCs/>
          <w:noProof/>
          <w:szCs w:val="22"/>
        </w:rPr>
        <w:t>HEMOROL vartoti negalima</w:t>
      </w:r>
    </w:p>
    <w:p w:rsidR="0029447E" w:rsidRPr="005E2619" w:rsidRDefault="0029447E" w:rsidP="0029447E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 xml:space="preserve">jeigu yra alergija </w:t>
      </w:r>
      <w:r w:rsidR="000141A7">
        <w:rPr>
          <w:noProof/>
          <w:szCs w:val="22"/>
        </w:rPr>
        <w:t>veikliajai medžiagai</w:t>
      </w:r>
      <w:r w:rsidRPr="005E2619">
        <w:rPr>
          <w:noProof/>
          <w:szCs w:val="22"/>
        </w:rPr>
        <w:t xml:space="preserve"> arba bet kuriai pagalbinei </w:t>
      </w:r>
      <w:r w:rsidR="00FF2FA1">
        <w:rPr>
          <w:noProof/>
          <w:szCs w:val="22"/>
        </w:rPr>
        <w:t>šio vaisto</w:t>
      </w:r>
      <w:r w:rsidRPr="005E2619">
        <w:rPr>
          <w:noProof/>
          <w:szCs w:val="22"/>
        </w:rPr>
        <w:t xml:space="preserve"> medžiagai</w:t>
      </w:r>
      <w:r w:rsidR="00FF2FA1">
        <w:rPr>
          <w:noProof/>
          <w:szCs w:val="22"/>
        </w:rPr>
        <w:t xml:space="preserve"> </w:t>
      </w:r>
      <w:r w:rsidR="00FF2FA1">
        <w:rPr>
          <w:noProof/>
          <w:szCs w:val="24"/>
        </w:rPr>
        <w:t>(jos išvardytos 6 skyriuje).</w:t>
      </w:r>
    </w:p>
    <w:p w:rsidR="00FF2FA1" w:rsidRDefault="00FF2FA1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jei yra alergija a</w:t>
      </w:r>
      <w:r w:rsidRPr="005E2619">
        <w:rPr>
          <w:noProof/>
          <w:szCs w:val="22"/>
        </w:rPr>
        <w:t>strinių (Asteracaea = Compositae) šeimos augalams</w:t>
      </w:r>
      <w:r>
        <w:rPr>
          <w:noProof/>
          <w:szCs w:val="22"/>
        </w:rPr>
        <w:t>:</w:t>
      </w:r>
    </w:p>
    <w:p w:rsidR="000141A7" w:rsidRPr="005E2619" w:rsidRDefault="00FF2FA1" w:rsidP="00FF2FA1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29447E" w:rsidRPr="005E2619">
        <w:rPr>
          <w:noProof/>
          <w:szCs w:val="22"/>
        </w:rPr>
        <w:t>jeigu Jūs sergate navikinėmis ligomis;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Jūs esate nėščia;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vaikams ir paaugliams jaunesniems kaip 18 metų;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širdies aritmija (greitas, nereguliarus širdies plakimas);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žarnyno nepraeinamumas;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kepenų ir inkstų nepakankamumas;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glaukoma (padidėjas akispūdis);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prostatos adenoma;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plaučių edema (skysčiai susilaiko plaučiuose).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FF2FA1" w:rsidRPr="00FF2FA1" w:rsidRDefault="00FF2FA1" w:rsidP="00FF2FA1">
      <w:pPr>
        <w:keepNext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  <w:r w:rsidRPr="00FF2FA1">
        <w:rPr>
          <w:rFonts w:eastAsia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FF2FA1" w:rsidRPr="00FF2FA1" w:rsidRDefault="00FF2FA1" w:rsidP="00FF2FA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Pasitarkite su gydytoju </w:t>
      </w:r>
      <w:r w:rsidRPr="00FF2FA1">
        <w:rPr>
          <w:rFonts w:eastAsia="Times New Roman"/>
          <w:noProof/>
          <w:snapToGrid w:val="0"/>
          <w:szCs w:val="24"/>
        </w:rPr>
        <w:t>arba</w:t>
      </w:r>
      <w:r>
        <w:rPr>
          <w:rFonts w:eastAsia="Times New Roman"/>
          <w:noProof/>
          <w:snapToGrid w:val="0"/>
          <w:szCs w:val="24"/>
        </w:rPr>
        <w:t xml:space="preserve"> </w:t>
      </w:r>
      <w:r w:rsidRPr="00FF2FA1">
        <w:rPr>
          <w:rFonts w:eastAsia="Times New Roman"/>
          <w:noProof/>
          <w:snapToGrid w:val="0"/>
          <w:szCs w:val="24"/>
        </w:rPr>
        <w:t>vaistininku</w:t>
      </w:r>
      <w:r>
        <w:rPr>
          <w:rFonts w:eastAsia="Times New Roman"/>
          <w:noProof/>
          <w:snapToGrid w:val="0"/>
          <w:szCs w:val="24"/>
        </w:rPr>
        <w:t>, prieš pradėdami vartoti HEMOROL</w:t>
      </w:r>
      <w:r w:rsidRPr="00FF2FA1">
        <w:rPr>
          <w:rFonts w:eastAsia="Times New Roman"/>
          <w:noProof/>
          <w:snapToGrid w:val="0"/>
          <w:szCs w:val="24"/>
        </w:rPr>
        <w:t>.</w:t>
      </w:r>
    </w:p>
    <w:p w:rsidR="0029447E" w:rsidRPr="005E2619" w:rsidRDefault="0029447E" w:rsidP="0029447E">
      <w:pPr>
        <w:spacing w:line="240" w:lineRule="auto"/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br/>
        <w:t>Pastebėjus kraujo savo išmatose</w:t>
      </w:r>
      <w:r w:rsidR="00FF2FA1">
        <w:rPr>
          <w:noProof/>
          <w:szCs w:val="22"/>
          <w:u w:val="single"/>
        </w:rPr>
        <w:t>,</w:t>
      </w:r>
      <w:r w:rsidRPr="005E2619">
        <w:rPr>
          <w:noProof/>
          <w:szCs w:val="22"/>
          <w:u w:val="single"/>
        </w:rPr>
        <w:t xml:space="preserve"> būtina pasikonsultuoti su gydytoju.</w:t>
      </w:r>
      <w:r w:rsidRPr="005E2619">
        <w:rPr>
          <w:noProof/>
          <w:szCs w:val="22"/>
          <w:u w:val="single"/>
        </w:rPr>
        <w:br/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  <w:u w:val="single"/>
        </w:rPr>
        <w:t>Jei vaisto poveikis nėra pakankamas arba ligos simptomai pablogėja, būtina nutraukti vaisto naudojimą ir pasikonsultuoti su gydytoju.</w:t>
      </w:r>
      <w:r w:rsidRPr="005E2619">
        <w:rPr>
          <w:noProof/>
          <w:szCs w:val="22"/>
          <w:u w:val="single"/>
        </w:rPr>
        <w:br/>
      </w:r>
      <w:r w:rsidRPr="005E2619">
        <w:rPr>
          <w:noProof/>
          <w:szCs w:val="22"/>
        </w:rPr>
        <w:t xml:space="preserve">Jei hemorojaus mazgai dideli, dėl spaudimo gali skaudėti išangės sritį tol, kol žvakutė ištirps (maždaug 5-10 min.). </w:t>
      </w:r>
    </w:p>
    <w:p w:rsidR="0029447E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F2FA1" w:rsidRPr="00B34FA1" w:rsidRDefault="00FF2FA1" w:rsidP="00FF2FA1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:rsidR="00FF2FA1" w:rsidRDefault="00FF2FA1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Vaikams ir paaugliams jaunesniems kaip 18</w:t>
      </w:r>
      <w:r w:rsidR="007E66EB">
        <w:rPr>
          <w:noProof/>
          <w:szCs w:val="22"/>
        </w:rPr>
        <w:t xml:space="preserve"> metų</w:t>
      </w:r>
      <w:r>
        <w:rPr>
          <w:noProof/>
          <w:szCs w:val="22"/>
        </w:rPr>
        <w:t xml:space="preserve"> šio vaisto vartoti negalima.</w:t>
      </w:r>
    </w:p>
    <w:p w:rsidR="00FF2FA1" w:rsidRPr="005E2619" w:rsidRDefault="00FF2FA1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Kit</w:t>
      </w:r>
      <w:r w:rsidR="00FF2FA1">
        <w:rPr>
          <w:b/>
          <w:noProof/>
          <w:szCs w:val="22"/>
        </w:rPr>
        <w:t>i</w:t>
      </w:r>
      <w:r w:rsidRPr="005E2619">
        <w:rPr>
          <w:b/>
          <w:noProof/>
          <w:szCs w:val="22"/>
        </w:rPr>
        <w:t xml:space="preserve"> vaist</w:t>
      </w:r>
      <w:r w:rsidR="00FF2FA1">
        <w:rPr>
          <w:b/>
          <w:noProof/>
          <w:szCs w:val="22"/>
        </w:rPr>
        <w:t>ai ir HEMOROL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Jeigu vartojate ar neseniai vartojote kitų vaistų</w:t>
      </w:r>
      <w:r w:rsidR="00FF2FA1">
        <w:rPr>
          <w:noProof/>
          <w:szCs w:val="22"/>
        </w:rPr>
        <w:t xml:space="preserve"> arba</w:t>
      </w:r>
      <w:r w:rsidRPr="005E2619">
        <w:rPr>
          <w:noProof/>
          <w:szCs w:val="22"/>
        </w:rPr>
        <w:t xml:space="preserve"> </w:t>
      </w:r>
      <w:r w:rsidR="00FF2FA1" w:rsidRPr="00FF2FA1">
        <w:rPr>
          <w:noProof/>
          <w:szCs w:val="22"/>
        </w:rPr>
        <w:t xml:space="preserve">dėl to nesate tikri, apie tai pasakykite </w:t>
      </w:r>
      <w:r w:rsidRPr="005E2619">
        <w:rPr>
          <w:noProof/>
          <w:szCs w:val="22"/>
        </w:rPr>
        <w:t>gydytojui arba vaistininkui.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Nėštumas ir žindymo laikotarpis</w:t>
      </w:r>
    </w:p>
    <w:p w:rsidR="00FF2FA1" w:rsidRDefault="00FF2FA1" w:rsidP="00AA773A">
      <w:pPr>
        <w:spacing w:line="240" w:lineRule="auto"/>
        <w:rPr>
          <w:noProof/>
          <w:szCs w:val="22"/>
        </w:rPr>
      </w:pPr>
      <w:r w:rsidRPr="00FF2FA1">
        <w:rPr>
          <w:noProof/>
          <w:szCs w:val="22"/>
        </w:rPr>
        <w:t>Jeigu esate nėščia, žindote kūdikį, manote, kad galbūt esate nėščia, arb</w:t>
      </w:r>
      <w:r>
        <w:rPr>
          <w:noProof/>
          <w:szCs w:val="22"/>
        </w:rPr>
        <w:t xml:space="preserve">a planuojate pastoti, tai prieš </w:t>
      </w:r>
      <w:r w:rsidRPr="00FF2FA1">
        <w:rPr>
          <w:noProof/>
          <w:szCs w:val="22"/>
        </w:rPr>
        <w:t>vartodama šį vaistą, pa</w:t>
      </w:r>
      <w:r>
        <w:rPr>
          <w:noProof/>
          <w:szCs w:val="22"/>
        </w:rPr>
        <w:t xml:space="preserve">sitarkite su gydytoju arba </w:t>
      </w:r>
      <w:r w:rsidRPr="00FF2FA1">
        <w:rPr>
          <w:noProof/>
          <w:szCs w:val="22"/>
        </w:rPr>
        <w:t>vaistininku</w:t>
      </w:r>
      <w:r w:rsidRPr="00FF2FA1" w:rsidDel="00FF2FA1">
        <w:rPr>
          <w:noProof/>
          <w:szCs w:val="22"/>
        </w:rPr>
        <w:t xml:space="preserve"> </w:t>
      </w:r>
    </w:p>
    <w:p w:rsidR="0029447E" w:rsidRPr="005E2619" w:rsidRDefault="0029447E" w:rsidP="00AA773A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Nėščiosioms vaisto vartoti negalima, nes jis gali sukelti priešlaikinį gimdymą (</w:t>
      </w:r>
      <w:r w:rsidR="00FF2FA1">
        <w:rPr>
          <w:szCs w:val="22"/>
          <w:lang w:eastAsia="lt-LT"/>
        </w:rPr>
        <w:t xml:space="preserve">dėl </w:t>
      </w:r>
      <w:r w:rsidRPr="005E2619">
        <w:rPr>
          <w:szCs w:val="22"/>
          <w:lang w:eastAsia="lt-LT"/>
        </w:rPr>
        <w:t>escino poveiki</w:t>
      </w:r>
      <w:r w:rsidR="00FF2FA1">
        <w:rPr>
          <w:szCs w:val="22"/>
          <w:lang w:eastAsia="lt-LT"/>
        </w:rPr>
        <w:t>o</w:t>
      </w:r>
      <w:r w:rsidRPr="005E2619">
        <w:rPr>
          <w:szCs w:val="22"/>
          <w:lang w:eastAsia="lt-LT"/>
        </w:rPr>
        <w:t xml:space="preserve">).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Vaisto saugumas krūtimi maitinančioms moterims nebuvo tirtas, todėl, žindymo laikotarpiu vartoti nerekomenduojama.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szCs w:val="22"/>
          <w:lang w:eastAsia="lt-LT"/>
        </w:rPr>
        <w:t xml:space="preserve"> </w:t>
      </w: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Vairavimas ir mechanizmų valdymas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gebėjimo vairuoti ir valdyti mechanizmus neveikia.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noProof/>
          <w:szCs w:val="22"/>
        </w:rPr>
        <w:t>3.</w:t>
      </w:r>
      <w:r w:rsidRPr="005E2619">
        <w:rPr>
          <w:b/>
          <w:noProof/>
          <w:szCs w:val="22"/>
        </w:rPr>
        <w:tab/>
        <w:t>K</w:t>
      </w:r>
      <w:r w:rsidR="007E66EB">
        <w:rPr>
          <w:b/>
          <w:noProof/>
          <w:szCs w:val="22"/>
        </w:rPr>
        <w:t>aip vartoti</w:t>
      </w:r>
      <w:r w:rsidRPr="005E2619">
        <w:rPr>
          <w:b/>
          <w:noProof/>
          <w:szCs w:val="22"/>
        </w:rPr>
        <w:t xml:space="preserve">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7E66EB" w:rsidP="0029447E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V</w:t>
      </w:r>
      <w:r w:rsidR="0029447E" w:rsidRPr="005E2619">
        <w:rPr>
          <w:noProof/>
          <w:szCs w:val="22"/>
        </w:rPr>
        <w:t xml:space="preserve">isada vartokite </w:t>
      </w:r>
      <w:r>
        <w:rPr>
          <w:noProof/>
          <w:szCs w:val="22"/>
        </w:rPr>
        <w:t xml:space="preserve">šį vaistą </w:t>
      </w:r>
      <w:r w:rsidR="0029447E" w:rsidRPr="005E2619">
        <w:rPr>
          <w:noProof/>
          <w:szCs w:val="22"/>
        </w:rPr>
        <w:t xml:space="preserve">tiksliai kaip </w:t>
      </w:r>
      <w:r>
        <w:rPr>
          <w:noProof/>
          <w:szCs w:val="22"/>
        </w:rPr>
        <w:t xml:space="preserve">aprašyta šiame lapelyje arba kaip </w:t>
      </w:r>
      <w:r w:rsidR="0029447E" w:rsidRPr="005E2619">
        <w:rPr>
          <w:noProof/>
          <w:szCs w:val="22"/>
        </w:rPr>
        <w:t>nurodė gydytojas. Jeigu abejojate, kreipkitės į gydytoją arba vaistininką.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t>Dozavimas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5E2619">
        <w:rPr>
          <w:szCs w:val="22"/>
          <w:lang w:eastAsia="lt-LT"/>
        </w:rPr>
        <w:t>Suaugusiems žmonėms vartoti prieš naktį vieną žvakutę. Jeigu liga sunkesnė, suaugusiems žmonės nurodytą dozę galima vartoti 2-3 kartus per parą.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t>Gydymo trukmė</w:t>
      </w:r>
    </w:p>
    <w:p w:rsidR="0029447E" w:rsidRPr="005E2619" w:rsidRDefault="0029447E" w:rsidP="0029447E">
      <w:pPr>
        <w:rPr>
          <w:noProof/>
          <w:szCs w:val="22"/>
        </w:rPr>
      </w:pPr>
      <w:r w:rsidRPr="005E2619">
        <w:rPr>
          <w:noProof/>
          <w:szCs w:val="22"/>
        </w:rPr>
        <w:t>Žvakutes reikia vartoti tol, kol neliks skausmo, bet ne ilgiau kaip 7 dienas iš eilės.</w:t>
      </w:r>
    </w:p>
    <w:p w:rsidR="0029447E" w:rsidRPr="005E2619" w:rsidRDefault="0029447E" w:rsidP="0029447E">
      <w:pPr>
        <w:rPr>
          <w:szCs w:val="22"/>
          <w:u w:val="single"/>
          <w:lang w:eastAsia="lt-LT"/>
        </w:rPr>
      </w:pPr>
    </w:p>
    <w:p w:rsidR="0029447E" w:rsidRPr="005E2619" w:rsidRDefault="0029447E" w:rsidP="0029447E">
      <w:pPr>
        <w:rPr>
          <w:szCs w:val="22"/>
          <w:lang w:eastAsia="lt-LT"/>
        </w:rPr>
      </w:pPr>
      <w:r w:rsidRPr="005E2619">
        <w:rPr>
          <w:szCs w:val="22"/>
          <w:lang w:eastAsia="lt-LT"/>
        </w:rPr>
        <w:t>Jei Jums atrodo, kad HEMOROL poveikis yra per stiprus arba per silpnas, pasikonsultuokite su gydytoju arba vaistininku.</w:t>
      </w:r>
    </w:p>
    <w:p w:rsidR="0029447E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7E66EB" w:rsidRPr="00AA773A" w:rsidRDefault="007E66EB" w:rsidP="0029447E">
      <w:pPr>
        <w:spacing w:line="240" w:lineRule="auto"/>
        <w:ind w:left="567" w:hanging="567"/>
        <w:rPr>
          <w:b/>
        </w:rPr>
      </w:pPr>
      <w:r w:rsidRPr="00AA773A">
        <w:rPr>
          <w:b/>
        </w:rPr>
        <w:t>Vartojimas vaikams ir paaugliams</w:t>
      </w:r>
    </w:p>
    <w:p w:rsidR="007E66EB" w:rsidRDefault="007E66EB" w:rsidP="007E66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Vaikams ir paaugliams jaunesniems kaip 18 metų šio vaisto vartoti negalima.</w:t>
      </w:r>
    </w:p>
    <w:p w:rsidR="007E66EB" w:rsidRPr="005E2619" w:rsidRDefault="007E66EB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7E66EB" w:rsidP="0029447E">
      <w:p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Ką daryti p</w:t>
      </w:r>
      <w:r w:rsidR="0029447E" w:rsidRPr="005E2619">
        <w:rPr>
          <w:b/>
          <w:noProof/>
          <w:szCs w:val="22"/>
        </w:rPr>
        <w:t>avartojus per didelę HEMOROL dozę</w:t>
      </w:r>
      <w:r>
        <w:rPr>
          <w:b/>
          <w:noProof/>
          <w:szCs w:val="22"/>
        </w:rPr>
        <w:t>?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szCs w:val="22"/>
        </w:rPr>
        <w:t>Perdozavimo atvejų nežinoma. Jeigu Jūs ar kas nors kitas pavartojo HEMOROL daugiau nei reikia, kreipkitės į gydytoją arba artimiausią greitosios pagalbos skyrių.</w:t>
      </w:r>
      <w:r w:rsidRPr="005E2619">
        <w:rPr>
          <w:noProof/>
          <w:szCs w:val="22"/>
        </w:rPr>
        <w:t xml:space="preserve"> 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Pamiršus pavartoti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Negalima vartoti dvigubos dozės norint kompensuoti praleistą dozę.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Jeigu kiltų daugiau klausimų dėl šio vaisto vartojimo, kreipkitės į gydytoją arba vaistininką.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E66EB" w:rsidRPr="007E66EB" w:rsidRDefault="0029447E" w:rsidP="007E66E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caps/>
          <w:noProof/>
          <w:szCs w:val="22"/>
        </w:rPr>
        <w:t>4.</w:t>
      </w:r>
      <w:r w:rsidRPr="005E2619">
        <w:rPr>
          <w:b/>
          <w:caps/>
          <w:noProof/>
          <w:szCs w:val="22"/>
        </w:rPr>
        <w:tab/>
      </w:r>
      <w:r w:rsidR="007E66EB" w:rsidRPr="00AA773A">
        <w:rPr>
          <w:b/>
        </w:rPr>
        <w:t>Galimas šalutinis poveikis</w:t>
      </w:r>
      <w:r w:rsidR="007E66EB" w:rsidRPr="007E66EB" w:rsidDel="007E66EB">
        <w:rPr>
          <w:b/>
          <w:caps/>
          <w:noProof/>
          <w:szCs w:val="22"/>
        </w:rPr>
        <w:t xml:space="preserve"> </w:t>
      </w:r>
    </w:p>
    <w:p w:rsidR="0029447E" w:rsidRPr="005E2619" w:rsidRDefault="0029447E" w:rsidP="007E66EB">
      <w:pPr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</w:rPr>
      </w:pPr>
    </w:p>
    <w:p w:rsidR="0029447E" w:rsidRPr="005E2619" w:rsidRDefault="007E66EB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Šis vaistas</w:t>
      </w:r>
      <w:r w:rsidR="0029447E" w:rsidRPr="005E2619">
        <w:rPr>
          <w:noProof/>
          <w:szCs w:val="22"/>
        </w:rPr>
        <w:t>, kaip ir</w:t>
      </w:r>
      <w:r>
        <w:rPr>
          <w:noProof/>
          <w:szCs w:val="22"/>
        </w:rPr>
        <w:t xml:space="preserve"> visi</w:t>
      </w:r>
      <w:r w:rsidR="0029447E" w:rsidRPr="005E2619">
        <w:rPr>
          <w:noProof/>
          <w:szCs w:val="22"/>
        </w:rPr>
        <w:t xml:space="preserve"> kiti, gali sukelti šalutinį poveikį, nors jis pasireiškia ne visiems žmonėms.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 xml:space="preserve">Vartojant HEMOROL gali pasireikšti alerginės reakcijos, niežėjimas ar paraudimas (dažnis nežinomas – negali būti </w:t>
      </w:r>
      <w:r w:rsidR="007E66EB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Pr="005E2619" w:rsidRDefault="0029447E" w:rsidP="0029447E">
      <w:pPr>
        <w:spacing w:line="240" w:lineRule="auto"/>
        <w:rPr>
          <w:szCs w:val="22"/>
          <w:lang w:eastAsia="pl-PL"/>
        </w:rPr>
      </w:pPr>
      <w:r w:rsidRPr="005E2619">
        <w:rPr>
          <w:szCs w:val="22"/>
          <w:lang w:eastAsia="pl-PL"/>
        </w:rPr>
        <w:t>Vaisto sudėtyje esantis benzokainas gali sukelti methemoglobinemij</w:t>
      </w:r>
      <w:r>
        <w:rPr>
          <w:szCs w:val="22"/>
          <w:lang w:eastAsia="pl-PL"/>
        </w:rPr>
        <w:t>ą</w:t>
      </w:r>
      <w:r w:rsidRPr="005E2619">
        <w:rPr>
          <w:szCs w:val="22"/>
          <w:lang w:eastAsia="pl-PL"/>
        </w:rPr>
        <w:t xml:space="preserve"> (dažnis nežinomas – negali būti </w:t>
      </w:r>
      <w:r w:rsidR="007E66EB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Pr="005E2619" w:rsidRDefault="0029447E" w:rsidP="0029447E">
      <w:pPr>
        <w:spacing w:line="240" w:lineRule="auto"/>
        <w:rPr>
          <w:szCs w:val="22"/>
          <w:lang w:eastAsia="pl-PL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 pasireiškį alerginė reakcija ar ligos simptomai pasunkėjo, nutraukite vaisto vartojimą ir kreipkitės į gydytoją.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Jeigu pasireiškė sunkus šalutinis poveikis arba pastebėjote šiame lapelyje nenurodytą šalutinį poveikį, pasakykite gydytojui arba vaistininkui.</w:t>
      </w:r>
    </w:p>
    <w:p w:rsidR="0029447E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E66EB" w:rsidRPr="007E66EB" w:rsidRDefault="007E66EB" w:rsidP="007E66EB">
      <w:pPr>
        <w:spacing w:line="240" w:lineRule="auto"/>
        <w:rPr>
          <w:b/>
          <w:szCs w:val="24"/>
        </w:rPr>
      </w:pPr>
      <w:r w:rsidRPr="007E66EB">
        <w:rPr>
          <w:b/>
          <w:noProof/>
          <w:szCs w:val="24"/>
        </w:rPr>
        <w:t>Pranešimas apie šalutinį poveikį</w:t>
      </w:r>
    </w:p>
    <w:p w:rsidR="007E66EB" w:rsidRPr="00503D27" w:rsidRDefault="007E66EB" w:rsidP="007E66EB">
      <w:pPr>
        <w:ind w:right="-449"/>
        <w:rPr>
          <w:noProof/>
          <w:szCs w:val="24"/>
        </w:rPr>
      </w:pPr>
      <w:r w:rsidRPr="00AA773A">
        <w:t>Jeigu pasireiškė šalutinis poveikis, įskaitant šiame l</w:t>
      </w:r>
      <w:r w:rsidRPr="007E66EB">
        <w:t xml:space="preserve">apelyje nenurodytą, pasakykite </w:t>
      </w:r>
      <w:r w:rsidRPr="00AA773A">
        <w:t>gydytojui</w:t>
      </w:r>
      <w:r>
        <w:t xml:space="preserve"> </w:t>
      </w:r>
      <w:r w:rsidRPr="00AA773A">
        <w:t>arba</w:t>
      </w:r>
      <w:r>
        <w:t xml:space="preserve"> </w:t>
      </w:r>
      <w:r w:rsidRPr="00AA773A">
        <w:t>vaistininkui. Apie šalutinį poveikį taip pat galite pranešti Valstybinei vaistų kontrolės tarnybai prie Lietuvos Respublikos sveikatos apsaugos ministerijos nemokamu t</w:t>
      </w:r>
      <w:r w:rsidRPr="00AA773A">
        <w:rPr>
          <w:lang w:eastAsia="zh-CN"/>
        </w:rPr>
        <w:t>elefonu 8 800 73568</w:t>
      </w:r>
      <w:r w:rsidRPr="00AA773A">
        <w:t xml:space="preserve"> arba užpildyti interneto svetainėje </w:t>
      </w:r>
      <w:hyperlink r:id="rId11" w:history="1">
        <w:r w:rsidRPr="00AA773A">
          <w:rPr>
            <w:rStyle w:val="Hipersaitas"/>
            <w:rFonts w:eastAsia="SimSun"/>
          </w:rPr>
          <w:t>www.vvkt.lt</w:t>
        </w:r>
      </w:hyperlink>
      <w:r w:rsidRPr="00AA773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A773A">
        <w:rPr>
          <w:lang w:eastAsia="zh-CN"/>
        </w:rPr>
        <w:t xml:space="preserve">nemokamu </w:t>
      </w:r>
      <w:r w:rsidRPr="00AA773A">
        <w:t>fakso numeriu 8 800 20131</w:t>
      </w:r>
      <w:r w:rsidRPr="00AA773A">
        <w:rPr>
          <w:lang w:eastAsia="zh-CN"/>
        </w:rPr>
        <w:t xml:space="preserve">, </w:t>
      </w:r>
      <w:r w:rsidRPr="00AA773A">
        <w:t xml:space="preserve">el. paštu </w:t>
      </w:r>
      <w:hyperlink r:id="rId12" w:history="1">
        <w:r w:rsidRPr="00AA773A">
          <w:rPr>
            <w:rStyle w:val="Hipersaitas"/>
            <w:rFonts w:eastAsia="SimSun"/>
          </w:rPr>
          <w:t>NepageidaujamaR@vvkt.lt</w:t>
        </w:r>
      </w:hyperlink>
      <w:r w:rsidRPr="00AA773A">
        <w:t xml:space="preserve">, taip pat per Valstybinės vaistų kontrolės tarnybos prie Lietuvos Respublikos sveikatos apsaugos ministerijos interneto svetainę (adresu </w:t>
      </w:r>
      <w:hyperlink r:id="rId13" w:history="1">
        <w:r w:rsidRPr="00AA773A">
          <w:rPr>
            <w:rStyle w:val="Hipersaitas"/>
            <w:rFonts w:eastAsia="SimSun"/>
          </w:rPr>
          <w:t>http://www.vvkt.lt</w:t>
        </w:r>
      </w:hyperlink>
      <w:r w:rsidRPr="00AA773A">
        <w:t>). Pranešdami apie šalutinį poveikį galite mums padėti gauti daugiau informacijos apie šio vaisto saugumą.</w:t>
      </w:r>
    </w:p>
    <w:p w:rsidR="007E66EB" w:rsidRPr="005E2619" w:rsidRDefault="007E66EB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5E2619">
        <w:rPr>
          <w:b/>
          <w:noProof/>
          <w:szCs w:val="22"/>
        </w:rPr>
        <w:t>5.</w:t>
      </w:r>
      <w:r w:rsidRPr="005E2619">
        <w:rPr>
          <w:b/>
          <w:noProof/>
          <w:szCs w:val="22"/>
        </w:rPr>
        <w:tab/>
        <w:t>K</w:t>
      </w:r>
      <w:r w:rsidR="007E66EB">
        <w:rPr>
          <w:b/>
          <w:noProof/>
          <w:szCs w:val="22"/>
        </w:rPr>
        <w:t>aip laikyti</w:t>
      </w:r>
      <w:r w:rsidRPr="005E2619">
        <w:rPr>
          <w:b/>
          <w:noProof/>
          <w:szCs w:val="22"/>
        </w:rPr>
        <w:t xml:space="preserve"> HEMOROL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2619">
        <w:rPr>
          <w:szCs w:val="22"/>
        </w:rPr>
        <w:t>Laikyti ne aukštesnėje kaip 25 </w:t>
      </w:r>
      <w:r w:rsidRPr="005E2619">
        <w:rPr>
          <w:szCs w:val="22"/>
        </w:rPr>
        <w:sym w:font="Symbol" w:char="F0B0"/>
      </w:r>
      <w:r w:rsidRPr="005E2619">
        <w:rPr>
          <w:szCs w:val="22"/>
        </w:rPr>
        <w:t>C temperatūroje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29447E" w:rsidRPr="005E2619" w:rsidRDefault="00ED2D9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Šį vaistą laikykite </w:t>
      </w:r>
      <w:r w:rsidR="0029447E" w:rsidRPr="005E2619">
        <w:rPr>
          <w:noProof/>
          <w:szCs w:val="22"/>
        </w:rPr>
        <w:t xml:space="preserve"> vaikams </w:t>
      </w:r>
      <w:r w:rsidR="007E66EB" w:rsidRPr="005E2619">
        <w:rPr>
          <w:noProof/>
          <w:szCs w:val="22"/>
        </w:rPr>
        <w:t>nepastebimoje</w:t>
      </w:r>
      <w:r w:rsidR="007E66EB">
        <w:rPr>
          <w:noProof/>
          <w:szCs w:val="22"/>
        </w:rPr>
        <w:t xml:space="preserve"> ir</w:t>
      </w:r>
      <w:r w:rsidR="007E66EB" w:rsidRPr="005E2619">
        <w:rPr>
          <w:noProof/>
          <w:szCs w:val="22"/>
        </w:rPr>
        <w:t xml:space="preserve"> </w:t>
      </w:r>
      <w:r w:rsidR="0029447E" w:rsidRPr="005E2619">
        <w:rPr>
          <w:noProof/>
          <w:szCs w:val="22"/>
        </w:rPr>
        <w:t>nepasiekiamoje</w:t>
      </w:r>
      <w:r w:rsidR="007E66EB">
        <w:rPr>
          <w:noProof/>
          <w:szCs w:val="22"/>
        </w:rPr>
        <w:t xml:space="preserve"> </w:t>
      </w:r>
      <w:r w:rsidR="0029447E" w:rsidRPr="005E2619">
        <w:rPr>
          <w:noProof/>
          <w:szCs w:val="22"/>
        </w:rPr>
        <w:t>vietoje.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5E2619">
        <w:rPr>
          <w:i w:val="0"/>
          <w:iCs/>
          <w:noProof/>
          <w:color w:val="auto"/>
          <w:szCs w:val="22"/>
          <w:lang w:val="lt-LT"/>
        </w:rPr>
        <w:t xml:space="preserve">Ant dėžutės po "Tinka iki" ir lizdinės plokštelės po „EXP“ nurodytam tinkamumo laikui pasibaigus, </w:t>
      </w:r>
      <w:r w:rsidR="00AC03C8">
        <w:rPr>
          <w:i w:val="0"/>
          <w:iCs/>
          <w:noProof/>
          <w:color w:val="auto"/>
          <w:szCs w:val="22"/>
          <w:lang w:val="lt-LT"/>
        </w:rPr>
        <w:t>šio</w:t>
      </w:r>
      <w:r w:rsidRPr="005E2619">
        <w:rPr>
          <w:i w:val="0"/>
          <w:iCs/>
          <w:noProof/>
          <w:color w:val="auto"/>
          <w:szCs w:val="22"/>
          <w:lang w:val="lt-LT"/>
        </w:rPr>
        <w:t xml:space="preserve"> </w:t>
      </w:r>
      <w:r w:rsidR="00AC03C8">
        <w:rPr>
          <w:i w:val="0"/>
          <w:iCs/>
          <w:noProof/>
          <w:color w:val="auto"/>
          <w:szCs w:val="22"/>
          <w:lang w:val="lt-LT"/>
        </w:rPr>
        <w:t xml:space="preserve">vaisto </w:t>
      </w:r>
      <w:r w:rsidRPr="005E2619">
        <w:rPr>
          <w:i w:val="0"/>
          <w:iCs/>
          <w:noProof/>
          <w:color w:val="auto"/>
          <w:szCs w:val="22"/>
          <w:lang w:val="lt-LT"/>
        </w:rPr>
        <w:t>vartoti negalima. Vaistas tinkamas vartoti iki paskutinės nurodyto mėnesio dienos.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Vaistų negalima iš</w:t>
      </w:r>
      <w:r w:rsidR="00AC03C8">
        <w:rPr>
          <w:noProof/>
          <w:szCs w:val="22"/>
        </w:rPr>
        <w:t>mesti</w:t>
      </w:r>
      <w:r w:rsidRPr="005E2619">
        <w:rPr>
          <w:noProof/>
          <w:szCs w:val="22"/>
        </w:rPr>
        <w:t xml:space="preserve"> į kanalizaciją arba su buitinėmis atliekomis. Kaip </w:t>
      </w:r>
      <w:r w:rsidR="00AC03C8">
        <w:rPr>
          <w:noProof/>
          <w:szCs w:val="22"/>
        </w:rPr>
        <w:t>išmesti</w:t>
      </w:r>
      <w:r w:rsidRPr="005E2619">
        <w:rPr>
          <w:noProof/>
          <w:szCs w:val="22"/>
        </w:rPr>
        <w:t xml:space="preserve"> nereikalingus vaistus, klauskite vaistininko. Šios priemonės padės apsaugoti aplinką.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C03C8" w:rsidRDefault="0029447E" w:rsidP="00AC03C8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5E2619">
        <w:rPr>
          <w:b/>
          <w:noProof/>
          <w:szCs w:val="22"/>
        </w:rPr>
        <w:t>6.</w:t>
      </w:r>
      <w:r w:rsidRPr="005E2619">
        <w:rPr>
          <w:b/>
          <w:noProof/>
          <w:szCs w:val="22"/>
        </w:rPr>
        <w:tab/>
      </w:r>
      <w:r w:rsidR="00AC03C8" w:rsidRPr="00AC03C8">
        <w:rPr>
          <w:b/>
          <w:noProof/>
          <w:szCs w:val="22"/>
        </w:rPr>
        <w:t>Pakuotės turinys ir kita informacija</w:t>
      </w:r>
    </w:p>
    <w:p w:rsidR="0029447E" w:rsidRPr="005E2619" w:rsidRDefault="0029447E" w:rsidP="00AC03C8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 xml:space="preserve">HEMOROL sudėtis </w:t>
      </w:r>
    </w:p>
    <w:p w:rsidR="0029447E" w:rsidRPr="005E2619" w:rsidRDefault="0029447E" w:rsidP="0029447E">
      <w:pPr>
        <w:tabs>
          <w:tab w:val="left" w:pos="3960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</w:rPr>
        <w:t>-</w:t>
      </w:r>
      <w:r w:rsidRPr="005E2619">
        <w:rPr>
          <w:szCs w:val="22"/>
        </w:rPr>
        <w:tab/>
        <w:t>Vienoje žvakutėje yra 50 mg</w:t>
      </w:r>
      <w:r w:rsidRPr="005E2619" w:rsidDel="006A1E6D">
        <w:rPr>
          <w:b/>
          <w:szCs w:val="22"/>
        </w:rPr>
        <w:t xml:space="preserve"> </w:t>
      </w:r>
      <w:r w:rsidRPr="005E2619">
        <w:rPr>
          <w:i/>
          <w:szCs w:val="22"/>
        </w:rPr>
        <w:t>Matricaria recutita</w:t>
      </w:r>
      <w:r w:rsidRPr="005E2619">
        <w:rPr>
          <w:szCs w:val="22"/>
        </w:rPr>
        <w:t xml:space="preserve"> L. (</w:t>
      </w:r>
      <w:r w:rsidRPr="005E2619">
        <w:rPr>
          <w:i/>
          <w:szCs w:val="22"/>
        </w:rPr>
        <w:t>Chamomilla recutita</w:t>
      </w:r>
      <w:r w:rsidRPr="005E2619">
        <w:rPr>
          <w:szCs w:val="22"/>
        </w:rPr>
        <w:t xml:space="preserve"> (L.) Rauschert.), flos (ramunėlių žiedų) tirštojo ekstrakto (3:1) (ekstrahentas: išgrynintas vanduo); 20 mg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Atropa belladonna</w:t>
      </w:r>
      <w:r w:rsidRPr="005E2619">
        <w:rPr>
          <w:rStyle w:val="s1"/>
          <w:rFonts w:ascii="Times New Roman" w:hAnsi="Times New Roman" w:cs="Times New Roman"/>
          <w:szCs w:val="22"/>
        </w:rPr>
        <w:t> L., radix (</w:t>
      </w:r>
      <w:r w:rsidRPr="005E2619">
        <w:rPr>
          <w:szCs w:val="22"/>
          <w:lang w:eastAsia="lt-LT"/>
        </w:rPr>
        <w:t>šunvyšnių šaknų) tirštojo</w:t>
      </w:r>
      <w:r w:rsidRPr="005E2619">
        <w:rPr>
          <w:szCs w:val="22"/>
        </w:rPr>
        <w:t xml:space="preserve"> ekstrakto (4:1) (ekstrahentas: etanolis 70% V/V); 80 mg tirštojo ekstrakto (4:1), pagaminto iš </w:t>
      </w:r>
      <w:r w:rsidRPr="005E2619">
        <w:rPr>
          <w:i/>
          <w:szCs w:val="22"/>
        </w:rPr>
        <w:t xml:space="preserve">Cytisus scoparius </w:t>
      </w:r>
      <w:r w:rsidRPr="005E2619">
        <w:rPr>
          <w:szCs w:val="22"/>
        </w:rPr>
        <w:t>L</w:t>
      </w:r>
      <w:r w:rsidRPr="005E2619">
        <w:rPr>
          <w:i/>
          <w:szCs w:val="22"/>
        </w:rPr>
        <w:t xml:space="preserve">., </w:t>
      </w:r>
      <w:r w:rsidRPr="005E2619">
        <w:rPr>
          <w:szCs w:val="22"/>
        </w:rPr>
        <w:t>herba</w:t>
      </w:r>
      <w:r w:rsidRPr="005E2619">
        <w:rPr>
          <w:i/>
          <w:szCs w:val="22"/>
        </w:rPr>
        <w:t xml:space="preserve"> </w:t>
      </w:r>
      <w:r w:rsidRPr="005E2619">
        <w:rPr>
          <w:szCs w:val="22"/>
        </w:rPr>
        <w:t xml:space="preserve">(šluotinių sausakrūmių žolės), Aesculus hippocastanum L., cortex (paprastųjų kaštonų žievės), </w:t>
      </w:r>
      <w:r w:rsidRPr="005E2619">
        <w:rPr>
          <w:i/>
          <w:iCs/>
          <w:szCs w:val="22"/>
        </w:rPr>
        <w:t>Potentilla erecta</w:t>
      </w:r>
      <w:r w:rsidRPr="005E2619">
        <w:rPr>
          <w:szCs w:val="22"/>
        </w:rPr>
        <w:t xml:space="preserve"> L. Raeusch., rhizoma (miškinių sidabražolių šakniastiebių),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Achillea millefolium</w:t>
      </w:r>
      <w:r w:rsidRPr="005E2619">
        <w:rPr>
          <w:rStyle w:val="s1"/>
          <w:rFonts w:ascii="Times New Roman" w:hAnsi="Times New Roman" w:cs="Times New Roman"/>
          <w:szCs w:val="22"/>
        </w:rPr>
        <w:t> L., herba (</w:t>
      </w:r>
      <w:r w:rsidRPr="005E2619">
        <w:rPr>
          <w:szCs w:val="22"/>
        </w:rPr>
        <w:t>kraujažolių žolės) (ekstrahentas: etanolis 40% V/V) (1/1/1/1), 100 mg benzokaino.</w:t>
      </w:r>
    </w:p>
    <w:p w:rsidR="0029447E" w:rsidRPr="005E2619" w:rsidRDefault="0029447E" w:rsidP="0029447E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 xml:space="preserve">Pagalbinės medžiagos yra glicerolis (E422) ir </w:t>
      </w:r>
      <w:r w:rsidRPr="005E2619">
        <w:rPr>
          <w:szCs w:val="22"/>
        </w:rPr>
        <w:t>kietieji riebalai.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>HEMOROL išvaizda ir kiekis pakuotėje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Žvakutės yra cilindrinės formos su elipsoidiniais galais, rudos spalvos, specifinio kvapo.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Dvi lizdinės plokštelės iš polichlorvinilo folijos, kuriose yra po šešias žvakutes, supakuotos kartu su  pakuotės lapeliu į kartoninę dėžutę.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C03C8" w:rsidRDefault="0029447E" w:rsidP="008714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2619">
        <w:rPr>
          <w:b/>
          <w:bCs/>
          <w:noProof/>
          <w:szCs w:val="22"/>
        </w:rPr>
        <w:t>R</w:t>
      </w:r>
      <w:r w:rsidR="00AC03C8">
        <w:rPr>
          <w:b/>
          <w:bCs/>
          <w:noProof/>
          <w:szCs w:val="22"/>
        </w:rPr>
        <w:t>egistruotojas</w:t>
      </w:r>
      <w:r w:rsidRPr="005E2619">
        <w:rPr>
          <w:b/>
          <w:bCs/>
          <w:noProof/>
          <w:szCs w:val="22"/>
        </w:rPr>
        <w:t xml:space="preserve"> ir gamintojas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 xml:space="preserve">Wrocławskie Zakłady Zielarskie „Herbapol” S.A.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ul. Św. Mikołaja 65/68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szCs w:val="22"/>
        </w:rPr>
        <w:t>50-951 Wrocław</w:t>
      </w:r>
      <w:r w:rsidRPr="005E2619" w:rsidDel="00EE0456">
        <w:rPr>
          <w:noProof/>
          <w:szCs w:val="22"/>
        </w:rPr>
        <w:t xml:space="preserve"> 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Lenkija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5E2619">
        <w:rPr>
          <w:b/>
          <w:bCs/>
          <w:noProof/>
          <w:szCs w:val="22"/>
        </w:rPr>
        <w:lastRenderedPageBreak/>
        <w:t xml:space="preserve">Šis pakuotės </w:t>
      </w:r>
      <w:r w:rsidRPr="005E2619">
        <w:rPr>
          <w:b/>
          <w:noProof/>
          <w:szCs w:val="22"/>
        </w:rPr>
        <w:t>lapelis paskutinį kartą p</w:t>
      </w:r>
      <w:r w:rsidR="00AC03C8">
        <w:rPr>
          <w:b/>
          <w:noProof/>
          <w:szCs w:val="22"/>
        </w:rPr>
        <w:t>eržiūrėtas</w:t>
      </w:r>
      <w:r w:rsidR="00017843">
        <w:rPr>
          <w:b/>
          <w:noProof/>
          <w:szCs w:val="22"/>
        </w:rPr>
        <w:t xml:space="preserve"> 2016-</w:t>
      </w:r>
      <w:r w:rsidR="00157F45">
        <w:rPr>
          <w:b/>
          <w:noProof/>
          <w:szCs w:val="22"/>
        </w:rPr>
        <w:t>12</w:t>
      </w:r>
      <w:r w:rsidR="00017843">
        <w:rPr>
          <w:b/>
          <w:noProof/>
          <w:szCs w:val="22"/>
        </w:rPr>
        <w:t>-</w:t>
      </w:r>
      <w:r w:rsidR="00157F45">
        <w:rPr>
          <w:b/>
          <w:noProof/>
          <w:szCs w:val="22"/>
        </w:rPr>
        <w:t>31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AC03C8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A773A">
        <w:rPr>
          <w:rFonts w:eastAsia="Times New Roman"/>
          <w:noProof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="00AA773A" w:rsidRPr="0047549C">
          <w:rPr>
            <w:rStyle w:val="Hipersaitas"/>
            <w:rFonts w:eastAsia="Times New Roman"/>
            <w:noProof/>
            <w:szCs w:val="22"/>
            <w:lang w:eastAsia="lt-LT"/>
          </w:rPr>
          <w:t>http://www.vvkt.lt/</w:t>
        </w:r>
      </w:hyperlink>
      <w:r w:rsidR="00AA773A">
        <w:rPr>
          <w:rFonts w:eastAsia="Times New Roman"/>
          <w:noProof/>
          <w:szCs w:val="22"/>
          <w:lang w:eastAsia="lt-LT"/>
        </w:rPr>
        <w:t xml:space="preserve"> </w:t>
      </w:r>
      <w:r w:rsidRPr="00AC03C8">
        <w:rPr>
          <w:szCs w:val="22"/>
        </w:rPr>
        <w:t>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rPr>
          <w:szCs w:val="22"/>
        </w:rPr>
      </w:pPr>
      <w:bookmarkStart w:id="0" w:name="_GoBack"/>
      <w:bookmarkEnd w:id="0"/>
      <w:permStart w:id="307442611" w:edGrp="everyone"/>
      <w:permEnd w:id="307442611"/>
    </w:p>
    <w:p w:rsidR="0029447E" w:rsidRPr="005E2619" w:rsidRDefault="0029447E" w:rsidP="0029447E">
      <w:pPr>
        <w:rPr>
          <w:szCs w:val="22"/>
        </w:rPr>
      </w:pPr>
    </w:p>
    <w:p w:rsidR="000141A7" w:rsidRDefault="000141A7"/>
    <w:sectPr w:rsidR="000141A7" w:rsidSect="000141A7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22" w:rsidRDefault="00186B22">
      <w:pPr>
        <w:spacing w:line="240" w:lineRule="auto"/>
      </w:pPr>
      <w:r>
        <w:separator/>
      </w:r>
    </w:p>
  </w:endnote>
  <w:endnote w:type="continuationSeparator" w:id="0">
    <w:p w:rsidR="00186B22" w:rsidRDefault="0018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A7" w:rsidRDefault="000141A7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EB0310">
      <w:rPr>
        <w:rStyle w:val="Puslapionumeris"/>
        <w:rFonts w:ascii="Arial" w:hAnsi="Arial" w:cs="Arial"/>
        <w:noProof/>
      </w:rPr>
      <w:t>17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A7" w:rsidRDefault="000141A7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157F45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22" w:rsidRDefault="00186B22">
      <w:pPr>
        <w:spacing w:line="240" w:lineRule="auto"/>
      </w:pPr>
      <w:r>
        <w:separator/>
      </w:r>
    </w:p>
  </w:footnote>
  <w:footnote w:type="continuationSeparator" w:id="0">
    <w:p w:rsidR="00186B22" w:rsidRDefault="00186B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D82DE4"/>
    <w:multiLevelType w:val="hybridMultilevel"/>
    <w:tmpl w:val="B106AA16"/>
    <w:lvl w:ilvl="0" w:tplc="D6EE2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+3aRJGrKiP90U6QLFqJw9dnBkhvTeeytbeVK7sePPpH9SnTtB+e+pjwU0bWT87kk5Stbw2lOnv3lrWTJ2+o4lA==" w:salt="IPpuwAW1d39UhJXJobXYxA==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33"/>
    <w:rsid w:val="0000403F"/>
    <w:rsid w:val="000141A7"/>
    <w:rsid w:val="00017843"/>
    <w:rsid w:val="00157F45"/>
    <w:rsid w:val="00186B22"/>
    <w:rsid w:val="001E2833"/>
    <w:rsid w:val="00227DE8"/>
    <w:rsid w:val="0029447E"/>
    <w:rsid w:val="002B2962"/>
    <w:rsid w:val="002C1404"/>
    <w:rsid w:val="002D1565"/>
    <w:rsid w:val="00562B80"/>
    <w:rsid w:val="006D7E45"/>
    <w:rsid w:val="007E66EB"/>
    <w:rsid w:val="008377F3"/>
    <w:rsid w:val="00844F82"/>
    <w:rsid w:val="008714B0"/>
    <w:rsid w:val="008E2E30"/>
    <w:rsid w:val="00A06E58"/>
    <w:rsid w:val="00AA773A"/>
    <w:rsid w:val="00AC03C8"/>
    <w:rsid w:val="00BB3383"/>
    <w:rsid w:val="00BB3E21"/>
    <w:rsid w:val="00BF1841"/>
    <w:rsid w:val="00C1556E"/>
    <w:rsid w:val="00D77B10"/>
    <w:rsid w:val="00E4779B"/>
    <w:rsid w:val="00E57C42"/>
    <w:rsid w:val="00EB0310"/>
    <w:rsid w:val="00ED2D9E"/>
    <w:rsid w:val="00F33F17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7A633-7013-4EFB-820F-178842D2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447E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03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F2FA1"/>
    <w:pPr>
      <w:keepNext/>
      <w:jc w:val="both"/>
      <w:outlineLvl w:val="3"/>
    </w:pPr>
    <w:rPr>
      <w:rFonts w:ascii="Calibri" w:eastAsia="Times New Roman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9447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en-GB"/>
    </w:rPr>
  </w:style>
  <w:style w:type="character" w:customStyle="1" w:styleId="PoratDiagrama">
    <w:name w:val="Poraštė Diagrama"/>
    <w:basedOn w:val="Numatytasispastraiposriftas"/>
    <w:link w:val="Porat"/>
    <w:rsid w:val="0029447E"/>
    <w:rPr>
      <w:rFonts w:ascii="Helvetica" w:eastAsia="Calibri" w:hAnsi="Helvetica" w:cs="Times New Roman"/>
      <w:sz w:val="16"/>
      <w:szCs w:val="20"/>
      <w:lang w:val="en-GB"/>
    </w:rPr>
  </w:style>
  <w:style w:type="character" w:styleId="Puslapionumeris">
    <w:name w:val="page number"/>
    <w:rsid w:val="0029447E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29447E"/>
    <w:pPr>
      <w:tabs>
        <w:tab w:val="clear" w:pos="567"/>
      </w:tabs>
      <w:spacing w:line="240" w:lineRule="auto"/>
    </w:pPr>
    <w:rPr>
      <w:i/>
      <w:color w:val="00800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447E"/>
    <w:rPr>
      <w:rFonts w:ascii="Times New Roman" w:eastAsia="Calibri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prastasis"/>
    <w:rsid w:val="0029447E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29447E"/>
    <w:rPr>
      <w:rFonts w:cs="Times New Roman"/>
      <w:color w:val="0000FF"/>
      <w:u w:val="single"/>
    </w:rPr>
  </w:style>
  <w:style w:type="character" w:styleId="Grietas">
    <w:name w:val="Strong"/>
    <w:qFormat/>
    <w:rsid w:val="0029447E"/>
    <w:rPr>
      <w:rFonts w:cs="Times New Roman"/>
      <w:b/>
    </w:rPr>
  </w:style>
  <w:style w:type="paragraph" w:customStyle="1" w:styleId="BTEMEASMCA">
    <w:name w:val="BT EMEA_SMCA"/>
    <w:basedOn w:val="prastasis"/>
    <w:link w:val="BTEMEASMCAChar"/>
    <w:autoRedefine/>
    <w:rsid w:val="0029447E"/>
    <w:pPr>
      <w:tabs>
        <w:tab w:val="clear" w:pos="567"/>
      </w:tabs>
      <w:spacing w:line="240" w:lineRule="auto"/>
    </w:pPr>
    <w:rPr>
      <w:rFonts w:eastAsia="Times New Roman"/>
      <w:noProof/>
      <w:sz w:val="20"/>
      <w:lang w:eastAsia="lt-LT"/>
    </w:rPr>
  </w:style>
  <w:style w:type="character" w:customStyle="1" w:styleId="BTEMEASMCAChar">
    <w:name w:val="BT EMEA_SMCA Char"/>
    <w:link w:val="BTEMEASMCA"/>
    <w:locked/>
    <w:rsid w:val="0029447E"/>
    <w:rPr>
      <w:rFonts w:ascii="Times New Roman" w:eastAsia="Times New Roman" w:hAnsi="Times New Roman" w:cs="Times New Roman"/>
      <w:noProof/>
      <w:sz w:val="20"/>
      <w:szCs w:val="20"/>
      <w:lang w:val="lt-LT" w:eastAsia="lt-LT"/>
    </w:rPr>
  </w:style>
  <w:style w:type="character" w:customStyle="1" w:styleId="s1">
    <w:name w:val="s1"/>
    <w:rsid w:val="0029447E"/>
    <w:rPr>
      <w:rFonts w:ascii="Arial" w:hAnsi="Arial" w:cs="Arial"/>
    </w:rPr>
  </w:style>
  <w:style w:type="paragraph" w:styleId="Sraopastraipa">
    <w:name w:val="List Paragraph"/>
    <w:basedOn w:val="prastasis"/>
    <w:uiPriority w:val="34"/>
    <w:qFormat/>
    <w:rsid w:val="002B29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2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2962"/>
    <w:rPr>
      <w:rFonts w:ascii="Tahoma" w:eastAsia="Calibri" w:hAnsi="Tahoma" w:cs="Tahoma"/>
      <w:sz w:val="16"/>
      <w:szCs w:val="1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F2FA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03C8"/>
    <w:rPr>
      <w:rFonts w:asciiTheme="majorHAnsi" w:eastAsiaTheme="majorEastAsia" w:hAnsiTheme="majorHAnsi" w:cstheme="majorBidi"/>
      <w:b/>
      <w:bCs/>
      <w:color w:val="4F81BD" w:themeColor="accent1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11277</Words>
  <Characters>6428</Characters>
  <Application>Microsoft Office Word</Application>
  <DocSecurity>8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QRD</dc:creator>
  <cp:keywords/>
  <dc:description/>
  <cp:lastModifiedBy>Albina Burkauskaitė</cp:lastModifiedBy>
  <cp:revision>2</cp:revision>
  <cp:lastPrinted>2016-04-06T23:10:00Z</cp:lastPrinted>
  <dcterms:created xsi:type="dcterms:W3CDTF">2016-12-30T12:21:00Z</dcterms:created>
  <dcterms:modified xsi:type="dcterms:W3CDTF">2016-12-30T12:21:00Z</dcterms:modified>
</cp:coreProperties>
</file>