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47E" w:rsidRPr="005E2619" w:rsidRDefault="000141A7" w:rsidP="0029447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bookmarkStart w:id="0" w:name="_GoBack"/>
      <w:bookmarkEnd w:id="0"/>
      <w:r w:rsidRPr="000141A7">
        <w:rPr>
          <w:b/>
          <w:noProof/>
          <w:szCs w:val="22"/>
        </w:rPr>
        <w:t>Pakuotės lapelis: info</w:t>
      </w:r>
      <w:r>
        <w:rPr>
          <w:b/>
          <w:noProof/>
          <w:szCs w:val="22"/>
        </w:rPr>
        <w:t>rmacija vartotojui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5E2619">
        <w:rPr>
          <w:b/>
          <w:bCs/>
          <w:noProof/>
          <w:szCs w:val="22"/>
        </w:rPr>
        <w:t>HEMOROL žvakutės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0141A7" w:rsidRPr="000141A7" w:rsidRDefault="000141A7" w:rsidP="000141A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b/>
          <w:snapToGrid w:val="0"/>
          <w:szCs w:val="24"/>
        </w:rPr>
      </w:pPr>
      <w:r w:rsidRPr="000141A7">
        <w:rPr>
          <w:rFonts w:eastAsia="Times New Roman"/>
          <w:b/>
          <w:noProof/>
          <w:snapToGrid w:val="0"/>
          <w:szCs w:val="24"/>
        </w:rPr>
        <w:t>Atidžiai perskaitykite visą šį lapelį, prieš pradėdami vartoti šį vaistą, nes jame pateikiama Jums svarbi informacija.</w:t>
      </w:r>
    </w:p>
    <w:p w:rsidR="000141A7" w:rsidRPr="000141A7" w:rsidRDefault="000141A7" w:rsidP="000141A7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Visada vartokite šį vaistą tiksliai kaip aprašyta šiame lapelyje ar</w:t>
      </w:r>
      <w:r>
        <w:rPr>
          <w:rFonts w:eastAsia="Times New Roman"/>
          <w:noProof/>
          <w:snapToGrid w:val="0"/>
          <w:szCs w:val="24"/>
        </w:rPr>
        <w:t xml:space="preserve">ba kaip nurodė gydytojas </w:t>
      </w:r>
      <w:r w:rsidRPr="000141A7">
        <w:rPr>
          <w:rFonts w:eastAsia="Times New Roman"/>
          <w:noProof/>
          <w:snapToGrid w:val="0"/>
          <w:szCs w:val="24"/>
        </w:rPr>
        <w:t>arba</w:t>
      </w:r>
      <w:r>
        <w:rPr>
          <w:rFonts w:eastAsia="Times New Roman"/>
          <w:noProof/>
          <w:snapToGrid w:val="0"/>
          <w:szCs w:val="24"/>
        </w:rPr>
        <w:t xml:space="preserve"> </w:t>
      </w:r>
      <w:r w:rsidRPr="000141A7">
        <w:rPr>
          <w:rFonts w:eastAsia="Times New Roman"/>
          <w:noProof/>
          <w:snapToGrid w:val="0"/>
          <w:szCs w:val="24"/>
        </w:rPr>
        <w:t>vaistininkas.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Neišmeskite šio lapelio, nes vėl gali prireikti jį perskaityti.</w:t>
      </w:r>
      <w:r w:rsidRPr="000141A7">
        <w:rPr>
          <w:rFonts w:eastAsia="Times New Roman"/>
          <w:snapToGrid w:val="0"/>
          <w:szCs w:val="24"/>
        </w:rPr>
        <w:t xml:space="preserve"> 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Jeigu norite sužinoti daugiau arba pasitarti, kreipkitės į vaistininką.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 w:rsidRPr="000141A7">
        <w:rPr>
          <w:rFonts w:eastAsia="Times New Roman"/>
          <w:noProof/>
          <w:snapToGrid w:val="0"/>
          <w:szCs w:val="24"/>
        </w:rPr>
        <w:t>Jeigu pasireiškė šalutinis poveikis (net jeigu jis šiame lapel</w:t>
      </w:r>
      <w:r>
        <w:rPr>
          <w:rFonts w:eastAsia="Times New Roman"/>
          <w:noProof/>
          <w:snapToGrid w:val="0"/>
          <w:szCs w:val="24"/>
        </w:rPr>
        <w:t>yje nenurodytas), kreipkitės į gydytoją arba vaistininką</w:t>
      </w:r>
      <w:r w:rsidRPr="000141A7">
        <w:rPr>
          <w:rFonts w:eastAsia="Times New Roman"/>
          <w:noProof/>
          <w:snapToGrid w:val="0"/>
          <w:szCs w:val="24"/>
        </w:rPr>
        <w:t>. Žr. 4 skyrių.</w:t>
      </w:r>
    </w:p>
    <w:p w:rsidR="000141A7" w:rsidRPr="000141A7" w:rsidRDefault="000141A7" w:rsidP="000141A7">
      <w:pPr>
        <w:numPr>
          <w:ilvl w:val="0"/>
          <w:numId w:val="7"/>
        </w:numPr>
        <w:spacing w:line="240" w:lineRule="auto"/>
        <w:ind w:left="567" w:hanging="567"/>
        <w:rPr>
          <w:rFonts w:eastAsia="Times New Roman"/>
          <w:snapToGrid w:val="0"/>
          <w:szCs w:val="24"/>
        </w:rPr>
      </w:pPr>
      <w:r>
        <w:rPr>
          <w:rFonts w:eastAsia="Times New Roman"/>
          <w:noProof/>
          <w:snapToGrid w:val="0"/>
          <w:szCs w:val="24"/>
        </w:rPr>
        <w:t xml:space="preserve">Jeigu </w:t>
      </w:r>
      <w:r w:rsidRPr="000141A7">
        <w:rPr>
          <w:rFonts w:eastAsia="Times New Roman"/>
          <w:noProof/>
          <w:snapToGrid w:val="0"/>
          <w:szCs w:val="24"/>
        </w:rPr>
        <w:t xml:space="preserve">per </w:t>
      </w:r>
      <w:r>
        <w:rPr>
          <w:rFonts w:eastAsia="Times New Roman"/>
          <w:noProof/>
          <w:snapToGrid w:val="0"/>
          <w:szCs w:val="24"/>
        </w:rPr>
        <w:t>7</w:t>
      </w:r>
      <w:r w:rsidRPr="000141A7">
        <w:rPr>
          <w:rFonts w:eastAsia="Times New Roman"/>
          <w:noProof/>
          <w:snapToGrid w:val="0"/>
          <w:szCs w:val="24"/>
        </w:rPr>
        <w:t xml:space="preserve"> dienas Jūsų savijauta nepagerėjo arba net pa</w:t>
      </w:r>
      <w:r>
        <w:rPr>
          <w:rFonts w:eastAsia="Times New Roman"/>
          <w:noProof/>
          <w:snapToGrid w:val="0"/>
          <w:szCs w:val="24"/>
        </w:rPr>
        <w:t>blogėjo, kreipkitės į gydytoją.</w:t>
      </w:r>
    </w:p>
    <w:p w:rsidR="000141A7" w:rsidRDefault="000141A7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</w:p>
    <w:p w:rsidR="000141A7" w:rsidRDefault="000141A7" w:rsidP="0029447E">
      <w:pPr>
        <w:spacing w:line="240" w:lineRule="auto"/>
        <w:ind w:left="567" w:hanging="567"/>
        <w:rPr>
          <w:b/>
          <w:noProof/>
          <w:szCs w:val="22"/>
        </w:rPr>
      </w:pPr>
      <w:r w:rsidRPr="000141A7">
        <w:rPr>
          <w:b/>
          <w:noProof/>
          <w:szCs w:val="22"/>
        </w:rPr>
        <w:t>Apie ką rašoma šiame lapelyje?</w:t>
      </w:r>
    </w:p>
    <w:p w:rsidR="000141A7" w:rsidRDefault="000141A7" w:rsidP="0029447E">
      <w:pPr>
        <w:spacing w:line="240" w:lineRule="auto"/>
        <w:ind w:left="567" w:hanging="567"/>
        <w:rPr>
          <w:b/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1.</w:t>
      </w:r>
      <w:r w:rsidRPr="005E2619">
        <w:rPr>
          <w:noProof/>
          <w:szCs w:val="22"/>
        </w:rPr>
        <w:tab/>
        <w:t>Kas yra HEMOROL ir kam jis vartojamas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2.</w:t>
      </w:r>
      <w:r w:rsidRPr="005E2619">
        <w:rPr>
          <w:noProof/>
          <w:szCs w:val="22"/>
        </w:rPr>
        <w:tab/>
        <w:t>Kas žinotina prieš vartojant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3.</w:t>
      </w:r>
      <w:r w:rsidRPr="005E2619">
        <w:rPr>
          <w:noProof/>
          <w:szCs w:val="22"/>
        </w:rPr>
        <w:tab/>
        <w:t>Kaip vartoti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4.</w:t>
      </w:r>
      <w:r w:rsidRPr="005E2619">
        <w:rPr>
          <w:noProof/>
          <w:szCs w:val="22"/>
        </w:rPr>
        <w:tab/>
        <w:t>Galimas šalutinis poveikis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5.</w:t>
      </w:r>
      <w:r w:rsidRPr="005E2619">
        <w:rPr>
          <w:noProof/>
          <w:szCs w:val="22"/>
        </w:rPr>
        <w:tab/>
        <w:t>Kaip laikyti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6.</w:t>
      </w:r>
      <w:r w:rsidRPr="005E2619">
        <w:rPr>
          <w:noProof/>
          <w:szCs w:val="22"/>
        </w:rPr>
        <w:tab/>
      </w:r>
      <w:r w:rsidR="000141A7" w:rsidRPr="000141A7">
        <w:rPr>
          <w:noProof/>
          <w:szCs w:val="22"/>
        </w:rPr>
        <w:t>Pakuotės turinys ir kita informacija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</w:rPr>
      </w:pPr>
      <w:r w:rsidRPr="005E2619">
        <w:rPr>
          <w:b/>
          <w:noProof/>
          <w:szCs w:val="22"/>
        </w:rPr>
        <w:t>1.</w:t>
      </w:r>
      <w:r w:rsidRPr="005E2619">
        <w:rPr>
          <w:b/>
          <w:noProof/>
          <w:szCs w:val="22"/>
        </w:rPr>
        <w:tab/>
      </w:r>
      <w:r w:rsidR="000141A7" w:rsidRPr="000141A7">
        <w:rPr>
          <w:b/>
          <w:noProof/>
          <w:szCs w:val="22"/>
        </w:rPr>
        <w:t>Kas y</w:t>
      </w:r>
      <w:r w:rsidR="000141A7">
        <w:rPr>
          <w:b/>
          <w:noProof/>
          <w:szCs w:val="22"/>
        </w:rPr>
        <w:t>ra HEMOROL</w:t>
      </w:r>
      <w:r w:rsidR="000141A7" w:rsidRPr="000141A7">
        <w:rPr>
          <w:b/>
          <w:noProof/>
          <w:szCs w:val="22"/>
        </w:rPr>
        <w:t xml:space="preserve"> ir kam jis vartojamas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844F82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Hemorol var</w:t>
      </w:r>
      <w:r>
        <w:rPr>
          <w:noProof/>
          <w:szCs w:val="22"/>
        </w:rPr>
        <w:t>t</w:t>
      </w:r>
      <w:r w:rsidRPr="005E2619">
        <w:rPr>
          <w:noProof/>
          <w:szCs w:val="22"/>
        </w:rPr>
        <w:t>ojamas išangės skausmo ir dirginimo, sukelto hemorojaus, lėtinio t</w:t>
      </w:r>
      <w:r>
        <w:rPr>
          <w:noProof/>
          <w:szCs w:val="22"/>
        </w:rPr>
        <w:t>ie</w:t>
      </w:r>
      <w:r w:rsidRPr="005E2619">
        <w:rPr>
          <w:noProof/>
          <w:szCs w:val="22"/>
        </w:rPr>
        <w:t xml:space="preserve">siosios žarnos uždegimo, gleivinės įtrūkimo lengvinimui. </w:t>
      </w:r>
    </w:p>
    <w:p w:rsidR="00844F82" w:rsidRPr="000141A7" w:rsidRDefault="00844F82" w:rsidP="00AA773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napToGrid w:val="0"/>
          <w:szCs w:val="24"/>
        </w:rPr>
      </w:pPr>
      <w:r>
        <w:rPr>
          <w:rFonts w:eastAsia="Times New Roman"/>
          <w:noProof/>
          <w:snapToGrid w:val="0"/>
          <w:szCs w:val="24"/>
        </w:rPr>
        <w:t xml:space="preserve">Jeigu </w:t>
      </w:r>
      <w:r w:rsidRPr="000141A7">
        <w:rPr>
          <w:rFonts w:eastAsia="Times New Roman"/>
          <w:noProof/>
          <w:snapToGrid w:val="0"/>
          <w:szCs w:val="24"/>
        </w:rPr>
        <w:t xml:space="preserve">per </w:t>
      </w:r>
      <w:r>
        <w:rPr>
          <w:rFonts w:eastAsia="Times New Roman"/>
          <w:noProof/>
          <w:snapToGrid w:val="0"/>
          <w:szCs w:val="24"/>
        </w:rPr>
        <w:t>7</w:t>
      </w:r>
      <w:r w:rsidRPr="000141A7">
        <w:rPr>
          <w:rFonts w:eastAsia="Times New Roman"/>
          <w:noProof/>
          <w:snapToGrid w:val="0"/>
          <w:szCs w:val="24"/>
        </w:rPr>
        <w:t xml:space="preserve"> dienas Jūsų savijauta nepagerėjo arba net pa</w:t>
      </w:r>
      <w:r>
        <w:rPr>
          <w:rFonts w:eastAsia="Times New Roman"/>
          <w:noProof/>
          <w:snapToGrid w:val="0"/>
          <w:szCs w:val="24"/>
        </w:rPr>
        <w:t>blogėjo, kreipkitės į gydytoją.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141A7" w:rsidRDefault="0029447E" w:rsidP="000141A7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  <w:szCs w:val="22"/>
        </w:rPr>
      </w:pPr>
      <w:r w:rsidRPr="005E2619">
        <w:rPr>
          <w:b/>
          <w:noProof/>
          <w:szCs w:val="22"/>
        </w:rPr>
        <w:t>2.</w:t>
      </w:r>
      <w:r w:rsidRPr="005E2619">
        <w:rPr>
          <w:b/>
          <w:noProof/>
          <w:szCs w:val="22"/>
        </w:rPr>
        <w:tab/>
      </w:r>
      <w:r w:rsidR="000141A7">
        <w:rPr>
          <w:b/>
          <w:noProof/>
          <w:szCs w:val="22"/>
        </w:rPr>
        <w:t>Kas žinotina prieš vartojant HEMOROL</w:t>
      </w:r>
      <w:r w:rsidR="000141A7" w:rsidRPr="000141A7">
        <w:rPr>
          <w:b/>
          <w:noProof/>
          <w:szCs w:val="22"/>
        </w:rPr>
        <w:t xml:space="preserve"> </w:t>
      </w:r>
    </w:p>
    <w:p w:rsidR="0029447E" w:rsidRPr="005E2619" w:rsidRDefault="0029447E" w:rsidP="000141A7">
      <w:pPr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caps/>
          <w:noProof/>
          <w:szCs w:val="22"/>
        </w:rPr>
      </w:pPr>
      <w:r w:rsidRPr="005E2619">
        <w:rPr>
          <w:b/>
          <w:bCs/>
          <w:noProof/>
          <w:szCs w:val="22"/>
        </w:rPr>
        <w:t>HEMOROL vartoti negalima</w:t>
      </w:r>
    </w:p>
    <w:p w:rsidR="0029447E" w:rsidRPr="005E2619" w:rsidRDefault="0029447E" w:rsidP="0029447E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 xml:space="preserve">jeigu yra alergija </w:t>
      </w:r>
      <w:r w:rsidR="000141A7">
        <w:rPr>
          <w:noProof/>
          <w:szCs w:val="22"/>
        </w:rPr>
        <w:t>veikliajai medžiagai</w:t>
      </w:r>
      <w:r w:rsidRPr="005E2619">
        <w:rPr>
          <w:noProof/>
          <w:szCs w:val="22"/>
        </w:rPr>
        <w:t xml:space="preserve"> arba bet kuriai pagalbinei </w:t>
      </w:r>
      <w:r w:rsidR="00FF2FA1">
        <w:rPr>
          <w:noProof/>
          <w:szCs w:val="22"/>
        </w:rPr>
        <w:t>šio vaisto</w:t>
      </w:r>
      <w:r w:rsidRPr="005E2619">
        <w:rPr>
          <w:noProof/>
          <w:szCs w:val="22"/>
        </w:rPr>
        <w:t xml:space="preserve"> medžiagai</w:t>
      </w:r>
      <w:r w:rsidR="00FF2FA1">
        <w:rPr>
          <w:noProof/>
          <w:szCs w:val="22"/>
        </w:rPr>
        <w:t xml:space="preserve"> </w:t>
      </w:r>
      <w:r w:rsidR="00FF2FA1">
        <w:rPr>
          <w:noProof/>
          <w:szCs w:val="24"/>
        </w:rPr>
        <w:t>(jos išvardytos 6 skyriuje).</w:t>
      </w:r>
    </w:p>
    <w:p w:rsidR="00FF2FA1" w:rsidRDefault="00FF2FA1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jei yra alergija a</w:t>
      </w:r>
      <w:r w:rsidRPr="005E2619">
        <w:rPr>
          <w:noProof/>
          <w:szCs w:val="22"/>
        </w:rPr>
        <w:t>strinių (Asteracaea = Compositae) šeimos augalams</w:t>
      </w:r>
      <w:r>
        <w:rPr>
          <w:noProof/>
          <w:szCs w:val="22"/>
        </w:rPr>
        <w:t>:</w:t>
      </w:r>
    </w:p>
    <w:p w:rsidR="000141A7" w:rsidRPr="005E2619" w:rsidRDefault="00FF2FA1" w:rsidP="00FF2FA1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29447E" w:rsidRPr="005E2619">
        <w:rPr>
          <w:noProof/>
          <w:szCs w:val="22"/>
        </w:rPr>
        <w:t>jeigu Jūs sergate navikinėmis ligomis;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Jūs esate nėščia;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vaikams ir paaugliams jaunesniems kaip 18 metų;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širdies aritmija (greitas, nereguliarus širdies plakimas);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žarnyno nepraeinamumas;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kepenų ir inkstų nepakankamumas;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glaukoma (padidėjas akispūdis);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prostatos adenoma;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-</w:t>
      </w:r>
      <w:r w:rsidRPr="005E2619">
        <w:rPr>
          <w:noProof/>
          <w:szCs w:val="22"/>
        </w:rPr>
        <w:tab/>
        <w:t>jeigu Jums yra plaučių edema (skysčiai susilaiko plaučiuose).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FF2FA1" w:rsidRPr="00FF2FA1" w:rsidRDefault="00FF2FA1" w:rsidP="00FF2FA1">
      <w:pPr>
        <w:keepNext/>
        <w:jc w:val="both"/>
        <w:outlineLvl w:val="3"/>
        <w:rPr>
          <w:rFonts w:eastAsia="Times New Roman"/>
          <w:b/>
          <w:bCs/>
          <w:snapToGrid w:val="0"/>
          <w:szCs w:val="28"/>
          <w:lang w:eastAsia="x-none"/>
        </w:rPr>
      </w:pPr>
      <w:r w:rsidRPr="00FF2FA1">
        <w:rPr>
          <w:rFonts w:eastAsia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:rsidR="00FF2FA1" w:rsidRPr="00FF2FA1" w:rsidRDefault="00FF2FA1" w:rsidP="00FF2FA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 New Roman"/>
          <w:snapToGrid w:val="0"/>
          <w:szCs w:val="24"/>
        </w:rPr>
      </w:pPr>
      <w:r>
        <w:rPr>
          <w:rFonts w:eastAsia="Times New Roman"/>
          <w:noProof/>
          <w:snapToGrid w:val="0"/>
          <w:szCs w:val="24"/>
        </w:rPr>
        <w:t xml:space="preserve">Pasitarkite su gydytoju </w:t>
      </w:r>
      <w:r w:rsidRPr="00FF2FA1">
        <w:rPr>
          <w:rFonts w:eastAsia="Times New Roman"/>
          <w:noProof/>
          <w:snapToGrid w:val="0"/>
          <w:szCs w:val="24"/>
        </w:rPr>
        <w:t>arba</w:t>
      </w:r>
      <w:r>
        <w:rPr>
          <w:rFonts w:eastAsia="Times New Roman"/>
          <w:noProof/>
          <w:snapToGrid w:val="0"/>
          <w:szCs w:val="24"/>
        </w:rPr>
        <w:t xml:space="preserve"> </w:t>
      </w:r>
      <w:r w:rsidRPr="00FF2FA1">
        <w:rPr>
          <w:rFonts w:eastAsia="Times New Roman"/>
          <w:noProof/>
          <w:snapToGrid w:val="0"/>
          <w:szCs w:val="24"/>
        </w:rPr>
        <w:t>vaistininku</w:t>
      </w:r>
      <w:r>
        <w:rPr>
          <w:rFonts w:eastAsia="Times New Roman"/>
          <w:noProof/>
          <w:snapToGrid w:val="0"/>
          <w:szCs w:val="24"/>
        </w:rPr>
        <w:t>, prieš pradėdami vartoti HEMOROL</w:t>
      </w:r>
      <w:r w:rsidRPr="00FF2FA1">
        <w:rPr>
          <w:rFonts w:eastAsia="Times New Roman"/>
          <w:noProof/>
          <w:snapToGrid w:val="0"/>
          <w:szCs w:val="24"/>
        </w:rPr>
        <w:t>.</w:t>
      </w:r>
    </w:p>
    <w:p w:rsidR="0029447E" w:rsidRPr="005E2619" w:rsidRDefault="0029447E" w:rsidP="0029447E">
      <w:pPr>
        <w:spacing w:line="240" w:lineRule="auto"/>
        <w:rPr>
          <w:noProof/>
          <w:szCs w:val="22"/>
          <w:u w:val="single"/>
        </w:rPr>
      </w:pPr>
      <w:r w:rsidRPr="005E2619">
        <w:rPr>
          <w:noProof/>
          <w:szCs w:val="22"/>
          <w:u w:val="single"/>
        </w:rPr>
        <w:br/>
        <w:t>Pastebėjus kraujo savo išmatose</w:t>
      </w:r>
      <w:r w:rsidR="00FF2FA1">
        <w:rPr>
          <w:noProof/>
          <w:szCs w:val="22"/>
          <w:u w:val="single"/>
        </w:rPr>
        <w:t>,</w:t>
      </w:r>
      <w:r w:rsidRPr="005E2619">
        <w:rPr>
          <w:noProof/>
          <w:szCs w:val="22"/>
          <w:u w:val="single"/>
        </w:rPr>
        <w:t xml:space="preserve"> būtina pasikonsultuoti su gydytoju.</w:t>
      </w:r>
      <w:r w:rsidRPr="005E2619">
        <w:rPr>
          <w:noProof/>
          <w:szCs w:val="22"/>
          <w:u w:val="single"/>
        </w:rPr>
        <w:br/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  <w:u w:val="single"/>
        </w:rPr>
        <w:t>Jei vaisto poveikis nėra pakankamas arba ligos simptomai pablogėja, būtina nutraukti vaisto naudojimą ir pasikonsultuoti su gydytoju.</w:t>
      </w:r>
      <w:r w:rsidRPr="005E2619">
        <w:rPr>
          <w:noProof/>
          <w:szCs w:val="22"/>
          <w:u w:val="single"/>
        </w:rPr>
        <w:br/>
      </w:r>
      <w:r w:rsidRPr="005E2619">
        <w:rPr>
          <w:noProof/>
          <w:szCs w:val="22"/>
        </w:rPr>
        <w:t xml:space="preserve">Jei hemorojaus mazgai dideli, dėl spaudimo gali skaudėti išangės sritį tol, kol žvakutė ištirps (maždaug 5-10 min.). </w:t>
      </w:r>
    </w:p>
    <w:p w:rsidR="0029447E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F2FA1" w:rsidRPr="00B34FA1" w:rsidRDefault="00FF2FA1" w:rsidP="00FF2FA1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Vaikams ir paaugliams</w:t>
      </w:r>
    </w:p>
    <w:p w:rsidR="00FF2FA1" w:rsidRDefault="00FF2FA1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Vaikams ir paaugliams jaunesniems kaip 18</w:t>
      </w:r>
      <w:r w:rsidR="007E66EB">
        <w:rPr>
          <w:noProof/>
          <w:szCs w:val="22"/>
        </w:rPr>
        <w:t xml:space="preserve"> metų</w:t>
      </w:r>
      <w:r>
        <w:rPr>
          <w:noProof/>
          <w:szCs w:val="22"/>
        </w:rPr>
        <w:t xml:space="preserve"> šio vaisto vartoti negalima.</w:t>
      </w:r>
    </w:p>
    <w:p w:rsidR="00FF2FA1" w:rsidRPr="005E2619" w:rsidRDefault="00FF2FA1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Kit</w:t>
      </w:r>
      <w:r w:rsidR="00FF2FA1">
        <w:rPr>
          <w:b/>
          <w:noProof/>
          <w:szCs w:val="22"/>
        </w:rPr>
        <w:t>i</w:t>
      </w:r>
      <w:r w:rsidRPr="005E2619">
        <w:rPr>
          <w:b/>
          <w:noProof/>
          <w:szCs w:val="22"/>
        </w:rPr>
        <w:t xml:space="preserve"> vaist</w:t>
      </w:r>
      <w:r w:rsidR="00FF2FA1">
        <w:rPr>
          <w:b/>
          <w:noProof/>
          <w:szCs w:val="22"/>
        </w:rPr>
        <w:t>ai ir HEMOROL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Jeigu vartojate ar neseniai vartojote kitų vaistų</w:t>
      </w:r>
      <w:r w:rsidR="00FF2FA1">
        <w:rPr>
          <w:noProof/>
          <w:szCs w:val="22"/>
        </w:rPr>
        <w:t xml:space="preserve"> arba</w:t>
      </w:r>
      <w:r w:rsidRPr="005E2619">
        <w:rPr>
          <w:noProof/>
          <w:szCs w:val="22"/>
        </w:rPr>
        <w:t xml:space="preserve"> </w:t>
      </w:r>
      <w:r w:rsidR="00FF2FA1" w:rsidRPr="00FF2FA1">
        <w:rPr>
          <w:noProof/>
          <w:szCs w:val="22"/>
        </w:rPr>
        <w:t xml:space="preserve">dėl to nesate tikri, apie tai pasakykite </w:t>
      </w:r>
      <w:r w:rsidRPr="005E2619">
        <w:rPr>
          <w:noProof/>
          <w:szCs w:val="22"/>
        </w:rPr>
        <w:t>gydytojui arba vaistininkui.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Nėštumas ir žindymo laikotarpis</w:t>
      </w:r>
    </w:p>
    <w:p w:rsidR="00FF2FA1" w:rsidRDefault="00FF2FA1" w:rsidP="00AA773A">
      <w:pPr>
        <w:spacing w:line="240" w:lineRule="auto"/>
        <w:rPr>
          <w:noProof/>
          <w:szCs w:val="22"/>
        </w:rPr>
      </w:pPr>
      <w:r w:rsidRPr="00FF2FA1">
        <w:rPr>
          <w:noProof/>
          <w:szCs w:val="22"/>
        </w:rPr>
        <w:t>Jeigu esate nėščia, žindote kūdikį, manote, kad galbūt esate nėščia, arb</w:t>
      </w:r>
      <w:r>
        <w:rPr>
          <w:noProof/>
          <w:szCs w:val="22"/>
        </w:rPr>
        <w:t xml:space="preserve">a planuojate pastoti, tai prieš </w:t>
      </w:r>
      <w:r w:rsidRPr="00FF2FA1">
        <w:rPr>
          <w:noProof/>
          <w:szCs w:val="22"/>
        </w:rPr>
        <w:t>vartodama šį vaistą, pa</w:t>
      </w:r>
      <w:r>
        <w:rPr>
          <w:noProof/>
          <w:szCs w:val="22"/>
        </w:rPr>
        <w:t xml:space="preserve">sitarkite su gydytoju arba </w:t>
      </w:r>
      <w:r w:rsidRPr="00FF2FA1">
        <w:rPr>
          <w:noProof/>
          <w:szCs w:val="22"/>
        </w:rPr>
        <w:t>vaistininku</w:t>
      </w:r>
      <w:r w:rsidRPr="00FF2FA1" w:rsidDel="00FF2FA1">
        <w:rPr>
          <w:noProof/>
          <w:szCs w:val="22"/>
        </w:rPr>
        <w:t xml:space="preserve"> </w:t>
      </w:r>
    </w:p>
    <w:p w:rsidR="0029447E" w:rsidRPr="005E2619" w:rsidRDefault="0029447E" w:rsidP="00AA773A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Nėščiosioms vaisto vartoti negalima, nes jis gali sukelti priešlaikinį gimdymą (</w:t>
      </w:r>
      <w:r w:rsidR="00FF2FA1">
        <w:rPr>
          <w:szCs w:val="22"/>
          <w:lang w:eastAsia="lt-LT"/>
        </w:rPr>
        <w:t xml:space="preserve">dėl </w:t>
      </w:r>
      <w:r w:rsidRPr="005E2619">
        <w:rPr>
          <w:szCs w:val="22"/>
          <w:lang w:eastAsia="lt-LT"/>
        </w:rPr>
        <w:t>escino poveiki</w:t>
      </w:r>
      <w:r w:rsidR="00FF2FA1">
        <w:rPr>
          <w:szCs w:val="22"/>
          <w:lang w:eastAsia="lt-LT"/>
        </w:rPr>
        <w:t>o</w:t>
      </w:r>
      <w:r w:rsidRPr="005E2619">
        <w:rPr>
          <w:szCs w:val="22"/>
          <w:lang w:eastAsia="lt-LT"/>
        </w:rPr>
        <w:t xml:space="preserve">).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  <w:lang w:eastAsia="lt-LT"/>
        </w:rPr>
        <w:t>Vaisto saugumas krūtimi maitinančioms moterims nebuvo tirtas, todėl, žindymo laikotarpiu vartoti nerekomenduojama.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szCs w:val="22"/>
          <w:lang w:eastAsia="lt-LT"/>
        </w:rPr>
        <w:t xml:space="preserve"> </w:t>
      </w: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Vairavimas ir mechanizmų valdymas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HEMOROL gebėjimo vairuoti ir valdyti mechanizmus neveikia.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</w:rPr>
      </w:pPr>
      <w:r w:rsidRPr="005E2619">
        <w:rPr>
          <w:b/>
          <w:noProof/>
          <w:szCs w:val="22"/>
        </w:rPr>
        <w:t>3.</w:t>
      </w:r>
      <w:r w:rsidRPr="005E2619">
        <w:rPr>
          <w:b/>
          <w:noProof/>
          <w:szCs w:val="22"/>
        </w:rPr>
        <w:tab/>
        <w:t>K</w:t>
      </w:r>
      <w:r w:rsidR="007E66EB">
        <w:rPr>
          <w:b/>
          <w:noProof/>
          <w:szCs w:val="22"/>
        </w:rPr>
        <w:t>aip vartoti</w:t>
      </w:r>
      <w:r w:rsidRPr="005E2619">
        <w:rPr>
          <w:b/>
          <w:noProof/>
          <w:szCs w:val="22"/>
        </w:rPr>
        <w:t xml:space="preserve">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7E66EB" w:rsidP="0029447E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V</w:t>
      </w:r>
      <w:r w:rsidR="0029447E" w:rsidRPr="005E2619">
        <w:rPr>
          <w:noProof/>
          <w:szCs w:val="22"/>
        </w:rPr>
        <w:t xml:space="preserve">isada vartokite </w:t>
      </w:r>
      <w:r>
        <w:rPr>
          <w:noProof/>
          <w:szCs w:val="22"/>
        </w:rPr>
        <w:t xml:space="preserve">šį vaistą </w:t>
      </w:r>
      <w:r w:rsidR="0029447E" w:rsidRPr="005E2619">
        <w:rPr>
          <w:noProof/>
          <w:szCs w:val="22"/>
        </w:rPr>
        <w:t xml:space="preserve">tiksliai kaip </w:t>
      </w:r>
      <w:r>
        <w:rPr>
          <w:noProof/>
          <w:szCs w:val="22"/>
        </w:rPr>
        <w:t xml:space="preserve">aprašyta šiame lapelyje arba kaip </w:t>
      </w:r>
      <w:r w:rsidR="0029447E" w:rsidRPr="005E2619">
        <w:rPr>
          <w:noProof/>
          <w:szCs w:val="22"/>
        </w:rPr>
        <w:t>nurodė gydytojas. Jeigu abejojate, kreipkitės į gydytoją arba vaistininką.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5E2619">
        <w:rPr>
          <w:noProof/>
          <w:szCs w:val="22"/>
          <w:u w:val="single"/>
        </w:rPr>
        <w:t>Dozavimas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5E2619">
        <w:rPr>
          <w:szCs w:val="22"/>
          <w:lang w:eastAsia="lt-LT"/>
        </w:rPr>
        <w:t>Suaugusiems žmonėms vartoti prieš naktį vieną žvakutę. Jeigu liga sunkesnė, suaugusiems žmonės nurodytą dozę galima vartoti 2-3 kartus per parą.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rPr>
          <w:noProof/>
          <w:szCs w:val="22"/>
          <w:u w:val="single"/>
        </w:rPr>
      </w:pPr>
      <w:r w:rsidRPr="005E2619">
        <w:rPr>
          <w:noProof/>
          <w:szCs w:val="22"/>
          <w:u w:val="single"/>
        </w:rPr>
        <w:t>Gydymo trukmė</w:t>
      </w:r>
    </w:p>
    <w:p w:rsidR="0029447E" w:rsidRPr="005E2619" w:rsidRDefault="0029447E" w:rsidP="0029447E">
      <w:pPr>
        <w:rPr>
          <w:noProof/>
          <w:szCs w:val="22"/>
        </w:rPr>
      </w:pPr>
      <w:r w:rsidRPr="005E2619">
        <w:rPr>
          <w:noProof/>
          <w:szCs w:val="22"/>
        </w:rPr>
        <w:t>Žvakutes reikia vartoti tol, kol neliks skausmo, bet ne ilgiau kaip 7 dienas iš eilės.</w:t>
      </w:r>
    </w:p>
    <w:p w:rsidR="0029447E" w:rsidRPr="005E2619" w:rsidRDefault="0029447E" w:rsidP="0029447E">
      <w:pPr>
        <w:rPr>
          <w:szCs w:val="22"/>
          <w:u w:val="single"/>
          <w:lang w:eastAsia="lt-LT"/>
        </w:rPr>
      </w:pPr>
    </w:p>
    <w:p w:rsidR="0029447E" w:rsidRPr="005E2619" w:rsidRDefault="0029447E" w:rsidP="0029447E">
      <w:pPr>
        <w:rPr>
          <w:szCs w:val="22"/>
          <w:lang w:eastAsia="lt-LT"/>
        </w:rPr>
      </w:pPr>
      <w:r w:rsidRPr="005E2619">
        <w:rPr>
          <w:szCs w:val="22"/>
          <w:lang w:eastAsia="lt-LT"/>
        </w:rPr>
        <w:t>Jei Jums atrodo, kad HEMOROL poveikis yra per stiprus arba per silpnas, pasikonsultuokite su gydytoju arba vaistininku.</w:t>
      </w:r>
    </w:p>
    <w:p w:rsidR="0029447E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7E66EB" w:rsidRPr="00AA773A" w:rsidRDefault="007E66EB" w:rsidP="0029447E">
      <w:pPr>
        <w:spacing w:line="240" w:lineRule="auto"/>
        <w:ind w:left="567" w:hanging="567"/>
        <w:rPr>
          <w:b/>
        </w:rPr>
      </w:pPr>
      <w:r w:rsidRPr="00AA773A">
        <w:rPr>
          <w:b/>
        </w:rPr>
        <w:t>Vartojimas vaikams ir paaugliams</w:t>
      </w:r>
    </w:p>
    <w:p w:rsidR="007E66EB" w:rsidRDefault="007E66EB" w:rsidP="007E66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Vaikams ir paaugliams jaunesniems kaip 18 metų šio vaisto vartoti negalima.</w:t>
      </w:r>
    </w:p>
    <w:p w:rsidR="007E66EB" w:rsidRPr="005E2619" w:rsidRDefault="007E66EB" w:rsidP="0029447E">
      <w:pPr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7E66EB" w:rsidP="0029447E">
      <w:pPr>
        <w:spacing w:line="240" w:lineRule="auto"/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Ką daryti p</w:t>
      </w:r>
      <w:r w:rsidR="0029447E" w:rsidRPr="005E2619">
        <w:rPr>
          <w:b/>
          <w:noProof/>
          <w:szCs w:val="22"/>
        </w:rPr>
        <w:t>avartojus per didelę HEMOROL dozę</w:t>
      </w:r>
      <w:r>
        <w:rPr>
          <w:b/>
          <w:noProof/>
          <w:szCs w:val="22"/>
        </w:rPr>
        <w:t>?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szCs w:val="22"/>
        </w:rPr>
        <w:t>Perdozavimo atvejų nežinoma. Jeigu Jūs ar kas nors kitas pavartojo HEMOROL daugiau nei reikia, kreipkitės į gydytoją arba artimiausią greitosios pagalbos skyrių.</w:t>
      </w:r>
      <w:r w:rsidRPr="005E2619">
        <w:rPr>
          <w:noProof/>
          <w:szCs w:val="22"/>
        </w:rPr>
        <w:t xml:space="preserve"> 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29447E" w:rsidRPr="005E2619" w:rsidRDefault="0029447E" w:rsidP="0029447E">
      <w:pPr>
        <w:spacing w:line="240" w:lineRule="auto"/>
        <w:ind w:left="567" w:hanging="567"/>
        <w:rPr>
          <w:b/>
          <w:noProof/>
          <w:szCs w:val="22"/>
        </w:rPr>
      </w:pPr>
      <w:r w:rsidRPr="005E2619">
        <w:rPr>
          <w:b/>
          <w:noProof/>
          <w:szCs w:val="22"/>
        </w:rPr>
        <w:t>Pamiršus pavartoti HEMOROL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>Negalima vartoti dvigubos dozės norint kompensuoti praleistą dozę.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Jeigu kiltų daugiau klausimų dėl šio vaisto vartojimo, kreipkitės į gydytoją arba vaistininką.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E66EB" w:rsidRPr="007E66EB" w:rsidRDefault="0029447E" w:rsidP="007E66EB">
      <w:pPr>
        <w:numPr>
          <w:ilvl w:val="12"/>
          <w:numId w:val="0"/>
        </w:numPr>
        <w:spacing w:line="240" w:lineRule="auto"/>
        <w:ind w:left="567" w:hanging="567"/>
        <w:outlineLvl w:val="0"/>
        <w:rPr>
          <w:b/>
          <w:caps/>
          <w:noProof/>
          <w:szCs w:val="22"/>
        </w:rPr>
      </w:pPr>
      <w:r w:rsidRPr="005E2619">
        <w:rPr>
          <w:b/>
          <w:caps/>
          <w:noProof/>
          <w:szCs w:val="22"/>
        </w:rPr>
        <w:t>4.</w:t>
      </w:r>
      <w:r w:rsidRPr="005E2619">
        <w:rPr>
          <w:b/>
          <w:caps/>
          <w:noProof/>
          <w:szCs w:val="22"/>
        </w:rPr>
        <w:tab/>
      </w:r>
      <w:r w:rsidR="007E66EB" w:rsidRPr="00AA773A">
        <w:rPr>
          <w:b/>
        </w:rPr>
        <w:t>Galimas šalutinis poveikis</w:t>
      </w:r>
      <w:r w:rsidR="007E66EB" w:rsidRPr="007E66EB" w:rsidDel="007E66EB">
        <w:rPr>
          <w:b/>
          <w:caps/>
          <w:noProof/>
          <w:szCs w:val="22"/>
        </w:rPr>
        <w:t xml:space="preserve"> </w:t>
      </w:r>
    </w:p>
    <w:p w:rsidR="0029447E" w:rsidRPr="005E2619" w:rsidRDefault="0029447E" w:rsidP="007E66EB">
      <w:pPr>
        <w:numPr>
          <w:ilvl w:val="12"/>
          <w:numId w:val="0"/>
        </w:numPr>
        <w:spacing w:line="240" w:lineRule="auto"/>
        <w:ind w:left="567" w:hanging="567"/>
        <w:outlineLvl w:val="0"/>
        <w:rPr>
          <w:noProof/>
          <w:szCs w:val="22"/>
        </w:rPr>
      </w:pPr>
    </w:p>
    <w:p w:rsidR="0029447E" w:rsidRPr="005E2619" w:rsidRDefault="007E66EB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>Šis vaistas</w:t>
      </w:r>
      <w:r w:rsidR="0029447E" w:rsidRPr="005E2619">
        <w:rPr>
          <w:noProof/>
          <w:szCs w:val="22"/>
        </w:rPr>
        <w:t>, kaip ir</w:t>
      </w:r>
      <w:r>
        <w:rPr>
          <w:noProof/>
          <w:szCs w:val="22"/>
        </w:rPr>
        <w:t xml:space="preserve"> visi</w:t>
      </w:r>
      <w:r w:rsidR="0029447E" w:rsidRPr="005E2619">
        <w:rPr>
          <w:noProof/>
          <w:szCs w:val="22"/>
        </w:rPr>
        <w:t xml:space="preserve"> kiti, gali sukelti šalutinį poveikį, nors jis pasireiškia ne visiems žmonėms.</w:t>
      </w:r>
    </w:p>
    <w:p w:rsidR="0029447E" w:rsidRPr="005E2619" w:rsidRDefault="0029447E" w:rsidP="0029447E">
      <w:pPr>
        <w:spacing w:line="240" w:lineRule="auto"/>
        <w:ind w:left="567" w:hanging="567"/>
        <w:rPr>
          <w:noProof/>
          <w:szCs w:val="22"/>
        </w:rPr>
      </w:pPr>
    </w:p>
    <w:p w:rsidR="0029447E" w:rsidRPr="005E2619" w:rsidRDefault="0029447E" w:rsidP="0029447E">
      <w:pPr>
        <w:tabs>
          <w:tab w:val="clear" w:pos="567"/>
        </w:tabs>
        <w:spacing w:line="240" w:lineRule="auto"/>
        <w:jc w:val="both"/>
        <w:rPr>
          <w:szCs w:val="22"/>
          <w:lang w:eastAsia="pl-PL"/>
        </w:rPr>
      </w:pPr>
      <w:r w:rsidRPr="005E2619">
        <w:rPr>
          <w:szCs w:val="22"/>
          <w:lang w:eastAsia="pl-PL"/>
        </w:rPr>
        <w:t xml:space="preserve">Vartojant HEMOROL gali pasireikšti alerginės reakcijos, niežėjimas ar paraudimas (dažnis nežinomas – negali būti </w:t>
      </w:r>
      <w:r w:rsidR="007E66EB">
        <w:rPr>
          <w:szCs w:val="22"/>
          <w:lang w:eastAsia="pl-PL"/>
        </w:rPr>
        <w:t>apskaičiuotas</w:t>
      </w:r>
      <w:r w:rsidRPr="005E2619">
        <w:rPr>
          <w:szCs w:val="22"/>
          <w:lang w:eastAsia="pl-PL"/>
        </w:rPr>
        <w:t xml:space="preserve"> pagal turimus duomenis).</w:t>
      </w:r>
    </w:p>
    <w:p w:rsidR="0029447E" w:rsidRPr="005E2619" w:rsidRDefault="0029447E" w:rsidP="0029447E">
      <w:pPr>
        <w:spacing w:line="240" w:lineRule="auto"/>
        <w:rPr>
          <w:szCs w:val="22"/>
          <w:lang w:eastAsia="pl-PL"/>
        </w:rPr>
      </w:pPr>
      <w:r w:rsidRPr="005E2619">
        <w:rPr>
          <w:szCs w:val="22"/>
          <w:lang w:eastAsia="pl-PL"/>
        </w:rPr>
        <w:t>Vaisto sudėtyje esantis benzokainas gali sukelti methemoglobinemij</w:t>
      </w:r>
      <w:r>
        <w:rPr>
          <w:szCs w:val="22"/>
          <w:lang w:eastAsia="pl-PL"/>
        </w:rPr>
        <w:t>ą</w:t>
      </w:r>
      <w:r w:rsidRPr="005E2619">
        <w:rPr>
          <w:szCs w:val="22"/>
          <w:lang w:eastAsia="pl-PL"/>
        </w:rPr>
        <w:t xml:space="preserve"> (dažnis nežinomas – negali būti </w:t>
      </w:r>
      <w:r w:rsidR="007E66EB">
        <w:rPr>
          <w:szCs w:val="22"/>
          <w:lang w:eastAsia="pl-PL"/>
        </w:rPr>
        <w:t>apskaičiuotas</w:t>
      </w:r>
      <w:r w:rsidRPr="005E2619">
        <w:rPr>
          <w:szCs w:val="22"/>
          <w:lang w:eastAsia="pl-PL"/>
        </w:rPr>
        <w:t xml:space="preserve"> pagal turimus duomenis).</w:t>
      </w:r>
    </w:p>
    <w:p w:rsidR="0029447E" w:rsidRPr="005E2619" w:rsidRDefault="0029447E" w:rsidP="0029447E">
      <w:pPr>
        <w:spacing w:line="240" w:lineRule="auto"/>
        <w:rPr>
          <w:szCs w:val="22"/>
          <w:lang w:eastAsia="pl-PL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Jei pasireiškį alerginė reakcija ar ligos simptomai pasunkėjo, nutraukite vaisto vartojimą ir kreipkitės į gydytoją.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Jeigu pasireiškė sunkus šalutinis poveikis arba pastebėjote šiame lapelyje nenurodytą šalutinį poveikį, pasakykite gydytojui arba vaistininkui.</w:t>
      </w:r>
    </w:p>
    <w:p w:rsidR="0029447E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E66EB" w:rsidRPr="007E66EB" w:rsidRDefault="007E66EB" w:rsidP="007E66EB">
      <w:pPr>
        <w:spacing w:line="240" w:lineRule="auto"/>
        <w:rPr>
          <w:b/>
          <w:szCs w:val="24"/>
        </w:rPr>
      </w:pPr>
      <w:r w:rsidRPr="007E66EB">
        <w:rPr>
          <w:b/>
          <w:noProof/>
          <w:szCs w:val="24"/>
        </w:rPr>
        <w:t>Pranešimas apie šalutinį poveikį</w:t>
      </w:r>
    </w:p>
    <w:p w:rsidR="007E66EB" w:rsidRPr="00503D27" w:rsidRDefault="007E66EB" w:rsidP="007E66EB">
      <w:pPr>
        <w:ind w:right="-449"/>
        <w:rPr>
          <w:noProof/>
          <w:szCs w:val="24"/>
        </w:rPr>
      </w:pPr>
      <w:r w:rsidRPr="00AA773A">
        <w:t>Jeigu pasireiškė šalutinis poveikis, įskaitant šiame l</w:t>
      </w:r>
      <w:r w:rsidRPr="007E66EB">
        <w:t xml:space="preserve">apelyje nenurodytą, pasakykite </w:t>
      </w:r>
      <w:r w:rsidRPr="00AA773A">
        <w:t>gydytojui</w:t>
      </w:r>
      <w:r>
        <w:t xml:space="preserve"> </w:t>
      </w:r>
      <w:r w:rsidRPr="00AA773A">
        <w:t>arba</w:t>
      </w:r>
      <w:r>
        <w:t xml:space="preserve"> </w:t>
      </w:r>
      <w:r w:rsidRPr="00AA773A">
        <w:t>vaistininkui. Apie šalutinį poveikį taip pat galite pranešti Valstybinei vaistų kontrolės tarnybai prie Lietuvos Respublikos sveikatos apsaugos ministerijos nemokamu t</w:t>
      </w:r>
      <w:r w:rsidRPr="00AA773A">
        <w:rPr>
          <w:lang w:eastAsia="zh-CN"/>
        </w:rPr>
        <w:t>elefonu 8 800 73568</w:t>
      </w:r>
      <w:r w:rsidRPr="00AA773A">
        <w:t xml:space="preserve"> arba užpildyti interneto svetainėje </w:t>
      </w:r>
      <w:hyperlink r:id="rId7" w:history="1">
        <w:r w:rsidRPr="00AA773A">
          <w:rPr>
            <w:rStyle w:val="Hipersaitas"/>
            <w:rFonts w:eastAsia="SimSun"/>
          </w:rPr>
          <w:t>www.vvkt.lt</w:t>
        </w:r>
      </w:hyperlink>
      <w:r w:rsidRPr="00AA773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A773A">
        <w:rPr>
          <w:lang w:eastAsia="zh-CN"/>
        </w:rPr>
        <w:t xml:space="preserve">nemokamu </w:t>
      </w:r>
      <w:r w:rsidRPr="00AA773A">
        <w:t>fakso numeriu 8 800 20131</w:t>
      </w:r>
      <w:r w:rsidRPr="00AA773A">
        <w:rPr>
          <w:lang w:eastAsia="zh-CN"/>
        </w:rPr>
        <w:t xml:space="preserve">, </w:t>
      </w:r>
      <w:r w:rsidRPr="00AA773A">
        <w:t xml:space="preserve">el. paštu </w:t>
      </w:r>
      <w:hyperlink r:id="rId8" w:history="1">
        <w:r w:rsidRPr="00AA773A">
          <w:rPr>
            <w:rStyle w:val="Hipersaitas"/>
            <w:rFonts w:eastAsia="SimSun"/>
          </w:rPr>
          <w:t>NepageidaujamaR@vvkt.lt</w:t>
        </w:r>
      </w:hyperlink>
      <w:r w:rsidRPr="00AA773A">
        <w:t xml:space="preserve">, taip pat per Valstybinės vaistų kontrolės tarnybos prie Lietuvos Respublikos sveikatos apsaugos ministerijos interneto svetainę (adresu </w:t>
      </w:r>
      <w:hyperlink r:id="rId9" w:history="1">
        <w:r w:rsidRPr="00AA773A">
          <w:rPr>
            <w:rStyle w:val="Hipersaitas"/>
            <w:rFonts w:eastAsia="SimSun"/>
          </w:rPr>
          <w:t>http://www.vvkt.lt</w:t>
        </w:r>
      </w:hyperlink>
      <w:r w:rsidRPr="00AA773A">
        <w:t>). Pranešdami apie šalutinį poveikį galite mums padėti gauti daugiau informacijos apie šio vaisto saugumą.</w:t>
      </w:r>
    </w:p>
    <w:p w:rsidR="007E66EB" w:rsidRPr="005E2619" w:rsidRDefault="007E66EB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5E2619">
        <w:rPr>
          <w:b/>
          <w:noProof/>
          <w:szCs w:val="22"/>
        </w:rPr>
        <w:t>5.</w:t>
      </w:r>
      <w:r w:rsidRPr="005E2619">
        <w:rPr>
          <w:b/>
          <w:noProof/>
          <w:szCs w:val="22"/>
        </w:rPr>
        <w:tab/>
        <w:t>K</w:t>
      </w:r>
      <w:r w:rsidR="007E66EB">
        <w:rPr>
          <w:b/>
          <w:noProof/>
          <w:szCs w:val="22"/>
        </w:rPr>
        <w:t>aip laikyti</w:t>
      </w:r>
      <w:r w:rsidRPr="005E2619">
        <w:rPr>
          <w:b/>
          <w:noProof/>
          <w:szCs w:val="22"/>
        </w:rPr>
        <w:t xml:space="preserve"> HEMOROL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2619">
        <w:rPr>
          <w:szCs w:val="22"/>
        </w:rPr>
        <w:t>Laikyti ne aukštesnėje kaip 25 </w:t>
      </w:r>
      <w:r w:rsidRPr="005E2619">
        <w:rPr>
          <w:szCs w:val="22"/>
        </w:rPr>
        <w:sym w:font="Symbol" w:char="F0B0"/>
      </w:r>
      <w:r w:rsidRPr="005E2619">
        <w:rPr>
          <w:szCs w:val="22"/>
        </w:rPr>
        <w:t>C temperatūroje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29447E" w:rsidRPr="005E2619" w:rsidRDefault="00ED2D9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szCs w:val="22"/>
        </w:rPr>
        <w:t xml:space="preserve">Šį vaistą laikykite </w:t>
      </w:r>
      <w:r w:rsidR="0029447E" w:rsidRPr="005E2619">
        <w:rPr>
          <w:noProof/>
          <w:szCs w:val="22"/>
        </w:rPr>
        <w:t xml:space="preserve"> vaikams </w:t>
      </w:r>
      <w:r w:rsidR="007E66EB" w:rsidRPr="005E2619">
        <w:rPr>
          <w:noProof/>
          <w:szCs w:val="22"/>
        </w:rPr>
        <w:t>nepastebimoje</w:t>
      </w:r>
      <w:r w:rsidR="007E66EB">
        <w:rPr>
          <w:noProof/>
          <w:szCs w:val="22"/>
        </w:rPr>
        <w:t xml:space="preserve"> ir</w:t>
      </w:r>
      <w:r w:rsidR="007E66EB" w:rsidRPr="005E2619">
        <w:rPr>
          <w:noProof/>
          <w:szCs w:val="22"/>
        </w:rPr>
        <w:t xml:space="preserve"> </w:t>
      </w:r>
      <w:r w:rsidR="0029447E" w:rsidRPr="005E2619">
        <w:rPr>
          <w:noProof/>
          <w:szCs w:val="22"/>
        </w:rPr>
        <w:t>nepasiekiamoje</w:t>
      </w:r>
      <w:r w:rsidR="007E66EB">
        <w:rPr>
          <w:noProof/>
          <w:szCs w:val="22"/>
        </w:rPr>
        <w:t xml:space="preserve"> </w:t>
      </w:r>
      <w:r w:rsidR="0029447E" w:rsidRPr="005E2619">
        <w:rPr>
          <w:noProof/>
          <w:szCs w:val="22"/>
        </w:rPr>
        <w:t>vietoje.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5E2619">
        <w:rPr>
          <w:i w:val="0"/>
          <w:iCs/>
          <w:noProof/>
          <w:color w:val="auto"/>
          <w:szCs w:val="22"/>
          <w:lang w:val="lt-LT"/>
        </w:rPr>
        <w:t xml:space="preserve">Ant dėžutės po "Tinka iki" ir lizdinės plokštelės po „EXP“ nurodytam tinkamumo laikui pasibaigus, </w:t>
      </w:r>
      <w:r w:rsidR="00AC03C8">
        <w:rPr>
          <w:i w:val="0"/>
          <w:iCs/>
          <w:noProof/>
          <w:color w:val="auto"/>
          <w:szCs w:val="22"/>
          <w:lang w:val="lt-LT"/>
        </w:rPr>
        <w:t>šio</w:t>
      </w:r>
      <w:r w:rsidRPr="005E2619">
        <w:rPr>
          <w:i w:val="0"/>
          <w:iCs/>
          <w:noProof/>
          <w:color w:val="auto"/>
          <w:szCs w:val="22"/>
          <w:lang w:val="lt-LT"/>
        </w:rPr>
        <w:t xml:space="preserve"> </w:t>
      </w:r>
      <w:r w:rsidR="00AC03C8">
        <w:rPr>
          <w:i w:val="0"/>
          <w:iCs/>
          <w:noProof/>
          <w:color w:val="auto"/>
          <w:szCs w:val="22"/>
          <w:lang w:val="lt-LT"/>
        </w:rPr>
        <w:t xml:space="preserve">vaisto </w:t>
      </w:r>
      <w:r w:rsidRPr="005E2619">
        <w:rPr>
          <w:i w:val="0"/>
          <w:iCs/>
          <w:noProof/>
          <w:color w:val="auto"/>
          <w:szCs w:val="22"/>
          <w:lang w:val="lt-LT"/>
        </w:rPr>
        <w:t>vartoti negalima. Vaistas tinkamas vartoti iki paskutinės nurodyto mėnesio dienos.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Vaistų negalima iš</w:t>
      </w:r>
      <w:r w:rsidR="00AC03C8">
        <w:rPr>
          <w:noProof/>
          <w:szCs w:val="22"/>
        </w:rPr>
        <w:t>mesti</w:t>
      </w:r>
      <w:r w:rsidRPr="005E2619">
        <w:rPr>
          <w:noProof/>
          <w:szCs w:val="22"/>
        </w:rPr>
        <w:t xml:space="preserve"> į kanalizaciją arba su buitinėmis atliekomis. Kaip </w:t>
      </w:r>
      <w:r w:rsidR="00AC03C8">
        <w:rPr>
          <w:noProof/>
          <w:szCs w:val="22"/>
        </w:rPr>
        <w:t>išmesti</w:t>
      </w:r>
      <w:r w:rsidRPr="005E2619">
        <w:rPr>
          <w:noProof/>
          <w:szCs w:val="22"/>
        </w:rPr>
        <w:t xml:space="preserve"> nereikalingus vaistus, klauskite vaistininko. Šios priemonės padės apsaugoti aplinką.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C03C8" w:rsidRDefault="0029447E" w:rsidP="00AC03C8">
      <w:pPr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5E2619">
        <w:rPr>
          <w:b/>
          <w:noProof/>
          <w:szCs w:val="22"/>
        </w:rPr>
        <w:t>6.</w:t>
      </w:r>
      <w:r w:rsidRPr="005E2619">
        <w:rPr>
          <w:b/>
          <w:noProof/>
          <w:szCs w:val="22"/>
        </w:rPr>
        <w:tab/>
      </w:r>
      <w:r w:rsidR="00AC03C8" w:rsidRPr="00AC03C8">
        <w:rPr>
          <w:b/>
          <w:noProof/>
          <w:szCs w:val="22"/>
        </w:rPr>
        <w:t>Pakuotės turinys ir kita informacija</w:t>
      </w:r>
    </w:p>
    <w:p w:rsidR="0029447E" w:rsidRPr="005E2619" w:rsidRDefault="0029447E" w:rsidP="00AC03C8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5E2619">
        <w:rPr>
          <w:b/>
          <w:bCs/>
          <w:noProof/>
          <w:szCs w:val="22"/>
        </w:rPr>
        <w:t xml:space="preserve">HEMOROL sudėtis </w:t>
      </w:r>
    </w:p>
    <w:p w:rsidR="0029447E" w:rsidRPr="005E2619" w:rsidRDefault="0029447E" w:rsidP="0029447E">
      <w:pPr>
        <w:tabs>
          <w:tab w:val="left" w:pos="3960"/>
        </w:tabs>
        <w:spacing w:line="240" w:lineRule="auto"/>
        <w:rPr>
          <w:szCs w:val="22"/>
          <w:lang w:eastAsia="lt-LT"/>
        </w:rPr>
      </w:pPr>
      <w:r w:rsidRPr="005E2619">
        <w:rPr>
          <w:szCs w:val="22"/>
        </w:rPr>
        <w:t>-</w:t>
      </w:r>
      <w:r w:rsidRPr="005E2619">
        <w:rPr>
          <w:szCs w:val="22"/>
        </w:rPr>
        <w:tab/>
        <w:t>Vienoje žvakutėje yra 50 mg</w:t>
      </w:r>
      <w:r w:rsidRPr="005E2619" w:rsidDel="006A1E6D">
        <w:rPr>
          <w:b/>
          <w:szCs w:val="22"/>
        </w:rPr>
        <w:t xml:space="preserve"> </w:t>
      </w:r>
      <w:r w:rsidRPr="005E2619">
        <w:rPr>
          <w:i/>
          <w:szCs w:val="22"/>
        </w:rPr>
        <w:t>Matricaria recutita</w:t>
      </w:r>
      <w:r w:rsidRPr="005E2619">
        <w:rPr>
          <w:szCs w:val="22"/>
        </w:rPr>
        <w:t xml:space="preserve"> L. (</w:t>
      </w:r>
      <w:r w:rsidRPr="005E2619">
        <w:rPr>
          <w:i/>
          <w:szCs w:val="22"/>
        </w:rPr>
        <w:t>Chamomilla recutita</w:t>
      </w:r>
      <w:r w:rsidRPr="005E2619">
        <w:rPr>
          <w:szCs w:val="22"/>
        </w:rPr>
        <w:t xml:space="preserve"> (L.) Rauschert.), flos (ramunėlių žiedų) tirštojo ekstrakto (3:1) (ekstrahentas: išgrynintas vanduo); 20 mg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Atropa belladonna</w:t>
      </w:r>
      <w:r w:rsidRPr="005E2619">
        <w:rPr>
          <w:rStyle w:val="s1"/>
          <w:rFonts w:ascii="Times New Roman" w:hAnsi="Times New Roman" w:cs="Times New Roman"/>
          <w:szCs w:val="22"/>
        </w:rPr>
        <w:t> L., radix (</w:t>
      </w:r>
      <w:r w:rsidRPr="005E2619">
        <w:rPr>
          <w:szCs w:val="22"/>
          <w:lang w:eastAsia="lt-LT"/>
        </w:rPr>
        <w:t>šunvyšnių šaknų) tirštojo</w:t>
      </w:r>
      <w:r w:rsidRPr="005E2619">
        <w:rPr>
          <w:szCs w:val="22"/>
        </w:rPr>
        <w:t xml:space="preserve"> ekstrakto (4:1) (ekstrahentas: etanolis 70% V/V); 80 mg tirštojo ekstrakto (4:1), pagaminto iš </w:t>
      </w:r>
      <w:r w:rsidRPr="005E2619">
        <w:rPr>
          <w:i/>
          <w:szCs w:val="22"/>
        </w:rPr>
        <w:t xml:space="preserve">Cytisus scoparius </w:t>
      </w:r>
      <w:r w:rsidRPr="005E2619">
        <w:rPr>
          <w:szCs w:val="22"/>
        </w:rPr>
        <w:t>L</w:t>
      </w:r>
      <w:r w:rsidRPr="005E2619">
        <w:rPr>
          <w:i/>
          <w:szCs w:val="22"/>
        </w:rPr>
        <w:t xml:space="preserve">., </w:t>
      </w:r>
      <w:r w:rsidRPr="005E2619">
        <w:rPr>
          <w:szCs w:val="22"/>
        </w:rPr>
        <w:t>herba</w:t>
      </w:r>
      <w:r w:rsidRPr="005E2619">
        <w:rPr>
          <w:i/>
          <w:szCs w:val="22"/>
        </w:rPr>
        <w:t xml:space="preserve"> </w:t>
      </w:r>
      <w:r w:rsidRPr="005E2619">
        <w:rPr>
          <w:szCs w:val="22"/>
        </w:rPr>
        <w:t xml:space="preserve">(šluotinių sausakrūmių žolės), Aesculus hippocastanum L., cortex (paprastųjų kaštonų žievės), </w:t>
      </w:r>
      <w:r w:rsidRPr="005E2619">
        <w:rPr>
          <w:i/>
          <w:iCs/>
          <w:szCs w:val="22"/>
        </w:rPr>
        <w:t>Potentilla erecta</w:t>
      </w:r>
      <w:r w:rsidRPr="005E2619">
        <w:rPr>
          <w:szCs w:val="22"/>
        </w:rPr>
        <w:t xml:space="preserve"> L. Raeusch., rhizoma (miškinių sidabražolių šakniastiebių), </w:t>
      </w:r>
      <w:r w:rsidRPr="005E2619">
        <w:rPr>
          <w:rStyle w:val="s1"/>
          <w:rFonts w:ascii="Times New Roman" w:hAnsi="Times New Roman" w:cs="Times New Roman"/>
          <w:i/>
          <w:iCs/>
          <w:szCs w:val="22"/>
        </w:rPr>
        <w:t>Achillea millefolium</w:t>
      </w:r>
      <w:r w:rsidRPr="005E2619">
        <w:rPr>
          <w:rStyle w:val="s1"/>
          <w:rFonts w:ascii="Times New Roman" w:hAnsi="Times New Roman" w:cs="Times New Roman"/>
          <w:szCs w:val="22"/>
        </w:rPr>
        <w:t> L., herba (</w:t>
      </w:r>
      <w:r w:rsidRPr="005E2619">
        <w:rPr>
          <w:szCs w:val="22"/>
        </w:rPr>
        <w:t>kraujažolių žolės) (ekstrahentas: etanolis 40% V/V) (1/1/1/1), 100 mg benzokaino.</w:t>
      </w:r>
    </w:p>
    <w:p w:rsidR="0029447E" w:rsidRPr="005E2619" w:rsidRDefault="0029447E" w:rsidP="0029447E">
      <w:pPr>
        <w:numPr>
          <w:ilvl w:val="0"/>
          <w:numId w:val="1"/>
        </w:numPr>
        <w:spacing w:line="240" w:lineRule="auto"/>
        <w:ind w:left="567" w:hanging="567"/>
        <w:rPr>
          <w:noProof/>
          <w:szCs w:val="22"/>
        </w:rPr>
      </w:pPr>
      <w:r w:rsidRPr="005E2619">
        <w:rPr>
          <w:noProof/>
          <w:szCs w:val="22"/>
        </w:rPr>
        <w:t xml:space="preserve">Pagalbinės medžiagos yra glicerolis (E422) ir </w:t>
      </w:r>
      <w:r w:rsidRPr="005E2619">
        <w:rPr>
          <w:szCs w:val="22"/>
        </w:rPr>
        <w:t>kietieji riebalai.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5E2619">
        <w:rPr>
          <w:b/>
          <w:bCs/>
          <w:noProof/>
          <w:szCs w:val="22"/>
        </w:rPr>
        <w:t>HEMOROL išvaizda ir kiekis pakuotėje</w:t>
      </w:r>
    </w:p>
    <w:p w:rsidR="0029447E" w:rsidRPr="005E2619" w:rsidRDefault="0029447E" w:rsidP="0029447E">
      <w:pPr>
        <w:spacing w:line="240" w:lineRule="auto"/>
        <w:rPr>
          <w:noProof/>
          <w:szCs w:val="22"/>
        </w:rPr>
      </w:pPr>
      <w:r w:rsidRPr="005E2619">
        <w:rPr>
          <w:noProof/>
          <w:szCs w:val="22"/>
        </w:rPr>
        <w:t>Žvakutės yra cilindrinės formos su elipsoidiniais galais, rudos spalvos, specifinio kvapo.</w:t>
      </w: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Dvi lizdinės plokštelės iš polichlorvinilo folijos, kuriose yra po šešias žvakutes, supakuotos kartu su  pakuotės lapeliu į kartoninę dėžutę.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AC03C8" w:rsidRDefault="0029447E" w:rsidP="008714B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E2619">
        <w:rPr>
          <w:b/>
          <w:bCs/>
          <w:noProof/>
          <w:szCs w:val="22"/>
        </w:rPr>
        <w:t>R</w:t>
      </w:r>
      <w:r w:rsidR="00AC03C8">
        <w:rPr>
          <w:b/>
          <w:bCs/>
          <w:noProof/>
          <w:szCs w:val="22"/>
        </w:rPr>
        <w:t>egistruotojas</w:t>
      </w:r>
      <w:r w:rsidRPr="005E2619">
        <w:rPr>
          <w:b/>
          <w:bCs/>
          <w:noProof/>
          <w:szCs w:val="22"/>
        </w:rPr>
        <w:t xml:space="preserve"> ir gamintojas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 xml:space="preserve">Wrocławskie Zakłady Zielarskie „Herbapol” S.A. </w:t>
      </w:r>
    </w:p>
    <w:p w:rsidR="0029447E" w:rsidRPr="005E2619" w:rsidRDefault="0029447E" w:rsidP="0029447E">
      <w:pPr>
        <w:tabs>
          <w:tab w:val="clear" w:pos="567"/>
        </w:tabs>
        <w:spacing w:line="240" w:lineRule="auto"/>
        <w:rPr>
          <w:szCs w:val="22"/>
        </w:rPr>
      </w:pPr>
      <w:r w:rsidRPr="005E2619">
        <w:rPr>
          <w:szCs w:val="22"/>
        </w:rPr>
        <w:t>ul. Św. Mikołaja 65/68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szCs w:val="22"/>
        </w:rPr>
        <w:t>50-951 Wrocław</w:t>
      </w:r>
      <w:r w:rsidRPr="005E2619" w:rsidDel="00EE0456">
        <w:rPr>
          <w:noProof/>
          <w:szCs w:val="22"/>
        </w:rPr>
        <w:t xml:space="preserve"> 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E2619">
        <w:rPr>
          <w:noProof/>
          <w:szCs w:val="22"/>
        </w:rPr>
        <w:t>Lenkija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5E2619">
        <w:rPr>
          <w:b/>
          <w:bCs/>
          <w:noProof/>
          <w:szCs w:val="22"/>
        </w:rPr>
        <w:lastRenderedPageBreak/>
        <w:t xml:space="preserve">Šis pakuotės </w:t>
      </w:r>
      <w:r w:rsidRPr="005E2619">
        <w:rPr>
          <w:b/>
          <w:noProof/>
          <w:szCs w:val="22"/>
        </w:rPr>
        <w:t>lapelis paskutinį kartą p</w:t>
      </w:r>
      <w:r w:rsidR="00AC03C8">
        <w:rPr>
          <w:b/>
          <w:noProof/>
          <w:szCs w:val="22"/>
        </w:rPr>
        <w:t>eržiūrėtas</w:t>
      </w:r>
      <w:r w:rsidR="00017843">
        <w:rPr>
          <w:b/>
          <w:noProof/>
          <w:szCs w:val="22"/>
        </w:rPr>
        <w:t xml:space="preserve"> 2016-</w:t>
      </w:r>
      <w:r w:rsidR="00157F45">
        <w:rPr>
          <w:b/>
          <w:noProof/>
          <w:szCs w:val="22"/>
        </w:rPr>
        <w:t>12</w:t>
      </w:r>
      <w:r w:rsidR="00017843">
        <w:rPr>
          <w:b/>
          <w:noProof/>
          <w:szCs w:val="22"/>
        </w:rPr>
        <w:t>-</w:t>
      </w:r>
      <w:r w:rsidR="00157F45">
        <w:rPr>
          <w:b/>
          <w:noProof/>
          <w:szCs w:val="22"/>
        </w:rPr>
        <w:t>31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AC03C8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AA773A">
        <w:rPr>
          <w:rFonts w:eastAsia="Times New Roman"/>
          <w:noProof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="00AA773A" w:rsidRPr="0047549C">
          <w:rPr>
            <w:rStyle w:val="Hipersaitas"/>
            <w:rFonts w:eastAsia="Times New Roman"/>
            <w:noProof/>
            <w:szCs w:val="22"/>
            <w:lang w:eastAsia="lt-LT"/>
          </w:rPr>
          <w:t>http://www.vvkt.lt/</w:t>
        </w:r>
      </w:hyperlink>
      <w:r w:rsidR="00AA773A">
        <w:rPr>
          <w:rFonts w:eastAsia="Times New Roman"/>
          <w:noProof/>
          <w:szCs w:val="22"/>
          <w:lang w:eastAsia="lt-LT"/>
        </w:rPr>
        <w:t xml:space="preserve"> </w:t>
      </w:r>
      <w:r w:rsidRPr="00AC03C8">
        <w:rPr>
          <w:szCs w:val="22"/>
        </w:rPr>
        <w:t>.</w:t>
      </w:r>
    </w:p>
    <w:p w:rsidR="0029447E" w:rsidRPr="005E2619" w:rsidRDefault="0029447E" w:rsidP="0029447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29447E" w:rsidRPr="005E2619" w:rsidRDefault="0029447E" w:rsidP="0029447E">
      <w:pPr>
        <w:rPr>
          <w:szCs w:val="22"/>
        </w:rPr>
      </w:pPr>
      <w:permStart w:id="713780812" w:edGrp="everyone"/>
      <w:permEnd w:id="713780812"/>
    </w:p>
    <w:p w:rsidR="0029447E" w:rsidRPr="005E2619" w:rsidRDefault="0029447E" w:rsidP="0029447E">
      <w:pPr>
        <w:rPr>
          <w:szCs w:val="22"/>
        </w:rPr>
      </w:pPr>
    </w:p>
    <w:p w:rsidR="000141A7" w:rsidRDefault="000141A7"/>
    <w:sectPr w:rsidR="000141A7" w:rsidSect="000141A7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22" w:rsidRDefault="00186B22">
      <w:pPr>
        <w:spacing w:line="240" w:lineRule="auto"/>
      </w:pPr>
      <w:r>
        <w:separator/>
      </w:r>
    </w:p>
  </w:endnote>
  <w:endnote w:type="continuationSeparator" w:id="0">
    <w:p w:rsidR="00186B22" w:rsidRDefault="0018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A7" w:rsidRDefault="000141A7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D40804">
      <w:rPr>
        <w:rStyle w:val="Puslapionumeris"/>
        <w:rFonts w:ascii="Arial" w:hAnsi="Arial" w:cs="Arial"/>
        <w:noProof/>
      </w:rPr>
      <w:t>4</w:t>
    </w:r>
    <w:r>
      <w:rPr>
        <w:rStyle w:val="Puslapionumeris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A7" w:rsidRDefault="000141A7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ascii="Arial" w:hAnsi="Arial" w:cs="Arial"/>
      </w:rPr>
      <w:fldChar w:fldCharType="begin"/>
    </w:r>
    <w:r>
      <w:rPr>
        <w:rStyle w:val="Puslapionumeris"/>
        <w:rFonts w:ascii="Arial" w:hAnsi="Arial" w:cs="Arial"/>
      </w:rPr>
      <w:instrText xml:space="preserve">PAGE  </w:instrText>
    </w:r>
    <w:r>
      <w:rPr>
        <w:rStyle w:val="Puslapionumeris"/>
        <w:rFonts w:ascii="Arial" w:hAnsi="Arial" w:cs="Arial"/>
      </w:rPr>
      <w:fldChar w:fldCharType="separate"/>
    </w:r>
    <w:r w:rsidR="00D40804">
      <w:rPr>
        <w:rStyle w:val="Puslapionumeris"/>
        <w:rFonts w:ascii="Arial" w:hAnsi="Arial" w:cs="Arial"/>
        <w:noProof/>
      </w:rPr>
      <w:t>1</w:t>
    </w:r>
    <w:r>
      <w:rPr>
        <w:rStyle w:val="Puslapionumeris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22" w:rsidRDefault="00186B22">
      <w:pPr>
        <w:spacing w:line="240" w:lineRule="auto"/>
      </w:pPr>
      <w:r>
        <w:separator/>
      </w:r>
    </w:p>
  </w:footnote>
  <w:footnote w:type="continuationSeparator" w:id="0">
    <w:p w:rsidR="00186B22" w:rsidRDefault="00186B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D82DE4"/>
    <w:multiLevelType w:val="hybridMultilevel"/>
    <w:tmpl w:val="B106AA16"/>
    <w:lvl w:ilvl="0" w:tplc="D6EE26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33"/>
    <w:rsid w:val="0000403F"/>
    <w:rsid w:val="000141A7"/>
    <w:rsid w:val="00017843"/>
    <w:rsid w:val="00157F45"/>
    <w:rsid w:val="00186B22"/>
    <w:rsid w:val="001E2833"/>
    <w:rsid w:val="00227DE8"/>
    <w:rsid w:val="0029447E"/>
    <w:rsid w:val="002B2962"/>
    <w:rsid w:val="002C1404"/>
    <w:rsid w:val="002D1565"/>
    <w:rsid w:val="00562B80"/>
    <w:rsid w:val="006D7E45"/>
    <w:rsid w:val="007E66EB"/>
    <w:rsid w:val="008377F3"/>
    <w:rsid w:val="00844F82"/>
    <w:rsid w:val="008714B0"/>
    <w:rsid w:val="008E2E30"/>
    <w:rsid w:val="00A06E58"/>
    <w:rsid w:val="00AA773A"/>
    <w:rsid w:val="00AC03C8"/>
    <w:rsid w:val="00BB3383"/>
    <w:rsid w:val="00BB3E21"/>
    <w:rsid w:val="00BF1841"/>
    <w:rsid w:val="00C1556E"/>
    <w:rsid w:val="00D40804"/>
    <w:rsid w:val="00D77B10"/>
    <w:rsid w:val="00E4779B"/>
    <w:rsid w:val="00E57C42"/>
    <w:rsid w:val="00EB0310"/>
    <w:rsid w:val="00ED2D9E"/>
    <w:rsid w:val="00F33F17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7A633-7013-4EFB-820F-178842D2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447E"/>
    <w:pPr>
      <w:tabs>
        <w:tab w:val="left" w:pos="567"/>
      </w:tabs>
      <w:spacing w:after="0" w:line="260" w:lineRule="exact"/>
    </w:pPr>
    <w:rPr>
      <w:rFonts w:ascii="Times New Roman" w:eastAsia="Calibri" w:hAnsi="Times New Roman" w:cs="Times New Roman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03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F2FA1"/>
    <w:pPr>
      <w:keepNext/>
      <w:jc w:val="both"/>
      <w:outlineLvl w:val="3"/>
    </w:pPr>
    <w:rPr>
      <w:rFonts w:ascii="Calibri" w:eastAsia="Times New Roman" w:hAnsi="Calibri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29447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val="en-GB"/>
    </w:rPr>
  </w:style>
  <w:style w:type="character" w:customStyle="1" w:styleId="PoratDiagrama">
    <w:name w:val="Poraštė Diagrama"/>
    <w:basedOn w:val="Numatytasispastraiposriftas"/>
    <w:link w:val="Porat"/>
    <w:rsid w:val="0029447E"/>
    <w:rPr>
      <w:rFonts w:ascii="Helvetica" w:eastAsia="Calibri" w:hAnsi="Helvetica" w:cs="Times New Roman"/>
      <w:sz w:val="16"/>
      <w:szCs w:val="20"/>
      <w:lang w:val="en-GB"/>
    </w:rPr>
  </w:style>
  <w:style w:type="character" w:styleId="Puslapionumeris">
    <w:name w:val="page number"/>
    <w:rsid w:val="0029447E"/>
    <w:rPr>
      <w:rFonts w:cs="Times New Roman"/>
    </w:rPr>
  </w:style>
  <w:style w:type="paragraph" w:styleId="Pagrindinistekstas">
    <w:name w:val="Body Text"/>
    <w:basedOn w:val="prastasis"/>
    <w:link w:val="PagrindinistekstasDiagrama"/>
    <w:rsid w:val="0029447E"/>
    <w:pPr>
      <w:tabs>
        <w:tab w:val="clear" w:pos="567"/>
      </w:tabs>
      <w:spacing w:line="240" w:lineRule="auto"/>
    </w:pPr>
    <w:rPr>
      <w:i/>
      <w:color w:val="00800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447E"/>
    <w:rPr>
      <w:rFonts w:ascii="Times New Roman" w:eastAsia="Calibri" w:hAnsi="Times New Roman" w:cs="Times New Roman"/>
      <w:i/>
      <w:color w:val="008000"/>
      <w:szCs w:val="20"/>
      <w:lang w:val="en-GB"/>
    </w:rPr>
  </w:style>
  <w:style w:type="paragraph" w:customStyle="1" w:styleId="EMEAEnBodyText">
    <w:name w:val="EMEA En Body Text"/>
    <w:basedOn w:val="prastasis"/>
    <w:rsid w:val="0029447E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character" w:styleId="Hipersaitas">
    <w:name w:val="Hyperlink"/>
    <w:rsid w:val="0029447E"/>
    <w:rPr>
      <w:rFonts w:cs="Times New Roman"/>
      <w:color w:val="0000FF"/>
      <w:u w:val="single"/>
    </w:rPr>
  </w:style>
  <w:style w:type="character" w:styleId="Grietas">
    <w:name w:val="Strong"/>
    <w:qFormat/>
    <w:rsid w:val="0029447E"/>
    <w:rPr>
      <w:rFonts w:cs="Times New Roman"/>
      <w:b/>
    </w:rPr>
  </w:style>
  <w:style w:type="paragraph" w:customStyle="1" w:styleId="BTEMEASMCA">
    <w:name w:val="BT EMEA_SMCA"/>
    <w:basedOn w:val="prastasis"/>
    <w:link w:val="BTEMEASMCAChar"/>
    <w:autoRedefine/>
    <w:rsid w:val="0029447E"/>
    <w:pPr>
      <w:tabs>
        <w:tab w:val="clear" w:pos="567"/>
      </w:tabs>
      <w:spacing w:line="240" w:lineRule="auto"/>
    </w:pPr>
    <w:rPr>
      <w:rFonts w:eastAsia="Times New Roman"/>
      <w:noProof/>
      <w:sz w:val="20"/>
      <w:lang w:eastAsia="lt-LT"/>
    </w:rPr>
  </w:style>
  <w:style w:type="character" w:customStyle="1" w:styleId="BTEMEASMCAChar">
    <w:name w:val="BT EMEA_SMCA Char"/>
    <w:link w:val="BTEMEASMCA"/>
    <w:locked/>
    <w:rsid w:val="0029447E"/>
    <w:rPr>
      <w:rFonts w:ascii="Times New Roman" w:eastAsia="Times New Roman" w:hAnsi="Times New Roman" w:cs="Times New Roman"/>
      <w:noProof/>
      <w:sz w:val="20"/>
      <w:szCs w:val="20"/>
      <w:lang w:val="lt-LT" w:eastAsia="lt-LT"/>
    </w:rPr>
  </w:style>
  <w:style w:type="character" w:customStyle="1" w:styleId="s1">
    <w:name w:val="s1"/>
    <w:rsid w:val="0029447E"/>
    <w:rPr>
      <w:rFonts w:ascii="Arial" w:hAnsi="Arial" w:cs="Arial"/>
    </w:rPr>
  </w:style>
  <w:style w:type="paragraph" w:styleId="Sraopastraipa">
    <w:name w:val="List Paragraph"/>
    <w:basedOn w:val="prastasis"/>
    <w:uiPriority w:val="34"/>
    <w:qFormat/>
    <w:rsid w:val="002B296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2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2962"/>
    <w:rPr>
      <w:rFonts w:ascii="Tahoma" w:eastAsia="Calibri" w:hAnsi="Tahoma" w:cs="Tahoma"/>
      <w:sz w:val="16"/>
      <w:szCs w:val="1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FF2FA1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03C8"/>
    <w:rPr>
      <w:rFonts w:asciiTheme="majorHAnsi" w:eastAsiaTheme="majorEastAsia" w:hAnsiTheme="majorHAnsi" w:cstheme="majorBidi"/>
      <w:b/>
      <w:bCs/>
      <w:color w:val="4F81BD" w:themeColor="accent1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4949</Words>
  <Characters>2821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QRD</dc:creator>
  <cp:keywords/>
  <dc:description/>
  <cp:lastModifiedBy>Birutė Valkauskaitė</cp:lastModifiedBy>
  <cp:revision>2</cp:revision>
  <cp:lastPrinted>2016-04-06T23:10:00Z</cp:lastPrinted>
  <dcterms:created xsi:type="dcterms:W3CDTF">2019-01-14T10:39:00Z</dcterms:created>
  <dcterms:modified xsi:type="dcterms:W3CDTF">2019-01-14T10:39:00Z</dcterms:modified>
</cp:coreProperties>
</file>