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28" w:rsidRPr="00D71E26" w:rsidRDefault="000A5928" w:rsidP="000A5928">
      <w:pPr>
        <w:pStyle w:val="TTEMEASMCA"/>
        <w:rPr>
          <w:lang w:val="lt-LT"/>
        </w:rPr>
      </w:pPr>
      <w:bookmarkStart w:id="0" w:name="_Toc129243138"/>
      <w:bookmarkStart w:id="1" w:name="_Toc129243263"/>
      <w:r w:rsidRPr="00307229">
        <w:rPr>
          <w:caps w:val="0"/>
          <w:lang w:val="lt-LT"/>
        </w:rPr>
        <w:t>P</w:t>
      </w:r>
      <w:r>
        <w:rPr>
          <w:caps w:val="0"/>
          <w:lang w:val="lt-LT"/>
        </w:rPr>
        <w:t xml:space="preserve">akuotės lapelis: informacija vartotojui </w:t>
      </w:r>
      <w:bookmarkEnd w:id="0"/>
      <w:bookmarkEnd w:id="1"/>
    </w:p>
    <w:p w:rsidR="000A5928" w:rsidRPr="00D71E26" w:rsidRDefault="000A5928" w:rsidP="000A5928">
      <w:pPr>
        <w:pStyle w:val="BTEMEASMCA"/>
      </w:pPr>
    </w:p>
    <w:p w:rsidR="000A5928" w:rsidRPr="00D71E26" w:rsidRDefault="000A5928" w:rsidP="000A5928">
      <w:pPr>
        <w:pStyle w:val="BTEMEASMCA"/>
        <w:jc w:val="center"/>
        <w:rPr>
          <w:b/>
          <w:noProof w:val="0"/>
        </w:rPr>
      </w:pPr>
      <w:r w:rsidRPr="00D71E26">
        <w:rPr>
          <w:b/>
        </w:rPr>
        <w:t>Calcigran Sine 500 mg kramtomosios tabletės</w:t>
      </w:r>
    </w:p>
    <w:p w:rsidR="000A5928" w:rsidRPr="00D71E26" w:rsidRDefault="000A5928" w:rsidP="000A5928">
      <w:pPr>
        <w:pStyle w:val="BTeEMEASMCA"/>
        <w:rPr>
          <w:noProof w:val="0"/>
        </w:rPr>
      </w:pPr>
      <w:r w:rsidRPr="00D71E26">
        <w:rPr>
          <w:noProof w:val="0"/>
        </w:rPr>
        <w:t xml:space="preserve">Kalcis </w:t>
      </w:r>
    </w:p>
    <w:p w:rsidR="000A5928" w:rsidRPr="00D71E26" w:rsidRDefault="000A5928" w:rsidP="000A5928">
      <w:pPr>
        <w:pStyle w:val="BTeEMEASMCA"/>
        <w:rPr>
          <w:noProof w:val="0"/>
        </w:rPr>
      </w:pPr>
    </w:p>
    <w:p w:rsidR="000A5928" w:rsidRDefault="000A5928" w:rsidP="000A5928">
      <w:pPr>
        <w:pStyle w:val="BTbEMEASMCA"/>
        <w:rPr>
          <w:noProof w:val="0"/>
        </w:rPr>
      </w:pPr>
      <w:r w:rsidRPr="00D71E26">
        <w:rPr>
          <w:noProof w:val="0"/>
        </w:rPr>
        <w:t xml:space="preserve">Atidžiai perskaitykite visą šį lapelį, </w:t>
      </w:r>
      <w:r w:rsidRPr="00CA7C05">
        <w:rPr>
          <w:noProof w:val="0"/>
        </w:rPr>
        <w:t>prieš pradėdami vartoti šį vaistą</w:t>
      </w:r>
      <w:r>
        <w:rPr>
          <w:noProof w:val="0"/>
        </w:rPr>
        <w:t>,</w:t>
      </w:r>
      <w:r w:rsidRPr="00D71E26">
        <w:rPr>
          <w:noProof w:val="0"/>
        </w:rPr>
        <w:t xml:space="preserve"> nes jame pateikiama Jums svarbi informacija.</w:t>
      </w:r>
    </w:p>
    <w:p w:rsidR="000A5928" w:rsidRPr="00D71E26" w:rsidRDefault="000A5928" w:rsidP="000A5928">
      <w:pPr>
        <w:pStyle w:val="BTbEMEASMCA"/>
        <w:rPr>
          <w:noProof w:val="0"/>
        </w:rPr>
      </w:pPr>
    </w:p>
    <w:p w:rsidR="000A5928" w:rsidRPr="00EC5567" w:rsidRDefault="000A5928" w:rsidP="000A5928">
      <w:pPr>
        <w:rPr>
          <w:noProof/>
          <w:szCs w:val="24"/>
        </w:rPr>
      </w:pPr>
      <w:r w:rsidRPr="00EC5567">
        <w:rPr>
          <w:noProof/>
          <w:szCs w:val="24"/>
        </w:rPr>
        <w:t>Visada vartokite šį vaistą tiksliai kaip aprašyta šiame lapelyje arba kaip nurodė gydytojas arba vaistininkas.</w:t>
      </w:r>
    </w:p>
    <w:p w:rsidR="000A5928" w:rsidRPr="00D71E26" w:rsidRDefault="000A5928" w:rsidP="000A5928">
      <w:pPr>
        <w:pStyle w:val="BT-EMEASMCA"/>
        <w:rPr>
          <w:noProof w:val="0"/>
        </w:rPr>
      </w:pPr>
      <w:r w:rsidRPr="00D71E26">
        <w:rPr>
          <w:noProof w:val="0"/>
        </w:rPr>
        <w:t>Neišmeskite šio lapelio, nes vėl gali prireikti jį perskaityti.</w:t>
      </w:r>
    </w:p>
    <w:p w:rsidR="000A5928" w:rsidRPr="00D71E26" w:rsidRDefault="000A5928" w:rsidP="000A5928">
      <w:pPr>
        <w:pStyle w:val="BT-EMEASMCA"/>
        <w:rPr>
          <w:noProof w:val="0"/>
        </w:rPr>
      </w:pPr>
      <w:r w:rsidRPr="00D71E26">
        <w:rPr>
          <w:noProof w:val="0"/>
        </w:rPr>
        <w:t>Jeigu norite sužinoti daugiau arba pasitarti, kreipkitės į vaistininką.</w:t>
      </w:r>
    </w:p>
    <w:p w:rsidR="000A5928" w:rsidRPr="00D71E26" w:rsidRDefault="000A5928" w:rsidP="000A5928">
      <w:pPr>
        <w:pStyle w:val="BT-EMEASMCA"/>
        <w:rPr>
          <w:noProof w:val="0"/>
        </w:rPr>
      </w:pPr>
      <w:r w:rsidRPr="00D71E26">
        <w:rPr>
          <w:noProof w:val="0"/>
        </w:rPr>
        <w:t xml:space="preserve">Jeigu pasireiškė sunkus šalutinis poveikis </w:t>
      </w:r>
      <w:r w:rsidRPr="00EC5567">
        <w:rPr>
          <w:noProof w:val="0"/>
        </w:rPr>
        <w:t>(net jeigu jis šiame lapelyje nenurodytas)</w:t>
      </w:r>
      <w:r>
        <w:rPr>
          <w:noProof w:val="0"/>
        </w:rPr>
        <w:t>, kreipkitės į gydytoją arba vaistininką. Žr. 4 skyrių.</w:t>
      </w:r>
    </w:p>
    <w:p w:rsidR="000A5928" w:rsidRDefault="000A5928" w:rsidP="000A5928">
      <w:pPr>
        <w:pStyle w:val="BTEMEASMCA"/>
        <w:rPr>
          <w:noProof w:val="0"/>
        </w:rPr>
      </w:pPr>
    </w:p>
    <w:p w:rsidR="000A5928" w:rsidRPr="00D71E26" w:rsidRDefault="000A5928" w:rsidP="000A5928">
      <w:pPr>
        <w:pStyle w:val="BTEMEASMCA"/>
        <w:rPr>
          <w:noProof w:val="0"/>
        </w:rPr>
      </w:pPr>
    </w:p>
    <w:p w:rsidR="000A5928" w:rsidRDefault="000A5928" w:rsidP="000A5928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Times New Roman"/>
          <w:b/>
          <w:bCs/>
          <w:snapToGrid w:val="0"/>
          <w:szCs w:val="28"/>
          <w:lang w:eastAsia="x-none"/>
        </w:rPr>
      </w:pPr>
      <w:r w:rsidRPr="0011632C">
        <w:rPr>
          <w:rFonts w:eastAsia="Times New Roman"/>
          <w:b/>
          <w:bCs/>
          <w:snapToGrid w:val="0"/>
          <w:szCs w:val="28"/>
          <w:lang w:eastAsia="x-none"/>
        </w:rPr>
        <w:t>Apie ką rašoma šiame lapelyje?</w:t>
      </w:r>
    </w:p>
    <w:p w:rsidR="000A5928" w:rsidRPr="0011632C" w:rsidRDefault="000A5928" w:rsidP="000A5928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Times New Roman"/>
          <w:b/>
          <w:bCs/>
          <w:snapToGrid w:val="0"/>
          <w:szCs w:val="28"/>
          <w:lang w:eastAsia="x-none"/>
        </w:rPr>
      </w:pPr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>1</w:t>
      </w:r>
      <w:r>
        <w:rPr>
          <w:szCs w:val="22"/>
        </w:rPr>
        <w:t>.</w:t>
      </w:r>
      <w:r w:rsidRPr="00D71E26">
        <w:rPr>
          <w:szCs w:val="22"/>
        </w:rPr>
        <w:tab/>
        <w:t xml:space="preserve">Kas yra </w:t>
      </w:r>
      <w:proofErr w:type="spellStart"/>
      <w:r w:rsidRPr="00D71E26">
        <w:rPr>
          <w:szCs w:val="22"/>
        </w:rPr>
        <w:t>Calcigran</w:t>
      </w:r>
      <w:proofErr w:type="spellEnd"/>
      <w:r w:rsidRPr="00D71E26">
        <w:rPr>
          <w:szCs w:val="22"/>
        </w:rPr>
        <w:t xml:space="preserve"> </w:t>
      </w:r>
      <w:proofErr w:type="spellStart"/>
      <w:r w:rsidRPr="00D71E26">
        <w:rPr>
          <w:szCs w:val="22"/>
        </w:rPr>
        <w:t>Sine</w:t>
      </w:r>
      <w:proofErr w:type="spellEnd"/>
      <w:r w:rsidRPr="00D71E26">
        <w:rPr>
          <w:szCs w:val="22"/>
        </w:rPr>
        <w:t xml:space="preserve"> ir kam jis vartojamas</w:t>
      </w:r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>2.</w:t>
      </w:r>
      <w:r w:rsidRPr="00D71E26">
        <w:rPr>
          <w:szCs w:val="22"/>
        </w:rPr>
        <w:tab/>
        <w:t xml:space="preserve">Kas žinotina prieš vartojant </w:t>
      </w:r>
      <w:proofErr w:type="spellStart"/>
      <w:r w:rsidRPr="00D71E26">
        <w:rPr>
          <w:szCs w:val="22"/>
        </w:rPr>
        <w:t>Calcigran</w:t>
      </w:r>
      <w:proofErr w:type="spellEnd"/>
      <w:r w:rsidRPr="00D71E26">
        <w:rPr>
          <w:szCs w:val="22"/>
        </w:rPr>
        <w:t xml:space="preserve"> </w:t>
      </w:r>
      <w:proofErr w:type="spellStart"/>
      <w:r w:rsidRPr="00D71E26">
        <w:rPr>
          <w:szCs w:val="22"/>
        </w:rPr>
        <w:t>Sine</w:t>
      </w:r>
      <w:proofErr w:type="spellEnd"/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>3</w:t>
      </w:r>
      <w:r>
        <w:rPr>
          <w:szCs w:val="22"/>
        </w:rPr>
        <w:t>.</w:t>
      </w:r>
      <w:r w:rsidRPr="00D71E26">
        <w:rPr>
          <w:szCs w:val="22"/>
        </w:rPr>
        <w:tab/>
        <w:t xml:space="preserve">Kaip vartoti </w:t>
      </w:r>
      <w:proofErr w:type="spellStart"/>
      <w:r w:rsidRPr="00D71E26">
        <w:rPr>
          <w:szCs w:val="22"/>
        </w:rPr>
        <w:t>Calcigran</w:t>
      </w:r>
      <w:proofErr w:type="spellEnd"/>
      <w:r w:rsidRPr="00D71E26">
        <w:rPr>
          <w:szCs w:val="22"/>
        </w:rPr>
        <w:t xml:space="preserve"> </w:t>
      </w:r>
      <w:proofErr w:type="spellStart"/>
      <w:r w:rsidRPr="00D71E26">
        <w:rPr>
          <w:szCs w:val="22"/>
        </w:rPr>
        <w:t>Sine</w:t>
      </w:r>
      <w:proofErr w:type="spellEnd"/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>4.</w:t>
      </w:r>
      <w:r w:rsidRPr="00D71E26">
        <w:rPr>
          <w:szCs w:val="22"/>
        </w:rPr>
        <w:tab/>
        <w:t>Galimas šalutinis poveikis</w:t>
      </w:r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>5.</w:t>
      </w:r>
      <w:r w:rsidRPr="00D71E26">
        <w:rPr>
          <w:szCs w:val="22"/>
        </w:rPr>
        <w:tab/>
        <w:t xml:space="preserve">Kaip laikyti </w:t>
      </w:r>
      <w:proofErr w:type="spellStart"/>
      <w:r w:rsidRPr="00D71E26">
        <w:rPr>
          <w:szCs w:val="22"/>
        </w:rPr>
        <w:t>Calcigran</w:t>
      </w:r>
      <w:proofErr w:type="spellEnd"/>
      <w:r w:rsidRPr="00D71E26">
        <w:rPr>
          <w:szCs w:val="22"/>
        </w:rPr>
        <w:t xml:space="preserve"> </w:t>
      </w:r>
      <w:proofErr w:type="spellStart"/>
      <w:r w:rsidRPr="00D71E26">
        <w:rPr>
          <w:szCs w:val="22"/>
        </w:rPr>
        <w:t>Sine</w:t>
      </w:r>
      <w:proofErr w:type="spellEnd"/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>6.</w:t>
      </w:r>
      <w:r w:rsidRPr="00D71E26">
        <w:rPr>
          <w:szCs w:val="22"/>
        </w:rPr>
        <w:tab/>
      </w:r>
      <w:r>
        <w:rPr>
          <w:szCs w:val="22"/>
        </w:rPr>
        <w:t>Pakuotės turinys ir k</w:t>
      </w:r>
      <w:r w:rsidRPr="00D71E26">
        <w:rPr>
          <w:szCs w:val="22"/>
        </w:rPr>
        <w:t>ita informacija</w:t>
      </w:r>
    </w:p>
    <w:p w:rsidR="000A5928" w:rsidRDefault="000A5928" w:rsidP="000A5928">
      <w:pPr>
        <w:rPr>
          <w:szCs w:val="22"/>
        </w:rPr>
      </w:pPr>
    </w:p>
    <w:p w:rsidR="000A5928" w:rsidRPr="00D71E26" w:rsidRDefault="000A5928" w:rsidP="000A5928">
      <w:pPr>
        <w:rPr>
          <w:b/>
          <w:szCs w:val="22"/>
        </w:rPr>
      </w:pPr>
      <w:r w:rsidRPr="00D71E26">
        <w:rPr>
          <w:b/>
          <w:szCs w:val="22"/>
        </w:rPr>
        <w:t>1.</w:t>
      </w:r>
      <w:r w:rsidRPr="00D71E26">
        <w:rPr>
          <w:b/>
          <w:szCs w:val="22"/>
        </w:rPr>
        <w:tab/>
      </w:r>
      <w:r w:rsidRPr="0011632C">
        <w:rPr>
          <w:b/>
          <w:szCs w:val="22"/>
        </w:rPr>
        <w:t xml:space="preserve">Kas yra </w:t>
      </w:r>
      <w:proofErr w:type="spellStart"/>
      <w:r w:rsidRPr="0011632C">
        <w:rPr>
          <w:b/>
          <w:szCs w:val="22"/>
        </w:rPr>
        <w:t>Calcigran</w:t>
      </w:r>
      <w:proofErr w:type="spellEnd"/>
      <w:r w:rsidRPr="0011632C">
        <w:rPr>
          <w:b/>
          <w:szCs w:val="22"/>
        </w:rPr>
        <w:t xml:space="preserve"> </w:t>
      </w:r>
      <w:proofErr w:type="spellStart"/>
      <w:r w:rsidRPr="0011632C">
        <w:rPr>
          <w:b/>
          <w:szCs w:val="22"/>
        </w:rPr>
        <w:t>Sine</w:t>
      </w:r>
      <w:proofErr w:type="spellEnd"/>
      <w:r w:rsidRPr="0011632C">
        <w:rPr>
          <w:b/>
          <w:szCs w:val="22"/>
        </w:rPr>
        <w:t xml:space="preserve"> ir kam jis vartojamas</w:t>
      </w:r>
    </w:p>
    <w:p w:rsidR="000A5928" w:rsidRPr="00D71E26" w:rsidRDefault="000A5928" w:rsidP="000A5928">
      <w:pPr>
        <w:rPr>
          <w:szCs w:val="22"/>
        </w:rPr>
      </w:pPr>
    </w:p>
    <w:p w:rsidR="000A5928" w:rsidRPr="00D71E26" w:rsidRDefault="000A5928" w:rsidP="000A5928">
      <w:pPr>
        <w:rPr>
          <w:b/>
          <w:bCs/>
          <w:szCs w:val="22"/>
        </w:rPr>
      </w:pPr>
      <w:r w:rsidRPr="00D71E26">
        <w:rPr>
          <w:szCs w:val="22"/>
        </w:rPr>
        <w:t xml:space="preserve">Veiklioji </w:t>
      </w:r>
      <w:proofErr w:type="spellStart"/>
      <w:r w:rsidRPr="00D71E26">
        <w:rPr>
          <w:szCs w:val="22"/>
        </w:rPr>
        <w:t>Calcigran</w:t>
      </w:r>
      <w:proofErr w:type="spellEnd"/>
      <w:r w:rsidRPr="00D71E26">
        <w:rPr>
          <w:szCs w:val="22"/>
        </w:rPr>
        <w:t xml:space="preserve"> </w:t>
      </w:r>
      <w:proofErr w:type="spellStart"/>
      <w:r w:rsidRPr="00D71E26">
        <w:rPr>
          <w:szCs w:val="22"/>
        </w:rPr>
        <w:t>Sine</w:t>
      </w:r>
      <w:proofErr w:type="spellEnd"/>
      <w:r w:rsidRPr="00D71E26">
        <w:rPr>
          <w:szCs w:val="22"/>
        </w:rPr>
        <w:t xml:space="preserve">  medžiaga yra kalcis, kurio būna ir kasdieniniame maiste, ypač pieno produktuose. </w:t>
      </w:r>
      <w:proofErr w:type="spellStart"/>
      <w:r w:rsidRPr="00D71E26">
        <w:rPr>
          <w:szCs w:val="22"/>
        </w:rPr>
        <w:t>Calcigran</w:t>
      </w:r>
      <w:proofErr w:type="spellEnd"/>
      <w:r w:rsidRPr="00D71E26">
        <w:rPr>
          <w:szCs w:val="22"/>
        </w:rPr>
        <w:t xml:space="preserve"> </w:t>
      </w:r>
      <w:proofErr w:type="spellStart"/>
      <w:r w:rsidRPr="00D71E26">
        <w:rPr>
          <w:szCs w:val="22"/>
        </w:rPr>
        <w:t>Sine</w:t>
      </w:r>
      <w:proofErr w:type="spellEnd"/>
      <w:r w:rsidRPr="00D71E26">
        <w:rPr>
          <w:szCs w:val="22"/>
        </w:rPr>
        <w:t xml:space="preserve"> vartojamas kalcio kiekiui organizme papildyti tuo atveju, jeigu jo su maistu arba dėl gyvenimo būdo į organizmą patenka nepakankamai arba jeigu organizmui jo reikia daugiau. </w:t>
      </w:r>
    </w:p>
    <w:p w:rsidR="000A5928" w:rsidRPr="00D71E26" w:rsidRDefault="000A5928" w:rsidP="000A5928">
      <w:pPr>
        <w:rPr>
          <w:bCs/>
          <w:szCs w:val="22"/>
        </w:rPr>
      </w:pPr>
      <w:r w:rsidRPr="00D71E26">
        <w:rPr>
          <w:bCs/>
          <w:szCs w:val="22"/>
        </w:rPr>
        <w:t>Labai svarbu, kad pakankamas kalcio kiekis į organizmą patektų augimo, nėštumo kūdikio žindymo laikotarpiu.</w:t>
      </w:r>
    </w:p>
    <w:p w:rsidR="000A5928" w:rsidRPr="00D71E26" w:rsidRDefault="000A5928" w:rsidP="000A5928">
      <w:pPr>
        <w:rPr>
          <w:bCs/>
          <w:szCs w:val="22"/>
        </w:rPr>
      </w:pPr>
      <w:r w:rsidRPr="00D71E26">
        <w:rPr>
          <w:bCs/>
          <w:szCs w:val="22"/>
        </w:rPr>
        <w:t xml:space="preserve">Kaip papildomo </w:t>
      </w:r>
      <w:r>
        <w:rPr>
          <w:bCs/>
          <w:szCs w:val="22"/>
        </w:rPr>
        <w:t>vaisto</w:t>
      </w:r>
      <w:r w:rsidRPr="00D71E26">
        <w:rPr>
          <w:bCs/>
          <w:szCs w:val="22"/>
        </w:rPr>
        <w:t xml:space="preserve">, </w:t>
      </w:r>
      <w:proofErr w:type="spellStart"/>
      <w:r w:rsidRPr="00D71E26">
        <w:rPr>
          <w:bCs/>
          <w:szCs w:val="22"/>
        </w:rPr>
        <w:t>Calcigran</w:t>
      </w:r>
      <w:proofErr w:type="spellEnd"/>
      <w:r w:rsidRPr="00D71E26">
        <w:rPr>
          <w:bCs/>
          <w:szCs w:val="22"/>
        </w:rPr>
        <w:t xml:space="preserve"> </w:t>
      </w:r>
      <w:proofErr w:type="spellStart"/>
      <w:r w:rsidRPr="00D71E26">
        <w:rPr>
          <w:bCs/>
          <w:szCs w:val="22"/>
        </w:rPr>
        <w:t>Sine</w:t>
      </w:r>
      <w:proofErr w:type="spellEnd"/>
      <w:r w:rsidRPr="00D71E26">
        <w:rPr>
          <w:bCs/>
          <w:szCs w:val="22"/>
        </w:rPr>
        <w:t xml:space="preserve"> galima vartoti </w:t>
      </w:r>
      <w:r>
        <w:rPr>
          <w:bCs/>
          <w:szCs w:val="22"/>
        </w:rPr>
        <w:t>vaistais</w:t>
      </w:r>
      <w:r w:rsidRPr="00D71E26">
        <w:rPr>
          <w:bCs/>
          <w:szCs w:val="22"/>
        </w:rPr>
        <w:t xml:space="preserve"> nuo osteoporozės gydomiems ligoniams, kuriems yra kalcio stokos pasireiškimo pavojus. </w:t>
      </w:r>
    </w:p>
    <w:p w:rsidR="000A5928" w:rsidRPr="00D71E26" w:rsidRDefault="000A5928" w:rsidP="000A5928">
      <w:pPr>
        <w:ind w:left="720" w:hanging="720"/>
        <w:rPr>
          <w:szCs w:val="22"/>
        </w:rPr>
      </w:pPr>
      <w:proofErr w:type="spellStart"/>
      <w:r w:rsidRPr="00D71E26">
        <w:rPr>
          <w:szCs w:val="22"/>
        </w:rPr>
        <w:t>Hiperfosfatemijos</w:t>
      </w:r>
      <w:proofErr w:type="spellEnd"/>
      <w:r w:rsidRPr="00D71E26">
        <w:rPr>
          <w:szCs w:val="22"/>
        </w:rPr>
        <w:t xml:space="preserve"> gydymas: </w:t>
      </w:r>
      <w:proofErr w:type="spellStart"/>
      <w:r w:rsidRPr="00D71E26">
        <w:rPr>
          <w:szCs w:val="22"/>
        </w:rPr>
        <w:t>Calcigran</w:t>
      </w:r>
      <w:proofErr w:type="spellEnd"/>
      <w:r w:rsidRPr="00D71E26">
        <w:rPr>
          <w:szCs w:val="22"/>
        </w:rPr>
        <w:t xml:space="preserve"> </w:t>
      </w:r>
      <w:proofErr w:type="spellStart"/>
      <w:r w:rsidRPr="00D71E26">
        <w:rPr>
          <w:szCs w:val="22"/>
        </w:rPr>
        <w:t>Sine</w:t>
      </w:r>
      <w:proofErr w:type="spellEnd"/>
      <w:r w:rsidRPr="00D71E26">
        <w:rPr>
          <w:szCs w:val="22"/>
        </w:rPr>
        <w:t xml:space="preserve"> vartojamas fosfatams surišti. </w:t>
      </w:r>
    </w:p>
    <w:p w:rsidR="000A5928" w:rsidRPr="00D71E26" w:rsidRDefault="000A5928" w:rsidP="000A5928">
      <w:pPr>
        <w:rPr>
          <w:b/>
          <w:bCs/>
          <w:szCs w:val="22"/>
        </w:rPr>
      </w:pPr>
    </w:p>
    <w:p w:rsidR="000A5928" w:rsidRPr="00D71E26" w:rsidRDefault="000A5928" w:rsidP="000A5928">
      <w:pPr>
        <w:rPr>
          <w:b/>
          <w:bCs/>
          <w:szCs w:val="22"/>
        </w:rPr>
      </w:pPr>
      <w:r w:rsidRPr="00D71E26">
        <w:rPr>
          <w:b/>
          <w:bCs/>
          <w:szCs w:val="22"/>
        </w:rPr>
        <w:t>2.</w:t>
      </w:r>
      <w:r w:rsidRPr="00D71E26">
        <w:rPr>
          <w:b/>
          <w:bCs/>
          <w:szCs w:val="22"/>
        </w:rPr>
        <w:tab/>
      </w:r>
      <w:r>
        <w:rPr>
          <w:b/>
          <w:bCs/>
          <w:szCs w:val="22"/>
        </w:rPr>
        <w:t xml:space="preserve">Kas žinotina prieš vartojant </w:t>
      </w:r>
      <w:proofErr w:type="spellStart"/>
      <w:r>
        <w:rPr>
          <w:b/>
          <w:bCs/>
          <w:szCs w:val="22"/>
        </w:rPr>
        <w:t>Calcigran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Sine</w:t>
      </w:r>
      <w:proofErr w:type="spellEnd"/>
      <w:r>
        <w:rPr>
          <w:b/>
          <w:bCs/>
          <w:szCs w:val="22"/>
        </w:rPr>
        <w:t xml:space="preserve"> </w:t>
      </w:r>
    </w:p>
    <w:p w:rsidR="000A5928" w:rsidRPr="00D71E26" w:rsidRDefault="000A5928" w:rsidP="000A5928">
      <w:pPr>
        <w:rPr>
          <w:b/>
          <w:szCs w:val="22"/>
        </w:rPr>
      </w:pPr>
    </w:p>
    <w:p w:rsidR="000A5928" w:rsidRPr="00D71E26" w:rsidRDefault="000A5928" w:rsidP="000A5928">
      <w:pPr>
        <w:rPr>
          <w:b/>
          <w:szCs w:val="22"/>
        </w:rPr>
      </w:pPr>
      <w:proofErr w:type="spellStart"/>
      <w:r w:rsidRPr="00D71E26">
        <w:rPr>
          <w:b/>
          <w:szCs w:val="22"/>
        </w:rPr>
        <w:t>Calcigran</w:t>
      </w:r>
      <w:proofErr w:type="spellEnd"/>
      <w:r w:rsidRPr="00D71E26">
        <w:rPr>
          <w:b/>
          <w:szCs w:val="22"/>
        </w:rPr>
        <w:t xml:space="preserve"> </w:t>
      </w:r>
      <w:proofErr w:type="spellStart"/>
      <w:r w:rsidRPr="00D71E26">
        <w:rPr>
          <w:b/>
          <w:szCs w:val="22"/>
        </w:rPr>
        <w:t>Sine</w:t>
      </w:r>
      <w:proofErr w:type="spellEnd"/>
      <w:r w:rsidRPr="00D71E26">
        <w:rPr>
          <w:b/>
          <w:szCs w:val="22"/>
        </w:rPr>
        <w:t xml:space="preserve"> vartoti negalima:</w:t>
      </w:r>
    </w:p>
    <w:p w:rsidR="000A5928" w:rsidRPr="002A0AA8" w:rsidRDefault="000A5928" w:rsidP="000A5928">
      <w:pPr>
        <w:pStyle w:val="Sraopastraipa"/>
        <w:numPr>
          <w:ilvl w:val="0"/>
          <w:numId w:val="3"/>
        </w:numPr>
        <w:rPr>
          <w:szCs w:val="22"/>
        </w:rPr>
      </w:pPr>
      <w:r w:rsidRPr="000C1559">
        <w:rPr>
          <w:szCs w:val="22"/>
        </w:rPr>
        <w:t>jeigu yra alergija kalciui arba bet kuriai pagalbinei šio vaisto medžiagai (jos išvardytos 6 skyriuje)</w:t>
      </w:r>
      <w:r w:rsidRPr="008462D3">
        <w:rPr>
          <w:szCs w:val="22"/>
        </w:rPr>
        <w:t>;</w:t>
      </w:r>
    </w:p>
    <w:p w:rsidR="000A5928" w:rsidRPr="000C1559" w:rsidRDefault="000A5928" w:rsidP="000A5928">
      <w:pPr>
        <w:pStyle w:val="Sraopastraipa"/>
        <w:numPr>
          <w:ilvl w:val="0"/>
          <w:numId w:val="3"/>
        </w:numPr>
        <w:rPr>
          <w:szCs w:val="22"/>
        </w:rPr>
      </w:pPr>
      <w:r w:rsidRPr="000C1559">
        <w:rPr>
          <w:szCs w:val="22"/>
        </w:rPr>
        <w:t xml:space="preserve">jeigu padidėjęs kalcio kiekis kraujyje (yra </w:t>
      </w:r>
      <w:proofErr w:type="spellStart"/>
      <w:r w:rsidRPr="000C1559">
        <w:rPr>
          <w:szCs w:val="22"/>
        </w:rPr>
        <w:t>hiperkalcemija</w:t>
      </w:r>
      <w:proofErr w:type="spellEnd"/>
      <w:r w:rsidRPr="000C1559">
        <w:rPr>
          <w:szCs w:val="22"/>
        </w:rPr>
        <w:t xml:space="preserve">) ar (ir) šlapime (yra </w:t>
      </w:r>
      <w:proofErr w:type="spellStart"/>
      <w:r w:rsidRPr="000C1559">
        <w:rPr>
          <w:szCs w:val="22"/>
        </w:rPr>
        <w:t>hiperkalciurija</w:t>
      </w:r>
      <w:proofErr w:type="spellEnd"/>
      <w:r w:rsidRPr="000C1559">
        <w:rPr>
          <w:szCs w:val="22"/>
        </w:rPr>
        <w:t>);</w:t>
      </w:r>
    </w:p>
    <w:p w:rsidR="000A5928" w:rsidRPr="000C1559" w:rsidRDefault="000A5928" w:rsidP="000A5928">
      <w:pPr>
        <w:pStyle w:val="Sraopastraipa"/>
        <w:numPr>
          <w:ilvl w:val="0"/>
          <w:numId w:val="3"/>
        </w:numPr>
        <w:rPr>
          <w:szCs w:val="22"/>
        </w:rPr>
      </w:pPr>
      <w:r w:rsidRPr="000C1559">
        <w:rPr>
          <w:szCs w:val="22"/>
        </w:rPr>
        <w:t>jeigu Jūs sergate inkstų liga, įskaitant akmenligę.</w:t>
      </w:r>
    </w:p>
    <w:p w:rsidR="000A5928" w:rsidRPr="00D71E26" w:rsidRDefault="000A5928" w:rsidP="000A5928">
      <w:pPr>
        <w:rPr>
          <w:b/>
          <w:szCs w:val="22"/>
        </w:rPr>
      </w:pPr>
    </w:p>
    <w:p w:rsidR="000A5928" w:rsidRPr="00D71E26" w:rsidRDefault="000A5928" w:rsidP="000A5928">
      <w:pPr>
        <w:rPr>
          <w:szCs w:val="22"/>
        </w:rPr>
      </w:pPr>
      <w:r>
        <w:rPr>
          <w:b/>
          <w:szCs w:val="22"/>
        </w:rPr>
        <w:t xml:space="preserve">Įspėjimai ir atsargumo priemonės </w:t>
      </w:r>
    </w:p>
    <w:p w:rsidR="000A5928" w:rsidRDefault="000A5928" w:rsidP="000A5928">
      <w:pPr>
        <w:rPr>
          <w:rFonts w:eastAsia="Times New Roman"/>
          <w:noProof/>
          <w:snapToGrid w:val="0"/>
          <w:szCs w:val="24"/>
          <w:lang w:eastAsia="en-US"/>
        </w:rPr>
      </w:pPr>
      <w:r w:rsidRPr="00317988">
        <w:rPr>
          <w:rFonts w:eastAsia="Times New Roman"/>
          <w:noProof/>
          <w:snapToGrid w:val="0"/>
          <w:szCs w:val="24"/>
          <w:lang w:eastAsia="en-US"/>
        </w:rPr>
        <w:t xml:space="preserve">Pasitarkite su gydytoju arba vaistininku, prieš pradėdami vartoti </w:t>
      </w:r>
      <w:r w:rsidRPr="00317988">
        <w:rPr>
          <w:rFonts w:eastAsia="Times New Roman"/>
          <w:bCs/>
          <w:noProof/>
          <w:snapToGrid w:val="0"/>
          <w:szCs w:val="24"/>
          <w:lang w:eastAsia="en-US"/>
        </w:rPr>
        <w:t>Calcigran Sine</w:t>
      </w:r>
      <w:r>
        <w:rPr>
          <w:rFonts w:eastAsia="Times New Roman"/>
          <w:bCs/>
          <w:noProof/>
          <w:snapToGrid w:val="0"/>
          <w:szCs w:val="24"/>
          <w:lang w:eastAsia="en-US"/>
        </w:rPr>
        <w:t>:</w:t>
      </w:r>
    </w:p>
    <w:p w:rsidR="000A5928" w:rsidRPr="00E613C8" w:rsidRDefault="000A5928" w:rsidP="000A5928">
      <w:pPr>
        <w:pStyle w:val="Sraopastraipa"/>
        <w:numPr>
          <w:ilvl w:val="0"/>
          <w:numId w:val="4"/>
        </w:numPr>
        <w:rPr>
          <w:szCs w:val="22"/>
        </w:rPr>
      </w:pPr>
      <w:r>
        <w:rPr>
          <w:szCs w:val="22"/>
        </w:rPr>
        <w:t>jei gydotės ilgą laiką</w:t>
      </w:r>
      <w:r w:rsidRPr="00E613C8">
        <w:rPr>
          <w:szCs w:val="22"/>
        </w:rPr>
        <w:t>, ypač jei vartojate šird</w:t>
      </w:r>
      <w:r>
        <w:rPr>
          <w:szCs w:val="22"/>
        </w:rPr>
        <w:t>į veikiančių</w:t>
      </w:r>
      <w:r w:rsidRPr="00E613C8">
        <w:rPr>
          <w:szCs w:val="22"/>
        </w:rPr>
        <w:t xml:space="preserve"> glikozidų (</w:t>
      </w:r>
      <w:r>
        <w:rPr>
          <w:szCs w:val="22"/>
        </w:rPr>
        <w:t>vartojama širdies sutrikimams gydyti</w:t>
      </w:r>
      <w:r w:rsidRPr="00E613C8">
        <w:rPr>
          <w:szCs w:val="22"/>
        </w:rPr>
        <w:t xml:space="preserve">) ar </w:t>
      </w:r>
      <w:r>
        <w:rPr>
          <w:szCs w:val="22"/>
        </w:rPr>
        <w:t>šlapimo išsiskyrimą skatinančių vaistų</w:t>
      </w:r>
      <w:r w:rsidRPr="00E613C8">
        <w:rPr>
          <w:szCs w:val="22"/>
        </w:rPr>
        <w:t xml:space="preserve"> (</w:t>
      </w:r>
      <w:r>
        <w:rPr>
          <w:szCs w:val="22"/>
        </w:rPr>
        <w:t>gydoma didelio kraujospūdžio liga arba pabrinkimas</w:t>
      </w:r>
      <w:r w:rsidRPr="00E613C8">
        <w:rPr>
          <w:szCs w:val="22"/>
        </w:rPr>
        <w:t>)</w:t>
      </w:r>
      <w:r>
        <w:rPr>
          <w:szCs w:val="22"/>
        </w:rPr>
        <w:t>;</w:t>
      </w:r>
    </w:p>
    <w:p w:rsidR="000A5928" w:rsidRDefault="000A5928" w:rsidP="000A5928">
      <w:pPr>
        <w:pStyle w:val="Sraopastraipa"/>
        <w:numPr>
          <w:ilvl w:val="0"/>
          <w:numId w:val="4"/>
        </w:numPr>
        <w:rPr>
          <w:szCs w:val="22"/>
        </w:rPr>
      </w:pPr>
      <w:r w:rsidRPr="008E050D">
        <w:rPr>
          <w:szCs w:val="22"/>
        </w:rPr>
        <w:t xml:space="preserve"> </w:t>
      </w:r>
      <w:r>
        <w:rPr>
          <w:szCs w:val="22"/>
        </w:rPr>
        <w:t xml:space="preserve">jei </w:t>
      </w:r>
      <w:r w:rsidRPr="008E050D">
        <w:rPr>
          <w:szCs w:val="22"/>
        </w:rPr>
        <w:t xml:space="preserve">kalcio kiekis kraujyje </w:t>
      </w:r>
      <w:r>
        <w:rPr>
          <w:szCs w:val="22"/>
        </w:rPr>
        <w:t xml:space="preserve">padidėjęs </w:t>
      </w:r>
      <w:r w:rsidRPr="008E050D">
        <w:rPr>
          <w:szCs w:val="22"/>
        </w:rPr>
        <w:t xml:space="preserve">arba yra inkstų funkcijos sutrikimo požymių </w:t>
      </w:r>
      <w:proofErr w:type="spellStart"/>
      <w:r w:rsidRPr="008E050D">
        <w:rPr>
          <w:szCs w:val="22"/>
        </w:rPr>
        <w:t>ar</w:t>
      </w:r>
      <w:r>
        <w:rPr>
          <w:szCs w:val="22"/>
        </w:rPr>
        <w:t>turite</w:t>
      </w:r>
      <w:proofErr w:type="spellEnd"/>
      <w:r>
        <w:rPr>
          <w:szCs w:val="22"/>
        </w:rPr>
        <w:t xml:space="preserve"> polinkį inkstų akmenų formavimuisi;</w:t>
      </w:r>
      <w:r w:rsidRPr="008E050D">
        <w:rPr>
          <w:szCs w:val="22"/>
        </w:rPr>
        <w:t xml:space="preserve"> </w:t>
      </w:r>
    </w:p>
    <w:p w:rsidR="000A5928" w:rsidRPr="008E050D" w:rsidRDefault="000A5928" w:rsidP="000A5928">
      <w:pPr>
        <w:pStyle w:val="Sraopastraipa"/>
        <w:numPr>
          <w:ilvl w:val="0"/>
          <w:numId w:val="4"/>
        </w:numPr>
        <w:rPr>
          <w:szCs w:val="22"/>
        </w:rPr>
      </w:pPr>
      <w:r>
        <w:rPr>
          <w:szCs w:val="22"/>
        </w:rPr>
        <w:t>jei sergate osteoporoze ir negalite vaikščioti.</w:t>
      </w:r>
    </w:p>
    <w:p w:rsidR="000A5928" w:rsidRPr="00D71E26" w:rsidRDefault="000A5928" w:rsidP="000A5928">
      <w:pPr>
        <w:rPr>
          <w:szCs w:val="22"/>
        </w:rPr>
      </w:pPr>
    </w:p>
    <w:p w:rsidR="000A5928" w:rsidRPr="00D71E26" w:rsidRDefault="000A5928" w:rsidP="000A5928">
      <w:pPr>
        <w:rPr>
          <w:b/>
          <w:szCs w:val="22"/>
        </w:rPr>
      </w:pPr>
      <w:r>
        <w:rPr>
          <w:b/>
          <w:szCs w:val="22"/>
        </w:rPr>
        <w:t xml:space="preserve">Kiti vaistai ir </w:t>
      </w:r>
      <w:proofErr w:type="spellStart"/>
      <w:r>
        <w:rPr>
          <w:b/>
          <w:szCs w:val="22"/>
        </w:rPr>
        <w:t>Calcigran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Sine</w:t>
      </w:r>
      <w:proofErr w:type="spellEnd"/>
    </w:p>
    <w:p w:rsidR="000A5928" w:rsidRDefault="000A5928" w:rsidP="000A5928">
      <w:pPr>
        <w:rPr>
          <w:szCs w:val="22"/>
        </w:rPr>
      </w:pPr>
      <w:r w:rsidRPr="00D71E26">
        <w:rPr>
          <w:szCs w:val="22"/>
        </w:rPr>
        <w:t>Jeigu vartojate arba neseniai vartojote kitų vaistų</w:t>
      </w:r>
      <w:r>
        <w:rPr>
          <w:szCs w:val="22"/>
        </w:rPr>
        <w:t xml:space="preserve"> arba dėl to nesate tikri, apie tai</w:t>
      </w:r>
      <w:r w:rsidRPr="00D71E26">
        <w:rPr>
          <w:szCs w:val="22"/>
        </w:rPr>
        <w:t>, pasakykite gydytojui arba vaistininkui.</w:t>
      </w:r>
    </w:p>
    <w:p w:rsidR="000A5928" w:rsidRPr="00D71E26" w:rsidRDefault="000A5928" w:rsidP="000A5928">
      <w:pPr>
        <w:rPr>
          <w:b/>
          <w:szCs w:val="22"/>
        </w:rPr>
      </w:pPr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 xml:space="preserve">Dėl galimo absorbcijos sutrikimo </w:t>
      </w:r>
      <w:proofErr w:type="spellStart"/>
      <w:r w:rsidRPr="00D71E26">
        <w:rPr>
          <w:szCs w:val="22"/>
        </w:rPr>
        <w:t>Calcigran</w:t>
      </w:r>
      <w:proofErr w:type="spellEnd"/>
      <w:r w:rsidRPr="00D71E26">
        <w:rPr>
          <w:szCs w:val="22"/>
        </w:rPr>
        <w:t xml:space="preserve"> </w:t>
      </w:r>
      <w:proofErr w:type="spellStart"/>
      <w:r w:rsidRPr="00D71E26">
        <w:rPr>
          <w:szCs w:val="22"/>
        </w:rPr>
        <w:t>Sine</w:t>
      </w:r>
      <w:proofErr w:type="spellEnd"/>
      <w:r w:rsidRPr="00D71E26">
        <w:rPr>
          <w:szCs w:val="22"/>
        </w:rPr>
        <w:t xml:space="preserve"> reikia gerti likus ne mažiau kaip 2 valandoms iki </w:t>
      </w:r>
      <w:proofErr w:type="spellStart"/>
      <w:r w:rsidRPr="00D71E26">
        <w:rPr>
          <w:szCs w:val="22"/>
        </w:rPr>
        <w:t>tetraciklino</w:t>
      </w:r>
      <w:proofErr w:type="spellEnd"/>
      <w:r w:rsidRPr="00D71E26">
        <w:rPr>
          <w:szCs w:val="22"/>
        </w:rPr>
        <w:t xml:space="preserve"> (antibiotiko) vartojimo arba praėjus 4 – 6 val. po jo. </w:t>
      </w:r>
    </w:p>
    <w:p w:rsidR="000A5928" w:rsidRPr="00D71E26" w:rsidRDefault="000A5928" w:rsidP="000A5928">
      <w:pPr>
        <w:pStyle w:val="BTEMEASMCA"/>
      </w:pPr>
      <w:r w:rsidRPr="00D71E26">
        <w:t>Gydymo kalciu metu atsiradusi hiperkalcemija gali stiprinti toksinį šird</w:t>
      </w:r>
      <w:r>
        <w:t>į veikiančių</w:t>
      </w:r>
      <w:r w:rsidRPr="00D71E26">
        <w:t xml:space="preserve"> glikozidų poveikį. </w:t>
      </w:r>
    </w:p>
    <w:p w:rsidR="000A5928" w:rsidRPr="00D71E26" w:rsidRDefault="000A5928" w:rsidP="000A5928">
      <w:pPr>
        <w:rPr>
          <w:szCs w:val="22"/>
        </w:rPr>
      </w:pPr>
    </w:p>
    <w:p w:rsidR="000A5928" w:rsidRDefault="000A5928" w:rsidP="000A5928">
      <w:pPr>
        <w:rPr>
          <w:szCs w:val="22"/>
        </w:rPr>
      </w:pPr>
      <w:proofErr w:type="spellStart"/>
      <w:r w:rsidRPr="00D71E26">
        <w:rPr>
          <w:szCs w:val="22"/>
        </w:rPr>
        <w:t>Tiazidiniai</w:t>
      </w:r>
      <w:proofErr w:type="spellEnd"/>
      <w:r w:rsidRPr="00D71E26">
        <w:rPr>
          <w:szCs w:val="22"/>
        </w:rPr>
        <w:t xml:space="preserve"> diuretikai (pvz.: </w:t>
      </w:r>
      <w:proofErr w:type="spellStart"/>
      <w:r w:rsidRPr="00D71E26">
        <w:rPr>
          <w:szCs w:val="22"/>
        </w:rPr>
        <w:t>hidrochlortiazidas</w:t>
      </w:r>
      <w:proofErr w:type="spellEnd"/>
      <w:r w:rsidRPr="00D71E26">
        <w:rPr>
          <w:szCs w:val="22"/>
        </w:rPr>
        <w:t xml:space="preserve">) mažina kalcio išsiskyrimą su šlapimu. Jeigu tokių diuretikų pacientas vartoja kartu su </w:t>
      </w:r>
      <w:proofErr w:type="spellStart"/>
      <w:r w:rsidRPr="00D71E26">
        <w:rPr>
          <w:szCs w:val="22"/>
        </w:rPr>
        <w:t>Calcigran</w:t>
      </w:r>
      <w:proofErr w:type="spellEnd"/>
      <w:r w:rsidRPr="00D71E26">
        <w:rPr>
          <w:szCs w:val="22"/>
        </w:rPr>
        <w:t xml:space="preserve"> </w:t>
      </w:r>
      <w:proofErr w:type="spellStart"/>
      <w:r w:rsidRPr="00D71E26">
        <w:rPr>
          <w:szCs w:val="22"/>
        </w:rPr>
        <w:t>Sine</w:t>
      </w:r>
      <w:proofErr w:type="spellEnd"/>
      <w:r w:rsidRPr="00D71E26">
        <w:rPr>
          <w:szCs w:val="22"/>
        </w:rPr>
        <w:t xml:space="preserve">, reikia reguliariai matuoti kalcio kiekį kraujyje, kadangi </w:t>
      </w:r>
      <w:proofErr w:type="spellStart"/>
      <w:r w:rsidRPr="00D71E26">
        <w:rPr>
          <w:szCs w:val="22"/>
        </w:rPr>
        <w:t>hiperkalcemijos</w:t>
      </w:r>
      <w:proofErr w:type="spellEnd"/>
      <w:r w:rsidRPr="00D71E26">
        <w:rPr>
          <w:szCs w:val="22"/>
        </w:rPr>
        <w:t xml:space="preserve"> pasireiškimo pavojus būna didesnis.</w:t>
      </w:r>
    </w:p>
    <w:p w:rsidR="000A5928" w:rsidRPr="00D71E26" w:rsidRDefault="000A5928" w:rsidP="000A5928">
      <w:pPr>
        <w:rPr>
          <w:szCs w:val="22"/>
        </w:rPr>
      </w:pPr>
    </w:p>
    <w:p w:rsidR="000A5928" w:rsidRDefault="000A5928" w:rsidP="000A5928">
      <w:pPr>
        <w:autoSpaceDE w:val="0"/>
        <w:autoSpaceDN w:val="0"/>
        <w:adjustRightInd w:val="0"/>
        <w:rPr>
          <w:rFonts w:eastAsiaTheme="minorEastAsia"/>
          <w:szCs w:val="22"/>
          <w:lang w:eastAsia="en-GB"/>
        </w:rPr>
      </w:pPr>
      <w:r w:rsidRPr="009A40A6">
        <w:rPr>
          <w:rFonts w:eastAsiaTheme="minorEastAsia"/>
          <w:szCs w:val="22"/>
          <w:lang w:eastAsia="en-GB"/>
        </w:rPr>
        <w:t xml:space="preserve">Jei kartu vartojamas </w:t>
      </w:r>
      <w:proofErr w:type="spellStart"/>
      <w:r w:rsidRPr="009A40A6">
        <w:rPr>
          <w:rFonts w:eastAsiaTheme="minorEastAsia"/>
          <w:szCs w:val="22"/>
          <w:lang w:eastAsia="en-GB"/>
        </w:rPr>
        <w:t>bisfosfonat</w:t>
      </w:r>
      <w:r>
        <w:rPr>
          <w:rFonts w:eastAsiaTheme="minorEastAsia"/>
          <w:szCs w:val="22"/>
          <w:lang w:eastAsia="en-GB"/>
        </w:rPr>
        <w:t>ų</w:t>
      </w:r>
      <w:proofErr w:type="spellEnd"/>
      <w:r>
        <w:rPr>
          <w:rFonts w:eastAsiaTheme="minorEastAsia"/>
          <w:szCs w:val="22"/>
          <w:lang w:eastAsia="en-GB"/>
        </w:rPr>
        <w:t xml:space="preserve"> grupės vaistas</w:t>
      </w:r>
      <w:r w:rsidRPr="009A40A6">
        <w:rPr>
          <w:rFonts w:eastAsiaTheme="minorEastAsia"/>
          <w:szCs w:val="22"/>
          <w:lang w:eastAsia="en-GB"/>
        </w:rPr>
        <w:t xml:space="preserve">, jį reikia išgerti likus ne mažiau kaip vienai valandai iki </w:t>
      </w:r>
      <w:proofErr w:type="spellStart"/>
      <w:r w:rsidRPr="000D02E6">
        <w:rPr>
          <w:szCs w:val="22"/>
        </w:rPr>
        <w:t>Calcigran</w:t>
      </w:r>
      <w:proofErr w:type="spellEnd"/>
      <w:r w:rsidRPr="000D02E6">
        <w:rPr>
          <w:szCs w:val="22"/>
        </w:rPr>
        <w:t xml:space="preserve"> </w:t>
      </w:r>
      <w:proofErr w:type="spellStart"/>
      <w:r w:rsidRPr="000D02E6">
        <w:rPr>
          <w:szCs w:val="22"/>
        </w:rPr>
        <w:t>Sine</w:t>
      </w:r>
      <w:proofErr w:type="spellEnd"/>
      <w:r w:rsidRPr="009A40A6">
        <w:rPr>
          <w:rFonts w:eastAsiaTheme="minorEastAsia"/>
          <w:szCs w:val="22"/>
          <w:lang w:eastAsia="en-GB"/>
        </w:rPr>
        <w:t xml:space="preserve"> vartojimo</w:t>
      </w:r>
      <w:r>
        <w:rPr>
          <w:rFonts w:eastAsiaTheme="minorEastAsia"/>
          <w:szCs w:val="22"/>
          <w:lang w:eastAsia="en-GB"/>
        </w:rPr>
        <w:t>.</w:t>
      </w:r>
    </w:p>
    <w:p w:rsidR="000A5928" w:rsidRDefault="000A5928" w:rsidP="000A5928">
      <w:pPr>
        <w:autoSpaceDE w:val="0"/>
        <w:autoSpaceDN w:val="0"/>
        <w:adjustRightInd w:val="0"/>
        <w:rPr>
          <w:rFonts w:eastAsiaTheme="minorEastAsia"/>
          <w:szCs w:val="22"/>
          <w:lang w:eastAsia="en-GB"/>
        </w:rPr>
      </w:pPr>
    </w:p>
    <w:p w:rsidR="000A5928" w:rsidRPr="00E763F6" w:rsidRDefault="000A5928" w:rsidP="000A5928">
      <w:pPr>
        <w:autoSpaceDE w:val="0"/>
        <w:autoSpaceDN w:val="0"/>
        <w:adjustRightInd w:val="0"/>
        <w:rPr>
          <w:rFonts w:eastAsiaTheme="minorEastAsia"/>
          <w:szCs w:val="22"/>
          <w:lang w:eastAsia="en-GB"/>
        </w:rPr>
      </w:pPr>
      <w:r w:rsidRPr="009A40A6">
        <w:rPr>
          <w:rFonts w:eastAsiaTheme="minorEastAsia"/>
          <w:szCs w:val="22"/>
          <w:lang w:eastAsia="en-GB"/>
        </w:rPr>
        <w:t xml:space="preserve">Kartu su </w:t>
      </w:r>
      <w:proofErr w:type="spellStart"/>
      <w:r w:rsidRPr="006B2555">
        <w:rPr>
          <w:rFonts w:eastAsiaTheme="minorEastAsia"/>
          <w:szCs w:val="22"/>
          <w:lang w:eastAsia="en-GB"/>
        </w:rPr>
        <w:t>Calcigran</w:t>
      </w:r>
      <w:proofErr w:type="spellEnd"/>
      <w:r w:rsidRPr="006B2555">
        <w:rPr>
          <w:rFonts w:eastAsiaTheme="minorEastAsia"/>
          <w:szCs w:val="22"/>
          <w:lang w:eastAsia="en-GB"/>
        </w:rPr>
        <w:t xml:space="preserve"> </w:t>
      </w:r>
      <w:proofErr w:type="spellStart"/>
      <w:r w:rsidRPr="006B2555">
        <w:rPr>
          <w:rFonts w:eastAsiaTheme="minorEastAsia"/>
          <w:szCs w:val="22"/>
          <w:lang w:eastAsia="en-GB"/>
        </w:rPr>
        <w:t>Sine</w:t>
      </w:r>
      <w:proofErr w:type="spellEnd"/>
      <w:r w:rsidRPr="006B2555">
        <w:rPr>
          <w:rFonts w:eastAsiaTheme="minorEastAsia"/>
          <w:szCs w:val="22"/>
          <w:lang w:eastAsia="en-GB"/>
        </w:rPr>
        <w:t xml:space="preserve"> </w:t>
      </w:r>
      <w:r w:rsidRPr="009A40A6">
        <w:rPr>
          <w:rFonts w:eastAsiaTheme="minorEastAsia"/>
          <w:szCs w:val="22"/>
          <w:lang w:eastAsia="en-GB"/>
        </w:rPr>
        <w:t xml:space="preserve">vartojamo </w:t>
      </w:r>
      <w:proofErr w:type="spellStart"/>
      <w:r w:rsidRPr="009A40A6">
        <w:rPr>
          <w:rFonts w:eastAsiaTheme="minorEastAsia"/>
          <w:szCs w:val="22"/>
          <w:lang w:eastAsia="en-GB"/>
        </w:rPr>
        <w:t>levotiroksino</w:t>
      </w:r>
      <w:proofErr w:type="spellEnd"/>
      <w:r w:rsidRPr="009A40A6">
        <w:rPr>
          <w:rFonts w:eastAsiaTheme="minorEastAsia"/>
          <w:szCs w:val="22"/>
          <w:lang w:eastAsia="en-GB"/>
        </w:rPr>
        <w:t xml:space="preserve"> veiksmingumas gali sumažėti. Tarp kalcio ir </w:t>
      </w:r>
      <w:proofErr w:type="spellStart"/>
      <w:r w:rsidRPr="009A40A6">
        <w:rPr>
          <w:rFonts w:eastAsiaTheme="minorEastAsia"/>
          <w:szCs w:val="22"/>
          <w:lang w:eastAsia="en-GB"/>
        </w:rPr>
        <w:t>levotiroksino</w:t>
      </w:r>
      <w:proofErr w:type="spellEnd"/>
      <w:r w:rsidRPr="009A40A6">
        <w:rPr>
          <w:rFonts w:eastAsiaTheme="minorEastAsia"/>
          <w:szCs w:val="22"/>
          <w:lang w:eastAsia="en-GB"/>
        </w:rPr>
        <w:t xml:space="preserve"> vartojimo turi praeiti mažiausiai keturios valandos.</w:t>
      </w:r>
    </w:p>
    <w:p w:rsidR="000A5928" w:rsidRDefault="000A5928" w:rsidP="000A5928">
      <w:pPr>
        <w:autoSpaceDE w:val="0"/>
        <w:autoSpaceDN w:val="0"/>
        <w:adjustRightInd w:val="0"/>
        <w:rPr>
          <w:rFonts w:eastAsiaTheme="minorEastAsia"/>
          <w:szCs w:val="22"/>
          <w:lang w:eastAsia="en-GB"/>
        </w:rPr>
      </w:pPr>
    </w:p>
    <w:p w:rsidR="000A5928" w:rsidRDefault="000A5928" w:rsidP="000A5928">
      <w:pPr>
        <w:autoSpaceDE w:val="0"/>
        <w:autoSpaceDN w:val="0"/>
        <w:adjustRightInd w:val="0"/>
        <w:rPr>
          <w:rFonts w:eastAsiaTheme="minorEastAsia"/>
          <w:szCs w:val="22"/>
          <w:lang w:eastAsia="en-GB"/>
        </w:rPr>
      </w:pPr>
      <w:r w:rsidRPr="009A40A6">
        <w:rPr>
          <w:rFonts w:eastAsiaTheme="minorEastAsia"/>
          <w:szCs w:val="22"/>
          <w:lang w:eastAsia="en-GB"/>
        </w:rPr>
        <w:t xml:space="preserve">Kartu su </w:t>
      </w:r>
      <w:proofErr w:type="spellStart"/>
      <w:r w:rsidRPr="006B2555">
        <w:rPr>
          <w:rFonts w:eastAsiaTheme="minorEastAsia"/>
          <w:szCs w:val="22"/>
          <w:lang w:eastAsia="en-GB"/>
        </w:rPr>
        <w:t>Calcigran</w:t>
      </w:r>
      <w:proofErr w:type="spellEnd"/>
      <w:r w:rsidRPr="006B2555">
        <w:rPr>
          <w:rFonts w:eastAsiaTheme="minorEastAsia"/>
          <w:szCs w:val="22"/>
          <w:lang w:eastAsia="en-GB"/>
        </w:rPr>
        <w:t xml:space="preserve"> </w:t>
      </w:r>
      <w:proofErr w:type="spellStart"/>
      <w:r w:rsidRPr="006B2555">
        <w:rPr>
          <w:rFonts w:eastAsiaTheme="minorEastAsia"/>
          <w:szCs w:val="22"/>
          <w:lang w:eastAsia="en-GB"/>
        </w:rPr>
        <w:t>Sine</w:t>
      </w:r>
      <w:proofErr w:type="spellEnd"/>
      <w:r w:rsidRPr="006B2555">
        <w:rPr>
          <w:rFonts w:eastAsiaTheme="minorEastAsia"/>
          <w:szCs w:val="22"/>
          <w:lang w:eastAsia="en-GB"/>
        </w:rPr>
        <w:t xml:space="preserve"> </w:t>
      </w:r>
      <w:r w:rsidRPr="009A40A6">
        <w:rPr>
          <w:rFonts w:eastAsiaTheme="minorEastAsia"/>
          <w:szCs w:val="22"/>
          <w:lang w:eastAsia="en-GB"/>
        </w:rPr>
        <w:t>vartoja</w:t>
      </w:r>
      <w:r>
        <w:rPr>
          <w:rFonts w:eastAsiaTheme="minorEastAsia"/>
          <w:szCs w:val="22"/>
          <w:lang w:eastAsia="en-GB"/>
        </w:rPr>
        <w:t xml:space="preserve">mų </w:t>
      </w:r>
      <w:proofErr w:type="spellStart"/>
      <w:r>
        <w:rPr>
          <w:rFonts w:eastAsiaTheme="minorEastAsia"/>
          <w:szCs w:val="22"/>
          <w:lang w:eastAsia="en-GB"/>
        </w:rPr>
        <w:t>chinolonų</w:t>
      </w:r>
      <w:proofErr w:type="spellEnd"/>
      <w:r>
        <w:rPr>
          <w:rFonts w:eastAsiaTheme="minorEastAsia"/>
          <w:szCs w:val="22"/>
          <w:lang w:eastAsia="en-GB"/>
        </w:rPr>
        <w:t xml:space="preserve"> grupės antibiotikų pasisavinimas</w:t>
      </w:r>
      <w:r w:rsidRPr="009A40A6">
        <w:rPr>
          <w:rFonts w:eastAsiaTheme="minorEastAsia"/>
          <w:szCs w:val="22"/>
          <w:lang w:eastAsia="en-GB"/>
        </w:rPr>
        <w:t xml:space="preserve"> gali sumažėti. </w:t>
      </w:r>
      <w:proofErr w:type="spellStart"/>
      <w:r w:rsidRPr="009A40A6">
        <w:rPr>
          <w:rFonts w:eastAsiaTheme="minorEastAsia"/>
          <w:szCs w:val="22"/>
          <w:lang w:eastAsia="en-GB"/>
        </w:rPr>
        <w:t>Chinolonų</w:t>
      </w:r>
      <w:proofErr w:type="spellEnd"/>
      <w:r w:rsidRPr="009A40A6">
        <w:rPr>
          <w:rFonts w:eastAsiaTheme="minorEastAsia"/>
          <w:szCs w:val="22"/>
          <w:lang w:eastAsia="en-GB"/>
        </w:rPr>
        <w:t xml:space="preserve"> grupės antibiotikų reikia vartoti likus dviem valandoms iki </w:t>
      </w:r>
      <w:proofErr w:type="spellStart"/>
      <w:r w:rsidRPr="006B2555">
        <w:rPr>
          <w:rFonts w:eastAsiaTheme="minorEastAsia"/>
          <w:szCs w:val="22"/>
          <w:lang w:eastAsia="en-GB"/>
        </w:rPr>
        <w:t>Calcigran</w:t>
      </w:r>
      <w:proofErr w:type="spellEnd"/>
      <w:r w:rsidRPr="006B2555">
        <w:rPr>
          <w:rFonts w:eastAsiaTheme="minorEastAsia"/>
          <w:szCs w:val="22"/>
          <w:lang w:eastAsia="en-GB"/>
        </w:rPr>
        <w:t xml:space="preserve"> </w:t>
      </w:r>
      <w:proofErr w:type="spellStart"/>
      <w:r w:rsidRPr="006B2555">
        <w:rPr>
          <w:rFonts w:eastAsiaTheme="minorEastAsia"/>
          <w:szCs w:val="22"/>
          <w:lang w:eastAsia="en-GB"/>
        </w:rPr>
        <w:t>Sine</w:t>
      </w:r>
      <w:proofErr w:type="spellEnd"/>
      <w:r w:rsidRPr="006B2555">
        <w:rPr>
          <w:rFonts w:eastAsiaTheme="minorEastAsia"/>
          <w:szCs w:val="22"/>
          <w:lang w:eastAsia="en-GB"/>
        </w:rPr>
        <w:t xml:space="preserve"> </w:t>
      </w:r>
      <w:r w:rsidRPr="009A40A6">
        <w:rPr>
          <w:rFonts w:eastAsiaTheme="minorEastAsia"/>
          <w:szCs w:val="22"/>
          <w:lang w:eastAsia="en-GB"/>
        </w:rPr>
        <w:t>vartojimo ar praėjus šešioms valandoms po jo.</w:t>
      </w:r>
    </w:p>
    <w:p w:rsidR="000A5928" w:rsidRDefault="000A5928" w:rsidP="000A5928">
      <w:pPr>
        <w:autoSpaceDE w:val="0"/>
        <w:autoSpaceDN w:val="0"/>
        <w:adjustRightInd w:val="0"/>
        <w:rPr>
          <w:rFonts w:eastAsiaTheme="minorEastAsia"/>
          <w:szCs w:val="22"/>
          <w:lang w:eastAsia="en-GB"/>
        </w:rPr>
      </w:pPr>
    </w:p>
    <w:p w:rsidR="000A5928" w:rsidRPr="000D02E6" w:rsidRDefault="000A5928" w:rsidP="000A5928">
      <w:pPr>
        <w:autoSpaceDE w:val="0"/>
        <w:autoSpaceDN w:val="0"/>
        <w:adjustRightInd w:val="0"/>
        <w:rPr>
          <w:rFonts w:eastAsiaTheme="minorEastAsia"/>
          <w:szCs w:val="22"/>
          <w:lang w:eastAsia="en-GB"/>
        </w:rPr>
      </w:pPr>
      <w:r w:rsidRPr="009A40A6">
        <w:rPr>
          <w:rFonts w:eastAsiaTheme="minorEastAsia"/>
          <w:szCs w:val="22"/>
          <w:lang w:eastAsia="en-GB"/>
        </w:rPr>
        <w:t xml:space="preserve">Kalcio druskos gali mažinti geležies, cinko ir stroncio </w:t>
      </w:r>
      <w:proofErr w:type="spellStart"/>
      <w:r w:rsidRPr="009A40A6">
        <w:rPr>
          <w:rFonts w:eastAsiaTheme="minorEastAsia"/>
          <w:szCs w:val="22"/>
          <w:lang w:eastAsia="en-GB"/>
        </w:rPr>
        <w:t>ranelato</w:t>
      </w:r>
      <w:proofErr w:type="spellEnd"/>
      <w:r>
        <w:rPr>
          <w:rFonts w:eastAsiaTheme="minorEastAsia"/>
          <w:szCs w:val="22"/>
          <w:lang w:eastAsia="en-GB"/>
        </w:rPr>
        <w:t xml:space="preserve"> (jo yra vaistų nuo osteoporozės sudėtyje)</w:t>
      </w:r>
      <w:r w:rsidRPr="009A40A6">
        <w:rPr>
          <w:rFonts w:eastAsiaTheme="minorEastAsia"/>
          <w:szCs w:val="22"/>
          <w:lang w:eastAsia="en-GB"/>
        </w:rPr>
        <w:t xml:space="preserve"> </w:t>
      </w:r>
      <w:r>
        <w:rPr>
          <w:rFonts w:eastAsiaTheme="minorEastAsia"/>
          <w:szCs w:val="22"/>
          <w:lang w:eastAsia="en-GB"/>
        </w:rPr>
        <w:t>pasisavinimo</w:t>
      </w:r>
      <w:r w:rsidRPr="009A40A6">
        <w:rPr>
          <w:rFonts w:eastAsiaTheme="minorEastAsia"/>
          <w:szCs w:val="22"/>
          <w:lang w:eastAsia="en-GB"/>
        </w:rPr>
        <w:t xml:space="preserve">. Dėl šios priežasties geležies, cinko ir stroncio </w:t>
      </w:r>
      <w:proofErr w:type="spellStart"/>
      <w:r w:rsidRPr="009A40A6">
        <w:rPr>
          <w:rFonts w:eastAsiaTheme="minorEastAsia"/>
          <w:szCs w:val="22"/>
          <w:lang w:eastAsia="en-GB"/>
        </w:rPr>
        <w:t>ranelato</w:t>
      </w:r>
      <w:proofErr w:type="spellEnd"/>
      <w:r w:rsidRPr="009A40A6">
        <w:rPr>
          <w:rFonts w:eastAsiaTheme="minorEastAsia"/>
          <w:szCs w:val="22"/>
          <w:lang w:eastAsia="en-GB"/>
        </w:rPr>
        <w:t xml:space="preserve"> preparatų reikia vartoti likus dviem valandoms iki </w:t>
      </w:r>
      <w:proofErr w:type="spellStart"/>
      <w:r w:rsidRPr="00FC4718">
        <w:rPr>
          <w:rFonts w:eastAsiaTheme="minorEastAsia"/>
          <w:szCs w:val="22"/>
          <w:lang w:eastAsia="en-GB"/>
        </w:rPr>
        <w:t>Calcigran</w:t>
      </w:r>
      <w:proofErr w:type="spellEnd"/>
      <w:r w:rsidRPr="00FC4718">
        <w:rPr>
          <w:rFonts w:eastAsiaTheme="minorEastAsia"/>
          <w:szCs w:val="22"/>
          <w:lang w:eastAsia="en-GB"/>
        </w:rPr>
        <w:t xml:space="preserve"> </w:t>
      </w:r>
      <w:proofErr w:type="spellStart"/>
      <w:r w:rsidRPr="00FC4718">
        <w:rPr>
          <w:rFonts w:eastAsiaTheme="minorEastAsia"/>
          <w:szCs w:val="22"/>
          <w:lang w:eastAsia="en-GB"/>
        </w:rPr>
        <w:t>Sine</w:t>
      </w:r>
      <w:proofErr w:type="spellEnd"/>
      <w:r w:rsidRPr="00FC4718">
        <w:rPr>
          <w:rFonts w:eastAsiaTheme="minorEastAsia"/>
          <w:szCs w:val="22"/>
          <w:lang w:eastAsia="en-GB"/>
        </w:rPr>
        <w:t xml:space="preserve"> </w:t>
      </w:r>
      <w:r w:rsidRPr="009A40A6">
        <w:rPr>
          <w:rFonts w:eastAsiaTheme="minorEastAsia"/>
          <w:szCs w:val="22"/>
          <w:lang w:eastAsia="en-GB"/>
        </w:rPr>
        <w:t>vartojimo ar praėjus dviem valandoms po jo.</w:t>
      </w:r>
    </w:p>
    <w:p w:rsidR="000A5928" w:rsidRPr="00D71E26" w:rsidRDefault="000A5928" w:rsidP="000A5928">
      <w:pPr>
        <w:rPr>
          <w:b/>
          <w:szCs w:val="22"/>
        </w:rPr>
      </w:pPr>
    </w:p>
    <w:p w:rsidR="000A5928" w:rsidRPr="00D71E26" w:rsidRDefault="000A5928" w:rsidP="000A5928">
      <w:pPr>
        <w:rPr>
          <w:b/>
          <w:szCs w:val="22"/>
        </w:rPr>
      </w:pPr>
      <w:r w:rsidRPr="00D71E26">
        <w:rPr>
          <w:b/>
          <w:szCs w:val="22"/>
        </w:rPr>
        <w:t>Nėštum</w:t>
      </w:r>
      <w:r>
        <w:rPr>
          <w:b/>
          <w:szCs w:val="22"/>
        </w:rPr>
        <w:t>as</w:t>
      </w:r>
      <w:r w:rsidRPr="00D71E26">
        <w:rPr>
          <w:b/>
          <w:szCs w:val="22"/>
        </w:rPr>
        <w:t xml:space="preserve"> ir žindymo laikotarpis</w:t>
      </w:r>
      <w:r>
        <w:rPr>
          <w:b/>
          <w:szCs w:val="22"/>
        </w:rPr>
        <w:t xml:space="preserve"> ir vaisingumas</w:t>
      </w:r>
    </w:p>
    <w:p w:rsidR="000A5928" w:rsidRDefault="000A5928" w:rsidP="000A5928">
      <w:pPr>
        <w:rPr>
          <w:szCs w:val="22"/>
        </w:rPr>
      </w:pPr>
      <w:r w:rsidRPr="0008555D">
        <w:rPr>
          <w:szCs w:val="22"/>
        </w:rPr>
        <w:t>Jeigu esate nėščia, žindote kūdikį, manote, kad galbūt esate nėščia, arba planuojate pastoti, tai prieš vartodama šį vaistą,</w:t>
      </w:r>
      <w:r>
        <w:rPr>
          <w:szCs w:val="22"/>
        </w:rPr>
        <w:t xml:space="preserve"> pasitarkite su </w:t>
      </w:r>
      <w:r w:rsidRPr="0008555D">
        <w:rPr>
          <w:szCs w:val="22"/>
        </w:rPr>
        <w:t>gydytoju</w:t>
      </w:r>
      <w:r>
        <w:rPr>
          <w:szCs w:val="22"/>
        </w:rPr>
        <w:t xml:space="preserve"> </w:t>
      </w:r>
      <w:r w:rsidRPr="0008555D">
        <w:rPr>
          <w:szCs w:val="22"/>
        </w:rPr>
        <w:t>arba</w:t>
      </w:r>
      <w:r>
        <w:rPr>
          <w:szCs w:val="22"/>
        </w:rPr>
        <w:t xml:space="preserve"> </w:t>
      </w:r>
      <w:r w:rsidRPr="0008555D">
        <w:rPr>
          <w:szCs w:val="22"/>
        </w:rPr>
        <w:t>vaistininku</w:t>
      </w:r>
      <w:r>
        <w:rPr>
          <w:szCs w:val="22"/>
        </w:rPr>
        <w:t>.</w:t>
      </w:r>
    </w:p>
    <w:p w:rsidR="000A5928" w:rsidRDefault="000A5928" w:rsidP="000A5928">
      <w:r w:rsidRPr="00D71E26">
        <w:rPr>
          <w:szCs w:val="22"/>
        </w:rPr>
        <w:t xml:space="preserve">Nėščioms ir kūdikį krūtimi maitinančioms moterims </w:t>
      </w:r>
      <w:proofErr w:type="spellStart"/>
      <w:r w:rsidRPr="00D71E26">
        <w:rPr>
          <w:szCs w:val="22"/>
        </w:rPr>
        <w:t>Calcigran</w:t>
      </w:r>
      <w:proofErr w:type="spellEnd"/>
      <w:r w:rsidRPr="00D71E26">
        <w:rPr>
          <w:szCs w:val="22"/>
        </w:rPr>
        <w:t xml:space="preserve"> </w:t>
      </w:r>
      <w:proofErr w:type="spellStart"/>
      <w:r w:rsidRPr="00D71E26">
        <w:rPr>
          <w:szCs w:val="22"/>
        </w:rPr>
        <w:t>Sine</w:t>
      </w:r>
      <w:proofErr w:type="spellEnd"/>
      <w:r w:rsidRPr="00D71E26">
        <w:rPr>
          <w:szCs w:val="22"/>
        </w:rPr>
        <w:t xml:space="preserve"> vartoti galima, tačiau negalima viršyti </w:t>
      </w:r>
      <w:r>
        <w:rPr>
          <w:szCs w:val="22"/>
        </w:rPr>
        <w:t>2</w:t>
      </w:r>
      <w:r w:rsidRPr="00D71E26">
        <w:rPr>
          <w:szCs w:val="22"/>
        </w:rPr>
        <w:t xml:space="preserve">500 mg kalcio paros dozės. </w:t>
      </w:r>
      <w:r>
        <w:rPr>
          <w:szCs w:val="22"/>
        </w:rPr>
        <w:t xml:space="preserve"> </w:t>
      </w:r>
      <w:r w:rsidRPr="008264AC">
        <w:t>Kalcio į motinos pieną patenka.</w:t>
      </w:r>
    </w:p>
    <w:p w:rsidR="000A5928" w:rsidRPr="00D71E26" w:rsidRDefault="000A5928" w:rsidP="000A5928">
      <w:pPr>
        <w:rPr>
          <w:szCs w:val="22"/>
        </w:rPr>
      </w:pPr>
    </w:p>
    <w:p w:rsidR="000A5928" w:rsidRPr="00D71E26" w:rsidRDefault="000A5928" w:rsidP="000A5928">
      <w:pPr>
        <w:rPr>
          <w:b/>
          <w:szCs w:val="22"/>
        </w:rPr>
      </w:pPr>
      <w:r w:rsidRPr="00D71E26">
        <w:rPr>
          <w:b/>
          <w:szCs w:val="22"/>
        </w:rPr>
        <w:t>Vairavimas ir mechanizmų valdymas</w:t>
      </w:r>
    </w:p>
    <w:p w:rsidR="000A5928" w:rsidRPr="00D71E26" w:rsidRDefault="000A5928" w:rsidP="000A5928">
      <w:pPr>
        <w:rPr>
          <w:szCs w:val="22"/>
        </w:rPr>
      </w:pPr>
      <w:proofErr w:type="spellStart"/>
      <w:r w:rsidRPr="00D71E26">
        <w:rPr>
          <w:szCs w:val="22"/>
        </w:rPr>
        <w:t>Calcigran</w:t>
      </w:r>
      <w:proofErr w:type="spellEnd"/>
      <w:r w:rsidRPr="00D71E26">
        <w:rPr>
          <w:szCs w:val="22"/>
        </w:rPr>
        <w:t xml:space="preserve"> </w:t>
      </w:r>
      <w:proofErr w:type="spellStart"/>
      <w:r w:rsidRPr="00D71E26">
        <w:rPr>
          <w:szCs w:val="22"/>
        </w:rPr>
        <w:t>Sine</w:t>
      </w:r>
      <w:proofErr w:type="spellEnd"/>
      <w:r w:rsidRPr="00D71E26">
        <w:rPr>
          <w:szCs w:val="22"/>
        </w:rPr>
        <w:t xml:space="preserve"> poveikio gebėjimui vairuoti ir valdyti mechanizmus nepastebėta.</w:t>
      </w:r>
    </w:p>
    <w:p w:rsidR="000A5928" w:rsidRPr="00D71E26" w:rsidRDefault="000A5928" w:rsidP="000A5928">
      <w:pPr>
        <w:pStyle w:val="PI-3EMEASMCA"/>
      </w:pPr>
    </w:p>
    <w:p w:rsidR="000A5928" w:rsidRDefault="000A5928" w:rsidP="000A5928">
      <w:pPr>
        <w:pStyle w:val="PI-3EMEASMCA"/>
      </w:pPr>
      <w:proofErr w:type="spellStart"/>
      <w:r>
        <w:t>Calcigran</w:t>
      </w:r>
      <w:proofErr w:type="spellEnd"/>
      <w:r>
        <w:t xml:space="preserve"> </w:t>
      </w:r>
      <w:proofErr w:type="spellStart"/>
      <w:r>
        <w:t>Sine</w:t>
      </w:r>
      <w:proofErr w:type="spellEnd"/>
      <w:r>
        <w:t xml:space="preserve"> sudėtyje yra </w:t>
      </w:r>
      <w:proofErr w:type="spellStart"/>
      <w:r>
        <w:t>izomalto</w:t>
      </w:r>
      <w:proofErr w:type="spellEnd"/>
      <w:r>
        <w:t xml:space="preserve"> (E953)</w:t>
      </w:r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>Jeigu gydytojas Jums yra sakęs, kad netoleruojate kokių nors angliavandenių, kreipkitės į jį prieš pradėdami vartoti šį vaistą.</w:t>
      </w:r>
    </w:p>
    <w:p w:rsidR="000A5928" w:rsidRPr="00D71E26" w:rsidRDefault="000A5928" w:rsidP="000A5928">
      <w:pPr>
        <w:rPr>
          <w:b/>
          <w:bCs/>
          <w:szCs w:val="22"/>
        </w:rPr>
      </w:pPr>
    </w:p>
    <w:p w:rsidR="000A5928" w:rsidRPr="00D71E26" w:rsidRDefault="000A5928" w:rsidP="000A5928">
      <w:pPr>
        <w:rPr>
          <w:szCs w:val="22"/>
        </w:rPr>
      </w:pPr>
      <w:r w:rsidRPr="00D71E26">
        <w:rPr>
          <w:b/>
          <w:bCs/>
          <w:szCs w:val="22"/>
        </w:rPr>
        <w:t>3.</w:t>
      </w:r>
      <w:r w:rsidRPr="00D71E26">
        <w:rPr>
          <w:b/>
          <w:bCs/>
          <w:szCs w:val="22"/>
        </w:rPr>
        <w:tab/>
      </w:r>
      <w:r>
        <w:rPr>
          <w:b/>
          <w:bCs/>
          <w:szCs w:val="22"/>
        </w:rPr>
        <w:t xml:space="preserve">Kaip vartoti </w:t>
      </w:r>
      <w:proofErr w:type="spellStart"/>
      <w:r>
        <w:rPr>
          <w:b/>
          <w:bCs/>
          <w:szCs w:val="22"/>
        </w:rPr>
        <w:t>Calcigran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Sine</w:t>
      </w:r>
      <w:proofErr w:type="spellEnd"/>
      <w:r>
        <w:rPr>
          <w:b/>
          <w:bCs/>
          <w:szCs w:val="22"/>
        </w:rPr>
        <w:t xml:space="preserve"> </w:t>
      </w:r>
    </w:p>
    <w:p w:rsidR="000A5928" w:rsidRDefault="000A5928" w:rsidP="000A5928">
      <w:pPr>
        <w:rPr>
          <w:szCs w:val="22"/>
        </w:rPr>
      </w:pPr>
    </w:p>
    <w:p w:rsidR="000A5928" w:rsidRDefault="000A5928" w:rsidP="000A5928">
      <w:pPr>
        <w:rPr>
          <w:szCs w:val="22"/>
        </w:rPr>
      </w:pPr>
      <w:r w:rsidRPr="00344F19">
        <w:rPr>
          <w:szCs w:val="22"/>
        </w:rPr>
        <w:t>Visada vartokite šį vaistą tiksliai kaip aprašyta šiame lapelyje arba kaip nurodė gydytojas</w:t>
      </w:r>
      <w:r>
        <w:rPr>
          <w:szCs w:val="22"/>
        </w:rPr>
        <w:t xml:space="preserve"> </w:t>
      </w:r>
      <w:r w:rsidRPr="00344F19">
        <w:rPr>
          <w:szCs w:val="22"/>
        </w:rPr>
        <w:t>arba</w:t>
      </w:r>
      <w:r>
        <w:rPr>
          <w:szCs w:val="22"/>
        </w:rPr>
        <w:t xml:space="preserve"> </w:t>
      </w:r>
      <w:r w:rsidRPr="00344F19">
        <w:rPr>
          <w:szCs w:val="22"/>
        </w:rPr>
        <w:t>vaistininkas</w:t>
      </w:r>
      <w:r>
        <w:rPr>
          <w:szCs w:val="22"/>
        </w:rPr>
        <w:t>.</w:t>
      </w:r>
      <w:r w:rsidRPr="00344F19">
        <w:rPr>
          <w:szCs w:val="22"/>
        </w:rPr>
        <w:t xml:space="preserve"> Jeigu abejojate, kr</w:t>
      </w:r>
      <w:r>
        <w:rPr>
          <w:szCs w:val="22"/>
        </w:rPr>
        <w:t xml:space="preserve">eipkitės į </w:t>
      </w:r>
      <w:r w:rsidRPr="00344F19">
        <w:rPr>
          <w:szCs w:val="22"/>
        </w:rPr>
        <w:t>gydytoją</w:t>
      </w:r>
      <w:r>
        <w:rPr>
          <w:szCs w:val="22"/>
        </w:rPr>
        <w:t xml:space="preserve"> </w:t>
      </w:r>
      <w:r w:rsidRPr="00344F19">
        <w:rPr>
          <w:szCs w:val="22"/>
        </w:rPr>
        <w:t>arba</w:t>
      </w:r>
      <w:r>
        <w:rPr>
          <w:szCs w:val="22"/>
        </w:rPr>
        <w:t xml:space="preserve"> </w:t>
      </w:r>
      <w:r w:rsidRPr="00344F19">
        <w:rPr>
          <w:szCs w:val="22"/>
        </w:rPr>
        <w:t>vaistininką</w:t>
      </w:r>
      <w:r>
        <w:rPr>
          <w:szCs w:val="22"/>
        </w:rPr>
        <w:t>.</w:t>
      </w:r>
      <w:r w:rsidRPr="00D71E26">
        <w:rPr>
          <w:szCs w:val="22"/>
        </w:rPr>
        <w:t xml:space="preserve"> </w:t>
      </w:r>
    </w:p>
    <w:p w:rsidR="000A5928" w:rsidRPr="00D71E26" w:rsidRDefault="000A5928" w:rsidP="000A5928">
      <w:pPr>
        <w:rPr>
          <w:i/>
          <w:szCs w:val="22"/>
        </w:rPr>
      </w:pPr>
    </w:p>
    <w:p w:rsidR="000A5928" w:rsidRPr="00D71E26" w:rsidRDefault="000A5928" w:rsidP="000A5928">
      <w:pPr>
        <w:rPr>
          <w:i/>
          <w:szCs w:val="22"/>
        </w:rPr>
      </w:pPr>
      <w:r w:rsidRPr="00D71E26">
        <w:rPr>
          <w:i/>
          <w:szCs w:val="22"/>
        </w:rPr>
        <w:t>Kalcio stokos organizme gydymas ir profilaktika</w:t>
      </w:r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 xml:space="preserve">Suaugusiems </w:t>
      </w:r>
      <w:r>
        <w:rPr>
          <w:szCs w:val="22"/>
        </w:rPr>
        <w:t xml:space="preserve">ir senyviems </w:t>
      </w:r>
      <w:r w:rsidRPr="00D71E26">
        <w:rPr>
          <w:szCs w:val="22"/>
        </w:rPr>
        <w:t xml:space="preserve">žmonėms reikia gerti po 1 – 3 </w:t>
      </w:r>
      <w:r>
        <w:rPr>
          <w:szCs w:val="22"/>
        </w:rPr>
        <w:t xml:space="preserve">kramtomąsias </w:t>
      </w:r>
      <w:r w:rsidRPr="00D71E26">
        <w:rPr>
          <w:szCs w:val="22"/>
        </w:rPr>
        <w:t xml:space="preserve">tabletes per parą, vaikams </w:t>
      </w:r>
      <w:r w:rsidRPr="00D71E26">
        <w:rPr>
          <w:szCs w:val="22"/>
        </w:rPr>
        <w:sym w:font="Symbol" w:char="F02D"/>
      </w:r>
      <w:r w:rsidRPr="00D71E26">
        <w:rPr>
          <w:szCs w:val="22"/>
        </w:rPr>
        <w:t xml:space="preserve"> po 1 – 2</w:t>
      </w:r>
      <w:r>
        <w:rPr>
          <w:szCs w:val="22"/>
        </w:rPr>
        <w:t xml:space="preserve"> kramtomąsias</w:t>
      </w:r>
      <w:r w:rsidRPr="00D71E26">
        <w:rPr>
          <w:szCs w:val="22"/>
        </w:rPr>
        <w:t xml:space="preserve"> tabletes per parą. </w:t>
      </w:r>
    </w:p>
    <w:p w:rsidR="000A5928" w:rsidRPr="00D71E26" w:rsidRDefault="000A5928" w:rsidP="000A5928">
      <w:pPr>
        <w:rPr>
          <w:i/>
          <w:szCs w:val="22"/>
        </w:rPr>
      </w:pPr>
    </w:p>
    <w:p w:rsidR="000A5928" w:rsidRPr="00D71E26" w:rsidRDefault="000A5928" w:rsidP="000A5928">
      <w:pPr>
        <w:rPr>
          <w:i/>
          <w:szCs w:val="22"/>
        </w:rPr>
      </w:pPr>
      <w:r w:rsidRPr="00D71E26">
        <w:rPr>
          <w:i/>
          <w:szCs w:val="22"/>
        </w:rPr>
        <w:t xml:space="preserve">Papildomas osteoporozės gydymas ir profilaktika </w:t>
      </w:r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 xml:space="preserve">Suaugusiems žmonėms reikia gerti po 1 – 3 </w:t>
      </w:r>
      <w:r w:rsidRPr="0008299B">
        <w:rPr>
          <w:szCs w:val="22"/>
        </w:rPr>
        <w:t xml:space="preserve">kramtomąsias </w:t>
      </w:r>
      <w:r w:rsidRPr="00D71E26">
        <w:rPr>
          <w:szCs w:val="22"/>
        </w:rPr>
        <w:t xml:space="preserve">tabletes per parą. </w:t>
      </w:r>
    </w:p>
    <w:p w:rsidR="000A5928" w:rsidRPr="00D71E26" w:rsidRDefault="000A5928" w:rsidP="000A5928">
      <w:pPr>
        <w:rPr>
          <w:i/>
          <w:szCs w:val="22"/>
        </w:rPr>
      </w:pPr>
    </w:p>
    <w:p w:rsidR="000A5928" w:rsidRPr="00D71E26" w:rsidRDefault="000A5928" w:rsidP="000A5928">
      <w:pPr>
        <w:rPr>
          <w:i/>
          <w:szCs w:val="22"/>
        </w:rPr>
      </w:pPr>
      <w:proofErr w:type="spellStart"/>
      <w:r w:rsidRPr="00D71E26">
        <w:rPr>
          <w:i/>
          <w:szCs w:val="22"/>
        </w:rPr>
        <w:t>Hiperfosfatemija</w:t>
      </w:r>
      <w:proofErr w:type="spellEnd"/>
      <w:r w:rsidRPr="00D71E26">
        <w:rPr>
          <w:i/>
          <w:szCs w:val="22"/>
        </w:rPr>
        <w:t xml:space="preserve"> (per didelis fosfatų kiekis kraujyje)</w:t>
      </w:r>
    </w:p>
    <w:p w:rsidR="000A5928" w:rsidRDefault="000A5928" w:rsidP="000A5928">
      <w:pPr>
        <w:rPr>
          <w:szCs w:val="22"/>
        </w:rPr>
      </w:pPr>
      <w:r w:rsidRPr="00D71E26">
        <w:rPr>
          <w:szCs w:val="22"/>
        </w:rPr>
        <w:t xml:space="preserve">Dozė priklauso nuo paciento būklės, bei fosfatų kiekio kraujyje. Tikslią dozę, bei vaisto vartojimo trukmę, įvertinęs Jūsų būklę parinks gydytojas. Įprastinė kalcio paros dozė, geriama lygiomis dalimis per 2 – 4 kartus, yra 2 – 8 g. </w:t>
      </w:r>
      <w:proofErr w:type="spellStart"/>
      <w:r w:rsidRPr="00D71E26">
        <w:rPr>
          <w:szCs w:val="22"/>
        </w:rPr>
        <w:t>Calcigran</w:t>
      </w:r>
      <w:proofErr w:type="spellEnd"/>
      <w:r w:rsidRPr="00D71E26">
        <w:rPr>
          <w:szCs w:val="22"/>
        </w:rPr>
        <w:t xml:space="preserve"> </w:t>
      </w:r>
      <w:proofErr w:type="spellStart"/>
      <w:r w:rsidRPr="00D71E26">
        <w:rPr>
          <w:szCs w:val="22"/>
        </w:rPr>
        <w:t>Sine</w:t>
      </w:r>
      <w:proofErr w:type="spellEnd"/>
      <w:r w:rsidRPr="00D71E26">
        <w:rPr>
          <w:szCs w:val="22"/>
        </w:rPr>
        <w:t xml:space="preserve">  reikia gerti valgio metu, kad surištų maiste esančius fosfatus. </w:t>
      </w:r>
    </w:p>
    <w:p w:rsidR="000A5928" w:rsidRPr="00D71E26" w:rsidRDefault="000A5928" w:rsidP="000A5928">
      <w:pPr>
        <w:rPr>
          <w:szCs w:val="22"/>
        </w:rPr>
      </w:pPr>
    </w:p>
    <w:p w:rsidR="000A5928" w:rsidRDefault="000A5928" w:rsidP="000A5928">
      <w:pPr>
        <w:rPr>
          <w:szCs w:val="22"/>
        </w:rPr>
      </w:pPr>
      <w:r>
        <w:rPr>
          <w:szCs w:val="22"/>
        </w:rPr>
        <w:t>Jei Jūsų inkstų funkcija sutrikusi, apie tai pasakykite gydytojui. Jis gali pakeisti dozę, atsižvelgdamas į kalcio kiekį kraujyje.</w:t>
      </w:r>
    </w:p>
    <w:p w:rsidR="000A5928" w:rsidRDefault="000A5928" w:rsidP="000A5928">
      <w:pPr>
        <w:rPr>
          <w:szCs w:val="22"/>
        </w:rPr>
      </w:pPr>
    </w:p>
    <w:p w:rsidR="000A5928" w:rsidRDefault="000A5928" w:rsidP="000A5928">
      <w:pPr>
        <w:rPr>
          <w:szCs w:val="22"/>
        </w:rPr>
      </w:pPr>
      <w:r>
        <w:rPr>
          <w:szCs w:val="22"/>
        </w:rPr>
        <w:lastRenderedPageBreak/>
        <w:t>Jei Jūsų kepenų funkcija sutrikusi, dozės koreguoti nereikia.</w:t>
      </w:r>
    </w:p>
    <w:p w:rsidR="000A5928" w:rsidRPr="00D71E26" w:rsidRDefault="000A5928" w:rsidP="000A5928">
      <w:pPr>
        <w:rPr>
          <w:i/>
          <w:szCs w:val="22"/>
        </w:rPr>
      </w:pPr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 xml:space="preserve">Tabletes galima kramtyti arba čiulpti. </w:t>
      </w:r>
    </w:p>
    <w:p w:rsidR="000A5928" w:rsidRPr="00D71E26" w:rsidRDefault="000A5928" w:rsidP="000A5928">
      <w:pPr>
        <w:rPr>
          <w:b/>
          <w:bCs/>
          <w:szCs w:val="22"/>
        </w:rPr>
      </w:pPr>
    </w:p>
    <w:p w:rsidR="000A5928" w:rsidRPr="00D71E26" w:rsidRDefault="000A5928" w:rsidP="000A5928">
      <w:pPr>
        <w:rPr>
          <w:bCs/>
          <w:szCs w:val="22"/>
        </w:rPr>
      </w:pPr>
      <w:r w:rsidRPr="00D71E26">
        <w:rPr>
          <w:b/>
          <w:bCs/>
          <w:szCs w:val="22"/>
        </w:rPr>
        <w:t>4.</w:t>
      </w:r>
      <w:r w:rsidRPr="00D71E26">
        <w:rPr>
          <w:b/>
          <w:bCs/>
          <w:szCs w:val="22"/>
        </w:rPr>
        <w:tab/>
      </w:r>
      <w:r>
        <w:rPr>
          <w:b/>
          <w:bCs/>
          <w:szCs w:val="22"/>
        </w:rPr>
        <w:t xml:space="preserve">Galimas šalutinis poveikis </w:t>
      </w:r>
    </w:p>
    <w:p w:rsidR="000A5928" w:rsidRDefault="000A5928" w:rsidP="000A5928">
      <w:pPr>
        <w:rPr>
          <w:bCs/>
          <w:szCs w:val="22"/>
        </w:rPr>
      </w:pPr>
    </w:p>
    <w:p w:rsidR="000A5928" w:rsidRPr="00D71E26" w:rsidRDefault="000A5928" w:rsidP="000A5928">
      <w:pPr>
        <w:rPr>
          <w:bCs/>
          <w:szCs w:val="22"/>
        </w:rPr>
      </w:pPr>
      <w:r>
        <w:rPr>
          <w:bCs/>
          <w:szCs w:val="22"/>
        </w:rPr>
        <w:t>Šis vaistas</w:t>
      </w:r>
      <w:r w:rsidRPr="00D71E26">
        <w:rPr>
          <w:bCs/>
          <w:szCs w:val="22"/>
        </w:rPr>
        <w:t xml:space="preserve">, kaip ir </w:t>
      </w:r>
      <w:r>
        <w:rPr>
          <w:bCs/>
          <w:szCs w:val="22"/>
        </w:rPr>
        <w:t>visi kiti</w:t>
      </w:r>
      <w:r w:rsidRPr="00D71E26">
        <w:rPr>
          <w:bCs/>
          <w:szCs w:val="22"/>
        </w:rPr>
        <w:t>, gali sukelti ir šalutinį poveikį</w:t>
      </w:r>
      <w:r>
        <w:rPr>
          <w:bCs/>
          <w:szCs w:val="22"/>
        </w:rPr>
        <w:t>, nors jis pasireiškia ne visiems žmonėms</w:t>
      </w:r>
      <w:r w:rsidRPr="00D71E26">
        <w:rPr>
          <w:bCs/>
          <w:szCs w:val="22"/>
        </w:rPr>
        <w:t xml:space="preserve">. </w:t>
      </w:r>
    </w:p>
    <w:p w:rsidR="000A5928" w:rsidRDefault="000A5928" w:rsidP="000A5928">
      <w:pPr>
        <w:rPr>
          <w:bCs/>
          <w:szCs w:val="22"/>
        </w:rPr>
      </w:pPr>
    </w:p>
    <w:p w:rsidR="000A5928" w:rsidRPr="00307229" w:rsidRDefault="000A5928" w:rsidP="000A5928">
      <w:pPr>
        <w:rPr>
          <w:b/>
          <w:bCs/>
          <w:i/>
          <w:iCs/>
          <w:szCs w:val="22"/>
        </w:rPr>
      </w:pPr>
      <w:r w:rsidRPr="00307229">
        <w:rPr>
          <w:bCs/>
          <w:i/>
          <w:iCs/>
          <w:szCs w:val="22"/>
        </w:rPr>
        <w:t xml:space="preserve">Nedažnas </w:t>
      </w:r>
      <w:r w:rsidRPr="00307229">
        <w:rPr>
          <w:i/>
          <w:iCs/>
          <w:szCs w:val="22"/>
        </w:rPr>
        <w:t>šalutinis poveikis</w:t>
      </w:r>
      <w:r w:rsidRPr="00307229">
        <w:rPr>
          <w:b/>
          <w:i/>
          <w:iCs/>
          <w:szCs w:val="22"/>
        </w:rPr>
        <w:t xml:space="preserve"> </w:t>
      </w:r>
      <w:r w:rsidRPr="00307229">
        <w:rPr>
          <w:bCs/>
          <w:i/>
          <w:iCs/>
          <w:szCs w:val="22"/>
        </w:rPr>
        <w:sym w:font="Symbol" w:char="F028"/>
      </w:r>
      <w:r w:rsidRPr="00307229">
        <w:rPr>
          <w:bCs/>
          <w:i/>
          <w:iCs/>
          <w:szCs w:val="22"/>
        </w:rPr>
        <w:t>gali</w:t>
      </w:r>
      <w:r w:rsidRPr="00307229">
        <w:rPr>
          <w:b/>
          <w:bCs/>
          <w:i/>
          <w:iCs/>
          <w:szCs w:val="22"/>
        </w:rPr>
        <w:t xml:space="preserve"> </w:t>
      </w:r>
      <w:r w:rsidRPr="00307229">
        <w:rPr>
          <w:i/>
          <w:iCs/>
          <w:szCs w:val="22"/>
        </w:rPr>
        <w:t>pasireikšti</w:t>
      </w:r>
      <w:r w:rsidRPr="00307229">
        <w:rPr>
          <w:bCs/>
          <w:i/>
          <w:iCs/>
          <w:szCs w:val="22"/>
        </w:rPr>
        <w:t xml:space="preserve"> 1</w:t>
      </w:r>
      <w:r w:rsidRPr="00307229">
        <w:rPr>
          <w:i/>
          <w:iCs/>
          <w:szCs w:val="22"/>
        </w:rPr>
        <w:t xml:space="preserve"> iš </w:t>
      </w:r>
      <w:r w:rsidRPr="00307229">
        <w:rPr>
          <w:bCs/>
          <w:i/>
          <w:iCs/>
          <w:szCs w:val="22"/>
        </w:rPr>
        <w:t xml:space="preserve">100 </w:t>
      </w:r>
      <w:r w:rsidRPr="00307229">
        <w:rPr>
          <w:i/>
          <w:iCs/>
          <w:szCs w:val="22"/>
        </w:rPr>
        <w:t>vaisto</w:t>
      </w:r>
      <w:r w:rsidRPr="00307229">
        <w:rPr>
          <w:bCs/>
          <w:i/>
          <w:iCs/>
          <w:szCs w:val="22"/>
        </w:rPr>
        <w:t xml:space="preserve"> vartojančių</w:t>
      </w:r>
      <w:r w:rsidRPr="00307229">
        <w:rPr>
          <w:i/>
          <w:iCs/>
          <w:szCs w:val="22"/>
        </w:rPr>
        <w:t xml:space="preserve"> žmonių</w:t>
      </w:r>
      <w:r w:rsidRPr="00307229">
        <w:rPr>
          <w:i/>
          <w:iCs/>
          <w:szCs w:val="22"/>
        </w:rPr>
        <w:sym w:font="Symbol" w:char="F029"/>
      </w:r>
      <w:r w:rsidRPr="00307229">
        <w:rPr>
          <w:i/>
          <w:iCs/>
          <w:szCs w:val="22"/>
        </w:rPr>
        <w:t>:</w:t>
      </w:r>
    </w:p>
    <w:p w:rsidR="000A5928" w:rsidRPr="00D71E26" w:rsidRDefault="000A5928" w:rsidP="000A5928">
      <w:pPr>
        <w:rPr>
          <w:bCs/>
          <w:szCs w:val="22"/>
        </w:rPr>
      </w:pPr>
      <w:r>
        <w:rPr>
          <w:bCs/>
          <w:szCs w:val="22"/>
        </w:rPr>
        <w:t>-</w:t>
      </w:r>
      <w:r w:rsidRPr="00D71E26">
        <w:rPr>
          <w:bCs/>
          <w:szCs w:val="22"/>
        </w:rPr>
        <w:t xml:space="preserve"> </w:t>
      </w:r>
      <w:proofErr w:type="spellStart"/>
      <w:r w:rsidRPr="00D71E26">
        <w:rPr>
          <w:bCs/>
          <w:szCs w:val="22"/>
        </w:rPr>
        <w:t>hiperkalcemija</w:t>
      </w:r>
      <w:proofErr w:type="spellEnd"/>
      <w:r w:rsidRPr="00D71E26">
        <w:rPr>
          <w:bCs/>
          <w:szCs w:val="22"/>
        </w:rPr>
        <w:t xml:space="preserve"> ir </w:t>
      </w:r>
      <w:proofErr w:type="spellStart"/>
      <w:r w:rsidRPr="00D71E26">
        <w:rPr>
          <w:bCs/>
          <w:szCs w:val="22"/>
        </w:rPr>
        <w:t>hiperkalciurija</w:t>
      </w:r>
      <w:proofErr w:type="spellEnd"/>
      <w:r w:rsidRPr="00D71E26">
        <w:rPr>
          <w:bCs/>
          <w:szCs w:val="22"/>
        </w:rPr>
        <w:t xml:space="preserve">. </w:t>
      </w:r>
    </w:p>
    <w:p w:rsidR="000A5928" w:rsidRDefault="000A5928" w:rsidP="000A5928">
      <w:pPr>
        <w:rPr>
          <w:bCs/>
          <w:szCs w:val="22"/>
        </w:rPr>
      </w:pPr>
    </w:p>
    <w:p w:rsidR="000A5928" w:rsidRPr="00307229" w:rsidRDefault="000A5928" w:rsidP="000A5928">
      <w:pPr>
        <w:rPr>
          <w:bCs/>
          <w:i/>
          <w:iCs/>
          <w:szCs w:val="22"/>
        </w:rPr>
      </w:pPr>
      <w:r w:rsidRPr="00307229">
        <w:rPr>
          <w:bCs/>
          <w:i/>
          <w:iCs/>
          <w:szCs w:val="22"/>
        </w:rPr>
        <w:t xml:space="preserve">Retas </w:t>
      </w:r>
      <w:r w:rsidRPr="00307229">
        <w:rPr>
          <w:i/>
          <w:iCs/>
          <w:szCs w:val="22"/>
        </w:rPr>
        <w:t>šalutinis poveikis</w:t>
      </w:r>
      <w:r w:rsidRPr="00307229">
        <w:rPr>
          <w:b/>
          <w:i/>
          <w:iCs/>
          <w:szCs w:val="22"/>
        </w:rPr>
        <w:t xml:space="preserve"> </w:t>
      </w:r>
      <w:r w:rsidRPr="00307229">
        <w:rPr>
          <w:bCs/>
          <w:i/>
          <w:iCs/>
          <w:szCs w:val="22"/>
        </w:rPr>
        <w:sym w:font="Symbol" w:char="F028"/>
      </w:r>
      <w:r w:rsidRPr="00307229">
        <w:rPr>
          <w:bCs/>
          <w:i/>
          <w:iCs/>
          <w:szCs w:val="22"/>
        </w:rPr>
        <w:t xml:space="preserve">gali </w:t>
      </w:r>
      <w:r w:rsidRPr="00307229">
        <w:rPr>
          <w:i/>
          <w:iCs/>
          <w:szCs w:val="22"/>
        </w:rPr>
        <w:t>pasireikšti</w:t>
      </w:r>
      <w:r w:rsidRPr="00307229">
        <w:rPr>
          <w:bCs/>
          <w:i/>
          <w:iCs/>
          <w:szCs w:val="22"/>
        </w:rPr>
        <w:t xml:space="preserve"> 1</w:t>
      </w:r>
      <w:r w:rsidRPr="00307229">
        <w:rPr>
          <w:i/>
          <w:iCs/>
          <w:szCs w:val="22"/>
        </w:rPr>
        <w:t xml:space="preserve"> iš </w:t>
      </w:r>
      <w:r w:rsidRPr="00307229">
        <w:rPr>
          <w:bCs/>
          <w:i/>
          <w:iCs/>
          <w:szCs w:val="22"/>
        </w:rPr>
        <w:t xml:space="preserve">1 000 </w:t>
      </w:r>
      <w:r w:rsidRPr="00307229">
        <w:rPr>
          <w:i/>
          <w:iCs/>
          <w:szCs w:val="22"/>
        </w:rPr>
        <w:t>vaisto</w:t>
      </w:r>
      <w:r w:rsidRPr="00307229">
        <w:rPr>
          <w:bCs/>
          <w:i/>
          <w:iCs/>
          <w:szCs w:val="22"/>
        </w:rPr>
        <w:t xml:space="preserve"> vartojančių</w:t>
      </w:r>
      <w:r w:rsidRPr="00307229">
        <w:rPr>
          <w:i/>
          <w:iCs/>
          <w:szCs w:val="22"/>
        </w:rPr>
        <w:t xml:space="preserve"> žmonių</w:t>
      </w:r>
      <w:r w:rsidRPr="00307229">
        <w:rPr>
          <w:i/>
          <w:iCs/>
          <w:szCs w:val="22"/>
        </w:rPr>
        <w:sym w:font="Symbol" w:char="F029"/>
      </w:r>
      <w:r w:rsidRPr="00307229">
        <w:rPr>
          <w:i/>
          <w:iCs/>
          <w:szCs w:val="22"/>
        </w:rPr>
        <w:t>:</w:t>
      </w:r>
    </w:p>
    <w:p w:rsidR="000A5928" w:rsidRPr="00D71E26" w:rsidRDefault="000A5928" w:rsidP="000A5928">
      <w:pPr>
        <w:rPr>
          <w:bCs/>
          <w:szCs w:val="22"/>
        </w:rPr>
      </w:pPr>
      <w:r>
        <w:rPr>
          <w:bCs/>
          <w:szCs w:val="22"/>
        </w:rPr>
        <w:t>-</w:t>
      </w:r>
      <w:r w:rsidRPr="00D71E26">
        <w:rPr>
          <w:bCs/>
          <w:szCs w:val="22"/>
        </w:rPr>
        <w:t xml:space="preserve"> virškinimo trakto veiklos sutrikimas, įskaitant vidurių užkietėjimą, </w:t>
      </w:r>
      <w:proofErr w:type="spellStart"/>
      <w:r>
        <w:rPr>
          <w:bCs/>
          <w:szCs w:val="22"/>
        </w:rPr>
        <w:t>nevirškinimą</w:t>
      </w:r>
      <w:proofErr w:type="spellEnd"/>
      <w:r>
        <w:rPr>
          <w:bCs/>
          <w:szCs w:val="22"/>
        </w:rPr>
        <w:t xml:space="preserve">, </w:t>
      </w:r>
      <w:r w:rsidRPr="00D71E26">
        <w:rPr>
          <w:bCs/>
          <w:szCs w:val="22"/>
        </w:rPr>
        <w:t xml:space="preserve">pūtimą, pykinimą, pilvo skausmą bei viduriavimą. </w:t>
      </w:r>
    </w:p>
    <w:p w:rsidR="000A5928" w:rsidRPr="00D71E26" w:rsidRDefault="000A5928" w:rsidP="000A5928">
      <w:pPr>
        <w:rPr>
          <w:bCs/>
          <w:szCs w:val="22"/>
        </w:rPr>
      </w:pPr>
    </w:p>
    <w:p w:rsidR="000A5928" w:rsidRPr="00307229" w:rsidRDefault="000A5928" w:rsidP="000A5928">
      <w:pPr>
        <w:rPr>
          <w:b/>
          <w:bCs/>
          <w:i/>
          <w:iCs/>
          <w:szCs w:val="22"/>
        </w:rPr>
      </w:pPr>
      <w:r w:rsidRPr="00307229">
        <w:rPr>
          <w:bCs/>
          <w:i/>
          <w:iCs/>
          <w:szCs w:val="22"/>
        </w:rPr>
        <w:t xml:space="preserve">Labai retas šalutinis poveikis </w:t>
      </w:r>
      <w:r w:rsidRPr="00307229">
        <w:rPr>
          <w:bCs/>
          <w:i/>
          <w:iCs/>
          <w:szCs w:val="22"/>
        </w:rPr>
        <w:sym w:font="Symbol" w:char="F028"/>
      </w:r>
      <w:r w:rsidRPr="00307229">
        <w:rPr>
          <w:bCs/>
          <w:i/>
          <w:iCs/>
          <w:szCs w:val="22"/>
        </w:rPr>
        <w:t xml:space="preserve">gali </w:t>
      </w:r>
      <w:r w:rsidRPr="00307229">
        <w:rPr>
          <w:i/>
          <w:iCs/>
          <w:szCs w:val="22"/>
        </w:rPr>
        <w:t>pasireikšti</w:t>
      </w:r>
      <w:r w:rsidRPr="00307229">
        <w:rPr>
          <w:bCs/>
          <w:i/>
          <w:iCs/>
          <w:szCs w:val="22"/>
        </w:rPr>
        <w:t xml:space="preserve"> 1 iš 10 000 vaisto vartojančių žmonių</w:t>
      </w:r>
      <w:r w:rsidRPr="00307229">
        <w:rPr>
          <w:bCs/>
          <w:i/>
          <w:iCs/>
          <w:szCs w:val="22"/>
        </w:rPr>
        <w:sym w:font="Symbol" w:char="F029"/>
      </w:r>
      <w:r w:rsidRPr="00307229">
        <w:rPr>
          <w:bCs/>
          <w:i/>
          <w:iCs/>
          <w:szCs w:val="22"/>
        </w:rPr>
        <w:t>:</w:t>
      </w:r>
    </w:p>
    <w:p w:rsidR="000A5928" w:rsidRPr="00D71E26" w:rsidRDefault="000A5928" w:rsidP="000A5928">
      <w:pPr>
        <w:rPr>
          <w:bCs/>
          <w:szCs w:val="22"/>
        </w:rPr>
      </w:pPr>
      <w:r>
        <w:rPr>
          <w:bCs/>
          <w:szCs w:val="22"/>
        </w:rPr>
        <w:t>-</w:t>
      </w:r>
      <w:r w:rsidRPr="00D71E26">
        <w:rPr>
          <w:bCs/>
          <w:szCs w:val="22"/>
        </w:rPr>
        <w:t xml:space="preserve"> alerginė reakcija,</w:t>
      </w:r>
      <w:r>
        <w:rPr>
          <w:bCs/>
          <w:szCs w:val="22"/>
        </w:rPr>
        <w:t xml:space="preserve"> niežulys, išbėrimas, dilgėlinė;</w:t>
      </w:r>
      <w:r w:rsidRPr="00D71E26">
        <w:rPr>
          <w:bCs/>
          <w:szCs w:val="22"/>
        </w:rPr>
        <w:t xml:space="preserve">  </w:t>
      </w:r>
    </w:p>
    <w:p w:rsidR="000A5928" w:rsidRDefault="000A5928" w:rsidP="000A5928">
      <w:pPr>
        <w:rPr>
          <w:szCs w:val="22"/>
        </w:rPr>
      </w:pPr>
      <w:r>
        <w:rPr>
          <w:szCs w:val="22"/>
        </w:rPr>
        <w:t>-</w:t>
      </w:r>
      <w:r w:rsidRPr="009A40A6">
        <w:rPr>
          <w:szCs w:val="22"/>
        </w:rPr>
        <w:t xml:space="preserve"> pieno-šarmų sindromas (jo požymiai yra poreikis dažnai šlapintis, nuolatinis galvos skausmas, nuolatinis apetito nebuvimas, pykinimas arba vėmimas, neįprastas nuovargis ar silpnumas, didelis kalcio kiekis kraujyje, kraujo </w:t>
      </w:r>
      <w:proofErr w:type="spellStart"/>
      <w:r w:rsidRPr="009A40A6">
        <w:rPr>
          <w:szCs w:val="22"/>
        </w:rPr>
        <w:t>pašarmėjimas</w:t>
      </w:r>
      <w:proofErr w:type="spellEnd"/>
      <w:r w:rsidRPr="009A40A6">
        <w:rPr>
          <w:szCs w:val="22"/>
        </w:rPr>
        <w:t xml:space="preserve"> ir inkstų funkcijos sutrikimas).</w:t>
      </w:r>
    </w:p>
    <w:p w:rsidR="000A5928" w:rsidRDefault="000A5928" w:rsidP="000A5928">
      <w:pPr>
        <w:rPr>
          <w:szCs w:val="22"/>
        </w:rPr>
      </w:pPr>
    </w:p>
    <w:p w:rsidR="000A5928" w:rsidRPr="00B21AC6" w:rsidRDefault="000A5928" w:rsidP="000A5928">
      <w:pPr>
        <w:tabs>
          <w:tab w:val="left" w:pos="567"/>
        </w:tabs>
        <w:rPr>
          <w:rFonts w:eastAsia="Times New Roman"/>
          <w:b/>
          <w:snapToGrid w:val="0"/>
          <w:szCs w:val="24"/>
          <w:lang w:eastAsia="en-US"/>
        </w:rPr>
      </w:pPr>
      <w:r w:rsidRPr="00B21AC6">
        <w:rPr>
          <w:rFonts w:eastAsia="Times New Roman"/>
          <w:b/>
          <w:noProof/>
          <w:snapToGrid w:val="0"/>
          <w:szCs w:val="24"/>
          <w:lang w:eastAsia="en-US"/>
        </w:rPr>
        <w:t>Pranešimas apie šalutinį poveikį</w:t>
      </w:r>
    </w:p>
    <w:p w:rsidR="000A5928" w:rsidRPr="00503D27" w:rsidRDefault="000A5928" w:rsidP="000A5928">
      <w:pPr>
        <w:ind w:right="-449"/>
        <w:rPr>
          <w:noProof/>
          <w:szCs w:val="24"/>
        </w:rPr>
      </w:pPr>
      <w:r w:rsidRPr="00B34FA1">
        <w:rPr>
          <w:noProof/>
          <w:szCs w:val="24"/>
        </w:rPr>
        <w:t>Jeigu pasireiškė šalutinis poveikis, įskaitant šiame l</w:t>
      </w:r>
      <w:r>
        <w:rPr>
          <w:noProof/>
          <w:szCs w:val="24"/>
        </w:rPr>
        <w:t xml:space="preserve">apelyje nenurodytą, pasakykite gydytojui arba </w:t>
      </w:r>
      <w:r w:rsidRPr="00B34FA1">
        <w:rPr>
          <w:noProof/>
          <w:szCs w:val="24"/>
        </w:rPr>
        <w:t>vaistininkui</w:t>
      </w:r>
      <w:r w:rsidRPr="00B34FA1">
        <w:rPr>
          <w:szCs w:val="22"/>
        </w:rPr>
        <w:t>.</w:t>
      </w:r>
      <w:r w:rsidRPr="00B34FA1">
        <w:rPr>
          <w:noProof/>
          <w:szCs w:val="24"/>
        </w:rPr>
        <w:t xml:space="preserve"> </w:t>
      </w:r>
      <w:r w:rsidRPr="002427F7">
        <w:t>Apie šalutinį poveikį taip pat galite pranešti Valstybinei vaistų kontrolės tarnybai prie Lietuvos Respublikos sveikatos apsaugos ministerijos nemokamu t</w:t>
      </w:r>
      <w:r w:rsidRPr="002427F7">
        <w:rPr>
          <w:lang w:eastAsia="zh-CN"/>
        </w:rPr>
        <w:t>elefonu 8 800 73568</w:t>
      </w:r>
      <w:r w:rsidRPr="002427F7">
        <w:t xml:space="preserve"> arba užpildyti interneto svetainėje </w:t>
      </w:r>
      <w:hyperlink r:id="rId5" w:history="1">
        <w:r w:rsidRPr="002427F7">
          <w:rPr>
            <w:rStyle w:val="Hipersaitas"/>
            <w:rFonts w:eastAsia="SimSun"/>
          </w:rPr>
          <w:t>www.vvkt.lt</w:t>
        </w:r>
      </w:hyperlink>
      <w:r w:rsidRPr="002427F7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2427F7">
        <w:rPr>
          <w:lang w:eastAsia="zh-CN"/>
        </w:rPr>
        <w:t xml:space="preserve">nemokamu </w:t>
      </w:r>
      <w:r w:rsidRPr="002427F7">
        <w:t>fakso numeriu 8 800 20131</w:t>
      </w:r>
      <w:r w:rsidRPr="002427F7">
        <w:rPr>
          <w:lang w:eastAsia="zh-CN"/>
        </w:rPr>
        <w:t xml:space="preserve">, </w:t>
      </w:r>
      <w:r w:rsidRPr="002427F7">
        <w:t xml:space="preserve">el. paštu </w:t>
      </w:r>
      <w:hyperlink r:id="rId6" w:history="1">
        <w:r w:rsidRPr="002427F7">
          <w:rPr>
            <w:rStyle w:val="Hipersaitas"/>
            <w:rFonts w:eastAsia="SimSun"/>
          </w:rPr>
          <w:t>NepageidaujamaR@vvkt.lt</w:t>
        </w:r>
      </w:hyperlink>
      <w:r w:rsidRPr="002427F7">
        <w:t xml:space="preserve">, taip pat per Valstybinės vaistų kontrolės tarnybos prie Lietuvos Respublikos sveikatos apsaugos ministerijos interneto svetainę (adresu </w:t>
      </w:r>
      <w:hyperlink r:id="rId7" w:history="1">
        <w:r w:rsidRPr="002427F7">
          <w:rPr>
            <w:rStyle w:val="Hipersaitas"/>
            <w:rFonts w:eastAsia="SimSun"/>
          </w:rPr>
          <w:t>http://www.vvkt.lt</w:t>
        </w:r>
      </w:hyperlink>
      <w:r w:rsidRPr="002427F7">
        <w:t>). Pranešdami apie šalutinį poveikį galite mums padėti gauti daugiau informacijos apie šio vaisto saugumą.</w:t>
      </w:r>
    </w:p>
    <w:p w:rsidR="000A5928" w:rsidRDefault="000A5928" w:rsidP="000A5928">
      <w:pPr>
        <w:ind w:right="-449"/>
        <w:rPr>
          <w:noProof/>
          <w:szCs w:val="24"/>
        </w:rPr>
      </w:pPr>
    </w:p>
    <w:p w:rsidR="000A5928" w:rsidRPr="00D71E26" w:rsidRDefault="000A5928" w:rsidP="000A5928">
      <w:pPr>
        <w:rPr>
          <w:b/>
          <w:szCs w:val="22"/>
        </w:rPr>
      </w:pPr>
    </w:p>
    <w:p w:rsidR="000A5928" w:rsidRPr="00D71E26" w:rsidRDefault="000A5928" w:rsidP="000A5928">
      <w:pPr>
        <w:rPr>
          <w:szCs w:val="22"/>
        </w:rPr>
      </w:pPr>
      <w:r w:rsidRPr="00D71E26">
        <w:rPr>
          <w:b/>
          <w:szCs w:val="22"/>
        </w:rPr>
        <w:t>5.</w:t>
      </w:r>
      <w:r w:rsidRPr="00D71E26">
        <w:rPr>
          <w:b/>
          <w:szCs w:val="22"/>
        </w:rPr>
        <w:tab/>
      </w:r>
      <w:r>
        <w:rPr>
          <w:b/>
          <w:szCs w:val="22"/>
        </w:rPr>
        <w:t xml:space="preserve">Kaip laikyti </w:t>
      </w:r>
      <w:proofErr w:type="spellStart"/>
      <w:r>
        <w:rPr>
          <w:b/>
          <w:szCs w:val="22"/>
        </w:rPr>
        <w:t>Calcigran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Sine</w:t>
      </w:r>
      <w:proofErr w:type="spellEnd"/>
      <w:r>
        <w:rPr>
          <w:b/>
          <w:szCs w:val="22"/>
        </w:rPr>
        <w:t xml:space="preserve"> </w:t>
      </w:r>
    </w:p>
    <w:p w:rsidR="000A5928" w:rsidRDefault="000A5928" w:rsidP="000A5928">
      <w:pPr>
        <w:rPr>
          <w:szCs w:val="22"/>
        </w:rPr>
      </w:pPr>
    </w:p>
    <w:p w:rsidR="000A5928" w:rsidRPr="00D71E26" w:rsidRDefault="000A5928" w:rsidP="000A5928">
      <w:pPr>
        <w:rPr>
          <w:szCs w:val="22"/>
        </w:rPr>
      </w:pPr>
      <w:r>
        <w:rPr>
          <w:szCs w:val="22"/>
        </w:rPr>
        <w:t>Šį vaistą l</w:t>
      </w:r>
      <w:r w:rsidRPr="00D71E26">
        <w:rPr>
          <w:szCs w:val="22"/>
        </w:rPr>
        <w:t>aiky</w:t>
      </w:r>
      <w:r>
        <w:rPr>
          <w:szCs w:val="22"/>
        </w:rPr>
        <w:t>ki</w:t>
      </w:r>
      <w:r w:rsidRPr="00D71E26">
        <w:rPr>
          <w:szCs w:val="22"/>
        </w:rPr>
        <w:t>t</w:t>
      </w:r>
      <w:r>
        <w:rPr>
          <w:szCs w:val="22"/>
        </w:rPr>
        <w:t>e</w:t>
      </w:r>
      <w:r w:rsidRPr="00D71E26">
        <w:rPr>
          <w:szCs w:val="22"/>
        </w:rPr>
        <w:t xml:space="preserve"> vaikams nepastebimoje ir nepasiekiamoje</w:t>
      </w:r>
      <w:r w:rsidRPr="00D71E26" w:rsidDel="001B72D6">
        <w:rPr>
          <w:szCs w:val="22"/>
        </w:rPr>
        <w:t xml:space="preserve"> </w:t>
      </w:r>
      <w:r w:rsidRPr="00D71E26">
        <w:rPr>
          <w:szCs w:val="22"/>
        </w:rPr>
        <w:t>vietoje.</w:t>
      </w:r>
    </w:p>
    <w:p w:rsidR="000A5928" w:rsidRDefault="000A5928" w:rsidP="000A5928">
      <w:pPr>
        <w:rPr>
          <w:szCs w:val="22"/>
        </w:rPr>
      </w:pPr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 xml:space="preserve">Laikyti ne aukštesnėje kaip 30 </w:t>
      </w:r>
      <w:r w:rsidRPr="00D71E26">
        <w:rPr>
          <w:szCs w:val="22"/>
        </w:rPr>
        <w:sym w:font="Symbol" w:char="F0B0"/>
      </w:r>
      <w:r w:rsidRPr="00D71E26">
        <w:rPr>
          <w:szCs w:val="22"/>
        </w:rPr>
        <w:t xml:space="preserve">C temperatūroje. Tablečių </w:t>
      </w:r>
      <w:proofErr w:type="spellStart"/>
      <w:r w:rsidRPr="00D71E26">
        <w:rPr>
          <w:szCs w:val="22"/>
        </w:rPr>
        <w:t>talpyklę</w:t>
      </w:r>
      <w:proofErr w:type="spellEnd"/>
      <w:r w:rsidRPr="00D71E26">
        <w:rPr>
          <w:szCs w:val="22"/>
        </w:rPr>
        <w:t xml:space="preserve"> laikyti sandarią, kad </w:t>
      </w:r>
      <w:r>
        <w:rPr>
          <w:szCs w:val="22"/>
        </w:rPr>
        <w:t>vaistas</w:t>
      </w:r>
      <w:r w:rsidRPr="00D71E26">
        <w:rPr>
          <w:szCs w:val="22"/>
        </w:rPr>
        <w:t xml:space="preserve"> būtų apsaugotas nuo drėgmės. </w:t>
      </w:r>
    </w:p>
    <w:p w:rsidR="000A5928" w:rsidRPr="00D71E26" w:rsidRDefault="000A5928" w:rsidP="000A5928">
      <w:pPr>
        <w:pStyle w:val="BTEMEASMCA"/>
        <w:rPr>
          <w:noProof w:val="0"/>
        </w:rPr>
      </w:pPr>
    </w:p>
    <w:p w:rsidR="000A5928" w:rsidRPr="00D71E26" w:rsidRDefault="000A5928" w:rsidP="000A5928">
      <w:pPr>
        <w:pStyle w:val="BTEMEASMCA"/>
        <w:rPr>
          <w:noProof w:val="0"/>
        </w:rPr>
      </w:pPr>
      <w:r w:rsidRPr="00D71E26">
        <w:rPr>
          <w:noProof w:val="0"/>
        </w:rPr>
        <w:t xml:space="preserve">Ant </w:t>
      </w:r>
      <w:r>
        <w:rPr>
          <w:noProof w:val="0"/>
        </w:rPr>
        <w:t xml:space="preserve">tablečių </w:t>
      </w:r>
      <w:proofErr w:type="spellStart"/>
      <w:r w:rsidRPr="00D71E26">
        <w:rPr>
          <w:noProof w:val="0"/>
        </w:rPr>
        <w:t>talpyklės</w:t>
      </w:r>
      <w:proofErr w:type="spellEnd"/>
      <w:r w:rsidRPr="00D71E26">
        <w:rPr>
          <w:noProof w:val="0"/>
        </w:rPr>
        <w:t xml:space="preserve"> ir dėžutės po „Tinka iki“ nurodytam tinkamumo laikui pasibaigus, </w:t>
      </w:r>
      <w:r>
        <w:t>šio vaisto</w:t>
      </w:r>
      <w:r w:rsidRPr="00D71E26">
        <w:t xml:space="preserve"> vartoti negalima. </w:t>
      </w:r>
      <w:r w:rsidRPr="00D71E26">
        <w:rPr>
          <w:noProof w:val="0"/>
        </w:rPr>
        <w:t>Vaistas tinka</w:t>
      </w:r>
      <w:r>
        <w:rPr>
          <w:noProof w:val="0"/>
        </w:rPr>
        <w:t>mas</w:t>
      </w:r>
      <w:r w:rsidRPr="00D71E26">
        <w:rPr>
          <w:noProof w:val="0"/>
        </w:rPr>
        <w:t xml:space="preserve"> vartoti iki paskutinės nurodyto mėnesio dienos.</w:t>
      </w:r>
    </w:p>
    <w:p w:rsidR="000A5928" w:rsidRPr="00D71E26" w:rsidRDefault="000A5928" w:rsidP="000A5928">
      <w:pPr>
        <w:pStyle w:val="BTEMEASMCA"/>
        <w:rPr>
          <w:noProof w:val="0"/>
        </w:rPr>
      </w:pPr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>Vaistų negalima iš</w:t>
      </w:r>
      <w:r>
        <w:rPr>
          <w:szCs w:val="22"/>
        </w:rPr>
        <w:t>mesti</w:t>
      </w:r>
      <w:r w:rsidRPr="00D71E26">
        <w:rPr>
          <w:szCs w:val="22"/>
        </w:rPr>
        <w:t xml:space="preserve"> į kanalizaciją arba su buitinėmis atliekomis. Kaip </w:t>
      </w:r>
      <w:r>
        <w:rPr>
          <w:szCs w:val="22"/>
        </w:rPr>
        <w:t>išmesti</w:t>
      </w:r>
      <w:r w:rsidRPr="00D71E26">
        <w:rPr>
          <w:szCs w:val="22"/>
        </w:rPr>
        <w:t xml:space="preserve"> nereikalingus vaistus, klauskite vaistininko. Šios priemonės padės apsaugoti aplinką.</w:t>
      </w:r>
    </w:p>
    <w:p w:rsidR="000A5928" w:rsidRDefault="000A5928" w:rsidP="000A5928">
      <w:pPr>
        <w:rPr>
          <w:b/>
          <w:szCs w:val="22"/>
        </w:rPr>
      </w:pPr>
    </w:p>
    <w:p w:rsidR="000A5928" w:rsidRPr="00D71E26" w:rsidRDefault="000A5928" w:rsidP="000A5928">
      <w:pPr>
        <w:rPr>
          <w:b/>
          <w:szCs w:val="22"/>
        </w:rPr>
      </w:pPr>
      <w:r w:rsidRPr="00D71E26">
        <w:rPr>
          <w:b/>
          <w:szCs w:val="22"/>
        </w:rPr>
        <w:t>6.</w:t>
      </w:r>
      <w:r w:rsidRPr="00D71E26">
        <w:rPr>
          <w:b/>
          <w:szCs w:val="22"/>
        </w:rPr>
        <w:tab/>
      </w:r>
      <w:r>
        <w:rPr>
          <w:b/>
          <w:szCs w:val="22"/>
        </w:rPr>
        <w:t xml:space="preserve">Pakuotės turinys ir kita informacija </w:t>
      </w:r>
    </w:p>
    <w:p w:rsidR="000A5928" w:rsidRPr="00D71E26" w:rsidRDefault="000A5928" w:rsidP="000A5928">
      <w:pPr>
        <w:rPr>
          <w:b/>
          <w:szCs w:val="22"/>
        </w:rPr>
      </w:pPr>
    </w:p>
    <w:p w:rsidR="000A5928" w:rsidRPr="00D71E26" w:rsidRDefault="000A5928" w:rsidP="000A5928">
      <w:pPr>
        <w:pStyle w:val="PI-3EMEASMCA"/>
        <w:rPr>
          <w:u w:val="single"/>
        </w:rPr>
      </w:pPr>
      <w:proofErr w:type="spellStart"/>
      <w:r w:rsidRPr="00D71E26">
        <w:t>Calcigran</w:t>
      </w:r>
      <w:proofErr w:type="spellEnd"/>
      <w:r w:rsidRPr="00D71E26">
        <w:t xml:space="preserve"> </w:t>
      </w:r>
      <w:proofErr w:type="spellStart"/>
      <w:r w:rsidRPr="00D71E26">
        <w:t>Sine</w:t>
      </w:r>
      <w:proofErr w:type="spellEnd"/>
      <w:r w:rsidRPr="00D71E26">
        <w:t xml:space="preserve"> sudėtis</w:t>
      </w:r>
    </w:p>
    <w:p w:rsidR="000A5928" w:rsidRPr="00D71E26" w:rsidRDefault="000A5928" w:rsidP="000A5928">
      <w:pPr>
        <w:pStyle w:val="BT-EMEASMCA"/>
        <w:numPr>
          <w:ilvl w:val="0"/>
          <w:numId w:val="2"/>
        </w:numPr>
      </w:pPr>
      <w:r w:rsidRPr="00D71E26">
        <w:t>Veiklioji medžiaga yra kalcis. Vienoje kramtomojoje tabletėje yra 500 mg kalcio (1250 mg kalcio karbonato pavidalu).</w:t>
      </w:r>
    </w:p>
    <w:p w:rsidR="000A5928" w:rsidRPr="00D71E26" w:rsidRDefault="000A5928" w:rsidP="000A5928">
      <w:pPr>
        <w:pStyle w:val="BT-EMEASMCA"/>
        <w:numPr>
          <w:ilvl w:val="0"/>
          <w:numId w:val="2"/>
        </w:numPr>
      </w:pPr>
      <w:r w:rsidRPr="00D71E26">
        <w:t xml:space="preserve">Pagalbinės medžiagos yra </w:t>
      </w:r>
      <w:r>
        <w:t xml:space="preserve">ksilitolis (E967), </w:t>
      </w:r>
      <w:r w:rsidRPr="00D71E26">
        <w:t xml:space="preserve"> povidonas, magnio stearatas, </w:t>
      </w:r>
      <w:r>
        <w:t>sukralozė (E955)</w:t>
      </w:r>
      <w:r w:rsidRPr="00D71E26">
        <w:t>, apelsinų skonio medžiagos granuliatas (</w:t>
      </w:r>
      <w:r w:rsidRPr="00D71E26">
        <w:rPr>
          <w:bCs/>
        </w:rPr>
        <w:t>izomaltas</w:t>
      </w:r>
      <w:r w:rsidRPr="00D71E26">
        <w:t xml:space="preserve"> (E953), apelsinų skonio medžiaga, riebalų rūgščių monogliceridai bei digliceridai).</w:t>
      </w:r>
    </w:p>
    <w:p w:rsidR="000A5928" w:rsidRDefault="000A5928" w:rsidP="000A5928">
      <w:pPr>
        <w:pStyle w:val="PI-3EMEASMCA"/>
      </w:pPr>
    </w:p>
    <w:p w:rsidR="000A5928" w:rsidRPr="00D71E26" w:rsidRDefault="000A5928" w:rsidP="000A5928">
      <w:pPr>
        <w:pStyle w:val="PI-3EMEASMCA"/>
        <w:rPr>
          <w:u w:val="single"/>
        </w:rPr>
      </w:pPr>
      <w:proofErr w:type="spellStart"/>
      <w:r w:rsidRPr="00D71E26">
        <w:t>Calcigran</w:t>
      </w:r>
      <w:proofErr w:type="spellEnd"/>
      <w:r w:rsidRPr="00D71E26">
        <w:t xml:space="preserve"> </w:t>
      </w:r>
      <w:proofErr w:type="spellStart"/>
      <w:r w:rsidRPr="00D71E26">
        <w:t>Sine</w:t>
      </w:r>
      <w:proofErr w:type="spellEnd"/>
      <w:r w:rsidRPr="00D71E26">
        <w:t xml:space="preserve"> išvaizda ir kiekis pakuotėje</w:t>
      </w:r>
    </w:p>
    <w:p w:rsidR="000A5928" w:rsidRPr="00D71E26" w:rsidRDefault="000A5928" w:rsidP="000A5928">
      <w:pPr>
        <w:rPr>
          <w:szCs w:val="22"/>
        </w:rPr>
      </w:pPr>
      <w:r>
        <w:rPr>
          <w:szCs w:val="22"/>
        </w:rPr>
        <w:t>Kramtomosios t</w:t>
      </w:r>
      <w:r w:rsidRPr="00D71E26">
        <w:rPr>
          <w:szCs w:val="22"/>
        </w:rPr>
        <w:t xml:space="preserve">abletės yra apvalios, baltos, nedengtos, išgaubtos. Jose gali būti mažų dėmelių. </w:t>
      </w:r>
    </w:p>
    <w:p w:rsidR="000A5928" w:rsidRPr="00D71E26" w:rsidRDefault="000A5928" w:rsidP="000A5928">
      <w:pPr>
        <w:pStyle w:val="BTEMEASMCA"/>
        <w:rPr>
          <w:noProof w:val="0"/>
        </w:rPr>
      </w:pPr>
      <w:r w:rsidRPr="00D71E26">
        <w:rPr>
          <w:noProof w:val="0"/>
        </w:rPr>
        <w:lastRenderedPageBreak/>
        <w:t xml:space="preserve">Pakuotėje yra 60 arba 100 </w:t>
      </w:r>
      <w:r>
        <w:rPr>
          <w:noProof w:val="0"/>
        </w:rPr>
        <w:t xml:space="preserve">kramtomųjų </w:t>
      </w:r>
      <w:r w:rsidRPr="00D71E26">
        <w:rPr>
          <w:noProof w:val="0"/>
        </w:rPr>
        <w:t>tablečių.</w:t>
      </w:r>
    </w:p>
    <w:p w:rsidR="000A5928" w:rsidRPr="00D71E26" w:rsidRDefault="000A5928" w:rsidP="000A5928">
      <w:pPr>
        <w:pStyle w:val="BTEMEASMCA"/>
        <w:rPr>
          <w:noProof w:val="0"/>
        </w:rPr>
      </w:pPr>
    </w:p>
    <w:p w:rsidR="000A5928" w:rsidRPr="00D71E26" w:rsidRDefault="000A5928" w:rsidP="000A5928">
      <w:pPr>
        <w:rPr>
          <w:szCs w:val="22"/>
        </w:rPr>
      </w:pPr>
      <w:r w:rsidRPr="00D71E26">
        <w:rPr>
          <w:szCs w:val="22"/>
        </w:rPr>
        <w:t xml:space="preserve">Gali būti tiekiamos ne visų dydžių pakuotės. </w:t>
      </w:r>
    </w:p>
    <w:p w:rsidR="000A5928" w:rsidRPr="00D71E26" w:rsidRDefault="000A5928" w:rsidP="000A5928">
      <w:pPr>
        <w:pStyle w:val="BTEMEASMCA"/>
        <w:rPr>
          <w:noProof w:val="0"/>
        </w:rPr>
      </w:pPr>
    </w:p>
    <w:p w:rsidR="000A5928" w:rsidRPr="00D71E26" w:rsidRDefault="000A5928" w:rsidP="000A5928">
      <w:pPr>
        <w:pStyle w:val="PI-3EMEASMCA"/>
        <w:rPr>
          <w:b w:val="0"/>
        </w:rPr>
      </w:pPr>
      <w:r>
        <w:t>Registruotojas</w:t>
      </w:r>
      <w:r w:rsidRPr="00D71E26">
        <w:t xml:space="preserve"> ir gamintojas</w:t>
      </w:r>
    </w:p>
    <w:p w:rsidR="000A5928" w:rsidRPr="00D71E26" w:rsidRDefault="000A5928" w:rsidP="000A5928">
      <w:pPr>
        <w:rPr>
          <w:b/>
          <w:szCs w:val="22"/>
        </w:rPr>
      </w:pPr>
      <w:r>
        <w:rPr>
          <w:b/>
          <w:szCs w:val="22"/>
        </w:rPr>
        <w:t>Registruotojas</w:t>
      </w:r>
    </w:p>
    <w:p w:rsidR="000A5928" w:rsidRPr="00443E1C" w:rsidRDefault="000A5928" w:rsidP="000A5928">
      <w:pPr>
        <w:rPr>
          <w:szCs w:val="22"/>
        </w:rPr>
      </w:pPr>
      <w:proofErr w:type="spellStart"/>
      <w:r w:rsidRPr="00443E1C">
        <w:rPr>
          <w:szCs w:val="22"/>
        </w:rPr>
        <w:t>Orifarm</w:t>
      </w:r>
      <w:proofErr w:type="spellEnd"/>
      <w:r w:rsidRPr="00443E1C">
        <w:rPr>
          <w:szCs w:val="22"/>
        </w:rPr>
        <w:t xml:space="preserve"> </w:t>
      </w:r>
      <w:proofErr w:type="spellStart"/>
      <w:r w:rsidRPr="00443E1C">
        <w:rPr>
          <w:szCs w:val="22"/>
        </w:rPr>
        <w:t>Healthcare</w:t>
      </w:r>
      <w:proofErr w:type="spellEnd"/>
      <w:r w:rsidRPr="00443E1C">
        <w:rPr>
          <w:szCs w:val="22"/>
        </w:rPr>
        <w:t xml:space="preserve"> A/S</w:t>
      </w:r>
    </w:p>
    <w:p w:rsidR="000A5928" w:rsidRPr="00443E1C" w:rsidRDefault="000A5928" w:rsidP="000A5928">
      <w:pPr>
        <w:rPr>
          <w:szCs w:val="22"/>
        </w:rPr>
      </w:pPr>
      <w:proofErr w:type="spellStart"/>
      <w:r w:rsidRPr="00443E1C">
        <w:rPr>
          <w:szCs w:val="22"/>
        </w:rPr>
        <w:t>Energivej</w:t>
      </w:r>
      <w:proofErr w:type="spellEnd"/>
      <w:r w:rsidRPr="00443E1C">
        <w:rPr>
          <w:szCs w:val="22"/>
        </w:rPr>
        <w:t xml:space="preserve"> 15</w:t>
      </w:r>
    </w:p>
    <w:p w:rsidR="000A5928" w:rsidRPr="00443E1C" w:rsidRDefault="000A5928" w:rsidP="000A5928">
      <w:pPr>
        <w:rPr>
          <w:szCs w:val="22"/>
        </w:rPr>
      </w:pPr>
      <w:r w:rsidRPr="00443E1C">
        <w:rPr>
          <w:szCs w:val="22"/>
        </w:rPr>
        <w:t>5260 Odense S</w:t>
      </w:r>
    </w:p>
    <w:p w:rsidR="000A5928" w:rsidRPr="00443E1C" w:rsidRDefault="000A5928" w:rsidP="000A5928">
      <w:pPr>
        <w:rPr>
          <w:szCs w:val="22"/>
        </w:rPr>
      </w:pPr>
      <w:r w:rsidRPr="00443E1C">
        <w:rPr>
          <w:szCs w:val="22"/>
        </w:rPr>
        <w:t>Danija</w:t>
      </w:r>
    </w:p>
    <w:p w:rsidR="000A5928" w:rsidRDefault="000A5928" w:rsidP="000A5928">
      <w:pPr>
        <w:rPr>
          <w:szCs w:val="22"/>
        </w:rPr>
      </w:pPr>
      <w:hyperlink r:id="rId8" w:history="1">
        <w:r w:rsidRPr="008A3BD2">
          <w:rPr>
            <w:rStyle w:val="Hipersaitas"/>
            <w:szCs w:val="22"/>
          </w:rPr>
          <w:t>info-baltics@orifarm.com</w:t>
        </w:r>
      </w:hyperlink>
    </w:p>
    <w:p w:rsidR="000A5928" w:rsidRPr="00D71E26" w:rsidRDefault="000A5928" w:rsidP="000A5928">
      <w:pPr>
        <w:rPr>
          <w:b/>
          <w:szCs w:val="22"/>
        </w:rPr>
      </w:pPr>
    </w:p>
    <w:p w:rsidR="000A5928" w:rsidRPr="00D71E26" w:rsidRDefault="000A5928" w:rsidP="000A5928">
      <w:pPr>
        <w:rPr>
          <w:b/>
          <w:szCs w:val="22"/>
        </w:rPr>
      </w:pPr>
      <w:r w:rsidRPr="00D71E26">
        <w:rPr>
          <w:b/>
          <w:szCs w:val="22"/>
        </w:rPr>
        <w:t>Gamintojas</w:t>
      </w:r>
    </w:p>
    <w:p w:rsidR="000A5928" w:rsidRPr="006D3369" w:rsidRDefault="000A5928" w:rsidP="000A5928">
      <w:pPr>
        <w:pStyle w:val="BTEMEASMCA"/>
      </w:pPr>
      <w:r w:rsidRPr="001415E3">
        <w:t>Asker Contract Manufacturing AS</w:t>
      </w:r>
    </w:p>
    <w:p w:rsidR="000A5928" w:rsidRPr="006D3369" w:rsidRDefault="000A5928" w:rsidP="000A5928">
      <w:pPr>
        <w:pStyle w:val="BTEMEASMCA"/>
      </w:pPr>
      <w:r w:rsidRPr="006D3369">
        <w:t>Drammensveien 852</w:t>
      </w:r>
    </w:p>
    <w:p w:rsidR="000A5928" w:rsidRPr="006D3369" w:rsidRDefault="000A5928" w:rsidP="000A5928">
      <w:pPr>
        <w:pStyle w:val="BTEMEASMCA"/>
      </w:pPr>
      <w:r w:rsidRPr="006D3369">
        <w:t>NO-1383 Asker</w:t>
      </w:r>
    </w:p>
    <w:p w:rsidR="000A5928" w:rsidRDefault="000A5928" w:rsidP="000A5928">
      <w:r w:rsidRPr="006D3369">
        <w:t>Norvegija</w:t>
      </w:r>
    </w:p>
    <w:p w:rsidR="000A5928" w:rsidRPr="00D71E26" w:rsidRDefault="000A5928" w:rsidP="000A5928">
      <w:pPr>
        <w:rPr>
          <w:szCs w:val="22"/>
        </w:rPr>
      </w:pPr>
    </w:p>
    <w:p w:rsidR="000A5928" w:rsidRPr="00D71E26" w:rsidRDefault="000A5928" w:rsidP="000A5928">
      <w:pPr>
        <w:pStyle w:val="BTbEMEASMCA"/>
        <w:rPr>
          <w:noProof w:val="0"/>
        </w:rPr>
      </w:pPr>
      <w:r w:rsidRPr="00D71E26">
        <w:rPr>
          <w:bCs/>
          <w:noProof w:val="0"/>
        </w:rPr>
        <w:t>Šis pakuotės lapelis</w:t>
      </w:r>
      <w:r w:rsidRPr="00D71E26">
        <w:rPr>
          <w:noProof w:val="0"/>
        </w:rPr>
        <w:t xml:space="preserve"> paskutinį kartą p</w:t>
      </w:r>
      <w:r>
        <w:rPr>
          <w:noProof w:val="0"/>
        </w:rPr>
        <w:t>eržiūrėtas</w:t>
      </w:r>
      <w:r w:rsidRPr="00D71E26">
        <w:rPr>
          <w:b w:val="0"/>
          <w:noProof w:val="0"/>
        </w:rPr>
        <w:t xml:space="preserve"> </w:t>
      </w:r>
      <w:r w:rsidRPr="00B14842">
        <w:rPr>
          <w:noProof w:val="0"/>
        </w:rPr>
        <w:t>20</w:t>
      </w:r>
      <w:r w:rsidRPr="00F51BDC">
        <w:rPr>
          <w:noProof w:val="0"/>
        </w:rPr>
        <w:t>2</w:t>
      </w:r>
      <w:r>
        <w:rPr>
          <w:noProof w:val="0"/>
        </w:rPr>
        <w:t>3</w:t>
      </w:r>
      <w:r w:rsidRPr="00B14842">
        <w:rPr>
          <w:noProof w:val="0"/>
        </w:rPr>
        <w:t>-</w:t>
      </w:r>
      <w:r>
        <w:rPr>
          <w:noProof w:val="0"/>
        </w:rPr>
        <w:t>03</w:t>
      </w:r>
      <w:r w:rsidRPr="00B14842">
        <w:rPr>
          <w:noProof w:val="0"/>
        </w:rPr>
        <w:t>-</w:t>
      </w:r>
      <w:r>
        <w:rPr>
          <w:noProof w:val="0"/>
        </w:rPr>
        <w:t>31.</w:t>
      </w:r>
    </w:p>
    <w:p w:rsidR="000A5928" w:rsidRPr="00D71E26" w:rsidRDefault="000A5928" w:rsidP="000A5928">
      <w:pPr>
        <w:pStyle w:val="Pagrindinistekstas"/>
        <w:spacing w:after="0"/>
        <w:rPr>
          <w:szCs w:val="22"/>
        </w:rPr>
      </w:pPr>
    </w:p>
    <w:p w:rsidR="000A5928" w:rsidRPr="000D02E6" w:rsidRDefault="000A5928" w:rsidP="000A5928">
      <w:pPr>
        <w:rPr>
          <w:szCs w:val="22"/>
        </w:rPr>
      </w:pPr>
      <w:r w:rsidRPr="00667F81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67F81">
        <w:rPr>
          <w:i/>
          <w:szCs w:val="22"/>
        </w:rPr>
        <w:t xml:space="preserve"> </w:t>
      </w:r>
      <w:hyperlink r:id="rId9" w:history="1">
        <w:r w:rsidRPr="000D02E6">
          <w:rPr>
            <w:rStyle w:val="Hipersaitas"/>
            <w:szCs w:val="22"/>
          </w:rPr>
          <w:t>http://www.vvkt.lt/</w:t>
        </w:r>
      </w:hyperlink>
    </w:p>
    <w:p w:rsidR="000A5928" w:rsidRPr="00D71E26" w:rsidRDefault="000A5928" w:rsidP="000A5928">
      <w:pPr>
        <w:rPr>
          <w:szCs w:val="22"/>
        </w:rPr>
      </w:pPr>
    </w:p>
    <w:p w:rsidR="009041DB" w:rsidRDefault="009041DB">
      <w:bookmarkStart w:id="2" w:name="_GoBack"/>
      <w:bookmarkEnd w:id="2"/>
    </w:p>
    <w:sectPr w:rsidR="009041DB" w:rsidSect="007003F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11FA"/>
    <w:multiLevelType w:val="hybridMultilevel"/>
    <w:tmpl w:val="C5BEB82A"/>
    <w:lvl w:ilvl="0" w:tplc="17E29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22CAA"/>
    <w:multiLevelType w:val="hybridMultilevel"/>
    <w:tmpl w:val="7026CD80"/>
    <w:lvl w:ilvl="0" w:tplc="17E29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28"/>
    <w:rsid w:val="00004415"/>
    <w:rsid w:val="000A5928"/>
    <w:rsid w:val="00234094"/>
    <w:rsid w:val="002A211A"/>
    <w:rsid w:val="00344695"/>
    <w:rsid w:val="00356AB3"/>
    <w:rsid w:val="004216A4"/>
    <w:rsid w:val="005311B8"/>
    <w:rsid w:val="006860E9"/>
    <w:rsid w:val="007003F6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F0D34-FB88-4313-905F-02D9274C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928"/>
    <w:pPr>
      <w:spacing w:after="0" w:line="240" w:lineRule="auto"/>
    </w:pPr>
    <w:rPr>
      <w:rFonts w:ascii="Times New Roman" w:eastAsia="Calibri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A59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0A5928"/>
    <w:rPr>
      <w:rFonts w:ascii="Times New Roman" w:hAnsi="Times New Roman" w:cs="Times New Roman" w:hint="default"/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0A592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A5928"/>
    <w:rPr>
      <w:rFonts w:ascii="Times New Roman" w:eastAsia="Calibri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0A5928"/>
    <w:rPr>
      <w:noProof/>
      <w:szCs w:val="22"/>
      <w:lang w:eastAsia="en-US"/>
    </w:rPr>
  </w:style>
  <w:style w:type="paragraph" w:customStyle="1" w:styleId="TTEMEASMCA">
    <w:name w:val="TT EMEA_SMCA"/>
    <w:basedOn w:val="Antrat1"/>
    <w:autoRedefine/>
    <w:rsid w:val="000A5928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Calibri" w:hAnsi="Times New Roman" w:cs="Times New Roman"/>
      <w:b/>
      <w:caps/>
      <w:color w:val="auto"/>
      <w:sz w:val="22"/>
      <w:szCs w:val="22"/>
      <w:lang w:val="en-US" w:eastAsia="en-US"/>
    </w:rPr>
  </w:style>
  <w:style w:type="paragraph" w:customStyle="1" w:styleId="BT-EMEASMCA">
    <w:name w:val="BT- EMEA_SMCA"/>
    <w:basedOn w:val="BTEMEASMCA"/>
    <w:autoRedefine/>
    <w:rsid w:val="000A5928"/>
    <w:pPr>
      <w:numPr>
        <w:numId w:val="1"/>
      </w:numPr>
    </w:pPr>
  </w:style>
  <w:style w:type="paragraph" w:customStyle="1" w:styleId="BTbEMEASMCA">
    <w:name w:val="BT(b) EMEA_SMCA"/>
    <w:basedOn w:val="BTEMEASMCA"/>
    <w:autoRedefine/>
    <w:rsid w:val="000A5928"/>
    <w:rPr>
      <w:b/>
    </w:rPr>
  </w:style>
  <w:style w:type="paragraph" w:customStyle="1" w:styleId="BTeEMEASMCA">
    <w:name w:val="BT(e) EMEA_SMCA"/>
    <w:basedOn w:val="BTEMEASMCA"/>
    <w:autoRedefine/>
    <w:rsid w:val="000A5928"/>
    <w:pPr>
      <w:jc w:val="center"/>
    </w:pPr>
  </w:style>
  <w:style w:type="paragraph" w:customStyle="1" w:styleId="PI-3EMEASMCA">
    <w:name w:val="PI-3 EMEA_SMCA"/>
    <w:basedOn w:val="prastasis"/>
    <w:autoRedefine/>
    <w:rsid w:val="000A5928"/>
    <w:pPr>
      <w:spacing w:line="220" w:lineRule="exact"/>
    </w:pPr>
    <w:rPr>
      <w:b/>
      <w:bCs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0A5928"/>
    <w:pPr>
      <w:ind w:left="720"/>
      <w:contextualSpacing/>
    </w:pPr>
  </w:style>
  <w:style w:type="character" w:customStyle="1" w:styleId="BTEMEASMCAChar">
    <w:name w:val="BT EMEA_SMCA Char"/>
    <w:basedOn w:val="Numatytasispastraiposriftas"/>
    <w:link w:val="BTEMEASMCA"/>
    <w:locked/>
    <w:rsid w:val="000A5928"/>
    <w:rPr>
      <w:rFonts w:ascii="Times New Roman" w:eastAsia="Calibri" w:hAnsi="Times New Roman" w:cs="Times New Roman"/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A59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baltics@orifar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5954</Words>
  <Characters>3394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2023-05-24T05:41:00Z</dcterms:created>
  <dcterms:modified xsi:type="dcterms:W3CDTF">2023-05-24T05:42:00Z</dcterms:modified>
</cp:coreProperties>
</file>