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54" w:rsidRDefault="00547B54" w:rsidP="00547B54">
      <w:pPr>
        <w:pStyle w:val="TTEMEASMCA"/>
      </w:pPr>
      <w:bookmarkStart w:id="0" w:name="_Toc129243138"/>
      <w:bookmarkStart w:id="1" w:name="_Toc129243263"/>
      <w:r>
        <w:t>Pakuotės lapelis: informacija vartotojui</w:t>
      </w:r>
      <w:bookmarkEnd w:id="0"/>
      <w:bookmarkEnd w:id="1"/>
    </w:p>
    <w:p w:rsidR="00547B54" w:rsidRDefault="00547B54" w:rsidP="00547B54">
      <w:pPr>
        <w:pStyle w:val="BTEMEASMCA"/>
      </w:pPr>
    </w:p>
    <w:p w:rsidR="00547B54" w:rsidRDefault="00547B54" w:rsidP="00547B54">
      <w:pPr>
        <w:jc w:val="center"/>
        <w:rPr>
          <w:b/>
          <w:sz w:val="22"/>
          <w:szCs w:val="22"/>
        </w:rPr>
      </w:pPr>
      <w:proofErr w:type="spellStart"/>
      <w:r>
        <w:rPr>
          <w:b/>
          <w:sz w:val="22"/>
          <w:szCs w:val="22"/>
        </w:rPr>
        <w:t>Altiva</w:t>
      </w:r>
      <w:proofErr w:type="spellEnd"/>
      <w:r>
        <w:rPr>
          <w:b/>
          <w:sz w:val="22"/>
          <w:szCs w:val="22"/>
        </w:rPr>
        <w:t xml:space="preserve"> 120 mg plėvele dengtos tabletės</w:t>
      </w:r>
    </w:p>
    <w:p w:rsidR="00547B54" w:rsidRDefault="00547B54" w:rsidP="00547B54">
      <w:pPr>
        <w:jc w:val="center"/>
        <w:rPr>
          <w:sz w:val="22"/>
          <w:szCs w:val="22"/>
        </w:rPr>
      </w:pPr>
      <w:proofErr w:type="spellStart"/>
      <w:r>
        <w:rPr>
          <w:sz w:val="22"/>
          <w:szCs w:val="22"/>
        </w:rPr>
        <w:t>Feksofenadino</w:t>
      </w:r>
      <w:proofErr w:type="spellEnd"/>
      <w:r>
        <w:rPr>
          <w:sz w:val="22"/>
          <w:szCs w:val="22"/>
        </w:rPr>
        <w:t xml:space="preserve"> hidrochloridas</w:t>
      </w:r>
    </w:p>
    <w:p w:rsidR="00547B54" w:rsidRDefault="00547B54" w:rsidP="00547B54">
      <w:pPr>
        <w:pStyle w:val="BTEMEASMCA"/>
      </w:pPr>
    </w:p>
    <w:p w:rsidR="00547B54" w:rsidRDefault="00547B54" w:rsidP="00547B54">
      <w:pPr>
        <w:pStyle w:val="BTbEMEASMCA"/>
      </w:pPr>
      <w:r>
        <w:t>Atidžiai perskaitykite visą šį lapelį, prieš pradėdami vartoti šį vaistą, nes jame pateikiama Jums svarbi informacija.</w:t>
      </w:r>
    </w:p>
    <w:p w:rsidR="00547B54" w:rsidRDefault="00547B54" w:rsidP="00547B54">
      <w:pPr>
        <w:pStyle w:val="BT-EMEASMCA"/>
        <w:tabs>
          <w:tab w:val="clear" w:pos="360"/>
          <w:tab w:val="num" w:pos="720"/>
        </w:tabs>
        <w:ind w:left="720" w:hanging="363"/>
      </w:pPr>
      <w:r>
        <w:t>Neišmeskite šio lapelio, nes vėl gali prireikti jį perskaityti.</w:t>
      </w:r>
    </w:p>
    <w:p w:rsidR="00547B54" w:rsidRDefault="00547B54" w:rsidP="00547B54">
      <w:pPr>
        <w:pStyle w:val="BT-EMEASMCA"/>
        <w:tabs>
          <w:tab w:val="clear" w:pos="360"/>
          <w:tab w:val="num" w:pos="720"/>
        </w:tabs>
        <w:ind w:left="720" w:hanging="363"/>
      </w:pPr>
      <w:r>
        <w:t>Jeigu kiltų daugiau klausimų, kreipkitės į gydytoją arba vaistininką.</w:t>
      </w:r>
    </w:p>
    <w:p w:rsidR="00547B54" w:rsidRDefault="00547B54" w:rsidP="00547B54">
      <w:pPr>
        <w:pStyle w:val="BT-EMEASMCA"/>
        <w:tabs>
          <w:tab w:val="clear" w:pos="360"/>
          <w:tab w:val="num" w:pos="720"/>
        </w:tabs>
        <w:ind w:left="720" w:hanging="363"/>
      </w:pPr>
      <w:r>
        <w:t>Šis vaistas skirtas tik Jums, todėl kitiems žmonėms jo duoti negalima. Vaistas gali jiems pakenkti (net tiems, kurių ligos požymiai yra tokie patys kaip Jūsų).</w:t>
      </w:r>
    </w:p>
    <w:p w:rsidR="00547B54" w:rsidRDefault="00547B54" w:rsidP="00547B54">
      <w:pPr>
        <w:pStyle w:val="BT-EMEASMCA"/>
        <w:tabs>
          <w:tab w:val="clear" w:pos="360"/>
          <w:tab w:val="num" w:pos="720"/>
        </w:tabs>
        <w:ind w:left="720" w:hanging="363"/>
      </w:pPr>
      <w:r>
        <w:t>Jeigu pasireiškė šalutinis poveikis (net jeigu jis šiame lapelyje nenurodytas), kreipkitės į gydytoją arba vaistininką. Žr. 4 skyrių.</w:t>
      </w:r>
    </w:p>
    <w:p w:rsidR="00547B54" w:rsidRDefault="00547B54" w:rsidP="00547B54">
      <w:pPr>
        <w:pStyle w:val="BTEMEASMCA"/>
      </w:pPr>
    </w:p>
    <w:p w:rsidR="00547B54" w:rsidRDefault="00547B54" w:rsidP="00547B54">
      <w:pPr>
        <w:pStyle w:val="Pagrindinistekstas"/>
        <w:rPr>
          <w:b/>
          <w:bCs/>
          <w:sz w:val="22"/>
          <w:szCs w:val="22"/>
        </w:rPr>
      </w:pPr>
      <w:r>
        <w:rPr>
          <w:b/>
          <w:bCs/>
          <w:sz w:val="22"/>
          <w:szCs w:val="22"/>
        </w:rPr>
        <w:t>Apie ką rašoma šiame lapelyje?</w:t>
      </w:r>
    </w:p>
    <w:p w:rsidR="00547B54" w:rsidRDefault="00547B54" w:rsidP="00547B54">
      <w:pPr>
        <w:pStyle w:val="BTEMEASMCA"/>
        <w:ind w:left="540" w:hanging="540"/>
      </w:pPr>
      <w:r>
        <w:t>1.</w:t>
      </w:r>
      <w:r>
        <w:tab/>
        <w:t xml:space="preserve">Kas yra </w:t>
      </w:r>
      <w:proofErr w:type="spellStart"/>
      <w:r>
        <w:t>Altiva</w:t>
      </w:r>
      <w:proofErr w:type="spellEnd"/>
      <w:r>
        <w:t xml:space="preserve"> ir kam jis vartojamas</w:t>
      </w:r>
    </w:p>
    <w:p w:rsidR="00547B54" w:rsidRDefault="00547B54" w:rsidP="00547B54">
      <w:pPr>
        <w:pStyle w:val="BTEMEASMCA"/>
        <w:ind w:left="540" w:hanging="540"/>
      </w:pPr>
      <w:r>
        <w:t>2.</w:t>
      </w:r>
      <w:r>
        <w:tab/>
        <w:t xml:space="preserve">Kas žinotina prieš vartojant </w:t>
      </w:r>
      <w:proofErr w:type="spellStart"/>
      <w:r>
        <w:t>Altiva</w:t>
      </w:r>
      <w:proofErr w:type="spellEnd"/>
    </w:p>
    <w:p w:rsidR="00547B54" w:rsidRDefault="00547B54" w:rsidP="00547B54">
      <w:pPr>
        <w:pStyle w:val="BTEMEASMCA"/>
        <w:ind w:left="540" w:hanging="540"/>
      </w:pPr>
      <w:r>
        <w:t>3.</w:t>
      </w:r>
      <w:r>
        <w:tab/>
        <w:t xml:space="preserve">Kaip vartoti </w:t>
      </w:r>
      <w:proofErr w:type="spellStart"/>
      <w:r>
        <w:t>Altiva</w:t>
      </w:r>
      <w:proofErr w:type="spellEnd"/>
    </w:p>
    <w:p w:rsidR="00547B54" w:rsidRDefault="00547B54" w:rsidP="00547B54">
      <w:pPr>
        <w:pStyle w:val="BTEMEASMCA"/>
        <w:ind w:left="540" w:hanging="540"/>
      </w:pPr>
      <w:r>
        <w:t>4.</w:t>
      </w:r>
      <w:r>
        <w:tab/>
        <w:t>Galimas šalutinis poveikis</w:t>
      </w:r>
    </w:p>
    <w:p w:rsidR="00547B54" w:rsidRDefault="00547B54" w:rsidP="00547B54">
      <w:pPr>
        <w:pStyle w:val="BTEMEASMCA"/>
        <w:ind w:left="540" w:hanging="540"/>
      </w:pPr>
      <w:r>
        <w:t>5.</w:t>
      </w:r>
      <w:r>
        <w:tab/>
        <w:t xml:space="preserve">Kaip laikyti </w:t>
      </w:r>
      <w:proofErr w:type="spellStart"/>
      <w:r>
        <w:t>Altiva</w:t>
      </w:r>
      <w:proofErr w:type="spellEnd"/>
    </w:p>
    <w:p w:rsidR="00547B54" w:rsidRDefault="00547B54" w:rsidP="00547B54">
      <w:pPr>
        <w:pStyle w:val="BTEMEASMCA"/>
        <w:ind w:left="540" w:hanging="540"/>
      </w:pPr>
      <w:r>
        <w:t>6.</w:t>
      </w:r>
      <w:r>
        <w:tab/>
        <w:t>Pakuotės turinys ir kita informacija</w:t>
      </w:r>
    </w:p>
    <w:p w:rsidR="00547B54" w:rsidRDefault="00547B54" w:rsidP="00547B54">
      <w:pPr>
        <w:pStyle w:val="BTEMEASMCA"/>
      </w:pPr>
    </w:p>
    <w:p w:rsidR="00547B54" w:rsidRDefault="00547B54" w:rsidP="00547B54">
      <w:pPr>
        <w:pStyle w:val="BTEMEASMCA"/>
      </w:pPr>
    </w:p>
    <w:p w:rsidR="00547B54" w:rsidRDefault="00547B54" w:rsidP="00547B54">
      <w:pPr>
        <w:pStyle w:val="PI-1EMEASMCA"/>
        <w:ind w:left="0" w:firstLine="0"/>
      </w:pPr>
      <w:bookmarkStart w:id="2" w:name="_Toc129243139"/>
      <w:bookmarkStart w:id="3" w:name="_Toc129243264"/>
      <w:r>
        <w:t>1.</w:t>
      </w:r>
      <w:r>
        <w:tab/>
        <w:t xml:space="preserve">Kas yra </w:t>
      </w:r>
      <w:proofErr w:type="spellStart"/>
      <w:r>
        <w:t>Altiva</w:t>
      </w:r>
      <w:proofErr w:type="spellEnd"/>
      <w:r>
        <w:t xml:space="preserve"> ir kam jis vartojamas</w:t>
      </w:r>
      <w:bookmarkEnd w:id="2"/>
      <w:bookmarkEnd w:id="3"/>
    </w:p>
    <w:p w:rsidR="00547B54" w:rsidRDefault="00547B54" w:rsidP="00547B54">
      <w:pPr>
        <w:pStyle w:val="BTEMEASMCA"/>
      </w:pPr>
    </w:p>
    <w:p w:rsidR="00547B54" w:rsidRDefault="00547B54" w:rsidP="00547B54">
      <w:pPr>
        <w:pStyle w:val="BTEMEASMCA"/>
      </w:pPr>
      <w:proofErr w:type="spellStart"/>
      <w:r>
        <w:t>Altiva</w:t>
      </w:r>
      <w:proofErr w:type="spellEnd"/>
      <w:r>
        <w:rPr>
          <w:bCs w:val="0"/>
        </w:rPr>
        <w:t xml:space="preserve"> sudėtyje yra </w:t>
      </w:r>
      <w:proofErr w:type="spellStart"/>
      <w:r>
        <w:t>antihistamininės</w:t>
      </w:r>
      <w:proofErr w:type="spellEnd"/>
      <w:r>
        <w:t xml:space="preserve"> medžiagos</w:t>
      </w:r>
      <w:r>
        <w:rPr>
          <w:bCs w:val="0"/>
        </w:rPr>
        <w:t xml:space="preserve"> </w:t>
      </w:r>
      <w:proofErr w:type="spellStart"/>
      <w:r>
        <w:rPr>
          <w:bCs w:val="0"/>
        </w:rPr>
        <w:t>feksofenadino</w:t>
      </w:r>
      <w:proofErr w:type="spellEnd"/>
      <w:r>
        <w:rPr>
          <w:bCs w:val="0"/>
        </w:rPr>
        <w:t xml:space="preserve"> hidrochlorido.</w:t>
      </w:r>
      <w:r>
        <w:t xml:space="preserve"> </w:t>
      </w:r>
      <w:proofErr w:type="spellStart"/>
      <w:r>
        <w:t>Altiva</w:t>
      </w:r>
      <w:proofErr w:type="spellEnd"/>
      <w:r>
        <w:t xml:space="preserve"> 120 mg skiriamas suaugusiesiems ir 12 metų bei vyresniems paaugliams, siekiant palengvinti simptomus susijusius su šienlige (sezoniniu alerginiu rinitu), pavyzdžiui, čiaudulį, niežulį, slogą ar užsikimšusią nosį, raudonas ir ašarojančias akis. </w:t>
      </w:r>
    </w:p>
    <w:p w:rsidR="00547B54" w:rsidRDefault="00547B54" w:rsidP="00547B54">
      <w:pPr>
        <w:pStyle w:val="BTEMEASMCA"/>
      </w:pPr>
    </w:p>
    <w:p w:rsidR="00547B54" w:rsidRDefault="00547B54" w:rsidP="00547B54">
      <w:pPr>
        <w:pStyle w:val="PI-1EMEASMCA"/>
        <w:ind w:left="0" w:firstLine="0"/>
      </w:pPr>
      <w:bookmarkStart w:id="4" w:name="_Toc129243140"/>
      <w:bookmarkStart w:id="5" w:name="_Toc129243265"/>
      <w:r>
        <w:t>2.</w:t>
      </w:r>
      <w:r>
        <w:tab/>
        <w:t xml:space="preserve">Kas žinotina prieš vartojant </w:t>
      </w:r>
      <w:bookmarkEnd w:id="4"/>
      <w:bookmarkEnd w:id="5"/>
      <w:proofErr w:type="spellStart"/>
      <w:r>
        <w:t>Altiva</w:t>
      </w:r>
      <w:proofErr w:type="spellEnd"/>
    </w:p>
    <w:p w:rsidR="00547B54" w:rsidRDefault="00547B54" w:rsidP="00547B54">
      <w:pPr>
        <w:pStyle w:val="BTEMEASMCA"/>
      </w:pPr>
    </w:p>
    <w:p w:rsidR="00547B54" w:rsidRDefault="00547B54" w:rsidP="00547B54">
      <w:pPr>
        <w:pStyle w:val="PI-3EMEASMCA"/>
      </w:pPr>
      <w:proofErr w:type="spellStart"/>
      <w:r>
        <w:t>Altiva</w:t>
      </w:r>
      <w:proofErr w:type="spellEnd"/>
      <w:r>
        <w:t xml:space="preserve"> vartoti negalima:</w:t>
      </w:r>
    </w:p>
    <w:p w:rsidR="00547B54" w:rsidRDefault="00547B54" w:rsidP="00547B54">
      <w:pPr>
        <w:pStyle w:val="BT-EMEASMCA"/>
        <w:tabs>
          <w:tab w:val="clear" w:pos="360"/>
          <w:tab w:val="num" w:pos="720"/>
        </w:tabs>
        <w:ind w:left="720" w:hanging="363"/>
      </w:pPr>
      <w:r>
        <w:t>jeigu yra alergija (padėjęs jautrumas) veikliajai medžiagai arba bet kuriai pagalbinei šio vaisto medžiagai (jos išvardytos 6 skyriuje).</w:t>
      </w:r>
    </w:p>
    <w:p w:rsidR="00547B54" w:rsidRDefault="00547B54" w:rsidP="00547B54">
      <w:pPr>
        <w:pStyle w:val="BT-EMEASMCA"/>
        <w:numPr>
          <w:ilvl w:val="0"/>
          <w:numId w:val="0"/>
        </w:numPr>
        <w:tabs>
          <w:tab w:val="left" w:pos="720"/>
        </w:tabs>
        <w:ind w:left="720"/>
      </w:pPr>
      <w:r>
        <w:t xml:space="preserve"> </w:t>
      </w:r>
    </w:p>
    <w:p w:rsidR="00547B54" w:rsidRDefault="00547B54" w:rsidP="00547B54">
      <w:pPr>
        <w:pStyle w:val="BTEMEASMCA"/>
        <w:rPr>
          <w:b/>
        </w:rPr>
      </w:pPr>
      <w:r>
        <w:rPr>
          <w:b/>
        </w:rPr>
        <w:t>Įspėjimai ir atsargumo priemonės</w:t>
      </w:r>
    </w:p>
    <w:p w:rsidR="00547B54" w:rsidRDefault="00547B54" w:rsidP="00547B54">
      <w:pPr>
        <w:pStyle w:val="BTEMEASMCA"/>
      </w:pPr>
      <w:r>
        <w:t xml:space="preserve">Pasitarkite su gydytoju arba vaistininku, prieš pradėdami vartoti </w:t>
      </w:r>
      <w:proofErr w:type="spellStart"/>
      <w:r>
        <w:t>Altiva</w:t>
      </w:r>
      <w:proofErr w:type="spellEnd"/>
      <w:r>
        <w:t>:</w:t>
      </w:r>
    </w:p>
    <w:p w:rsidR="00547B54" w:rsidRDefault="00547B54" w:rsidP="00547B54">
      <w:pPr>
        <w:pStyle w:val="BT-EMEASMCA"/>
        <w:tabs>
          <w:tab w:val="clear" w:pos="360"/>
          <w:tab w:val="num" w:pos="720"/>
        </w:tabs>
        <w:ind w:left="720" w:hanging="363"/>
      </w:pPr>
      <w:r>
        <w:t>jeigu yra sutrikusi inkstų arba kepenų funkcija;</w:t>
      </w:r>
    </w:p>
    <w:p w:rsidR="00547B54" w:rsidRDefault="00547B54" w:rsidP="00547B54">
      <w:pPr>
        <w:pStyle w:val="BT-EMEASMCA"/>
        <w:tabs>
          <w:tab w:val="clear" w:pos="360"/>
          <w:tab w:val="num" w:pos="720"/>
        </w:tabs>
        <w:ind w:left="720" w:hanging="363"/>
      </w:pPr>
      <w:r>
        <w:t>jeigu sergate ar praeityje sirgote širdies liga, nes šios rūšies vaistai gali sukelti greitą ir nereguliarų širdies plakimą;</w:t>
      </w:r>
    </w:p>
    <w:p w:rsidR="00547B54" w:rsidRDefault="00547B54" w:rsidP="00547B54">
      <w:pPr>
        <w:pStyle w:val="BT-EMEASMCA"/>
        <w:tabs>
          <w:tab w:val="clear" w:pos="360"/>
          <w:tab w:val="num" w:pos="720"/>
        </w:tabs>
        <w:ind w:left="720" w:hanging="363"/>
      </w:pPr>
      <w:r>
        <w:t>jeigu esate senyvas.</w:t>
      </w:r>
    </w:p>
    <w:p w:rsidR="00547B54" w:rsidRDefault="00547B54" w:rsidP="00547B54">
      <w:pPr>
        <w:pStyle w:val="BTEMEASMCA"/>
      </w:pPr>
    </w:p>
    <w:p w:rsidR="00547B54" w:rsidRDefault="00547B54" w:rsidP="00547B54">
      <w:pPr>
        <w:pStyle w:val="BTEMEASMCA"/>
      </w:pPr>
      <w:r>
        <w:t xml:space="preserve">Jei kuri nors iš anksčiau paminėtų būklių Jums tinka, arba dėl to nesate tikri, pasitarkite su gydytoju prieš vartodami </w:t>
      </w:r>
      <w:proofErr w:type="spellStart"/>
      <w:r>
        <w:t>Altiva</w:t>
      </w:r>
      <w:proofErr w:type="spellEnd"/>
      <w:r>
        <w:t xml:space="preserve">. </w:t>
      </w:r>
    </w:p>
    <w:p w:rsidR="00547B54" w:rsidRDefault="00547B54" w:rsidP="00547B54">
      <w:pPr>
        <w:rPr>
          <w:sz w:val="22"/>
          <w:szCs w:val="22"/>
        </w:rPr>
      </w:pPr>
    </w:p>
    <w:p w:rsidR="00547B54" w:rsidRDefault="00547B54" w:rsidP="00547B54">
      <w:pPr>
        <w:pStyle w:val="BTEMEASMCA"/>
        <w:rPr>
          <w:b/>
        </w:rPr>
      </w:pPr>
      <w:r>
        <w:rPr>
          <w:b/>
        </w:rPr>
        <w:t xml:space="preserve">Kiti vaistai ir </w:t>
      </w:r>
      <w:proofErr w:type="spellStart"/>
      <w:r>
        <w:rPr>
          <w:b/>
        </w:rPr>
        <w:t>Altiva</w:t>
      </w:r>
      <w:proofErr w:type="spellEnd"/>
    </w:p>
    <w:p w:rsidR="00547B54" w:rsidRDefault="00547B54" w:rsidP="00547B54">
      <w:pPr>
        <w:pStyle w:val="BTEMEASMCA"/>
      </w:pPr>
      <w:r>
        <w:t>Jeigu vartojate ar neseniai vartojote kitų vaistų arba dėl to nesate tikri, apie tai pasakykite gydytojui arba vaistininkui.</w:t>
      </w:r>
    </w:p>
    <w:p w:rsidR="00547B54" w:rsidRDefault="00547B54" w:rsidP="00547B54">
      <w:pPr>
        <w:rPr>
          <w:sz w:val="22"/>
          <w:szCs w:val="22"/>
        </w:rPr>
      </w:pPr>
      <w:r>
        <w:rPr>
          <w:sz w:val="22"/>
          <w:szCs w:val="22"/>
        </w:rPr>
        <w:t xml:space="preserve">Virškinimo sutrikimui gydyti skirti vaistai, kurių sudėtyje yra aliuminio ir magnio, gali turėti įtakos </w:t>
      </w:r>
      <w:proofErr w:type="spellStart"/>
      <w:r>
        <w:rPr>
          <w:sz w:val="22"/>
          <w:szCs w:val="22"/>
        </w:rPr>
        <w:t>Altiva</w:t>
      </w:r>
      <w:proofErr w:type="spellEnd"/>
      <w:r>
        <w:rPr>
          <w:sz w:val="22"/>
          <w:szCs w:val="22"/>
        </w:rPr>
        <w:t xml:space="preserve"> veikimui, mažindami jo absorbciją. Rekomenduojama padaryti dviejų valandų pertrauką tarp </w:t>
      </w:r>
      <w:proofErr w:type="spellStart"/>
      <w:r>
        <w:rPr>
          <w:sz w:val="22"/>
          <w:szCs w:val="22"/>
        </w:rPr>
        <w:t>Altiva</w:t>
      </w:r>
      <w:proofErr w:type="spellEnd"/>
      <w:r>
        <w:rPr>
          <w:sz w:val="22"/>
          <w:szCs w:val="22"/>
        </w:rPr>
        <w:t xml:space="preserve"> ir minėtų vaistų vartojimo. </w:t>
      </w:r>
    </w:p>
    <w:p w:rsidR="00547B54" w:rsidRDefault="00547B54" w:rsidP="00547B54">
      <w:pPr>
        <w:jc w:val="both"/>
        <w:rPr>
          <w:sz w:val="22"/>
          <w:szCs w:val="22"/>
        </w:rPr>
      </w:pPr>
    </w:p>
    <w:p w:rsidR="00547B54" w:rsidRDefault="00547B54" w:rsidP="00547B54">
      <w:pPr>
        <w:pStyle w:val="PI-3EMEASMCA"/>
      </w:pPr>
      <w:r>
        <w:lastRenderedPageBreak/>
        <w:t>Nėštumas ir žindymo laikotarpis</w:t>
      </w:r>
    </w:p>
    <w:p w:rsidR="00547B54" w:rsidRDefault="00547B54" w:rsidP="00547B54">
      <w:pPr>
        <w:rPr>
          <w:sz w:val="22"/>
          <w:szCs w:val="22"/>
        </w:rPr>
      </w:pPr>
      <w:r>
        <w:rPr>
          <w:noProof/>
          <w:sz w:val="22"/>
          <w:szCs w:val="22"/>
        </w:rPr>
        <w:t xml:space="preserve">Jeigu esate nėščia, žindote kūdikį, manote, kad galbūt esate nėščia, arba planuojate pastoti, tai prieš vartodama šį vaistą, pasitarkite su gydytoju arba vaistininku. </w:t>
      </w:r>
    </w:p>
    <w:p w:rsidR="00547B54" w:rsidRDefault="00547B54" w:rsidP="00547B54">
      <w:pPr>
        <w:rPr>
          <w:sz w:val="22"/>
          <w:szCs w:val="22"/>
        </w:rPr>
      </w:pPr>
      <w:proofErr w:type="spellStart"/>
      <w:r>
        <w:rPr>
          <w:sz w:val="22"/>
          <w:szCs w:val="22"/>
        </w:rPr>
        <w:t>Altiva</w:t>
      </w:r>
      <w:proofErr w:type="spellEnd"/>
      <w:r>
        <w:rPr>
          <w:sz w:val="22"/>
          <w:szCs w:val="22"/>
        </w:rPr>
        <w:t xml:space="preserve"> nėštumo metu galima vartoti tik tada, jeigu jo tikrai reikia. </w:t>
      </w:r>
    </w:p>
    <w:p w:rsidR="00547B54" w:rsidRDefault="00547B54" w:rsidP="00547B54">
      <w:pPr>
        <w:rPr>
          <w:sz w:val="22"/>
          <w:szCs w:val="22"/>
        </w:rPr>
      </w:pPr>
      <w:r>
        <w:rPr>
          <w:sz w:val="22"/>
          <w:szCs w:val="22"/>
        </w:rPr>
        <w:t xml:space="preserve">Žindymo laikotarpiu </w:t>
      </w:r>
      <w:proofErr w:type="spellStart"/>
      <w:r>
        <w:rPr>
          <w:sz w:val="22"/>
          <w:szCs w:val="22"/>
        </w:rPr>
        <w:t>Altiva</w:t>
      </w:r>
      <w:proofErr w:type="spellEnd"/>
      <w:r>
        <w:rPr>
          <w:sz w:val="22"/>
          <w:szCs w:val="22"/>
        </w:rPr>
        <w:t xml:space="preserve"> vartoti nerekomenduojama.</w:t>
      </w:r>
    </w:p>
    <w:p w:rsidR="00547B54" w:rsidRDefault="00547B54" w:rsidP="00547B54">
      <w:pPr>
        <w:pStyle w:val="BTEMEASMCA"/>
      </w:pPr>
    </w:p>
    <w:p w:rsidR="00547B54" w:rsidRDefault="00547B54" w:rsidP="00547B54">
      <w:pPr>
        <w:pStyle w:val="PI-3EMEASMCA"/>
      </w:pPr>
      <w:r>
        <w:t>Vairavimas ir mechanizmų valdymas</w:t>
      </w:r>
    </w:p>
    <w:p w:rsidR="00547B54" w:rsidRDefault="00547B54" w:rsidP="00547B54">
      <w:pPr>
        <w:rPr>
          <w:sz w:val="22"/>
          <w:szCs w:val="22"/>
        </w:rPr>
      </w:pPr>
      <w:r>
        <w:rPr>
          <w:sz w:val="22"/>
          <w:szCs w:val="22"/>
        </w:rPr>
        <w:t xml:space="preserve">Nepastebėta poveikio transporto priemonės vairavimui bei darbui, reikalaujančiam susikaupimo, tačiau prieš atliekant šias užduotis reikėtų žinoti, ar šios tabletės neveikia Jūsų migdančiai ar svaiginančiai. </w:t>
      </w:r>
    </w:p>
    <w:p w:rsidR="00547B54" w:rsidRDefault="00547B54" w:rsidP="00547B54">
      <w:pPr>
        <w:pStyle w:val="BTEMEASMCA"/>
      </w:pPr>
    </w:p>
    <w:p w:rsidR="00547B54" w:rsidRDefault="00547B54" w:rsidP="00547B54">
      <w:pPr>
        <w:pStyle w:val="BTEMEASMCA"/>
      </w:pPr>
    </w:p>
    <w:p w:rsidR="00547B54" w:rsidRDefault="00547B54" w:rsidP="00547B54">
      <w:pPr>
        <w:pStyle w:val="PI-1EMEASMCA"/>
        <w:ind w:left="0" w:firstLine="0"/>
      </w:pPr>
      <w:bookmarkStart w:id="6" w:name="_Toc129243141"/>
      <w:bookmarkStart w:id="7" w:name="_Toc129243266"/>
      <w:r>
        <w:t>3.</w:t>
      </w:r>
      <w:r>
        <w:tab/>
        <w:t xml:space="preserve">Kaip vartoti </w:t>
      </w:r>
      <w:bookmarkEnd w:id="6"/>
      <w:bookmarkEnd w:id="7"/>
      <w:proofErr w:type="spellStart"/>
      <w:r>
        <w:t>Altiva</w:t>
      </w:r>
      <w:proofErr w:type="spellEnd"/>
    </w:p>
    <w:p w:rsidR="00547B54" w:rsidRDefault="00547B54" w:rsidP="00547B54">
      <w:pPr>
        <w:pStyle w:val="PI-1EMEASMCA"/>
        <w:ind w:left="0" w:firstLine="0"/>
      </w:pPr>
    </w:p>
    <w:p w:rsidR="00547B54" w:rsidRDefault="00547B54" w:rsidP="00547B54">
      <w:pPr>
        <w:numPr>
          <w:ilvl w:val="12"/>
          <w:numId w:val="0"/>
        </w:numPr>
        <w:ind w:right="-2"/>
        <w:rPr>
          <w:sz w:val="22"/>
          <w:szCs w:val="22"/>
        </w:rPr>
      </w:pPr>
      <w:r>
        <w:rPr>
          <w:sz w:val="22"/>
          <w:szCs w:val="22"/>
        </w:rPr>
        <w:t>Visada vartokite šį vaistą tiksliai kaip nurodė gydytojas arba vaistininkas. Jeigu abejojate, kreipkitės į gydytoją arba vaistininką.</w:t>
      </w:r>
    </w:p>
    <w:p w:rsidR="00547B54" w:rsidRDefault="00547B54" w:rsidP="00547B54">
      <w:pPr>
        <w:rPr>
          <w:sz w:val="22"/>
          <w:szCs w:val="22"/>
        </w:rPr>
      </w:pPr>
    </w:p>
    <w:p w:rsidR="00547B54" w:rsidRDefault="00547B54" w:rsidP="00547B54">
      <w:pPr>
        <w:rPr>
          <w:i/>
          <w:sz w:val="22"/>
          <w:szCs w:val="22"/>
        </w:rPr>
      </w:pPr>
      <w:r>
        <w:rPr>
          <w:i/>
          <w:sz w:val="22"/>
          <w:szCs w:val="22"/>
        </w:rPr>
        <w:t>Suaugusiems ir vyresniems nei 12 metų pacientams</w:t>
      </w:r>
    </w:p>
    <w:p w:rsidR="00547B54" w:rsidRDefault="00547B54" w:rsidP="00547B54">
      <w:pPr>
        <w:rPr>
          <w:sz w:val="22"/>
          <w:szCs w:val="22"/>
        </w:rPr>
      </w:pPr>
      <w:r>
        <w:rPr>
          <w:sz w:val="22"/>
          <w:szCs w:val="22"/>
        </w:rPr>
        <w:t xml:space="preserve">Rekomenduojama dozė yra viena tabletė (120 mg) per parą vartojama prieš valgį. </w:t>
      </w:r>
    </w:p>
    <w:p w:rsidR="00547B54" w:rsidRDefault="00547B54" w:rsidP="00547B54">
      <w:pPr>
        <w:pStyle w:val="PI-3EMEASMCA"/>
        <w:rPr>
          <w:i/>
        </w:rPr>
      </w:pPr>
    </w:p>
    <w:p w:rsidR="00547B54" w:rsidRDefault="00547B54" w:rsidP="00547B54">
      <w:pPr>
        <w:pStyle w:val="PI-3EMEASMCA"/>
      </w:pPr>
      <w:r>
        <w:t xml:space="preserve">Ką daryti pavartojus per didelę </w:t>
      </w:r>
      <w:proofErr w:type="spellStart"/>
      <w:r>
        <w:t>Altiva</w:t>
      </w:r>
      <w:proofErr w:type="spellEnd"/>
      <w:r>
        <w:t xml:space="preserve"> dozę?</w:t>
      </w:r>
    </w:p>
    <w:p w:rsidR="00547B54" w:rsidRDefault="00547B54" w:rsidP="00547B54">
      <w:pPr>
        <w:jc w:val="both"/>
        <w:rPr>
          <w:sz w:val="22"/>
          <w:szCs w:val="22"/>
        </w:rPr>
      </w:pPr>
      <w:r>
        <w:rPr>
          <w:sz w:val="22"/>
          <w:szCs w:val="22"/>
        </w:rPr>
        <w:t>Jeigu išgėrėte šio vaisto per daug, reikia nedelsiant kreiptis į gydytoją arba vykti į artimiausią ligoninės skubiosios pagalbos skyrių.</w:t>
      </w:r>
    </w:p>
    <w:p w:rsidR="00547B54" w:rsidRDefault="00547B54" w:rsidP="00547B54">
      <w:pPr>
        <w:jc w:val="both"/>
        <w:rPr>
          <w:sz w:val="22"/>
          <w:szCs w:val="22"/>
        </w:rPr>
      </w:pPr>
      <w:proofErr w:type="spellStart"/>
      <w:r>
        <w:rPr>
          <w:sz w:val="22"/>
          <w:szCs w:val="22"/>
        </w:rPr>
        <w:t>Feksofenadino</w:t>
      </w:r>
      <w:proofErr w:type="spellEnd"/>
      <w:r>
        <w:rPr>
          <w:sz w:val="22"/>
          <w:szCs w:val="22"/>
        </w:rPr>
        <w:t xml:space="preserve"> hidrochlorido perdozavimo požymiai suaugusiesiems yra svaigulys, mieguistumas, nuovargis ir burnos džiūvimas.</w:t>
      </w:r>
    </w:p>
    <w:p w:rsidR="00547B54" w:rsidRDefault="00547B54" w:rsidP="00547B54">
      <w:pPr>
        <w:pStyle w:val="BTEMEASMCA"/>
      </w:pPr>
    </w:p>
    <w:p w:rsidR="00547B54" w:rsidRDefault="00547B54" w:rsidP="00547B54">
      <w:pPr>
        <w:pStyle w:val="PI-3EMEASMCA"/>
      </w:pPr>
      <w:r>
        <w:t xml:space="preserve">Pamiršus pavartoti </w:t>
      </w:r>
      <w:proofErr w:type="spellStart"/>
      <w:r>
        <w:t>Altiva</w:t>
      </w:r>
      <w:proofErr w:type="spellEnd"/>
    </w:p>
    <w:p w:rsidR="00547B54" w:rsidRDefault="00547B54" w:rsidP="00547B54">
      <w:pPr>
        <w:rPr>
          <w:sz w:val="22"/>
          <w:szCs w:val="22"/>
        </w:rPr>
      </w:pPr>
      <w:r>
        <w:rPr>
          <w:sz w:val="22"/>
          <w:szCs w:val="22"/>
        </w:rPr>
        <w:t xml:space="preserve">Negalima vartoti dvigubos dozės norint kompensuoti praleistą dozę. Pamiršus išgerti vaisto, sekančią dozę reikia išgerti įprastu, gydytojo paskirtu laiku. </w:t>
      </w:r>
    </w:p>
    <w:p w:rsidR="00547B54" w:rsidRDefault="00547B54" w:rsidP="00547B54">
      <w:pPr>
        <w:pStyle w:val="BTEMEASMCA"/>
      </w:pPr>
    </w:p>
    <w:p w:rsidR="00547B54" w:rsidRDefault="00547B54" w:rsidP="00547B54">
      <w:pPr>
        <w:pStyle w:val="PI-3EMEASMCA"/>
      </w:pPr>
      <w:r>
        <w:t xml:space="preserve">Nustojus vartoti </w:t>
      </w:r>
      <w:proofErr w:type="spellStart"/>
      <w:r>
        <w:t>Altiva</w:t>
      </w:r>
      <w:proofErr w:type="spellEnd"/>
    </w:p>
    <w:p w:rsidR="00547B54" w:rsidRDefault="00547B54" w:rsidP="00547B54">
      <w:pPr>
        <w:pStyle w:val="PI-3EMEASMCA"/>
        <w:rPr>
          <w:b w:val="0"/>
        </w:rPr>
      </w:pPr>
      <w:r>
        <w:rPr>
          <w:b w:val="0"/>
        </w:rPr>
        <w:t xml:space="preserve">Pasakykite savo gydytojui, jei norite nutraukti </w:t>
      </w:r>
      <w:proofErr w:type="spellStart"/>
      <w:r>
        <w:rPr>
          <w:b w:val="0"/>
        </w:rPr>
        <w:t>Altiva</w:t>
      </w:r>
      <w:proofErr w:type="spellEnd"/>
      <w:r>
        <w:rPr>
          <w:b w:val="0"/>
        </w:rPr>
        <w:t xml:space="preserve"> vartojimą dar nepasibaigus gydymo kursui. Jei nustosite vartoti </w:t>
      </w:r>
      <w:proofErr w:type="spellStart"/>
      <w:r>
        <w:rPr>
          <w:b w:val="0"/>
        </w:rPr>
        <w:t>Altiva</w:t>
      </w:r>
      <w:proofErr w:type="spellEnd"/>
      <w:r>
        <w:rPr>
          <w:b w:val="0"/>
        </w:rPr>
        <w:t xml:space="preserve"> anksčiau, Jūsų ligos simptomai gali atsinaujinti. </w:t>
      </w:r>
    </w:p>
    <w:p w:rsidR="00547B54" w:rsidRDefault="00547B54" w:rsidP="00547B54">
      <w:pPr>
        <w:pStyle w:val="BTEMEASMCA"/>
      </w:pPr>
    </w:p>
    <w:p w:rsidR="00547B54" w:rsidRDefault="00547B54" w:rsidP="00547B54">
      <w:pPr>
        <w:pStyle w:val="BTEMEASMCA"/>
      </w:pPr>
      <w:r>
        <w:t>Jeigu kiltų daugiau klausimų dėl šio vaisto vartojimo, kreipkitės į gydytoją arba vaistininką.</w:t>
      </w:r>
    </w:p>
    <w:p w:rsidR="00547B54" w:rsidRDefault="00547B54" w:rsidP="00547B54">
      <w:pPr>
        <w:pStyle w:val="BTEMEASMCA"/>
      </w:pPr>
    </w:p>
    <w:p w:rsidR="00547B54" w:rsidRDefault="00547B54" w:rsidP="00547B54">
      <w:pPr>
        <w:pStyle w:val="BTEMEASMCA"/>
      </w:pPr>
    </w:p>
    <w:p w:rsidR="00547B54" w:rsidRDefault="00547B54" w:rsidP="00547B54">
      <w:pPr>
        <w:pStyle w:val="PI-1EMEASMCA"/>
        <w:ind w:left="0" w:firstLine="0"/>
      </w:pPr>
      <w:bookmarkStart w:id="8" w:name="_Toc129243142"/>
      <w:bookmarkStart w:id="9" w:name="_Toc129243267"/>
      <w:r>
        <w:t>4.</w:t>
      </w:r>
      <w:r>
        <w:tab/>
        <w:t>Galimas šalutinis poveikis</w:t>
      </w:r>
      <w:bookmarkEnd w:id="8"/>
      <w:bookmarkEnd w:id="9"/>
    </w:p>
    <w:p w:rsidR="00547B54" w:rsidRDefault="00547B54" w:rsidP="00547B54">
      <w:pPr>
        <w:pStyle w:val="BTEMEASMCA"/>
      </w:pPr>
    </w:p>
    <w:p w:rsidR="00547B54" w:rsidRDefault="00547B54" w:rsidP="00547B54">
      <w:pPr>
        <w:pStyle w:val="BTEMEASMCA"/>
      </w:pPr>
      <w:r>
        <w:t>Šis vaistas, kaip ir visi kiti, gali sukelti šalutinį poveikį, nors jis pasireiškia ne visiems žmonėms.</w:t>
      </w:r>
    </w:p>
    <w:p w:rsidR="00547B54" w:rsidRDefault="00547B54" w:rsidP="00547B54">
      <w:pPr>
        <w:pStyle w:val="BTEMEASMCA"/>
      </w:pPr>
    </w:p>
    <w:p w:rsidR="00547B54" w:rsidRDefault="00547B54" w:rsidP="00547B54">
      <w:pPr>
        <w:pStyle w:val="BTEMEASMCA"/>
      </w:pPr>
      <w:r>
        <w:t>Jeigu pasireiškė šalutinis poveikis, įskaitant šiame lapelyje nenurodytą, pasakykite gydytojui arba vaistininkui.</w:t>
      </w:r>
    </w:p>
    <w:p w:rsidR="00547B54" w:rsidRDefault="00547B54" w:rsidP="00547B54">
      <w:pPr>
        <w:rPr>
          <w:sz w:val="22"/>
          <w:szCs w:val="22"/>
        </w:rPr>
      </w:pPr>
    </w:p>
    <w:p w:rsidR="00547B54" w:rsidRDefault="00547B54" w:rsidP="00547B54">
      <w:pPr>
        <w:rPr>
          <w:sz w:val="22"/>
          <w:szCs w:val="22"/>
        </w:rPr>
      </w:pPr>
      <w:r>
        <w:rPr>
          <w:sz w:val="22"/>
          <w:szCs w:val="22"/>
        </w:rPr>
        <w:t xml:space="preserve">Nedelsiant praneškite savo gydytojui ir nustokite vartoti </w:t>
      </w:r>
      <w:proofErr w:type="spellStart"/>
      <w:r>
        <w:rPr>
          <w:sz w:val="22"/>
          <w:szCs w:val="22"/>
        </w:rPr>
        <w:t>Altiva</w:t>
      </w:r>
      <w:proofErr w:type="spellEnd"/>
      <w:r>
        <w:rPr>
          <w:sz w:val="22"/>
          <w:szCs w:val="22"/>
        </w:rPr>
        <w:t>, jei Jums pasireiškė:</w:t>
      </w:r>
    </w:p>
    <w:p w:rsidR="00547B54" w:rsidRDefault="00547B54" w:rsidP="00547B54">
      <w:pPr>
        <w:pStyle w:val="BT-EMEASMCA"/>
        <w:numPr>
          <w:ilvl w:val="0"/>
          <w:numId w:val="2"/>
        </w:numPr>
        <w:tabs>
          <w:tab w:val="left" w:pos="1296"/>
        </w:tabs>
      </w:pPr>
      <w:r>
        <w:t xml:space="preserve">veido, lūpų, liežuvio ar gerklės patinimas ir sunkumas kvėpuoti, nes tai gali būti sunkios alerginės reakcijos požymiai. </w:t>
      </w:r>
    </w:p>
    <w:p w:rsidR="00547B54" w:rsidRDefault="00547B54" w:rsidP="00547B54">
      <w:pPr>
        <w:pStyle w:val="BT-EMEASMCA"/>
        <w:numPr>
          <w:ilvl w:val="0"/>
          <w:numId w:val="0"/>
        </w:numPr>
        <w:tabs>
          <w:tab w:val="left" w:pos="720"/>
        </w:tabs>
      </w:pPr>
    </w:p>
    <w:p w:rsidR="00547B54" w:rsidRDefault="00547B54" w:rsidP="00547B54">
      <w:pPr>
        <w:pStyle w:val="BT-EMEASMCA"/>
        <w:numPr>
          <w:ilvl w:val="0"/>
          <w:numId w:val="0"/>
        </w:numPr>
        <w:tabs>
          <w:tab w:val="left" w:pos="720"/>
        </w:tabs>
      </w:pPr>
      <w:r>
        <w:rPr>
          <w:b/>
          <w:iCs/>
        </w:rPr>
        <w:t>Dažnas šalutinis poveikis</w:t>
      </w:r>
      <w:r>
        <w:t xml:space="preserve"> (gali pasireikšti mažiau kaip 1 iš 10 žmonių):</w:t>
      </w:r>
    </w:p>
    <w:p w:rsidR="00547B54" w:rsidRDefault="00547B54" w:rsidP="00547B54">
      <w:pPr>
        <w:pStyle w:val="BT-EMEASMCA"/>
        <w:numPr>
          <w:ilvl w:val="0"/>
          <w:numId w:val="2"/>
        </w:numPr>
        <w:tabs>
          <w:tab w:val="left" w:pos="720"/>
        </w:tabs>
      </w:pPr>
      <w:r>
        <w:t>galvos skausmas;</w:t>
      </w:r>
    </w:p>
    <w:p w:rsidR="00547B54" w:rsidRDefault="00547B54" w:rsidP="00547B54">
      <w:pPr>
        <w:pStyle w:val="BT-EMEASMCA"/>
        <w:numPr>
          <w:ilvl w:val="0"/>
          <w:numId w:val="2"/>
        </w:numPr>
        <w:tabs>
          <w:tab w:val="left" w:pos="720"/>
        </w:tabs>
      </w:pPr>
      <w:r>
        <w:t>mieguistumas;</w:t>
      </w:r>
    </w:p>
    <w:p w:rsidR="00547B54" w:rsidRDefault="00547B54" w:rsidP="00547B54">
      <w:pPr>
        <w:pStyle w:val="BT-EMEASMCA"/>
        <w:numPr>
          <w:ilvl w:val="0"/>
          <w:numId w:val="2"/>
        </w:numPr>
        <w:tabs>
          <w:tab w:val="left" w:pos="720"/>
        </w:tabs>
      </w:pPr>
      <w:r>
        <w:t>šleikštulys (pykinimas);</w:t>
      </w:r>
    </w:p>
    <w:p w:rsidR="00547B54" w:rsidRDefault="00547B54" w:rsidP="00547B54">
      <w:pPr>
        <w:pStyle w:val="BT-EMEASMCA"/>
        <w:numPr>
          <w:ilvl w:val="0"/>
          <w:numId w:val="2"/>
        </w:numPr>
        <w:tabs>
          <w:tab w:val="left" w:pos="720"/>
        </w:tabs>
      </w:pPr>
      <w:r>
        <w:t>svaigulys.</w:t>
      </w:r>
    </w:p>
    <w:p w:rsidR="00547B54" w:rsidRDefault="00547B54" w:rsidP="00547B54">
      <w:pPr>
        <w:pStyle w:val="BT-EMEASMCA"/>
        <w:numPr>
          <w:ilvl w:val="0"/>
          <w:numId w:val="0"/>
        </w:numPr>
        <w:tabs>
          <w:tab w:val="left" w:pos="720"/>
        </w:tabs>
      </w:pPr>
    </w:p>
    <w:p w:rsidR="00547B54" w:rsidRDefault="00547B54" w:rsidP="00547B54">
      <w:pPr>
        <w:pStyle w:val="BT-EMEASMCA"/>
        <w:numPr>
          <w:ilvl w:val="0"/>
          <w:numId w:val="0"/>
        </w:numPr>
        <w:tabs>
          <w:tab w:val="left" w:pos="720"/>
        </w:tabs>
      </w:pPr>
      <w:r>
        <w:rPr>
          <w:b/>
          <w:iCs/>
        </w:rPr>
        <w:lastRenderedPageBreak/>
        <w:t>Nedažnas šalutinis poveikis</w:t>
      </w:r>
      <w:r>
        <w:t xml:space="preserve"> (gali pasireikšti mažiau kaip 1 iš 100 žmonių):</w:t>
      </w:r>
    </w:p>
    <w:p w:rsidR="00547B54" w:rsidRDefault="00547B54" w:rsidP="00547B54">
      <w:pPr>
        <w:pStyle w:val="BT-EMEASMCA"/>
        <w:numPr>
          <w:ilvl w:val="0"/>
          <w:numId w:val="2"/>
        </w:numPr>
        <w:tabs>
          <w:tab w:val="left" w:pos="720"/>
        </w:tabs>
      </w:pPr>
      <w:r>
        <w:t>nuovargis;</w:t>
      </w:r>
    </w:p>
    <w:p w:rsidR="00547B54" w:rsidRDefault="00547B54" w:rsidP="00547B54">
      <w:pPr>
        <w:pStyle w:val="BT-EMEASMCA"/>
        <w:numPr>
          <w:ilvl w:val="0"/>
          <w:numId w:val="2"/>
        </w:numPr>
        <w:tabs>
          <w:tab w:val="left" w:pos="720"/>
        </w:tabs>
      </w:pPr>
      <w:r>
        <w:t>mieguistumas.</w:t>
      </w:r>
    </w:p>
    <w:p w:rsidR="00547B54" w:rsidRDefault="00547B54" w:rsidP="00547B54">
      <w:pPr>
        <w:pStyle w:val="BT-EMEASMCA"/>
        <w:numPr>
          <w:ilvl w:val="0"/>
          <w:numId w:val="0"/>
        </w:numPr>
        <w:tabs>
          <w:tab w:val="left" w:pos="720"/>
        </w:tabs>
      </w:pPr>
    </w:p>
    <w:p w:rsidR="00547B54" w:rsidRDefault="00547B54" w:rsidP="00547B54">
      <w:pPr>
        <w:pStyle w:val="BT-EMEASMCA"/>
        <w:numPr>
          <w:ilvl w:val="0"/>
          <w:numId w:val="0"/>
        </w:numPr>
        <w:tabs>
          <w:tab w:val="left" w:pos="720"/>
        </w:tabs>
      </w:pPr>
      <w:r>
        <w:rPr>
          <w:b/>
        </w:rPr>
        <w:t>Kitas, galintis pasireikšti, šalutinis poveikis</w:t>
      </w:r>
      <w:r>
        <w:t xml:space="preserve"> (dažnis nežinomas: negali būti nustatytas pagal turimus duomenis):</w:t>
      </w:r>
    </w:p>
    <w:p w:rsidR="00547B54" w:rsidRDefault="00547B54" w:rsidP="00547B54">
      <w:pPr>
        <w:pStyle w:val="BT-EMEASMCA"/>
        <w:numPr>
          <w:ilvl w:val="0"/>
          <w:numId w:val="2"/>
        </w:numPr>
        <w:tabs>
          <w:tab w:val="left" w:pos="720"/>
        </w:tabs>
      </w:pPr>
      <w:r>
        <w:t>negalėjimas užmigti (nemiga);</w:t>
      </w:r>
    </w:p>
    <w:p w:rsidR="00547B54" w:rsidRDefault="00547B54" w:rsidP="00547B54">
      <w:pPr>
        <w:pStyle w:val="BT-EMEASMCA"/>
        <w:numPr>
          <w:ilvl w:val="0"/>
          <w:numId w:val="2"/>
        </w:numPr>
        <w:tabs>
          <w:tab w:val="left" w:pos="720"/>
        </w:tabs>
      </w:pPr>
      <w:r>
        <w:t>miego sutrikimai;</w:t>
      </w:r>
    </w:p>
    <w:p w:rsidR="00547B54" w:rsidRDefault="00547B54" w:rsidP="00547B54">
      <w:pPr>
        <w:pStyle w:val="BT-EMEASMCA"/>
        <w:numPr>
          <w:ilvl w:val="0"/>
          <w:numId w:val="2"/>
        </w:numPr>
        <w:tabs>
          <w:tab w:val="left" w:pos="720"/>
        </w:tabs>
      </w:pPr>
      <w:r>
        <w:t>košmarai;</w:t>
      </w:r>
    </w:p>
    <w:p w:rsidR="00547B54" w:rsidRDefault="00547B54" w:rsidP="00547B54">
      <w:pPr>
        <w:pStyle w:val="BT-EMEASMCA"/>
        <w:numPr>
          <w:ilvl w:val="0"/>
          <w:numId w:val="2"/>
        </w:numPr>
        <w:tabs>
          <w:tab w:val="left" w:pos="720"/>
        </w:tabs>
      </w:pPr>
      <w:r>
        <w:t>nervingumas;</w:t>
      </w:r>
    </w:p>
    <w:p w:rsidR="00547B54" w:rsidRDefault="00547B54" w:rsidP="00547B54">
      <w:pPr>
        <w:pStyle w:val="BT-EMEASMCA"/>
        <w:numPr>
          <w:ilvl w:val="0"/>
          <w:numId w:val="2"/>
        </w:numPr>
        <w:tabs>
          <w:tab w:val="left" w:pos="720"/>
        </w:tabs>
      </w:pPr>
      <w:r>
        <w:t>greitas arba nereguliarus širdies plakimas;</w:t>
      </w:r>
    </w:p>
    <w:p w:rsidR="00547B54" w:rsidRDefault="00547B54" w:rsidP="00547B54">
      <w:pPr>
        <w:pStyle w:val="BT-EMEASMCA"/>
        <w:numPr>
          <w:ilvl w:val="0"/>
          <w:numId w:val="2"/>
        </w:numPr>
        <w:tabs>
          <w:tab w:val="left" w:pos="720"/>
        </w:tabs>
      </w:pPr>
      <w:r>
        <w:t>viduriavimas;</w:t>
      </w:r>
    </w:p>
    <w:p w:rsidR="00547B54" w:rsidRDefault="00547B54" w:rsidP="00547B54">
      <w:pPr>
        <w:pStyle w:val="BT-EMEASMCA"/>
        <w:numPr>
          <w:ilvl w:val="0"/>
          <w:numId w:val="2"/>
        </w:numPr>
        <w:tabs>
          <w:tab w:val="left" w:pos="720"/>
        </w:tabs>
      </w:pPr>
      <w:r>
        <w:t>odos išbėrimai ir niežulys;</w:t>
      </w:r>
    </w:p>
    <w:p w:rsidR="00547B54" w:rsidRDefault="00547B54" w:rsidP="00547B54">
      <w:pPr>
        <w:pStyle w:val="BT-EMEASMCA"/>
        <w:numPr>
          <w:ilvl w:val="0"/>
          <w:numId w:val="2"/>
        </w:numPr>
        <w:tabs>
          <w:tab w:val="left" w:pos="720"/>
        </w:tabs>
      </w:pPr>
      <w:r>
        <w:t>dilgėlinė;</w:t>
      </w:r>
    </w:p>
    <w:p w:rsidR="00547B54" w:rsidRDefault="00547B54" w:rsidP="00547B54">
      <w:pPr>
        <w:pStyle w:val="BT-EMEASMCA"/>
        <w:numPr>
          <w:ilvl w:val="0"/>
          <w:numId w:val="2"/>
        </w:numPr>
        <w:tabs>
          <w:tab w:val="left" w:pos="720"/>
        </w:tabs>
      </w:pPr>
      <w:r>
        <w:t xml:space="preserve">sunkios alerginės reakcijos, pasireiškiančios veido, lūpų, liežuvio ar gerklės patinimu, paraudimu, spaudimu krūtinėje ir pasunkėjusiu kvėpavimu. </w:t>
      </w:r>
    </w:p>
    <w:p w:rsidR="00547B54" w:rsidRDefault="00547B54" w:rsidP="00547B54">
      <w:pPr>
        <w:pStyle w:val="prastasiniatinklio"/>
        <w:spacing w:before="0" w:beforeAutospacing="0" w:after="0"/>
        <w:rPr>
          <w:sz w:val="22"/>
          <w:szCs w:val="22"/>
        </w:rPr>
      </w:pPr>
    </w:p>
    <w:p w:rsidR="00547B54" w:rsidRDefault="00547B54" w:rsidP="00547B54">
      <w:pPr>
        <w:pStyle w:val="prastasiniatinklio"/>
        <w:spacing w:before="0" w:beforeAutospacing="0" w:after="0"/>
        <w:rPr>
          <w:b/>
          <w:sz w:val="22"/>
          <w:szCs w:val="22"/>
        </w:rPr>
      </w:pPr>
      <w:r>
        <w:rPr>
          <w:b/>
          <w:sz w:val="22"/>
          <w:szCs w:val="22"/>
        </w:rPr>
        <w:t>Pranešimas apie šalutinį poveikį</w:t>
      </w:r>
    </w:p>
    <w:p w:rsidR="00547B54" w:rsidRDefault="00547B54" w:rsidP="00547B54">
      <w:pPr>
        <w:pStyle w:val="BTEMEASMCA"/>
      </w:pPr>
      <w: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Pr>
            <w:rStyle w:val="Hipersaitas"/>
          </w:rPr>
          <w:t>www.vvkt.lt</w:t>
        </w:r>
      </w:hyperlink>
      <w: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Hipersaitas"/>
          </w:rPr>
          <w:t>NepageidaujamaR@vvkt.lt</w:t>
        </w:r>
      </w:hyperlink>
      <w:r>
        <w:t xml:space="preserve"> , taip pat per Valstybinės vaistų kontrolės tarnybos prie Lietuvos Respublikos sveikatos apsaugos ministerijos interneto svetainę (adresu </w:t>
      </w:r>
      <w:hyperlink r:id="rId7" w:history="1">
        <w:r>
          <w:rPr>
            <w:rStyle w:val="Hipersaitas"/>
          </w:rPr>
          <w:t>http://www.vvkt.lt</w:t>
        </w:r>
      </w:hyperlink>
      <w:r>
        <w:t xml:space="preserve"> ). Pranešdami apie šalutinį poveikį galite mums padėti gauti daugiau informacijos apie šio vaisto saugumą.</w:t>
      </w:r>
    </w:p>
    <w:p w:rsidR="00547B54" w:rsidRDefault="00547B54" w:rsidP="00547B54">
      <w:pPr>
        <w:pStyle w:val="BTEMEASMCA"/>
      </w:pPr>
    </w:p>
    <w:p w:rsidR="00547B54" w:rsidRDefault="00547B54" w:rsidP="00547B54">
      <w:pPr>
        <w:pStyle w:val="PI-1EMEASMCA"/>
        <w:ind w:left="0" w:firstLine="0"/>
      </w:pPr>
      <w:bookmarkStart w:id="10" w:name="_Toc129243143"/>
      <w:bookmarkStart w:id="11" w:name="_Toc129243268"/>
      <w:r>
        <w:t>5.</w:t>
      </w:r>
      <w:r>
        <w:tab/>
        <w:t xml:space="preserve">Kaip laikyti </w:t>
      </w:r>
      <w:bookmarkEnd w:id="10"/>
      <w:bookmarkEnd w:id="11"/>
      <w:proofErr w:type="spellStart"/>
      <w:r>
        <w:t>Altiva</w:t>
      </w:r>
      <w:proofErr w:type="spellEnd"/>
    </w:p>
    <w:p w:rsidR="00547B54" w:rsidRDefault="00547B54" w:rsidP="00547B54">
      <w:pPr>
        <w:pStyle w:val="BTEMEASMCA"/>
      </w:pPr>
    </w:p>
    <w:p w:rsidR="00547B54" w:rsidRDefault="00547B54" w:rsidP="00547B54">
      <w:pPr>
        <w:rPr>
          <w:sz w:val="22"/>
          <w:szCs w:val="22"/>
        </w:rPr>
      </w:pPr>
      <w:r>
        <w:rPr>
          <w:sz w:val="22"/>
          <w:szCs w:val="22"/>
        </w:rPr>
        <w:t>Šį vaistą laikykite vaikams nepastebimoje ir nepasiekiamoje vietoje.</w:t>
      </w:r>
    </w:p>
    <w:p w:rsidR="00547B54" w:rsidRDefault="00547B54" w:rsidP="00547B54">
      <w:pPr>
        <w:rPr>
          <w:sz w:val="22"/>
          <w:szCs w:val="22"/>
        </w:rPr>
      </w:pPr>
    </w:p>
    <w:p w:rsidR="00547B54" w:rsidRDefault="00547B54" w:rsidP="00547B54">
      <w:pPr>
        <w:rPr>
          <w:sz w:val="22"/>
          <w:szCs w:val="22"/>
        </w:rPr>
      </w:pPr>
      <w:r>
        <w:rPr>
          <w:sz w:val="22"/>
          <w:szCs w:val="22"/>
        </w:rPr>
        <w:t>Laikyti ne aukštesnėje kaip 25</w:t>
      </w:r>
      <w:r>
        <w:rPr>
          <w:sz w:val="22"/>
          <w:szCs w:val="22"/>
          <w:vertAlign w:val="superscript"/>
        </w:rPr>
        <w:t xml:space="preserve">0 </w:t>
      </w:r>
      <w:r>
        <w:rPr>
          <w:sz w:val="22"/>
          <w:szCs w:val="22"/>
        </w:rPr>
        <w:t>C temperatūroje.</w:t>
      </w:r>
    </w:p>
    <w:p w:rsidR="00547B54" w:rsidRDefault="00547B54" w:rsidP="00547B54">
      <w:pPr>
        <w:rPr>
          <w:sz w:val="22"/>
          <w:szCs w:val="22"/>
        </w:rPr>
      </w:pPr>
      <w:r>
        <w:rPr>
          <w:sz w:val="22"/>
          <w:szCs w:val="22"/>
        </w:rPr>
        <w:t>Laikyti gamintojo pakuotėje, kad vaistas būtų apsaugotas nuo drėgmės.</w:t>
      </w:r>
    </w:p>
    <w:p w:rsidR="00547B54" w:rsidRDefault="00547B54" w:rsidP="00547B54">
      <w:pPr>
        <w:rPr>
          <w:sz w:val="22"/>
          <w:szCs w:val="22"/>
        </w:rPr>
      </w:pPr>
      <w:r>
        <w:rPr>
          <w:sz w:val="22"/>
          <w:szCs w:val="22"/>
        </w:rPr>
        <w:t xml:space="preserve">Ant dėžutės ir lizdinės plokštelės po „EXP“ nurodytam tinkamumo laikui pasibaigus, šio vaisto vartoti negalima. Vaistas tinkamas vartoti iki paskutinės nurodyto mėnesio dienos. </w:t>
      </w:r>
    </w:p>
    <w:p w:rsidR="00547B54" w:rsidRDefault="00547B54" w:rsidP="00547B54">
      <w:pPr>
        <w:pStyle w:val="BTEMEASMCA"/>
      </w:pPr>
    </w:p>
    <w:p w:rsidR="00547B54" w:rsidRDefault="00547B54" w:rsidP="00547B54">
      <w:pPr>
        <w:pStyle w:val="BTEMEASMCA"/>
      </w:pPr>
      <w:r>
        <w:t>Vaistų negalima išmesti į kanalizaciją arba su buitinėmis atliekomis. Kaip išmesti nereikalingus vaistus, klauskite vaistininko. Šios priemonės padės apsaugoti aplinką.</w:t>
      </w:r>
    </w:p>
    <w:p w:rsidR="00547B54" w:rsidRDefault="00547B54" w:rsidP="00547B54">
      <w:pPr>
        <w:pStyle w:val="BTEMEASMCA"/>
      </w:pPr>
    </w:p>
    <w:p w:rsidR="00547B54" w:rsidRDefault="00547B54" w:rsidP="00547B54">
      <w:pPr>
        <w:pStyle w:val="BTEMEASMCA"/>
      </w:pPr>
    </w:p>
    <w:p w:rsidR="00547B54" w:rsidRDefault="00547B54" w:rsidP="00547B54">
      <w:pPr>
        <w:pStyle w:val="PI-1EMEASMCA"/>
        <w:ind w:left="0" w:firstLine="0"/>
      </w:pPr>
      <w:bookmarkStart w:id="12" w:name="_Toc129243144"/>
      <w:bookmarkStart w:id="13" w:name="_Toc129243269"/>
      <w:r>
        <w:t>6.</w:t>
      </w:r>
      <w:r>
        <w:tab/>
        <w:t>Pakuotės turinys ir kita informacija</w:t>
      </w:r>
      <w:bookmarkEnd w:id="12"/>
      <w:bookmarkEnd w:id="13"/>
    </w:p>
    <w:p w:rsidR="00547B54" w:rsidRDefault="00547B54" w:rsidP="00547B54">
      <w:pPr>
        <w:pStyle w:val="BTEMEASMCA"/>
      </w:pPr>
    </w:p>
    <w:p w:rsidR="00547B54" w:rsidRDefault="00547B54" w:rsidP="00547B54">
      <w:pPr>
        <w:pStyle w:val="PI-3EMEASMCA"/>
      </w:pPr>
      <w:proofErr w:type="spellStart"/>
      <w:r>
        <w:t>Altiva</w:t>
      </w:r>
      <w:proofErr w:type="spellEnd"/>
      <w:r>
        <w:t xml:space="preserve"> sudėtis</w:t>
      </w:r>
    </w:p>
    <w:p w:rsidR="00547B54" w:rsidRDefault="00547B54" w:rsidP="00547B54">
      <w:pPr>
        <w:pStyle w:val="BT-EMEASMCA"/>
        <w:tabs>
          <w:tab w:val="clear" w:pos="360"/>
          <w:tab w:val="num" w:pos="720"/>
        </w:tabs>
        <w:ind w:left="720" w:hanging="363"/>
      </w:pPr>
      <w:r>
        <w:t xml:space="preserve">Veiklioji medžiaga yra </w:t>
      </w:r>
      <w:proofErr w:type="spellStart"/>
      <w:r>
        <w:t>feksofenadino</w:t>
      </w:r>
      <w:proofErr w:type="spellEnd"/>
      <w:r>
        <w:t xml:space="preserve"> hidrochloridas. Kiekvienoje plėvele dengtoje tabletėje yra 120 mg </w:t>
      </w:r>
      <w:proofErr w:type="spellStart"/>
      <w:r>
        <w:t>feksofenadino</w:t>
      </w:r>
      <w:proofErr w:type="spellEnd"/>
      <w:r>
        <w:t xml:space="preserve"> hidrochlorido. </w:t>
      </w:r>
    </w:p>
    <w:p w:rsidR="00547B54" w:rsidRDefault="00547B54" w:rsidP="00547B54">
      <w:pPr>
        <w:pStyle w:val="BT-EMEASMCA"/>
        <w:tabs>
          <w:tab w:val="clear" w:pos="360"/>
          <w:tab w:val="num" w:pos="720"/>
        </w:tabs>
        <w:ind w:left="720" w:hanging="363"/>
      </w:pPr>
      <w:r>
        <w:t xml:space="preserve">Pagalbinės medžiagos tabletės šerdyje yra </w:t>
      </w:r>
      <w:proofErr w:type="spellStart"/>
      <w:r>
        <w:t>kroskarmeliozės</w:t>
      </w:r>
      <w:proofErr w:type="spellEnd"/>
      <w:r>
        <w:t xml:space="preserve"> natrio druska, </w:t>
      </w:r>
      <w:proofErr w:type="spellStart"/>
      <w:r>
        <w:t>mikrokristalinė</w:t>
      </w:r>
      <w:proofErr w:type="spellEnd"/>
      <w:r>
        <w:t xml:space="preserve"> celiuliozė, </w:t>
      </w:r>
      <w:proofErr w:type="spellStart"/>
      <w:r>
        <w:t>pregelifikuotas</w:t>
      </w:r>
      <w:proofErr w:type="spellEnd"/>
      <w:r>
        <w:t xml:space="preserve"> kukurūzų krakmolas, koloidinis bevandenis silicio dioksidas, </w:t>
      </w:r>
      <w:proofErr w:type="spellStart"/>
      <w:r>
        <w:t>povidonas</w:t>
      </w:r>
      <w:proofErr w:type="spellEnd"/>
      <w:r>
        <w:t xml:space="preserve">, magnio </w:t>
      </w:r>
      <w:proofErr w:type="spellStart"/>
      <w:r>
        <w:t>stearatas</w:t>
      </w:r>
      <w:proofErr w:type="spellEnd"/>
      <w:r>
        <w:t xml:space="preserve">, plėvelėje - </w:t>
      </w:r>
      <w:proofErr w:type="spellStart"/>
      <w:r>
        <w:t>hipromeliozė</w:t>
      </w:r>
      <w:proofErr w:type="spellEnd"/>
      <w:r>
        <w:t xml:space="preserve">, titano dioksidas (E171), </w:t>
      </w:r>
      <w:proofErr w:type="spellStart"/>
      <w:r>
        <w:t>makrogolis</w:t>
      </w:r>
      <w:proofErr w:type="spellEnd"/>
      <w:r>
        <w:t xml:space="preserve"> 400, raudonasis geležies oksidas (E172); spausdinimo rašale - </w:t>
      </w:r>
      <w:proofErr w:type="spellStart"/>
      <w:r>
        <w:t>šelakas</w:t>
      </w:r>
      <w:proofErr w:type="spellEnd"/>
      <w:r>
        <w:t xml:space="preserve">, juodasis geležies oksidas (E 172), </w:t>
      </w:r>
      <w:proofErr w:type="spellStart"/>
      <w:r>
        <w:t>propilenglikolis</w:t>
      </w:r>
      <w:proofErr w:type="spellEnd"/>
      <w:r>
        <w:t>.</w:t>
      </w:r>
    </w:p>
    <w:p w:rsidR="00547B54" w:rsidRDefault="00547B54" w:rsidP="00547B54">
      <w:pPr>
        <w:pStyle w:val="BTEMEASMCA"/>
      </w:pPr>
    </w:p>
    <w:p w:rsidR="00547B54" w:rsidRDefault="00547B54" w:rsidP="00547B54">
      <w:pPr>
        <w:pStyle w:val="PI-3EMEASMCA"/>
      </w:pPr>
      <w:proofErr w:type="spellStart"/>
      <w:r>
        <w:t>Altiva</w:t>
      </w:r>
      <w:proofErr w:type="spellEnd"/>
      <w:r>
        <w:t xml:space="preserve"> išvaizda ir kiekis pakuotėje</w:t>
      </w:r>
    </w:p>
    <w:p w:rsidR="00547B54" w:rsidRDefault="00547B54" w:rsidP="00547B54">
      <w:pPr>
        <w:rPr>
          <w:sz w:val="22"/>
          <w:szCs w:val="22"/>
        </w:rPr>
      </w:pPr>
      <w:proofErr w:type="spellStart"/>
      <w:r>
        <w:rPr>
          <w:sz w:val="22"/>
          <w:szCs w:val="22"/>
        </w:rPr>
        <w:lastRenderedPageBreak/>
        <w:t>Altiva</w:t>
      </w:r>
      <w:proofErr w:type="spellEnd"/>
      <w:r>
        <w:rPr>
          <w:sz w:val="22"/>
          <w:szCs w:val="22"/>
        </w:rPr>
        <w:t xml:space="preserve"> 120 mg plėvele dengta tabletė yra persiko spalvos, kurios vienoje pusėje juodu rašalu užrašyta „</w:t>
      </w:r>
      <w:proofErr w:type="spellStart"/>
      <w:r>
        <w:rPr>
          <w:sz w:val="22"/>
          <w:szCs w:val="22"/>
        </w:rPr>
        <w:t>Altiva</w:t>
      </w:r>
      <w:proofErr w:type="spellEnd"/>
      <w:r>
        <w:rPr>
          <w:sz w:val="22"/>
          <w:szCs w:val="22"/>
        </w:rPr>
        <w:t xml:space="preserve"> 120“</w:t>
      </w:r>
    </w:p>
    <w:p w:rsidR="00547B54" w:rsidRDefault="00547B54" w:rsidP="00547B54">
      <w:pPr>
        <w:pStyle w:val="BTEMEASMCA"/>
      </w:pPr>
    </w:p>
    <w:p w:rsidR="00547B54" w:rsidRDefault="00547B54" w:rsidP="00547B54">
      <w:pPr>
        <w:rPr>
          <w:sz w:val="22"/>
          <w:szCs w:val="22"/>
        </w:rPr>
      </w:pPr>
      <w:r>
        <w:rPr>
          <w:sz w:val="22"/>
          <w:szCs w:val="22"/>
        </w:rPr>
        <w:t>PVC/PVDC/aliuminio lizdinė plokštelė, kurioje yra 30 plėvele dengtų tablečių. Dėžutėje yra trys lizdinės plokštelės.</w:t>
      </w:r>
    </w:p>
    <w:p w:rsidR="00547B54" w:rsidRDefault="00547B54" w:rsidP="00547B54">
      <w:pPr>
        <w:pStyle w:val="BTEMEASMCA"/>
      </w:pPr>
    </w:p>
    <w:p w:rsidR="00547B54" w:rsidRDefault="00547B54" w:rsidP="00547B54">
      <w:pPr>
        <w:pStyle w:val="PI-3EMEASMCA"/>
      </w:pPr>
      <w:r>
        <w:t>Registruotojas ir gamintojas</w:t>
      </w:r>
    </w:p>
    <w:p w:rsidR="00547B54" w:rsidRDefault="00547B54" w:rsidP="00547B54">
      <w:pPr>
        <w:pStyle w:val="BTEMEASMCA"/>
      </w:pPr>
    </w:p>
    <w:p w:rsidR="00547B54" w:rsidRDefault="00547B54" w:rsidP="00547B54">
      <w:pPr>
        <w:rPr>
          <w:i/>
          <w:sz w:val="22"/>
          <w:szCs w:val="22"/>
        </w:rPr>
      </w:pPr>
      <w:r>
        <w:rPr>
          <w:i/>
          <w:sz w:val="22"/>
          <w:szCs w:val="22"/>
        </w:rPr>
        <w:t xml:space="preserve">Registruotojas </w:t>
      </w:r>
    </w:p>
    <w:p w:rsidR="00547B54" w:rsidRPr="004D7CF8" w:rsidRDefault="00547B54" w:rsidP="00547B54">
      <w:pPr>
        <w:rPr>
          <w:rFonts w:eastAsia="Arial Unicode MS"/>
          <w:noProof/>
        </w:rPr>
      </w:pPr>
      <w:r w:rsidRPr="004D7CF8">
        <w:rPr>
          <w:rFonts w:eastAsia="Arial Unicode MS"/>
          <w:noProof/>
        </w:rPr>
        <w:t>Sun Pharmaceutical Industries Europe B.V.</w:t>
      </w:r>
    </w:p>
    <w:p w:rsidR="00547B54" w:rsidRPr="004D7CF8" w:rsidRDefault="00547B54" w:rsidP="00547B54">
      <w:pPr>
        <w:rPr>
          <w:rFonts w:eastAsia="Arial Unicode MS"/>
          <w:noProof/>
        </w:rPr>
      </w:pPr>
      <w:r w:rsidRPr="004D7CF8">
        <w:rPr>
          <w:rFonts w:eastAsia="Arial Unicode MS"/>
          <w:noProof/>
        </w:rPr>
        <w:t>Polarisavenue 87</w:t>
      </w:r>
    </w:p>
    <w:p w:rsidR="00547B54" w:rsidRPr="004D7CF8" w:rsidRDefault="00547B54" w:rsidP="00547B54">
      <w:pPr>
        <w:rPr>
          <w:rFonts w:eastAsia="Arial Unicode MS"/>
          <w:noProof/>
        </w:rPr>
      </w:pPr>
      <w:r w:rsidRPr="004D7CF8">
        <w:rPr>
          <w:rFonts w:eastAsia="Arial Unicode MS"/>
          <w:noProof/>
        </w:rPr>
        <w:t>2132JH Hoofddorp</w:t>
      </w:r>
    </w:p>
    <w:p w:rsidR="00547B54" w:rsidRDefault="00547B54" w:rsidP="00547B54">
      <w:r>
        <w:rPr>
          <w:rFonts w:eastAsia="Arial Unicode MS"/>
          <w:noProof/>
        </w:rPr>
        <w:t>Nyderlandai</w:t>
      </w:r>
    </w:p>
    <w:p w:rsidR="00547B54" w:rsidRDefault="00547B54" w:rsidP="00547B54">
      <w:pPr>
        <w:pStyle w:val="BTEMEASMCA"/>
      </w:pPr>
    </w:p>
    <w:p w:rsidR="00547B54" w:rsidRDefault="00547B54" w:rsidP="00547B54">
      <w:pPr>
        <w:rPr>
          <w:iCs/>
          <w:sz w:val="22"/>
          <w:szCs w:val="22"/>
        </w:rPr>
      </w:pPr>
      <w:r>
        <w:rPr>
          <w:i/>
          <w:sz w:val="22"/>
          <w:szCs w:val="22"/>
        </w:rPr>
        <w:t xml:space="preserve">Gamintojas </w:t>
      </w:r>
    </w:p>
    <w:p w:rsidR="00547B54" w:rsidRDefault="00547B54" w:rsidP="00547B54">
      <w:pPr>
        <w:rPr>
          <w:iCs/>
          <w:sz w:val="22"/>
          <w:szCs w:val="22"/>
        </w:rPr>
      </w:pPr>
      <w:proofErr w:type="spellStart"/>
      <w:r>
        <w:rPr>
          <w:iCs/>
          <w:sz w:val="22"/>
          <w:szCs w:val="22"/>
        </w:rPr>
        <w:t>Ranbaxy</w:t>
      </w:r>
      <w:proofErr w:type="spellEnd"/>
      <w:r>
        <w:rPr>
          <w:iCs/>
          <w:sz w:val="22"/>
          <w:szCs w:val="22"/>
        </w:rPr>
        <w:t xml:space="preserve"> </w:t>
      </w:r>
      <w:proofErr w:type="spellStart"/>
      <w:r>
        <w:rPr>
          <w:iCs/>
          <w:sz w:val="22"/>
          <w:szCs w:val="22"/>
        </w:rPr>
        <w:t>Ireland</w:t>
      </w:r>
      <w:proofErr w:type="spellEnd"/>
      <w:r>
        <w:rPr>
          <w:iCs/>
          <w:sz w:val="22"/>
          <w:szCs w:val="22"/>
        </w:rPr>
        <w:t xml:space="preserve"> </w:t>
      </w:r>
      <w:proofErr w:type="spellStart"/>
      <w:r>
        <w:rPr>
          <w:iCs/>
          <w:sz w:val="22"/>
          <w:szCs w:val="22"/>
        </w:rPr>
        <w:t>Limited</w:t>
      </w:r>
      <w:proofErr w:type="spellEnd"/>
      <w:r>
        <w:rPr>
          <w:iCs/>
          <w:sz w:val="22"/>
          <w:szCs w:val="22"/>
        </w:rPr>
        <w:t>,</w:t>
      </w:r>
    </w:p>
    <w:p w:rsidR="00547B54" w:rsidRDefault="00547B54" w:rsidP="00547B54">
      <w:pPr>
        <w:rPr>
          <w:iCs/>
          <w:sz w:val="22"/>
          <w:szCs w:val="22"/>
        </w:rPr>
      </w:pPr>
      <w:proofErr w:type="spellStart"/>
      <w:r>
        <w:rPr>
          <w:iCs/>
          <w:sz w:val="22"/>
          <w:szCs w:val="22"/>
        </w:rPr>
        <w:t>Spafield</w:t>
      </w:r>
      <w:proofErr w:type="spellEnd"/>
      <w:r>
        <w:rPr>
          <w:iCs/>
          <w:sz w:val="22"/>
          <w:szCs w:val="22"/>
        </w:rPr>
        <w:t xml:space="preserve">, </w:t>
      </w:r>
      <w:proofErr w:type="spellStart"/>
      <w:r>
        <w:rPr>
          <w:iCs/>
          <w:sz w:val="22"/>
          <w:szCs w:val="22"/>
        </w:rPr>
        <w:t>Cork</w:t>
      </w:r>
      <w:proofErr w:type="spellEnd"/>
      <w:r>
        <w:rPr>
          <w:iCs/>
          <w:sz w:val="22"/>
          <w:szCs w:val="22"/>
        </w:rPr>
        <w:t xml:space="preserve"> </w:t>
      </w:r>
      <w:proofErr w:type="spellStart"/>
      <w:r>
        <w:rPr>
          <w:iCs/>
          <w:sz w:val="22"/>
          <w:szCs w:val="22"/>
        </w:rPr>
        <w:t>Road</w:t>
      </w:r>
      <w:proofErr w:type="spellEnd"/>
      <w:r>
        <w:rPr>
          <w:iCs/>
          <w:sz w:val="22"/>
          <w:szCs w:val="22"/>
        </w:rPr>
        <w:t xml:space="preserve">, </w:t>
      </w:r>
      <w:proofErr w:type="spellStart"/>
      <w:r>
        <w:rPr>
          <w:iCs/>
          <w:sz w:val="22"/>
          <w:szCs w:val="22"/>
        </w:rPr>
        <w:t>Cashel</w:t>
      </w:r>
      <w:proofErr w:type="spellEnd"/>
      <w:r>
        <w:rPr>
          <w:iCs/>
          <w:sz w:val="22"/>
          <w:szCs w:val="22"/>
        </w:rPr>
        <w:t xml:space="preserve">, </w:t>
      </w:r>
      <w:proofErr w:type="spellStart"/>
      <w:r>
        <w:rPr>
          <w:iCs/>
          <w:sz w:val="22"/>
          <w:szCs w:val="22"/>
        </w:rPr>
        <w:t>Co-Tipperary</w:t>
      </w:r>
      <w:proofErr w:type="spellEnd"/>
      <w:r>
        <w:rPr>
          <w:iCs/>
          <w:sz w:val="22"/>
          <w:szCs w:val="22"/>
        </w:rPr>
        <w:t>, Airija</w:t>
      </w:r>
    </w:p>
    <w:p w:rsidR="00547B54" w:rsidRDefault="00547B54" w:rsidP="00547B54">
      <w:pPr>
        <w:rPr>
          <w:sz w:val="22"/>
          <w:szCs w:val="22"/>
          <w:u w:val="single"/>
        </w:rPr>
      </w:pPr>
    </w:p>
    <w:p w:rsidR="00547B54" w:rsidRDefault="00547B54" w:rsidP="00547B54">
      <w:pPr>
        <w:rPr>
          <w:iCs/>
          <w:sz w:val="22"/>
          <w:szCs w:val="22"/>
        </w:rPr>
      </w:pPr>
      <w:proofErr w:type="spellStart"/>
      <w:r>
        <w:rPr>
          <w:iCs/>
          <w:sz w:val="22"/>
          <w:szCs w:val="22"/>
        </w:rPr>
        <w:t>Cemelog</w:t>
      </w:r>
      <w:proofErr w:type="spellEnd"/>
      <w:r>
        <w:rPr>
          <w:iCs/>
          <w:sz w:val="22"/>
          <w:szCs w:val="22"/>
        </w:rPr>
        <w:t xml:space="preserve"> BRS </w:t>
      </w:r>
      <w:proofErr w:type="spellStart"/>
      <w:r>
        <w:rPr>
          <w:iCs/>
          <w:sz w:val="22"/>
          <w:szCs w:val="22"/>
        </w:rPr>
        <w:t>Kft</w:t>
      </w:r>
      <w:proofErr w:type="spellEnd"/>
      <w:r>
        <w:rPr>
          <w:iCs/>
          <w:sz w:val="22"/>
          <w:szCs w:val="22"/>
        </w:rPr>
        <w:t>.</w:t>
      </w:r>
    </w:p>
    <w:p w:rsidR="00547B54" w:rsidRDefault="00547B54" w:rsidP="00547B54">
      <w:pPr>
        <w:rPr>
          <w:sz w:val="22"/>
          <w:szCs w:val="22"/>
        </w:rPr>
      </w:pPr>
      <w:proofErr w:type="spellStart"/>
      <w:r>
        <w:rPr>
          <w:sz w:val="22"/>
          <w:szCs w:val="22"/>
        </w:rPr>
        <w:t>Budaörs</w:t>
      </w:r>
      <w:proofErr w:type="spellEnd"/>
      <w:r>
        <w:rPr>
          <w:sz w:val="22"/>
          <w:szCs w:val="22"/>
        </w:rPr>
        <w:t xml:space="preserve">, </w:t>
      </w:r>
      <w:proofErr w:type="spellStart"/>
      <w:r>
        <w:rPr>
          <w:sz w:val="22"/>
          <w:szCs w:val="22"/>
        </w:rPr>
        <w:t>Vasút</w:t>
      </w:r>
      <w:proofErr w:type="spellEnd"/>
      <w:r>
        <w:rPr>
          <w:sz w:val="22"/>
          <w:szCs w:val="22"/>
        </w:rPr>
        <w:t xml:space="preserve"> u.2., 2040, Vengrija</w:t>
      </w:r>
    </w:p>
    <w:p w:rsidR="00547B54" w:rsidRDefault="00547B54" w:rsidP="00547B54">
      <w:pPr>
        <w:rPr>
          <w:sz w:val="22"/>
          <w:szCs w:val="22"/>
        </w:rPr>
      </w:pPr>
    </w:p>
    <w:p w:rsidR="00547B54" w:rsidRDefault="00547B54" w:rsidP="00547B54">
      <w:pPr>
        <w:rPr>
          <w:sz w:val="22"/>
          <w:szCs w:val="22"/>
        </w:rPr>
      </w:pPr>
      <w:proofErr w:type="spellStart"/>
      <w:r>
        <w:rPr>
          <w:sz w:val="22"/>
          <w:szCs w:val="22"/>
        </w:rPr>
        <w:t>Olainfarm</w:t>
      </w:r>
      <w:proofErr w:type="spellEnd"/>
      <w:r>
        <w:rPr>
          <w:sz w:val="22"/>
          <w:szCs w:val="22"/>
        </w:rPr>
        <w:t xml:space="preserve"> JSC,</w:t>
      </w:r>
    </w:p>
    <w:p w:rsidR="00547B54" w:rsidRDefault="00547B54" w:rsidP="00547B54">
      <w:pPr>
        <w:rPr>
          <w:sz w:val="22"/>
          <w:szCs w:val="22"/>
        </w:rPr>
      </w:pPr>
      <w:proofErr w:type="spellStart"/>
      <w:r>
        <w:rPr>
          <w:sz w:val="22"/>
          <w:szCs w:val="22"/>
        </w:rPr>
        <w:t>Rupnicu</w:t>
      </w:r>
      <w:proofErr w:type="spellEnd"/>
      <w:r>
        <w:rPr>
          <w:sz w:val="22"/>
          <w:szCs w:val="22"/>
        </w:rPr>
        <w:t xml:space="preserve"> 5, </w:t>
      </w:r>
      <w:proofErr w:type="spellStart"/>
      <w:r>
        <w:rPr>
          <w:sz w:val="22"/>
          <w:szCs w:val="22"/>
        </w:rPr>
        <w:t>Olaine</w:t>
      </w:r>
      <w:proofErr w:type="spellEnd"/>
      <w:r>
        <w:rPr>
          <w:sz w:val="22"/>
          <w:szCs w:val="22"/>
        </w:rPr>
        <w:t xml:space="preserve">, </w:t>
      </w:r>
      <w:proofErr w:type="spellStart"/>
      <w:r>
        <w:rPr>
          <w:sz w:val="22"/>
          <w:szCs w:val="22"/>
        </w:rPr>
        <w:t>Riga</w:t>
      </w:r>
      <w:proofErr w:type="spellEnd"/>
      <w:r>
        <w:rPr>
          <w:sz w:val="22"/>
          <w:szCs w:val="22"/>
        </w:rPr>
        <w:t xml:space="preserve">, Latvija </w:t>
      </w:r>
    </w:p>
    <w:p w:rsidR="00547B54" w:rsidRDefault="00547B54" w:rsidP="00547B54">
      <w:pPr>
        <w:rPr>
          <w:sz w:val="22"/>
          <w:szCs w:val="22"/>
        </w:rPr>
      </w:pPr>
    </w:p>
    <w:p w:rsidR="00547B54" w:rsidRDefault="00547B54" w:rsidP="00547B54">
      <w:pPr>
        <w:rPr>
          <w:sz w:val="22"/>
          <w:szCs w:val="22"/>
        </w:rPr>
      </w:pPr>
      <w:r>
        <w:rPr>
          <w:sz w:val="22"/>
          <w:szCs w:val="22"/>
        </w:rPr>
        <w:t>TERAPIA S.A</w:t>
      </w:r>
    </w:p>
    <w:p w:rsidR="00547B54" w:rsidRDefault="00547B54" w:rsidP="00547B54">
      <w:pPr>
        <w:rPr>
          <w:sz w:val="22"/>
          <w:szCs w:val="22"/>
        </w:rPr>
      </w:pPr>
      <w:r>
        <w:rPr>
          <w:sz w:val="22"/>
          <w:szCs w:val="22"/>
        </w:rPr>
        <w:t xml:space="preserve">124 </w:t>
      </w:r>
      <w:proofErr w:type="spellStart"/>
      <w:r>
        <w:rPr>
          <w:sz w:val="22"/>
          <w:szCs w:val="22"/>
        </w:rPr>
        <w:t>Fabricii</w:t>
      </w:r>
      <w:proofErr w:type="spellEnd"/>
      <w:r>
        <w:rPr>
          <w:sz w:val="22"/>
          <w:szCs w:val="22"/>
        </w:rPr>
        <w:t xml:space="preserve"> </w:t>
      </w:r>
      <w:proofErr w:type="spellStart"/>
      <w:r>
        <w:rPr>
          <w:sz w:val="22"/>
          <w:szCs w:val="22"/>
        </w:rPr>
        <w:t>Street</w:t>
      </w:r>
      <w:proofErr w:type="spellEnd"/>
      <w:r>
        <w:rPr>
          <w:sz w:val="22"/>
          <w:szCs w:val="22"/>
        </w:rPr>
        <w:t xml:space="preserve">, 400632 </w:t>
      </w:r>
      <w:proofErr w:type="spellStart"/>
      <w:r>
        <w:rPr>
          <w:sz w:val="22"/>
          <w:szCs w:val="22"/>
        </w:rPr>
        <w:t>Cluj</w:t>
      </w:r>
      <w:proofErr w:type="spellEnd"/>
      <w:r>
        <w:rPr>
          <w:sz w:val="22"/>
          <w:szCs w:val="22"/>
        </w:rPr>
        <w:t xml:space="preserve"> </w:t>
      </w:r>
      <w:proofErr w:type="spellStart"/>
      <w:r>
        <w:rPr>
          <w:sz w:val="22"/>
          <w:szCs w:val="22"/>
        </w:rPr>
        <w:t>Napoca</w:t>
      </w:r>
      <w:proofErr w:type="spellEnd"/>
      <w:r>
        <w:rPr>
          <w:sz w:val="22"/>
          <w:szCs w:val="22"/>
        </w:rPr>
        <w:t>, Rumunija</w:t>
      </w:r>
    </w:p>
    <w:p w:rsidR="00547B54" w:rsidRDefault="00547B54" w:rsidP="00547B54">
      <w:pPr>
        <w:pStyle w:val="BTEMEASMCA"/>
      </w:pPr>
    </w:p>
    <w:p w:rsidR="00547B54" w:rsidRDefault="00547B54" w:rsidP="00547B54">
      <w:pPr>
        <w:pStyle w:val="BTEMEASMCA"/>
      </w:pPr>
    </w:p>
    <w:p w:rsidR="00547B54" w:rsidRDefault="00547B54" w:rsidP="00547B54">
      <w:pPr>
        <w:pStyle w:val="BTEMEASMCA"/>
      </w:pPr>
      <w:r>
        <w:t>Jeigu apie šį vaistą norite sužinoti daugiau, kreipkitės į vietinį registruotojo atstovą</w:t>
      </w:r>
    </w:p>
    <w:p w:rsidR="00547B54" w:rsidRDefault="00547B54" w:rsidP="00547B54">
      <w:pPr>
        <w:rPr>
          <w:sz w:val="22"/>
          <w:szCs w:val="22"/>
        </w:rPr>
      </w:pPr>
    </w:p>
    <w:tbl>
      <w:tblPr>
        <w:tblW w:w="4680" w:type="dxa"/>
        <w:tblInd w:w="-34" w:type="dxa"/>
        <w:tblLayout w:type="fixed"/>
        <w:tblLook w:val="04A0" w:firstRow="1" w:lastRow="0" w:firstColumn="1" w:lastColumn="0" w:noHBand="0" w:noVBand="1"/>
      </w:tblPr>
      <w:tblGrid>
        <w:gridCol w:w="4680"/>
      </w:tblGrid>
      <w:tr w:rsidR="00547B54" w:rsidTr="00742B73">
        <w:tc>
          <w:tcPr>
            <w:tcW w:w="4678" w:type="dxa"/>
            <w:hideMark/>
          </w:tcPr>
          <w:p w:rsidR="00547B54" w:rsidRDefault="00547B54" w:rsidP="00742B73">
            <w:pPr>
              <w:spacing w:line="276" w:lineRule="auto"/>
              <w:rPr>
                <w:sz w:val="22"/>
                <w:szCs w:val="22"/>
                <w:lang w:val="en-US"/>
              </w:rPr>
            </w:pPr>
            <w:r>
              <w:rPr>
                <w:sz w:val="22"/>
                <w:szCs w:val="22"/>
                <w:lang w:val="en-US"/>
              </w:rPr>
              <w:t xml:space="preserve">Sun Pharmaceutical Industries Limited </w:t>
            </w:r>
            <w:proofErr w:type="spellStart"/>
            <w:r>
              <w:rPr>
                <w:sz w:val="22"/>
                <w:szCs w:val="22"/>
                <w:lang w:val="en-US"/>
              </w:rPr>
              <w:t>atstovybė</w:t>
            </w:r>
            <w:proofErr w:type="spellEnd"/>
          </w:p>
          <w:p w:rsidR="00547B54" w:rsidRDefault="00547B54" w:rsidP="00742B73">
            <w:pPr>
              <w:spacing w:line="276" w:lineRule="auto"/>
              <w:rPr>
                <w:sz w:val="22"/>
                <w:szCs w:val="22"/>
                <w:lang w:val="en-US"/>
              </w:rPr>
            </w:pPr>
            <w:proofErr w:type="spellStart"/>
            <w:r>
              <w:rPr>
                <w:sz w:val="22"/>
                <w:szCs w:val="22"/>
                <w:lang w:val="en-US"/>
              </w:rPr>
              <w:t>Karaliaus</w:t>
            </w:r>
            <w:proofErr w:type="spellEnd"/>
            <w:r>
              <w:rPr>
                <w:sz w:val="22"/>
                <w:szCs w:val="22"/>
                <w:lang w:val="en-US"/>
              </w:rPr>
              <w:t xml:space="preserve"> </w:t>
            </w:r>
            <w:proofErr w:type="spellStart"/>
            <w:r>
              <w:rPr>
                <w:sz w:val="22"/>
                <w:szCs w:val="22"/>
                <w:lang w:val="en-US"/>
              </w:rPr>
              <w:t>Mindaugo</w:t>
            </w:r>
            <w:proofErr w:type="spellEnd"/>
            <w:r>
              <w:rPr>
                <w:sz w:val="22"/>
                <w:szCs w:val="22"/>
                <w:lang w:val="en-US"/>
              </w:rPr>
              <w:t xml:space="preserve"> pr. 68-3, Kaunas</w:t>
            </w:r>
          </w:p>
          <w:p w:rsidR="00547B54" w:rsidRDefault="00547B54" w:rsidP="00742B73">
            <w:pPr>
              <w:tabs>
                <w:tab w:val="left" w:pos="-720"/>
              </w:tabs>
              <w:suppressAutoHyphens/>
              <w:spacing w:line="276" w:lineRule="auto"/>
              <w:rPr>
                <w:sz w:val="22"/>
                <w:szCs w:val="22"/>
                <w:lang w:val="en-US"/>
              </w:rPr>
            </w:pPr>
            <w:r>
              <w:rPr>
                <w:sz w:val="22"/>
                <w:szCs w:val="22"/>
                <w:lang w:val="en-US"/>
              </w:rPr>
              <w:t>Tel. +370 37 311843</w:t>
            </w:r>
            <w:r>
              <w:rPr>
                <w:sz w:val="22"/>
                <w:szCs w:val="22"/>
                <w:lang w:val="en-US"/>
              </w:rPr>
              <w:tab/>
            </w:r>
          </w:p>
        </w:tc>
      </w:tr>
    </w:tbl>
    <w:p w:rsidR="00547B54" w:rsidRDefault="00547B54" w:rsidP="00547B54">
      <w:pPr>
        <w:pStyle w:val="BTEMEASMCA"/>
      </w:pPr>
    </w:p>
    <w:p w:rsidR="00547B54" w:rsidRDefault="00547B54" w:rsidP="00547B54">
      <w:pPr>
        <w:rPr>
          <w:sz w:val="22"/>
          <w:szCs w:val="22"/>
        </w:rPr>
      </w:pPr>
      <w:r>
        <w:rPr>
          <w:b/>
          <w:sz w:val="22"/>
          <w:szCs w:val="22"/>
        </w:rPr>
        <w:t>Šis pakuotės lapelis paskutinį kartą peržiūrėtas 2018-08-01.</w:t>
      </w:r>
    </w:p>
    <w:p w:rsidR="00547B54" w:rsidRDefault="00547B54" w:rsidP="00547B54">
      <w:pPr>
        <w:rPr>
          <w:sz w:val="22"/>
          <w:szCs w:val="22"/>
        </w:rPr>
      </w:pPr>
      <w:r>
        <w:rPr>
          <w:sz w:val="22"/>
          <w:szCs w:val="22"/>
        </w:rPr>
        <w:t xml:space="preserve"> </w:t>
      </w:r>
    </w:p>
    <w:p w:rsidR="00547B54" w:rsidRDefault="00547B54" w:rsidP="00547B54">
      <w:pPr>
        <w:pStyle w:val="BTEMEASMCA"/>
        <w:rPr>
          <w:rStyle w:val="Hipersaitas"/>
        </w:rPr>
      </w:pPr>
      <w:r>
        <w:t>Išsami informacija apie šį vaistą pateikiama Valstybinės vaistų kontrolės tarnybos prie Lietuvos Respublikos sveikatos apsaugos ministerijos tinklalapyje</w:t>
      </w:r>
      <w:r>
        <w:rPr>
          <w:i/>
        </w:rPr>
        <w:t xml:space="preserve"> </w:t>
      </w:r>
      <w:hyperlink r:id="rId8" w:history="1">
        <w:r>
          <w:rPr>
            <w:rStyle w:val="Hipersaitas"/>
          </w:rPr>
          <w:t>http://www.vvkt.lt/</w:t>
        </w:r>
      </w:hyperlink>
    </w:p>
    <w:p w:rsidR="00547B54" w:rsidRDefault="00547B54" w:rsidP="00547B54"/>
    <w:p w:rsidR="00547B54" w:rsidRDefault="00547B54" w:rsidP="00547B54">
      <w:bookmarkStart w:id="14" w:name="_GoBack"/>
      <w:bookmarkEnd w:id="14"/>
      <w:permStart w:id="1562053240" w:edGrp="everyone"/>
      <w:permEnd w:id="1562053240"/>
    </w:p>
    <w:p w:rsidR="00D73E7E" w:rsidRDefault="00D73E7E"/>
    <w:sectPr w:rsidR="00D73E7E" w:rsidSect="007211BF">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OZnHWPNSlC/YeVY5hY3vA7I/FpZmn1Ke8JuHH2qT4HrADlWCih1mol6PBHj45tgZowzUhgnvpwGizkRO3kaGw==" w:salt="fMXe6IbeMkrWvUy4EHquW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54"/>
    <w:rsid w:val="00547B54"/>
    <w:rsid w:val="00D60C92"/>
    <w:rsid w:val="00D73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8046A-678D-4388-8BD9-2A7AD30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B5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47B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47B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547B54"/>
    <w:rPr>
      <w:rFonts w:ascii="Times New Roman" w:hAnsi="Times New Roman" w:cs="Times New Roman" w:hint="default"/>
      <w:color w:val="0000FF"/>
      <w:u w:val="single"/>
    </w:rPr>
  </w:style>
  <w:style w:type="paragraph" w:styleId="prastasiniatinklio">
    <w:name w:val="Normal (Web)"/>
    <w:basedOn w:val="prastasis"/>
    <w:semiHidden/>
    <w:unhideWhenUsed/>
    <w:rsid w:val="00547B54"/>
    <w:pPr>
      <w:spacing w:before="100" w:beforeAutospacing="1" w:after="75"/>
    </w:pPr>
    <w:rPr>
      <w:color w:val="000000"/>
      <w:lang w:eastAsia="lt-LT"/>
    </w:rPr>
  </w:style>
  <w:style w:type="paragraph" w:styleId="Pagrindinistekstas">
    <w:name w:val="Body Text"/>
    <w:basedOn w:val="prastasis"/>
    <w:link w:val="PagrindinistekstasDiagrama"/>
    <w:semiHidden/>
    <w:unhideWhenUsed/>
    <w:rsid w:val="00547B54"/>
    <w:pPr>
      <w:spacing w:after="120"/>
    </w:pPr>
  </w:style>
  <w:style w:type="character" w:customStyle="1" w:styleId="PagrindinistekstasDiagrama">
    <w:name w:val="Pagrindinis tekstas Diagrama"/>
    <w:basedOn w:val="Numatytasispastraiposriftas"/>
    <w:link w:val="Pagrindinistekstas"/>
    <w:semiHidden/>
    <w:rsid w:val="00547B54"/>
    <w:rPr>
      <w:rFonts w:ascii="Times New Roman" w:eastAsia="Times New Roman" w:hAnsi="Times New Roman" w:cs="Times New Roman"/>
      <w:sz w:val="24"/>
      <w:szCs w:val="24"/>
    </w:rPr>
  </w:style>
  <w:style w:type="paragraph" w:customStyle="1" w:styleId="PI-1EMEASMCA">
    <w:name w:val="PI-1 EMEA_SMCA"/>
    <w:basedOn w:val="Antrat2"/>
    <w:autoRedefine/>
    <w:rsid w:val="00547B54"/>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547B54"/>
    <w:rPr>
      <w:rFonts w:ascii="Times New Roman" w:eastAsia="Times New Roman" w:hAnsi="Times New Roman" w:cs="Times New Roman"/>
      <w:bCs/>
    </w:rPr>
  </w:style>
  <w:style w:type="paragraph" w:customStyle="1" w:styleId="BTEMEASMCA">
    <w:name w:val="BT EMEA_SMCA"/>
    <w:basedOn w:val="prastasis"/>
    <w:link w:val="BTEMEASMCAChar"/>
    <w:autoRedefine/>
    <w:rsid w:val="00547B54"/>
    <w:rPr>
      <w:bCs/>
      <w:sz w:val="22"/>
      <w:szCs w:val="22"/>
    </w:rPr>
  </w:style>
  <w:style w:type="character" w:customStyle="1" w:styleId="TTEMEASMCAChar">
    <w:name w:val="TT EMEA_SMCA Char"/>
    <w:basedOn w:val="Numatytasispastraiposriftas"/>
    <w:link w:val="TTEMEASMCA"/>
    <w:locked/>
    <w:rsid w:val="00547B54"/>
    <w:rPr>
      <w:rFonts w:ascii="Times New Roman" w:eastAsia="Times New Roman" w:hAnsi="Times New Roman" w:cs="Times New Roman"/>
      <w:b/>
    </w:rPr>
  </w:style>
  <w:style w:type="paragraph" w:customStyle="1" w:styleId="TTEMEASMCA">
    <w:name w:val="TT EMEA_SMCA"/>
    <w:basedOn w:val="Antrat1"/>
    <w:link w:val="TTEMEASMCAChar"/>
    <w:autoRedefine/>
    <w:rsid w:val="00547B54"/>
    <w:pPr>
      <w:keepNext w:val="0"/>
      <w:keepLines w:val="0"/>
      <w:tabs>
        <w:tab w:val="left" w:pos="567"/>
      </w:tabs>
      <w:spacing w:before="0"/>
      <w:jc w:val="center"/>
    </w:pPr>
    <w:rPr>
      <w:rFonts w:ascii="Times New Roman" w:eastAsia="Times New Roman" w:hAnsi="Times New Roman" w:cs="Times New Roman"/>
      <w:b/>
      <w:color w:val="auto"/>
      <w:sz w:val="22"/>
      <w:szCs w:val="22"/>
    </w:rPr>
  </w:style>
  <w:style w:type="paragraph" w:customStyle="1" w:styleId="BT-EMEASMCA">
    <w:name w:val="BT- EMEA_SMCA"/>
    <w:basedOn w:val="BTEMEASMCA"/>
    <w:autoRedefine/>
    <w:rsid w:val="00547B54"/>
    <w:pPr>
      <w:numPr>
        <w:numId w:val="1"/>
      </w:numPr>
      <w:tabs>
        <w:tab w:val="clear" w:pos="720"/>
        <w:tab w:val="num" w:pos="360"/>
      </w:tabs>
      <w:ind w:left="0" w:firstLine="0"/>
    </w:pPr>
  </w:style>
  <w:style w:type="paragraph" w:customStyle="1" w:styleId="PI-3EMEASMCA">
    <w:name w:val="PI-3 EMEA_SMCA"/>
    <w:basedOn w:val="prastasis"/>
    <w:autoRedefine/>
    <w:rsid w:val="00547B54"/>
    <w:rPr>
      <w:b/>
      <w:bCs/>
      <w:sz w:val="22"/>
      <w:szCs w:val="22"/>
    </w:rPr>
  </w:style>
  <w:style w:type="paragraph" w:customStyle="1" w:styleId="BTbEMEASMCA">
    <w:name w:val="BT(b) EMEA_SMCA"/>
    <w:basedOn w:val="BTEMEASMCA"/>
    <w:autoRedefine/>
    <w:rsid w:val="00547B54"/>
    <w:rPr>
      <w:b/>
    </w:rPr>
  </w:style>
  <w:style w:type="character" w:customStyle="1" w:styleId="Antrat2Diagrama">
    <w:name w:val="Antraštė 2 Diagrama"/>
    <w:basedOn w:val="Numatytasispastraiposriftas"/>
    <w:link w:val="Antrat2"/>
    <w:uiPriority w:val="9"/>
    <w:semiHidden/>
    <w:rsid w:val="00547B54"/>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47B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5321</Words>
  <Characters>3034</Characters>
  <Application>Microsoft Office Word</Application>
  <DocSecurity>8</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2018-08-01T07:16:00Z</dcterms:created>
  <dcterms:modified xsi:type="dcterms:W3CDTF">2018-08-01T07:17:00Z</dcterms:modified>
</cp:coreProperties>
</file>