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rPr>
          <w:sz w:val="22"/>
          <w:szCs w:val="22"/>
        </w:rPr>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TTEMEASMCA"/>
        <w:rPr>
          <w:lang w:val="it-IT"/>
        </w:rPr>
      </w:pPr>
      <w:bookmarkStart w:id="0" w:name="_Toc129243221"/>
      <w:bookmarkStart w:id="1" w:name="_Toc129243096"/>
      <w:r>
        <w:rPr>
          <w:lang w:val="it-IT"/>
        </w:rPr>
        <w:t>I PRIEDAS</w:t>
      </w:r>
      <w:bookmarkEnd w:id="0"/>
      <w:bookmarkEnd w:id="1"/>
    </w:p>
    <w:p w:rsidR="00C77025" w:rsidRDefault="00C77025" w:rsidP="00C77025">
      <w:pPr>
        <w:pStyle w:val="BTEMEASMCA"/>
      </w:pPr>
    </w:p>
    <w:p w:rsidR="00C77025" w:rsidRDefault="00C77025" w:rsidP="00C77025">
      <w:pPr>
        <w:pStyle w:val="TTEMEASMCA"/>
        <w:rPr>
          <w:lang w:val="it-IT"/>
        </w:rPr>
      </w:pPr>
      <w:bookmarkStart w:id="2" w:name="_Toc129243222"/>
      <w:bookmarkStart w:id="3" w:name="_Toc129243097"/>
      <w:r>
        <w:rPr>
          <w:lang w:val="it-IT"/>
        </w:rPr>
        <w:t>PREPARATO CHARAKTERISTIKŲ SANTRAUKA</w:t>
      </w:r>
      <w:bookmarkEnd w:id="2"/>
      <w:bookmarkEnd w:id="3"/>
    </w:p>
    <w:p w:rsidR="00C77025" w:rsidRDefault="00C77025" w:rsidP="00C77025">
      <w:pPr>
        <w:pStyle w:val="PI-1EMEASMCA"/>
        <w:ind w:left="0" w:firstLine="0"/>
      </w:pPr>
      <w:r>
        <w:rPr>
          <w:b w:val="0"/>
        </w:rPr>
        <w:br w:type="page"/>
      </w:r>
      <w:bookmarkStart w:id="4" w:name="_Toc129243223"/>
      <w:bookmarkStart w:id="5" w:name="_Toc129243098"/>
      <w:r>
        <w:lastRenderedPageBreak/>
        <w:t>1.</w:t>
      </w:r>
      <w:r>
        <w:tab/>
        <w:t>VAISTINIO PREPARATO PAVADINIMAS</w:t>
      </w:r>
      <w:bookmarkEnd w:id="4"/>
      <w:bookmarkEnd w:id="5"/>
    </w:p>
    <w:p w:rsidR="00C77025" w:rsidRDefault="00C77025" w:rsidP="00C77025">
      <w:pPr>
        <w:pStyle w:val="BTEMEASMCA"/>
      </w:pPr>
    </w:p>
    <w:p w:rsidR="00C77025" w:rsidRDefault="00C77025" w:rsidP="00C77025">
      <w:pPr>
        <w:rPr>
          <w:bCs/>
          <w:sz w:val="22"/>
          <w:szCs w:val="22"/>
        </w:rPr>
      </w:pPr>
      <w:r>
        <w:rPr>
          <w:bCs/>
          <w:sz w:val="22"/>
          <w:szCs w:val="22"/>
        </w:rPr>
        <w:t>Altiva 180 mg plėvele dengtos tabletės</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6" w:name="_Toc129243224"/>
      <w:bookmarkStart w:id="7" w:name="_Toc129243099"/>
      <w:r>
        <w:t>2.</w:t>
      </w:r>
      <w:r>
        <w:tab/>
        <w:t>KOKYBINĖ IR KIEKYBINĖ SUDĖTIS</w:t>
      </w:r>
      <w:bookmarkEnd w:id="6"/>
      <w:bookmarkEnd w:id="7"/>
    </w:p>
    <w:p w:rsidR="00C77025" w:rsidRDefault="00C77025" w:rsidP="00C77025">
      <w:pPr>
        <w:pStyle w:val="BTEMEASMCA"/>
      </w:pPr>
    </w:p>
    <w:p w:rsidR="00C77025" w:rsidRDefault="00C77025" w:rsidP="00C77025">
      <w:pPr>
        <w:rPr>
          <w:sz w:val="22"/>
          <w:szCs w:val="22"/>
        </w:rPr>
      </w:pPr>
      <w:r>
        <w:rPr>
          <w:sz w:val="22"/>
          <w:szCs w:val="22"/>
        </w:rPr>
        <w:t xml:space="preserve">Kiekvienoje plėvele dengtoje tabletėje yra 180 mg feksofenadino hidrochlorido, kuris atitinka 168 mg feksofenadino. </w:t>
      </w:r>
    </w:p>
    <w:p w:rsidR="00C77025" w:rsidRDefault="00C77025" w:rsidP="00C77025">
      <w:pPr>
        <w:pStyle w:val="BTEMEASMCA"/>
      </w:pPr>
    </w:p>
    <w:p w:rsidR="00C77025" w:rsidRDefault="00C77025" w:rsidP="00C77025">
      <w:pPr>
        <w:pStyle w:val="BTEMEASMCA"/>
      </w:pPr>
      <w:r>
        <w:t>Visos pagalbinės medžiagos išvardytos 6.1 skyriuje.</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8" w:name="_Toc129243225"/>
      <w:bookmarkStart w:id="9" w:name="_Toc129243100"/>
      <w:r>
        <w:t>3.</w:t>
      </w:r>
      <w:r>
        <w:tab/>
        <w:t>FARMACINĖ FORMA</w:t>
      </w:r>
      <w:bookmarkEnd w:id="8"/>
      <w:bookmarkEnd w:id="9"/>
    </w:p>
    <w:p w:rsidR="00C77025" w:rsidRDefault="00C77025" w:rsidP="00C77025">
      <w:pPr>
        <w:pStyle w:val="BTEMEASMCA"/>
      </w:pPr>
    </w:p>
    <w:p w:rsidR="00C77025" w:rsidRDefault="00C77025" w:rsidP="00C77025">
      <w:pPr>
        <w:rPr>
          <w:sz w:val="22"/>
          <w:szCs w:val="22"/>
        </w:rPr>
      </w:pPr>
      <w:r>
        <w:rPr>
          <w:sz w:val="22"/>
          <w:szCs w:val="22"/>
        </w:rPr>
        <w:t>Plėvele dengta tabletė.</w:t>
      </w:r>
    </w:p>
    <w:p w:rsidR="00C77025" w:rsidRDefault="00C77025" w:rsidP="00C77025">
      <w:pPr>
        <w:rPr>
          <w:sz w:val="22"/>
          <w:szCs w:val="22"/>
        </w:rPr>
      </w:pPr>
      <w:r>
        <w:rPr>
          <w:sz w:val="22"/>
          <w:szCs w:val="22"/>
        </w:rPr>
        <w:t>Altiva 180 mg plėvele dengta tabletė yra persiko spalvos, kurios vienoje pusėje juodu rašalu užrašyta „Altiva 180“</w:t>
      </w:r>
    </w:p>
    <w:p w:rsidR="00C77025" w:rsidRDefault="00C77025" w:rsidP="00C77025">
      <w:pPr>
        <w:rPr>
          <w:sz w:val="22"/>
          <w:szCs w:val="22"/>
        </w:rPr>
      </w:pPr>
    </w:p>
    <w:p w:rsidR="00C77025" w:rsidRDefault="00C77025" w:rsidP="00C77025">
      <w:pPr>
        <w:rPr>
          <w:sz w:val="22"/>
          <w:szCs w:val="22"/>
        </w:rPr>
      </w:pPr>
    </w:p>
    <w:p w:rsidR="00C77025" w:rsidRDefault="00C77025" w:rsidP="00C77025">
      <w:pPr>
        <w:pStyle w:val="PI-1EMEASMCA"/>
        <w:ind w:left="0" w:firstLine="0"/>
      </w:pPr>
      <w:bookmarkStart w:id="10" w:name="_Toc129243226"/>
      <w:bookmarkStart w:id="11" w:name="_Toc129243101"/>
      <w:r>
        <w:t>4.</w:t>
      </w:r>
      <w:r>
        <w:tab/>
        <w:t>KLINIKINĖ INFORMACIJA</w:t>
      </w:r>
      <w:bookmarkEnd w:id="10"/>
      <w:bookmarkEnd w:id="11"/>
    </w:p>
    <w:p w:rsidR="00C77025" w:rsidRDefault="00C77025" w:rsidP="00C77025">
      <w:pPr>
        <w:pStyle w:val="BTEMEASMCA"/>
        <w:rPr>
          <w:lang w:val="lt-LT"/>
        </w:rPr>
      </w:pPr>
    </w:p>
    <w:p w:rsidR="00C77025" w:rsidRDefault="00C77025" w:rsidP="00C77025">
      <w:pPr>
        <w:pStyle w:val="PI-2EMEASMCA"/>
        <w:ind w:left="0" w:firstLine="0"/>
        <w:jc w:val="left"/>
      </w:pPr>
      <w:bookmarkStart w:id="12" w:name="_Toc129243227"/>
      <w:bookmarkStart w:id="13" w:name="_Toc129243102"/>
      <w:r>
        <w:t>4.1</w:t>
      </w:r>
      <w:r>
        <w:tab/>
        <w:t>Terapinės indikacijos</w:t>
      </w:r>
      <w:bookmarkEnd w:id="12"/>
      <w:bookmarkEnd w:id="13"/>
    </w:p>
    <w:p w:rsidR="00C77025" w:rsidRDefault="00C77025" w:rsidP="00C77025">
      <w:pPr>
        <w:rPr>
          <w:sz w:val="22"/>
          <w:szCs w:val="22"/>
        </w:rPr>
      </w:pPr>
    </w:p>
    <w:p w:rsidR="00C77025" w:rsidRDefault="00C77025" w:rsidP="00C77025">
      <w:pPr>
        <w:rPr>
          <w:sz w:val="22"/>
          <w:szCs w:val="22"/>
        </w:rPr>
      </w:pPr>
      <w:r>
        <w:rPr>
          <w:sz w:val="22"/>
          <w:szCs w:val="22"/>
        </w:rPr>
        <w:t>Altiva 180 mg yra skirtas suaugusiųjų, 12 metų ir vyresnių vaikų lėtinės idiopatinės dilgėlinės simptomų lengvinimui.</w:t>
      </w:r>
    </w:p>
    <w:p w:rsidR="00C77025" w:rsidRDefault="00C77025" w:rsidP="00C77025">
      <w:pPr>
        <w:pStyle w:val="BTEMEASMCA"/>
        <w:rPr>
          <w:lang w:val="lt-LT"/>
        </w:rPr>
      </w:pPr>
    </w:p>
    <w:p w:rsidR="00C77025" w:rsidRDefault="00C77025" w:rsidP="00C77025">
      <w:pPr>
        <w:pStyle w:val="PI-2EMEASMCA"/>
        <w:ind w:left="0" w:firstLine="0"/>
        <w:jc w:val="left"/>
      </w:pPr>
      <w:bookmarkStart w:id="14" w:name="_Toc129243228"/>
      <w:bookmarkStart w:id="15" w:name="_Toc129243103"/>
      <w:r>
        <w:t>4.2</w:t>
      </w:r>
      <w:r>
        <w:tab/>
        <w:t>Dozavimas ir vartojimo metodas</w:t>
      </w:r>
      <w:bookmarkEnd w:id="14"/>
      <w:bookmarkEnd w:id="15"/>
    </w:p>
    <w:p w:rsidR="00C77025" w:rsidRDefault="00C77025" w:rsidP="00C77025">
      <w:pPr>
        <w:pStyle w:val="BTEMEASMCA"/>
      </w:pPr>
    </w:p>
    <w:p w:rsidR="00C77025" w:rsidRDefault="00C77025" w:rsidP="00C77025">
      <w:pPr>
        <w:pStyle w:val="BTEMEASMCA"/>
        <w:rPr>
          <w:u w:val="single"/>
        </w:rPr>
      </w:pPr>
      <w:r>
        <w:rPr>
          <w:u w:val="single"/>
        </w:rPr>
        <w:t>Dozavimas</w:t>
      </w:r>
    </w:p>
    <w:p w:rsidR="00C77025" w:rsidRDefault="00C77025" w:rsidP="00C77025">
      <w:pPr>
        <w:pStyle w:val="BTEMEASMCA"/>
      </w:pPr>
    </w:p>
    <w:p w:rsidR="00C77025" w:rsidRDefault="00C77025" w:rsidP="00C77025">
      <w:pPr>
        <w:pStyle w:val="BTEMEASMCA"/>
        <w:rPr>
          <w:i/>
        </w:rPr>
      </w:pPr>
      <w:r>
        <w:rPr>
          <w:i/>
        </w:rPr>
        <w:t>Suaugusieji</w:t>
      </w:r>
    </w:p>
    <w:p w:rsidR="00C77025" w:rsidRDefault="00C77025" w:rsidP="00C77025">
      <w:pPr>
        <w:rPr>
          <w:color w:val="000000"/>
          <w:sz w:val="22"/>
          <w:szCs w:val="22"/>
        </w:rPr>
      </w:pPr>
      <w:r>
        <w:rPr>
          <w:color w:val="000000"/>
          <w:sz w:val="22"/>
          <w:szCs w:val="22"/>
        </w:rPr>
        <w:t xml:space="preserve">Rekomenduojama feksofenadino hidrochlorido dozė suaugusiems yra 180 mg vieną kartą per parą, geriama prieš valgį. </w:t>
      </w:r>
    </w:p>
    <w:p w:rsidR="00C77025" w:rsidRDefault="00C77025" w:rsidP="00C77025">
      <w:pPr>
        <w:rPr>
          <w:color w:val="000000"/>
          <w:sz w:val="22"/>
          <w:szCs w:val="22"/>
        </w:rPr>
      </w:pPr>
      <w:r>
        <w:rPr>
          <w:color w:val="000000"/>
          <w:sz w:val="22"/>
          <w:szCs w:val="22"/>
        </w:rPr>
        <w:t>Feksofenodinas yra farmakologiškai aktyvus terfenadino metabolitas.</w:t>
      </w:r>
    </w:p>
    <w:p w:rsidR="00C77025" w:rsidRDefault="00C77025" w:rsidP="00C77025">
      <w:pPr>
        <w:rPr>
          <w:color w:val="000000"/>
          <w:sz w:val="22"/>
          <w:szCs w:val="22"/>
        </w:rPr>
      </w:pPr>
    </w:p>
    <w:p w:rsidR="00C77025" w:rsidRDefault="00C77025" w:rsidP="00C77025">
      <w:pPr>
        <w:rPr>
          <w:i/>
          <w:iCs/>
          <w:sz w:val="22"/>
          <w:szCs w:val="22"/>
        </w:rPr>
      </w:pPr>
      <w:r>
        <w:rPr>
          <w:i/>
          <w:iCs/>
          <w:sz w:val="22"/>
          <w:szCs w:val="22"/>
        </w:rPr>
        <w:t>Vaikų populiacija</w:t>
      </w:r>
    </w:p>
    <w:p w:rsidR="00C77025" w:rsidRDefault="00C77025" w:rsidP="00C77025">
      <w:pPr>
        <w:pStyle w:val="Sraopastraipa"/>
        <w:numPr>
          <w:ilvl w:val="0"/>
          <w:numId w:val="1"/>
        </w:numPr>
        <w:rPr>
          <w:iCs/>
          <w:sz w:val="22"/>
          <w:szCs w:val="22"/>
        </w:rPr>
      </w:pPr>
      <w:r>
        <w:rPr>
          <w:iCs/>
          <w:sz w:val="22"/>
          <w:szCs w:val="22"/>
        </w:rPr>
        <w:t>12 metų ir vyresni vaikai</w:t>
      </w:r>
    </w:p>
    <w:p w:rsidR="00C77025" w:rsidRDefault="00C77025" w:rsidP="00C77025">
      <w:pPr>
        <w:ind w:left="360"/>
        <w:rPr>
          <w:color w:val="000000"/>
          <w:sz w:val="22"/>
          <w:szCs w:val="22"/>
        </w:rPr>
      </w:pPr>
      <w:r>
        <w:rPr>
          <w:color w:val="000000"/>
          <w:sz w:val="22"/>
          <w:szCs w:val="22"/>
        </w:rPr>
        <w:t>Rekomenduojama feksofenadino hidrochlorido dozė 12 metų ir vyresniems vaikams yra 180 mg vieną kartą per parą, geriama prieš valgį.</w:t>
      </w:r>
    </w:p>
    <w:p w:rsidR="00C77025" w:rsidRDefault="00C77025" w:rsidP="00C77025">
      <w:pPr>
        <w:pStyle w:val="Sraopastraipa"/>
        <w:numPr>
          <w:ilvl w:val="0"/>
          <w:numId w:val="1"/>
        </w:numPr>
        <w:rPr>
          <w:iCs/>
          <w:sz w:val="22"/>
          <w:szCs w:val="22"/>
        </w:rPr>
      </w:pPr>
      <w:r>
        <w:rPr>
          <w:iCs/>
          <w:sz w:val="22"/>
          <w:szCs w:val="22"/>
        </w:rPr>
        <w:t>Jaunesni nei 12 metų vaikai</w:t>
      </w:r>
    </w:p>
    <w:p w:rsidR="00C77025" w:rsidRDefault="00C77025" w:rsidP="00C77025">
      <w:pPr>
        <w:ind w:firstLine="360"/>
        <w:rPr>
          <w:color w:val="000000"/>
          <w:sz w:val="22"/>
          <w:szCs w:val="22"/>
          <w:lang w:eastAsia="lt-LT"/>
        </w:rPr>
      </w:pPr>
      <w:r>
        <w:rPr>
          <w:color w:val="000000"/>
          <w:sz w:val="22"/>
          <w:szCs w:val="22"/>
          <w:lang w:eastAsia="lt-LT"/>
        </w:rPr>
        <w:t>Vaistinio preparato saugumas ir veiksmingumas jaunesniems kaip 12 metų vaikams neištirtas.</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jc w:val="both"/>
        <w:rPr>
          <w:i/>
          <w:iCs/>
          <w:color w:val="auto"/>
          <w:sz w:val="22"/>
          <w:szCs w:val="22"/>
        </w:rPr>
      </w:pPr>
      <w:r>
        <w:rPr>
          <w:i/>
          <w:iCs/>
          <w:color w:val="auto"/>
          <w:sz w:val="22"/>
          <w:szCs w:val="22"/>
        </w:rPr>
        <w:t xml:space="preserve">Ypatingos pacientų populiacijos </w:t>
      </w:r>
    </w:p>
    <w:p w:rsidR="00C77025" w:rsidRDefault="00C77025" w:rsidP="00C77025">
      <w:pPr>
        <w:pStyle w:val="prastasiniatinklio"/>
        <w:spacing w:before="0" w:beforeAutospacing="0" w:after="0"/>
        <w:rPr>
          <w:sz w:val="22"/>
          <w:szCs w:val="22"/>
        </w:rPr>
      </w:pPr>
      <w:r>
        <w:rPr>
          <w:color w:val="auto"/>
          <w:sz w:val="22"/>
          <w:szCs w:val="22"/>
          <w:lang w:eastAsia="en-US"/>
        </w:rPr>
        <w:t>Tyrimų su ypatingos rizikos grupių pacientais (senyvais žmonėmis arba pacientais, kurių inkstų ar kepenų funkcija sutrikusi) duomenys rodo, kad tokiems pacientams feksofenadino hidrochlorido dozės koreguoti nereikia.</w:t>
      </w:r>
    </w:p>
    <w:p w:rsidR="00C77025" w:rsidRDefault="00C77025" w:rsidP="00C77025">
      <w:pPr>
        <w:pStyle w:val="prastasiniatinklio"/>
        <w:spacing w:before="0" w:beforeAutospacing="0" w:after="0"/>
        <w:rPr>
          <w:sz w:val="22"/>
          <w:szCs w:val="22"/>
        </w:rPr>
      </w:pPr>
    </w:p>
    <w:p w:rsidR="00C77025" w:rsidRDefault="00C77025" w:rsidP="00C77025">
      <w:pPr>
        <w:pStyle w:val="Pagrindinistekstas"/>
        <w:spacing w:after="0"/>
        <w:rPr>
          <w:sz w:val="22"/>
          <w:szCs w:val="22"/>
        </w:rPr>
      </w:pPr>
      <w:r>
        <w:rPr>
          <w:sz w:val="22"/>
          <w:szCs w:val="22"/>
          <w:u w:val="single"/>
        </w:rPr>
        <w:t>Vartojimo metodas</w:t>
      </w:r>
    </w:p>
    <w:p w:rsidR="00C77025" w:rsidRDefault="00C77025" w:rsidP="00C77025">
      <w:pPr>
        <w:pStyle w:val="Pagrindinistekstas"/>
        <w:spacing w:after="0"/>
        <w:rPr>
          <w:color w:val="000000"/>
          <w:sz w:val="22"/>
          <w:szCs w:val="22"/>
        </w:rPr>
      </w:pPr>
      <w:r>
        <w:rPr>
          <w:color w:val="000000"/>
          <w:sz w:val="22"/>
          <w:szCs w:val="22"/>
        </w:rPr>
        <w:lastRenderedPageBreak/>
        <w:t>Vartoti per burną.</w:t>
      </w:r>
    </w:p>
    <w:p w:rsidR="00C77025" w:rsidRDefault="00C77025" w:rsidP="00C77025">
      <w:pPr>
        <w:pStyle w:val="Pagrindinistekstas"/>
        <w:spacing w:after="0"/>
        <w:rPr>
          <w:color w:val="000000"/>
          <w:sz w:val="22"/>
          <w:szCs w:val="22"/>
        </w:rPr>
      </w:pPr>
      <w:r>
        <w:rPr>
          <w:color w:val="000000"/>
          <w:sz w:val="22"/>
          <w:szCs w:val="22"/>
        </w:rPr>
        <w:t>Altiva vartojama prieš valgį užgeriant stikline vandens.</w:t>
      </w:r>
    </w:p>
    <w:p w:rsidR="00C77025" w:rsidRDefault="00C77025" w:rsidP="00C77025">
      <w:pPr>
        <w:pStyle w:val="BTEMEASMCA"/>
      </w:pPr>
    </w:p>
    <w:p w:rsidR="00C77025" w:rsidRDefault="00C77025" w:rsidP="00C77025">
      <w:pPr>
        <w:pStyle w:val="PI-2EMEASMCA"/>
        <w:ind w:left="0" w:firstLine="0"/>
        <w:jc w:val="left"/>
      </w:pPr>
      <w:bookmarkStart w:id="16" w:name="_Toc129243229"/>
      <w:bookmarkStart w:id="17" w:name="_Toc129243104"/>
      <w:r>
        <w:t>4.3</w:t>
      </w:r>
      <w:r>
        <w:tab/>
        <w:t>Kontraindikacijos</w:t>
      </w:r>
      <w:bookmarkEnd w:id="16"/>
      <w:bookmarkEnd w:id="17"/>
    </w:p>
    <w:p w:rsidR="00C77025" w:rsidRDefault="00C77025" w:rsidP="00C77025">
      <w:pPr>
        <w:pStyle w:val="BTEMEASMCA"/>
      </w:pPr>
    </w:p>
    <w:p w:rsidR="00C77025" w:rsidRDefault="00C77025" w:rsidP="00C77025">
      <w:pPr>
        <w:rPr>
          <w:sz w:val="22"/>
          <w:szCs w:val="22"/>
        </w:rPr>
      </w:pPr>
      <w:r>
        <w:rPr>
          <w:sz w:val="22"/>
          <w:szCs w:val="22"/>
        </w:rPr>
        <w:t>Padidėjęs jautrumas veikliajai arba bet kuriai 6.1 skyriuje nurodytai pagalbinei medžiagai.</w:t>
      </w:r>
    </w:p>
    <w:p w:rsidR="00C77025" w:rsidRDefault="00C77025" w:rsidP="00C77025">
      <w:pPr>
        <w:rPr>
          <w:color w:val="000000"/>
          <w:sz w:val="22"/>
          <w:szCs w:val="22"/>
        </w:rPr>
      </w:pPr>
    </w:p>
    <w:p w:rsidR="00C77025" w:rsidRDefault="00C77025" w:rsidP="00C77025">
      <w:pPr>
        <w:rPr>
          <w:sz w:val="22"/>
          <w:szCs w:val="22"/>
        </w:rPr>
      </w:pPr>
    </w:p>
    <w:p w:rsidR="00C77025" w:rsidRDefault="00C77025" w:rsidP="00C77025">
      <w:pPr>
        <w:pStyle w:val="PI-2EMEASMCA"/>
        <w:ind w:left="0" w:firstLine="0"/>
        <w:jc w:val="left"/>
      </w:pPr>
      <w:bookmarkStart w:id="18" w:name="_Toc129243230"/>
      <w:bookmarkStart w:id="19" w:name="_Toc129243105"/>
      <w:r>
        <w:t>4.4</w:t>
      </w:r>
      <w:r>
        <w:tab/>
        <w:t>Specialūs įspėjimai ir atsargumo priemonės</w:t>
      </w:r>
      <w:bookmarkEnd w:id="18"/>
      <w:bookmarkEnd w:id="19"/>
    </w:p>
    <w:p w:rsidR="00C77025" w:rsidRDefault="00C77025" w:rsidP="00C77025">
      <w:pPr>
        <w:pStyle w:val="PI-2EMEASMCA"/>
        <w:ind w:left="0" w:firstLine="0"/>
        <w:jc w:val="left"/>
      </w:pPr>
    </w:p>
    <w:p w:rsidR="00C77025" w:rsidRDefault="00C77025" w:rsidP="00C77025">
      <w:pPr>
        <w:pStyle w:val="PI-2EMEASMCA"/>
        <w:ind w:left="0" w:firstLine="0"/>
        <w:jc w:val="left"/>
        <w:rPr>
          <w:b w:val="0"/>
        </w:rPr>
      </w:pPr>
      <w:r>
        <w:rPr>
          <w:b w:val="0"/>
        </w:rPr>
        <w:t xml:space="preserve">Duomenų apie feksofenadino hidrochlorido, kaip ir daugumos naujų vaistinių preparatų, vartojimą gydant senyvus žmones ir pacientus, kurių inkstų ar kepenų funkcija sutrikusi, yra nedaug. Tokiems pacientams feksofenadino hidrochlorido būtina vartoti atsargiai. </w:t>
      </w:r>
    </w:p>
    <w:p w:rsidR="00C77025" w:rsidRDefault="00C77025" w:rsidP="00C77025">
      <w:pPr>
        <w:pStyle w:val="PI-2EMEASMCA"/>
        <w:ind w:left="0" w:firstLine="0"/>
        <w:jc w:val="left"/>
        <w:rPr>
          <w:b w:val="0"/>
        </w:rPr>
      </w:pPr>
      <w:r>
        <w:rPr>
          <w:b w:val="0"/>
        </w:rPr>
        <w:t xml:space="preserve">Pacientus, sirgusius arba sergančius širdies ir kraujagyslių sistemos ligomis, reikia įspėti, kad histamino receptorius blokuojančiai vaistų grupei tachikardija ir palpitacijos yra būdingas nepageidaujamas poveikis (Žr. 4.8 skyrių). </w:t>
      </w:r>
    </w:p>
    <w:p w:rsidR="00C77025" w:rsidRDefault="00C77025" w:rsidP="00C77025">
      <w:pPr>
        <w:pStyle w:val="BTEMEASMCA"/>
        <w:rPr>
          <w:lang w:val="lt-LT"/>
        </w:rPr>
      </w:pPr>
    </w:p>
    <w:p w:rsidR="00C77025" w:rsidRDefault="00C77025" w:rsidP="00C77025">
      <w:pPr>
        <w:pStyle w:val="PI-2EMEASMCA"/>
        <w:ind w:left="0" w:firstLine="0"/>
        <w:jc w:val="left"/>
      </w:pPr>
      <w:bookmarkStart w:id="20" w:name="_Toc129243231"/>
      <w:bookmarkStart w:id="21" w:name="_Toc129243106"/>
      <w:r>
        <w:t>4.5</w:t>
      </w:r>
      <w:r>
        <w:tab/>
        <w:t>Sąveika su kitais vaistiniais preparatais ir kitokia sąveika</w:t>
      </w:r>
      <w:bookmarkEnd w:id="20"/>
      <w:bookmarkEnd w:id="21"/>
    </w:p>
    <w:p w:rsidR="00C77025" w:rsidRDefault="00C77025" w:rsidP="00C77025">
      <w:pPr>
        <w:rPr>
          <w:sz w:val="22"/>
          <w:szCs w:val="22"/>
        </w:rPr>
      </w:pPr>
    </w:p>
    <w:p w:rsidR="00C77025" w:rsidRDefault="00C77025" w:rsidP="00C77025">
      <w:pPr>
        <w:rPr>
          <w:sz w:val="22"/>
          <w:szCs w:val="22"/>
        </w:rPr>
      </w:pPr>
      <w:r>
        <w:rPr>
          <w:sz w:val="22"/>
          <w:szCs w:val="22"/>
        </w:rPr>
        <w:t>Feksofenadinas nėra metabolizuojamas kepenyse, todėl nesąveikauja su kitais vaistais per kepenų metabolizmą. Feksofenadiną vartojant kartu su ketokonazolu arba eritromicinu, 2-3 kartus padidėja feksofenadino kiekis plazmoje. Šalutiniai reiškiniai bei QT intervalo pokyčiai tiek žmonėms, kurie vartojo tik feksofenadino hidrochlorido, tiek jo derinio su eritromicinu arba ketokonazolu, nesiskyrė.</w:t>
      </w:r>
    </w:p>
    <w:p w:rsidR="00C77025" w:rsidRDefault="00C77025" w:rsidP="00C77025">
      <w:pPr>
        <w:pStyle w:val="BTEMEASMCA"/>
        <w:rPr>
          <w:lang w:val="lt-LT"/>
        </w:rPr>
      </w:pPr>
      <w:r>
        <w:rPr>
          <w:lang w:val="lt-LT"/>
        </w:rPr>
        <w:t xml:space="preserve">Tyrimai su gyvūnais parodė, kad kartu su eritromicinu ar ketokonazolu vartojamo feksofenadino kiekis plazmoje padidėja atitinkamai dėl padidėjusios absorbcijos virškinimo trakte ir dėl sumažėjusios ekskrecijos su tulžimi ar sekrecijos į virškinimo traktąSąveikos tarp feksofenadino ir omeprazolo nebuvo pastebėta. Tačiau pavartojus antacidų, turinčių aliuminio ir magnio hidroksido gelio, 15 minučių prieš feksofenadino hidrochlorido vartojimą jo biologinis prieinamumas sumažėjo, greičiausiai dėl surišimo virškinimo trakte. Rekomenduojama padaryti 2 valandų pertrauką tarp feksofenadino hidrochlorido ir antacidų, sudėtyje turinčių aliuminio ir magnio hidroksido vartojimo. </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2EMEASMCA"/>
        <w:ind w:left="0" w:firstLine="0"/>
        <w:jc w:val="left"/>
      </w:pPr>
      <w:bookmarkStart w:id="22" w:name="_Toc129243232"/>
      <w:bookmarkStart w:id="23" w:name="_Toc129243107"/>
      <w:r>
        <w:t>4.6</w:t>
      </w:r>
      <w:r>
        <w:tab/>
        <w:t>Vaisingumas, nėštumo ir žindymo laikotarpis</w:t>
      </w:r>
      <w:bookmarkEnd w:id="22"/>
      <w:bookmarkEnd w:id="23"/>
    </w:p>
    <w:p w:rsidR="00C77025" w:rsidRDefault="00C77025" w:rsidP="00C77025">
      <w:pPr>
        <w:pStyle w:val="BTEMEASMCA"/>
      </w:pPr>
    </w:p>
    <w:p w:rsidR="00C77025" w:rsidRDefault="00C77025" w:rsidP="00C77025">
      <w:pPr>
        <w:pStyle w:val="BTEMEASMCA"/>
        <w:rPr>
          <w:u w:val="single"/>
        </w:rPr>
      </w:pPr>
      <w:r>
        <w:rPr>
          <w:u w:val="single"/>
        </w:rPr>
        <w:t>Nėštumas</w:t>
      </w:r>
    </w:p>
    <w:p w:rsidR="00C77025" w:rsidRDefault="00C77025" w:rsidP="00C77025">
      <w:pPr>
        <w:rPr>
          <w:sz w:val="22"/>
          <w:szCs w:val="22"/>
        </w:rPr>
      </w:pPr>
      <w:r>
        <w:rPr>
          <w:sz w:val="22"/>
          <w:szCs w:val="22"/>
        </w:rPr>
        <w:t xml:space="preserve">Tinkamų ir gerai kontroliuojamų tyrimų nėščioms moterims su feksofenadino hidrochloridu neatlikta. Riboti tyrimai su gyvūnais nerodo tiesioginio ar netiesioginio žalingo poveikio nėštumo, embriono ar vaisiaus vystymuisi, gimdymui ir </w:t>
      </w:r>
      <w:r>
        <w:rPr>
          <w:sz w:val="22"/>
          <w:szCs w:val="22"/>
        </w:rPr>
        <w:lastRenderedPageBreak/>
        <w:t>postnataliniam vystymuisi (žr. 5.3 skyrių). Feksofenadinas nėštumo metu turi būti skiriamas tik tada, jeigu to tikrai reikia.</w:t>
      </w:r>
    </w:p>
    <w:p w:rsidR="00C77025" w:rsidRDefault="00C77025" w:rsidP="00C77025">
      <w:pPr>
        <w:rPr>
          <w:sz w:val="22"/>
          <w:szCs w:val="22"/>
        </w:rPr>
      </w:pPr>
    </w:p>
    <w:p w:rsidR="00C77025" w:rsidRDefault="00C77025" w:rsidP="00C77025">
      <w:pPr>
        <w:ind w:left="1296" w:hanging="1296"/>
        <w:rPr>
          <w:sz w:val="22"/>
          <w:szCs w:val="22"/>
          <w:u w:val="single"/>
        </w:rPr>
      </w:pPr>
      <w:r>
        <w:rPr>
          <w:sz w:val="22"/>
          <w:szCs w:val="22"/>
          <w:u w:val="single"/>
        </w:rPr>
        <w:t>Žindymas</w:t>
      </w:r>
    </w:p>
    <w:p w:rsidR="00C77025" w:rsidRDefault="00C77025" w:rsidP="00C77025">
      <w:pPr>
        <w:rPr>
          <w:sz w:val="22"/>
          <w:szCs w:val="22"/>
        </w:rPr>
      </w:pPr>
      <w:r>
        <w:rPr>
          <w:sz w:val="22"/>
          <w:szCs w:val="22"/>
        </w:rPr>
        <w:t>Nėra duomenų apie žmogaus pieno sudėtį pavartojus feksofenadino hidrochlorido. Tačiau kai žindyvės vartojo terfenadino, jų piene buvo aptinkamas feksofenadinas. Todėl žindymo laikotarpiu feksofenadino hidrochloridu gydyti nerekomenduojama.</w:t>
      </w:r>
    </w:p>
    <w:p w:rsidR="00C77025" w:rsidRDefault="00C77025" w:rsidP="00C77025">
      <w:pPr>
        <w:pStyle w:val="BTEMEASMCA"/>
        <w:rPr>
          <w:lang w:val="lt-LT"/>
        </w:rPr>
      </w:pPr>
    </w:p>
    <w:p w:rsidR="00C77025" w:rsidRDefault="00C77025" w:rsidP="00C77025">
      <w:pPr>
        <w:pStyle w:val="PI-2EMEASMCA"/>
        <w:ind w:left="0" w:firstLine="0"/>
        <w:jc w:val="left"/>
      </w:pPr>
      <w:bookmarkStart w:id="24" w:name="_Toc129243233"/>
      <w:bookmarkStart w:id="25" w:name="_Toc129243108"/>
      <w:r>
        <w:t>4.7</w:t>
      </w:r>
      <w:r>
        <w:tab/>
        <w:t>Poveikis gebėjimui vairuoti ir valdyti mechanizmus</w:t>
      </w:r>
      <w:bookmarkEnd w:id="24"/>
      <w:bookmarkEnd w:id="25"/>
    </w:p>
    <w:p w:rsidR="00C77025" w:rsidRDefault="00C77025" w:rsidP="00C77025">
      <w:pPr>
        <w:pStyle w:val="BTEMEASMCA"/>
        <w:rPr>
          <w:lang w:val="lt-LT"/>
        </w:rPr>
      </w:pPr>
    </w:p>
    <w:p w:rsidR="00C77025" w:rsidRDefault="00C77025" w:rsidP="00C77025">
      <w:pPr>
        <w:pStyle w:val="BTEMEASMCA"/>
      </w:pPr>
      <w:r>
        <w:rPr>
          <w:lang w:val="lt-LT"/>
        </w:rPr>
        <w:t xml:space="preserve">Remiantis farmakodinamika ir užregistruotais nepageidaujamais reiškiniais, mažai tikėtina, kad feksofenadino hidrochloridas turės įtakos gebėjimui vairuoti ir valdyti mechanizmus. Objektyviais tyrimais nustatyta, kad feksofenadino hidrochloridas neturi reikšmingo poveikio nervų sistemos funkcijai. </w:t>
      </w:r>
      <w:r>
        <w:t>Tai reiškia, kad pacientai gali vairuoti ar atlikti užduotis, kurios reikalauja koncentracijos. Tačiau, siekiant nustatyti jautrius žmones, kuriems pasireiškia neįprastos reakcijos į vaistus, patariama patikrinti indvidualų atsaką, prieš vairuojant ar atliekant sudėtingas užduotis.</w:t>
      </w:r>
    </w:p>
    <w:p w:rsidR="00C77025" w:rsidRDefault="00C77025" w:rsidP="00C77025">
      <w:pPr>
        <w:pStyle w:val="BTEMEASMCA"/>
      </w:pPr>
    </w:p>
    <w:p w:rsidR="00C77025" w:rsidRDefault="00C77025" w:rsidP="00C77025">
      <w:pPr>
        <w:pStyle w:val="PI-2EMEASMCA"/>
        <w:ind w:left="0" w:firstLine="0"/>
        <w:jc w:val="left"/>
      </w:pPr>
      <w:bookmarkStart w:id="26" w:name="_Toc129243234"/>
      <w:bookmarkStart w:id="27" w:name="_Toc129243109"/>
      <w:r>
        <w:t>4.8</w:t>
      </w:r>
      <w:r>
        <w:tab/>
        <w:t>Nepageidaujamas poveikis</w:t>
      </w:r>
      <w:bookmarkEnd w:id="26"/>
      <w:bookmarkEnd w:id="27"/>
    </w:p>
    <w:p w:rsidR="00C77025" w:rsidRDefault="00C77025" w:rsidP="00C77025">
      <w:pPr>
        <w:pStyle w:val="BTEMEASMCA"/>
      </w:pPr>
    </w:p>
    <w:p w:rsidR="00C77025" w:rsidRDefault="00C77025" w:rsidP="00C77025">
      <w:pPr>
        <w:pStyle w:val="BTEMEASMCA"/>
      </w:pPr>
      <w:r>
        <w:t>Nepageidaujamo poveikio dažnis apibūdinamas taip: labai dažnas (≥ 1/10), dažnas (nuo ≥ 1/100 iki &lt; 1/10), nedažnas (nuo ≥ 1/1 000 iki &lt; 1/100), retas (nuo ≥ 1/10 000 iki &lt; 1/1000), labai retas (&lt; 1/10 000) ir nežinomas (negali būti apskaičiuotas pagal turimus duomenis).</w:t>
      </w:r>
    </w:p>
    <w:p w:rsidR="00C77025" w:rsidRDefault="00C77025" w:rsidP="00C77025">
      <w:pPr>
        <w:pStyle w:val="BTEMEASMCA"/>
      </w:pPr>
      <w:r>
        <w:t>Kiekvienoje dažnio grupėje nepageidaujamas poveikis pateikiamas mažėjančio sunkumo tvarka.</w:t>
      </w:r>
    </w:p>
    <w:p w:rsidR="00C77025" w:rsidRDefault="00C77025" w:rsidP="00C77025">
      <w:pPr>
        <w:pStyle w:val="BTEMEASMCA"/>
      </w:pPr>
    </w:p>
    <w:p w:rsidR="00C77025" w:rsidRDefault="00C77025" w:rsidP="00C77025">
      <w:pPr>
        <w:pStyle w:val="BTEMEASMCA"/>
      </w:pPr>
      <w:r>
        <w:t xml:space="preserve">Suaugusiesiems toliau nurodytas nepageidaujamas poveikis buvo pastebėtas klinikinių tyrimų metu, jo dažnis buvo panašus kaip ir skiriant placebo. </w:t>
      </w:r>
    </w:p>
    <w:p w:rsidR="00C77025" w:rsidRDefault="00C77025" w:rsidP="00C77025">
      <w:pPr>
        <w:pStyle w:val="BTEMEASMCA"/>
      </w:pPr>
    </w:p>
    <w:p w:rsidR="00C77025" w:rsidRDefault="00C77025" w:rsidP="00C77025">
      <w:pPr>
        <w:pStyle w:val="prastasiniatinklio"/>
        <w:spacing w:before="0" w:beforeAutospacing="0" w:after="0"/>
        <w:rPr>
          <w:i/>
          <w:sz w:val="22"/>
          <w:szCs w:val="22"/>
        </w:rPr>
      </w:pPr>
      <w:r>
        <w:rPr>
          <w:rStyle w:val="Komentaronuoroda"/>
          <w:rFonts w:eastAsia="Times New Roman"/>
          <w:i/>
          <w:sz w:val="22"/>
          <w:szCs w:val="22"/>
        </w:rPr>
        <w:t>Nervų sistemos sutrikimai</w:t>
      </w:r>
    </w:p>
    <w:p w:rsidR="00C77025" w:rsidRDefault="00C77025" w:rsidP="00C77025">
      <w:pPr>
        <w:pStyle w:val="prastasiniatinklio"/>
        <w:spacing w:before="0" w:beforeAutospacing="0" w:after="0"/>
        <w:rPr>
          <w:sz w:val="22"/>
          <w:szCs w:val="22"/>
        </w:rPr>
      </w:pPr>
      <w:r>
        <w:rPr>
          <w:sz w:val="22"/>
          <w:szCs w:val="22"/>
        </w:rPr>
        <w:t xml:space="preserve">Dažni: galvos skausmas, mieguistumas, svaigulys. </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rPr>
          <w:sz w:val="22"/>
          <w:szCs w:val="22"/>
        </w:rPr>
      </w:pPr>
      <w:r>
        <w:rPr>
          <w:i/>
          <w:iCs/>
          <w:sz w:val="22"/>
          <w:szCs w:val="22"/>
        </w:rPr>
        <w:t>Virškinimo trakto sutrikimai</w:t>
      </w:r>
    </w:p>
    <w:p w:rsidR="00C77025" w:rsidRDefault="00C77025" w:rsidP="00C77025">
      <w:pPr>
        <w:pStyle w:val="prastasiniatinklio"/>
        <w:spacing w:before="0" w:beforeAutospacing="0" w:after="0"/>
        <w:rPr>
          <w:sz w:val="22"/>
          <w:szCs w:val="22"/>
        </w:rPr>
      </w:pPr>
      <w:r>
        <w:rPr>
          <w:sz w:val="22"/>
          <w:szCs w:val="22"/>
        </w:rPr>
        <w:t>Dažnas: pykinimas.</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rPr>
          <w:sz w:val="22"/>
          <w:szCs w:val="22"/>
        </w:rPr>
      </w:pPr>
      <w:r>
        <w:rPr>
          <w:i/>
          <w:noProof/>
          <w:sz w:val="22"/>
          <w:szCs w:val="22"/>
          <w:lang w:val="it-IT"/>
        </w:rPr>
        <w:t>Bendrieji sutrikimai ir vartojimo vietos pažeidimai</w:t>
      </w:r>
    </w:p>
    <w:p w:rsidR="00C77025" w:rsidRDefault="00C77025" w:rsidP="00C77025">
      <w:pPr>
        <w:pStyle w:val="prastasiniatinklio"/>
        <w:spacing w:before="0" w:beforeAutospacing="0" w:after="0"/>
        <w:rPr>
          <w:sz w:val="22"/>
          <w:szCs w:val="22"/>
        </w:rPr>
      </w:pPr>
      <w:r>
        <w:rPr>
          <w:sz w:val="22"/>
          <w:szCs w:val="22"/>
        </w:rPr>
        <w:t>Nedažnas: nuovargis.</w:t>
      </w:r>
    </w:p>
    <w:p w:rsidR="00C77025" w:rsidRDefault="00C77025" w:rsidP="00C77025">
      <w:pPr>
        <w:pStyle w:val="prastasiniatinklio"/>
        <w:spacing w:before="0" w:beforeAutospacing="0" w:after="0"/>
        <w:rPr>
          <w:sz w:val="22"/>
          <w:szCs w:val="22"/>
        </w:rPr>
      </w:pPr>
      <w:r>
        <w:rPr>
          <w:sz w:val="22"/>
          <w:szCs w:val="22"/>
        </w:rPr>
        <w:t xml:space="preserve"> </w:t>
      </w:r>
    </w:p>
    <w:p w:rsidR="00C77025" w:rsidRDefault="00C77025" w:rsidP="00C77025">
      <w:pPr>
        <w:pStyle w:val="prastasiniatinklio"/>
        <w:spacing w:before="0" w:beforeAutospacing="0" w:after="0"/>
        <w:rPr>
          <w:sz w:val="22"/>
          <w:szCs w:val="22"/>
        </w:rPr>
      </w:pPr>
      <w:r>
        <w:rPr>
          <w:sz w:val="22"/>
          <w:szCs w:val="22"/>
        </w:rPr>
        <w:t>Pranešimai apie toliau nurodytą nepageidaujamą poveikį, pasireiškusį suaugusiesiems buvo gauti po vaistinio preparato pateikimo į rinką.  Pasireiškimo dažnis nežinomas (negali būti apskaičiuotas pagal turimus duomenis).</w:t>
      </w:r>
    </w:p>
    <w:p w:rsidR="00C77025" w:rsidRDefault="00C77025" w:rsidP="00C77025">
      <w:pPr>
        <w:pStyle w:val="prastasiniatinklio"/>
        <w:spacing w:before="0" w:beforeAutospacing="0" w:after="0"/>
        <w:rPr>
          <w:sz w:val="22"/>
          <w:szCs w:val="22"/>
          <w:u w:val="single"/>
        </w:rPr>
      </w:pPr>
    </w:p>
    <w:p w:rsidR="00C77025" w:rsidRDefault="00C77025" w:rsidP="00C77025">
      <w:pPr>
        <w:pStyle w:val="prastasiniatinklio"/>
        <w:spacing w:before="0" w:beforeAutospacing="0" w:after="0"/>
        <w:rPr>
          <w:sz w:val="22"/>
          <w:szCs w:val="22"/>
        </w:rPr>
      </w:pPr>
      <w:r>
        <w:rPr>
          <w:i/>
          <w:iCs/>
          <w:sz w:val="22"/>
          <w:szCs w:val="22"/>
        </w:rPr>
        <w:t>Imuninės sistemos sutrikimai</w:t>
      </w:r>
    </w:p>
    <w:p w:rsidR="00C77025" w:rsidRDefault="00C77025" w:rsidP="00C77025">
      <w:pPr>
        <w:pStyle w:val="prastasiniatinklio"/>
        <w:spacing w:before="0" w:beforeAutospacing="0" w:after="0"/>
        <w:rPr>
          <w:sz w:val="22"/>
          <w:szCs w:val="22"/>
        </w:rPr>
      </w:pPr>
      <w:r>
        <w:rPr>
          <w:sz w:val="22"/>
          <w:szCs w:val="22"/>
        </w:rPr>
        <w:lastRenderedPageBreak/>
        <w:t xml:space="preserve">Padidėjusio jautrumo reakcijos, kurios gali pasireikšti angioneurozine edema, sunkumo krūtinėje jausmu, kvėpavimo sutrikimu, veido ir kaklo paraudimu ir sistemine anafilaksija. </w:t>
      </w:r>
    </w:p>
    <w:p w:rsidR="00C77025" w:rsidRDefault="00C77025" w:rsidP="00C77025">
      <w:pPr>
        <w:pStyle w:val="prastasiniatinklio"/>
        <w:spacing w:before="0" w:beforeAutospacing="0" w:after="0"/>
        <w:rPr>
          <w:i/>
          <w:iCs/>
          <w:sz w:val="22"/>
          <w:szCs w:val="22"/>
        </w:rPr>
      </w:pPr>
    </w:p>
    <w:p w:rsidR="00C77025" w:rsidRDefault="00C77025" w:rsidP="00C77025">
      <w:pPr>
        <w:pStyle w:val="prastasiniatinklio"/>
        <w:spacing w:before="0" w:beforeAutospacing="0" w:after="0"/>
        <w:rPr>
          <w:sz w:val="22"/>
          <w:szCs w:val="22"/>
        </w:rPr>
      </w:pPr>
      <w:r>
        <w:rPr>
          <w:i/>
          <w:iCs/>
          <w:sz w:val="22"/>
          <w:szCs w:val="22"/>
        </w:rPr>
        <w:t>Psichikos sutrikimai</w:t>
      </w:r>
    </w:p>
    <w:p w:rsidR="00C77025" w:rsidRDefault="00C77025" w:rsidP="00C77025">
      <w:pPr>
        <w:pStyle w:val="prastasiniatinklio"/>
        <w:spacing w:before="0" w:beforeAutospacing="0" w:after="0"/>
        <w:rPr>
          <w:sz w:val="22"/>
          <w:szCs w:val="22"/>
        </w:rPr>
      </w:pPr>
      <w:r>
        <w:rPr>
          <w:sz w:val="22"/>
          <w:szCs w:val="22"/>
        </w:rPr>
        <w:t>Nemiga, nervingumas, miego sutrikimai arba košmarai/paronirija.</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rPr>
          <w:sz w:val="22"/>
          <w:szCs w:val="22"/>
        </w:rPr>
      </w:pPr>
      <w:r>
        <w:rPr>
          <w:i/>
          <w:iCs/>
          <w:sz w:val="22"/>
          <w:szCs w:val="22"/>
        </w:rPr>
        <w:t>Širdies sutrikimai</w:t>
      </w:r>
    </w:p>
    <w:p w:rsidR="00C77025" w:rsidRDefault="00C77025" w:rsidP="00C77025">
      <w:pPr>
        <w:pStyle w:val="prastasiniatinklio"/>
        <w:spacing w:before="0" w:beforeAutospacing="0" w:after="0"/>
        <w:rPr>
          <w:sz w:val="22"/>
          <w:szCs w:val="22"/>
        </w:rPr>
      </w:pPr>
      <w:r>
        <w:rPr>
          <w:sz w:val="22"/>
          <w:szCs w:val="22"/>
        </w:rPr>
        <w:t>Tachikardija, palpitacija.</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rPr>
          <w:sz w:val="22"/>
          <w:szCs w:val="22"/>
        </w:rPr>
      </w:pPr>
      <w:r>
        <w:rPr>
          <w:i/>
          <w:iCs/>
          <w:sz w:val="22"/>
          <w:szCs w:val="22"/>
        </w:rPr>
        <w:t>Virškinimo trakto sutrikimai</w:t>
      </w:r>
    </w:p>
    <w:p w:rsidR="00C77025" w:rsidRDefault="00C77025" w:rsidP="00C77025">
      <w:pPr>
        <w:pStyle w:val="prastasiniatinklio"/>
        <w:spacing w:before="0" w:beforeAutospacing="0" w:after="0"/>
        <w:rPr>
          <w:sz w:val="22"/>
          <w:szCs w:val="22"/>
        </w:rPr>
      </w:pPr>
      <w:r>
        <w:rPr>
          <w:sz w:val="22"/>
          <w:szCs w:val="22"/>
        </w:rPr>
        <w:t>Viduriavimas.</w:t>
      </w:r>
    </w:p>
    <w:p w:rsidR="00C77025" w:rsidRDefault="00C77025" w:rsidP="00C77025">
      <w:pPr>
        <w:pStyle w:val="prastasiniatinklio"/>
        <w:spacing w:before="0" w:beforeAutospacing="0" w:after="0"/>
        <w:rPr>
          <w:sz w:val="22"/>
          <w:szCs w:val="22"/>
        </w:rPr>
      </w:pPr>
    </w:p>
    <w:p w:rsidR="00C77025" w:rsidRDefault="00C77025" w:rsidP="00C77025">
      <w:pPr>
        <w:pStyle w:val="prastasiniatinklio"/>
        <w:spacing w:before="0" w:beforeAutospacing="0" w:after="0"/>
        <w:rPr>
          <w:sz w:val="22"/>
          <w:szCs w:val="22"/>
        </w:rPr>
      </w:pPr>
      <w:r>
        <w:rPr>
          <w:i/>
          <w:iCs/>
          <w:sz w:val="22"/>
          <w:szCs w:val="22"/>
        </w:rPr>
        <w:t>Odos ir poodinio audinio sutrikimai</w:t>
      </w:r>
    </w:p>
    <w:p w:rsidR="00C77025" w:rsidRDefault="00C77025" w:rsidP="00C77025">
      <w:pPr>
        <w:pStyle w:val="prastasiniatinklio"/>
        <w:spacing w:before="0" w:beforeAutospacing="0" w:after="0"/>
        <w:rPr>
          <w:sz w:val="22"/>
          <w:szCs w:val="22"/>
        </w:rPr>
      </w:pPr>
      <w:r>
        <w:rPr>
          <w:sz w:val="22"/>
          <w:szCs w:val="22"/>
        </w:rPr>
        <w:t>Išbėrimas, dilgėlinė, niežėjimas.</w:t>
      </w:r>
    </w:p>
    <w:p w:rsidR="00C77025" w:rsidRDefault="00C77025" w:rsidP="00C77025">
      <w:pPr>
        <w:pStyle w:val="prastasiniatinklio"/>
        <w:spacing w:before="0" w:beforeAutospacing="0" w:after="0"/>
        <w:rPr>
          <w:sz w:val="22"/>
          <w:szCs w:val="22"/>
        </w:rPr>
      </w:pPr>
    </w:p>
    <w:p w:rsidR="00C77025" w:rsidRDefault="00C77025" w:rsidP="00C77025">
      <w:pPr>
        <w:autoSpaceDE w:val="0"/>
        <w:autoSpaceDN w:val="0"/>
        <w:adjustRightInd w:val="0"/>
        <w:jc w:val="both"/>
        <w:rPr>
          <w:sz w:val="22"/>
          <w:szCs w:val="22"/>
          <w:u w:val="single"/>
        </w:rPr>
      </w:pPr>
      <w:r>
        <w:rPr>
          <w:noProof/>
          <w:sz w:val="22"/>
          <w:szCs w:val="22"/>
          <w:u w:val="single"/>
        </w:rPr>
        <w:t>Pranešimas apie įtariamas nepageidaujamas reakcijas</w:t>
      </w:r>
    </w:p>
    <w:p w:rsidR="00C77025" w:rsidRDefault="00C77025" w:rsidP="00C77025">
      <w:pPr>
        <w:autoSpaceDE w:val="0"/>
        <w:autoSpaceDN w:val="0"/>
        <w:adjustRightInd w:val="0"/>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Pr>
          <w:noProof/>
          <w:sz w:val="22"/>
          <w:szCs w:val="22"/>
        </w:rPr>
        <w:t>Sveikatos priežiūros specialistai turi pranešti apie bet kokias įtariamas nepageidaujamas reakcijas, užpildę interneto svetainėje http://</w:t>
      </w:r>
      <w:hyperlink r:id="rId6" w:history="1">
        <w:r>
          <w:rPr>
            <w:rStyle w:val="Hipersaitas"/>
            <w:rFonts w:eastAsia="SimSun"/>
            <w:noProof/>
            <w:sz w:val="22"/>
            <w:szCs w:val="22"/>
          </w:rPr>
          <w:t>www.vvkt.lt</w:t>
        </w:r>
      </w:hyperlink>
      <w:r>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eastAsia="SimSun"/>
            <w:noProof/>
            <w:sz w:val="22"/>
            <w:szCs w:val="22"/>
          </w:rPr>
          <w:t>NepageidaujamaR@vvkt.lt</w:t>
        </w:r>
      </w:hyperlink>
      <w:r>
        <w:rPr>
          <w:noProof/>
          <w:sz w:val="22"/>
          <w:szCs w:val="22"/>
        </w:rPr>
        <w:t>), per interneto svetainę (adresu http://www.vvkt.lt).</w:t>
      </w:r>
    </w:p>
    <w:p w:rsidR="00C77025" w:rsidRDefault="00C77025" w:rsidP="00C77025">
      <w:pPr>
        <w:pStyle w:val="prastasiniatinklio"/>
        <w:spacing w:before="0" w:beforeAutospacing="0" w:after="0"/>
        <w:rPr>
          <w:sz w:val="22"/>
          <w:szCs w:val="22"/>
        </w:rPr>
      </w:pPr>
    </w:p>
    <w:p w:rsidR="00C77025" w:rsidRDefault="00C77025" w:rsidP="00C77025">
      <w:pPr>
        <w:pStyle w:val="PI-2EMEASMCA"/>
        <w:ind w:left="0" w:firstLine="0"/>
        <w:jc w:val="left"/>
      </w:pPr>
      <w:bookmarkStart w:id="28" w:name="_Toc129243235"/>
      <w:bookmarkStart w:id="29" w:name="_Toc129243110"/>
      <w:r>
        <w:t>4.9</w:t>
      </w:r>
      <w:r>
        <w:tab/>
        <w:t>Perdozavimas</w:t>
      </w:r>
      <w:bookmarkEnd w:id="28"/>
      <w:bookmarkEnd w:id="29"/>
    </w:p>
    <w:p w:rsidR="00C77025" w:rsidRDefault="00C77025" w:rsidP="00C77025">
      <w:pPr>
        <w:pStyle w:val="BTEMEASMCA"/>
        <w:rPr>
          <w:lang w:val="lt-LT"/>
        </w:rPr>
      </w:pPr>
    </w:p>
    <w:p w:rsidR="00C77025" w:rsidRDefault="00C77025" w:rsidP="00C77025">
      <w:pPr>
        <w:pStyle w:val="BTEMEASMCA"/>
        <w:rPr>
          <w:lang w:val="lt-LT"/>
        </w:rPr>
      </w:pPr>
      <w:r>
        <w:rPr>
          <w:lang w:val="lt-LT"/>
        </w:rPr>
        <w:t>Feksofenadino hidrochlorido perdozavimo požymiai yra galvos svaigimas, mieguistumas, nuovargis, burnos džiūvimas.</w:t>
      </w:r>
    </w:p>
    <w:p w:rsidR="00C77025" w:rsidRDefault="00C77025" w:rsidP="00C77025">
      <w:pPr>
        <w:rPr>
          <w:sz w:val="22"/>
          <w:szCs w:val="22"/>
        </w:rPr>
      </w:pPr>
      <w:r>
        <w:rPr>
          <w:sz w:val="22"/>
          <w:szCs w:val="22"/>
        </w:rPr>
        <w:t>Sveikiems savanoriams skiriant vienkartinę iki 800 mg feksofenadino dozę arba iki 690 mg šio vaistinio preparato du kartus per dieną, vieną mėnesį, arba po 240 mg vieną kartą per parą, vienerius metus, kliniškai reikšmingas nepageidaujamas poveikis nepasireiškė lyginant su placebu. Didžiausia toleruojama feksofenafino hidrochlorido dozė nebuvo nustatyta.</w:t>
      </w:r>
    </w:p>
    <w:p w:rsidR="00C77025" w:rsidRDefault="00C77025" w:rsidP="00C77025">
      <w:pPr>
        <w:rPr>
          <w:sz w:val="22"/>
          <w:szCs w:val="22"/>
        </w:rPr>
      </w:pPr>
    </w:p>
    <w:p w:rsidR="00C77025" w:rsidRDefault="00C77025" w:rsidP="00C77025">
      <w:pPr>
        <w:rPr>
          <w:sz w:val="22"/>
          <w:szCs w:val="22"/>
        </w:rPr>
      </w:pPr>
      <w:r>
        <w:rPr>
          <w:sz w:val="22"/>
          <w:szCs w:val="22"/>
        </w:rPr>
        <w:t>Perdozavus feksofenadino turėtų būti taikomos įpratinės priemonės, skirtos pašalinti neabsorbuotą vaistinį preparatą. Rekomenduojama taikyti simptominį ir palaikomąjį gydymą. Hemodializė yra neveksminga siekiant pašalinti feksofenadino hidrochloridą iš kraujo.</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EMEASMCA"/>
        <w:ind w:left="0" w:firstLine="0"/>
      </w:pPr>
      <w:bookmarkStart w:id="30" w:name="_Toc129243236"/>
      <w:bookmarkStart w:id="31" w:name="_Toc129243111"/>
      <w:r>
        <w:t>5.</w:t>
      </w:r>
      <w:r>
        <w:tab/>
        <w:t>FARMAKOLOGINĖS SAVYBĖS</w:t>
      </w:r>
      <w:bookmarkEnd w:id="30"/>
      <w:bookmarkEnd w:id="31"/>
    </w:p>
    <w:p w:rsidR="00C77025" w:rsidRDefault="00C77025" w:rsidP="00C77025">
      <w:pPr>
        <w:pStyle w:val="BTEMEASMCA"/>
        <w:rPr>
          <w:lang w:val="lt-LT"/>
        </w:rPr>
      </w:pPr>
    </w:p>
    <w:p w:rsidR="00C77025" w:rsidRDefault="00C77025" w:rsidP="00C77025">
      <w:pPr>
        <w:pStyle w:val="PI-2EMEASMCA"/>
        <w:ind w:left="0" w:firstLine="0"/>
        <w:jc w:val="left"/>
      </w:pPr>
      <w:bookmarkStart w:id="32" w:name="_Toc129243237"/>
      <w:bookmarkStart w:id="33" w:name="_Toc129243112"/>
      <w:r>
        <w:t>5.1</w:t>
      </w:r>
      <w:r>
        <w:tab/>
        <w:t>Farmakodinaminės savybės</w:t>
      </w:r>
      <w:bookmarkEnd w:id="32"/>
      <w:bookmarkEnd w:id="33"/>
    </w:p>
    <w:p w:rsidR="00C77025" w:rsidRDefault="00C77025" w:rsidP="00C77025">
      <w:pPr>
        <w:pStyle w:val="BTEMEASMCA"/>
        <w:rPr>
          <w:lang w:val="lt-LT"/>
        </w:rPr>
      </w:pPr>
    </w:p>
    <w:p w:rsidR="00C77025" w:rsidRDefault="00C77025" w:rsidP="00C77025">
      <w:pPr>
        <w:pStyle w:val="BTEMEASMCA"/>
        <w:rPr>
          <w:lang w:val="lt-LT"/>
        </w:rPr>
      </w:pPr>
      <w:r>
        <w:rPr>
          <w:lang w:val="lt-LT"/>
        </w:rPr>
        <w:lastRenderedPageBreak/>
        <w:t>Farmakoterapinė grupė - sistemiškai veikiantys antihistamininiai vaistiniai preparatai, kiti sisteminio poveikio antihistamininiai vaistiniai preparatai, ATC kodas - R06AX26.</w:t>
      </w:r>
    </w:p>
    <w:p w:rsidR="00C77025" w:rsidRDefault="00C77025" w:rsidP="00C77025">
      <w:pPr>
        <w:pStyle w:val="BTEMEASMCA"/>
        <w:rPr>
          <w:lang w:val="lt-LT"/>
        </w:rPr>
      </w:pPr>
    </w:p>
    <w:p w:rsidR="00C77025" w:rsidRDefault="00C77025" w:rsidP="00C77025">
      <w:pPr>
        <w:pStyle w:val="BTEMEASMCA"/>
        <w:rPr>
          <w:u w:val="single"/>
        </w:rPr>
      </w:pPr>
      <w:r>
        <w:rPr>
          <w:u w:val="single"/>
        </w:rPr>
        <w:t>Veikimo mechanizmas</w:t>
      </w:r>
    </w:p>
    <w:p w:rsidR="00C77025" w:rsidRDefault="00C77025" w:rsidP="00C77025">
      <w:pPr>
        <w:rPr>
          <w:sz w:val="22"/>
          <w:szCs w:val="22"/>
        </w:rPr>
      </w:pPr>
      <w:r>
        <w:rPr>
          <w:sz w:val="22"/>
          <w:szCs w:val="22"/>
        </w:rPr>
        <w:t>Feksofenadino hidrochloridas sedacijos nesukeliantis H</w:t>
      </w:r>
      <w:r>
        <w:rPr>
          <w:sz w:val="22"/>
          <w:szCs w:val="22"/>
          <w:vertAlign w:val="subscript"/>
        </w:rPr>
        <w:t>1</w:t>
      </w:r>
      <w:r>
        <w:rPr>
          <w:sz w:val="22"/>
          <w:szCs w:val="22"/>
        </w:rPr>
        <w:t xml:space="preserve"> antihistamininis vaistinis preparatas. Feksofenadinas yra farmakologiškai aktyvus  terfenadino metabolitas. </w:t>
      </w:r>
    </w:p>
    <w:p w:rsidR="00C77025" w:rsidRDefault="00C77025" w:rsidP="00C77025">
      <w:pPr>
        <w:rPr>
          <w:sz w:val="22"/>
          <w:szCs w:val="22"/>
        </w:rPr>
      </w:pPr>
    </w:p>
    <w:p w:rsidR="00C77025" w:rsidRDefault="00C77025" w:rsidP="00C77025">
      <w:pPr>
        <w:rPr>
          <w:sz w:val="22"/>
          <w:szCs w:val="22"/>
          <w:u w:val="single"/>
        </w:rPr>
      </w:pPr>
      <w:r>
        <w:rPr>
          <w:sz w:val="22"/>
          <w:szCs w:val="22"/>
          <w:u w:val="single"/>
        </w:rPr>
        <w:t>Klinikinis veiksmingumas ir saugumas</w:t>
      </w:r>
    </w:p>
    <w:p w:rsidR="00C77025" w:rsidRDefault="00C77025" w:rsidP="00C77025">
      <w:pPr>
        <w:rPr>
          <w:sz w:val="22"/>
          <w:szCs w:val="22"/>
        </w:rPr>
      </w:pPr>
      <w:r>
        <w:rPr>
          <w:sz w:val="22"/>
          <w:szCs w:val="22"/>
        </w:rPr>
        <w:t xml:space="preserve">Histamino sukelto odos patinimo ir paraudimo tyrimų metu buvo pastebėta, kad vartojant vienkartinę feksofenadino dozę vieną arba du kartus per parą, antihistamininis poveikis pasireiškia per vieną valandą, maksimalus veikimas pasireiškia po 6 valandų ir tęsiasi 24 valandas. Duomenų, kad 28 parų vartojimo laikotarpiu atsiranda toleravimas, nėra. Buvo nustatytas teigiamas dozės atsako ryšys tarp geriamos 10 mg ir 130 mg dozės. Šio tyrimo metu buvo nustatyta, kad norint pasiekti pastovų, 24 valandas išsilaikantį antihistamininį poveikį, reikia mažiausiai 130 mg dozės. Maksimalus odos patinimo ir paraudimo slopinimas buvo didesnis nei 80 %. </w:t>
      </w:r>
    </w:p>
    <w:p w:rsidR="00C77025" w:rsidRDefault="00C77025" w:rsidP="00C77025">
      <w:pPr>
        <w:rPr>
          <w:sz w:val="22"/>
          <w:szCs w:val="22"/>
        </w:rPr>
      </w:pPr>
    </w:p>
    <w:p w:rsidR="00C77025" w:rsidRDefault="00C77025" w:rsidP="00C77025">
      <w:pPr>
        <w:rPr>
          <w:sz w:val="22"/>
          <w:szCs w:val="22"/>
        </w:rPr>
      </w:pPr>
      <w:r>
        <w:rPr>
          <w:sz w:val="22"/>
          <w:szCs w:val="22"/>
        </w:rPr>
        <w:t>Nebuvo pastebėta reikšmingo QT</w:t>
      </w:r>
      <w:r>
        <w:rPr>
          <w:sz w:val="22"/>
          <w:szCs w:val="22"/>
          <w:vertAlign w:val="subscript"/>
        </w:rPr>
        <w:t xml:space="preserve">c  </w:t>
      </w:r>
      <w:r>
        <w:rPr>
          <w:sz w:val="22"/>
          <w:szCs w:val="22"/>
        </w:rPr>
        <w:t>intervalo skirtumo pacientams, sergantiems sezoniniu alerginiu rinitu, 2 savaites du kartus per parą skiriant iki 240 mg feksofenadino hidrochlorido palyginti su placebu. Taip pat QT</w:t>
      </w:r>
      <w:r>
        <w:rPr>
          <w:sz w:val="22"/>
          <w:szCs w:val="22"/>
          <w:vertAlign w:val="subscript"/>
        </w:rPr>
        <w:t>c</w:t>
      </w:r>
      <w:r>
        <w:rPr>
          <w:sz w:val="22"/>
          <w:szCs w:val="22"/>
        </w:rPr>
        <w:t xml:space="preserve"> reikšmingai nepailgėjo sveikiems tiriamiesiems, kuriems buvo skiriama placebo arba feksofenadino hidrochlorido iki 60 mg du kartus per parą 6 mėnesius, 400 mg du kartus per parą 6,5 dienos ir 240 mg kartą per parą vienerius metus.  32 kartus už terapinę dozę didesnė feksofenadino dozė nedarė reikšmingo poveikio iš žmogaus širdies klonuotiems K+ kanalams. </w:t>
      </w:r>
    </w:p>
    <w:p w:rsidR="00C77025" w:rsidRDefault="00C77025" w:rsidP="00C77025">
      <w:pPr>
        <w:rPr>
          <w:sz w:val="22"/>
          <w:szCs w:val="22"/>
        </w:rPr>
      </w:pPr>
    </w:p>
    <w:p w:rsidR="00C77025" w:rsidRDefault="00C77025" w:rsidP="00C77025">
      <w:pPr>
        <w:pStyle w:val="BTEMEASMCA"/>
        <w:rPr>
          <w:lang w:val="lt-LT"/>
        </w:rPr>
      </w:pPr>
      <w:r>
        <w:rPr>
          <w:lang w:val="lt-LT"/>
        </w:rPr>
        <w:t xml:space="preserve">Fexofenadino hidrochloridas (5-10 mg/kg kūno svorio) slopina antigeno sukeltą bronchų spazmą įjautrintose jūrų kiaulytėse ir slopina histamino išsiskyrimą pilvaplėvės putliosiose ląstelėse skiriant supraterapines koncentracijas (10 – 100 µmol/l). </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2EMEASMCA"/>
        <w:ind w:left="0" w:firstLine="0"/>
        <w:jc w:val="left"/>
      </w:pPr>
      <w:bookmarkStart w:id="34" w:name="_Toc129243238"/>
      <w:bookmarkStart w:id="35" w:name="_Toc129243113"/>
      <w:r>
        <w:t>5.2</w:t>
      </w:r>
      <w:r>
        <w:tab/>
        <w:t>Farmakokinetinės savybės</w:t>
      </w:r>
      <w:bookmarkEnd w:id="34"/>
      <w:bookmarkEnd w:id="35"/>
    </w:p>
    <w:p w:rsidR="00C77025" w:rsidRDefault="00C77025" w:rsidP="00C77025">
      <w:pPr>
        <w:pStyle w:val="BTEMEASMCA"/>
        <w:rPr>
          <w:lang w:val="lt-LT"/>
        </w:rPr>
      </w:pPr>
    </w:p>
    <w:p w:rsidR="00C77025" w:rsidRDefault="00C77025" w:rsidP="00C77025">
      <w:pPr>
        <w:rPr>
          <w:sz w:val="22"/>
          <w:szCs w:val="22"/>
          <w:u w:val="single"/>
        </w:rPr>
      </w:pPr>
      <w:r>
        <w:rPr>
          <w:sz w:val="22"/>
          <w:szCs w:val="22"/>
          <w:u w:val="single"/>
        </w:rPr>
        <w:t>Absorbcija</w:t>
      </w:r>
    </w:p>
    <w:p w:rsidR="00C77025" w:rsidRDefault="00C77025" w:rsidP="00C77025">
      <w:pPr>
        <w:rPr>
          <w:sz w:val="22"/>
          <w:szCs w:val="22"/>
        </w:rPr>
      </w:pPr>
      <w:r>
        <w:rPr>
          <w:sz w:val="22"/>
          <w:szCs w:val="22"/>
        </w:rPr>
        <w:t>Išgėrus feksofenadino hidrochlorido, jis greitai absorbuojasi. Pavartojus vienkartinę jo dozę, didžiausia koncentracija plazmoje (</w:t>
      </w:r>
      <w:r>
        <w:rPr>
          <w:i/>
          <w:sz w:val="22"/>
          <w:szCs w:val="22"/>
        </w:rPr>
        <w:t>T</w:t>
      </w:r>
      <w:r>
        <w:rPr>
          <w:i/>
          <w:sz w:val="22"/>
          <w:szCs w:val="22"/>
          <w:vertAlign w:val="subscript"/>
        </w:rPr>
        <w:t>max</w:t>
      </w:r>
      <w:r>
        <w:rPr>
          <w:sz w:val="22"/>
          <w:szCs w:val="22"/>
        </w:rPr>
        <w:t>) susidaro po 1 - 3 valandų. Vidutinė didžiausia feksofenadino koncentracija plazmoje (</w:t>
      </w:r>
      <w:r>
        <w:rPr>
          <w:i/>
          <w:sz w:val="22"/>
          <w:szCs w:val="22"/>
        </w:rPr>
        <w:t>C</w:t>
      </w:r>
      <w:r>
        <w:rPr>
          <w:i/>
          <w:sz w:val="22"/>
          <w:szCs w:val="22"/>
          <w:vertAlign w:val="subscript"/>
        </w:rPr>
        <w:t>max</w:t>
      </w:r>
      <w:r>
        <w:rPr>
          <w:sz w:val="22"/>
          <w:szCs w:val="22"/>
        </w:rPr>
        <w:t xml:space="preserve">), pavartojus vienkartinę 180 g dozę buvo 494 ng/ml. </w:t>
      </w:r>
    </w:p>
    <w:p w:rsidR="00C77025" w:rsidRDefault="00C77025" w:rsidP="00C77025">
      <w:pPr>
        <w:rPr>
          <w:sz w:val="22"/>
          <w:szCs w:val="22"/>
        </w:rPr>
      </w:pPr>
    </w:p>
    <w:p w:rsidR="00C77025" w:rsidRDefault="00C77025" w:rsidP="00C77025">
      <w:pPr>
        <w:rPr>
          <w:sz w:val="22"/>
          <w:szCs w:val="22"/>
          <w:u w:val="single"/>
        </w:rPr>
      </w:pPr>
      <w:r>
        <w:rPr>
          <w:sz w:val="22"/>
          <w:szCs w:val="22"/>
          <w:u w:val="single"/>
        </w:rPr>
        <w:t>Pasiskirstymas</w:t>
      </w:r>
    </w:p>
    <w:p w:rsidR="00C77025" w:rsidRDefault="00C77025" w:rsidP="00C77025">
      <w:pPr>
        <w:rPr>
          <w:sz w:val="22"/>
          <w:szCs w:val="22"/>
        </w:rPr>
      </w:pPr>
      <w:r>
        <w:rPr>
          <w:sz w:val="22"/>
          <w:szCs w:val="22"/>
        </w:rPr>
        <w:t xml:space="preserve">60 - 70 </w:t>
      </w:r>
      <w:r>
        <w:rPr>
          <w:sz w:val="22"/>
          <w:szCs w:val="22"/>
          <w:lang w:val="en-US"/>
        </w:rPr>
        <w:t>%</w:t>
      </w:r>
      <w:r>
        <w:rPr>
          <w:sz w:val="22"/>
          <w:szCs w:val="22"/>
        </w:rPr>
        <w:t xml:space="preserve"> feksofenadino jungiasi su plazmos baltymais.</w:t>
      </w:r>
    </w:p>
    <w:p w:rsidR="00C77025" w:rsidRDefault="00C77025" w:rsidP="00C77025">
      <w:pPr>
        <w:rPr>
          <w:sz w:val="22"/>
          <w:szCs w:val="22"/>
        </w:rPr>
      </w:pPr>
    </w:p>
    <w:p w:rsidR="00C77025" w:rsidRDefault="00C77025" w:rsidP="00C77025">
      <w:pPr>
        <w:rPr>
          <w:sz w:val="22"/>
          <w:szCs w:val="22"/>
          <w:u w:val="single"/>
        </w:rPr>
      </w:pPr>
      <w:r>
        <w:rPr>
          <w:sz w:val="22"/>
          <w:szCs w:val="22"/>
          <w:u w:val="single"/>
        </w:rPr>
        <w:t>Biotransformacija ir eliminacija</w:t>
      </w:r>
    </w:p>
    <w:p w:rsidR="00C77025" w:rsidRDefault="00C77025" w:rsidP="00C77025">
      <w:pPr>
        <w:rPr>
          <w:sz w:val="22"/>
          <w:szCs w:val="22"/>
        </w:rPr>
      </w:pPr>
      <w:r>
        <w:rPr>
          <w:color w:val="000000"/>
          <w:sz w:val="22"/>
          <w:szCs w:val="22"/>
        </w:rPr>
        <w:lastRenderedPageBreak/>
        <w:t xml:space="preserve">Feksofenadinas metabolizuojamas (kepenyse ir ne kepenyse) nereikšmingai, kadangi jis yra vienintelė medžiaga, nustatoma gyvūnų ir žmonių šlapime ir išmatose. </w:t>
      </w:r>
      <w:r>
        <w:rPr>
          <w:sz w:val="22"/>
          <w:szCs w:val="22"/>
        </w:rPr>
        <w:t xml:space="preserve">Kartotinėmis dozėmis vartojamo feksofenadino koncentracija plazmoje mažėja bieksponentiškai, o galutinis jo pusinės eliminacijos laikas yra nuo 11 iki 15 valandų. Vienos ar kelių feksofenadino dozių farmakokinetika yra tiesinė vartojant iki 120 mg du kartus per parą. Vartojant 240 mg du kartus per parą, nusistovėjus pusiausvyrinei koncentracijai AUC šiek tiek daugiau negu proporcingai didėja (8,8%), tai rodo, kad vartojant nuo 40 mg iki 240 mg paros dozes, farmakokinetika yra praktiškai tiesinė. Manoma, kad didžiausia dalis feksofenadino pašalinama su tulžimi, su šlapimu pasišalina iki 10% nepakitusios suvartotos dozės.   </w:t>
      </w:r>
    </w:p>
    <w:p w:rsidR="00C77025" w:rsidRDefault="00C77025" w:rsidP="00C77025">
      <w:pPr>
        <w:rPr>
          <w:sz w:val="22"/>
          <w:szCs w:val="22"/>
        </w:rPr>
      </w:pPr>
    </w:p>
    <w:p w:rsidR="00C77025" w:rsidRDefault="00C77025" w:rsidP="00C77025">
      <w:pPr>
        <w:pStyle w:val="BTEMEASMCA"/>
        <w:rPr>
          <w:lang w:val="lt-LT"/>
        </w:rPr>
      </w:pPr>
    </w:p>
    <w:p w:rsidR="00C77025" w:rsidRDefault="00C77025" w:rsidP="00C77025">
      <w:pPr>
        <w:pStyle w:val="PI-2EMEASMCA"/>
        <w:ind w:left="0" w:firstLine="0"/>
        <w:jc w:val="left"/>
      </w:pPr>
      <w:bookmarkStart w:id="36" w:name="_Toc129243239"/>
      <w:bookmarkStart w:id="37" w:name="_Toc129243114"/>
      <w:r>
        <w:t>5.3</w:t>
      </w:r>
      <w:r>
        <w:tab/>
        <w:t>Ikiklinikinių saugumo tyrimų duomenys</w:t>
      </w:r>
      <w:bookmarkEnd w:id="36"/>
      <w:bookmarkEnd w:id="37"/>
    </w:p>
    <w:p w:rsidR="00C77025" w:rsidRDefault="00C77025" w:rsidP="00C77025">
      <w:pPr>
        <w:pStyle w:val="BTEMEASMCA"/>
        <w:rPr>
          <w:lang w:val="lt-LT"/>
        </w:rPr>
      </w:pPr>
    </w:p>
    <w:p w:rsidR="00C77025" w:rsidRDefault="00C77025" w:rsidP="00C77025">
      <w:pPr>
        <w:rPr>
          <w:sz w:val="22"/>
          <w:szCs w:val="22"/>
        </w:rPr>
      </w:pPr>
      <w:r>
        <w:rPr>
          <w:sz w:val="22"/>
          <w:szCs w:val="22"/>
        </w:rPr>
        <w:t xml:space="preserve">Šunys toleravo 450 mg/kg dozę skiriamą du kartus per parą 6 mėnesius, jokių kitų apsinuodijimo simptomų, išskyrus kartais pasireiškiantį vėmimą, nepasireiškė. Vienkartinės dozės tyrimų su šunimis ir graužikais metu, su gydymu susijusių organų dydžio pokyčių skrodimo metu nebuvo pastebėta. </w:t>
      </w:r>
    </w:p>
    <w:p w:rsidR="00C77025" w:rsidRDefault="00C77025" w:rsidP="00C77025">
      <w:pPr>
        <w:pStyle w:val="BTEMEASMCA"/>
        <w:rPr>
          <w:lang w:val="lt-LT"/>
        </w:rPr>
      </w:pPr>
      <w:r>
        <w:rPr>
          <w:lang w:val="lt-LT"/>
        </w:rPr>
        <w:t xml:space="preserve">Radioaktyvia žyme žymėto feksofenadino hidrochlorido pasiskirstymo žiurkių audiniuose tyrimai parodė, kad per kraujo ir smegenų barjerą feksofenadinas neprasiskverbė. </w:t>
      </w:r>
    </w:p>
    <w:p w:rsidR="00C77025" w:rsidRDefault="00C77025" w:rsidP="00C77025">
      <w:pPr>
        <w:pStyle w:val="BTEMEASMCA"/>
      </w:pPr>
      <w:r>
        <w:rPr>
          <w:i/>
        </w:rPr>
        <w:t>In vitro</w:t>
      </w:r>
      <w:r>
        <w:t xml:space="preserve"> ir </w:t>
      </w:r>
      <w:r>
        <w:rPr>
          <w:i/>
        </w:rPr>
        <w:t>in vivo</w:t>
      </w:r>
      <w:r>
        <w:t xml:space="preserve"> mutageniškumo tyrimų metu nustatyta, kad feksofenadino hidrochloridas nėra mutageniškas.</w:t>
      </w:r>
    </w:p>
    <w:p w:rsidR="00C77025" w:rsidRDefault="00C77025" w:rsidP="00C77025">
      <w:pPr>
        <w:pStyle w:val="BTEMEASMCA"/>
      </w:pPr>
      <w:r>
        <w:t xml:space="preserve">Kancerogeninis feksofenadino hidrochlorido poveikis buvo vertintas tiriant terfenadiną kartu su patvirtinamaisiais farmakokinetiniais tyrimais, parodančiais feksofenadino hidrochlorido ekspoziciją (plazmos AUC reikšmės). Žiurkėms ir pelėms skiariant terfenadiną (iki 150 mg/kg per parą) kancerogeninio poveikio nestebėta. </w:t>
      </w:r>
    </w:p>
    <w:p w:rsidR="00C77025" w:rsidRDefault="00C77025" w:rsidP="00C77025">
      <w:pPr>
        <w:pStyle w:val="BTEMEASMCA"/>
      </w:pPr>
      <w:r>
        <w:t xml:space="preserve">Reprodukcinio toksiškumo tyrimo su pelėmis metu feksofenadino hidrochloridas nepaveikė vislumo, nebuvo teratogeniškas ir neveikė pre- ir postnatalinio vystymosi. </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38" w:name="_Toc129243240"/>
      <w:bookmarkStart w:id="39" w:name="_Toc129243115"/>
      <w:r>
        <w:t>6.</w:t>
      </w:r>
      <w:r>
        <w:tab/>
        <w:t>FARMACINĖ INFORMACIJA</w:t>
      </w:r>
      <w:bookmarkEnd w:id="38"/>
      <w:bookmarkEnd w:id="39"/>
    </w:p>
    <w:p w:rsidR="00C77025" w:rsidRDefault="00C77025" w:rsidP="00C77025">
      <w:pPr>
        <w:pStyle w:val="BTEMEASMCA"/>
      </w:pPr>
    </w:p>
    <w:p w:rsidR="00C77025" w:rsidRDefault="00C77025" w:rsidP="00C77025">
      <w:pPr>
        <w:pStyle w:val="PI-2EMEASMCA"/>
        <w:ind w:left="0" w:firstLine="0"/>
        <w:jc w:val="left"/>
      </w:pPr>
      <w:bookmarkStart w:id="40" w:name="_Toc129243241"/>
      <w:bookmarkStart w:id="41" w:name="_Toc129243116"/>
      <w:r>
        <w:t>6.1</w:t>
      </w:r>
      <w:r>
        <w:tab/>
        <w:t>Pagalbinių medžiagų sąrašas</w:t>
      </w:r>
      <w:bookmarkEnd w:id="40"/>
      <w:bookmarkEnd w:id="41"/>
    </w:p>
    <w:p w:rsidR="00C77025" w:rsidRDefault="00C77025" w:rsidP="00C77025">
      <w:pPr>
        <w:pStyle w:val="BTEMEASMCA"/>
      </w:pPr>
    </w:p>
    <w:p w:rsidR="00C77025" w:rsidRDefault="00C77025" w:rsidP="00C77025">
      <w:pPr>
        <w:pStyle w:val="BTEMEASMCA"/>
      </w:pPr>
      <w:r>
        <w:t>Tabletės šerdis</w:t>
      </w:r>
    </w:p>
    <w:p w:rsidR="00C77025" w:rsidRDefault="00C77025" w:rsidP="00C77025">
      <w:pPr>
        <w:rPr>
          <w:sz w:val="22"/>
          <w:szCs w:val="22"/>
        </w:rPr>
      </w:pPr>
      <w:r>
        <w:rPr>
          <w:sz w:val="22"/>
          <w:szCs w:val="22"/>
        </w:rPr>
        <w:t>Kroskarmeliozės natrio druska</w:t>
      </w:r>
    </w:p>
    <w:p w:rsidR="00C77025" w:rsidRDefault="00C77025" w:rsidP="00C77025">
      <w:pPr>
        <w:rPr>
          <w:sz w:val="22"/>
          <w:szCs w:val="22"/>
        </w:rPr>
      </w:pPr>
      <w:r>
        <w:rPr>
          <w:sz w:val="22"/>
          <w:szCs w:val="22"/>
        </w:rPr>
        <w:t>Mikrokristalinė celiuliozė</w:t>
      </w:r>
    </w:p>
    <w:p w:rsidR="00C77025" w:rsidRDefault="00C77025" w:rsidP="00C77025">
      <w:pPr>
        <w:rPr>
          <w:sz w:val="22"/>
          <w:szCs w:val="22"/>
        </w:rPr>
      </w:pPr>
      <w:r>
        <w:rPr>
          <w:sz w:val="22"/>
          <w:szCs w:val="22"/>
        </w:rPr>
        <w:t>Pregelifikuotas kukurūzų krakmolas</w:t>
      </w:r>
    </w:p>
    <w:p w:rsidR="00C77025" w:rsidRDefault="00C77025" w:rsidP="00C77025">
      <w:pPr>
        <w:rPr>
          <w:sz w:val="22"/>
          <w:szCs w:val="22"/>
        </w:rPr>
      </w:pPr>
      <w:r>
        <w:rPr>
          <w:sz w:val="22"/>
          <w:szCs w:val="22"/>
        </w:rPr>
        <w:t>Magnio stearatas.</w:t>
      </w:r>
    </w:p>
    <w:p w:rsidR="00C77025" w:rsidRDefault="00C77025" w:rsidP="00C77025">
      <w:pPr>
        <w:rPr>
          <w:sz w:val="22"/>
          <w:szCs w:val="22"/>
        </w:rPr>
      </w:pPr>
    </w:p>
    <w:p w:rsidR="00C77025" w:rsidRDefault="00C77025" w:rsidP="00C77025">
      <w:pPr>
        <w:rPr>
          <w:sz w:val="22"/>
          <w:szCs w:val="22"/>
          <w:u w:val="single"/>
        </w:rPr>
      </w:pPr>
      <w:r>
        <w:rPr>
          <w:sz w:val="22"/>
          <w:szCs w:val="22"/>
          <w:u w:val="single"/>
        </w:rPr>
        <w:t>Tabletės plėvelė</w:t>
      </w:r>
    </w:p>
    <w:p w:rsidR="00C77025" w:rsidRDefault="00C77025" w:rsidP="00C77025">
      <w:pPr>
        <w:rPr>
          <w:sz w:val="22"/>
          <w:szCs w:val="22"/>
        </w:rPr>
      </w:pPr>
      <w:r>
        <w:rPr>
          <w:sz w:val="22"/>
          <w:szCs w:val="22"/>
        </w:rPr>
        <w:t>Koloidinis bevandenis silicio dioksidas</w:t>
      </w:r>
    </w:p>
    <w:p w:rsidR="00C77025" w:rsidRDefault="00C77025" w:rsidP="00C77025">
      <w:pPr>
        <w:rPr>
          <w:sz w:val="22"/>
          <w:szCs w:val="22"/>
        </w:rPr>
      </w:pPr>
      <w:r>
        <w:rPr>
          <w:sz w:val="22"/>
          <w:szCs w:val="22"/>
        </w:rPr>
        <w:t>Povidonas</w:t>
      </w:r>
    </w:p>
    <w:p w:rsidR="00C77025" w:rsidRDefault="00C77025" w:rsidP="00C77025">
      <w:pPr>
        <w:rPr>
          <w:sz w:val="22"/>
          <w:szCs w:val="22"/>
        </w:rPr>
      </w:pPr>
    </w:p>
    <w:p w:rsidR="00C77025" w:rsidRDefault="00C77025" w:rsidP="00C77025">
      <w:pPr>
        <w:rPr>
          <w:sz w:val="22"/>
          <w:szCs w:val="22"/>
        </w:rPr>
      </w:pPr>
      <w:r>
        <w:rPr>
          <w:sz w:val="22"/>
          <w:szCs w:val="22"/>
        </w:rPr>
        <w:lastRenderedPageBreak/>
        <w:t>Rašalas: šelakas, juodasis geležies oksidas (E 172), propilenglikolis.</w:t>
      </w:r>
    </w:p>
    <w:p w:rsidR="00C77025" w:rsidRDefault="00C77025" w:rsidP="00C77025">
      <w:pPr>
        <w:pStyle w:val="BTEMEASMCA"/>
      </w:pPr>
    </w:p>
    <w:p w:rsidR="00C77025" w:rsidRDefault="00C77025" w:rsidP="00C77025">
      <w:pPr>
        <w:pStyle w:val="PI-2EMEASMCA"/>
        <w:ind w:left="0" w:firstLine="0"/>
        <w:jc w:val="left"/>
      </w:pPr>
      <w:bookmarkStart w:id="42" w:name="_Toc129243242"/>
      <w:bookmarkStart w:id="43" w:name="_Toc129243117"/>
      <w:r>
        <w:t>6.2</w:t>
      </w:r>
      <w:r>
        <w:tab/>
        <w:t>Nesuderinamumas</w:t>
      </w:r>
      <w:bookmarkEnd w:id="42"/>
      <w:bookmarkEnd w:id="43"/>
    </w:p>
    <w:p w:rsidR="00C77025" w:rsidRDefault="00C77025" w:rsidP="00C77025">
      <w:pPr>
        <w:pStyle w:val="BTEMEASMCA"/>
      </w:pPr>
    </w:p>
    <w:p w:rsidR="00C77025" w:rsidRDefault="00C77025" w:rsidP="00C77025">
      <w:pPr>
        <w:pStyle w:val="BTEMEASMCA"/>
      </w:pPr>
      <w:r>
        <w:t>Duomenys nebūtini.</w:t>
      </w:r>
    </w:p>
    <w:p w:rsidR="00C77025" w:rsidRDefault="00C77025" w:rsidP="00C77025">
      <w:pPr>
        <w:pStyle w:val="BTEMEASMCA"/>
      </w:pPr>
    </w:p>
    <w:p w:rsidR="00C77025" w:rsidRDefault="00C77025" w:rsidP="00C77025">
      <w:pPr>
        <w:pStyle w:val="PI-2EMEASMCA"/>
        <w:ind w:left="0" w:firstLine="0"/>
        <w:jc w:val="left"/>
      </w:pPr>
      <w:bookmarkStart w:id="44" w:name="_Toc129243243"/>
      <w:bookmarkStart w:id="45" w:name="_Toc129243118"/>
      <w:r>
        <w:t>6.3</w:t>
      </w:r>
      <w:r>
        <w:tab/>
        <w:t>Tinkamumo laikas</w:t>
      </w:r>
      <w:bookmarkEnd w:id="44"/>
      <w:bookmarkEnd w:id="45"/>
    </w:p>
    <w:p w:rsidR="00C77025" w:rsidRDefault="00C77025" w:rsidP="00C77025">
      <w:pPr>
        <w:pStyle w:val="BTEMEASMCA"/>
      </w:pPr>
    </w:p>
    <w:p w:rsidR="00C77025" w:rsidRDefault="00C77025" w:rsidP="00C77025">
      <w:pPr>
        <w:rPr>
          <w:sz w:val="22"/>
          <w:szCs w:val="22"/>
        </w:rPr>
      </w:pPr>
      <w:r>
        <w:rPr>
          <w:sz w:val="22"/>
          <w:szCs w:val="22"/>
        </w:rPr>
        <w:t>2 metai.</w:t>
      </w:r>
    </w:p>
    <w:p w:rsidR="00C77025" w:rsidRDefault="00C77025" w:rsidP="00C77025">
      <w:pPr>
        <w:pStyle w:val="BTEMEASMCA"/>
      </w:pPr>
    </w:p>
    <w:p w:rsidR="00C77025" w:rsidRDefault="00C77025" w:rsidP="00C77025">
      <w:pPr>
        <w:pStyle w:val="PI-2EMEASMCA"/>
        <w:ind w:left="0" w:firstLine="0"/>
        <w:jc w:val="left"/>
      </w:pPr>
      <w:bookmarkStart w:id="46" w:name="_Toc129243244"/>
      <w:bookmarkStart w:id="47" w:name="_Toc129243119"/>
      <w:r>
        <w:t>6.4</w:t>
      </w:r>
      <w:r>
        <w:tab/>
        <w:t>Specialios laikymo sąlygos</w:t>
      </w:r>
      <w:bookmarkEnd w:id="46"/>
      <w:bookmarkEnd w:id="47"/>
    </w:p>
    <w:p w:rsidR="00C77025" w:rsidRDefault="00C77025" w:rsidP="00C77025">
      <w:pPr>
        <w:pStyle w:val="BTEMEASMCA"/>
      </w:pPr>
    </w:p>
    <w:p w:rsidR="00C77025" w:rsidRDefault="00C77025" w:rsidP="00C77025">
      <w:pPr>
        <w:rPr>
          <w:sz w:val="22"/>
          <w:szCs w:val="22"/>
        </w:rPr>
      </w:pPr>
      <w:r>
        <w:rPr>
          <w:sz w:val="22"/>
          <w:szCs w:val="22"/>
        </w:rPr>
        <w:t>Laikyti ne aukštesnėje kaip 25</w:t>
      </w:r>
      <w:r>
        <w:rPr>
          <w:sz w:val="22"/>
          <w:szCs w:val="22"/>
          <w:vertAlign w:val="superscript"/>
        </w:rPr>
        <w:t>0</w:t>
      </w:r>
      <w:r>
        <w:rPr>
          <w:sz w:val="22"/>
          <w:szCs w:val="22"/>
        </w:rPr>
        <w:t xml:space="preserve"> C temperatūroje.</w:t>
      </w:r>
    </w:p>
    <w:p w:rsidR="00C77025" w:rsidRDefault="00C77025" w:rsidP="00C77025">
      <w:pPr>
        <w:rPr>
          <w:sz w:val="22"/>
          <w:szCs w:val="22"/>
        </w:rPr>
      </w:pPr>
      <w:r>
        <w:rPr>
          <w:sz w:val="22"/>
          <w:szCs w:val="22"/>
        </w:rPr>
        <w:t xml:space="preserve">Laikyti gamintojo pakuotėje, kad preparatas būtų apsaugotas nuo drėgmės. </w:t>
      </w:r>
    </w:p>
    <w:p w:rsidR="00C77025" w:rsidRDefault="00C77025" w:rsidP="00C77025">
      <w:pPr>
        <w:pStyle w:val="BTEMEASMCA"/>
      </w:pPr>
    </w:p>
    <w:p w:rsidR="00C77025" w:rsidRDefault="00C77025" w:rsidP="00C77025">
      <w:pPr>
        <w:pStyle w:val="PI-2EMEASMCA"/>
        <w:ind w:left="0" w:firstLine="0"/>
        <w:jc w:val="left"/>
      </w:pPr>
      <w:bookmarkStart w:id="48" w:name="_Toc129243245"/>
      <w:bookmarkStart w:id="49" w:name="_Toc129243120"/>
      <w:r>
        <w:t>6.5</w:t>
      </w:r>
      <w:r>
        <w:tab/>
        <w:t>Talpyklės pobūdis ir jos turinys</w:t>
      </w:r>
      <w:bookmarkEnd w:id="48"/>
      <w:bookmarkEnd w:id="49"/>
    </w:p>
    <w:p w:rsidR="00C77025" w:rsidRDefault="00C77025" w:rsidP="00C77025">
      <w:pPr>
        <w:pStyle w:val="BTEMEASMCA"/>
      </w:pPr>
    </w:p>
    <w:p w:rsidR="00C77025" w:rsidRDefault="00C77025" w:rsidP="00C77025">
      <w:pPr>
        <w:rPr>
          <w:sz w:val="22"/>
          <w:szCs w:val="22"/>
        </w:rPr>
      </w:pPr>
      <w:r>
        <w:rPr>
          <w:sz w:val="22"/>
          <w:szCs w:val="22"/>
        </w:rPr>
        <w:t>Polivinilchlorido ir polivinildichlorido lizdinė plokštelė, kurioje yra 10 tablečių. Dėžutėje yra viena arba trys lizdinės plokštelės.</w:t>
      </w:r>
    </w:p>
    <w:p w:rsidR="00C77025" w:rsidRDefault="00C77025" w:rsidP="00C77025">
      <w:pPr>
        <w:rPr>
          <w:sz w:val="22"/>
          <w:szCs w:val="22"/>
        </w:rPr>
      </w:pPr>
      <w:r>
        <w:rPr>
          <w:sz w:val="22"/>
          <w:szCs w:val="22"/>
        </w:rPr>
        <w:t>Gali būti tiekiamos ne visų dydžių pakuotės.</w:t>
      </w:r>
    </w:p>
    <w:p w:rsidR="00C77025" w:rsidRDefault="00C77025" w:rsidP="00C77025">
      <w:pPr>
        <w:rPr>
          <w:sz w:val="22"/>
          <w:szCs w:val="22"/>
        </w:rPr>
      </w:pPr>
    </w:p>
    <w:p w:rsidR="00C77025" w:rsidRDefault="00C77025" w:rsidP="00C77025">
      <w:pPr>
        <w:pStyle w:val="PI-2EMEASMCA"/>
        <w:ind w:left="0" w:firstLine="0"/>
        <w:jc w:val="left"/>
      </w:pPr>
      <w:bookmarkStart w:id="50" w:name="_Toc129243246"/>
      <w:bookmarkStart w:id="51" w:name="_Toc129243121"/>
      <w:r>
        <w:t>6.6</w:t>
      </w:r>
      <w:r>
        <w:tab/>
        <w:t xml:space="preserve">Specialūs reikalavimai atliekoms tvarkyti </w:t>
      </w:r>
      <w:bookmarkEnd w:id="50"/>
      <w:bookmarkEnd w:id="51"/>
    </w:p>
    <w:p w:rsidR="00C77025" w:rsidRDefault="00C77025" w:rsidP="00C77025">
      <w:pPr>
        <w:pStyle w:val="BTEMEASMCA"/>
      </w:pPr>
    </w:p>
    <w:p w:rsidR="00C77025" w:rsidRDefault="00C77025" w:rsidP="00C77025">
      <w:pPr>
        <w:rPr>
          <w:sz w:val="22"/>
          <w:szCs w:val="22"/>
        </w:rPr>
      </w:pPr>
      <w:r>
        <w:rPr>
          <w:sz w:val="22"/>
          <w:szCs w:val="22"/>
        </w:rPr>
        <w:t>Specialių reikalavimų nėra.</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52" w:name="_Toc129243247"/>
      <w:bookmarkStart w:id="53" w:name="_Toc129243122"/>
      <w:r>
        <w:t>7.</w:t>
      </w:r>
      <w:r>
        <w:tab/>
      </w:r>
      <w:bookmarkEnd w:id="52"/>
      <w:bookmarkEnd w:id="53"/>
      <w:r>
        <w:t>REGISTRUOTOJAS</w:t>
      </w:r>
    </w:p>
    <w:p w:rsidR="00C77025" w:rsidRDefault="00C77025" w:rsidP="00C77025">
      <w:pPr>
        <w:pStyle w:val="BTEMEASMCA"/>
      </w:pPr>
    </w:p>
    <w:p w:rsidR="00C77025" w:rsidRPr="004D7CF8" w:rsidRDefault="00C77025" w:rsidP="00C77025">
      <w:pPr>
        <w:rPr>
          <w:rFonts w:eastAsia="Arial Unicode MS"/>
          <w:noProof/>
        </w:rPr>
      </w:pPr>
      <w:r w:rsidRPr="004D7CF8">
        <w:rPr>
          <w:rFonts w:eastAsia="Arial Unicode MS"/>
          <w:noProof/>
        </w:rPr>
        <w:t>Sun Pharmaceutical Industries Europe B.V.</w:t>
      </w:r>
    </w:p>
    <w:p w:rsidR="00C77025" w:rsidRPr="004D7CF8" w:rsidRDefault="00C77025" w:rsidP="00C77025">
      <w:pPr>
        <w:rPr>
          <w:rFonts w:eastAsia="Arial Unicode MS"/>
          <w:noProof/>
        </w:rPr>
      </w:pPr>
      <w:r w:rsidRPr="004D7CF8">
        <w:rPr>
          <w:rFonts w:eastAsia="Arial Unicode MS"/>
          <w:noProof/>
        </w:rPr>
        <w:t>Polarisavenue 87</w:t>
      </w:r>
    </w:p>
    <w:p w:rsidR="00C77025" w:rsidRPr="004D7CF8" w:rsidRDefault="00C77025" w:rsidP="00C77025">
      <w:pPr>
        <w:rPr>
          <w:rFonts w:eastAsia="Arial Unicode MS"/>
          <w:noProof/>
        </w:rPr>
      </w:pPr>
      <w:r w:rsidRPr="004D7CF8">
        <w:rPr>
          <w:rFonts w:eastAsia="Arial Unicode MS"/>
          <w:noProof/>
        </w:rPr>
        <w:t>2132JH Hoofddorp</w:t>
      </w:r>
    </w:p>
    <w:p w:rsidR="00C77025" w:rsidRDefault="00492E2B" w:rsidP="00C77025">
      <w:r>
        <w:rPr>
          <w:rFonts w:eastAsia="Arial Unicode MS"/>
          <w:noProof/>
        </w:rPr>
        <w:t>Nyderlandai</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54" w:name="_Toc129243248"/>
      <w:bookmarkStart w:id="55" w:name="_Toc129243123"/>
      <w:r>
        <w:t>8.</w:t>
      </w:r>
      <w:r>
        <w:tab/>
        <w:t>REGISTRACIJOS PAŽYMĖJIMO NUMER</w:t>
      </w:r>
      <w:bookmarkEnd w:id="54"/>
      <w:bookmarkEnd w:id="55"/>
      <w:r>
        <w:t>IAI</w:t>
      </w:r>
    </w:p>
    <w:p w:rsidR="00C77025" w:rsidRDefault="00C77025" w:rsidP="00C77025">
      <w:pPr>
        <w:pStyle w:val="BTEMEASMCA"/>
      </w:pPr>
    </w:p>
    <w:p w:rsidR="00C77025" w:rsidRDefault="00C77025" w:rsidP="00C77025">
      <w:pPr>
        <w:rPr>
          <w:sz w:val="22"/>
          <w:szCs w:val="22"/>
        </w:rPr>
      </w:pPr>
      <w:r>
        <w:rPr>
          <w:sz w:val="22"/>
          <w:szCs w:val="22"/>
        </w:rPr>
        <w:t>N10 - LT/1/02/2437/002</w:t>
      </w:r>
    </w:p>
    <w:p w:rsidR="00C77025" w:rsidRDefault="00C77025" w:rsidP="00C77025">
      <w:pPr>
        <w:rPr>
          <w:sz w:val="22"/>
          <w:szCs w:val="22"/>
        </w:rPr>
      </w:pPr>
      <w:r>
        <w:rPr>
          <w:sz w:val="22"/>
          <w:szCs w:val="22"/>
        </w:rPr>
        <w:t>N30 - LT/1/02/2437/003</w:t>
      </w:r>
      <w:r>
        <w:rPr>
          <w:sz w:val="22"/>
          <w:szCs w:val="22"/>
        </w:rPr>
        <w:tab/>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56" w:name="_Toc129243249"/>
      <w:bookmarkStart w:id="57" w:name="_Toc129243124"/>
      <w:r>
        <w:t>9.</w:t>
      </w:r>
      <w:r>
        <w:tab/>
        <w:t>REGISTRAVIMO / PERREGISTRAVIMO DATA</w:t>
      </w:r>
      <w:bookmarkEnd w:id="56"/>
      <w:bookmarkEnd w:id="57"/>
    </w:p>
    <w:p w:rsidR="00C77025" w:rsidRDefault="00C77025" w:rsidP="00C77025">
      <w:pPr>
        <w:pStyle w:val="BTEMEASMCA"/>
      </w:pPr>
    </w:p>
    <w:p w:rsidR="00C77025" w:rsidRDefault="00C77025" w:rsidP="00C77025">
      <w:pPr>
        <w:rPr>
          <w:sz w:val="22"/>
          <w:szCs w:val="22"/>
        </w:rPr>
      </w:pPr>
      <w:r>
        <w:rPr>
          <w:sz w:val="22"/>
          <w:szCs w:val="22"/>
        </w:rPr>
        <w:t xml:space="preserve">Registravimo data 2002 m. liepos 10 d. </w:t>
      </w:r>
    </w:p>
    <w:p w:rsidR="00C77025" w:rsidRDefault="00C77025" w:rsidP="00C77025">
      <w:pPr>
        <w:rPr>
          <w:sz w:val="22"/>
          <w:szCs w:val="22"/>
        </w:rPr>
      </w:pPr>
      <w:r>
        <w:rPr>
          <w:sz w:val="22"/>
          <w:szCs w:val="22"/>
        </w:rPr>
        <w:t>Perregistravimo data 2011 m. balandžio 29 d.</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EMEASMCA"/>
        <w:ind w:left="0" w:firstLine="0"/>
      </w:pPr>
      <w:bookmarkStart w:id="58" w:name="_Toc129243250"/>
      <w:bookmarkStart w:id="59" w:name="_Toc129243125"/>
      <w:r>
        <w:t>10.</w:t>
      </w:r>
      <w:r>
        <w:tab/>
        <w:t>TEKSTO PERŽIŪROS DATA</w:t>
      </w:r>
      <w:bookmarkEnd w:id="58"/>
      <w:bookmarkEnd w:id="59"/>
    </w:p>
    <w:p w:rsidR="00C77025" w:rsidRDefault="00C77025" w:rsidP="00C77025">
      <w:pPr>
        <w:pStyle w:val="BTEMEASMCA"/>
        <w:rPr>
          <w:lang w:val="lt-LT"/>
        </w:rPr>
      </w:pPr>
    </w:p>
    <w:p w:rsidR="00C77025" w:rsidRDefault="00693D84" w:rsidP="00C77025">
      <w:pPr>
        <w:pStyle w:val="BTEMEASMCA"/>
        <w:rPr>
          <w:lang w:val="lt-LT"/>
        </w:rPr>
      </w:pPr>
      <w:r>
        <w:rPr>
          <w:lang w:val="lt-LT"/>
        </w:rPr>
        <w:t>2018 m. rugpjūčio 1 d.</w:t>
      </w:r>
    </w:p>
    <w:p w:rsidR="00693D84" w:rsidRDefault="00693D84" w:rsidP="00C77025">
      <w:pPr>
        <w:pStyle w:val="BTEMEASMCA"/>
        <w:rPr>
          <w:lang w:val="lt-LT"/>
        </w:rPr>
      </w:pPr>
    </w:p>
    <w:p w:rsidR="00C77025" w:rsidRDefault="00C77025" w:rsidP="00C77025">
      <w:pPr>
        <w:rPr>
          <w:b/>
          <w:kern w:val="28"/>
          <w:sz w:val="22"/>
          <w:szCs w:val="22"/>
          <w:lang w:eastAsia="lt-LT"/>
        </w:rPr>
      </w:pPr>
      <w:r>
        <w:rPr>
          <w:sz w:val="22"/>
          <w:szCs w:val="22"/>
        </w:rPr>
        <w:lastRenderedPageBreak/>
        <w:t xml:space="preserve">Išsami informacija apie šį vaistinį preparatą pateikiama Valstybinės vaistų kontrolės tarnybos prie Lietuvos Respublikos sveikatos apsaugos ministerijos tinklalapyje </w:t>
      </w:r>
      <w:hyperlink r:id="rId8" w:history="1">
        <w:r>
          <w:rPr>
            <w:rStyle w:val="Hipersaitas"/>
            <w:sz w:val="22"/>
            <w:szCs w:val="22"/>
          </w:rPr>
          <w:t>http://www.vvkt.lt/</w:t>
        </w:r>
      </w:hyperlink>
      <w:r>
        <w:rPr>
          <w:b/>
          <w:kern w:val="28"/>
          <w:sz w:val="22"/>
          <w:szCs w:val="22"/>
          <w:lang w:eastAsia="lt-LT"/>
        </w:rPr>
        <w:br w:type="page"/>
      </w: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jc w:val="left"/>
        <w:rPr>
          <w:szCs w:val="22"/>
        </w:rPr>
      </w:pPr>
    </w:p>
    <w:p w:rsidR="00C77025" w:rsidRDefault="00C77025" w:rsidP="00C77025">
      <w:pPr>
        <w:pStyle w:val="Pavadinimas"/>
        <w:rPr>
          <w:szCs w:val="22"/>
        </w:rPr>
      </w:pPr>
      <w:r>
        <w:rPr>
          <w:szCs w:val="22"/>
        </w:rPr>
        <w:t>II PRIEDAS</w:t>
      </w:r>
    </w:p>
    <w:p w:rsidR="00C77025" w:rsidRDefault="00C77025" w:rsidP="00C77025">
      <w:pPr>
        <w:pStyle w:val="Pavadinimas"/>
        <w:rPr>
          <w:szCs w:val="22"/>
        </w:rPr>
      </w:pPr>
    </w:p>
    <w:p w:rsidR="00C77025" w:rsidRDefault="00C77025" w:rsidP="00C77025">
      <w:pPr>
        <w:pStyle w:val="Pavadinimas"/>
        <w:rPr>
          <w:szCs w:val="22"/>
        </w:rPr>
      </w:pPr>
      <w:r>
        <w:rPr>
          <w:szCs w:val="22"/>
        </w:rPr>
        <w:t>REGISTRACIJOS SĄLYGOS</w:t>
      </w:r>
    </w:p>
    <w:p w:rsidR="00C77025" w:rsidRDefault="00C77025" w:rsidP="00C77025">
      <w:pPr>
        <w:pStyle w:val="Pagrindinistekstas"/>
        <w:spacing w:after="0"/>
        <w:jc w:val="center"/>
        <w:rPr>
          <w:sz w:val="22"/>
          <w:szCs w:val="22"/>
        </w:rPr>
      </w:pPr>
    </w:p>
    <w:p w:rsidR="00C77025" w:rsidRDefault="00C77025" w:rsidP="00C77025">
      <w:pPr>
        <w:pStyle w:val="Pagrindinistekstas"/>
        <w:tabs>
          <w:tab w:val="left" w:pos="567"/>
        </w:tabs>
        <w:spacing w:after="0"/>
        <w:rPr>
          <w:b/>
          <w:bCs/>
          <w:kern w:val="32"/>
          <w:sz w:val="22"/>
          <w:szCs w:val="22"/>
        </w:rPr>
      </w:pPr>
      <w:r>
        <w:rPr>
          <w:b/>
          <w:bCs/>
          <w:kern w:val="32"/>
          <w:sz w:val="22"/>
          <w:szCs w:val="22"/>
        </w:rPr>
        <w:t xml:space="preserve">A. </w:t>
      </w:r>
      <w:r>
        <w:rPr>
          <w:b/>
          <w:bCs/>
          <w:kern w:val="32"/>
          <w:sz w:val="22"/>
          <w:szCs w:val="22"/>
        </w:rPr>
        <w:tab/>
        <w:t>GAMINTOJAS (-AI), ATSAKINGAS (-I) UŽ SERIJŲ IŠLEIDIMĄ</w:t>
      </w:r>
    </w:p>
    <w:p w:rsidR="00C77025" w:rsidRDefault="00C77025" w:rsidP="00C77025">
      <w:pPr>
        <w:pStyle w:val="Pagrindinistekstas"/>
        <w:tabs>
          <w:tab w:val="left" w:pos="567"/>
        </w:tabs>
        <w:spacing w:after="0"/>
        <w:rPr>
          <w:b/>
          <w:bCs/>
          <w:kern w:val="32"/>
          <w:sz w:val="22"/>
          <w:szCs w:val="22"/>
        </w:rPr>
      </w:pPr>
    </w:p>
    <w:p w:rsidR="00C77025" w:rsidRDefault="00C77025" w:rsidP="00C77025">
      <w:pPr>
        <w:pStyle w:val="Pagrindinistekstas"/>
        <w:tabs>
          <w:tab w:val="left" w:pos="540"/>
        </w:tabs>
        <w:rPr>
          <w:b/>
          <w:bCs/>
          <w:sz w:val="22"/>
          <w:szCs w:val="22"/>
        </w:rPr>
      </w:pPr>
      <w:r>
        <w:rPr>
          <w:b/>
          <w:bCs/>
          <w:sz w:val="22"/>
          <w:szCs w:val="22"/>
        </w:rPr>
        <w:t xml:space="preserve">B. </w:t>
      </w:r>
      <w:r>
        <w:rPr>
          <w:b/>
          <w:bCs/>
          <w:sz w:val="22"/>
          <w:szCs w:val="22"/>
        </w:rPr>
        <w:tab/>
        <w:t>TIEKIMO IR VARTOJIMO SĄLYGOS AR APRIBOJIMAI</w:t>
      </w:r>
    </w:p>
    <w:p w:rsidR="00C77025" w:rsidRDefault="00C77025" w:rsidP="00C77025">
      <w:pPr>
        <w:pStyle w:val="Pagrindinistekstas"/>
        <w:rPr>
          <w:b/>
          <w:sz w:val="22"/>
          <w:szCs w:val="22"/>
        </w:rPr>
      </w:pPr>
      <w:r>
        <w:rPr>
          <w:sz w:val="22"/>
          <w:szCs w:val="22"/>
        </w:rPr>
        <w:br w:type="page"/>
      </w:r>
      <w:r>
        <w:rPr>
          <w:b/>
          <w:sz w:val="22"/>
          <w:szCs w:val="22"/>
        </w:rPr>
        <w:lastRenderedPageBreak/>
        <w:t>A. GAMINTOJAS (-AI), ATSAKINGAS (-I) UŽ SERIJŲ IŠLEIDIMĄ</w:t>
      </w:r>
    </w:p>
    <w:p w:rsidR="00C77025" w:rsidRDefault="00C77025" w:rsidP="00C77025">
      <w:pPr>
        <w:pStyle w:val="Pagrindinistekstas"/>
        <w:spacing w:after="0"/>
        <w:rPr>
          <w:sz w:val="22"/>
          <w:szCs w:val="22"/>
        </w:rPr>
      </w:pPr>
    </w:p>
    <w:p w:rsidR="00C77025" w:rsidRDefault="00C77025" w:rsidP="00C77025">
      <w:pPr>
        <w:pStyle w:val="Pagrindinistekstas"/>
        <w:spacing w:after="0"/>
        <w:rPr>
          <w:sz w:val="22"/>
          <w:szCs w:val="22"/>
          <w:u w:val="single"/>
        </w:rPr>
      </w:pPr>
      <w:r>
        <w:rPr>
          <w:sz w:val="22"/>
          <w:szCs w:val="22"/>
          <w:u w:val="single"/>
        </w:rPr>
        <w:t>Gamintojo (-ų), atsakingo (-ų) už serijų išleidimą, pavadinimas (-ai) ir adresas (-ai)</w:t>
      </w:r>
    </w:p>
    <w:p w:rsidR="00C77025" w:rsidRDefault="00C77025" w:rsidP="00C77025">
      <w:pPr>
        <w:pStyle w:val="Pagrindinistekstas"/>
        <w:spacing w:after="0"/>
        <w:rPr>
          <w:sz w:val="22"/>
          <w:szCs w:val="22"/>
        </w:rPr>
      </w:pPr>
    </w:p>
    <w:p w:rsidR="00C77025" w:rsidRDefault="00C77025" w:rsidP="00C77025">
      <w:pPr>
        <w:rPr>
          <w:iCs/>
          <w:sz w:val="22"/>
          <w:szCs w:val="22"/>
        </w:rPr>
      </w:pPr>
      <w:r>
        <w:rPr>
          <w:iCs/>
          <w:sz w:val="22"/>
          <w:szCs w:val="22"/>
        </w:rPr>
        <w:t>Ranbaxy Ireland Limited,</w:t>
      </w:r>
    </w:p>
    <w:p w:rsidR="00C77025" w:rsidRDefault="00C77025" w:rsidP="00C77025">
      <w:pPr>
        <w:rPr>
          <w:iCs/>
          <w:sz w:val="22"/>
          <w:szCs w:val="22"/>
        </w:rPr>
      </w:pPr>
      <w:r>
        <w:rPr>
          <w:iCs/>
          <w:sz w:val="22"/>
          <w:szCs w:val="22"/>
        </w:rPr>
        <w:t>Spafield, Cork Road, Cashel, Co-Tipperary, Airija</w:t>
      </w:r>
    </w:p>
    <w:p w:rsidR="00C77025" w:rsidRDefault="00C77025" w:rsidP="00C77025">
      <w:pPr>
        <w:rPr>
          <w:sz w:val="22"/>
          <w:szCs w:val="22"/>
          <w:u w:val="single"/>
        </w:rPr>
      </w:pPr>
    </w:p>
    <w:p w:rsidR="00C77025" w:rsidRDefault="00C77025" w:rsidP="00C77025">
      <w:pPr>
        <w:rPr>
          <w:sz w:val="22"/>
          <w:szCs w:val="22"/>
          <w:u w:val="single"/>
        </w:rPr>
      </w:pPr>
      <w:r>
        <w:rPr>
          <w:sz w:val="22"/>
          <w:szCs w:val="22"/>
          <w:u w:val="single"/>
        </w:rPr>
        <w:t>arba</w:t>
      </w:r>
    </w:p>
    <w:p w:rsidR="00C77025" w:rsidRDefault="00C77025" w:rsidP="00C77025">
      <w:pPr>
        <w:rPr>
          <w:sz w:val="22"/>
          <w:szCs w:val="22"/>
          <w:u w:val="single"/>
        </w:rPr>
      </w:pPr>
    </w:p>
    <w:p w:rsidR="00C77025" w:rsidRDefault="00C77025" w:rsidP="00C77025">
      <w:pPr>
        <w:rPr>
          <w:iCs/>
          <w:sz w:val="22"/>
          <w:szCs w:val="22"/>
        </w:rPr>
      </w:pPr>
      <w:r>
        <w:rPr>
          <w:iCs/>
          <w:sz w:val="22"/>
          <w:szCs w:val="22"/>
        </w:rPr>
        <w:t>Cemelog BRS Kft.</w:t>
      </w:r>
    </w:p>
    <w:p w:rsidR="00C77025" w:rsidRDefault="00C77025" w:rsidP="00C77025">
      <w:pPr>
        <w:pStyle w:val="Pagrindinistekstas2"/>
        <w:rPr>
          <w:sz w:val="22"/>
          <w:szCs w:val="22"/>
          <w:u w:val="none"/>
        </w:rPr>
      </w:pPr>
      <w:r>
        <w:rPr>
          <w:sz w:val="22"/>
          <w:szCs w:val="22"/>
          <w:u w:val="none"/>
        </w:rPr>
        <w:t>Budaörs, Vasút u.2., 2040, Vengrija</w:t>
      </w:r>
    </w:p>
    <w:p w:rsidR="00C77025" w:rsidRDefault="00C77025" w:rsidP="00C77025">
      <w:pPr>
        <w:rPr>
          <w:sz w:val="22"/>
          <w:szCs w:val="22"/>
        </w:rPr>
      </w:pPr>
    </w:p>
    <w:p w:rsidR="00C77025" w:rsidRDefault="00C77025" w:rsidP="00C77025">
      <w:pPr>
        <w:rPr>
          <w:sz w:val="22"/>
          <w:szCs w:val="22"/>
          <w:u w:val="single"/>
        </w:rPr>
      </w:pPr>
      <w:r>
        <w:rPr>
          <w:sz w:val="22"/>
          <w:szCs w:val="22"/>
          <w:u w:val="single"/>
        </w:rPr>
        <w:t>arba</w:t>
      </w:r>
    </w:p>
    <w:p w:rsidR="00C77025" w:rsidRDefault="00C77025" w:rsidP="00C77025">
      <w:pPr>
        <w:rPr>
          <w:sz w:val="22"/>
          <w:szCs w:val="22"/>
        </w:rPr>
      </w:pPr>
    </w:p>
    <w:p w:rsidR="00C77025" w:rsidRDefault="00C77025" w:rsidP="00C77025">
      <w:pPr>
        <w:rPr>
          <w:sz w:val="22"/>
          <w:szCs w:val="22"/>
        </w:rPr>
      </w:pPr>
      <w:r>
        <w:rPr>
          <w:sz w:val="22"/>
          <w:szCs w:val="22"/>
        </w:rPr>
        <w:t>Olainfarm JSC,</w:t>
      </w:r>
    </w:p>
    <w:p w:rsidR="00C77025" w:rsidRDefault="00C77025" w:rsidP="00C77025">
      <w:pPr>
        <w:rPr>
          <w:sz w:val="22"/>
          <w:szCs w:val="22"/>
        </w:rPr>
      </w:pPr>
      <w:r>
        <w:rPr>
          <w:sz w:val="22"/>
          <w:szCs w:val="22"/>
        </w:rPr>
        <w:t xml:space="preserve">Rupnicu 5, Olaine, Riga, Latvija </w:t>
      </w:r>
    </w:p>
    <w:p w:rsidR="00C77025" w:rsidRDefault="00C77025" w:rsidP="00C77025">
      <w:pPr>
        <w:pStyle w:val="Pagrindinistekstas"/>
        <w:spacing w:after="0"/>
        <w:rPr>
          <w:sz w:val="22"/>
          <w:szCs w:val="22"/>
        </w:rPr>
      </w:pPr>
    </w:p>
    <w:p w:rsidR="00C77025" w:rsidRDefault="00C77025" w:rsidP="00C77025">
      <w:pPr>
        <w:rPr>
          <w:sz w:val="22"/>
          <w:szCs w:val="22"/>
          <w:u w:val="single"/>
        </w:rPr>
      </w:pPr>
      <w:r>
        <w:rPr>
          <w:sz w:val="22"/>
          <w:szCs w:val="22"/>
          <w:u w:val="single"/>
        </w:rPr>
        <w:t>arba</w:t>
      </w:r>
    </w:p>
    <w:p w:rsidR="00C77025" w:rsidRDefault="00C77025" w:rsidP="00C77025">
      <w:pPr>
        <w:pStyle w:val="Pagrindinistekstas"/>
        <w:spacing w:after="0"/>
        <w:rPr>
          <w:sz w:val="22"/>
          <w:szCs w:val="22"/>
        </w:rPr>
      </w:pPr>
    </w:p>
    <w:p w:rsidR="00C77025" w:rsidRDefault="00C77025" w:rsidP="00C77025">
      <w:pPr>
        <w:rPr>
          <w:sz w:val="22"/>
          <w:szCs w:val="22"/>
        </w:rPr>
      </w:pPr>
      <w:r>
        <w:rPr>
          <w:sz w:val="22"/>
          <w:szCs w:val="22"/>
        </w:rPr>
        <w:t>TERAPIA S.A</w:t>
      </w:r>
    </w:p>
    <w:p w:rsidR="00C77025" w:rsidRDefault="00C77025" w:rsidP="00C77025">
      <w:pPr>
        <w:rPr>
          <w:sz w:val="22"/>
          <w:szCs w:val="22"/>
        </w:rPr>
      </w:pPr>
      <w:r>
        <w:rPr>
          <w:sz w:val="22"/>
          <w:szCs w:val="22"/>
        </w:rPr>
        <w:t>124 Fabricii Street, 400632 Cluj Napoca, Rumunija</w:t>
      </w:r>
    </w:p>
    <w:p w:rsidR="00C77025" w:rsidRDefault="00C77025" w:rsidP="00C77025">
      <w:pPr>
        <w:pStyle w:val="Pagrindinistekstas"/>
        <w:spacing w:after="0"/>
        <w:rPr>
          <w:sz w:val="22"/>
          <w:szCs w:val="22"/>
        </w:rPr>
      </w:pPr>
    </w:p>
    <w:p w:rsidR="00C77025" w:rsidRDefault="00C77025" w:rsidP="00C77025">
      <w:pPr>
        <w:pStyle w:val="Pagrindinistekstas"/>
        <w:spacing w:after="0"/>
        <w:rPr>
          <w:sz w:val="22"/>
          <w:szCs w:val="22"/>
        </w:rPr>
      </w:pPr>
      <w:r>
        <w:rPr>
          <w:sz w:val="22"/>
          <w:szCs w:val="22"/>
        </w:rPr>
        <w:t>Su pakuote pateikiamame lapelyje nurodomas gamintojo, atsakingo už konkrečios serijos išleidimą, pavadinimas ir adresas.</w:t>
      </w:r>
    </w:p>
    <w:p w:rsidR="00C77025" w:rsidRDefault="00C77025" w:rsidP="00C77025">
      <w:pPr>
        <w:pStyle w:val="Pagrindinistekstas"/>
        <w:spacing w:after="0"/>
        <w:rPr>
          <w:sz w:val="22"/>
          <w:szCs w:val="22"/>
        </w:rPr>
      </w:pPr>
    </w:p>
    <w:p w:rsidR="00C77025" w:rsidRDefault="00C77025" w:rsidP="00C77025">
      <w:pPr>
        <w:pStyle w:val="Pagrindinistekstas"/>
        <w:spacing w:after="0"/>
        <w:rPr>
          <w:sz w:val="22"/>
          <w:szCs w:val="22"/>
        </w:rPr>
      </w:pPr>
    </w:p>
    <w:p w:rsidR="00C77025" w:rsidRDefault="00C77025" w:rsidP="00C77025">
      <w:pPr>
        <w:pStyle w:val="BTAnIIEMEASMCA"/>
        <w:ind w:left="0" w:firstLine="0"/>
        <w:rPr>
          <w:rFonts w:cs="Times New Roman"/>
          <w:lang w:val="lt-LT"/>
        </w:rPr>
      </w:pPr>
      <w:r>
        <w:rPr>
          <w:rFonts w:cs="Times New Roman"/>
          <w:lang w:val="lt-LT"/>
        </w:rPr>
        <w:t xml:space="preserve">B. TIEKIMO IR VARTOJIMO SĄLYGOS AR APRIBOJIMAI </w:t>
      </w:r>
    </w:p>
    <w:p w:rsidR="00C77025" w:rsidRDefault="00C77025" w:rsidP="00C77025">
      <w:pPr>
        <w:pStyle w:val="Pagrindinistekstas"/>
        <w:spacing w:after="0"/>
        <w:rPr>
          <w:sz w:val="22"/>
          <w:szCs w:val="22"/>
        </w:rPr>
      </w:pPr>
    </w:p>
    <w:p w:rsidR="00C77025" w:rsidRDefault="00C77025" w:rsidP="00C77025">
      <w:pPr>
        <w:pStyle w:val="Pagrindinistekstas"/>
        <w:spacing w:after="0"/>
        <w:rPr>
          <w:sz w:val="22"/>
          <w:szCs w:val="22"/>
        </w:rPr>
      </w:pPr>
      <w:r>
        <w:rPr>
          <w:sz w:val="22"/>
          <w:szCs w:val="22"/>
        </w:rPr>
        <w:t>Receptinis vaistinis preparatas.</w:t>
      </w:r>
    </w:p>
    <w:p w:rsidR="00C77025" w:rsidRDefault="00C77025" w:rsidP="00C77025">
      <w:pPr>
        <w:pStyle w:val="Pagrindinistekstas"/>
        <w:spacing w:after="0"/>
        <w:rPr>
          <w:sz w:val="22"/>
          <w:szCs w:val="22"/>
        </w:rPr>
      </w:pPr>
    </w:p>
    <w:p w:rsidR="00C77025" w:rsidRDefault="00C77025" w:rsidP="00C77025">
      <w:pPr>
        <w:pStyle w:val="TTEMEASMCA"/>
      </w:pPr>
      <w:r>
        <w:rPr>
          <w:b w:val="0"/>
        </w:rPr>
        <w:br w:type="page"/>
      </w:r>
      <w:bookmarkStart w:id="60" w:name="_Toc129243259"/>
      <w:bookmarkStart w:id="61" w:name="_Toc129243134"/>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r>
        <w:t>III PRIEDAS</w:t>
      </w:r>
      <w:bookmarkEnd w:id="60"/>
      <w:bookmarkEnd w:id="61"/>
    </w:p>
    <w:p w:rsidR="00C77025" w:rsidRDefault="00C77025" w:rsidP="00C77025">
      <w:pPr>
        <w:pStyle w:val="BTEMEASMCA"/>
      </w:pPr>
    </w:p>
    <w:p w:rsidR="00C77025" w:rsidRDefault="00C77025" w:rsidP="00C77025">
      <w:pPr>
        <w:pStyle w:val="TTEMEASMCA"/>
      </w:pPr>
      <w:bookmarkStart w:id="62" w:name="_Toc129243260"/>
      <w:bookmarkStart w:id="63" w:name="_Toc129243135"/>
      <w:r>
        <w:t>ŽENKLINIMAS IR PAKUOTĖS LAPELIS</w:t>
      </w:r>
      <w:bookmarkEnd w:id="62"/>
      <w:bookmarkEnd w:id="63"/>
    </w:p>
    <w:p w:rsidR="00C77025" w:rsidRDefault="00C77025" w:rsidP="00C77025">
      <w:pPr>
        <w:pStyle w:val="BTEMEASMCA"/>
      </w:pPr>
      <w:r>
        <w:rPr>
          <w:iCs w:val="0"/>
        </w:rPr>
        <w:br w:type="page"/>
      </w: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BTEMEASMCA"/>
      </w:pPr>
    </w:p>
    <w:p w:rsidR="00C77025" w:rsidRDefault="00C77025" w:rsidP="00C77025">
      <w:pPr>
        <w:pStyle w:val="TTEMEASMCA"/>
      </w:pPr>
      <w:bookmarkStart w:id="64" w:name="_Toc129243261"/>
      <w:bookmarkStart w:id="65" w:name="_Toc129243136"/>
      <w:r>
        <w:t>A. ŽENKLINIMAS</w:t>
      </w:r>
      <w:bookmarkEnd w:id="64"/>
      <w:bookmarkEnd w:id="65"/>
    </w:p>
    <w:p w:rsidR="00C77025" w:rsidRDefault="00C77025" w:rsidP="00C77025">
      <w:pPr>
        <w:pStyle w:val="BTEMEASMCA"/>
      </w:pPr>
      <w:r>
        <w:rPr>
          <w:iCs w:val="0"/>
        </w:rPr>
        <w:br w:type="page"/>
      </w:r>
    </w:p>
    <w:p w:rsidR="00C77025" w:rsidRDefault="00C77025" w:rsidP="00C77025">
      <w:pPr>
        <w:pStyle w:val="PI-1labEMEASMCA"/>
        <w:rPr>
          <w:rFonts w:ascii="Times New Roman" w:hAnsi="Times New Roman" w:cs="Times New Roman"/>
        </w:rPr>
      </w:pPr>
      <w:r>
        <w:rPr>
          <w:rFonts w:ascii="Times New Roman" w:hAnsi="Times New Roman" w:cs="Times New Roman"/>
        </w:rPr>
        <w:lastRenderedPageBreak/>
        <w:t>INFORMACIJA ANT IŠORINĖS PAKUOTĖS</w:t>
      </w:r>
    </w:p>
    <w:p w:rsidR="00C77025" w:rsidRDefault="00C77025" w:rsidP="00C77025">
      <w:pPr>
        <w:pStyle w:val="PI-1labEMEASMCA"/>
        <w:rPr>
          <w:rFonts w:ascii="Times New Roman" w:hAnsi="Times New Roman" w:cs="Times New Roman"/>
        </w:rPr>
      </w:pPr>
    </w:p>
    <w:p w:rsidR="00C77025" w:rsidRDefault="00C77025" w:rsidP="00C77025">
      <w:pPr>
        <w:pStyle w:val="PI-1labEMEASMCA"/>
        <w:rPr>
          <w:rFonts w:ascii="Times New Roman" w:hAnsi="Times New Roman" w:cs="Times New Roman"/>
        </w:rPr>
      </w:pPr>
      <w:r>
        <w:rPr>
          <w:rFonts w:ascii="Times New Roman" w:hAnsi="Times New Roman" w:cs="Times New Roman"/>
        </w:rPr>
        <w:t>KARTONO DĖŽUTĖ</w:t>
      </w:r>
    </w:p>
    <w:p w:rsidR="00C77025" w:rsidRDefault="00C77025" w:rsidP="00C77025">
      <w:pPr>
        <w:pStyle w:val="BTEMEASMCA"/>
      </w:pPr>
    </w:p>
    <w:p w:rsidR="00C77025" w:rsidRDefault="00C77025" w:rsidP="00C77025">
      <w:pPr>
        <w:pStyle w:val="BTEMEASMCA"/>
      </w:pPr>
    </w:p>
    <w:p w:rsidR="00C77025" w:rsidRDefault="00C77025" w:rsidP="00C77025">
      <w:pPr>
        <w:pStyle w:val="PI-1labEMEASMCA"/>
        <w:pBdr>
          <w:top w:val="single" w:sz="4" w:space="0" w:color="auto"/>
        </w:pBdr>
        <w:rPr>
          <w:rFonts w:ascii="Times New Roman" w:hAnsi="Times New Roman" w:cs="Times New Roman"/>
        </w:rPr>
      </w:pPr>
      <w:r>
        <w:rPr>
          <w:rFonts w:ascii="Times New Roman" w:hAnsi="Times New Roman" w:cs="Times New Roman"/>
        </w:rPr>
        <w:t>1.</w:t>
      </w:r>
      <w:r>
        <w:rPr>
          <w:rFonts w:ascii="Times New Roman" w:hAnsi="Times New Roman" w:cs="Times New Roman"/>
        </w:rPr>
        <w:tab/>
        <w:t>VAISTINIO PREPARATO PAVADINIMAS</w:t>
      </w:r>
    </w:p>
    <w:p w:rsidR="00C77025" w:rsidRDefault="00C77025" w:rsidP="00C77025">
      <w:pPr>
        <w:pStyle w:val="BTEMEASMCA"/>
      </w:pPr>
    </w:p>
    <w:p w:rsidR="00C77025" w:rsidRDefault="00C77025" w:rsidP="00C77025">
      <w:pPr>
        <w:rPr>
          <w:sz w:val="22"/>
          <w:szCs w:val="22"/>
        </w:rPr>
      </w:pPr>
      <w:r>
        <w:rPr>
          <w:sz w:val="22"/>
          <w:szCs w:val="22"/>
        </w:rPr>
        <w:t>Altiva 180 mg plėvele dengtos tabletės</w:t>
      </w:r>
    </w:p>
    <w:p w:rsidR="00C77025" w:rsidRDefault="00C77025" w:rsidP="00C77025">
      <w:pPr>
        <w:rPr>
          <w:i/>
          <w:sz w:val="22"/>
          <w:szCs w:val="22"/>
        </w:rPr>
      </w:pPr>
      <w:r>
        <w:rPr>
          <w:i/>
          <w:sz w:val="22"/>
          <w:szCs w:val="22"/>
        </w:rPr>
        <w:t>Fexofenadini hydrochloridum</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labEMEASMCA"/>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VEIKLIOJI (-IOS)  MEDŽIAGA (-OS)  IR JOS (-Ų)  KIEKIS (-IAI)</w:t>
      </w:r>
    </w:p>
    <w:p w:rsidR="00C77025" w:rsidRDefault="00C77025" w:rsidP="00C77025">
      <w:pPr>
        <w:pStyle w:val="BTEMEASMCA"/>
        <w:rPr>
          <w:lang w:val="lt-LT"/>
        </w:rPr>
      </w:pPr>
    </w:p>
    <w:p w:rsidR="00C77025" w:rsidRDefault="00C77025" w:rsidP="00C77025">
      <w:pPr>
        <w:rPr>
          <w:sz w:val="22"/>
          <w:szCs w:val="22"/>
        </w:rPr>
      </w:pPr>
      <w:r>
        <w:rPr>
          <w:sz w:val="22"/>
          <w:szCs w:val="22"/>
        </w:rPr>
        <w:t>Vienoje plėvele dengtoje tabletėje yra 180 mg feksofenadino hidrochlorido.</w:t>
      </w:r>
    </w:p>
    <w:p w:rsidR="00C77025" w:rsidRDefault="00C77025" w:rsidP="00C77025">
      <w:pPr>
        <w:rPr>
          <w:sz w:val="22"/>
          <w:szCs w:val="22"/>
        </w:rPr>
      </w:pPr>
    </w:p>
    <w:p w:rsidR="00C77025" w:rsidRDefault="00C77025" w:rsidP="00C77025">
      <w:pPr>
        <w:rPr>
          <w:sz w:val="22"/>
          <w:szCs w:val="22"/>
        </w:rPr>
      </w:pPr>
    </w:p>
    <w:p w:rsidR="00C77025" w:rsidRDefault="00C77025" w:rsidP="00C77025">
      <w:pPr>
        <w:pStyle w:val="PI-1labEMEASMCA"/>
        <w:rPr>
          <w:rFonts w:ascii="Times New Roman" w:hAnsi="Times New Roman" w:cs="Times New Roman"/>
          <w:highlight w:val="lightGray"/>
          <w:lang w:val="lt-LT"/>
        </w:rPr>
      </w:pPr>
      <w:r>
        <w:rPr>
          <w:rFonts w:ascii="Times New Roman" w:hAnsi="Times New Roman" w:cs="Times New Roman"/>
          <w:lang w:val="lt-LT"/>
        </w:rPr>
        <w:t>3.</w:t>
      </w:r>
      <w:r>
        <w:rPr>
          <w:rFonts w:ascii="Times New Roman" w:hAnsi="Times New Roman" w:cs="Times New Roman"/>
          <w:lang w:val="lt-LT"/>
        </w:rPr>
        <w:tab/>
        <w:t>PAGALBINIŲ MEDŽIAGŲ SĄRAŠAS</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labEMEASMCA"/>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FARMACINĖ FORMA IR KIEKIS PAKUOTĖJE</w:t>
      </w:r>
    </w:p>
    <w:p w:rsidR="00C77025" w:rsidRDefault="00C77025" w:rsidP="00C77025">
      <w:pPr>
        <w:pStyle w:val="BTEMEASMCA"/>
        <w:rPr>
          <w:lang w:val="lt-LT"/>
        </w:rPr>
      </w:pPr>
    </w:p>
    <w:p w:rsidR="00C77025" w:rsidRDefault="00C77025" w:rsidP="00C77025">
      <w:pPr>
        <w:pStyle w:val="BTEMEASMCA"/>
      </w:pPr>
      <w:r>
        <w:t>10 pl</w:t>
      </w:r>
      <w:r>
        <w:rPr>
          <w:lang w:val="lt-LT"/>
        </w:rPr>
        <w:t xml:space="preserve">ėvele dengtų </w:t>
      </w:r>
      <w:r>
        <w:t>tablečių</w:t>
      </w:r>
    </w:p>
    <w:p w:rsidR="00C77025" w:rsidRDefault="00C77025" w:rsidP="00C77025">
      <w:pPr>
        <w:pStyle w:val="BTEMEASMCA"/>
      </w:pPr>
      <w:r>
        <w:rPr>
          <w:highlight w:val="lightGray"/>
        </w:rPr>
        <w:t>30 plėvele dengtų tablečių</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highlight w:val="lightGray"/>
        </w:rPr>
      </w:pPr>
      <w:r>
        <w:rPr>
          <w:rFonts w:ascii="Times New Roman" w:hAnsi="Times New Roman" w:cs="Times New Roman"/>
        </w:rPr>
        <w:t>5.</w:t>
      </w:r>
      <w:r>
        <w:rPr>
          <w:rFonts w:ascii="Times New Roman" w:hAnsi="Times New Roman" w:cs="Times New Roman"/>
        </w:rPr>
        <w:tab/>
        <w:t>VARTOJIMO METODAS IR BŪDAS (-AI)</w:t>
      </w:r>
    </w:p>
    <w:p w:rsidR="00C77025" w:rsidRDefault="00C77025" w:rsidP="00C77025">
      <w:pPr>
        <w:pStyle w:val="BTEMEASMCA"/>
      </w:pPr>
    </w:p>
    <w:p w:rsidR="00C77025" w:rsidRDefault="00C77025" w:rsidP="00C77025">
      <w:pPr>
        <w:pStyle w:val="BTEMEASMCA"/>
      </w:pPr>
      <w:r>
        <w:t>Vartoti per burną.</w:t>
      </w:r>
    </w:p>
    <w:p w:rsidR="00C77025" w:rsidRDefault="00C77025" w:rsidP="00C77025">
      <w:pPr>
        <w:pStyle w:val="BTEMEASMCA"/>
      </w:pPr>
      <w:r>
        <w:t>Prieš vartodami perskaitykite pakuotės lapelį.</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6.</w:t>
      </w:r>
      <w:r>
        <w:rPr>
          <w:rFonts w:ascii="Times New Roman" w:hAnsi="Times New Roman" w:cs="Times New Roman"/>
        </w:rPr>
        <w:tab/>
        <w:t>SPECIALUS ĮSPĖJIMAS, KAD VAISTINĮ PREPARATĄ BŪTINA LAIKYTI VAIKAMS NEPASTEBIMOJE IR NEPASIEKIAMOJE VIETOJE</w:t>
      </w:r>
    </w:p>
    <w:p w:rsidR="00C77025" w:rsidRDefault="00C77025" w:rsidP="00C77025">
      <w:pPr>
        <w:pStyle w:val="BTEMEASMCA"/>
      </w:pPr>
    </w:p>
    <w:p w:rsidR="00C77025" w:rsidRDefault="00C77025" w:rsidP="00C77025">
      <w:pPr>
        <w:pStyle w:val="BTEMEASMCA"/>
      </w:pPr>
      <w:r>
        <w:t>Laikyti vaikams nepastebimoje ir nepasiekiamoje vietoje.</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highlight w:val="lightGray"/>
        </w:rPr>
      </w:pPr>
      <w:r>
        <w:rPr>
          <w:rFonts w:ascii="Times New Roman" w:hAnsi="Times New Roman" w:cs="Times New Roman"/>
        </w:rPr>
        <w:t>7.</w:t>
      </w:r>
      <w:r>
        <w:rPr>
          <w:rFonts w:ascii="Times New Roman" w:hAnsi="Times New Roman" w:cs="Times New Roman"/>
        </w:rPr>
        <w:tab/>
        <w:t>KITAS (-I) SPECIALUS (-ŪS) ĮSPĖJIMAS (-AI) (JEI REIKIA)</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highlight w:val="lightGray"/>
        </w:rPr>
      </w:pPr>
      <w:r>
        <w:rPr>
          <w:rFonts w:ascii="Times New Roman" w:hAnsi="Times New Roman" w:cs="Times New Roman"/>
        </w:rPr>
        <w:t>8.</w:t>
      </w:r>
      <w:r>
        <w:rPr>
          <w:rFonts w:ascii="Times New Roman" w:hAnsi="Times New Roman" w:cs="Times New Roman"/>
        </w:rPr>
        <w:tab/>
        <w:t>TINKAMUMO LAIKAS</w:t>
      </w:r>
    </w:p>
    <w:p w:rsidR="00C77025" w:rsidRDefault="00C77025" w:rsidP="00C77025">
      <w:pPr>
        <w:pStyle w:val="BTEMEASMCA"/>
      </w:pPr>
    </w:p>
    <w:p w:rsidR="00C77025" w:rsidRDefault="00066290" w:rsidP="00C77025">
      <w:pPr>
        <w:pStyle w:val="BTEMEASMCA"/>
      </w:pPr>
      <w:r>
        <w:t>EXP</w:t>
      </w:r>
      <w:r w:rsidR="00C77025">
        <w:t xml:space="preserve"> {mm/MMMM}</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9.</w:t>
      </w:r>
      <w:r>
        <w:rPr>
          <w:rFonts w:ascii="Times New Roman" w:hAnsi="Times New Roman" w:cs="Times New Roman"/>
        </w:rPr>
        <w:tab/>
        <w:t>SPECIALIOS LAIKYMO SĄLYGOS</w:t>
      </w:r>
    </w:p>
    <w:p w:rsidR="00C77025" w:rsidRDefault="00C77025" w:rsidP="00C77025">
      <w:pPr>
        <w:pStyle w:val="BTEMEASMCA"/>
      </w:pPr>
    </w:p>
    <w:p w:rsidR="00C77025" w:rsidRDefault="00C77025" w:rsidP="00C77025">
      <w:pPr>
        <w:rPr>
          <w:sz w:val="22"/>
          <w:szCs w:val="22"/>
        </w:rPr>
      </w:pPr>
      <w:r>
        <w:rPr>
          <w:sz w:val="22"/>
          <w:szCs w:val="22"/>
        </w:rPr>
        <w:lastRenderedPageBreak/>
        <w:t>Laikyti ne aukštesnėje kaip 25</w:t>
      </w:r>
      <w:r>
        <w:rPr>
          <w:sz w:val="22"/>
          <w:szCs w:val="22"/>
          <w:vertAlign w:val="superscript"/>
        </w:rPr>
        <w:t>0</w:t>
      </w:r>
      <w:r>
        <w:rPr>
          <w:sz w:val="22"/>
          <w:szCs w:val="22"/>
        </w:rPr>
        <w:t xml:space="preserve"> C temperatūroje.</w:t>
      </w:r>
    </w:p>
    <w:p w:rsidR="00C77025" w:rsidRDefault="00C77025" w:rsidP="00C77025">
      <w:pPr>
        <w:rPr>
          <w:sz w:val="22"/>
          <w:szCs w:val="22"/>
        </w:rPr>
      </w:pPr>
      <w:r>
        <w:rPr>
          <w:sz w:val="22"/>
          <w:szCs w:val="22"/>
        </w:rPr>
        <w:t xml:space="preserve">Laikyti gamintojo pakuotėje, kad </w:t>
      </w:r>
      <w:r w:rsidR="00492E2B">
        <w:rPr>
          <w:sz w:val="22"/>
          <w:szCs w:val="22"/>
        </w:rPr>
        <w:t>vaistas</w:t>
      </w:r>
      <w:r>
        <w:rPr>
          <w:sz w:val="22"/>
          <w:szCs w:val="22"/>
        </w:rPr>
        <w:t xml:space="preserve"> būtų apsaugotas nuo drėgmės. </w:t>
      </w:r>
    </w:p>
    <w:p w:rsidR="00C77025" w:rsidRPr="007F40A8" w:rsidRDefault="00C77025" w:rsidP="00C77025">
      <w:pPr>
        <w:pStyle w:val="BTEMEASMCA"/>
        <w:rPr>
          <w:lang w:val="lt-LT"/>
        </w:rPr>
      </w:pPr>
    </w:p>
    <w:p w:rsidR="00C77025" w:rsidRPr="007F40A8" w:rsidRDefault="00C77025" w:rsidP="00C77025">
      <w:pPr>
        <w:pStyle w:val="BTEMEASMCA"/>
        <w:rPr>
          <w:lang w:val="lt-LT"/>
        </w:rPr>
      </w:pPr>
    </w:p>
    <w:p w:rsidR="00C77025" w:rsidRDefault="00C77025" w:rsidP="00C77025">
      <w:pPr>
        <w:pStyle w:val="PI-1labEMEASMCA"/>
        <w:rPr>
          <w:rFonts w:ascii="Times New Roman" w:hAnsi="Times New Roman" w:cs="Times New Roman"/>
        </w:rPr>
      </w:pPr>
      <w:r>
        <w:rPr>
          <w:rFonts w:ascii="Times New Roman" w:hAnsi="Times New Roman" w:cs="Times New Roman"/>
        </w:rPr>
        <w:t>10.</w:t>
      </w:r>
      <w:r>
        <w:rPr>
          <w:rFonts w:ascii="Times New Roman" w:hAnsi="Times New Roman" w:cs="Times New Roman"/>
        </w:rPr>
        <w:tab/>
        <w:t>SPECIALIOS ATSARGUMO PRIEMONĖS DĖL NESUVARTOTO VAISTINIO PREPARATO AR JO ATLIEKŲ TVARKYMO (JEI REIKIA)</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11.</w:t>
      </w:r>
      <w:r>
        <w:rPr>
          <w:rFonts w:ascii="Times New Roman" w:hAnsi="Times New Roman" w:cs="Times New Roman"/>
        </w:rPr>
        <w:tab/>
        <w:t>REGISTRUOTOJO PAVADINIMAS IR ADRESAS</w:t>
      </w:r>
    </w:p>
    <w:p w:rsidR="00C77025" w:rsidRDefault="00C77025" w:rsidP="00C77025">
      <w:pPr>
        <w:rPr>
          <w:sz w:val="22"/>
          <w:szCs w:val="22"/>
        </w:rPr>
      </w:pPr>
    </w:p>
    <w:p w:rsidR="00C77025" w:rsidRPr="004D7CF8" w:rsidRDefault="00C77025" w:rsidP="00C77025">
      <w:pPr>
        <w:rPr>
          <w:rFonts w:eastAsia="Arial Unicode MS"/>
          <w:noProof/>
        </w:rPr>
      </w:pPr>
      <w:r w:rsidRPr="004D7CF8">
        <w:rPr>
          <w:rFonts w:eastAsia="Arial Unicode MS"/>
          <w:noProof/>
        </w:rPr>
        <w:t>Sun Pharmaceutical Industries Europe B.V.</w:t>
      </w:r>
    </w:p>
    <w:p w:rsidR="00C77025" w:rsidRPr="004D7CF8" w:rsidRDefault="00C77025" w:rsidP="00C77025">
      <w:pPr>
        <w:rPr>
          <w:rFonts w:eastAsia="Arial Unicode MS"/>
          <w:noProof/>
        </w:rPr>
      </w:pPr>
      <w:r w:rsidRPr="004D7CF8">
        <w:rPr>
          <w:rFonts w:eastAsia="Arial Unicode MS"/>
          <w:noProof/>
        </w:rPr>
        <w:t>Polarisavenue 87</w:t>
      </w:r>
    </w:p>
    <w:p w:rsidR="00C77025" w:rsidRPr="004D7CF8" w:rsidRDefault="00C77025" w:rsidP="00C77025">
      <w:pPr>
        <w:rPr>
          <w:rFonts w:eastAsia="Arial Unicode MS"/>
          <w:noProof/>
        </w:rPr>
      </w:pPr>
      <w:r w:rsidRPr="004D7CF8">
        <w:rPr>
          <w:rFonts w:eastAsia="Arial Unicode MS"/>
          <w:noProof/>
        </w:rPr>
        <w:t>2132JH Hoofddorp</w:t>
      </w:r>
    </w:p>
    <w:p w:rsidR="00C77025" w:rsidRDefault="00492E2B" w:rsidP="00C77025">
      <w:r>
        <w:rPr>
          <w:rFonts w:eastAsia="Arial Unicode MS"/>
          <w:noProof/>
        </w:rPr>
        <w:t>Nyderlandai</w:t>
      </w:r>
    </w:p>
    <w:p w:rsidR="00C77025" w:rsidRDefault="00C77025" w:rsidP="00C77025">
      <w:pPr>
        <w:pStyle w:val="BTEMEASMCA"/>
      </w:pPr>
    </w:p>
    <w:p w:rsidR="00C77025" w:rsidRPr="00492E2B" w:rsidRDefault="00C77025" w:rsidP="00492E2B">
      <w:pPr>
        <w:rPr>
          <w:rFonts w:eastAsia="Arial Unicode MS"/>
          <w:noProof/>
        </w:rPr>
      </w:pPr>
      <w:r w:rsidRPr="00492E2B">
        <w:rPr>
          <w:rFonts w:eastAsia="Arial Unicode MS"/>
          <w:noProof/>
          <w:highlight w:val="lightGray"/>
        </w:rPr>
        <w:t xml:space="preserve">Sun Pharmaceutical Industries Europe B.V. </w:t>
      </w:r>
      <w:r w:rsidRPr="00492E2B">
        <w:rPr>
          <w:highlight w:val="lightGray"/>
        </w:rPr>
        <w:t>&lt;logotipas&gt;</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12.</w:t>
      </w:r>
      <w:r>
        <w:rPr>
          <w:rFonts w:ascii="Times New Roman" w:hAnsi="Times New Roman" w:cs="Times New Roman"/>
        </w:rPr>
        <w:tab/>
        <w:t>REGISTRACIJOS PAŽYMĖJIMO NUMERIS (-IAI)</w:t>
      </w:r>
    </w:p>
    <w:p w:rsidR="00C77025" w:rsidRDefault="00C77025" w:rsidP="00C77025">
      <w:pPr>
        <w:pStyle w:val="BTEMEASMCA"/>
      </w:pPr>
    </w:p>
    <w:p w:rsidR="00C77025" w:rsidRDefault="00C77025" w:rsidP="00C77025">
      <w:pPr>
        <w:rPr>
          <w:sz w:val="22"/>
          <w:szCs w:val="22"/>
        </w:rPr>
      </w:pPr>
      <w:r>
        <w:rPr>
          <w:sz w:val="22"/>
          <w:szCs w:val="22"/>
        </w:rPr>
        <w:t>N10 - LT/1/02/2437/002</w:t>
      </w:r>
    </w:p>
    <w:p w:rsidR="00C77025" w:rsidRDefault="00C77025" w:rsidP="00C77025">
      <w:pPr>
        <w:rPr>
          <w:sz w:val="22"/>
          <w:szCs w:val="22"/>
        </w:rPr>
      </w:pPr>
      <w:r w:rsidRPr="00693D84">
        <w:rPr>
          <w:sz w:val="22"/>
          <w:szCs w:val="22"/>
          <w:highlight w:val="lightGray"/>
        </w:rPr>
        <w:t>N30 - LT/1/02/2437/003</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13.</w:t>
      </w:r>
      <w:r>
        <w:rPr>
          <w:rFonts w:ascii="Times New Roman" w:hAnsi="Times New Roman" w:cs="Times New Roman"/>
        </w:rPr>
        <w:tab/>
        <w:t>SERIJOS NUMERIS</w:t>
      </w:r>
    </w:p>
    <w:p w:rsidR="00C77025" w:rsidRDefault="00C77025" w:rsidP="00C77025">
      <w:pPr>
        <w:pStyle w:val="BTEMEASMCA"/>
      </w:pPr>
    </w:p>
    <w:p w:rsidR="00C77025" w:rsidRDefault="00066290" w:rsidP="00C77025">
      <w:pPr>
        <w:pStyle w:val="BTEMEASMCA"/>
      </w:pPr>
      <w:r>
        <w:t xml:space="preserve">Lot </w:t>
      </w:r>
      <w:r w:rsidR="00C77025">
        <w:t>{numeris}</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14.</w:t>
      </w:r>
      <w:r>
        <w:rPr>
          <w:rFonts w:ascii="Times New Roman" w:hAnsi="Times New Roman" w:cs="Times New Roman"/>
        </w:rPr>
        <w:tab/>
        <w:t>PARDAVIMO (IŠDAVIMO) TVARKA</w:t>
      </w:r>
    </w:p>
    <w:p w:rsidR="00C77025" w:rsidRDefault="00C77025" w:rsidP="00C77025">
      <w:pPr>
        <w:pStyle w:val="BTEMEASMCA"/>
      </w:pPr>
    </w:p>
    <w:p w:rsidR="00066290" w:rsidRDefault="00066290" w:rsidP="00C77025">
      <w:pPr>
        <w:pStyle w:val="BTEMEASMCA"/>
      </w:pPr>
      <w:r w:rsidRPr="00066290">
        <w:t>Receptinis vaistas</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15.</w:t>
      </w:r>
      <w:r>
        <w:rPr>
          <w:rFonts w:ascii="Times New Roman" w:hAnsi="Times New Roman" w:cs="Times New Roman"/>
        </w:rPr>
        <w:tab/>
        <w:t>VARTOJIMO INSTRUKCIJA</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16.</w:t>
      </w:r>
      <w:r>
        <w:rPr>
          <w:rFonts w:ascii="Times New Roman" w:hAnsi="Times New Roman" w:cs="Times New Roman"/>
        </w:rPr>
        <w:tab/>
        <w:t>INFORMACIJA BRAILIO RAŠTU</w:t>
      </w:r>
    </w:p>
    <w:p w:rsidR="00C77025" w:rsidRDefault="00C77025" w:rsidP="00C77025">
      <w:pPr>
        <w:pStyle w:val="BTEMEASMCA"/>
      </w:pPr>
    </w:p>
    <w:p w:rsidR="00C77025" w:rsidRDefault="00C77025" w:rsidP="00C77025">
      <w:pPr>
        <w:pStyle w:val="BTEMEASMCA"/>
      </w:pPr>
      <w:r>
        <w:t xml:space="preserve">Altiva 180 mg </w:t>
      </w:r>
    </w:p>
    <w:p w:rsidR="00C77025" w:rsidRDefault="00C77025" w:rsidP="00C77025">
      <w:pPr>
        <w:pStyle w:val="BTEMEASMCA"/>
      </w:pPr>
    </w:p>
    <w:p w:rsidR="00066290" w:rsidRDefault="00066290" w:rsidP="00C77025">
      <w:pPr>
        <w:pStyle w:val="BTEMEASMCA"/>
      </w:pPr>
    </w:p>
    <w:p w:rsidR="00066290" w:rsidRDefault="00066290" w:rsidP="0006629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066290" w:rsidRDefault="00066290" w:rsidP="00066290">
      <w:pPr>
        <w:rPr>
          <w:noProof/>
          <w:szCs w:val="20"/>
        </w:rPr>
      </w:pPr>
    </w:p>
    <w:p w:rsidR="00066290" w:rsidRDefault="00066290" w:rsidP="00066290">
      <w:pPr>
        <w:rPr>
          <w:noProof/>
          <w:szCs w:val="22"/>
          <w:shd w:val="clear" w:color="auto" w:fill="CCCCCC"/>
        </w:rPr>
      </w:pPr>
      <w:r>
        <w:rPr>
          <w:noProof/>
          <w:highlight w:val="lightGray"/>
        </w:rPr>
        <w:t>2D brūkšninis kodas su nurodytu unikaliu identifikatoriumi.</w:t>
      </w:r>
    </w:p>
    <w:p w:rsidR="00066290" w:rsidRDefault="00066290" w:rsidP="00066290">
      <w:pPr>
        <w:rPr>
          <w:noProof/>
          <w:szCs w:val="22"/>
          <w:shd w:val="clear" w:color="auto" w:fill="CCCCCC"/>
        </w:rPr>
      </w:pPr>
    </w:p>
    <w:p w:rsidR="00066290" w:rsidRDefault="00066290" w:rsidP="00066290">
      <w:pPr>
        <w:rPr>
          <w:noProof/>
        </w:rPr>
      </w:pPr>
    </w:p>
    <w:p w:rsidR="00066290" w:rsidRDefault="00066290" w:rsidP="0006629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rsidR="00066290" w:rsidRDefault="00066290" w:rsidP="00066290">
      <w:pPr>
        <w:rPr>
          <w:noProof/>
        </w:rPr>
      </w:pPr>
    </w:p>
    <w:p w:rsidR="00066290" w:rsidRDefault="00066290" w:rsidP="00066290">
      <w:pPr>
        <w:rPr>
          <w:color w:val="008000"/>
          <w:szCs w:val="22"/>
        </w:rPr>
      </w:pPr>
      <w:r>
        <w:t>PC: {numeris}</w:t>
      </w:r>
    </w:p>
    <w:p w:rsidR="00066290" w:rsidRDefault="00066290" w:rsidP="00066290">
      <w:pPr>
        <w:rPr>
          <w:szCs w:val="22"/>
        </w:rPr>
      </w:pPr>
      <w:r>
        <w:t xml:space="preserve">SN: {numeris} </w:t>
      </w:r>
    </w:p>
    <w:p w:rsidR="00066290" w:rsidRDefault="00066290" w:rsidP="00066290">
      <w:pPr>
        <w:rPr>
          <w:noProof/>
          <w:vanish/>
          <w:szCs w:val="22"/>
        </w:rPr>
      </w:pPr>
      <w:r>
        <w:rPr>
          <w:highlight w:val="lightGray"/>
        </w:rPr>
        <w:t xml:space="preserve">NN: {numeris} </w:t>
      </w:r>
    </w:p>
    <w:p w:rsidR="00066290" w:rsidRPr="007F40A8" w:rsidRDefault="00066290" w:rsidP="00C77025">
      <w:pPr>
        <w:pStyle w:val="BTEMEASMCA"/>
        <w:rPr>
          <w:lang w:val="lt-LT"/>
        </w:rPr>
      </w:pPr>
    </w:p>
    <w:p w:rsidR="00C77025" w:rsidRPr="007F40A8" w:rsidRDefault="00C77025" w:rsidP="00C77025">
      <w:pPr>
        <w:pStyle w:val="BTEMEASMCA"/>
        <w:rPr>
          <w:lang w:val="lt-LT"/>
        </w:rPr>
      </w:pPr>
      <w:r w:rsidRPr="007F40A8">
        <w:rPr>
          <w:iCs w:val="0"/>
          <w:lang w:val="lt-LT"/>
        </w:rPr>
        <w:br w:type="page"/>
      </w:r>
    </w:p>
    <w:p w:rsidR="00C77025" w:rsidRPr="007F40A8" w:rsidRDefault="00C77025" w:rsidP="00C77025">
      <w:pPr>
        <w:pStyle w:val="PI-1labEMEASMCA"/>
        <w:rPr>
          <w:rFonts w:ascii="Times New Roman" w:hAnsi="Times New Roman" w:cs="Times New Roman"/>
          <w:lang w:val="lt-LT"/>
        </w:rPr>
      </w:pPr>
      <w:r w:rsidRPr="007F40A8">
        <w:rPr>
          <w:rFonts w:ascii="Times New Roman" w:hAnsi="Times New Roman" w:cs="Times New Roman"/>
          <w:lang w:val="lt-LT"/>
        </w:rPr>
        <w:lastRenderedPageBreak/>
        <w:t xml:space="preserve">MINIMALI </w:t>
      </w:r>
      <w:r w:rsidRPr="007F40A8">
        <w:rPr>
          <w:rFonts w:ascii="Times New Roman" w:hAnsi="Times New Roman" w:cs="Times New Roman"/>
          <w:caps/>
          <w:lang w:val="lt-LT"/>
        </w:rPr>
        <w:t xml:space="preserve">informacija ant </w:t>
      </w:r>
      <w:r w:rsidRPr="007F40A8">
        <w:rPr>
          <w:rFonts w:ascii="Times New Roman" w:hAnsi="Times New Roman" w:cs="Times New Roman"/>
          <w:lang w:val="lt-LT"/>
        </w:rPr>
        <w:t>LIZDINIŲ PLOKŠTELIŲ ARBA DVISLUOKSNIŲ JUOSTELIŲ</w:t>
      </w:r>
    </w:p>
    <w:p w:rsidR="00C77025" w:rsidRPr="007F40A8" w:rsidRDefault="00C77025" w:rsidP="00C77025">
      <w:pPr>
        <w:pStyle w:val="PI-1labEMEASMCA"/>
        <w:rPr>
          <w:rFonts w:ascii="Times New Roman" w:hAnsi="Times New Roman" w:cs="Times New Roman"/>
          <w:lang w:val="lt-LT"/>
        </w:rPr>
      </w:pPr>
    </w:p>
    <w:p w:rsidR="00C77025" w:rsidRDefault="00C77025" w:rsidP="00C77025">
      <w:pPr>
        <w:pStyle w:val="PI-1labEMEASMCA"/>
        <w:rPr>
          <w:rFonts w:ascii="Times New Roman" w:hAnsi="Times New Roman" w:cs="Times New Roman"/>
        </w:rPr>
      </w:pPr>
      <w:r>
        <w:rPr>
          <w:rFonts w:ascii="Times New Roman" w:hAnsi="Times New Roman" w:cs="Times New Roman"/>
        </w:rPr>
        <w:t>LIZDINĖ PLOKŠTELĖ</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1.</w:t>
      </w:r>
      <w:r>
        <w:rPr>
          <w:rFonts w:ascii="Times New Roman" w:hAnsi="Times New Roman" w:cs="Times New Roman"/>
        </w:rPr>
        <w:tab/>
        <w:t>VAISTINIO PREPARATO PAVADINIMAS</w:t>
      </w:r>
    </w:p>
    <w:p w:rsidR="00C77025" w:rsidRDefault="00C77025" w:rsidP="00C77025">
      <w:pPr>
        <w:pStyle w:val="BTEMEASMCA"/>
      </w:pPr>
    </w:p>
    <w:p w:rsidR="00C77025" w:rsidRDefault="00C77025" w:rsidP="00C77025">
      <w:pPr>
        <w:rPr>
          <w:sz w:val="22"/>
          <w:szCs w:val="22"/>
        </w:rPr>
      </w:pPr>
      <w:r>
        <w:rPr>
          <w:sz w:val="22"/>
          <w:szCs w:val="22"/>
        </w:rPr>
        <w:t>Altiva 180 mg plėvele dengtos tabletės</w:t>
      </w:r>
    </w:p>
    <w:p w:rsidR="00C77025" w:rsidRDefault="00C77025" w:rsidP="00C77025">
      <w:pPr>
        <w:rPr>
          <w:i/>
          <w:sz w:val="22"/>
          <w:szCs w:val="22"/>
        </w:rPr>
      </w:pPr>
      <w:r>
        <w:rPr>
          <w:i/>
          <w:sz w:val="22"/>
          <w:szCs w:val="22"/>
        </w:rPr>
        <w:t>Fexofenadini hydrochloridum</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2.</w:t>
      </w:r>
      <w:r>
        <w:rPr>
          <w:rFonts w:ascii="Times New Roman" w:hAnsi="Times New Roman" w:cs="Times New Roman"/>
        </w:rPr>
        <w:tab/>
        <w:t>REGISTRUOTOJO PAVADINIMAS</w:t>
      </w:r>
    </w:p>
    <w:p w:rsidR="00C77025" w:rsidRDefault="00C77025" w:rsidP="00C77025">
      <w:pPr>
        <w:pStyle w:val="BTEMEASMCA"/>
      </w:pPr>
    </w:p>
    <w:p w:rsidR="00C77025" w:rsidRPr="004D7CF8" w:rsidRDefault="00C77025" w:rsidP="00C77025">
      <w:pPr>
        <w:rPr>
          <w:rFonts w:eastAsia="Arial Unicode MS"/>
          <w:noProof/>
        </w:rPr>
      </w:pPr>
      <w:r w:rsidRPr="004D7CF8">
        <w:rPr>
          <w:rFonts w:eastAsia="Arial Unicode MS"/>
          <w:noProof/>
        </w:rPr>
        <w:t>Sun Pharmaceutical Industries Europe B.V.</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3.</w:t>
      </w:r>
      <w:r>
        <w:rPr>
          <w:rFonts w:ascii="Times New Roman" w:hAnsi="Times New Roman" w:cs="Times New Roman"/>
        </w:rPr>
        <w:tab/>
        <w:t>TINKAMUMO LAIKAS</w:t>
      </w:r>
    </w:p>
    <w:p w:rsidR="00C77025" w:rsidRDefault="00C77025" w:rsidP="00C77025">
      <w:pPr>
        <w:pStyle w:val="BTEMEASMCA"/>
      </w:pPr>
    </w:p>
    <w:p w:rsidR="00C77025" w:rsidRDefault="00C77025" w:rsidP="00C77025">
      <w:pPr>
        <w:pStyle w:val="BTEMEASMCA"/>
      </w:pPr>
      <w:r>
        <w:t>EXP: {mm/MMMM}</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4.</w:t>
      </w:r>
      <w:r>
        <w:rPr>
          <w:rFonts w:ascii="Times New Roman" w:hAnsi="Times New Roman" w:cs="Times New Roman"/>
        </w:rPr>
        <w:tab/>
        <w:t>SERIJOS NUMERIS</w:t>
      </w:r>
    </w:p>
    <w:p w:rsidR="00C77025" w:rsidRDefault="00C77025" w:rsidP="00C77025">
      <w:pPr>
        <w:pStyle w:val="BTEMEASMCA"/>
      </w:pPr>
    </w:p>
    <w:p w:rsidR="00C77025" w:rsidRDefault="00C77025" w:rsidP="00C77025">
      <w:pPr>
        <w:pStyle w:val="BTEMEASMCA"/>
      </w:pPr>
      <w:r>
        <w:t>Lot: {numeris}</w:t>
      </w:r>
    </w:p>
    <w:p w:rsidR="00C77025" w:rsidRDefault="00C77025" w:rsidP="00C77025">
      <w:pPr>
        <w:pStyle w:val="BTEMEASMCA"/>
      </w:pPr>
    </w:p>
    <w:p w:rsidR="00C77025" w:rsidRDefault="00C77025" w:rsidP="00C77025">
      <w:pPr>
        <w:pStyle w:val="BTEMEASMCA"/>
      </w:pPr>
    </w:p>
    <w:p w:rsidR="00C77025" w:rsidRDefault="00C77025" w:rsidP="00C77025">
      <w:pPr>
        <w:pStyle w:val="PI-1labEMEASMCA"/>
        <w:rPr>
          <w:rFonts w:ascii="Times New Roman" w:hAnsi="Times New Roman" w:cs="Times New Roman"/>
        </w:rPr>
      </w:pPr>
      <w:r>
        <w:rPr>
          <w:rFonts w:ascii="Times New Roman" w:hAnsi="Times New Roman" w:cs="Times New Roman"/>
        </w:rPr>
        <w:t>5.</w:t>
      </w:r>
      <w:r>
        <w:rPr>
          <w:rFonts w:ascii="Times New Roman" w:hAnsi="Times New Roman" w:cs="Times New Roman"/>
        </w:rPr>
        <w:tab/>
        <w:t>KITA</w:t>
      </w:r>
    </w:p>
    <w:p w:rsidR="00C77025" w:rsidRDefault="00C77025" w:rsidP="00C77025">
      <w:pPr>
        <w:pStyle w:val="BTEMEASMCA"/>
      </w:pPr>
    </w:p>
    <w:p w:rsidR="00C77025" w:rsidRDefault="00C77025" w:rsidP="00C77025">
      <w:pPr>
        <w:pStyle w:val="BTEMEASMCA"/>
      </w:pPr>
    </w:p>
    <w:p w:rsidR="00C77025" w:rsidRDefault="00C77025" w:rsidP="00C77025">
      <w:pPr>
        <w:pStyle w:val="BTEMEASMCA"/>
      </w:pPr>
      <w:r>
        <w:rPr>
          <w:iCs w:val="0"/>
        </w:rPr>
        <w:br w:type="page"/>
      </w:r>
    </w:p>
    <w:p w:rsidR="00C77025" w:rsidRDefault="00C77025" w:rsidP="00C77025">
      <w:pPr>
        <w:pStyle w:val="TTEMEASMCA"/>
      </w:pPr>
      <w:bookmarkStart w:id="66" w:name="_Toc129243262"/>
      <w:bookmarkStart w:id="67" w:name="_Toc129243137"/>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p>
    <w:p w:rsidR="00C77025" w:rsidRDefault="00C77025" w:rsidP="00C77025">
      <w:pPr>
        <w:pStyle w:val="TTEMEASMCA"/>
      </w:pPr>
      <w:r>
        <w:t>B. PAKUOTĖS LAPELIS</w:t>
      </w:r>
      <w:bookmarkEnd w:id="66"/>
      <w:bookmarkEnd w:id="67"/>
    </w:p>
    <w:p w:rsidR="00C77025" w:rsidRDefault="00C77025" w:rsidP="00C77025">
      <w:pPr>
        <w:pStyle w:val="TTEMEASMCA"/>
      </w:pPr>
      <w:r>
        <w:rPr>
          <w:b w:val="0"/>
        </w:rPr>
        <w:br w:type="page"/>
      </w:r>
      <w:bookmarkStart w:id="68" w:name="_Toc129243263"/>
      <w:bookmarkStart w:id="69" w:name="_Toc129243138"/>
      <w:r>
        <w:lastRenderedPageBreak/>
        <w:t>Pakuotės lapelis: informacija vartotojui</w:t>
      </w:r>
      <w:bookmarkEnd w:id="68"/>
      <w:bookmarkEnd w:id="69"/>
    </w:p>
    <w:p w:rsidR="00C77025" w:rsidRDefault="00C77025" w:rsidP="00C77025">
      <w:pPr>
        <w:pStyle w:val="BTEMEASMCA"/>
      </w:pPr>
    </w:p>
    <w:p w:rsidR="00C77025" w:rsidRDefault="00C77025" w:rsidP="00C77025">
      <w:pPr>
        <w:jc w:val="center"/>
        <w:rPr>
          <w:b/>
          <w:sz w:val="22"/>
          <w:szCs w:val="22"/>
        </w:rPr>
      </w:pPr>
      <w:r>
        <w:rPr>
          <w:b/>
          <w:bCs/>
          <w:sz w:val="22"/>
          <w:szCs w:val="22"/>
        </w:rPr>
        <w:t xml:space="preserve">Altiva 180 mg </w:t>
      </w:r>
      <w:r>
        <w:rPr>
          <w:b/>
          <w:sz w:val="22"/>
          <w:szCs w:val="22"/>
        </w:rPr>
        <w:t>plėvele dengtos tabletės</w:t>
      </w:r>
    </w:p>
    <w:p w:rsidR="00C77025" w:rsidRDefault="00C77025" w:rsidP="00C77025">
      <w:pPr>
        <w:pStyle w:val="BTEMEASMCA"/>
        <w:jc w:val="center"/>
        <w:rPr>
          <w:i/>
          <w:lang w:val="lt-LT"/>
        </w:rPr>
      </w:pPr>
      <w:r>
        <w:rPr>
          <w:i/>
          <w:lang w:val="lt-LT"/>
        </w:rPr>
        <w:t>Feksofenadino hidrochloridas</w:t>
      </w:r>
    </w:p>
    <w:p w:rsidR="00C77025" w:rsidRDefault="00C77025" w:rsidP="00C77025">
      <w:pPr>
        <w:pStyle w:val="BTEMEASMCA"/>
        <w:rPr>
          <w:lang w:val="lt-LT"/>
        </w:rPr>
      </w:pPr>
    </w:p>
    <w:p w:rsidR="00C77025" w:rsidRDefault="00C77025" w:rsidP="00C77025">
      <w:pPr>
        <w:tabs>
          <w:tab w:val="left" w:pos="720"/>
        </w:tabs>
        <w:suppressAutoHyphens/>
        <w:ind w:left="142" w:hanging="142"/>
        <w:rPr>
          <w:sz w:val="22"/>
          <w:szCs w:val="22"/>
        </w:rPr>
      </w:pPr>
      <w:r>
        <w:rPr>
          <w:b/>
          <w:sz w:val="22"/>
          <w:szCs w:val="22"/>
        </w:rPr>
        <w:t xml:space="preserve">Atidžiai perskaitykite visą šį lapelį, prieš pradėdami vartoti vaistą, </w:t>
      </w:r>
      <w:r>
        <w:rPr>
          <w:b/>
          <w:noProof/>
          <w:sz w:val="22"/>
          <w:szCs w:val="22"/>
        </w:rPr>
        <w:t>nes jame pateikiama Jums svarbi informacija</w:t>
      </w:r>
      <w:r>
        <w:rPr>
          <w:b/>
          <w:sz w:val="22"/>
          <w:szCs w:val="22"/>
        </w:rPr>
        <w:t>.</w:t>
      </w:r>
    </w:p>
    <w:p w:rsidR="00C77025" w:rsidRDefault="00C77025" w:rsidP="00C77025">
      <w:pPr>
        <w:numPr>
          <w:ilvl w:val="0"/>
          <w:numId w:val="2"/>
        </w:numPr>
        <w:tabs>
          <w:tab w:val="left" w:pos="720"/>
        </w:tabs>
        <w:snapToGrid w:val="0"/>
        <w:ind w:left="567" w:right="-2" w:hanging="567"/>
        <w:rPr>
          <w:sz w:val="22"/>
          <w:szCs w:val="22"/>
        </w:rPr>
      </w:pPr>
      <w:r>
        <w:rPr>
          <w:sz w:val="22"/>
          <w:szCs w:val="22"/>
        </w:rPr>
        <w:t xml:space="preserve">Neišmeskite šio lapelio, nes vėl gali prireikti jį perskaityti. </w:t>
      </w:r>
    </w:p>
    <w:p w:rsidR="00C77025" w:rsidRDefault="00C77025" w:rsidP="00C77025">
      <w:pPr>
        <w:numPr>
          <w:ilvl w:val="0"/>
          <w:numId w:val="2"/>
        </w:numPr>
        <w:tabs>
          <w:tab w:val="left" w:pos="720"/>
        </w:tabs>
        <w:snapToGrid w:val="0"/>
        <w:ind w:left="567" w:right="-2" w:hanging="567"/>
        <w:rPr>
          <w:sz w:val="22"/>
          <w:szCs w:val="22"/>
        </w:rPr>
      </w:pPr>
      <w:r>
        <w:rPr>
          <w:sz w:val="22"/>
          <w:szCs w:val="22"/>
        </w:rPr>
        <w:t>Jeigu kiltų daugiau klausimų, kreipkitės į gydytoją arba vaistininką.</w:t>
      </w:r>
    </w:p>
    <w:p w:rsidR="00C77025" w:rsidRDefault="00C77025" w:rsidP="00C77025">
      <w:pPr>
        <w:ind w:left="567" w:right="-2" w:hanging="567"/>
        <w:rPr>
          <w:sz w:val="22"/>
          <w:szCs w:val="22"/>
        </w:rPr>
      </w:pPr>
      <w:r>
        <w:rPr>
          <w:sz w:val="22"/>
          <w:szCs w:val="22"/>
        </w:rPr>
        <w:t>-</w:t>
      </w:r>
      <w:r>
        <w:rPr>
          <w:sz w:val="22"/>
          <w:szCs w:val="22"/>
        </w:rPr>
        <w:tab/>
        <w:t>Šis vaistas skirtas</w:t>
      </w:r>
      <w:r>
        <w:rPr>
          <w:noProof/>
          <w:sz w:val="22"/>
          <w:szCs w:val="22"/>
        </w:rPr>
        <w:t xml:space="preserve"> tik</w:t>
      </w:r>
      <w:r>
        <w:rPr>
          <w:sz w:val="22"/>
          <w:szCs w:val="22"/>
        </w:rPr>
        <w:t xml:space="preserve"> Jums, todėl kitiems žmonėms jo duoti negalima. Vaistas gali jiems pakenkti (net tiems, kurių ligos požymiai yra tokie patys kaip Jūsų).</w:t>
      </w:r>
    </w:p>
    <w:p w:rsidR="00C77025" w:rsidRDefault="00C77025" w:rsidP="00C77025">
      <w:pPr>
        <w:numPr>
          <w:ilvl w:val="0"/>
          <w:numId w:val="2"/>
        </w:numPr>
        <w:tabs>
          <w:tab w:val="left" w:pos="567"/>
        </w:tabs>
        <w:snapToGrid w:val="0"/>
        <w:ind w:left="567" w:hanging="567"/>
        <w:rPr>
          <w:sz w:val="22"/>
          <w:szCs w:val="22"/>
        </w:rPr>
      </w:pPr>
      <w:r>
        <w:rPr>
          <w:sz w:val="22"/>
          <w:szCs w:val="22"/>
        </w:rPr>
        <w:t>Jeigu pasireiškė šalutinis poveikis (net jeigu jis šiame lapelyje nenurodytas), kreipkitės į gydytoją arba vaistininką</w:t>
      </w:r>
      <w:r>
        <w:rPr>
          <w:noProof/>
          <w:sz w:val="22"/>
          <w:szCs w:val="22"/>
        </w:rPr>
        <w:t>. Žr. 4 skyrių</w:t>
      </w:r>
      <w:r>
        <w:rPr>
          <w:sz w:val="22"/>
          <w:szCs w:val="22"/>
        </w:rPr>
        <w:t>.</w:t>
      </w:r>
    </w:p>
    <w:p w:rsidR="00C77025" w:rsidRDefault="00C77025" w:rsidP="00C77025">
      <w:pPr>
        <w:pStyle w:val="BTEMEASMCA"/>
      </w:pPr>
    </w:p>
    <w:p w:rsidR="00C77025" w:rsidRDefault="00C77025" w:rsidP="00C77025">
      <w:pPr>
        <w:pStyle w:val="BTEMEASMCA"/>
        <w:rPr>
          <w:b/>
        </w:rPr>
      </w:pPr>
      <w:r>
        <w:rPr>
          <w:b/>
        </w:rPr>
        <w:t>Apie ką rašoma šiame lapelyje?</w:t>
      </w:r>
    </w:p>
    <w:p w:rsidR="00C77025" w:rsidRDefault="00C77025" w:rsidP="00C77025">
      <w:pPr>
        <w:pStyle w:val="BTEMEASMCA"/>
      </w:pPr>
    </w:p>
    <w:p w:rsidR="00C77025" w:rsidRDefault="00C77025" w:rsidP="00C77025">
      <w:pPr>
        <w:pStyle w:val="BTEMEASMCA"/>
      </w:pPr>
      <w:r>
        <w:t>1.</w:t>
      </w:r>
      <w:r>
        <w:tab/>
        <w:t>Kas yra Altiva ir kam jis vartojamas</w:t>
      </w:r>
    </w:p>
    <w:p w:rsidR="00C77025" w:rsidRDefault="00C77025" w:rsidP="00C77025">
      <w:pPr>
        <w:pStyle w:val="BTEMEASMCA"/>
      </w:pPr>
      <w:r>
        <w:t>2.</w:t>
      </w:r>
      <w:r>
        <w:tab/>
        <w:t>Kas žinotina prieš vartojant Altiva</w:t>
      </w:r>
    </w:p>
    <w:p w:rsidR="00C77025" w:rsidRDefault="00C77025" w:rsidP="00C77025">
      <w:pPr>
        <w:pStyle w:val="BTEMEASMCA"/>
      </w:pPr>
      <w:r>
        <w:t>3.</w:t>
      </w:r>
      <w:r>
        <w:tab/>
        <w:t>Kaip vartoti Altiva</w:t>
      </w:r>
    </w:p>
    <w:p w:rsidR="00C77025" w:rsidRDefault="00C77025" w:rsidP="00C77025">
      <w:pPr>
        <w:pStyle w:val="BTEMEASMCA"/>
      </w:pPr>
      <w:r>
        <w:t>4.</w:t>
      </w:r>
      <w:r>
        <w:tab/>
        <w:t>Galimas šalutinis poveikis</w:t>
      </w:r>
    </w:p>
    <w:p w:rsidR="00C77025" w:rsidRDefault="00C77025" w:rsidP="00C77025">
      <w:pPr>
        <w:pStyle w:val="BTEMEASMCA"/>
      </w:pPr>
      <w:r>
        <w:t>5.</w:t>
      </w:r>
      <w:r>
        <w:tab/>
        <w:t>Kaip laikyti Altiva</w:t>
      </w:r>
    </w:p>
    <w:p w:rsidR="00C77025" w:rsidRDefault="00C77025" w:rsidP="00C77025">
      <w:pPr>
        <w:pStyle w:val="BTEMEASMCA"/>
      </w:pPr>
      <w:r>
        <w:t>6.</w:t>
      </w:r>
      <w:r>
        <w:tab/>
        <w:t>Pakuotės turinys ir kita informacija</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70" w:name="_Toc129243264"/>
      <w:bookmarkStart w:id="71" w:name="_Toc129243139"/>
      <w:r>
        <w:t>1.</w:t>
      </w:r>
      <w:r>
        <w:tab/>
        <w:t>Kas yra Altiva ir kam jis vartojamas</w:t>
      </w:r>
    </w:p>
    <w:bookmarkEnd w:id="70"/>
    <w:bookmarkEnd w:id="71"/>
    <w:p w:rsidR="00C77025" w:rsidRDefault="00C77025" w:rsidP="00C77025">
      <w:pPr>
        <w:pStyle w:val="PI-1EMEASMCA"/>
        <w:ind w:left="0" w:firstLine="0"/>
      </w:pPr>
    </w:p>
    <w:p w:rsidR="00C77025" w:rsidRDefault="00C77025" w:rsidP="00C77025">
      <w:pPr>
        <w:pStyle w:val="BT-EMEASMCA"/>
      </w:pPr>
      <w:r>
        <w:t>Altiva sudėtyje yra antihistamininės medžiagos feksofenadino hidrochlorido.</w:t>
      </w:r>
    </w:p>
    <w:p w:rsidR="00C77025" w:rsidRDefault="00C77025" w:rsidP="00C77025">
      <w:pPr>
        <w:pStyle w:val="BT-EMEASMCA"/>
      </w:pPr>
      <w:r>
        <w:t xml:space="preserve">Altiva 180 mg skiriamas suaugusiesiems ir 12 metų bei vyresniems paaugliams, siekiant palengvinti simptomus susijusius su ilgalaikėmis alerginėmis odos reakcijomis (lėtine idiopatine dilgėline), tokiomis kaip niežulys, patinimas ir išbėrimas. </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EMEASMCA"/>
        <w:ind w:left="0" w:firstLine="0"/>
      </w:pPr>
      <w:bookmarkStart w:id="72" w:name="_Toc129243265"/>
      <w:bookmarkStart w:id="73" w:name="_Toc129243140"/>
      <w:r>
        <w:t>2.</w:t>
      </w:r>
      <w:r>
        <w:tab/>
        <w:t xml:space="preserve">Kas žinotina prieš vartojant </w:t>
      </w:r>
      <w:bookmarkEnd w:id="72"/>
      <w:bookmarkEnd w:id="73"/>
      <w:r>
        <w:t>Altiva</w:t>
      </w:r>
    </w:p>
    <w:p w:rsidR="00C77025" w:rsidRDefault="00C77025" w:rsidP="00C77025">
      <w:pPr>
        <w:pStyle w:val="BTEMEASMCA"/>
      </w:pPr>
    </w:p>
    <w:p w:rsidR="00C77025" w:rsidRDefault="00C77025" w:rsidP="00C77025">
      <w:pPr>
        <w:pStyle w:val="PI-3EMEASMCA"/>
      </w:pPr>
      <w:r>
        <w:t>Altiva vartoti negalima:</w:t>
      </w:r>
    </w:p>
    <w:p w:rsidR="00C77025" w:rsidRDefault="00C77025" w:rsidP="00C77025">
      <w:pPr>
        <w:pStyle w:val="BT-EMEASMCA"/>
        <w:numPr>
          <w:ilvl w:val="0"/>
          <w:numId w:val="2"/>
        </w:numPr>
      </w:pPr>
      <w:r>
        <w:t>jeigu yra alergija (padėjęs jautrumas) veikliajai medžiagai arba bet kuriai pagalbinei šio vaisto medžiagai (jos išvardytos 6 skyriuje).</w:t>
      </w:r>
    </w:p>
    <w:p w:rsidR="00C77025" w:rsidRDefault="00C77025" w:rsidP="00C77025">
      <w:pPr>
        <w:pStyle w:val="BT-EMEASMCA"/>
      </w:pPr>
    </w:p>
    <w:p w:rsidR="00C77025" w:rsidRDefault="00C77025" w:rsidP="00C77025">
      <w:pPr>
        <w:pStyle w:val="PI-3EMEASMCA"/>
      </w:pPr>
      <w:r>
        <w:t>Įspėjimai ir atsargumo priemonės</w:t>
      </w:r>
    </w:p>
    <w:p w:rsidR="00C77025" w:rsidRDefault="00C77025" w:rsidP="00C77025">
      <w:pPr>
        <w:pStyle w:val="PI-3EMEASMCA"/>
        <w:rPr>
          <w:b w:val="0"/>
        </w:rPr>
      </w:pPr>
      <w:r>
        <w:rPr>
          <w:b w:val="0"/>
        </w:rPr>
        <w:t>Pasitarkite su gydytoju arba vaistininku, prieš pradėdami vartoti Altiva:</w:t>
      </w:r>
    </w:p>
    <w:p w:rsidR="00C77025" w:rsidRDefault="00C77025" w:rsidP="00C77025">
      <w:pPr>
        <w:pStyle w:val="BT-EMEASMCA"/>
        <w:numPr>
          <w:ilvl w:val="0"/>
          <w:numId w:val="2"/>
        </w:numPr>
      </w:pPr>
      <w:r>
        <w:t>jeigu yra sutrikusi inkstų arba kepenų funkcija;</w:t>
      </w:r>
    </w:p>
    <w:p w:rsidR="00C77025" w:rsidRDefault="00C77025" w:rsidP="00C77025">
      <w:pPr>
        <w:pStyle w:val="BT-EMEASMCA"/>
        <w:numPr>
          <w:ilvl w:val="0"/>
          <w:numId w:val="2"/>
        </w:numPr>
      </w:pPr>
      <w:r>
        <w:t>jeigu sergate ar praeityje sirgote širdies liga, nes šios rūšies vaistai gali sukelti greitą ir nereguliarų širdies plakimą;</w:t>
      </w:r>
    </w:p>
    <w:p w:rsidR="00C77025" w:rsidRDefault="00C77025" w:rsidP="00C77025">
      <w:pPr>
        <w:pStyle w:val="BT-EMEASMCA"/>
        <w:numPr>
          <w:ilvl w:val="0"/>
          <w:numId w:val="2"/>
        </w:numPr>
      </w:pPr>
      <w:r>
        <w:t>jeigu esate senyvas.</w:t>
      </w:r>
    </w:p>
    <w:p w:rsidR="00C77025" w:rsidRDefault="00C77025" w:rsidP="00C77025">
      <w:pPr>
        <w:pStyle w:val="BT-EMEASMCA"/>
      </w:pPr>
    </w:p>
    <w:p w:rsidR="00C77025" w:rsidRDefault="00C77025" w:rsidP="00C77025">
      <w:pPr>
        <w:rPr>
          <w:sz w:val="22"/>
          <w:szCs w:val="22"/>
        </w:rPr>
      </w:pPr>
      <w:r>
        <w:rPr>
          <w:sz w:val="22"/>
          <w:szCs w:val="22"/>
        </w:rPr>
        <w:lastRenderedPageBreak/>
        <w:t xml:space="preserve">Jei kuri nors iš anksčiau paminėtų būklių Jums tinka, arba dėl to nesate tikri, pasitarkite su gydytoju prieš vartodami Altiva. </w:t>
      </w:r>
    </w:p>
    <w:p w:rsidR="00C77025" w:rsidRDefault="00C77025" w:rsidP="00C77025">
      <w:pPr>
        <w:rPr>
          <w:sz w:val="22"/>
          <w:szCs w:val="22"/>
        </w:rPr>
      </w:pPr>
    </w:p>
    <w:p w:rsidR="00C77025" w:rsidRDefault="00C77025" w:rsidP="00C77025">
      <w:pPr>
        <w:rPr>
          <w:b/>
          <w:bCs/>
          <w:sz w:val="22"/>
          <w:szCs w:val="22"/>
        </w:rPr>
      </w:pPr>
      <w:r>
        <w:rPr>
          <w:b/>
          <w:bCs/>
          <w:sz w:val="22"/>
          <w:szCs w:val="22"/>
        </w:rPr>
        <w:t>Kiti vaistai ir Altiva</w:t>
      </w:r>
    </w:p>
    <w:p w:rsidR="00C77025" w:rsidRDefault="00C77025" w:rsidP="00C77025">
      <w:pPr>
        <w:rPr>
          <w:sz w:val="22"/>
          <w:szCs w:val="22"/>
        </w:rPr>
      </w:pPr>
      <w:r>
        <w:rPr>
          <w:sz w:val="22"/>
          <w:szCs w:val="22"/>
        </w:rPr>
        <w:t>Jeigu vartojate ar neseniai vartojote kitų vaistų arba dėl to nesate tikri, apie tai pasakykite gydytojui arba vaistininkui.</w:t>
      </w:r>
    </w:p>
    <w:p w:rsidR="00C77025" w:rsidRDefault="00C77025" w:rsidP="00C77025">
      <w:pPr>
        <w:rPr>
          <w:sz w:val="22"/>
          <w:szCs w:val="22"/>
        </w:rPr>
      </w:pPr>
      <w:r>
        <w:rPr>
          <w:sz w:val="22"/>
          <w:szCs w:val="22"/>
        </w:rPr>
        <w:t xml:space="preserve">Virškinimo sutrikimui gydyti skirti vaistai, kurių sudėtyje yra aliuminio ir magnio, gali turėti įtakos Altiva veikimui, mažindami jo absorbciją. Rekomenduojama padaryti dviejų valandų pertrauką tarp Altiva ir minėtų vaistų vartojimo. </w:t>
      </w:r>
    </w:p>
    <w:p w:rsidR="00C77025" w:rsidRDefault="00C77025" w:rsidP="00C77025">
      <w:pPr>
        <w:pStyle w:val="BTEMEASMCA"/>
        <w:rPr>
          <w:lang w:val="lt-LT"/>
        </w:rPr>
      </w:pPr>
    </w:p>
    <w:p w:rsidR="00C77025" w:rsidRDefault="00C77025" w:rsidP="00C77025">
      <w:pPr>
        <w:pStyle w:val="PI-3EMEASMCA"/>
      </w:pPr>
      <w:r>
        <w:t>Nėštumas ir žindymo laikotarpis</w:t>
      </w:r>
    </w:p>
    <w:p w:rsidR="00C77025" w:rsidRDefault="00C77025" w:rsidP="00C77025">
      <w:pPr>
        <w:rPr>
          <w:sz w:val="22"/>
          <w:szCs w:val="22"/>
        </w:rPr>
      </w:pPr>
      <w:r>
        <w:rPr>
          <w:noProof/>
          <w:sz w:val="22"/>
          <w:szCs w:val="22"/>
        </w:rPr>
        <w:t xml:space="preserve">Jeigu esate nėščia, žindote kūdikį, manote, kad galbūt esate nėščia, arba planuojate pastoti, tai prieš vartodama šį vaistą, pasitarkite su gydytoju arba vaistininku. </w:t>
      </w:r>
    </w:p>
    <w:p w:rsidR="00C77025" w:rsidRDefault="00C77025" w:rsidP="00C77025">
      <w:pPr>
        <w:rPr>
          <w:sz w:val="22"/>
          <w:szCs w:val="22"/>
        </w:rPr>
      </w:pPr>
      <w:r>
        <w:rPr>
          <w:sz w:val="22"/>
          <w:szCs w:val="22"/>
        </w:rPr>
        <w:t xml:space="preserve">Altiva nėštumo metu galima vartoti tik tada, jeigu jo tikrai reikia. </w:t>
      </w:r>
    </w:p>
    <w:p w:rsidR="00C77025" w:rsidRDefault="00C77025" w:rsidP="00C77025">
      <w:pPr>
        <w:rPr>
          <w:sz w:val="22"/>
          <w:szCs w:val="22"/>
        </w:rPr>
      </w:pPr>
      <w:r>
        <w:rPr>
          <w:sz w:val="22"/>
          <w:szCs w:val="22"/>
        </w:rPr>
        <w:t>Žindymo laikotarpiu Altiva vartoti nerekomenduojama.</w:t>
      </w:r>
    </w:p>
    <w:p w:rsidR="00C77025" w:rsidRDefault="00C77025" w:rsidP="00C77025">
      <w:pPr>
        <w:rPr>
          <w:sz w:val="22"/>
          <w:szCs w:val="22"/>
        </w:rPr>
      </w:pPr>
    </w:p>
    <w:p w:rsidR="00C77025" w:rsidRDefault="00C77025" w:rsidP="00C77025">
      <w:pPr>
        <w:pStyle w:val="BTEMEASMCA"/>
      </w:pPr>
    </w:p>
    <w:p w:rsidR="00C77025" w:rsidRDefault="00C77025" w:rsidP="00C77025">
      <w:pPr>
        <w:pStyle w:val="PI-3EMEASMCA"/>
      </w:pPr>
      <w:r>
        <w:t>Vairavimas ir mechanizmų valdymas</w:t>
      </w:r>
    </w:p>
    <w:p w:rsidR="00C77025" w:rsidRDefault="00C77025" w:rsidP="00C77025">
      <w:pPr>
        <w:rPr>
          <w:sz w:val="22"/>
          <w:szCs w:val="22"/>
        </w:rPr>
      </w:pPr>
      <w:r>
        <w:rPr>
          <w:sz w:val="22"/>
          <w:szCs w:val="22"/>
        </w:rPr>
        <w:t xml:space="preserve">Nepastebėta poveikio transporto priemonės vairavimui bei darbui, reikalaujančiam susikaupimo, tačiau prieš atliekant šias užduotis reikėtų žinoti, ar šios tabletės neveikia Jūsų migdančiai ar svaiginančiai. </w:t>
      </w:r>
    </w:p>
    <w:p w:rsidR="00C77025" w:rsidRDefault="00C77025" w:rsidP="00C77025">
      <w:pPr>
        <w:pStyle w:val="BTEMEASMCA"/>
      </w:pPr>
    </w:p>
    <w:p w:rsidR="00C77025" w:rsidRDefault="00C77025" w:rsidP="00C77025">
      <w:pPr>
        <w:pStyle w:val="BTEMEASMCA"/>
      </w:pPr>
    </w:p>
    <w:p w:rsidR="00C77025" w:rsidRDefault="00C77025" w:rsidP="00C77025">
      <w:pPr>
        <w:pStyle w:val="PI-1EMEASMCA"/>
        <w:ind w:left="0" w:firstLine="0"/>
      </w:pPr>
      <w:bookmarkStart w:id="74" w:name="_Toc129243266"/>
      <w:bookmarkStart w:id="75" w:name="_Toc129243141"/>
      <w:r>
        <w:t>3.</w:t>
      </w:r>
      <w:r>
        <w:tab/>
        <w:t xml:space="preserve">Kaip vartoti </w:t>
      </w:r>
      <w:bookmarkEnd w:id="74"/>
      <w:bookmarkEnd w:id="75"/>
      <w:r>
        <w:t>ALTIVA</w:t>
      </w:r>
    </w:p>
    <w:p w:rsidR="00C77025" w:rsidRDefault="00C77025" w:rsidP="00C77025">
      <w:pPr>
        <w:pStyle w:val="BTEMEASMCA"/>
      </w:pPr>
    </w:p>
    <w:p w:rsidR="00C77025" w:rsidRDefault="00C77025" w:rsidP="00C77025">
      <w:pPr>
        <w:numPr>
          <w:ilvl w:val="12"/>
          <w:numId w:val="0"/>
        </w:numPr>
        <w:ind w:right="-2"/>
        <w:rPr>
          <w:sz w:val="22"/>
          <w:szCs w:val="22"/>
        </w:rPr>
      </w:pPr>
      <w:r>
        <w:rPr>
          <w:sz w:val="22"/>
          <w:szCs w:val="22"/>
        </w:rPr>
        <w:t>Visada vartokite šį vaistą tiksliai kaip nurodė gydytojas arba vaistininkas. Jeigu abejojate, kreipkitės į gydytoją arba vaistininką.</w:t>
      </w:r>
    </w:p>
    <w:p w:rsidR="00C77025" w:rsidRDefault="00C77025" w:rsidP="00C77025">
      <w:pPr>
        <w:rPr>
          <w:sz w:val="22"/>
          <w:szCs w:val="22"/>
        </w:rPr>
      </w:pPr>
    </w:p>
    <w:p w:rsidR="00C77025" w:rsidRDefault="00C77025" w:rsidP="00C77025">
      <w:pPr>
        <w:rPr>
          <w:i/>
          <w:sz w:val="22"/>
          <w:szCs w:val="22"/>
        </w:rPr>
      </w:pPr>
      <w:r>
        <w:rPr>
          <w:i/>
          <w:sz w:val="22"/>
          <w:szCs w:val="22"/>
        </w:rPr>
        <w:t>Suaugusiems ir vyresniems nei 12 metų pacientams</w:t>
      </w:r>
    </w:p>
    <w:p w:rsidR="00C77025" w:rsidRDefault="00C77025" w:rsidP="00C77025">
      <w:pPr>
        <w:rPr>
          <w:sz w:val="22"/>
          <w:szCs w:val="22"/>
        </w:rPr>
      </w:pPr>
      <w:r>
        <w:rPr>
          <w:sz w:val="22"/>
          <w:szCs w:val="22"/>
        </w:rPr>
        <w:t xml:space="preserve">Rekomenduojama dozė yra viena tabletė (180 mg) per parą vartojama prieš valgį </w:t>
      </w:r>
      <w:r>
        <w:rPr>
          <w:color w:val="000000"/>
          <w:sz w:val="22"/>
          <w:szCs w:val="22"/>
        </w:rPr>
        <w:t>užgeriant stikline vandens</w:t>
      </w:r>
      <w:r>
        <w:rPr>
          <w:sz w:val="22"/>
          <w:szCs w:val="22"/>
        </w:rPr>
        <w:t xml:space="preserve">. </w:t>
      </w:r>
    </w:p>
    <w:p w:rsidR="00C77025" w:rsidRDefault="00C77025" w:rsidP="00C77025">
      <w:pPr>
        <w:pStyle w:val="PI-3EMEASMCA"/>
        <w:rPr>
          <w:i/>
        </w:rPr>
      </w:pPr>
    </w:p>
    <w:p w:rsidR="00C77025" w:rsidRDefault="00C77025" w:rsidP="00C77025">
      <w:pPr>
        <w:pStyle w:val="PI-3EMEASMCA"/>
      </w:pPr>
      <w:r>
        <w:t>Ką daryti  pavartojus per didelę Altiva dozę?</w:t>
      </w:r>
    </w:p>
    <w:p w:rsidR="00C77025" w:rsidRDefault="00C77025" w:rsidP="00C77025">
      <w:pPr>
        <w:jc w:val="both"/>
        <w:rPr>
          <w:sz w:val="22"/>
          <w:szCs w:val="22"/>
        </w:rPr>
      </w:pPr>
      <w:r>
        <w:rPr>
          <w:sz w:val="22"/>
          <w:szCs w:val="22"/>
        </w:rPr>
        <w:t xml:space="preserve">Jeigu išgėrėte šio vaisto per daug, reikia nedelsiant kreiptis į gydytoją arba vykti į artimiausią ligoninės skubiosios pagalbos skyrių. </w:t>
      </w:r>
    </w:p>
    <w:p w:rsidR="00C77025" w:rsidRDefault="00C77025" w:rsidP="00C77025">
      <w:pPr>
        <w:jc w:val="both"/>
        <w:rPr>
          <w:sz w:val="22"/>
          <w:szCs w:val="22"/>
        </w:rPr>
      </w:pPr>
      <w:r>
        <w:rPr>
          <w:sz w:val="22"/>
          <w:szCs w:val="22"/>
        </w:rPr>
        <w:t>Feksofenadino hidrochlorido perdozavimo požymiai suaugusiesiems yra svaigulys, mieguistumas, nuovargis ir burnos džiūvimas.</w:t>
      </w:r>
    </w:p>
    <w:p w:rsidR="00C77025" w:rsidRDefault="00C77025" w:rsidP="00C77025">
      <w:pPr>
        <w:pStyle w:val="BTEMEASMCA"/>
        <w:rPr>
          <w:lang w:val="lt-LT"/>
        </w:rPr>
      </w:pPr>
    </w:p>
    <w:p w:rsidR="00C77025" w:rsidRDefault="00C77025" w:rsidP="00C77025">
      <w:pPr>
        <w:pStyle w:val="PI-3EMEASMCA"/>
      </w:pPr>
      <w:r>
        <w:t>Pamiršus pavartoti Altiva</w:t>
      </w:r>
    </w:p>
    <w:p w:rsidR="00C77025" w:rsidRDefault="00C77025" w:rsidP="00C77025">
      <w:pPr>
        <w:rPr>
          <w:sz w:val="22"/>
          <w:szCs w:val="22"/>
        </w:rPr>
      </w:pPr>
      <w:r>
        <w:rPr>
          <w:sz w:val="22"/>
          <w:szCs w:val="22"/>
        </w:rPr>
        <w:t xml:space="preserve">Negalima vartoti dvigubos dozės norint kompensuoti praleistą dozę. Pamiršus išgerti vaisto, sekančią dozę reikia išgerti įprastu, gydytojo paskirtu laiku. </w:t>
      </w:r>
    </w:p>
    <w:p w:rsidR="00C77025" w:rsidRDefault="00C77025" w:rsidP="00C77025">
      <w:pPr>
        <w:pStyle w:val="PI-3EMEASMCA"/>
      </w:pPr>
    </w:p>
    <w:p w:rsidR="00C77025" w:rsidRDefault="00C77025" w:rsidP="00C77025">
      <w:pPr>
        <w:pStyle w:val="PI-3EMEASMCA"/>
      </w:pPr>
      <w:r>
        <w:t>Nustojus vartoti Altiva</w:t>
      </w:r>
    </w:p>
    <w:p w:rsidR="00C77025" w:rsidRDefault="00C77025" w:rsidP="00C77025">
      <w:pPr>
        <w:pStyle w:val="PI-3EMEASMCA"/>
        <w:rPr>
          <w:b w:val="0"/>
        </w:rPr>
      </w:pPr>
      <w:r>
        <w:rPr>
          <w:b w:val="0"/>
        </w:rPr>
        <w:lastRenderedPageBreak/>
        <w:t xml:space="preserve">Pasakykite savo gydytojui, jei norite nutraukti Altiva vartojimą dar nepasibaigus gydymo kursui. Jei nustosite vartoti Altiva anksčiau, Jūsų ligos simptomai gali atsinaujinti. </w:t>
      </w:r>
    </w:p>
    <w:p w:rsidR="00C77025" w:rsidRDefault="00C77025" w:rsidP="00C77025">
      <w:pPr>
        <w:pStyle w:val="PI-3EMEASMCA"/>
        <w:rPr>
          <w:b w:val="0"/>
        </w:rPr>
      </w:pPr>
    </w:p>
    <w:p w:rsidR="00C77025" w:rsidRDefault="00C77025" w:rsidP="00C77025">
      <w:pPr>
        <w:pStyle w:val="PI-3EMEASMCA"/>
        <w:rPr>
          <w:b w:val="0"/>
        </w:rPr>
      </w:pPr>
      <w:r>
        <w:rPr>
          <w:b w:val="0"/>
        </w:rPr>
        <w:t>Jeigu kiltų daugiau klausimų dėl šio vaisto vartojimo, kreipkitės į gydytoją arba vaistininką.</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EMEASMCA"/>
        <w:ind w:left="0" w:firstLine="0"/>
      </w:pPr>
      <w:bookmarkStart w:id="76" w:name="_Toc129243267"/>
      <w:bookmarkStart w:id="77" w:name="_Toc129243142"/>
      <w:r>
        <w:t>4.</w:t>
      </w:r>
      <w:r>
        <w:tab/>
        <w:t>Galimas šalutinis poveikis</w:t>
      </w:r>
      <w:bookmarkEnd w:id="76"/>
      <w:bookmarkEnd w:id="77"/>
    </w:p>
    <w:p w:rsidR="00C77025" w:rsidRDefault="00C77025" w:rsidP="00C77025">
      <w:pPr>
        <w:pStyle w:val="BTEMEASMCA"/>
        <w:rPr>
          <w:lang w:val="lt-LT"/>
        </w:rPr>
      </w:pPr>
    </w:p>
    <w:p w:rsidR="00C77025" w:rsidRDefault="00C77025" w:rsidP="00C77025">
      <w:pPr>
        <w:pStyle w:val="BTEMEASMCA"/>
        <w:rPr>
          <w:lang w:val="lt-LT"/>
        </w:rPr>
      </w:pPr>
      <w:r>
        <w:rPr>
          <w:lang w:val="lt-LT"/>
        </w:rPr>
        <w:t>Šis vaistas, kaip ir visi kiti, gali sukelti šalutinį poveikį, nors jis pasireiškia ne visiems žmonėms.</w:t>
      </w:r>
    </w:p>
    <w:p w:rsidR="00C77025" w:rsidRDefault="00C77025" w:rsidP="00C77025">
      <w:pPr>
        <w:pStyle w:val="BTEMEASMCA"/>
        <w:rPr>
          <w:lang w:val="lt-LT"/>
        </w:rPr>
      </w:pPr>
    </w:p>
    <w:p w:rsidR="00C77025" w:rsidRDefault="00C77025" w:rsidP="00C77025">
      <w:pPr>
        <w:rPr>
          <w:b/>
          <w:sz w:val="22"/>
          <w:szCs w:val="22"/>
        </w:rPr>
      </w:pPr>
      <w:r>
        <w:rPr>
          <w:b/>
          <w:sz w:val="22"/>
          <w:szCs w:val="22"/>
        </w:rPr>
        <w:t>Nedelsiant praneškite savo gydytojui ir nustokite vartoti Altiva, jei Jums pasireiškė:</w:t>
      </w:r>
    </w:p>
    <w:p w:rsidR="00C77025" w:rsidRDefault="00C77025" w:rsidP="00C77025">
      <w:pPr>
        <w:pStyle w:val="BT-EMEASMCA"/>
        <w:numPr>
          <w:ilvl w:val="0"/>
          <w:numId w:val="2"/>
        </w:numPr>
      </w:pPr>
      <w:r>
        <w:t xml:space="preserve">veido, lūpų, liežuvio ar gerklės patinimas ir sunkumas kvėpuoti, nes tai gali būti sunkios alerginės reakcijos požymiai. </w:t>
      </w:r>
    </w:p>
    <w:p w:rsidR="00C77025" w:rsidRDefault="00C77025" w:rsidP="00C77025">
      <w:pPr>
        <w:pStyle w:val="BT-EMEASMCA"/>
      </w:pPr>
    </w:p>
    <w:p w:rsidR="00C77025" w:rsidRDefault="00C77025" w:rsidP="00C77025">
      <w:pPr>
        <w:pStyle w:val="BT-EMEASMCA"/>
      </w:pPr>
      <w:r>
        <w:rPr>
          <w:b/>
        </w:rPr>
        <w:t>Dažnas šalutinis poveikis</w:t>
      </w:r>
      <w:r>
        <w:t xml:space="preserve"> (gali pasireikšti mažiau kaip 1 iš 10 žmonių):</w:t>
      </w:r>
    </w:p>
    <w:p w:rsidR="00C77025" w:rsidRDefault="00C77025" w:rsidP="00C77025">
      <w:pPr>
        <w:pStyle w:val="BT-EMEASMCA"/>
        <w:numPr>
          <w:ilvl w:val="0"/>
          <w:numId w:val="2"/>
        </w:numPr>
      </w:pPr>
      <w:r>
        <w:t>galvos skausmas;</w:t>
      </w:r>
    </w:p>
    <w:p w:rsidR="00C77025" w:rsidRDefault="00C77025" w:rsidP="00C77025">
      <w:pPr>
        <w:pStyle w:val="BT-EMEASMCA"/>
        <w:numPr>
          <w:ilvl w:val="0"/>
          <w:numId w:val="2"/>
        </w:numPr>
      </w:pPr>
      <w:r>
        <w:t>mieguistumas;</w:t>
      </w:r>
    </w:p>
    <w:p w:rsidR="00C77025" w:rsidRDefault="00C77025" w:rsidP="00C77025">
      <w:pPr>
        <w:pStyle w:val="BT-EMEASMCA"/>
        <w:numPr>
          <w:ilvl w:val="0"/>
          <w:numId w:val="2"/>
        </w:numPr>
      </w:pPr>
      <w:r>
        <w:t>šleikštulys (pykinimas);</w:t>
      </w:r>
    </w:p>
    <w:p w:rsidR="00C77025" w:rsidRDefault="00C77025" w:rsidP="00C77025">
      <w:pPr>
        <w:pStyle w:val="BT-EMEASMCA"/>
        <w:numPr>
          <w:ilvl w:val="0"/>
          <w:numId w:val="2"/>
        </w:numPr>
      </w:pPr>
      <w:r>
        <w:t>svaigulys.</w:t>
      </w:r>
    </w:p>
    <w:p w:rsidR="00C77025" w:rsidRDefault="00C77025" w:rsidP="00C77025">
      <w:pPr>
        <w:pStyle w:val="BT-EMEASMCA"/>
      </w:pPr>
    </w:p>
    <w:p w:rsidR="00C77025" w:rsidRDefault="00C77025" w:rsidP="00C77025">
      <w:pPr>
        <w:pStyle w:val="BT-EMEASMCA"/>
      </w:pPr>
      <w:r>
        <w:rPr>
          <w:b/>
        </w:rPr>
        <w:t>Nedažnas šalutinis poveikis</w:t>
      </w:r>
      <w:r>
        <w:t xml:space="preserve"> (gali pasireikšti mažiau kaip 1 iš 100 žmonių):</w:t>
      </w:r>
    </w:p>
    <w:p w:rsidR="00C77025" w:rsidRDefault="00C77025" w:rsidP="00C77025">
      <w:pPr>
        <w:pStyle w:val="BT-EMEASMCA"/>
        <w:numPr>
          <w:ilvl w:val="0"/>
          <w:numId w:val="2"/>
        </w:numPr>
      </w:pPr>
      <w:r>
        <w:t>nuovargis;</w:t>
      </w:r>
    </w:p>
    <w:p w:rsidR="00C77025" w:rsidRDefault="00C77025" w:rsidP="00C77025">
      <w:pPr>
        <w:pStyle w:val="BT-EMEASMCA"/>
        <w:numPr>
          <w:ilvl w:val="0"/>
          <w:numId w:val="2"/>
        </w:numPr>
      </w:pPr>
      <w:r>
        <w:t>mieguistumas.</w:t>
      </w:r>
    </w:p>
    <w:p w:rsidR="00C77025" w:rsidRDefault="00C77025" w:rsidP="00C77025">
      <w:pPr>
        <w:pStyle w:val="BT-EMEASMCA"/>
      </w:pPr>
    </w:p>
    <w:p w:rsidR="00C77025" w:rsidRDefault="00C77025" w:rsidP="00C77025">
      <w:pPr>
        <w:pStyle w:val="BT-EMEASMCA"/>
      </w:pPr>
      <w:r>
        <w:rPr>
          <w:b/>
        </w:rPr>
        <w:t>Kitas, galintis pasireikšti, šalutinis poveikis</w:t>
      </w:r>
      <w:r>
        <w:t xml:space="preserve"> (dažnis nežinomas: negali būti nustatytas pagal turimus duomenis):</w:t>
      </w:r>
    </w:p>
    <w:p w:rsidR="00C77025" w:rsidRDefault="00C77025" w:rsidP="00C77025">
      <w:pPr>
        <w:pStyle w:val="BT-EMEASMCA"/>
        <w:numPr>
          <w:ilvl w:val="0"/>
          <w:numId w:val="2"/>
        </w:numPr>
      </w:pPr>
      <w:r>
        <w:t>negalėjimas užmigti (nemiga);</w:t>
      </w:r>
    </w:p>
    <w:p w:rsidR="00C77025" w:rsidRDefault="00C77025" w:rsidP="00C77025">
      <w:pPr>
        <w:pStyle w:val="BT-EMEASMCA"/>
        <w:numPr>
          <w:ilvl w:val="0"/>
          <w:numId w:val="2"/>
        </w:numPr>
      </w:pPr>
      <w:r>
        <w:t>miego sutrikimai;</w:t>
      </w:r>
    </w:p>
    <w:p w:rsidR="00C77025" w:rsidRDefault="00C77025" w:rsidP="00C77025">
      <w:pPr>
        <w:pStyle w:val="BT-EMEASMCA"/>
        <w:numPr>
          <w:ilvl w:val="0"/>
          <w:numId w:val="2"/>
        </w:numPr>
      </w:pPr>
      <w:r>
        <w:t>košmarai;</w:t>
      </w:r>
    </w:p>
    <w:p w:rsidR="00C77025" w:rsidRDefault="00C77025" w:rsidP="00C77025">
      <w:pPr>
        <w:pStyle w:val="BT-EMEASMCA"/>
        <w:numPr>
          <w:ilvl w:val="0"/>
          <w:numId w:val="2"/>
        </w:numPr>
      </w:pPr>
      <w:r>
        <w:t>nervingumas;</w:t>
      </w:r>
    </w:p>
    <w:p w:rsidR="00C77025" w:rsidRDefault="00C77025" w:rsidP="00C77025">
      <w:pPr>
        <w:pStyle w:val="BT-EMEASMCA"/>
        <w:numPr>
          <w:ilvl w:val="0"/>
          <w:numId w:val="2"/>
        </w:numPr>
      </w:pPr>
      <w:r>
        <w:t>greitas arba nereguliarus širdies plakimas;</w:t>
      </w:r>
    </w:p>
    <w:p w:rsidR="00C77025" w:rsidRDefault="00C77025" w:rsidP="00C77025">
      <w:pPr>
        <w:pStyle w:val="BT-EMEASMCA"/>
        <w:numPr>
          <w:ilvl w:val="0"/>
          <w:numId w:val="2"/>
        </w:numPr>
      </w:pPr>
      <w:r>
        <w:t>viduriavimas;</w:t>
      </w:r>
    </w:p>
    <w:p w:rsidR="00C77025" w:rsidRDefault="00C77025" w:rsidP="00C77025">
      <w:pPr>
        <w:pStyle w:val="BT-EMEASMCA"/>
        <w:numPr>
          <w:ilvl w:val="0"/>
          <w:numId w:val="2"/>
        </w:numPr>
      </w:pPr>
      <w:r>
        <w:t>odos išbėrimai ir niežulys;</w:t>
      </w:r>
    </w:p>
    <w:p w:rsidR="00C77025" w:rsidRDefault="00C77025" w:rsidP="00C77025">
      <w:pPr>
        <w:pStyle w:val="BT-EMEASMCA"/>
        <w:numPr>
          <w:ilvl w:val="0"/>
          <w:numId w:val="2"/>
        </w:numPr>
      </w:pPr>
      <w:r>
        <w:t>dilgėlinė;</w:t>
      </w:r>
    </w:p>
    <w:p w:rsidR="00C77025" w:rsidRDefault="00C77025" w:rsidP="00C77025">
      <w:pPr>
        <w:pStyle w:val="BT-EMEASMCA"/>
        <w:numPr>
          <w:ilvl w:val="0"/>
          <w:numId w:val="2"/>
        </w:numPr>
      </w:pPr>
      <w:r>
        <w:t xml:space="preserve">sunkios alerginės reakcijos, pasireiškiančios veido, lūpų, liežuvio ar gerklės patinimu, paraudimu, spaudimu krūtinėje ir pasunkėjusiu kvėpavimu. </w:t>
      </w:r>
    </w:p>
    <w:p w:rsidR="00C77025" w:rsidRDefault="00C77025" w:rsidP="00C77025">
      <w:pPr>
        <w:pStyle w:val="prastasiniatinklio"/>
        <w:spacing w:before="0" w:beforeAutospacing="0" w:after="0"/>
        <w:rPr>
          <w:sz w:val="22"/>
          <w:szCs w:val="22"/>
        </w:rPr>
      </w:pPr>
    </w:p>
    <w:p w:rsidR="00C77025" w:rsidRDefault="00C77025" w:rsidP="00C77025">
      <w:pPr>
        <w:rPr>
          <w:b/>
          <w:sz w:val="22"/>
          <w:szCs w:val="22"/>
        </w:rPr>
      </w:pPr>
      <w:r>
        <w:rPr>
          <w:b/>
          <w:noProof/>
          <w:sz w:val="22"/>
          <w:szCs w:val="22"/>
        </w:rPr>
        <w:t>Pranešimas apie šalutinį poveikį</w:t>
      </w:r>
    </w:p>
    <w:p w:rsidR="00C77025" w:rsidRDefault="00C77025" w:rsidP="00C77025">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w:t>
      </w:r>
      <w:r>
        <w:rPr>
          <w:sz w:val="22"/>
          <w:szCs w:val="22"/>
        </w:rPr>
        <w:lastRenderedPageBreak/>
        <w:t>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77025" w:rsidRDefault="00C77025" w:rsidP="00C77025">
      <w:pPr>
        <w:pStyle w:val="BTEMEASMCA"/>
      </w:pPr>
    </w:p>
    <w:p w:rsidR="00C77025" w:rsidRDefault="00C77025" w:rsidP="00C77025">
      <w:pPr>
        <w:pStyle w:val="PI-1EMEASMCA"/>
        <w:ind w:left="0" w:firstLine="0"/>
      </w:pPr>
      <w:bookmarkStart w:id="78" w:name="_Toc129243268"/>
      <w:bookmarkStart w:id="79" w:name="_Toc129243143"/>
      <w:r>
        <w:t>5.</w:t>
      </w:r>
      <w:r>
        <w:tab/>
        <w:t xml:space="preserve">Kaip laikyti </w:t>
      </w:r>
      <w:bookmarkEnd w:id="78"/>
      <w:bookmarkEnd w:id="79"/>
      <w:r>
        <w:t>Altiva</w:t>
      </w:r>
    </w:p>
    <w:p w:rsidR="00C77025" w:rsidRDefault="00C77025" w:rsidP="00C77025">
      <w:pPr>
        <w:pStyle w:val="BTEMEASMCA"/>
      </w:pPr>
    </w:p>
    <w:p w:rsidR="00C77025" w:rsidRDefault="00C77025" w:rsidP="00C77025">
      <w:pPr>
        <w:rPr>
          <w:sz w:val="22"/>
          <w:szCs w:val="22"/>
        </w:rPr>
      </w:pPr>
      <w:r>
        <w:rPr>
          <w:sz w:val="22"/>
          <w:szCs w:val="22"/>
        </w:rPr>
        <w:t>Šį vaistą laikykite vaikams nepastebimoje ir nepasiekiamoje vietoje.</w:t>
      </w:r>
    </w:p>
    <w:p w:rsidR="00C77025" w:rsidRDefault="00C77025" w:rsidP="00C77025">
      <w:pPr>
        <w:rPr>
          <w:sz w:val="22"/>
          <w:szCs w:val="22"/>
        </w:rPr>
      </w:pPr>
    </w:p>
    <w:p w:rsidR="00C77025" w:rsidRDefault="00C77025" w:rsidP="00C77025">
      <w:pPr>
        <w:rPr>
          <w:sz w:val="22"/>
          <w:szCs w:val="22"/>
        </w:rPr>
      </w:pPr>
      <w:r>
        <w:rPr>
          <w:sz w:val="22"/>
          <w:szCs w:val="22"/>
        </w:rPr>
        <w:t>Laikyti ne aukštesnėje kaip 25</w:t>
      </w:r>
      <w:r>
        <w:rPr>
          <w:sz w:val="22"/>
          <w:szCs w:val="22"/>
          <w:vertAlign w:val="superscript"/>
        </w:rPr>
        <w:t xml:space="preserve">0 </w:t>
      </w:r>
      <w:r>
        <w:rPr>
          <w:sz w:val="22"/>
          <w:szCs w:val="22"/>
        </w:rPr>
        <w:t>C temperatūroje.</w:t>
      </w:r>
    </w:p>
    <w:p w:rsidR="00C77025" w:rsidRDefault="00C77025" w:rsidP="00C77025">
      <w:pPr>
        <w:rPr>
          <w:sz w:val="22"/>
          <w:szCs w:val="22"/>
        </w:rPr>
      </w:pPr>
      <w:r>
        <w:rPr>
          <w:sz w:val="22"/>
          <w:szCs w:val="22"/>
        </w:rPr>
        <w:t xml:space="preserve">Laikyti gamintojo pakuotėje, kad </w:t>
      </w:r>
      <w:r w:rsidR="00492E2B">
        <w:rPr>
          <w:sz w:val="22"/>
          <w:szCs w:val="22"/>
        </w:rPr>
        <w:t>vaistas</w:t>
      </w:r>
      <w:r>
        <w:rPr>
          <w:sz w:val="22"/>
          <w:szCs w:val="22"/>
        </w:rPr>
        <w:t xml:space="preserve"> būtų apsaugotas nuo drėgmės</w:t>
      </w:r>
    </w:p>
    <w:p w:rsidR="00C77025" w:rsidRDefault="00C77025" w:rsidP="00C77025">
      <w:pPr>
        <w:rPr>
          <w:sz w:val="22"/>
          <w:szCs w:val="22"/>
        </w:rPr>
      </w:pPr>
      <w:r>
        <w:rPr>
          <w:sz w:val="22"/>
          <w:szCs w:val="22"/>
        </w:rPr>
        <w:t>Ant dėžutės ir lizdinės plokštelės po „EXP“ nurodytam tinkamumo laikui pasibaigus, šio vaisto vartoti negalima. Vaistas tinkamas vartoti iki paskutinės nurodyto mėnesio dienos.</w:t>
      </w:r>
    </w:p>
    <w:p w:rsidR="00C77025" w:rsidRDefault="00C77025" w:rsidP="00C77025">
      <w:pPr>
        <w:pStyle w:val="BTEMEASMCA"/>
        <w:rPr>
          <w:lang w:val="lt-LT"/>
        </w:rPr>
      </w:pPr>
    </w:p>
    <w:p w:rsidR="00C77025" w:rsidRDefault="00C77025" w:rsidP="00C77025">
      <w:pPr>
        <w:pStyle w:val="BTEMEASMCA"/>
        <w:rPr>
          <w:lang w:val="lt-LT"/>
        </w:rPr>
      </w:pPr>
      <w:r>
        <w:rPr>
          <w:lang w:val="lt-LT"/>
        </w:rPr>
        <w:t>Vaistų negalima išmesti į kanalizaciją arba su buitinėmis atliekomis. Kaip išmesti nereikalingus vaistus, klauskite vaistininko. Šios priemonės padės apsaugoti aplinką.</w:t>
      </w:r>
    </w:p>
    <w:p w:rsidR="00C77025" w:rsidRDefault="00C77025" w:rsidP="00C77025">
      <w:pPr>
        <w:pStyle w:val="BTEMEASMCA"/>
        <w:rPr>
          <w:lang w:val="lt-LT"/>
        </w:rPr>
      </w:pPr>
    </w:p>
    <w:p w:rsidR="00C77025" w:rsidRDefault="00C77025" w:rsidP="00C77025">
      <w:pPr>
        <w:pStyle w:val="BTEMEASMCA"/>
        <w:rPr>
          <w:lang w:val="lt-LT"/>
        </w:rPr>
      </w:pPr>
    </w:p>
    <w:p w:rsidR="00C77025" w:rsidRDefault="00C77025" w:rsidP="00C77025">
      <w:pPr>
        <w:pStyle w:val="PI-1EMEASMCA"/>
        <w:ind w:left="0" w:firstLine="0"/>
      </w:pPr>
      <w:bookmarkStart w:id="80" w:name="_Toc129243269"/>
      <w:bookmarkStart w:id="81" w:name="_Toc129243144"/>
      <w:r>
        <w:t>6.</w:t>
      </w:r>
      <w:r>
        <w:tab/>
        <w:t>Pakuotės turinys ir kita informacija</w:t>
      </w:r>
      <w:bookmarkEnd w:id="80"/>
      <w:bookmarkEnd w:id="81"/>
    </w:p>
    <w:p w:rsidR="00C77025" w:rsidRDefault="00C77025" w:rsidP="00C77025">
      <w:pPr>
        <w:pStyle w:val="BTEMEASMCA"/>
      </w:pPr>
    </w:p>
    <w:p w:rsidR="00C77025" w:rsidRDefault="00C77025" w:rsidP="00C77025">
      <w:pPr>
        <w:pStyle w:val="PI-3EMEASMCA"/>
      </w:pPr>
      <w:r>
        <w:t>Altiva sudėtis</w:t>
      </w:r>
    </w:p>
    <w:p w:rsidR="00C77025" w:rsidRDefault="00C77025" w:rsidP="00C77025">
      <w:pPr>
        <w:pStyle w:val="BT-EMEASMCA"/>
      </w:pPr>
      <w:r>
        <w:t xml:space="preserve">Veiklioji medžiaga yra feksofenadino hidrochloridas. Kiekvienoje tabletėje yra 180 mg feksofenadino hidrochlorido. </w:t>
      </w:r>
    </w:p>
    <w:p w:rsidR="00C77025" w:rsidRDefault="00C77025" w:rsidP="00C77025">
      <w:pPr>
        <w:pStyle w:val="BT-EMEASMCA"/>
      </w:pPr>
      <w:r>
        <w:t>Pagalbinės medžiagos yra kroskarmeliozės natrio druska, mikrokristalinė celiuliozė, pregelifikuotas kukurūzų krakmolas, koloidinis bevandenis silicio dioksidas, povidonas, magnio stearatas. Rašalas: šelakas, juodasis geležies oksidas (E 172), propilenglikolis.</w:t>
      </w:r>
    </w:p>
    <w:p w:rsidR="00C77025" w:rsidRDefault="00C77025" w:rsidP="00C77025">
      <w:pPr>
        <w:pStyle w:val="BT-EMEASMCA"/>
      </w:pPr>
    </w:p>
    <w:p w:rsidR="00C77025" w:rsidRDefault="00C77025" w:rsidP="00C77025">
      <w:pPr>
        <w:pStyle w:val="PI-3EMEASMCA"/>
      </w:pPr>
      <w:r>
        <w:t>Altiva išvaizda ir kiekis pakuotėje</w:t>
      </w:r>
    </w:p>
    <w:p w:rsidR="00C77025" w:rsidRDefault="00C77025" w:rsidP="00C77025">
      <w:pPr>
        <w:rPr>
          <w:sz w:val="22"/>
          <w:szCs w:val="22"/>
        </w:rPr>
      </w:pPr>
      <w:r>
        <w:rPr>
          <w:sz w:val="22"/>
          <w:szCs w:val="22"/>
        </w:rPr>
        <w:t>Altiva 180 mg plėvele dengta tabletė yra persiko spalvos, kurios vienoje pusėje juodu rašalu užrašyta „Altiva 180“.</w:t>
      </w:r>
    </w:p>
    <w:p w:rsidR="00C77025" w:rsidRDefault="00C77025" w:rsidP="00C77025">
      <w:pPr>
        <w:pStyle w:val="BTEMEASMCA"/>
        <w:rPr>
          <w:lang w:val="lt-LT"/>
        </w:rPr>
      </w:pPr>
    </w:p>
    <w:p w:rsidR="00C77025" w:rsidRDefault="00C77025" w:rsidP="00C77025">
      <w:pPr>
        <w:rPr>
          <w:sz w:val="22"/>
          <w:szCs w:val="22"/>
        </w:rPr>
      </w:pPr>
      <w:r>
        <w:rPr>
          <w:sz w:val="22"/>
          <w:szCs w:val="22"/>
        </w:rPr>
        <w:t>Polivinilchlorido ir polivinildichlorido lizdinė plokštelė, kurioje yra 10 tablečių. Dėžutėje yra viena arba trys lizdinės plokštelės.</w:t>
      </w:r>
    </w:p>
    <w:p w:rsidR="00C77025" w:rsidRDefault="00C77025" w:rsidP="00C77025">
      <w:pPr>
        <w:rPr>
          <w:sz w:val="22"/>
          <w:szCs w:val="22"/>
        </w:rPr>
      </w:pPr>
      <w:r>
        <w:rPr>
          <w:sz w:val="22"/>
          <w:szCs w:val="22"/>
        </w:rPr>
        <w:t>Gali būti tiekiamos ne visų dydžių pakuotės.</w:t>
      </w:r>
    </w:p>
    <w:p w:rsidR="00C77025" w:rsidRDefault="00C77025" w:rsidP="00C77025">
      <w:pPr>
        <w:pStyle w:val="BTEMEASMCA"/>
        <w:rPr>
          <w:lang w:val="lt-LT"/>
        </w:rPr>
      </w:pPr>
    </w:p>
    <w:p w:rsidR="00C77025" w:rsidRDefault="00C77025" w:rsidP="00C77025">
      <w:pPr>
        <w:pStyle w:val="PI-3EMEASMCA"/>
      </w:pPr>
      <w:r>
        <w:t>Registruotojas ir gamintojas</w:t>
      </w:r>
    </w:p>
    <w:p w:rsidR="00C77025" w:rsidRDefault="00C77025" w:rsidP="00C77025">
      <w:pPr>
        <w:pStyle w:val="BTEMEASMCA"/>
      </w:pPr>
    </w:p>
    <w:p w:rsidR="00C77025" w:rsidRDefault="00C77025" w:rsidP="00C77025">
      <w:pPr>
        <w:rPr>
          <w:i/>
          <w:sz w:val="22"/>
          <w:szCs w:val="22"/>
        </w:rPr>
      </w:pPr>
      <w:r>
        <w:rPr>
          <w:i/>
          <w:sz w:val="22"/>
          <w:szCs w:val="22"/>
        </w:rPr>
        <w:t>Registruotojas</w:t>
      </w:r>
    </w:p>
    <w:p w:rsidR="00C77025" w:rsidRPr="004D7CF8" w:rsidRDefault="00C77025" w:rsidP="00C77025">
      <w:pPr>
        <w:rPr>
          <w:rFonts w:eastAsia="Arial Unicode MS"/>
          <w:noProof/>
        </w:rPr>
      </w:pPr>
      <w:r w:rsidRPr="004D7CF8">
        <w:rPr>
          <w:rFonts w:eastAsia="Arial Unicode MS"/>
          <w:noProof/>
        </w:rPr>
        <w:t>Sun Pharmaceutical Industries Europe B.V.</w:t>
      </w:r>
    </w:p>
    <w:p w:rsidR="00C77025" w:rsidRPr="004D7CF8" w:rsidRDefault="00C77025" w:rsidP="00C77025">
      <w:pPr>
        <w:rPr>
          <w:rFonts w:eastAsia="Arial Unicode MS"/>
          <w:noProof/>
        </w:rPr>
      </w:pPr>
      <w:r w:rsidRPr="004D7CF8">
        <w:rPr>
          <w:rFonts w:eastAsia="Arial Unicode MS"/>
          <w:noProof/>
        </w:rPr>
        <w:t>Polarisavenue 87</w:t>
      </w:r>
    </w:p>
    <w:p w:rsidR="00C77025" w:rsidRPr="004D7CF8" w:rsidRDefault="00C77025" w:rsidP="00C77025">
      <w:pPr>
        <w:rPr>
          <w:rFonts w:eastAsia="Arial Unicode MS"/>
          <w:noProof/>
        </w:rPr>
      </w:pPr>
      <w:r w:rsidRPr="004D7CF8">
        <w:rPr>
          <w:rFonts w:eastAsia="Arial Unicode MS"/>
          <w:noProof/>
        </w:rPr>
        <w:t>2132JH Hoofddorp</w:t>
      </w:r>
    </w:p>
    <w:p w:rsidR="00C77025" w:rsidRDefault="00492E2B" w:rsidP="00C77025">
      <w:r>
        <w:rPr>
          <w:rFonts w:eastAsia="Arial Unicode MS"/>
          <w:noProof/>
        </w:rPr>
        <w:lastRenderedPageBreak/>
        <w:t>Nyderlandai</w:t>
      </w:r>
    </w:p>
    <w:p w:rsidR="00C77025" w:rsidRDefault="00C77025" w:rsidP="00C77025">
      <w:pPr>
        <w:pStyle w:val="BTEMEASMCA"/>
      </w:pPr>
    </w:p>
    <w:p w:rsidR="00C77025" w:rsidRDefault="00C77025" w:rsidP="00C77025">
      <w:pPr>
        <w:rPr>
          <w:i/>
          <w:sz w:val="22"/>
          <w:szCs w:val="22"/>
        </w:rPr>
      </w:pPr>
      <w:r>
        <w:rPr>
          <w:i/>
          <w:sz w:val="22"/>
          <w:szCs w:val="22"/>
        </w:rPr>
        <w:t xml:space="preserve">Gamintojai </w:t>
      </w:r>
    </w:p>
    <w:p w:rsidR="00C77025" w:rsidRDefault="00C77025" w:rsidP="00C77025">
      <w:pPr>
        <w:rPr>
          <w:iCs/>
          <w:sz w:val="22"/>
          <w:szCs w:val="22"/>
        </w:rPr>
      </w:pPr>
      <w:r>
        <w:rPr>
          <w:iCs/>
          <w:sz w:val="22"/>
          <w:szCs w:val="22"/>
        </w:rPr>
        <w:t>Ranbaxy Ireland Limited,</w:t>
      </w:r>
    </w:p>
    <w:p w:rsidR="00C77025" w:rsidRDefault="00C77025" w:rsidP="00C77025">
      <w:pPr>
        <w:rPr>
          <w:iCs/>
          <w:sz w:val="22"/>
          <w:szCs w:val="22"/>
        </w:rPr>
      </w:pPr>
      <w:r>
        <w:rPr>
          <w:iCs/>
          <w:sz w:val="22"/>
          <w:szCs w:val="22"/>
        </w:rPr>
        <w:t>Spafield, Cork Road, Cashel, Co-Tipperary, Airija</w:t>
      </w:r>
    </w:p>
    <w:p w:rsidR="00C77025" w:rsidRDefault="00C77025" w:rsidP="00C77025">
      <w:pPr>
        <w:rPr>
          <w:sz w:val="22"/>
          <w:szCs w:val="22"/>
        </w:rPr>
      </w:pPr>
    </w:p>
    <w:p w:rsidR="00C77025" w:rsidRDefault="00C77025" w:rsidP="00C77025">
      <w:pPr>
        <w:rPr>
          <w:sz w:val="22"/>
          <w:szCs w:val="22"/>
        </w:rPr>
      </w:pPr>
      <w:r>
        <w:rPr>
          <w:sz w:val="22"/>
          <w:szCs w:val="22"/>
        </w:rPr>
        <w:t>arba</w:t>
      </w:r>
    </w:p>
    <w:p w:rsidR="00C77025" w:rsidRDefault="00C77025" w:rsidP="00C77025">
      <w:pPr>
        <w:rPr>
          <w:sz w:val="22"/>
          <w:szCs w:val="22"/>
        </w:rPr>
      </w:pPr>
    </w:p>
    <w:p w:rsidR="00C77025" w:rsidRDefault="00C77025" w:rsidP="00C77025">
      <w:pPr>
        <w:rPr>
          <w:iCs/>
          <w:sz w:val="22"/>
          <w:szCs w:val="22"/>
        </w:rPr>
      </w:pPr>
      <w:r>
        <w:rPr>
          <w:iCs/>
          <w:sz w:val="22"/>
          <w:szCs w:val="22"/>
        </w:rPr>
        <w:t>Cemelog BRS Kft.</w:t>
      </w:r>
    </w:p>
    <w:p w:rsidR="00C77025" w:rsidRDefault="00C77025" w:rsidP="00C77025">
      <w:pPr>
        <w:rPr>
          <w:sz w:val="22"/>
          <w:szCs w:val="22"/>
        </w:rPr>
      </w:pPr>
      <w:r>
        <w:rPr>
          <w:sz w:val="22"/>
          <w:szCs w:val="22"/>
        </w:rPr>
        <w:t>Budaörs, Vasút u.2., 2040, Vengrija</w:t>
      </w:r>
    </w:p>
    <w:p w:rsidR="00C77025" w:rsidRDefault="00C77025" w:rsidP="00C77025">
      <w:pPr>
        <w:rPr>
          <w:sz w:val="22"/>
          <w:szCs w:val="22"/>
        </w:rPr>
      </w:pPr>
    </w:p>
    <w:p w:rsidR="00C77025" w:rsidRDefault="00C77025" w:rsidP="00C77025">
      <w:pPr>
        <w:rPr>
          <w:sz w:val="22"/>
          <w:szCs w:val="22"/>
        </w:rPr>
      </w:pPr>
      <w:r>
        <w:rPr>
          <w:sz w:val="22"/>
          <w:szCs w:val="22"/>
        </w:rPr>
        <w:t>arba</w:t>
      </w:r>
    </w:p>
    <w:p w:rsidR="00C77025" w:rsidRDefault="00C77025" w:rsidP="00C77025">
      <w:pPr>
        <w:rPr>
          <w:sz w:val="22"/>
          <w:szCs w:val="22"/>
        </w:rPr>
      </w:pPr>
    </w:p>
    <w:p w:rsidR="00C77025" w:rsidRDefault="00C77025" w:rsidP="00C77025">
      <w:pPr>
        <w:rPr>
          <w:sz w:val="22"/>
          <w:szCs w:val="22"/>
        </w:rPr>
      </w:pPr>
      <w:r>
        <w:rPr>
          <w:sz w:val="22"/>
          <w:szCs w:val="22"/>
        </w:rPr>
        <w:t>Olainfarm JSC,</w:t>
      </w:r>
    </w:p>
    <w:p w:rsidR="00C77025" w:rsidRDefault="00C77025" w:rsidP="00C77025">
      <w:pPr>
        <w:rPr>
          <w:sz w:val="22"/>
          <w:szCs w:val="22"/>
        </w:rPr>
      </w:pPr>
      <w:r>
        <w:rPr>
          <w:sz w:val="22"/>
          <w:szCs w:val="22"/>
        </w:rPr>
        <w:t xml:space="preserve">Rupnicu 5, Olaine, Riga, Latvija </w:t>
      </w:r>
    </w:p>
    <w:p w:rsidR="00C77025" w:rsidRDefault="00C77025" w:rsidP="00C77025">
      <w:pPr>
        <w:rPr>
          <w:sz w:val="22"/>
          <w:szCs w:val="22"/>
        </w:rPr>
      </w:pPr>
    </w:p>
    <w:p w:rsidR="00C77025" w:rsidRDefault="00C77025" w:rsidP="00C77025">
      <w:pPr>
        <w:rPr>
          <w:sz w:val="22"/>
          <w:szCs w:val="22"/>
        </w:rPr>
      </w:pPr>
      <w:r>
        <w:rPr>
          <w:sz w:val="22"/>
          <w:szCs w:val="22"/>
        </w:rPr>
        <w:t>arba</w:t>
      </w:r>
    </w:p>
    <w:p w:rsidR="00C77025" w:rsidRDefault="00C77025" w:rsidP="00C77025">
      <w:pPr>
        <w:rPr>
          <w:sz w:val="22"/>
          <w:szCs w:val="22"/>
        </w:rPr>
      </w:pPr>
    </w:p>
    <w:p w:rsidR="00C77025" w:rsidRDefault="00C77025" w:rsidP="00C77025">
      <w:pPr>
        <w:rPr>
          <w:sz w:val="22"/>
          <w:szCs w:val="22"/>
        </w:rPr>
      </w:pPr>
      <w:r>
        <w:rPr>
          <w:sz w:val="22"/>
          <w:szCs w:val="22"/>
        </w:rPr>
        <w:t>TERAPIA S.A</w:t>
      </w:r>
    </w:p>
    <w:p w:rsidR="00C77025" w:rsidRDefault="00C77025" w:rsidP="00C77025">
      <w:pPr>
        <w:rPr>
          <w:sz w:val="22"/>
          <w:szCs w:val="22"/>
        </w:rPr>
      </w:pPr>
      <w:r>
        <w:rPr>
          <w:sz w:val="22"/>
          <w:szCs w:val="22"/>
        </w:rPr>
        <w:t>124 Fabricii Street, 400632 Cluj Napoca, Rumunija</w:t>
      </w:r>
    </w:p>
    <w:p w:rsidR="00C77025" w:rsidRDefault="00C77025" w:rsidP="00C77025">
      <w:pPr>
        <w:pStyle w:val="BTEMEASMCA"/>
      </w:pPr>
    </w:p>
    <w:p w:rsidR="00C77025" w:rsidRDefault="00C77025" w:rsidP="00C77025">
      <w:pPr>
        <w:pStyle w:val="BTEMEASMCA"/>
      </w:pPr>
    </w:p>
    <w:p w:rsidR="00C77025" w:rsidRDefault="00C77025" w:rsidP="00C77025">
      <w:pPr>
        <w:pStyle w:val="BTEMEASMCA"/>
      </w:pPr>
      <w:r>
        <w:t>Jeigu apie šį vaistą norite sužinoti daugiau, kreipkitės į vietinį registruotojo atstovą.</w:t>
      </w:r>
    </w:p>
    <w:p w:rsidR="00C77025" w:rsidRDefault="00C77025" w:rsidP="00C77025">
      <w:pPr>
        <w:rPr>
          <w:sz w:val="22"/>
          <w:szCs w:val="22"/>
        </w:rPr>
      </w:pPr>
    </w:p>
    <w:tbl>
      <w:tblPr>
        <w:tblW w:w="4680" w:type="dxa"/>
        <w:tblInd w:w="-34" w:type="dxa"/>
        <w:tblLayout w:type="fixed"/>
        <w:tblLook w:val="00A0" w:firstRow="1" w:lastRow="0" w:firstColumn="1" w:lastColumn="0" w:noHBand="0" w:noVBand="0"/>
      </w:tblPr>
      <w:tblGrid>
        <w:gridCol w:w="4680"/>
      </w:tblGrid>
      <w:tr w:rsidR="00C77025" w:rsidTr="00C77025">
        <w:tc>
          <w:tcPr>
            <w:tcW w:w="4678" w:type="dxa"/>
            <w:hideMark/>
          </w:tcPr>
          <w:p w:rsidR="00C77025" w:rsidRDefault="00C77025">
            <w:pPr>
              <w:spacing w:line="276" w:lineRule="auto"/>
              <w:rPr>
                <w:sz w:val="22"/>
                <w:szCs w:val="22"/>
                <w:lang w:val="en-US"/>
              </w:rPr>
            </w:pPr>
            <w:r>
              <w:rPr>
                <w:sz w:val="22"/>
                <w:szCs w:val="22"/>
                <w:lang w:val="en-US"/>
              </w:rPr>
              <w:t>Sun Pharmaceutical Industries Limited atstovybė</w:t>
            </w:r>
          </w:p>
          <w:p w:rsidR="00C77025" w:rsidRDefault="00C77025">
            <w:pPr>
              <w:spacing w:line="276" w:lineRule="auto"/>
              <w:rPr>
                <w:sz w:val="22"/>
                <w:szCs w:val="22"/>
                <w:lang w:val="en-US"/>
              </w:rPr>
            </w:pPr>
            <w:r>
              <w:rPr>
                <w:sz w:val="22"/>
                <w:szCs w:val="22"/>
                <w:lang w:val="en-US"/>
              </w:rPr>
              <w:t>Karaliaus Mindaugo pr. 68-3, Kaunas</w:t>
            </w:r>
          </w:p>
          <w:p w:rsidR="00C77025" w:rsidRDefault="00C77025">
            <w:pPr>
              <w:tabs>
                <w:tab w:val="left" w:pos="-720"/>
              </w:tabs>
              <w:suppressAutoHyphens/>
              <w:spacing w:line="276" w:lineRule="auto"/>
              <w:rPr>
                <w:sz w:val="22"/>
                <w:szCs w:val="22"/>
                <w:lang w:val="en-US"/>
              </w:rPr>
            </w:pPr>
            <w:r>
              <w:rPr>
                <w:sz w:val="22"/>
                <w:szCs w:val="22"/>
                <w:lang w:val="en-US"/>
              </w:rPr>
              <w:t>Tel. +370 37 311843</w:t>
            </w:r>
            <w:r>
              <w:rPr>
                <w:sz w:val="22"/>
                <w:szCs w:val="22"/>
                <w:lang w:val="en-US"/>
              </w:rPr>
              <w:tab/>
            </w:r>
          </w:p>
        </w:tc>
      </w:tr>
    </w:tbl>
    <w:p w:rsidR="00C77025" w:rsidRDefault="00C77025" w:rsidP="00C77025">
      <w:pPr>
        <w:pStyle w:val="BTEMEASMCA"/>
      </w:pPr>
    </w:p>
    <w:p w:rsidR="00C77025" w:rsidRDefault="00C77025" w:rsidP="00C77025">
      <w:pPr>
        <w:pStyle w:val="BTEMEASMCA"/>
      </w:pPr>
    </w:p>
    <w:p w:rsidR="00C77025" w:rsidRDefault="00C77025" w:rsidP="00C77025">
      <w:pPr>
        <w:pStyle w:val="BTbEMEASMCA"/>
      </w:pPr>
      <w:r>
        <w:t xml:space="preserve">Šis pakuotės lapelis paskutinį kartą peržiūrėtas </w:t>
      </w:r>
      <w:r w:rsidR="00693D84">
        <w:t>2018-08-01.</w:t>
      </w:r>
    </w:p>
    <w:p w:rsidR="00C77025" w:rsidRDefault="00C77025" w:rsidP="00C77025">
      <w:pPr>
        <w:rPr>
          <w:sz w:val="22"/>
          <w:szCs w:val="22"/>
        </w:rPr>
      </w:pPr>
    </w:p>
    <w:p w:rsidR="00C77025" w:rsidRDefault="00C77025" w:rsidP="00C77025">
      <w:pPr>
        <w:rPr>
          <w:sz w:val="22"/>
          <w:szCs w:val="22"/>
        </w:rPr>
      </w:pPr>
    </w:p>
    <w:p w:rsidR="00C77025" w:rsidRDefault="00C77025" w:rsidP="00C77025">
      <w:pPr>
        <w:pStyle w:val="BTEMEASMCA"/>
        <w:rPr>
          <w:lang w:val="lt-LT"/>
        </w:rPr>
      </w:pPr>
      <w:r>
        <w:rPr>
          <w:lang w:val="lt-LT"/>
        </w:rPr>
        <w:t xml:space="preserve">Išsami informacija apie šį vaistą pateikiama Valstybinės vaistų kontrolės tarnybos prie Lietuvos Respublikos sveikatos apsaugos ministerijos tinklalapyje </w:t>
      </w:r>
      <w:hyperlink r:id="rId9" w:history="1">
        <w:r>
          <w:rPr>
            <w:rStyle w:val="Hipersaitas"/>
            <w:lang w:val="lt-LT"/>
          </w:rPr>
          <w:t>http://www.vvkt.lt/</w:t>
        </w:r>
      </w:hyperlink>
    </w:p>
    <w:p w:rsidR="00C77025" w:rsidRDefault="00C77025" w:rsidP="00C77025">
      <w:pPr>
        <w:rPr>
          <w:sz w:val="22"/>
          <w:szCs w:val="22"/>
        </w:rPr>
      </w:pPr>
      <w:bookmarkStart w:id="82" w:name="_GoBack"/>
      <w:bookmarkEnd w:id="82"/>
      <w:permStart w:id="1850543283" w:edGrp="everyone"/>
      <w:permEnd w:id="1850543283"/>
    </w:p>
    <w:p w:rsidR="00C77025" w:rsidRDefault="00C77025" w:rsidP="00C77025">
      <w:pPr>
        <w:rPr>
          <w:sz w:val="22"/>
          <w:szCs w:val="22"/>
        </w:rPr>
      </w:pPr>
    </w:p>
    <w:p w:rsidR="00C77025" w:rsidRDefault="00C77025" w:rsidP="00C77025"/>
    <w:p w:rsidR="00722BC7" w:rsidRDefault="00722BC7"/>
    <w:sectPr w:rsidR="00722BC7" w:rsidSect="007F40A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E792FF0"/>
    <w:multiLevelType w:val="hybridMultilevel"/>
    <w:tmpl w:val="7F2AE9E8"/>
    <w:lvl w:ilvl="0" w:tplc="3676CC42">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BIt6jV7musMM2AZM+wBaAcGoyOLYEoCXeIBrDiK6rErT2MeY0xeOPdL8fdmyFOxi7yhlmRNnnbBEM3HjtXEwA==" w:salt="wkbFtchs4BOf04uOlSZvQ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E0"/>
    <w:rsid w:val="00066290"/>
    <w:rsid w:val="000A71E0"/>
    <w:rsid w:val="00492E2B"/>
    <w:rsid w:val="00536D30"/>
    <w:rsid w:val="00693D84"/>
    <w:rsid w:val="00722BC7"/>
    <w:rsid w:val="007F40A8"/>
    <w:rsid w:val="00C7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C52E1-2899-47D1-A757-9405888D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025"/>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C770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770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7702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C77025"/>
    <w:rPr>
      <w:rFonts w:ascii="Times New Roman" w:hAnsi="Times New Roman" w:cs="Times New Roman" w:hint="default"/>
      <w:color w:val="0000FF"/>
      <w:u w:val="single"/>
    </w:rPr>
  </w:style>
  <w:style w:type="paragraph" w:styleId="prastasiniatinklio">
    <w:name w:val="Normal (Web)"/>
    <w:basedOn w:val="prastasis"/>
    <w:semiHidden/>
    <w:unhideWhenUsed/>
    <w:rsid w:val="00C77025"/>
    <w:pPr>
      <w:spacing w:before="100" w:beforeAutospacing="1" w:after="75"/>
    </w:pPr>
    <w:rPr>
      <w:color w:val="000000"/>
      <w:lang w:eastAsia="lt-LT"/>
    </w:rPr>
  </w:style>
  <w:style w:type="paragraph" w:styleId="Pavadinimas">
    <w:name w:val="Title"/>
    <w:basedOn w:val="prastasis"/>
    <w:link w:val="PavadinimasDiagrama"/>
    <w:autoRedefine/>
    <w:qFormat/>
    <w:rsid w:val="00C77025"/>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C77025"/>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C77025"/>
    <w:pPr>
      <w:spacing w:after="120"/>
    </w:pPr>
  </w:style>
  <w:style w:type="character" w:customStyle="1" w:styleId="PagrindinistekstasDiagrama">
    <w:name w:val="Pagrindinis tekstas Diagrama"/>
    <w:basedOn w:val="Numatytasispastraiposriftas"/>
    <w:link w:val="Pagrindinistekstas"/>
    <w:semiHidden/>
    <w:rsid w:val="00C77025"/>
    <w:rPr>
      <w:rFonts w:ascii="Times New Roman" w:eastAsia="Calibri" w:hAnsi="Times New Roman" w:cs="Times New Roman"/>
      <w:sz w:val="24"/>
      <w:szCs w:val="24"/>
      <w:lang w:val="lt-LT"/>
    </w:rPr>
  </w:style>
  <w:style w:type="paragraph" w:styleId="Pagrindinistekstas2">
    <w:name w:val="Body Text 2"/>
    <w:basedOn w:val="prastasis"/>
    <w:link w:val="Pagrindinistekstas2Diagrama"/>
    <w:semiHidden/>
    <w:unhideWhenUsed/>
    <w:rsid w:val="00C77025"/>
    <w:pPr>
      <w:suppressAutoHyphens/>
    </w:pPr>
    <w:rPr>
      <w:szCs w:val="20"/>
      <w:u w:val="single"/>
      <w:lang w:eastAsia="ar-SA"/>
    </w:rPr>
  </w:style>
  <w:style w:type="character" w:customStyle="1" w:styleId="Pagrindinistekstas2Diagrama">
    <w:name w:val="Pagrindinis tekstas 2 Diagrama"/>
    <w:basedOn w:val="Numatytasispastraiposriftas"/>
    <w:link w:val="Pagrindinistekstas2"/>
    <w:semiHidden/>
    <w:rsid w:val="00C77025"/>
    <w:rPr>
      <w:rFonts w:ascii="Times New Roman" w:eastAsia="Calibri" w:hAnsi="Times New Roman" w:cs="Times New Roman"/>
      <w:sz w:val="24"/>
      <w:szCs w:val="20"/>
      <w:u w:val="single"/>
      <w:lang w:val="lt-LT" w:eastAsia="ar-SA"/>
    </w:rPr>
  </w:style>
  <w:style w:type="paragraph" w:styleId="Sraopastraipa">
    <w:name w:val="List Paragraph"/>
    <w:basedOn w:val="prastasis"/>
    <w:uiPriority w:val="34"/>
    <w:qFormat/>
    <w:rsid w:val="00C77025"/>
    <w:pPr>
      <w:ind w:left="720"/>
      <w:contextualSpacing/>
    </w:pPr>
  </w:style>
  <w:style w:type="paragraph" w:customStyle="1" w:styleId="PI-1EMEASMCA">
    <w:name w:val="PI-1 EMEA_SMCA"/>
    <w:basedOn w:val="Antrat2"/>
    <w:autoRedefine/>
    <w:rsid w:val="00C77025"/>
    <w:pPr>
      <w:keepLines w:val="0"/>
      <w:tabs>
        <w:tab w:val="left" w:pos="567"/>
      </w:tabs>
      <w:spacing w:before="0"/>
      <w:ind w:left="567" w:hanging="567"/>
    </w:pPr>
    <w:rPr>
      <w:rFonts w:ascii="Times New Roman" w:eastAsia="Calibri"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C77025"/>
    <w:rPr>
      <w:b/>
      <w:noProof/>
    </w:rPr>
  </w:style>
  <w:style w:type="paragraph" w:customStyle="1" w:styleId="PI-1labEMEASMCA">
    <w:name w:val="PI-1_lab EMEA_SMCA"/>
    <w:basedOn w:val="prastasis"/>
    <w:link w:val="PI-1labEMEASMCAChar"/>
    <w:autoRedefine/>
    <w:rsid w:val="00C77025"/>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rPr>
  </w:style>
  <w:style w:type="paragraph" w:customStyle="1" w:styleId="PI-2EMEASMCA">
    <w:name w:val="PI-2 EMEA_SMCA"/>
    <w:basedOn w:val="Antrat3"/>
    <w:autoRedefine/>
    <w:rsid w:val="00C77025"/>
    <w:pPr>
      <w:tabs>
        <w:tab w:val="left" w:pos="567"/>
      </w:tabs>
      <w:spacing w:before="0"/>
      <w:ind w:left="567" w:hanging="567"/>
      <w:jc w:val="both"/>
    </w:pPr>
    <w:rPr>
      <w:rFonts w:ascii="Times New Roman" w:eastAsia="Calibri"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C77025"/>
    <w:rPr>
      <w:rFonts w:ascii="Times New Roman" w:hAnsi="Times New Roman" w:cs="Times New Roman"/>
      <w:iCs/>
      <w:lang w:eastAsia="x-none"/>
    </w:rPr>
  </w:style>
  <w:style w:type="paragraph" w:customStyle="1" w:styleId="BTEMEASMCA">
    <w:name w:val="BT EMEA_SMCA"/>
    <w:basedOn w:val="prastasis"/>
    <w:link w:val="BTEMEASMCAChar"/>
    <w:autoRedefine/>
    <w:rsid w:val="00C77025"/>
    <w:rPr>
      <w:rFonts w:eastAsiaTheme="minorHAnsi"/>
      <w:iCs/>
      <w:sz w:val="22"/>
      <w:szCs w:val="22"/>
      <w:lang w:val="en-US" w:eastAsia="x-none"/>
    </w:rPr>
  </w:style>
  <w:style w:type="character" w:customStyle="1" w:styleId="TTEMEASMCAChar">
    <w:name w:val="TT EMEA_SMCA Char"/>
    <w:basedOn w:val="Numatytasispastraiposriftas"/>
    <w:link w:val="TTEMEASMCA"/>
    <w:locked/>
    <w:rsid w:val="00C77025"/>
    <w:rPr>
      <w:rFonts w:ascii="Times New Roman" w:hAnsi="Times New Roman" w:cs="Times New Roman"/>
      <w:b/>
      <w:lang w:val="lt-LT" w:eastAsia="x-none"/>
    </w:rPr>
  </w:style>
  <w:style w:type="paragraph" w:customStyle="1" w:styleId="TTEMEASMCA">
    <w:name w:val="TT EMEA_SMCA"/>
    <w:basedOn w:val="Antrat1"/>
    <w:link w:val="TTEMEASMCAChar"/>
    <w:autoRedefine/>
    <w:rsid w:val="00C77025"/>
    <w:pPr>
      <w:keepNext w:val="0"/>
      <w:keepLines w:val="0"/>
      <w:tabs>
        <w:tab w:val="left" w:pos="567"/>
      </w:tabs>
      <w:spacing w:before="0"/>
      <w:jc w:val="center"/>
    </w:pPr>
    <w:rPr>
      <w:rFonts w:ascii="Times New Roman" w:eastAsiaTheme="minorHAnsi" w:hAnsi="Times New Roman" w:cs="Times New Roman"/>
      <w:bCs w:val="0"/>
      <w:color w:val="auto"/>
      <w:sz w:val="22"/>
      <w:szCs w:val="22"/>
      <w:lang w:eastAsia="x-none"/>
    </w:rPr>
  </w:style>
  <w:style w:type="paragraph" w:customStyle="1" w:styleId="BT-EMEASMCA">
    <w:name w:val="BT- EMEA_SMCA"/>
    <w:basedOn w:val="BTEMEASMCA"/>
    <w:autoRedefine/>
    <w:rsid w:val="00C77025"/>
    <w:pPr>
      <w:ind w:left="426" w:hanging="426"/>
    </w:pPr>
    <w:rPr>
      <w:lang w:val="lt-LT"/>
    </w:rPr>
  </w:style>
  <w:style w:type="paragraph" w:customStyle="1" w:styleId="PI-3EMEASMCA">
    <w:name w:val="PI-3 EMEA_SMCA"/>
    <w:basedOn w:val="prastasis"/>
    <w:autoRedefine/>
    <w:rsid w:val="00C77025"/>
    <w:rPr>
      <w:b/>
      <w:bCs/>
      <w:sz w:val="22"/>
      <w:szCs w:val="22"/>
    </w:rPr>
  </w:style>
  <w:style w:type="paragraph" w:customStyle="1" w:styleId="BTbEMEASMCA">
    <w:name w:val="BT(b) EMEA_SMCA"/>
    <w:basedOn w:val="BTEMEASMCA"/>
    <w:autoRedefine/>
    <w:rsid w:val="00C77025"/>
    <w:rPr>
      <w:b/>
    </w:rPr>
  </w:style>
  <w:style w:type="paragraph" w:customStyle="1" w:styleId="BTAnIIEMEASMCA">
    <w:name w:val="BT(AnII) EMEA_SMCA"/>
    <w:basedOn w:val="Debesliotekstas"/>
    <w:autoRedefine/>
    <w:rsid w:val="00C77025"/>
    <w:pPr>
      <w:tabs>
        <w:tab w:val="left" w:pos="1701"/>
      </w:tabs>
      <w:ind w:left="1701" w:hanging="567"/>
    </w:pPr>
    <w:rPr>
      <w:rFonts w:ascii="Times New Roman" w:hAnsi="Times New Roman" w:cs="Segoe UI"/>
      <w:b/>
      <w:sz w:val="22"/>
      <w:szCs w:val="22"/>
      <w:lang w:val="en-GB"/>
    </w:rPr>
  </w:style>
  <w:style w:type="character" w:styleId="Komentaronuoroda">
    <w:name w:val="annotation reference"/>
    <w:basedOn w:val="Numatytasispastraiposriftas"/>
    <w:semiHidden/>
    <w:unhideWhenUsed/>
    <w:rsid w:val="00C77025"/>
    <w:rPr>
      <w:rFonts w:ascii="Times New Roman" w:hAnsi="Times New Roman" w:cs="Times New Roman" w:hint="default"/>
      <w:sz w:val="16"/>
      <w:szCs w:val="16"/>
    </w:rPr>
  </w:style>
  <w:style w:type="character" w:customStyle="1" w:styleId="Antrat2Diagrama">
    <w:name w:val="Antraštė 2 Diagrama"/>
    <w:basedOn w:val="Numatytasispastraiposriftas"/>
    <w:link w:val="Antrat2"/>
    <w:uiPriority w:val="9"/>
    <w:semiHidden/>
    <w:rsid w:val="00C77025"/>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77025"/>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C77025"/>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C770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7025"/>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779123">
      <w:bodyDiv w:val="1"/>
      <w:marLeft w:val="0"/>
      <w:marRight w:val="0"/>
      <w:marTop w:val="0"/>
      <w:marBottom w:val="0"/>
      <w:divBdr>
        <w:top w:val="none" w:sz="0" w:space="0" w:color="auto"/>
        <w:left w:val="none" w:sz="0" w:space="0" w:color="auto"/>
        <w:bottom w:val="none" w:sz="0" w:space="0" w:color="auto"/>
        <w:right w:val="none" w:sz="0" w:space="0" w:color="auto"/>
      </w:divBdr>
    </w:div>
    <w:div w:id="1671829896">
      <w:bodyDiv w:val="1"/>
      <w:marLeft w:val="0"/>
      <w:marRight w:val="0"/>
      <w:marTop w:val="0"/>
      <w:marBottom w:val="0"/>
      <w:divBdr>
        <w:top w:val="none" w:sz="0" w:space="0" w:color="auto"/>
        <w:left w:val="none" w:sz="0" w:space="0" w:color="auto"/>
        <w:bottom w:val="none" w:sz="0" w:space="0" w:color="auto"/>
        <w:right w:val="none" w:sz="0" w:space="0" w:color="auto"/>
      </w:divBdr>
    </w:div>
    <w:div w:id="16845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21CA-B04B-471A-88F6-D1A48839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15581</Words>
  <Characters>8882</Characters>
  <Application>Microsoft Office Word</Application>
  <DocSecurity>8</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2018-08-01T07:07:00Z</dcterms:created>
  <dcterms:modified xsi:type="dcterms:W3CDTF">2018-08-01T07:07:00Z</dcterms:modified>
</cp:coreProperties>
</file>