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7C" w:rsidRPr="00E53837" w:rsidRDefault="00CF267C" w:rsidP="00CF267C">
      <w:pPr>
        <w:tabs>
          <w:tab w:val="left" w:pos="567"/>
        </w:tabs>
        <w:jc w:val="center"/>
        <w:rPr>
          <w:b/>
          <w:szCs w:val="22"/>
        </w:rPr>
      </w:pPr>
      <w:r w:rsidRPr="00E53837">
        <w:rPr>
          <w:b/>
          <w:szCs w:val="22"/>
        </w:rPr>
        <w:t>Pakuotės lapelis: informacija vartotojui</w:t>
      </w:r>
    </w:p>
    <w:p w:rsidR="00CF267C" w:rsidRPr="00E53837" w:rsidRDefault="00CF267C" w:rsidP="00CF267C">
      <w:pPr>
        <w:tabs>
          <w:tab w:val="left" w:pos="567"/>
        </w:tabs>
        <w:jc w:val="center"/>
        <w:rPr>
          <w:b/>
          <w:szCs w:val="22"/>
        </w:rPr>
      </w:pPr>
    </w:p>
    <w:p w:rsidR="00CF267C" w:rsidRPr="00E53837" w:rsidRDefault="00CF267C" w:rsidP="00CF267C">
      <w:pPr>
        <w:tabs>
          <w:tab w:val="left" w:pos="567"/>
        </w:tabs>
        <w:jc w:val="center"/>
        <w:rPr>
          <w:b/>
          <w:szCs w:val="22"/>
        </w:rPr>
      </w:pPr>
      <w:r w:rsidRPr="00E53837">
        <w:rPr>
          <w:b/>
          <w:szCs w:val="22"/>
        </w:rPr>
        <w:t>Fenistil 1 mg/g gelis</w:t>
      </w:r>
    </w:p>
    <w:p w:rsidR="00CF267C" w:rsidRPr="00E53837" w:rsidRDefault="00CF267C" w:rsidP="00CF267C">
      <w:pPr>
        <w:tabs>
          <w:tab w:val="left" w:pos="567"/>
        </w:tabs>
        <w:jc w:val="center"/>
        <w:rPr>
          <w:szCs w:val="22"/>
        </w:rPr>
      </w:pPr>
      <w:r w:rsidRPr="00E53837">
        <w:rPr>
          <w:szCs w:val="22"/>
        </w:rPr>
        <w:t>Dimetindeno maleatas</w:t>
      </w:r>
    </w:p>
    <w:p w:rsidR="00CF267C" w:rsidRPr="00E53837" w:rsidRDefault="00CF267C" w:rsidP="00CF267C">
      <w:pPr>
        <w:tabs>
          <w:tab w:val="left" w:pos="567"/>
        </w:tabs>
        <w:jc w:val="center"/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 xml:space="preserve">Atidžiai perskaitykite visą šį lapelį, </w:t>
      </w:r>
      <w:r w:rsidRPr="00E53837">
        <w:rPr>
          <w:b/>
          <w:noProof/>
          <w:szCs w:val="22"/>
        </w:rPr>
        <w:t>prieš pradėdami vartoti vaistą,</w:t>
      </w:r>
      <w:r w:rsidRPr="00E53837">
        <w:rPr>
          <w:b/>
          <w:szCs w:val="22"/>
        </w:rPr>
        <w:t xml:space="preserve"> nes jame pateikiama Jums svarbi informacija.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Visada vartokite šį vaistą tiksliai kaip aprašyta šiame lapelyje arba kaip nurodė gydytojas arba vaistininkas.</w:t>
      </w:r>
    </w:p>
    <w:p w:rsidR="00CF267C" w:rsidRPr="00E53837" w:rsidRDefault="00CF267C" w:rsidP="00CF267C">
      <w:pPr>
        <w:pStyle w:val="BT-EMEASMCA"/>
      </w:pPr>
      <w:r w:rsidRPr="00E53837">
        <w:t>Neišmeskite šio lapelio, nes vėl gali prireikti jį perskaityti.</w:t>
      </w:r>
    </w:p>
    <w:p w:rsidR="00CF267C" w:rsidRPr="00E53837" w:rsidRDefault="00CF267C" w:rsidP="00CF267C">
      <w:pPr>
        <w:pStyle w:val="BT-EMEASMCA"/>
      </w:pPr>
      <w:r w:rsidRPr="00E53837">
        <w:t>Jeigu norite sužinoti daugiau arba pasitarti, kreipkitės į vaistininką.</w:t>
      </w:r>
    </w:p>
    <w:p w:rsidR="00CF267C" w:rsidRPr="00E53837" w:rsidRDefault="00CF267C" w:rsidP="00CF267C">
      <w:pPr>
        <w:pStyle w:val="BT-EMEASMCA"/>
      </w:pPr>
      <w:r w:rsidRPr="00E53837">
        <w:t>Jeigu pasireiškė šalutinis poveikis (net jeigu jis šiame lapelyje nenurodytas), kreipkitės į gydytoją arba vaistininką. Žr. 4 skyrių.</w:t>
      </w:r>
    </w:p>
    <w:p w:rsidR="00CF267C" w:rsidRPr="00E53837" w:rsidRDefault="00CF267C" w:rsidP="00CF267C">
      <w:pPr>
        <w:pStyle w:val="BT-EMEASMCA"/>
      </w:pPr>
      <w:r w:rsidRPr="00E53837">
        <w:t>Jeigu per 7 dienas Jūsų savijauta nepagerėjo arba net pablogėjo, kreipkitės į gydytoją.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Apie ką rašoma šiame lapelyje?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1.</w:t>
      </w:r>
      <w:r w:rsidRPr="00E53837">
        <w:tab/>
        <w:t>Kas yra Fenistil ir kam jis vartojamas</w:t>
      </w: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2.</w:t>
      </w:r>
      <w:r w:rsidRPr="00E53837">
        <w:tab/>
        <w:t>Kas žinotina prieš vartojant Fenistil</w:t>
      </w: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3.</w:t>
      </w:r>
      <w:r w:rsidRPr="00E53837">
        <w:tab/>
        <w:t>Kaip vartoti Fenistil</w:t>
      </w: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4.</w:t>
      </w:r>
      <w:r w:rsidRPr="00E53837">
        <w:tab/>
        <w:t>Galimas šalutinis poveikis</w:t>
      </w: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5.</w:t>
      </w:r>
      <w:r w:rsidRPr="00E53837">
        <w:tab/>
        <w:t>Kaip laikyti Fenistil</w:t>
      </w:r>
    </w:p>
    <w:p w:rsidR="00CF267C" w:rsidRPr="00E53837" w:rsidRDefault="00CF267C" w:rsidP="00CF267C">
      <w:pPr>
        <w:pStyle w:val="BTEMEASMCA"/>
        <w:tabs>
          <w:tab w:val="left" w:pos="567"/>
        </w:tabs>
      </w:pPr>
      <w:r w:rsidRPr="00E53837">
        <w:t>6.</w:t>
      </w:r>
      <w:r w:rsidRPr="00E53837">
        <w:tab/>
        <w:t>Pakuotės turinys ir kita informacija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1.</w:t>
      </w:r>
      <w:r w:rsidRPr="00E53837">
        <w:tab/>
        <w:t>Kas yra Fenistil ir kam jis vartojamas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Kas yra Fenistil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sudėtyje yra veikliosios medžiagos dimetindeno maleato kuris sukelia antihistamininį poveikį.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vartojama, jei reikia mažinti niežulį, susijusį su odos išbėrimu, dilgėline, vabzdžių įkandimu arba saulės ar kitokių priežasčių sukeltu paviršiniu odos nudegimu.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Kaip Fenistil veikia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gelis blokuoja histamino, t.y. medžiagos, alerginės reakcijos metu išsiskiriančios iš audinių, poveikį, todėl mažina niežulį. Fenistil gelis gerai įsiskverbia į odą, todėl niežulys ir dirginimas per kelias minutes susilpnėja. Be to, pasireiškia lokalus anestezuojamasis poveikis.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2.</w:t>
      </w:r>
      <w:r w:rsidRPr="00E53837">
        <w:tab/>
        <w:t>Kas žinotina prieš vartojant Fenistil</w:t>
      </w:r>
    </w:p>
    <w:p w:rsidR="00CF267C" w:rsidRPr="00E53837" w:rsidRDefault="00CF267C" w:rsidP="00CF267C">
      <w:pPr>
        <w:tabs>
          <w:tab w:val="left" w:pos="567"/>
        </w:tabs>
        <w:ind w:left="567" w:hanging="567"/>
        <w:rPr>
          <w:szCs w:val="22"/>
        </w:rPr>
      </w:pPr>
    </w:p>
    <w:p w:rsidR="00CF267C" w:rsidRPr="00E53837" w:rsidRDefault="00CF267C" w:rsidP="00CF267C">
      <w:pPr>
        <w:pStyle w:val="PI-3EMEASMCA"/>
      </w:pPr>
      <w:r w:rsidRPr="00E53837">
        <w:t xml:space="preserve">Fenistil vartoti </w:t>
      </w:r>
      <w:r>
        <w:t>draudžiama</w:t>
      </w:r>
      <w:r w:rsidRPr="00E53837">
        <w:t>:</w:t>
      </w:r>
    </w:p>
    <w:p w:rsidR="00CF267C" w:rsidRPr="00E53837" w:rsidRDefault="00CF267C" w:rsidP="00CF267C">
      <w:pPr>
        <w:pStyle w:val="BT-EMEASMCA"/>
      </w:pPr>
      <w:r w:rsidRPr="00E53837">
        <w:t xml:space="preserve">jeigu yra alergija </w:t>
      </w:r>
      <w:r w:rsidRPr="00E53837">
        <w:rPr>
          <w:noProof/>
        </w:rPr>
        <w:t>veikliajai medžiagai</w:t>
      </w:r>
      <w:r w:rsidRPr="00E53837" w:rsidDel="00083F8F">
        <w:t xml:space="preserve"> </w:t>
      </w:r>
      <w:r w:rsidRPr="00E53837">
        <w:t>arba bet kuriai pagalbinei Fenistil gelio medžiagai (</w:t>
      </w:r>
      <w:r w:rsidRPr="00E53837">
        <w:rPr>
          <w:noProof/>
        </w:rPr>
        <w:t>jos išvardytos 6 skyriuje</w:t>
      </w:r>
      <w:r w:rsidRPr="00E53837">
        <w:t>).</w:t>
      </w:r>
    </w:p>
    <w:p w:rsidR="00CF267C" w:rsidRPr="00E53837" w:rsidRDefault="00CF267C" w:rsidP="00CF267C">
      <w:pPr>
        <w:pStyle w:val="BT-EMEASMCA"/>
        <w:numPr>
          <w:ilvl w:val="0"/>
          <w:numId w:val="0"/>
        </w:numPr>
        <w:ind w:left="360"/>
      </w:pPr>
    </w:p>
    <w:p w:rsidR="00CF267C" w:rsidRPr="00E53837" w:rsidRDefault="00CF267C" w:rsidP="00CF267C">
      <w:pPr>
        <w:pStyle w:val="PI-3EMEASMCA"/>
      </w:pPr>
      <w:r w:rsidRPr="00E53837">
        <w:t>Įspėjimai ir atsargumo priemonės</w:t>
      </w:r>
    </w:p>
    <w:p w:rsidR="00CF267C" w:rsidRPr="00E53837" w:rsidRDefault="00CF267C" w:rsidP="00CF267C">
      <w:pPr>
        <w:numPr>
          <w:ilvl w:val="12"/>
          <w:numId w:val="0"/>
        </w:numPr>
        <w:ind w:right="-2"/>
        <w:rPr>
          <w:szCs w:val="22"/>
        </w:rPr>
      </w:pPr>
      <w:r w:rsidRPr="00E53837">
        <w:rPr>
          <w:noProof/>
          <w:szCs w:val="22"/>
        </w:rPr>
        <w:t>Pasitarkite su gydytoju arba vaistininku, prieš pradėdami vartoti Fenistil.</w:t>
      </w:r>
    </w:p>
    <w:p w:rsidR="00CF267C" w:rsidRPr="00E53837" w:rsidRDefault="00CF267C" w:rsidP="00CF267C">
      <w:pPr>
        <w:pStyle w:val="PI-3EMEASMCA"/>
        <w:rPr>
          <w:b w:val="0"/>
        </w:rPr>
      </w:pPr>
    </w:p>
    <w:p w:rsidR="00CF267C" w:rsidRPr="00E53837" w:rsidRDefault="00CF267C" w:rsidP="00CF267C">
      <w:pPr>
        <w:pStyle w:val="BT-EMEASMCA"/>
        <w:numPr>
          <w:ilvl w:val="0"/>
          <w:numId w:val="0"/>
        </w:numPr>
        <w:ind w:left="930" w:hanging="930"/>
      </w:pPr>
      <w:r w:rsidRPr="00E53837">
        <w:t>Jei medikamento tepama ant didelio odos ploto, ilgai būti saulėje draudžiama.</w:t>
      </w:r>
    </w:p>
    <w:p w:rsidR="00CF267C" w:rsidRPr="00E53837" w:rsidRDefault="00CF267C" w:rsidP="00CF267C">
      <w:pPr>
        <w:pStyle w:val="BT-EMEASMCA"/>
        <w:numPr>
          <w:ilvl w:val="0"/>
          <w:numId w:val="0"/>
        </w:numPr>
        <w:ind w:left="930" w:hanging="930"/>
      </w:pPr>
      <w:r w:rsidRPr="00E53837">
        <w:t>Jei pasireiškė labai sunkus niežulys arba oda labai pažeista, reikia apie tai pasakyti gydytojui.</w:t>
      </w:r>
    </w:p>
    <w:p w:rsidR="00CF267C" w:rsidRPr="00E53837" w:rsidRDefault="00CF267C" w:rsidP="00CF267C">
      <w:pPr>
        <w:pStyle w:val="BTEMEASMCA"/>
      </w:pPr>
      <w:r w:rsidRPr="00E53837">
        <w:t>Jei simptomai per savaitę nepalengvėja, būtina kreiptis į gydytoją.</w:t>
      </w:r>
    </w:p>
    <w:p w:rsidR="00CF267C" w:rsidRPr="00E53837" w:rsidRDefault="00CF267C" w:rsidP="00CF267C">
      <w:pPr>
        <w:pStyle w:val="BTEMEASMCA"/>
      </w:pPr>
      <w:r w:rsidRPr="00E53837">
        <w:t>Jei gydomas didelis odos plotas, reikėtų vengti ilgai būti saulėje.</w:t>
      </w:r>
    </w:p>
    <w:p w:rsidR="00CF267C" w:rsidRPr="00E53837" w:rsidRDefault="00CF267C" w:rsidP="00CF267C">
      <w:pPr>
        <w:rPr>
          <w:b/>
          <w:szCs w:val="22"/>
        </w:rPr>
      </w:pPr>
    </w:p>
    <w:p w:rsidR="00CF267C" w:rsidRPr="00E53837" w:rsidRDefault="00CF267C" w:rsidP="00CF267C">
      <w:pPr>
        <w:rPr>
          <w:b/>
          <w:szCs w:val="22"/>
        </w:rPr>
      </w:pPr>
      <w:r w:rsidRPr="00E53837">
        <w:rPr>
          <w:b/>
          <w:szCs w:val="22"/>
        </w:rPr>
        <w:t>Vaikams</w:t>
      </w:r>
    </w:p>
    <w:p w:rsidR="00CF267C" w:rsidRPr="00E53837" w:rsidRDefault="00CF267C" w:rsidP="00CF267C">
      <w:pPr>
        <w:pStyle w:val="BTEMEASMCA"/>
      </w:pPr>
      <w:r w:rsidRPr="00E53837">
        <w:lastRenderedPageBreak/>
        <w:t>Jeigu Fenistil gelio tepama kūdikiams ir mažiems vaikams iki 2 metų, didelio odos ploto, ypač apimto uždegimo arba pažeisto, geliu tepti draudžiama.</w:t>
      </w:r>
    </w:p>
    <w:p w:rsidR="00CF267C" w:rsidRPr="00E53837" w:rsidRDefault="00CF267C" w:rsidP="00CF267C">
      <w:pPr>
        <w:pStyle w:val="BTEMEASMCA"/>
      </w:pPr>
    </w:p>
    <w:p w:rsidR="00CF267C" w:rsidRPr="00E53837" w:rsidRDefault="00CF267C" w:rsidP="00CF267C">
      <w:pPr>
        <w:pStyle w:val="PI-3EMEASMCA"/>
      </w:pPr>
      <w:r w:rsidRPr="00E53837">
        <w:t>Kiti vaistai ir Fenistil</w:t>
      </w:r>
    </w:p>
    <w:p w:rsidR="00CF267C" w:rsidRPr="00E53837" w:rsidRDefault="00CF267C" w:rsidP="00CF267C">
      <w:pPr>
        <w:pStyle w:val="BTEMEASMCA"/>
      </w:pPr>
      <w:r w:rsidRPr="00E53837">
        <w:t xml:space="preserve">Jeigu vartojate arba neseniai vartojote kitų vaistų, </w:t>
      </w:r>
      <w:r w:rsidRPr="00E53837">
        <w:rPr>
          <w:noProof/>
        </w:rPr>
        <w:t>arba dėl to nesate tikri, apie tai</w:t>
      </w:r>
      <w:r w:rsidRPr="00E53837">
        <w:t xml:space="preserve"> pasakykite gydytojui arba vaistininkui.</w:t>
      </w:r>
    </w:p>
    <w:p w:rsidR="00CF267C" w:rsidRPr="00E53837" w:rsidRDefault="00CF267C" w:rsidP="00CF267C">
      <w:pPr>
        <w:pStyle w:val="BTEMEASMCA"/>
      </w:pPr>
    </w:p>
    <w:p w:rsidR="00CF267C" w:rsidRPr="00E53837" w:rsidRDefault="00CF267C" w:rsidP="00CF267C">
      <w:pPr>
        <w:pStyle w:val="PI-3EMEASMCA"/>
      </w:pPr>
      <w:r w:rsidRPr="00E53837">
        <w:t>Nėštumas ir žindymo laikotarpis</w:t>
      </w:r>
    </w:p>
    <w:p w:rsidR="00CF267C" w:rsidRPr="00E53837" w:rsidRDefault="00CF267C" w:rsidP="00CF267C">
      <w:pPr>
        <w:pStyle w:val="BTEMEASMCA"/>
      </w:pPr>
      <w:r w:rsidRPr="00E53837">
        <w:t>Jeigu esate nėščia, žindote kūdikį, manote, kad galbūt esate nėščia, arba planuojate pastoti, tai prieš vartodama šį vaistą, pasitarkite su gydytoju arba vaistininku.</w:t>
      </w:r>
    </w:p>
    <w:p w:rsidR="00CF267C" w:rsidRPr="00E53837" w:rsidRDefault="00CF267C" w:rsidP="00CF267C">
      <w:pPr>
        <w:pStyle w:val="BTEMEASMCA"/>
      </w:pPr>
      <w:r w:rsidRPr="00E53837">
        <w:t xml:space="preserve">Nėščiai ar žindančiai moteriai Fenistil geliu tepti didelį odos plotą, ypač pažeistą ar apimtą uždegimo, draudžiama. Jei moteris žindo, Fenistil tepti krūtų spenelių negalima. </w:t>
      </w:r>
    </w:p>
    <w:p w:rsidR="00CF267C" w:rsidRPr="00E53837" w:rsidRDefault="00CF267C" w:rsidP="00CF267C">
      <w:pPr>
        <w:pStyle w:val="BTEMEASMCA"/>
      </w:pPr>
    </w:p>
    <w:p w:rsidR="00CF267C" w:rsidRPr="00E53837" w:rsidRDefault="00CF267C" w:rsidP="00CF267C">
      <w:pPr>
        <w:pStyle w:val="PI-3EMEASMCA"/>
      </w:pPr>
      <w:r w:rsidRPr="00E53837">
        <w:t>Vairavimas ir mechanizmų valdymas</w:t>
      </w:r>
    </w:p>
    <w:p w:rsidR="00CF267C" w:rsidRPr="00E53837" w:rsidRDefault="00CF267C" w:rsidP="00CF267C">
      <w:pPr>
        <w:pStyle w:val="BTEMEASMCA"/>
      </w:pPr>
      <w:r w:rsidRPr="00E53837">
        <w:t>Ant odos vartojamas Fenistil gebėjimo vairuoti ir valdyti mechanizmų neveikia.</w:t>
      </w:r>
    </w:p>
    <w:p w:rsidR="00CF267C" w:rsidRPr="00E53837" w:rsidRDefault="00CF267C" w:rsidP="00CF267C">
      <w:pPr>
        <w:pStyle w:val="BTEMEASMCA"/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Fenistil sudėtyje yra benzalkonio chlorido ir propilenglikolio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1 g gelio yra 150 mg propilenglikolio ir 0,05 mg benzalkonio chlorido.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Benzalkonio chloridas gali sudirginti odą;</w:t>
      </w:r>
    </w:p>
    <w:p w:rsidR="00CF267C" w:rsidRPr="00E53837" w:rsidRDefault="00CF267C" w:rsidP="00CF267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3837">
        <w:rPr>
          <w:rFonts w:ascii="Times New Roman" w:hAnsi="Times New Roman" w:cs="Times New Roman"/>
          <w:sz w:val="22"/>
          <w:szCs w:val="22"/>
        </w:rPr>
        <w:t>Žindymo laikotarpiu šio vaisto negalima tepti ant krūtų, kadangi kūdikis gali jį nuryti kartu su pienu.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Propilenglikolis gali sukelti lengvą vietinį odos sudirginimą.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3.</w:t>
      </w:r>
      <w:r w:rsidRPr="00E53837">
        <w:tab/>
        <w:t>Kaip vartoti Fenistil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szCs w:val="22"/>
        </w:rPr>
        <w:t>Visada vartokite šį vaistą tiksliai</w:t>
      </w:r>
      <w:r>
        <w:rPr>
          <w:szCs w:val="22"/>
        </w:rPr>
        <w:t>,</w:t>
      </w:r>
      <w:r w:rsidRPr="00E53837">
        <w:rPr>
          <w:szCs w:val="22"/>
        </w:rPr>
        <w:t xml:space="preserve"> kaip nurodė gydytojas arba vaistininkas. Jeigu abejojate, kreipkitės į gydytoją arba vaistininką.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  <w:u w:val="single"/>
        </w:rPr>
      </w:pPr>
      <w:r w:rsidRPr="00E53837">
        <w:rPr>
          <w:szCs w:val="22"/>
          <w:u w:val="single"/>
        </w:rPr>
        <w:t xml:space="preserve">Vaikai, paaugliai, suaugę ir senyvi žmonės 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2 – 4 kartus per dieną reikia patepti pažeistą odos plotą.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Negalima naudoti gelio ilgiau kaip 7 dienas be gydytojo konsultacijos.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3EMEASMCA"/>
      </w:pPr>
      <w:r w:rsidRPr="00E53837">
        <w:t>Ką daryti pavartojus per didelę Fenistil dozę?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gelio atsitiktinai nurijus, arba jeigu gelio atsitiktinai nurijo vaikas, į gydytoją reikia kreiptis nedelsiant.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BTEMEASMCA"/>
      </w:pPr>
      <w:r w:rsidRPr="00E53837">
        <w:t>Jeigu kiltų daugiau klausimų dėl šio vaisto vartojimo, kreipkitės į gydytoją arba vaistininką.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4.</w:t>
      </w:r>
      <w:r w:rsidRPr="00E53837">
        <w:tab/>
        <w:t>Galimas šalutinis poveikis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BTEMEASMCA"/>
      </w:pPr>
      <w:r w:rsidRPr="00E53837">
        <w:t>Šis vaistas, kaip ir visi kiti, gali sukelti šalutinį poveikį, nors jis pasireiškia ne visiems žmonėms.</w:t>
      </w:r>
    </w:p>
    <w:p w:rsidR="00CF267C" w:rsidRPr="00E53837" w:rsidRDefault="00CF267C" w:rsidP="00CF267C">
      <w:pPr>
        <w:pStyle w:val="BTEMEASMCA"/>
      </w:pPr>
    </w:p>
    <w:p w:rsidR="00CF267C" w:rsidRPr="002E2CF7" w:rsidRDefault="00CF267C" w:rsidP="00CF267C">
      <w:pPr>
        <w:pStyle w:val="BTEMEASMCA"/>
      </w:pPr>
      <w:r w:rsidRPr="39BC3093">
        <w:rPr>
          <w:b/>
          <w:bCs/>
          <w:noProof/>
        </w:rPr>
        <w:t>Šalutinio poveikio reiškiniai, kurių</w:t>
      </w:r>
      <w:r>
        <w:rPr>
          <w:b/>
          <w:bCs/>
          <w:noProof/>
        </w:rPr>
        <w:t xml:space="preserve"> </w:t>
      </w:r>
      <w:r w:rsidRPr="39BC3093">
        <w:rPr>
          <w:b/>
          <w:bCs/>
          <w:noProof/>
        </w:rPr>
        <w:t>dažnis nežinomas</w:t>
      </w:r>
      <w:r w:rsidRPr="001A3157">
        <w:rPr>
          <w:b/>
        </w:rPr>
        <w:t xml:space="preserve"> (negali būti </w:t>
      </w:r>
      <w:r w:rsidRPr="39BC3093">
        <w:rPr>
          <w:b/>
          <w:bCs/>
          <w:noProof/>
        </w:rPr>
        <w:t xml:space="preserve">apskaičiuotas pagal turimus duomenis): </w:t>
      </w:r>
    </w:p>
    <w:p w:rsidR="00CF267C" w:rsidRPr="00E53837" w:rsidRDefault="00CF267C" w:rsidP="00CF267C">
      <w:pPr>
        <w:pStyle w:val="BTEMEASMCA"/>
        <w:numPr>
          <w:ilvl w:val="0"/>
          <w:numId w:val="2"/>
        </w:numPr>
      </w:pPr>
      <w:r w:rsidRPr="00E53837">
        <w:t>Odos sausmė</w:t>
      </w:r>
      <w:r>
        <w:t>.</w:t>
      </w:r>
    </w:p>
    <w:p w:rsidR="00CF267C" w:rsidRPr="00E53837" w:rsidRDefault="00CF267C" w:rsidP="00CF267C">
      <w:pPr>
        <w:pStyle w:val="BTEMEASMCA"/>
        <w:numPr>
          <w:ilvl w:val="0"/>
          <w:numId w:val="2"/>
        </w:numPr>
      </w:pPr>
      <w:r w:rsidRPr="00E53837">
        <w:t>Odos deginimo pojūtis</w:t>
      </w:r>
      <w:r>
        <w:t>.</w:t>
      </w:r>
    </w:p>
    <w:p w:rsidR="00CF267C" w:rsidRPr="00E53837" w:rsidRDefault="00CF267C" w:rsidP="00CF267C">
      <w:pPr>
        <w:pStyle w:val="BTEMEASMCA"/>
        <w:numPr>
          <w:ilvl w:val="0"/>
          <w:numId w:val="2"/>
        </w:numPr>
      </w:pPr>
      <w:r w:rsidRPr="00E53837">
        <w:t>Niežtintis išbėrimas</w:t>
      </w:r>
      <w:r>
        <w:t>.</w:t>
      </w:r>
    </w:p>
    <w:p w:rsidR="00CF267C" w:rsidRPr="00E53837" w:rsidRDefault="00CF267C" w:rsidP="00CF267C">
      <w:pPr>
        <w:pStyle w:val="BTEMEASMCA"/>
        <w:ind w:left="720"/>
      </w:pPr>
    </w:p>
    <w:p w:rsidR="00CF267C" w:rsidRPr="00E53837" w:rsidRDefault="00CF267C" w:rsidP="00CF267C">
      <w:pPr>
        <w:rPr>
          <w:b/>
          <w:szCs w:val="22"/>
        </w:rPr>
      </w:pPr>
      <w:r w:rsidRPr="00E53837">
        <w:rPr>
          <w:b/>
          <w:noProof/>
          <w:szCs w:val="22"/>
        </w:rPr>
        <w:t>Pranešimas apie šalutinį poveikį</w:t>
      </w:r>
    </w:p>
    <w:p w:rsidR="00CF267C" w:rsidRDefault="00CF267C" w:rsidP="00CF267C">
      <w:pPr>
        <w:tabs>
          <w:tab w:val="left" w:pos="567"/>
        </w:tabs>
      </w:pPr>
      <w:r w:rsidRPr="00E53837">
        <w:rPr>
          <w:noProof/>
          <w:szCs w:val="22"/>
        </w:rPr>
        <w:t xml:space="preserve">Jeigu pasireiškė šalutinis poveikis, įskaitant šiame lapelyje nenurodytą, pasakykite gydytojui arba vaistininkui. </w:t>
      </w:r>
      <w:r w:rsidRPr="00A20231"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3749C0">
          <w:rPr>
            <w:rStyle w:val="Hipersaitas"/>
          </w:rPr>
          <w:t>https://vvkt.lrv.lt/lt/</w:t>
        </w:r>
      </w:hyperlink>
      <w:r>
        <w:t xml:space="preserve"> </w:t>
      </w:r>
      <w:r w:rsidRPr="00A20231">
        <w:t>nurodytais būdais arba paskambinti nemokamu telefonu 8 800 73 568. Pranešdami apie šalutinį poveikį galite mums padėti gauti daugiau informacijos apie šio vaisto saugumą.</w:t>
      </w:r>
    </w:p>
    <w:p w:rsidR="00CF267C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5.</w:t>
      </w:r>
      <w:r w:rsidRPr="00E53837">
        <w:tab/>
        <w:t>Kaip laikyti Fenistil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Šį vaistą laikykite vaikams nepastebimoje ir nepasiekiamoje vietoje.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Fenistil gelį reikia laikyti ne aukštesnėje kaip 25 </w:t>
      </w:r>
      <w:r w:rsidRPr="00E53837">
        <w:rPr>
          <w:szCs w:val="22"/>
        </w:rPr>
        <w:sym w:font="Symbol" w:char="F0B0"/>
      </w:r>
      <w:r w:rsidRPr="00E53837">
        <w:rPr>
          <w:szCs w:val="22"/>
        </w:rPr>
        <w:t>C temperatūroje.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Ant tūbelės ir dėžutės po „Tinka iki/EXP“ nurodytam tinkamumo laikui pasibaigus, šio vaisto vartoti negalima. </w:t>
      </w:r>
      <w:r w:rsidRPr="00E53837">
        <w:rPr>
          <w:noProof/>
          <w:szCs w:val="22"/>
        </w:rPr>
        <w:t>Vaistas tinkamas vartoti iki paskutinės nurodyto mėnesio dienos.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F267C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1EMEASMCA"/>
      </w:pPr>
      <w:r w:rsidRPr="00E53837">
        <w:t>6.</w:t>
      </w:r>
      <w:r w:rsidRPr="00E53837">
        <w:tab/>
        <w:t>Pakuotės turinys ir kita informacija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PI-3EMEASMCA"/>
      </w:pPr>
      <w:r w:rsidRPr="00E53837">
        <w:t>Fenistil sudėtis</w:t>
      </w:r>
    </w:p>
    <w:p w:rsidR="00CF267C" w:rsidRPr="00E53837" w:rsidRDefault="00CF267C" w:rsidP="00CF267C">
      <w:pPr>
        <w:pStyle w:val="BT-EMEASMCA"/>
      </w:pPr>
      <w:r w:rsidRPr="00E53837">
        <w:t>Veiklioji medžiaga yra dimetindeno maleatas. Viename grame gelio yra 1 mg (0,1%) dimetindeno maleato.</w:t>
      </w:r>
    </w:p>
    <w:p w:rsidR="00CF267C" w:rsidRPr="00E53837" w:rsidRDefault="00CF267C" w:rsidP="00CF267C">
      <w:pPr>
        <w:pStyle w:val="BT-EMEASMCA"/>
      </w:pPr>
      <w:r w:rsidRPr="00E53837">
        <w:t>Pagalbinės medžiagos yra: benzalkonio chlorido 50 % tirpalas, dinatrio edetatas, karbomeras, propilenglikolis, natrio hidroksidas, išgrynintas vanduo.</w:t>
      </w:r>
    </w:p>
    <w:p w:rsidR="00CF267C" w:rsidRPr="00E53837" w:rsidRDefault="00CF267C" w:rsidP="00CF267C">
      <w:pPr>
        <w:tabs>
          <w:tab w:val="left" w:pos="567"/>
        </w:tabs>
        <w:ind w:left="567" w:hanging="567"/>
        <w:rPr>
          <w:szCs w:val="22"/>
        </w:rPr>
      </w:pPr>
    </w:p>
    <w:p w:rsidR="00CF267C" w:rsidRPr="00E53837" w:rsidRDefault="00CF267C" w:rsidP="00CF267C">
      <w:pPr>
        <w:pStyle w:val="PI-3EMEASMCA"/>
      </w:pPr>
      <w:r w:rsidRPr="00E53837">
        <w:t>Fenistil išvaizda ir kiekis pakuotėje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Fenistil yra bekvapis ir bespalvis gelis.</w:t>
      </w:r>
    </w:p>
    <w:p w:rsidR="00CF267C" w:rsidRPr="00E53837" w:rsidRDefault="00CF267C" w:rsidP="00CF267C">
      <w:pPr>
        <w:tabs>
          <w:tab w:val="left" w:pos="0"/>
        </w:tabs>
        <w:ind w:left="567" w:hanging="567"/>
        <w:rPr>
          <w:szCs w:val="22"/>
        </w:rPr>
      </w:pPr>
      <w:r w:rsidRPr="00E53837">
        <w:rPr>
          <w:szCs w:val="22"/>
        </w:rPr>
        <w:t>Gelis tiekiamas aliuminio tūbelėmis, tūbelėje yra 30 g gelio.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Registruotojas</w:t>
      </w:r>
    </w:p>
    <w:p w:rsidR="00CF267C" w:rsidRPr="002F074B" w:rsidRDefault="00CF267C" w:rsidP="00CF267C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 xml:space="preserve">Haleon Hungary Kft. </w:t>
      </w:r>
    </w:p>
    <w:p w:rsidR="00CF267C" w:rsidRPr="002F074B" w:rsidRDefault="00CF267C" w:rsidP="00CF267C">
      <w:pPr>
        <w:tabs>
          <w:tab w:val="left" w:pos="1296"/>
        </w:tabs>
        <w:rPr>
          <w:szCs w:val="22"/>
        </w:rPr>
      </w:pPr>
      <w:r w:rsidRPr="002F074B">
        <w:rPr>
          <w:szCs w:val="22"/>
        </w:rPr>
        <w:t>1124 Budapest</w:t>
      </w:r>
      <w:r>
        <w:rPr>
          <w:szCs w:val="22"/>
        </w:rPr>
        <w:t>,</w:t>
      </w:r>
      <w:r w:rsidRPr="002F074B">
        <w:rPr>
          <w:szCs w:val="22"/>
        </w:rPr>
        <w:t xml:space="preserve"> Csörsz utca 43</w:t>
      </w:r>
    </w:p>
    <w:p w:rsidR="00CF267C" w:rsidRPr="00BA311B" w:rsidRDefault="00CF267C" w:rsidP="00CF267C">
      <w:pPr>
        <w:rPr>
          <w:szCs w:val="22"/>
        </w:rPr>
      </w:pPr>
      <w:r w:rsidRPr="002F074B">
        <w:rPr>
          <w:szCs w:val="22"/>
        </w:rPr>
        <w:t>Vengrija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b/>
          <w:szCs w:val="22"/>
        </w:rPr>
      </w:pPr>
      <w:r w:rsidRPr="00E53837">
        <w:rPr>
          <w:b/>
          <w:szCs w:val="22"/>
        </w:rPr>
        <w:t>Gamintojas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>
        <w:rPr>
          <w:szCs w:val="22"/>
        </w:rPr>
        <w:t>Haleon Germany</w:t>
      </w:r>
      <w:r w:rsidRPr="00E53837">
        <w:rPr>
          <w:szCs w:val="22"/>
        </w:rPr>
        <w:t xml:space="preserve"> GmbH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Barthstraße 4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 xml:space="preserve">80339 München 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  <w:r w:rsidRPr="00E53837">
        <w:rPr>
          <w:szCs w:val="22"/>
        </w:rPr>
        <w:t>Vokietija</w:t>
      </w:r>
    </w:p>
    <w:p w:rsidR="00CF267C" w:rsidRPr="00E53837" w:rsidRDefault="00CF267C" w:rsidP="00CF267C">
      <w:pPr>
        <w:numPr>
          <w:ilvl w:val="12"/>
          <w:numId w:val="0"/>
        </w:numPr>
        <w:rPr>
          <w:szCs w:val="22"/>
        </w:rPr>
      </w:pPr>
    </w:p>
    <w:p w:rsidR="00CF267C" w:rsidRPr="00E53837" w:rsidRDefault="00CF267C" w:rsidP="00CF267C">
      <w:pPr>
        <w:ind w:left="567" w:hanging="567"/>
        <w:rPr>
          <w:szCs w:val="22"/>
        </w:rPr>
      </w:pPr>
      <w:r w:rsidRPr="00E53837">
        <w:rPr>
          <w:b/>
          <w:bCs/>
          <w:szCs w:val="22"/>
        </w:rPr>
        <w:t xml:space="preserve">Šis pakuotės </w:t>
      </w:r>
      <w:r w:rsidRPr="00E53837">
        <w:rPr>
          <w:b/>
          <w:szCs w:val="22"/>
        </w:rPr>
        <w:t>lapelis paskutinį kartą peržiūrėtas</w:t>
      </w:r>
      <w:r>
        <w:rPr>
          <w:b/>
          <w:szCs w:val="22"/>
        </w:rPr>
        <w:t xml:space="preserve"> 2024-09-30.</w:t>
      </w: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tabs>
          <w:tab w:val="left" w:pos="567"/>
        </w:tabs>
        <w:rPr>
          <w:szCs w:val="22"/>
        </w:rPr>
      </w:pPr>
    </w:p>
    <w:p w:rsidR="00CF267C" w:rsidRPr="00E53837" w:rsidRDefault="00CF267C" w:rsidP="00CF267C">
      <w:pPr>
        <w:pStyle w:val="BTEMEASMCA"/>
      </w:pPr>
      <w:r w:rsidRPr="00E53837"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503238">
          <w:rPr>
            <w:rStyle w:val="Hipersaitas"/>
          </w:rPr>
          <w:t>https://vvkt.lrv.lt/lt/</w:t>
        </w:r>
      </w:hyperlink>
      <w:r w:rsidRPr="00043A4D">
        <w:t>.</w:t>
      </w:r>
    </w:p>
    <w:p w:rsidR="00CF267C" w:rsidRPr="00E53837" w:rsidRDefault="00CF267C" w:rsidP="00CF267C">
      <w:pPr>
        <w:rPr>
          <w:szCs w:val="22"/>
        </w:rPr>
      </w:pPr>
    </w:p>
    <w:p w:rsidR="00CF267C" w:rsidRPr="00E53837" w:rsidRDefault="00CF267C" w:rsidP="00CF267C">
      <w:pPr>
        <w:rPr>
          <w:szCs w:val="22"/>
        </w:rPr>
      </w:pPr>
    </w:p>
    <w:p w:rsidR="00CF267C" w:rsidRPr="00E53837" w:rsidRDefault="00CF267C" w:rsidP="00CF267C">
      <w:pPr>
        <w:rPr>
          <w:szCs w:val="22"/>
        </w:rPr>
      </w:pPr>
    </w:p>
    <w:p w:rsidR="00BA6577" w:rsidRDefault="00BA6577">
      <w:bookmarkStart w:id="0" w:name="_GoBack"/>
      <w:bookmarkEnd w:id="0"/>
    </w:p>
    <w:sectPr w:rsidR="00BA6577" w:rsidSect="009863B8">
      <w:footerReference w:type="even" r:id="rId7"/>
      <w:footerReference w:type="default" r:id="rId8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6" w:rsidRDefault="00CF267C" w:rsidP="009863B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33E46" w:rsidRDefault="00CF267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6" w:rsidRDefault="00CF267C" w:rsidP="009863B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33E46" w:rsidRDefault="00CF267C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839"/>
    <w:multiLevelType w:val="hybridMultilevel"/>
    <w:tmpl w:val="62C237E4"/>
    <w:lvl w:ilvl="0" w:tplc="7C0EA988">
      <w:start w:val="2004"/>
      <w:numFmt w:val="bullet"/>
      <w:pStyle w:val="BT-EMEASMCA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00515"/>
    <w:multiLevelType w:val="hybridMultilevel"/>
    <w:tmpl w:val="293A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7C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CF267C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C7FDD-4366-4F33-B112-FAA9916D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267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CF267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F267C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CF267C"/>
  </w:style>
  <w:style w:type="paragraph" w:customStyle="1" w:styleId="BTEMEASMCA">
    <w:name w:val="BT EMEA_SMCA"/>
    <w:basedOn w:val="prastasis"/>
    <w:link w:val="BTEMEASMCAChar"/>
    <w:autoRedefine/>
    <w:rsid w:val="00CF267C"/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CF267C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CF267C"/>
    <w:pPr>
      <w:spacing w:line="220" w:lineRule="exact"/>
    </w:pPr>
    <w:rPr>
      <w:b/>
      <w:bCs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CF267C"/>
    <w:rPr>
      <w:rFonts w:ascii="Times New Roman" w:eastAsia="Times New Roman" w:hAnsi="Times New Roman" w:cs="Times New Roman"/>
    </w:rPr>
  </w:style>
  <w:style w:type="paragraph" w:customStyle="1" w:styleId="PI-1EMEASMCA">
    <w:name w:val="PI-1 EMEA_SMCA"/>
    <w:basedOn w:val="Antrat2"/>
    <w:next w:val="BT-EMEASMCA"/>
    <w:autoRedefine/>
    <w:rsid w:val="00CF267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rsid w:val="00CF267C"/>
    <w:rPr>
      <w:color w:val="0000FF"/>
      <w:u w:val="single"/>
    </w:rPr>
  </w:style>
  <w:style w:type="paragraph" w:customStyle="1" w:styleId="Default">
    <w:name w:val="Default"/>
    <w:rsid w:val="00CF26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6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3945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1.	Kas yra Fenistil ir kam jis vartojamas</vt:lpstr>
      <vt:lpstr>    2.	Kas žinotina prieš vartojant Fenistil</vt:lpstr>
      <vt:lpstr>    3.	Kaip vartoti Fenistil</vt:lpstr>
      <vt:lpstr>    4.	Galimas šalutinis poveikis</vt:lpstr>
      <vt:lpstr>    5.	Kaip laikyti Fenistil</vt:lpstr>
      <vt:lpstr>    6.	Pakuotės turinys ir kita informacija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2024-10-14T08:20:00Z</dcterms:created>
  <dcterms:modified xsi:type="dcterms:W3CDTF">2024-10-14T08:20:00Z</dcterms:modified>
</cp:coreProperties>
</file>