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04D8" w14:textId="77777777" w:rsidR="005409F8" w:rsidRDefault="005409F8" w:rsidP="005409F8">
      <w:pPr>
        <w:pStyle w:val="Pagrindinistekstas"/>
        <w:spacing w:after="0"/>
        <w:jc w:val="center"/>
        <w:rPr>
          <w:b/>
        </w:rPr>
      </w:pPr>
      <w:r>
        <w:rPr>
          <w:b/>
        </w:rPr>
        <w:t>Pakuotės lapelis: informacija vartotojui</w:t>
      </w:r>
    </w:p>
    <w:p w14:paraId="3BCCAE1B" w14:textId="77777777" w:rsidR="005409F8" w:rsidRDefault="005409F8" w:rsidP="005409F8">
      <w:pPr>
        <w:pStyle w:val="Pagrindinistekstas"/>
        <w:spacing w:after="0"/>
      </w:pPr>
    </w:p>
    <w:p w14:paraId="36402145" w14:textId="77777777" w:rsidR="005409F8" w:rsidRPr="007A40D2" w:rsidRDefault="005409F8" w:rsidP="005409F8">
      <w:pPr>
        <w:jc w:val="center"/>
        <w:rPr>
          <w:b/>
          <w:sz w:val="22"/>
          <w:szCs w:val="22"/>
        </w:rPr>
      </w:pPr>
      <w:r w:rsidRPr="007A40D2">
        <w:rPr>
          <w:b/>
          <w:sz w:val="22"/>
          <w:szCs w:val="22"/>
        </w:rPr>
        <w:t>PROCTO-GLYVENOL 50</w:t>
      </w:r>
      <w:r>
        <w:rPr>
          <w:b/>
          <w:sz w:val="22"/>
          <w:szCs w:val="22"/>
        </w:rPr>
        <w:t> </w:t>
      </w:r>
      <w:r w:rsidRPr="007A40D2">
        <w:rPr>
          <w:b/>
          <w:sz w:val="22"/>
          <w:szCs w:val="22"/>
        </w:rPr>
        <w:t>mg/20</w:t>
      </w:r>
      <w:r>
        <w:rPr>
          <w:b/>
          <w:sz w:val="22"/>
          <w:szCs w:val="22"/>
        </w:rPr>
        <w:t> </w:t>
      </w:r>
      <w:r w:rsidRPr="007A40D2">
        <w:rPr>
          <w:b/>
          <w:sz w:val="22"/>
          <w:szCs w:val="22"/>
        </w:rPr>
        <w:t>mg/g tiesiosios žarnos kremas</w:t>
      </w:r>
    </w:p>
    <w:p w14:paraId="55491747" w14:textId="77777777" w:rsidR="005409F8" w:rsidRDefault="005409F8" w:rsidP="005409F8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B357BD">
        <w:rPr>
          <w:sz w:val="22"/>
          <w:szCs w:val="22"/>
        </w:rPr>
        <w:t>ribenozidas</w:t>
      </w:r>
      <w:proofErr w:type="spellEnd"/>
      <w:r w:rsidRPr="00B357BD">
        <w:rPr>
          <w:sz w:val="22"/>
          <w:szCs w:val="22"/>
        </w:rPr>
        <w:t xml:space="preserve"> ir bevandenis </w:t>
      </w:r>
      <w:proofErr w:type="spellStart"/>
      <w:r w:rsidRPr="00B357BD">
        <w:rPr>
          <w:sz w:val="22"/>
          <w:szCs w:val="22"/>
        </w:rPr>
        <w:t>lidokaino</w:t>
      </w:r>
      <w:proofErr w:type="spellEnd"/>
      <w:r w:rsidRPr="00B357BD">
        <w:rPr>
          <w:sz w:val="22"/>
          <w:szCs w:val="22"/>
        </w:rPr>
        <w:t xml:space="preserve"> hidrochloridas</w:t>
      </w:r>
      <w:r w:rsidRPr="003A15CA">
        <w:rPr>
          <w:sz w:val="22"/>
          <w:szCs w:val="22"/>
        </w:rPr>
        <w:t xml:space="preserve"> </w:t>
      </w:r>
    </w:p>
    <w:p w14:paraId="700ED602" w14:textId="77777777" w:rsidR="005409F8" w:rsidRDefault="005409F8" w:rsidP="005409F8">
      <w:pPr>
        <w:jc w:val="center"/>
        <w:rPr>
          <w:b/>
        </w:rPr>
      </w:pPr>
    </w:p>
    <w:p w14:paraId="0434F50E" w14:textId="77777777" w:rsidR="005409F8" w:rsidRDefault="005409F8" w:rsidP="005409F8">
      <w:pPr>
        <w:pStyle w:val="Pagrindinistekstas"/>
        <w:spacing w:after="0"/>
        <w:jc w:val="center"/>
        <w:rPr>
          <w:b/>
        </w:rPr>
      </w:pPr>
      <w:r>
        <w:rPr>
          <w:b/>
        </w:rPr>
        <w:t>PROCTO-GLYVENOL 400 mg/40 mg žvakutės</w:t>
      </w:r>
    </w:p>
    <w:p w14:paraId="7EA9C3F8" w14:textId="77777777" w:rsidR="005409F8" w:rsidRDefault="005409F8" w:rsidP="005409F8">
      <w:pPr>
        <w:pStyle w:val="Pagrindinistekstas"/>
        <w:spacing w:after="0"/>
        <w:jc w:val="center"/>
        <w:rPr>
          <w:b/>
        </w:rPr>
      </w:pPr>
      <w:proofErr w:type="spellStart"/>
      <w:r>
        <w:t>tribenozidas</w:t>
      </w:r>
      <w:proofErr w:type="spellEnd"/>
      <w:r>
        <w:t xml:space="preserve"> ir </w:t>
      </w:r>
      <w:proofErr w:type="spellStart"/>
      <w:r>
        <w:t>lidokainas</w:t>
      </w:r>
      <w:proofErr w:type="spellEnd"/>
    </w:p>
    <w:p w14:paraId="51CFEF8A" w14:textId="77777777" w:rsidR="005409F8" w:rsidRDefault="005409F8" w:rsidP="005409F8">
      <w:pPr>
        <w:pStyle w:val="Pagrindinistekstas"/>
        <w:spacing w:after="0"/>
      </w:pPr>
    </w:p>
    <w:p w14:paraId="31255115" w14:textId="77777777" w:rsidR="005409F8" w:rsidRDefault="005409F8" w:rsidP="005409F8">
      <w:pPr>
        <w:pStyle w:val="Pagrindinistekstas"/>
        <w:spacing w:after="0"/>
        <w:rPr>
          <w:b/>
        </w:rPr>
      </w:pPr>
      <w:r>
        <w:rPr>
          <w:b/>
        </w:rPr>
        <w:t xml:space="preserve">Atidžiai perskaitykite visą šį lapelį, </w:t>
      </w:r>
      <w:r w:rsidRPr="00B34FA1">
        <w:rPr>
          <w:b/>
          <w:noProof/>
          <w:szCs w:val="24"/>
        </w:rPr>
        <w:t>prieš pradėdami vartoti šį vaistą</w:t>
      </w:r>
      <w:r>
        <w:rPr>
          <w:b/>
          <w:noProof/>
          <w:szCs w:val="24"/>
        </w:rPr>
        <w:t>,</w:t>
      </w:r>
      <w:r>
        <w:rPr>
          <w:b/>
        </w:rPr>
        <w:t xml:space="preserve"> nes jame pateikiama Jums svarbi informacija.</w:t>
      </w:r>
    </w:p>
    <w:p w14:paraId="7FA46532" w14:textId="77777777" w:rsidR="005409F8" w:rsidRDefault="005409F8" w:rsidP="005409F8">
      <w:pPr>
        <w:pStyle w:val="Pagrindinistekstas"/>
        <w:spacing w:after="0"/>
      </w:pPr>
      <w:r w:rsidRPr="00B34FA1">
        <w:rPr>
          <w:noProof/>
          <w:szCs w:val="24"/>
        </w:rPr>
        <w:t>Visada vartokite šį vaistą tiksliai kaip aprašyta š</w:t>
      </w:r>
      <w:r>
        <w:rPr>
          <w:noProof/>
          <w:szCs w:val="24"/>
        </w:rPr>
        <w:t xml:space="preserve">iame lapelyje arba kaip nurodė gydytojas arba </w:t>
      </w:r>
      <w:r w:rsidRPr="00B34FA1">
        <w:rPr>
          <w:noProof/>
          <w:szCs w:val="24"/>
        </w:rPr>
        <w:t>vaistininkas</w:t>
      </w:r>
      <w:r>
        <w:rPr>
          <w:noProof/>
          <w:szCs w:val="24"/>
        </w:rPr>
        <w:t>.</w:t>
      </w:r>
    </w:p>
    <w:p w14:paraId="60CB35CF" w14:textId="77777777" w:rsidR="005409F8" w:rsidRDefault="005409F8" w:rsidP="005409F8">
      <w:pPr>
        <w:pStyle w:val="BT-EMEASMCA"/>
      </w:pPr>
      <w:r>
        <w:t>Neišmeskite šio lapelio, nes vėl gali prireikti jį perskaityti.</w:t>
      </w:r>
    </w:p>
    <w:p w14:paraId="6EDC2FC5" w14:textId="77777777" w:rsidR="005409F8" w:rsidRDefault="005409F8" w:rsidP="005409F8">
      <w:pPr>
        <w:pStyle w:val="BT-EMEASMCA"/>
      </w:pPr>
      <w:r>
        <w:t>Jeigu norite sužinoti daugiau arba pasitarti, kreipkitės į vaistininką.</w:t>
      </w:r>
    </w:p>
    <w:p w14:paraId="10219626" w14:textId="77777777" w:rsidR="005409F8" w:rsidRDefault="005409F8" w:rsidP="005409F8">
      <w:pPr>
        <w:pStyle w:val="BT-EMEASMCA"/>
      </w:pPr>
      <w:r>
        <w:t xml:space="preserve">Jeigu pasireiškė šalutinis poveikis </w:t>
      </w:r>
      <w:r w:rsidRPr="00B34FA1">
        <w:rPr>
          <w:szCs w:val="24"/>
        </w:rPr>
        <w:t>(net jeigu jis šiame lapelyje nenurodytas),</w:t>
      </w:r>
      <w:r>
        <w:t xml:space="preserve"> kreipkitės į gydytoją arba vaistininką.</w:t>
      </w:r>
      <w:r w:rsidRPr="00D20AFD">
        <w:t xml:space="preserve"> </w:t>
      </w:r>
      <w:r w:rsidRPr="00B34FA1">
        <w:rPr>
          <w:szCs w:val="24"/>
        </w:rPr>
        <w:t>Žr.</w:t>
      </w:r>
      <w:r>
        <w:rPr>
          <w:szCs w:val="24"/>
        </w:rPr>
        <w:t> </w:t>
      </w:r>
      <w:r w:rsidRPr="00B34FA1">
        <w:rPr>
          <w:szCs w:val="24"/>
        </w:rPr>
        <w:t>4</w:t>
      </w:r>
      <w:r>
        <w:rPr>
          <w:szCs w:val="24"/>
        </w:rPr>
        <w:t> </w:t>
      </w:r>
      <w:r w:rsidRPr="00B34FA1">
        <w:rPr>
          <w:szCs w:val="24"/>
        </w:rPr>
        <w:t>skyrių.</w:t>
      </w:r>
    </w:p>
    <w:p w14:paraId="7389F3C3" w14:textId="77777777" w:rsidR="005409F8" w:rsidRDefault="005409F8" w:rsidP="005409F8">
      <w:pPr>
        <w:pStyle w:val="BT-EMEASMCA"/>
      </w:pPr>
      <w:r>
        <w:t xml:space="preserve">Jeigu per 7 dienas Jūsų </w:t>
      </w:r>
      <w:r w:rsidRPr="00B34FA1">
        <w:t>savijauta nepagerėjo arba net pablogėjo, kreipkitės į gydytoją.</w:t>
      </w:r>
    </w:p>
    <w:p w14:paraId="0E597661" w14:textId="77777777" w:rsidR="005409F8" w:rsidRDefault="005409F8" w:rsidP="005409F8">
      <w:pPr>
        <w:pStyle w:val="Pagrindinistekstas"/>
        <w:spacing w:after="0"/>
      </w:pPr>
    </w:p>
    <w:p w14:paraId="191F2881" w14:textId="77777777" w:rsidR="005409F8" w:rsidRDefault="005409F8" w:rsidP="005409F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Apie ką rašoma šiame lapelyje?</w:t>
      </w:r>
    </w:p>
    <w:p w14:paraId="5B61985B" w14:textId="77777777" w:rsidR="005409F8" w:rsidRDefault="005409F8" w:rsidP="005409F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</w:p>
    <w:p w14:paraId="4A1EBD70" w14:textId="77777777" w:rsidR="005409F8" w:rsidRDefault="005409F8" w:rsidP="005409F8">
      <w:pPr>
        <w:pStyle w:val="BTEMEASMCA"/>
      </w:pPr>
      <w:r>
        <w:t>1.</w:t>
      </w:r>
      <w:r>
        <w:tab/>
        <w:t>Kas yra PROCTO-GLYVENOL ir kam jis vartojamas</w:t>
      </w:r>
    </w:p>
    <w:p w14:paraId="18565E7C" w14:textId="77777777" w:rsidR="005409F8" w:rsidRDefault="005409F8" w:rsidP="005409F8">
      <w:pPr>
        <w:pStyle w:val="BTEMEASMCA"/>
      </w:pPr>
      <w:r>
        <w:t>2.</w:t>
      </w:r>
      <w:r>
        <w:tab/>
        <w:t>Kas žinotina prieš vartojant PROCTO-GLYVENOL</w:t>
      </w:r>
    </w:p>
    <w:p w14:paraId="44738AFF" w14:textId="77777777" w:rsidR="005409F8" w:rsidRDefault="005409F8" w:rsidP="005409F8">
      <w:pPr>
        <w:pStyle w:val="BTEMEASMCA"/>
      </w:pPr>
      <w:r>
        <w:t>3.</w:t>
      </w:r>
      <w:r>
        <w:tab/>
        <w:t xml:space="preserve">Kaip vartoti PROCTO-GLYVENOL </w:t>
      </w:r>
    </w:p>
    <w:p w14:paraId="1FA82B36" w14:textId="77777777" w:rsidR="005409F8" w:rsidRDefault="005409F8" w:rsidP="005409F8">
      <w:pPr>
        <w:pStyle w:val="BTEMEASMCA"/>
      </w:pPr>
      <w:r>
        <w:t>4.</w:t>
      </w:r>
      <w:r>
        <w:tab/>
        <w:t>Galimas šalutinis poveikis</w:t>
      </w:r>
    </w:p>
    <w:p w14:paraId="118E708A" w14:textId="77777777" w:rsidR="005409F8" w:rsidRDefault="005409F8" w:rsidP="005409F8">
      <w:pPr>
        <w:pStyle w:val="BTEMEASMCA"/>
      </w:pPr>
      <w:r>
        <w:t>5.</w:t>
      </w:r>
      <w:r>
        <w:tab/>
        <w:t xml:space="preserve">Kaip laikyti PROCTO-GLYVENOL </w:t>
      </w:r>
    </w:p>
    <w:p w14:paraId="20802145" w14:textId="77777777" w:rsidR="005409F8" w:rsidRDefault="005409F8" w:rsidP="005409F8">
      <w:pPr>
        <w:pStyle w:val="Pagrindinistekstas"/>
        <w:spacing w:after="0"/>
      </w:pPr>
      <w:r>
        <w:t>6.</w:t>
      </w:r>
      <w:r>
        <w:tab/>
      </w:r>
      <w:r w:rsidRPr="00B34FA1">
        <w:rPr>
          <w:noProof/>
          <w:szCs w:val="24"/>
        </w:rPr>
        <w:t xml:space="preserve">Pakuotės turinys ir </w:t>
      </w:r>
      <w:r>
        <w:t>kita informacija</w:t>
      </w:r>
    </w:p>
    <w:p w14:paraId="6E892450" w14:textId="77777777" w:rsidR="005409F8" w:rsidRDefault="005409F8" w:rsidP="005409F8">
      <w:pPr>
        <w:pStyle w:val="Pagrindinistekstas"/>
        <w:spacing w:after="0"/>
      </w:pPr>
    </w:p>
    <w:p w14:paraId="1E42FF82" w14:textId="77777777" w:rsidR="005409F8" w:rsidRDefault="005409F8" w:rsidP="005409F8">
      <w:pPr>
        <w:pStyle w:val="Pagrindinistekstas"/>
        <w:spacing w:after="0"/>
      </w:pPr>
    </w:p>
    <w:p w14:paraId="0B50EE2E" w14:textId="77777777" w:rsidR="005409F8" w:rsidRPr="00A04068" w:rsidRDefault="005409F8" w:rsidP="005409F8">
      <w:pPr>
        <w:pStyle w:val="PI-1EMEASMCA"/>
      </w:pPr>
      <w:bookmarkStart w:id="0" w:name="_Toc129243139"/>
      <w:bookmarkStart w:id="1" w:name="_Toc129243264"/>
      <w:r w:rsidRPr="00A04068">
        <w:t>1.</w:t>
      </w:r>
      <w:r w:rsidRPr="00A04068">
        <w:tab/>
      </w:r>
      <w:bookmarkEnd w:id="0"/>
      <w:bookmarkEnd w:id="1"/>
      <w:r w:rsidRPr="00A04068">
        <w:t>Kas yra PROCTO-GLYVENOL ir kam jis vartojamas</w:t>
      </w:r>
    </w:p>
    <w:p w14:paraId="3ACE06EB" w14:textId="77777777" w:rsidR="005409F8" w:rsidRDefault="005409F8" w:rsidP="005409F8">
      <w:pPr>
        <w:pStyle w:val="Pagrindinistekstas"/>
        <w:spacing w:after="0"/>
      </w:pPr>
    </w:p>
    <w:p w14:paraId="0CEC45A8" w14:textId="77777777" w:rsidR="005409F8" w:rsidRDefault="005409F8" w:rsidP="005409F8">
      <w:pPr>
        <w:rPr>
          <w:sz w:val="22"/>
          <w:szCs w:val="22"/>
        </w:rPr>
      </w:pPr>
      <w:r>
        <w:rPr>
          <w:sz w:val="22"/>
          <w:szCs w:val="22"/>
        </w:rPr>
        <w:t xml:space="preserve">PROCTO-GLYVENOL mažina išorinio ir vidinio hemorojaus sukeliamus nemalonius simptomus ir padeda šią ligą gydyti. </w:t>
      </w:r>
      <w:proofErr w:type="spellStart"/>
      <w:r>
        <w:rPr>
          <w:sz w:val="22"/>
          <w:szCs w:val="22"/>
        </w:rPr>
        <w:t>Tribenozidas</w:t>
      </w:r>
      <w:proofErr w:type="spellEnd"/>
      <w:r>
        <w:rPr>
          <w:sz w:val="22"/>
          <w:szCs w:val="22"/>
        </w:rPr>
        <w:t xml:space="preserve"> daro vietinį poveikį smulkiosioms kraujagyslėms ir mažina uždegimą. </w:t>
      </w:r>
      <w:proofErr w:type="spellStart"/>
      <w:r>
        <w:rPr>
          <w:sz w:val="22"/>
          <w:szCs w:val="22"/>
        </w:rPr>
        <w:t>Lidokainas</w:t>
      </w:r>
      <w:proofErr w:type="spellEnd"/>
      <w:r>
        <w:rPr>
          <w:sz w:val="22"/>
          <w:szCs w:val="22"/>
        </w:rPr>
        <w:t xml:space="preserve"> greitai malšina skausmą.</w:t>
      </w:r>
    </w:p>
    <w:p w14:paraId="5F39012A" w14:textId="77777777" w:rsidR="005409F8" w:rsidRDefault="005409F8" w:rsidP="005409F8">
      <w:pPr>
        <w:pStyle w:val="Pagrindinistekstas"/>
        <w:spacing w:after="0"/>
      </w:pPr>
    </w:p>
    <w:p w14:paraId="28EE9EDF" w14:textId="77777777" w:rsidR="005409F8" w:rsidRDefault="005409F8" w:rsidP="005409F8">
      <w:pPr>
        <w:pStyle w:val="Pagrindinistekstas"/>
        <w:spacing w:after="0"/>
      </w:pPr>
    </w:p>
    <w:p w14:paraId="65519917" w14:textId="77777777" w:rsidR="005409F8" w:rsidRDefault="005409F8" w:rsidP="005409F8">
      <w:pPr>
        <w:pStyle w:val="PI-1EMEASMCA"/>
      </w:pPr>
      <w:bookmarkStart w:id="2" w:name="_Toc129243140"/>
      <w:bookmarkStart w:id="3" w:name="_Toc129243265"/>
      <w:r>
        <w:t>2.</w:t>
      </w:r>
      <w:r>
        <w:tab/>
        <w:t xml:space="preserve">Kas žinotina prieš vartojant </w:t>
      </w:r>
      <w:bookmarkEnd w:id="2"/>
      <w:bookmarkEnd w:id="3"/>
      <w:r>
        <w:t>PROCTO-GLYVENOL</w:t>
      </w:r>
    </w:p>
    <w:p w14:paraId="066AFD85" w14:textId="77777777" w:rsidR="005409F8" w:rsidRDefault="005409F8" w:rsidP="005409F8"/>
    <w:p w14:paraId="518C9BF3" w14:textId="77777777" w:rsidR="005409F8" w:rsidRDefault="005409F8" w:rsidP="005409F8">
      <w:pPr>
        <w:pStyle w:val="PI-3EMEASMCA"/>
      </w:pPr>
      <w:r>
        <w:t>PROCTO-GLYVENOL vartoti draudžiama:</w:t>
      </w:r>
    </w:p>
    <w:p w14:paraId="1A47A1CE" w14:textId="77777777" w:rsidR="005409F8" w:rsidRDefault="005409F8" w:rsidP="005409F8">
      <w:pPr>
        <w:pStyle w:val="BT-EMEASMCA"/>
      </w:pPr>
      <w:r>
        <w:t>jeigu yra alergija veikliosioms medžiagoms arba bet kuriai pagalbinei šio vaisto medžiagai (jos išvardytos 6 skyriuje).</w:t>
      </w:r>
    </w:p>
    <w:p w14:paraId="49171E39" w14:textId="77777777" w:rsidR="005409F8" w:rsidRDefault="005409F8" w:rsidP="005409F8">
      <w:pPr>
        <w:rPr>
          <w:sz w:val="22"/>
          <w:szCs w:val="22"/>
        </w:rPr>
      </w:pPr>
    </w:p>
    <w:p w14:paraId="16EF4800" w14:textId="77777777" w:rsidR="005409F8" w:rsidRDefault="005409F8" w:rsidP="005409F8">
      <w:pPr>
        <w:rPr>
          <w:b/>
          <w:sz w:val="22"/>
          <w:szCs w:val="22"/>
        </w:rPr>
      </w:pPr>
      <w:r w:rsidRPr="00C4217D">
        <w:rPr>
          <w:b/>
          <w:sz w:val="22"/>
          <w:szCs w:val="22"/>
        </w:rPr>
        <w:t>Įspėjimai ir atsargumo priemonės</w:t>
      </w:r>
    </w:p>
    <w:p w14:paraId="74A9F2ED" w14:textId="77777777" w:rsidR="005409F8" w:rsidRDefault="005409F8" w:rsidP="005409F8">
      <w:pPr>
        <w:rPr>
          <w:noProof/>
          <w:sz w:val="22"/>
          <w:szCs w:val="22"/>
        </w:rPr>
      </w:pPr>
      <w:r w:rsidRPr="00FD7A3A">
        <w:rPr>
          <w:noProof/>
          <w:sz w:val="22"/>
          <w:szCs w:val="22"/>
        </w:rPr>
        <w:t xml:space="preserve">Pasitarkite su gydytoju arba </w:t>
      </w:r>
      <w:r w:rsidRPr="00C4217D">
        <w:rPr>
          <w:noProof/>
          <w:sz w:val="22"/>
          <w:szCs w:val="22"/>
        </w:rPr>
        <w:t>vais</w:t>
      </w:r>
      <w:r w:rsidRPr="00AB0AEA">
        <w:rPr>
          <w:noProof/>
          <w:sz w:val="22"/>
          <w:szCs w:val="22"/>
        </w:rPr>
        <w:t>tininku</w:t>
      </w:r>
      <w:r w:rsidRPr="00BB56B1">
        <w:rPr>
          <w:noProof/>
          <w:sz w:val="22"/>
          <w:szCs w:val="22"/>
        </w:rPr>
        <w:t>, prieš pradėdami vartoti PROCTO-GLYVENOL</w:t>
      </w:r>
      <w:r w:rsidRPr="00C4217D">
        <w:rPr>
          <w:noProof/>
          <w:sz w:val="22"/>
          <w:szCs w:val="22"/>
        </w:rPr>
        <w:t>.</w:t>
      </w:r>
    </w:p>
    <w:p w14:paraId="36D96084" w14:textId="77777777" w:rsidR="005409F8" w:rsidRDefault="005409F8" w:rsidP="005409F8">
      <w:pPr>
        <w:pStyle w:val="BT-EMEASMCA"/>
      </w:pPr>
      <w:r>
        <w:t>Jeigu Jūs sergate sunkia kepenų liga.</w:t>
      </w:r>
    </w:p>
    <w:p w14:paraId="4C586984" w14:textId="77777777" w:rsidR="005409F8" w:rsidRDefault="005409F8" w:rsidP="005409F8">
      <w:pPr>
        <w:pStyle w:val="BT-EMEASMCA"/>
      </w:pPr>
      <w:r>
        <w:t>Venkite sąlyčio su akimis, nenurykite.</w:t>
      </w:r>
    </w:p>
    <w:p w14:paraId="76D4C451" w14:textId="77777777" w:rsidR="005409F8" w:rsidRDefault="005409F8" w:rsidP="005409F8">
      <w:pPr>
        <w:rPr>
          <w:sz w:val="22"/>
          <w:szCs w:val="22"/>
        </w:rPr>
      </w:pPr>
    </w:p>
    <w:p w14:paraId="5B7C4FAF" w14:textId="77777777" w:rsidR="005409F8" w:rsidRPr="00C4217D" w:rsidRDefault="005409F8" w:rsidP="005409F8">
      <w:pPr>
        <w:rPr>
          <w:b/>
          <w:sz w:val="22"/>
          <w:szCs w:val="22"/>
        </w:rPr>
      </w:pPr>
      <w:r w:rsidRPr="00C4217D">
        <w:rPr>
          <w:b/>
          <w:sz w:val="22"/>
          <w:szCs w:val="22"/>
        </w:rPr>
        <w:t>Vaikams</w:t>
      </w:r>
    </w:p>
    <w:p w14:paraId="4B09DAF1" w14:textId="77777777" w:rsidR="005409F8" w:rsidRDefault="005409F8" w:rsidP="005409F8">
      <w:pPr>
        <w:rPr>
          <w:sz w:val="22"/>
          <w:szCs w:val="22"/>
        </w:rPr>
      </w:pPr>
      <w:r>
        <w:rPr>
          <w:sz w:val="22"/>
          <w:szCs w:val="22"/>
        </w:rPr>
        <w:t>Vartoti PROCTO-GLYVENOL vaikams nerekomenduojama, kadangi vartojimo patirties nėra.</w:t>
      </w:r>
    </w:p>
    <w:p w14:paraId="54213EBE" w14:textId="77777777" w:rsidR="005409F8" w:rsidRDefault="005409F8" w:rsidP="005409F8"/>
    <w:p w14:paraId="1A70EE25" w14:textId="77777777" w:rsidR="005409F8" w:rsidRPr="00C4217D" w:rsidRDefault="005409F8" w:rsidP="005409F8">
      <w:pPr>
        <w:rPr>
          <w:b/>
          <w:sz w:val="22"/>
          <w:szCs w:val="22"/>
        </w:rPr>
      </w:pPr>
      <w:r w:rsidRPr="00C4217D">
        <w:rPr>
          <w:b/>
          <w:sz w:val="22"/>
          <w:szCs w:val="22"/>
        </w:rPr>
        <w:t>Kiti vaistai ir PROCTO-GLYVENOL</w:t>
      </w:r>
    </w:p>
    <w:p w14:paraId="796CC33A" w14:textId="77777777" w:rsidR="005409F8" w:rsidRPr="005A0E12" w:rsidRDefault="005409F8" w:rsidP="005409F8">
      <w:pPr>
        <w:rPr>
          <w:sz w:val="22"/>
          <w:szCs w:val="22"/>
        </w:rPr>
      </w:pPr>
      <w:r w:rsidRPr="00C4217D">
        <w:rPr>
          <w:noProof/>
          <w:sz w:val="22"/>
          <w:szCs w:val="22"/>
        </w:rPr>
        <w:t>Jeigu vartojate ar neseniai vartojote kitų vaistų arba dėl to nes</w:t>
      </w:r>
      <w:r w:rsidRPr="005A0E12">
        <w:rPr>
          <w:noProof/>
          <w:sz w:val="22"/>
          <w:szCs w:val="22"/>
        </w:rPr>
        <w:t xml:space="preserve">ate tikri, apie tai pasakykite gydytojui arba </w:t>
      </w:r>
      <w:r w:rsidRPr="00C4217D">
        <w:rPr>
          <w:noProof/>
          <w:sz w:val="22"/>
          <w:szCs w:val="22"/>
        </w:rPr>
        <w:t>vaistininkui</w:t>
      </w:r>
      <w:r>
        <w:rPr>
          <w:noProof/>
          <w:sz w:val="22"/>
          <w:szCs w:val="22"/>
        </w:rPr>
        <w:t>.</w:t>
      </w:r>
    </w:p>
    <w:p w14:paraId="5C8A7457" w14:textId="77777777" w:rsidR="005409F8" w:rsidRPr="00C4217D" w:rsidRDefault="005409F8" w:rsidP="005409F8">
      <w:pPr>
        <w:rPr>
          <w:sz w:val="22"/>
          <w:szCs w:val="22"/>
        </w:rPr>
      </w:pPr>
      <w:r w:rsidRPr="00C4217D">
        <w:rPr>
          <w:sz w:val="22"/>
          <w:szCs w:val="22"/>
        </w:rPr>
        <w:t xml:space="preserve">Iki šiol duomenų apie </w:t>
      </w:r>
      <w:r w:rsidRPr="00866B21">
        <w:rPr>
          <w:sz w:val="22"/>
          <w:szCs w:val="22"/>
        </w:rPr>
        <w:t>PROCTO-GLYVENOL</w:t>
      </w:r>
      <w:r w:rsidRPr="00C4217D">
        <w:rPr>
          <w:sz w:val="22"/>
          <w:szCs w:val="22"/>
        </w:rPr>
        <w:t xml:space="preserve"> sąveik</w:t>
      </w:r>
      <w:r>
        <w:rPr>
          <w:sz w:val="22"/>
          <w:szCs w:val="22"/>
        </w:rPr>
        <w:t>ą</w:t>
      </w:r>
      <w:r w:rsidRPr="00C4217D">
        <w:rPr>
          <w:sz w:val="22"/>
          <w:szCs w:val="22"/>
        </w:rPr>
        <w:t xml:space="preserve"> su kitais vaistais nėra.</w:t>
      </w:r>
    </w:p>
    <w:p w14:paraId="469E1994" w14:textId="77777777" w:rsidR="005409F8" w:rsidRDefault="005409F8" w:rsidP="005409F8">
      <w:pPr>
        <w:pStyle w:val="PI-3EMEASMCA"/>
      </w:pPr>
    </w:p>
    <w:p w14:paraId="3A4812CA" w14:textId="77777777" w:rsidR="005409F8" w:rsidRDefault="005409F8" w:rsidP="005409F8">
      <w:pPr>
        <w:pStyle w:val="PI-3EMEASMCA"/>
      </w:pPr>
      <w:r>
        <w:t>Nėštumas, žindymo laikotarpis ir vaisingumas</w:t>
      </w:r>
    </w:p>
    <w:p w14:paraId="7A05A8EB" w14:textId="77777777" w:rsidR="005409F8" w:rsidRPr="00FD16E0" w:rsidRDefault="005409F8" w:rsidP="005409F8">
      <w:pPr>
        <w:rPr>
          <w:sz w:val="22"/>
          <w:szCs w:val="22"/>
        </w:rPr>
      </w:pPr>
      <w:r w:rsidRPr="00FD16E0">
        <w:rPr>
          <w:noProof/>
          <w:sz w:val="22"/>
          <w:szCs w:val="22"/>
        </w:rPr>
        <w:t>Jeigu esate nėščia, žindote kūdikį, manote, kad galbūt esate nėščia, arba planuojate pastoti, tai prieš vartodama šį vaistą,</w:t>
      </w:r>
      <w:r>
        <w:rPr>
          <w:noProof/>
          <w:sz w:val="22"/>
          <w:szCs w:val="22"/>
        </w:rPr>
        <w:t xml:space="preserve"> pasitarkite su gydytoju arba </w:t>
      </w:r>
      <w:r w:rsidRPr="00FD16E0">
        <w:rPr>
          <w:noProof/>
          <w:sz w:val="22"/>
          <w:szCs w:val="22"/>
        </w:rPr>
        <w:t>vaistininku</w:t>
      </w:r>
      <w:r>
        <w:rPr>
          <w:noProof/>
          <w:sz w:val="22"/>
          <w:szCs w:val="22"/>
        </w:rPr>
        <w:t>.</w:t>
      </w:r>
    </w:p>
    <w:p w14:paraId="462E41E5" w14:textId="77777777" w:rsidR="005409F8" w:rsidRDefault="005409F8" w:rsidP="005409F8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PROCTO-GLYVENOL negalite vartoti pirmuosius tris nėštumo mėnesius. Vaistą rekomenduojamomis dozėmis galite vartoti nuo ketvirtojo nėštumo mėnesio ir žindymo laikotarpiu. </w:t>
      </w:r>
    </w:p>
    <w:p w14:paraId="77A2D836" w14:textId="77777777" w:rsidR="005409F8" w:rsidRPr="00673E58" w:rsidRDefault="005409F8" w:rsidP="005409F8">
      <w:pPr>
        <w:rPr>
          <w:szCs w:val="22"/>
        </w:rPr>
      </w:pPr>
      <w:bookmarkStart w:id="4" w:name="_Toc129243141"/>
      <w:bookmarkStart w:id="5" w:name="_Toc129243266"/>
      <w:r w:rsidRPr="00B51776">
        <w:rPr>
          <w:sz w:val="22"/>
          <w:szCs w:val="22"/>
        </w:rPr>
        <w:t>Duomenų apie galimą poveikį vaisingumui nėra.</w:t>
      </w:r>
    </w:p>
    <w:p w14:paraId="3D4D90A5" w14:textId="77777777" w:rsidR="005409F8" w:rsidRDefault="005409F8" w:rsidP="005409F8">
      <w:pPr>
        <w:pStyle w:val="PI-1EMEASMCA"/>
      </w:pPr>
    </w:p>
    <w:p w14:paraId="63B2DBB0" w14:textId="77777777" w:rsidR="005409F8" w:rsidRDefault="005409F8" w:rsidP="005409F8">
      <w:pPr>
        <w:pStyle w:val="PI-1EMEASMCA"/>
      </w:pPr>
      <w:r w:rsidRPr="00B34FA1">
        <w:t>Vairavimas ir mechanizmų valdymas</w:t>
      </w:r>
    </w:p>
    <w:p w14:paraId="5FA2CF4B" w14:textId="77777777" w:rsidR="005409F8" w:rsidRPr="00673E58" w:rsidRDefault="005409F8" w:rsidP="005409F8">
      <w:pPr>
        <w:rPr>
          <w:szCs w:val="22"/>
        </w:rPr>
      </w:pPr>
      <w:r w:rsidRPr="00B51776">
        <w:rPr>
          <w:sz w:val="22"/>
          <w:szCs w:val="22"/>
          <w:lang w:val="lv-LV"/>
        </w:rPr>
        <w:t>Duomenys neaktualūs.</w:t>
      </w:r>
    </w:p>
    <w:p w14:paraId="03F760B8" w14:textId="77777777" w:rsidR="005409F8" w:rsidRDefault="005409F8" w:rsidP="005409F8">
      <w:pPr>
        <w:pStyle w:val="PI-1EMEASMCA"/>
      </w:pPr>
    </w:p>
    <w:p w14:paraId="4446189C" w14:textId="77777777" w:rsidR="005409F8" w:rsidRDefault="005409F8" w:rsidP="005409F8">
      <w:pPr>
        <w:pStyle w:val="PI-1EMEASMCA"/>
      </w:pPr>
      <w:r w:rsidRPr="00377932">
        <w:t>PROCTO-GLYVENOL</w:t>
      </w:r>
      <w:r w:rsidRPr="00C4217D">
        <w:t xml:space="preserve"> tiesiosios žarnos krem</w:t>
      </w:r>
      <w:r>
        <w:t>o</w:t>
      </w:r>
      <w:r w:rsidRPr="00C4217D">
        <w:t xml:space="preserve"> sudėtyje yra cetilo alkoholio</w:t>
      </w:r>
      <w:r w:rsidRPr="00050F71">
        <w:t xml:space="preserve">, </w:t>
      </w:r>
      <w:r w:rsidRPr="00C4217D">
        <w:t>metilo parahidroksibenzoato</w:t>
      </w:r>
      <w:r>
        <w:t xml:space="preserve"> (E218)</w:t>
      </w:r>
      <w:r w:rsidRPr="00C4217D">
        <w:t xml:space="preserve"> ir propilo parahidroksibenzoato</w:t>
      </w:r>
      <w:r>
        <w:t xml:space="preserve"> (E216)</w:t>
      </w:r>
      <w:r w:rsidRPr="00C4217D">
        <w:t>.</w:t>
      </w:r>
    </w:p>
    <w:p w14:paraId="502AE120" w14:textId="77777777" w:rsidR="005409F8" w:rsidRPr="00673E58" w:rsidRDefault="005409F8" w:rsidP="005409F8">
      <w:pPr>
        <w:rPr>
          <w:szCs w:val="22"/>
        </w:rPr>
      </w:pPr>
      <w:proofErr w:type="spellStart"/>
      <w:r w:rsidRPr="00B51776">
        <w:rPr>
          <w:sz w:val="22"/>
          <w:szCs w:val="22"/>
        </w:rPr>
        <w:t>Cetilo</w:t>
      </w:r>
      <w:proofErr w:type="spellEnd"/>
      <w:r w:rsidRPr="00B51776">
        <w:rPr>
          <w:sz w:val="22"/>
          <w:szCs w:val="22"/>
        </w:rPr>
        <w:t xml:space="preserve"> alkoholis gali sukelti lokalių odos reakci</w:t>
      </w:r>
      <w:r>
        <w:rPr>
          <w:sz w:val="22"/>
          <w:szCs w:val="22"/>
        </w:rPr>
        <w:t>j</w:t>
      </w:r>
      <w:r w:rsidRPr="00B51776">
        <w:rPr>
          <w:sz w:val="22"/>
          <w:szCs w:val="22"/>
        </w:rPr>
        <w:t>ų (pvz. kontaktinį dermatitą).</w:t>
      </w:r>
    </w:p>
    <w:p w14:paraId="180B7B45" w14:textId="77777777" w:rsidR="005409F8" w:rsidRDefault="005409F8" w:rsidP="005409F8">
      <w:r w:rsidRPr="00B51776">
        <w:rPr>
          <w:sz w:val="22"/>
          <w:szCs w:val="22"/>
        </w:rPr>
        <w:t xml:space="preserve">Metilo </w:t>
      </w:r>
      <w:proofErr w:type="spellStart"/>
      <w:r w:rsidRPr="00B51776">
        <w:rPr>
          <w:sz w:val="22"/>
          <w:szCs w:val="22"/>
        </w:rPr>
        <w:t>parahidroksibenzoatas</w:t>
      </w:r>
      <w:proofErr w:type="spellEnd"/>
      <w:r w:rsidRPr="00B51776">
        <w:rPr>
          <w:sz w:val="22"/>
          <w:szCs w:val="22"/>
        </w:rPr>
        <w:t xml:space="preserve"> ir </w:t>
      </w:r>
      <w:proofErr w:type="spellStart"/>
      <w:r w:rsidRPr="00B51776">
        <w:rPr>
          <w:sz w:val="22"/>
          <w:szCs w:val="22"/>
        </w:rPr>
        <w:t>propilo</w:t>
      </w:r>
      <w:proofErr w:type="spellEnd"/>
      <w:r w:rsidRPr="00B51776">
        <w:rPr>
          <w:sz w:val="22"/>
          <w:szCs w:val="22"/>
        </w:rPr>
        <w:t xml:space="preserve"> </w:t>
      </w:r>
      <w:proofErr w:type="spellStart"/>
      <w:r w:rsidRPr="00B51776">
        <w:rPr>
          <w:sz w:val="22"/>
          <w:szCs w:val="22"/>
        </w:rPr>
        <w:t>parahidroksibenzoatas</w:t>
      </w:r>
      <w:proofErr w:type="spellEnd"/>
      <w:r w:rsidRPr="00B51776">
        <w:rPr>
          <w:sz w:val="22"/>
          <w:szCs w:val="22"/>
        </w:rPr>
        <w:t xml:space="preserve"> gali sukelti alerginių reakcijų, kurios gali būti uždelstos</w:t>
      </w:r>
      <w:r>
        <w:t>.</w:t>
      </w:r>
    </w:p>
    <w:p w14:paraId="0B84B619" w14:textId="77777777" w:rsidR="005409F8" w:rsidRDefault="005409F8" w:rsidP="005409F8">
      <w:pPr>
        <w:pStyle w:val="PI-1EMEASMCA"/>
      </w:pPr>
    </w:p>
    <w:p w14:paraId="7D4AA11D" w14:textId="77777777" w:rsidR="005409F8" w:rsidRDefault="005409F8" w:rsidP="005409F8">
      <w:pPr>
        <w:pStyle w:val="PI-1EMEASMCA"/>
      </w:pPr>
    </w:p>
    <w:p w14:paraId="3313D30B" w14:textId="77777777" w:rsidR="005409F8" w:rsidRDefault="005409F8" w:rsidP="005409F8">
      <w:pPr>
        <w:pStyle w:val="PI-1EMEASMCA"/>
      </w:pPr>
      <w:bookmarkStart w:id="6" w:name="_Toc129243142"/>
      <w:bookmarkStart w:id="7" w:name="_Toc129243267"/>
      <w:bookmarkEnd w:id="4"/>
      <w:bookmarkEnd w:id="5"/>
      <w:r>
        <w:t>3.</w:t>
      </w:r>
      <w:r>
        <w:tab/>
        <w:t>Kaip vartoti PROCTO-GLYVENOL</w:t>
      </w:r>
    </w:p>
    <w:p w14:paraId="1A940A11" w14:textId="77777777" w:rsidR="005409F8" w:rsidRDefault="005409F8" w:rsidP="005409F8">
      <w:pPr>
        <w:pStyle w:val="Pagrindinistekstas"/>
        <w:spacing w:after="0"/>
      </w:pPr>
    </w:p>
    <w:p w14:paraId="3C52E313" w14:textId="77777777" w:rsidR="005409F8" w:rsidRPr="009034C8" w:rsidRDefault="005409F8" w:rsidP="005409F8">
      <w:pPr>
        <w:rPr>
          <w:b/>
          <w:sz w:val="22"/>
          <w:szCs w:val="22"/>
        </w:rPr>
      </w:pPr>
      <w:r w:rsidRPr="00BB58A3">
        <w:rPr>
          <w:sz w:val="22"/>
          <w:szCs w:val="22"/>
        </w:rPr>
        <w:t>Visada vartokite šį vaistą tiksliai, kaip aprašyta šiame lapelyje arba kaip nurodė gydytojas arba vaistininkas</w:t>
      </w:r>
      <w:r>
        <w:rPr>
          <w:sz w:val="22"/>
          <w:szCs w:val="22"/>
        </w:rPr>
        <w:t>.</w:t>
      </w:r>
      <w:r w:rsidRPr="009034C8" w:rsidDel="00BB58A3">
        <w:rPr>
          <w:sz w:val="22"/>
          <w:szCs w:val="22"/>
        </w:rPr>
        <w:t xml:space="preserve"> </w:t>
      </w:r>
      <w:r w:rsidRPr="009034C8">
        <w:rPr>
          <w:sz w:val="22"/>
          <w:szCs w:val="22"/>
        </w:rPr>
        <w:t xml:space="preserve"> Jeigu abejojate, kreipkitės į gydytoją arba vaistininką.</w:t>
      </w:r>
    </w:p>
    <w:p w14:paraId="52DE32E2" w14:textId="77777777" w:rsidR="005409F8" w:rsidRPr="009034C8" w:rsidRDefault="005409F8" w:rsidP="005409F8">
      <w:pPr>
        <w:rPr>
          <w:b/>
          <w:sz w:val="22"/>
          <w:szCs w:val="22"/>
        </w:rPr>
      </w:pPr>
    </w:p>
    <w:p w14:paraId="3152DFEB" w14:textId="77777777" w:rsidR="005409F8" w:rsidRPr="009034C8" w:rsidRDefault="005409F8" w:rsidP="005409F8">
      <w:pPr>
        <w:rPr>
          <w:sz w:val="22"/>
          <w:szCs w:val="22"/>
          <w:u w:val="single"/>
        </w:rPr>
      </w:pPr>
      <w:r w:rsidRPr="009034C8">
        <w:rPr>
          <w:sz w:val="22"/>
          <w:szCs w:val="22"/>
          <w:u w:val="single"/>
        </w:rPr>
        <w:t>PROCTO-GLYVENOL tiesiosios žarnos kremas</w:t>
      </w:r>
    </w:p>
    <w:p w14:paraId="53650FB7" w14:textId="77777777" w:rsidR="005409F8" w:rsidRPr="009034C8" w:rsidRDefault="005409F8" w:rsidP="005409F8">
      <w:pPr>
        <w:rPr>
          <w:sz w:val="22"/>
          <w:szCs w:val="22"/>
          <w:u w:val="single"/>
        </w:rPr>
      </w:pPr>
    </w:p>
    <w:p w14:paraId="6718B50C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Kai pasireiškia ūminiai ligos simptomai, vaistą vartokite 2</w:t>
      </w:r>
      <w:r>
        <w:rPr>
          <w:szCs w:val="22"/>
        </w:rPr>
        <w:t> </w:t>
      </w:r>
      <w:r w:rsidRPr="009034C8">
        <w:rPr>
          <w:szCs w:val="22"/>
        </w:rPr>
        <w:t>kartus per dieną (ryt</w:t>
      </w:r>
      <w:r>
        <w:rPr>
          <w:szCs w:val="22"/>
        </w:rPr>
        <w:t>e</w:t>
      </w:r>
      <w:r w:rsidRPr="009034C8">
        <w:rPr>
          <w:szCs w:val="22"/>
        </w:rPr>
        <w:t xml:space="preserve"> ir vakare), kol ūminiai ligos požymiai išnyks, paprastai 7-10</w:t>
      </w:r>
      <w:r>
        <w:rPr>
          <w:szCs w:val="22"/>
        </w:rPr>
        <w:t> </w:t>
      </w:r>
      <w:r w:rsidRPr="009034C8">
        <w:rPr>
          <w:szCs w:val="22"/>
        </w:rPr>
        <w:t xml:space="preserve">dienų. Jei vartojate kremą, pasitepkite arba įveskite į išangę pakuotėje esančiu </w:t>
      </w:r>
      <w:proofErr w:type="spellStart"/>
      <w:r w:rsidRPr="009034C8">
        <w:rPr>
          <w:szCs w:val="22"/>
        </w:rPr>
        <w:t>aplikatoriumi</w:t>
      </w:r>
      <w:proofErr w:type="spellEnd"/>
      <w:r w:rsidRPr="009034C8">
        <w:rPr>
          <w:szCs w:val="22"/>
        </w:rPr>
        <w:t>.</w:t>
      </w:r>
    </w:p>
    <w:p w14:paraId="39E677D5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Kai ligos simptomai silpnėja, vaistą vartokite 1</w:t>
      </w:r>
      <w:r>
        <w:rPr>
          <w:szCs w:val="22"/>
        </w:rPr>
        <w:t> </w:t>
      </w:r>
      <w:r w:rsidRPr="009034C8">
        <w:rPr>
          <w:szCs w:val="22"/>
        </w:rPr>
        <w:t>kartą per dieną, ne ilgiau kaip 3</w:t>
      </w:r>
      <w:r>
        <w:rPr>
          <w:szCs w:val="22"/>
        </w:rPr>
        <w:t> </w:t>
      </w:r>
      <w:r w:rsidRPr="009034C8">
        <w:rPr>
          <w:szCs w:val="22"/>
        </w:rPr>
        <w:t>savaites, jei reikia.</w:t>
      </w:r>
    </w:p>
    <w:p w14:paraId="5990047D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Nevartokite vaisto didesnėmis nei rekomenduojama dozėmis.</w:t>
      </w:r>
    </w:p>
    <w:p w14:paraId="05090EA6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4783A49C" w14:textId="77777777" w:rsidR="005409F8" w:rsidRPr="009034C8" w:rsidRDefault="005409F8" w:rsidP="005409F8">
      <w:pPr>
        <w:pStyle w:val="Pagrindinistekstas"/>
        <w:spacing w:after="0"/>
        <w:rPr>
          <w:szCs w:val="22"/>
          <w:u w:val="single"/>
        </w:rPr>
      </w:pPr>
      <w:r w:rsidRPr="009034C8">
        <w:rPr>
          <w:szCs w:val="22"/>
          <w:u w:val="single"/>
        </w:rPr>
        <w:t>PROCTO-GLYVENOL žvakutės</w:t>
      </w:r>
    </w:p>
    <w:p w14:paraId="204ED841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0BCAF874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Kai pasireiškia ūminiai ligos simptomai, vartokite po vieną žvakutę du kartus (ryt</w:t>
      </w:r>
      <w:r>
        <w:rPr>
          <w:szCs w:val="22"/>
        </w:rPr>
        <w:t>e</w:t>
      </w:r>
      <w:r w:rsidRPr="009034C8">
        <w:rPr>
          <w:szCs w:val="22"/>
        </w:rPr>
        <w:t xml:space="preserve"> ir vakare) tol, kol ūminiai ligos požymiai išnyks, paprastai 7-10</w:t>
      </w:r>
      <w:r>
        <w:rPr>
          <w:szCs w:val="22"/>
        </w:rPr>
        <w:t> </w:t>
      </w:r>
      <w:r w:rsidRPr="009034C8">
        <w:rPr>
          <w:szCs w:val="22"/>
        </w:rPr>
        <w:t>dienų. Kai ligos simptomai silpnėja, vartokite po vieną žvakutę 1 kartą per dieną, ne ilgiau kaip 3</w:t>
      </w:r>
      <w:r>
        <w:rPr>
          <w:szCs w:val="22"/>
        </w:rPr>
        <w:t> </w:t>
      </w:r>
      <w:r w:rsidRPr="009034C8">
        <w:rPr>
          <w:szCs w:val="22"/>
        </w:rPr>
        <w:t>savaites, jei reikia.</w:t>
      </w:r>
    </w:p>
    <w:p w14:paraId="04AA2E85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Nevartokite vaisto didesnėmis nei rekomenduojama dozėmis.</w:t>
      </w:r>
    </w:p>
    <w:p w14:paraId="0FC75686" w14:textId="77777777" w:rsidR="005409F8" w:rsidRDefault="005409F8" w:rsidP="005409F8">
      <w:pPr>
        <w:pStyle w:val="Pagrindinistekstas"/>
        <w:spacing w:after="0"/>
        <w:rPr>
          <w:szCs w:val="22"/>
        </w:rPr>
      </w:pPr>
    </w:p>
    <w:p w14:paraId="6D4EFA9D" w14:textId="77777777" w:rsidR="005409F8" w:rsidRPr="00C4217D" w:rsidRDefault="005409F8" w:rsidP="005409F8">
      <w:pPr>
        <w:pStyle w:val="Pagrindinistekstas"/>
        <w:spacing w:after="0"/>
        <w:rPr>
          <w:b/>
          <w:szCs w:val="22"/>
        </w:rPr>
      </w:pPr>
      <w:r w:rsidRPr="00C4217D">
        <w:rPr>
          <w:b/>
          <w:szCs w:val="22"/>
        </w:rPr>
        <w:t>Vartojimas vaikams</w:t>
      </w:r>
    </w:p>
    <w:p w14:paraId="09F1521F" w14:textId="77777777" w:rsidR="005409F8" w:rsidRDefault="005409F8" w:rsidP="005409F8">
      <w:pPr>
        <w:pStyle w:val="Pagrindinistekstas"/>
        <w:spacing w:after="0"/>
        <w:rPr>
          <w:szCs w:val="22"/>
        </w:rPr>
      </w:pPr>
      <w:r w:rsidRPr="00EC4D7F">
        <w:rPr>
          <w:szCs w:val="22"/>
        </w:rPr>
        <w:t>PROCTO-GLYVENOL</w:t>
      </w:r>
      <w:r w:rsidRPr="00EC4D7F" w:rsidDel="00EC4D7F">
        <w:rPr>
          <w:szCs w:val="22"/>
        </w:rPr>
        <w:t xml:space="preserve"> </w:t>
      </w:r>
      <w:r>
        <w:rPr>
          <w:szCs w:val="22"/>
        </w:rPr>
        <w:t>nerekomenduojama vartoti vaikams.</w:t>
      </w:r>
    </w:p>
    <w:p w14:paraId="09E8371F" w14:textId="77777777" w:rsidR="005409F8" w:rsidRDefault="005409F8" w:rsidP="005409F8">
      <w:pPr>
        <w:pStyle w:val="Pagrindinistekstas"/>
        <w:spacing w:after="0"/>
        <w:rPr>
          <w:szCs w:val="22"/>
        </w:rPr>
      </w:pPr>
    </w:p>
    <w:p w14:paraId="2C975B28" w14:textId="77777777" w:rsidR="005409F8" w:rsidRPr="00C4217D" w:rsidRDefault="005409F8" w:rsidP="005409F8">
      <w:pPr>
        <w:pStyle w:val="Pagrindinistekstas"/>
        <w:spacing w:after="0"/>
        <w:rPr>
          <w:b/>
          <w:szCs w:val="22"/>
        </w:rPr>
      </w:pPr>
      <w:r w:rsidRPr="00C4217D">
        <w:rPr>
          <w:b/>
        </w:rPr>
        <w:t xml:space="preserve">Ką daryti pavartojus per didelę </w:t>
      </w:r>
      <w:r w:rsidRPr="00377932">
        <w:rPr>
          <w:b/>
        </w:rPr>
        <w:t>PROCTO-GLYVENOL</w:t>
      </w:r>
      <w:r w:rsidRPr="00C4217D">
        <w:rPr>
          <w:b/>
        </w:rPr>
        <w:t xml:space="preserve"> dozę</w:t>
      </w:r>
    </w:p>
    <w:p w14:paraId="4590DE87" w14:textId="77777777" w:rsidR="005409F8" w:rsidRDefault="005409F8" w:rsidP="005409F8">
      <w:pPr>
        <w:rPr>
          <w:sz w:val="22"/>
          <w:szCs w:val="22"/>
        </w:rPr>
      </w:pPr>
      <w:r w:rsidRPr="00CF12F9">
        <w:rPr>
          <w:sz w:val="22"/>
          <w:szCs w:val="22"/>
        </w:rPr>
        <w:t>Pranešimų apie PROCTO-GLYVENOL perdozavimą nėra. Tačiau, jei atsitiktinai PROCTO-GLYVENOL suvartojote daugiau nei rekomenduojama, nedelsdami susisiekite su gydytoju arba vaistininku.</w:t>
      </w:r>
      <w:r>
        <w:rPr>
          <w:sz w:val="22"/>
          <w:szCs w:val="22"/>
        </w:rPr>
        <w:t xml:space="preserve"> </w:t>
      </w:r>
    </w:p>
    <w:p w14:paraId="61B5C871" w14:textId="77777777" w:rsidR="005409F8" w:rsidRPr="00673E58" w:rsidRDefault="005409F8" w:rsidP="005409F8">
      <w:r w:rsidRPr="00627CCA">
        <w:rPr>
          <w:sz w:val="22"/>
          <w:szCs w:val="22"/>
        </w:rPr>
        <w:t>Jei netyčia nurijote PROCTO-GLYVENOL, nedelsdami kreipkitės į gydytoją.</w:t>
      </w:r>
    </w:p>
    <w:p w14:paraId="15D78A5E" w14:textId="77777777" w:rsidR="005409F8" w:rsidRDefault="005409F8" w:rsidP="005409F8">
      <w:pPr>
        <w:pStyle w:val="PI-3EMEASMCA"/>
      </w:pPr>
    </w:p>
    <w:p w14:paraId="08E40088" w14:textId="77777777" w:rsidR="005409F8" w:rsidRPr="005D43AF" w:rsidRDefault="005409F8" w:rsidP="005409F8">
      <w:pPr>
        <w:pStyle w:val="PI-3EMEASMCA"/>
      </w:pPr>
      <w:r w:rsidRPr="005D43AF">
        <w:t>Pamiršus pavartoti PROCTO-GLYVENOL</w:t>
      </w:r>
    </w:p>
    <w:p w14:paraId="2DF526B7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>Negalima vartoti dvigubos dozės norint kompensuoti praleistą dozę.</w:t>
      </w:r>
    </w:p>
    <w:p w14:paraId="30DB14FF" w14:textId="77777777" w:rsidR="005409F8" w:rsidRDefault="005409F8" w:rsidP="005409F8">
      <w:pPr>
        <w:pStyle w:val="Pagrindinistekstas"/>
        <w:spacing w:after="0"/>
      </w:pPr>
    </w:p>
    <w:p w14:paraId="5FC13E4C" w14:textId="77777777" w:rsidR="005409F8" w:rsidRDefault="005409F8" w:rsidP="005409F8">
      <w:pPr>
        <w:pStyle w:val="Pagrindinistekstas"/>
        <w:spacing w:after="0"/>
      </w:pPr>
    </w:p>
    <w:p w14:paraId="137FC447" w14:textId="77777777" w:rsidR="005409F8" w:rsidRDefault="005409F8" w:rsidP="005409F8">
      <w:pPr>
        <w:pStyle w:val="PI-1EMEASMCA"/>
      </w:pPr>
      <w:r>
        <w:t>4.</w:t>
      </w:r>
      <w:r>
        <w:tab/>
        <w:t>Galimas šalutinis poveikis</w:t>
      </w:r>
      <w:bookmarkEnd w:id="6"/>
      <w:bookmarkEnd w:id="7"/>
    </w:p>
    <w:p w14:paraId="27998307" w14:textId="77777777" w:rsidR="005409F8" w:rsidRDefault="005409F8" w:rsidP="005409F8">
      <w:pPr>
        <w:pStyle w:val="Pagrindinistekstas"/>
        <w:spacing w:after="0"/>
      </w:pPr>
    </w:p>
    <w:p w14:paraId="474475F7" w14:textId="77777777" w:rsidR="005409F8" w:rsidRDefault="005409F8" w:rsidP="005409F8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14:paraId="286E5714" w14:textId="77777777" w:rsidR="005409F8" w:rsidRDefault="005409F8" w:rsidP="005409F8">
      <w:pPr>
        <w:rPr>
          <w:sz w:val="22"/>
          <w:szCs w:val="22"/>
        </w:rPr>
      </w:pPr>
    </w:p>
    <w:p w14:paraId="2C0F65A5" w14:textId="77777777" w:rsidR="005409F8" w:rsidRPr="00B51776" w:rsidRDefault="005409F8" w:rsidP="005409F8">
      <w:pPr>
        <w:rPr>
          <w:b/>
          <w:bCs/>
          <w:sz w:val="22"/>
          <w:szCs w:val="22"/>
        </w:rPr>
      </w:pPr>
      <w:r w:rsidRPr="00B51776">
        <w:rPr>
          <w:b/>
          <w:bCs/>
          <w:sz w:val="22"/>
          <w:szCs w:val="22"/>
        </w:rPr>
        <w:t xml:space="preserve">Reti šalutinio poveikio </w:t>
      </w:r>
      <w:r w:rsidRPr="00C17FCD">
        <w:rPr>
          <w:b/>
          <w:bCs/>
          <w:sz w:val="22"/>
          <w:szCs w:val="22"/>
        </w:rPr>
        <w:t>reiškiniai (gali pasireikšti rečiau kaip 1 iš 1 000 asmenų):</w:t>
      </w:r>
    </w:p>
    <w:p w14:paraId="65BB3A70" w14:textId="77777777" w:rsidR="005409F8" w:rsidRPr="00C4217D" w:rsidRDefault="005409F8" w:rsidP="005409F8">
      <w:pPr>
        <w:numPr>
          <w:ilvl w:val="0"/>
          <w:numId w:val="2"/>
        </w:numPr>
        <w:rPr>
          <w:sz w:val="22"/>
          <w:szCs w:val="22"/>
        </w:rPr>
      </w:pPr>
      <w:r w:rsidRPr="00C4217D">
        <w:rPr>
          <w:sz w:val="22"/>
          <w:szCs w:val="22"/>
        </w:rPr>
        <w:t>dilgėlinė;</w:t>
      </w:r>
    </w:p>
    <w:p w14:paraId="5ABDD02C" w14:textId="77777777" w:rsidR="005409F8" w:rsidRPr="00C4217D" w:rsidRDefault="005409F8" w:rsidP="005409F8">
      <w:pPr>
        <w:numPr>
          <w:ilvl w:val="0"/>
          <w:numId w:val="2"/>
        </w:numPr>
        <w:rPr>
          <w:sz w:val="22"/>
          <w:szCs w:val="22"/>
        </w:rPr>
      </w:pPr>
      <w:r w:rsidRPr="00C4217D">
        <w:rPr>
          <w:sz w:val="22"/>
          <w:szCs w:val="22"/>
        </w:rPr>
        <w:t>vartojimo vietos niežulys, išbėrimas, skausmas.</w:t>
      </w:r>
    </w:p>
    <w:p w14:paraId="3EE820FE" w14:textId="77777777" w:rsidR="005409F8" w:rsidRPr="00C4217D" w:rsidRDefault="005409F8" w:rsidP="005409F8">
      <w:pPr>
        <w:rPr>
          <w:sz w:val="22"/>
          <w:szCs w:val="22"/>
        </w:rPr>
      </w:pPr>
    </w:p>
    <w:p w14:paraId="6A469786" w14:textId="77777777" w:rsidR="005409F8" w:rsidRPr="00C4217D" w:rsidRDefault="005409F8" w:rsidP="005409F8">
      <w:pPr>
        <w:rPr>
          <w:sz w:val="22"/>
          <w:szCs w:val="22"/>
        </w:rPr>
      </w:pPr>
      <w:r w:rsidRPr="00B51776">
        <w:rPr>
          <w:b/>
          <w:bCs/>
          <w:sz w:val="22"/>
          <w:szCs w:val="22"/>
        </w:rPr>
        <w:t>Labai reti šalutinio poveikio</w:t>
      </w:r>
      <w:r w:rsidRPr="00C4217D">
        <w:rPr>
          <w:sz w:val="22"/>
          <w:szCs w:val="22"/>
        </w:rPr>
        <w:t xml:space="preserve"> </w:t>
      </w:r>
      <w:r w:rsidRPr="00F73329">
        <w:rPr>
          <w:b/>
          <w:bCs/>
          <w:sz w:val="22"/>
          <w:szCs w:val="22"/>
        </w:rPr>
        <w:t>reiškiniai</w:t>
      </w:r>
      <w:r w:rsidRPr="00C4217D">
        <w:rPr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gali pasireikšti rečiau kaip 1 iš 10 000 asmenų</w:t>
      </w:r>
      <w:r w:rsidRPr="00016A95">
        <w:rPr>
          <w:b/>
          <w:bCs/>
          <w:sz w:val="22"/>
          <w:szCs w:val="22"/>
        </w:rPr>
        <w:t>):</w:t>
      </w:r>
    </w:p>
    <w:p w14:paraId="312FD50F" w14:textId="77777777" w:rsidR="005409F8" w:rsidRPr="00C4217D" w:rsidRDefault="005409F8" w:rsidP="005409F8">
      <w:pPr>
        <w:numPr>
          <w:ilvl w:val="0"/>
          <w:numId w:val="3"/>
        </w:numPr>
        <w:rPr>
          <w:sz w:val="22"/>
          <w:szCs w:val="22"/>
        </w:rPr>
      </w:pPr>
      <w:r w:rsidRPr="00C4217D">
        <w:rPr>
          <w:sz w:val="22"/>
          <w:szCs w:val="22"/>
        </w:rPr>
        <w:t>anafilaksinė reakcija;</w:t>
      </w:r>
    </w:p>
    <w:p w14:paraId="130D7113" w14:textId="77777777" w:rsidR="005409F8" w:rsidRPr="00C4217D" w:rsidRDefault="005409F8" w:rsidP="005409F8">
      <w:pPr>
        <w:numPr>
          <w:ilvl w:val="0"/>
          <w:numId w:val="3"/>
        </w:numPr>
        <w:rPr>
          <w:sz w:val="22"/>
          <w:szCs w:val="22"/>
        </w:rPr>
      </w:pPr>
      <w:r w:rsidRPr="00C4217D">
        <w:rPr>
          <w:sz w:val="22"/>
          <w:szCs w:val="22"/>
        </w:rPr>
        <w:lastRenderedPageBreak/>
        <w:t>širdies ir kraujagyslių sutrikimai;</w:t>
      </w:r>
    </w:p>
    <w:p w14:paraId="05B7AA77" w14:textId="77777777" w:rsidR="005409F8" w:rsidRPr="00C4217D" w:rsidRDefault="005409F8" w:rsidP="005409F8">
      <w:pPr>
        <w:numPr>
          <w:ilvl w:val="0"/>
          <w:numId w:val="3"/>
        </w:numPr>
        <w:rPr>
          <w:sz w:val="22"/>
          <w:szCs w:val="22"/>
        </w:rPr>
      </w:pPr>
      <w:r w:rsidRPr="00C4217D">
        <w:rPr>
          <w:sz w:val="22"/>
          <w:szCs w:val="22"/>
        </w:rPr>
        <w:t>bronchų spazma</w:t>
      </w:r>
      <w:r>
        <w:rPr>
          <w:sz w:val="22"/>
          <w:szCs w:val="22"/>
        </w:rPr>
        <w:t>s</w:t>
      </w:r>
      <w:r w:rsidRPr="00C4217D">
        <w:rPr>
          <w:sz w:val="22"/>
          <w:szCs w:val="22"/>
        </w:rPr>
        <w:t>;</w:t>
      </w:r>
    </w:p>
    <w:p w14:paraId="7213526C" w14:textId="77777777" w:rsidR="005409F8" w:rsidRPr="00C4217D" w:rsidRDefault="005409F8" w:rsidP="005409F8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C4217D">
        <w:rPr>
          <w:sz w:val="22"/>
          <w:szCs w:val="22"/>
        </w:rPr>
        <w:t>angio</w:t>
      </w:r>
      <w:r>
        <w:rPr>
          <w:sz w:val="22"/>
          <w:szCs w:val="22"/>
        </w:rPr>
        <w:t>neurozinė</w:t>
      </w:r>
      <w:proofErr w:type="spellEnd"/>
      <w:r>
        <w:rPr>
          <w:sz w:val="22"/>
          <w:szCs w:val="22"/>
        </w:rPr>
        <w:t xml:space="preserve"> </w:t>
      </w:r>
      <w:r w:rsidRPr="00C4217D">
        <w:rPr>
          <w:sz w:val="22"/>
          <w:szCs w:val="22"/>
        </w:rPr>
        <w:t>edema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(alerginis patinimas)</w:t>
      </w:r>
      <w:r w:rsidRPr="00A13897">
        <w:rPr>
          <w:noProof/>
          <w:sz w:val="22"/>
          <w:szCs w:val="22"/>
        </w:rPr>
        <w:t>;</w:t>
      </w:r>
    </w:p>
    <w:p w14:paraId="6A4DE61A" w14:textId="77777777" w:rsidR="005409F8" w:rsidRPr="00C4217D" w:rsidRDefault="005409F8" w:rsidP="005409F8">
      <w:pPr>
        <w:numPr>
          <w:ilvl w:val="0"/>
          <w:numId w:val="3"/>
        </w:numPr>
        <w:rPr>
          <w:sz w:val="22"/>
          <w:szCs w:val="22"/>
        </w:rPr>
      </w:pPr>
      <w:r w:rsidRPr="00C4217D">
        <w:rPr>
          <w:sz w:val="22"/>
          <w:szCs w:val="22"/>
        </w:rPr>
        <w:t xml:space="preserve">veido </w:t>
      </w:r>
      <w:r>
        <w:rPr>
          <w:sz w:val="22"/>
          <w:szCs w:val="22"/>
        </w:rPr>
        <w:t>patinimas</w:t>
      </w:r>
      <w:r w:rsidRPr="00C4217D">
        <w:rPr>
          <w:sz w:val="22"/>
          <w:szCs w:val="22"/>
        </w:rPr>
        <w:t>.</w:t>
      </w:r>
    </w:p>
    <w:p w14:paraId="498170CD" w14:textId="77777777" w:rsidR="005409F8" w:rsidRDefault="005409F8" w:rsidP="005409F8">
      <w:pPr>
        <w:rPr>
          <w:sz w:val="22"/>
          <w:szCs w:val="22"/>
        </w:rPr>
      </w:pPr>
    </w:p>
    <w:p w14:paraId="05D13DE5" w14:textId="77777777" w:rsidR="005409F8" w:rsidRPr="00DD73EA" w:rsidRDefault="005409F8" w:rsidP="005409F8">
      <w:pPr>
        <w:rPr>
          <w:b/>
          <w:sz w:val="22"/>
          <w:szCs w:val="22"/>
        </w:rPr>
      </w:pPr>
      <w:r w:rsidRPr="00DD73EA">
        <w:rPr>
          <w:b/>
          <w:noProof/>
          <w:sz w:val="22"/>
          <w:szCs w:val="22"/>
        </w:rPr>
        <w:t>Pranešimas apie šalutinį poveikį</w:t>
      </w:r>
    </w:p>
    <w:p w14:paraId="4740305D" w14:textId="77777777" w:rsidR="005409F8" w:rsidRPr="00DD73EA" w:rsidRDefault="005409F8" w:rsidP="005409F8">
      <w:pPr>
        <w:ind w:right="-449"/>
        <w:rPr>
          <w:noProof/>
          <w:sz w:val="22"/>
          <w:szCs w:val="22"/>
        </w:rPr>
      </w:pPr>
      <w:r w:rsidRPr="00DD73EA">
        <w:rPr>
          <w:sz w:val="22"/>
          <w:szCs w:val="22"/>
        </w:rPr>
        <w:t>Jeigu pasireiškė šalutinis poveikis, įskaitant šiame l</w:t>
      </w:r>
      <w:r>
        <w:rPr>
          <w:sz w:val="22"/>
          <w:szCs w:val="22"/>
        </w:rPr>
        <w:t>apelyje nenurodytą, pasakykite gydytojui arba vaistininkui</w:t>
      </w:r>
      <w:r w:rsidRPr="00DD73EA">
        <w:rPr>
          <w:sz w:val="22"/>
          <w:szCs w:val="22"/>
        </w:rPr>
        <w:t xml:space="preserve">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8 007 3568. Pranešdami apie šalutinį poveikį galite mums padėti gauti daugiau informacijos apie šio vaisto saugumą</w:t>
      </w:r>
      <w:r w:rsidRPr="00DD73EA">
        <w:rPr>
          <w:sz w:val="22"/>
          <w:szCs w:val="22"/>
        </w:rPr>
        <w:t>.</w:t>
      </w:r>
    </w:p>
    <w:p w14:paraId="048C4624" w14:textId="77777777" w:rsidR="005409F8" w:rsidRDefault="005409F8" w:rsidP="005409F8"/>
    <w:p w14:paraId="146B8B34" w14:textId="77777777" w:rsidR="005409F8" w:rsidRDefault="005409F8" w:rsidP="005409F8">
      <w:pPr>
        <w:pStyle w:val="Pagrindinistekstas"/>
        <w:spacing w:after="0"/>
      </w:pPr>
    </w:p>
    <w:p w14:paraId="7CC7FF3C" w14:textId="77777777" w:rsidR="005409F8" w:rsidRDefault="005409F8" w:rsidP="005409F8">
      <w:pPr>
        <w:pStyle w:val="PI-1EMEASMCA"/>
      </w:pPr>
      <w:bookmarkStart w:id="8" w:name="_Toc129243143"/>
      <w:bookmarkStart w:id="9" w:name="_Toc129243268"/>
      <w:r>
        <w:t>5.</w:t>
      </w:r>
      <w:r>
        <w:tab/>
        <w:t xml:space="preserve">Kaip laikyti </w:t>
      </w:r>
      <w:bookmarkEnd w:id="8"/>
      <w:bookmarkEnd w:id="9"/>
      <w:r>
        <w:t>PROCTO-GLYVENOL</w:t>
      </w:r>
    </w:p>
    <w:p w14:paraId="1F97AD97" w14:textId="77777777" w:rsidR="005409F8" w:rsidRDefault="005409F8" w:rsidP="005409F8">
      <w:pPr>
        <w:pStyle w:val="Pagrindinistekstas"/>
        <w:spacing w:after="0"/>
      </w:pPr>
    </w:p>
    <w:p w14:paraId="18EB3906" w14:textId="77777777" w:rsidR="005409F8" w:rsidRDefault="005409F8" w:rsidP="005409F8">
      <w:pPr>
        <w:pStyle w:val="Pagrindinistekstas"/>
        <w:spacing w:after="0"/>
      </w:pPr>
      <w:r>
        <w:t>Šį vaistą laikykite vaikams nepastebimoje ir nepasiekiamoje</w:t>
      </w:r>
      <w:r w:rsidDel="00AE55CF">
        <w:t xml:space="preserve"> </w:t>
      </w:r>
      <w:r>
        <w:t>vietoje.</w:t>
      </w:r>
    </w:p>
    <w:p w14:paraId="12F75361" w14:textId="77777777" w:rsidR="005409F8" w:rsidRDefault="005409F8" w:rsidP="005409F8">
      <w:pPr>
        <w:pStyle w:val="Pagrindinistekstas"/>
        <w:spacing w:after="0"/>
        <w:rPr>
          <w:szCs w:val="22"/>
        </w:rPr>
      </w:pPr>
    </w:p>
    <w:p w14:paraId="35466C8E" w14:textId="77777777" w:rsidR="005409F8" w:rsidRDefault="005409F8" w:rsidP="005409F8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30 °C temperatūroje.</w:t>
      </w:r>
    </w:p>
    <w:p w14:paraId="69BF65E4" w14:textId="77777777" w:rsidR="005409F8" w:rsidRDefault="005409F8" w:rsidP="005409F8">
      <w:pPr>
        <w:pStyle w:val="Pagrindinistekstas"/>
        <w:spacing w:after="0"/>
      </w:pPr>
      <w:r>
        <w:rPr>
          <w:szCs w:val="22"/>
        </w:rPr>
        <w:t>Laikyti gamintojo pakuotėje</w:t>
      </w:r>
      <w:r>
        <w:t>.</w:t>
      </w:r>
    </w:p>
    <w:p w14:paraId="6EB4C1A7" w14:textId="77777777" w:rsidR="005409F8" w:rsidRDefault="005409F8" w:rsidP="005409F8">
      <w:pPr>
        <w:pStyle w:val="Pagrindinistekstas"/>
        <w:spacing w:after="0"/>
      </w:pPr>
    </w:p>
    <w:p w14:paraId="27761E1A" w14:textId="77777777" w:rsidR="005409F8" w:rsidRDefault="005409F8" w:rsidP="005409F8">
      <w:pPr>
        <w:pStyle w:val="Pagrindinistekstas"/>
        <w:spacing w:after="0"/>
      </w:pPr>
      <w:r>
        <w:t>Ant dėžutės, žvakučių lizdinės plokštelės ir kremo tūbelės po „EXP“ nurodytam tinkamumo laikui pasibaigus, šio vaisto vartoti negalima. Vaistas tinkamas vartoti iki paskutinės nurodyto mėnesio dienos.</w:t>
      </w:r>
    </w:p>
    <w:p w14:paraId="796D9DCA" w14:textId="77777777" w:rsidR="005409F8" w:rsidRDefault="005409F8" w:rsidP="005409F8">
      <w:pPr>
        <w:pStyle w:val="Pagrindinistekstas"/>
        <w:spacing w:after="0"/>
      </w:pPr>
    </w:p>
    <w:p w14:paraId="7D4B401F" w14:textId="77777777" w:rsidR="005409F8" w:rsidRDefault="005409F8" w:rsidP="005409F8">
      <w:pPr>
        <w:pStyle w:val="Pagrindinistekstas"/>
        <w:spacing w:after="0"/>
      </w:pPr>
      <w:r>
        <w:t>Vaistų negalima išpilti į kanalizaciją arba išmesti su buitinėmis atliekomis. Kaip tvarkyti nereikalingus vaistus, klauskite vaistininko. Šios priemonės padės apsaugoti aplinką.</w:t>
      </w:r>
    </w:p>
    <w:p w14:paraId="4AE7DB46" w14:textId="77777777" w:rsidR="005409F8" w:rsidRDefault="005409F8" w:rsidP="005409F8">
      <w:pPr>
        <w:pStyle w:val="Pagrindinistekstas"/>
        <w:spacing w:after="0"/>
      </w:pPr>
    </w:p>
    <w:p w14:paraId="3BD3E991" w14:textId="77777777" w:rsidR="005409F8" w:rsidRDefault="005409F8" w:rsidP="005409F8">
      <w:pPr>
        <w:pStyle w:val="Pagrindinistekstas"/>
        <w:spacing w:after="0"/>
      </w:pPr>
    </w:p>
    <w:p w14:paraId="4BB4310C" w14:textId="77777777" w:rsidR="005409F8" w:rsidRPr="009034C8" w:rsidRDefault="005409F8" w:rsidP="005409F8">
      <w:pPr>
        <w:pStyle w:val="Pagrindinistekstas"/>
        <w:spacing w:after="0"/>
        <w:rPr>
          <w:b/>
          <w:szCs w:val="22"/>
        </w:rPr>
      </w:pPr>
      <w:bookmarkStart w:id="10" w:name="_Toc129243144"/>
      <w:bookmarkStart w:id="11" w:name="_Toc129243269"/>
      <w:r w:rsidRPr="009034C8">
        <w:rPr>
          <w:b/>
          <w:szCs w:val="22"/>
        </w:rPr>
        <w:t>6.</w:t>
      </w:r>
      <w:r w:rsidRPr="009034C8">
        <w:rPr>
          <w:b/>
          <w:szCs w:val="22"/>
        </w:rPr>
        <w:tab/>
      </w:r>
      <w:r w:rsidRPr="00AE55CF">
        <w:rPr>
          <w:b/>
          <w:szCs w:val="22"/>
        </w:rPr>
        <w:t xml:space="preserve">Pakuotės turinys ir </w:t>
      </w:r>
      <w:r w:rsidRPr="009034C8">
        <w:rPr>
          <w:b/>
          <w:szCs w:val="22"/>
        </w:rPr>
        <w:t>kita informacija</w:t>
      </w:r>
      <w:bookmarkEnd w:id="10"/>
      <w:bookmarkEnd w:id="11"/>
    </w:p>
    <w:p w14:paraId="5ACA7D3D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25336BDF" w14:textId="77777777" w:rsidR="005409F8" w:rsidRPr="009034C8" w:rsidRDefault="005409F8" w:rsidP="005409F8">
      <w:pPr>
        <w:pStyle w:val="PI-3EMEASMCA"/>
      </w:pPr>
      <w:r w:rsidRPr="009034C8">
        <w:rPr>
          <w:lang w:val="et-EE"/>
        </w:rPr>
        <w:t xml:space="preserve">PROCTO-GLYVENOL </w:t>
      </w:r>
      <w:r w:rsidRPr="009034C8">
        <w:t>50</w:t>
      </w:r>
      <w:r>
        <w:t> </w:t>
      </w:r>
      <w:r w:rsidRPr="009034C8">
        <w:t>mg /20</w:t>
      </w:r>
      <w:r>
        <w:t> </w:t>
      </w:r>
      <w:r w:rsidRPr="009034C8">
        <w:t xml:space="preserve">mg/g </w:t>
      </w:r>
      <w:r w:rsidRPr="009034C8">
        <w:rPr>
          <w:lang w:val="et-EE"/>
        </w:rPr>
        <w:t xml:space="preserve">tiesiosios žarnos kremas </w:t>
      </w:r>
      <w:r w:rsidRPr="009034C8">
        <w:t>sudėtis</w:t>
      </w:r>
    </w:p>
    <w:p w14:paraId="40BE1444" w14:textId="77777777" w:rsidR="005409F8" w:rsidRPr="009034C8" w:rsidRDefault="005409F8" w:rsidP="005409F8">
      <w:pPr>
        <w:pStyle w:val="BTEMEASMCA"/>
      </w:pPr>
    </w:p>
    <w:p w14:paraId="571C4EC4" w14:textId="77777777" w:rsidR="005409F8" w:rsidRPr="009034C8" w:rsidRDefault="005409F8" w:rsidP="005409F8">
      <w:pPr>
        <w:pStyle w:val="BT-EMEASMCA"/>
      </w:pPr>
      <w:r w:rsidRPr="009034C8">
        <w:t>Veikliosios medžiagos yra tribenozidas ir lidokainas. 1</w:t>
      </w:r>
      <w:r>
        <w:t> </w:t>
      </w:r>
      <w:r w:rsidRPr="009034C8">
        <w:t>g kremo yra 50</w:t>
      </w:r>
      <w:r>
        <w:t> </w:t>
      </w:r>
      <w:r w:rsidRPr="009034C8">
        <w:t xml:space="preserve">mg tribenozido ir 20 mg </w:t>
      </w:r>
      <w:r w:rsidRPr="00B31FB1">
        <w:t>bevandenio</w:t>
      </w:r>
      <w:r w:rsidRPr="009034C8">
        <w:t xml:space="preserve"> lidokaino hidrochlorido (atitinka 21,2 mg lidokaino hidrochlorido</w:t>
      </w:r>
      <w:r>
        <w:t xml:space="preserve"> </w:t>
      </w:r>
      <w:r w:rsidRPr="00ED28F2">
        <w:t>monoh</w:t>
      </w:r>
      <w:r>
        <w:t>idrato</w:t>
      </w:r>
      <w:r w:rsidRPr="009034C8">
        <w:t>).</w:t>
      </w:r>
    </w:p>
    <w:p w14:paraId="74069BC7" w14:textId="77777777" w:rsidR="005409F8" w:rsidRPr="009034C8" w:rsidRDefault="005409F8" w:rsidP="005409F8">
      <w:pPr>
        <w:pStyle w:val="BT-EMEASMCA"/>
      </w:pPr>
      <w:r w:rsidRPr="009034C8">
        <w:t>Pagalbinės medžiagos yra sorbitano stearatas, makrogolio cetostearilo eteris, cetilo alkoholis, izopropilo palmitatas, skystasis parafinas, metilo parahidroksibenzoatas</w:t>
      </w:r>
      <w:r>
        <w:t xml:space="preserve"> (E218)</w:t>
      </w:r>
      <w:r w:rsidRPr="009034C8">
        <w:t>, propilo parahidroksibenzoatas</w:t>
      </w:r>
      <w:r>
        <w:t xml:space="preserve"> (E216)</w:t>
      </w:r>
      <w:r w:rsidRPr="009034C8">
        <w:t>, skystasis sorbitolis (nesikristalizuojantis)</w:t>
      </w:r>
      <w:r w:rsidRPr="00A85878">
        <w:rPr>
          <w:noProof w:val="0"/>
        </w:rPr>
        <w:t xml:space="preserve"> </w:t>
      </w:r>
      <w:r w:rsidRPr="00A85878">
        <w:t>(E420)</w:t>
      </w:r>
      <w:r w:rsidRPr="009034C8">
        <w:t>, stearino rūgštis, išgrynintas vanduo.</w:t>
      </w:r>
    </w:p>
    <w:p w14:paraId="3C9314AF" w14:textId="77777777" w:rsidR="005409F8" w:rsidRPr="009034C8" w:rsidRDefault="005409F8" w:rsidP="005409F8">
      <w:pPr>
        <w:pStyle w:val="PI-3EMEASMCA"/>
      </w:pPr>
    </w:p>
    <w:p w14:paraId="718D4CEC" w14:textId="77777777" w:rsidR="005409F8" w:rsidRPr="009034C8" w:rsidRDefault="005409F8" w:rsidP="005409F8">
      <w:pPr>
        <w:pStyle w:val="PI-3EMEASMCA"/>
      </w:pPr>
      <w:r w:rsidRPr="009034C8">
        <w:t>PROCTO-GLYVENOL 400</w:t>
      </w:r>
      <w:r>
        <w:t> </w:t>
      </w:r>
      <w:r w:rsidRPr="009034C8">
        <w:t>mg/40</w:t>
      </w:r>
      <w:r>
        <w:t> </w:t>
      </w:r>
      <w:r w:rsidRPr="009034C8">
        <w:t>mg žvakutės sudėtis</w:t>
      </w:r>
    </w:p>
    <w:p w14:paraId="54CCE149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52EB888E" w14:textId="77777777" w:rsidR="005409F8" w:rsidRDefault="005409F8" w:rsidP="005409F8">
      <w:pPr>
        <w:pStyle w:val="BT-EMEASMCA"/>
      </w:pPr>
      <w:r w:rsidRPr="009034C8">
        <w:t xml:space="preserve">Veikliosios medžiagos yra tribenozidas ir lidokainas. </w:t>
      </w:r>
      <w:r>
        <w:t>Kiekv</w:t>
      </w:r>
      <w:r w:rsidRPr="009034C8">
        <w:t>ienoje žvakutėje yra 400</w:t>
      </w:r>
      <w:r>
        <w:t> </w:t>
      </w:r>
      <w:r w:rsidRPr="009034C8">
        <w:t>mg tribenozido ir 40</w:t>
      </w:r>
      <w:r>
        <w:t> </w:t>
      </w:r>
      <w:r w:rsidRPr="009034C8">
        <w:t>mg lidokaino.</w:t>
      </w:r>
    </w:p>
    <w:p w14:paraId="30E2A407" w14:textId="77777777" w:rsidR="005409F8" w:rsidRPr="009034C8" w:rsidRDefault="005409F8" w:rsidP="005409F8">
      <w:pPr>
        <w:pStyle w:val="BT-EMEASMCA"/>
      </w:pPr>
      <w:r w:rsidRPr="009034C8">
        <w:t>Pagalbinės medžiagos yra kietieji riebalai.</w:t>
      </w:r>
    </w:p>
    <w:p w14:paraId="01BB5E5D" w14:textId="77777777" w:rsidR="005409F8" w:rsidRPr="009034C8" w:rsidRDefault="005409F8" w:rsidP="005409F8">
      <w:pPr>
        <w:pStyle w:val="PI-3EMEASMCA"/>
      </w:pPr>
    </w:p>
    <w:p w14:paraId="0C1FC3A5" w14:textId="77777777" w:rsidR="005409F8" w:rsidRPr="009034C8" w:rsidRDefault="005409F8" w:rsidP="005409F8">
      <w:pPr>
        <w:pStyle w:val="PI-3EMEASMCA"/>
      </w:pPr>
      <w:r w:rsidRPr="009034C8">
        <w:rPr>
          <w:lang w:val="et-EE"/>
        </w:rPr>
        <w:t xml:space="preserve">PROCTO-GLYVENOL </w:t>
      </w:r>
      <w:r w:rsidRPr="009034C8">
        <w:t>50</w:t>
      </w:r>
      <w:r>
        <w:t> </w:t>
      </w:r>
      <w:r w:rsidRPr="009034C8">
        <w:t>mg /20</w:t>
      </w:r>
      <w:r>
        <w:t> </w:t>
      </w:r>
      <w:r w:rsidRPr="009034C8">
        <w:t xml:space="preserve">mg/g </w:t>
      </w:r>
      <w:r w:rsidRPr="009034C8">
        <w:rPr>
          <w:lang w:val="et-EE"/>
        </w:rPr>
        <w:t xml:space="preserve">tiesiosios žarnos kremas </w:t>
      </w:r>
      <w:r w:rsidRPr="009034C8">
        <w:t>išvaizda ir kiekis pakuotėje</w:t>
      </w:r>
    </w:p>
    <w:p w14:paraId="39A14AB7" w14:textId="77777777" w:rsidR="005409F8" w:rsidRPr="009034C8" w:rsidRDefault="005409F8" w:rsidP="005409F8">
      <w:pPr>
        <w:rPr>
          <w:sz w:val="22"/>
          <w:szCs w:val="22"/>
        </w:rPr>
      </w:pPr>
    </w:p>
    <w:p w14:paraId="7BBC1AAB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>PROCTO-GLYVENOL tiesiosios žarnos kremas yra baltos spalvos, silpno charakteringo kvapo.</w:t>
      </w:r>
    </w:p>
    <w:p w14:paraId="7A581EFC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Vaist</w:t>
      </w:r>
      <w:r>
        <w:rPr>
          <w:szCs w:val="22"/>
        </w:rPr>
        <w:t>as</w:t>
      </w:r>
      <w:r w:rsidRPr="009034C8">
        <w:rPr>
          <w:szCs w:val="22"/>
        </w:rPr>
        <w:t xml:space="preserve"> tiekiamas tūbelėmis, kuriose yra po 30</w:t>
      </w:r>
      <w:r>
        <w:rPr>
          <w:szCs w:val="22"/>
        </w:rPr>
        <w:t> </w:t>
      </w:r>
      <w:r w:rsidRPr="009034C8">
        <w:rPr>
          <w:szCs w:val="22"/>
        </w:rPr>
        <w:t>g kremo.</w:t>
      </w:r>
    </w:p>
    <w:p w14:paraId="21A995F8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01EB1EA5" w14:textId="77777777" w:rsidR="005409F8" w:rsidRPr="009034C8" w:rsidRDefault="005409F8" w:rsidP="005409F8">
      <w:pPr>
        <w:pStyle w:val="PI-3EMEASMCA"/>
      </w:pPr>
      <w:r w:rsidRPr="009034C8">
        <w:t>PROCTO-GLYVENOL 400</w:t>
      </w:r>
      <w:r>
        <w:t> </w:t>
      </w:r>
      <w:r w:rsidRPr="009034C8">
        <w:t>mg/40</w:t>
      </w:r>
      <w:r>
        <w:t> </w:t>
      </w:r>
      <w:r w:rsidRPr="009034C8">
        <w:t>mg žvakutės išvaizda ir kiekis pakuotėje</w:t>
      </w:r>
    </w:p>
    <w:p w14:paraId="3403415C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7BEF40B6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PROCTO-GLYVENOL yra gelsvai baltos, torpedos formos, kietos, šiek tiek riebios, be įtrūkimų žvakutės.</w:t>
      </w:r>
    </w:p>
    <w:p w14:paraId="2492723E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Vaist</w:t>
      </w:r>
      <w:r>
        <w:rPr>
          <w:szCs w:val="22"/>
        </w:rPr>
        <w:t>as</w:t>
      </w:r>
      <w:r w:rsidRPr="009034C8">
        <w:rPr>
          <w:szCs w:val="22"/>
        </w:rPr>
        <w:t xml:space="preserve"> tiekiamas </w:t>
      </w:r>
      <w:r>
        <w:rPr>
          <w:szCs w:val="22"/>
        </w:rPr>
        <w:t>lizdinėse plokštelėse</w:t>
      </w:r>
      <w:r w:rsidRPr="009034C8">
        <w:rPr>
          <w:szCs w:val="22"/>
        </w:rPr>
        <w:t xml:space="preserve"> po 10</w:t>
      </w:r>
      <w:r>
        <w:rPr>
          <w:szCs w:val="22"/>
        </w:rPr>
        <w:t> </w:t>
      </w:r>
      <w:r w:rsidRPr="009034C8">
        <w:rPr>
          <w:szCs w:val="22"/>
        </w:rPr>
        <w:t>žvakučių.</w:t>
      </w:r>
    </w:p>
    <w:p w14:paraId="21356C33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1984926F" w14:textId="77777777" w:rsidR="005409F8" w:rsidRPr="009034C8" w:rsidRDefault="005409F8" w:rsidP="005409F8">
      <w:pPr>
        <w:pStyle w:val="PI-3EMEASMCA"/>
      </w:pPr>
      <w:r w:rsidRPr="00C461B2">
        <w:t>Registruotojas ir gamintojas</w:t>
      </w:r>
    </w:p>
    <w:p w14:paraId="0DF25EC1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2629CEF5" w14:textId="77777777" w:rsidR="005409F8" w:rsidRPr="009034C8" w:rsidRDefault="005409F8" w:rsidP="005409F8">
      <w:pPr>
        <w:pStyle w:val="Pagrindinistekstas"/>
        <w:spacing w:after="0"/>
        <w:rPr>
          <w:b/>
          <w:szCs w:val="22"/>
        </w:rPr>
      </w:pPr>
      <w:r w:rsidRPr="00496573">
        <w:rPr>
          <w:b/>
          <w:szCs w:val="22"/>
        </w:rPr>
        <w:lastRenderedPageBreak/>
        <w:t>Registruotojas</w:t>
      </w:r>
    </w:p>
    <w:p w14:paraId="2CF5535D" w14:textId="77777777" w:rsidR="005409F8" w:rsidRPr="009034C8" w:rsidRDefault="005409F8" w:rsidP="005409F8">
      <w:pPr>
        <w:rPr>
          <w:sz w:val="22"/>
          <w:szCs w:val="22"/>
        </w:rPr>
      </w:pPr>
    </w:p>
    <w:p w14:paraId="5A8BDFC4" w14:textId="77777777" w:rsidR="005409F8" w:rsidRPr="009034C8" w:rsidRDefault="005409F8" w:rsidP="005409F8">
      <w:pPr>
        <w:pStyle w:val="BTEMEASMCA"/>
      </w:pPr>
      <w:r w:rsidRPr="009034C8">
        <w:t xml:space="preserve">Recordati Ireland Ltd </w:t>
      </w:r>
    </w:p>
    <w:p w14:paraId="431438E5" w14:textId="77777777" w:rsidR="005409F8" w:rsidRPr="009034C8" w:rsidRDefault="005409F8" w:rsidP="005409F8">
      <w:pPr>
        <w:pStyle w:val="BTEMEASMCA"/>
      </w:pPr>
      <w:r w:rsidRPr="009034C8">
        <w:t>Raheens East, Ringaskiddy, Co. Cork</w:t>
      </w:r>
    </w:p>
    <w:p w14:paraId="79D78919" w14:textId="77777777" w:rsidR="005409F8" w:rsidRPr="009034C8" w:rsidRDefault="005409F8" w:rsidP="005409F8">
      <w:pPr>
        <w:pStyle w:val="BTEMEASMCA"/>
      </w:pPr>
      <w:r w:rsidRPr="009034C8">
        <w:t>Airija</w:t>
      </w:r>
    </w:p>
    <w:p w14:paraId="5CB3711A" w14:textId="77777777" w:rsidR="005409F8" w:rsidRPr="009034C8" w:rsidRDefault="005409F8" w:rsidP="005409F8">
      <w:pPr>
        <w:pStyle w:val="Pagrindinistekstas"/>
        <w:spacing w:after="0"/>
        <w:rPr>
          <w:szCs w:val="22"/>
        </w:rPr>
      </w:pPr>
    </w:p>
    <w:p w14:paraId="6B06D75F" w14:textId="77777777" w:rsidR="005409F8" w:rsidRPr="009034C8" w:rsidRDefault="005409F8" w:rsidP="005409F8">
      <w:pPr>
        <w:pStyle w:val="Pagrindinistekstas"/>
        <w:spacing w:after="0"/>
        <w:rPr>
          <w:b/>
          <w:szCs w:val="22"/>
        </w:rPr>
      </w:pPr>
      <w:r w:rsidRPr="009034C8">
        <w:rPr>
          <w:b/>
          <w:szCs w:val="22"/>
        </w:rPr>
        <w:t>Gamintojas</w:t>
      </w:r>
    </w:p>
    <w:p w14:paraId="00814B0E" w14:textId="77777777" w:rsidR="005409F8" w:rsidRPr="009034C8" w:rsidRDefault="005409F8" w:rsidP="005409F8">
      <w:pPr>
        <w:pStyle w:val="Pagrindinistekstas"/>
        <w:spacing w:after="0"/>
        <w:rPr>
          <w:b/>
          <w:szCs w:val="22"/>
        </w:rPr>
      </w:pPr>
    </w:p>
    <w:p w14:paraId="7B290F28" w14:textId="77777777" w:rsidR="005409F8" w:rsidRPr="009034C8" w:rsidRDefault="005409F8" w:rsidP="005409F8">
      <w:pPr>
        <w:pStyle w:val="Pagrindinistekstas"/>
        <w:spacing w:after="0"/>
        <w:rPr>
          <w:i/>
          <w:szCs w:val="22"/>
        </w:rPr>
      </w:pPr>
      <w:r w:rsidRPr="009034C8">
        <w:rPr>
          <w:i/>
          <w:szCs w:val="22"/>
        </w:rPr>
        <w:t>PROCTO-GLYVENOL 400</w:t>
      </w:r>
      <w:r>
        <w:rPr>
          <w:i/>
          <w:szCs w:val="22"/>
        </w:rPr>
        <w:t> </w:t>
      </w:r>
      <w:r w:rsidRPr="009034C8">
        <w:rPr>
          <w:i/>
          <w:szCs w:val="22"/>
        </w:rPr>
        <w:t>mg/40</w:t>
      </w:r>
      <w:r>
        <w:rPr>
          <w:i/>
          <w:szCs w:val="22"/>
        </w:rPr>
        <w:t> </w:t>
      </w:r>
      <w:r w:rsidRPr="009034C8">
        <w:rPr>
          <w:i/>
          <w:szCs w:val="22"/>
        </w:rPr>
        <w:t>mg žvakutės</w:t>
      </w:r>
    </w:p>
    <w:p w14:paraId="71375EC6" w14:textId="77777777" w:rsidR="005409F8" w:rsidRPr="009034C8" w:rsidRDefault="005409F8" w:rsidP="005409F8">
      <w:pPr>
        <w:pStyle w:val="Pagrindinistekstas"/>
        <w:spacing w:after="0"/>
        <w:rPr>
          <w:b/>
          <w:szCs w:val="22"/>
        </w:rPr>
      </w:pPr>
    </w:p>
    <w:p w14:paraId="743BD739" w14:textId="77777777" w:rsidR="005409F8" w:rsidRPr="009034C8" w:rsidRDefault="005409F8" w:rsidP="005409F8">
      <w:pPr>
        <w:rPr>
          <w:sz w:val="22"/>
          <w:szCs w:val="22"/>
        </w:rPr>
      </w:pPr>
      <w:proofErr w:type="spellStart"/>
      <w:r w:rsidRPr="009034C8">
        <w:rPr>
          <w:sz w:val="22"/>
          <w:szCs w:val="22"/>
        </w:rPr>
        <w:t>Delpharm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Huningue</w:t>
      </w:r>
      <w:proofErr w:type="spellEnd"/>
      <w:r w:rsidRPr="009034C8">
        <w:rPr>
          <w:sz w:val="22"/>
          <w:szCs w:val="22"/>
        </w:rPr>
        <w:t xml:space="preserve"> S.A.S. </w:t>
      </w:r>
    </w:p>
    <w:p w14:paraId="36BCAB4E" w14:textId="77777777" w:rsidR="005409F8" w:rsidRPr="009034C8" w:rsidRDefault="005409F8" w:rsidP="005409F8">
      <w:pPr>
        <w:rPr>
          <w:sz w:val="22"/>
          <w:szCs w:val="22"/>
        </w:rPr>
      </w:pPr>
      <w:proofErr w:type="spellStart"/>
      <w:r w:rsidRPr="009034C8">
        <w:rPr>
          <w:sz w:val="22"/>
          <w:szCs w:val="22"/>
        </w:rPr>
        <w:t>Site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Industrial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d'Huningue</w:t>
      </w:r>
      <w:proofErr w:type="spellEnd"/>
      <w:r w:rsidRPr="009034C8">
        <w:rPr>
          <w:sz w:val="22"/>
          <w:szCs w:val="22"/>
        </w:rPr>
        <w:t xml:space="preserve"> </w:t>
      </w:r>
    </w:p>
    <w:p w14:paraId="7F04A414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26 </w:t>
      </w:r>
      <w:proofErr w:type="spellStart"/>
      <w:r w:rsidRPr="009034C8">
        <w:rPr>
          <w:sz w:val="22"/>
          <w:szCs w:val="22"/>
        </w:rPr>
        <w:t>Rue</w:t>
      </w:r>
      <w:proofErr w:type="spellEnd"/>
      <w:r w:rsidRPr="009034C8">
        <w:rPr>
          <w:sz w:val="22"/>
          <w:szCs w:val="22"/>
        </w:rPr>
        <w:t xml:space="preserve"> de </w:t>
      </w:r>
      <w:proofErr w:type="spellStart"/>
      <w:r w:rsidRPr="009034C8">
        <w:rPr>
          <w:sz w:val="22"/>
          <w:szCs w:val="22"/>
        </w:rPr>
        <w:t>Chapelle</w:t>
      </w:r>
      <w:proofErr w:type="spellEnd"/>
      <w:r w:rsidRPr="009034C8">
        <w:rPr>
          <w:sz w:val="22"/>
          <w:szCs w:val="22"/>
        </w:rPr>
        <w:t xml:space="preserve">, B.P.349 </w:t>
      </w:r>
    </w:p>
    <w:p w14:paraId="70177DD0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68333 </w:t>
      </w:r>
      <w:proofErr w:type="spellStart"/>
      <w:r w:rsidRPr="009034C8">
        <w:rPr>
          <w:sz w:val="22"/>
          <w:szCs w:val="22"/>
        </w:rPr>
        <w:t>Huningue</w:t>
      </w:r>
      <w:proofErr w:type="spellEnd"/>
      <w:r w:rsidRPr="009034C8">
        <w:rPr>
          <w:sz w:val="22"/>
          <w:szCs w:val="22"/>
        </w:rPr>
        <w:t xml:space="preserve">, </w:t>
      </w:r>
      <w:proofErr w:type="spellStart"/>
      <w:r w:rsidRPr="009034C8">
        <w:rPr>
          <w:sz w:val="22"/>
          <w:szCs w:val="22"/>
        </w:rPr>
        <w:t>Cedex</w:t>
      </w:r>
      <w:proofErr w:type="spellEnd"/>
      <w:r w:rsidRPr="009034C8">
        <w:rPr>
          <w:sz w:val="22"/>
          <w:szCs w:val="22"/>
        </w:rPr>
        <w:t xml:space="preserve"> </w:t>
      </w:r>
    </w:p>
    <w:p w14:paraId="504279CA" w14:textId="77777777" w:rsidR="005409F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>Prancūzija</w:t>
      </w:r>
    </w:p>
    <w:p w14:paraId="21472382" w14:textId="77777777" w:rsidR="005409F8" w:rsidRDefault="005409F8" w:rsidP="005409F8">
      <w:pPr>
        <w:rPr>
          <w:sz w:val="22"/>
          <w:szCs w:val="22"/>
        </w:rPr>
      </w:pPr>
    </w:p>
    <w:p w14:paraId="412A05FF" w14:textId="77777777" w:rsidR="005409F8" w:rsidRPr="00D51FBF" w:rsidRDefault="005409F8" w:rsidP="005409F8">
      <w:pPr>
        <w:rPr>
          <w:sz w:val="22"/>
          <w:szCs w:val="22"/>
          <w:highlight w:val="lightGray"/>
        </w:rPr>
      </w:pPr>
      <w:r w:rsidRPr="00D51FBF">
        <w:rPr>
          <w:sz w:val="22"/>
          <w:szCs w:val="22"/>
          <w:highlight w:val="lightGray"/>
        </w:rPr>
        <w:t xml:space="preserve">ZETA </w:t>
      </w:r>
      <w:proofErr w:type="spellStart"/>
      <w:r w:rsidRPr="00D51FBF">
        <w:rPr>
          <w:sz w:val="22"/>
          <w:szCs w:val="22"/>
          <w:highlight w:val="lightGray"/>
        </w:rPr>
        <w:t>Farmaceutici</w:t>
      </w:r>
      <w:proofErr w:type="spellEnd"/>
      <w:r w:rsidRPr="00D51FBF">
        <w:rPr>
          <w:sz w:val="22"/>
          <w:szCs w:val="22"/>
          <w:highlight w:val="lightGray"/>
        </w:rPr>
        <w:t xml:space="preserve"> </w:t>
      </w:r>
      <w:proofErr w:type="spellStart"/>
      <w:r w:rsidRPr="00D51FBF">
        <w:rPr>
          <w:sz w:val="22"/>
          <w:szCs w:val="22"/>
          <w:highlight w:val="lightGray"/>
        </w:rPr>
        <w:t>SpA</w:t>
      </w:r>
      <w:proofErr w:type="spellEnd"/>
    </w:p>
    <w:p w14:paraId="0434E454" w14:textId="77777777" w:rsidR="005409F8" w:rsidRPr="00D51FBF" w:rsidRDefault="005409F8" w:rsidP="005409F8">
      <w:pPr>
        <w:rPr>
          <w:sz w:val="22"/>
          <w:szCs w:val="22"/>
          <w:highlight w:val="lightGray"/>
        </w:rPr>
      </w:pPr>
      <w:r w:rsidRPr="00D51FBF">
        <w:rPr>
          <w:sz w:val="22"/>
          <w:szCs w:val="22"/>
          <w:highlight w:val="lightGray"/>
        </w:rPr>
        <w:t xml:space="preserve">Via </w:t>
      </w:r>
      <w:proofErr w:type="spellStart"/>
      <w:r w:rsidRPr="00D51FBF">
        <w:rPr>
          <w:sz w:val="22"/>
          <w:szCs w:val="22"/>
          <w:highlight w:val="lightGray"/>
        </w:rPr>
        <w:t>Galvani</w:t>
      </w:r>
      <w:proofErr w:type="spellEnd"/>
      <w:r w:rsidRPr="00D51FBF">
        <w:rPr>
          <w:sz w:val="22"/>
          <w:szCs w:val="22"/>
          <w:highlight w:val="lightGray"/>
        </w:rPr>
        <w:t xml:space="preserve"> 10</w:t>
      </w:r>
    </w:p>
    <w:p w14:paraId="7C281213" w14:textId="77777777" w:rsidR="005409F8" w:rsidRPr="00D51FBF" w:rsidRDefault="005409F8" w:rsidP="005409F8">
      <w:pPr>
        <w:rPr>
          <w:sz w:val="22"/>
          <w:szCs w:val="22"/>
          <w:highlight w:val="lightGray"/>
        </w:rPr>
      </w:pPr>
      <w:r w:rsidRPr="00D51FBF">
        <w:rPr>
          <w:sz w:val="22"/>
          <w:szCs w:val="22"/>
          <w:highlight w:val="lightGray"/>
        </w:rPr>
        <w:t xml:space="preserve">36066 </w:t>
      </w:r>
      <w:proofErr w:type="spellStart"/>
      <w:r w:rsidRPr="00D51FBF">
        <w:rPr>
          <w:sz w:val="22"/>
          <w:szCs w:val="22"/>
          <w:highlight w:val="lightGray"/>
        </w:rPr>
        <w:t>Sandrigo</w:t>
      </w:r>
      <w:proofErr w:type="spellEnd"/>
      <w:r w:rsidRPr="00D51FBF">
        <w:rPr>
          <w:sz w:val="22"/>
          <w:szCs w:val="22"/>
          <w:highlight w:val="lightGray"/>
        </w:rPr>
        <w:t xml:space="preserve"> (</w:t>
      </w:r>
      <w:proofErr w:type="spellStart"/>
      <w:r w:rsidRPr="00D51FBF">
        <w:rPr>
          <w:sz w:val="22"/>
          <w:szCs w:val="22"/>
          <w:highlight w:val="lightGray"/>
        </w:rPr>
        <w:t>Vicenza</w:t>
      </w:r>
      <w:proofErr w:type="spellEnd"/>
      <w:r w:rsidRPr="00D51FBF">
        <w:rPr>
          <w:sz w:val="22"/>
          <w:szCs w:val="22"/>
          <w:highlight w:val="lightGray"/>
        </w:rPr>
        <w:t>)</w:t>
      </w:r>
    </w:p>
    <w:p w14:paraId="284A5F83" w14:textId="77777777" w:rsidR="005409F8" w:rsidRPr="009034C8" w:rsidRDefault="005409F8" w:rsidP="005409F8">
      <w:pPr>
        <w:rPr>
          <w:sz w:val="22"/>
          <w:szCs w:val="22"/>
        </w:rPr>
      </w:pPr>
      <w:r w:rsidRPr="00D51FBF">
        <w:rPr>
          <w:sz w:val="22"/>
          <w:szCs w:val="22"/>
          <w:highlight w:val="lightGray"/>
        </w:rPr>
        <w:t>Italija</w:t>
      </w:r>
    </w:p>
    <w:p w14:paraId="483EDAC3" w14:textId="77777777" w:rsidR="005409F8" w:rsidRDefault="005409F8" w:rsidP="005409F8">
      <w:pPr>
        <w:rPr>
          <w:sz w:val="22"/>
          <w:szCs w:val="22"/>
        </w:rPr>
      </w:pPr>
    </w:p>
    <w:p w14:paraId="2E5B5131" w14:textId="77777777" w:rsidR="005409F8" w:rsidRPr="00B51776" w:rsidRDefault="005409F8" w:rsidP="005409F8">
      <w:pPr>
        <w:rPr>
          <w:sz w:val="22"/>
          <w:szCs w:val="22"/>
          <w:highlight w:val="lightGray"/>
        </w:rPr>
      </w:pPr>
      <w:proofErr w:type="spellStart"/>
      <w:r w:rsidRPr="00B51776">
        <w:rPr>
          <w:sz w:val="22"/>
          <w:szCs w:val="22"/>
          <w:highlight w:val="lightGray"/>
        </w:rPr>
        <w:t>Temmler</w:t>
      </w:r>
      <w:proofErr w:type="spellEnd"/>
      <w:r w:rsidRPr="00B51776">
        <w:rPr>
          <w:sz w:val="22"/>
          <w:szCs w:val="22"/>
          <w:highlight w:val="lightGray"/>
        </w:rPr>
        <w:t xml:space="preserve"> </w:t>
      </w:r>
      <w:proofErr w:type="spellStart"/>
      <w:r w:rsidRPr="00B51776">
        <w:rPr>
          <w:sz w:val="22"/>
          <w:szCs w:val="22"/>
          <w:highlight w:val="lightGray"/>
        </w:rPr>
        <w:t>Italia</w:t>
      </w:r>
      <w:proofErr w:type="spellEnd"/>
      <w:r w:rsidRPr="00B51776">
        <w:rPr>
          <w:sz w:val="22"/>
          <w:szCs w:val="22"/>
          <w:highlight w:val="lightGray"/>
        </w:rPr>
        <w:t xml:space="preserve"> </w:t>
      </w:r>
      <w:proofErr w:type="spellStart"/>
      <w:r w:rsidRPr="00B51776">
        <w:rPr>
          <w:sz w:val="22"/>
          <w:szCs w:val="22"/>
          <w:highlight w:val="lightGray"/>
        </w:rPr>
        <w:t>s.r.l</w:t>
      </w:r>
      <w:proofErr w:type="spellEnd"/>
      <w:r w:rsidRPr="00B51776">
        <w:rPr>
          <w:sz w:val="22"/>
          <w:szCs w:val="22"/>
          <w:highlight w:val="lightGray"/>
        </w:rPr>
        <w:t>.</w:t>
      </w:r>
    </w:p>
    <w:p w14:paraId="0046A34A" w14:textId="77777777" w:rsidR="005409F8" w:rsidRPr="00B51776" w:rsidRDefault="005409F8" w:rsidP="005409F8">
      <w:pPr>
        <w:rPr>
          <w:sz w:val="22"/>
          <w:szCs w:val="22"/>
          <w:highlight w:val="lightGray"/>
        </w:rPr>
      </w:pPr>
      <w:r w:rsidRPr="00B51776">
        <w:rPr>
          <w:sz w:val="22"/>
          <w:szCs w:val="22"/>
          <w:highlight w:val="lightGray"/>
        </w:rPr>
        <w:t xml:space="preserve">Via </w:t>
      </w:r>
      <w:proofErr w:type="spellStart"/>
      <w:r w:rsidRPr="00B51776">
        <w:rPr>
          <w:sz w:val="22"/>
          <w:szCs w:val="22"/>
          <w:highlight w:val="lightGray"/>
        </w:rPr>
        <w:t>delle</w:t>
      </w:r>
      <w:proofErr w:type="spellEnd"/>
      <w:r w:rsidRPr="00B51776">
        <w:rPr>
          <w:sz w:val="22"/>
          <w:szCs w:val="22"/>
          <w:highlight w:val="lightGray"/>
        </w:rPr>
        <w:t xml:space="preserve"> </w:t>
      </w:r>
      <w:proofErr w:type="spellStart"/>
      <w:r w:rsidRPr="00B51776">
        <w:rPr>
          <w:sz w:val="22"/>
          <w:szCs w:val="22"/>
          <w:highlight w:val="lightGray"/>
        </w:rPr>
        <w:t>Industrie</w:t>
      </w:r>
      <w:proofErr w:type="spellEnd"/>
      <w:r w:rsidRPr="00B51776">
        <w:rPr>
          <w:sz w:val="22"/>
          <w:szCs w:val="22"/>
          <w:highlight w:val="lightGray"/>
        </w:rPr>
        <w:t>, 2</w:t>
      </w:r>
    </w:p>
    <w:p w14:paraId="30F3033C" w14:textId="77777777" w:rsidR="005409F8" w:rsidRPr="00B51776" w:rsidRDefault="005409F8" w:rsidP="005409F8">
      <w:pPr>
        <w:rPr>
          <w:sz w:val="22"/>
          <w:szCs w:val="22"/>
          <w:highlight w:val="lightGray"/>
        </w:rPr>
      </w:pPr>
      <w:r w:rsidRPr="00B51776">
        <w:rPr>
          <w:sz w:val="22"/>
          <w:szCs w:val="22"/>
          <w:highlight w:val="lightGray"/>
        </w:rPr>
        <w:t xml:space="preserve">20061 </w:t>
      </w:r>
      <w:proofErr w:type="spellStart"/>
      <w:r w:rsidRPr="00B51776">
        <w:rPr>
          <w:sz w:val="22"/>
          <w:szCs w:val="22"/>
          <w:highlight w:val="lightGray"/>
        </w:rPr>
        <w:t>Carugate</w:t>
      </w:r>
      <w:proofErr w:type="spellEnd"/>
      <w:r w:rsidRPr="00B51776">
        <w:rPr>
          <w:sz w:val="22"/>
          <w:szCs w:val="22"/>
          <w:highlight w:val="lightGray"/>
        </w:rPr>
        <w:t xml:space="preserve"> (MI)</w:t>
      </w:r>
    </w:p>
    <w:p w14:paraId="75CFD4DC" w14:textId="77777777" w:rsidR="005409F8" w:rsidRDefault="005409F8" w:rsidP="005409F8">
      <w:pPr>
        <w:rPr>
          <w:sz w:val="22"/>
          <w:szCs w:val="22"/>
        </w:rPr>
      </w:pPr>
      <w:r w:rsidRPr="00B51776">
        <w:rPr>
          <w:sz w:val="22"/>
          <w:szCs w:val="22"/>
          <w:highlight w:val="lightGray"/>
        </w:rPr>
        <w:t>Italija</w:t>
      </w:r>
    </w:p>
    <w:p w14:paraId="4125EFC3" w14:textId="77777777" w:rsidR="005409F8" w:rsidRPr="009034C8" w:rsidRDefault="005409F8" w:rsidP="005409F8">
      <w:pPr>
        <w:rPr>
          <w:sz w:val="22"/>
          <w:szCs w:val="22"/>
        </w:rPr>
      </w:pPr>
    </w:p>
    <w:p w14:paraId="676BDEC9" w14:textId="77777777" w:rsidR="005409F8" w:rsidRPr="009034C8" w:rsidRDefault="005409F8" w:rsidP="005409F8">
      <w:pPr>
        <w:rPr>
          <w:i/>
          <w:sz w:val="22"/>
          <w:szCs w:val="22"/>
          <w:lang w:val="et-EE"/>
        </w:rPr>
      </w:pPr>
      <w:r w:rsidRPr="009034C8">
        <w:rPr>
          <w:i/>
          <w:sz w:val="22"/>
          <w:szCs w:val="22"/>
          <w:lang w:val="et-EE"/>
        </w:rPr>
        <w:t xml:space="preserve">PROCTO-GLYVENOL </w:t>
      </w:r>
      <w:r w:rsidRPr="009034C8">
        <w:rPr>
          <w:i/>
          <w:sz w:val="22"/>
          <w:szCs w:val="22"/>
        </w:rPr>
        <w:t>50</w:t>
      </w:r>
      <w:r>
        <w:rPr>
          <w:i/>
          <w:sz w:val="22"/>
          <w:szCs w:val="22"/>
        </w:rPr>
        <w:t> </w:t>
      </w:r>
      <w:r w:rsidRPr="009034C8">
        <w:rPr>
          <w:i/>
          <w:sz w:val="22"/>
          <w:szCs w:val="22"/>
        </w:rPr>
        <w:t>mg /20</w:t>
      </w:r>
      <w:r>
        <w:rPr>
          <w:i/>
          <w:sz w:val="22"/>
          <w:szCs w:val="22"/>
        </w:rPr>
        <w:t> </w:t>
      </w:r>
      <w:r w:rsidRPr="009034C8">
        <w:rPr>
          <w:i/>
          <w:sz w:val="22"/>
          <w:szCs w:val="22"/>
        </w:rPr>
        <w:t xml:space="preserve">mg/g </w:t>
      </w:r>
      <w:r w:rsidRPr="009034C8">
        <w:rPr>
          <w:i/>
          <w:sz w:val="22"/>
          <w:szCs w:val="22"/>
          <w:lang w:val="et-EE"/>
        </w:rPr>
        <w:t>tiesiosios žarnos kremas</w:t>
      </w:r>
    </w:p>
    <w:p w14:paraId="304EA1C8" w14:textId="77777777" w:rsidR="005409F8" w:rsidRPr="00340EFD" w:rsidRDefault="005409F8" w:rsidP="005409F8">
      <w:pPr>
        <w:rPr>
          <w:sz w:val="22"/>
          <w:szCs w:val="22"/>
          <w:lang w:val="et-EE"/>
        </w:rPr>
      </w:pPr>
    </w:p>
    <w:p w14:paraId="53A14A8D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RECORDATI </w:t>
      </w:r>
      <w:proofErr w:type="spellStart"/>
      <w:r w:rsidRPr="009034C8">
        <w:rPr>
          <w:sz w:val="22"/>
          <w:szCs w:val="22"/>
        </w:rPr>
        <w:t>Industria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Chimica</w:t>
      </w:r>
      <w:proofErr w:type="spellEnd"/>
      <w:r w:rsidRPr="009034C8">
        <w:rPr>
          <w:sz w:val="22"/>
          <w:szCs w:val="22"/>
        </w:rPr>
        <w:t xml:space="preserve"> e </w:t>
      </w:r>
      <w:proofErr w:type="spellStart"/>
      <w:r w:rsidRPr="009034C8">
        <w:rPr>
          <w:sz w:val="22"/>
          <w:szCs w:val="22"/>
        </w:rPr>
        <w:t>Farmaceutica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S.p.A</w:t>
      </w:r>
      <w:proofErr w:type="spellEnd"/>
      <w:r w:rsidRPr="009034C8">
        <w:rPr>
          <w:sz w:val="22"/>
          <w:szCs w:val="22"/>
        </w:rPr>
        <w:t>.</w:t>
      </w:r>
    </w:p>
    <w:p w14:paraId="6DB5D557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Via </w:t>
      </w:r>
      <w:proofErr w:type="spellStart"/>
      <w:r w:rsidRPr="009034C8">
        <w:rPr>
          <w:sz w:val="22"/>
          <w:szCs w:val="22"/>
        </w:rPr>
        <w:t>Matteo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Civitali</w:t>
      </w:r>
      <w:proofErr w:type="spellEnd"/>
      <w:r w:rsidRPr="009034C8">
        <w:rPr>
          <w:sz w:val="22"/>
          <w:szCs w:val="22"/>
        </w:rPr>
        <w:t>, 1</w:t>
      </w:r>
    </w:p>
    <w:p w14:paraId="73C66DCD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>20148 Milan</w:t>
      </w:r>
    </w:p>
    <w:p w14:paraId="1E6F53C6" w14:textId="77777777" w:rsidR="005409F8" w:rsidRPr="009034C8" w:rsidRDefault="005409F8" w:rsidP="005409F8">
      <w:pPr>
        <w:rPr>
          <w:sz w:val="22"/>
          <w:szCs w:val="22"/>
        </w:rPr>
      </w:pPr>
      <w:r w:rsidRPr="009034C8">
        <w:rPr>
          <w:sz w:val="22"/>
          <w:szCs w:val="22"/>
        </w:rPr>
        <w:t>Italija</w:t>
      </w:r>
    </w:p>
    <w:p w14:paraId="2FEDA7F9" w14:textId="77777777" w:rsidR="005409F8" w:rsidRPr="00340EFD" w:rsidRDefault="005409F8" w:rsidP="005409F8">
      <w:pPr>
        <w:rPr>
          <w:sz w:val="22"/>
          <w:szCs w:val="22"/>
        </w:rPr>
      </w:pPr>
    </w:p>
    <w:p w14:paraId="4B51DB84" w14:textId="77777777" w:rsidR="005409F8" w:rsidRPr="00A33552" w:rsidRDefault="005409F8" w:rsidP="005409F8">
      <w:pPr>
        <w:rPr>
          <w:sz w:val="22"/>
          <w:szCs w:val="22"/>
          <w:highlight w:val="lightGray"/>
        </w:rPr>
      </w:pPr>
      <w:r w:rsidRPr="00A33552">
        <w:rPr>
          <w:sz w:val="22"/>
          <w:szCs w:val="22"/>
          <w:highlight w:val="lightGray"/>
        </w:rPr>
        <w:t>VAMFARMA S.R.L.</w:t>
      </w:r>
    </w:p>
    <w:p w14:paraId="1E5F2B8D" w14:textId="77777777" w:rsidR="005409F8" w:rsidRPr="00A33552" w:rsidRDefault="005409F8" w:rsidP="005409F8">
      <w:pPr>
        <w:rPr>
          <w:sz w:val="22"/>
          <w:szCs w:val="22"/>
          <w:highlight w:val="lightGray"/>
        </w:rPr>
      </w:pPr>
      <w:r w:rsidRPr="00A33552">
        <w:rPr>
          <w:sz w:val="22"/>
          <w:szCs w:val="22"/>
          <w:highlight w:val="lightGray"/>
        </w:rPr>
        <w:t xml:space="preserve">Via </w:t>
      </w:r>
      <w:proofErr w:type="spellStart"/>
      <w:r w:rsidRPr="00A33552">
        <w:rPr>
          <w:sz w:val="22"/>
          <w:szCs w:val="22"/>
          <w:highlight w:val="lightGray"/>
        </w:rPr>
        <w:t>Kennedy</w:t>
      </w:r>
      <w:proofErr w:type="spellEnd"/>
      <w:r w:rsidRPr="00A33552">
        <w:rPr>
          <w:sz w:val="22"/>
          <w:szCs w:val="22"/>
          <w:highlight w:val="lightGray"/>
        </w:rPr>
        <w:t>, 5</w:t>
      </w:r>
    </w:p>
    <w:p w14:paraId="44167679" w14:textId="77777777" w:rsidR="005409F8" w:rsidRPr="00A33552" w:rsidRDefault="005409F8" w:rsidP="005409F8">
      <w:pPr>
        <w:rPr>
          <w:sz w:val="22"/>
          <w:szCs w:val="22"/>
          <w:highlight w:val="lightGray"/>
        </w:rPr>
      </w:pPr>
      <w:r w:rsidRPr="00A33552">
        <w:rPr>
          <w:sz w:val="22"/>
          <w:szCs w:val="22"/>
          <w:highlight w:val="lightGray"/>
        </w:rPr>
        <w:t xml:space="preserve">26833 </w:t>
      </w:r>
      <w:proofErr w:type="spellStart"/>
      <w:r w:rsidRPr="00A33552">
        <w:rPr>
          <w:sz w:val="22"/>
          <w:szCs w:val="22"/>
          <w:highlight w:val="lightGray"/>
        </w:rPr>
        <w:t>Comazzo</w:t>
      </w:r>
      <w:proofErr w:type="spellEnd"/>
      <w:r w:rsidRPr="00A33552">
        <w:rPr>
          <w:sz w:val="22"/>
          <w:szCs w:val="22"/>
          <w:highlight w:val="lightGray"/>
        </w:rPr>
        <w:t xml:space="preserve"> (LO)</w:t>
      </w:r>
    </w:p>
    <w:p w14:paraId="2CCBC6EA" w14:textId="77777777" w:rsidR="005409F8" w:rsidRPr="00340EFD" w:rsidRDefault="005409F8" w:rsidP="005409F8">
      <w:pPr>
        <w:rPr>
          <w:sz w:val="22"/>
          <w:szCs w:val="22"/>
        </w:rPr>
      </w:pPr>
      <w:r w:rsidRPr="00A33552">
        <w:rPr>
          <w:sz w:val="22"/>
          <w:szCs w:val="22"/>
          <w:highlight w:val="lightGray"/>
        </w:rPr>
        <w:t>Italija</w:t>
      </w:r>
    </w:p>
    <w:p w14:paraId="209AD960" w14:textId="77777777" w:rsidR="005409F8" w:rsidRPr="009034C8" w:rsidRDefault="005409F8" w:rsidP="005409F8">
      <w:pPr>
        <w:pStyle w:val="PI-1EMEASMCA"/>
      </w:pPr>
    </w:p>
    <w:p w14:paraId="6F91ED99" w14:textId="77777777" w:rsidR="005409F8" w:rsidRPr="008B53F3" w:rsidRDefault="005409F8" w:rsidP="005409F8">
      <w:pPr>
        <w:pStyle w:val="PI-1EMEASMCA"/>
      </w:pPr>
      <w:r w:rsidRPr="009034C8">
        <w:t xml:space="preserve">Šis pakuotės lapelis paskutinį kartą </w:t>
      </w:r>
      <w:r w:rsidRPr="00496573">
        <w:t>peržiūrėtas</w:t>
      </w:r>
      <w:r w:rsidRPr="009034C8">
        <w:t xml:space="preserve"> </w:t>
      </w:r>
      <w:r>
        <w:t>2025-06-09.</w:t>
      </w:r>
    </w:p>
    <w:p w14:paraId="4C54E97D" w14:textId="77777777" w:rsidR="005409F8" w:rsidRPr="009034C8" w:rsidRDefault="005409F8" w:rsidP="005409F8">
      <w:pPr>
        <w:pStyle w:val="PI-1EMEASMCA"/>
      </w:pPr>
    </w:p>
    <w:p w14:paraId="708E3141" w14:textId="77777777" w:rsidR="005409F8" w:rsidRDefault="005409F8" w:rsidP="005409F8">
      <w:pPr>
        <w:pStyle w:val="BTEMEASMCA"/>
        <w:rPr>
          <w:color w:val="0000FF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9034C8">
        <w:t xml:space="preserve"> pateikiama Valstybinės vaistų kontrolės tarnybos prie Lietuvos Respublikos sveikatos apsaugos ministerijos </w:t>
      </w:r>
      <w:r>
        <w:t>tinklalapyje</w:t>
      </w:r>
      <w:r w:rsidRPr="009034C8">
        <w:t xml:space="preserve"> </w:t>
      </w:r>
      <w:r>
        <w:rPr>
          <w:color w:val="0000EE"/>
          <w:u w:val="single"/>
          <w:lang w:eastAsia="lt-LT"/>
        </w:rPr>
        <w:t>https://vvkt.lrv.lt/lt/.</w:t>
      </w:r>
      <w:r>
        <w:rPr>
          <w:lang w:eastAsia="lt-LT"/>
        </w:rPr>
        <w:t xml:space="preserve"> </w:t>
      </w:r>
    </w:p>
    <w:p w14:paraId="1A048A72" w14:textId="77777777" w:rsidR="005409F8" w:rsidRDefault="005409F8" w:rsidP="005409F8">
      <w:pPr>
        <w:pStyle w:val="BTEMEASMCA"/>
      </w:pPr>
    </w:p>
    <w:p w14:paraId="3B3FE665" w14:textId="77777777" w:rsidR="005409F8" w:rsidRDefault="005409F8" w:rsidP="005409F8">
      <w:pPr>
        <w:rPr>
          <w:color w:val="0000FF"/>
          <w:sz w:val="22"/>
          <w:szCs w:val="22"/>
        </w:rPr>
      </w:pPr>
    </w:p>
    <w:p w14:paraId="44DB5E0D" w14:textId="77777777" w:rsidR="00222FED" w:rsidRDefault="00222FED"/>
    <w:sectPr w:rsidR="00222FED" w:rsidSect="005409F8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CEA"/>
    <w:multiLevelType w:val="hybridMultilevel"/>
    <w:tmpl w:val="F4283584"/>
    <w:lvl w:ilvl="0" w:tplc="823820B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E0FCE"/>
    <w:multiLevelType w:val="hybridMultilevel"/>
    <w:tmpl w:val="24D0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174B8"/>
    <w:multiLevelType w:val="hybridMultilevel"/>
    <w:tmpl w:val="1E0C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76672">
    <w:abstractNumId w:val="0"/>
  </w:num>
  <w:num w:numId="2" w16cid:durableId="815608152">
    <w:abstractNumId w:val="2"/>
  </w:num>
  <w:num w:numId="3" w16cid:durableId="154548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F8"/>
    <w:rsid w:val="00222FED"/>
    <w:rsid w:val="005409F8"/>
    <w:rsid w:val="005F173E"/>
    <w:rsid w:val="008B3AD4"/>
    <w:rsid w:val="00C36E96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F935"/>
  <w15:chartTrackingRefBased/>
  <w15:docId w15:val="{E1379757-5AAD-4A3D-AAFC-3786DC51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09F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0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0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0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0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09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09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09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09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09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09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0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09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09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09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09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09F8"/>
    <w:rPr>
      <w:b/>
      <w:bCs/>
      <w:smallCaps/>
      <w:color w:val="0F4761" w:themeColor="accent1" w:themeShade="BF"/>
      <w:spacing w:val="5"/>
    </w:rPr>
  </w:style>
  <w:style w:type="paragraph" w:customStyle="1" w:styleId="PI-1EMEASMCA">
    <w:name w:val="PI-1 EMEA_SMCA"/>
    <w:basedOn w:val="Antrat2"/>
    <w:autoRedefine/>
    <w:rsid w:val="005409F8"/>
    <w:pPr>
      <w:keepLines w:val="0"/>
      <w:tabs>
        <w:tab w:val="left" w:pos="567"/>
      </w:tabs>
      <w:spacing w:before="0" w:after="0"/>
    </w:pPr>
    <w:rPr>
      <w:rFonts w:ascii="Times New Roman" w:eastAsia="Times New Roman" w:hAnsi="Times New Roman" w:cs="Times New Roman"/>
      <w:b/>
      <w:noProof/>
      <w:color w:val="auto"/>
      <w:sz w:val="22"/>
      <w:szCs w:val="24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5409F8"/>
    <w:pPr>
      <w:jc w:val="both"/>
    </w:pPr>
    <w:rPr>
      <w:noProof/>
      <w:sz w:val="22"/>
      <w:szCs w:val="22"/>
    </w:rPr>
  </w:style>
  <w:style w:type="paragraph" w:customStyle="1" w:styleId="BT-EMEASMCA">
    <w:name w:val="BT- EMEA_SMCA"/>
    <w:basedOn w:val="BTEMEASMCA"/>
    <w:autoRedefine/>
    <w:rsid w:val="005409F8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5409F8"/>
    <w:pPr>
      <w:spacing w:line="220" w:lineRule="exact"/>
    </w:pPr>
    <w:rPr>
      <w:b/>
      <w:bCs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5409F8"/>
    <w:rPr>
      <w:rFonts w:ascii="Times New Roman" w:eastAsia="Times New Roman" w:hAnsi="Times New Roman" w:cs="Times New Roman"/>
      <w:noProof/>
      <w:kern w:val="0"/>
      <w:sz w:val="22"/>
      <w:szCs w:val="22"/>
      <w14:ligatures w14:val="none"/>
    </w:rPr>
  </w:style>
  <w:style w:type="paragraph" w:styleId="Pagrindinistekstas">
    <w:name w:val="Body Text"/>
    <w:basedOn w:val="prastasis"/>
    <w:link w:val="PagrindinistekstasDiagrama"/>
    <w:rsid w:val="005409F8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409F8"/>
    <w:rPr>
      <w:rFonts w:ascii="Times New Roman" w:eastAsia="Times New Roman" w:hAnsi="Times New Roman" w:cs="Times New Roman"/>
      <w:kern w:val="0"/>
      <w:sz w:val="22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5191</Words>
  <Characters>2959</Characters>
  <Application>Microsoft Office Word</Application>
  <DocSecurity>0</DocSecurity>
  <Lines>24</Lines>
  <Paragraphs>16</Paragraphs>
  <ScaleCrop>false</ScaleCrop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2025-08-12T11:41:00Z</dcterms:created>
  <dcterms:modified xsi:type="dcterms:W3CDTF">2025-08-12T11:45:00Z</dcterms:modified>
</cp:coreProperties>
</file>