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C4" w:rsidRPr="003D57D9" w:rsidRDefault="00F81DC4" w:rsidP="00F81DC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lt-LT"/>
        </w:rPr>
      </w:pPr>
      <w:bookmarkStart w:id="0" w:name="_Toc129243138"/>
      <w:bookmarkStart w:id="1" w:name="_Toc129243263"/>
      <w:r w:rsidRPr="003D57D9">
        <w:rPr>
          <w:rFonts w:ascii="Times New Roman" w:eastAsia="Calibri" w:hAnsi="Times New Roman" w:cs="Times New Roman"/>
          <w:b/>
          <w:noProof/>
          <w:lang w:eastAsia="lt-LT"/>
        </w:rPr>
        <w:t>Pakuotės lapelis:</w:t>
      </w:r>
      <w:r w:rsidRPr="003D57D9">
        <w:rPr>
          <w:rFonts w:ascii="Times New Roman" w:eastAsia="Calibri" w:hAnsi="Times New Roman" w:cs="Times New Roman"/>
          <w:b/>
          <w:bCs/>
          <w:iCs/>
          <w:noProof/>
          <w:lang w:eastAsia="lt-LT"/>
        </w:rPr>
        <w:t xml:space="preserve"> </w:t>
      </w:r>
      <w:r w:rsidRPr="003D57D9">
        <w:rPr>
          <w:rFonts w:ascii="Times New Roman" w:eastAsia="Calibri" w:hAnsi="Times New Roman" w:cs="Times New Roman"/>
          <w:b/>
          <w:noProof/>
          <w:lang w:eastAsia="lt-LT"/>
        </w:rPr>
        <w:t>informacija vartotojui</w:t>
      </w:r>
      <w:bookmarkEnd w:id="0"/>
      <w:bookmarkEnd w:id="1"/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Otrivin 0,5 mg/ml nosies lašai (tirpalas)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Calibri" w:hAnsi="Times New Roman" w:cs="Times New Roman"/>
          <w:noProof/>
          <w:lang w:eastAsia="lt-LT"/>
        </w:rPr>
        <w:t>k</w:t>
      </w:r>
      <w:r w:rsidRPr="003D57D9">
        <w:rPr>
          <w:rFonts w:ascii="Times New Roman" w:eastAsia="Calibri" w:hAnsi="Times New Roman" w:cs="Times New Roman"/>
          <w:noProof/>
          <w:lang w:eastAsia="lt-LT"/>
        </w:rPr>
        <w:t>silometazolino hidrochloridas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3D57D9">
        <w:rPr>
          <w:rFonts w:ascii="Times New Roman" w:eastAsia="Calibri" w:hAnsi="Times New Roman" w:cs="Times New Roman"/>
          <w:b/>
          <w:bCs/>
          <w:noProof/>
        </w:rPr>
        <w:t>Atidžiai perskaitykite visą šį lapelį, prieš pradėdami vartoti šį vaistą vaikams, nes jame pateikiama Jūsų vaikui svarbi informacija.</w:t>
      </w:r>
    </w:p>
    <w:p w:rsidR="00F81DC4" w:rsidRPr="003D57D9" w:rsidRDefault="00F81DC4" w:rsidP="00F81DC4">
      <w:pPr>
        <w:pStyle w:val="Sraopastraipa"/>
        <w:numPr>
          <w:ilvl w:val="0"/>
          <w:numId w:val="7"/>
        </w:numPr>
        <w:spacing w:after="0" w:line="240" w:lineRule="auto"/>
        <w:ind w:left="360"/>
        <w:rPr>
          <w:rFonts w:ascii="Times New Roman" w:eastAsia="Calibri" w:hAnsi="Times New Roman" w:cs="Times New Roman"/>
          <w:noProof/>
        </w:rPr>
      </w:pPr>
      <w:r w:rsidRPr="00AB33D7">
        <w:rPr>
          <w:rFonts w:ascii="Times New Roman" w:eastAsia="Calibri" w:hAnsi="Times New Roman" w:cs="Times New Roman"/>
          <w:noProof/>
        </w:rPr>
        <w:t xml:space="preserve">Visada vartokite šį vaistą tiksliai kaip aprašyta šiame lapelyje arba kaip nurodė gydytojas arba vaistininkas. </w:t>
      </w:r>
      <w:r w:rsidRPr="003D57D9">
        <w:rPr>
          <w:rFonts w:ascii="Times New Roman" w:eastAsia="Calibri" w:hAnsi="Times New Roman" w:cs="Times New Roman"/>
          <w:noProof/>
        </w:rPr>
        <w:t>Neišmeskite šio lapelio, nes vėl gali prireikti jį perskaityti.</w:t>
      </w:r>
    </w:p>
    <w:p w:rsidR="00F81DC4" w:rsidRPr="003D57D9" w:rsidRDefault="00F81DC4" w:rsidP="00F81DC4">
      <w:pPr>
        <w:pStyle w:val="Sraopastraipa"/>
        <w:numPr>
          <w:ilvl w:val="0"/>
          <w:numId w:val="7"/>
        </w:numPr>
        <w:spacing w:after="0" w:line="240" w:lineRule="auto"/>
        <w:ind w:left="360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norite sužinoti daugiau arba pasitarti, kreipkitės į vaistininką.</w:t>
      </w:r>
    </w:p>
    <w:p w:rsidR="00F81DC4" w:rsidRPr="003D57D9" w:rsidRDefault="00F81DC4" w:rsidP="00F81DC4">
      <w:pPr>
        <w:pStyle w:val="Sraopastraipa"/>
        <w:numPr>
          <w:ilvl w:val="0"/>
          <w:numId w:val="7"/>
        </w:numPr>
        <w:spacing w:after="0" w:line="240" w:lineRule="auto"/>
        <w:ind w:left="360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pasireiškė šalutinis poveikis (net jeigu jis šiame lapelyje nenurodytas), kreipkitės į gydytoją arba vaistininką. Žr. 4 skyrių.</w:t>
      </w:r>
    </w:p>
    <w:p w:rsidR="00F81DC4" w:rsidRPr="003D57D9" w:rsidRDefault="00F81DC4" w:rsidP="00F81DC4">
      <w:pPr>
        <w:pStyle w:val="Sraopastraipa"/>
        <w:numPr>
          <w:ilvl w:val="0"/>
          <w:numId w:val="7"/>
        </w:numPr>
        <w:spacing w:after="0" w:line="240" w:lineRule="auto"/>
        <w:ind w:left="360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per 7 dienas Jūsų savijauta nepagerėjo arba net pablogėjo, kreipkitės į gydytoją.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noProof/>
          <w:lang w:eastAsia="lt-LT"/>
        </w:rPr>
        <w:t>Apie ką rašoma šiame lapelyje?</w:t>
      </w:r>
    </w:p>
    <w:p w:rsidR="00F81DC4" w:rsidRPr="003D57D9" w:rsidRDefault="00F81DC4" w:rsidP="00F81D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Kas yra Otrivin ir kam jis vartojamas</w:t>
      </w:r>
    </w:p>
    <w:p w:rsidR="00F81DC4" w:rsidRPr="003D57D9" w:rsidRDefault="00F81DC4" w:rsidP="00F81D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Kas žinotina prieš vartojant Otrivin</w:t>
      </w:r>
    </w:p>
    <w:p w:rsidR="00F81DC4" w:rsidRPr="003D57D9" w:rsidRDefault="00F81DC4" w:rsidP="00F81D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Kaip vartoti Otrivin</w:t>
      </w:r>
    </w:p>
    <w:p w:rsidR="00F81DC4" w:rsidRPr="003D57D9" w:rsidRDefault="00F81DC4" w:rsidP="00F81D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Galimas šalutinis poveikis</w:t>
      </w:r>
    </w:p>
    <w:p w:rsidR="00F81DC4" w:rsidRPr="003D57D9" w:rsidRDefault="00F81DC4" w:rsidP="00F81D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Kaip laikyti Otrivin</w:t>
      </w:r>
    </w:p>
    <w:p w:rsidR="00F81DC4" w:rsidRPr="003D57D9" w:rsidRDefault="00F81DC4" w:rsidP="00F81DC4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Pakuotės turinys ir kita informacija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bookmarkStart w:id="2" w:name="_Toc129243139"/>
      <w:bookmarkStart w:id="3" w:name="_Toc129243264"/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1.</w:t>
      </w: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ab/>
        <w:t>Kas yra Otrivin ir kam jis vartojamas</w:t>
      </w:r>
    </w:p>
    <w:bookmarkEnd w:id="2"/>
    <w:bookmarkEnd w:id="3"/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Otrivin yra greitai nosies gleivinės paburkimą mažinantis vaistas, dėl kurio poveikio greitai praeina nosies užgulimas. Otrivin 0,5 mg/ml nosies lašai skirti vartoti 2</w:t>
      </w:r>
      <w:r w:rsidRPr="003D57D9">
        <w:rPr>
          <w:rFonts w:ascii="Times New Roman" w:eastAsia="Calibri" w:hAnsi="Times New Roman" w:cs="Times New Roman"/>
          <w:noProof/>
          <w:lang w:eastAsia="lt-LT"/>
        </w:rPr>
        <w:noBreakHyphen/>
        <w:t>11 metų vaikams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ir paaugliams</w:t>
      </w:r>
      <w:r w:rsidRPr="003D57D9"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Otrivin sudėtyje yra aktyviosios medžiagos ksilometazolino hidrochlorido. Jis greitai atkemša užgultą Jūsų vaiko nosį ir skatina užgulimą sukėlusių gleivinės išskyrų šalinimą, todėl Jūsų vaikui kvėpuoti tampa lengviau.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Otrivin lengvina nosies užgulimą, kuris atsiranda peršalus, susirgus šienlige ar kitokia alergine sloga bei sinusitu.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Pavartojus Otrivin, poveikis prasideda po kelių minučių ir tęsiasi apie 10 valandų (beveik visą naktį).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Net tie pacientai, kurių nosies gleivinė yra jautri, vaistą toleruoja gerai.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Kad sumažėtų nosies ir ryklės gleivinės paburkimas, vaisto galima vartoti į nosį ir pasireiškus infekcinei ausų ligai. Jo gali skirti gydytojas net tuo atveju, kai reikia tirti nosį.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bookmarkStart w:id="4" w:name="_Toc129243140"/>
      <w:bookmarkStart w:id="5" w:name="_Toc129243265"/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2.</w:t>
      </w: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ab/>
        <w:t>Kas žinotina prieš vartojant Otrivin</w:t>
      </w:r>
    </w:p>
    <w:bookmarkEnd w:id="4"/>
    <w:bookmarkEnd w:id="5"/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 xml:space="preserve">Otrivin vaikams vartoti </w:t>
      </w:r>
      <w:r>
        <w:rPr>
          <w:rFonts w:ascii="Times New Roman" w:eastAsia="Calibri" w:hAnsi="Times New Roman" w:cs="Times New Roman"/>
          <w:b/>
          <w:bCs/>
          <w:noProof/>
          <w:lang w:eastAsia="lt-LT"/>
        </w:rPr>
        <w:t>draudžiama</w:t>
      </w: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:</w:t>
      </w:r>
    </w:p>
    <w:p w:rsidR="00F81DC4" w:rsidRPr="003D57D9" w:rsidRDefault="00F81DC4" w:rsidP="00F81DC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yra alergija ksilometazolinui arba bet kuriai pagalbinei šio vaisto medžiagai (jos išvardytos 6 skyriuje);</w:t>
      </w:r>
    </w:p>
    <w:p w:rsidR="00F81DC4" w:rsidRPr="003D57D9" w:rsidRDefault="00F81DC4" w:rsidP="00F81DC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neseniai buvo atlikta operacija pro nosį (galvos smegenų operacija, kuri atliekama per nosį arba burną);</w:t>
      </w:r>
    </w:p>
    <w:p w:rsidR="00F81DC4" w:rsidRPr="003D57D9" w:rsidRDefault="00F81DC4" w:rsidP="00F81DC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serga uždaro kampo glaukoma (padidėjęs spaudimas akyje);</w:t>
      </w:r>
    </w:p>
    <w:p w:rsidR="00F81DC4" w:rsidRPr="003D57D9" w:rsidRDefault="00F81DC4" w:rsidP="00F81DC4">
      <w:pPr>
        <w:pStyle w:val="Sraopastraipa"/>
        <w:numPr>
          <w:ilvl w:val="0"/>
          <w:numId w:val="2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serga lėtiniu nosies uždegimu, kai būna labai sausa nosies gleivinė (sausasis nosies gleivinės uždegimas (</w:t>
      </w:r>
      <w:r w:rsidRPr="003D57D9">
        <w:rPr>
          <w:rFonts w:ascii="Times New Roman" w:eastAsia="Calibri" w:hAnsi="Times New Roman" w:cs="Times New Roman"/>
          <w:i/>
          <w:noProof/>
        </w:rPr>
        <w:t>Rhinitis sicca</w:t>
      </w:r>
      <w:r w:rsidRPr="003D57D9">
        <w:rPr>
          <w:rFonts w:ascii="Times New Roman" w:eastAsia="Calibri" w:hAnsi="Times New Roman" w:cs="Times New Roman"/>
          <w:noProof/>
        </w:rPr>
        <w:t>) arba atrofinis rinitas).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lastRenderedPageBreak/>
        <w:t xml:space="preserve">Jeigu yra nors viena iš minėtų būklių, reikia pasakyti gydytojui arba vaistininkui, nes dėl išvardytų priežasčių Otrivin vaikams vartoti </w:t>
      </w:r>
      <w:r>
        <w:rPr>
          <w:rFonts w:ascii="Times New Roman" w:eastAsia="Calibri" w:hAnsi="Times New Roman" w:cs="Times New Roman"/>
          <w:noProof/>
          <w:lang w:eastAsia="lt-LT"/>
        </w:rPr>
        <w:t>draudžiama</w:t>
      </w:r>
      <w:r w:rsidRPr="003D57D9"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Įspėjimai ir atsargumo priemonės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Pasitarkite su gydytoju arba vaistininku, prieš vartodami Otrivin vaikui, jeigu</w:t>
      </w:r>
      <w:r>
        <w:rPr>
          <w:rFonts w:ascii="Times New Roman" w:eastAsia="Calibri" w:hAnsi="Times New Roman" w:cs="Times New Roman"/>
          <w:noProof/>
          <w:lang w:eastAsia="lt-LT"/>
        </w:rPr>
        <w:t>:</w:t>
      </w:r>
      <w:r w:rsidRPr="003D57D9">
        <w:rPr>
          <w:rFonts w:ascii="Times New Roman" w:eastAsia="Calibri" w:hAnsi="Times New Roman" w:cs="Times New Roman"/>
          <w:noProof/>
          <w:lang w:eastAsia="lt-LT"/>
        </w:rPr>
        <w:t xml:space="preserve"> </w:t>
      </w:r>
    </w:p>
    <w:p w:rsidR="00F81DC4" w:rsidRPr="003D57D9" w:rsidRDefault="00F81DC4" w:rsidP="00F81DC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Jūsų vaikas </w:t>
      </w:r>
      <w:r w:rsidRPr="003D57D9">
        <w:rPr>
          <w:rFonts w:ascii="Times New Roman" w:eastAsia="Calibri" w:hAnsi="Times New Roman" w:cs="Times New Roman"/>
          <w:noProof/>
        </w:rPr>
        <w:t>serga padidėjusio kraujospūdžio liga</w:t>
      </w:r>
      <w:r>
        <w:rPr>
          <w:rFonts w:ascii="Times New Roman" w:eastAsia="Calibri" w:hAnsi="Times New Roman" w:cs="Times New Roman"/>
          <w:noProof/>
        </w:rPr>
        <w:t>;</w:t>
      </w:r>
    </w:p>
    <w:p w:rsidR="00F81DC4" w:rsidRPr="003D57D9" w:rsidRDefault="00F81DC4" w:rsidP="00F81DC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Jūsų vaikas </w:t>
      </w:r>
      <w:r w:rsidRPr="003D57D9">
        <w:rPr>
          <w:rFonts w:ascii="Times New Roman" w:eastAsia="Calibri" w:hAnsi="Times New Roman" w:cs="Times New Roman"/>
          <w:noProof/>
        </w:rPr>
        <w:t>serga širdies liga (pvz., pailgėjusio QT intervalo sindromu)</w:t>
      </w:r>
      <w:r>
        <w:rPr>
          <w:rFonts w:ascii="Times New Roman" w:eastAsia="Calibri" w:hAnsi="Times New Roman" w:cs="Times New Roman"/>
          <w:noProof/>
        </w:rPr>
        <w:t>;</w:t>
      </w:r>
    </w:p>
    <w:p w:rsidR="00F81DC4" w:rsidRPr="003D57D9" w:rsidRDefault="00F81DC4" w:rsidP="00F81DC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t xml:space="preserve">Jūsų vaikas </w:t>
      </w:r>
      <w:r w:rsidRPr="003D57D9">
        <w:rPr>
          <w:rFonts w:ascii="Times New Roman" w:eastAsia="Calibri" w:hAnsi="Times New Roman" w:cs="Times New Roman"/>
          <w:noProof/>
        </w:rPr>
        <w:t>serga cukriniu diabetu</w:t>
      </w:r>
      <w:r>
        <w:rPr>
          <w:rFonts w:ascii="Times New Roman" w:eastAsia="Calibri" w:hAnsi="Times New Roman" w:cs="Times New Roman"/>
          <w:noProof/>
        </w:rPr>
        <w:t>;</w:t>
      </w:r>
    </w:p>
    <w:p w:rsidR="00F81DC4" w:rsidRPr="003D57D9" w:rsidRDefault="00F81DC4" w:rsidP="00F81DC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</w:t>
      </w:r>
      <w:r>
        <w:rPr>
          <w:rFonts w:ascii="Times New Roman" w:eastAsia="Calibri" w:hAnsi="Times New Roman" w:cs="Times New Roman"/>
          <w:noProof/>
        </w:rPr>
        <w:t xml:space="preserve"> Jūsų vaiko</w:t>
      </w:r>
      <w:r w:rsidRPr="003D57D9">
        <w:rPr>
          <w:rFonts w:ascii="Times New Roman" w:eastAsia="Calibri" w:hAnsi="Times New Roman" w:cs="Times New Roman"/>
          <w:noProof/>
        </w:rPr>
        <w:t xml:space="preserve"> skydliaukės funkcijos aktyvumas padidėjęs (hipertirozė)</w:t>
      </w:r>
      <w:r>
        <w:rPr>
          <w:rFonts w:ascii="Times New Roman" w:eastAsia="Calibri" w:hAnsi="Times New Roman" w:cs="Times New Roman"/>
          <w:noProof/>
        </w:rPr>
        <w:t>;</w:t>
      </w:r>
    </w:p>
    <w:p w:rsidR="00F81DC4" w:rsidRPr="003D57D9" w:rsidRDefault="00F81DC4" w:rsidP="00F81DC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jeigu Jūsų vaikui yra gerybinis antinksčių auglys, kuris gamina didelį kiekį adrenalino ir noradrenalino (feochromocitoma),</w:t>
      </w:r>
    </w:p>
    <w:p w:rsidR="00F81DC4" w:rsidRDefault="00F81DC4" w:rsidP="00F81DC4">
      <w:pPr>
        <w:pStyle w:val="Sraopastraipa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 xml:space="preserve">jeigu Jūsų vaikas yra gydomas tam tikrais antidepresantais, </w:t>
      </w:r>
      <w:r>
        <w:rPr>
          <w:rFonts w:ascii="Times New Roman" w:eastAsia="Calibri" w:hAnsi="Times New Roman" w:cs="Times New Roman"/>
          <w:noProof/>
        </w:rPr>
        <w:t>kaip:</w:t>
      </w:r>
    </w:p>
    <w:p w:rsidR="00F81DC4" w:rsidRDefault="00F81DC4" w:rsidP="00F81DC4">
      <w:pPr>
        <w:pStyle w:val="Sraopastraipa"/>
        <w:numPr>
          <w:ilvl w:val="1"/>
          <w:numId w:val="8"/>
        </w:numPr>
        <w:spacing w:after="0" w:line="240" w:lineRule="auto"/>
        <w:ind w:left="1350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monoaminooksidazės inhibitori</w:t>
      </w:r>
      <w:r>
        <w:rPr>
          <w:rFonts w:ascii="Times New Roman" w:eastAsia="Calibri" w:hAnsi="Times New Roman" w:cs="Times New Roman"/>
          <w:noProof/>
        </w:rPr>
        <w:t>ais</w:t>
      </w:r>
      <w:r w:rsidRPr="003D57D9">
        <w:rPr>
          <w:rFonts w:ascii="Times New Roman" w:eastAsia="Calibri" w:hAnsi="Times New Roman" w:cs="Times New Roman"/>
          <w:noProof/>
        </w:rPr>
        <w:t xml:space="preserve"> (MAO</w:t>
      </w:r>
      <w:r>
        <w:rPr>
          <w:rFonts w:ascii="Times New Roman" w:eastAsia="Calibri" w:hAnsi="Times New Roman" w:cs="Times New Roman"/>
          <w:noProof/>
        </w:rPr>
        <w:t xml:space="preserve"> inhibitoriai</w:t>
      </w:r>
      <w:r w:rsidRPr="003D57D9">
        <w:rPr>
          <w:rFonts w:ascii="Times New Roman" w:eastAsia="Calibri" w:hAnsi="Times New Roman" w:cs="Times New Roman"/>
          <w:noProof/>
        </w:rPr>
        <w:t>)</w:t>
      </w:r>
      <w:r>
        <w:rPr>
          <w:rFonts w:ascii="Times New Roman" w:eastAsia="Calibri" w:hAnsi="Times New Roman" w:cs="Times New Roman"/>
          <w:noProof/>
        </w:rPr>
        <w:t xml:space="preserve"> </w:t>
      </w:r>
      <w:r w:rsidRPr="003D57D9">
        <w:rPr>
          <w:rFonts w:ascii="Times New Roman" w:eastAsia="Calibri" w:hAnsi="Times New Roman" w:cs="Times New Roman"/>
          <w:noProof/>
        </w:rPr>
        <w:t xml:space="preserve">arba </w:t>
      </w:r>
      <w:r>
        <w:rPr>
          <w:rFonts w:ascii="Times New Roman" w:eastAsia="Calibri" w:hAnsi="Times New Roman" w:cs="Times New Roman"/>
          <w:noProof/>
        </w:rPr>
        <w:t xml:space="preserve">jais buvo gydomas </w:t>
      </w:r>
      <w:r w:rsidRPr="003D57D9">
        <w:rPr>
          <w:rFonts w:ascii="Times New Roman" w:eastAsia="Calibri" w:hAnsi="Times New Roman" w:cs="Times New Roman"/>
          <w:noProof/>
        </w:rPr>
        <w:t>per paskutines dvi savaites</w:t>
      </w:r>
      <w:r>
        <w:rPr>
          <w:rFonts w:ascii="Times New Roman" w:eastAsia="Calibri" w:hAnsi="Times New Roman" w:cs="Times New Roman"/>
          <w:noProof/>
        </w:rPr>
        <w:t>,</w:t>
      </w:r>
    </w:p>
    <w:p w:rsidR="00F81DC4" w:rsidRPr="003D57D9" w:rsidRDefault="00F81DC4" w:rsidP="00F81DC4">
      <w:pPr>
        <w:pStyle w:val="Sraopastraipa"/>
        <w:numPr>
          <w:ilvl w:val="1"/>
          <w:numId w:val="8"/>
        </w:numPr>
        <w:spacing w:after="0" w:line="240" w:lineRule="auto"/>
        <w:ind w:left="1350"/>
        <w:rPr>
          <w:rFonts w:ascii="Times New Roman" w:eastAsia="Calibri" w:hAnsi="Times New Roman" w:cs="Times New Roman"/>
          <w:noProof/>
        </w:rPr>
      </w:pPr>
      <w:bookmarkStart w:id="6" w:name="_Hlk138789419"/>
      <w:r w:rsidRPr="00D772BC">
        <w:rPr>
          <w:rFonts w:ascii="Times New Roman" w:eastAsia="Calibri" w:hAnsi="Times New Roman" w:cs="Times New Roman"/>
          <w:noProof/>
        </w:rPr>
        <w:t>tricikliai</w:t>
      </w:r>
      <w:r>
        <w:rPr>
          <w:rFonts w:ascii="Times New Roman" w:eastAsia="Calibri" w:hAnsi="Times New Roman" w:cs="Times New Roman"/>
          <w:noProof/>
        </w:rPr>
        <w:t>s</w:t>
      </w:r>
      <w:r w:rsidRPr="00D772BC">
        <w:rPr>
          <w:rFonts w:ascii="Times New Roman" w:eastAsia="Calibri" w:hAnsi="Times New Roman" w:cs="Times New Roman"/>
          <w:noProof/>
        </w:rPr>
        <w:t xml:space="preserve"> ir tetracikliai</w:t>
      </w:r>
      <w:r>
        <w:rPr>
          <w:rFonts w:ascii="Times New Roman" w:eastAsia="Calibri" w:hAnsi="Times New Roman" w:cs="Times New Roman"/>
          <w:noProof/>
        </w:rPr>
        <w:t>s</w:t>
      </w:r>
      <w:r w:rsidRPr="00D772BC">
        <w:rPr>
          <w:rFonts w:ascii="Times New Roman" w:eastAsia="Calibri" w:hAnsi="Times New Roman" w:cs="Times New Roman"/>
          <w:noProof/>
        </w:rPr>
        <w:t xml:space="preserve"> antidepresantai</w:t>
      </w:r>
      <w:r>
        <w:rPr>
          <w:rFonts w:ascii="Times New Roman" w:eastAsia="Calibri" w:hAnsi="Times New Roman" w:cs="Times New Roman"/>
          <w:noProof/>
        </w:rPr>
        <w:t>s</w:t>
      </w:r>
      <w:bookmarkEnd w:id="6"/>
      <w:r>
        <w:rPr>
          <w:rFonts w:ascii="Times New Roman" w:eastAsia="Calibri" w:hAnsi="Times New Roman" w:cs="Times New Roman"/>
          <w:noProof/>
        </w:rPr>
        <w:t>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F81DC4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Jeigu yra nors viena iš minėtų būklių, nevartokite Otrivin vaikams, prieš tai nepasitarę su gydytoju arba vaistininku.</w:t>
      </w:r>
    </w:p>
    <w:p w:rsidR="00F81DC4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Calibri" w:hAnsi="Times New Roman" w:cs="Times New Roman"/>
          <w:noProof/>
          <w:lang w:eastAsia="lt-LT"/>
        </w:rPr>
        <w:t>Otrivin atsargiai vartoti reikia pacientams, kurių prostata padidėjusi.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 xml:space="preserve">Vartojant Otrivin, reikia atsiminti, kad jis, kaip ir kitokie nosies užgulimą mažinantys </w:t>
      </w:r>
      <w:r>
        <w:rPr>
          <w:rFonts w:ascii="Times New Roman" w:eastAsia="Calibri" w:hAnsi="Times New Roman" w:cs="Times New Roman"/>
          <w:noProof/>
          <w:lang w:eastAsia="lt-LT"/>
        </w:rPr>
        <w:t>vais</w:t>
      </w:r>
      <w:r w:rsidRPr="003D57D9">
        <w:rPr>
          <w:rFonts w:ascii="Times New Roman" w:eastAsia="Calibri" w:hAnsi="Times New Roman" w:cs="Times New Roman"/>
          <w:noProof/>
          <w:lang w:eastAsia="lt-LT"/>
        </w:rPr>
        <w:t>tai, labai jautriems pacientams gali sukelti miego sutrikimą, galvos svaigimą, tremorą. Jeigu atsiranda tokių simptomų, reikia kreiptis į gydytoją.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 xml:space="preserve">Otrivin, kaip ir kitokių nosies gleivinės paburkimą mažinančių vaistų, negalima vartoti ilgiau kaip 7 dienas iš eilės. Jei simptomai tęsiasi, reikia kreiptis į gydytoją. Vartojant vaisto ilgai ar didelėmis dozėmis, nosies užgulimas gali atsinaujinti arba dar </w:t>
      </w:r>
      <w:r>
        <w:rPr>
          <w:rFonts w:ascii="Times New Roman" w:eastAsia="Calibri" w:hAnsi="Times New Roman" w:cs="Times New Roman"/>
          <w:noProof/>
          <w:lang w:eastAsia="lt-LT"/>
        </w:rPr>
        <w:t>pa</w:t>
      </w:r>
      <w:r w:rsidRPr="003D57D9">
        <w:rPr>
          <w:rFonts w:ascii="Times New Roman" w:eastAsia="Calibri" w:hAnsi="Times New Roman" w:cs="Times New Roman"/>
          <w:noProof/>
          <w:lang w:eastAsia="lt-LT"/>
        </w:rPr>
        <w:t>sunkėti.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Nurodytos dozės viršyti negalima</w:t>
      </w:r>
      <w:r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noProof/>
          <w:lang w:eastAsia="lt-LT"/>
        </w:rPr>
        <w:t>Vaikams</w:t>
      </w:r>
      <w:r>
        <w:rPr>
          <w:rFonts w:ascii="Times New Roman" w:eastAsia="Calibri" w:hAnsi="Times New Roman" w:cs="Times New Roman"/>
          <w:b/>
          <w:noProof/>
          <w:lang w:eastAsia="lt-LT"/>
        </w:rPr>
        <w:t xml:space="preserve"> ir paaugliams 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Otrivin negalima vartoti jaunesniems kaip 2 metų vaikams. Otrivin rekomenduojama vartoti 2</w:t>
      </w:r>
      <w:r w:rsidRPr="003D57D9">
        <w:rPr>
          <w:rFonts w:ascii="Times New Roman" w:eastAsia="Calibri" w:hAnsi="Times New Roman" w:cs="Times New Roman"/>
          <w:noProof/>
          <w:lang w:eastAsia="lt-LT"/>
        </w:rPr>
        <w:noBreakHyphen/>
        <w:t xml:space="preserve">11 metų vaikams </w:t>
      </w:r>
      <w:r>
        <w:rPr>
          <w:rFonts w:ascii="Times New Roman" w:eastAsia="Calibri" w:hAnsi="Times New Roman" w:cs="Times New Roman"/>
          <w:noProof/>
          <w:lang w:eastAsia="lt-LT"/>
        </w:rPr>
        <w:t xml:space="preserve">ir paaugliams </w:t>
      </w:r>
      <w:r w:rsidRPr="003D57D9">
        <w:rPr>
          <w:rFonts w:ascii="Times New Roman" w:eastAsia="Calibri" w:hAnsi="Times New Roman" w:cs="Times New Roman"/>
          <w:noProof/>
          <w:lang w:eastAsia="lt-LT"/>
        </w:rPr>
        <w:t>tik prižiūrint suaugusiems žmonėms.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Kiti vaistai ir Otrivin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Jeigu Jūsų vaikas vartoja ar neseniai vartojo kitų vaistų arba dėl to nesate tikri, apie tai pasakykite gydytojui arba vaistininkui.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bCs/>
          <w:noProof/>
          <w:lang w:eastAsia="lt-LT"/>
        </w:rPr>
        <w:t xml:space="preserve">Ypatingai svarbu nevartoti Otrivin, </w:t>
      </w:r>
      <w:r w:rsidRPr="003D57D9">
        <w:rPr>
          <w:rFonts w:ascii="Times New Roman" w:eastAsia="Calibri" w:hAnsi="Times New Roman" w:cs="Times New Roman"/>
          <w:noProof/>
          <w:lang w:eastAsia="lt-LT"/>
        </w:rPr>
        <w:t>jeigu Jūsų vaikas vartoja tam tikrų vaist</w:t>
      </w:r>
      <w:r>
        <w:rPr>
          <w:rFonts w:ascii="Times New Roman" w:eastAsia="Calibri" w:hAnsi="Times New Roman" w:cs="Times New Roman"/>
          <w:noProof/>
          <w:lang w:eastAsia="lt-LT"/>
        </w:rPr>
        <w:t>ų</w:t>
      </w:r>
      <w:r w:rsidRPr="003D57D9">
        <w:rPr>
          <w:rFonts w:ascii="Times New Roman" w:eastAsia="Calibri" w:hAnsi="Times New Roman" w:cs="Times New Roman"/>
          <w:noProof/>
          <w:lang w:eastAsia="lt-LT"/>
        </w:rPr>
        <w:t>, skirtų gydyti depresiją. Tokie vaistai yra:</w:t>
      </w:r>
    </w:p>
    <w:p w:rsidR="00F81DC4" w:rsidRPr="003D57D9" w:rsidRDefault="00F81DC4" w:rsidP="00F81DC4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monoaminooksidazės inhibitoriai (MAO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inhibitoriai</w:t>
      </w:r>
      <w:r w:rsidRPr="003D57D9">
        <w:rPr>
          <w:rFonts w:ascii="Times New Roman" w:eastAsia="Calibri" w:hAnsi="Times New Roman" w:cs="Times New Roman"/>
          <w:noProof/>
          <w:lang w:eastAsia="lt-LT"/>
        </w:rPr>
        <w:t>): NEVARTOKITE Otrivin vaikams, jeigu vartojama arba per paskutines 14 dienų buvo vartojama MAO</w:t>
      </w:r>
      <w:r>
        <w:rPr>
          <w:rFonts w:ascii="Times New Roman" w:eastAsia="Calibri" w:hAnsi="Times New Roman" w:cs="Times New Roman"/>
          <w:noProof/>
          <w:lang w:eastAsia="lt-LT"/>
        </w:rPr>
        <w:t xml:space="preserve"> inhibitorių</w:t>
      </w:r>
      <w:r w:rsidRPr="003D57D9">
        <w:rPr>
          <w:rFonts w:ascii="Times New Roman" w:eastAsia="Calibri" w:hAnsi="Times New Roman" w:cs="Times New Roman"/>
          <w:noProof/>
          <w:lang w:eastAsia="lt-LT"/>
        </w:rPr>
        <w:t>;</w:t>
      </w:r>
    </w:p>
    <w:p w:rsidR="00F81DC4" w:rsidRPr="003D57D9" w:rsidRDefault="00F81DC4" w:rsidP="00F81DC4">
      <w:pPr>
        <w:numPr>
          <w:ilvl w:val="0"/>
          <w:numId w:val="4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tricikliai ir tetracikliai antidepresantai</w:t>
      </w:r>
      <w:r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Jeigu vaikui duodate bet kurio iš išvardytų vaistų, prieš vartojant Otrivin vaikui, pasitarkite su gydytoju.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u w:val="single"/>
          <w:lang w:eastAsia="lt-LT"/>
        </w:rPr>
      </w:pP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Nėštumas</w:t>
      </w:r>
      <w:r>
        <w:rPr>
          <w:rFonts w:ascii="Times New Roman" w:eastAsia="Calibri" w:hAnsi="Times New Roman" w:cs="Times New Roman"/>
          <w:b/>
          <w:bCs/>
          <w:noProof/>
          <w:lang w:eastAsia="lt-LT"/>
        </w:rPr>
        <w:t xml:space="preserve">, </w:t>
      </w: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žindymo laikotarpis</w:t>
      </w:r>
      <w:r>
        <w:rPr>
          <w:rFonts w:ascii="Times New Roman" w:eastAsia="Calibri" w:hAnsi="Times New Roman" w:cs="Times New Roman"/>
          <w:b/>
          <w:bCs/>
          <w:noProof/>
          <w:lang w:eastAsia="lt-LT"/>
        </w:rPr>
        <w:t xml:space="preserve"> ir vaisingumas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 xml:space="preserve">Nėščioms moterims Otrivin </w:t>
      </w:r>
      <w:r w:rsidRPr="003D57D9">
        <w:rPr>
          <w:rFonts w:ascii="Times New Roman" w:eastAsia="Calibri" w:hAnsi="Times New Roman" w:cs="Times New Roman"/>
          <w:bCs/>
          <w:noProof/>
        </w:rPr>
        <w:t xml:space="preserve"> </w:t>
      </w:r>
      <w:r w:rsidRPr="003D57D9">
        <w:rPr>
          <w:rFonts w:ascii="Times New Roman" w:eastAsia="Calibri" w:hAnsi="Times New Roman" w:cs="Times New Roman"/>
          <w:noProof/>
        </w:rPr>
        <w:t xml:space="preserve">vartoti </w:t>
      </w:r>
      <w:r>
        <w:rPr>
          <w:rFonts w:ascii="Times New Roman" w:eastAsia="Calibri" w:hAnsi="Times New Roman" w:cs="Times New Roman"/>
          <w:noProof/>
        </w:rPr>
        <w:t>nerekomenduojama</w:t>
      </w:r>
      <w:r w:rsidRPr="003D57D9">
        <w:rPr>
          <w:rFonts w:ascii="Times New Roman" w:eastAsia="Calibri" w:hAnsi="Times New Roman" w:cs="Times New Roman"/>
          <w:noProof/>
        </w:rPr>
        <w:t>. Žindymo laikotarpiu Otrivin</w:t>
      </w:r>
      <w:r w:rsidRPr="003D57D9">
        <w:rPr>
          <w:rFonts w:ascii="Times New Roman" w:eastAsia="Calibri" w:hAnsi="Times New Roman" w:cs="Times New Roman"/>
          <w:bCs/>
          <w:noProof/>
        </w:rPr>
        <w:t xml:space="preserve"> </w:t>
      </w:r>
      <w:r w:rsidRPr="003D57D9">
        <w:rPr>
          <w:rFonts w:ascii="Times New Roman" w:eastAsia="Calibri" w:hAnsi="Times New Roman" w:cs="Times New Roman"/>
          <w:noProof/>
        </w:rPr>
        <w:t>galima vartoti tik gydytojui paskyrus. Prieš vartojant bet kokį vaistą, būtina pasitarti su gydytoju arba vaistininku.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noProof/>
          <w:lang w:eastAsia="lt-LT"/>
        </w:rPr>
        <w:t>Vairavimas ir mechanizmų valdymas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Otrivin gebėjimo vairuoti ir valdyti mechanizmus neveikia arba veikia nereikšmingai.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Otrivin sudėtyje yra benzalkonio chlorido</w:t>
      </w:r>
    </w:p>
    <w:p w:rsidR="00F81DC4" w:rsidRPr="003D57D9" w:rsidRDefault="00F81DC4" w:rsidP="00F81D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D57D9">
        <w:rPr>
          <w:rFonts w:ascii="Times New Roman" w:hAnsi="Times New Roman" w:cs="Times New Roman"/>
        </w:rPr>
        <w:t xml:space="preserve">Kiekvienoje šio vaisto dozėje yra 0,0025 mg </w:t>
      </w:r>
      <w:proofErr w:type="spellStart"/>
      <w:r w:rsidRPr="003D57D9">
        <w:rPr>
          <w:rFonts w:ascii="Times New Roman" w:hAnsi="Times New Roman" w:cs="Times New Roman"/>
        </w:rPr>
        <w:t>benzalkonio</w:t>
      </w:r>
      <w:proofErr w:type="spellEnd"/>
      <w:r w:rsidRPr="003D57D9">
        <w:rPr>
          <w:rFonts w:ascii="Times New Roman" w:hAnsi="Times New Roman" w:cs="Times New Roman"/>
        </w:rPr>
        <w:t xml:space="preserve"> chlorido, tai atitinka 0,1 mg/ml.</w:t>
      </w:r>
    </w:p>
    <w:p w:rsidR="00F81DC4" w:rsidRPr="003D57D9" w:rsidRDefault="00F81DC4" w:rsidP="00F81DC4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3D57D9">
        <w:rPr>
          <w:rFonts w:ascii="Times New Roman" w:hAnsi="Times New Roman" w:cs="Times New Roman"/>
        </w:rPr>
        <w:t>Benzalkonio</w:t>
      </w:r>
      <w:proofErr w:type="spellEnd"/>
      <w:r w:rsidRPr="003D57D9">
        <w:rPr>
          <w:rFonts w:ascii="Times New Roman" w:hAnsi="Times New Roman" w:cs="Times New Roman"/>
        </w:rPr>
        <w:t xml:space="preserve"> chloridas gali sukelti sudirginimą ar patinimą nosies viduje, ypač jei vartojamas ilgai.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F81DC4" w:rsidRPr="003D57D9" w:rsidRDefault="00F81DC4" w:rsidP="00F81DC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bookmarkStart w:id="7" w:name="_Toc129243141"/>
      <w:bookmarkStart w:id="8" w:name="_Toc129243266"/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3.</w:t>
      </w: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ab/>
        <w:t>Kaip vartoti Otrivin</w:t>
      </w:r>
    </w:p>
    <w:bookmarkEnd w:id="7"/>
    <w:bookmarkEnd w:id="8"/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snapToGrid w:val="0"/>
        </w:rPr>
        <w:t>Visada vartokite šį vaistą tiksliai kaip aprašyta šiame lapelyje arba kaip nurodė vaistininkas</w:t>
      </w:r>
      <w:r w:rsidRPr="003D57D9">
        <w:rPr>
          <w:rFonts w:ascii="Times New Roman" w:eastAsia="Calibri" w:hAnsi="Times New Roman" w:cs="Times New Roman"/>
          <w:noProof/>
          <w:lang w:eastAsia="lt-LT"/>
        </w:rPr>
        <w:t>. Jeigu abejojate, kreipkitės į gydytoją arba vaistininką.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Įprastinės dozės nurodytos lentelėje.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tbl>
      <w:tblPr>
        <w:tblW w:w="7914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362"/>
      </w:tblGrid>
      <w:tr w:rsidR="00F81DC4" w:rsidRPr="003D57D9" w:rsidTr="00F657CE">
        <w:trPr>
          <w:tblHeader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b/>
                <w:bCs/>
                <w:noProof/>
                <w:u w:val="single"/>
                <w:lang w:eastAsia="lt-LT"/>
              </w:rPr>
              <w:t>Amžius</w:t>
            </w:r>
          </w:p>
        </w:tc>
        <w:tc>
          <w:tcPr>
            <w:tcW w:w="53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b/>
                <w:bCs/>
                <w:noProof/>
                <w:u w:val="single"/>
                <w:lang w:eastAsia="lt-LT"/>
              </w:rPr>
              <w:t>Dozavimas</w:t>
            </w:r>
          </w:p>
        </w:tc>
      </w:tr>
      <w:tr w:rsidR="00F81DC4" w:rsidRPr="003D57D9" w:rsidTr="00F657CE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noProof/>
                <w:lang w:eastAsia="lt-LT"/>
              </w:rPr>
              <w:t>2-5 metų amžiaus vaikai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auto"/>
          </w:tcPr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noProof/>
                <w:lang w:eastAsia="lt-LT"/>
              </w:rPr>
              <w:t>Tik prižiūrint suaugusiems žmonėms.</w:t>
            </w:r>
          </w:p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noProof/>
                <w:lang w:eastAsia="lt-LT"/>
              </w:rPr>
              <w:t>Paprastai pakanka 1 arba 2 kartus per parą (kas 8-10 valandų) įlašinti po 1 arba 2 lašus į kiekvieną nosies landą. Per parą į kiekvieną nosies landą daugiau kaip 3 dozių lašinti negalima. Paskutinę dozę galima sulašinti prieš einant miegoti.</w:t>
            </w:r>
          </w:p>
        </w:tc>
      </w:tr>
      <w:tr w:rsidR="00F81DC4" w:rsidRPr="003D57D9" w:rsidTr="00F657CE"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noProof/>
                <w:lang w:eastAsia="lt-LT"/>
              </w:rPr>
              <w:t>6-11 metų amžiaus vaikai</w:t>
            </w:r>
            <w:r>
              <w:rPr>
                <w:rFonts w:ascii="Times New Roman" w:eastAsia="Calibri" w:hAnsi="Times New Roman" w:cs="Times New Roman"/>
                <w:noProof/>
                <w:lang w:eastAsia="lt-LT"/>
              </w:rPr>
              <w:t xml:space="preserve"> ir paaugliai</w:t>
            </w:r>
          </w:p>
        </w:tc>
        <w:tc>
          <w:tcPr>
            <w:tcW w:w="5362" w:type="dxa"/>
            <w:tcBorders>
              <w:top w:val="single" w:sz="4" w:space="0" w:color="auto"/>
            </w:tcBorders>
            <w:shd w:val="clear" w:color="auto" w:fill="auto"/>
          </w:tcPr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noProof/>
                <w:lang w:eastAsia="lt-LT"/>
              </w:rPr>
              <w:t>Tik prižiūrint suaugusiems žmonėms.</w:t>
            </w:r>
          </w:p>
          <w:p w:rsidR="00F81DC4" w:rsidRPr="003D57D9" w:rsidRDefault="00F81DC4" w:rsidP="00F657CE">
            <w:pPr>
              <w:tabs>
                <w:tab w:val="left" w:pos="567"/>
              </w:tabs>
              <w:spacing w:after="0" w:line="240" w:lineRule="auto"/>
              <w:rPr>
                <w:rFonts w:ascii="Times New Roman" w:eastAsia="Calibri" w:hAnsi="Times New Roman" w:cs="Times New Roman"/>
                <w:noProof/>
                <w:u w:val="single"/>
                <w:lang w:eastAsia="lt-LT"/>
              </w:rPr>
            </w:pPr>
            <w:r w:rsidRPr="003D57D9">
              <w:rPr>
                <w:rFonts w:ascii="Times New Roman" w:eastAsia="Calibri" w:hAnsi="Times New Roman" w:cs="Times New Roman"/>
                <w:noProof/>
                <w:lang w:eastAsia="lt-LT"/>
              </w:rPr>
              <w:t>Į kiekvieną nosies landą įlašinti po 2-3 lašus 2-3 kartus per parą. Per parą į kiekvieną nosies landą daugiau kaip 3 dozių lašinti negalima. Paskutinę dozę galima sulašinti prieš einant miegoti.</w:t>
            </w:r>
          </w:p>
        </w:tc>
      </w:tr>
    </w:tbl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>
        <w:rPr>
          <w:rFonts w:ascii="Times New Roman" w:eastAsia="Calibri" w:hAnsi="Times New Roman" w:cs="Times New Roman"/>
          <w:noProof/>
          <w:lang w:eastAsia="lt-LT"/>
        </w:rPr>
        <w:t xml:space="preserve">Vartoti į nosį. </w:t>
      </w:r>
    </w:p>
    <w:p w:rsidR="00F81DC4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1.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>Švelniai išvalykite vaiko nosį.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2.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 xml:space="preserve">Prieš vartodami </w:t>
      </w:r>
      <w:r>
        <w:rPr>
          <w:rFonts w:ascii="Times New Roman" w:eastAsia="Calibri" w:hAnsi="Times New Roman" w:cs="Times New Roman"/>
          <w:noProof/>
          <w:lang w:eastAsia="lt-LT"/>
        </w:rPr>
        <w:t>vaistą</w:t>
      </w:r>
      <w:r w:rsidRPr="003D57D9">
        <w:rPr>
          <w:rFonts w:ascii="Times New Roman" w:eastAsia="Calibri" w:hAnsi="Times New Roman" w:cs="Times New Roman"/>
          <w:noProof/>
          <w:lang w:eastAsia="lt-LT"/>
        </w:rPr>
        <w:t>, pasipraktikuokite, kaip naudoti lašintuvą, kad įlašintumėte tinkamą dozę.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3.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>Patogiai atloškite vaiko galvą.</w:t>
      </w: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4.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>Lašintuvu neliečiant šnervės, įlašinkite lašą (-ų) į kiekvieną nosies landą ir trumpai palaikykite atloštą galvą tol, kol lašai pasklis nosyje.</w:t>
      </w: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drawing>
          <wp:inline distT="0" distB="0" distL="0" distR="0" wp14:anchorId="4523FB9F" wp14:editId="1078EBBE">
            <wp:extent cx="1228725" cy="1143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5.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>Jeigu visiškai nepataikėte įlašinti lašų, įlašinkite jų dar kartą.</w:t>
      </w: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6.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 xml:space="preserve">Jeigu nors dalis lašų patenka į nosį, dar kartą </w:t>
      </w:r>
      <w:r w:rsidRPr="003D57D9">
        <w:rPr>
          <w:rFonts w:ascii="Times New Roman" w:eastAsia="Calibri" w:hAnsi="Times New Roman" w:cs="Times New Roman"/>
          <w:b/>
          <w:noProof/>
          <w:lang w:eastAsia="lt-LT"/>
        </w:rPr>
        <w:t>nelašinkite</w:t>
      </w:r>
      <w:r w:rsidRPr="003D57D9"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7.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>Įlašinkite lašų į kitą nosies landą.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8.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>Po pavartojimo gerai nuvalykite ir nusausinkite lašintuvą prieš dedant jį atgal į buteliuką.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9.</w:t>
      </w:r>
      <w:r w:rsidRPr="003D57D9">
        <w:rPr>
          <w:rFonts w:ascii="Times New Roman" w:eastAsia="Calibri" w:hAnsi="Times New Roman" w:cs="Times New Roman"/>
          <w:noProof/>
          <w:lang w:eastAsia="lt-LT"/>
        </w:rPr>
        <w:tab/>
        <w:t>Kad infekcija neišplistų, viena pakuote gali naudotis tik vienas pacientas.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Ką daryti pavartojus per didelę Otrivin dozę?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Pavartojus per didelę Otrivin dozę arba netyčia jo išgėrus, reikia nedelsiant kreiptis į gydytoją arba vaistininką.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Pamiršus pavartoti Otrivin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Negalima vartoti dvigubos dozės norint kompensuoti praleistą dozę.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bookmarkStart w:id="9" w:name="_Toc129243142"/>
      <w:bookmarkStart w:id="10" w:name="_Toc129243267"/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4.</w:t>
      </w: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ab/>
        <w:t>Galimas šalutinis poveikis</w:t>
      </w:r>
    </w:p>
    <w:bookmarkEnd w:id="9"/>
    <w:bookmarkEnd w:id="10"/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Šis vaistas, kaip ir visi kiti, gali sukelti šalutinį poveikį, nors jis pasireiškia ne visiems žmonėms.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NUTRAUKITE Otrivin vartojimą ir nedelsiant kreipkitės pagalbos į gydytoją, jeigu Jūsų vaikui pasireiškia nors viena iš šių reakcijų, kurios gali būti alerginės reakcijos požymiai:</w:t>
      </w:r>
    </w:p>
    <w:p w:rsidR="00F81DC4" w:rsidRPr="003D57D9" w:rsidRDefault="00F81DC4" w:rsidP="00F81DC4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pasunkėjęs kvėpavimas ar rijimas;</w:t>
      </w:r>
    </w:p>
    <w:p w:rsidR="00F81DC4" w:rsidRPr="003D57D9" w:rsidRDefault="00F81DC4" w:rsidP="00F81DC4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veido, lūpų, liežuvio ar gerklės patinimas;</w:t>
      </w:r>
    </w:p>
    <w:p w:rsidR="00F81DC4" w:rsidRPr="003D57D9" w:rsidRDefault="00F81DC4" w:rsidP="00F81DC4">
      <w:pPr>
        <w:pStyle w:val="Sraopastraipa"/>
        <w:numPr>
          <w:ilvl w:val="0"/>
          <w:numId w:val="5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stiprus odos niežėjimas su raudonu bėrimu ar iškilimais.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397AFE">
        <w:rPr>
          <w:rFonts w:ascii="Times New Roman" w:eastAsia="Calibri" w:hAnsi="Times New Roman" w:cs="Times New Roman"/>
          <w:b/>
          <w:noProof/>
          <w:lang w:eastAsia="lt-LT"/>
        </w:rPr>
        <w:t>Dažni šalutinio poveikio reiškiniai (gali pasireikšti rečiau kaip 1 iš 10 asmenų)</w:t>
      </w:r>
    </w:p>
    <w:p w:rsidR="00F81DC4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Nosies gleivinės sausumas ar sudirginimas, pykinimas, galvos skausmas, deginimo pojūtis vartojimo vietoje.</w:t>
      </w:r>
    </w:p>
    <w:p w:rsidR="00F81DC4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Default="00F81DC4" w:rsidP="00F81D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426C77">
        <w:rPr>
          <w:rFonts w:ascii="Times New Roman" w:eastAsia="Times New Roman" w:hAnsi="Times New Roman" w:cs="Times New Roman"/>
          <w:b/>
        </w:rPr>
        <w:t>Nedažni šalutinio poveikio reiškiniai (gali pasireikšti rečiau kaip 1 iš 100 asmenų)</w:t>
      </w:r>
    </w:p>
    <w:p w:rsidR="00F81DC4" w:rsidRPr="002C33D2" w:rsidRDefault="00F81DC4" w:rsidP="00F81DC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676A2">
        <w:rPr>
          <w:rFonts w:ascii="Times New Roman" w:eastAsia="Times New Roman" w:hAnsi="Times New Roman" w:cs="Times New Roman"/>
        </w:rPr>
        <w:t>Kraujavimas iš nosies</w:t>
      </w:r>
      <w:r>
        <w:rPr>
          <w:rFonts w:ascii="Times New Roman" w:eastAsia="Times New Roman" w:hAnsi="Times New Roman" w:cs="Times New Roman"/>
        </w:rPr>
        <w:t>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0A12E1">
        <w:rPr>
          <w:rFonts w:ascii="Times New Roman" w:eastAsia="Calibri" w:hAnsi="Times New Roman" w:cs="Times New Roman"/>
          <w:b/>
          <w:noProof/>
          <w:lang w:eastAsia="lt-LT"/>
        </w:rPr>
        <w:t>Labai reti šalutinio poveikio reiškiniai (gali pasireikšti rečiau kaip 1 iš 10 000 asmenų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Alerginės reakcijos (odos išbėrimas, niežulys), neaiškus matymas, nereguliarus arba greitas širdies ritmas.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b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noProof/>
          <w:lang w:eastAsia="lt-LT"/>
        </w:rPr>
        <w:t>Pranešimas apie šalutinį poveikį</w:t>
      </w:r>
    </w:p>
    <w:p w:rsidR="00F81DC4" w:rsidRPr="00A60567" w:rsidRDefault="00F81DC4" w:rsidP="00F81DC4">
      <w:pPr>
        <w:tabs>
          <w:tab w:val="left" w:pos="567"/>
        </w:tabs>
        <w:spacing w:after="0" w:line="260" w:lineRule="exact"/>
        <w:ind w:right="-449"/>
        <w:rPr>
          <w:rFonts w:ascii="Times New Roman" w:eastAsia="Times New Roman" w:hAnsi="Times New Roman" w:cs="Times New Roman"/>
          <w:noProof/>
          <w:snapToGrid w:val="0"/>
          <w:szCs w:val="24"/>
        </w:rPr>
      </w:pPr>
      <w:r w:rsidRPr="00A60567">
        <w:rPr>
          <w:rFonts w:ascii="Times New Roman" w:eastAsia="Times New Roman" w:hAnsi="Times New Roman" w:cs="Times New Roman"/>
          <w:snapToGrid w:val="0"/>
          <w:szCs w:val="20"/>
        </w:rPr>
        <w:t>Jeigu pasireiškė šalutinis poveikis, įskaitant šiame lapelyje nenurodytą, pasakykite gydytojui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A60567">
        <w:rPr>
          <w:rFonts w:ascii="Times New Roman" w:eastAsia="Times New Roman" w:hAnsi="Times New Roman" w:cs="Times New Roman"/>
          <w:snapToGrid w:val="0"/>
          <w:szCs w:val="20"/>
        </w:rPr>
        <w:t>arba</w:t>
      </w:r>
      <w:r>
        <w:rPr>
          <w:rFonts w:ascii="Times New Roman" w:eastAsia="Times New Roman" w:hAnsi="Times New Roman" w:cs="Times New Roman"/>
          <w:snapToGrid w:val="0"/>
          <w:szCs w:val="20"/>
        </w:rPr>
        <w:t xml:space="preserve"> </w:t>
      </w:r>
      <w:r w:rsidRPr="00A60567">
        <w:rPr>
          <w:rFonts w:ascii="Times New Roman" w:eastAsia="Times New Roman" w:hAnsi="Times New Roman" w:cs="Times New Roman"/>
          <w:snapToGrid w:val="0"/>
          <w:szCs w:val="20"/>
        </w:rPr>
        <w:t>vaistininkui. Apie šalutinį poveikį taip pat galite pranešti Valstybinei vaistų kontrolės tarnybai prie Lietuvos Respublikos sveikatos apsaugos ministerijos nemokamu t</w:t>
      </w:r>
      <w:r w:rsidRPr="00A60567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>elefonu 8 800 73568</w:t>
      </w:r>
      <w:r w:rsidRPr="00A60567">
        <w:rPr>
          <w:rFonts w:ascii="Times New Roman" w:eastAsia="Times New Roman" w:hAnsi="Times New Roman" w:cs="Times New Roman"/>
          <w:snapToGrid w:val="0"/>
          <w:szCs w:val="20"/>
        </w:rPr>
        <w:t xml:space="preserve"> arba užpildyti interneto svetainėje </w:t>
      </w:r>
      <w:hyperlink r:id="rId6" w:history="1">
        <w:r w:rsidRPr="00A605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www.vvkt.lt</w:t>
        </w:r>
      </w:hyperlink>
      <w:r w:rsidRPr="00A60567">
        <w:rPr>
          <w:rFonts w:ascii="Times New Roman" w:eastAsia="Times New Roman" w:hAnsi="Times New Roman" w:cs="Times New Roman"/>
          <w:snapToGrid w:val="0"/>
          <w:szCs w:val="20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60567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nemokamu </w:t>
      </w:r>
      <w:r w:rsidRPr="00A60567">
        <w:rPr>
          <w:rFonts w:ascii="Times New Roman" w:eastAsia="Times New Roman" w:hAnsi="Times New Roman" w:cs="Times New Roman"/>
          <w:snapToGrid w:val="0"/>
          <w:szCs w:val="20"/>
        </w:rPr>
        <w:t>fakso numeriu 8 800 20131</w:t>
      </w:r>
      <w:r w:rsidRPr="00A60567">
        <w:rPr>
          <w:rFonts w:ascii="Times New Roman" w:eastAsia="Times New Roman" w:hAnsi="Times New Roman" w:cs="Times New Roman"/>
          <w:snapToGrid w:val="0"/>
          <w:szCs w:val="20"/>
          <w:lang w:eastAsia="zh-CN"/>
        </w:rPr>
        <w:t xml:space="preserve">, </w:t>
      </w:r>
      <w:r w:rsidRPr="00A60567">
        <w:rPr>
          <w:rFonts w:ascii="Times New Roman" w:eastAsia="Times New Roman" w:hAnsi="Times New Roman" w:cs="Times New Roman"/>
          <w:snapToGrid w:val="0"/>
          <w:szCs w:val="20"/>
        </w:rPr>
        <w:t xml:space="preserve">el. paštu </w:t>
      </w:r>
      <w:hyperlink r:id="rId7" w:history="1">
        <w:r w:rsidRPr="00A605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NepageidaujamaR@vvkt.lt</w:t>
        </w:r>
      </w:hyperlink>
      <w:r w:rsidRPr="00A60567">
        <w:rPr>
          <w:rFonts w:ascii="Times New Roman" w:eastAsia="Times New Roman" w:hAnsi="Times New Roman" w:cs="Times New Roman"/>
          <w:snapToGrid w:val="0"/>
          <w:szCs w:val="20"/>
        </w:rPr>
        <w:t xml:space="preserve">, taip pat per Valstybinės vaistų kontrolės tarnybos prie Lietuvos Respublikos sveikatos apsaugos ministerijos interneto svetainę (adresu </w:t>
      </w:r>
      <w:hyperlink r:id="rId8" w:history="1">
        <w:r w:rsidRPr="00A60567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</w:rPr>
          <w:t>http://www.vvkt.lt</w:t>
        </w:r>
      </w:hyperlink>
      <w:r w:rsidRPr="00A60567">
        <w:rPr>
          <w:rFonts w:ascii="Times New Roman" w:eastAsia="Times New Roman" w:hAnsi="Times New Roman" w:cs="Times New Roman"/>
          <w:snapToGrid w:val="0"/>
          <w:szCs w:val="20"/>
        </w:rPr>
        <w:t>). Pranešdami apie šalutinį poveikį galite mums padėti gauti daugiau informacijos apie šio vaisto saugumą.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bookmarkStart w:id="11" w:name="_Toc129243143"/>
      <w:bookmarkStart w:id="12" w:name="_Toc129243268"/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5.</w:t>
      </w: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ab/>
        <w:t>Kaip laikyti Otrivin</w:t>
      </w:r>
    </w:p>
    <w:bookmarkEnd w:id="11"/>
    <w:bookmarkEnd w:id="12"/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  <w:u w:val="single"/>
          <w:lang w:eastAsia="lt-LT"/>
        </w:rPr>
      </w:pPr>
    </w:p>
    <w:p w:rsidR="00F81DC4" w:rsidRPr="003D57D9" w:rsidRDefault="00F81DC4" w:rsidP="00F81DC4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Šį vaistą laikykite vaikams nepastebimoje ir nepasiekiamoje vietoje.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Laikyti ne aukštesnėje kaip 30 °C temperatūroje.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Ant buteliuko etiketės po „EXP“</w:t>
      </w:r>
      <w:r w:rsidRPr="003D57D9">
        <w:rPr>
          <w:rFonts w:ascii="Times New Roman" w:hAnsi="Times New Roman" w:cs="Times New Roman"/>
        </w:rPr>
        <w:t xml:space="preserve"> </w:t>
      </w:r>
      <w:r w:rsidRPr="003D57D9">
        <w:rPr>
          <w:rFonts w:ascii="Times New Roman" w:eastAsia="Calibri" w:hAnsi="Times New Roman" w:cs="Times New Roman"/>
          <w:noProof/>
          <w:lang w:eastAsia="lt-LT"/>
        </w:rPr>
        <w:t>ir dėžutės po „Tinka iki“ nurodytam tinkamumo laikui pasibaigus, šio vaisto vartoti negalima. Vaistas tinkamas vartoti iki paskutinės nurodyto mėnesio dienos.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Atidarius tinka vartoti iki tinkamumo laiko pabaigos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</w:pPr>
      <w:bookmarkStart w:id="13" w:name="_Toc129243144"/>
      <w:bookmarkStart w:id="14" w:name="_Toc129243269"/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6.</w:t>
      </w:r>
      <w:r w:rsidRPr="003D57D9">
        <w:rPr>
          <w:rFonts w:ascii="Times New Roman" w:eastAsia="Times New Roman" w:hAnsi="Times New Roman" w:cs="Times New Roman"/>
          <w:bCs/>
          <w:noProof/>
          <w:snapToGrid w:val="0"/>
          <w:lang w:eastAsia="lt-LT"/>
        </w:rPr>
        <w:tab/>
      </w:r>
      <w:r w:rsidRPr="003D57D9">
        <w:rPr>
          <w:rFonts w:ascii="Times New Roman" w:eastAsia="Times New Roman" w:hAnsi="Times New Roman" w:cs="Times New Roman"/>
          <w:b/>
          <w:bCs/>
          <w:noProof/>
          <w:snapToGrid w:val="0"/>
          <w:lang w:eastAsia="lt-LT"/>
        </w:rPr>
        <w:t>Pakuotės turinys ir kita informacija</w:t>
      </w:r>
    </w:p>
    <w:bookmarkEnd w:id="13"/>
    <w:bookmarkEnd w:id="14"/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ind w:left="567" w:hanging="567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Otrivin 0,5 mg/ml sudėtis</w:t>
      </w:r>
    </w:p>
    <w:p w:rsidR="00F81DC4" w:rsidRPr="003D57D9" w:rsidRDefault="00F81DC4" w:rsidP="00F81DC4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Veiklioji medžiaga yra ksilometazolino hidrochloridas. 1 ml Otrivin nosies lašų yra 0,5 mg ksilometazolino hidrochlorido.</w:t>
      </w:r>
    </w:p>
    <w:p w:rsidR="00F81DC4" w:rsidRPr="003D57D9" w:rsidRDefault="00F81DC4" w:rsidP="00F81DC4">
      <w:pPr>
        <w:pStyle w:val="Sraopastraipa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noProof/>
        </w:rPr>
      </w:pPr>
      <w:r w:rsidRPr="003D57D9">
        <w:rPr>
          <w:rFonts w:ascii="Times New Roman" w:eastAsia="Calibri" w:hAnsi="Times New Roman" w:cs="Times New Roman"/>
          <w:noProof/>
        </w:rPr>
        <w:t>Pagalbinės medžiagos yra benzalkonio chloridas, dinatrio edetatas, natrio-divandenilio fosfatas dihidratas, dinatrio fosfatas dodekahidratas, natrio chloridas, skystasis sorbitolis (E 420) 70% (nesikristalizuojantis), hipromeliozė 4000, išgrynintas vanduo.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lang w:eastAsia="lt-LT"/>
        </w:rPr>
      </w:pPr>
      <w:r w:rsidRPr="003D57D9">
        <w:rPr>
          <w:rFonts w:ascii="Times New Roman" w:eastAsia="Calibri" w:hAnsi="Times New Roman" w:cs="Times New Roman"/>
          <w:b/>
          <w:bCs/>
          <w:noProof/>
          <w:lang w:eastAsia="lt-LT"/>
        </w:rPr>
        <w:t>Otrivin 0,5 mg/ml išvaizda ir kiekis pakuotėje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Otrivin yra bespalvis ir skaidrus tirpalas buteliuke su pipete. Buteliuke yra 10 ml tirpalo.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D57D9">
        <w:rPr>
          <w:rFonts w:ascii="Times New Roman" w:eastAsia="Times New Roman" w:hAnsi="Times New Roman" w:cs="Times New Roman"/>
          <w:b/>
          <w:lang w:eastAsia="ar-SA"/>
        </w:rPr>
        <w:t>Registruotojas</w:t>
      </w:r>
    </w:p>
    <w:p w:rsidR="00F81DC4" w:rsidRPr="00D854CA" w:rsidRDefault="00F81DC4" w:rsidP="00F81DC4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proofErr w:type="spellStart"/>
      <w:r w:rsidRPr="00D854CA">
        <w:rPr>
          <w:rFonts w:ascii="Times New Roman" w:hAnsi="Times New Roman" w:cs="Times New Roman"/>
        </w:rPr>
        <w:t>Haleon</w:t>
      </w:r>
      <w:proofErr w:type="spellEnd"/>
      <w:r w:rsidRPr="00D854CA">
        <w:rPr>
          <w:rFonts w:ascii="Times New Roman" w:hAnsi="Times New Roman" w:cs="Times New Roman"/>
        </w:rPr>
        <w:t xml:space="preserve"> </w:t>
      </w:r>
      <w:proofErr w:type="spellStart"/>
      <w:r w:rsidRPr="00D854CA">
        <w:rPr>
          <w:rFonts w:ascii="Times New Roman" w:hAnsi="Times New Roman" w:cs="Times New Roman"/>
        </w:rPr>
        <w:t>Hungary</w:t>
      </w:r>
      <w:proofErr w:type="spellEnd"/>
      <w:r w:rsidRPr="00D854CA">
        <w:rPr>
          <w:rFonts w:ascii="Times New Roman" w:hAnsi="Times New Roman" w:cs="Times New Roman"/>
        </w:rPr>
        <w:t xml:space="preserve"> </w:t>
      </w:r>
      <w:proofErr w:type="spellStart"/>
      <w:r w:rsidRPr="00D854CA">
        <w:rPr>
          <w:rFonts w:ascii="Times New Roman" w:hAnsi="Times New Roman" w:cs="Times New Roman"/>
        </w:rPr>
        <w:t>Kft</w:t>
      </w:r>
      <w:proofErr w:type="spellEnd"/>
      <w:r w:rsidRPr="00D854CA">
        <w:rPr>
          <w:rFonts w:ascii="Times New Roman" w:hAnsi="Times New Roman" w:cs="Times New Roman"/>
        </w:rPr>
        <w:t xml:space="preserve">. </w:t>
      </w:r>
    </w:p>
    <w:p w:rsidR="00F81DC4" w:rsidRPr="00D854CA" w:rsidRDefault="00F81DC4" w:rsidP="00F81DC4">
      <w:pPr>
        <w:tabs>
          <w:tab w:val="left" w:pos="567"/>
        </w:tabs>
        <w:suppressAutoHyphens/>
        <w:spacing w:after="0" w:line="260" w:lineRule="exact"/>
        <w:jc w:val="both"/>
        <w:rPr>
          <w:rFonts w:ascii="Times New Roman" w:hAnsi="Times New Roman" w:cs="Times New Roman"/>
        </w:rPr>
      </w:pPr>
      <w:r w:rsidRPr="00D854CA">
        <w:rPr>
          <w:rFonts w:ascii="Times New Roman" w:hAnsi="Times New Roman" w:cs="Times New Roman"/>
        </w:rPr>
        <w:t xml:space="preserve">1124 </w:t>
      </w:r>
      <w:proofErr w:type="spellStart"/>
      <w:r w:rsidRPr="00D854CA">
        <w:rPr>
          <w:rFonts w:ascii="Times New Roman" w:hAnsi="Times New Roman" w:cs="Times New Roman"/>
        </w:rPr>
        <w:t>Budapest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D854CA">
        <w:rPr>
          <w:rFonts w:ascii="Times New Roman" w:hAnsi="Times New Roman" w:cs="Times New Roman"/>
        </w:rPr>
        <w:t>Csörsz</w:t>
      </w:r>
      <w:proofErr w:type="spellEnd"/>
      <w:r w:rsidRPr="00D854CA">
        <w:rPr>
          <w:rFonts w:ascii="Times New Roman" w:hAnsi="Times New Roman" w:cs="Times New Roman"/>
        </w:rPr>
        <w:t xml:space="preserve"> </w:t>
      </w:r>
      <w:proofErr w:type="spellStart"/>
      <w:r w:rsidRPr="00D854CA">
        <w:rPr>
          <w:rFonts w:ascii="Times New Roman" w:hAnsi="Times New Roman" w:cs="Times New Roman"/>
        </w:rPr>
        <w:t>utca</w:t>
      </w:r>
      <w:proofErr w:type="spellEnd"/>
      <w:r w:rsidRPr="00D854CA">
        <w:rPr>
          <w:rFonts w:ascii="Times New Roman" w:hAnsi="Times New Roman" w:cs="Times New Roman"/>
        </w:rPr>
        <w:t xml:space="preserve"> 43</w:t>
      </w:r>
    </w:p>
    <w:p w:rsidR="00F81DC4" w:rsidRPr="003D57D9" w:rsidRDefault="00F81DC4" w:rsidP="00F81DC4">
      <w:pPr>
        <w:spacing w:after="0" w:line="240" w:lineRule="auto"/>
        <w:rPr>
          <w:rFonts w:ascii="Times New Roman" w:hAnsi="Times New Roman" w:cs="Times New Roman"/>
        </w:rPr>
      </w:pPr>
      <w:r w:rsidRPr="00D854CA">
        <w:rPr>
          <w:rFonts w:ascii="Times New Roman" w:hAnsi="Times New Roman" w:cs="Times New Roman"/>
        </w:rPr>
        <w:t>Vengrija</w:t>
      </w:r>
    </w:p>
    <w:p w:rsidR="00F81DC4" w:rsidRPr="003D57D9" w:rsidRDefault="00F81DC4" w:rsidP="00F81DC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tabs>
          <w:tab w:val="left" w:pos="567"/>
        </w:tabs>
        <w:suppressAutoHyphens/>
        <w:spacing w:after="0" w:line="260" w:lineRule="exact"/>
        <w:ind w:left="567" w:hanging="567"/>
        <w:jc w:val="both"/>
        <w:rPr>
          <w:rFonts w:ascii="Times New Roman" w:hAnsi="Times New Roman" w:cs="Times New Roman"/>
        </w:rPr>
      </w:pPr>
      <w:r w:rsidRPr="003D57D9">
        <w:rPr>
          <w:rFonts w:ascii="Times New Roman" w:eastAsia="Times New Roman" w:hAnsi="Times New Roman" w:cs="Times New Roman"/>
          <w:b/>
          <w:bCs/>
          <w:lang w:eastAsia="ar-SA"/>
        </w:rPr>
        <w:t>Gamintojas</w:t>
      </w:r>
    </w:p>
    <w:p w:rsidR="00F81DC4" w:rsidRPr="003A2C45" w:rsidRDefault="00F81DC4" w:rsidP="00F81DC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A2C45">
        <w:rPr>
          <w:rFonts w:ascii="Times New Roman" w:eastAsia="Calibri" w:hAnsi="Times New Roman" w:cs="Times New Roman"/>
          <w:noProof/>
          <w:lang w:eastAsia="lt-LT"/>
        </w:rPr>
        <w:t>Haleon Germany GmbH</w:t>
      </w:r>
    </w:p>
    <w:p w:rsidR="00F81DC4" w:rsidRPr="003A2C45" w:rsidRDefault="00F81DC4" w:rsidP="00F81DC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A2C45">
        <w:rPr>
          <w:rFonts w:ascii="Times New Roman" w:eastAsia="Calibri" w:hAnsi="Times New Roman" w:cs="Times New Roman"/>
          <w:noProof/>
          <w:lang w:eastAsia="lt-LT"/>
        </w:rPr>
        <w:t>Barthstraße 4</w:t>
      </w:r>
    </w:p>
    <w:p w:rsidR="00F81DC4" w:rsidRPr="003A2C45" w:rsidRDefault="00F81DC4" w:rsidP="00F81DC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A2C45">
        <w:rPr>
          <w:rFonts w:ascii="Times New Roman" w:eastAsia="Calibri" w:hAnsi="Times New Roman" w:cs="Times New Roman"/>
          <w:noProof/>
          <w:lang w:eastAsia="lt-LT"/>
        </w:rPr>
        <w:t xml:space="preserve">80339 München </w:t>
      </w:r>
    </w:p>
    <w:p w:rsidR="00F81DC4" w:rsidRDefault="00F81DC4" w:rsidP="00F81DC4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noProof/>
          <w:lang w:eastAsia="lt-LT"/>
        </w:rPr>
      </w:pPr>
      <w:r w:rsidRPr="003A2C45">
        <w:rPr>
          <w:rFonts w:ascii="Times New Roman" w:eastAsia="Calibri" w:hAnsi="Times New Roman" w:cs="Times New Roman"/>
          <w:noProof/>
          <w:lang w:eastAsia="lt-LT"/>
        </w:rPr>
        <w:t>Vokietija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b/>
          <w:bCs/>
          <w:noProof/>
        </w:rPr>
      </w:pPr>
      <w:r w:rsidRPr="003D57D9">
        <w:rPr>
          <w:rFonts w:ascii="Times New Roman" w:eastAsia="Calibri" w:hAnsi="Times New Roman" w:cs="Times New Roman"/>
          <w:b/>
          <w:bCs/>
          <w:noProof/>
        </w:rPr>
        <w:t>Šis pakuotės lapelis paskutinį kartą peržiūrėtas</w:t>
      </w:r>
      <w:r>
        <w:rPr>
          <w:rFonts w:ascii="Times New Roman" w:eastAsia="Calibri" w:hAnsi="Times New Roman" w:cs="Times New Roman"/>
          <w:b/>
          <w:bCs/>
          <w:noProof/>
        </w:rPr>
        <w:t xml:space="preserve"> 2024-08-02</w:t>
      </w:r>
      <w:r w:rsidRPr="006713DB">
        <w:rPr>
          <w:rFonts w:ascii="Times New Roman" w:eastAsia="Times New Roman" w:hAnsi="Times New Roman" w:cs="Times New Roman"/>
          <w:b/>
        </w:rPr>
        <w:t>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3D57D9">
        <w:rPr>
          <w:rFonts w:ascii="Times New Roman" w:eastAsia="Calibri" w:hAnsi="Times New Roman" w:cs="Times New Roman"/>
          <w:noProof/>
          <w:lang w:eastAsia="lt-LT"/>
        </w:rPr>
        <w:t>Išsami informacija apie šį vaistą pateikiama Valstybinės vaistų kontrolės tarnybos prie Lietuvos Respublikos sveikatos apsaugos ministerijos tinklalapyje</w:t>
      </w:r>
      <w:r w:rsidRPr="003D57D9">
        <w:rPr>
          <w:rFonts w:ascii="Times New Roman" w:eastAsia="Calibri" w:hAnsi="Times New Roman" w:cs="Times New Roman"/>
          <w:i/>
          <w:noProof/>
          <w:lang w:eastAsia="lt-LT"/>
        </w:rPr>
        <w:t xml:space="preserve"> </w:t>
      </w:r>
      <w:hyperlink r:id="rId9" w:history="1">
        <w:r w:rsidRPr="003D57D9">
          <w:rPr>
            <w:rFonts w:ascii="Times New Roman" w:eastAsia="Calibri" w:hAnsi="Times New Roman" w:cs="Times New Roman"/>
            <w:noProof/>
            <w:color w:val="0000FF"/>
            <w:u w:val="single"/>
            <w:lang w:eastAsia="lt-LT"/>
          </w:rPr>
          <w:t>http://www.vvkt.lt/</w:t>
        </w:r>
      </w:hyperlink>
      <w:r w:rsidRPr="003D57D9">
        <w:rPr>
          <w:rFonts w:ascii="Times New Roman" w:eastAsia="Calibri" w:hAnsi="Times New Roman" w:cs="Times New Roman"/>
          <w:noProof/>
          <w:lang w:eastAsia="lt-LT"/>
        </w:rPr>
        <w:t>.</w:t>
      </w: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</w:p>
    <w:p w:rsidR="00F81DC4" w:rsidRPr="003D57D9" w:rsidRDefault="00F81DC4" w:rsidP="00F81DC4">
      <w:pPr>
        <w:rPr>
          <w:rFonts w:ascii="Times New Roman" w:hAnsi="Times New Roman" w:cs="Times New Roman"/>
          <w:noProof/>
        </w:rPr>
      </w:pPr>
    </w:p>
    <w:p w:rsidR="00BA6577" w:rsidRDefault="00BA6577">
      <w:bookmarkStart w:id="15" w:name="_GoBack"/>
      <w:bookmarkEnd w:id="15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3F6"/>
    <w:multiLevelType w:val="hybridMultilevel"/>
    <w:tmpl w:val="068C71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F42D4"/>
    <w:multiLevelType w:val="hybridMultilevel"/>
    <w:tmpl w:val="1002A334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E106385"/>
    <w:multiLevelType w:val="hybridMultilevel"/>
    <w:tmpl w:val="7F429DD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93C6A"/>
    <w:multiLevelType w:val="hybridMultilevel"/>
    <w:tmpl w:val="BC7A0554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64D3301E"/>
    <w:multiLevelType w:val="hybridMultilevel"/>
    <w:tmpl w:val="6CAEB31A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D1104AC"/>
    <w:multiLevelType w:val="hybridMultilevel"/>
    <w:tmpl w:val="EF621D5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0C04AEB"/>
    <w:multiLevelType w:val="hybridMultilevel"/>
    <w:tmpl w:val="AFE2F6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01D7E"/>
    <w:multiLevelType w:val="hybridMultilevel"/>
    <w:tmpl w:val="9FFCF816"/>
    <w:lvl w:ilvl="0" w:tplc="FFFFFFFF">
      <w:start w:val="1"/>
      <w:numFmt w:val="bullet"/>
      <w:lvlText w:val="-"/>
      <w:lvlJc w:val="left"/>
      <w:pPr>
        <w:ind w:left="1077" w:hanging="360"/>
      </w:pPr>
    </w:lvl>
    <w:lvl w:ilvl="1" w:tplc="FFFFFFFF">
      <w:start w:val="1"/>
      <w:numFmt w:val="bullet"/>
      <w:lvlText w:val="-"/>
      <w:lvlJc w:val="left"/>
      <w:pPr>
        <w:ind w:left="1797" w:hanging="360"/>
      </w:p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C4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D358F2"/>
    <w:rsid w:val="00E76721"/>
    <w:rsid w:val="00EF4A4D"/>
    <w:rsid w:val="00F81DC4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0587F-5DB5-48E2-A173-1BCA0126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1D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vkt.l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6789</Words>
  <Characters>3871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        3.	Kaip vartoti Otrivin</vt:lpstr>
      <vt:lpstr>        4.	Galimas šalutinis poveikis</vt:lpstr>
      <vt:lpstr>        5.	Kaip laikyti Otrivin</vt:lpstr>
      <vt:lpstr>        6.	Pakuotės turinys ir kita informacija</vt:lpstr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2024-11-11T07:10:00Z</dcterms:created>
  <dcterms:modified xsi:type="dcterms:W3CDTF">2024-11-11T07:11:00Z</dcterms:modified>
</cp:coreProperties>
</file>