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444CB1" w:rsidRDefault="00A327F1" w:rsidP="00A327F1">
      <w:pPr>
        <w:spacing w:after="0" w:line="240" w:lineRule="auto"/>
        <w:rPr>
          <w:rFonts w:ascii="Times New Roman" w:hAnsi="Times New Roman"/>
        </w:rPr>
      </w:pPr>
    </w:p>
    <w:p w:rsidR="00A327F1" w:rsidRPr="0001550C" w:rsidRDefault="00A327F1" w:rsidP="00A327F1">
      <w:pPr>
        <w:pStyle w:val="BTEMEASMCA"/>
      </w:pPr>
    </w:p>
    <w:p w:rsidR="00A327F1" w:rsidRPr="00750BE0" w:rsidRDefault="00A327F1" w:rsidP="00A327F1">
      <w:pPr>
        <w:pStyle w:val="BTEMEASMCA"/>
      </w:pPr>
    </w:p>
    <w:p w:rsidR="00A327F1" w:rsidRPr="002F3A66" w:rsidRDefault="00A327F1" w:rsidP="00A327F1">
      <w:pPr>
        <w:pStyle w:val="BTEMEASMCA"/>
      </w:pPr>
    </w:p>
    <w:p w:rsidR="00A327F1" w:rsidRPr="00D56CD3" w:rsidRDefault="00A327F1" w:rsidP="00A327F1">
      <w:pPr>
        <w:pStyle w:val="BTEMEASMCA"/>
      </w:pPr>
    </w:p>
    <w:p w:rsidR="00A327F1" w:rsidRPr="00BF5E4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6D3413" w:rsidRDefault="00A327F1" w:rsidP="00A327F1">
      <w:pPr>
        <w:pStyle w:val="BTEMEASMCA"/>
      </w:pPr>
    </w:p>
    <w:p w:rsidR="00A327F1" w:rsidRPr="00444CB1" w:rsidRDefault="00A327F1" w:rsidP="00A327F1">
      <w:pPr>
        <w:pStyle w:val="TTEMEASMCA"/>
        <w:rPr>
          <w:rFonts w:ascii="Times New Roman" w:hAnsi="Times New Roman"/>
        </w:rPr>
      </w:pPr>
      <w:bookmarkStart w:id="0" w:name="_Toc129243221"/>
      <w:bookmarkStart w:id="1" w:name="_Toc129243096"/>
      <w:r w:rsidRPr="00444CB1">
        <w:rPr>
          <w:rFonts w:ascii="Times New Roman" w:hAnsi="Times New Roman"/>
        </w:rPr>
        <w:t>I PRIEDAS</w:t>
      </w:r>
      <w:bookmarkEnd w:id="0"/>
      <w:bookmarkEnd w:id="1"/>
    </w:p>
    <w:p w:rsidR="00A327F1" w:rsidRPr="0001550C" w:rsidRDefault="00A327F1" w:rsidP="00A327F1">
      <w:pPr>
        <w:pStyle w:val="BTEMEASMCA"/>
      </w:pPr>
    </w:p>
    <w:p w:rsidR="00A327F1" w:rsidRPr="00444CB1" w:rsidRDefault="00A327F1" w:rsidP="00A327F1">
      <w:pPr>
        <w:pStyle w:val="TTEMEASMCA"/>
        <w:rPr>
          <w:rFonts w:ascii="Times New Roman" w:hAnsi="Times New Roman"/>
        </w:rPr>
      </w:pPr>
      <w:bookmarkStart w:id="2" w:name="_Toc129243222"/>
      <w:bookmarkStart w:id="3" w:name="_Toc129243097"/>
      <w:r w:rsidRPr="00444CB1">
        <w:rPr>
          <w:rFonts w:ascii="Times New Roman" w:hAnsi="Times New Roman"/>
        </w:rPr>
        <w:t>PREPARATO CHARAKTERISTIKŲ SANTRAUKA</w:t>
      </w:r>
      <w:bookmarkEnd w:id="2"/>
      <w:bookmarkEnd w:id="3"/>
    </w:p>
    <w:p w:rsidR="00A327F1" w:rsidRPr="00F600A8" w:rsidRDefault="00A327F1" w:rsidP="00A327F1">
      <w:pPr>
        <w:pStyle w:val="PI-1EMEASMCA"/>
      </w:pPr>
      <w:r w:rsidRPr="00F600A8">
        <w:rPr>
          <w:b w:val="0"/>
          <w:bCs/>
          <w:iCs/>
        </w:rPr>
        <w:br w:type="page"/>
      </w:r>
      <w:bookmarkStart w:id="4" w:name="_Toc129243223"/>
      <w:bookmarkStart w:id="5" w:name="_Toc129243098"/>
      <w:r w:rsidRPr="00F600A8">
        <w:lastRenderedPageBreak/>
        <w:t>1.</w:t>
      </w:r>
      <w:r w:rsidRPr="00F600A8">
        <w:tab/>
        <w:t>VAISTINIO PREPARATO PAVADINIMAS</w:t>
      </w:r>
      <w:bookmarkEnd w:id="4"/>
      <w:bookmarkEnd w:id="5"/>
    </w:p>
    <w:p w:rsidR="00A327F1" w:rsidRPr="0001550C" w:rsidRDefault="00A327F1" w:rsidP="00A327F1">
      <w:pPr>
        <w:pStyle w:val="BTEMEASMCA"/>
      </w:pPr>
    </w:p>
    <w:p w:rsidR="00A327F1" w:rsidRPr="002F3A66" w:rsidRDefault="00A327F1" w:rsidP="00A327F1">
      <w:pPr>
        <w:pStyle w:val="BTEMEASMCA"/>
      </w:pPr>
      <w:r w:rsidRPr="00750BE0">
        <w:t>COAXIL 12,5 mg dengtos tabletės</w:t>
      </w:r>
    </w:p>
    <w:p w:rsidR="00A327F1" w:rsidRPr="00D56CD3" w:rsidRDefault="00A327F1" w:rsidP="00A327F1">
      <w:pPr>
        <w:pStyle w:val="BTEMEASMCA"/>
      </w:pPr>
    </w:p>
    <w:p w:rsidR="00A327F1" w:rsidRPr="00BF5E43" w:rsidRDefault="00A327F1" w:rsidP="00A327F1">
      <w:pPr>
        <w:pStyle w:val="BTEMEASMCA"/>
      </w:pPr>
    </w:p>
    <w:p w:rsidR="00A327F1" w:rsidRPr="00F600A8" w:rsidRDefault="00A327F1" w:rsidP="00A327F1">
      <w:pPr>
        <w:pStyle w:val="PI-1EMEASMCA"/>
      </w:pPr>
      <w:bookmarkStart w:id="6" w:name="_Toc129243224"/>
      <w:bookmarkStart w:id="7" w:name="_Toc129243099"/>
      <w:r w:rsidRPr="00F600A8">
        <w:t>2.</w:t>
      </w:r>
      <w:r w:rsidRPr="00F600A8">
        <w:tab/>
        <w:t>KOKYBINĖ IR KIEKYBINĖ SUDĖTIS</w:t>
      </w:r>
      <w:bookmarkEnd w:id="6"/>
      <w:bookmarkEnd w:id="7"/>
    </w:p>
    <w:p w:rsidR="00A327F1" w:rsidRPr="0001550C" w:rsidRDefault="00A327F1" w:rsidP="00A327F1">
      <w:pPr>
        <w:pStyle w:val="BTEMEASMCA"/>
      </w:pPr>
    </w:p>
    <w:p w:rsidR="00A327F1" w:rsidRPr="002F3A66" w:rsidRDefault="00A327F1" w:rsidP="00A327F1">
      <w:pPr>
        <w:pStyle w:val="BTEMEASMCA"/>
      </w:pPr>
      <w:r w:rsidRPr="00750BE0">
        <w:t>Vienoje dengtoje tabletėje yra 12,5 mg tianeptino natrio druskos.</w:t>
      </w:r>
    </w:p>
    <w:p w:rsidR="00A327F1" w:rsidRPr="00D56CD3" w:rsidRDefault="00A327F1" w:rsidP="00A327F1">
      <w:pPr>
        <w:pStyle w:val="BTEMEASMCA"/>
      </w:pPr>
    </w:p>
    <w:p w:rsidR="00A327F1" w:rsidRPr="00750BE0" w:rsidRDefault="00A327F1" w:rsidP="00A327F1">
      <w:pPr>
        <w:pStyle w:val="BTEMEASMCA"/>
      </w:pPr>
      <w:r w:rsidRPr="004011BA">
        <w:t>Pagalbinė medžiaga, kurios poveikis žinomas: sacharozė (24 mg/tabletėje).</w:t>
      </w:r>
    </w:p>
    <w:p w:rsidR="00A327F1" w:rsidRPr="002F3A66" w:rsidRDefault="00A327F1" w:rsidP="00A327F1">
      <w:pPr>
        <w:pStyle w:val="BTEMEASMCA"/>
      </w:pPr>
      <w:r w:rsidRPr="002F3A66">
        <w:t>Visos pagalbinės medžiagos išvardytos 6.1 skyriuje.</w:t>
      </w:r>
    </w:p>
    <w:p w:rsidR="00A327F1" w:rsidRPr="00D56CD3" w:rsidRDefault="00A327F1" w:rsidP="00A327F1">
      <w:pPr>
        <w:pStyle w:val="BTEMEASMCA"/>
      </w:pPr>
    </w:p>
    <w:p w:rsidR="00A327F1" w:rsidRPr="00BF5E43" w:rsidRDefault="00A327F1" w:rsidP="00A327F1">
      <w:pPr>
        <w:pStyle w:val="BTEMEASMCA"/>
      </w:pPr>
    </w:p>
    <w:p w:rsidR="00A327F1" w:rsidRPr="00F600A8" w:rsidRDefault="00A327F1" w:rsidP="00A327F1">
      <w:pPr>
        <w:pStyle w:val="PI-1EMEASMCA"/>
      </w:pPr>
      <w:bookmarkStart w:id="8" w:name="_Toc129243225"/>
      <w:bookmarkStart w:id="9" w:name="_Toc129243100"/>
      <w:r w:rsidRPr="00F600A8">
        <w:t>3.</w:t>
      </w:r>
      <w:r w:rsidRPr="00F600A8">
        <w:tab/>
        <w:t>FARMACINĖ FORMA</w:t>
      </w:r>
      <w:bookmarkEnd w:id="8"/>
      <w:bookmarkEnd w:id="9"/>
    </w:p>
    <w:p w:rsidR="00A327F1" w:rsidRPr="0001550C" w:rsidRDefault="00A327F1" w:rsidP="00A327F1">
      <w:pPr>
        <w:pStyle w:val="BTEMEASMCA"/>
      </w:pPr>
    </w:p>
    <w:p w:rsidR="00A327F1" w:rsidRPr="002F3A66" w:rsidRDefault="00A327F1" w:rsidP="00A327F1">
      <w:pPr>
        <w:pStyle w:val="BTEMEASMCA"/>
      </w:pPr>
      <w:r w:rsidRPr="00750BE0">
        <w:t>Dengta tabletė.</w:t>
      </w:r>
    </w:p>
    <w:p w:rsidR="00A327F1" w:rsidRPr="00BF5E43" w:rsidRDefault="00A327F1" w:rsidP="00A327F1">
      <w:pPr>
        <w:pStyle w:val="BTEMEASMCA"/>
      </w:pPr>
      <w:r w:rsidRPr="00D56CD3">
        <w:t>B</w:t>
      </w:r>
      <w:r w:rsidRPr="00BF5E43">
        <w:t>altos, ovalios tabletės su apvalkalu.</w:t>
      </w:r>
    </w:p>
    <w:p w:rsidR="00A327F1" w:rsidRPr="000164F1" w:rsidRDefault="00A327F1" w:rsidP="00A327F1">
      <w:pPr>
        <w:pStyle w:val="BTEMEASMCA"/>
      </w:pPr>
    </w:p>
    <w:p w:rsidR="00A327F1" w:rsidRPr="006D3413" w:rsidRDefault="00A327F1" w:rsidP="00A327F1">
      <w:pPr>
        <w:pStyle w:val="BTEMEASMCA"/>
      </w:pPr>
    </w:p>
    <w:p w:rsidR="00A327F1" w:rsidRPr="00F600A8" w:rsidRDefault="00A327F1" w:rsidP="00A327F1">
      <w:pPr>
        <w:pStyle w:val="PI-1EMEASMCA"/>
      </w:pPr>
      <w:bookmarkStart w:id="10" w:name="_Toc129243101"/>
      <w:bookmarkStart w:id="11" w:name="_Toc129243226"/>
      <w:r w:rsidRPr="00F600A8">
        <w:t>4.</w:t>
      </w:r>
      <w:r w:rsidRPr="00F600A8">
        <w:tab/>
        <w:t>KLINIKINĖ INFORMACIJA</w:t>
      </w:r>
      <w:bookmarkEnd w:id="10"/>
      <w:bookmarkEnd w:id="11"/>
    </w:p>
    <w:p w:rsidR="00A327F1" w:rsidRPr="0001550C" w:rsidRDefault="00A327F1" w:rsidP="00A327F1">
      <w:pPr>
        <w:pStyle w:val="BTEMEASMCA"/>
      </w:pPr>
    </w:p>
    <w:p w:rsidR="00A327F1" w:rsidRPr="00F600A8" w:rsidRDefault="00A327F1" w:rsidP="00A327F1">
      <w:pPr>
        <w:pStyle w:val="PI-2EMEASMCA"/>
      </w:pPr>
      <w:bookmarkStart w:id="12" w:name="_Toc129243227"/>
      <w:bookmarkStart w:id="13" w:name="_Toc129243102"/>
      <w:r w:rsidRPr="00F600A8">
        <w:t>4.1</w:t>
      </w:r>
      <w:r w:rsidRPr="00F600A8">
        <w:tab/>
        <w:t>Terapinės indikacijos</w:t>
      </w:r>
      <w:bookmarkEnd w:id="12"/>
      <w:bookmarkEnd w:id="13"/>
    </w:p>
    <w:p w:rsidR="00A327F1" w:rsidRPr="0001550C" w:rsidRDefault="00A327F1" w:rsidP="00A327F1">
      <w:pPr>
        <w:pStyle w:val="BTEMEASMCA"/>
      </w:pPr>
    </w:p>
    <w:p w:rsidR="00A327F1" w:rsidRPr="00D56CD3" w:rsidRDefault="00A327F1" w:rsidP="00A327F1">
      <w:pPr>
        <w:pStyle w:val="BTEMEASMCA"/>
      </w:pPr>
      <w:r w:rsidRPr="00750BE0">
        <w:t xml:space="preserve">COAXIL </w:t>
      </w:r>
      <w:r>
        <w:t>vartojamas</w:t>
      </w:r>
      <w:r w:rsidRPr="00D56CD3">
        <w:t xml:space="preserve"> lengvų, vidutinio sunkumo ar sunkių didžiosios depresijos epizodų gydymui.</w:t>
      </w:r>
    </w:p>
    <w:p w:rsidR="00A327F1" w:rsidRPr="00BF5E43" w:rsidRDefault="00A327F1" w:rsidP="00A327F1">
      <w:pPr>
        <w:pStyle w:val="BTEMEASMCA"/>
      </w:pPr>
    </w:p>
    <w:p w:rsidR="00A327F1" w:rsidRPr="00F600A8" w:rsidRDefault="00A327F1" w:rsidP="00A327F1">
      <w:pPr>
        <w:pStyle w:val="PI-2EMEASMCA"/>
      </w:pPr>
      <w:bookmarkStart w:id="14" w:name="_Toc129243228"/>
      <w:bookmarkStart w:id="15" w:name="_Toc129243103"/>
      <w:r w:rsidRPr="00F600A8">
        <w:t>4.2</w:t>
      </w:r>
      <w:r w:rsidRPr="00F600A8">
        <w:tab/>
        <w:t>Dozavimas ir vartojimo metodas</w:t>
      </w:r>
      <w:bookmarkEnd w:id="14"/>
      <w:bookmarkEnd w:id="15"/>
    </w:p>
    <w:p w:rsidR="00A327F1" w:rsidRPr="0001550C" w:rsidRDefault="00A327F1" w:rsidP="00A327F1">
      <w:pPr>
        <w:pStyle w:val="BTEMEASMCA"/>
      </w:pPr>
    </w:p>
    <w:p w:rsidR="00A327F1" w:rsidRPr="007E2DC2" w:rsidRDefault="00A327F1" w:rsidP="00A327F1">
      <w:pPr>
        <w:pStyle w:val="BTEMEASMCA"/>
        <w:rPr>
          <w:u w:val="single"/>
        </w:rPr>
      </w:pPr>
      <w:r w:rsidRPr="00447181">
        <w:rPr>
          <w:u w:val="single"/>
        </w:rPr>
        <w:t>Dozavimas</w:t>
      </w:r>
    </w:p>
    <w:p w:rsidR="00A327F1" w:rsidRPr="0001550C" w:rsidRDefault="00A327F1" w:rsidP="00A327F1">
      <w:pPr>
        <w:pStyle w:val="BTEMEASMCA"/>
      </w:pPr>
    </w:p>
    <w:p w:rsidR="00A327F1" w:rsidRPr="00620FC0" w:rsidRDefault="00A327F1" w:rsidP="00A327F1">
      <w:pPr>
        <w:pStyle w:val="BTEMEASMCA"/>
        <w:rPr>
          <w:i/>
        </w:rPr>
      </w:pPr>
      <w:r w:rsidRPr="00620FC0">
        <w:rPr>
          <w:i/>
        </w:rPr>
        <w:t>Suaugusie</w:t>
      </w:r>
      <w:r w:rsidRPr="00444CB1">
        <w:rPr>
          <w:i/>
        </w:rPr>
        <w:t>siems</w:t>
      </w:r>
    </w:p>
    <w:p w:rsidR="00A327F1" w:rsidRPr="006D3413" w:rsidRDefault="00A327F1" w:rsidP="00A327F1">
      <w:pPr>
        <w:pStyle w:val="BTEMEASMCA"/>
      </w:pPr>
      <w:r w:rsidRPr="0001550C">
        <w:t xml:space="preserve">Suaugusiems žmonėms rekomenduojama gerti po </w:t>
      </w:r>
      <w:r w:rsidRPr="002F3A66">
        <w:t>12,5 mg</w:t>
      </w:r>
      <w:r w:rsidRPr="00BF5E43">
        <w:t xml:space="preserve"> 3 kartus per dieną, t. y. ryte,</w:t>
      </w:r>
      <w:r w:rsidRPr="000164F1">
        <w:t xml:space="preserve"> vidurdienį ir vakare</w:t>
      </w:r>
      <w:r w:rsidRPr="006D3413">
        <w:t xml:space="preserve">. </w:t>
      </w:r>
    </w:p>
    <w:p w:rsidR="00A327F1" w:rsidRPr="006D3413" w:rsidRDefault="00A327F1" w:rsidP="00A327F1">
      <w:pPr>
        <w:pStyle w:val="BTEMEASMCA"/>
      </w:pPr>
      <w:r w:rsidRPr="006D3413">
        <w:t>Staiga gydymo nutraukti negalima, vaistinio preparato vartojimą reikia nutraukti palaipsniui mažinant dozę, per 7-14 dienų.</w:t>
      </w:r>
    </w:p>
    <w:p w:rsidR="00A327F1" w:rsidRPr="006D3413" w:rsidRDefault="00A327F1" w:rsidP="00A327F1">
      <w:pPr>
        <w:pStyle w:val="BTEMEASMCA"/>
      </w:pPr>
    </w:p>
    <w:p w:rsidR="00A327F1" w:rsidRDefault="00A327F1" w:rsidP="00A327F1">
      <w:pPr>
        <w:pStyle w:val="BTEMEASMCA"/>
        <w:rPr>
          <w:i/>
        </w:rPr>
      </w:pPr>
      <w:r w:rsidRPr="00827519">
        <w:rPr>
          <w:i/>
        </w:rPr>
        <w:t>Senyvi</w:t>
      </w:r>
      <w:r w:rsidRPr="00444CB1">
        <w:rPr>
          <w:i/>
        </w:rPr>
        <w:t>ems</w:t>
      </w:r>
      <w:r w:rsidRPr="00827519">
        <w:rPr>
          <w:i/>
        </w:rPr>
        <w:t xml:space="preserve"> pacienta</w:t>
      </w:r>
      <w:r w:rsidRPr="00444CB1">
        <w:rPr>
          <w:i/>
        </w:rPr>
        <w:t>ms</w:t>
      </w:r>
    </w:p>
    <w:p w:rsidR="00A327F1" w:rsidRDefault="00A327F1" w:rsidP="00A327F1">
      <w:pPr>
        <w:pStyle w:val="BTEMEASMCA"/>
      </w:pPr>
      <w:r>
        <w:t>T</w:t>
      </w:r>
      <w:r w:rsidRPr="008E14EC">
        <w:t>iane</w:t>
      </w:r>
      <w:r>
        <w:t>pt</w:t>
      </w:r>
      <w:r w:rsidRPr="008E14EC">
        <w:t xml:space="preserve">ino veiksmingumas ir saugumas </w:t>
      </w:r>
      <w:r>
        <w:t xml:space="preserve">senyviems (&gt; 65 metų) depresija sergantiems </w:t>
      </w:r>
      <w:r w:rsidRPr="008E14EC">
        <w:t>pacientams</w:t>
      </w:r>
      <w:r>
        <w:t xml:space="preserve"> buvo įrodytas </w:t>
      </w:r>
      <w:r w:rsidRPr="008E14EC">
        <w:t xml:space="preserve">(žr. </w:t>
      </w:r>
      <w:r>
        <w:t>5</w:t>
      </w:r>
      <w:r w:rsidRPr="008E14EC">
        <w:t>.</w:t>
      </w:r>
      <w:r>
        <w:t>1</w:t>
      </w:r>
      <w:r w:rsidRPr="008E14EC">
        <w:t xml:space="preserve"> skyrių)</w:t>
      </w:r>
      <w:r>
        <w:t>. Atsižvelgiant į amžių dozės keisti nereikia.</w:t>
      </w:r>
    </w:p>
    <w:p w:rsidR="00A327F1" w:rsidRPr="00AD21B4" w:rsidRDefault="00A327F1" w:rsidP="00A327F1">
      <w:pPr>
        <w:pStyle w:val="BTEMEASMCA"/>
        <w:rPr>
          <w:i/>
        </w:rPr>
      </w:pPr>
    </w:p>
    <w:p w:rsidR="00A327F1" w:rsidRPr="000164F1" w:rsidRDefault="00A327F1" w:rsidP="00A327F1">
      <w:pPr>
        <w:pStyle w:val="BTEMEASMCA"/>
      </w:pPr>
      <w:r w:rsidRPr="0001550C">
        <w:t>Vaistinio preparato dozė nusilpusiem</w:t>
      </w:r>
      <w:r w:rsidRPr="00750BE0">
        <w:t xml:space="preserve">s </w:t>
      </w:r>
      <w:r>
        <w:t xml:space="preserve">senyviems </w:t>
      </w:r>
      <w:r w:rsidRPr="00750BE0">
        <w:t>pacientams (</w:t>
      </w:r>
      <w:r>
        <w:t>&lt; 5</w:t>
      </w:r>
      <w:r w:rsidRPr="00750BE0">
        <w:t>5 kg) yra 2</w:t>
      </w:r>
      <w:r>
        <w:t>5 mg</w:t>
      </w:r>
      <w:r w:rsidRPr="002F3A66">
        <w:t xml:space="preserve"> per parą (žr. 5.2 skyrių).</w:t>
      </w:r>
      <w:r w:rsidRPr="00D56CD3" w:rsidDel="00734CC8">
        <w:t xml:space="preserve"> </w:t>
      </w:r>
    </w:p>
    <w:p w:rsidR="00A327F1" w:rsidRDefault="00A327F1" w:rsidP="00A327F1">
      <w:pPr>
        <w:pStyle w:val="BTEMEASMCA"/>
      </w:pPr>
    </w:p>
    <w:p w:rsidR="00A327F1" w:rsidRPr="00792135" w:rsidRDefault="00A327F1" w:rsidP="00A327F1">
      <w:pPr>
        <w:pStyle w:val="BTEMEASMCA"/>
        <w:rPr>
          <w:i/>
        </w:rPr>
      </w:pPr>
      <w:r w:rsidRPr="00444CB1">
        <w:rPr>
          <w:i/>
        </w:rPr>
        <w:t>Pacientams, kurių i</w:t>
      </w:r>
      <w:r w:rsidRPr="00AD21B4">
        <w:rPr>
          <w:i/>
        </w:rPr>
        <w:t xml:space="preserve">nkstų </w:t>
      </w:r>
      <w:r w:rsidRPr="00444CB1">
        <w:rPr>
          <w:i/>
        </w:rPr>
        <w:t>funkcija</w:t>
      </w:r>
      <w:r w:rsidRPr="00AD21B4">
        <w:rPr>
          <w:i/>
        </w:rPr>
        <w:t xml:space="preserve"> sutrik</w:t>
      </w:r>
      <w:r w:rsidRPr="00444CB1">
        <w:rPr>
          <w:i/>
        </w:rPr>
        <w:t>usi</w:t>
      </w:r>
    </w:p>
    <w:p w:rsidR="00A327F1" w:rsidRPr="00BF5E43" w:rsidRDefault="00A327F1" w:rsidP="00A327F1">
      <w:pPr>
        <w:pStyle w:val="BTEMEASMCA"/>
      </w:pPr>
      <w:r w:rsidRPr="0001550C">
        <w:t>Vaistinio preparato dozė pacientams</w:t>
      </w:r>
      <w:r w:rsidRPr="00750BE0">
        <w:t>, kuriems yra diagnozuotas sunkus inkstų funkcijos sutrikimas (</w:t>
      </w:r>
      <w:r>
        <w:t>kreatinino klirensas</w:t>
      </w:r>
      <w:r w:rsidRPr="00750BE0">
        <w:t xml:space="preserve"> &lt; 19 ml/min.), yra 2</w:t>
      </w:r>
      <w:r>
        <w:t>5 mg</w:t>
      </w:r>
      <w:r w:rsidRPr="00750BE0">
        <w:t xml:space="preserve"> per parą (žr. 5.2 skyrių).</w:t>
      </w:r>
    </w:p>
    <w:p w:rsidR="00A327F1" w:rsidRDefault="00A327F1" w:rsidP="00A327F1">
      <w:pPr>
        <w:pStyle w:val="BTEMEASMCA"/>
      </w:pPr>
    </w:p>
    <w:p w:rsidR="00A327F1" w:rsidRPr="00792135" w:rsidRDefault="00A327F1" w:rsidP="00A327F1">
      <w:pPr>
        <w:pStyle w:val="BTEMEASMCA"/>
        <w:rPr>
          <w:i/>
        </w:rPr>
      </w:pPr>
      <w:r w:rsidRPr="00444CB1">
        <w:rPr>
          <w:i/>
        </w:rPr>
        <w:t>Pacientams, kurių k</w:t>
      </w:r>
      <w:r w:rsidRPr="00792135">
        <w:rPr>
          <w:i/>
        </w:rPr>
        <w:t xml:space="preserve">epenų </w:t>
      </w:r>
      <w:r w:rsidRPr="00444CB1">
        <w:rPr>
          <w:i/>
        </w:rPr>
        <w:t>funkcija</w:t>
      </w:r>
      <w:r w:rsidRPr="00792135">
        <w:rPr>
          <w:i/>
        </w:rPr>
        <w:t xml:space="preserve"> sutrik</w:t>
      </w:r>
      <w:r w:rsidRPr="00444CB1">
        <w:rPr>
          <w:i/>
        </w:rPr>
        <w:t>usi</w:t>
      </w:r>
    </w:p>
    <w:p w:rsidR="00A327F1" w:rsidRPr="00D56CD3" w:rsidRDefault="00A327F1" w:rsidP="00A327F1">
      <w:pPr>
        <w:pStyle w:val="BTEMEASMCA"/>
      </w:pPr>
      <w:r w:rsidRPr="0001550C">
        <w:t>Vaistinio preparato dozė pacientams, kuriems yra diagnozuota sunki cirozė (C klasės pagal Child Pugh skalę), yra 2</w:t>
      </w:r>
      <w:r>
        <w:t>5 mg</w:t>
      </w:r>
      <w:r w:rsidRPr="0001550C">
        <w:t xml:space="preserve"> </w:t>
      </w:r>
      <w:r w:rsidRPr="002F3A66">
        <w:t>per parą (žr. 5.2</w:t>
      </w:r>
      <w:r w:rsidRPr="00D56CD3">
        <w:t xml:space="preserve"> skyrių).</w:t>
      </w:r>
    </w:p>
    <w:p w:rsidR="00A327F1" w:rsidRPr="00D56CD3" w:rsidRDefault="00A327F1" w:rsidP="00A327F1">
      <w:pPr>
        <w:pStyle w:val="BTEMEASMCA"/>
      </w:pPr>
      <w:r w:rsidRPr="00BF5E43">
        <w:t>Lėtiniu alkoholizmu sergantiems žmonėms, kuriems pasireiškia lengva ar vidutinio sunkumo cirozė arba cirozės iš viso nėra, dozės keisti ne</w:t>
      </w:r>
      <w:r>
        <w:t>reikia</w:t>
      </w:r>
      <w:r w:rsidRPr="00750BE0">
        <w:t xml:space="preserve"> (žr. 5.2 skyrių).</w:t>
      </w:r>
    </w:p>
    <w:p w:rsidR="00A327F1" w:rsidRDefault="00A327F1" w:rsidP="00A327F1">
      <w:pPr>
        <w:pStyle w:val="BTEMEASMCA"/>
      </w:pPr>
    </w:p>
    <w:p w:rsidR="00A327F1" w:rsidRPr="00FE2058" w:rsidRDefault="00A327F1" w:rsidP="00A327F1">
      <w:pPr>
        <w:pStyle w:val="BTEMEASMCA"/>
        <w:rPr>
          <w:i/>
        </w:rPr>
      </w:pPr>
      <w:r w:rsidRPr="00FE2058">
        <w:rPr>
          <w:i/>
        </w:rPr>
        <w:t>Vaikų populiacija</w:t>
      </w:r>
    </w:p>
    <w:p w:rsidR="00A327F1" w:rsidRPr="00D56CD3" w:rsidRDefault="00A327F1" w:rsidP="00A327F1">
      <w:pPr>
        <w:pStyle w:val="BTEMEASMCA"/>
      </w:pPr>
      <w:r w:rsidRPr="0001550C">
        <w:t>Tianeptino saugumas ir veiksmingumas vaikams ir jaunesniems kaip 18 metų paaugliams dar neištirti. Duomenų nėra (žr. 4.4 skyrių).</w:t>
      </w:r>
    </w:p>
    <w:p w:rsidR="00A327F1" w:rsidRPr="006D3413" w:rsidRDefault="00A327F1" w:rsidP="00A327F1">
      <w:pPr>
        <w:pStyle w:val="BTEMEASMCA"/>
      </w:pPr>
    </w:p>
    <w:p w:rsidR="00A327F1" w:rsidRPr="006A494A" w:rsidRDefault="00A327F1" w:rsidP="00A327F1">
      <w:pPr>
        <w:pStyle w:val="BTEMEASMCA"/>
        <w:rPr>
          <w:u w:val="single"/>
        </w:rPr>
      </w:pPr>
      <w:r w:rsidRPr="00463DE6">
        <w:rPr>
          <w:u w:val="single"/>
        </w:rPr>
        <w:t>Vartojimo metodas</w:t>
      </w:r>
    </w:p>
    <w:p w:rsidR="00A327F1" w:rsidRDefault="00A327F1" w:rsidP="00A327F1">
      <w:pPr>
        <w:pStyle w:val="BTEMEASMCA"/>
      </w:pPr>
      <w:r w:rsidRPr="0001550C">
        <w:lastRenderedPageBreak/>
        <w:t>Vartoti per burną.</w:t>
      </w:r>
      <w:r>
        <w:t xml:space="preserve"> Vartoti </w:t>
      </w:r>
      <w:r w:rsidRPr="00BE73C4">
        <w:t>prieš valgį</w:t>
      </w:r>
      <w:r>
        <w:t>.</w:t>
      </w:r>
    </w:p>
    <w:p w:rsidR="00A327F1" w:rsidRDefault="00A327F1" w:rsidP="00A327F1">
      <w:pPr>
        <w:pStyle w:val="BTEMEASMCA"/>
      </w:pPr>
    </w:p>
    <w:p w:rsidR="00A327F1" w:rsidRPr="0001550C" w:rsidRDefault="00A327F1" w:rsidP="00A327F1">
      <w:pPr>
        <w:pStyle w:val="BTEMEASMCA"/>
      </w:pPr>
      <w:r w:rsidRPr="00F06742">
        <w:t>Reikia vengti staigaus gydymo nutraukimo. Kad būtų mažesnė vartojimo nutraukimo reakcijų atsiradimo rizika, dozę reikia mažinti palaipsniui per 7-14 parų laikotarpį (žr. 4.4 skyrių).</w:t>
      </w:r>
    </w:p>
    <w:p w:rsidR="00A327F1" w:rsidRPr="00750BE0" w:rsidRDefault="00A327F1" w:rsidP="00A327F1">
      <w:pPr>
        <w:pStyle w:val="BTEMEASMCA"/>
      </w:pPr>
    </w:p>
    <w:p w:rsidR="00A327F1" w:rsidRPr="00F600A8" w:rsidRDefault="00A327F1" w:rsidP="00A327F1">
      <w:pPr>
        <w:pStyle w:val="PI-2EMEASMCA"/>
      </w:pPr>
      <w:bookmarkStart w:id="16" w:name="_Toc129243229"/>
      <w:bookmarkStart w:id="17" w:name="_Toc129243104"/>
      <w:r w:rsidRPr="00F600A8">
        <w:t>4.3</w:t>
      </w:r>
      <w:r w:rsidRPr="00F600A8">
        <w:tab/>
        <w:t>Kontraindikacijos</w:t>
      </w:r>
      <w:bookmarkEnd w:id="16"/>
      <w:bookmarkEnd w:id="17"/>
    </w:p>
    <w:p w:rsidR="00A327F1" w:rsidRPr="0001550C" w:rsidRDefault="00A327F1" w:rsidP="00A327F1">
      <w:pPr>
        <w:pStyle w:val="BTEMEASMCA"/>
      </w:pPr>
    </w:p>
    <w:p w:rsidR="00A327F1" w:rsidRPr="000164F1" w:rsidRDefault="00A327F1" w:rsidP="00A327F1">
      <w:pPr>
        <w:pStyle w:val="BTEMEASMCA"/>
      </w:pPr>
      <w:r w:rsidRPr="00D56CD3">
        <w:t>Padidėjęs jautrumas veikliajai arba bet kuriai</w:t>
      </w:r>
      <w:r w:rsidRPr="00006311">
        <w:t xml:space="preserve"> 6.1 skyriuje nurodytai pagalbinei medžiagai.</w:t>
      </w:r>
    </w:p>
    <w:p w:rsidR="00A327F1" w:rsidRPr="006D3413" w:rsidRDefault="00A327F1" w:rsidP="00A327F1">
      <w:pPr>
        <w:pStyle w:val="BTEMEASMCA"/>
      </w:pPr>
    </w:p>
    <w:p w:rsidR="00A327F1" w:rsidRPr="00F600A8" w:rsidRDefault="00A327F1" w:rsidP="00A327F1">
      <w:pPr>
        <w:pStyle w:val="PI-2EMEASMCA"/>
      </w:pPr>
      <w:bookmarkStart w:id="18" w:name="_Toc129243230"/>
      <w:bookmarkStart w:id="19" w:name="_Toc129243105"/>
      <w:r w:rsidRPr="00F600A8">
        <w:t>4.4</w:t>
      </w:r>
      <w:r w:rsidRPr="00F600A8">
        <w:tab/>
        <w:t>Specialūs įspėjimai ir atsargumo priemonės</w:t>
      </w:r>
      <w:bookmarkEnd w:id="18"/>
      <w:bookmarkEnd w:id="19"/>
    </w:p>
    <w:p w:rsidR="00A327F1" w:rsidRPr="0001550C" w:rsidRDefault="00A327F1" w:rsidP="00A327F1">
      <w:pPr>
        <w:pStyle w:val="BTEMEASMCA"/>
      </w:pPr>
    </w:p>
    <w:p w:rsidR="00A327F1" w:rsidRPr="00D56CD3" w:rsidRDefault="00A327F1" w:rsidP="00A327F1">
      <w:pPr>
        <w:pStyle w:val="BTEMEASMCA"/>
      </w:pPr>
      <w:r w:rsidRPr="00750BE0">
        <w:t>Savižudybė</w:t>
      </w:r>
      <w:r w:rsidRPr="002F3A66">
        <w:t>, mintys apie savižudybę arba klinikinės būsenos pablogėjimas</w:t>
      </w:r>
    </w:p>
    <w:p w:rsidR="00A327F1" w:rsidRPr="00750BE0" w:rsidRDefault="00A327F1" w:rsidP="00A327F1">
      <w:pPr>
        <w:pStyle w:val="BTEMEASMCA"/>
      </w:pPr>
    </w:p>
    <w:p w:rsidR="00A327F1" w:rsidRPr="00006311" w:rsidRDefault="00A327F1" w:rsidP="00A327F1">
      <w:pPr>
        <w:pStyle w:val="BTEMEASMCA"/>
      </w:pPr>
      <w:r w:rsidRPr="002F3A66">
        <w:t xml:space="preserve">Depresija </w:t>
      </w:r>
      <w:r>
        <w:t xml:space="preserve">yra </w:t>
      </w:r>
      <w:r w:rsidRPr="0001550C">
        <w:t>susijusi su padidėjusia minčių apie savižudybę, savęs žalojimo ir savižudybės (su savižudybe susijusio elgesio) rizika. Ji išlieka, kol nepasiekiamas ryškus pagerėjimas. Kliniškai pagerėjimas gali būti nepasiek</w:t>
      </w:r>
      <w:r w:rsidRPr="00750BE0">
        <w:t>tas per kelias gydymo savaites ir pacientą reikia atidžiai stebėti</w:t>
      </w:r>
      <w:r>
        <w:t xml:space="preserve"> tol</w:t>
      </w:r>
      <w:r w:rsidRPr="0001550C">
        <w:t xml:space="preserve">, kol </w:t>
      </w:r>
      <w:r>
        <w:t xml:space="preserve">nepasireikš </w:t>
      </w:r>
      <w:r w:rsidRPr="00750BE0">
        <w:t>pagerėjimas</w:t>
      </w:r>
      <w:r w:rsidRPr="00006311">
        <w:t>. Klinikinė patirtis rodo, kad savižudybės rizika gali padidėti esant pačioms ankstyviausiomis pagerėjimo stadijoms.</w:t>
      </w:r>
    </w:p>
    <w:p w:rsidR="00A327F1" w:rsidRPr="002F3A66" w:rsidRDefault="00A327F1" w:rsidP="00A327F1">
      <w:pPr>
        <w:pStyle w:val="BTEMEASMCA"/>
      </w:pPr>
      <w:r w:rsidRPr="00BF5E43">
        <w:t>Jei prieš gydymą paciento elgesys buvo susijęs su savižudybe ar buvo pastebėta, kad jis turėjo rimtų minčių apie savižudybę, tikimyb</w:t>
      </w:r>
      <w:r w:rsidRPr="006D3413">
        <w:t xml:space="preserve">ė, kad atsiras minčių apie savižudybę ar bus elgiamasi savižudiškai, yra didesnė, todėl gydymo laikotarpiu jį reikia atidžiai stebėti. Atlikus placebu kontroliuojamų tyrimų, per kuriuos vaistiniais preparatais nuo depresijos buvo gydomi suaugę psichikos sutrikimų turintys žmonės, metaanalizę, nustatyta, kad jaunesniems kaip 25 metų antidepresantų vartojusiems pacientams, palyginti su placebo vartojusiais </w:t>
      </w:r>
      <w:r>
        <w:t>pacientais</w:t>
      </w:r>
      <w:r w:rsidRPr="0001550C">
        <w:t>, p</w:t>
      </w:r>
      <w:r w:rsidRPr="00750BE0">
        <w:t>adidėjo su savižudybe susijusio elgesio rizika.</w:t>
      </w:r>
    </w:p>
    <w:p w:rsidR="00A327F1" w:rsidRPr="00750BE0" w:rsidRDefault="00A327F1" w:rsidP="00A327F1">
      <w:pPr>
        <w:pStyle w:val="BTEMEASMCA"/>
      </w:pPr>
      <w:r w:rsidRPr="00D56CD3">
        <w:t>G</w:t>
      </w:r>
      <w:r w:rsidRPr="00006311">
        <w:t>ydymo metu, ypač jo pradžioje bei</w:t>
      </w:r>
      <w:r w:rsidRPr="00BF5E43">
        <w:t xml:space="preserve"> pakeitus dozę, pacientą (ypač tuo atveju, jei yra padidėjusi rizika) būtina atidžiai stebėti. </w:t>
      </w:r>
      <w:r>
        <w:t>Pacientus</w:t>
      </w:r>
      <w:r w:rsidRPr="0001550C">
        <w:t xml:space="preserve">, </w:t>
      </w:r>
      <w:r>
        <w:t xml:space="preserve">jų </w:t>
      </w:r>
      <w:r w:rsidRPr="0001550C">
        <w:t>giminaičius ir artimus draugus reikia perspėti, kad stebėtų, ar būklė</w:t>
      </w:r>
      <w:r w:rsidRPr="00750BE0">
        <w:t xml:space="preserve"> nesunkėja, neatsiranda su savižudybe susijusio elges</w:t>
      </w:r>
      <w:r>
        <w:t>io</w:t>
      </w:r>
      <w:r w:rsidRPr="00750BE0">
        <w:t xml:space="preserve"> ar minčių arba neįprastų elgesio pokyčių, o pastebėjus tokius pasikeitimus, </w:t>
      </w:r>
      <w:r>
        <w:t xml:space="preserve">turi </w:t>
      </w:r>
      <w:r w:rsidRPr="0001550C">
        <w:t>nedels</w:t>
      </w:r>
      <w:r>
        <w:t>iant</w:t>
      </w:r>
      <w:r w:rsidRPr="00750BE0">
        <w:t xml:space="preserve"> kreipt</w:t>
      </w:r>
      <w:r>
        <w:t>i</w:t>
      </w:r>
      <w:r w:rsidRPr="00750BE0">
        <w:t>s</w:t>
      </w:r>
      <w:r w:rsidRPr="00D56CD3">
        <w:t xml:space="preserve"> į </w:t>
      </w:r>
      <w:r>
        <w:t>gydytoją</w:t>
      </w:r>
      <w:r w:rsidRPr="0001550C">
        <w:t>.</w:t>
      </w:r>
    </w:p>
    <w:p w:rsidR="00A327F1" w:rsidRPr="002F3A66" w:rsidRDefault="00A327F1" w:rsidP="00A327F1">
      <w:pPr>
        <w:pStyle w:val="BTEMEASMCA"/>
        <w:rPr>
          <w:highlight w:val="yellow"/>
        </w:rPr>
      </w:pPr>
    </w:p>
    <w:p w:rsidR="00A327F1" w:rsidRPr="00750BE0" w:rsidRDefault="00A327F1" w:rsidP="00A327F1">
      <w:pPr>
        <w:pStyle w:val="BTEMEASMCA"/>
      </w:pPr>
      <w:r w:rsidRPr="00D56CD3">
        <w:t>J</w:t>
      </w:r>
      <w:r w:rsidRPr="00006311">
        <w:t xml:space="preserve">eigu reikia sukelti bendrąją anesteziją, apie vaistinio preparato vartojimą būtina įspėti anesteziologą, kadangi gydymą šiuo </w:t>
      </w:r>
      <w:r>
        <w:t xml:space="preserve">vaistiniu </w:t>
      </w:r>
      <w:r w:rsidRPr="0001550C">
        <w:t xml:space="preserve">preparatu reikėtų nutraukti likus 24-48 valandoms iki operacijos. </w:t>
      </w:r>
    </w:p>
    <w:p w:rsidR="00A327F1" w:rsidRPr="002F3A66" w:rsidRDefault="00A327F1" w:rsidP="00A327F1">
      <w:pPr>
        <w:pStyle w:val="BTEMEASMCA"/>
      </w:pPr>
      <w:r w:rsidRPr="002F3A66">
        <w:t xml:space="preserve">Skubiu atveju </w:t>
      </w:r>
      <w:r>
        <w:t>pacientą</w:t>
      </w:r>
      <w:r w:rsidRPr="0001550C">
        <w:t xml:space="preserve"> </w:t>
      </w:r>
      <w:r w:rsidRPr="00750BE0">
        <w:t>galima operuoti ir netaikant vaist</w:t>
      </w:r>
      <w:r w:rsidRPr="002F3A66">
        <w:t xml:space="preserve">inio preparato nevartojimo laikotarpio, tačiau perioperaciniu laikotarpiu būtina jį prižiūrėti.  </w:t>
      </w:r>
    </w:p>
    <w:p w:rsidR="00A327F1" w:rsidRPr="00D56CD3" w:rsidRDefault="00A327F1" w:rsidP="00A327F1">
      <w:pPr>
        <w:pStyle w:val="BTEMEASMCA"/>
      </w:pPr>
    </w:p>
    <w:p w:rsidR="00A327F1" w:rsidRPr="000164F1" w:rsidRDefault="00A327F1" w:rsidP="00A327F1">
      <w:pPr>
        <w:pStyle w:val="BTEMEASMCA"/>
      </w:pPr>
      <w:r w:rsidRPr="00F06742">
        <w:t>Piktnaudžiavimas ar priklausomybė ir vartojimo nutraukimo sindromas</w:t>
      </w:r>
    </w:p>
    <w:p w:rsidR="00A327F1" w:rsidRPr="006D3413" w:rsidRDefault="00A327F1" w:rsidP="00A327F1">
      <w:pPr>
        <w:pStyle w:val="BTEMEASMCA"/>
      </w:pPr>
    </w:p>
    <w:p w:rsidR="00A327F1" w:rsidRDefault="00A327F1" w:rsidP="00A327F1">
      <w:pPr>
        <w:pStyle w:val="BTEMEASMCA"/>
      </w:pPr>
      <w:r w:rsidRPr="006D3413">
        <w:t>Jeigu žinoma, kad pacientas yra priklausomas nuo narkotikų arba alkoholio, jį reikia labai atidžiai stebėti siekiant išvengti dozės didinimo.</w:t>
      </w:r>
    </w:p>
    <w:p w:rsidR="00A327F1" w:rsidRDefault="00A327F1" w:rsidP="00A327F1">
      <w:pPr>
        <w:pStyle w:val="BTEMEASMCA"/>
      </w:pPr>
    </w:p>
    <w:p w:rsidR="00A327F1" w:rsidRDefault="00A327F1" w:rsidP="00A327F1">
      <w:pPr>
        <w:autoSpaceDE w:val="0"/>
        <w:autoSpaceDN w:val="0"/>
        <w:adjustRightInd w:val="0"/>
        <w:spacing w:after="0" w:line="240" w:lineRule="auto"/>
        <w:rPr>
          <w:rFonts w:ascii="Times New Roman" w:eastAsiaTheme="minorHAnsi" w:hAnsi="Times New Roman" w:cstheme="minorBidi"/>
          <w:iCs/>
          <w:noProof/>
        </w:rPr>
      </w:pPr>
      <w:r w:rsidRPr="00F06742">
        <w:rPr>
          <w:rFonts w:ascii="Times New Roman" w:eastAsiaTheme="minorHAnsi" w:hAnsi="Times New Roman" w:cstheme="minorBidi"/>
          <w:iCs/>
          <w:noProof/>
        </w:rPr>
        <w:t xml:space="preserve">Nutraukus gydymą tianeptinu, kai kuriems pacientams atsirado vartojimo nutraukimo simptomų. Buvo pastebėti tokie reiškiniai: nerimas, raumenų skausmas, pilvo skausmas, nemiga, sąnarių skausmas. Pradedant gydymą pacientui reikia nurodyti, kad nutraukus vaisto vartojimą, kyla vartojimo nutraukimo simptomų atsiradimo rizika. </w:t>
      </w:r>
    </w:p>
    <w:p w:rsidR="00A327F1" w:rsidRPr="00F06742" w:rsidRDefault="00A327F1" w:rsidP="00A327F1">
      <w:pPr>
        <w:autoSpaceDE w:val="0"/>
        <w:autoSpaceDN w:val="0"/>
        <w:adjustRightInd w:val="0"/>
        <w:spacing w:after="0" w:line="240" w:lineRule="auto"/>
        <w:rPr>
          <w:rFonts w:ascii="Times New Roman" w:eastAsiaTheme="minorHAnsi" w:hAnsi="Times New Roman" w:cstheme="minorBidi"/>
          <w:iCs/>
          <w:noProof/>
        </w:rPr>
      </w:pPr>
    </w:p>
    <w:p w:rsidR="00A327F1" w:rsidRPr="006D3413" w:rsidRDefault="00A327F1" w:rsidP="00A327F1">
      <w:pPr>
        <w:pStyle w:val="BTEMEASMCA"/>
      </w:pPr>
      <w:r w:rsidRPr="00F06742">
        <w:t>Jeigu gydymą reikia nutraukti, kad vartojimo nutraukimo simptomų atsiradimo rizika būtų mažesnė, dozę reikia mažinti palaipsniui per 7–14 dienų laikotarpį (žr. 4.2 skyrių).</w:t>
      </w:r>
    </w:p>
    <w:p w:rsidR="00A327F1" w:rsidRPr="006D3413" w:rsidRDefault="00A327F1" w:rsidP="00A327F1">
      <w:pPr>
        <w:pStyle w:val="BTEMEASMCA"/>
      </w:pPr>
    </w:p>
    <w:p w:rsidR="00A327F1" w:rsidRPr="002F3A66" w:rsidRDefault="00A327F1" w:rsidP="00A327F1">
      <w:pPr>
        <w:pStyle w:val="BTEMEASMCA"/>
      </w:pPr>
      <w:r w:rsidRPr="006D3413">
        <w:t>Kaip ir gydant kitais psichotropiniais vaistiniais preparatais, COAXIL vartoj</w:t>
      </w:r>
      <w:r>
        <w:t>imo laikotarpiu</w:t>
      </w:r>
      <w:r w:rsidRPr="00750BE0">
        <w:t xml:space="preserve"> alkoholio </w:t>
      </w:r>
      <w:r>
        <w:t>vartoti</w:t>
      </w:r>
      <w:r w:rsidRPr="0001550C">
        <w:t xml:space="preserve"> </w:t>
      </w:r>
      <w:r w:rsidRPr="00750BE0">
        <w:t>draudžiama.</w:t>
      </w:r>
    </w:p>
    <w:p w:rsidR="00A327F1" w:rsidRPr="00D56CD3" w:rsidRDefault="00A327F1" w:rsidP="00A327F1">
      <w:pPr>
        <w:pStyle w:val="BTEMEASMCA"/>
      </w:pPr>
    </w:p>
    <w:p w:rsidR="00A327F1" w:rsidRDefault="00A327F1" w:rsidP="00A327F1">
      <w:pPr>
        <w:pStyle w:val="BTEMEASMCA"/>
      </w:pPr>
      <w:r w:rsidRPr="00444CB1">
        <w:t>Vartojimas kartu su MAO inhibitoriais yra nerekomenduojamas: tarp gydymo MAO inhibitoriais ir gydymo tianeptinu turi būti dviejų savaičių pasišalinimo iš organizmo laikotarpis. Vietoj tianeptino pradedant vartoti MAO inhibitorių, reikia tik 24 valandų pasišalinimo iš organizmo laikotarpio.</w:t>
      </w:r>
    </w:p>
    <w:p w:rsidR="00A327F1" w:rsidRDefault="00A327F1" w:rsidP="00A327F1">
      <w:pPr>
        <w:pStyle w:val="BTEMEASMCA"/>
      </w:pPr>
    </w:p>
    <w:p w:rsidR="00A327F1" w:rsidRPr="00EC140D" w:rsidRDefault="00A327F1" w:rsidP="00A327F1">
      <w:pPr>
        <w:autoSpaceDE w:val="0"/>
        <w:autoSpaceDN w:val="0"/>
        <w:adjustRightInd w:val="0"/>
        <w:spacing w:after="0" w:line="240" w:lineRule="auto"/>
        <w:rPr>
          <w:rFonts w:ascii="Times New Roman" w:eastAsiaTheme="minorHAnsi" w:hAnsi="Times New Roman" w:cstheme="minorBidi"/>
          <w:iCs/>
          <w:noProof/>
        </w:rPr>
      </w:pPr>
      <w:r w:rsidRPr="00EC140D">
        <w:rPr>
          <w:rFonts w:ascii="Times New Roman" w:eastAsiaTheme="minorHAnsi" w:hAnsi="Times New Roman" w:cstheme="minorBidi"/>
          <w:iCs/>
          <w:noProof/>
        </w:rPr>
        <w:t xml:space="preserve">Hiponatremija </w:t>
      </w:r>
    </w:p>
    <w:p w:rsidR="00A327F1" w:rsidRDefault="00A327F1" w:rsidP="00A327F1">
      <w:pPr>
        <w:pStyle w:val="BTEMEASMCA"/>
      </w:pPr>
      <w:r w:rsidRPr="00EC140D">
        <w:lastRenderedPageBreak/>
        <w:t>Gauta pranešimų apie tianeptino vartojusiems pacientams nustatytą hiponatremiją, kuri greičiausiai pasireiškė dėl sutrikusios antidiurezinio hormono sekrecijos (SADHS) sindromo. Dauguma atvejų pasireiškė senyviems pacientams, ypač kai tai buvo susiję su neseniai pasireiškusiu skysčių pusiausvyros sutrikimu arba būkle, skatinančia skysčių pusiausvyros sutrikimo atsiradimą. Gydant pacientus, kuriems yra padidėjusi hiponatremijos rizika, pavyzdžiui, senyvus ar ciroze sergančius pacientus arba pacientus, kuriems pasireiškė dehidratacija ar kurie yra gydomi diuretikais, reikia imtis atsargumo priemonių.</w:t>
      </w:r>
    </w:p>
    <w:p w:rsidR="00A327F1" w:rsidRPr="006D3413" w:rsidRDefault="00A327F1" w:rsidP="00A327F1">
      <w:pPr>
        <w:pStyle w:val="BTEMEASMCA"/>
      </w:pPr>
    </w:p>
    <w:p w:rsidR="00A327F1" w:rsidRPr="006D3413" w:rsidRDefault="00A327F1" w:rsidP="00A327F1">
      <w:pPr>
        <w:pStyle w:val="BTEMEASMCA"/>
      </w:pPr>
      <w:r w:rsidRPr="00444CB1">
        <w:rPr>
          <w:u w:val="single"/>
        </w:rPr>
        <w:t>Vaikų populiacija</w:t>
      </w:r>
    </w:p>
    <w:p w:rsidR="00A327F1" w:rsidRDefault="00A327F1" w:rsidP="00A327F1">
      <w:pPr>
        <w:pStyle w:val="BTEMEASMCA"/>
      </w:pPr>
      <w:r w:rsidRPr="006D3413">
        <w:t>Jaunesniems nei 18 metų depresija sergantiems pacientams gydyti tianeptinas nerekomenduojamas, nes jo saugumas ir veiksmingumas tokio amžiaus grupei nėra nustatytas</w:t>
      </w:r>
      <w:r>
        <w:t xml:space="preserve"> (žr. 4.2 sk.)</w:t>
      </w:r>
      <w:r w:rsidRPr="0001550C">
        <w:t>. Atliekant klinikinius tyrimus su vaikais ir paaugliais, kurie buvo gydomi kitais antidepresantais</w:t>
      </w:r>
      <w:r>
        <w:t>,</w:t>
      </w:r>
      <w:r w:rsidRPr="0001550C">
        <w:t xml:space="preserve"> daug daž</w:t>
      </w:r>
      <w:r w:rsidRPr="00750BE0">
        <w:t>niau nei skiriant placebo</w:t>
      </w:r>
      <w:r w:rsidRPr="00D56CD3">
        <w:t xml:space="preserve"> buvo stebimas su savižudybe susijęs elgesys (bandymai nusižudyti ir mintys apie savižudybę), priešiškumas (dažniausiai agresija, priešiškas elgesys ir pyktis).</w:t>
      </w:r>
    </w:p>
    <w:p w:rsidR="00A327F1" w:rsidRDefault="00A327F1" w:rsidP="00A327F1">
      <w:pPr>
        <w:pStyle w:val="BTEMEASMCA"/>
      </w:pPr>
    </w:p>
    <w:p w:rsidR="00A327F1" w:rsidRPr="0001550C" w:rsidRDefault="00A327F1" w:rsidP="00A327F1">
      <w:pPr>
        <w:pStyle w:val="BTEMEASMCA"/>
      </w:pPr>
      <w:r w:rsidRPr="00BE73C4">
        <w:t>Vaistinio preparato sudėtyje yra sacharozės. Šio vaistinio preparato negalima skirti pacientams, kuriems nustatytas fruktozės netoleravimas, gliukozės ir galaktozės malabsorbcija arba sacharazės ir izomaltazės stygius (reti paveldimi sutrikimai).</w:t>
      </w:r>
    </w:p>
    <w:p w:rsidR="00A327F1" w:rsidRDefault="00A327F1" w:rsidP="00A327F1">
      <w:pPr>
        <w:pStyle w:val="BTEMEASMCA"/>
      </w:pPr>
      <w:bookmarkStart w:id="20" w:name="_Hlk506890179"/>
    </w:p>
    <w:p w:rsidR="00A327F1" w:rsidRPr="000A0E06" w:rsidRDefault="00A327F1" w:rsidP="00A327F1">
      <w:pPr>
        <w:pStyle w:val="BTEMEASMCA"/>
      </w:pPr>
      <w:r w:rsidRPr="000A0E06">
        <w:t>Sudėtyje yra natrio</w:t>
      </w:r>
    </w:p>
    <w:p w:rsidR="00A327F1" w:rsidRDefault="00A327F1" w:rsidP="00A327F1">
      <w:pPr>
        <w:pStyle w:val="BTEMEASMCA"/>
      </w:pPr>
      <w:r>
        <w:t>Vienoje šio vaistinio preparato dengtoje tabletėje yra mažiau kaip 1 mml natrio (23 mg), t. y. jis beveik neturi reikšmės.</w:t>
      </w:r>
      <w:bookmarkEnd w:id="20"/>
    </w:p>
    <w:p w:rsidR="00A327F1" w:rsidRPr="00750BE0" w:rsidRDefault="00A327F1" w:rsidP="00A327F1">
      <w:pPr>
        <w:pStyle w:val="BTEMEASMCA"/>
      </w:pPr>
    </w:p>
    <w:p w:rsidR="00A327F1" w:rsidRPr="00F600A8" w:rsidRDefault="00A327F1" w:rsidP="00A327F1">
      <w:pPr>
        <w:pStyle w:val="PI-2EMEASMCA"/>
      </w:pPr>
      <w:bookmarkStart w:id="21" w:name="_Toc129243231"/>
      <w:bookmarkStart w:id="22" w:name="_Toc129243106"/>
      <w:r w:rsidRPr="00F600A8">
        <w:t>4.5</w:t>
      </w:r>
      <w:r w:rsidRPr="00F600A8">
        <w:tab/>
        <w:t>Sąveika su kitais vaistiniais preparatais ir kitokia sąveika</w:t>
      </w:r>
      <w:bookmarkEnd w:id="21"/>
      <w:bookmarkEnd w:id="22"/>
    </w:p>
    <w:p w:rsidR="00A327F1" w:rsidRPr="0001550C" w:rsidRDefault="00A327F1" w:rsidP="00A327F1">
      <w:pPr>
        <w:pStyle w:val="BTEMEASMCA"/>
      </w:pPr>
    </w:p>
    <w:p w:rsidR="00A327F1" w:rsidRPr="002F3A66" w:rsidRDefault="00A327F1" w:rsidP="00A327F1">
      <w:pPr>
        <w:pStyle w:val="BTEMEASMCA"/>
      </w:pPr>
      <w:r>
        <w:t>K</w:t>
      </w:r>
      <w:r w:rsidRPr="00750BE0">
        <w:t xml:space="preserve">artu su </w:t>
      </w:r>
      <w:r w:rsidRPr="002F3A66">
        <w:t>negrįžtamo poveikio MAO inhibitoriais (iproniazidu)</w:t>
      </w:r>
      <w:r>
        <w:t xml:space="preserve"> Coaxil vartoti nepatartina dėl</w:t>
      </w:r>
      <w:r w:rsidRPr="00750BE0">
        <w:t xml:space="preserve"> širdies ir kraujagyslių kolapso arba paroksizminės hipertenzijos, hipertermijos ir traukulių rizik</w:t>
      </w:r>
      <w:r>
        <w:t>os</w:t>
      </w:r>
      <w:r w:rsidRPr="00750BE0">
        <w:t xml:space="preserve">, </w:t>
      </w:r>
      <w:r>
        <w:t xml:space="preserve">taip pat </w:t>
      </w:r>
      <w:r w:rsidRPr="0001550C">
        <w:t>gali ištikti mirtis</w:t>
      </w:r>
      <w:r w:rsidRPr="00750BE0">
        <w:t>.</w:t>
      </w:r>
    </w:p>
    <w:p w:rsidR="00A327F1" w:rsidRPr="00D56CD3" w:rsidRDefault="00A327F1" w:rsidP="00A327F1">
      <w:pPr>
        <w:pStyle w:val="BTEMEASMCA"/>
      </w:pPr>
    </w:p>
    <w:p w:rsidR="00A327F1" w:rsidRPr="006F3CAC" w:rsidRDefault="00A327F1" w:rsidP="00A327F1">
      <w:pPr>
        <w:pStyle w:val="PI-2EMEASMCA"/>
      </w:pPr>
      <w:bookmarkStart w:id="23" w:name="_Toc129243232"/>
      <w:bookmarkStart w:id="24" w:name="_Toc129243107"/>
      <w:r w:rsidRPr="00F600A8">
        <w:t>4.6</w:t>
      </w:r>
      <w:r w:rsidRPr="00F600A8">
        <w:tab/>
        <w:t>Vaisingumas, nėštumo ir žindymo laikotarpis</w:t>
      </w:r>
      <w:bookmarkEnd w:id="23"/>
      <w:bookmarkEnd w:id="24"/>
    </w:p>
    <w:p w:rsidR="00A327F1" w:rsidRPr="0001550C" w:rsidRDefault="00A327F1" w:rsidP="00A327F1">
      <w:pPr>
        <w:pStyle w:val="BTEMEASMCA"/>
      </w:pPr>
    </w:p>
    <w:p w:rsidR="00A327F1" w:rsidRPr="003F024C" w:rsidRDefault="00A327F1" w:rsidP="00A327F1">
      <w:pPr>
        <w:pStyle w:val="BTEMEASMCA"/>
        <w:rPr>
          <w:u w:val="single"/>
        </w:rPr>
      </w:pPr>
      <w:r w:rsidRPr="003F024C">
        <w:rPr>
          <w:u w:val="single"/>
        </w:rPr>
        <w:t>Nėštumas</w:t>
      </w:r>
    </w:p>
    <w:p w:rsidR="00A327F1" w:rsidRPr="00444CB1" w:rsidRDefault="00A327F1" w:rsidP="00A327F1">
      <w:pPr>
        <w:pStyle w:val="BTEMEASMCA"/>
      </w:pPr>
      <w:r w:rsidRPr="00444CB1">
        <w:t>Remiantis perinatalinių ir postnatalinių tyrimų duomenimis, padaugėjo vaisiaus žuvimo po implantacijos ir žuvimo po atsivedimo atvejų, vartojant toksiškas dozes žiurkių patelėms (žr. 5.3 skyrių). Duomenų apie tianeptino vartojimą moterims nėštumo metu nėra arba jų yra nedaug (duomenų yra mažiau kaip apie 300 nėštumų baigčių).</w:t>
      </w:r>
    </w:p>
    <w:p w:rsidR="00A327F1" w:rsidRPr="00444CB1" w:rsidRDefault="00A327F1" w:rsidP="00A327F1">
      <w:pPr>
        <w:pStyle w:val="BTEMEASMCA"/>
      </w:pPr>
    </w:p>
    <w:p w:rsidR="00A327F1" w:rsidRPr="00444CB1" w:rsidRDefault="00A327F1" w:rsidP="00A327F1">
      <w:pPr>
        <w:pStyle w:val="BTEMEASMCA"/>
      </w:pPr>
      <w:r w:rsidRPr="00444CB1">
        <w:t xml:space="preserve">Geriausia nėštumo metu tianeptino nevartoti. Tačiau patartina visais nėštumo laikotarpiais išlaikyti subalansuotą motinos psichinę pusiausvyrą. Jeigu šiai pusiausvyrai išlaikyti yra būtinas gydymas tianeptinu, gydymą reikia pradėti arba tęsti per visą nėštumą reikiama doze ir, jeigu įmanoma, skirti monoterapiją, o stebint naujagimį, atsižvelgti į molekules farmakologines savybes . </w:t>
      </w:r>
    </w:p>
    <w:p w:rsidR="00A327F1" w:rsidRPr="00BF5E43" w:rsidRDefault="00A327F1" w:rsidP="00A327F1">
      <w:pPr>
        <w:pStyle w:val="BTEMEASMCA"/>
      </w:pPr>
    </w:p>
    <w:p w:rsidR="00A327F1" w:rsidRPr="003F024C" w:rsidRDefault="00A327F1" w:rsidP="00A327F1">
      <w:pPr>
        <w:pStyle w:val="BTEMEASMCA"/>
        <w:rPr>
          <w:u w:val="single"/>
        </w:rPr>
      </w:pPr>
      <w:r w:rsidRPr="003F024C">
        <w:rPr>
          <w:u w:val="single"/>
        </w:rPr>
        <w:t xml:space="preserve">Žindymas </w:t>
      </w:r>
    </w:p>
    <w:p w:rsidR="00A327F1" w:rsidRPr="002F3A66" w:rsidRDefault="00A327F1" w:rsidP="00A327F1">
      <w:pPr>
        <w:pStyle w:val="BTEMEASMCA"/>
      </w:pPr>
      <w:r w:rsidRPr="00444CB1">
        <w:t>Vartojant motininėms žiurkių patelėms toksiškas dozes, patelėms pasireiškė laktacijos sutrikimas (žr. 5.3 skyrių).</w:t>
      </w:r>
      <w:r w:rsidRPr="002E19C6">
        <w:t xml:space="preserve"> Triciklių antid</w:t>
      </w:r>
      <w:r w:rsidRPr="00D9366C">
        <w:t xml:space="preserve">epresantų į motinos pieną patenka, todėl </w:t>
      </w:r>
      <w:r w:rsidRPr="00FE23FD">
        <w:t xml:space="preserve">vartojant </w:t>
      </w:r>
      <w:r w:rsidRPr="005408C5">
        <w:t>COAXIL</w:t>
      </w:r>
      <w:r w:rsidRPr="00D57058">
        <w:t>, kūdikio</w:t>
      </w:r>
      <w:r w:rsidRPr="002F3A66">
        <w:t xml:space="preserve"> krūtimi maitinti nerekomenduojama.</w:t>
      </w:r>
    </w:p>
    <w:p w:rsidR="00A327F1" w:rsidRPr="00D56CD3" w:rsidRDefault="00A327F1" w:rsidP="00A327F1">
      <w:pPr>
        <w:pStyle w:val="BTEMEASMCA"/>
      </w:pPr>
    </w:p>
    <w:p w:rsidR="00A327F1" w:rsidRPr="003F024C" w:rsidRDefault="00A327F1" w:rsidP="00A327F1">
      <w:pPr>
        <w:pStyle w:val="BTEMEASMCA"/>
        <w:rPr>
          <w:u w:val="single"/>
        </w:rPr>
      </w:pPr>
      <w:r w:rsidRPr="003F024C">
        <w:rPr>
          <w:u w:val="single"/>
        </w:rPr>
        <w:t>Vaisingumas</w:t>
      </w:r>
    </w:p>
    <w:p w:rsidR="00A327F1" w:rsidRPr="00444CB1" w:rsidRDefault="00A327F1" w:rsidP="00A327F1">
      <w:pPr>
        <w:tabs>
          <w:tab w:val="left" w:pos="426"/>
          <w:tab w:val="left" w:pos="480"/>
        </w:tabs>
        <w:rPr>
          <w:rFonts w:ascii="Times New Roman" w:hAnsi="Times New Roman"/>
          <w:lang w:val="lt-LT"/>
        </w:rPr>
      </w:pPr>
      <w:r w:rsidRPr="00444CB1">
        <w:rPr>
          <w:rFonts w:ascii="Times New Roman" w:hAnsi="Times New Roman"/>
          <w:lang w:val="lt-LT"/>
        </w:rPr>
        <w:t>Vaisingumo tyrimai su žiurkėmis atskleidė, kad vartojant motininėms patelėms toksiškas dozes, sumažėjo reprodukcinės savybės (padaugėjo persileidimų po implantacijos).</w:t>
      </w:r>
    </w:p>
    <w:p w:rsidR="00A327F1" w:rsidRPr="00D56CD3" w:rsidRDefault="00A327F1" w:rsidP="00A327F1">
      <w:pPr>
        <w:pStyle w:val="BTEMEASMCA"/>
      </w:pPr>
      <w:r w:rsidRPr="00D56CD3">
        <w:t>Klinikinių duomenų su žmonėmis nėra.</w:t>
      </w:r>
    </w:p>
    <w:p w:rsidR="00A327F1" w:rsidRPr="00BF5E43" w:rsidRDefault="00A327F1" w:rsidP="00A327F1">
      <w:pPr>
        <w:pStyle w:val="BTEMEASMCA"/>
      </w:pPr>
    </w:p>
    <w:p w:rsidR="00A327F1" w:rsidRPr="00F600A8" w:rsidRDefault="00A327F1" w:rsidP="00A327F1">
      <w:pPr>
        <w:pStyle w:val="PI-2EMEASMCA"/>
      </w:pPr>
      <w:bookmarkStart w:id="25" w:name="_Toc129243233"/>
      <w:bookmarkStart w:id="26" w:name="_Toc129243108"/>
      <w:r w:rsidRPr="00F600A8">
        <w:t>4.7</w:t>
      </w:r>
      <w:r w:rsidRPr="00F600A8">
        <w:tab/>
        <w:t>Poveikis gebėjimui vairuoti ir valdyti mechanizmus</w:t>
      </w:r>
      <w:bookmarkEnd w:id="25"/>
      <w:bookmarkEnd w:id="26"/>
    </w:p>
    <w:p w:rsidR="00A327F1" w:rsidRPr="0001550C" w:rsidRDefault="00A327F1" w:rsidP="00A327F1">
      <w:pPr>
        <w:pStyle w:val="BTEMEASMCA"/>
      </w:pPr>
    </w:p>
    <w:p w:rsidR="00A327F1" w:rsidRPr="00750BE0" w:rsidRDefault="00A327F1" w:rsidP="00A327F1">
      <w:pPr>
        <w:pStyle w:val="BTEMEASMCA"/>
      </w:pPr>
      <w:r w:rsidRPr="00750BE0">
        <w:lastRenderedPageBreak/>
        <w:t xml:space="preserve">Dalis pacientų gali jausti budrumo sumažėjimą. Vairuojančius ar mechanizmus valdančius pacientus būtina įspėti, </w:t>
      </w:r>
      <w:r w:rsidRPr="002F3A66">
        <w:t>kad vaist</w:t>
      </w:r>
      <w:r>
        <w:t>inis preparat</w:t>
      </w:r>
      <w:r w:rsidRPr="0001550C">
        <w:t>as gali sukelti mieguistumą. Gydymo COAXIL pradžioje vairuoti arba valdyti mechanizmus draudžiama, ribojimo trukmė priklauso nuo poveikio.</w:t>
      </w:r>
    </w:p>
    <w:p w:rsidR="00A327F1" w:rsidRPr="002F3A66" w:rsidRDefault="00A327F1" w:rsidP="00A327F1">
      <w:pPr>
        <w:pStyle w:val="BTEMEASMCA"/>
      </w:pPr>
    </w:p>
    <w:p w:rsidR="00A327F1" w:rsidRPr="00F600A8" w:rsidRDefault="00A327F1" w:rsidP="00A327F1">
      <w:pPr>
        <w:pStyle w:val="PI-2EMEASMCA"/>
      </w:pPr>
      <w:bookmarkStart w:id="27" w:name="_Toc129243234"/>
      <w:bookmarkStart w:id="28" w:name="_Toc129243109"/>
      <w:r w:rsidRPr="00F600A8">
        <w:t>4.8</w:t>
      </w:r>
      <w:r w:rsidRPr="00F600A8">
        <w:tab/>
        <w:t>Nepageidaujamas poveikis</w:t>
      </w:r>
      <w:bookmarkEnd w:id="27"/>
      <w:bookmarkEnd w:id="28"/>
    </w:p>
    <w:p w:rsidR="00A327F1" w:rsidRPr="0001550C" w:rsidRDefault="00A327F1" w:rsidP="00A327F1">
      <w:pPr>
        <w:pStyle w:val="BTEMEASMCA"/>
      </w:pPr>
    </w:p>
    <w:p w:rsidR="00A327F1" w:rsidRPr="005A22AE" w:rsidRDefault="00A327F1" w:rsidP="00A327F1">
      <w:pPr>
        <w:pStyle w:val="BTEMEASMCA"/>
        <w:rPr>
          <w:u w:val="single"/>
        </w:rPr>
      </w:pPr>
      <w:r w:rsidRPr="005A22AE">
        <w:rPr>
          <w:u w:val="single"/>
        </w:rPr>
        <w:t>Saugumo duomenų santrauka</w:t>
      </w:r>
    </w:p>
    <w:p w:rsidR="00A327F1" w:rsidRPr="00D56CD3" w:rsidRDefault="00A327F1" w:rsidP="00A327F1">
      <w:pPr>
        <w:pStyle w:val="BTEMEASMCA"/>
      </w:pPr>
      <w:r w:rsidRPr="0001550C">
        <w:t xml:space="preserve">Tianeptino </w:t>
      </w:r>
      <w:r>
        <w:t>nepageidaujamas</w:t>
      </w:r>
      <w:r w:rsidRPr="0001550C">
        <w:t xml:space="preserve"> </w:t>
      </w:r>
      <w:r w:rsidRPr="00750BE0">
        <w:t>poveikis, apie kurį gauta pra</w:t>
      </w:r>
      <w:r w:rsidRPr="002F3A66">
        <w:t>nešimų iš klinikinių tyrimų, yra nedidelio intensyvumo. Tai dažniausiai yra pykinimas, vidurių užkietėjimas, pilvo skausmas, mieguistumas, galvos sk</w:t>
      </w:r>
      <w:r w:rsidRPr="00D56CD3">
        <w:t>ausmas, burnos džiūvimas ir galvos svaigimas.</w:t>
      </w:r>
    </w:p>
    <w:p w:rsidR="00A327F1" w:rsidRPr="00BF5E43" w:rsidRDefault="00A327F1" w:rsidP="00A327F1">
      <w:pPr>
        <w:pStyle w:val="BTEMEASMCA"/>
      </w:pPr>
    </w:p>
    <w:p w:rsidR="00A327F1" w:rsidRPr="00070E60" w:rsidRDefault="00A327F1" w:rsidP="00A327F1">
      <w:pPr>
        <w:pStyle w:val="BTEMEASMCA"/>
        <w:rPr>
          <w:u w:val="single"/>
        </w:rPr>
      </w:pPr>
      <w:r w:rsidRPr="00070E60">
        <w:rPr>
          <w:u w:val="single"/>
        </w:rPr>
        <w:t>Nepageidaujamų reakcijų santrauka lentelėje</w:t>
      </w:r>
    </w:p>
    <w:p w:rsidR="00A327F1" w:rsidRDefault="00A327F1" w:rsidP="00A327F1">
      <w:pPr>
        <w:pStyle w:val="BTEMEASMCA"/>
      </w:pPr>
      <w:r w:rsidRPr="0001550C">
        <w:t>Apie toliau nurody</w:t>
      </w:r>
      <w:r w:rsidRPr="00750BE0">
        <w:t xml:space="preserve">tus nepageidaujamus </w:t>
      </w:r>
      <w:r>
        <w:t>poveikius</w:t>
      </w:r>
      <w:r w:rsidRPr="0001550C">
        <w:t xml:space="preserve"> </w:t>
      </w:r>
      <w:r w:rsidRPr="00750BE0">
        <w:t>buvo pranešta klinikinių tyrimų metu ir</w:t>
      </w:r>
      <w:r w:rsidRPr="00D56CD3">
        <w:t xml:space="preserve"> </w:t>
      </w:r>
      <w:r>
        <w:t>(</w:t>
      </w:r>
      <w:r w:rsidRPr="0001550C">
        <w:t>arba</w:t>
      </w:r>
      <w:r>
        <w:t xml:space="preserve">) po </w:t>
      </w:r>
      <w:r w:rsidRPr="0001550C">
        <w:t xml:space="preserve"> tia</w:t>
      </w:r>
      <w:r>
        <w:t>ne</w:t>
      </w:r>
      <w:r w:rsidRPr="0001550C">
        <w:t>p</w:t>
      </w:r>
      <w:r w:rsidRPr="002F3A66">
        <w:t xml:space="preserve">tino </w:t>
      </w:r>
      <w:r w:rsidRPr="00006311">
        <w:t>pate</w:t>
      </w:r>
      <w:r w:rsidRPr="000164F1">
        <w:t>kimo į rinką</w:t>
      </w:r>
      <w:r w:rsidRPr="006D3413">
        <w:t xml:space="preserve">. </w:t>
      </w:r>
    </w:p>
    <w:p w:rsidR="00A327F1" w:rsidRPr="006D3413" w:rsidRDefault="00A327F1" w:rsidP="00A327F1">
      <w:pPr>
        <w:pStyle w:val="BTEMEASMCA"/>
      </w:pPr>
      <w:r w:rsidRPr="0001550C">
        <w:t xml:space="preserve">Nepageidaujamo poveikio </w:t>
      </w:r>
      <w:r w:rsidRPr="00750BE0">
        <w:t xml:space="preserve">dažnis apibūdinamas taip: labai dažnas (≥ 1/10), dažnas </w:t>
      </w:r>
      <w:r w:rsidRPr="002F3A66">
        <w:t xml:space="preserve">(nuo ≥ 1/100 iki &lt; 1/10), nedažnas (nuo ≥ 1/1000 iki &lt; 1/100), retas (nuo ≥ 1/10000 iki &lt; 1/1000), labai retas (&lt; 1/10000) ir nežinomas (negali būti apskaičiuotas pagal </w:t>
      </w:r>
      <w:r w:rsidRPr="00D56CD3">
        <w:t>turimus duomenis).</w:t>
      </w:r>
    </w:p>
    <w:p w:rsidR="00A327F1" w:rsidRPr="00444CB1" w:rsidRDefault="00A327F1" w:rsidP="00A327F1">
      <w:pPr>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7"/>
        <w:gridCol w:w="1672"/>
        <w:gridCol w:w="4671"/>
      </w:tblGrid>
      <w:tr w:rsidR="00A327F1" w:rsidRPr="00444CB1" w:rsidTr="00A327F1">
        <w:trPr>
          <w:cantSplit/>
          <w:trHeight w:val="70"/>
        </w:trPr>
        <w:tc>
          <w:tcPr>
            <w:tcW w:w="1499" w:type="pct"/>
          </w:tcPr>
          <w:p w:rsidR="00A327F1" w:rsidRPr="00444CB1" w:rsidRDefault="00A327F1" w:rsidP="00A327F1">
            <w:pPr>
              <w:rPr>
                <w:rFonts w:ascii="Times New Roman" w:hAnsi="Times New Roman"/>
              </w:rPr>
            </w:pPr>
            <w:proofErr w:type="spellStart"/>
            <w:r w:rsidRPr="00444CB1">
              <w:rPr>
                <w:rFonts w:ascii="Times New Roman" w:hAnsi="Times New Roman"/>
              </w:rPr>
              <w:t>Organų</w:t>
            </w:r>
            <w:proofErr w:type="spellEnd"/>
            <w:r w:rsidRPr="00444CB1">
              <w:rPr>
                <w:rFonts w:ascii="Times New Roman" w:hAnsi="Times New Roman"/>
              </w:rPr>
              <w:t xml:space="preserve"> </w:t>
            </w:r>
            <w:proofErr w:type="spellStart"/>
            <w:r w:rsidRPr="00444CB1">
              <w:rPr>
                <w:rFonts w:ascii="Times New Roman" w:hAnsi="Times New Roman"/>
              </w:rPr>
              <w:t>sistemų</w:t>
            </w:r>
            <w:proofErr w:type="spellEnd"/>
            <w:r w:rsidRPr="00444CB1">
              <w:rPr>
                <w:rFonts w:ascii="Times New Roman" w:hAnsi="Times New Roman"/>
              </w:rPr>
              <w:t xml:space="preserve"> </w:t>
            </w:r>
            <w:proofErr w:type="spellStart"/>
            <w:r w:rsidRPr="00444CB1">
              <w:rPr>
                <w:rFonts w:ascii="Times New Roman" w:hAnsi="Times New Roman"/>
              </w:rPr>
              <w:t>klasės</w:t>
            </w:r>
            <w:proofErr w:type="spellEnd"/>
          </w:p>
        </w:tc>
        <w:tc>
          <w:tcPr>
            <w:tcW w:w="923" w:type="pct"/>
          </w:tcPr>
          <w:p w:rsidR="00A327F1" w:rsidRPr="00444CB1" w:rsidRDefault="00A327F1" w:rsidP="00A327F1">
            <w:pPr>
              <w:rPr>
                <w:rFonts w:ascii="Times New Roman" w:hAnsi="Times New Roman"/>
              </w:rPr>
            </w:pPr>
            <w:proofErr w:type="spellStart"/>
            <w:r w:rsidRPr="00444CB1">
              <w:rPr>
                <w:rFonts w:ascii="Times New Roman" w:hAnsi="Times New Roman"/>
              </w:rPr>
              <w:t>Dažnis</w:t>
            </w:r>
            <w:proofErr w:type="spellEnd"/>
          </w:p>
        </w:tc>
        <w:tc>
          <w:tcPr>
            <w:tcW w:w="2578" w:type="pct"/>
          </w:tcPr>
          <w:p w:rsidR="00A327F1" w:rsidRPr="00444CB1" w:rsidRDefault="00A327F1" w:rsidP="00A327F1">
            <w:pPr>
              <w:rPr>
                <w:rFonts w:ascii="Times New Roman" w:hAnsi="Times New Roman"/>
              </w:rPr>
            </w:pPr>
            <w:proofErr w:type="spellStart"/>
            <w:r>
              <w:rPr>
                <w:rFonts w:ascii="Times New Roman" w:hAnsi="Times New Roman"/>
              </w:rPr>
              <w:t>Nepageidaujama</w:t>
            </w:r>
            <w:proofErr w:type="spellEnd"/>
            <w:r>
              <w:rPr>
                <w:rFonts w:ascii="Times New Roman" w:hAnsi="Times New Roman"/>
              </w:rPr>
              <w:t xml:space="preserve"> </w:t>
            </w:r>
            <w:proofErr w:type="spellStart"/>
            <w:r>
              <w:rPr>
                <w:rFonts w:ascii="Times New Roman" w:hAnsi="Times New Roman"/>
              </w:rPr>
              <w:t>reakcija</w:t>
            </w:r>
            <w:proofErr w:type="spellEnd"/>
          </w:p>
        </w:tc>
      </w:tr>
      <w:tr w:rsidR="00A327F1" w:rsidRPr="00444CB1" w:rsidTr="00A327F1">
        <w:trPr>
          <w:cantSplit/>
          <w:trHeight w:val="155"/>
        </w:trPr>
        <w:tc>
          <w:tcPr>
            <w:tcW w:w="1499" w:type="pct"/>
            <w:vMerge w:val="restart"/>
          </w:tcPr>
          <w:p w:rsidR="00A327F1" w:rsidRPr="000E7AD5" w:rsidRDefault="00A327F1" w:rsidP="00A327F1">
            <w:pPr>
              <w:pStyle w:val="Pavadinimas"/>
              <w:jc w:val="left"/>
              <w:rPr>
                <w:sz w:val="22"/>
                <w:szCs w:val="22"/>
                <w:lang w:val="lt-LT" w:eastAsia="zh-CN"/>
              </w:rPr>
            </w:pPr>
            <w:r w:rsidRPr="00F600A8">
              <w:rPr>
                <w:sz w:val="22"/>
                <w:szCs w:val="22"/>
                <w:lang w:val="lt-LT"/>
              </w:rPr>
              <w:t xml:space="preserve">Metabolizmo ir mitybos sutrikimai </w:t>
            </w:r>
          </w:p>
        </w:tc>
        <w:tc>
          <w:tcPr>
            <w:tcW w:w="923" w:type="pct"/>
          </w:tcPr>
          <w:p w:rsidR="00A327F1" w:rsidRPr="00444CB1" w:rsidRDefault="00A327F1" w:rsidP="00A327F1">
            <w:pPr>
              <w:rPr>
                <w:rFonts w:ascii="Times New Roman" w:hAnsi="Times New Roman"/>
              </w:rPr>
            </w:pPr>
            <w:proofErr w:type="spellStart"/>
            <w:r w:rsidRPr="00444CB1">
              <w:rPr>
                <w:rFonts w:ascii="Times New Roman" w:eastAsia="SimSun" w:hAnsi="Times New Roman"/>
                <w:lang w:eastAsia="zh-C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Anoreksija</w:t>
            </w:r>
            <w:proofErr w:type="spellEnd"/>
          </w:p>
        </w:tc>
      </w:tr>
      <w:tr w:rsidR="00A327F1" w:rsidRPr="00444CB1" w:rsidTr="00A327F1">
        <w:trPr>
          <w:cantSplit/>
          <w:trHeight w:val="172"/>
        </w:trPr>
        <w:tc>
          <w:tcPr>
            <w:tcW w:w="1499" w:type="pct"/>
            <w:vMerge/>
          </w:tcPr>
          <w:p w:rsidR="00A327F1" w:rsidRPr="00444CB1" w:rsidRDefault="00A327F1" w:rsidP="00A327F1">
            <w:pPr>
              <w:rPr>
                <w:rFonts w:ascii="Times New Roman" w:eastAsia="SimSun" w:hAnsi="Times New Roman"/>
                <w:lang w:eastAsia="zh-CN"/>
              </w:rPr>
            </w:pPr>
          </w:p>
        </w:tc>
        <w:tc>
          <w:tcPr>
            <w:tcW w:w="923" w:type="pct"/>
          </w:tcPr>
          <w:p w:rsidR="00A327F1" w:rsidRPr="00444CB1" w:rsidRDefault="00A327F1" w:rsidP="00A327F1">
            <w:pPr>
              <w:rPr>
                <w:rFonts w:ascii="Times New Roman" w:hAnsi="Times New Roman"/>
              </w:rPr>
            </w:pPr>
            <w:proofErr w:type="spellStart"/>
            <w:r w:rsidRPr="00444CB1">
              <w:rPr>
                <w:rFonts w:ascii="Times New Roman" w:eastAsia="SimSun" w:hAnsi="Times New Roman"/>
                <w:lang w:eastAsia="zh-CN"/>
              </w:rPr>
              <w:t>Dažnis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nežinomas</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Hiponatremija</w:t>
            </w:r>
            <w:proofErr w:type="spellEnd"/>
          </w:p>
        </w:tc>
      </w:tr>
      <w:tr w:rsidR="00A327F1" w:rsidRPr="00444CB1" w:rsidTr="00A327F1">
        <w:trPr>
          <w:cantSplit/>
          <w:trHeight w:val="80"/>
        </w:trPr>
        <w:tc>
          <w:tcPr>
            <w:tcW w:w="1499" w:type="pct"/>
            <w:vMerge w:val="restart"/>
          </w:tcPr>
          <w:p w:rsidR="00A327F1" w:rsidRPr="00F600A8" w:rsidRDefault="00A327F1" w:rsidP="00A327F1">
            <w:pPr>
              <w:pStyle w:val="Pavadinimas"/>
              <w:jc w:val="left"/>
              <w:rPr>
                <w:sz w:val="22"/>
                <w:szCs w:val="22"/>
                <w:lang w:val="lt-LT"/>
              </w:rPr>
            </w:pPr>
            <w:r w:rsidRPr="00F600A8">
              <w:rPr>
                <w:sz w:val="22"/>
                <w:szCs w:val="22"/>
                <w:lang w:val="lt-LT"/>
              </w:rPr>
              <w:t xml:space="preserve">Psichikos sutrikimai </w:t>
            </w:r>
          </w:p>
          <w:p w:rsidR="00A327F1" w:rsidRPr="00444CB1" w:rsidRDefault="00A327F1" w:rsidP="00A327F1">
            <w:pPr>
              <w:rPr>
                <w:rFonts w:ascii="Times New Roman" w:eastAsia="SimSun" w:hAnsi="Times New Roman"/>
                <w:lang w:eastAsia="zh-CN"/>
              </w:rPr>
            </w:pPr>
          </w:p>
        </w:tc>
        <w:tc>
          <w:tcPr>
            <w:tcW w:w="923"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Naktiniai</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košmarai</w:t>
            </w:r>
            <w:proofErr w:type="spellEnd"/>
          </w:p>
        </w:tc>
      </w:tr>
      <w:tr w:rsidR="00A327F1" w:rsidRPr="00444CB1" w:rsidTr="00A327F1">
        <w:trPr>
          <w:cantSplit/>
          <w:trHeight w:val="206"/>
        </w:trPr>
        <w:tc>
          <w:tcPr>
            <w:tcW w:w="1499" w:type="pct"/>
            <w:vMerge/>
          </w:tcPr>
          <w:p w:rsidR="00A327F1" w:rsidRPr="00444CB1" w:rsidRDefault="00A327F1" w:rsidP="00A327F1">
            <w:pPr>
              <w:rPr>
                <w:rFonts w:ascii="Times New Roman" w:eastAsia="SimSun" w:hAnsi="Times New Roman"/>
                <w:lang w:eastAsia="zh-CN"/>
              </w:rPr>
            </w:pPr>
          </w:p>
        </w:tc>
        <w:tc>
          <w:tcPr>
            <w:tcW w:w="923"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Nedažni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Piktnaudžiavimas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vaist</w:t>
            </w:r>
            <w:r>
              <w:rPr>
                <w:rFonts w:ascii="Times New Roman" w:eastAsia="SimSun" w:hAnsi="Times New Roman"/>
                <w:lang w:eastAsia="zh-CN"/>
              </w:rPr>
              <w:t>ini</w:t>
            </w:r>
            <w:r w:rsidRPr="00444CB1">
              <w:rPr>
                <w:rFonts w:ascii="Times New Roman" w:eastAsia="SimSun" w:hAnsi="Times New Roman"/>
                <w:lang w:eastAsia="zh-CN"/>
              </w:rPr>
              <w:t>ais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preparatais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ir</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priklausomybė</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ypač</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asmenims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jaunesniems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kaip</w:t>
            </w:r>
            <w:proofErr w:type="spellEnd"/>
            <w:r w:rsidRPr="00444CB1">
              <w:rPr>
                <w:rFonts w:ascii="Times New Roman" w:eastAsia="SimSun" w:hAnsi="Times New Roman"/>
                <w:lang w:eastAsia="zh-CN"/>
              </w:rPr>
              <w:t xml:space="preserve"> 50 </w:t>
            </w:r>
            <w:proofErr w:type="spellStart"/>
            <w:r w:rsidRPr="00444CB1">
              <w:rPr>
                <w:rFonts w:ascii="Times New Roman" w:eastAsia="SimSun" w:hAnsi="Times New Roman"/>
                <w:lang w:eastAsia="zh-CN"/>
              </w:rPr>
              <w:t>metų</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kuriems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yra</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buvusi</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priklausomybė</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nuo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alkoholio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arba</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vaist</w:t>
            </w:r>
            <w:r>
              <w:rPr>
                <w:rFonts w:ascii="Times New Roman" w:eastAsia="SimSun" w:hAnsi="Times New Roman"/>
                <w:lang w:eastAsia="zh-CN"/>
              </w:rPr>
              <w:t>ini</w:t>
            </w:r>
            <w:r w:rsidRPr="00444CB1">
              <w:rPr>
                <w:rFonts w:ascii="Times New Roman" w:eastAsia="SimSun" w:hAnsi="Times New Roman"/>
                <w:lang w:eastAsia="zh-CN"/>
              </w:rPr>
              <w:t>ų</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preparatų</w:t>
            </w:r>
            <w:proofErr w:type="spellEnd"/>
          </w:p>
        </w:tc>
      </w:tr>
      <w:tr w:rsidR="00A327F1" w:rsidRPr="00444CB1" w:rsidTr="00A327F1">
        <w:trPr>
          <w:cantSplit/>
          <w:trHeight w:val="397"/>
        </w:trPr>
        <w:tc>
          <w:tcPr>
            <w:tcW w:w="1499" w:type="pct"/>
            <w:vMerge/>
          </w:tcPr>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Dažnis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nežinomas</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Buvo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gauta</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pranešimų</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apie</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minčių</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apie</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savižudybę</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arba</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su</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savižudybe</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susijusio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elgesio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atvejus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gydymo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tianeptinu</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metu</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arba</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iš</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karto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po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gydymo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nutraukimo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žr</w:t>
            </w:r>
            <w:proofErr w:type="spellEnd"/>
            <w:r w:rsidRPr="00444CB1">
              <w:rPr>
                <w:rFonts w:ascii="Times New Roman" w:eastAsia="SimSun" w:hAnsi="Times New Roman"/>
                <w:lang w:eastAsia="zh-CN"/>
              </w:rPr>
              <w:t xml:space="preserve">. 4.4 </w:t>
            </w:r>
            <w:proofErr w:type="spellStart"/>
            <w:r w:rsidRPr="00444CB1">
              <w:rPr>
                <w:rFonts w:ascii="Times New Roman" w:eastAsia="SimSun" w:hAnsi="Times New Roman"/>
                <w:lang w:eastAsia="zh-CN"/>
              </w:rPr>
              <w:t>skyrių</w:t>
            </w:r>
            <w:proofErr w:type="spellEnd"/>
            <w:r w:rsidRPr="00444CB1">
              <w:rPr>
                <w:rFonts w:ascii="Times New Roman" w:eastAsia="SimSun" w:hAnsi="Times New Roman"/>
                <w:lang w:eastAsia="zh-CN"/>
              </w:rPr>
              <w:t>)</w:t>
            </w:r>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eastAsia="SimSun" w:hAnsi="Times New Roman"/>
                <w:lang w:eastAsia="zh-C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Sumišimo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būsena</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haliucinacijos</w:t>
            </w:r>
            <w:proofErr w:type="spellEnd"/>
          </w:p>
        </w:tc>
      </w:tr>
      <w:tr w:rsidR="00A327F1" w:rsidRPr="00444CB1" w:rsidTr="00A327F1">
        <w:trPr>
          <w:cantSplit/>
          <w:trHeight w:val="70"/>
        </w:trPr>
        <w:tc>
          <w:tcPr>
            <w:tcW w:w="1499" w:type="pct"/>
            <w:vMerge w:val="restart"/>
          </w:tcPr>
          <w:p w:rsidR="00A327F1" w:rsidRPr="00F600A8" w:rsidRDefault="00A327F1" w:rsidP="00A327F1">
            <w:pPr>
              <w:pStyle w:val="Pavadinimas"/>
              <w:jc w:val="left"/>
              <w:rPr>
                <w:sz w:val="22"/>
                <w:szCs w:val="22"/>
                <w:lang w:val="lt-LT"/>
              </w:rPr>
            </w:pPr>
            <w:r w:rsidRPr="00F600A8">
              <w:rPr>
                <w:sz w:val="22"/>
                <w:szCs w:val="22"/>
                <w:lang w:val="lt-LT"/>
              </w:rPr>
              <w:t xml:space="preserve">Nervų sistemos sutrikimai </w:t>
            </w:r>
          </w:p>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Nemiga</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Mieguistumas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Galvos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svaigimas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Galvos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skausmas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Lipotimija</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Tremoras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hAnsi="Times New Roman"/>
              </w:rPr>
            </w:pPr>
            <w:proofErr w:type="spellStart"/>
            <w:r w:rsidRPr="00444CB1">
              <w:rPr>
                <w:rFonts w:ascii="Times New Roman" w:hAnsi="Times New Roman"/>
              </w:rPr>
              <w:t>Dažnis</w:t>
            </w:r>
            <w:proofErr w:type="spellEnd"/>
            <w:r w:rsidRPr="00444CB1">
              <w:rPr>
                <w:rFonts w:ascii="Times New Roman" w:hAnsi="Times New Roman"/>
              </w:rPr>
              <w:t xml:space="preserve"> </w:t>
            </w:r>
            <w:proofErr w:type="spellStart"/>
            <w:r w:rsidRPr="00444CB1">
              <w:rPr>
                <w:rFonts w:ascii="Times New Roman" w:hAnsi="Times New Roman"/>
              </w:rPr>
              <w:t>nežinomas</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Ekstrapiramidiniai</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sutrikimai</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Diskinezija</w:t>
            </w:r>
            <w:proofErr w:type="spellEnd"/>
          </w:p>
        </w:tc>
      </w:tr>
      <w:tr w:rsidR="00A327F1" w:rsidRPr="00444CB1" w:rsidTr="00A327F1">
        <w:trPr>
          <w:cantSplit/>
          <w:trHeight w:val="70"/>
        </w:trPr>
        <w:tc>
          <w:tcPr>
            <w:tcW w:w="1499" w:type="pct"/>
            <w:vMerge w:val="restart"/>
          </w:tcPr>
          <w:p w:rsidR="00A327F1" w:rsidRPr="00F600A8" w:rsidRDefault="00A327F1" w:rsidP="00A327F1">
            <w:pPr>
              <w:pStyle w:val="Pavadinimas"/>
              <w:jc w:val="left"/>
              <w:rPr>
                <w:sz w:val="22"/>
                <w:szCs w:val="22"/>
                <w:lang w:val="lt-LT"/>
              </w:rPr>
            </w:pPr>
            <w:r w:rsidRPr="00F600A8">
              <w:rPr>
                <w:sz w:val="22"/>
                <w:szCs w:val="22"/>
                <w:lang w:val="lt-LT"/>
              </w:rPr>
              <w:t xml:space="preserve">Širdies sutrikimai </w:t>
            </w:r>
          </w:p>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Tachikardija</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Ekstrasistolės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Krūtinės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skausmas</w:t>
            </w:r>
            <w:proofErr w:type="spellEnd"/>
          </w:p>
        </w:tc>
      </w:tr>
      <w:tr w:rsidR="00A327F1" w:rsidRPr="00444CB1" w:rsidTr="00A327F1">
        <w:trPr>
          <w:cantSplit/>
          <w:trHeight w:val="70"/>
        </w:trPr>
        <w:tc>
          <w:tcPr>
            <w:tcW w:w="1499" w:type="pct"/>
          </w:tcPr>
          <w:p w:rsidR="00A327F1" w:rsidRPr="006F3CAC" w:rsidRDefault="00A327F1" w:rsidP="00A327F1">
            <w:pPr>
              <w:pStyle w:val="Pavadinimas"/>
              <w:jc w:val="left"/>
              <w:rPr>
                <w:sz w:val="22"/>
                <w:szCs w:val="22"/>
                <w:lang w:val="lt-LT" w:eastAsia="zh-CN"/>
              </w:rPr>
            </w:pPr>
            <w:r w:rsidRPr="00F600A8">
              <w:rPr>
                <w:sz w:val="22"/>
                <w:szCs w:val="22"/>
                <w:lang w:val="lt-LT"/>
              </w:rPr>
              <w:t xml:space="preserve">Kraujagyslių sutrikimai </w:t>
            </w:r>
          </w:p>
        </w:tc>
        <w:tc>
          <w:tcPr>
            <w:tcW w:w="923" w:type="pct"/>
          </w:tcPr>
          <w:p w:rsidR="00A327F1" w:rsidRPr="00444CB1" w:rsidRDefault="00A327F1" w:rsidP="00A327F1">
            <w:pPr>
              <w:rPr>
                <w:rFonts w:ascii="Times New Roman" w:hAnsi="Times New Roman"/>
              </w:rPr>
            </w:pPr>
            <w:proofErr w:type="spellStart"/>
            <w:r w:rsidRPr="00444CB1">
              <w:rPr>
                <w:rFonts w:ascii="Times New Roman" w:hAnsi="Times New Roma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Kraujo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samplūdis</w:t>
            </w:r>
            <w:proofErr w:type="spellEnd"/>
            <w:r w:rsidRPr="00444CB1">
              <w:rPr>
                <w:rFonts w:ascii="Times New Roman" w:eastAsia="SimSun" w:hAnsi="Times New Roman"/>
                <w:lang w:eastAsia="zh-CN"/>
              </w:rPr>
              <w:t xml:space="preserve"> į </w:t>
            </w:r>
            <w:proofErr w:type="spellStart"/>
            <w:r w:rsidRPr="00444CB1">
              <w:rPr>
                <w:rFonts w:ascii="Times New Roman" w:eastAsia="SimSun" w:hAnsi="Times New Roman"/>
                <w:lang w:eastAsia="zh-CN"/>
              </w:rPr>
              <w:t>veidą</w:t>
            </w:r>
            <w:proofErr w:type="spellEnd"/>
          </w:p>
        </w:tc>
      </w:tr>
      <w:tr w:rsidR="00A327F1" w:rsidRPr="00444CB1" w:rsidTr="00A327F1">
        <w:trPr>
          <w:cantSplit/>
          <w:trHeight w:val="70"/>
        </w:trPr>
        <w:tc>
          <w:tcPr>
            <w:tcW w:w="1499"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Kvėpavimo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sistemos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krūtinės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ląstos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ir</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tarpuplaučio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sutrikimai</w:t>
            </w:r>
            <w:proofErr w:type="spellEnd"/>
          </w:p>
        </w:tc>
        <w:tc>
          <w:tcPr>
            <w:tcW w:w="923" w:type="pct"/>
          </w:tcPr>
          <w:p w:rsidR="00A327F1" w:rsidRPr="00444CB1" w:rsidRDefault="00A327F1" w:rsidP="00A327F1">
            <w:pPr>
              <w:rPr>
                <w:rFonts w:ascii="Times New Roman" w:hAnsi="Times New Roman"/>
              </w:rPr>
            </w:pPr>
            <w:proofErr w:type="spellStart"/>
            <w:r w:rsidRPr="00444CB1">
              <w:rPr>
                <w:rFonts w:ascii="Times New Roman" w:hAnsi="Times New Roma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Dispnėja</w:t>
            </w:r>
            <w:proofErr w:type="spellEnd"/>
          </w:p>
        </w:tc>
      </w:tr>
      <w:tr w:rsidR="00A327F1" w:rsidRPr="00444CB1" w:rsidTr="00A327F1">
        <w:trPr>
          <w:cantSplit/>
          <w:trHeight w:val="70"/>
        </w:trPr>
        <w:tc>
          <w:tcPr>
            <w:tcW w:w="1499" w:type="pct"/>
            <w:vMerge w:val="restart"/>
          </w:tcPr>
          <w:p w:rsidR="00A327F1" w:rsidRPr="00F600A8" w:rsidRDefault="00A327F1" w:rsidP="00A327F1">
            <w:pPr>
              <w:pStyle w:val="Pavadinimas"/>
              <w:jc w:val="left"/>
              <w:rPr>
                <w:sz w:val="22"/>
                <w:szCs w:val="22"/>
                <w:lang w:val="lt-LT"/>
              </w:rPr>
            </w:pPr>
            <w:r w:rsidRPr="00F600A8">
              <w:rPr>
                <w:sz w:val="22"/>
                <w:szCs w:val="22"/>
                <w:lang w:val="lt-LT"/>
              </w:rPr>
              <w:t xml:space="preserve">Virškinimo trakto sutrikimai </w:t>
            </w:r>
          </w:p>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hAnsi="Times New Roman"/>
              </w:rPr>
            </w:pPr>
            <w:proofErr w:type="spellStart"/>
            <w:r w:rsidRPr="00444CB1">
              <w:rPr>
                <w:rFonts w:ascii="Times New Roman" w:hAnsi="Times New Roma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Gastralgija</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Pilvo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skausmas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Burnos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džiūvimas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Pykinimas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Vėmimas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Vidurių</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užkietėjimas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Dujų</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susikaupimas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žarnyne</w:t>
            </w:r>
            <w:proofErr w:type="spellEnd"/>
          </w:p>
        </w:tc>
      </w:tr>
      <w:tr w:rsidR="00A327F1" w:rsidRPr="00444CB1" w:rsidTr="00A327F1">
        <w:trPr>
          <w:cantSplit/>
          <w:trHeight w:val="70"/>
        </w:trPr>
        <w:tc>
          <w:tcPr>
            <w:tcW w:w="1499" w:type="pct"/>
            <w:vMerge w:val="restart"/>
          </w:tcPr>
          <w:p w:rsidR="00A327F1" w:rsidRPr="00F600A8" w:rsidRDefault="00A327F1" w:rsidP="00A327F1">
            <w:pPr>
              <w:pStyle w:val="Pavadinimas"/>
              <w:jc w:val="left"/>
              <w:rPr>
                <w:sz w:val="22"/>
                <w:szCs w:val="22"/>
                <w:lang w:val="lt-LT"/>
              </w:rPr>
            </w:pPr>
            <w:r w:rsidRPr="00F600A8">
              <w:rPr>
                <w:sz w:val="22"/>
                <w:szCs w:val="22"/>
                <w:lang w:val="lt-LT"/>
              </w:rPr>
              <w:t xml:space="preserve">Odos </w:t>
            </w:r>
            <w:r>
              <w:rPr>
                <w:sz w:val="22"/>
                <w:szCs w:val="22"/>
                <w:lang w:val="lt-LT"/>
              </w:rPr>
              <w:t xml:space="preserve">ir poodinio audinio </w:t>
            </w:r>
            <w:r w:rsidRPr="00F600A8">
              <w:rPr>
                <w:sz w:val="22"/>
                <w:szCs w:val="22"/>
                <w:lang w:val="lt-LT"/>
              </w:rPr>
              <w:t xml:space="preserve">sutrikimai </w:t>
            </w:r>
          </w:p>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hAnsi="Times New Roman"/>
              </w:rPr>
            </w:pPr>
            <w:proofErr w:type="spellStart"/>
            <w:r w:rsidRPr="00444CB1">
              <w:rPr>
                <w:rFonts w:ascii="Times New Roman" w:hAnsi="Times New Roman"/>
              </w:rPr>
              <w:t>Nedažni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Style w:val="st1"/>
                <w:rFonts w:ascii="Times New Roman" w:hAnsi="Times New Roman"/>
                <w:color w:val="000000"/>
              </w:rPr>
              <w:t>Makulopapulinis</w:t>
            </w:r>
            <w:proofErr w:type="spellEnd"/>
            <w:r w:rsidRPr="00444CB1">
              <w:rPr>
                <w:rStyle w:val="st1"/>
                <w:rFonts w:ascii="Times New Roman" w:hAnsi="Times New Roman"/>
                <w:color w:val="222222"/>
              </w:rPr>
              <w:t xml:space="preserve"> </w:t>
            </w:r>
            <w:proofErr w:type="spellStart"/>
            <w:r w:rsidRPr="00444CB1">
              <w:rPr>
                <w:rStyle w:val="st1"/>
                <w:rFonts w:ascii="Times New Roman" w:hAnsi="Times New Roman"/>
                <w:color w:val="222222"/>
              </w:rPr>
              <w:t>arba</w:t>
            </w:r>
            <w:proofErr w:type="spellEnd"/>
            <w:r w:rsidRPr="00444CB1">
              <w:rPr>
                <w:rStyle w:val="st1"/>
                <w:rFonts w:ascii="Times New Roman" w:hAnsi="Times New Roman"/>
                <w:color w:val="222222"/>
              </w:rPr>
              <w:t xml:space="preserve"> </w:t>
            </w:r>
            <w:proofErr w:type="spellStart"/>
            <w:r w:rsidRPr="00444CB1">
              <w:rPr>
                <w:rStyle w:val="st1"/>
                <w:rFonts w:ascii="Times New Roman" w:hAnsi="Times New Roman"/>
                <w:color w:val="000000"/>
              </w:rPr>
              <w:t>eritematozinis</w:t>
            </w:r>
            <w:proofErr w:type="spellEnd"/>
            <w:r w:rsidRPr="00444CB1">
              <w:rPr>
                <w:rStyle w:val="st1"/>
                <w:rFonts w:ascii="Times New Roman" w:hAnsi="Times New Roman"/>
                <w:color w:val="222222"/>
              </w:rPr>
              <w:t xml:space="preserve"> </w:t>
            </w:r>
            <w:proofErr w:type="spellStart"/>
            <w:r>
              <w:rPr>
                <w:rStyle w:val="st1"/>
                <w:rFonts w:ascii="Times New Roman" w:hAnsi="Times New Roman"/>
                <w:color w:val="222222"/>
              </w:rPr>
              <w:t>iš</w:t>
            </w:r>
            <w:r w:rsidRPr="00444CB1">
              <w:rPr>
                <w:rStyle w:val="st1"/>
                <w:rFonts w:ascii="Times New Roman" w:hAnsi="Times New Roman"/>
                <w:color w:val="222222"/>
              </w:rPr>
              <w:t>bėrimas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Pr>
                <w:rFonts w:ascii="Times New Roman" w:eastAsia="SimSun" w:hAnsi="Times New Roman"/>
                <w:lang w:eastAsia="zh-CN"/>
              </w:rPr>
              <w:t>Niežulys</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Dilgėlinė</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hAnsi="Times New Roman"/>
              </w:rPr>
            </w:pPr>
            <w:proofErr w:type="spellStart"/>
            <w:r w:rsidRPr="00444CB1">
              <w:rPr>
                <w:rFonts w:ascii="Times New Roman" w:hAnsi="Times New Roman"/>
              </w:rPr>
              <w:t>Dažnis</w:t>
            </w:r>
            <w:proofErr w:type="spellEnd"/>
            <w:r w:rsidRPr="00444CB1">
              <w:rPr>
                <w:rFonts w:ascii="Times New Roman" w:hAnsi="Times New Roman"/>
              </w:rPr>
              <w:t xml:space="preserve"> </w:t>
            </w:r>
            <w:proofErr w:type="spellStart"/>
            <w:r w:rsidRPr="00444CB1">
              <w:rPr>
                <w:rFonts w:ascii="Times New Roman" w:hAnsi="Times New Roman"/>
              </w:rPr>
              <w:t>nežinomas</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Aknė</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Išskirtinais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atvejais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pūslinis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dermatitas</w:t>
            </w:r>
            <w:proofErr w:type="spellEnd"/>
          </w:p>
        </w:tc>
      </w:tr>
      <w:tr w:rsidR="00A327F1" w:rsidRPr="00444CB1" w:rsidTr="00A327F1">
        <w:trPr>
          <w:cantSplit/>
          <w:trHeight w:val="70"/>
        </w:trPr>
        <w:tc>
          <w:tcPr>
            <w:tcW w:w="1499" w:type="pct"/>
            <w:vMerge w:val="restart"/>
          </w:tcPr>
          <w:p w:rsidR="00A327F1" w:rsidRPr="00F600A8" w:rsidRDefault="00A327F1" w:rsidP="00A327F1">
            <w:pPr>
              <w:pStyle w:val="Pavadinimas"/>
              <w:jc w:val="left"/>
              <w:rPr>
                <w:sz w:val="22"/>
                <w:szCs w:val="22"/>
                <w:lang w:val="lt-LT"/>
              </w:rPr>
            </w:pPr>
            <w:r w:rsidRPr="00F600A8">
              <w:rPr>
                <w:sz w:val="22"/>
                <w:szCs w:val="22"/>
                <w:lang w:val="lt-LT"/>
              </w:rPr>
              <w:t>Skeleto</w:t>
            </w:r>
            <w:r>
              <w:rPr>
                <w:sz w:val="22"/>
                <w:szCs w:val="22"/>
                <w:lang w:val="lt-LT"/>
              </w:rPr>
              <w:t>,</w:t>
            </w:r>
            <w:r w:rsidRPr="00F600A8">
              <w:rPr>
                <w:sz w:val="22"/>
                <w:szCs w:val="22"/>
                <w:lang w:val="lt-LT"/>
              </w:rPr>
              <w:t xml:space="preserve"> raumenų </w:t>
            </w:r>
            <w:r>
              <w:rPr>
                <w:sz w:val="22"/>
                <w:szCs w:val="22"/>
                <w:lang w:val="lt-LT"/>
              </w:rPr>
              <w:t xml:space="preserve">ir jungiamojo audinio </w:t>
            </w:r>
            <w:r w:rsidRPr="00F600A8">
              <w:rPr>
                <w:sz w:val="22"/>
                <w:szCs w:val="22"/>
                <w:lang w:val="lt-LT"/>
              </w:rPr>
              <w:t xml:space="preserve">sutrikimai </w:t>
            </w:r>
          </w:p>
          <w:p w:rsidR="00A327F1" w:rsidRPr="00444CB1" w:rsidRDefault="00A327F1" w:rsidP="00A327F1">
            <w:pPr>
              <w:rPr>
                <w:rFonts w:ascii="Times New Roman" w:eastAsia="SimSun" w:hAnsi="Times New Roman"/>
                <w:lang w:eastAsia="zh-CN"/>
              </w:rPr>
            </w:pPr>
          </w:p>
        </w:tc>
        <w:tc>
          <w:tcPr>
            <w:tcW w:w="923" w:type="pct"/>
            <w:vMerge w:val="restart"/>
          </w:tcPr>
          <w:p w:rsidR="00A327F1" w:rsidRPr="00444CB1" w:rsidRDefault="00A327F1" w:rsidP="00A327F1">
            <w:pPr>
              <w:rPr>
                <w:rFonts w:ascii="Times New Roman" w:hAnsi="Times New Roman"/>
              </w:rPr>
            </w:pPr>
            <w:proofErr w:type="spellStart"/>
            <w:r w:rsidRPr="00444CB1">
              <w:rPr>
                <w:rFonts w:ascii="Times New Roman" w:hAnsi="Times New Roma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Mialgija</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Juosmens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skausmas</w:t>
            </w:r>
            <w:proofErr w:type="spellEnd"/>
          </w:p>
        </w:tc>
      </w:tr>
      <w:tr w:rsidR="00A327F1" w:rsidRPr="00444CB1" w:rsidTr="00A327F1">
        <w:trPr>
          <w:cantSplit/>
          <w:trHeight w:val="70"/>
        </w:trPr>
        <w:tc>
          <w:tcPr>
            <w:tcW w:w="1499" w:type="pct"/>
            <w:vMerge w:val="restart"/>
          </w:tcPr>
          <w:p w:rsidR="00A327F1" w:rsidRPr="00444CB1" w:rsidRDefault="00A327F1" w:rsidP="00A327F1">
            <w:pPr>
              <w:rPr>
                <w:rFonts w:ascii="Times New Roman" w:eastAsia="SimSun" w:hAnsi="Times New Roman"/>
                <w:lang w:eastAsia="zh-CN"/>
              </w:rPr>
            </w:pPr>
            <w:proofErr w:type="spellStart"/>
            <w:r w:rsidRPr="00444CB1">
              <w:rPr>
                <w:rFonts w:ascii="Times New Roman" w:hAnsi="Times New Roman"/>
              </w:rPr>
              <w:t>Bendrieji</w:t>
            </w:r>
            <w:proofErr w:type="spellEnd"/>
            <w:r w:rsidRPr="00444CB1">
              <w:rPr>
                <w:rFonts w:ascii="Times New Roman" w:hAnsi="Times New Roman"/>
              </w:rPr>
              <w:t xml:space="preserve"> </w:t>
            </w:r>
            <w:proofErr w:type="spellStart"/>
            <w:r w:rsidRPr="00444CB1">
              <w:rPr>
                <w:rFonts w:ascii="Times New Roman" w:hAnsi="Times New Roman"/>
              </w:rPr>
              <w:t>sutrikimai</w:t>
            </w:r>
            <w:proofErr w:type="spellEnd"/>
            <w:r w:rsidRPr="00444CB1">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vartojimo</w:t>
            </w:r>
            <w:proofErr w:type="spellEnd"/>
            <w:r>
              <w:rPr>
                <w:rFonts w:ascii="Times New Roman" w:hAnsi="Times New Roman"/>
              </w:rPr>
              <w:t xml:space="preserve"> </w:t>
            </w:r>
            <w:proofErr w:type="spellStart"/>
            <w:r>
              <w:rPr>
                <w:rFonts w:ascii="Times New Roman" w:hAnsi="Times New Roman"/>
              </w:rPr>
              <w:t>vietos</w:t>
            </w:r>
            <w:proofErr w:type="spellEnd"/>
            <w:r>
              <w:rPr>
                <w:rFonts w:ascii="Times New Roman" w:hAnsi="Times New Roman"/>
              </w:rPr>
              <w:t xml:space="preserve"> </w:t>
            </w:r>
            <w:proofErr w:type="spellStart"/>
            <w:r>
              <w:rPr>
                <w:rFonts w:ascii="Times New Roman" w:hAnsi="Times New Roman"/>
              </w:rPr>
              <w:t>pažeidimai</w:t>
            </w:r>
            <w:proofErr w:type="spellEnd"/>
          </w:p>
        </w:tc>
        <w:tc>
          <w:tcPr>
            <w:tcW w:w="923" w:type="pct"/>
            <w:vMerge w:val="restart"/>
          </w:tcPr>
          <w:p w:rsidR="00A327F1" w:rsidRPr="00444CB1" w:rsidRDefault="00A327F1" w:rsidP="00A327F1">
            <w:pPr>
              <w:rPr>
                <w:rFonts w:ascii="Times New Roman" w:hAnsi="Times New Roman"/>
              </w:rPr>
            </w:pPr>
            <w:proofErr w:type="spellStart"/>
            <w:r w:rsidRPr="00444CB1">
              <w:rPr>
                <w:rFonts w:ascii="Times New Roman" w:hAnsi="Times New Roman"/>
              </w:rPr>
              <w:t>Dažni</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Astenija</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Gumulo</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pojūtis</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gerklėje</w:t>
            </w:r>
            <w:proofErr w:type="spellEnd"/>
          </w:p>
        </w:tc>
      </w:tr>
      <w:tr w:rsidR="00A327F1" w:rsidRPr="00444CB1" w:rsidTr="00A327F1">
        <w:trPr>
          <w:cantSplit/>
          <w:trHeight w:val="70"/>
        </w:trPr>
        <w:tc>
          <w:tcPr>
            <w:tcW w:w="1499" w:type="pct"/>
            <w:vMerge w:val="restart"/>
          </w:tcPr>
          <w:p w:rsidR="00A327F1" w:rsidRPr="000E7AD5" w:rsidRDefault="00A327F1" w:rsidP="00A327F1">
            <w:pPr>
              <w:pStyle w:val="Pavadinimas"/>
              <w:jc w:val="left"/>
              <w:rPr>
                <w:sz w:val="22"/>
                <w:szCs w:val="22"/>
                <w:lang w:val="lt-LT" w:eastAsia="zh-CN"/>
              </w:rPr>
            </w:pPr>
            <w:r w:rsidRPr="00F600A8">
              <w:rPr>
                <w:sz w:val="22"/>
                <w:szCs w:val="22"/>
                <w:lang w:val="lt-LT"/>
              </w:rPr>
              <w:t>Kepenų</w:t>
            </w:r>
            <w:r>
              <w:rPr>
                <w:sz w:val="22"/>
                <w:szCs w:val="22"/>
                <w:lang w:val="lt-LT"/>
              </w:rPr>
              <w:t>,</w:t>
            </w:r>
            <w:r w:rsidRPr="00F600A8">
              <w:rPr>
                <w:sz w:val="22"/>
                <w:szCs w:val="22"/>
                <w:lang w:val="lt-LT"/>
              </w:rPr>
              <w:t xml:space="preserve"> tulžies pūslės</w:t>
            </w:r>
            <w:r>
              <w:rPr>
                <w:sz w:val="22"/>
                <w:szCs w:val="22"/>
                <w:lang w:val="lt-LT"/>
              </w:rPr>
              <w:t xml:space="preserve"> ir latakų</w:t>
            </w:r>
            <w:r w:rsidRPr="00F600A8">
              <w:rPr>
                <w:sz w:val="22"/>
                <w:szCs w:val="22"/>
                <w:lang w:val="lt-LT"/>
              </w:rPr>
              <w:t xml:space="preserve"> sutrikimai </w:t>
            </w:r>
          </w:p>
        </w:tc>
        <w:tc>
          <w:tcPr>
            <w:tcW w:w="923" w:type="pct"/>
            <w:vMerge w:val="restart"/>
          </w:tcPr>
          <w:p w:rsidR="00A327F1" w:rsidRPr="00444CB1" w:rsidRDefault="00A327F1" w:rsidP="00A327F1">
            <w:pPr>
              <w:rPr>
                <w:rFonts w:ascii="Times New Roman" w:hAnsi="Times New Roman"/>
              </w:rPr>
            </w:pPr>
            <w:proofErr w:type="spellStart"/>
            <w:r w:rsidRPr="00444CB1">
              <w:rPr>
                <w:rFonts w:ascii="Times New Roman" w:hAnsi="Times New Roman"/>
              </w:rPr>
              <w:t>Dažnis</w:t>
            </w:r>
            <w:proofErr w:type="spellEnd"/>
            <w:r w:rsidRPr="00444CB1">
              <w:rPr>
                <w:rFonts w:ascii="Times New Roman" w:hAnsi="Times New Roman"/>
              </w:rPr>
              <w:t xml:space="preserve"> </w:t>
            </w:r>
            <w:proofErr w:type="spellStart"/>
            <w:r w:rsidRPr="00444CB1">
              <w:rPr>
                <w:rFonts w:ascii="Times New Roman" w:hAnsi="Times New Roman"/>
              </w:rPr>
              <w:t>nežinomas</w:t>
            </w:r>
            <w:proofErr w:type="spellEnd"/>
          </w:p>
        </w:tc>
        <w:tc>
          <w:tcPr>
            <w:tcW w:w="2578" w:type="pct"/>
          </w:tcPr>
          <w:p w:rsidR="00A327F1" w:rsidRPr="00444CB1" w:rsidRDefault="00A327F1" w:rsidP="00A327F1">
            <w:pPr>
              <w:rPr>
                <w:rFonts w:ascii="Times New Roman" w:eastAsia="SimSun" w:hAnsi="Times New Roman"/>
                <w:lang w:eastAsia="zh-CN"/>
              </w:rPr>
            </w:pPr>
            <w:proofErr w:type="spellStart"/>
            <w:r w:rsidRPr="00444CB1">
              <w:rPr>
                <w:rFonts w:ascii="Times New Roman" w:eastAsia="SimSun" w:hAnsi="Times New Roman"/>
                <w:lang w:eastAsia="zh-CN"/>
              </w:rPr>
              <w:t>Padidėjusi</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kepenų</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fermentų</w:t>
            </w:r>
            <w:proofErr w:type="spellEnd"/>
            <w:r w:rsidRPr="00444CB1">
              <w:rPr>
                <w:rFonts w:ascii="Times New Roman" w:eastAsia="SimSun" w:hAnsi="Times New Roman"/>
                <w:lang w:eastAsia="zh-CN"/>
              </w:rPr>
              <w:t xml:space="preserve"> </w:t>
            </w:r>
            <w:proofErr w:type="spellStart"/>
            <w:r w:rsidRPr="00444CB1">
              <w:rPr>
                <w:rFonts w:ascii="Times New Roman" w:eastAsia="SimSun" w:hAnsi="Times New Roman"/>
                <w:lang w:eastAsia="zh-CN"/>
              </w:rPr>
              <w:t>koncentracija</w:t>
            </w:r>
            <w:proofErr w:type="spellEnd"/>
          </w:p>
        </w:tc>
      </w:tr>
      <w:tr w:rsidR="00A327F1" w:rsidRPr="00444CB1" w:rsidTr="00A327F1">
        <w:trPr>
          <w:cantSplit/>
          <w:trHeight w:val="70"/>
        </w:trPr>
        <w:tc>
          <w:tcPr>
            <w:tcW w:w="1499" w:type="pct"/>
            <w:vMerge/>
          </w:tcPr>
          <w:p w:rsidR="00A327F1" w:rsidRPr="00444CB1" w:rsidRDefault="00A327F1" w:rsidP="00A327F1">
            <w:pPr>
              <w:rPr>
                <w:rFonts w:ascii="Times New Roman" w:eastAsia="SimSun" w:hAnsi="Times New Roman"/>
                <w:lang w:eastAsia="zh-CN"/>
              </w:rPr>
            </w:pPr>
          </w:p>
        </w:tc>
        <w:tc>
          <w:tcPr>
            <w:tcW w:w="923" w:type="pct"/>
            <w:vMerge/>
          </w:tcPr>
          <w:p w:rsidR="00A327F1" w:rsidRPr="00444CB1" w:rsidRDefault="00A327F1" w:rsidP="00A327F1">
            <w:pPr>
              <w:rPr>
                <w:rFonts w:ascii="Times New Roman" w:hAnsi="Times New Roman"/>
              </w:rPr>
            </w:pPr>
          </w:p>
        </w:tc>
        <w:tc>
          <w:tcPr>
            <w:tcW w:w="2578" w:type="pct"/>
          </w:tcPr>
          <w:p w:rsidR="00A327F1" w:rsidRPr="00444CB1" w:rsidRDefault="00A327F1" w:rsidP="00A327F1">
            <w:pPr>
              <w:rPr>
                <w:rFonts w:ascii="Times New Roman" w:eastAsia="SimSun" w:hAnsi="Times New Roman"/>
                <w:lang w:val="fr-FR" w:eastAsia="zh-CN"/>
              </w:rPr>
            </w:pPr>
            <w:proofErr w:type="spellStart"/>
            <w:r w:rsidRPr="00444CB1">
              <w:rPr>
                <w:rFonts w:ascii="Times New Roman" w:eastAsia="SimSun" w:hAnsi="Times New Roman"/>
                <w:lang w:val="fr-FR" w:eastAsia="zh-CN"/>
              </w:rPr>
              <w:t>Hepatitas</w:t>
            </w:r>
            <w:proofErr w:type="spellEnd"/>
            <w:r w:rsidRPr="00444CB1">
              <w:rPr>
                <w:rFonts w:ascii="Times New Roman" w:eastAsia="SimSun" w:hAnsi="Times New Roman"/>
                <w:lang w:val="fr-FR" w:eastAsia="zh-CN"/>
              </w:rPr>
              <w:t xml:space="preserve">, </w:t>
            </w:r>
            <w:proofErr w:type="spellStart"/>
            <w:r w:rsidRPr="00444CB1">
              <w:rPr>
                <w:rFonts w:ascii="Times New Roman" w:eastAsia="SimSun" w:hAnsi="Times New Roman"/>
                <w:lang w:val="fr-FR" w:eastAsia="zh-CN"/>
              </w:rPr>
              <w:t>kuris</w:t>
            </w:r>
            <w:proofErr w:type="spellEnd"/>
            <w:r w:rsidRPr="00444CB1">
              <w:rPr>
                <w:rFonts w:ascii="Times New Roman" w:eastAsia="SimSun" w:hAnsi="Times New Roman"/>
                <w:lang w:val="fr-FR" w:eastAsia="zh-CN"/>
              </w:rPr>
              <w:t xml:space="preserve"> </w:t>
            </w:r>
            <w:proofErr w:type="spellStart"/>
            <w:r w:rsidRPr="00444CB1">
              <w:rPr>
                <w:rFonts w:ascii="Times New Roman" w:eastAsia="SimSun" w:hAnsi="Times New Roman"/>
                <w:lang w:val="fr-FR" w:eastAsia="zh-CN"/>
              </w:rPr>
              <w:t>išskirtin</w:t>
            </w:r>
            <w:r>
              <w:rPr>
                <w:rFonts w:ascii="Times New Roman" w:eastAsia="SimSun" w:hAnsi="Times New Roman"/>
                <w:lang w:val="fr-FR" w:eastAsia="zh-CN"/>
              </w:rPr>
              <w:t>i</w:t>
            </w:r>
            <w:r w:rsidRPr="00444CB1">
              <w:rPr>
                <w:rFonts w:ascii="Times New Roman" w:eastAsia="SimSun" w:hAnsi="Times New Roman"/>
                <w:lang w:val="fr-FR" w:eastAsia="zh-CN"/>
              </w:rPr>
              <w:t>ais</w:t>
            </w:r>
            <w:proofErr w:type="spellEnd"/>
            <w:r w:rsidRPr="00444CB1">
              <w:rPr>
                <w:rFonts w:ascii="Times New Roman" w:eastAsia="SimSun" w:hAnsi="Times New Roman"/>
                <w:lang w:val="fr-FR" w:eastAsia="zh-CN"/>
              </w:rPr>
              <w:t xml:space="preserve"> </w:t>
            </w:r>
            <w:proofErr w:type="spellStart"/>
            <w:r w:rsidRPr="00444CB1">
              <w:rPr>
                <w:rFonts w:ascii="Times New Roman" w:eastAsia="SimSun" w:hAnsi="Times New Roman"/>
                <w:lang w:val="fr-FR" w:eastAsia="zh-CN"/>
              </w:rPr>
              <w:t>atvejais</w:t>
            </w:r>
            <w:proofErr w:type="spellEnd"/>
            <w:r w:rsidRPr="00444CB1">
              <w:rPr>
                <w:rFonts w:ascii="Times New Roman" w:eastAsia="SimSun" w:hAnsi="Times New Roman"/>
                <w:lang w:val="fr-FR" w:eastAsia="zh-CN"/>
              </w:rPr>
              <w:t xml:space="preserve"> </w:t>
            </w:r>
            <w:proofErr w:type="spellStart"/>
            <w:r w:rsidRPr="00444CB1">
              <w:rPr>
                <w:rFonts w:ascii="Times New Roman" w:eastAsia="SimSun" w:hAnsi="Times New Roman"/>
                <w:lang w:val="fr-FR" w:eastAsia="zh-CN"/>
              </w:rPr>
              <w:t>gali</w:t>
            </w:r>
            <w:proofErr w:type="spellEnd"/>
            <w:r w:rsidRPr="00444CB1">
              <w:rPr>
                <w:rFonts w:ascii="Times New Roman" w:eastAsia="SimSun" w:hAnsi="Times New Roman"/>
                <w:lang w:val="fr-FR" w:eastAsia="zh-CN"/>
              </w:rPr>
              <w:t xml:space="preserve"> </w:t>
            </w:r>
            <w:proofErr w:type="spellStart"/>
            <w:r w:rsidRPr="00444CB1">
              <w:rPr>
                <w:rFonts w:ascii="Times New Roman" w:eastAsia="SimSun" w:hAnsi="Times New Roman"/>
                <w:lang w:val="fr-FR" w:eastAsia="zh-CN"/>
              </w:rPr>
              <w:t>būti</w:t>
            </w:r>
            <w:proofErr w:type="spellEnd"/>
            <w:r w:rsidRPr="00444CB1">
              <w:rPr>
                <w:rFonts w:ascii="Times New Roman" w:eastAsia="SimSun" w:hAnsi="Times New Roman"/>
                <w:lang w:val="fr-FR" w:eastAsia="zh-CN"/>
              </w:rPr>
              <w:t xml:space="preserve"> </w:t>
            </w:r>
            <w:proofErr w:type="spellStart"/>
            <w:r w:rsidRPr="00444CB1">
              <w:rPr>
                <w:rFonts w:ascii="Times New Roman" w:eastAsia="SimSun" w:hAnsi="Times New Roman"/>
                <w:lang w:val="fr-FR" w:eastAsia="zh-CN"/>
              </w:rPr>
              <w:t>sunkus</w:t>
            </w:r>
            <w:proofErr w:type="spellEnd"/>
          </w:p>
        </w:tc>
      </w:tr>
    </w:tbl>
    <w:p w:rsidR="00A327F1" w:rsidRPr="0001550C" w:rsidRDefault="00A327F1" w:rsidP="00A327F1">
      <w:pPr>
        <w:pStyle w:val="BTEMEASMCA"/>
      </w:pPr>
    </w:p>
    <w:p w:rsidR="00A327F1" w:rsidRPr="00444CB1" w:rsidRDefault="00A327F1" w:rsidP="00A327F1">
      <w:pPr>
        <w:autoSpaceDE w:val="0"/>
        <w:autoSpaceDN w:val="0"/>
        <w:adjustRightInd w:val="0"/>
        <w:contextualSpacing/>
        <w:jc w:val="both"/>
        <w:rPr>
          <w:rFonts w:ascii="Times New Roman" w:hAnsi="Times New Roman"/>
          <w:szCs w:val="24"/>
          <w:u w:val="single"/>
          <w:lang w:val="lt-LT"/>
        </w:rPr>
      </w:pPr>
      <w:r w:rsidRPr="00444CB1">
        <w:rPr>
          <w:rFonts w:ascii="Times New Roman" w:hAnsi="Times New Roman"/>
          <w:noProof/>
          <w:szCs w:val="24"/>
          <w:u w:val="single"/>
          <w:lang w:val="lt-LT"/>
        </w:rPr>
        <w:t>Pranešimas apie įtariamas nepageidaujamas reakcijas</w:t>
      </w:r>
    </w:p>
    <w:p w:rsidR="00A327F1" w:rsidRPr="0038149A" w:rsidRDefault="00A327F1" w:rsidP="00A327F1">
      <w:pPr>
        <w:contextualSpacing/>
        <w:rPr>
          <w:rFonts w:ascii="Times New Roman" w:hAnsi="Times New Roman"/>
          <w:lang w:val="lt-LT"/>
        </w:rPr>
      </w:pPr>
      <w:r w:rsidRPr="00444CB1">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444CB1">
        <w:rPr>
          <w:rFonts w:ascii="Times New Roman" w:hAnsi="Times New Roman"/>
          <w:szCs w:val="24"/>
          <w:lang w:val="lt-LT"/>
        </w:rPr>
        <w:t xml:space="preserve"> </w:t>
      </w:r>
      <w:r w:rsidRPr="00444CB1">
        <w:rPr>
          <w:rFonts w:ascii="Times New Roman" w:hAnsi="Times New Roman"/>
          <w:noProof/>
          <w:szCs w:val="24"/>
          <w:lang w:val="lt-LT"/>
        </w:rPr>
        <w:t>Sveikatos priežiūros specialistai turi pranešti apie bet kokias įtariamas nepageidaujamas reakcijas, užpildę interneto svetainėje http://</w:t>
      </w:r>
      <w:hyperlink r:id="rId10" w:history="1">
        <w:r w:rsidRPr="00444CB1">
          <w:rPr>
            <w:rStyle w:val="Hipersaitas"/>
            <w:rFonts w:ascii="Times New Roman" w:eastAsia="SimSun" w:hAnsi="Times New Roman"/>
            <w:noProof/>
            <w:szCs w:val="24"/>
            <w:lang w:val="lt-LT"/>
          </w:rPr>
          <w:t>www.vvkt.lt</w:t>
        </w:r>
      </w:hyperlink>
      <w:r w:rsidRPr="00444CB1">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444CB1">
          <w:rPr>
            <w:rStyle w:val="Hipersaitas"/>
            <w:rFonts w:ascii="Times New Roman" w:eastAsia="SimSun" w:hAnsi="Times New Roman"/>
            <w:noProof/>
            <w:szCs w:val="24"/>
            <w:lang w:val="lt-LT"/>
          </w:rPr>
          <w:t>NepageidaujamaR@vvkt.lt</w:t>
        </w:r>
      </w:hyperlink>
      <w:r w:rsidRPr="00444CB1">
        <w:rPr>
          <w:rFonts w:ascii="Times New Roman" w:hAnsi="Times New Roman"/>
          <w:noProof/>
          <w:szCs w:val="24"/>
          <w:lang w:val="lt-LT"/>
        </w:rPr>
        <w:t xml:space="preserve">), per interneto svetainę (adresu </w:t>
      </w:r>
      <w:hyperlink r:id="rId12" w:history="1">
        <w:r w:rsidRPr="00D52F1B">
          <w:rPr>
            <w:rStyle w:val="Hipersaitas"/>
            <w:rFonts w:ascii="Times New Roman" w:hAnsi="Times New Roman"/>
            <w:noProof/>
            <w:szCs w:val="24"/>
            <w:lang w:val="lt-LT"/>
          </w:rPr>
          <w:t>http://www.vvkt.lt</w:t>
        </w:r>
      </w:hyperlink>
      <w:r w:rsidRPr="00444CB1">
        <w:rPr>
          <w:rFonts w:ascii="Times New Roman" w:hAnsi="Times New Roman"/>
          <w:noProof/>
          <w:szCs w:val="24"/>
          <w:lang w:val="lt-LT"/>
        </w:rPr>
        <w:t>).</w:t>
      </w:r>
    </w:p>
    <w:p w:rsidR="00A327F1" w:rsidRPr="00D56CD3" w:rsidRDefault="00A327F1" w:rsidP="00A327F1">
      <w:pPr>
        <w:pStyle w:val="BTEMEASMCA"/>
      </w:pPr>
      <w:bookmarkStart w:id="29" w:name="_Toc129243235"/>
      <w:bookmarkStart w:id="30" w:name="_Toc129243110"/>
    </w:p>
    <w:p w:rsidR="00A327F1" w:rsidRPr="00F600A8" w:rsidRDefault="00A327F1" w:rsidP="00A327F1">
      <w:pPr>
        <w:pStyle w:val="PI-2EMEASMCA"/>
      </w:pPr>
      <w:r w:rsidRPr="00F600A8">
        <w:t>4.9</w:t>
      </w:r>
      <w:r w:rsidRPr="00F600A8">
        <w:tab/>
        <w:t>Perdozavimas</w:t>
      </w:r>
      <w:bookmarkEnd w:id="29"/>
      <w:bookmarkEnd w:id="30"/>
    </w:p>
    <w:p w:rsidR="00A327F1" w:rsidRPr="0001550C" w:rsidRDefault="00A327F1" w:rsidP="00A327F1">
      <w:pPr>
        <w:pStyle w:val="BTEMEASMCA"/>
      </w:pPr>
    </w:p>
    <w:p w:rsidR="00A327F1" w:rsidRPr="00444CB1" w:rsidRDefault="00A327F1" w:rsidP="00A327F1">
      <w:pPr>
        <w:pStyle w:val="BTEMEASMCA"/>
      </w:pPr>
      <w:r w:rsidRPr="00444CB1">
        <w:t>Simptomai</w:t>
      </w:r>
    </w:p>
    <w:p w:rsidR="00A327F1" w:rsidRPr="002F3A66" w:rsidRDefault="00A327F1" w:rsidP="00A327F1">
      <w:pPr>
        <w:pStyle w:val="BTEMEASMCA"/>
      </w:pPr>
      <w:r w:rsidRPr="0001550C">
        <w:lastRenderedPageBreak/>
        <w:t>Iš patirties su tianeptino perdozavimu (didžiausia vienu kartu išgerta dozė buvo 2250 mg) nustatyti šie požymiai ir simptomai: sumišimo būsena, traukuliai, mieguistumas, burnos džiūvimas ir kvėpavim</w:t>
      </w:r>
      <w:r w:rsidRPr="00750BE0">
        <w:t>o slopinimas, ypač jei tianeptino vartojimas buvo susijęs su alkoholio vartojimu.</w:t>
      </w:r>
    </w:p>
    <w:p w:rsidR="00A327F1" w:rsidRPr="00D56CD3" w:rsidRDefault="00A327F1" w:rsidP="00A327F1">
      <w:pPr>
        <w:pStyle w:val="BTEMEASMCA"/>
      </w:pPr>
    </w:p>
    <w:p w:rsidR="00A327F1" w:rsidRPr="00444CB1" w:rsidRDefault="00A327F1" w:rsidP="00A327F1">
      <w:pPr>
        <w:pStyle w:val="BTEMEASMCA"/>
      </w:pPr>
      <w:r w:rsidRPr="00444CB1">
        <w:t>Gydymas</w:t>
      </w:r>
    </w:p>
    <w:p w:rsidR="00A327F1" w:rsidRPr="002F3A66" w:rsidRDefault="00A327F1" w:rsidP="00A327F1">
      <w:pPr>
        <w:pStyle w:val="BTEMEASMCA"/>
      </w:pPr>
      <w:r w:rsidRPr="0001550C">
        <w:t xml:space="preserve">COAXIL perdozavus, jo vartojimą būtina nutraukti ir atidžiai </w:t>
      </w:r>
      <w:r>
        <w:t>pacientą</w:t>
      </w:r>
      <w:r w:rsidRPr="0001550C">
        <w:t xml:space="preserve"> </w:t>
      </w:r>
      <w:r w:rsidRPr="00750BE0">
        <w:t>prižiūrėti. Reikia išplauti skrandį, sekti širdies, kvėpavimo ir inkstų funkciją bei medžiagų apy</w:t>
      </w:r>
      <w:r w:rsidRPr="002F3A66">
        <w:t xml:space="preserve">kaitą ir gydyti simptominėmis priemonėmis: </w:t>
      </w:r>
      <w:r>
        <w:t>taikyti</w:t>
      </w:r>
      <w:r w:rsidRPr="0001550C">
        <w:t xml:space="preserve"> </w:t>
      </w:r>
      <w:r w:rsidRPr="00750BE0">
        <w:t>dirbtinį kvėpavimą, normalizuoti medžiagų apykaitą ir inkstų funkciją.</w:t>
      </w:r>
    </w:p>
    <w:p w:rsidR="00A327F1" w:rsidRPr="00D56CD3" w:rsidRDefault="00A327F1" w:rsidP="00A327F1">
      <w:pPr>
        <w:pStyle w:val="BTEMEASMCA"/>
      </w:pPr>
    </w:p>
    <w:p w:rsidR="00A327F1" w:rsidRPr="00BF5E43" w:rsidRDefault="00A327F1" w:rsidP="00A327F1">
      <w:pPr>
        <w:pStyle w:val="BTEMEASMCA"/>
      </w:pPr>
    </w:p>
    <w:p w:rsidR="00A327F1" w:rsidRPr="00F600A8" w:rsidRDefault="00A327F1" w:rsidP="00A327F1">
      <w:pPr>
        <w:pStyle w:val="PI-1EMEASMCA"/>
      </w:pPr>
      <w:bookmarkStart w:id="31" w:name="_Toc129243236"/>
      <w:bookmarkStart w:id="32" w:name="_Toc129243111"/>
      <w:r w:rsidRPr="00F600A8">
        <w:t>5.</w:t>
      </w:r>
      <w:r w:rsidRPr="00F600A8">
        <w:tab/>
        <w:t>FARMAKOLOGINĖS SAVYBĖS</w:t>
      </w:r>
      <w:bookmarkEnd w:id="31"/>
      <w:bookmarkEnd w:id="32"/>
    </w:p>
    <w:p w:rsidR="00A327F1" w:rsidRPr="0001550C" w:rsidRDefault="00A327F1" w:rsidP="00A327F1">
      <w:pPr>
        <w:pStyle w:val="BTEMEASMCA"/>
      </w:pPr>
    </w:p>
    <w:p w:rsidR="00A327F1" w:rsidRPr="00F600A8" w:rsidRDefault="00A327F1" w:rsidP="00A327F1">
      <w:pPr>
        <w:pStyle w:val="PI-2EMEASMCA"/>
      </w:pPr>
      <w:bookmarkStart w:id="33" w:name="_Toc129243237"/>
      <w:bookmarkStart w:id="34" w:name="_Toc129243112"/>
      <w:r w:rsidRPr="00F600A8">
        <w:t>5.1</w:t>
      </w:r>
      <w:r w:rsidRPr="00F600A8">
        <w:tab/>
      </w:r>
      <w:proofErr w:type="spellStart"/>
      <w:r w:rsidRPr="00F600A8">
        <w:t>Farmakodinaminės</w:t>
      </w:r>
      <w:proofErr w:type="spellEnd"/>
      <w:r w:rsidRPr="00F600A8">
        <w:t xml:space="preserve"> savybės</w:t>
      </w:r>
      <w:bookmarkEnd w:id="33"/>
      <w:bookmarkEnd w:id="34"/>
    </w:p>
    <w:p w:rsidR="00A327F1" w:rsidRPr="0001550C" w:rsidRDefault="00A327F1" w:rsidP="00A327F1">
      <w:pPr>
        <w:pStyle w:val="BTEMEASMCA"/>
      </w:pPr>
    </w:p>
    <w:p w:rsidR="00A327F1" w:rsidRPr="00444CB1" w:rsidRDefault="00A327F1" w:rsidP="00A327F1">
      <w:pPr>
        <w:outlineLvl w:val="0"/>
        <w:rPr>
          <w:rFonts w:ascii="Times New Roman" w:hAnsi="Times New Roman"/>
          <w:noProof/>
          <w:lang w:val="lt-LT"/>
        </w:rPr>
      </w:pPr>
      <w:r w:rsidRPr="00444CB1">
        <w:rPr>
          <w:rFonts w:ascii="Times New Roman" w:hAnsi="Times New Roman"/>
          <w:noProof/>
          <w:lang w:val="lt-LT"/>
        </w:rPr>
        <w:t>Farmakoterapinė grupė – kiti antidepresantai, ATC kodas – N06AX14.</w:t>
      </w:r>
    </w:p>
    <w:p w:rsidR="00A327F1" w:rsidRPr="00444CB1" w:rsidRDefault="00A327F1" w:rsidP="00A327F1">
      <w:pPr>
        <w:contextualSpacing/>
        <w:outlineLvl w:val="0"/>
        <w:rPr>
          <w:rFonts w:ascii="Times New Roman" w:hAnsi="Times New Roman"/>
          <w:noProof/>
          <w:u w:val="single"/>
        </w:rPr>
      </w:pPr>
      <w:r w:rsidRPr="00444CB1">
        <w:rPr>
          <w:rFonts w:ascii="Times New Roman" w:hAnsi="Times New Roman"/>
          <w:noProof/>
          <w:u w:val="single"/>
        </w:rPr>
        <w:t>Veikimo mechanizmas</w:t>
      </w:r>
    </w:p>
    <w:p w:rsidR="00A327F1" w:rsidRPr="002F3A66" w:rsidRDefault="00A327F1" w:rsidP="00A327F1">
      <w:pPr>
        <w:pStyle w:val="BTEMEASMCA"/>
      </w:pPr>
      <w:r w:rsidRPr="0001550C">
        <w:t>Tianeptinas yra</w:t>
      </w:r>
      <w:r w:rsidRPr="002F3A66">
        <w:t xml:space="preserve"> antidepresantas. </w:t>
      </w:r>
    </w:p>
    <w:p w:rsidR="00A327F1" w:rsidRPr="00FE2058" w:rsidRDefault="00A327F1" w:rsidP="00A327F1">
      <w:pPr>
        <w:pStyle w:val="BTEMEASMCA"/>
      </w:pPr>
      <w:r w:rsidRPr="00D56CD3">
        <w:t>T</w:t>
      </w:r>
      <w:r w:rsidRPr="00006311">
        <w:t>ianeptinas didina gyvūnų hipokampo piramidinių ląstelių spontanišką aktyvumą ir greitina jų atsigavimą po funkcinio slopinimo, greitina serotonino atgalinį įsiurbimą į žievės ir hipokampo neuronus</w:t>
      </w:r>
      <w:r w:rsidRPr="00BF5E43">
        <w:t>. Tianeptinas neparodė giminingumo monoaminerginiams re</w:t>
      </w:r>
      <w:r w:rsidRPr="000164F1">
        <w:t xml:space="preserve">ceptoriams in vitro ir neslopino 5-HT, NE ir DA įsiurbimo. Tianeptinas </w:t>
      </w:r>
      <w:r w:rsidRPr="00C9208D">
        <w:t>gali moduliuoti</w:t>
      </w:r>
      <w:r w:rsidRPr="00455F78">
        <w:t xml:space="preserve"> sinapsių glutamaterginę neurotransmisiją. </w:t>
      </w:r>
      <w:r w:rsidRPr="00AD21B4">
        <w:t>Kokia dalimi kiekvienas iš šių poveikių prisideda prie ant</w:t>
      </w:r>
      <w:r w:rsidRPr="00792135">
        <w:t>idepresinio aktyvumo, nežinoma.</w:t>
      </w:r>
    </w:p>
    <w:p w:rsidR="00A327F1" w:rsidRPr="00923133" w:rsidRDefault="00A327F1" w:rsidP="00A327F1">
      <w:pPr>
        <w:pStyle w:val="BTEMEASMCA"/>
      </w:pPr>
    </w:p>
    <w:p w:rsidR="00A327F1" w:rsidRPr="00B84FB7" w:rsidRDefault="00A327F1" w:rsidP="00A327F1">
      <w:pPr>
        <w:pStyle w:val="BTEMEASMCA"/>
        <w:rPr>
          <w:u w:val="single"/>
        </w:rPr>
      </w:pPr>
      <w:r w:rsidRPr="00D9366C">
        <w:rPr>
          <w:u w:val="single"/>
        </w:rPr>
        <w:t>Farmakodinaminis poveiki</w:t>
      </w:r>
      <w:r w:rsidRPr="005408C5">
        <w:rPr>
          <w:u w:val="single"/>
        </w:rPr>
        <w:t>s</w:t>
      </w:r>
    </w:p>
    <w:p w:rsidR="00A327F1" w:rsidRPr="002F3A66" w:rsidRDefault="00A327F1" w:rsidP="00A327F1">
      <w:pPr>
        <w:pStyle w:val="BTEMEASMCA"/>
      </w:pPr>
      <w:r w:rsidRPr="0001550C">
        <w:t>Tyrimų metu gyvūnams jis sukėlė t</w:t>
      </w:r>
      <w:r w:rsidRPr="00750BE0">
        <w:t>okį poveikį:</w:t>
      </w:r>
    </w:p>
    <w:p w:rsidR="00A327F1" w:rsidRPr="00BF5E43" w:rsidRDefault="00A327F1" w:rsidP="00A327F1">
      <w:pPr>
        <w:pStyle w:val="BTEMEASMCA"/>
      </w:pPr>
      <w:r w:rsidRPr="00D56CD3">
        <w:t>-</w:t>
      </w:r>
      <w:r w:rsidRPr="00006311">
        <w:t xml:space="preserve"> padidino hipokampo piramidinių ląstelių spontaninį aktyvumą, pagreitino jų atsigavimą po funkcinio slopi</w:t>
      </w:r>
      <w:r w:rsidRPr="00BF5E43">
        <w:t>nimo;</w:t>
      </w:r>
    </w:p>
    <w:p w:rsidR="00A327F1" w:rsidRPr="00BF5E43" w:rsidRDefault="00A327F1" w:rsidP="00A327F1">
      <w:pPr>
        <w:pStyle w:val="BTEMEASMCA"/>
      </w:pPr>
      <w:r w:rsidRPr="00BF5E43">
        <w:t>- smegenų žievėje ir hipokampe pagreitino atbulinį serotonino patekimą į neuronus.</w:t>
      </w:r>
    </w:p>
    <w:p w:rsidR="00A327F1" w:rsidRPr="00455F78" w:rsidRDefault="00A327F1" w:rsidP="00A327F1">
      <w:pPr>
        <w:pStyle w:val="BTEMEASMCA"/>
      </w:pPr>
    </w:p>
    <w:p w:rsidR="00A327F1" w:rsidRPr="005408C5" w:rsidRDefault="00A327F1" w:rsidP="00A327F1">
      <w:pPr>
        <w:pStyle w:val="BTEMEASMCA"/>
        <w:rPr>
          <w:u w:val="single"/>
        </w:rPr>
      </w:pPr>
      <w:r w:rsidRPr="00FE23FD">
        <w:rPr>
          <w:u w:val="single"/>
        </w:rPr>
        <w:t>Klinikinis veiksmingumas ir saugumas</w:t>
      </w:r>
    </w:p>
    <w:p w:rsidR="00A327F1" w:rsidRDefault="00A327F1" w:rsidP="00A327F1">
      <w:pPr>
        <w:pStyle w:val="BTEMEASMCA"/>
        <w:rPr>
          <w:lang w:val="fr-FR"/>
        </w:rPr>
      </w:pPr>
      <w:r w:rsidRPr="00444CB1">
        <w:t xml:space="preserve">Buvo atlikti </w:t>
      </w:r>
      <w:r>
        <w:t xml:space="preserve">keturi </w:t>
      </w:r>
      <w:r w:rsidRPr="00444CB1">
        <w:t>dvigubai koduoti placebu kontroliuojamieji tyrimai, kurių metu buvo tirtas trumpalaikio suaugusiųjų, kuriems pasireiškė didžiosios depresijos sutrikimas, gydymo tianeptinu veiksmingumas: vienas pastovių dozių (37,5 mg, 75 mg) vartojimo</w:t>
      </w:r>
      <w:r>
        <w:t>,</w:t>
      </w:r>
      <w:r w:rsidRPr="00444CB1">
        <w:t xml:space="preserve"> du su galimu laipsnišku dozės didinimu ar mažinimu (pradinė dozė – 37,5 mg, vėliau – 25, 37,5 ar 50 mg)</w:t>
      </w:r>
      <w:r>
        <w:t xml:space="preserve"> ir </w:t>
      </w:r>
      <w:r w:rsidRPr="000B4818">
        <w:rPr>
          <w:rFonts w:eastAsia="Calibri"/>
        </w:rPr>
        <w:t>vienas, kuriame dalyvavo senyvi pacientai (311 pacientų buvo 65 metai ar daugiau; ~100 pacientų kiekvienoje gydymo grupėje, įskaitant ~20 pacientų, kuriems buvo 75 metai kiekvienoje gydymo grupėje) su galimybe po dviejų gydymo savaičių padidinti dozę, atsižvelgiant į paciento būklės pagerėjimą (25 mg, po to 25 mg ar 50 mg)</w:t>
      </w:r>
      <w:r w:rsidRPr="000B4818">
        <w:t>. Pastovių ir kintamų dozių tyrimų su suaugusiaisiais</w:t>
      </w:r>
      <w:r>
        <w:rPr>
          <w:bCs/>
          <w:iCs w:val="0"/>
          <w:lang w:val="fr-FR"/>
        </w:rPr>
        <w:t>s</w:t>
      </w:r>
      <w:r w:rsidRPr="00444CB1">
        <w:rPr>
          <w:bCs/>
          <w:iCs w:val="0"/>
          <w:lang w:val="fr-FR"/>
        </w:rPr>
        <w:t xml:space="preserve">varbiausioji vertinamoji baigtis buvo bendrojo </w:t>
      </w:r>
      <w:r w:rsidRPr="00444CB1">
        <w:rPr>
          <w:bCs/>
          <w:i/>
          <w:iCs w:val="0"/>
          <w:lang w:val="fr-FR"/>
        </w:rPr>
        <w:t>MADRS</w:t>
      </w:r>
      <w:r w:rsidRPr="00444CB1">
        <w:rPr>
          <w:bCs/>
          <w:iCs w:val="0"/>
          <w:lang w:val="fr-FR"/>
        </w:rPr>
        <w:t xml:space="preserve"> balo pokytis, palyginti su pradiniu</w:t>
      </w:r>
      <w:r w:rsidRPr="00444CB1">
        <w:rPr>
          <w:rFonts w:eastAsia="Times New Roman"/>
          <w:color w:val="002060"/>
        </w:rPr>
        <w:t>.</w:t>
      </w:r>
      <w:r w:rsidRPr="00444CB1">
        <w:rPr>
          <w:rFonts w:eastAsia="Times New Roman"/>
          <w:color w:val="002060"/>
          <w:lang w:val="fr-FR"/>
        </w:rPr>
        <w:t xml:space="preserve"> </w:t>
      </w:r>
      <w:r w:rsidRPr="00444CB1">
        <w:rPr>
          <w:lang w:val="fr-FR"/>
        </w:rPr>
        <w:t>Du kintamų</w:t>
      </w:r>
      <w:r w:rsidRPr="00444CB1">
        <w:rPr>
          <w:bCs/>
          <w:iCs w:val="0"/>
          <w:lang w:val="fr-FR"/>
        </w:rPr>
        <w:t>, bet ne pastovių</w:t>
      </w:r>
      <w:r w:rsidRPr="00444CB1">
        <w:rPr>
          <w:lang w:val="fr-FR"/>
        </w:rPr>
        <w:t xml:space="preserve"> dozių tyrimai parodė reikšmingą tianeptino veiksmingumą gydymo pabaigoje (6 savaitės). Vieno tyrimo metu buvo vartojamas aktyvus palyginamasis </w:t>
      </w:r>
      <w:r>
        <w:rPr>
          <w:lang w:val="fr-FR"/>
        </w:rPr>
        <w:t xml:space="preserve">vaistinis </w:t>
      </w:r>
      <w:r w:rsidRPr="00444CB1">
        <w:rPr>
          <w:lang w:val="fr-FR"/>
        </w:rPr>
        <w:t xml:space="preserve">preparatas (imipraminas) ir tai atskleidė tyrimo jautrumą. </w:t>
      </w:r>
    </w:p>
    <w:p w:rsidR="00A327F1" w:rsidRPr="00650489" w:rsidRDefault="00A327F1" w:rsidP="00A327F1">
      <w:pPr>
        <w:pStyle w:val="BTEMEASMCA"/>
      </w:pPr>
      <w:r>
        <w:t xml:space="preserve">Tyrimo, kuriame dalyvavo senyvi žmonės (galimo dozės didinimo tyrimas), duomenimis, atsižvelgiant į svarbiausiąją vertinamąją baigį (HAMD bendrojo balo pakytį, palyginti su pradiniu), buvo įrodytas reikšmingas tianeptino veiksmingumas po </w:t>
      </w:r>
      <w:r w:rsidRPr="00D748DE">
        <w:rPr>
          <w:lang w:val="fr-FR"/>
        </w:rPr>
        <w:t>8</w:t>
      </w:r>
      <w:r>
        <w:t xml:space="preserve"> gydymo savaičių. </w:t>
      </w:r>
      <w:r w:rsidRPr="00650489">
        <w:t>Šiame tyrime naudo</w:t>
      </w:r>
      <w:r>
        <w:t>t</w:t>
      </w:r>
      <w:r w:rsidRPr="00650489">
        <w:t>a</w:t>
      </w:r>
      <w:r>
        <w:t>s</w:t>
      </w:r>
      <w:r w:rsidRPr="00650489">
        <w:t xml:space="preserve"> aktyv</w:t>
      </w:r>
      <w:r>
        <w:t>us</w:t>
      </w:r>
      <w:r w:rsidRPr="00650489">
        <w:t xml:space="preserve"> </w:t>
      </w:r>
      <w:r>
        <w:t>palyginamasis vaistas</w:t>
      </w:r>
      <w:r w:rsidRPr="00650489">
        <w:t xml:space="preserve"> escitalopramas parodė </w:t>
      </w:r>
      <w:r>
        <w:t xml:space="preserve">tyrimo </w:t>
      </w:r>
      <w:r w:rsidRPr="00650489">
        <w:t>jautrumą.</w:t>
      </w:r>
    </w:p>
    <w:p w:rsidR="00A327F1" w:rsidRDefault="00A327F1" w:rsidP="00A327F1">
      <w:pPr>
        <w:pStyle w:val="BTEMEASMCA"/>
        <w:rPr>
          <w:lang w:val="fr-FR"/>
        </w:rPr>
      </w:pPr>
    </w:p>
    <w:p w:rsidR="00A327F1" w:rsidRPr="00827519" w:rsidRDefault="00A327F1" w:rsidP="00A327F1">
      <w:pPr>
        <w:pStyle w:val="BTEMEASMCA"/>
      </w:pPr>
      <w:r w:rsidRPr="00444CB1">
        <w:rPr>
          <w:lang w:val="fr-FR"/>
        </w:rPr>
        <w:t>Atkryčio ir pasikartojimo profilaktikos tyrimas parodė palaikomojo antidepresinio gydymo veiksmingumą.</w:t>
      </w:r>
      <w:r>
        <w:rPr>
          <w:lang w:val="fr-FR"/>
        </w:rPr>
        <w:t xml:space="preserve"> </w:t>
      </w:r>
      <w:r w:rsidRPr="002E75CF">
        <w:t>Pacient</w:t>
      </w:r>
      <w:r w:rsidRPr="00FA1118">
        <w:t xml:space="preserve">ams, kurie reagavo į 6 savaičių trumpalaikį gydymą </w:t>
      </w:r>
      <w:r w:rsidRPr="00444CB1">
        <w:t xml:space="preserve">kintamomis tianeptino paros dozėmis nuo 2 iki 4 tablečių (nuo 25 iki 50 mg per parą), kurios buvo keičiamos tyrėjo sprendimu, vartojamomis </w:t>
      </w:r>
      <w:r w:rsidRPr="00D56CD3">
        <w:t xml:space="preserve">atviru būdu vieną kartą per parą, atsitiktiniu būdu buvo paskirta </w:t>
      </w:r>
      <w:r w:rsidRPr="00006311">
        <w:t xml:space="preserve">kitus 16,5 mėnesių vartoti arba tianeptino paros dozę, arba placebą. Buvo įrodyta, kad </w:t>
      </w:r>
      <w:r w:rsidRPr="000164F1">
        <w:t>tianeptinas</w:t>
      </w:r>
      <w:r w:rsidRPr="00C9208D">
        <w:t>, vartojamas vieną kartą per parą, palyginti su placebu, daro statistiškai reikšmingai geresnį poveikį svarbiausiajai vertinamajai baigčiai</w:t>
      </w:r>
      <w:r w:rsidRPr="00455F78">
        <w:t xml:space="preserve"> (p &lt; 0,001), ir atsižvelgiant į laikotarpį, po kurio pasireiškė atkrytis ar pasikartojimas, saugojo nuo depresijos atkryčio ir pasikartojimo. Atkryčio per 6 dvigubai koduoto stebėjimo mėnesius dažnis vartojant tianeptiną ir placebą buvo atitinkamai 6 % ir 22 %. Atkryčio per 18 dvigubai koduoto stebėjimo mėnesių dažnis buvo atitinkamai 16 % ir 36 %.</w:t>
      </w:r>
    </w:p>
    <w:p w:rsidR="00A327F1" w:rsidRPr="00444CB1" w:rsidRDefault="00A327F1" w:rsidP="00A327F1">
      <w:pPr>
        <w:pStyle w:val="BTEMEASMCA"/>
      </w:pPr>
    </w:p>
    <w:p w:rsidR="00A327F1" w:rsidRPr="00C9208D" w:rsidRDefault="00A327F1" w:rsidP="00A327F1">
      <w:pPr>
        <w:pStyle w:val="BTEMEASMCA"/>
      </w:pPr>
    </w:p>
    <w:p w:rsidR="00A327F1" w:rsidRPr="00605BE2" w:rsidRDefault="00A327F1" w:rsidP="00A327F1">
      <w:pPr>
        <w:pStyle w:val="PI-2EMEASMCA"/>
      </w:pPr>
      <w:bookmarkStart w:id="35" w:name="_Toc129243238"/>
      <w:bookmarkStart w:id="36" w:name="_Toc129243113"/>
      <w:r w:rsidRPr="00F600A8">
        <w:t>5.2</w:t>
      </w:r>
      <w:r w:rsidRPr="00F600A8">
        <w:tab/>
      </w:r>
      <w:proofErr w:type="spellStart"/>
      <w:r w:rsidRPr="00F600A8">
        <w:t>Farmakokinetinės</w:t>
      </w:r>
      <w:proofErr w:type="spellEnd"/>
      <w:r w:rsidRPr="00F600A8">
        <w:t xml:space="preserve"> savybė</w:t>
      </w:r>
      <w:r w:rsidRPr="00605BE2">
        <w:t>s</w:t>
      </w:r>
      <w:bookmarkEnd w:id="35"/>
      <w:bookmarkEnd w:id="36"/>
    </w:p>
    <w:p w:rsidR="00A327F1" w:rsidRPr="0001550C" w:rsidRDefault="00A327F1" w:rsidP="00A327F1">
      <w:pPr>
        <w:pStyle w:val="BTEMEASMCA"/>
      </w:pPr>
    </w:p>
    <w:p w:rsidR="00A327F1" w:rsidRPr="00FA1118" w:rsidRDefault="00A327F1" w:rsidP="00A327F1">
      <w:pPr>
        <w:pStyle w:val="BTEMEASMCA"/>
        <w:rPr>
          <w:u w:val="single"/>
        </w:rPr>
      </w:pPr>
      <w:r w:rsidRPr="00FA1118">
        <w:rPr>
          <w:u w:val="single"/>
        </w:rPr>
        <w:t>Absorbcija</w:t>
      </w:r>
    </w:p>
    <w:p w:rsidR="00A327F1" w:rsidRPr="002F3A66" w:rsidRDefault="00A327F1" w:rsidP="00A327F1">
      <w:pPr>
        <w:pStyle w:val="BTEMEASMCA"/>
      </w:pPr>
      <w:r w:rsidRPr="0001550C">
        <w:t xml:space="preserve">Išgertas </w:t>
      </w:r>
      <w:r w:rsidRPr="00750BE0">
        <w:t>t</w:t>
      </w:r>
      <w:r w:rsidRPr="002F3A66">
        <w:t xml:space="preserve">ianeptinas virškinamajame trakte yra absorbuojamas greitai ir visiškai. </w:t>
      </w:r>
    </w:p>
    <w:p w:rsidR="00A327F1" w:rsidRPr="00D56CD3" w:rsidRDefault="00A327F1" w:rsidP="00A327F1">
      <w:pPr>
        <w:pStyle w:val="BTEMEASMCA"/>
      </w:pPr>
    </w:p>
    <w:p w:rsidR="00A327F1" w:rsidRPr="00B84FB7" w:rsidRDefault="00A327F1" w:rsidP="00A327F1">
      <w:pPr>
        <w:pStyle w:val="BTEMEASMCA"/>
        <w:rPr>
          <w:u w:val="single"/>
        </w:rPr>
      </w:pPr>
      <w:r w:rsidRPr="00FA1118">
        <w:rPr>
          <w:u w:val="single"/>
        </w:rPr>
        <w:t>Pasiskirsty</w:t>
      </w:r>
      <w:r w:rsidRPr="00B84FB7">
        <w:rPr>
          <w:u w:val="single"/>
        </w:rPr>
        <w:t>mas</w:t>
      </w:r>
    </w:p>
    <w:p w:rsidR="00A327F1" w:rsidRPr="00D56CD3" w:rsidRDefault="00A327F1" w:rsidP="00A327F1">
      <w:pPr>
        <w:pStyle w:val="BTEMEASMCA"/>
      </w:pPr>
      <w:r w:rsidRPr="0001550C">
        <w:t>Vaistinis preparatas greitai pasiskirsto organizme, maždaug 94 % prisijungia prie baltymų, daugiausiai albuminų.</w:t>
      </w:r>
      <w:r w:rsidRPr="00750BE0" w:rsidDel="00684C1A">
        <w:t xml:space="preserve"> </w:t>
      </w:r>
    </w:p>
    <w:p w:rsidR="00A327F1" w:rsidRDefault="00A327F1" w:rsidP="00A327F1">
      <w:pPr>
        <w:pStyle w:val="BTEMEASMCA"/>
      </w:pPr>
    </w:p>
    <w:p w:rsidR="00A327F1" w:rsidRPr="00D57058" w:rsidRDefault="00A327F1" w:rsidP="00A327F1">
      <w:pPr>
        <w:pStyle w:val="BTEMEASMCA"/>
        <w:rPr>
          <w:u w:val="single"/>
        </w:rPr>
      </w:pPr>
      <w:r w:rsidRPr="00B84FB7">
        <w:rPr>
          <w:u w:val="single"/>
        </w:rPr>
        <w:t>Metabolizmas</w:t>
      </w:r>
    </w:p>
    <w:p w:rsidR="00A327F1" w:rsidRPr="00006311" w:rsidRDefault="00A327F1" w:rsidP="00A327F1">
      <w:pPr>
        <w:pStyle w:val="BTEMEASMCA"/>
      </w:pPr>
      <w:r w:rsidRPr="0001550C">
        <w:t>Didelė dalis tianeptino yra metabolizuojama kepenyse, daugiausiai beta oksidacijos būdu, o ne veikiant CYP450 izofermentams. Pagrindinis metabolitas yra veiklioji pentano rūgšt</w:t>
      </w:r>
      <w:r w:rsidRPr="00750BE0">
        <w:t>is (MC5), kurios potencija yra mažesnė už tianeptino.</w:t>
      </w:r>
    </w:p>
    <w:p w:rsidR="00A327F1" w:rsidRDefault="00A327F1" w:rsidP="00A327F1">
      <w:pPr>
        <w:pStyle w:val="BTEMEASMCA"/>
      </w:pPr>
    </w:p>
    <w:p w:rsidR="00A327F1" w:rsidRPr="004D7CD2" w:rsidRDefault="00A327F1" w:rsidP="00A327F1">
      <w:pPr>
        <w:pStyle w:val="BTEMEASMCA"/>
        <w:rPr>
          <w:u w:val="single"/>
        </w:rPr>
      </w:pPr>
      <w:r w:rsidRPr="00D57058">
        <w:rPr>
          <w:u w:val="single"/>
        </w:rPr>
        <w:t>Eliminacija</w:t>
      </w:r>
    </w:p>
    <w:p w:rsidR="00A327F1" w:rsidRPr="00006311" w:rsidRDefault="00A327F1" w:rsidP="00A327F1">
      <w:pPr>
        <w:pStyle w:val="BTEMEASMCA"/>
      </w:pPr>
      <w:r w:rsidRPr="0001550C">
        <w:t>Tianeptino eliminacijai yra būdingas trumpas 3 valandų pusinis periodas, dauguma metabolitų šalinami su š</w:t>
      </w:r>
      <w:r w:rsidRPr="00750BE0">
        <w:t>lapimu</w:t>
      </w:r>
      <w:r>
        <w:t>.</w:t>
      </w:r>
      <w:r w:rsidRPr="0001550C" w:rsidDel="00684C1A">
        <w:t xml:space="preserve"> </w:t>
      </w:r>
    </w:p>
    <w:p w:rsidR="00A327F1" w:rsidRDefault="00A327F1" w:rsidP="00A327F1">
      <w:pPr>
        <w:pStyle w:val="BTEMEASMCA"/>
      </w:pPr>
    </w:p>
    <w:p w:rsidR="00A327F1" w:rsidRPr="004D7CD2" w:rsidRDefault="00A327F1" w:rsidP="00A327F1">
      <w:pPr>
        <w:pStyle w:val="BTEMEASMCA"/>
        <w:rPr>
          <w:u w:val="single"/>
        </w:rPr>
      </w:pPr>
      <w:r w:rsidRPr="00444CB1">
        <w:rPr>
          <w:u w:val="single"/>
        </w:rPr>
        <w:t>Ypatingos populiacijos</w:t>
      </w:r>
    </w:p>
    <w:p w:rsidR="00A327F1" w:rsidRPr="002F3A66" w:rsidRDefault="00A327F1" w:rsidP="00A327F1">
      <w:pPr>
        <w:pStyle w:val="BTEMEASMCA"/>
      </w:pPr>
      <w:r w:rsidRPr="0001550C">
        <w:t>Pavartojus vienkartinę arba vartojant kartotines vaistinio preparato dozes,</w:t>
      </w:r>
      <w:r w:rsidRPr="00750BE0">
        <w:t xml:space="preserve"> tianeptino koncentracijos senyvų pacientų organizme padidėja 30 %, o MC5 koncentracijos būna maždaug dvigubai didesnės, palyginti su išmatuotomis jaunų žmonių organizme (žr. 4.2 skyrių).</w:t>
      </w:r>
    </w:p>
    <w:p w:rsidR="00A327F1" w:rsidRPr="00BF5E43" w:rsidRDefault="00A327F1" w:rsidP="00A327F1">
      <w:pPr>
        <w:pStyle w:val="BTEMEASMCA"/>
      </w:pPr>
      <w:r w:rsidRPr="00D56CD3">
        <w:t>P</w:t>
      </w:r>
      <w:r w:rsidRPr="00006311">
        <w:t xml:space="preserve">avartojus vienkartinę arba vartojant kartotines dozes, tianeptino ir MC5 Cmax ir AUC labai senų (87 ± 5 metai) ir nusilpusių (45 ± 9 kg) pacientų organizme būna </w:t>
      </w:r>
      <w:r w:rsidRPr="00BF5E43">
        <w:t>reikšmingai didesnės (žr. 4.2 skyrių).</w:t>
      </w:r>
    </w:p>
    <w:p w:rsidR="00A327F1" w:rsidRPr="00C9208D" w:rsidRDefault="00A327F1" w:rsidP="00A327F1">
      <w:pPr>
        <w:pStyle w:val="BTEMEASMCA"/>
      </w:pPr>
    </w:p>
    <w:p w:rsidR="00A327F1" w:rsidRPr="00444CB1" w:rsidRDefault="00A327F1" w:rsidP="00A327F1">
      <w:pPr>
        <w:pStyle w:val="BTEMEASMCA"/>
        <w:rPr>
          <w:u w:val="single"/>
        </w:rPr>
      </w:pPr>
      <w:r w:rsidRPr="00444CB1">
        <w:rPr>
          <w:u w:val="single"/>
        </w:rPr>
        <w:t>Sutrikusi inkstų funkcija</w:t>
      </w:r>
    </w:p>
    <w:p w:rsidR="00A327F1" w:rsidRPr="002F3A66" w:rsidRDefault="00A327F1" w:rsidP="00A327F1">
      <w:pPr>
        <w:pStyle w:val="BTEMEASMCA"/>
      </w:pPr>
      <w:r w:rsidRPr="00750BE0">
        <w:t>Tianeptino farmakokinetinės savybės nepakinta, bet pavartoju</w:t>
      </w:r>
      <w:r w:rsidRPr="002F3A66">
        <w:t>s vienkartinę arba vartojant kartotines dozes, MC5 AUC būna maždaug dvigubai didesnis (žr. 4.2 skyrių).</w:t>
      </w:r>
    </w:p>
    <w:p w:rsidR="00A327F1" w:rsidRPr="00D56CD3" w:rsidRDefault="00A327F1" w:rsidP="00A327F1">
      <w:pPr>
        <w:pStyle w:val="BTEMEASMCA"/>
      </w:pPr>
    </w:p>
    <w:p w:rsidR="00A327F1" w:rsidRPr="00444CB1" w:rsidRDefault="00A327F1" w:rsidP="00A327F1">
      <w:pPr>
        <w:pStyle w:val="BTEMEASMCA"/>
        <w:rPr>
          <w:u w:val="single"/>
        </w:rPr>
      </w:pPr>
      <w:r w:rsidRPr="00444CB1">
        <w:rPr>
          <w:u w:val="single"/>
        </w:rPr>
        <w:t>Sutrikusi kepenų funkcija</w:t>
      </w:r>
    </w:p>
    <w:p w:rsidR="00A327F1" w:rsidRPr="00D56CD3" w:rsidRDefault="00A327F1" w:rsidP="00A327F1">
      <w:pPr>
        <w:pStyle w:val="BTEMEASMCA"/>
      </w:pPr>
      <w:r w:rsidRPr="00750BE0">
        <w:t xml:space="preserve">Išgėrus 12,5 mg dozę, ir tianeptino, ir MC5 AUC būna </w:t>
      </w:r>
      <w:r w:rsidRPr="00D56CD3">
        <w:t>didesnės už suaugusių depresija sergančių pacientų rodmenis (žr. 4.2 skyrių).</w:t>
      </w:r>
    </w:p>
    <w:p w:rsidR="00A327F1" w:rsidRPr="00D56CD3" w:rsidRDefault="00A327F1" w:rsidP="00A327F1">
      <w:pPr>
        <w:pStyle w:val="BTEMEASMCA"/>
      </w:pPr>
      <w:r w:rsidRPr="00D56CD3">
        <w:t>L</w:t>
      </w:r>
      <w:r w:rsidRPr="00006311">
        <w:t>engvesnės cirozės, pavyzdžiui, cirozės sergant alkoholizmu</w:t>
      </w:r>
      <w:r>
        <w:t>,</w:t>
      </w:r>
      <w:r w:rsidRPr="0001550C">
        <w:t xml:space="preserve"> atveju poveikis farmakokinetinėms savybėms būna nereikšmingas (žr. 4.2 skyrių).</w:t>
      </w:r>
    </w:p>
    <w:p w:rsidR="00A327F1" w:rsidRPr="00D56CD3" w:rsidRDefault="00A327F1" w:rsidP="00A327F1">
      <w:pPr>
        <w:pStyle w:val="BTEMEASMCA"/>
      </w:pPr>
    </w:p>
    <w:p w:rsidR="00A327F1" w:rsidRPr="00F600A8" w:rsidRDefault="00A327F1" w:rsidP="00A327F1">
      <w:pPr>
        <w:pStyle w:val="PI-2EMEASMCA"/>
      </w:pPr>
      <w:bookmarkStart w:id="37" w:name="_Toc129243239"/>
      <w:bookmarkStart w:id="38" w:name="_Toc129243114"/>
      <w:r w:rsidRPr="00F600A8">
        <w:t>5.3</w:t>
      </w:r>
      <w:r w:rsidRPr="00F600A8">
        <w:tab/>
      </w:r>
      <w:proofErr w:type="spellStart"/>
      <w:r w:rsidRPr="00F600A8">
        <w:t>Ikiklinikinių</w:t>
      </w:r>
      <w:proofErr w:type="spellEnd"/>
      <w:r w:rsidRPr="00F600A8">
        <w:t xml:space="preserve"> saugumo tyrimų duomenys</w:t>
      </w:r>
      <w:bookmarkEnd w:id="37"/>
      <w:bookmarkEnd w:id="38"/>
    </w:p>
    <w:p w:rsidR="00A327F1" w:rsidRPr="0001550C" w:rsidRDefault="00A327F1" w:rsidP="00A327F1">
      <w:pPr>
        <w:pStyle w:val="BTEMEASMCA"/>
      </w:pPr>
    </w:p>
    <w:p w:rsidR="00A327F1" w:rsidRPr="002F3A66" w:rsidRDefault="00A327F1" w:rsidP="00A327F1">
      <w:pPr>
        <w:pStyle w:val="BTEMEASMCA"/>
      </w:pPr>
      <w:r w:rsidRPr="00750BE0">
        <w:t xml:space="preserve">Įprastų farmakologinio saugumo, kartotinių dozių toksiškumo, genotoksiškumo, galimo </w:t>
      </w:r>
      <w:r w:rsidRPr="008F6B8A">
        <w:t>kanc</w:t>
      </w:r>
      <w:r w:rsidRPr="00444CB1">
        <w:t>erogeniškumo, toksinio poveikio reprodukcijai ir vystymuisi ikiklinikinių tyrimų duomenys specifinio pavojaus žmogui nerodo. Remiantis įprasto vaisingumo tyrimo duomenimis, buvo stebėtas persileidimų iki implantacijos padaugėjimas, vartojant motininėms patelėms toksiškas 45 mg/kg per parą dozes (apskaičiavus pagal kūno paviršiaus plotą, maždaug 12 kartų didesnės už didžiausią žmogaus vartojamą dozę). Tianeptinas nesukėlė teratogeninio poveikio žiurkėms ir triušiams. Remiantis perinatalinių ir postnatalinių tyrimų duomenimis, vartojant žiurkių motininėms patelėms toksiškas 45 mg/kg per parą dozes (apskaičiavus pagal kūno paviršiaus plotą, maždaug 12 kartų didesnės už didžiausią žmogaus vartojamą dozę), patelėms pasireiškė laktacijos sutrikimas ir padaugėjo persileidimų iki implantacijos bei žūties po atsivedimo atvejų.</w:t>
      </w:r>
    </w:p>
    <w:p w:rsidR="00A327F1" w:rsidRPr="00827519" w:rsidRDefault="00A327F1" w:rsidP="00A327F1">
      <w:pPr>
        <w:pStyle w:val="BTEMEASMCA"/>
      </w:pPr>
    </w:p>
    <w:p w:rsidR="00A327F1" w:rsidRPr="00AD21B4" w:rsidRDefault="00A327F1" w:rsidP="00A327F1">
      <w:pPr>
        <w:pStyle w:val="BTEMEASMCA"/>
      </w:pPr>
    </w:p>
    <w:p w:rsidR="00A327F1" w:rsidRPr="00F600A8" w:rsidRDefault="00A327F1" w:rsidP="00A327F1">
      <w:pPr>
        <w:pStyle w:val="PI-1EMEASMCA"/>
        <w:keepLines/>
      </w:pPr>
      <w:bookmarkStart w:id="39" w:name="_Toc129243240"/>
      <w:bookmarkStart w:id="40" w:name="_Toc129243115"/>
      <w:r w:rsidRPr="00F600A8">
        <w:t>6.</w:t>
      </w:r>
      <w:r w:rsidRPr="00F600A8">
        <w:tab/>
        <w:t>FARMACINĖ INFORMACIJA</w:t>
      </w:r>
      <w:bookmarkEnd w:id="39"/>
      <w:bookmarkEnd w:id="40"/>
    </w:p>
    <w:p w:rsidR="00A327F1" w:rsidRPr="0001550C" w:rsidRDefault="00A327F1" w:rsidP="00A327F1">
      <w:pPr>
        <w:pStyle w:val="BTEMEASMCA"/>
      </w:pPr>
    </w:p>
    <w:p w:rsidR="00A327F1" w:rsidRPr="00F600A8" w:rsidRDefault="00A327F1" w:rsidP="00A327F1">
      <w:pPr>
        <w:pStyle w:val="PI-2EMEASMCA"/>
      </w:pPr>
      <w:bookmarkStart w:id="41" w:name="_Toc129243241"/>
      <w:bookmarkStart w:id="42" w:name="_Toc129243116"/>
      <w:r w:rsidRPr="00F600A8">
        <w:t>6.1</w:t>
      </w:r>
      <w:r w:rsidRPr="00F600A8">
        <w:tab/>
        <w:t>Pagalbinių medžiagų sąrašas</w:t>
      </w:r>
      <w:bookmarkEnd w:id="41"/>
      <w:bookmarkEnd w:id="42"/>
    </w:p>
    <w:p w:rsidR="00A327F1" w:rsidRPr="0001550C" w:rsidRDefault="00A327F1" w:rsidP="00A327F1">
      <w:pPr>
        <w:pStyle w:val="BTEMEASMCA"/>
      </w:pPr>
    </w:p>
    <w:p w:rsidR="00A327F1" w:rsidRPr="002F3A66" w:rsidRDefault="00A327F1" w:rsidP="00A327F1">
      <w:pPr>
        <w:pStyle w:val="BTEMEASMCA"/>
      </w:pPr>
      <w:r w:rsidRPr="00750BE0">
        <w:t>Tabletės branduolys</w:t>
      </w:r>
    </w:p>
    <w:p w:rsidR="00A327F1" w:rsidRPr="00006311" w:rsidRDefault="00A327F1" w:rsidP="00A327F1">
      <w:pPr>
        <w:pStyle w:val="BTEMEASMCA"/>
      </w:pPr>
      <w:r w:rsidRPr="00D56CD3">
        <w:t>M</w:t>
      </w:r>
      <w:r w:rsidRPr="00006311">
        <w:t>anitolis (E421)</w:t>
      </w:r>
    </w:p>
    <w:p w:rsidR="00A327F1" w:rsidRPr="00BF5E43" w:rsidRDefault="00A327F1" w:rsidP="00A327F1">
      <w:pPr>
        <w:pStyle w:val="BTEMEASMCA"/>
      </w:pPr>
      <w:r w:rsidRPr="00BF5E43">
        <w:lastRenderedPageBreak/>
        <w:t>Kukurūzų krakmolas</w:t>
      </w:r>
    </w:p>
    <w:p w:rsidR="00A327F1" w:rsidRPr="00455F78" w:rsidRDefault="00A327F1" w:rsidP="00A327F1">
      <w:pPr>
        <w:pStyle w:val="BTEMEASMCA"/>
      </w:pPr>
      <w:r w:rsidRPr="00455F78">
        <w:t>Talkas</w:t>
      </w:r>
    </w:p>
    <w:p w:rsidR="00A327F1" w:rsidRPr="00447181" w:rsidRDefault="00A327F1" w:rsidP="00A327F1">
      <w:pPr>
        <w:pStyle w:val="BTEMEASMCA"/>
      </w:pPr>
      <w:r w:rsidRPr="00455F78">
        <w:t>Magnio stearatas</w:t>
      </w:r>
    </w:p>
    <w:p w:rsidR="00A327F1" w:rsidRPr="00827519" w:rsidRDefault="00A327F1" w:rsidP="00A327F1">
      <w:pPr>
        <w:pStyle w:val="BTEMEASMCA"/>
      </w:pPr>
    </w:p>
    <w:p w:rsidR="00A327F1" w:rsidRPr="00792135" w:rsidRDefault="00A327F1" w:rsidP="00A327F1">
      <w:pPr>
        <w:pStyle w:val="BTEMEASMCA"/>
      </w:pPr>
      <w:r w:rsidRPr="00AD21B4">
        <w:t>Tabletės dangalas</w:t>
      </w:r>
    </w:p>
    <w:p w:rsidR="00A327F1" w:rsidRPr="00463DE6" w:rsidRDefault="00A327F1" w:rsidP="00A327F1">
      <w:pPr>
        <w:pStyle w:val="BTEMEASMCA"/>
      </w:pPr>
      <w:r w:rsidRPr="00FE2058">
        <w:t xml:space="preserve">Etilceliuliozė </w:t>
      </w:r>
    </w:p>
    <w:p w:rsidR="00A327F1" w:rsidRPr="0073666E" w:rsidRDefault="00A327F1" w:rsidP="00A327F1">
      <w:pPr>
        <w:pStyle w:val="BTEMEASMCA"/>
      </w:pPr>
      <w:r w:rsidRPr="00923133">
        <w:t>Glicerolio monooleatas</w:t>
      </w:r>
    </w:p>
    <w:p w:rsidR="00A327F1" w:rsidRPr="005408C5" w:rsidRDefault="00A327F1" w:rsidP="00A327F1">
      <w:pPr>
        <w:pStyle w:val="BTEMEASMCA"/>
      </w:pPr>
      <w:r w:rsidRPr="00FE23FD">
        <w:t>Povidonas</w:t>
      </w:r>
    </w:p>
    <w:p w:rsidR="00A327F1" w:rsidRPr="00D57058" w:rsidRDefault="00A327F1" w:rsidP="00A327F1">
      <w:pPr>
        <w:pStyle w:val="BTEMEASMCA"/>
      </w:pPr>
      <w:r w:rsidRPr="00B84FB7">
        <w:t>Karmeliozės natrio druska</w:t>
      </w:r>
    </w:p>
    <w:p w:rsidR="00A327F1" w:rsidRPr="004D7CD2" w:rsidRDefault="00A327F1" w:rsidP="00A327F1">
      <w:pPr>
        <w:pStyle w:val="BTEMEASMCA"/>
      </w:pPr>
      <w:r w:rsidRPr="004D7CD2">
        <w:t>Koloidinis bevandenis silicio dioksidas</w:t>
      </w:r>
    </w:p>
    <w:p w:rsidR="00A327F1" w:rsidRPr="00F7455B" w:rsidRDefault="00A327F1" w:rsidP="00A327F1">
      <w:pPr>
        <w:pStyle w:val="BTEMEASMCA"/>
      </w:pPr>
      <w:r w:rsidRPr="0037148B">
        <w:t>Sacharozė</w:t>
      </w:r>
    </w:p>
    <w:p w:rsidR="00A327F1" w:rsidRPr="008F6B8A" w:rsidRDefault="00A327F1" w:rsidP="00A327F1">
      <w:pPr>
        <w:pStyle w:val="BTEMEASMCA"/>
      </w:pPr>
      <w:r w:rsidRPr="008F6B8A">
        <w:t>Polisorbatas 80</w:t>
      </w:r>
    </w:p>
    <w:p w:rsidR="00A327F1" w:rsidRPr="00444CB1" w:rsidRDefault="00A327F1" w:rsidP="00A327F1">
      <w:pPr>
        <w:pStyle w:val="BTEMEASMCA"/>
      </w:pPr>
      <w:r w:rsidRPr="00444CB1">
        <w:t>Titano dioksidas (E171)</w:t>
      </w:r>
    </w:p>
    <w:p w:rsidR="00A327F1" w:rsidRPr="00444CB1" w:rsidRDefault="00A327F1" w:rsidP="00A327F1">
      <w:pPr>
        <w:pStyle w:val="BTEMEASMCA"/>
      </w:pPr>
      <w:r w:rsidRPr="00444CB1">
        <w:t>Natrio-vandenilio karbonatas</w:t>
      </w:r>
    </w:p>
    <w:p w:rsidR="00A327F1" w:rsidRPr="00444CB1" w:rsidRDefault="00A327F1" w:rsidP="00A327F1">
      <w:pPr>
        <w:pStyle w:val="BTEMEASMCA"/>
      </w:pPr>
      <w:r w:rsidRPr="00444CB1">
        <w:t>Baltasis vaškas</w:t>
      </w:r>
    </w:p>
    <w:p w:rsidR="00A327F1" w:rsidRPr="00444CB1" w:rsidRDefault="00A327F1" w:rsidP="00A327F1">
      <w:pPr>
        <w:pStyle w:val="BTEMEASMCA"/>
      </w:pPr>
      <w:r w:rsidRPr="00444CB1">
        <w:t>Talkas</w:t>
      </w:r>
    </w:p>
    <w:p w:rsidR="00A327F1" w:rsidRPr="00444CB1" w:rsidRDefault="00A327F1" w:rsidP="00A327F1">
      <w:pPr>
        <w:pStyle w:val="BTEMEASMCA"/>
      </w:pPr>
    </w:p>
    <w:p w:rsidR="00A327F1" w:rsidRPr="00F600A8" w:rsidRDefault="00A327F1" w:rsidP="00A327F1">
      <w:pPr>
        <w:pStyle w:val="PI-2EMEASMCA"/>
      </w:pPr>
      <w:bookmarkStart w:id="43" w:name="_Toc129243242"/>
      <w:bookmarkStart w:id="44" w:name="_Toc129243117"/>
      <w:r w:rsidRPr="00F600A8">
        <w:t>6.2</w:t>
      </w:r>
      <w:r w:rsidRPr="00F600A8">
        <w:tab/>
        <w:t>Nesuderinamumas</w:t>
      </w:r>
      <w:bookmarkEnd w:id="43"/>
      <w:bookmarkEnd w:id="44"/>
    </w:p>
    <w:p w:rsidR="00A327F1" w:rsidRPr="0001550C" w:rsidRDefault="00A327F1" w:rsidP="00A327F1">
      <w:pPr>
        <w:pStyle w:val="BTEMEASMCA"/>
      </w:pPr>
    </w:p>
    <w:p w:rsidR="00A327F1" w:rsidRPr="002F3A66" w:rsidRDefault="00A327F1" w:rsidP="00A327F1">
      <w:pPr>
        <w:pStyle w:val="BTEMEASMCA"/>
      </w:pPr>
      <w:r w:rsidRPr="00750BE0">
        <w:t>Duomenys nebūtini.</w:t>
      </w:r>
    </w:p>
    <w:p w:rsidR="00A327F1" w:rsidRPr="00D56CD3" w:rsidRDefault="00A327F1" w:rsidP="00A327F1">
      <w:pPr>
        <w:pStyle w:val="BTEMEASMCA"/>
      </w:pPr>
    </w:p>
    <w:p w:rsidR="00A327F1" w:rsidRPr="00F600A8" w:rsidRDefault="00A327F1" w:rsidP="00A327F1">
      <w:pPr>
        <w:pStyle w:val="PI-2EMEASMCA"/>
      </w:pPr>
      <w:bookmarkStart w:id="45" w:name="_Toc129243243"/>
      <w:bookmarkStart w:id="46" w:name="_Toc129243118"/>
      <w:r w:rsidRPr="00F600A8">
        <w:t>6.3</w:t>
      </w:r>
      <w:r w:rsidRPr="00F600A8">
        <w:tab/>
        <w:t>Tinkamumo laikas</w:t>
      </w:r>
      <w:bookmarkEnd w:id="45"/>
      <w:bookmarkEnd w:id="46"/>
    </w:p>
    <w:p w:rsidR="00A327F1" w:rsidRPr="0001550C" w:rsidRDefault="00A327F1" w:rsidP="00A327F1">
      <w:pPr>
        <w:pStyle w:val="BTEMEASMCA"/>
      </w:pPr>
    </w:p>
    <w:p w:rsidR="00A327F1" w:rsidRPr="002F3A66" w:rsidRDefault="00A327F1" w:rsidP="00A327F1">
      <w:pPr>
        <w:pStyle w:val="BTEMEASMCA"/>
      </w:pPr>
      <w:r w:rsidRPr="00750BE0">
        <w:t>3 metai.</w:t>
      </w:r>
    </w:p>
    <w:p w:rsidR="00A327F1" w:rsidRPr="00D56CD3" w:rsidRDefault="00A327F1" w:rsidP="00A327F1">
      <w:pPr>
        <w:pStyle w:val="BTEMEASMCA"/>
      </w:pPr>
    </w:p>
    <w:p w:rsidR="00A327F1" w:rsidRPr="00F600A8" w:rsidRDefault="00A327F1" w:rsidP="00A327F1">
      <w:pPr>
        <w:pStyle w:val="PI-2EMEASMCA"/>
      </w:pPr>
      <w:bookmarkStart w:id="47" w:name="_Toc129243244"/>
      <w:bookmarkStart w:id="48" w:name="_Toc129243119"/>
      <w:r w:rsidRPr="00F600A8">
        <w:t>6.4</w:t>
      </w:r>
      <w:r w:rsidRPr="00F600A8">
        <w:tab/>
        <w:t>Specialios laikymo sąlygos</w:t>
      </w:r>
      <w:bookmarkEnd w:id="47"/>
      <w:bookmarkEnd w:id="48"/>
    </w:p>
    <w:p w:rsidR="00A327F1" w:rsidRPr="0001550C" w:rsidRDefault="00A327F1" w:rsidP="00A327F1">
      <w:pPr>
        <w:pStyle w:val="BTEMEASMCA"/>
      </w:pPr>
    </w:p>
    <w:p w:rsidR="00A327F1" w:rsidRPr="002F3A66" w:rsidRDefault="00A327F1" w:rsidP="00A327F1">
      <w:pPr>
        <w:pStyle w:val="BTEMEASMCA"/>
      </w:pPr>
      <w:r w:rsidRPr="00750BE0">
        <w:t>Šiam vaistiniam prepara</w:t>
      </w:r>
      <w:r w:rsidRPr="002F3A66">
        <w:t>tui specialių laikymo sąlygų nereikia.</w:t>
      </w:r>
    </w:p>
    <w:p w:rsidR="00A327F1" w:rsidRPr="00D56CD3" w:rsidRDefault="00A327F1" w:rsidP="00A327F1">
      <w:pPr>
        <w:pStyle w:val="BTEMEASMCA"/>
      </w:pPr>
    </w:p>
    <w:p w:rsidR="00A327F1" w:rsidRPr="00F600A8" w:rsidRDefault="00A327F1" w:rsidP="00A327F1">
      <w:pPr>
        <w:pStyle w:val="PI-2EMEASMCA"/>
      </w:pPr>
      <w:bookmarkStart w:id="49" w:name="_Toc129243245"/>
      <w:bookmarkStart w:id="50" w:name="_Toc129243120"/>
      <w:r w:rsidRPr="00F600A8">
        <w:t>6.5</w:t>
      </w:r>
      <w:r w:rsidRPr="00F600A8">
        <w:tab/>
      </w:r>
      <w:proofErr w:type="spellStart"/>
      <w:r w:rsidRPr="00F600A8">
        <w:t>Talpyklės</w:t>
      </w:r>
      <w:proofErr w:type="spellEnd"/>
      <w:r w:rsidRPr="00F600A8">
        <w:t xml:space="preserve"> pobūdis ir jos turinys</w:t>
      </w:r>
      <w:bookmarkEnd w:id="49"/>
      <w:bookmarkEnd w:id="50"/>
    </w:p>
    <w:p w:rsidR="00A327F1" w:rsidRPr="0001550C" w:rsidRDefault="00A327F1" w:rsidP="00A327F1">
      <w:pPr>
        <w:pStyle w:val="BTEMEASMCA"/>
      </w:pPr>
    </w:p>
    <w:p w:rsidR="00A327F1" w:rsidRPr="002F3A66" w:rsidRDefault="00A327F1" w:rsidP="00A327F1">
      <w:pPr>
        <w:pStyle w:val="BTEMEASMCA"/>
      </w:pPr>
      <w:r w:rsidRPr="00750BE0">
        <w:t xml:space="preserve">PVC/aliuminio lizdinė plokštelė. </w:t>
      </w:r>
    </w:p>
    <w:p w:rsidR="00A327F1" w:rsidRPr="00006311" w:rsidRDefault="00A327F1" w:rsidP="00A327F1">
      <w:pPr>
        <w:pStyle w:val="BTEMEASMCA"/>
      </w:pPr>
      <w:r w:rsidRPr="00D56CD3">
        <w:t>K</w:t>
      </w:r>
      <w:r w:rsidRPr="00006311">
        <w:t>artoninėje dėžutėje yra 30 arba 90 dengtų tablečių</w:t>
      </w:r>
      <w:r w:rsidRPr="00006311" w:rsidDel="00553568">
        <w:t xml:space="preserve"> </w:t>
      </w:r>
    </w:p>
    <w:p w:rsidR="00A327F1" w:rsidRPr="000164F1" w:rsidRDefault="00A327F1" w:rsidP="00A327F1">
      <w:pPr>
        <w:pStyle w:val="BTEMEASMCA"/>
      </w:pPr>
      <w:r w:rsidRPr="00BF5E43">
        <w:t>Gali būti tiekiamos ne visų dydžių pakuotės</w:t>
      </w:r>
      <w:r w:rsidRPr="000164F1">
        <w:t>.</w:t>
      </w:r>
    </w:p>
    <w:p w:rsidR="00A327F1" w:rsidRPr="000164F1" w:rsidRDefault="00A327F1" w:rsidP="00A327F1">
      <w:pPr>
        <w:pStyle w:val="BTEMEASMCA"/>
      </w:pPr>
    </w:p>
    <w:p w:rsidR="00A327F1" w:rsidRPr="00455F78" w:rsidRDefault="00A327F1" w:rsidP="00A327F1">
      <w:pPr>
        <w:pStyle w:val="BTEMEASMCA"/>
      </w:pPr>
    </w:p>
    <w:p w:rsidR="00A327F1" w:rsidRPr="006F3CAC" w:rsidRDefault="00A327F1" w:rsidP="00A327F1">
      <w:pPr>
        <w:pStyle w:val="PI-2EMEASMCA"/>
      </w:pPr>
      <w:r w:rsidRPr="00F600A8">
        <w:t>6.6</w:t>
      </w:r>
      <w:r w:rsidRPr="00F600A8">
        <w:tab/>
        <w:t>Specialūs reikalavimai atliekoms tvarkyt</w:t>
      </w:r>
      <w:r w:rsidRPr="006F3CAC">
        <w:t xml:space="preserve">i </w:t>
      </w:r>
    </w:p>
    <w:p w:rsidR="00A327F1" w:rsidRPr="0001550C" w:rsidRDefault="00A327F1" w:rsidP="00A327F1">
      <w:pPr>
        <w:pStyle w:val="BTEMEASMCA"/>
      </w:pPr>
    </w:p>
    <w:p w:rsidR="00A327F1" w:rsidRPr="002F3A66" w:rsidRDefault="00A327F1" w:rsidP="00A327F1">
      <w:pPr>
        <w:pStyle w:val="BTEMEASMCA"/>
      </w:pPr>
      <w:r w:rsidRPr="00750BE0">
        <w:t>Specialių reikalavimų atliekoms tvarkyti nėra.</w:t>
      </w:r>
    </w:p>
    <w:p w:rsidR="00A327F1" w:rsidRPr="00006311" w:rsidRDefault="00A327F1" w:rsidP="00A327F1">
      <w:pPr>
        <w:pStyle w:val="BTEMEASMCA"/>
      </w:pPr>
      <w:r w:rsidRPr="00D56CD3">
        <w:t>N</w:t>
      </w:r>
      <w:r w:rsidRPr="00006311">
        <w:t xml:space="preserve">esuvartotą vaistinį preparatą ar atliekas reikia tvarkyti laikantis vietinių reikalavimų. </w:t>
      </w:r>
    </w:p>
    <w:p w:rsidR="00A327F1" w:rsidRPr="00BF5E43" w:rsidRDefault="00A327F1" w:rsidP="00A327F1">
      <w:pPr>
        <w:pStyle w:val="BTEMEASMCA"/>
      </w:pPr>
    </w:p>
    <w:p w:rsidR="00A327F1" w:rsidRPr="00455F78" w:rsidRDefault="00A327F1" w:rsidP="00A327F1">
      <w:pPr>
        <w:pStyle w:val="BTEMEASMCA"/>
      </w:pPr>
    </w:p>
    <w:p w:rsidR="00A327F1" w:rsidRPr="00605BE2" w:rsidRDefault="00A327F1" w:rsidP="00A327F1">
      <w:pPr>
        <w:pStyle w:val="PI-1EMEASMCA"/>
      </w:pPr>
      <w:bookmarkStart w:id="51" w:name="_Toc129243247"/>
      <w:bookmarkStart w:id="52" w:name="_Toc129243122"/>
      <w:r w:rsidRPr="00F600A8">
        <w:t>7.</w:t>
      </w:r>
      <w:r w:rsidRPr="00F600A8">
        <w:tab/>
        <w:t>R</w:t>
      </w:r>
      <w:r w:rsidRPr="006F3CAC">
        <w:t>EGISTRUOTOJAS</w:t>
      </w:r>
      <w:bookmarkEnd w:id="51"/>
      <w:bookmarkEnd w:id="52"/>
    </w:p>
    <w:p w:rsidR="00A327F1" w:rsidRPr="0001550C" w:rsidRDefault="00A327F1" w:rsidP="00A327F1">
      <w:pPr>
        <w:pStyle w:val="BTEMEASMCA"/>
      </w:pPr>
    </w:p>
    <w:p w:rsidR="00A327F1" w:rsidRPr="002F3A66" w:rsidRDefault="00A327F1" w:rsidP="00A327F1">
      <w:pPr>
        <w:pStyle w:val="BTEMEASMCA"/>
      </w:pPr>
      <w:r w:rsidRPr="00750BE0">
        <w:t xml:space="preserve">Les Laboratoires Servier </w:t>
      </w:r>
    </w:p>
    <w:p w:rsidR="00A327F1" w:rsidRPr="00006311" w:rsidRDefault="00A327F1" w:rsidP="00A327F1">
      <w:pPr>
        <w:pStyle w:val="BTEMEASMCA"/>
      </w:pPr>
      <w:r w:rsidRPr="00D56CD3">
        <w:t>5</w:t>
      </w:r>
      <w:r w:rsidRPr="00006311">
        <w:t xml:space="preserve">0, rue Carnot </w:t>
      </w:r>
    </w:p>
    <w:p w:rsidR="00A327F1" w:rsidRPr="000164F1" w:rsidRDefault="00A327F1" w:rsidP="00A327F1">
      <w:pPr>
        <w:pStyle w:val="BTEMEASMCA"/>
      </w:pPr>
      <w:r w:rsidRPr="00BF5E43">
        <w:t>92</w:t>
      </w:r>
      <w:r w:rsidRPr="000164F1">
        <w:t>284 Suresnes cedex</w:t>
      </w:r>
    </w:p>
    <w:p w:rsidR="00A327F1" w:rsidRPr="00827519" w:rsidRDefault="00A327F1" w:rsidP="00A327F1">
      <w:pPr>
        <w:pStyle w:val="BTEMEASMCA"/>
      </w:pPr>
      <w:r w:rsidRPr="00455F78">
        <w:t>Prancūzija</w:t>
      </w:r>
    </w:p>
    <w:p w:rsidR="00A327F1" w:rsidRPr="00AD21B4" w:rsidRDefault="00A327F1" w:rsidP="00A327F1">
      <w:pPr>
        <w:pStyle w:val="BTEMEASMCA"/>
      </w:pPr>
    </w:p>
    <w:p w:rsidR="00A327F1" w:rsidRPr="00792135" w:rsidRDefault="00A327F1" w:rsidP="00A327F1">
      <w:pPr>
        <w:pStyle w:val="BTEMEASMCA"/>
      </w:pPr>
    </w:p>
    <w:p w:rsidR="00A327F1" w:rsidRPr="00605BE2" w:rsidRDefault="00A327F1" w:rsidP="00A327F1">
      <w:pPr>
        <w:pStyle w:val="PI-1EMEASMCA"/>
      </w:pPr>
      <w:bookmarkStart w:id="53" w:name="_Toc129243248"/>
      <w:bookmarkStart w:id="54" w:name="_Toc129243123"/>
      <w:r w:rsidRPr="00F600A8">
        <w:t>8.</w:t>
      </w:r>
      <w:r w:rsidRPr="00F600A8">
        <w:tab/>
        <w:t>R</w:t>
      </w:r>
      <w:r w:rsidRPr="006F3CAC">
        <w:t>EGISTRACIJOS</w:t>
      </w:r>
      <w:r w:rsidRPr="00605BE2">
        <w:t xml:space="preserve"> PAŽYMĖJIMO NUMERIS</w:t>
      </w:r>
      <w:bookmarkEnd w:id="53"/>
      <w:bookmarkEnd w:id="54"/>
      <w:r w:rsidRPr="00605BE2">
        <w:t xml:space="preserve"> (-IAI)</w:t>
      </w:r>
    </w:p>
    <w:p w:rsidR="00A327F1" w:rsidRPr="0001550C" w:rsidRDefault="00A327F1" w:rsidP="00A327F1">
      <w:pPr>
        <w:pStyle w:val="BTEMEASMCA"/>
      </w:pPr>
    </w:p>
    <w:p w:rsidR="00A327F1" w:rsidRPr="002F3A66" w:rsidRDefault="00A327F1" w:rsidP="00A327F1">
      <w:pPr>
        <w:pStyle w:val="BTEMEASMCA"/>
      </w:pPr>
      <w:r w:rsidRPr="00750BE0">
        <w:t>N30 - LT/1/96/2866/001</w:t>
      </w:r>
    </w:p>
    <w:p w:rsidR="00A327F1" w:rsidRPr="00006311" w:rsidRDefault="00A327F1" w:rsidP="00A327F1">
      <w:pPr>
        <w:pStyle w:val="BTEMEASMCA"/>
      </w:pPr>
      <w:r w:rsidRPr="00D56CD3">
        <w:t>N</w:t>
      </w:r>
      <w:r w:rsidRPr="00006311">
        <w:t>90 - LT/1/96/2866/002</w:t>
      </w:r>
    </w:p>
    <w:p w:rsidR="00A327F1" w:rsidRPr="00BF5E43" w:rsidRDefault="00A327F1" w:rsidP="00A327F1">
      <w:pPr>
        <w:pStyle w:val="BTEMEASMCA"/>
      </w:pPr>
    </w:p>
    <w:p w:rsidR="00A327F1" w:rsidRPr="00455F78" w:rsidRDefault="00A327F1" w:rsidP="00A327F1">
      <w:pPr>
        <w:pStyle w:val="BTEMEASMCA"/>
      </w:pPr>
    </w:p>
    <w:p w:rsidR="00A327F1" w:rsidRPr="008D07DB" w:rsidRDefault="00A327F1" w:rsidP="00A327F1">
      <w:pPr>
        <w:pStyle w:val="PI-1EMEASMCA"/>
      </w:pPr>
      <w:bookmarkStart w:id="55" w:name="_Toc129243249"/>
      <w:bookmarkStart w:id="56" w:name="_Toc129243124"/>
      <w:r w:rsidRPr="00F600A8">
        <w:lastRenderedPageBreak/>
        <w:t>9.</w:t>
      </w:r>
      <w:r w:rsidRPr="00F600A8">
        <w:tab/>
        <w:t>R</w:t>
      </w:r>
      <w:r w:rsidRPr="006F3CAC">
        <w:t xml:space="preserve">EGISTRAVIMO </w:t>
      </w:r>
      <w:r w:rsidRPr="00605BE2">
        <w:t xml:space="preserve">/ </w:t>
      </w:r>
      <w:r w:rsidRPr="00E050FF">
        <w:t>PERREGISTRAVIMO</w:t>
      </w:r>
      <w:r w:rsidRPr="008D07DB">
        <w:t xml:space="preserve"> DATA</w:t>
      </w:r>
      <w:bookmarkEnd w:id="55"/>
      <w:bookmarkEnd w:id="56"/>
    </w:p>
    <w:p w:rsidR="00A327F1" w:rsidRPr="0001550C" w:rsidRDefault="00A327F1" w:rsidP="00A327F1">
      <w:pPr>
        <w:pStyle w:val="BTEMEASMCA"/>
      </w:pPr>
    </w:p>
    <w:p w:rsidR="00A327F1" w:rsidRPr="00006311" w:rsidRDefault="00A327F1" w:rsidP="00A327F1">
      <w:pPr>
        <w:pStyle w:val="BTEMEASMCA"/>
      </w:pPr>
      <w:r w:rsidRPr="00750BE0">
        <w:t>R</w:t>
      </w:r>
      <w:r w:rsidRPr="002F3A66">
        <w:t xml:space="preserve">egistravimo data 1996 m. kovo </w:t>
      </w:r>
      <w:r w:rsidRPr="00006311">
        <w:t>29 d.</w:t>
      </w:r>
    </w:p>
    <w:p w:rsidR="00A327F1" w:rsidRPr="00C9208D" w:rsidRDefault="00A327F1" w:rsidP="00A327F1">
      <w:pPr>
        <w:pStyle w:val="BTEMEASMCA"/>
      </w:pPr>
      <w:r w:rsidRPr="00006311">
        <w:t xml:space="preserve">Paskutinio perregistravimo data </w:t>
      </w:r>
      <w:r w:rsidRPr="000164F1">
        <w:t xml:space="preserve">2012 m. kovo </w:t>
      </w:r>
      <w:r w:rsidRPr="00C9208D">
        <w:t>27 d.</w:t>
      </w:r>
    </w:p>
    <w:p w:rsidR="00A327F1" w:rsidRPr="00C9208D" w:rsidRDefault="00A327F1" w:rsidP="00A327F1">
      <w:pPr>
        <w:pStyle w:val="BTEMEASMCA"/>
      </w:pPr>
    </w:p>
    <w:p w:rsidR="00A327F1" w:rsidRPr="00455F78" w:rsidRDefault="00A327F1" w:rsidP="00A327F1">
      <w:pPr>
        <w:pStyle w:val="BTEMEASMCA"/>
      </w:pPr>
    </w:p>
    <w:p w:rsidR="00A327F1" w:rsidRPr="00F600A8" w:rsidRDefault="00A327F1" w:rsidP="00A327F1">
      <w:pPr>
        <w:pStyle w:val="PI-1EMEASMCA"/>
      </w:pPr>
      <w:bookmarkStart w:id="57" w:name="_Toc129243250"/>
      <w:bookmarkStart w:id="58" w:name="_Toc129243125"/>
      <w:r w:rsidRPr="00F600A8">
        <w:t>10.</w:t>
      </w:r>
      <w:r w:rsidRPr="00F600A8">
        <w:tab/>
        <w:t>TEKSTO PERŽIŪROS DATA</w:t>
      </w:r>
      <w:bookmarkEnd w:id="57"/>
      <w:bookmarkEnd w:id="58"/>
    </w:p>
    <w:p w:rsidR="00A327F1" w:rsidRPr="0001550C" w:rsidRDefault="00A327F1" w:rsidP="00A327F1">
      <w:pPr>
        <w:pStyle w:val="BTEMEASMCA"/>
      </w:pPr>
    </w:p>
    <w:p w:rsidR="00A327F1" w:rsidRDefault="00A327F1" w:rsidP="00A327F1">
      <w:pPr>
        <w:pStyle w:val="BTEMEASMCA"/>
      </w:pPr>
      <w:r>
        <w:t>201</w:t>
      </w:r>
      <w:r w:rsidR="00787A5A">
        <w:t>9</w:t>
      </w:r>
      <w:r w:rsidR="004F14F6">
        <w:t xml:space="preserve"> m. </w:t>
      </w:r>
      <w:r w:rsidR="00C9664C">
        <w:t>gegužės 28</w:t>
      </w:r>
      <w:r w:rsidR="004F14F6">
        <w:t xml:space="preserve"> d.</w:t>
      </w:r>
    </w:p>
    <w:p w:rsidR="00A327F1" w:rsidRPr="00D56CD3" w:rsidRDefault="00A327F1" w:rsidP="00A327F1">
      <w:pPr>
        <w:pStyle w:val="BTEMEASMCA"/>
      </w:pPr>
    </w:p>
    <w:p w:rsidR="00A327F1" w:rsidRPr="0001550C" w:rsidRDefault="00A327F1" w:rsidP="00A327F1">
      <w:pPr>
        <w:pStyle w:val="BTEMEASMCA"/>
      </w:pPr>
      <w:r w:rsidRPr="00006311">
        <w:t xml:space="preserve">Išsami informacija apie šį vaistinį preparatą pateikiama Valstybinės vaistų kontrolės tarnybos prie Lietuvos Respublikos sveikatos apsaugos ministerijos tinklapyje </w:t>
      </w:r>
      <w:hyperlink r:id="rId13" w:history="1">
        <w:r w:rsidRPr="00444CB1">
          <w:rPr>
            <w:rStyle w:val="Hipersaitas"/>
          </w:rPr>
          <w:t>http://www.vvkt.lt/</w:t>
        </w:r>
      </w:hyperlink>
    </w:p>
    <w:p w:rsidR="00A327F1" w:rsidRPr="00750BE0" w:rsidRDefault="00A327F1" w:rsidP="00A327F1">
      <w:pPr>
        <w:pStyle w:val="BTEMEASMCA"/>
      </w:pPr>
      <w:r w:rsidRPr="00750BE0">
        <w:br w:type="page"/>
      </w:r>
    </w:p>
    <w:p w:rsidR="00A327F1" w:rsidRPr="002F3A66" w:rsidRDefault="00A327F1" w:rsidP="00A327F1">
      <w:pPr>
        <w:pStyle w:val="BTEMEASMCA"/>
      </w:pPr>
    </w:p>
    <w:p w:rsidR="00A327F1" w:rsidRPr="00D56CD3" w:rsidRDefault="00A327F1" w:rsidP="00A327F1">
      <w:pPr>
        <w:pStyle w:val="BTEMEASMCA"/>
      </w:pPr>
    </w:p>
    <w:p w:rsidR="00A327F1" w:rsidRPr="00BF5E43" w:rsidRDefault="00A327F1" w:rsidP="00A327F1">
      <w:pPr>
        <w:pStyle w:val="BTEMEASMCA"/>
      </w:pPr>
    </w:p>
    <w:p w:rsidR="00A327F1" w:rsidRPr="00455F78" w:rsidRDefault="00A327F1" w:rsidP="00A327F1">
      <w:pPr>
        <w:pStyle w:val="BTEMEASMCA"/>
      </w:pPr>
    </w:p>
    <w:p w:rsidR="00A327F1" w:rsidRPr="00455F78" w:rsidRDefault="00A327F1" w:rsidP="00A327F1">
      <w:pPr>
        <w:pStyle w:val="BTEMEASMCA"/>
      </w:pPr>
    </w:p>
    <w:p w:rsidR="00A327F1" w:rsidRPr="00827519" w:rsidRDefault="00A327F1" w:rsidP="00A327F1">
      <w:pPr>
        <w:pStyle w:val="BTEMEASMCA"/>
      </w:pPr>
    </w:p>
    <w:p w:rsidR="00A327F1" w:rsidRPr="00AD21B4" w:rsidRDefault="00A327F1" w:rsidP="00A327F1">
      <w:pPr>
        <w:pStyle w:val="BTEMEASMCA"/>
      </w:pPr>
    </w:p>
    <w:p w:rsidR="00A327F1" w:rsidRPr="00792135" w:rsidRDefault="00A327F1" w:rsidP="00A327F1">
      <w:pPr>
        <w:pStyle w:val="BTEMEASMCA"/>
      </w:pPr>
    </w:p>
    <w:p w:rsidR="00A327F1" w:rsidRPr="00FE2058" w:rsidRDefault="00A327F1" w:rsidP="00A327F1">
      <w:pPr>
        <w:pStyle w:val="BTEMEASMCA"/>
      </w:pPr>
    </w:p>
    <w:p w:rsidR="00A327F1" w:rsidRPr="00463DE6" w:rsidRDefault="00A327F1" w:rsidP="00A327F1">
      <w:pPr>
        <w:pStyle w:val="BTEMEASMCA"/>
      </w:pPr>
    </w:p>
    <w:p w:rsidR="00A327F1" w:rsidRPr="00923133" w:rsidRDefault="00A327F1" w:rsidP="00A327F1">
      <w:pPr>
        <w:pStyle w:val="BTEMEASMCA"/>
      </w:pPr>
    </w:p>
    <w:p w:rsidR="00A327F1" w:rsidRPr="0073666E" w:rsidRDefault="00A327F1" w:rsidP="00A327F1">
      <w:pPr>
        <w:pStyle w:val="BTEMEASMCA"/>
      </w:pPr>
    </w:p>
    <w:p w:rsidR="00A327F1" w:rsidRPr="00FE23FD" w:rsidRDefault="00A327F1" w:rsidP="00A327F1">
      <w:pPr>
        <w:pStyle w:val="BTEMEASMCA"/>
      </w:pPr>
    </w:p>
    <w:p w:rsidR="00A327F1" w:rsidRPr="005408C5" w:rsidRDefault="00A327F1" w:rsidP="00A327F1">
      <w:pPr>
        <w:pStyle w:val="BTEMEASMCA"/>
      </w:pPr>
    </w:p>
    <w:p w:rsidR="00A327F1" w:rsidRPr="00B84FB7" w:rsidRDefault="00A327F1" w:rsidP="00A327F1">
      <w:pPr>
        <w:pStyle w:val="BTEMEASMCA"/>
      </w:pPr>
    </w:p>
    <w:p w:rsidR="00A327F1" w:rsidRPr="004D7CD2" w:rsidRDefault="00A327F1" w:rsidP="00A327F1">
      <w:pPr>
        <w:pStyle w:val="BTEMEASMCA"/>
      </w:pPr>
    </w:p>
    <w:p w:rsidR="00A327F1" w:rsidRPr="0037148B" w:rsidRDefault="00A327F1" w:rsidP="00A327F1">
      <w:pPr>
        <w:pStyle w:val="BTEMEASMCA"/>
      </w:pPr>
    </w:p>
    <w:p w:rsidR="00A327F1" w:rsidRPr="00F7455B" w:rsidRDefault="00A327F1" w:rsidP="00A327F1">
      <w:pPr>
        <w:pStyle w:val="BTEMEASMCA"/>
      </w:pPr>
    </w:p>
    <w:p w:rsidR="00A327F1" w:rsidRPr="008F6B8A"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TTEMEASMCA"/>
        <w:rPr>
          <w:rFonts w:ascii="Times New Roman" w:hAnsi="Times New Roman"/>
        </w:rPr>
      </w:pPr>
      <w:bookmarkStart w:id="59" w:name="_Toc129243253"/>
      <w:bookmarkStart w:id="60" w:name="_Toc129243128"/>
      <w:r w:rsidRPr="00444CB1">
        <w:rPr>
          <w:rFonts w:ascii="Times New Roman" w:hAnsi="Times New Roman"/>
        </w:rPr>
        <w:t>II PRIEDAS</w:t>
      </w:r>
      <w:bookmarkEnd w:id="59"/>
      <w:bookmarkEnd w:id="60"/>
    </w:p>
    <w:p w:rsidR="00A327F1" w:rsidRPr="00444CB1" w:rsidRDefault="00A327F1" w:rsidP="00A327F1">
      <w:pPr>
        <w:pStyle w:val="TTEMEASMCA"/>
        <w:rPr>
          <w:rFonts w:ascii="Times New Roman" w:hAnsi="Times New Roman"/>
        </w:rPr>
      </w:pPr>
    </w:p>
    <w:p w:rsidR="00A327F1" w:rsidRPr="00444CB1" w:rsidRDefault="00A327F1" w:rsidP="00A327F1">
      <w:pPr>
        <w:pStyle w:val="TTEMEASMCA"/>
        <w:rPr>
          <w:rFonts w:ascii="Times New Roman" w:hAnsi="Times New Roman"/>
        </w:rPr>
      </w:pPr>
      <w:r w:rsidRPr="00444CB1">
        <w:rPr>
          <w:rFonts w:ascii="Times New Roman" w:hAnsi="Times New Roman"/>
        </w:rPr>
        <w:t>REGISTRACIJOS SĄLYGOS</w:t>
      </w:r>
    </w:p>
    <w:p w:rsidR="00A327F1" w:rsidRPr="0001550C" w:rsidRDefault="00A327F1" w:rsidP="00A327F1">
      <w:pPr>
        <w:pStyle w:val="BTEMEASMCA"/>
      </w:pPr>
    </w:p>
    <w:p w:rsidR="00A327F1" w:rsidRPr="00605BE2" w:rsidRDefault="00A327F1" w:rsidP="00A327F1">
      <w:pPr>
        <w:pStyle w:val="BTAnIIEMEASMCA"/>
        <w:rPr>
          <w:rFonts w:cs="Times New Roman"/>
          <w:lang w:val="lt-LT"/>
        </w:rPr>
      </w:pPr>
      <w:r w:rsidRPr="00F600A8">
        <w:rPr>
          <w:rFonts w:cs="Times New Roman"/>
          <w:lang w:val="lt-LT"/>
        </w:rPr>
        <w:t>A.</w:t>
      </w:r>
      <w:r w:rsidRPr="00F600A8">
        <w:rPr>
          <w:rFonts w:cs="Times New Roman"/>
          <w:lang w:val="lt-LT"/>
        </w:rPr>
        <w:tab/>
        <w:t>GAM</w:t>
      </w:r>
      <w:r w:rsidRPr="006F3CAC">
        <w:rPr>
          <w:rFonts w:cs="Times New Roman"/>
          <w:lang w:val="lt-LT"/>
        </w:rPr>
        <w:t>IN</w:t>
      </w:r>
      <w:r w:rsidRPr="00605BE2">
        <w:rPr>
          <w:rFonts w:cs="Times New Roman"/>
          <w:lang w:val="lt-LT"/>
        </w:rPr>
        <w:t>TOJAS (-AI), ATSAKINGAS (-I) UŽ SERIJŲ IŠLEIDIMĄ</w:t>
      </w:r>
    </w:p>
    <w:p w:rsidR="00A327F1" w:rsidRPr="0001550C" w:rsidRDefault="00A327F1" w:rsidP="00A327F1">
      <w:pPr>
        <w:pStyle w:val="BTEMEASMCA"/>
      </w:pPr>
    </w:p>
    <w:p w:rsidR="00A327F1" w:rsidRPr="00605BE2" w:rsidRDefault="00A327F1" w:rsidP="00A327F1">
      <w:pPr>
        <w:pStyle w:val="BTAnIIEMEASMCA"/>
        <w:rPr>
          <w:rFonts w:cs="Times New Roman"/>
          <w:lang w:val="lt-LT"/>
        </w:rPr>
      </w:pPr>
      <w:r w:rsidRPr="00F600A8">
        <w:rPr>
          <w:rFonts w:cs="Times New Roman"/>
          <w:lang w:val="lt-LT"/>
        </w:rPr>
        <w:t>B.</w:t>
      </w:r>
      <w:r w:rsidRPr="00F600A8">
        <w:rPr>
          <w:rFonts w:cs="Times New Roman"/>
          <w:lang w:val="lt-LT"/>
        </w:rPr>
        <w:tab/>
      </w:r>
      <w:r w:rsidRPr="006F3CAC">
        <w:rPr>
          <w:rFonts w:cs="Times New Roman"/>
          <w:lang w:val="lt-LT"/>
        </w:rPr>
        <w:t>TIEKIMO IR VARTOJIMO SĄLYGOS AR APRIBOJIMAI</w:t>
      </w:r>
    </w:p>
    <w:p w:rsidR="00A327F1" w:rsidRPr="0001550C" w:rsidRDefault="00A327F1" w:rsidP="00A327F1">
      <w:pPr>
        <w:pStyle w:val="BTEMEASMCA"/>
      </w:pPr>
    </w:p>
    <w:p w:rsidR="00A327F1" w:rsidRPr="006F3CAC" w:rsidRDefault="00A327F1" w:rsidP="00A327F1">
      <w:pPr>
        <w:pStyle w:val="PI-1EMEASMCA"/>
      </w:pPr>
      <w:r w:rsidRPr="00F600A8">
        <w:br w:type="page"/>
      </w:r>
      <w:r w:rsidRPr="00F600A8">
        <w:lastRenderedPageBreak/>
        <w:t>A.</w:t>
      </w:r>
      <w:r w:rsidRPr="00F600A8">
        <w:tab/>
        <w:t>GAMIN</w:t>
      </w:r>
      <w:r w:rsidRPr="006F3CAC">
        <w:t>TOJAS (-AI), ATSAKINGAS (-I) UŽ SERIJŲ IŠLEIDIMĄ</w:t>
      </w:r>
    </w:p>
    <w:p w:rsidR="00A327F1" w:rsidRPr="00444CB1" w:rsidRDefault="00A327F1" w:rsidP="00A327F1">
      <w:pPr>
        <w:rPr>
          <w:rFonts w:ascii="Times New Roman" w:hAnsi="Times New Roman"/>
        </w:rPr>
      </w:pPr>
    </w:p>
    <w:p w:rsidR="00A327F1" w:rsidRPr="00444CB1" w:rsidRDefault="00A327F1" w:rsidP="00A327F1">
      <w:pPr>
        <w:rPr>
          <w:rFonts w:ascii="Times New Roman" w:hAnsi="Times New Roman"/>
        </w:rPr>
      </w:pPr>
      <w:proofErr w:type="spellStart"/>
      <w:r w:rsidRPr="00444CB1">
        <w:rPr>
          <w:rFonts w:ascii="Times New Roman" w:hAnsi="Times New Roman"/>
          <w:u w:val="single"/>
        </w:rPr>
        <w:t>Gamintojo</w:t>
      </w:r>
      <w:proofErr w:type="spellEnd"/>
      <w:r w:rsidRPr="00444CB1">
        <w:rPr>
          <w:rFonts w:ascii="Times New Roman" w:hAnsi="Times New Roman"/>
          <w:u w:val="single"/>
        </w:rPr>
        <w:t xml:space="preserve"> (-ų), </w:t>
      </w:r>
      <w:proofErr w:type="spellStart"/>
      <w:r w:rsidRPr="00444CB1">
        <w:rPr>
          <w:rFonts w:ascii="Times New Roman" w:hAnsi="Times New Roman"/>
          <w:u w:val="single"/>
        </w:rPr>
        <w:t>atsakingo</w:t>
      </w:r>
      <w:proofErr w:type="spellEnd"/>
      <w:r w:rsidRPr="00444CB1">
        <w:rPr>
          <w:rFonts w:ascii="Times New Roman" w:hAnsi="Times New Roman"/>
          <w:u w:val="single"/>
        </w:rPr>
        <w:t xml:space="preserve"> (-ų) </w:t>
      </w:r>
      <w:proofErr w:type="spellStart"/>
      <w:r w:rsidRPr="00444CB1">
        <w:rPr>
          <w:rFonts w:ascii="Times New Roman" w:hAnsi="Times New Roman"/>
          <w:u w:val="single"/>
        </w:rPr>
        <w:t>už</w:t>
      </w:r>
      <w:proofErr w:type="spellEnd"/>
      <w:r w:rsidRPr="00444CB1">
        <w:rPr>
          <w:rFonts w:ascii="Times New Roman" w:hAnsi="Times New Roman"/>
          <w:u w:val="single"/>
        </w:rPr>
        <w:t xml:space="preserve"> </w:t>
      </w:r>
      <w:proofErr w:type="spellStart"/>
      <w:r w:rsidRPr="00444CB1">
        <w:rPr>
          <w:rFonts w:ascii="Times New Roman" w:hAnsi="Times New Roman"/>
          <w:u w:val="single"/>
        </w:rPr>
        <w:t>serijų</w:t>
      </w:r>
      <w:proofErr w:type="spellEnd"/>
      <w:r w:rsidRPr="00444CB1">
        <w:rPr>
          <w:rFonts w:ascii="Times New Roman" w:hAnsi="Times New Roman"/>
          <w:u w:val="single"/>
        </w:rPr>
        <w:t xml:space="preserve"> </w:t>
      </w:r>
      <w:proofErr w:type="spellStart"/>
      <w:r w:rsidRPr="00444CB1">
        <w:rPr>
          <w:rFonts w:ascii="Times New Roman" w:hAnsi="Times New Roman"/>
          <w:u w:val="single"/>
        </w:rPr>
        <w:t>išleidimą</w:t>
      </w:r>
      <w:proofErr w:type="spellEnd"/>
      <w:r w:rsidRPr="00444CB1">
        <w:rPr>
          <w:rFonts w:ascii="Times New Roman" w:hAnsi="Times New Roman"/>
          <w:u w:val="single"/>
        </w:rPr>
        <w:t xml:space="preserve">, </w:t>
      </w:r>
      <w:proofErr w:type="spellStart"/>
      <w:r w:rsidRPr="00444CB1">
        <w:rPr>
          <w:rFonts w:ascii="Times New Roman" w:hAnsi="Times New Roman"/>
          <w:u w:val="single"/>
        </w:rPr>
        <w:t>pavadinimas</w:t>
      </w:r>
      <w:proofErr w:type="spellEnd"/>
      <w:r w:rsidRPr="00444CB1">
        <w:rPr>
          <w:rFonts w:ascii="Times New Roman" w:hAnsi="Times New Roman"/>
          <w:u w:val="single"/>
        </w:rPr>
        <w:t xml:space="preserve"> (-</w:t>
      </w:r>
      <w:proofErr w:type="spellStart"/>
      <w:r w:rsidRPr="00444CB1">
        <w:rPr>
          <w:rFonts w:ascii="Times New Roman" w:hAnsi="Times New Roman"/>
          <w:u w:val="single"/>
        </w:rPr>
        <w:t>ai</w:t>
      </w:r>
      <w:proofErr w:type="spellEnd"/>
      <w:r w:rsidRPr="00444CB1">
        <w:rPr>
          <w:rFonts w:ascii="Times New Roman" w:hAnsi="Times New Roman"/>
          <w:u w:val="single"/>
        </w:rPr>
        <w:t xml:space="preserve">) </w:t>
      </w:r>
      <w:proofErr w:type="spellStart"/>
      <w:r w:rsidRPr="00444CB1">
        <w:rPr>
          <w:rFonts w:ascii="Times New Roman" w:hAnsi="Times New Roman"/>
          <w:u w:val="single"/>
        </w:rPr>
        <w:t>ir</w:t>
      </w:r>
      <w:proofErr w:type="spellEnd"/>
      <w:r w:rsidRPr="00444CB1">
        <w:rPr>
          <w:rFonts w:ascii="Times New Roman" w:hAnsi="Times New Roman"/>
          <w:u w:val="single"/>
        </w:rPr>
        <w:t xml:space="preserve"> </w:t>
      </w:r>
      <w:proofErr w:type="spellStart"/>
      <w:r w:rsidRPr="00444CB1">
        <w:rPr>
          <w:rFonts w:ascii="Times New Roman" w:hAnsi="Times New Roman"/>
          <w:u w:val="single"/>
        </w:rPr>
        <w:t>adresas</w:t>
      </w:r>
      <w:proofErr w:type="spellEnd"/>
      <w:r w:rsidRPr="00444CB1">
        <w:rPr>
          <w:rFonts w:ascii="Times New Roman" w:hAnsi="Times New Roman"/>
          <w:u w:val="single"/>
        </w:rPr>
        <w:t xml:space="preserve"> (-</w:t>
      </w:r>
      <w:proofErr w:type="spellStart"/>
      <w:r w:rsidRPr="00444CB1">
        <w:rPr>
          <w:rFonts w:ascii="Times New Roman" w:hAnsi="Times New Roman"/>
          <w:u w:val="single"/>
        </w:rPr>
        <w:t>ai</w:t>
      </w:r>
      <w:proofErr w:type="spellEnd"/>
      <w:r w:rsidRPr="00444CB1">
        <w:rPr>
          <w:rFonts w:ascii="Times New Roman" w:hAnsi="Times New Roman"/>
          <w:u w:val="single"/>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Les Laboratoires Servier Industrie</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 xml:space="preserve">45520 </w:t>
      </w:r>
      <w:proofErr w:type="spellStart"/>
      <w:r w:rsidRPr="00444CB1">
        <w:rPr>
          <w:rFonts w:ascii="Times New Roman" w:hAnsi="Times New Roman"/>
          <w:lang w:val="fr-FR"/>
        </w:rPr>
        <w:t>Gidy</w:t>
      </w:r>
      <w:proofErr w:type="spellEnd"/>
    </w:p>
    <w:p w:rsidR="00A327F1" w:rsidRPr="0001550C" w:rsidRDefault="00A327F1" w:rsidP="00A327F1">
      <w:pPr>
        <w:contextualSpacing/>
      </w:pPr>
      <w:proofErr w:type="spellStart"/>
      <w:r w:rsidRPr="00444CB1">
        <w:rPr>
          <w:rFonts w:ascii="Times New Roman" w:hAnsi="Times New Roman"/>
          <w:lang w:val="fr-FR"/>
        </w:rPr>
        <w:t>Prancūzija</w:t>
      </w:r>
      <w:proofErr w:type="spellEnd"/>
    </w:p>
    <w:p w:rsidR="00A327F1" w:rsidRPr="0001550C" w:rsidRDefault="00A327F1" w:rsidP="00A327F1">
      <w:pPr>
        <w:pStyle w:val="BTEMEASMCA"/>
      </w:pPr>
    </w:p>
    <w:p w:rsidR="00A327F1" w:rsidRPr="00605BE2" w:rsidRDefault="00A327F1" w:rsidP="00A327F1">
      <w:pPr>
        <w:pStyle w:val="PI-1EMEASMCA"/>
      </w:pPr>
      <w:bookmarkStart w:id="61" w:name="_Toc129243254"/>
      <w:bookmarkStart w:id="62" w:name="_Toc129243129"/>
      <w:r w:rsidRPr="00F600A8">
        <w:t>B.</w:t>
      </w:r>
      <w:r w:rsidRPr="00F600A8">
        <w:tab/>
      </w:r>
      <w:r w:rsidRPr="006F3CAC">
        <w:t>TIEKIMO IR VARTOJIMO SĄLYGOS AR APRIBOJIMAI</w:t>
      </w:r>
      <w:r w:rsidRPr="00605BE2">
        <w:t xml:space="preserve"> </w:t>
      </w:r>
      <w:bookmarkEnd w:id="61"/>
      <w:bookmarkEnd w:id="62"/>
    </w:p>
    <w:p w:rsidR="00A327F1" w:rsidRPr="0001550C" w:rsidRDefault="00A327F1" w:rsidP="00A327F1">
      <w:pPr>
        <w:pStyle w:val="BTEMEASMCA"/>
      </w:pPr>
    </w:p>
    <w:p w:rsidR="00A327F1" w:rsidRPr="00D56CD3" w:rsidRDefault="00A327F1" w:rsidP="00A327F1">
      <w:pPr>
        <w:pStyle w:val="BTEMEASMCA"/>
      </w:pPr>
      <w:r w:rsidRPr="00750BE0">
        <w:t>Receptinis vaistinis preparatas</w:t>
      </w:r>
      <w:r w:rsidRPr="002F3A66">
        <w:t>.</w:t>
      </w:r>
    </w:p>
    <w:p w:rsidR="00A327F1" w:rsidRPr="00BF5E43" w:rsidRDefault="00A327F1" w:rsidP="00A327F1">
      <w:pPr>
        <w:pStyle w:val="BTEMEASMCA"/>
      </w:pPr>
    </w:p>
    <w:p w:rsidR="00A327F1" w:rsidRPr="000164F1" w:rsidRDefault="00A327F1" w:rsidP="00A327F1">
      <w:pPr>
        <w:pStyle w:val="BTEMEASMCA"/>
      </w:pPr>
      <w:r w:rsidRPr="000164F1">
        <w:br w:type="page"/>
      </w:r>
    </w:p>
    <w:p w:rsidR="00A327F1" w:rsidRPr="00455F78" w:rsidRDefault="00A327F1" w:rsidP="00A327F1">
      <w:pPr>
        <w:pStyle w:val="BTEMEASMCA"/>
      </w:pPr>
    </w:p>
    <w:p w:rsidR="00A327F1" w:rsidRPr="00455F78" w:rsidRDefault="00A327F1" w:rsidP="00A327F1">
      <w:pPr>
        <w:pStyle w:val="BTEMEASMCA"/>
      </w:pPr>
    </w:p>
    <w:p w:rsidR="00A327F1" w:rsidRPr="00827519" w:rsidRDefault="00A327F1" w:rsidP="00A327F1">
      <w:pPr>
        <w:pStyle w:val="BTEMEASMCA"/>
      </w:pPr>
    </w:p>
    <w:p w:rsidR="00A327F1" w:rsidRPr="00AD21B4" w:rsidRDefault="00A327F1" w:rsidP="00A327F1">
      <w:pPr>
        <w:pStyle w:val="BTEMEASMCA"/>
      </w:pPr>
    </w:p>
    <w:p w:rsidR="00A327F1" w:rsidRPr="00792135" w:rsidRDefault="00A327F1" w:rsidP="00A327F1">
      <w:pPr>
        <w:pStyle w:val="BTEMEASMCA"/>
      </w:pPr>
    </w:p>
    <w:p w:rsidR="00A327F1" w:rsidRPr="00FE2058" w:rsidRDefault="00A327F1" w:rsidP="00A327F1">
      <w:pPr>
        <w:pStyle w:val="BTEMEASMCA"/>
      </w:pPr>
    </w:p>
    <w:p w:rsidR="00A327F1" w:rsidRPr="00463DE6" w:rsidRDefault="00A327F1" w:rsidP="00A327F1">
      <w:pPr>
        <w:pStyle w:val="BTEMEASMCA"/>
      </w:pPr>
    </w:p>
    <w:p w:rsidR="00A327F1" w:rsidRPr="00923133" w:rsidRDefault="00A327F1" w:rsidP="00A327F1">
      <w:pPr>
        <w:pStyle w:val="BTEMEASMCA"/>
      </w:pPr>
    </w:p>
    <w:p w:rsidR="00A327F1" w:rsidRPr="0073666E" w:rsidRDefault="00A327F1" w:rsidP="00A327F1">
      <w:pPr>
        <w:pStyle w:val="BTEMEASMCA"/>
      </w:pPr>
    </w:p>
    <w:p w:rsidR="00A327F1" w:rsidRPr="00FE23FD" w:rsidRDefault="00A327F1" w:rsidP="00A327F1">
      <w:pPr>
        <w:pStyle w:val="BTEMEASMCA"/>
      </w:pPr>
    </w:p>
    <w:p w:rsidR="00A327F1" w:rsidRPr="005408C5" w:rsidRDefault="00A327F1" w:rsidP="00A327F1">
      <w:pPr>
        <w:pStyle w:val="BTEMEASMCA"/>
      </w:pPr>
    </w:p>
    <w:p w:rsidR="00A327F1" w:rsidRPr="00B84FB7" w:rsidRDefault="00A327F1" w:rsidP="00A327F1">
      <w:pPr>
        <w:pStyle w:val="BTEMEASMCA"/>
      </w:pPr>
    </w:p>
    <w:p w:rsidR="00A327F1" w:rsidRPr="004D7CD2" w:rsidRDefault="00A327F1" w:rsidP="00A327F1">
      <w:pPr>
        <w:pStyle w:val="BTEMEASMCA"/>
      </w:pPr>
    </w:p>
    <w:p w:rsidR="00A327F1" w:rsidRPr="0037148B" w:rsidRDefault="00A327F1" w:rsidP="00A327F1">
      <w:pPr>
        <w:pStyle w:val="BTEMEASMCA"/>
      </w:pPr>
    </w:p>
    <w:p w:rsidR="00A327F1" w:rsidRPr="00F7455B" w:rsidRDefault="00A327F1" w:rsidP="00A327F1">
      <w:pPr>
        <w:pStyle w:val="BTEMEASMCA"/>
      </w:pPr>
    </w:p>
    <w:p w:rsidR="00A327F1" w:rsidRPr="008F6B8A"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TTEMEASMCA"/>
        <w:rPr>
          <w:rFonts w:ascii="Times New Roman" w:hAnsi="Times New Roman"/>
        </w:rPr>
      </w:pPr>
      <w:bookmarkStart w:id="63" w:name="_Toc129243259"/>
      <w:bookmarkStart w:id="64" w:name="_Toc129243134"/>
      <w:r w:rsidRPr="00444CB1">
        <w:rPr>
          <w:rFonts w:ascii="Times New Roman" w:hAnsi="Times New Roman"/>
        </w:rPr>
        <w:t>III PRIEDAS</w:t>
      </w:r>
      <w:bookmarkEnd w:id="63"/>
      <w:bookmarkEnd w:id="64"/>
    </w:p>
    <w:p w:rsidR="00A327F1" w:rsidRPr="0001550C" w:rsidRDefault="00A327F1" w:rsidP="00A327F1">
      <w:pPr>
        <w:pStyle w:val="BTEMEASMCA"/>
      </w:pPr>
    </w:p>
    <w:p w:rsidR="00A327F1" w:rsidRPr="00444CB1" w:rsidRDefault="00A327F1" w:rsidP="00A327F1">
      <w:pPr>
        <w:pStyle w:val="TTEMEASMCA"/>
        <w:rPr>
          <w:rFonts w:ascii="Times New Roman" w:hAnsi="Times New Roman"/>
        </w:rPr>
      </w:pPr>
      <w:bookmarkStart w:id="65" w:name="_Toc129243260"/>
      <w:bookmarkStart w:id="66" w:name="_Toc129243135"/>
      <w:r w:rsidRPr="00444CB1">
        <w:rPr>
          <w:rFonts w:ascii="Times New Roman" w:hAnsi="Times New Roman"/>
        </w:rPr>
        <w:t>ŽENKLINIMAS IR PAKUOTĖS LAPELIS</w:t>
      </w:r>
      <w:bookmarkEnd w:id="65"/>
      <w:bookmarkEnd w:id="66"/>
    </w:p>
    <w:p w:rsidR="00A327F1" w:rsidRPr="0001550C" w:rsidRDefault="00A327F1" w:rsidP="00A327F1">
      <w:pPr>
        <w:pStyle w:val="BTEMEASMCA"/>
      </w:pPr>
      <w:r w:rsidRPr="0001550C">
        <w:br w:type="page"/>
      </w:r>
    </w:p>
    <w:p w:rsidR="00A327F1" w:rsidRPr="00750BE0" w:rsidRDefault="00A327F1" w:rsidP="00A327F1">
      <w:pPr>
        <w:pStyle w:val="BTEMEASMCA"/>
      </w:pPr>
    </w:p>
    <w:p w:rsidR="00A327F1" w:rsidRPr="002F3A66" w:rsidRDefault="00A327F1" w:rsidP="00A327F1">
      <w:pPr>
        <w:pStyle w:val="BTEMEASMCA"/>
      </w:pPr>
    </w:p>
    <w:p w:rsidR="00A327F1" w:rsidRPr="00D56CD3" w:rsidRDefault="00A327F1" w:rsidP="00A327F1">
      <w:pPr>
        <w:pStyle w:val="BTEMEASMCA"/>
      </w:pPr>
    </w:p>
    <w:p w:rsidR="00A327F1" w:rsidRPr="00BF5E43" w:rsidRDefault="00A327F1" w:rsidP="00A327F1">
      <w:pPr>
        <w:pStyle w:val="BTEMEASMCA"/>
      </w:pPr>
    </w:p>
    <w:p w:rsidR="00A327F1" w:rsidRPr="00455F78" w:rsidRDefault="00A327F1" w:rsidP="00A327F1">
      <w:pPr>
        <w:pStyle w:val="BTEMEASMCA"/>
      </w:pPr>
    </w:p>
    <w:p w:rsidR="00A327F1" w:rsidRPr="00455F78" w:rsidRDefault="00A327F1" w:rsidP="00A327F1">
      <w:pPr>
        <w:pStyle w:val="BTEMEASMCA"/>
      </w:pPr>
    </w:p>
    <w:p w:rsidR="00A327F1" w:rsidRPr="00827519" w:rsidRDefault="00A327F1" w:rsidP="00A327F1">
      <w:pPr>
        <w:pStyle w:val="BTEMEASMCA"/>
      </w:pPr>
    </w:p>
    <w:p w:rsidR="00A327F1" w:rsidRPr="00AD21B4" w:rsidRDefault="00A327F1" w:rsidP="00A327F1">
      <w:pPr>
        <w:pStyle w:val="BTEMEASMCA"/>
      </w:pPr>
    </w:p>
    <w:p w:rsidR="00A327F1" w:rsidRPr="00792135" w:rsidRDefault="00A327F1" w:rsidP="00A327F1">
      <w:pPr>
        <w:pStyle w:val="BTEMEASMCA"/>
      </w:pPr>
    </w:p>
    <w:p w:rsidR="00A327F1" w:rsidRPr="00FE2058" w:rsidRDefault="00A327F1" w:rsidP="00A327F1">
      <w:pPr>
        <w:pStyle w:val="BTEMEASMCA"/>
      </w:pPr>
    </w:p>
    <w:p w:rsidR="00A327F1" w:rsidRPr="00463DE6" w:rsidRDefault="00A327F1" w:rsidP="00A327F1">
      <w:pPr>
        <w:pStyle w:val="BTEMEASMCA"/>
      </w:pPr>
    </w:p>
    <w:p w:rsidR="00A327F1" w:rsidRPr="00923133" w:rsidRDefault="00A327F1" w:rsidP="00A327F1">
      <w:pPr>
        <w:pStyle w:val="BTEMEASMCA"/>
      </w:pPr>
    </w:p>
    <w:p w:rsidR="00A327F1" w:rsidRPr="0073666E" w:rsidRDefault="00A327F1" w:rsidP="00A327F1">
      <w:pPr>
        <w:pStyle w:val="BTEMEASMCA"/>
      </w:pPr>
    </w:p>
    <w:p w:rsidR="00A327F1" w:rsidRPr="00FE23FD" w:rsidRDefault="00A327F1" w:rsidP="00A327F1">
      <w:pPr>
        <w:pStyle w:val="BTEMEASMCA"/>
      </w:pPr>
    </w:p>
    <w:p w:rsidR="00A327F1" w:rsidRPr="005408C5" w:rsidRDefault="00A327F1" w:rsidP="00A327F1">
      <w:pPr>
        <w:pStyle w:val="BTEMEASMCA"/>
      </w:pPr>
    </w:p>
    <w:p w:rsidR="00A327F1" w:rsidRPr="00B84FB7" w:rsidRDefault="00A327F1" w:rsidP="00A327F1">
      <w:pPr>
        <w:pStyle w:val="BTEMEASMCA"/>
      </w:pPr>
    </w:p>
    <w:p w:rsidR="00A327F1" w:rsidRPr="004D7CD2" w:rsidRDefault="00A327F1" w:rsidP="00A327F1">
      <w:pPr>
        <w:pStyle w:val="BTEMEASMCA"/>
      </w:pPr>
    </w:p>
    <w:p w:rsidR="00A327F1" w:rsidRPr="0037148B" w:rsidRDefault="00A327F1" w:rsidP="00A327F1">
      <w:pPr>
        <w:pStyle w:val="BTEMEASMCA"/>
      </w:pPr>
    </w:p>
    <w:p w:rsidR="00A327F1" w:rsidRPr="00F7455B" w:rsidRDefault="00A327F1" w:rsidP="00A327F1">
      <w:pPr>
        <w:pStyle w:val="BTEMEASMCA"/>
      </w:pPr>
    </w:p>
    <w:p w:rsidR="00A327F1" w:rsidRPr="008F6B8A"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TTEMEASMCA"/>
        <w:rPr>
          <w:rFonts w:ascii="Times New Roman" w:hAnsi="Times New Roman"/>
        </w:rPr>
      </w:pPr>
      <w:bookmarkStart w:id="67" w:name="_Toc129243261"/>
      <w:bookmarkStart w:id="68" w:name="_Toc129243136"/>
      <w:r w:rsidRPr="00444CB1">
        <w:rPr>
          <w:rFonts w:ascii="Times New Roman" w:hAnsi="Times New Roman"/>
        </w:rPr>
        <w:t>A. ŽENKLINIMAS</w:t>
      </w:r>
      <w:bookmarkEnd w:id="67"/>
      <w:bookmarkEnd w:id="68"/>
    </w:p>
    <w:p w:rsidR="00A327F1" w:rsidRPr="0001550C" w:rsidRDefault="00A327F1" w:rsidP="00A327F1">
      <w:pPr>
        <w:pStyle w:val="BTEMEASMCA"/>
      </w:pPr>
      <w:r w:rsidRPr="0001550C">
        <w:br w:type="page"/>
      </w:r>
      <w:r w:rsidRPr="0001550C">
        <w:lastRenderedPageBreak/>
        <w:t xml:space="preserve"> </w:t>
      </w:r>
    </w:p>
    <w:p w:rsidR="00A327F1" w:rsidRPr="00444CB1" w:rsidRDefault="00A327F1" w:rsidP="00A327F1">
      <w:pPr>
        <w:pStyle w:val="PI-1labEMEASMCA"/>
        <w:rPr>
          <w:rFonts w:ascii="Times New Roman" w:hAnsi="Times New Roman"/>
        </w:rPr>
      </w:pPr>
      <w:r w:rsidRPr="00444CB1">
        <w:rPr>
          <w:rFonts w:ascii="Times New Roman" w:hAnsi="Times New Roman"/>
        </w:rPr>
        <w:t>INFORMACIJA ANT IŠORINĖS PAKUOTĖS</w:t>
      </w:r>
    </w:p>
    <w:p w:rsidR="00A327F1" w:rsidRPr="00444CB1" w:rsidRDefault="00A327F1" w:rsidP="00A327F1">
      <w:pPr>
        <w:pStyle w:val="PI-1labEMEASMCA"/>
        <w:rPr>
          <w:rFonts w:ascii="Times New Roman" w:hAnsi="Times New Roman"/>
        </w:rPr>
      </w:pPr>
    </w:p>
    <w:p w:rsidR="00A327F1" w:rsidRPr="00444CB1" w:rsidRDefault="00A327F1" w:rsidP="00A327F1">
      <w:pPr>
        <w:pStyle w:val="PI-1labEMEASMCA"/>
        <w:rPr>
          <w:rFonts w:ascii="Times New Roman" w:hAnsi="Times New Roman"/>
          <w:bCs/>
        </w:rPr>
      </w:pPr>
      <w:r w:rsidRPr="007821A3">
        <w:rPr>
          <w:rFonts w:ascii="Times New Roman" w:hAnsi="Times New Roman"/>
        </w:rPr>
        <w:t>KARTONO DĖŽUTĖ</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w:t>
      </w:r>
      <w:r w:rsidRPr="00444CB1">
        <w:rPr>
          <w:rFonts w:ascii="Times New Roman" w:hAnsi="Times New Roman"/>
        </w:rPr>
        <w:tab/>
        <w:t>VAISTINIO PREPARATO PAVADINIMAS</w:t>
      </w:r>
    </w:p>
    <w:p w:rsidR="00A327F1" w:rsidRPr="0001550C" w:rsidRDefault="00A327F1" w:rsidP="00A327F1">
      <w:pPr>
        <w:pStyle w:val="BTEMEASMCA"/>
      </w:pPr>
    </w:p>
    <w:p w:rsidR="00A327F1" w:rsidRPr="007821A3" w:rsidRDefault="00A327F1" w:rsidP="00A327F1">
      <w:pPr>
        <w:pStyle w:val="BTEMEASMCA"/>
      </w:pPr>
      <w:r w:rsidRPr="00750BE0">
        <w:t>COAXIL 12,5 mg dengtos tabletės</w:t>
      </w:r>
    </w:p>
    <w:p w:rsidR="00A327F1" w:rsidRPr="002F3A66" w:rsidRDefault="00A327F1" w:rsidP="00A327F1">
      <w:pPr>
        <w:pStyle w:val="BTEMEASMCA"/>
      </w:pPr>
      <w:r w:rsidRPr="002F3A66">
        <w:t>Tianeptino natrio druska</w:t>
      </w:r>
    </w:p>
    <w:p w:rsidR="00A327F1" w:rsidRPr="00D56CD3" w:rsidRDefault="00A327F1" w:rsidP="00A327F1">
      <w:pPr>
        <w:pStyle w:val="BTEMEASMCA"/>
      </w:pPr>
    </w:p>
    <w:p w:rsidR="00A327F1" w:rsidRPr="00BF5E4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2.</w:t>
      </w:r>
      <w:r w:rsidRPr="00444CB1">
        <w:rPr>
          <w:rFonts w:ascii="Times New Roman" w:hAnsi="Times New Roman"/>
        </w:rPr>
        <w:tab/>
        <w:t>VEIKLIOJI MEDŽIAGA IR JOS KIEKIS</w:t>
      </w:r>
    </w:p>
    <w:p w:rsidR="00A327F1" w:rsidRPr="0001550C" w:rsidRDefault="00A327F1" w:rsidP="00A327F1">
      <w:pPr>
        <w:pStyle w:val="BTEMEASMCA"/>
      </w:pPr>
    </w:p>
    <w:p w:rsidR="00A327F1" w:rsidRPr="00444CB1" w:rsidRDefault="00A327F1" w:rsidP="00A327F1">
      <w:pPr>
        <w:rPr>
          <w:rFonts w:ascii="Times New Roman" w:hAnsi="Times New Roman"/>
          <w:lang w:val="lt-LT"/>
        </w:rPr>
      </w:pPr>
      <w:r w:rsidRPr="00444CB1">
        <w:rPr>
          <w:rFonts w:ascii="Times New Roman" w:hAnsi="Times New Roman"/>
          <w:lang w:val="lt-LT"/>
        </w:rPr>
        <w:t xml:space="preserve">Vienoje dengtoje tabletėje yra 12,5 mg </w:t>
      </w:r>
      <w:proofErr w:type="spellStart"/>
      <w:r w:rsidRPr="00444CB1">
        <w:rPr>
          <w:rFonts w:ascii="Times New Roman" w:hAnsi="Times New Roman"/>
          <w:lang w:val="lt-LT"/>
        </w:rPr>
        <w:t>tianeptino</w:t>
      </w:r>
      <w:proofErr w:type="spellEnd"/>
      <w:r w:rsidRPr="00444CB1">
        <w:rPr>
          <w:rFonts w:ascii="Times New Roman" w:hAnsi="Times New Roman"/>
          <w:lang w:val="lt-LT"/>
        </w:rPr>
        <w:t xml:space="preserve"> natrio druskos </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3.</w:t>
      </w:r>
      <w:r w:rsidRPr="00444CB1">
        <w:rPr>
          <w:rFonts w:ascii="Times New Roman" w:hAnsi="Times New Roman"/>
        </w:rPr>
        <w:tab/>
        <w:t>PAGALBINIŲ MEDŽIAGŲ SĄRAŠAS</w:t>
      </w:r>
    </w:p>
    <w:p w:rsidR="00A327F1" w:rsidRPr="0001550C" w:rsidRDefault="00A327F1" w:rsidP="00A327F1">
      <w:pPr>
        <w:pStyle w:val="BTEMEASMCA"/>
      </w:pPr>
    </w:p>
    <w:p w:rsidR="00A327F1" w:rsidRPr="00F600A8" w:rsidRDefault="00A327F1" w:rsidP="00A327F1">
      <w:pPr>
        <w:pStyle w:val="Pagrindinistekstas"/>
        <w:spacing w:after="0"/>
        <w:rPr>
          <w:szCs w:val="22"/>
        </w:rPr>
      </w:pPr>
      <w:r w:rsidRPr="00F600A8">
        <w:rPr>
          <w:szCs w:val="22"/>
        </w:rPr>
        <w:t>Sudėtyje yra sacharozės.</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4.</w:t>
      </w:r>
      <w:r w:rsidRPr="00444CB1">
        <w:rPr>
          <w:rFonts w:ascii="Times New Roman" w:hAnsi="Times New Roman"/>
        </w:rPr>
        <w:tab/>
        <w:t>FARMACINĖ FORMA IR KIEKIS PAKUOTĖJE</w:t>
      </w:r>
    </w:p>
    <w:p w:rsidR="00A327F1" w:rsidRPr="0001550C" w:rsidRDefault="00A327F1" w:rsidP="00A327F1">
      <w:pPr>
        <w:pStyle w:val="BTEMEASMCA"/>
      </w:pPr>
    </w:p>
    <w:p w:rsidR="00A327F1" w:rsidRPr="00F600A8" w:rsidRDefault="00A327F1" w:rsidP="00A327F1">
      <w:pPr>
        <w:pStyle w:val="Pagrindinistekstas"/>
        <w:spacing w:after="0"/>
        <w:rPr>
          <w:szCs w:val="22"/>
        </w:rPr>
      </w:pPr>
      <w:r w:rsidRPr="00F600A8">
        <w:rPr>
          <w:szCs w:val="22"/>
        </w:rPr>
        <w:t>30 dengtų tablečių</w:t>
      </w:r>
    </w:p>
    <w:p w:rsidR="00A327F1" w:rsidRPr="00750BE0" w:rsidRDefault="00A327F1" w:rsidP="00A327F1">
      <w:pPr>
        <w:pStyle w:val="BTEMEASMCA"/>
      </w:pPr>
      <w:r w:rsidRPr="0001550C">
        <w:rPr>
          <w:highlight w:val="lightGray"/>
        </w:rPr>
        <w:t>90 dengtų tablečių</w:t>
      </w:r>
    </w:p>
    <w:p w:rsidR="00A327F1" w:rsidRPr="002F3A66" w:rsidRDefault="00A327F1" w:rsidP="00A327F1">
      <w:pPr>
        <w:pStyle w:val="BTEMEASMCA"/>
      </w:pPr>
    </w:p>
    <w:p w:rsidR="00A327F1" w:rsidRPr="00D56CD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5.</w:t>
      </w:r>
      <w:r w:rsidRPr="00444CB1">
        <w:rPr>
          <w:rFonts w:ascii="Times New Roman" w:hAnsi="Times New Roman"/>
        </w:rPr>
        <w:tab/>
        <w:t>VARTOJIMO METODAS IR BŪDAS (-AI)</w:t>
      </w:r>
    </w:p>
    <w:p w:rsidR="00A327F1" w:rsidRPr="0001550C" w:rsidRDefault="00A327F1" w:rsidP="00A327F1">
      <w:pPr>
        <w:pStyle w:val="BTEMEASMCA"/>
      </w:pPr>
    </w:p>
    <w:p w:rsidR="00A327F1" w:rsidRPr="007821A3" w:rsidRDefault="00A327F1" w:rsidP="00A327F1">
      <w:pPr>
        <w:pStyle w:val="BTEMEASMCA"/>
      </w:pPr>
      <w:r w:rsidRPr="00750BE0">
        <w:t>Vartoti per burną.</w:t>
      </w:r>
    </w:p>
    <w:p w:rsidR="00A327F1" w:rsidRPr="002F3A66" w:rsidRDefault="00A327F1" w:rsidP="00A327F1">
      <w:pPr>
        <w:pStyle w:val="BTEMEASMCA"/>
      </w:pPr>
      <w:r w:rsidRPr="002F3A66">
        <w:t>Prieš vartojimą perskaitykite pakuotės lapelį.</w:t>
      </w:r>
    </w:p>
    <w:p w:rsidR="00A327F1" w:rsidRPr="00D56CD3" w:rsidRDefault="00A327F1" w:rsidP="00A327F1">
      <w:pPr>
        <w:pStyle w:val="BTEMEASMCA"/>
      </w:pPr>
    </w:p>
    <w:p w:rsidR="00A327F1" w:rsidRPr="00BF5E4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6.</w:t>
      </w:r>
      <w:r w:rsidRPr="00444CB1">
        <w:rPr>
          <w:rFonts w:ascii="Times New Roman" w:hAnsi="Times New Roman"/>
        </w:rPr>
        <w:tab/>
        <w:t>SPECIALUS ĮSPĖJIMAS, KAD VAISTINĮ PREPARATĄ BŪTINA LAIKYTI VAIKAMS NEPASTEBIMOJE IR NEPASIEKIAMOJE VIETOJE</w:t>
      </w:r>
    </w:p>
    <w:p w:rsidR="00A327F1" w:rsidRPr="0001550C" w:rsidRDefault="00A327F1" w:rsidP="00A327F1">
      <w:pPr>
        <w:pStyle w:val="BTEMEASMCA"/>
      </w:pPr>
    </w:p>
    <w:p w:rsidR="00A327F1" w:rsidRPr="007821A3" w:rsidRDefault="00A327F1" w:rsidP="00A327F1">
      <w:pPr>
        <w:pStyle w:val="BTEMEASMCA"/>
      </w:pPr>
      <w:r w:rsidRPr="00750BE0">
        <w:t>Laikyti vaikams nepastebimoje ir nepasiekiamoje vietoje.</w:t>
      </w:r>
    </w:p>
    <w:p w:rsidR="00A327F1" w:rsidRPr="002F3A66" w:rsidRDefault="00A327F1" w:rsidP="00A327F1">
      <w:pPr>
        <w:pStyle w:val="BTEMEASMCA"/>
      </w:pPr>
    </w:p>
    <w:p w:rsidR="00A327F1" w:rsidRPr="00D56CD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7.</w:t>
      </w:r>
      <w:r w:rsidRPr="00444CB1">
        <w:rPr>
          <w:rFonts w:ascii="Times New Roman" w:hAnsi="Times New Roman"/>
        </w:rPr>
        <w:tab/>
        <w:t>KITAS (-I) SPECIALUS (-ŪS) ĮSPĖJIMAS (-AI) (JEI REIKIA)</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8.</w:t>
      </w:r>
      <w:r w:rsidRPr="00444CB1">
        <w:rPr>
          <w:rFonts w:ascii="Times New Roman" w:hAnsi="Times New Roman"/>
        </w:rPr>
        <w:tab/>
        <w:t>TINKAMUMO LAIKAS</w:t>
      </w:r>
    </w:p>
    <w:p w:rsidR="00A327F1" w:rsidRPr="0001550C" w:rsidRDefault="00A327F1" w:rsidP="00A327F1">
      <w:pPr>
        <w:pStyle w:val="BTEMEASMCA"/>
      </w:pPr>
    </w:p>
    <w:p w:rsidR="00A327F1" w:rsidRPr="007821A3" w:rsidRDefault="00A327F1" w:rsidP="00A327F1">
      <w:pPr>
        <w:pStyle w:val="BTEMEASMCA"/>
      </w:pPr>
      <w:r w:rsidRPr="00750BE0">
        <w:t>T</w:t>
      </w:r>
      <w:r w:rsidRPr="007821A3">
        <w:t>inka iki (mm/MMMM)</w:t>
      </w:r>
    </w:p>
    <w:p w:rsidR="00A327F1" w:rsidRPr="002F3A66" w:rsidRDefault="00A327F1" w:rsidP="00A327F1">
      <w:pPr>
        <w:pStyle w:val="BTEMEASMCA"/>
      </w:pPr>
    </w:p>
    <w:p w:rsidR="00A327F1" w:rsidRPr="00D56CD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9.</w:t>
      </w:r>
      <w:r w:rsidRPr="00444CB1">
        <w:rPr>
          <w:rFonts w:ascii="Times New Roman" w:hAnsi="Times New Roman"/>
        </w:rPr>
        <w:tab/>
        <w:t>SPECIALIOS LAIKYMO SĄLYGOS</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10.</w:t>
      </w:r>
      <w:r w:rsidRPr="00444CB1">
        <w:rPr>
          <w:rFonts w:ascii="Times New Roman" w:hAnsi="Times New Roman"/>
        </w:rPr>
        <w:tab/>
        <w:t xml:space="preserve">SPECIALIOS ATSARGUMO PRIEMONĖS DĖL NESUVARTOTO </w:t>
      </w:r>
      <w:r w:rsidRPr="00444CB1">
        <w:rPr>
          <w:rFonts w:ascii="Times New Roman" w:hAnsi="Times New Roman"/>
          <w:bCs/>
        </w:rPr>
        <w:t xml:space="preserve">VAISTINIO PREPARATO AR JO ATLIEKŲ </w:t>
      </w:r>
      <w:r w:rsidRPr="00444CB1">
        <w:rPr>
          <w:rFonts w:ascii="Times New Roman" w:hAnsi="Times New Roman"/>
        </w:rPr>
        <w:t>TVARKYMO (JEI REIKIA)</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11.</w:t>
      </w:r>
      <w:r w:rsidRPr="00444CB1">
        <w:rPr>
          <w:rFonts w:ascii="Times New Roman" w:hAnsi="Times New Roman"/>
        </w:rPr>
        <w:tab/>
        <w:t>REGISTRUOTOJO PAVADINIMAS IR ADRESAS</w:t>
      </w:r>
    </w:p>
    <w:p w:rsidR="00A327F1" w:rsidRPr="0001550C" w:rsidRDefault="00A327F1" w:rsidP="00A327F1">
      <w:pPr>
        <w:pStyle w:val="BTEMEASMCA"/>
      </w:pPr>
    </w:p>
    <w:p w:rsidR="00A327F1" w:rsidRPr="00783314" w:rsidRDefault="00A327F1" w:rsidP="00A327F1">
      <w:pPr>
        <w:pStyle w:val="BTEMEASMCA"/>
      </w:pPr>
      <w:r w:rsidRPr="00750BE0">
        <w:t xml:space="preserve">Les Laboratoires Servier </w:t>
      </w:r>
    </w:p>
    <w:p w:rsidR="00A327F1" w:rsidRPr="002F3A66" w:rsidRDefault="00A327F1" w:rsidP="00A327F1">
      <w:pPr>
        <w:pStyle w:val="BTEMEASMCA"/>
      </w:pPr>
      <w:r w:rsidRPr="002F3A66">
        <w:t xml:space="preserve">50, rue Carnot </w:t>
      </w:r>
    </w:p>
    <w:p w:rsidR="00A327F1" w:rsidRPr="00006311" w:rsidRDefault="00A327F1" w:rsidP="00A327F1">
      <w:pPr>
        <w:pStyle w:val="BTEMEASMCA"/>
      </w:pPr>
      <w:r w:rsidRPr="00D56CD3">
        <w:t>9</w:t>
      </w:r>
      <w:r w:rsidRPr="00006311">
        <w:t>2284 Suresnes cedex</w:t>
      </w:r>
    </w:p>
    <w:p w:rsidR="00A327F1" w:rsidRPr="00BF5E43" w:rsidRDefault="00A327F1" w:rsidP="00A327F1">
      <w:pPr>
        <w:pStyle w:val="BTEMEASMCA"/>
      </w:pPr>
      <w:r w:rsidRPr="00BF5E43">
        <w:t>Prancūzija</w:t>
      </w:r>
    </w:p>
    <w:p w:rsidR="00A327F1" w:rsidRPr="00455F78" w:rsidRDefault="00A327F1" w:rsidP="00A327F1">
      <w:pPr>
        <w:pStyle w:val="BTEMEASMCA"/>
      </w:pPr>
    </w:p>
    <w:p w:rsidR="00A327F1" w:rsidRPr="00455F78"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12.</w:t>
      </w:r>
      <w:r w:rsidRPr="00444CB1">
        <w:rPr>
          <w:rFonts w:ascii="Times New Roman" w:hAnsi="Times New Roman"/>
        </w:rPr>
        <w:tab/>
        <w:t xml:space="preserve">REGISTRACIJOS PAŽYMĖJIMO NUMERIS </w:t>
      </w:r>
    </w:p>
    <w:p w:rsidR="00A327F1" w:rsidRPr="0001550C" w:rsidRDefault="00A327F1" w:rsidP="00A327F1">
      <w:pPr>
        <w:pStyle w:val="BTEMEASMCA"/>
      </w:pPr>
    </w:p>
    <w:p w:rsidR="00A327F1" w:rsidRPr="00783314" w:rsidRDefault="00A327F1" w:rsidP="00A327F1">
      <w:pPr>
        <w:pStyle w:val="BTEMEASMCA"/>
      </w:pPr>
      <w:r w:rsidRPr="00750BE0">
        <w:t>N30 - LT/1/96/2866/001</w:t>
      </w:r>
    </w:p>
    <w:p w:rsidR="00A327F1" w:rsidRPr="002F3A66" w:rsidRDefault="00A327F1" w:rsidP="00A327F1">
      <w:pPr>
        <w:pStyle w:val="BTEMEASMCA"/>
      </w:pPr>
      <w:r w:rsidRPr="002F3A66">
        <w:t>N90 - LT/1/96/2866/002</w:t>
      </w:r>
    </w:p>
    <w:p w:rsidR="00A327F1" w:rsidRPr="00D56CD3" w:rsidRDefault="00A327F1" w:rsidP="00A327F1">
      <w:pPr>
        <w:pStyle w:val="BTEMEASMCA"/>
      </w:pPr>
    </w:p>
    <w:p w:rsidR="00A327F1" w:rsidRPr="00BF5E4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13.</w:t>
      </w:r>
      <w:r w:rsidRPr="00444CB1">
        <w:rPr>
          <w:rFonts w:ascii="Times New Roman" w:hAnsi="Times New Roman"/>
        </w:rPr>
        <w:tab/>
        <w:t>SERIJOS NUMERIS</w:t>
      </w:r>
    </w:p>
    <w:p w:rsidR="00A327F1" w:rsidRPr="0001550C" w:rsidRDefault="00A327F1" w:rsidP="00A327F1">
      <w:pPr>
        <w:pStyle w:val="BTEMEASMCA"/>
      </w:pPr>
    </w:p>
    <w:p w:rsidR="00A327F1" w:rsidRPr="00783314" w:rsidRDefault="00A327F1" w:rsidP="00A327F1">
      <w:pPr>
        <w:pStyle w:val="BTEMEASMCA"/>
      </w:pPr>
      <w:r w:rsidRPr="00750BE0">
        <w:t>Serija (numeris)</w:t>
      </w:r>
    </w:p>
    <w:p w:rsidR="00A327F1" w:rsidRPr="002F3A66" w:rsidRDefault="00A327F1" w:rsidP="00A327F1">
      <w:pPr>
        <w:pStyle w:val="BTEMEASMCA"/>
      </w:pPr>
    </w:p>
    <w:p w:rsidR="00A327F1" w:rsidRPr="00D56CD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14.</w:t>
      </w:r>
      <w:r w:rsidRPr="00444CB1">
        <w:rPr>
          <w:rFonts w:ascii="Times New Roman" w:hAnsi="Times New Roman"/>
        </w:rPr>
        <w:tab/>
        <w:t>PARDAVIMO (IŠDAVIMO) TVARKA</w:t>
      </w:r>
    </w:p>
    <w:p w:rsidR="00A327F1" w:rsidRPr="0001550C" w:rsidRDefault="00A327F1" w:rsidP="00A327F1">
      <w:pPr>
        <w:pStyle w:val="BTEMEASMCA"/>
      </w:pPr>
    </w:p>
    <w:p w:rsidR="00A327F1" w:rsidRPr="00783314" w:rsidRDefault="00A327F1" w:rsidP="00A327F1">
      <w:pPr>
        <w:pStyle w:val="BTEMEASMCA"/>
      </w:pPr>
      <w:r w:rsidRPr="00750BE0">
        <w:t>Receptinis vaistas</w:t>
      </w:r>
    </w:p>
    <w:p w:rsidR="00A327F1" w:rsidRPr="002F3A66" w:rsidRDefault="00A327F1" w:rsidP="00A327F1">
      <w:pPr>
        <w:pStyle w:val="BTEMEASMCA"/>
      </w:pPr>
    </w:p>
    <w:p w:rsidR="00A327F1" w:rsidRPr="00D56CD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15.</w:t>
      </w:r>
      <w:r w:rsidRPr="00444CB1">
        <w:rPr>
          <w:rFonts w:ascii="Times New Roman" w:hAnsi="Times New Roman"/>
        </w:rPr>
        <w:tab/>
        <w:t>VARTOJIMO INSTRUKCIJA</w:t>
      </w:r>
    </w:p>
    <w:p w:rsidR="00A327F1" w:rsidRPr="00444CB1" w:rsidRDefault="00A327F1" w:rsidP="00A327F1">
      <w:pPr>
        <w:rPr>
          <w:rFonts w:ascii="Times New Roman" w:hAnsi="Times New Roman"/>
          <w:lang w:val="lt-LT"/>
        </w:rPr>
      </w:pPr>
    </w:p>
    <w:p w:rsidR="00A327F1" w:rsidRPr="0001550C"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16.</w:t>
      </w:r>
      <w:r w:rsidRPr="00444CB1">
        <w:rPr>
          <w:rFonts w:ascii="Times New Roman" w:hAnsi="Times New Roman"/>
        </w:rPr>
        <w:tab/>
        <w:t>INFORMACIJA BRAILIO RAŠTU</w:t>
      </w:r>
    </w:p>
    <w:p w:rsidR="00A327F1" w:rsidRPr="0001550C" w:rsidRDefault="00A327F1" w:rsidP="00A327F1">
      <w:pPr>
        <w:pStyle w:val="BTEMEASMCA"/>
      </w:pPr>
    </w:p>
    <w:p w:rsidR="00A327F1" w:rsidRDefault="00A327F1" w:rsidP="00A327F1">
      <w:pPr>
        <w:pStyle w:val="BTEMEASMCA"/>
      </w:pPr>
      <w:r w:rsidRPr="00750BE0">
        <w:t>COAXIL</w:t>
      </w:r>
    </w:p>
    <w:p w:rsidR="00A327F1" w:rsidRDefault="00A327F1" w:rsidP="00A327F1">
      <w:pPr>
        <w:pStyle w:val="BTEMEASMCA"/>
      </w:pPr>
    </w:p>
    <w:p w:rsidR="00A327F1" w:rsidRDefault="00A327F1" w:rsidP="00A327F1">
      <w:pPr>
        <w:pStyle w:val="BTEMEASMCA"/>
      </w:pPr>
    </w:p>
    <w:p w:rsidR="00A327F1" w:rsidRPr="00444CB1" w:rsidRDefault="00A327F1" w:rsidP="00A327F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Cs w:val="24"/>
        </w:rPr>
      </w:pPr>
      <w:r w:rsidRPr="00444CB1">
        <w:rPr>
          <w:rFonts w:ascii="Times New Roman" w:hAnsi="Times New Roman"/>
          <w:b/>
          <w:noProof/>
        </w:rPr>
        <w:t>17.</w:t>
      </w:r>
      <w:r w:rsidRPr="00444CB1">
        <w:rPr>
          <w:rFonts w:ascii="Times New Roman" w:hAnsi="Times New Roman"/>
          <w:b/>
          <w:noProof/>
        </w:rPr>
        <w:tab/>
        <w:t>UNIKALUS IDENTIFIKATORIUS – 2D BRŪKŠNINIS KODAS</w:t>
      </w:r>
    </w:p>
    <w:p w:rsidR="00A327F1" w:rsidRPr="00444CB1" w:rsidRDefault="00A327F1" w:rsidP="00A327F1">
      <w:pPr>
        <w:rPr>
          <w:rFonts w:ascii="Times New Roman" w:hAnsi="Times New Roman"/>
          <w:noProof/>
          <w:szCs w:val="24"/>
          <w:highlight w:val="lightGray"/>
        </w:rPr>
      </w:pPr>
      <w:r w:rsidRPr="00444CB1">
        <w:rPr>
          <w:rFonts w:ascii="Times New Roman" w:hAnsi="Times New Roman"/>
          <w:noProof/>
          <w:highlight w:val="lightGray"/>
        </w:rPr>
        <w:t xml:space="preserve">&lt;Duomenys nebūtini.&gt; </w:t>
      </w:r>
    </w:p>
    <w:p w:rsidR="00A327F1" w:rsidRDefault="00A327F1" w:rsidP="00A327F1">
      <w:pPr>
        <w:rPr>
          <w:noProof/>
        </w:rPr>
      </w:pPr>
    </w:p>
    <w:p w:rsidR="00A327F1" w:rsidRPr="00863F41" w:rsidRDefault="00A327F1" w:rsidP="00A327F1">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863F41">
        <w:rPr>
          <w:rFonts w:ascii="Times New Roman" w:hAnsi="Times New Roman"/>
          <w:b/>
          <w:noProof/>
        </w:rPr>
        <w:t>18.</w:t>
      </w:r>
      <w:r w:rsidRPr="00863F41">
        <w:rPr>
          <w:rFonts w:ascii="Times New Roman" w:hAnsi="Times New Roman"/>
          <w:b/>
          <w:noProof/>
        </w:rPr>
        <w:tab/>
        <w:t>UNIKALUS IDENTIFIKATORIUS – ŽMONĖMS SUPRANTAMI DUOMENYS</w:t>
      </w:r>
    </w:p>
    <w:p w:rsidR="00A327F1" w:rsidRPr="00863F41" w:rsidRDefault="00A327F1" w:rsidP="00A327F1">
      <w:pPr>
        <w:rPr>
          <w:rFonts w:ascii="Times New Roman" w:hAnsi="Times New Roman"/>
          <w:color w:val="008000"/>
        </w:rPr>
      </w:pPr>
      <w:r w:rsidRPr="00863F41">
        <w:rPr>
          <w:rFonts w:ascii="Times New Roman" w:hAnsi="Times New Roman"/>
        </w:rPr>
        <w:t>&lt;PC: {</w:t>
      </w:r>
      <w:proofErr w:type="spellStart"/>
      <w:r w:rsidRPr="00863F41">
        <w:rPr>
          <w:rFonts w:ascii="Times New Roman" w:hAnsi="Times New Roman"/>
        </w:rPr>
        <w:t>numeris</w:t>
      </w:r>
      <w:proofErr w:type="spellEnd"/>
      <w:r w:rsidRPr="00863F41">
        <w:rPr>
          <w:rFonts w:ascii="Times New Roman" w:hAnsi="Times New Roman"/>
        </w:rPr>
        <w:t xml:space="preserve">} </w:t>
      </w:r>
      <w:r w:rsidRPr="00863F41">
        <w:rPr>
          <w:rFonts w:ascii="Times New Roman" w:hAnsi="Times New Roman"/>
          <w:color w:val="008000"/>
        </w:rPr>
        <w:t>[</w:t>
      </w:r>
      <w:proofErr w:type="spellStart"/>
      <w:r w:rsidRPr="00863F41">
        <w:rPr>
          <w:rFonts w:ascii="Times New Roman" w:hAnsi="Times New Roman"/>
          <w:color w:val="008000"/>
        </w:rPr>
        <w:t>vaistinio</w:t>
      </w:r>
      <w:proofErr w:type="spellEnd"/>
      <w:r w:rsidRPr="00863F41">
        <w:rPr>
          <w:rFonts w:ascii="Times New Roman" w:hAnsi="Times New Roman"/>
          <w:color w:val="008000"/>
        </w:rPr>
        <w:t xml:space="preserve"> </w:t>
      </w:r>
      <w:proofErr w:type="spellStart"/>
      <w:r w:rsidRPr="00863F41">
        <w:rPr>
          <w:rFonts w:ascii="Times New Roman" w:hAnsi="Times New Roman"/>
          <w:color w:val="008000"/>
        </w:rPr>
        <w:t>preparato</w:t>
      </w:r>
      <w:proofErr w:type="spellEnd"/>
      <w:r w:rsidRPr="00863F41">
        <w:rPr>
          <w:rFonts w:ascii="Times New Roman" w:hAnsi="Times New Roman"/>
          <w:color w:val="008000"/>
        </w:rPr>
        <w:t xml:space="preserve"> </w:t>
      </w:r>
      <w:proofErr w:type="spellStart"/>
      <w:r w:rsidRPr="00863F41">
        <w:rPr>
          <w:rFonts w:ascii="Times New Roman" w:hAnsi="Times New Roman"/>
          <w:color w:val="008000"/>
        </w:rPr>
        <w:t>kodas</w:t>
      </w:r>
      <w:proofErr w:type="spellEnd"/>
      <w:r w:rsidRPr="00863F41">
        <w:rPr>
          <w:rFonts w:ascii="Times New Roman" w:hAnsi="Times New Roman"/>
          <w:color w:val="008000"/>
        </w:rPr>
        <w:t>]</w:t>
      </w:r>
    </w:p>
    <w:p w:rsidR="00A327F1" w:rsidRPr="00863F41" w:rsidRDefault="00A327F1" w:rsidP="00A327F1">
      <w:pPr>
        <w:rPr>
          <w:rFonts w:ascii="Times New Roman" w:hAnsi="Times New Roman"/>
        </w:rPr>
      </w:pPr>
      <w:r w:rsidRPr="00863F41">
        <w:rPr>
          <w:rFonts w:ascii="Times New Roman" w:hAnsi="Times New Roman"/>
        </w:rPr>
        <w:t>SN: {</w:t>
      </w:r>
      <w:proofErr w:type="spellStart"/>
      <w:r w:rsidRPr="00863F41">
        <w:rPr>
          <w:rFonts w:ascii="Times New Roman" w:hAnsi="Times New Roman"/>
        </w:rPr>
        <w:t>numeris</w:t>
      </w:r>
      <w:proofErr w:type="spellEnd"/>
      <w:r w:rsidRPr="00863F41">
        <w:rPr>
          <w:rFonts w:ascii="Times New Roman" w:hAnsi="Times New Roman"/>
        </w:rPr>
        <w:t xml:space="preserve">} </w:t>
      </w:r>
      <w:r w:rsidRPr="00863F41">
        <w:rPr>
          <w:rFonts w:ascii="Times New Roman" w:hAnsi="Times New Roman"/>
          <w:color w:val="008000"/>
        </w:rPr>
        <w:t>[</w:t>
      </w:r>
      <w:proofErr w:type="spellStart"/>
      <w:r w:rsidRPr="00863F41">
        <w:rPr>
          <w:rFonts w:ascii="Times New Roman" w:hAnsi="Times New Roman"/>
          <w:color w:val="008000"/>
        </w:rPr>
        <w:t>nuoseklusis</w:t>
      </w:r>
      <w:proofErr w:type="spellEnd"/>
      <w:r w:rsidRPr="00863F41">
        <w:rPr>
          <w:rFonts w:ascii="Times New Roman" w:hAnsi="Times New Roman"/>
          <w:color w:val="008000"/>
        </w:rPr>
        <w:t xml:space="preserve"> </w:t>
      </w:r>
      <w:proofErr w:type="spellStart"/>
      <w:r w:rsidRPr="00863F41">
        <w:rPr>
          <w:rFonts w:ascii="Times New Roman" w:hAnsi="Times New Roman"/>
          <w:color w:val="008000"/>
        </w:rPr>
        <w:t>numeris</w:t>
      </w:r>
      <w:proofErr w:type="spellEnd"/>
      <w:r w:rsidRPr="00863F41">
        <w:rPr>
          <w:rFonts w:ascii="Times New Roman" w:hAnsi="Times New Roman"/>
          <w:color w:val="008000"/>
        </w:rPr>
        <w:t>]</w:t>
      </w:r>
    </w:p>
    <w:p w:rsidR="00A327F1" w:rsidRPr="00863F41" w:rsidRDefault="00A327F1" w:rsidP="00A327F1">
      <w:pPr>
        <w:rPr>
          <w:rFonts w:ascii="Times New Roman" w:hAnsi="Times New Roman"/>
        </w:rPr>
      </w:pPr>
      <w:r w:rsidRPr="00863F41">
        <w:rPr>
          <w:rFonts w:ascii="Times New Roman" w:hAnsi="Times New Roman"/>
          <w:highlight w:val="lightGray"/>
        </w:rPr>
        <w:t>NN: {</w:t>
      </w:r>
      <w:proofErr w:type="spellStart"/>
      <w:r w:rsidRPr="00863F41">
        <w:rPr>
          <w:rFonts w:ascii="Times New Roman" w:hAnsi="Times New Roman"/>
          <w:highlight w:val="lightGray"/>
        </w:rPr>
        <w:t>numeris</w:t>
      </w:r>
      <w:proofErr w:type="spellEnd"/>
      <w:r w:rsidRPr="00863F41">
        <w:rPr>
          <w:rFonts w:ascii="Times New Roman" w:hAnsi="Times New Roman"/>
          <w:highlight w:val="lightGray"/>
        </w:rPr>
        <w:t xml:space="preserve">} </w:t>
      </w:r>
      <w:r w:rsidRPr="00863F41">
        <w:rPr>
          <w:rFonts w:ascii="Times New Roman" w:hAnsi="Times New Roman"/>
          <w:color w:val="008000"/>
          <w:highlight w:val="lightGray"/>
        </w:rPr>
        <w:t>[</w:t>
      </w:r>
      <w:proofErr w:type="spellStart"/>
      <w:r w:rsidRPr="00863F41">
        <w:rPr>
          <w:rFonts w:ascii="Times New Roman" w:hAnsi="Times New Roman"/>
          <w:color w:val="008000"/>
          <w:highlight w:val="lightGray"/>
        </w:rPr>
        <w:t>nacionalinis</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kompensacijos</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rūšies</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kodas</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arba</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kitas</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nacionalinis</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vaistinio</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preparato</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identifikacinis</w:t>
      </w:r>
      <w:proofErr w:type="spellEnd"/>
      <w:r w:rsidRPr="00863F41">
        <w:rPr>
          <w:rFonts w:ascii="Times New Roman" w:hAnsi="Times New Roman"/>
          <w:color w:val="008000"/>
          <w:highlight w:val="lightGray"/>
        </w:rPr>
        <w:t xml:space="preserve"> </w:t>
      </w:r>
      <w:proofErr w:type="spellStart"/>
      <w:r w:rsidRPr="00863F41">
        <w:rPr>
          <w:rFonts w:ascii="Times New Roman" w:hAnsi="Times New Roman"/>
          <w:color w:val="008000"/>
          <w:highlight w:val="lightGray"/>
        </w:rPr>
        <w:t>numeris</w:t>
      </w:r>
      <w:proofErr w:type="spellEnd"/>
      <w:r w:rsidRPr="00863F41">
        <w:rPr>
          <w:rFonts w:ascii="Times New Roman" w:hAnsi="Times New Roman"/>
          <w:color w:val="008000"/>
          <w:highlight w:val="lightGray"/>
        </w:rPr>
        <w:t>]&gt;</w:t>
      </w:r>
    </w:p>
    <w:p w:rsidR="00A327F1" w:rsidRDefault="00A327F1" w:rsidP="00A327F1">
      <w:pPr>
        <w:rPr>
          <w:noProof/>
          <w:vanish/>
        </w:rPr>
      </w:pPr>
    </w:p>
    <w:p w:rsidR="00A327F1" w:rsidRPr="00783314" w:rsidRDefault="00A327F1" w:rsidP="00A327F1">
      <w:pPr>
        <w:pStyle w:val="BTEMEASMCA"/>
      </w:pPr>
    </w:p>
    <w:p w:rsidR="00A327F1" w:rsidRPr="002F3A66" w:rsidRDefault="00A327F1" w:rsidP="00A327F1">
      <w:pPr>
        <w:pStyle w:val="BTEMEASMCA"/>
      </w:pPr>
    </w:p>
    <w:p w:rsidR="00A327F1" w:rsidRPr="00D56CD3" w:rsidRDefault="00A327F1" w:rsidP="00A327F1">
      <w:pPr>
        <w:pStyle w:val="BTEMEASMCA"/>
      </w:pPr>
      <w:r w:rsidRPr="00D56CD3">
        <w:br w:type="page"/>
      </w:r>
    </w:p>
    <w:p w:rsidR="00A327F1" w:rsidRPr="00444CB1" w:rsidRDefault="00A327F1" w:rsidP="00A327F1">
      <w:pPr>
        <w:pStyle w:val="PI-1labEMEASMCA"/>
        <w:rPr>
          <w:rFonts w:ascii="Times New Roman" w:hAnsi="Times New Roman"/>
        </w:rPr>
      </w:pPr>
      <w:r w:rsidRPr="00444CB1">
        <w:rPr>
          <w:rFonts w:ascii="Times New Roman" w:hAnsi="Times New Roman"/>
        </w:rPr>
        <w:lastRenderedPageBreak/>
        <w:t xml:space="preserve">MINIMALI </w:t>
      </w:r>
      <w:r w:rsidRPr="00444CB1">
        <w:rPr>
          <w:rFonts w:ascii="Times New Roman" w:hAnsi="Times New Roman"/>
          <w:caps/>
        </w:rPr>
        <w:t xml:space="preserve">informacija ant </w:t>
      </w:r>
      <w:r w:rsidRPr="00444CB1">
        <w:rPr>
          <w:rFonts w:ascii="Times New Roman" w:hAnsi="Times New Roman"/>
        </w:rPr>
        <w:t>LIZDINIŲ PLOKŠTELIŲ ARBA DVISLUOKSNIŲ JUOSTELIŲ</w:t>
      </w:r>
    </w:p>
    <w:p w:rsidR="00A327F1" w:rsidRPr="00444CB1" w:rsidRDefault="00A327F1" w:rsidP="00A327F1">
      <w:pPr>
        <w:pStyle w:val="PI-1labEMEASMCA"/>
        <w:rPr>
          <w:rFonts w:ascii="Times New Roman" w:hAnsi="Times New Roman"/>
        </w:rPr>
      </w:pPr>
    </w:p>
    <w:p w:rsidR="00A327F1" w:rsidRPr="003858CB" w:rsidRDefault="00A327F1" w:rsidP="00A327F1">
      <w:pPr>
        <w:pStyle w:val="PI-1labEMEASMCA"/>
        <w:rPr>
          <w:rFonts w:ascii="Times New Roman" w:hAnsi="Times New Roman"/>
        </w:rPr>
      </w:pPr>
      <w:r w:rsidRPr="003858CB">
        <w:rPr>
          <w:rFonts w:ascii="Times New Roman" w:hAnsi="Times New Roman"/>
        </w:rPr>
        <w:t xml:space="preserve">LIZDINĖ PLOKŠTELĖ </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1.</w:t>
      </w:r>
      <w:r w:rsidRPr="00444CB1">
        <w:rPr>
          <w:rFonts w:ascii="Times New Roman" w:hAnsi="Times New Roman"/>
        </w:rPr>
        <w:tab/>
        <w:t>VAISTINIO PREPARATO PAVADINIMAS</w:t>
      </w:r>
    </w:p>
    <w:p w:rsidR="00A327F1" w:rsidRPr="0001550C" w:rsidRDefault="00A327F1" w:rsidP="00A327F1">
      <w:pPr>
        <w:pStyle w:val="BTEMEASMCA"/>
      </w:pPr>
    </w:p>
    <w:p w:rsidR="00A327F1" w:rsidRPr="00783314" w:rsidRDefault="00A327F1" w:rsidP="00A327F1">
      <w:pPr>
        <w:pStyle w:val="BTEMEASMCA"/>
      </w:pPr>
      <w:r w:rsidRPr="00750BE0">
        <w:t>COAXIL 12,5 mg dengtos tabletės</w:t>
      </w:r>
    </w:p>
    <w:p w:rsidR="00A327F1" w:rsidRPr="002F3A66" w:rsidRDefault="00A327F1" w:rsidP="00A327F1">
      <w:pPr>
        <w:pStyle w:val="BTEMEASMCA"/>
      </w:pPr>
      <w:r w:rsidRPr="002F3A66">
        <w:t>Tianeptino natrio druska</w:t>
      </w:r>
    </w:p>
    <w:p w:rsidR="00A327F1" w:rsidRPr="00D56CD3" w:rsidRDefault="00A327F1" w:rsidP="00A327F1">
      <w:pPr>
        <w:pStyle w:val="BTEMEASMCA"/>
      </w:pPr>
    </w:p>
    <w:p w:rsidR="00A327F1" w:rsidRPr="00BF5E4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2.</w:t>
      </w:r>
      <w:r w:rsidRPr="00444CB1">
        <w:rPr>
          <w:rFonts w:ascii="Times New Roman" w:hAnsi="Times New Roman"/>
        </w:rPr>
        <w:tab/>
        <w:t>REGISTRUOTOJO PAVADINIMAS</w:t>
      </w:r>
    </w:p>
    <w:p w:rsidR="00A327F1" w:rsidRPr="0001550C" w:rsidRDefault="00A327F1" w:rsidP="00A327F1">
      <w:pPr>
        <w:pStyle w:val="BTEMEASMCA"/>
      </w:pPr>
    </w:p>
    <w:p w:rsidR="00A327F1" w:rsidRPr="006F3CAC" w:rsidRDefault="00A327F1" w:rsidP="00A327F1">
      <w:pPr>
        <w:pStyle w:val="Pagrindinistekstas"/>
        <w:spacing w:after="0"/>
        <w:rPr>
          <w:szCs w:val="22"/>
        </w:rPr>
      </w:pPr>
      <w:r w:rsidRPr="00F600A8">
        <w:rPr>
          <w:szCs w:val="22"/>
        </w:rPr>
        <w:t xml:space="preserve">Les </w:t>
      </w:r>
      <w:proofErr w:type="spellStart"/>
      <w:r w:rsidRPr="00F600A8">
        <w:rPr>
          <w:szCs w:val="22"/>
        </w:rPr>
        <w:t>L</w:t>
      </w:r>
      <w:r w:rsidRPr="006F3CAC">
        <w:rPr>
          <w:szCs w:val="22"/>
        </w:rPr>
        <w:t>aboratoires</w:t>
      </w:r>
      <w:proofErr w:type="spellEnd"/>
      <w:r w:rsidRPr="006F3CAC">
        <w:rPr>
          <w:szCs w:val="22"/>
        </w:rPr>
        <w:t xml:space="preserve"> </w:t>
      </w:r>
      <w:proofErr w:type="spellStart"/>
      <w:r w:rsidRPr="006F3CAC">
        <w:rPr>
          <w:szCs w:val="22"/>
        </w:rPr>
        <w:t>Servier</w:t>
      </w:r>
      <w:proofErr w:type="spellEnd"/>
      <w:r w:rsidRPr="006F3CAC">
        <w:rPr>
          <w:szCs w:val="22"/>
        </w:rPr>
        <w:t xml:space="preserve"> </w:t>
      </w:r>
    </w:p>
    <w:p w:rsidR="00A327F1" w:rsidRPr="0001550C" w:rsidRDefault="00A327F1" w:rsidP="00A327F1">
      <w:pPr>
        <w:pStyle w:val="BTEMEASMCA"/>
      </w:pPr>
    </w:p>
    <w:p w:rsidR="00A327F1" w:rsidRPr="00750BE0"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3.</w:t>
      </w:r>
      <w:r w:rsidRPr="00444CB1">
        <w:rPr>
          <w:rFonts w:ascii="Times New Roman" w:hAnsi="Times New Roman"/>
        </w:rPr>
        <w:tab/>
        <w:t>TINKAMUMO LAIKAS</w:t>
      </w:r>
    </w:p>
    <w:p w:rsidR="00A327F1" w:rsidRPr="0001550C" w:rsidRDefault="00A327F1" w:rsidP="00A327F1">
      <w:pPr>
        <w:pStyle w:val="BTEMEASMCA"/>
      </w:pPr>
    </w:p>
    <w:p w:rsidR="00A327F1" w:rsidRPr="00783314" w:rsidRDefault="00A327F1" w:rsidP="00A327F1">
      <w:pPr>
        <w:pStyle w:val="BTEMEASMCA"/>
      </w:pPr>
      <w:r w:rsidRPr="00750BE0">
        <w:t>EXP. ( mm/MMMM)</w:t>
      </w:r>
    </w:p>
    <w:p w:rsidR="00A327F1" w:rsidRPr="002F3A66" w:rsidRDefault="00A327F1" w:rsidP="00A327F1">
      <w:pPr>
        <w:pStyle w:val="BTEMEASMCA"/>
      </w:pPr>
    </w:p>
    <w:p w:rsidR="00A327F1" w:rsidRPr="00D56CD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4.</w:t>
      </w:r>
      <w:r w:rsidRPr="00444CB1">
        <w:rPr>
          <w:rFonts w:ascii="Times New Roman" w:hAnsi="Times New Roman"/>
        </w:rPr>
        <w:tab/>
        <w:t>SERIJOS NUMERIS</w:t>
      </w:r>
    </w:p>
    <w:p w:rsidR="00A327F1" w:rsidRPr="0001550C" w:rsidRDefault="00A327F1" w:rsidP="00A327F1">
      <w:pPr>
        <w:pStyle w:val="BTEMEASMCA"/>
      </w:pPr>
    </w:p>
    <w:p w:rsidR="00A327F1" w:rsidRPr="00783314" w:rsidRDefault="00A327F1" w:rsidP="00A327F1">
      <w:pPr>
        <w:pStyle w:val="BTEMEASMCA"/>
      </w:pPr>
      <w:r w:rsidRPr="00750BE0">
        <w:t>Lot (numeris)</w:t>
      </w:r>
    </w:p>
    <w:p w:rsidR="00A327F1" w:rsidRPr="002F3A66" w:rsidRDefault="00A327F1" w:rsidP="00A327F1">
      <w:pPr>
        <w:pStyle w:val="BTEMEASMCA"/>
      </w:pPr>
    </w:p>
    <w:p w:rsidR="00A327F1" w:rsidRPr="00D56CD3" w:rsidRDefault="00A327F1" w:rsidP="00A327F1">
      <w:pPr>
        <w:pStyle w:val="BTEMEASMCA"/>
      </w:pPr>
    </w:p>
    <w:p w:rsidR="00A327F1" w:rsidRPr="00444CB1" w:rsidRDefault="00A327F1" w:rsidP="00A327F1">
      <w:pPr>
        <w:pStyle w:val="PI-1labEMEASMCA"/>
        <w:rPr>
          <w:rFonts w:ascii="Times New Roman" w:hAnsi="Times New Roman"/>
        </w:rPr>
      </w:pPr>
      <w:r w:rsidRPr="00444CB1">
        <w:rPr>
          <w:rFonts w:ascii="Times New Roman" w:hAnsi="Times New Roman"/>
        </w:rPr>
        <w:t>5.</w:t>
      </w:r>
      <w:r w:rsidRPr="00444CB1">
        <w:rPr>
          <w:rFonts w:ascii="Times New Roman" w:hAnsi="Times New Roman"/>
        </w:rPr>
        <w:tab/>
        <w:t>KITA</w:t>
      </w:r>
    </w:p>
    <w:p w:rsidR="00A327F1" w:rsidRPr="0001550C" w:rsidRDefault="00A327F1" w:rsidP="00A327F1">
      <w:pPr>
        <w:pStyle w:val="BTEMEASMCA"/>
      </w:pPr>
    </w:p>
    <w:p w:rsidR="00A327F1" w:rsidRPr="00750BE0" w:rsidRDefault="00A327F1" w:rsidP="00A327F1">
      <w:pPr>
        <w:pStyle w:val="BTEMEASMCA"/>
      </w:pPr>
    </w:p>
    <w:p w:rsidR="00A327F1" w:rsidRPr="002F3A66" w:rsidRDefault="00A327F1" w:rsidP="00A327F1">
      <w:pPr>
        <w:pStyle w:val="BTEMEASMCA"/>
      </w:pPr>
    </w:p>
    <w:p w:rsidR="00A327F1" w:rsidRPr="00D56CD3" w:rsidRDefault="00A327F1" w:rsidP="00A327F1">
      <w:pPr>
        <w:pStyle w:val="BTEMEASMCA"/>
      </w:pPr>
    </w:p>
    <w:p w:rsidR="00A327F1" w:rsidRPr="00BF5E43" w:rsidRDefault="00A327F1" w:rsidP="00A327F1">
      <w:pPr>
        <w:pStyle w:val="BTEMEASMCA"/>
      </w:pPr>
    </w:p>
    <w:p w:rsidR="00A327F1" w:rsidRPr="00455F78" w:rsidRDefault="00A327F1" w:rsidP="00A327F1">
      <w:pPr>
        <w:pStyle w:val="BTEMEASMCA"/>
      </w:pPr>
    </w:p>
    <w:p w:rsidR="00A327F1" w:rsidRPr="00455F78" w:rsidRDefault="00A327F1" w:rsidP="00A327F1">
      <w:pPr>
        <w:pStyle w:val="BTEMEASMCA"/>
      </w:pPr>
    </w:p>
    <w:p w:rsidR="00A327F1" w:rsidRPr="00827519" w:rsidRDefault="00A327F1" w:rsidP="00A327F1">
      <w:pPr>
        <w:pStyle w:val="BTEMEASMCA"/>
      </w:pPr>
    </w:p>
    <w:p w:rsidR="00A327F1" w:rsidRPr="00AD21B4" w:rsidRDefault="00A327F1" w:rsidP="00A327F1">
      <w:pPr>
        <w:pStyle w:val="BTEMEASMCA"/>
      </w:pPr>
    </w:p>
    <w:p w:rsidR="00A327F1" w:rsidRPr="00792135" w:rsidRDefault="00A327F1" w:rsidP="00A327F1">
      <w:pPr>
        <w:pStyle w:val="BTEMEASMCA"/>
      </w:pPr>
    </w:p>
    <w:p w:rsidR="00A327F1" w:rsidRPr="00FE2058" w:rsidRDefault="00A327F1" w:rsidP="00A327F1">
      <w:pPr>
        <w:pStyle w:val="BTEMEASMCA"/>
      </w:pPr>
    </w:p>
    <w:p w:rsidR="00A327F1" w:rsidRPr="00463DE6" w:rsidRDefault="00A327F1" w:rsidP="00A327F1">
      <w:pPr>
        <w:pStyle w:val="BTEMEASMCA"/>
      </w:pPr>
    </w:p>
    <w:p w:rsidR="00A327F1" w:rsidRPr="00923133" w:rsidRDefault="00A327F1" w:rsidP="00A327F1">
      <w:pPr>
        <w:pStyle w:val="BTEMEASMCA"/>
      </w:pPr>
    </w:p>
    <w:p w:rsidR="00A327F1" w:rsidRPr="0073666E" w:rsidRDefault="00A327F1" w:rsidP="00A327F1">
      <w:pPr>
        <w:pStyle w:val="BTEMEASMCA"/>
      </w:pPr>
    </w:p>
    <w:p w:rsidR="00A327F1" w:rsidRPr="00FE23FD" w:rsidRDefault="00A327F1" w:rsidP="00A327F1">
      <w:pPr>
        <w:pStyle w:val="BTEMEASMCA"/>
      </w:pPr>
    </w:p>
    <w:p w:rsidR="00A327F1" w:rsidRPr="005408C5" w:rsidRDefault="00A327F1" w:rsidP="00A327F1">
      <w:pPr>
        <w:pStyle w:val="BTEMEASMCA"/>
      </w:pPr>
    </w:p>
    <w:p w:rsidR="00A327F1" w:rsidRPr="00444CB1" w:rsidRDefault="00A327F1" w:rsidP="00A327F1">
      <w:pPr>
        <w:pStyle w:val="TTEMEASMCA"/>
        <w:rPr>
          <w:rFonts w:ascii="Times New Roman" w:hAnsi="Times New Roman"/>
          <w:lang w:val="fi-FI"/>
        </w:rPr>
      </w:pPr>
    </w:p>
    <w:p w:rsidR="00A327F1" w:rsidRPr="00444CB1" w:rsidRDefault="00A327F1" w:rsidP="00A327F1">
      <w:pPr>
        <w:rPr>
          <w:rFonts w:ascii="Times New Roman" w:hAnsi="Times New Roman"/>
        </w:rPr>
      </w:pPr>
    </w:p>
    <w:p w:rsidR="00A327F1" w:rsidRPr="0001550C" w:rsidRDefault="00A327F1" w:rsidP="00A327F1">
      <w:pPr>
        <w:pStyle w:val="BTEMEASMCA"/>
      </w:pPr>
    </w:p>
    <w:p w:rsidR="00A327F1" w:rsidRPr="00750BE0" w:rsidRDefault="00A327F1" w:rsidP="00A327F1">
      <w:pPr>
        <w:pStyle w:val="BTEMEASMCA"/>
      </w:pPr>
    </w:p>
    <w:p w:rsidR="00A327F1" w:rsidRPr="002F3A66" w:rsidRDefault="00A327F1" w:rsidP="00A327F1">
      <w:pPr>
        <w:pStyle w:val="BTEMEASMCA"/>
      </w:pPr>
    </w:p>
    <w:p w:rsidR="00A327F1" w:rsidRPr="00D56CD3" w:rsidRDefault="00A327F1" w:rsidP="00A327F1">
      <w:pPr>
        <w:pStyle w:val="BTEMEASMCA"/>
      </w:pPr>
    </w:p>
    <w:p w:rsidR="00A327F1" w:rsidRPr="00BF5E43" w:rsidRDefault="00A327F1" w:rsidP="00A327F1">
      <w:pPr>
        <w:pStyle w:val="BTEMEASMCA"/>
      </w:pPr>
    </w:p>
    <w:p w:rsidR="00A327F1" w:rsidRPr="00455F78" w:rsidRDefault="00A327F1" w:rsidP="00A327F1">
      <w:pPr>
        <w:pStyle w:val="BTEMEASMCA"/>
      </w:pPr>
    </w:p>
    <w:p w:rsidR="00A327F1" w:rsidRPr="00455F78" w:rsidRDefault="00A327F1" w:rsidP="00A327F1">
      <w:pPr>
        <w:pStyle w:val="BTEMEASMCA"/>
      </w:pPr>
    </w:p>
    <w:p w:rsidR="00A327F1" w:rsidRPr="00827519" w:rsidRDefault="00A327F1" w:rsidP="00A327F1">
      <w:pPr>
        <w:pStyle w:val="BTEMEASMCA"/>
      </w:pPr>
    </w:p>
    <w:p w:rsidR="00A327F1" w:rsidRPr="00827519" w:rsidRDefault="00A327F1" w:rsidP="00A327F1">
      <w:pPr>
        <w:pStyle w:val="BTEMEASMCA"/>
      </w:pPr>
    </w:p>
    <w:p w:rsidR="00A327F1" w:rsidRPr="00AD21B4" w:rsidRDefault="00A327F1" w:rsidP="00A327F1">
      <w:pPr>
        <w:pStyle w:val="BTEMEASMCA"/>
      </w:pPr>
    </w:p>
    <w:p w:rsidR="00A327F1" w:rsidRPr="00792135" w:rsidRDefault="00A327F1" w:rsidP="00A327F1">
      <w:pPr>
        <w:pStyle w:val="BTEMEASMCA"/>
      </w:pPr>
    </w:p>
    <w:p w:rsidR="00A327F1" w:rsidRPr="00FE2058" w:rsidRDefault="00A327F1" w:rsidP="00A327F1">
      <w:pPr>
        <w:pStyle w:val="BTEMEASMCA"/>
      </w:pPr>
    </w:p>
    <w:p w:rsidR="00A327F1" w:rsidRPr="00463DE6" w:rsidRDefault="00A327F1" w:rsidP="00A327F1">
      <w:pPr>
        <w:pStyle w:val="BTEMEASMCA"/>
      </w:pPr>
    </w:p>
    <w:p w:rsidR="00A327F1" w:rsidRPr="00923133" w:rsidRDefault="00A327F1" w:rsidP="00A327F1">
      <w:pPr>
        <w:pStyle w:val="BTEMEASMCA"/>
      </w:pPr>
    </w:p>
    <w:p w:rsidR="00A327F1" w:rsidRPr="0073666E" w:rsidRDefault="00A327F1" w:rsidP="00A327F1">
      <w:pPr>
        <w:pStyle w:val="BTEMEASMCA"/>
      </w:pPr>
    </w:p>
    <w:p w:rsidR="00A327F1" w:rsidRPr="00FE23FD" w:rsidRDefault="00A327F1" w:rsidP="00A327F1">
      <w:pPr>
        <w:pStyle w:val="BTEMEASMCA"/>
      </w:pPr>
    </w:p>
    <w:p w:rsidR="00A327F1" w:rsidRPr="005408C5" w:rsidRDefault="00A327F1" w:rsidP="00A327F1">
      <w:pPr>
        <w:pStyle w:val="BTEMEASMCA"/>
      </w:pPr>
    </w:p>
    <w:p w:rsidR="00A327F1" w:rsidRPr="004D7CD2" w:rsidRDefault="00A327F1" w:rsidP="00A327F1">
      <w:pPr>
        <w:pStyle w:val="BTEMEASMCA"/>
      </w:pPr>
    </w:p>
    <w:p w:rsidR="00A327F1" w:rsidRPr="0037148B" w:rsidRDefault="00A327F1" w:rsidP="00A327F1">
      <w:pPr>
        <w:pStyle w:val="BTEMEASMCA"/>
      </w:pPr>
    </w:p>
    <w:p w:rsidR="00A327F1" w:rsidRPr="00F7455B" w:rsidRDefault="00A327F1" w:rsidP="00A327F1">
      <w:pPr>
        <w:pStyle w:val="BTEMEASMCA"/>
      </w:pPr>
    </w:p>
    <w:p w:rsidR="00A327F1" w:rsidRPr="008F6B8A"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BTEMEASMCA"/>
      </w:pPr>
    </w:p>
    <w:p w:rsidR="00A327F1" w:rsidRPr="00444CB1" w:rsidRDefault="00A327F1" w:rsidP="00A327F1">
      <w:pPr>
        <w:pStyle w:val="TTEMEASMCA"/>
        <w:rPr>
          <w:rFonts w:ascii="Times New Roman" w:hAnsi="Times New Roman"/>
        </w:rPr>
      </w:pPr>
      <w:bookmarkStart w:id="69" w:name="_Toc129243262"/>
      <w:bookmarkStart w:id="70" w:name="_Toc129243137"/>
      <w:r w:rsidRPr="00444CB1">
        <w:rPr>
          <w:rFonts w:ascii="Times New Roman" w:hAnsi="Times New Roman"/>
        </w:rPr>
        <w:t>B. PAKUOTĖS LAPELIS</w:t>
      </w:r>
      <w:bookmarkEnd w:id="69"/>
      <w:bookmarkEnd w:id="70"/>
    </w:p>
    <w:p w:rsidR="00A327F1" w:rsidRPr="00444CB1" w:rsidRDefault="00A327F1" w:rsidP="00A327F1">
      <w:pPr>
        <w:pStyle w:val="TTEMEASMCA"/>
        <w:rPr>
          <w:rFonts w:ascii="Times New Roman" w:hAnsi="Times New Roman"/>
        </w:rPr>
      </w:pPr>
      <w:r w:rsidRPr="00444CB1">
        <w:rPr>
          <w:rFonts w:ascii="Times New Roman" w:hAnsi="Times New Roman"/>
        </w:rPr>
        <w:br w:type="page"/>
      </w:r>
      <w:bookmarkStart w:id="71" w:name="_Toc129243263"/>
      <w:bookmarkStart w:id="72" w:name="_Toc129243138"/>
      <w:proofErr w:type="spellStart"/>
      <w:r w:rsidRPr="00444CB1">
        <w:rPr>
          <w:rFonts w:ascii="Times New Roman" w:hAnsi="Times New Roman"/>
        </w:rPr>
        <w:lastRenderedPageBreak/>
        <w:t>Pakuotės</w:t>
      </w:r>
      <w:proofErr w:type="spellEnd"/>
      <w:r w:rsidRPr="00444CB1">
        <w:rPr>
          <w:rFonts w:ascii="Times New Roman" w:hAnsi="Times New Roman"/>
        </w:rPr>
        <w:t xml:space="preserve"> </w:t>
      </w:r>
      <w:proofErr w:type="spellStart"/>
      <w:r w:rsidRPr="00444CB1">
        <w:rPr>
          <w:rFonts w:ascii="Times New Roman" w:hAnsi="Times New Roman"/>
        </w:rPr>
        <w:t>lapelis</w:t>
      </w:r>
      <w:proofErr w:type="spellEnd"/>
      <w:r w:rsidRPr="00444CB1">
        <w:rPr>
          <w:rFonts w:ascii="Times New Roman" w:hAnsi="Times New Roman"/>
        </w:rPr>
        <w:t xml:space="preserve">: </w:t>
      </w:r>
      <w:proofErr w:type="spellStart"/>
      <w:r w:rsidRPr="00444CB1">
        <w:rPr>
          <w:rFonts w:ascii="Times New Roman" w:hAnsi="Times New Roman"/>
        </w:rPr>
        <w:t>informacija</w:t>
      </w:r>
      <w:proofErr w:type="spellEnd"/>
      <w:r w:rsidRPr="00444CB1">
        <w:rPr>
          <w:rFonts w:ascii="Times New Roman" w:hAnsi="Times New Roman"/>
        </w:rPr>
        <w:t xml:space="preserve"> </w:t>
      </w:r>
      <w:proofErr w:type="spellStart"/>
      <w:r w:rsidRPr="00444CB1">
        <w:rPr>
          <w:rFonts w:ascii="Times New Roman" w:hAnsi="Times New Roman"/>
        </w:rPr>
        <w:t>vartotojui</w:t>
      </w:r>
      <w:bookmarkEnd w:id="71"/>
      <w:bookmarkEnd w:id="72"/>
      <w:proofErr w:type="spellEnd"/>
    </w:p>
    <w:p w:rsidR="00A327F1" w:rsidRPr="0001550C" w:rsidRDefault="00A327F1" w:rsidP="00A327F1">
      <w:pPr>
        <w:pStyle w:val="BTEMEASMCA"/>
      </w:pPr>
    </w:p>
    <w:p w:rsidR="00A327F1" w:rsidRPr="00444CB1" w:rsidRDefault="00A327F1" w:rsidP="00A327F1">
      <w:pPr>
        <w:contextualSpacing/>
        <w:jc w:val="center"/>
        <w:rPr>
          <w:rFonts w:ascii="Times New Roman" w:hAnsi="Times New Roman"/>
          <w:b/>
          <w:lang w:val="fr-FR"/>
        </w:rPr>
      </w:pPr>
      <w:r w:rsidRPr="00444CB1">
        <w:rPr>
          <w:rFonts w:ascii="Times New Roman" w:hAnsi="Times New Roman"/>
          <w:b/>
          <w:lang w:val="fr-FR"/>
        </w:rPr>
        <w:t xml:space="preserve">COAXIL 12,5 mg </w:t>
      </w:r>
      <w:proofErr w:type="spellStart"/>
      <w:r w:rsidRPr="00444CB1">
        <w:rPr>
          <w:rFonts w:ascii="Times New Roman" w:hAnsi="Times New Roman"/>
          <w:b/>
          <w:lang w:val="fr-FR"/>
        </w:rPr>
        <w:t>dengtos</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tabletės</w:t>
      </w:r>
      <w:proofErr w:type="spellEnd"/>
    </w:p>
    <w:p w:rsidR="00A327F1" w:rsidRPr="00444CB1" w:rsidRDefault="00A327F1" w:rsidP="00A327F1">
      <w:pPr>
        <w:contextualSpacing/>
        <w:jc w:val="center"/>
        <w:rPr>
          <w:rFonts w:ascii="Times New Roman" w:hAnsi="Times New Roman"/>
          <w:lang w:val="fr-FR"/>
        </w:rPr>
      </w:pPr>
      <w:proofErr w:type="spellStart"/>
      <w:r w:rsidRPr="00444CB1">
        <w:rPr>
          <w:rFonts w:ascii="Times New Roman" w:hAnsi="Times New Roman"/>
          <w:lang w:val="fr-FR"/>
        </w:rPr>
        <w:t>Tianeptino</w:t>
      </w:r>
      <w:proofErr w:type="spellEnd"/>
      <w:r w:rsidRPr="00444CB1">
        <w:rPr>
          <w:rFonts w:ascii="Times New Roman" w:hAnsi="Times New Roman"/>
          <w:lang w:val="fr-FR"/>
        </w:rPr>
        <w:t xml:space="preserve"> </w:t>
      </w:r>
      <w:proofErr w:type="spellStart"/>
      <w:r w:rsidRPr="00444CB1">
        <w:rPr>
          <w:rFonts w:ascii="Times New Roman" w:hAnsi="Times New Roman"/>
          <w:lang w:val="fr-FR"/>
        </w:rPr>
        <w:t>natrio</w:t>
      </w:r>
      <w:proofErr w:type="spellEnd"/>
      <w:r w:rsidRPr="00444CB1">
        <w:rPr>
          <w:rFonts w:ascii="Times New Roman" w:hAnsi="Times New Roman"/>
          <w:lang w:val="fr-FR"/>
        </w:rPr>
        <w:t xml:space="preserve"> </w:t>
      </w:r>
      <w:proofErr w:type="spellStart"/>
      <w:r w:rsidRPr="00444CB1">
        <w:rPr>
          <w:rFonts w:ascii="Times New Roman" w:hAnsi="Times New Roman"/>
          <w:lang w:val="fr-FR"/>
        </w:rPr>
        <w:t>druska</w:t>
      </w:r>
      <w:proofErr w:type="spellEnd"/>
    </w:p>
    <w:p w:rsidR="00A327F1" w:rsidRPr="00444CB1" w:rsidRDefault="00A327F1" w:rsidP="00A327F1">
      <w:pPr>
        <w:rPr>
          <w:rFonts w:ascii="Times New Roman" w:hAnsi="Times New Roman"/>
          <w:lang w:val="fr-FR"/>
        </w:rPr>
      </w:pPr>
    </w:p>
    <w:p w:rsidR="00A327F1" w:rsidRPr="00444CB1" w:rsidRDefault="00A327F1" w:rsidP="00A327F1">
      <w:pPr>
        <w:contextualSpacing/>
        <w:rPr>
          <w:rFonts w:ascii="Times New Roman" w:hAnsi="Times New Roman"/>
          <w:b/>
          <w:lang w:val="fr-FR"/>
        </w:rPr>
      </w:pPr>
      <w:proofErr w:type="spellStart"/>
      <w:r w:rsidRPr="00444CB1">
        <w:rPr>
          <w:rFonts w:ascii="Times New Roman" w:hAnsi="Times New Roman"/>
          <w:b/>
          <w:lang w:val="fr-FR"/>
        </w:rPr>
        <w:t>Atidžiai</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perskaitykite</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visą</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šį</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lapelį</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prieš</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pradėdami</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vartoti</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vaistą</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nes</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jame</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pateikiama</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Jums</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svarbi</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informacija</w:t>
      </w:r>
      <w:proofErr w:type="spellEnd"/>
      <w:r w:rsidRPr="00444CB1">
        <w:rPr>
          <w:rFonts w:ascii="Times New Roman" w:hAnsi="Times New Roman"/>
          <w:b/>
          <w:lang w:val="fr-FR"/>
        </w:rPr>
        <w:t>.</w:t>
      </w: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Neišmeskite</w:t>
      </w:r>
      <w:proofErr w:type="spellEnd"/>
      <w:r w:rsidRPr="00444CB1">
        <w:rPr>
          <w:rFonts w:ascii="Times New Roman" w:hAnsi="Times New Roman"/>
          <w:lang w:val="fr-FR"/>
        </w:rPr>
        <w:t xml:space="preserve"> </w:t>
      </w:r>
      <w:proofErr w:type="spellStart"/>
      <w:r w:rsidRPr="00444CB1">
        <w:rPr>
          <w:rFonts w:ascii="Times New Roman" w:hAnsi="Times New Roman"/>
          <w:lang w:val="fr-FR"/>
        </w:rPr>
        <w:t>šio</w:t>
      </w:r>
      <w:proofErr w:type="spellEnd"/>
      <w:r w:rsidRPr="00444CB1">
        <w:rPr>
          <w:rFonts w:ascii="Times New Roman" w:hAnsi="Times New Roman"/>
          <w:lang w:val="fr-FR"/>
        </w:rPr>
        <w:t xml:space="preserve"> </w:t>
      </w:r>
      <w:proofErr w:type="spellStart"/>
      <w:r w:rsidRPr="00444CB1">
        <w:rPr>
          <w:rFonts w:ascii="Times New Roman" w:hAnsi="Times New Roman"/>
          <w:lang w:val="fr-FR"/>
        </w:rPr>
        <w:t>lapelio</w:t>
      </w:r>
      <w:proofErr w:type="spellEnd"/>
      <w:r w:rsidRPr="00444CB1">
        <w:rPr>
          <w:rFonts w:ascii="Times New Roman" w:hAnsi="Times New Roman"/>
          <w:lang w:val="fr-FR"/>
        </w:rPr>
        <w:t xml:space="preserve">, </w:t>
      </w:r>
      <w:proofErr w:type="spellStart"/>
      <w:r w:rsidRPr="00444CB1">
        <w:rPr>
          <w:rFonts w:ascii="Times New Roman" w:hAnsi="Times New Roman"/>
          <w:lang w:val="fr-FR"/>
        </w:rPr>
        <w:t>nes</w:t>
      </w:r>
      <w:proofErr w:type="spellEnd"/>
      <w:r w:rsidRPr="00444CB1">
        <w:rPr>
          <w:rFonts w:ascii="Times New Roman" w:hAnsi="Times New Roman"/>
          <w:lang w:val="fr-FR"/>
        </w:rPr>
        <w:t xml:space="preserve"> </w:t>
      </w:r>
      <w:proofErr w:type="spellStart"/>
      <w:r w:rsidRPr="00444CB1">
        <w:rPr>
          <w:rFonts w:ascii="Times New Roman" w:hAnsi="Times New Roman"/>
          <w:lang w:val="fr-FR"/>
        </w:rPr>
        <w:t>vėl</w:t>
      </w:r>
      <w:proofErr w:type="spellEnd"/>
      <w:r w:rsidRPr="00444CB1">
        <w:rPr>
          <w:rFonts w:ascii="Times New Roman" w:hAnsi="Times New Roman"/>
          <w:lang w:val="fr-FR"/>
        </w:rPr>
        <w:t xml:space="preserve"> </w:t>
      </w:r>
      <w:proofErr w:type="spellStart"/>
      <w:r w:rsidRPr="00444CB1">
        <w:rPr>
          <w:rFonts w:ascii="Times New Roman" w:hAnsi="Times New Roman"/>
          <w:lang w:val="fr-FR"/>
        </w:rPr>
        <w:t>gali</w:t>
      </w:r>
      <w:proofErr w:type="spellEnd"/>
      <w:r w:rsidRPr="00444CB1">
        <w:rPr>
          <w:rFonts w:ascii="Times New Roman" w:hAnsi="Times New Roman"/>
          <w:lang w:val="fr-FR"/>
        </w:rPr>
        <w:t xml:space="preserve"> </w:t>
      </w:r>
      <w:proofErr w:type="spellStart"/>
      <w:r w:rsidRPr="00444CB1">
        <w:rPr>
          <w:rFonts w:ascii="Times New Roman" w:hAnsi="Times New Roman"/>
          <w:lang w:val="fr-FR"/>
        </w:rPr>
        <w:t>prireikti</w:t>
      </w:r>
      <w:proofErr w:type="spellEnd"/>
      <w:r w:rsidRPr="00444CB1">
        <w:rPr>
          <w:rFonts w:ascii="Times New Roman" w:hAnsi="Times New Roman"/>
          <w:lang w:val="fr-FR"/>
        </w:rPr>
        <w:t xml:space="preserve"> </w:t>
      </w:r>
      <w:proofErr w:type="spellStart"/>
      <w:r w:rsidRPr="00444CB1">
        <w:rPr>
          <w:rFonts w:ascii="Times New Roman" w:hAnsi="Times New Roman"/>
          <w:lang w:val="fr-FR"/>
        </w:rPr>
        <w:t>jį</w:t>
      </w:r>
      <w:proofErr w:type="spellEnd"/>
      <w:r w:rsidRPr="00444CB1">
        <w:rPr>
          <w:rFonts w:ascii="Times New Roman" w:hAnsi="Times New Roman"/>
          <w:lang w:val="fr-FR"/>
        </w:rPr>
        <w:t xml:space="preserve"> </w:t>
      </w:r>
      <w:proofErr w:type="spellStart"/>
      <w:r w:rsidRPr="00444CB1">
        <w:rPr>
          <w:rFonts w:ascii="Times New Roman" w:hAnsi="Times New Roman"/>
          <w:lang w:val="fr-FR"/>
        </w:rPr>
        <w:t>perskaityti</w:t>
      </w:r>
      <w:proofErr w:type="spellEnd"/>
      <w:r w:rsidRPr="00444CB1">
        <w:rPr>
          <w:rFonts w:ascii="Times New Roman" w:hAnsi="Times New Roman"/>
          <w:lang w:val="fr-FR"/>
        </w:rPr>
        <w:t>.</w:t>
      </w: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Jeigu</w:t>
      </w:r>
      <w:proofErr w:type="spellEnd"/>
      <w:r w:rsidRPr="00444CB1">
        <w:rPr>
          <w:rFonts w:ascii="Times New Roman" w:hAnsi="Times New Roman"/>
          <w:lang w:val="fr-FR"/>
        </w:rPr>
        <w:t xml:space="preserve"> </w:t>
      </w:r>
      <w:proofErr w:type="spellStart"/>
      <w:r w:rsidRPr="00444CB1">
        <w:rPr>
          <w:rFonts w:ascii="Times New Roman" w:hAnsi="Times New Roman"/>
          <w:lang w:val="fr-FR"/>
        </w:rPr>
        <w:t>kiltų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daugiau</w:t>
      </w:r>
      <w:proofErr w:type="spellEnd"/>
      <w:r w:rsidRPr="00444CB1">
        <w:rPr>
          <w:rFonts w:ascii="Times New Roman" w:hAnsi="Times New Roman"/>
          <w:lang w:val="fr-FR"/>
        </w:rPr>
        <w:t xml:space="preserve"> </w:t>
      </w:r>
      <w:proofErr w:type="spellStart"/>
      <w:r w:rsidRPr="00444CB1">
        <w:rPr>
          <w:rFonts w:ascii="Times New Roman" w:hAnsi="Times New Roman"/>
          <w:lang w:val="fr-FR"/>
        </w:rPr>
        <w:t>klausimų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kreipkitės</w:t>
      </w:r>
      <w:proofErr w:type="spellEnd"/>
      <w:r w:rsidRPr="00444CB1">
        <w:rPr>
          <w:rFonts w:ascii="Times New Roman" w:hAnsi="Times New Roman"/>
          <w:lang w:val="fr-FR"/>
        </w:rPr>
        <w:t xml:space="preserve"> į </w:t>
      </w:r>
      <w:proofErr w:type="spellStart"/>
      <w:r w:rsidRPr="00444CB1">
        <w:rPr>
          <w:rFonts w:ascii="Times New Roman" w:hAnsi="Times New Roman"/>
          <w:lang w:val="fr-FR"/>
        </w:rPr>
        <w:t>gydytoją</w:t>
      </w:r>
      <w:proofErr w:type="spellEnd"/>
      <w:r w:rsidRPr="00444CB1">
        <w:rPr>
          <w:rFonts w:ascii="Times New Roman" w:hAnsi="Times New Roman"/>
          <w:lang w:val="fr-FR"/>
        </w:rPr>
        <w:t xml:space="preserve"> </w:t>
      </w:r>
      <w:proofErr w:type="spellStart"/>
      <w:r w:rsidRPr="00444CB1">
        <w:rPr>
          <w:rFonts w:ascii="Times New Roman" w:hAnsi="Times New Roman"/>
          <w:lang w:val="fr-FR"/>
        </w:rPr>
        <w:t>arba</w:t>
      </w:r>
      <w:proofErr w:type="spellEnd"/>
      <w:r w:rsidRPr="00444CB1">
        <w:rPr>
          <w:rFonts w:ascii="Times New Roman" w:hAnsi="Times New Roman"/>
          <w:lang w:val="fr-FR"/>
        </w:rPr>
        <w:t xml:space="preserve"> </w:t>
      </w:r>
      <w:proofErr w:type="spellStart"/>
      <w:r w:rsidRPr="00444CB1">
        <w:rPr>
          <w:rFonts w:ascii="Times New Roman" w:hAnsi="Times New Roman"/>
          <w:lang w:val="fr-FR"/>
        </w:rPr>
        <w:t>vaistininką</w:t>
      </w:r>
      <w:proofErr w:type="spellEnd"/>
      <w:r w:rsidRPr="00444CB1">
        <w:rPr>
          <w:rFonts w:ascii="Times New Roman" w:hAnsi="Times New Roman"/>
          <w:lang w:val="fr-FR"/>
        </w:rPr>
        <w:t>.</w:t>
      </w: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Šis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vaistas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skirtas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tik</w:t>
      </w:r>
      <w:proofErr w:type="spellEnd"/>
      <w:r w:rsidRPr="00444CB1">
        <w:rPr>
          <w:rFonts w:ascii="Times New Roman" w:hAnsi="Times New Roman"/>
          <w:lang w:val="fr-FR"/>
        </w:rPr>
        <w:t xml:space="preserve"> </w:t>
      </w:r>
      <w:proofErr w:type="spellStart"/>
      <w:r w:rsidRPr="00444CB1">
        <w:rPr>
          <w:rFonts w:ascii="Times New Roman" w:hAnsi="Times New Roman"/>
          <w:lang w:val="fr-FR"/>
        </w:rPr>
        <w:t>Jums</w:t>
      </w:r>
      <w:proofErr w:type="spellEnd"/>
      <w:r w:rsidRPr="00444CB1">
        <w:rPr>
          <w:rFonts w:ascii="Times New Roman" w:hAnsi="Times New Roman"/>
          <w:lang w:val="fr-FR"/>
        </w:rPr>
        <w:t xml:space="preserve">, </w:t>
      </w:r>
      <w:proofErr w:type="spellStart"/>
      <w:r w:rsidRPr="00444CB1">
        <w:rPr>
          <w:rFonts w:ascii="Times New Roman" w:hAnsi="Times New Roman"/>
          <w:lang w:val="fr-FR"/>
        </w:rPr>
        <w:t>todėl</w:t>
      </w:r>
      <w:proofErr w:type="spellEnd"/>
      <w:r w:rsidRPr="00444CB1">
        <w:rPr>
          <w:rFonts w:ascii="Times New Roman" w:hAnsi="Times New Roman"/>
          <w:lang w:val="fr-FR"/>
        </w:rPr>
        <w:t xml:space="preserve"> </w:t>
      </w:r>
      <w:proofErr w:type="spellStart"/>
      <w:r w:rsidRPr="00444CB1">
        <w:rPr>
          <w:rFonts w:ascii="Times New Roman" w:hAnsi="Times New Roman"/>
          <w:lang w:val="fr-FR"/>
        </w:rPr>
        <w:t>kitiems</w:t>
      </w:r>
      <w:proofErr w:type="spellEnd"/>
      <w:r w:rsidRPr="00444CB1">
        <w:rPr>
          <w:rFonts w:ascii="Times New Roman" w:hAnsi="Times New Roman"/>
          <w:lang w:val="fr-FR"/>
        </w:rPr>
        <w:t xml:space="preserve"> </w:t>
      </w:r>
      <w:proofErr w:type="spellStart"/>
      <w:r w:rsidRPr="00444CB1">
        <w:rPr>
          <w:rFonts w:ascii="Times New Roman" w:hAnsi="Times New Roman"/>
          <w:lang w:val="fr-FR"/>
        </w:rPr>
        <w:t>žmonėms</w:t>
      </w:r>
      <w:proofErr w:type="spellEnd"/>
      <w:r w:rsidRPr="00444CB1">
        <w:rPr>
          <w:rFonts w:ascii="Times New Roman" w:hAnsi="Times New Roman"/>
          <w:lang w:val="fr-FR"/>
        </w:rPr>
        <w:t xml:space="preserve"> </w:t>
      </w:r>
      <w:proofErr w:type="spellStart"/>
      <w:r w:rsidRPr="00444CB1">
        <w:rPr>
          <w:rFonts w:ascii="Times New Roman" w:hAnsi="Times New Roman"/>
          <w:lang w:val="fr-FR"/>
        </w:rPr>
        <w:t>jo</w:t>
      </w:r>
      <w:proofErr w:type="spellEnd"/>
      <w:r w:rsidRPr="00444CB1">
        <w:rPr>
          <w:rFonts w:ascii="Times New Roman" w:hAnsi="Times New Roman"/>
          <w:lang w:val="fr-FR"/>
        </w:rPr>
        <w:t xml:space="preserve"> </w:t>
      </w:r>
      <w:proofErr w:type="spellStart"/>
      <w:r w:rsidRPr="00444CB1">
        <w:rPr>
          <w:rFonts w:ascii="Times New Roman" w:hAnsi="Times New Roman"/>
          <w:lang w:val="fr-FR"/>
        </w:rPr>
        <w:t>duoti</w:t>
      </w:r>
      <w:proofErr w:type="spellEnd"/>
      <w:r w:rsidRPr="00444CB1">
        <w:rPr>
          <w:rFonts w:ascii="Times New Roman" w:hAnsi="Times New Roman"/>
          <w:lang w:val="fr-FR"/>
        </w:rPr>
        <w:t xml:space="preserve"> </w:t>
      </w:r>
      <w:proofErr w:type="spellStart"/>
      <w:r w:rsidRPr="00444CB1">
        <w:rPr>
          <w:rFonts w:ascii="Times New Roman" w:hAnsi="Times New Roman"/>
          <w:lang w:val="fr-FR"/>
        </w:rPr>
        <w:t>negalima</w:t>
      </w:r>
      <w:proofErr w:type="spellEnd"/>
      <w:r w:rsidRPr="00444CB1">
        <w:rPr>
          <w:rFonts w:ascii="Times New Roman" w:hAnsi="Times New Roman"/>
          <w:lang w:val="fr-FR"/>
        </w:rPr>
        <w:t xml:space="preserve">. </w:t>
      </w:r>
      <w:proofErr w:type="spellStart"/>
      <w:r w:rsidRPr="00444CB1">
        <w:rPr>
          <w:rFonts w:ascii="Times New Roman" w:hAnsi="Times New Roman"/>
          <w:lang w:val="fr-FR"/>
        </w:rPr>
        <w:t>Vaistas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gali</w:t>
      </w:r>
      <w:proofErr w:type="spellEnd"/>
      <w:r w:rsidRPr="00444CB1">
        <w:rPr>
          <w:rFonts w:ascii="Times New Roman" w:hAnsi="Times New Roman"/>
          <w:lang w:val="fr-FR"/>
        </w:rPr>
        <w:t xml:space="preserve"> </w:t>
      </w:r>
      <w:proofErr w:type="spellStart"/>
      <w:r w:rsidRPr="00444CB1">
        <w:rPr>
          <w:rFonts w:ascii="Times New Roman" w:hAnsi="Times New Roman"/>
          <w:lang w:val="fr-FR"/>
        </w:rPr>
        <w:t>jiems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pakenkti</w:t>
      </w:r>
      <w:proofErr w:type="spellEnd"/>
      <w:r w:rsidRPr="00444CB1">
        <w:rPr>
          <w:rFonts w:ascii="Times New Roman" w:hAnsi="Times New Roman"/>
          <w:lang w:val="fr-FR"/>
        </w:rPr>
        <w:t xml:space="preserve"> (net </w:t>
      </w:r>
      <w:proofErr w:type="spellStart"/>
      <w:r w:rsidRPr="00444CB1">
        <w:rPr>
          <w:rFonts w:ascii="Times New Roman" w:hAnsi="Times New Roman"/>
          <w:lang w:val="fr-FR"/>
        </w:rPr>
        <w:t>tiems</w:t>
      </w:r>
      <w:proofErr w:type="spellEnd"/>
      <w:r w:rsidRPr="00444CB1">
        <w:rPr>
          <w:rFonts w:ascii="Times New Roman" w:hAnsi="Times New Roman"/>
          <w:lang w:val="fr-FR"/>
        </w:rPr>
        <w:t xml:space="preserve">, </w:t>
      </w:r>
      <w:proofErr w:type="spellStart"/>
      <w:r w:rsidRPr="00444CB1">
        <w:rPr>
          <w:rFonts w:ascii="Times New Roman" w:hAnsi="Times New Roman"/>
          <w:lang w:val="fr-FR"/>
        </w:rPr>
        <w:t>kurių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ligos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požymiai</w:t>
      </w:r>
      <w:proofErr w:type="spellEnd"/>
      <w:r w:rsidRPr="00444CB1">
        <w:rPr>
          <w:rFonts w:ascii="Times New Roman" w:hAnsi="Times New Roman"/>
          <w:lang w:val="fr-FR"/>
        </w:rPr>
        <w:t xml:space="preserve"> </w:t>
      </w:r>
      <w:proofErr w:type="spellStart"/>
      <w:r w:rsidRPr="00444CB1">
        <w:rPr>
          <w:rFonts w:ascii="Times New Roman" w:hAnsi="Times New Roman"/>
          <w:lang w:val="fr-FR"/>
        </w:rPr>
        <w:t>yra</w:t>
      </w:r>
      <w:proofErr w:type="spellEnd"/>
      <w:r w:rsidRPr="00444CB1">
        <w:rPr>
          <w:rFonts w:ascii="Times New Roman" w:hAnsi="Times New Roman"/>
          <w:lang w:val="fr-FR"/>
        </w:rPr>
        <w:t xml:space="preserve"> </w:t>
      </w:r>
      <w:proofErr w:type="spellStart"/>
      <w:r w:rsidRPr="00444CB1">
        <w:rPr>
          <w:rFonts w:ascii="Times New Roman" w:hAnsi="Times New Roman"/>
          <w:lang w:val="fr-FR"/>
        </w:rPr>
        <w:t>tokie</w:t>
      </w:r>
      <w:proofErr w:type="spellEnd"/>
      <w:r w:rsidRPr="00444CB1">
        <w:rPr>
          <w:rFonts w:ascii="Times New Roman" w:hAnsi="Times New Roman"/>
          <w:lang w:val="fr-FR"/>
        </w:rPr>
        <w:t xml:space="preserve"> </w:t>
      </w:r>
      <w:proofErr w:type="spellStart"/>
      <w:r w:rsidRPr="00444CB1">
        <w:rPr>
          <w:rFonts w:ascii="Times New Roman" w:hAnsi="Times New Roman"/>
          <w:lang w:val="fr-FR"/>
        </w:rPr>
        <w:t>patys</w:t>
      </w:r>
      <w:proofErr w:type="spellEnd"/>
      <w:r w:rsidRPr="00444CB1">
        <w:rPr>
          <w:rFonts w:ascii="Times New Roman" w:hAnsi="Times New Roman"/>
          <w:lang w:val="fr-FR"/>
        </w:rPr>
        <w:t xml:space="preserve"> </w:t>
      </w:r>
      <w:proofErr w:type="spellStart"/>
      <w:r w:rsidRPr="00444CB1">
        <w:rPr>
          <w:rFonts w:ascii="Times New Roman" w:hAnsi="Times New Roman"/>
          <w:lang w:val="fr-FR"/>
        </w:rPr>
        <w:t>kaip</w:t>
      </w:r>
      <w:proofErr w:type="spellEnd"/>
      <w:r w:rsidRPr="00444CB1">
        <w:rPr>
          <w:rFonts w:ascii="Times New Roman" w:hAnsi="Times New Roman"/>
          <w:lang w:val="fr-FR"/>
        </w:rPr>
        <w:t xml:space="preserve"> </w:t>
      </w:r>
      <w:proofErr w:type="spellStart"/>
      <w:r w:rsidRPr="00444CB1">
        <w:rPr>
          <w:rFonts w:ascii="Times New Roman" w:hAnsi="Times New Roman"/>
          <w:lang w:val="fr-FR"/>
        </w:rPr>
        <w:t>Jūsų</w:t>
      </w:r>
      <w:proofErr w:type="spellEnd"/>
      <w:r w:rsidRPr="00444CB1">
        <w:rPr>
          <w:rFonts w:ascii="Times New Roman" w:hAnsi="Times New Roman"/>
          <w:lang w:val="fr-FR"/>
        </w:rPr>
        <w:t>).</w:t>
      </w: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Jeigu</w:t>
      </w:r>
      <w:proofErr w:type="spellEnd"/>
      <w:r w:rsidRPr="00444CB1">
        <w:rPr>
          <w:rFonts w:ascii="Times New Roman" w:hAnsi="Times New Roman"/>
          <w:lang w:val="fr-FR"/>
        </w:rPr>
        <w:t xml:space="preserve"> </w:t>
      </w:r>
      <w:proofErr w:type="spellStart"/>
      <w:r w:rsidRPr="00444CB1">
        <w:rPr>
          <w:rFonts w:ascii="Times New Roman" w:hAnsi="Times New Roman"/>
          <w:lang w:val="fr-FR"/>
        </w:rPr>
        <w:t>pasireiškė</w:t>
      </w:r>
      <w:proofErr w:type="spellEnd"/>
      <w:r w:rsidRPr="00444CB1">
        <w:rPr>
          <w:rFonts w:ascii="Times New Roman" w:hAnsi="Times New Roman"/>
          <w:lang w:val="fr-FR"/>
        </w:rPr>
        <w:t xml:space="preserve"> </w:t>
      </w:r>
      <w:proofErr w:type="spellStart"/>
      <w:r w:rsidRPr="00444CB1">
        <w:rPr>
          <w:rFonts w:ascii="Times New Roman" w:hAnsi="Times New Roman"/>
          <w:lang w:val="fr-FR"/>
        </w:rPr>
        <w:t>šalutinis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poveikis</w:t>
      </w:r>
      <w:proofErr w:type="spellEnd"/>
      <w:r w:rsidRPr="00444CB1">
        <w:rPr>
          <w:rFonts w:ascii="Times New Roman" w:hAnsi="Times New Roman"/>
          <w:lang w:val="fr-FR"/>
        </w:rPr>
        <w:t xml:space="preserve"> (net </w:t>
      </w:r>
      <w:proofErr w:type="spellStart"/>
      <w:r w:rsidRPr="00444CB1">
        <w:rPr>
          <w:rFonts w:ascii="Times New Roman" w:hAnsi="Times New Roman"/>
          <w:lang w:val="fr-FR"/>
        </w:rPr>
        <w:t>jeigu</w:t>
      </w:r>
      <w:proofErr w:type="spellEnd"/>
      <w:r w:rsidRPr="00444CB1">
        <w:rPr>
          <w:rFonts w:ascii="Times New Roman" w:hAnsi="Times New Roman"/>
          <w:lang w:val="fr-FR"/>
        </w:rPr>
        <w:t xml:space="preserve"> </w:t>
      </w:r>
      <w:proofErr w:type="spellStart"/>
      <w:r w:rsidRPr="00444CB1">
        <w:rPr>
          <w:rFonts w:ascii="Times New Roman" w:hAnsi="Times New Roman"/>
          <w:lang w:val="fr-FR"/>
        </w:rPr>
        <w:t>jis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šiame</w:t>
      </w:r>
      <w:proofErr w:type="spellEnd"/>
      <w:r w:rsidRPr="00444CB1">
        <w:rPr>
          <w:rFonts w:ascii="Times New Roman" w:hAnsi="Times New Roman"/>
          <w:lang w:val="fr-FR"/>
        </w:rPr>
        <w:t xml:space="preserve"> </w:t>
      </w:r>
      <w:proofErr w:type="spellStart"/>
      <w:r w:rsidRPr="00444CB1">
        <w:rPr>
          <w:rFonts w:ascii="Times New Roman" w:hAnsi="Times New Roman"/>
          <w:lang w:val="fr-FR"/>
        </w:rPr>
        <w:t>lapelyje</w:t>
      </w:r>
      <w:proofErr w:type="spellEnd"/>
      <w:r w:rsidRPr="00444CB1">
        <w:rPr>
          <w:rFonts w:ascii="Times New Roman" w:hAnsi="Times New Roman"/>
          <w:lang w:val="fr-FR"/>
        </w:rPr>
        <w:t xml:space="preserve"> </w:t>
      </w:r>
      <w:proofErr w:type="spellStart"/>
      <w:r w:rsidRPr="00444CB1">
        <w:rPr>
          <w:rFonts w:ascii="Times New Roman" w:hAnsi="Times New Roman"/>
          <w:lang w:val="fr-FR"/>
        </w:rPr>
        <w:t>nenurodytas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kreipkitės</w:t>
      </w:r>
      <w:proofErr w:type="spellEnd"/>
      <w:r w:rsidRPr="00444CB1">
        <w:rPr>
          <w:rFonts w:ascii="Times New Roman" w:hAnsi="Times New Roman"/>
          <w:lang w:val="fr-FR"/>
        </w:rPr>
        <w:t xml:space="preserve"> į </w:t>
      </w:r>
      <w:proofErr w:type="spellStart"/>
      <w:r w:rsidRPr="00444CB1">
        <w:rPr>
          <w:rFonts w:ascii="Times New Roman" w:hAnsi="Times New Roman"/>
          <w:lang w:val="fr-FR"/>
        </w:rPr>
        <w:t>gydytoją</w:t>
      </w:r>
      <w:proofErr w:type="spellEnd"/>
      <w:r w:rsidRPr="00444CB1">
        <w:rPr>
          <w:rFonts w:ascii="Times New Roman" w:hAnsi="Times New Roman"/>
          <w:lang w:val="fr-FR"/>
        </w:rPr>
        <w:t xml:space="preserve"> </w:t>
      </w:r>
      <w:proofErr w:type="spellStart"/>
      <w:r w:rsidRPr="00444CB1">
        <w:rPr>
          <w:rFonts w:ascii="Times New Roman" w:hAnsi="Times New Roman"/>
          <w:lang w:val="fr-FR"/>
        </w:rPr>
        <w:t>arba</w:t>
      </w:r>
      <w:proofErr w:type="spellEnd"/>
      <w:r w:rsidRPr="00444CB1">
        <w:rPr>
          <w:rFonts w:ascii="Times New Roman" w:hAnsi="Times New Roman"/>
          <w:lang w:val="fr-FR"/>
        </w:rPr>
        <w:t xml:space="preserve"> </w:t>
      </w:r>
      <w:proofErr w:type="spellStart"/>
      <w:r w:rsidRPr="00444CB1">
        <w:rPr>
          <w:rFonts w:ascii="Times New Roman" w:hAnsi="Times New Roman"/>
          <w:lang w:val="fr-FR"/>
        </w:rPr>
        <w:t>vaistininką</w:t>
      </w:r>
      <w:proofErr w:type="spellEnd"/>
      <w:r w:rsidRPr="00444CB1">
        <w:rPr>
          <w:rFonts w:ascii="Times New Roman" w:hAnsi="Times New Roman"/>
          <w:lang w:val="fr-FR"/>
        </w:rPr>
        <w:t>.</w:t>
      </w:r>
    </w:p>
    <w:p w:rsidR="00A327F1" w:rsidRPr="00444CB1" w:rsidRDefault="00A327F1" w:rsidP="00A327F1">
      <w:pPr>
        <w:ind w:left="720" w:hanging="720"/>
        <w:contextualSpacing/>
        <w:rPr>
          <w:rFonts w:ascii="Times New Roman" w:hAnsi="Times New Roman"/>
          <w:lang w:val="fr-FR"/>
        </w:rPr>
      </w:pPr>
    </w:p>
    <w:p w:rsidR="00A327F1" w:rsidRDefault="00A327F1" w:rsidP="00A327F1">
      <w:pPr>
        <w:contextualSpacing/>
        <w:rPr>
          <w:rFonts w:ascii="Times New Roman" w:hAnsi="Times New Roman"/>
          <w:b/>
          <w:lang w:val="fr-FR"/>
        </w:rPr>
      </w:pPr>
      <w:proofErr w:type="spellStart"/>
      <w:r w:rsidRPr="00444CB1">
        <w:rPr>
          <w:rFonts w:ascii="Times New Roman" w:hAnsi="Times New Roman"/>
          <w:b/>
          <w:lang w:val="fr-FR"/>
        </w:rPr>
        <w:t>Apie</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ką</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rašoma</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šiame</w:t>
      </w:r>
      <w:proofErr w:type="spellEnd"/>
      <w:r w:rsidRPr="00444CB1">
        <w:rPr>
          <w:rFonts w:ascii="Times New Roman" w:hAnsi="Times New Roman"/>
          <w:b/>
          <w:lang w:val="fr-FR"/>
        </w:rPr>
        <w:t xml:space="preserve"> </w:t>
      </w:r>
      <w:proofErr w:type="spellStart"/>
      <w:r w:rsidRPr="00444CB1">
        <w:rPr>
          <w:rFonts w:ascii="Times New Roman" w:hAnsi="Times New Roman"/>
          <w:b/>
          <w:lang w:val="fr-FR"/>
        </w:rPr>
        <w:t>lapelyje</w:t>
      </w:r>
      <w:proofErr w:type="spellEnd"/>
      <w:r>
        <w:rPr>
          <w:rFonts w:ascii="Times New Roman" w:hAnsi="Times New Roman"/>
          <w:b/>
          <w:lang w:val="fr-FR"/>
        </w:rPr>
        <w:t>?</w:t>
      </w:r>
    </w:p>
    <w:p w:rsidR="00A327F1" w:rsidRPr="00444CB1" w:rsidRDefault="00A327F1" w:rsidP="00A327F1">
      <w:pPr>
        <w:contextualSpacing/>
        <w:rPr>
          <w:rFonts w:ascii="Times New Roman" w:hAnsi="Times New Roman"/>
          <w:b/>
          <w:lang w:val="fr-FR"/>
        </w:rPr>
      </w:pP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1.</w:t>
      </w:r>
      <w:r w:rsidRPr="00444CB1">
        <w:rPr>
          <w:rFonts w:ascii="Times New Roman" w:hAnsi="Times New Roman"/>
          <w:lang w:val="fr-FR"/>
        </w:rPr>
        <w:tab/>
        <w:t xml:space="preserve">Kas </w:t>
      </w:r>
      <w:proofErr w:type="spellStart"/>
      <w:r w:rsidRPr="00444CB1">
        <w:rPr>
          <w:rFonts w:ascii="Times New Roman" w:hAnsi="Times New Roman"/>
          <w:lang w:val="fr-FR"/>
        </w:rPr>
        <w:t>yra</w:t>
      </w:r>
      <w:proofErr w:type="spellEnd"/>
      <w:r w:rsidRPr="00444CB1">
        <w:rPr>
          <w:rFonts w:ascii="Times New Roman" w:hAnsi="Times New Roman"/>
          <w:lang w:val="fr-FR"/>
        </w:rPr>
        <w:t xml:space="preserve"> COAXIL </w:t>
      </w:r>
      <w:proofErr w:type="spellStart"/>
      <w:r w:rsidRPr="00444CB1">
        <w:rPr>
          <w:rFonts w:ascii="Times New Roman" w:hAnsi="Times New Roman"/>
          <w:lang w:val="fr-FR"/>
        </w:rPr>
        <w:t>ir</w:t>
      </w:r>
      <w:proofErr w:type="spellEnd"/>
      <w:r w:rsidRPr="00444CB1">
        <w:rPr>
          <w:rFonts w:ascii="Times New Roman" w:hAnsi="Times New Roman"/>
          <w:lang w:val="fr-FR"/>
        </w:rPr>
        <w:t xml:space="preserve"> </w:t>
      </w:r>
      <w:proofErr w:type="spellStart"/>
      <w:r w:rsidRPr="00444CB1">
        <w:rPr>
          <w:rFonts w:ascii="Times New Roman" w:hAnsi="Times New Roman"/>
          <w:lang w:val="fr-FR"/>
        </w:rPr>
        <w:t>kam</w:t>
      </w:r>
      <w:proofErr w:type="spellEnd"/>
      <w:r w:rsidRPr="00444CB1">
        <w:rPr>
          <w:rFonts w:ascii="Times New Roman" w:hAnsi="Times New Roman"/>
          <w:lang w:val="fr-FR"/>
        </w:rPr>
        <w:t xml:space="preserve"> </w:t>
      </w:r>
      <w:proofErr w:type="spellStart"/>
      <w:r w:rsidRPr="00444CB1">
        <w:rPr>
          <w:rFonts w:ascii="Times New Roman" w:hAnsi="Times New Roman"/>
          <w:lang w:val="fr-FR"/>
        </w:rPr>
        <w:t>jis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vartojamas</w:t>
      </w:r>
      <w:proofErr w:type="spellEnd"/>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2.</w:t>
      </w:r>
      <w:r w:rsidRPr="00444CB1">
        <w:rPr>
          <w:rFonts w:ascii="Times New Roman" w:hAnsi="Times New Roman"/>
          <w:lang w:val="fr-FR"/>
        </w:rPr>
        <w:tab/>
        <w:t xml:space="preserve">Kas </w:t>
      </w:r>
      <w:proofErr w:type="spellStart"/>
      <w:r w:rsidRPr="00444CB1">
        <w:rPr>
          <w:rFonts w:ascii="Times New Roman" w:hAnsi="Times New Roman"/>
          <w:lang w:val="fr-FR"/>
        </w:rPr>
        <w:t>žinotina</w:t>
      </w:r>
      <w:proofErr w:type="spellEnd"/>
      <w:r w:rsidRPr="00444CB1">
        <w:rPr>
          <w:rFonts w:ascii="Times New Roman" w:hAnsi="Times New Roman"/>
          <w:lang w:val="fr-FR"/>
        </w:rPr>
        <w:t xml:space="preserve"> </w:t>
      </w:r>
      <w:proofErr w:type="spellStart"/>
      <w:r w:rsidRPr="00444CB1">
        <w:rPr>
          <w:rFonts w:ascii="Times New Roman" w:hAnsi="Times New Roman"/>
          <w:lang w:val="fr-FR"/>
        </w:rPr>
        <w:t>prieš</w:t>
      </w:r>
      <w:proofErr w:type="spellEnd"/>
      <w:r w:rsidRPr="00444CB1">
        <w:rPr>
          <w:rFonts w:ascii="Times New Roman" w:hAnsi="Times New Roman"/>
          <w:lang w:val="fr-FR"/>
        </w:rPr>
        <w:t xml:space="preserve"> </w:t>
      </w:r>
      <w:proofErr w:type="spellStart"/>
      <w:r w:rsidRPr="00444CB1">
        <w:rPr>
          <w:rFonts w:ascii="Times New Roman" w:hAnsi="Times New Roman"/>
          <w:lang w:val="fr-FR"/>
        </w:rPr>
        <w:t>vartojant</w:t>
      </w:r>
      <w:proofErr w:type="spellEnd"/>
      <w:r w:rsidRPr="00444CB1">
        <w:rPr>
          <w:rFonts w:ascii="Times New Roman" w:hAnsi="Times New Roman"/>
          <w:lang w:val="fr-FR"/>
        </w:rPr>
        <w:t xml:space="preserve"> COAXIL</w:t>
      </w: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3.</w:t>
      </w:r>
      <w:r w:rsidRPr="00444CB1">
        <w:rPr>
          <w:rFonts w:ascii="Times New Roman" w:hAnsi="Times New Roman"/>
          <w:lang w:val="fr-FR"/>
        </w:rPr>
        <w:tab/>
      </w:r>
      <w:proofErr w:type="spellStart"/>
      <w:r w:rsidRPr="00444CB1">
        <w:rPr>
          <w:rFonts w:ascii="Times New Roman" w:hAnsi="Times New Roman"/>
          <w:lang w:val="fr-FR"/>
        </w:rPr>
        <w:t>Kaip</w:t>
      </w:r>
      <w:proofErr w:type="spellEnd"/>
      <w:r w:rsidRPr="00444CB1">
        <w:rPr>
          <w:rFonts w:ascii="Times New Roman" w:hAnsi="Times New Roman"/>
          <w:lang w:val="fr-FR"/>
        </w:rPr>
        <w:t xml:space="preserve"> </w:t>
      </w:r>
      <w:proofErr w:type="spellStart"/>
      <w:r w:rsidRPr="00444CB1">
        <w:rPr>
          <w:rFonts w:ascii="Times New Roman" w:hAnsi="Times New Roman"/>
          <w:lang w:val="fr-FR"/>
        </w:rPr>
        <w:t>vartoti</w:t>
      </w:r>
      <w:proofErr w:type="spellEnd"/>
      <w:r w:rsidRPr="00444CB1">
        <w:rPr>
          <w:rFonts w:ascii="Times New Roman" w:hAnsi="Times New Roman"/>
          <w:lang w:val="fr-FR"/>
        </w:rPr>
        <w:t xml:space="preserve"> COAXIL</w:t>
      </w: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4.</w:t>
      </w:r>
      <w:r w:rsidRPr="00444CB1">
        <w:rPr>
          <w:rFonts w:ascii="Times New Roman" w:hAnsi="Times New Roman"/>
          <w:lang w:val="fr-FR"/>
        </w:rPr>
        <w:tab/>
      </w:r>
      <w:proofErr w:type="spellStart"/>
      <w:r w:rsidRPr="00444CB1">
        <w:rPr>
          <w:rFonts w:ascii="Times New Roman" w:hAnsi="Times New Roman"/>
          <w:lang w:val="fr-FR"/>
        </w:rPr>
        <w:t>Galimas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šalutinis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poveikis</w:t>
      </w:r>
      <w:proofErr w:type="spellEnd"/>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5.</w:t>
      </w:r>
      <w:r w:rsidRPr="00444CB1">
        <w:rPr>
          <w:rFonts w:ascii="Times New Roman" w:hAnsi="Times New Roman"/>
          <w:lang w:val="fr-FR"/>
        </w:rPr>
        <w:tab/>
      </w:r>
      <w:proofErr w:type="spellStart"/>
      <w:r w:rsidRPr="00444CB1">
        <w:rPr>
          <w:rFonts w:ascii="Times New Roman" w:hAnsi="Times New Roman"/>
          <w:lang w:val="fr-FR"/>
        </w:rPr>
        <w:t>Kaip</w:t>
      </w:r>
      <w:proofErr w:type="spellEnd"/>
      <w:r w:rsidRPr="00444CB1">
        <w:rPr>
          <w:rFonts w:ascii="Times New Roman" w:hAnsi="Times New Roman"/>
          <w:lang w:val="fr-FR"/>
        </w:rPr>
        <w:t xml:space="preserve"> </w:t>
      </w:r>
      <w:proofErr w:type="spellStart"/>
      <w:r w:rsidRPr="00444CB1">
        <w:rPr>
          <w:rFonts w:ascii="Times New Roman" w:hAnsi="Times New Roman"/>
          <w:lang w:val="fr-FR"/>
        </w:rPr>
        <w:t>laikyti</w:t>
      </w:r>
      <w:proofErr w:type="spellEnd"/>
      <w:r w:rsidRPr="00444CB1">
        <w:rPr>
          <w:rFonts w:ascii="Times New Roman" w:hAnsi="Times New Roman"/>
          <w:lang w:val="fr-FR"/>
        </w:rPr>
        <w:t xml:space="preserve"> COAXIL</w:t>
      </w:r>
    </w:p>
    <w:p w:rsidR="00A327F1" w:rsidRPr="00444CB1" w:rsidRDefault="00A327F1" w:rsidP="00A327F1">
      <w:pPr>
        <w:ind w:left="720" w:hanging="720"/>
        <w:contextualSpacing/>
        <w:rPr>
          <w:rFonts w:ascii="Times New Roman" w:hAnsi="Times New Roman"/>
          <w:lang w:val="fr-FR"/>
        </w:rPr>
      </w:pPr>
      <w:r w:rsidRPr="00444CB1">
        <w:rPr>
          <w:rFonts w:ascii="Times New Roman" w:hAnsi="Times New Roman"/>
          <w:lang w:val="fr-FR"/>
        </w:rPr>
        <w:t>6.</w:t>
      </w:r>
      <w:r w:rsidRPr="00444CB1">
        <w:rPr>
          <w:rFonts w:ascii="Times New Roman" w:hAnsi="Times New Roman"/>
          <w:lang w:val="fr-FR"/>
        </w:rPr>
        <w:tab/>
      </w:r>
      <w:proofErr w:type="spellStart"/>
      <w:r w:rsidRPr="00444CB1">
        <w:rPr>
          <w:rFonts w:ascii="Times New Roman" w:hAnsi="Times New Roman"/>
          <w:lang w:val="fr-FR"/>
        </w:rPr>
        <w:t>Pakuotės</w:t>
      </w:r>
      <w:proofErr w:type="spellEnd"/>
      <w:r w:rsidRPr="00444CB1">
        <w:rPr>
          <w:rFonts w:ascii="Times New Roman" w:hAnsi="Times New Roman"/>
          <w:lang w:val="fr-FR"/>
        </w:rPr>
        <w:t xml:space="preserve"> </w:t>
      </w:r>
      <w:proofErr w:type="spellStart"/>
      <w:r w:rsidRPr="00444CB1">
        <w:rPr>
          <w:rFonts w:ascii="Times New Roman" w:hAnsi="Times New Roman"/>
          <w:lang w:val="fr-FR"/>
        </w:rPr>
        <w:t>turinys</w:t>
      </w:r>
      <w:proofErr w:type="spellEnd"/>
      <w:r w:rsidRPr="00444CB1">
        <w:rPr>
          <w:rFonts w:ascii="Times New Roman" w:hAnsi="Times New Roman"/>
          <w:lang w:val="fr-FR"/>
        </w:rPr>
        <w:t xml:space="preserve"> </w:t>
      </w:r>
      <w:proofErr w:type="spellStart"/>
      <w:r w:rsidRPr="00444CB1">
        <w:rPr>
          <w:rFonts w:ascii="Times New Roman" w:hAnsi="Times New Roman"/>
          <w:lang w:val="fr-FR"/>
        </w:rPr>
        <w:t>ir</w:t>
      </w:r>
      <w:proofErr w:type="spellEnd"/>
      <w:r w:rsidRPr="00444CB1">
        <w:rPr>
          <w:rFonts w:ascii="Times New Roman" w:hAnsi="Times New Roman"/>
          <w:lang w:val="fr-FR"/>
        </w:rPr>
        <w:t xml:space="preserve"> kita </w:t>
      </w:r>
      <w:proofErr w:type="spellStart"/>
      <w:r w:rsidRPr="00444CB1">
        <w:rPr>
          <w:rFonts w:ascii="Times New Roman" w:hAnsi="Times New Roman"/>
          <w:lang w:val="fr-FR"/>
        </w:rPr>
        <w:t>informacija</w:t>
      </w:r>
      <w:proofErr w:type="spellEnd"/>
    </w:p>
    <w:p w:rsidR="00A327F1" w:rsidRPr="0001550C" w:rsidRDefault="00A327F1" w:rsidP="00A327F1">
      <w:pPr>
        <w:pStyle w:val="BTEMEASMCA"/>
      </w:pPr>
    </w:p>
    <w:p w:rsidR="00A327F1" w:rsidRPr="00750BE0" w:rsidRDefault="00A327F1" w:rsidP="00A327F1">
      <w:pPr>
        <w:pStyle w:val="BTEMEASMCA"/>
      </w:pPr>
    </w:p>
    <w:p w:rsidR="00A327F1" w:rsidRPr="00F600A8" w:rsidRDefault="00A327F1" w:rsidP="00A327F1">
      <w:pPr>
        <w:pStyle w:val="PI-1EMEASMCA"/>
      </w:pPr>
      <w:bookmarkStart w:id="73" w:name="_Toc129243264"/>
      <w:bookmarkStart w:id="74" w:name="_Toc129243139"/>
      <w:r w:rsidRPr="00F600A8">
        <w:t>1.</w:t>
      </w:r>
      <w:r w:rsidRPr="00F600A8">
        <w:tab/>
        <w:t>Kas yra COAXIL ir kam jis vartojamas</w:t>
      </w:r>
      <w:bookmarkEnd w:id="73"/>
      <w:bookmarkEnd w:id="74"/>
    </w:p>
    <w:p w:rsidR="00A327F1" w:rsidRPr="0001550C" w:rsidRDefault="00A327F1" w:rsidP="00A327F1">
      <w:pPr>
        <w:pStyle w:val="BTEMEASMCA"/>
      </w:pPr>
    </w:p>
    <w:p w:rsidR="00A327F1" w:rsidRPr="00783314" w:rsidRDefault="00A327F1" w:rsidP="00A327F1">
      <w:pPr>
        <w:pStyle w:val="BTEMEASMCA"/>
      </w:pPr>
      <w:r w:rsidRPr="00750BE0">
        <w:t xml:space="preserve">COAXIL yra antidepresantas. </w:t>
      </w:r>
      <w:r>
        <w:t>Vaisto veiklioji medžiaga yra tianeptinas.</w:t>
      </w:r>
    </w:p>
    <w:p w:rsidR="00A327F1" w:rsidRPr="002F3A66" w:rsidRDefault="00A327F1" w:rsidP="00A327F1">
      <w:pPr>
        <w:pStyle w:val="BTEMEASMCA"/>
      </w:pPr>
    </w:p>
    <w:p w:rsidR="00A327F1" w:rsidRPr="000A7208" w:rsidRDefault="00A327F1" w:rsidP="00A327F1">
      <w:pPr>
        <w:pStyle w:val="BTEMEASMCA"/>
      </w:pPr>
      <w:r w:rsidRPr="000A7208">
        <w:t xml:space="preserve">Coaxil </w:t>
      </w:r>
      <w:r>
        <w:t>skirtas</w:t>
      </w:r>
      <w:r w:rsidRPr="000A7208">
        <w:t xml:space="preserve"> lengv</w:t>
      </w:r>
      <w:r>
        <w:t>os</w:t>
      </w:r>
      <w:r w:rsidRPr="000A7208">
        <w:t>, vidutinio sunkumo ar sunk</w:t>
      </w:r>
      <w:r>
        <w:t>io</w:t>
      </w:r>
      <w:r w:rsidRPr="000A7208">
        <w:t>s didžiosios depresijos epizoda</w:t>
      </w:r>
      <w:r>
        <w:t>ms gydyti</w:t>
      </w:r>
      <w:r w:rsidRPr="000A7208">
        <w:t>.</w:t>
      </w:r>
    </w:p>
    <w:p w:rsidR="00A327F1" w:rsidRPr="00D56CD3" w:rsidRDefault="00A327F1" w:rsidP="00A327F1">
      <w:pPr>
        <w:pStyle w:val="BTEMEASMCA"/>
      </w:pPr>
    </w:p>
    <w:p w:rsidR="00A327F1" w:rsidRPr="00BF5E43" w:rsidRDefault="00A327F1" w:rsidP="00A327F1">
      <w:pPr>
        <w:pStyle w:val="BTEMEASMCA"/>
      </w:pPr>
    </w:p>
    <w:p w:rsidR="00A327F1" w:rsidRPr="00F600A8" w:rsidRDefault="00A327F1" w:rsidP="00A327F1">
      <w:pPr>
        <w:pStyle w:val="PI-1EMEASMCA"/>
      </w:pPr>
      <w:bookmarkStart w:id="75" w:name="_Toc129243265"/>
      <w:bookmarkStart w:id="76" w:name="_Toc129243140"/>
      <w:r w:rsidRPr="00F600A8">
        <w:t>2.</w:t>
      </w:r>
      <w:r w:rsidRPr="00F600A8">
        <w:tab/>
        <w:t xml:space="preserve">Kas žinotina prieš vartojant </w:t>
      </w:r>
      <w:bookmarkEnd w:id="75"/>
      <w:bookmarkEnd w:id="76"/>
      <w:r w:rsidRPr="00F600A8">
        <w:t>COAXIL</w:t>
      </w:r>
    </w:p>
    <w:p w:rsidR="00A327F1" w:rsidRPr="0001550C" w:rsidRDefault="00A327F1" w:rsidP="00A327F1">
      <w:pPr>
        <w:pStyle w:val="BTEMEASMCA"/>
      </w:pPr>
    </w:p>
    <w:p w:rsidR="00A327F1" w:rsidRPr="00F600A8" w:rsidRDefault="00A327F1" w:rsidP="00A327F1">
      <w:pPr>
        <w:pStyle w:val="PI-3EMEASMCA"/>
      </w:pPr>
      <w:r w:rsidRPr="00F600A8">
        <w:t>COAXIL vartoti negalima:</w:t>
      </w:r>
    </w:p>
    <w:p w:rsidR="00A327F1" w:rsidRPr="00444CB1" w:rsidRDefault="00A327F1" w:rsidP="00A327F1">
      <w:pPr>
        <w:rPr>
          <w:rFonts w:ascii="Times New Roman" w:hAnsi="Times New Roman"/>
          <w:lang w:val="lt-LT"/>
        </w:rPr>
      </w:pPr>
      <w:r w:rsidRPr="00444CB1">
        <w:rPr>
          <w:rFonts w:ascii="Times New Roman" w:hAnsi="Times New Roman"/>
          <w:lang w:val="lt-LT"/>
        </w:rPr>
        <w:t>-</w:t>
      </w:r>
      <w:r w:rsidRPr="00444CB1">
        <w:rPr>
          <w:rFonts w:ascii="Times New Roman" w:hAnsi="Times New Roman"/>
          <w:lang w:val="lt-LT"/>
        </w:rPr>
        <w:tab/>
        <w:t>jeigu yra alergija veikliajai medžiagai arba bet kuriai pagalbinei šio vaisto medžiagai (jos išvardytos 6 skyriuje)</w:t>
      </w:r>
      <w:r>
        <w:rPr>
          <w:rFonts w:ascii="Times New Roman" w:hAnsi="Times New Roman"/>
          <w:lang w:val="lt-LT"/>
        </w:rPr>
        <w:t>.</w:t>
      </w:r>
    </w:p>
    <w:p w:rsidR="00A327F1" w:rsidRPr="0001550C" w:rsidRDefault="00A327F1" w:rsidP="00A327F1">
      <w:pPr>
        <w:pStyle w:val="PI-3EMEASMCA"/>
      </w:pPr>
      <w:r w:rsidRPr="00F600A8">
        <w:t>Įspėjimai ir atsargumo priemonės</w:t>
      </w:r>
    </w:p>
    <w:p w:rsidR="00A327F1" w:rsidRPr="00783314" w:rsidRDefault="00A327F1" w:rsidP="00A327F1">
      <w:pPr>
        <w:pStyle w:val="BTEMEASMCA"/>
      </w:pPr>
      <w:r w:rsidRPr="00750BE0">
        <w:t>Pasitarkite su gydytoju arba vaistininku, prieš pradėdami vartoti COAXIL.</w:t>
      </w:r>
    </w:p>
    <w:p w:rsidR="00A327F1" w:rsidRDefault="00A327F1" w:rsidP="00A327F1">
      <w:pPr>
        <w:pStyle w:val="BTEMEASMCA"/>
      </w:pPr>
    </w:p>
    <w:p w:rsidR="00A327F1" w:rsidRPr="002F3A66" w:rsidRDefault="00A327F1" w:rsidP="00A327F1">
      <w:pPr>
        <w:pStyle w:val="BTEMEASMCA"/>
      </w:pPr>
      <w:r w:rsidRPr="002F3A66">
        <w:t>Mintys apie savižudybę ir depresijos pasunkėjimas</w:t>
      </w:r>
    </w:p>
    <w:p w:rsidR="00A327F1" w:rsidRPr="002F3A66" w:rsidRDefault="00A327F1" w:rsidP="00A327F1">
      <w:pPr>
        <w:pStyle w:val="BTEMEASMCA"/>
      </w:pPr>
      <w:r w:rsidRPr="002F3A66">
        <w:t>Jeigu sergate depresija, jums kartais gali kilti minčių apie savęs žalojimą ar savižudybę. Tokių minčių gali padaugėti pirmą kartą pradėjus vartoti vaistų nuo depresijos, nes vartojant tokius vaistus užtrunka, kol jie pradeda veikti (paprastai apie dvi savaites, o kartais ir daugiau).</w:t>
      </w:r>
    </w:p>
    <w:p w:rsidR="00A327F1" w:rsidRPr="00D56CD3" w:rsidRDefault="00A327F1" w:rsidP="00A327F1">
      <w:pPr>
        <w:pStyle w:val="BTEMEASMCA"/>
      </w:pPr>
    </w:p>
    <w:p w:rsidR="00A327F1" w:rsidRPr="00BF5E43" w:rsidRDefault="00A327F1" w:rsidP="00A327F1">
      <w:pPr>
        <w:pStyle w:val="BTEMEASMCA"/>
      </w:pPr>
      <w:r w:rsidRPr="00BF5E43">
        <w:t>Tokių minčių gali padaugėti, jei:</w:t>
      </w:r>
    </w:p>
    <w:p w:rsidR="00A327F1" w:rsidRPr="00165828" w:rsidRDefault="00A327F1" w:rsidP="00A327F1">
      <w:pPr>
        <w:pStyle w:val="BTEMEASMCA"/>
      </w:pPr>
      <w:r w:rsidRPr="00455F78">
        <w:t>-</w:t>
      </w:r>
      <w:r w:rsidRPr="00455F78">
        <w:tab/>
        <w:t>jau anksčiau yra kilusių minčių apie savižudybę arba apie savęs žalojimą;</w:t>
      </w:r>
    </w:p>
    <w:p w:rsidR="00A327F1" w:rsidRPr="00792135" w:rsidRDefault="00A327F1" w:rsidP="00A327F1">
      <w:pPr>
        <w:pStyle w:val="BTEMEASMCA"/>
      </w:pPr>
      <w:r w:rsidRPr="00827519">
        <w:t>-</w:t>
      </w:r>
      <w:r w:rsidRPr="00827519">
        <w:tab/>
        <w:t>esate jaunas suaugęs žmogus. Klinikinių tyrimų metu gauta duomenų, kad suaugusiems žmonėms (jaunesniems kaip 25 metų), sergantiems psichikos liga ir vartojantiems antidepresantų, padidėja su savižudybe susijusio e</w:t>
      </w:r>
      <w:r w:rsidRPr="00AD21B4">
        <w:t>lgesio pavojus.</w:t>
      </w:r>
    </w:p>
    <w:p w:rsidR="00A327F1" w:rsidRPr="00FE2058" w:rsidRDefault="00A327F1" w:rsidP="00A327F1">
      <w:pPr>
        <w:pStyle w:val="BTEMEASMCA"/>
      </w:pPr>
    </w:p>
    <w:p w:rsidR="00A327F1" w:rsidRPr="00923133" w:rsidRDefault="00A327F1" w:rsidP="00A327F1">
      <w:pPr>
        <w:pStyle w:val="BTEMEASMCA"/>
      </w:pPr>
      <w:r w:rsidRPr="00463DE6">
        <w:t>Bet kuriuo metu, jeigu jums kyla minčių apie savęs žalojimą arba savižudybę, nedelsdami kreipkitės į savo gydytoją arba vykite į ligoninę.</w:t>
      </w:r>
    </w:p>
    <w:p w:rsidR="00A327F1" w:rsidRPr="0073666E" w:rsidRDefault="00A327F1" w:rsidP="00A327F1">
      <w:pPr>
        <w:pStyle w:val="BTEMEASMCA"/>
      </w:pPr>
    </w:p>
    <w:p w:rsidR="00A327F1" w:rsidRPr="005408C5" w:rsidRDefault="00A327F1" w:rsidP="00A327F1">
      <w:pPr>
        <w:pStyle w:val="BTEMEASMCA"/>
      </w:pPr>
      <w:r w:rsidRPr="0073666E">
        <w:lastRenderedPageBreak/>
        <w:t>Gali būti naudinga pasakyti giminaičiams ar artimiems draugams, kad sergate depresija arba jaučiate</w:t>
      </w:r>
      <w:r w:rsidRPr="00FE23FD">
        <w:t xml:space="preserve"> nerimą, bei pasiūlyti jiems perskaityti šį pakuotės lapelį. Galite paprašyti, kad pasakytų jums, jei jiems atrodo, kad depresija ar nerimas pasunkėjo, arba jei jiems nerimą kelia jūsų elgesys.</w:t>
      </w:r>
    </w:p>
    <w:p w:rsidR="00A327F1" w:rsidRPr="004D7CD2" w:rsidRDefault="00A327F1" w:rsidP="00A327F1">
      <w:pPr>
        <w:pStyle w:val="BTEMEASMCA"/>
      </w:pPr>
    </w:p>
    <w:p w:rsidR="00A327F1" w:rsidRPr="00BA6237" w:rsidRDefault="00A327F1" w:rsidP="00A327F1">
      <w:pPr>
        <w:pStyle w:val="BTEMEASMCA"/>
      </w:pPr>
      <w:r>
        <w:t>Vartojant</w:t>
      </w:r>
      <w:r w:rsidRPr="00BA6237">
        <w:t xml:space="preserve"> COAXIL, alkoholio </w:t>
      </w:r>
      <w:r>
        <w:t>vartoti</w:t>
      </w:r>
      <w:r w:rsidRPr="00BA6237">
        <w:t xml:space="preserve"> draudžiama.</w:t>
      </w:r>
    </w:p>
    <w:p w:rsidR="00A327F1" w:rsidRPr="00D56CD3" w:rsidRDefault="00A327F1" w:rsidP="00A327F1">
      <w:pPr>
        <w:pStyle w:val="BTEMEASMCA"/>
      </w:pPr>
    </w:p>
    <w:p w:rsidR="00A327F1" w:rsidRPr="00BA6237" w:rsidRDefault="00A327F1" w:rsidP="00A327F1">
      <w:pPr>
        <w:pStyle w:val="BTEMEASMCA"/>
      </w:pPr>
      <w:r w:rsidRPr="009A7A13">
        <w:t xml:space="preserve">Jei reikia atlikti bendrąją anesteziją, informuokite anesteziologą apie šio </w:t>
      </w:r>
      <w:r>
        <w:t>vais</w:t>
      </w:r>
      <w:r w:rsidRPr="00BA6237">
        <w:t>to vartojimą. Gydymą</w:t>
      </w:r>
      <w:r>
        <w:t xml:space="preserve"> Coaxil</w:t>
      </w:r>
      <w:r w:rsidRPr="00BA6237">
        <w:t xml:space="preserve"> reikia nutraukti likus 24-48 valandoms iki operacijos.</w:t>
      </w:r>
    </w:p>
    <w:p w:rsidR="00A327F1" w:rsidRPr="009A7A13" w:rsidRDefault="00A327F1" w:rsidP="00A327F1">
      <w:pPr>
        <w:pStyle w:val="BTEMEASMCA"/>
      </w:pPr>
      <w:r w:rsidRPr="00D56CD3">
        <w:t>I</w:t>
      </w:r>
      <w:r w:rsidRPr="009A7A13">
        <w:t>lgą laiką trunkantis vaisto vartojimas didelėmis dozėmis gali sukelti priklausomybę.</w:t>
      </w:r>
    </w:p>
    <w:p w:rsidR="00A7573B" w:rsidRPr="00F06742" w:rsidRDefault="00A7573B" w:rsidP="00F06742">
      <w:pPr>
        <w:spacing w:before="120" w:after="120" w:line="240" w:lineRule="auto"/>
        <w:rPr>
          <w:rFonts w:ascii="Times New Roman" w:eastAsiaTheme="minorHAnsi" w:hAnsi="Times New Roman" w:cstheme="minorBidi"/>
          <w:iCs/>
          <w:noProof/>
        </w:rPr>
      </w:pPr>
      <w:r w:rsidRPr="00F06742">
        <w:rPr>
          <w:rFonts w:ascii="Times New Roman" w:eastAsiaTheme="minorHAnsi" w:hAnsi="Times New Roman" w:cstheme="minorBidi"/>
          <w:iCs/>
          <w:noProof/>
        </w:rPr>
        <w:t xml:space="preserve">Vartojimo negalima nutraukti staigiai. Gydymas nutraukiamas palaipsniui mažinant dozę per 7-14 dienų. Turite žinoti, kad nutraukus gydymą tianeptinu, gali pasireikšti tam tikras šalutinis poveikis. Tai gali būti: nerimas, raumenų skausmas, pilvo skausmas, nemiga, sąnarių skausmas. </w:t>
      </w:r>
    </w:p>
    <w:p w:rsidR="00A327F1" w:rsidRPr="00165828" w:rsidRDefault="00A327F1" w:rsidP="00A327F1">
      <w:pPr>
        <w:pStyle w:val="BTEMEASMCA"/>
      </w:pPr>
      <w:r w:rsidRPr="00455F78">
        <w:t>Neviršykite rekomenduojamų dozių.</w:t>
      </w:r>
    </w:p>
    <w:p w:rsidR="00A327F1" w:rsidRPr="00AD21B4" w:rsidRDefault="00A327F1" w:rsidP="00A327F1">
      <w:pPr>
        <w:pStyle w:val="BTEMEASMCA"/>
      </w:pPr>
      <w:r w:rsidRPr="00AD21B4">
        <w:t>Jeigu dėl ko nors abejojama, reikia pasiklausti gydytojo arba vaistininko.</w:t>
      </w:r>
    </w:p>
    <w:p w:rsidR="00A327F1" w:rsidRDefault="00A327F1" w:rsidP="00A327F1">
      <w:pPr>
        <w:pStyle w:val="Default"/>
        <w:tabs>
          <w:tab w:val="left" w:pos="213"/>
        </w:tabs>
        <w:rPr>
          <w:bCs/>
          <w:sz w:val="22"/>
          <w:szCs w:val="22"/>
          <w:highlight w:val="yellow"/>
          <w:lang w:val="lt-LT"/>
        </w:rPr>
      </w:pPr>
    </w:p>
    <w:p w:rsidR="00A327F1" w:rsidRPr="00444CB1" w:rsidRDefault="00A327F1" w:rsidP="00A327F1">
      <w:pPr>
        <w:pStyle w:val="Default"/>
        <w:tabs>
          <w:tab w:val="left" w:pos="213"/>
        </w:tabs>
        <w:rPr>
          <w:bCs/>
          <w:sz w:val="22"/>
          <w:szCs w:val="22"/>
          <w:lang w:val="lt-LT"/>
        </w:rPr>
      </w:pPr>
      <w:r w:rsidRPr="00444CB1">
        <w:rPr>
          <w:bCs/>
          <w:sz w:val="22"/>
          <w:szCs w:val="22"/>
          <w:lang w:val="lt-LT"/>
        </w:rPr>
        <w:t xml:space="preserve">Jeigu šiuo metu vartojate antidepresantą, kuris priklauso </w:t>
      </w:r>
      <w:proofErr w:type="spellStart"/>
      <w:r w:rsidRPr="00444CB1">
        <w:rPr>
          <w:bCs/>
          <w:sz w:val="22"/>
          <w:szCs w:val="22"/>
          <w:lang w:val="lt-LT"/>
        </w:rPr>
        <w:t>monoaminooksidazės</w:t>
      </w:r>
      <w:proofErr w:type="spellEnd"/>
      <w:r w:rsidRPr="00444CB1">
        <w:rPr>
          <w:bCs/>
          <w:sz w:val="22"/>
          <w:szCs w:val="22"/>
          <w:lang w:val="lt-LT"/>
        </w:rPr>
        <w:t xml:space="preserve"> (MAO) inhibitorių terapinei grupei (taip pat žr. 2 skyriuje skyrelį „Kiti vaistai ir COAXIL</w:t>
      </w:r>
      <w:r w:rsidRPr="00444CB1">
        <w:rPr>
          <w:bCs/>
          <w:i/>
          <w:sz w:val="22"/>
          <w:szCs w:val="22"/>
          <w:lang w:val="lt-LT"/>
        </w:rPr>
        <w:t>”</w:t>
      </w:r>
      <w:r w:rsidRPr="00444CB1">
        <w:rPr>
          <w:bCs/>
          <w:sz w:val="22"/>
          <w:szCs w:val="22"/>
          <w:lang w:val="lt-LT"/>
        </w:rPr>
        <w:t xml:space="preserve">), ir norite vietoj jo pradėti vartoti </w:t>
      </w:r>
      <w:proofErr w:type="spellStart"/>
      <w:r w:rsidRPr="00444CB1">
        <w:rPr>
          <w:bCs/>
          <w:sz w:val="22"/>
          <w:szCs w:val="22"/>
          <w:lang w:val="lt-LT"/>
        </w:rPr>
        <w:t>Coaxil</w:t>
      </w:r>
      <w:proofErr w:type="spellEnd"/>
      <w:r w:rsidRPr="00444CB1">
        <w:rPr>
          <w:bCs/>
          <w:sz w:val="22"/>
          <w:szCs w:val="22"/>
          <w:lang w:val="lt-LT"/>
        </w:rPr>
        <w:t xml:space="preserve">, pradėkite vartoti </w:t>
      </w:r>
      <w:proofErr w:type="spellStart"/>
      <w:r w:rsidRPr="00444CB1">
        <w:rPr>
          <w:bCs/>
          <w:sz w:val="22"/>
          <w:szCs w:val="22"/>
          <w:lang w:val="lt-LT"/>
        </w:rPr>
        <w:t>Coaxil</w:t>
      </w:r>
      <w:proofErr w:type="spellEnd"/>
      <w:r w:rsidRPr="00444CB1">
        <w:rPr>
          <w:bCs/>
          <w:sz w:val="22"/>
          <w:szCs w:val="22"/>
          <w:lang w:val="lt-LT"/>
        </w:rPr>
        <w:t xml:space="preserve"> praėjus 14 parų po MAO inhibitoriaus vartojimo pabaigos. Jeigu vietoj </w:t>
      </w:r>
      <w:proofErr w:type="spellStart"/>
      <w:r w:rsidRPr="00444CB1">
        <w:rPr>
          <w:bCs/>
          <w:sz w:val="22"/>
          <w:szCs w:val="22"/>
          <w:lang w:val="lt-LT"/>
        </w:rPr>
        <w:t>Coaxil</w:t>
      </w:r>
      <w:proofErr w:type="spellEnd"/>
      <w:r w:rsidRPr="00444CB1">
        <w:rPr>
          <w:bCs/>
          <w:sz w:val="22"/>
          <w:szCs w:val="22"/>
          <w:lang w:val="lt-LT"/>
        </w:rPr>
        <w:t xml:space="preserve"> norite pradėti vartoti MAO inhibitorių, užtenka 24 valandų pertraukos.</w:t>
      </w:r>
    </w:p>
    <w:p w:rsidR="00A327F1" w:rsidRPr="002F3A66" w:rsidRDefault="00A327F1" w:rsidP="00A327F1">
      <w:pPr>
        <w:pStyle w:val="BTEMEASMCA"/>
      </w:pPr>
    </w:p>
    <w:p w:rsidR="00A327F1" w:rsidRPr="006E5140" w:rsidRDefault="00A327F1" w:rsidP="00A327F1">
      <w:pPr>
        <w:pStyle w:val="BTEMEASMCA"/>
        <w:rPr>
          <w:b/>
        </w:rPr>
      </w:pPr>
      <w:r w:rsidRPr="006E5140">
        <w:rPr>
          <w:b/>
        </w:rPr>
        <w:t>Vaikams ir paaugliams</w:t>
      </w:r>
    </w:p>
    <w:p w:rsidR="00A327F1" w:rsidRPr="00750BE0" w:rsidRDefault="00A327F1" w:rsidP="00A327F1">
      <w:pPr>
        <w:pStyle w:val="BTEMEASMCA"/>
      </w:pPr>
      <w:r w:rsidRPr="0001550C">
        <w:t>COAXIL nėra skirtas vaikams ar paaugliams (iki 18 metų).</w:t>
      </w:r>
    </w:p>
    <w:p w:rsidR="00A327F1" w:rsidRPr="002F3A66" w:rsidRDefault="00A327F1" w:rsidP="00A327F1">
      <w:pPr>
        <w:pStyle w:val="BTEMEASMCA"/>
      </w:pPr>
    </w:p>
    <w:p w:rsidR="00A327F1" w:rsidRPr="00F600A8" w:rsidRDefault="00A327F1" w:rsidP="00A327F1">
      <w:pPr>
        <w:pStyle w:val="PI-3EMEASMCA"/>
      </w:pPr>
      <w:r w:rsidRPr="00F600A8">
        <w:t>Kiti vaistai ir COAXIL</w:t>
      </w:r>
    </w:p>
    <w:p w:rsidR="00A327F1" w:rsidRPr="002F3A66" w:rsidRDefault="00A327F1" w:rsidP="00A327F1">
      <w:pPr>
        <w:pStyle w:val="BTEMEASMCA"/>
      </w:pPr>
      <w:r w:rsidRPr="0001550C">
        <w:t>Jeigu vartojat</w:t>
      </w:r>
      <w:r w:rsidRPr="00750BE0">
        <w:t xml:space="preserve">e ar neseniai vartojote kitų vaistų arba dėl to nesate tikri, apie tai pasakykite gydytojui arba vaistininkui. </w:t>
      </w:r>
    </w:p>
    <w:p w:rsidR="00A327F1" w:rsidRPr="00D56CD3" w:rsidRDefault="00A327F1" w:rsidP="00A327F1">
      <w:pPr>
        <w:pStyle w:val="BTEMEASMCA"/>
      </w:pPr>
      <w:r w:rsidRPr="002F3A66">
        <w:t>Šio vaisto vartojimas kartu su tam tikrais MAO</w:t>
      </w:r>
      <w:r>
        <w:t xml:space="preserve"> inhibitorių</w:t>
      </w:r>
      <w:r w:rsidRPr="002F3A66">
        <w:t xml:space="preserve"> grupės vaistais (išrašomais depresijos atvejais) gali turėti labai sunkių pasekmių, tokių kaip aukštas kraujo spaudimas, ypatin</w:t>
      </w:r>
      <w:r w:rsidRPr="00D56CD3">
        <w:t>gai aukšta kūno temperatūra, traukuliai, mirtis.</w:t>
      </w:r>
    </w:p>
    <w:p w:rsidR="00A327F1" w:rsidRPr="009A7A13" w:rsidRDefault="00A327F1" w:rsidP="00A327F1">
      <w:pPr>
        <w:pStyle w:val="BTEMEASMCA"/>
      </w:pPr>
    </w:p>
    <w:p w:rsidR="00A327F1" w:rsidRPr="00F600A8" w:rsidRDefault="00A327F1" w:rsidP="00A327F1">
      <w:pPr>
        <w:pStyle w:val="PI-3EMEASMCA"/>
        <w:keepNext/>
        <w:keepLines/>
      </w:pPr>
      <w:r w:rsidRPr="00F600A8">
        <w:t>Nėštumas, žindymo laikotarpis ir vaisingumas</w:t>
      </w:r>
    </w:p>
    <w:p w:rsidR="00A327F1" w:rsidRPr="00783314" w:rsidRDefault="00A327F1" w:rsidP="00A327F1">
      <w:pPr>
        <w:pStyle w:val="BTEMEASMCA"/>
      </w:pPr>
      <w:r w:rsidRPr="0001550C">
        <w:t>Jeigu esate nėščia, žindote kūdikį, manote, kad galbūt esate nėščia</w:t>
      </w:r>
      <w:r>
        <w:t>,</w:t>
      </w:r>
      <w:r w:rsidRPr="0001550C">
        <w:t xml:space="preserve"> arba planuojate pastoti, tai prieš vartodama šį vaistą</w:t>
      </w:r>
      <w:r>
        <w:t>,</w:t>
      </w:r>
      <w:r w:rsidRPr="0001550C">
        <w:t xml:space="preserve"> pasitar</w:t>
      </w:r>
      <w:r w:rsidRPr="00750BE0">
        <w:t>kite su gydytoju arba vaistininku.</w:t>
      </w:r>
    </w:p>
    <w:p w:rsidR="00A327F1" w:rsidRPr="002F3A66" w:rsidRDefault="00A327F1" w:rsidP="00A327F1">
      <w:pPr>
        <w:pStyle w:val="BTEMEASMCA"/>
      </w:pPr>
      <w:r w:rsidRPr="002F3A66">
        <w:t xml:space="preserve">Nėščioms ir kūdikį krūtimi maitinančioms moterims šio </w:t>
      </w:r>
      <w:r>
        <w:t>vaisto</w:t>
      </w:r>
      <w:r w:rsidRPr="002F3A66">
        <w:t xml:space="preserve"> vartoti </w:t>
      </w:r>
      <w:r>
        <w:t>galima tik paskyrus gydytojui</w:t>
      </w:r>
      <w:r w:rsidRPr="002F3A66">
        <w:t>.</w:t>
      </w:r>
    </w:p>
    <w:p w:rsidR="00A327F1" w:rsidRPr="00D56CD3" w:rsidRDefault="00A327F1" w:rsidP="00A327F1">
      <w:pPr>
        <w:pStyle w:val="BTEMEASMCA"/>
      </w:pPr>
    </w:p>
    <w:p w:rsidR="00A327F1" w:rsidRPr="00F600A8" w:rsidRDefault="00A327F1" w:rsidP="00A327F1">
      <w:pPr>
        <w:pStyle w:val="PI-3EMEASMCA"/>
        <w:keepNext/>
        <w:keepLines/>
      </w:pPr>
      <w:r w:rsidRPr="00F600A8">
        <w:t>Vairavimas ir mechanizmų valdymas</w:t>
      </w:r>
    </w:p>
    <w:p w:rsidR="00A327F1" w:rsidRPr="002F3A66" w:rsidRDefault="00A327F1" w:rsidP="00A327F1">
      <w:pPr>
        <w:pStyle w:val="BTEMEASMCA"/>
      </w:pPr>
      <w:r w:rsidRPr="0001550C">
        <w:t>Kai kuriems žmonėms COAXIL gali sumažinti budrumą, ypač esant alkoholio poveikiui. Dėl šios priežastie</w:t>
      </w:r>
      <w:r w:rsidRPr="00750BE0">
        <w:t>s vairuojantiems arba valdantiems mechanizmus žmonėms reikia atkreipti dėmesį į mieguistumo, kurį gali sukelti Coaxil vartojimas, pasireiškimo galimybę.</w:t>
      </w:r>
    </w:p>
    <w:p w:rsidR="00A327F1" w:rsidRPr="002F3A66" w:rsidRDefault="00A327F1" w:rsidP="00A327F1">
      <w:pPr>
        <w:pStyle w:val="BTEMEASMCA"/>
      </w:pPr>
    </w:p>
    <w:p w:rsidR="00A327F1" w:rsidRPr="00F600A8" w:rsidRDefault="00A327F1" w:rsidP="00A327F1">
      <w:pPr>
        <w:pStyle w:val="PI-3EMEASMCA"/>
      </w:pPr>
      <w:r w:rsidRPr="00F600A8">
        <w:t>COAXIL sudėtyje yra sacharozės</w:t>
      </w:r>
      <w:r>
        <w:t xml:space="preserve"> ir natrio</w:t>
      </w:r>
    </w:p>
    <w:p w:rsidR="00A327F1" w:rsidRPr="002F3A66" w:rsidRDefault="00A327F1" w:rsidP="00A327F1">
      <w:pPr>
        <w:pStyle w:val="BTEMEASMCA"/>
      </w:pPr>
      <w:r w:rsidRPr="0001550C">
        <w:t xml:space="preserve">Jei gydytojas Jums kada yra sakęs, kad netoleruojate </w:t>
      </w:r>
      <w:r>
        <w:t>kokių nors angliavandenių</w:t>
      </w:r>
      <w:r w:rsidRPr="00750BE0">
        <w:t>, prieš vartodami šio vaisto</w:t>
      </w:r>
      <w:r>
        <w:t>,</w:t>
      </w:r>
      <w:r w:rsidRPr="00750BE0">
        <w:t xml:space="preserve"> pasitarkite su gydytoju.</w:t>
      </w:r>
    </w:p>
    <w:p w:rsidR="00A327F1" w:rsidRPr="00E7009B" w:rsidRDefault="00A327F1" w:rsidP="00A327F1">
      <w:pPr>
        <w:pStyle w:val="BTEMEASMCA"/>
      </w:pPr>
      <w:r w:rsidRPr="002047A0">
        <w:t>Vienoje šio vaisto dengtoje tabletėje yra mažiau kaip 1</w:t>
      </w:r>
      <w:r>
        <w:t> </w:t>
      </w:r>
      <w:r w:rsidRPr="002047A0">
        <w:t>mml natrio (23</w:t>
      </w:r>
      <w:r>
        <w:t> </w:t>
      </w:r>
      <w:r w:rsidRPr="002047A0">
        <w:t>mg), t. y. jis beveik neturi reikšmės.</w:t>
      </w:r>
    </w:p>
    <w:p w:rsidR="00A327F1" w:rsidRPr="002F3A66" w:rsidRDefault="00A327F1" w:rsidP="00A327F1">
      <w:pPr>
        <w:pStyle w:val="BTEMEASMCA"/>
      </w:pPr>
    </w:p>
    <w:p w:rsidR="00A327F1" w:rsidRPr="002F3A66" w:rsidRDefault="00A327F1" w:rsidP="00A327F1">
      <w:pPr>
        <w:pStyle w:val="BTEMEASMCA"/>
      </w:pPr>
    </w:p>
    <w:p w:rsidR="00A327F1" w:rsidRPr="00F600A8" w:rsidRDefault="00A327F1" w:rsidP="00A327F1">
      <w:pPr>
        <w:pStyle w:val="PI-1EMEASMCA"/>
      </w:pPr>
      <w:bookmarkStart w:id="77" w:name="_Toc129243266"/>
      <w:bookmarkStart w:id="78" w:name="_Toc129243141"/>
      <w:r w:rsidRPr="00F600A8">
        <w:t>3.</w:t>
      </w:r>
      <w:r w:rsidRPr="00F600A8">
        <w:tab/>
        <w:t xml:space="preserve">Kaip vartoti </w:t>
      </w:r>
      <w:bookmarkEnd w:id="77"/>
      <w:bookmarkEnd w:id="78"/>
      <w:r w:rsidRPr="00F600A8">
        <w:t>COAXIL</w:t>
      </w:r>
    </w:p>
    <w:p w:rsidR="00A327F1" w:rsidRPr="0001550C" w:rsidRDefault="00A327F1" w:rsidP="00A327F1">
      <w:pPr>
        <w:pStyle w:val="BTEMEASMCA"/>
      </w:pPr>
    </w:p>
    <w:p w:rsidR="00A327F1" w:rsidRPr="002F3A66" w:rsidRDefault="00A327F1" w:rsidP="00A327F1">
      <w:pPr>
        <w:pStyle w:val="BTEMEASMCA"/>
      </w:pPr>
      <w:r w:rsidRPr="00750BE0">
        <w:t>Visada vartokite šį vaistą tiksliai kaip nurodė gydytojas. Jeigu abejojate, kreipkitės į gydytoją arba vaistininką.</w:t>
      </w:r>
    </w:p>
    <w:p w:rsidR="00A327F1" w:rsidRPr="002F3A66" w:rsidRDefault="00A327F1" w:rsidP="00A327F1">
      <w:pPr>
        <w:pStyle w:val="BTEMEASMCA"/>
      </w:pPr>
      <w:r w:rsidRPr="002F3A66">
        <w:t>COAXIL tabletės geriamos.</w:t>
      </w:r>
    </w:p>
    <w:p w:rsidR="00A327F1" w:rsidRPr="00F4627F" w:rsidRDefault="00A327F1" w:rsidP="00A327F1">
      <w:pPr>
        <w:pStyle w:val="BTEMEASMCA"/>
      </w:pPr>
    </w:p>
    <w:p w:rsidR="00A327F1" w:rsidRPr="009A7A13" w:rsidRDefault="00A327F1" w:rsidP="00A327F1">
      <w:pPr>
        <w:pStyle w:val="BTEMEASMCA"/>
      </w:pPr>
      <w:r w:rsidRPr="00D56CD3">
        <w:t>R</w:t>
      </w:r>
      <w:r w:rsidRPr="009A7A13">
        <w:t>ekomenduojama dienos dozė yra 3 tabletės. Paprastai reikia gerti po 1 COAXIL dengtą tabletę 3 kartus per dieną: ryte, vidurdienį ir vakare, prieš valgį arba jo metu.</w:t>
      </w:r>
    </w:p>
    <w:p w:rsidR="00A327F1" w:rsidRPr="00BF5E43" w:rsidRDefault="00A327F1" w:rsidP="00A327F1">
      <w:pPr>
        <w:pStyle w:val="BTEMEASMCA"/>
      </w:pPr>
    </w:p>
    <w:p w:rsidR="00A327F1" w:rsidRPr="008258B9" w:rsidRDefault="00A327F1" w:rsidP="00A327F1">
      <w:pPr>
        <w:pStyle w:val="BTEMEASMCA"/>
      </w:pPr>
      <w:r w:rsidRPr="00BF5E43">
        <w:lastRenderedPageBreak/>
        <w:t xml:space="preserve">Dozę pacientams, kuriems yra inkstų </w:t>
      </w:r>
      <w:r w:rsidRPr="00A93AE0">
        <w:t>ar kepenų funkcijos sutrikimas, ir senyviems pacientams nustato gydytojas.</w:t>
      </w:r>
    </w:p>
    <w:p w:rsidR="00A327F1" w:rsidRPr="008258B9" w:rsidRDefault="00A327F1" w:rsidP="00A327F1">
      <w:pPr>
        <w:pStyle w:val="BTEMEASMCA"/>
      </w:pPr>
    </w:p>
    <w:p w:rsidR="00A327F1" w:rsidRPr="00455F78" w:rsidRDefault="00A327F1" w:rsidP="00A327F1">
      <w:pPr>
        <w:pStyle w:val="BTEMEASMCA"/>
      </w:pPr>
      <w:r w:rsidRPr="00455F78">
        <w:t>Alkoholikams, nepaisant to, ar yra kepenų cirozė, ar jos nėra, dozės keisti nereikia.</w:t>
      </w:r>
    </w:p>
    <w:p w:rsidR="00A327F1" w:rsidRPr="00FE23FD" w:rsidRDefault="00A327F1" w:rsidP="00A327F1">
      <w:pPr>
        <w:pStyle w:val="BTEMEASMCA"/>
      </w:pPr>
      <w:r w:rsidRPr="00455F78">
        <w:t xml:space="preserve"> </w:t>
      </w:r>
    </w:p>
    <w:p w:rsidR="00A327F1" w:rsidRPr="00F600A8" w:rsidRDefault="00A327F1" w:rsidP="00A327F1">
      <w:pPr>
        <w:pStyle w:val="PI-3EMEASMCA"/>
      </w:pPr>
      <w:r>
        <w:t>Ką daryti p</w:t>
      </w:r>
      <w:r w:rsidRPr="00F600A8">
        <w:t>avartojus per didelę COAXIL dozę?</w:t>
      </w:r>
    </w:p>
    <w:p w:rsidR="00A327F1" w:rsidRPr="00750BE0" w:rsidRDefault="00A327F1" w:rsidP="00A327F1">
      <w:pPr>
        <w:pStyle w:val="BTEMEASMCA"/>
      </w:pPr>
      <w:r w:rsidRPr="0001550C">
        <w:t>Pavartojus per didelę COAXIL dozę, būtina tuoj pat kreiptis į gydytoją.</w:t>
      </w:r>
    </w:p>
    <w:p w:rsidR="00A327F1" w:rsidRPr="002F3A66" w:rsidRDefault="00A327F1" w:rsidP="00A327F1">
      <w:pPr>
        <w:pStyle w:val="BTEMEASMCA"/>
      </w:pPr>
    </w:p>
    <w:p w:rsidR="00A327F1" w:rsidRPr="00F600A8" w:rsidRDefault="00A327F1" w:rsidP="00A327F1">
      <w:pPr>
        <w:pStyle w:val="PI-3EMEASMCA"/>
      </w:pPr>
      <w:r w:rsidRPr="00F600A8">
        <w:t>Pamiršus pavartoti COAXIL</w:t>
      </w:r>
    </w:p>
    <w:p w:rsidR="00A327F1" w:rsidRPr="00750BE0" w:rsidRDefault="00A327F1" w:rsidP="00A327F1">
      <w:pPr>
        <w:pStyle w:val="BTEMEASMCA"/>
      </w:pPr>
      <w:r w:rsidRPr="0001550C">
        <w:t>Negalima vartoti dvigubos dozės norint kompensuoti praleistą dozę.</w:t>
      </w:r>
    </w:p>
    <w:p w:rsidR="00A327F1" w:rsidRPr="002F3A66" w:rsidRDefault="00A327F1" w:rsidP="00A327F1">
      <w:pPr>
        <w:pStyle w:val="BTEMEASMCA"/>
      </w:pPr>
      <w:r w:rsidRPr="002F3A66">
        <w:t>Tokiu atveju toliau vaisto reikia vartoti įprastine tvarka, t. y. gerti 1 dengtą tabletę prieš valgį.</w:t>
      </w:r>
    </w:p>
    <w:p w:rsidR="00A327F1" w:rsidRPr="00D56CD3" w:rsidRDefault="00A327F1" w:rsidP="00A327F1">
      <w:pPr>
        <w:pStyle w:val="BTEMEASMCA"/>
      </w:pPr>
    </w:p>
    <w:p w:rsidR="00A327F1" w:rsidRPr="00F600A8" w:rsidRDefault="00A327F1" w:rsidP="00A327F1">
      <w:pPr>
        <w:pStyle w:val="PI-3EMEASMCA"/>
      </w:pPr>
      <w:r w:rsidRPr="00F600A8">
        <w:t>Nustojus vartoti COAXIL</w:t>
      </w:r>
    </w:p>
    <w:p w:rsidR="00A327F1" w:rsidRPr="00750BE0" w:rsidRDefault="00A327F1" w:rsidP="00A327F1">
      <w:pPr>
        <w:pStyle w:val="BTEMEASMCA"/>
      </w:pPr>
      <w:r w:rsidRPr="0001550C">
        <w:t>Gydymo COAXIL staigiai nenutraukite, bet mažinkite dozę palaipsniui per 7–14 dienų laikotarpį.</w:t>
      </w:r>
    </w:p>
    <w:p w:rsidR="00A327F1" w:rsidRPr="002F3A66" w:rsidRDefault="00A327F1" w:rsidP="00A327F1">
      <w:pPr>
        <w:pStyle w:val="BTEMEASMCA"/>
      </w:pPr>
    </w:p>
    <w:p w:rsidR="00A327F1" w:rsidRPr="009A7A13" w:rsidRDefault="00A327F1" w:rsidP="00A327F1">
      <w:pPr>
        <w:pStyle w:val="BTEMEASMCA"/>
      </w:pPr>
      <w:r w:rsidRPr="00D56CD3">
        <w:t>J</w:t>
      </w:r>
      <w:r w:rsidRPr="009A7A13">
        <w:t>eigu kiltų daugiau klausimų dėl šio vaisto vartojimo, kreipkitės į gydytoją arba vaistininką.</w:t>
      </w:r>
    </w:p>
    <w:p w:rsidR="00A327F1" w:rsidRPr="00BF5E43" w:rsidRDefault="00A327F1" w:rsidP="00A327F1">
      <w:pPr>
        <w:pStyle w:val="BTEMEASMCA"/>
      </w:pPr>
    </w:p>
    <w:p w:rsidR="00A327F1" w:rsidRPr="00455F78" w:rsidRDefault="00A327F1" w:rsidP="00A327F1">
      <w:pPr>
        <w:pStyle w:val="BTEMEASMCA"/>
      </w:pPr>
    </w:p>
    <w:p w:rsidR="00A327F1" w:rsidRPr="00F600A8" w:rsidRDefault="00A327F1" w:rsidP="00A327F1">
      <w:pPr>
        <w:pStyle w:val="PI-1EMEASMCA"/>
      </w:pPr>
      <w:bookmarkStart w:id="79" w:name="_Toc129243267"/>
      <w:bookmarkStart w:id="80" w:name="_Toc129243142"/>
      <w:r w:rsidRPr="00F600A8">
        <w:t>4.</w:t>
      </w:r>
      <w:r w:rsidRPr="00F600A8">
        <w:tab/>
        <w:t>Galimas šalutinis poveikis</w:t>
      </w:r>
      <w:bookmarkEnd w:id="79"/>
      <w:bookmarkEnd w:id="80"/>
    </w:p>
    <w:p w:rsidR="00A327F1" w:rsidRPr="0001550C" w:rsidRDefault="00A327F1" w:rsidP="00A327F1">
      <w:pPr>
        <w:pStyle w:val="BTEMEASMCA"/>
      </w:pPr>
    </w:p>
    <w:p w:rsidR="00A327F1" w:rsidRPr="00783314" w:rsidRDefault="00A327F1" w:rsidP="00A327F1">
      <w:pPr>
        <w:pStyle w:val="BTEMEASMCA"/>
      </w:pPr>
      <w:r w:rsidRPr="00750BE0">
        <w:t>Šis vaistas, kaip ir visi kiti, gali sukelti šalutinį poveikį, nors jis pasireiškia ne visiems žmonėms.</w:t>
      </w:r>
    </w:p>
    <w:p w:rsidR="00A327F1" w:rsidRPr="002F3A66" w:rsidRDefault="00A327F1" w:rsidP="00A327F1">
      <w:pPr>
        <w:pStyle w:val="BTEMEASMCA"/>
      </w:pPr>
    </w:p>
    <w:p w:rsidR="00A327F1" w:rsidRPr="00BF5E43" w:rsidRDefault="00A327F1" w:rsidP="00A327F1">
      <w:pPr>
        <w:pStyle w:val="BTEMEASMCA"/>
      </w:pPr>
      <w:r w:rsidRPr="00D56CD3">
        <w:t>C</w:t>
      </w:r>
      <w:r w:rsidRPr="009A7A13">
        <w:t>oaxil šalutinio poveikio simptomai, apie kuriuos gauta pranešimų, yra nedidelio intensyvumo. Tai dažniausiai yra pykinimas, vidurių užkietėj</w:t>
      </w:r>
      <w:r w:rsidRPr="00BF5E43">
        <w:t>imas, pilvo skausmas, mieguistumas, galvos skausmas, burnos džiūvimas ir galvos svaigimas.</w:t>
      </w:r>
    </w:p>
    <w:p w:rsidR="00A327F1" w:rsidRPr="0001550C" w:rsidRDefault="00A327F1" w:rsidP="00A327F1">
      <w:pPr>
        <w:pStyle w:val="BTEMEASMCA"/>
      </w:pPr>
    </w:p>
    <w:p w:rsidR="00A327F1" w:rsidRPr="000B4818" w:rsidRDefault="00A327F1" w:rsidP="00A327F1">
      <w:pPr>
        <w:contextualSpacing/>
        <w:rPr>
          <w:rFonts w:ascii="Times New Roman" w:hAnsi="Times New Roman"/>
          <w:i/>
          <w:lang w:val="fr-FR"/>
        </w:rPr>
      </w:pPr>
      <w:proofErr w:type="spellStart"/>
      <w:r w:rsidRPr="000B4818">
        <w:rPr>
          <w:rFonts w:ascii="Times New Roman" w:hAnsi="Times New Roman"/>
          <w:i/>
          <w:lang w:val="fr-FR"/>
        </w:rPr>
        <w:t>Dažnas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šalutinis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poveikis</w:t>
      </w:r>
      <w:proofErr w:type="spellEnd"/>
      <w:r w:rsidRPr="000B4818">
        <w:rPr>
          <w:rFonts w:ascii="Times New Roman" w:hAnsi="Times New Roman"/>
          <w:i/>
          <w:lang w:val="fr-FR"/>
        </w:rPr>
        <w:t xml:space="preserve"> (</w:t>
      </w:r>
      <w:r w:rsidRPr="000B4818">
        <w:rPr>
          <w:rFonts w:ascii="Times New Roman" w:hAnsi="Times New Roman"/>
          <w:i/>
          <w:lang w:val="lt-LT"/>
        </w:rPr>
        <w:t>gali pasireikšti nuo 1 iki 10 vartotojų iš 100)</w:t>
      </w:r>
      <w:r w:rsidRPr="000B4818">
        <w:rPr>
          <w:rFonts w:ascii="Times New Roman" w:hAnsi="Times New Roman"/>
          <w:i/>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apetito</w:t>
      </w:r>
      <w:proofErr w:type="spellEnd"/>
      <w:r w:rsidRPr="00444CB1">
        <w:rPr>
          <w:rFonts w:ascii="Times New Roman" w:hAnsi="Times New Roman"/>
          <w:lang w:val="fr-FR"/>
        </w:rPr>
        <w:t xml:space="preserve"> </w:t>
      </w:r>
      <w:proofErr w:type="spellStart"/>
      <w:r w:rsidRPr="00444CB1">
        <w:rPr>
          <w:rFonts w:ascii="Times New Roman" w:hAnsi="Times New Roman"/>
          <w:lang w:val="fr-FR"/>
        </w:rPr>
        <w:t>praradimas</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naktiniai</w:t>
      </w:r>
      <w:proofErr w:type="spellEnd"/>
      <w:r w:rsidRPr="00444CB1">
        <w:rPr>
          <w:rFonts w:ascii="Times New Roman" w:hAnsi="Times New Roman"/>
          <w:lang w:val="fr-FR"/>
        </w:rPr>
        <w:t xml:space="preserve"> </w:t>
      </w:r>
      <w:proofErr w:type="spellStart"/>
      <w:r w:rsidRPr="00444CB1">
        <w:rPr>
          <w:rFonts w:ascii="Times New Roman" w:hAnsi="Times New Roman"/>
          <w:lang w:val="fr-FR"/>
        </w:rPr>
        <w:t>košmarai</w:t>
      </w:r>
      <w:proofErr w:type="spellEnd"/>
      <w:r w:rsidRPr="00444CB1">
        <w:rPr>
          <w:rFonts w:ascii="Times New Roman" w:hAnsi="Times New Roman"/>
          <w:lang w:val="fr-FR"/>
        </w:rPr>
        <w:t xml:space="preserve">, </w:t>
      </w:r>
      <w:proofErr w:type="spellStart"/>
      <w:r>
        <w:rPr>
          <w:rFonts w:ascii="Times New Roman" w:hAnsi="Times New Roman"/>
          <w:lang w:val="fr-FR"/>
        </w:rPr>
        <w:t>mieguistumas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nemiga</w:t>
      </w:r>
      <w:proofErr w:type="spellEnd"/>
      <w:r w:rsidRPr="00444CB1">
        <w:rPr>
          <w:rFonts w:ascii="Times New Roman" w:hAnsi="Times New Roman"/>
          <w:lang w:val="fr-FR"/>
        </w:rPr>
        <w:t xml:space="preserve">, </w:t>
      </w:r>
      <w:proofErr w:type="spellStart"/>
      <w:r w:rsidRPr="00444CB1">
        <w:rPr>
          <w:rFonts w:ascii="Times New Roman" w:hAnsi="Times New Roman"/>
          <w:lang w:val="fr-FR"/>
        </w:rPr>
        <w:t>galvos</w:t>
      </w:r>
      <w:proofErr w:type="spellEnd"/>
      <w:r w:rsidRPr="00444CB1">
        <w:rPr>
          <w:rFonts w:ascii="Times New Roman" w:hAnsi="Times New Roman"/>
          <w:lang w:val="fr-FR"/>
        </w:rPr>
        <w:t xml:space="preserve"> </w:t>
      </w:r>
      <w:proofErr w:type="spellStart"/>
      <w:r w:rsidRPr="00444CB1">
        <w:rPr>
          <w:rFonts w:ascii="Times New Roman" w:hAnsi="Times New Roman"/>
          <w:lang w:val="fr-FR"/>
        </w:rPr>
        <w:t>svaigimas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galvos</w:t>
      </w:r>
      <w:proofErr w:type="spellEnd"/>
      <w:r w:rsidRPr="00444CB1">
        <w:rPr>
          <w:rFonts w:ascii="Times New Roman" w:hAnsi="Times New Roman"/>
          <w:lang w:val="fr-FR"/>
        </w:rPr>
        <w:t xml:space="preserve"> </w:t>
      </w:r>
      <w:proofErr w:type="spellStart"/>
      <w:r w:rsidRPr="00444CB1">
        <w:rPr>
          <w:rFonts w:ascii="Times New Roman" w:hAnsi="Times New Roman"/>
          <w:lang w:val="fr-FR"/>
        </w:rPr>
        <w:t>skausmas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bendras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negalavimas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drebėjimas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tremoras</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Pr>
          <w:rFonts w:ascii="Times New Roman" w:hAnsi="Times New Roman"/>
          <w:lang w:val="fr-FR"/>
        </w:rPr>
        <w:t>dažnas</w:t>
      </w:r>
      <w:proofErr w:type="spellEnd"/>
      <w:r>
        <w:rPr>
          <w:rFonts w:ascii="Times New Roman" w:hAnsi="Times New Roman"/>
          <w:lang w:val="fr-FR"/>
        </w:rPr>
        <w:t xml:space="preserve"> </w:t>
      </w:r>
      <w:proofErr w:type="spellStart"/>
      <w:r>
        <w:rPr>
          <w:rFonts w:ascii="Times New Roman" w:hAnsi="Times New Roman"/>
          <w:lang w:val="fr-FR"/>
        </w:rPr>
        <w:t>širdies</w:t>
      </w:r>
      <w:proofErr w:type="spellEnd"/>
      <w:r>
        <w:rPr>
          <w:rFonts w:ascii="Times New Roman" w:hAnsi="Times New Roman"/>
          <w:lang w:val="fr-FR"/>
        </w:rPr>
        <w:t xml:space="preserve"> </w:t>
      </w:r>
      <w:proofErr w:type="spellStart"/>
      <w:r>
        <w:rPr>
          <w:rFonts w:ascii="Times New Roman" w:hAnsi="Times New Roman"/>
          <w:lang w:val="fr-FR"/>
        </w:rPr>
        <w:t>plakimas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nenormalus</w:t>
      </w:r>
      <w:proofErr w:type="spellEnd"/>
      <w:r w:rsidRPr="00444CB1">
        <w:rPr>
          <w:rFonts w:ascii="Times New Roman" w:hAnsi="Times New Roman"/>
          <w:lang w:val="fr-FR"/>
        </w:rPr>
        <w:t xml:space="preserve"> </w:t>
      </w:r>
      <w:proofErr w:type="spellStart"/>
      <w:r w:rsidRPr="00444CB1">
        <w:rPr>
          <w:rFonts w:ascii="Times New Roman" w:hAnsi="Times New Roman"/>
          <w:lang w:val="fr-FR"/>
        </w:rPr>
        <w:t>širdies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plakimo</w:t>
      </w:r>
      <w:proofErr w:type="spellEnd"/>
      <w:r w:rsidRPr="00444CB1">
        <w:rPr>
          <w:rFonts w:ascii="Times New Roman" w:hAnsi="Times New Roman"/>
          <w:lang w:val="fr-FR"/>
        </w:rPr>
        <w:t xml:space="preserve"> </w:t>
      </w:r>
      <w:proofErr w:type="spellStart"/>
      <w:r w:rsidRPr="00444CB1">
        <w:rPr>
          <w:rFonts w:ascii="Times New Roman" w:hAnsi="Times New Roman"/>
          <w:lang w:val="fr-FR"/>
        </w:rPr>
        <w:t>jautimas</w:t>
      </w:r>
      <w:proofErr w:type="spellEnd"/>
      <w:r>
        <w:rPr>
          <w:rFonts w:ascii="Times New Roman" w:hAnsi="Times New Roman"/>
          <w:lang w:val="fr-FR"/>
        </w:rPr>
        <w:t xml:space="preserve"> (</w:t>
      </w:r>
      <w:proofErr w:type="spellStart"/>
      <w:r>
        <w:rPr>
          <w:rFonts w:ascii="Times New Roman" w:hAnsi="Times New Roman"/>
          <w:lang w:val="fr-FR"/>
        </w:rPr>
        <w:t>permušimai</w:t>
      </w:r>
      <w:proofErr w:type="spellEnd"/>
      <w:r>
        <w:rPr>
          <w:rFonts w:ascii="Times New Roman" w:hAnsi="Times New Roman"/>
          <w:lang w:val="fr-FR"/>
        </w:rPr>
        <w:t>)</w:t>
      </w:r>
      <w:r w:rsidRPr="00444CB1">
        <w:rPr>
          <w:rFonts w:ascii="Times New Roman" w:hAnsi="Times New Roman"/>
          <w:lang w:val="fr-FR"/>
        </w:rPr>
        <w:t xml:space="preserve">, </w:t>
      </w:r>
      <w:proofErr w:type="spellStart"/>
      <w:r>
        <w:rPr>
          <w:rFonts w:ascii="Times New Roman" w:hAnsi="Times New Roman"/>
          <w:lang w:val="fr-FR"/>
        </w:rPr>
        <w:t>krūtinės</w:t>
      </w:r>
      <w:proofErr w:type="spellEnd"/>
      <w:r>
        <w:rPr>
          <w:rFonts w:ascii="Times New Roman" w:hAnsi="Times New Roman"/>
          <w:lang w:val="fr-FR"/>
        </w:rPr>
        <w:t xml:space="preserve"> </w:t>
      </w:r>
      <w:proofErr w:type="spellStart"/>
      <w:r w:rsidRPr="00444CB1">
        <w:rPr>
          <w:rFonts w:ascii="Times New Roman" w:hAnsi="Times New Roman"/>
          <w:lang w:val="fr-FR"/>
        </w:rPr>
        <w:t>skausmas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kraujo</w:t>
      </w:r>
      <w:proofErr w:type="spellEnd"/>
      <w:r w:rsidRPr="00444CB1">
        <w:rPr>
          <w:rFonts w:ascii="Times New Roman" w:hAnsi="Times New Roman"/>
          <w:lang w:val="fr-FR"/>
        </w:rPr>
        <w:t xml:space="preserve"> </w:t>
      </w:r>
      <w:proofErr w:type="spellStart"/>
      <w:r w:rsidRPr="00444CB1">
        <w:rPr>
          <w:rFonts w:ascii="Times New Roman" w:hAnsi="Times New Roman"/>
          <w:lang w:val="fr-FR"/>
        </w:rPr>
        <w:t>suplūdimas</w:t>
      </w:r>
      <w:proofErr w:type="spellEnd"/>
      <w:r w:rsidRPr="00444CB1">
        <w:rPr>
          <w:rFonts w:ascii="Times New Roman" w:hAnsi="Times New Roman"/>
          <w:lang w:val="fr-FR"/>
        </w:rPr>
        <w:t xml:space="preserve"> į </w:t>
      </w:r>
      <w:proofErr w:type="spellStart"/>
      <w:r w:rsidRPr="00444CB1">
        <w:rPr>
          <w:rFonts w:ascii="Times New Roman" w:hAnsi="Times New Roman"/>
          <w:lang w:val="fr-FR"/>
        </w:rPr>
        <w:t>veidą</w:t>
      </w:r>
      <w:proofErr w:type="spellEnd"/>
      <w:r w:rsidRPr="00444CB1">
        <w:rPr>
          <w:rFonts w:ascii="Times New Roman" w:hAnsi="Times New Roman"/>
          <w:lang w:val="fr-FR"/>
        </w:rPr>
        <w:t xml:space="preserve">, </w:t>
      </w:r>
      <w:proofErr w:type="spellStart"/>
      <w:r w:rsidRPr="00444CB1">
        <w:rPr>
          <w:rFonts w:ascii="Times New Roman" w:hAnsi="Times New Roman"/>
          <w:lang w:val="fr-FR"/>
        </w:rPr>
        <w:t>sunkumas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kvėpuoti</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skrandžio</w:t>
      </w:r>
      <w:proofErr w:type="spellEnd"/>
      <w:r w:rsidRPr="00444CB1">
        <w:rPr>
          <w:rFonts w:ascii="Times New Roman" w:hAnsi="Times New Roman"/>
          <w:lang w:val="fr-FR"/>
        </w:rPr>
        <w:t xml:space="preserve"> </w:t>
      </w:r>
      <w:proofErr w:type="spellStart"/>
      <w:r w:rsidRPr="00444CB1">
        <w:rPr>
          <w:rFonts w:ascii="Times New Roman" w:hAnsi="Times New Roman"/>
          <w:lang w:val="fr-FR"/>
        </w:rPr>
        <w:t>skausmas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pilvo</w:t>
      </w:r>
      <w:proofErr w:type="spellEnd"/>
      <w:r w:rsidRPr="00444CB1">
        <w:rPr>
          <w:rFonts w:ascii="Times New Roman" w:hAnsi="Times New Roman"/>
          <w:lang w:val="fr-FR"/>
        </w:rPr>
        <w:t xml:space="preserve"> </w:t>
      </w:r>
      <w:proofErr w:type="spellStart"/>
      <w:r w:rsidRPr="00444CB1">
        <w:rPr>
          <w:rFonts w:ascii="Times New Roman" w:hAnsi="Times New Roman"/>
          <w:lang w:val="fr-FR"/>
        </w:rPr>
        <w:t>skausmas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burnos</w:t>
      </w:r>
      <w:proofErr w:type="spellEnd"/>
      <w:r w:rsidRPr="00444CB1">
        <w:rPr>
          <w:rFonts w:ascii="Times New Roman" w:hAnsi="Times New Roman"/>
          <w:lang w:val="fr-FR"/>
        </w:rPr>
        <w:t xml:space="preserve"> </w:t>
      </w:r>
      <w:proofErr w:type="spellStart"/>
      <w:r w:rsidRPr="00444CB1">
        <w:rPr>
          <w:rFonts w:ascii="Times New Roman" w:hAnsi="Times New Roman"/>
          <w:lang w:val="fr-FR"/>
        </w:rPr>
        <w:t>džiūvimas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pykinimas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vėmimas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vidurių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užkietėjimas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dujų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kaupimasis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žarnyne</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raumenų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skausmas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skausmas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apatinėje</w:t>
      </w:r>
      <w:proofErr w:type="spellEnd"/>
      <w:r w:rsidRPr="00444CB1">
        <w:rPr>
          <w:rFonts w:ascii="Times New Roman" w:hAnsi="Times New Roman"/>
          <w:lang w:val="fr-FR"/>
        </w:rPr>
        <w:t xml:space="preserve"> </w:t>
      </w:r>
      <w:proofErr w:type="spellStart"/>
      <w:r w:rsidRPr="00444CB1">
        <w:rPr>
          <w:rFonts w:ascii="Times New Roman" w:hAnsi="Times New Roman"/>
          <w:lang w:val="fr-FR"/>
        </w:rPr>
        <w:t>nugaros</w:t>
      </w:r>
      <w:proofErr w:type="spellEnd"/>
      <w:r w:rsidRPr="00444CB1">
        <w:rPr>
          <w:rFonts w:ascii="Times New Roman" w:hAnsi="Times New Roman"/>
          <w:lang w:val="fr-FR"/>
        </w:rPr>
        <w:t xml:space="preserve"> </w:t>
      </w:r>
      <w:proofErr w:type="spellStart"/>
      <w:r w:rsidRPr="00444CB1">
        <w:rPr>
          <w:rFonts w:ascii="Times New Roman" w:hAnsi="Times New Roman"/>
          <w:lang w:val="fr-FR"/>
        </w:rPr>
        <w:t>srityje</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silpnumo</w:t>
      </w:r>
      <w:proofErr w:type="spellEnd"/>
      <w:r w:rsidRPr="00444CB1">
        <w:rPr>
          <w:rFonts w:ascii="Times New Roman" w:hAnsi="Times New Roman"/>
          <w:lang w:val="fr-FR"/>
        </w:rPr>
        <w:t xml:space="preserve"> </w:t>
      </w:r>
      <w:proofErr w:type="spellStart"/>
      <w:r w:rsidRPr="00444CB1">
        <w:rPr>
          <w:rFonts w:ascii="Times New Roman" w:hAnsi="Times New Roman"/>
          <w:lang w:val="fr-FR"/>
        </w:rPr>
        <w:t>pojūtis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gumulo</w:t>
      </w:r>
      <w:proofErr w:type="spellEnd"/>
      <w:r w:rsidRPr="00444CB1">
        <w:rPr>
          <w:rFonts w:ascii="Times New Roman" w:hAnsi="Times New Roman"/>
          <w:lang w:val="fr-FR"/>
        </w:rPr>
        <w:t xml:space="preserve"> </w:t>
      </w:r>
      <w:proofErr w:type="spellStart"/>
      <w:r w:rsidRPr="00444CB1">
        <w:rPr>
          <w:rFonts w:ascii="Times New Roman" w:hAnsi="Times New Roman"/>
          <w:lang w:val="fr-FR"/>
        </w:rPr>
        <w:t>pojūtis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gerklėje</w:t>
      </w:r>
      <w:proofErr w:type="spellEnd"/>
      <w:r w:rsidRPr="00444CB1">
        <w:rPr>
          <w:rFonts w:ascii="Times New Roman" w:hAnsi="Times New Roman"/>
          <w:lang w:val="fr-FR"/>
        </w:rPr>
        <w:t>.</w:t>
      </w:r>
    </w:p>
    <w:p w:rsidR="00A327F1" w:rsidRPr="00444CB1" w:rsidRDefault="00A327F1" w:rsidP="00A327F1">
      <w:pPr>
        <w:rPr>
          <w:rFonts w:ascii="Times New Roman" w:hAnsi="Times New Roman"/>
          <w:lang w:val="fr-FR"/>
        </w:rPr>
      </w:pPr>
    </w:p>
    <w:p w:rsidR="00A327F1" w:rsidRPr="000B4818" w:rsidRDefault="00A327F1" w:rsidP="00A327F1">
      <w:pPr>
        <w:keepNext/>
        <w:contextualSpacing/>
        <w:rPr>
          <w:rFonts w:ascii="Times New Roman" w:hAnsi="Times New Roman"/>
          <w:i/>
          <w:lang w:val="fr-FR"/>
        </w:rPr>
      </w:pPr>
      <w:proofErr w:type="spellStart"/>
      <w:r w:rsidRPr="000B4818">
        <w:rPr>
          <w:rFonts w:ascii="Times New Roman" w:hAnsi="Times New Roman"/>
          <w:i/>
          <w:lang w:val="fr-FR"/>
        </w:rPr>
        <w:t>Nedažnas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šalutinis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poveikis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gali</w:t>
      </w:r>
      <w:proofErr w:type="spellEnd"/>
      <w:r w:rsidRPr="000B4818">
        <w:rPr>
          <w:rFonts w:ascii="Times New Roman" w:hAnsi="Times New Roman"/>
          <w:i/>
          <w:lang w:val="fr-FR"/>
        </w:rPr>
        <w:t xml:space="preserve"> </w:t>
      </w:r>
      <w:r w:rsidRPr="000B4818">
        <w:rPr>
          <w:rFonts w:ascii="Times New Roman" w:hAnsi="Times New Roman"/>
          <w:i/>
          <w:lang w:val="lt-LT"/>
        </w:rPr>
        <w:t>pasireikšti nuo 1 iki 10 vartotojų iš 1000)</w:t>
      </w:r>
      <w:r w:rsidRPr="000B4818">
        <w:rPr>
          <w:rFonts w:ascii="Times New Roman" w:hAnsi="Times New Roman"/>
          <w:i/>
          <w:lang w:val="fr-FR"/>
        </w:rPr>
        <w:t>:</w:t>
      </w:r>
    </w:p>
    <w:p w:rsidR="00A327F1" w:rsidRPr="00444CB1" w:rsidRDefault="00A327F1" w:rsidP="00A327F1">
      <w:pPr>
        <w:keepNext/>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Pr>
          <w:rFonts w:ascii="Times New Roman" w:hAnsi="Times New Roman"/>
          <w:lang w:val="fr-FR"/>
        </w:rPr>
        <w:t>iš</w:t>
      </w:r>
      <w:r w:rsidRPr="00444CB1">
        <w:rPr>
          <w:rFonts w:ascii="Times New Roman" w:hAnsi="Times New Roman"/>
          <w:lang w:val="fr-FR"/>
        </w:rPr>
        <w:t>bėrimas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niežulys</w:t>
      </w:r>
      <w:proofErr w:type="spellEnd"/>
      <w:r w:rsidRPr="00444CB1">
        <w:rPr>
          <w:rFonts w:ascii="Times New Roman" w:hAnsi="Times New Roman"/>
          <w:lang w:val="fr-FR"/>
        </w:rPr>
        <w:t xml:space="preserve">, </w:t>
      </w:r>
      <w:proofErr w:type="spellStart"/>
      <w:r w:rsidRPr="00444CB1">
        <w:rPr>
          <w:rFonts w:ascii="Times New Roman" w:hAnsi="Times New Roman"/>
          <w:lang w:val="fr-FR"/>
        </w:rPr>
        <w:t>dilgėlinė</w:t>
      </w:r>
      <w:proofErr w:type="spellEnd"/>
      <w:r w:rsidRPr="00444CB1">
        <w:rPr>
          <w:rFonts w:ascii="Times New Roman" w:hAnsi="Times New Roman"/>
          <w:lang w:val="fr-FR"/>
        </w:rPr>
        <w:t xml:space="preserve">, </w:t>
      </w:r>
      <w:proofErr w:type="spellStart"/>
      <w:r>
        <w:rPr>
          <w:rFonts w:ascii="Times New Roman" w:hAnsi="Times New Roman"/>
          <w:lang w:val="fr-FR"/>
        </w:rPr>
        <w:t>piktnaudžiavimas</w:t>
      </w:r>
      <w:proofErr w:type="spellEnd"/>
      <w:r>
        <w:rPr>
          <w:rFonts w:ascii="Times New Roman" w:hAnsi="Times New Roman"/>
          <w:lang w:val="fr-FR"/>
        </w:rPr>
        <w:t xml:space="preserve"> </w:t>
      </w:r>
      <w:proofErr w:type="spellStart"/>
      <w:r>
        <w:rPr>
          <w:rFonts w:ascii="Times New Roman" w:hAnsi="Times New Roman"/>
          <w:lang w:val="fr-FR"/>
        </w:rPr>
        <w:t>vaistu</w:t>
      </w:r>
      <w:proofErr w:type="spellEnd"/>
      <w:r>
        <w:rPr>
          <w:rFonts w:ascii="Times New Roman" w:hAnsi="Times New Roman"/>
          <w:lang w:val="fr-FR"/>
        </w:rPr>
        <w:t xml:space="preserve"> </w:t>
      </w:r>
      <w:proofErr w:type="spellStart"/>
      <w:r>
        <w:rPr>
          <w:rFonts w:ascii="Times New Roman" w:hAnsi="Times New Roman"/>
          <w:lang w:val="fr-FR"/>
        </w:rPr>
        <w:t>ir</w:t>
      </w:r>
      <w:proofErr w:type="spellEnd"/>
      <w:r>
        <w:rPr>
          <w:rFonts w:ascii="Times New Roman" w:hAnsi="Times New Roman"/>
          <w:lang w:val="fr-FR"/>
        </w:rPr>
        <w:t xml:space="preserve"> </w:t>
      </w:r>
      <w:proofErr w:type="spellStart"/>
      <w:r w:rsidRPr="00444CB1">
        <w:rPr>
          <w:rFonts w:ascii="Times New Roman" w:hAnsi="Times New Roman"/>
          <w:lang w:val="fr-FR"/>
        </w:rPr>
        <w:t>priklausomybė</w:t>
      </w:r>
      <w:proofErr w:type="spellEnd"/>
      <w:r w:rsidRPr="00444CB1">
        <w:rPr>
          <w:rFonts w:ascii="Times New Roman" w:hAnsi="Times New Roman"/>
          <w:lang w:val="fr-FR"/>
        </w:rPr>
        <w:t>.</w:t>
      </w:r>
    </w:p>
    <w:p w:rsidR="00A327F1" w:rsidRPr="00444CB1" w:rsidRDefault="00A327F1" w:rsidP="00A327F1">
      <w:pPr>
        <w:rPr>
          <w:rFonts w:ascii="Times New Roman" w:hAnsi="Times New Roman"/>
          <w:lang w:val="fr-FR"/>
        </w:rPr>
      </w:pPr>
    </w:p>
    <w:p w:rsidR="00A327F1" w:rsidRPr="000B4818" w:rsidRDefault="00A327F1" w:rsidP="00A327F1">
      <w:pPr>
        <w:contextualSpacing/>
        <w:rPr>
          <w:rFonts w:ascii="Times New Roman" w:hAnsi="Times New Roman"/>
          <w:i/>
          <w:lang w:val="fr-FR"/>
        </w:rPr>
      </w:pPr>
      <w:proofErr w:type="spellStart"/>
      <w:r w:rsidRPr="000B4818">
        <w:rPr>
          <w:rFonts w:ascii="Times New Roman" w:hAnsi="Times New Roman"/>
          <w:i/>
          <w:lang w:val="fr-FR"/>
        </w:rPr>
        <w:t>Nežinomo</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dažnio</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šalutinis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poveikis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kai</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pasireiškimo</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dažnis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negali</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būti</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įvertintas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pagal</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turimus</w:t>
      </w:r>
      <w:proofErr w:type="spellEnd"/>
      <w:r w:rsidRPr="000B4818">
        <w:rPr>
          <w:rFonts w:ascii="Times New Roman" w:hAnsi="Times New Roman"/>
          <w:i/>
          <w:lang w:val="fr-FR"/>
        </w:rPr>
        <w:t xml:space="preserve"> </w:t>
      </w:r>
      <w:proofErr w:type="spellStart"/>
      <w:r w:rsidRPr="000B4818">
        <w:rPr>
          <w:rFonts w:ascii="Times New Roman" w:hAnsi="Times New Roman"/>
          <w:i/>
          <w:lang w:val="fr-FR"/>
        </w:rPr>
        <w:t>duomenis</w:t>
      </w:r>
      <w:proofErr w:type="spellEnd"/>
      <w:r w:rsidRPr="000B4818">
        <w:rPr>
          <w:rFonts w:ascii="Times New Roman" w:hAnsi="Times New Roman"/>
          <w:i/>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mintys</w:t>
      </w:r>
      <w:proofErr w:type="spellEnd"/>
      <w:r w:rsidRPr="00444CB1">
        <w:rPr>
          <w:rFonts w:ascii="Times New Roman" w:hAnsi="Times New Roman"/>
          <w:lang w:val="fr-FR"/>
        </w:rPr>
        <w:t xml:space="preserve"> </w:t>
      </w:r>
      <w:proofErr w:type="spellStart"/>
      <w:r w:rsidRPr="00444CB1">
        <w:rPr>
          <w:rFonts w:ascii="Times New Roman" w:hAnsi="Times New Roman"/>
          <w:lang w:val="fr-FR"/>
        </w:rPr>
        <w:t>apie</w:t>
      </w:r>
      <w:proofErr w:type="spellEnd"/>
      <w:r w:rsidRPr="00444CB1">
        <w:rPr>
          <w:rFonts w:ascii="Times New Roman" w:hAnsi="Times New Roman"/>
          <w:lang w:val="fr-FR"/>
        </w:rPr>
        <w:t xml:space="preserve"> </w:t>
      </w:r>
      <w:proofErr w:type="spellStart"/>
      <w:r w:rsidRPr="00444CB1">
        <w:rPr>
          <w:rFonts w:ascii="Times New Roman" w:hAnsi="Times New Roman"/>
          <w:lang w:val="fr-FR"/>
        </w:rPr>
        <w:t>savižudybę</w:t>
      </w:r>
      <w:proofErr w:type="spellEnd"/>
      <w:r w:rsidRPr="00444CB1">
        <w:rPr>
          <w:rFonts w:ascii="Times New Roman" w:hAnsi="Times New Roman"/>
          <w:lang w:val="fr-FR"/>
        </w:rPr>
        <w:t xml:space="preserve"> </w:t>
      </w:r>
      <w:proofErr w:type="spellStart"/>
      <w:r w:rsidRPr="00444CB1">
        <w:rPr>
          <w:rFonts w:ascii="Times New Roman" w:hAnsi="Times New Roman"/>
          <w:lang w:val="fr-FR"/>
        </w:rPr>
        <w:t>arba</w:t>
      </w:r>
      <w:proofErr w:type="spellEnd"/>
      <w:r w:rsidRPr="00444CB1">
        <w:rPr>
          <w:rFonts w:ascii="Times New Roman" w:hAnsi="Times New Roman"/>
          <w:lang w:val="fr-FR"/>
        </w:rPr>
        <w:t xml:space="preserve"> su </w:t>
      </w:r>
      <w:proofErr w:type="spellStart"/>
      <w:r w:rsidRPr="00444CB1">
        <w:rPr>
          <w:rFonts w:ascii="Times New Roman" w:hAnsi="Times New Roman"/>
          <w:lang w:val="fr-FR"/>
        </w:rPr>
        <w:t>savižudybe</w:t>
      </w:r>
      <w:proofErr w:type="spellEnd"/>
      <w:r w:rsidRPr="00444CB1">
        <w:rPr>
          <w:rFonts w:ascii="Times New Roman" w:hAnsi="Times New Roman"/>
          <w:lang w:val="fr-FR"/>
        </w:rPr>
        <w:t xml:space="preserve"> </w:t>
      </w:r>
      <w:proofErr w:type="spellStart"/>
      <w:r w:rsidRPr="00444CB1">
        <w:rPr>
          <w:rFonts w:ascii="Times New Roman" w:hAnsi="Times New Roman"/>
          <w:lang w:val="fr-FR"/>
        </w:rPr>
        <w:t>susijęs</w:t>
      </w:r>
      <w:proofErr w:type="spellEnd"/>
      <w:r w:rsidRPr="00444CB1">
        <w:rPr>
          <w:rFonts w:ascii="Times New Roman" w:hAnsi="Times New Roman"/>
          <w:lang w:val="fr-FR"/>
        </w:rPr>
        <w:t xml:space="preserve"> </w:t>
      </w:r>
      <w:proofErr w:type="spellStart"/>
      <w:r w:rsidRPr="00444CB1">
        <w:rPr>
          <w:rFonts w:ascii="Times New Roman" w:hAnsi="Times New Roman"/>
          <w:lang w:val="fr-FR"/>
        </w:rPr>
        <w:t>elgesys</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sumišimo</w:t>
      </w:r>
      <w:proofErr w:type="spellEnd"/>
      <w:r w:rsidRPr="00444CB1">
        <w:rPr>
          <w:rFonts w:ascii="Times New Roman" w:hAnsi="Times New Roman"/>
          <w:lang w:val="fr-FR"/>
        </w:rPr>
        <w:t xml:space="preserve"> </w:t>
      </w:r>
      <w:proofErr w:type="spellStart"/>
      <w:r>
        <w:rPr>
          <w:rFonts w:ascii="Times New Roman" w:hAnsi="Times New Roman"/>
          <w:lang w:val="fr-FR"/>
        </w:rPr>
        <w:t>būsena</w:t>
      </w:r>
      <w:proofErr w:type="spellEnd"/>
      <w:r w:rsidRPr="00444CB1">
        <w:rPr>
          <w:rFonts w:ascii="Times New Roman" w:hAnsi="Times New Roman"/>
          <w:lang w:val="fr-FR"/>
        </w:rPr>
        <w:t xml:space="preserve">, </w:t>
      </w:r>
      <w:proofErr w:type="spellStart"/>
      <w:r w:rsidRPr="00444CB1">
        <w:rPr>
          <w:rFonts w:ascii="Times New Roman" w:hAnsi="Times New Roman"/>
          <w:lang w:val="fr-FR"/>
        </w:rPr>
        <w:t>dalykų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kurie</w:t>
      </w:r>
      <w:proofErr w:type="spellEnd"/>
      <w:r w:rsidRPr="00444CB1">
        <w:rPr>
          <w:rFonts w:ascii="Times New Roman" w:hAnsi="Times New Roman"/>
          <w:lang w:val="fr-FR"/>
        </w:rPr>
        <w:t xml:space="preserve"> </w:t>
      </w:r>
      <w:proofErr w:type="spellStart"/>
      <w:r w:rsidRPr="00444CB1">
        <w:rPr>
          <w:rFonts w:ascii="Times New Roman" w:hAnsi="Times New Roman"/>
          <w:lang w:val="fr-FR"/>
        </w:rPr>
        <w:t>nėra</w:t>
      </w:r>
      <w:proofErr w:type="spellEnd"/>
      <w:r w:rsidRPr="00444CB1">
        <w:rPr>
          <w:rFonts w:ascii="Times New Roman" w:hAnsi="Times New Roman"/>
          <w:lang w:val="fr-FR"/>
        </w:rPr>
        <w:t xml:space="preserve"> </w:t>
      </w:r>
      <w:proofErr w:type="spellStart"/>
      <w:r w:rsidRPr="00444CB1">
        <w:rPr>
          <w:rFonts w:ascii="Times New Roman" w:hAnsi="Times New Roman"/>
          <w:lang w:val="fr-FR"/>
        </w:rPr>
        <w:t>matomi</w:t>
      </w:r>
      <w:proofErr w:type="spellEnd"/>
      <w:r w:rsidRPr="00444CB1">
        <w:rPr>
          <w:rFonts w:ascii="Times New Roman" w:hAnsi="Times New Roman"/>
          <w:lang w:val="fr-FR"/>
        </w:rPr>
        <w:t xml:space="preserve">, </w:t>
      </w:r>
      <w:proofErr w:type="spellStart"/>
      <w:r w:rsidRPr="00444CB1">
        <w:rPr>
          <w:rFonts w:ascii="Times New Roman" w:hAnsi="Times New Roman"/>
          <w:lang w:val="fr-FR"/>
        </w:rPr>
        <w:t>jautimas</w:t>
      </w:r>
      <w:proofErr w:type="spellEnd"/>
      <w:r>
        <w:rPr>
          <w:rFonts w:ascii="Times New Roman" w:hAnsi="Times New Roman"/>
          <w:lang w:val="fr-FR"/>
        </w:rPr>
        <w:t>,</w:t>
      </w:r>
      <w:r w:rsidRPr="00444CB1">
        <w:rPr>
          <w:rFonts w:ascii="Times New Roman" w:hAnsi="Times New Roman"/>
          <w:lang w:val="fr-FR"/>
        </w:rPr>
        <w:t xml:space="preserve"> </w:t>
      </w:r>
      <w:proofErr w:type="spellStart"/>
      <w:r>
        <w:rPr>
          <w:rFonts w:ascii="Times New Roman" w:hAnsi="Times New Roman"/>
          <w:lang w:val="fr-FR"/>
        </w:rPr>
        <w:t>matymas</w:t>
      </w:r>
      <w:proofErr w:type="spellEnd"/>
      <w:r>
        <w:rPr>
          <w:rFonts w:ascii="Times New Roman" w:hAnsi="Times New Roman"/>
          <w:lang w:val="fr-FR"/>
        </w:rPr>
        <w:t xml:space="preserve"> </w:t>
      </w:r>
      <w:proofErr w:type="spellStart"/>
      <w:r w:rsidRPr="00444CB1">
        <w:rPr>
          <w:rFonts w:ascii="Times New Roman" w:hAnsi="Times New Roman"/>
          <w:lang w:val="fr-FR"/>
        </w:rPr>
        <w:t>arba</w:t>
      </w:r>
      <w:proofErr w:type="spellEnd"/>
      <w:r w:rsidRPr="00444CB1">
        <w:rPr>
          <w:rFonts w:ascii="Times New Roman" w:hAnsi="Times New Roman"/>
          <w:lang w:val="fr-FR"/>
        </w:rPr>
        <w:t xml:space="preserve"> </w:t>
      </w:r>
      <w:proofErr w:type="spellStart"/>
      <w:r w:rsidRPr="00444CB1">
        <w:rPr>
          <w:rFonts w:ascii="Times New Roman" w:hAnsi="Times New Roman"/>
          <w:lang w:val="fr-FR"/>
        </w:rPr>
        <w:t>girdėjimas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haliucinacijos</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aknė</w:t>
      </w:r>
      <w:proofErr w:type="spellEnd"/>
      <w:r w:rsidRPr="00444CB1">
        <w:rPr>
          <w:rFonts w:ascii="Times New Roman" w:hAnsi="Times New Roman"/>
          <w:lang w:val="fr-FR"/>
        </w:rPr>
        <w:t xml:space="preserve">, </w:t>
      </w:r>
      <w:proofErr w:type="spellStart"/>
      <w:r w:rsidRPr="00444CB1">
        <w:rPr>
          <w:rFonts w:ascii="Times New Roman" w:hAnsi="Times New Roman"/>
          <w:lang w:val="fr-FR"/>
        </w:rPr>
        <w:t>išskirtinais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atvejais</w:t>
      </w:r>
      <w:proofErr w:type="spellEnd"/>
      <w:r w:rsidRPr="00444CB1">
        <w:rPr>
          <w:rFonts w:ascii="Times New Roman" w:hAnsi="Times New Roman"/>
          <w:lang w:val="fr-FR"/>
        </w:rPr>
        <w:t xml:space="preserve"> – </w:t>
      </w:r>
      <w:proofErr w:type="spellStart"/>
      <w:r w:rsidRPr="00444CB1">
        <w:rPr>
          <w:rFonts w:ascii="Times New Roman" w:hAnsi="Times New Roman"/>
          <w:lang w:val="fr-FR"/>
        </w:rPr>
        <w:t>odos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pūslelės</w:t>
      </w:r>
      <w:proofErr w:type="spellEnd"/>
      <w:r w:rsidRPr="00444CB1">
        <w:rPr>
          <w:rFonts w:ascii="Times New Roman" w:hAnsi="Times New Roman"/>
          <w:lang w:val="fr-FR"/>
        </w:rPr>
        <w:t xml:space="preserve"> </w:t>
      </w:r>
      <w:proofErr w:type="spellStart"/>
      <w:r w:rsidRPr="00444CB1">
        <w:rPr>
          <w:rFonts w:ascii="Times New Roman" w:hAnsi="Times New Roman"/>
          <w:lang w:val="fr-FR"/>
        </w:rPr>
        <w:t>arba</w:t>
      </w:r>
      <w:proofErr w:type="spellEnd"/>
      <w:r w:rsidRPr="00444CB1">
        <w:rPr>
          <w:rFonts w:ascii="Times New Roman" w:hAnsi="Times New Roman"/>
          <w:lang w:val="fr-FR"/>
        </w:rPr>
        <w:t xml:space="preserve"> </w:t>
      </w:r>
      <w:proofErr w:type="spellStart"/>
      <w:r w:rsidRPr="00444CB1">
        <w:rPr>
          <w:rFonts w:ascii="Times New Roman" w:hAnsi="Times New Roman"/>
          <w:lang w:val="fr-FR"/>
        </w:rPr>
        <w:t>uždegimas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pūslinis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dermatitas</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padidėjusi</w:t>
      </w:r>
      <w:proofErr w:type="spellEnd"/>
      <w:r w:rsidRPr="00444CB1">
        <w:rPr>
          <w:rFonts w:ascii="Times New Roman" w:hAnsi="Times New Roman"/>
          <w:lang w:val="fr-FR"/>
        </w:rPr>
        <w:t xml:space="preserve"> </w:t>
      </w:r>
      <w:proofErr w:type="spellStart"/>
      <w:r w:rsidRPr="00444CB1">
        <w:rPr>
          <w:rFonts w:ascii="Times New Roman" w:hAnsi="Times New Roman"/>
          <w:lang w:val="fr-FR"/>
        </w:rPr>
        <w:t>kepenų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fermentų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koncentracija</w:t>
      </w:r>
      <w:proofErr w:type="spellEnd"/>
      <w:r w:rsidRPr="00444CB1">
        <w:rPr>
          <w:rFonts w:ascii="Times New Roman" w:hAnsi="Times New Roman"/>
          <w:lang w:val="fr-FR"/>
        </w:rPr>
        <w:t xml:space="preserve">, </w:t>
      </w:r>
      <w:proofErr w:type="spellStart"/>
      <w:r w:rsidRPr="00444CB1">
        <w:rPr>
          <w:rFonts w:ascii="Times New Roman" w:hAnsi="Times New Roman"/>
          <w:lang w:val="fr-FR"/>
        </w:rPr>
        <w:t>kepenų</w:t>
      </w:r>
      <w:proofErr w:type="spellEnd"/>
      <w:r w:rsidRPr="00444CB1">
        <w:rPr>
          <w:rFonts w:ascii="Times New Roman" w:hAnsi="Times New Roman"/>
          <w:lang w:val="fr-FR"/>
        </w:rPr>
        <w:t xml:space="preserve"> </w:t>
      </w:r>
      <w:proofErr w:type="spellStart"/>
      <w:r w:rsidRPr="00444CB1">
        <w:rPr>
          <w:rFonts w:ascii="Times New Roman" w:hAnsi="Times New Roman"/>
          <w:lang w:val="fr-FR"/>
        </w:rPr>
        <w:t>uždegimas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hepatitas</w:t>
      </w:r>
      <w:proofErr w:type="spellEnd"/>
      <w:r w:rsidRPr="00444CB1">
        <w:rPr>
          <w:rFonts w:ascii="Times New Roman" w:hAnsi="Times New Roman"/>
          <w:lang w:val="fr-FR"/>
        </w:rPr>
        <w:t xml:space="preserve">), </w:t>
      </w:r>
      <w:proofErr w:type="spellStart"/>
      <w:r w:rsidRPr="00444CB1">
        <w:rPr>
          <w:rFonts w:ascii="Times New Roman" w:hAnsi="Times New Roman"/>
          <w:lang w:val="fr-FR"/>
        </w:rPr>
        <w:t>kuris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išskirtin</w:t>
      </w:r>
      <w:r>
        <w:rPr>
          <w:rFonts w:ascii="Times New Roman" w:hAnsi="Times New Roman"/>
          <w:lang w:val="fr-FR"/>
        </w:rPr>
        <w:t>i</w:t>
      </w:r>
      <w:r w:rsidRPr="00444CB1">
        <w:rPr>
          <w:rFonts w:ascii="Times New Roman" w:hAnsi="Times New Roman"/>
          <w:lang w:val="fr-FR"/>
        </w:rPr>
        <w:t>ais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atvejais</w:t>
      </w:r>
      <w:proofErr w:type="spellEnd"/>
      <w:r w:rsidRPr="00444CB1">
        <w:rPr>
          <w:rFonts w:ascii="Times New Roman" w:hAnsi="Times New Roman"/>
          <w:lang w:val="fr-FR"/>
        </w:rPr>
        <w:t xml:space="preserve"> </w:t>
      </w:r>
      <w:proofErr w:type="spellStart"/>
      <w:r w:rsidRPr="00444CB1">
        <w:rPr>
          <w:rFonts w:ascii="Times New Roman" w:hAnsi="Times New Roman"/>
          <w:lang w:val="fr-FR"/>
        </w:rPr>
        <w:t>gali</w:t>
      </w:r>
      <w:proofErr w:type="spellEnd"/>
      <w:r w:rsidRPr="00444CB1">
        <w:rPr>
          <w:rFonts w:ascii="Times New Roman" w:hAnsi="Times New Roman"/>
          <w:lang w:val="fr-FR"/>
        </w:rPr>
        <w:t xml:space="preserve"> </w:t>
      </w:r>
      <w:proofErr w:type="spellStart"/>
      <w:r w:rsidRPr="00444CB1">
        <w:rPr>
          <w:rFonts w:ascii="Times New Roman" w:hAnsi="Times New Roman"/>
          <w:lang w:val="fr-FR"/>
        </w:rPr>
        <w:t>būti</w:t>
      </w:r>
      <w:proofErr w:type="spellEnd"/>
      <w:r w:rsidRPr="00444CB1">
        <w:rPr>
          <w:rFonts w:ascii="Times New Roman" w:hAnsi="Times New Roman"/>
          <w:lang w:val="fr-FR"/>
        </w:rPr>
        <w:t xml:space="preserve"> </w:t>
      </w:r>
      <w:proofErr w:type="spellStart"/>
      <w:r w:rsidRPr="00444CB1">
        <w:rPr>
          <w:rFonts w:ascii="Times New Roman" w:hAnsi="Times New Roman"/>
          <w:lang w:val="fr-FR"/>
        </w:rPr>
        <w:t>sunkus</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nekontroliuojami</w:t>
      </w:r>
      <w:proofErr w:type="spellEnd"/>
      <w:r w:rsidRPr="00444CB1">
        <w:rPr>
          <w:rFonts w:ascii="Times New Roman" w:hAnsi="Times New Roman"/>
          <w:lang w:val="fr-FR"/>
        </w:rPr>
        <w:t xml:space="preserve"> </w:t>
      </w:r>
      <w:proofErr w:type="spellStart"/>
      <w:r w:rsidRPr="00444CB1">
        <w:rPr>
          <w:rFonts w:ascii="Times New Roman" w:hAnsi="Times New Roman"/>
          <w:lang w:val="fr-FR"/>
        </w:rPr>
        <w:t>judesiai</w:t>
      </w:r>
      <w:proofErr w:type="spellEnd"/>
      <w:r w:rsidRPr="00444CB1">
        <w:rPr>
          <w:rFonts w:ascii="Times New Roman" w:hAnsi="Times New Roman"/>
          <w:lang w:val="fr-FR"/>
        </w:rPr>
        <w:t xml:space="preserve">, </w:t>
      </w:r>
      <w:proofErr w:type="spellStart"/>
      <w:r w:rsidRPr="00444CB1">
        <w:rPr>
          <w:rFonts w:ascii="Times New Roman" w:hAnsi="Times New Roman"/>
          <w:lang w:val="fr-FR"/>
        </w:rPr>
        <w:t>nekontroliuojami</w:t>
      </w:r>
      <w:proofErr w:type="spellEnd"/>
      <w:r w:rsidRPr="00444CB1">
        <w:rPr>
          <w:rFonts w:ascii="Times New Roman" w:hAnsi="Times New Roman"/>
          <w:lang w:val="fr-FR"/>
        </w:rPr>
        <w:t xml:space="preserve"> </w:t>
      </w:r>
      <w:proofErr w:type="spellStart"/>
      <w:r w:rsidRPr="00444CB1">
        <w:rPr>
          <w:rFonts w:ascii="Times New Roman" w:hAnsi="Times New Roman"/>
          <w:lang w:val="fr-FR"/>
        </w:rPr>
        <w:t>traukuliai</w:t>
      </w:r>
      <w:proofErr w:type="spellEnd"/>
      <w:r w:rsidRPr="00444CB1">
        <w:rPr>
          <w:rFonts w:ascii="Times New Roman" w:hAnsi="Times New Roman"/>
          <w:lang w:val="fr-FR"/>
        </w:rPr>
        <w:t xml:space="preserve">, </w:t>
      </w:r>
      <w:proofErr w:type="spellStart"/>
      <w:r w:rsidRPr="00444CB1">
        <w:rPr>
          <w:rFonts w:ascii="Times New Roman" w:hAnsi="Times New Roman"/>
          <w:lang w:val="fr-FR"/>
        </w:rPr>
        <w:t>truktelėjimai</w:t>
      </w:r>
      <w:proofErr w:type="spellEnd"/>
      <w:r w:rsidRPr="00444CB1">
        <w:rPr>
          <w:rFonts w:ascii="Times New Roman" w:hAnsi="Times New Roman"/>
          <w:lang w:val="fr-FR"/>
        </w:rPr>
        <w:t xml:space="preserve"> </w:t>
      </w:r>
      <w:proofErr w:type="spellStart"/>
      <w:r w:rsidRPr="00444CB1">
        <w:rPr>
          <w:rFonts w:ascii="Times New Roman" w:hAnsi="Times New Roman"/>
          <w:lang w:val="fr-FR"/>
        </w:rPr>
        <w:t>arba</w:t>
      </w:r>
      <w:proofErr w:type="spellEnd"/>
      <w:r w:rsidRPr="00444CB1">
        <w:rPr>
          <w:rFonts w:ascii="Times New Roman" w:hAnsi="Times New Roman"/>
          <w:lang w:val="fr-FR"/>
        </w:rPr>
        <w:t xml:space="preserve"> </w:t>
      </w:r>
      <w:proofErr w:type="spellStart"/>
      <w:r w:rsidRPr="00444CB1">
        <w:rPr>
          <w:rFonts w:ascii="Times New Roman" w:hAnsi="Times New Roman"/>
          <w:lang w:val="fr-FR"/>
        </w:rPr>
        <w:t>rangymosi</w:t>
      </w:r>
      <w:proofErr w:type="spellEnd"/>
      <w:r w:rsidRPr="00444CB1">
        <w:rPr>
          <w:rFonts w:ascii="Times New Roman" w:hAnsi="Times New Roman"/>
          <w:lang w:val="fr-FR"/>
        </w:rPr>
        <w:t xml:space="preserve"> </w:t>
      </w:r>
      <w:proofErr w:type="spellStart"/>
      <w:r w:rsidRPr="00444CB1">
        <w:rPr>
          <w:rFonts w:ascii="Times New Roman" w:hAnsi="Times New Roman"/>
          <w:lang w:val="fr-FR"/>
        </w:rPr>
        <w:t>judesiai</w:t>
      </w:r>
      <w:proofErr w:type="spellEnd"/>
      <w:r w:rsidRPr="00444CB1">
        <w:rPr>
          <w:rFonts w:ascii="Times New Roman" w:hAnsi="Times New Roman"/>
          <w:lang w:val="fr-FR"/>
        </w:rPr>
        <w:t>;</w:t>
      </w:r>
    </w:p>
    <w:p w:rsidR="00A327F1" w:rsidRPr="00444CB1" w:rsidRDefault="00A327F1" w:rsidP="00A327F1">
      <w:pPr>
        <w:contextualSpacing/>
        <w:rPr>
          <w:rFonts w:ascii="Times New Roman" w:hAnsi="Times New Roman"/>
          <w:lang w:val="fr-FR"/>
        </w:rPr>
      </w:pPr>
      <w:r w:rsidRPr="00444CB1">
        <w:rPr>
          <w:rFonts w:ascii="Times New Roman" w:hAnsi="Times New Roman"/>
          <w:lang w:val="fr-FR"/>
        </w:rPr>
        <w:t>-</w:t>
      </w:r>
      <w:r w:rsidRPr="00444CB1">
        <w:rPr>
          <w:rFonts w:ascii="Times New Roman" w:hAnsi="Times New Roman"/>
          <w:lang w:val="fr-FR"/>
        </w:rPr>
        <w:tab/>
      </w:r>
      <w:proofErr w:type="spellStart"/>
      <w:r w:rsidRPr="00444CB1">
        <w:rPr>
          <w:rFonts w:ascii="Times New Roman" w:hAnsi="Times New Roman"/>
          <w:lang w:val="fr-FR"/>
        </w:rPr>
        <w:t>sumažėjusi</w:t>
      </w:r>
      <w:proofErr w:type="spellEnd"/>
      <w:r w:rsidRPr="00444CB1">
        <w:rPr>
          <w:rFonts w:ascii="Times New Roman" w:hAnsi="Times New Roman"/>
          <w:lang w:val="fr-FR"/>
        </w:rPr>
        <w:t xml:space="preserve"> </w:t>
      </w:r>
      <w:proofErr w:type="spellStart"/>
      <w:r w:rsidRPr="00444CB1">
        <w:rPr>
          <w:rFonts w:ascii="Times New Roman" w:hAnsi="Times New Roman"/>
          <w:lang w:val="fr-FR"/>
        </w:rPr>
        <w:t>natrio</w:t>
      </w:r>
      <w:proofErr w:type="spellEnd"/>
      <w:r w:rsidRPr="00444CB1">
        <w:rPr>
          <w:rFonts w:ascii="Times New Roman" w:hAnsi="Times New Roman"/>
          <w:lang w:val="fr-FR"/>
        </w:rPr>
        <w:t xml:space="preserve"> </w:t>
      </w:r>
      <w:proofErr w:type="spellStart"/>
      <w:r w:rsidRPr="00444CB1">
        <w:rPr>
          <w:rFonts w:ascii="Times New Roman" w:hAnsi="Times New Roman"/>
          <w:lang w:val="fr-FR"/>
        </w:rPr>
        <w:t>koncentracija</w:t>
      </w:r>
      <w:proofErr w:type="spellEnd"/>
      <w:r w:rsidRPr="00444CB1">
        <w:rPr>
          <w:rFonts w:ascii="Times New Roman" w:hAnsi="Times New Roman"/>
          <w:lang w:val="fr-FR"/>
        </w:rPr>
        <w:t xml:space="preserve"> </w:t>
      </w:r>
      <w:proofErr w:type="spellStart"/>
      <w:r w:rsidRPr="00444CB1">
        <w:rPr>
          <w:rFonts w:ascii="Times New Roman" w:hAnsi="Times New Roman"/>
          <w:lang w:val="fr-FR"/>
        </w:rPr>
        <w:t>kraujyje</w:t>
      </w:r>
      <w:proofErr w:type="spellEnd"/>
      <w:r w:rsidRPr="00444CB1">
        <w:rPr>
          <w:rFonts w:ascii="Times New Roman" w:hAnsi="Times New Roman"/>
          <w:lang w:val="fr-FR"/>
        </w:rPr>
        <w:t xml:space="preserve">. </w:t>
      </w:r>
    </w:p>
    <w:p w:rsidR="00A327F1" w:rsidRPr="0001550C" w:rsidRDefault="00A327F1" w:rsidP="00A327F1">
      <w:pPr>
        <w:pStyle w:val="BTEMEASMCA"/>
      </w:pPr>
    </w:p>
    <w:p w:rsidR="00A327F1" w:rsidRPr="006D3413" w:rsidRDefault="00A327F1" w:rsidP="00A327F1">
      <w:pPr>
        <w:spacing w:line="240" w:lineRule="auto"/>
        <w:contextualSpacing/>
        <w:rPr>
          <w:rFonts w:ascii="Times New Roman" w:hAnsi="Times New Roman"/>
          <w:b/>
          <w:szCs w:val="24"/>
          <w:lang w:val="lt-LT"/>
        </w:rPr>
      </w:pPr>
      <w:r w:rsidRPr="006D3413">
        <w:rPr>
          <w:rFonts w:ascii="Times New Roman" w:hAnsi="Times New Roman"/>
          <w:b/>
          <w:noProof/>
          <w:szCs w:val="24"/>
          <w:lang w:val="lt-LT"/>
        </w:rPr>
        <w:t>Pranešimas apie šalutinį poveikį</w:t>
      </w:r>
    </w:p>
    <w:p w:rsidR="00A327F1" w:rsidRPr="00444CB1" w:rsidRDefault="00A327F1" w:rsidP="00A327F1">
      <w:pPr>
        <w:ind w:right="-449"/>
        <w:contextualSpacing/>
        <w:rPr>
          <w:rFonts w:ascii="Times New Roman" w:hAnsi="Times New Roman"/>
          <w:noProof/>
          <w:szCs w:val="24"/>
          <w:lang w:val="lt-LT"/>
        </w:rPr>
      </w:pPr>
      <w:r w:rsidRPr="006D3413">
        <w:rPr>
          <w:rFonts w:ascii="Times New Roman" w:hAnsi="Times New Roman"/>
          <w:lang w:val="lt-LT"/>
        </w:rPr>
        <w:t xml:space="preserve">Jeigu pasireiškė šalutinis poveikis, įskaitant šiame lapelyje nenurodytą, pasakykite </w:t>
      </w:r>
      <w:proofErr w:type="spellStart"/>
      <w:r w:rsidRPr="006D3413">
        <w:rPr>
          <w:rFonts w:ascii="Times New Roman" w:hAnsi="Times New Roman"/>
          <w:lang w:val="lt-LT"/>
        </w:rPr>
        <w:t>gydytojuiarbavaistininkui</w:t>
      </w:r>
      <w:proofErr w:type="spellEnd"/>
      <w:r w:rsidRPr="006D3413">
        <w:rPr>
          <w:rFonts w:ascii="Times New Roman" w:hAnsi="Times New Roman"/>
          <w:lang w:val="lt-LT"/>
        </w:rPr>
        <w:t xml:space="preserve">. Apie šalutinį poveikį taip pat galite pranešti Valstybinei vaistų kontrolės </w:t>
      </w:r>
      <w:r w:rsidRPr="006D3413">
        <w:rPr>
          <w:rFonts w:ascii="Times New Roman" w:hAnsi="Times New Roman"/>
          <w:lang w:val="lt-LT"/>
        </w:rPr>
        <w:lastRenderedPageBreak/>
        <w:t>tarnybai prie Lietuvos Respublikos sveikatos apsaugos ministerijos nemokamu t</w:t>
      </w:r>
      <w:r w:rsidRPr="006D3413">
        <w:rPr>
          <w:rFonts w:ascii="Times New Roman" w:hAnsi="Times New Roman"/>
          <w:lang w:val="lt-LT" w:eastAsia="zh-CN"/>
        </w:rPr>
        <w:t>elefonu 8 800 73568</w:t>
      </w:r>
      <w:r w:rsidRPr="006D3413">
        <w:rPr>
          <w:rFonts w:ascii="Times New Roman" w:hAnsi="Times New Roman"/>
          <w:lang w:val="lt-LT"/>
        </w:rPr>
        <w:t xml:space="preserve"> arba užpildyti interneto svetainėje </w:t>
      </w:r>
      <w:hyperlink r:id="rId14" w:history="1">
        <w:r w:rsidRPr="00444CB1">
          <w:rPr>
            <w:rStyle w:val="Hipersaitas"/>
            <w:rFonts w:ascii="Times New Roman" w:eastAsia="SimSun" w:hAnsi="Times New Roman"/>
            <w:lang w:val="lt-LT"/>
          </w:rPr>
          <w:t>www.vvkt.lt</w:t>
        </w:r>
      </w:hyperlink>
      <w:r w:rsidRPr="00444CB1">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444CB1">
        <w:rPr>
          <w:rFonts w:ascii="Times New Roman" w:hAnsi="Times New Roman"/>
          <w:lang w:val="lt-LT" w:eastAsia="zh-CN"/>
        </w:rPr>
        <w:t xml:space="preserve">nemokamu </w:t>
      </w:r>
      <w:r w:rsidRPr="00444CB1">
        <w:rPr>
          <w:rFonts w:ascii="Times New Roman" w:hAnsi="Times New Roman"/>
          <w:lang w:val="lt-LT"/>
        </w:rPr>
        <w:t>fakso numeriu 8 800 20131</w:t>
      </w:r>
      <w:r w:rsidRPr="00444CB1">
        <w:rPr>
          <w:rFonts w:ascii="Times New Roman" w:hAnsi="Times New Roman"/>
          <w:lang w:val="lt-LT" w:eastAsia="zh-CN"/>
        </w:rPr>
        <w:t xml:space="preserve">, </w:t>
      </w:r>
      <w:r w:rsidRPr="00444CB1">
        <w:rPr>
          <w:rFonts w:ascii="Times New Roman" w:hAnsi="Times New Roman"/>
          <w:lang w:val="lt-LT"/>
        </w:rPr>
        <w:t xml:space="preserve">el. paštu </w:t>
      </w:r>
      <w:hyperlink r:id="rId15" w:history="1">
        <w:r w:rsidRPr="006D3413">
          <w:rPr>
            <w:rStyle w:val="Hipersaitas"/>
            <w:rFonts w:ascii="Times New Roman" w:eastAsia="SimSun" w:hAnsi="Times New Roman"/>
            <w:lang w:val="lt-LT"/>
          </w:rPr>
          <w:t>NepageidaujamaR@vvkt.lt</w:t>
        </w:r>
      </w:hyperlink>
      <w:r w:rsidRPr="006D3413">
        <w:rPr>
          <w:rFonts w:ascii="Times New Roman" w:hAnsi="Times New Roman"/>
          <w:lang w:val="lt-LT"/>
        </w:rPr>
        <w:t xml:space="preserve">, taip pat per Valstybinės vaistų kontrolės tarnybos prie Lietuvos Respublikos sveikatos apsaugos ministerijos interneto svetainę (adresu </w:t>
      </w:r>
      <w:hyperlink r:id="rId16" w:history="1">
        <w:r w:rsidRPr="00444CB1">
          <w:rPr>
            <w:rStyle w:val="Hipersaitas"/>
            <w:rFonts w:ascii="Times New Roman" w:eastAsia="SimSun" w:hAnsi="Times New Roman"/>
            <w:lang w:val="lt-LT"/>
          </w:rPr>
          <w:t>http://www.vvkt.lt</w:t>
        </w:r>
      </w:hyperlink>
      <w:r w:rsidRPr="00444CB1">
        <w:rPr>
          <w:rFonts w:ascii="Times New Roman" w:hAnsi="Times New Roman"/>
          <w:lang w:val="lt-LT"/>
        </w:rPr>
        <w:t>). Pranešdami apie šalutinį poveikį galite mums padėti gauti daugiau informacijos apie šio vaisto saugumą.</w:t>
      </w:r>
    </w:p>
    <w:p w:rsidR="00A327F1" w:rsidRPr="0001550C" w:rsidRDefault="00A327F1" w:rsidP="00A327F1">
      <w:pPr>
        <w:pStyle w:val="BTEMEASMCA"/>
      </w:pPr>
    </w:p>
    <w:p w:rsidR="00A327F1" w:rsidRPr="00750BE0" w:rsidRDefault="00A327F1" w:rsidP="00A327F1">
      <w:pPr>
        <w:pStyle w:val="BTEMEASMCA"/>
      </w:pPr>
    </w:p>
    <w:p w:rsidR="00A327F1" w:rsidRPr="00F600A8" w:rsidRDefault="00A327F1" w:rsidP="00A327F1">
      <w:pPr>
        <w:pStyle w:val="PI-1EMEASMCA"/>
      </w:pPr>
      <w:bookmarkStart w:id="81" w:name="_Toc129243268"/>
      <w:bookmarkStart w:id="82" w:name="_Toc129243143"/>
      <w:r w:rsidRPr="00F600A8">
        <w:t>5.</w:t>
      </w:r>
      <w:r w:rsidRPr="00F600A8">
        <w:tab/>
        <w:t xml:space="preserve">Kaip laikyti </w:t>
      </w:r>
      <w:bookmarkEnd w:id="81"/>
      <w:bookmarkEnd w:id="82"/>
      <w:r w:rsidRPr="00F600A8">
        <w:t>COAXIL</w:t>
      </w:r>
    </w:p>
    <w:p w:rsidR="00A327F1" w:rsidRPr="0001550C" w:rsidRDefault="00A327F1" w:rsidP="00A327F1">
      <w:pPr>
        <w:pStyle w:val="BTEMEASMCA"/>
      </w:pPr>
    </w:p>
    <w:p w:rsidR="00A327F1" w:rsidRPr="00783314" w:rsidRDefault="00A327F1" w:rsidP="00A327F1">
      <w:pPr>
        <w:pStyle w:val="BTEMEASMCA"/>
      </w:pPr>
      <w:r w:rsidRPr="00750BE0">
        <w:t>Šį vaistą laikykite vaikams nepastebimoje ir nepasiekiamoje vietoje.</w:t>
      </w:r>
    </w:p>
    <w:p w:rsidR="00A327F1" w:rsidRPr="002F3A66" w:rsidRDefault="00A327F1" w:rsidP="00A327F1">
      <w:pPr>
        <w:pStyle w:val="BTEMEASMCA"/>
      </w:pPr>
      <w:r w:rsidRPr="002F3A66">
        <w:t>Šiam vaistui specialių laikymo sąlygų nereikia.</w:t>
      </w:r>
    </w:p>
    <w:p w:rsidR="00A327F1" w:rsidRPr="00D56CD3" w:rsidRDefault="00A327F1" w:rsidP="00A327F1">
      <w:pPr>
        <w:pStyle w:val="BTEMEASMCA"/>
      </w:pPr>
    </w:p>
    <w:p w:rsidR="00A327F1" w:rsidRPr="00455F78" w:rsidRDefault="00A327F1" w:rsidP="00A327F1">
      <w:pPr>
        <w:pStyle w:val="BTEMEASMCA"/>
      </w:pPr>
      <w:r w:rsidRPr="00BF5E43">
        <w:t xml:space="preserve">Ant dėžutės ir lizdinės plokštelės po „Tinka iki EXP“ nurodytam tinkamumo laikui pasibaigus, šio vaisto vartoti negalima. </w:t>
      </w:r>
      <w:proofErr w:type="spellStart"/>
      <w:r w:rsidRPr="00455F78">
        <w:rPr>
          <w:noProof w:val="0"/>
        </w:rPr>
        <w:t>Vaistas</w:t>
      </w:r>
      <w:proofErr w:type="spellEnd"/>
      <w:r w:rsidRPr="00455F78">
        <w:rPr>
          <w:noProof w:val="0"/>
        </w:rPr>
        <w:t xml:space="preserve"> </w:t>
      </w:r>
      <w:proofErr w:type="spellStart"/>
      <w:r w:rsidRPr="00455F78">
        <w:rPr>
          <w:noProof w:val="0"/>
        </w:rPr>
        <w:t>tinkamas</w:t>
      </w:r>
      <w:proofErr w:type="spellEnd"/>
      <w:r w:rsidRPr="00455F78">
        <w:rPr>
          <w:noProof w:val="0"/>
        </w:rPr>
        <w:t xml:space="preserve"> </w:t>
      </w:r>
      <w:proofErr w:type="spellStart"/>
      <w:r w:rsidRPr="00455F78">
        <w:rPr>
          <w:noProof w:val="0"/>
        </w:rPr>
        <w:t>vartoti</w:t>
      </w:r>
      <w:proofErr w:type="spellEnd"/>
      <w:r w:rsidRPr="00455F78">
        <w:rPr>
          <w:noProof w:val="0"/>
        </w:rPr>
        <w:t xml:space="preserve"> </w:t>
      </w:r>
      <w:proofErr w:type="spellStart"/>
      <w:r w:rsidRPr="00455F78">
        <w:rPr>
          <w:noProof w:val="0"/>
        </w:rPr>
        <w:t>iki</w:t>
      </w:r>
      <w:proofErr w:type="spellEnd"/>
      <w:r w:rsidRPr="00455F78">
        <w:rPr>
          <w:noProof w:val="0"/>
        </w:rPr>
        <w:t xml:space="preserve"> </w:t>
      </w:r>
      <w:proofErr w:type="spellStart"/>
      <w:r w:rsidRPr="00455F78">
        <w:rPr>
          <w:noProof w:val="0"/>
        </w:rPr>
        <w:t>paskutinės</w:t>
      </w:r>
      <w:proofErr w:type="spellEnd"/>
      <w:r w:rsidRPr="00455F78">
        <w:rPr>
          <w:noProof w:val="0"/>
        </w:rPr>
        <w:t xml:space="preserve"> </w:t>
      </w:r>
      <w:proofErr w:type="spellStart"/>
      <w:r w:rsidRPr="00455F78">
        <w:rPr>
          <w:noProof w:val="0"/>
        </w:rPr>
        <w:t>nurodyto</w:t>
      </w:r>
      <w:proofErr w:type="spellEnd"/>
      <w:r w:rsidRPr="00455F78">
        <w:rPr>
          <w:noProof w:val="0"/>
        </w:rPr>
        <w:t xml:space="preserve"> </w:t>
      </w:r>
      <w:proofErr w:type="spellStart"/>
      <w:r w:rsidRPr="00455F78">
        <w:rPr>
          <w:noProof w:val="0"/>
        </w:rPr>
        <w:t>mėnesio</w:t>
      </w:r>
      <w:proofErr w:type="spellEnd"/>
      <w:r w:rsidRPr="00455F78">
        <w:rPr>
          <w:noProof w:val="0"/>
        </w:rPr>
        <w:t xml:space="preserve"> </w:t>
      </w:r>
      <w:proofErr w:type="spellStart"/>
      <w:r w:rsidRPr="00455F78">
        <w:rPr>
          <w:noProof w:val="0"/>
        </w:rPr>
        <w:t>dienos</w:t>
      </w:r>
      <w:proofErr w:type="spellEnd"/>
      <w:r w:rsidRPr="00455F78">
        <w:rPr>
          <w:noProof w:val="0"/>
        </w:rPr>
        <w:t>.</w:t>
      </w:r>
    </w:p>
    <w:p w:rsidR="00A327F1" w:rsidRPr="00455F78" w:rsidRDefault="00A327F1" w:rsidP="00A327F1">
      <w:pPr>
        <w:pStyle w:val="BTEMEASMCA"/>
      </w:pPr>
    </w:p>
    <w:p w:rsidR="00A327F1" w:rsidRPr="00792135" w:rsidRDefault="00A327F1" w:rsidP="00A327F1">
      <w:pPr>
        <w:pStyle w:val="BTEMEASMCA"/>
      </w:pPr>
      <w:r w:rsidRPr="00455F78">
        <w:t>Vaistų negalima išmesti į kanalizaciją arba su buitinėmis atliekomis. Kaip iš</w:t>
      </w:r>
      <w:r w:rsidRPr="00165828">
        <w:t>mesti nereikalingus vaistus, klauskite vaistininko. Šios priemonės padės apsaugoti aplinką.</w:t>
      </w:r>
    </w:p>
    <w:p w:rsidR="00A327F1" w:rsidRPr="00FE2058" w:rsidRDefault="00A327F1" w:rsidP="00A327F1">
      <w:pPr>
        <w:pStyle w:val="BTEMEASMCA"/>
      </w:pPr>
    </w:p>
    <w:p w:rsidR="00A327F1" w:rsidRPr="00463DE6" w:rsidRDefault="00A327F1" w:rsidP="00A327F1">
      <w:pPr>
        <w:pStyle w:val="BTEMEASMCA"/>
      </w:pPr>
    </w:p>
    <w:p w:rsidR="00A327F1" w:rsidRPr="00605BE2" w:rsidRDefault="00A327F1" w:rsidP="00A327F1">
      <w:pPr>
        <w:pStyle w:val="PI-1EMEASMCA"/>
      </w:pPr>
      <w:bookmarkStart w:id="83" w:name="_Toc129243269"/>
      <w:bookmarkStart w:id="84" w:name="_Toc129243144"/>
      <w:r w:rsidRPr="00F600A8">
        <w:t>6.</w:t>
      </w:r>
      <w:r w:rsidRPr="00F600A8">
        <w:tab/>
        <w:t>Pakuotės turinys ir kita info</w:t>
      </w:r>
      <w:r w:rsidRPr="00605BE2">
        <w:t>rmacija</w:t>
      </w:r>
      <w:bookmarkEnd w:id="83"/>
      <w:bookmarkEnd w:id="84"/>
    </w:p>
    <w:p w:rsidR="00A327F1" w:rsidRPr="0001550C" w:rsidRDefault="00A327F1" w:rsidP="00A327F1">
      <w:pPr>
        <w:pStyle w:val="BTEMEASMCA"/>
      </w:pPr>
    </w:p>
    <w:p w:rsidR="00A327F1" w:rsidRPr="00F600A8" w:rsidRDefault="00A327F1" w:rsidP="00A327F1">
      <w:pPr>
        <w:pStyle w:val="PI-3EMEASMCA"/>
      </w:pPr>
      <w:r w:rsidRPr="00F600A8">
        <w:t>COAXIL sudėtis</w:t>
      </w:r>
    </w:p>
    <w:p w:rsidR="00A327F1" w:rsidRPr="0001550C" w:rsidRDefault="00A327F1" w:rsidP="00A327F1">
      <w:pPr>
        <w:pStyle w:val="BTEMEASMCA"/>
      </w:pPr>
    </w:p>
    <w:p w:rsidR="00A327F1" w:rsidRPr="002F3A66" w:rsidRDefault="00A327F1" w:rsidP="00A327F1">
      <w:pPr>
        <w:pStyle w:val="BTEMEASMCA"/>
      </w:pPr>
      <w:r w:rsidRPr="00750BE0">
        <w:t>-</w:t>
      </w:r>
      <w:r w:rsidRPr="00750BE0">
        <w:tab/>
        <w:t xml:space="preserve">Veiklioji medžiaga yra tianeptino natrio druska. Kiekvienoje dengtoje tabletėje yra 12,5 mg tianeptino natrio druskos. </w:t>
      </w:r>
    </w:p>
    <w:p w:rsidR="00A327F1" w:rsidRPr="00D56CD3" w:rsidRDefault="00A327F1" w:rsidP="00A327F1">
      <w:pPr>
        <w:pStyle w:val="BTEMEASMCA"/>
      </w:pPr>
      <w:r w:rsidRPr="002F3A66">
        <w:t>-</w:t>
      </w:r>
      <w:r w:rsidRPr="002F3A66">
        <w:tab/>
        <w:t>Pagalbinės medžiagos tabletės branduolyje yra: manitolis (E421), kukurūzų krakmolas, talkas, magnio stearatas; tabletės dangale - etilceli</w:t>
      </w:r>
      <w:r w:rsidRPr="00D56CD3">
        <w:t>uliozė, glicerolio monooleatas, povidonas, karmeliozės natrio druska, koloidinis bevandenis silicio dioksidas, sacharozė (cukrus), polisorbatas 80, titano dioksidas (E171), natrio-vandenilio karbonatas, baltasis vaškas ir talkas.</w:t>
      </w:r>
    </w:p>
    <w:p w:rsidR="00A327F1" w:rsidRPr="00BF5E43" w:rsidRDefault="00A327F1" w:rsidP="00A327F1">
      <w:pPr>
        <w:pStyle w:val="BTEMEASMCA"/>
      </w:pPr>
      <w:r w:rsidRPr="00BF5E43">
        <w:tab/>
      </w:r>
    </w:p>
    <w:p w:rsidR="00A327F1" w:rsidRPr="00F600A8" w:rsidRDefault="00A327F1" w:rsidP="00A327F1">
      <w:pPr>
        <w:pStyle w:val="PI-3EMEASMCA"/>
      </w:pPr>
      <w:r w:rsidRPr="00F600A8">
        <w:t>COAXIL išvaizda ir kiekis pakuotėje</w:t>
      </w:r>
    </w:p>
    <w:p w:rsidR="00A327F1" w:rsidRPr="0001550C" w:rsidRDefault="00A327F1" w:rsidP="00A327F1">
      <w:pPr>
        <w:pStyle w:val="BTEMEASMCA"/>
      </w:pPr>
    </w:p>
    <w:p w:rsidR="00A327F1" w:rsidRPr="00783314" w:rsidRDefault="00A327F1" w:rsidP="00A327F1">
      <w:pPr>
        <w:pStyle w:val="BTEMEASMCA"/>
      </w:pPr>
      <w:r w:rsidRPr="00750BE0">
        <w:t xml:space="preserve">Baltos ovalios tabletės su apvalkalu. </w:t>
      </w:r>
    </w:p>
    <w:p w:rsidR="00A327F1" w:rsidRPr="002F3A66" w:rsidRDefault="00A327F1" w:rsidP="00A327F1">
      <w:pPr>
        <w:pStyle w:val="BTEMEASMCA"/>
      </w:pPr>
      <w:r w:rsidRPr="002F3A66">
        <w:t>Kartono dėžutėje yra 30 arba 90 dengtų tablečių, supakuotų į lizdines plokšteles.</w:t>
      </w:r>
    </w:p>
    <w:p w:rsidR="00A327F1" w:rsidRPr="009A7A13" w:rsidRDefault="00A327F1" w:rsidP="00A327F1">
      <w:pPr>
        <w:pStyle w:val="BTEMEASMCA"/>
      </w:pPr>
      <w:r w:rsidRPr="00D56CD3">
        <w:t>G</w:t>
      </w:r>
      <w:r w:rsidRPr="009A7A13">
        <w:t>ali būti tiekiamos ne visų dydžių pakuotės.</w:t>
      </w:r>
    </w:p>
    <w:p w:rsidR="00A327F1" w:rsidRPr="00BF5E43" w:rsidRDefault="00A327F1" w:rsidP="00A327F1">
      <w:pPr>
        <w:pStyle w:val="BTEMEASMCA"/>
      </w:pPr>
    </w:p>
    <w:p w:rsidR="00A327F1" w:rsidRPr="00444CB1" w:rsidRDefault="00A327F1" w:rsidP="00A327F1">
      <w:pPr>
        <w:numPr>
          <w:ilvl w:val="12"/>
          <w:numId w:val="0"/>
        </w:numPr>
        <w:ind w:right="-2"/>
        <w:outlineLvl w:val="0"/>
        <w:rPr>
          <w:rFonts w:ascii="Times New Roman" w:hAnsi="Times New Roman"/>
          <w:b/>
          <w:lang w:val="fr-FR"/>
        </w:rPr>
      </w:pPr>
      <w:proofErr w:type="spellStart"/>
      <w:r w:rsidRPr="00444CB1">
        <w:rPr>
          <w:rFonts w:ascii="Times New Roman" w:hAnsi="Times New Roman"/>
          <w:b/>
          <w:lang w:val="fr-FR"/>
        </w:rPr>
        <w:t>Registruotojas</w:t>
      </w:r>
      <w:proofErr w:type="spellEnd"/>
    </w:p>
    <w:p w:rsidR="00A327F1" w:rsidRPr="00750BE0" w:rsidRDefault="00A327F1" w:rsidP="00A327F1">
      <w:pPr>
        <w:pStyle w:val="BTEMEASMCA"/>
      </w:pPr>
      <w:r w:rsidRPr="0001550C">
        <w:t xml:space="preserve">Les Laboratoires Servier </w:t>
      </w:r>
    </w:p>
    <w:p w:rsidR="00A327F1" w:rsidRPr="002F3A66" w:rsidRDefault="00A327F1" w:rsidP="00A327F1">
      <w:pPr>
        <w:pStyle w:val="BTEMEASMCA"/>
      </w:pPr>
      <w:r w:rsidRPr="002F3A66">
        <w:t xml:space="preserve">50, rue Carnot </w:t>
      </w:r>
    </w:p>
    <w:p w:rsidR="00A327F1" w:rsidRPr="005F153C" w:rsidRDefault="00A327F1" w:rsidP="00A327F1">
      <w:pPr>
        <w:pStyle w:val="BTEMEASMCA"/>
      </w:pPr>
      <w:r w:rsidRPr="00D56CD3">
        <w:t>9</w:t>
      </w:r>
      <w:r w:rsidRPr="009A7A13">
        <w:t>2284 Suresnes cede</w:t>
      </w:r>
      <w:r w:rsidRPr="005F153C">
        <w:t>x</w:t>
      </w:r>
    </w:p>
    <w:p w:rsidR="00A327F1" w:rsidRPr="00BF5E43" w:rsidRDefault="00A327F1" w:rsidP="00A327F1">
      <w:pPr>
        <w:pStyle w:val="BTEMEASMCA"/>
      </w:pPr>
      <w:r w:rsidRPr="00BF5E43">
        <w:t>Prancūzija</w:t>
      </w:r>
    </w:p>
    <w:p w:rsidR="00A327F1" w:rsidRPr="00455F78" w:rsidRDefault="00A327F1" w:rsidP="00A327F1">
      <w:pPr>
        <w:pStyle w:val="BTEMEASMCA"/>
      </w:pPr>
    </w:p>
    <w:p w:rsidR="00A327F1" w:rsidRPr="00F600A8" w:rsidRDefault="00A327F1" w:rsidP="00A327F1">
      <w:pPr>
        <w:pStyle w:val="Paantrat"/>
        <w:jc w:val="both"/>
        <w:rPr>
          <w:rFonts w:ascii="Times New Roman" w:hAnsi="Times New Roman"/>
          <w:szCs w:val="22"/>
          <w:lang w:val="lt-LT"/>
        </w:rPr>
      </w:pPr>
      <w:r w:rsidRPr="00F600A8">
        <w:rPr>
          <w:rFonts w:ascii="Times New Roman" w:hAnsi="Times New Roman"/>
          <w:szCs w:val="22"/>
          <w:lang w:val="lt-LT"/>
        </w:rPr>
        <w:t>Gamintojas</w:t>
      </w:r>
    </w:p>
    <w:p w:rsidR="00A327F1" w:rsidRPr="00750BE0" w:rsidRDefault="00A327F1" w:rsidP="00A327F1">
      <w:pPr>
        <w:pStyle w:val="BTEMEASMCA"/>
      </w:pPr>
      <w:r w:rsidRPr="0001550C">
        <w:t>Les Laboratoires Servier Industrie</w:t>
      </w:r>
    </w:p>
    <w:p w:rsidR="00A327F1" w:rsidRPr="002F3A66" w:rsidRDefault="00A327F1" w:rsidP="00A327F1">
      <w:pPr>
        <w:pStyle w:val="BTEMEASMCA"/>
      </w:pPr>
      <w:r w:rsidRPr="002F3A66">
        <w:t>45520 Gidy</w:t>
      </w:r>
    </w:p>
    <w:p w:rsidR="00A327F1" w:rsidRPr="009A7A13" w:rsidRDefault="00A327F1" w:rsidP="00A327F1">
      <w:pPr>
        <w:pStyle w:val="BTEMEASMCA"/>
      </w:pPr>
      <w:r w:rsidRPr="00D56CD3">
        <w:t>P</w:t>
      </w:r>
      <w:r w:rsidRPr="009A7A13">
        <w:t>rancūzija</w:t>
      </w:r>
    </w:p>
    <w:p w:rsidR="00A327F1" w:rsidRPr="00BF5E43" w:rsidRDefault="00A327F1" w:rsidP="00A327F1">
      <w:pPr>
        <w:pStyle w:val="BTEMEASMCA"/>
      </w:pPr>
    </w:p>
    <w:p w:rsidR="00A327F1" w:rsidRPr="00E050FF" w:rsidRDefault="00A327F1" w:rsidP="00A327F1">
      <w:pPr>
        <w:pStyle w:val="Paantrat"/>
        <w:jc w:val="both"/>
        <w:rPr>
          <w:rFonts w:ascii="Times New Roman" w:hAnsi="Times New Roman"/>
          <w:b w:val="0"/>
          <w:szCs w:val="22"/>
          <w:lang w:val="lt-LT"/>
        </w:rPr>
      </w:pPr>
      <w:r w:rsidRPr="00F600A8">
        <w:rPr>
          <w:rFonts w:ascii="Times New Roman" w:hAnsi="Times New Roman"/>
          <w:b w:val="0"/>
          <w:szCs w:val="22"/>
          <w:lang w:val="lt-LT"/>
        </w:rPr>
        <w:t xml:space="preserve">Jeigu apie šį vaistą norite sužinoti daugiau, kreipkitės į vietinį </w:t>
      </w:r>
      <w:r w:rsidRPr="00605BE2">
        <w:rPr>
          <w:rFonts w:ascii="Times New Roman" w:hAnsi="Times New Roman"/>
          <w:b w:val="0"/>
          <w:szCs w:val="22"/>
          <w:lang w:val="lt-LT"/>
        </w:rPr>
        <w:t>registruotojo</w:t>
      </w:r>
      <w:r w:rsidRPr="00E050FF">
        <w:rPr>
          <w:rFonts w:ascii="Times New Roman" w:hAnsi="Times New Roman"/>
          <w:b w:val="0"/>
          <w:szCs w:val="22"/>
          <w:lang w:val="lt-LT"/>
        </w:rPr>
        <w:t xml:space="preserve"> atstovą.</w:t>
      </w:r>
    </w:p>
    <w:p w:rsidR="00A327F1" w:rsidRPr="000E7AD5" w:rsidRDefault="00A327F1" w:rsidP="00A327F1">
      <w:pPr>
        <w:pStyle w:val="Paantrat"/>
        <w:jc w:val="both"/>
        <w:rPr>
          <w:rFonts w:ascii="Times New Roman" w:hAnsi="Times New Roman"/>
          <w:b w:val="0"/>
          <w:szCs w:val="22"/>
          <w:lang w:val="lt-LT"/>
        </w:rPr>
      </w:pPr>
    </w:p>
    <w:p w:rsidR="00A327F1" w:rsidRPr="004A3D44" w:rsidRDefault="00A327F1" w:rsidP="00A327F1">
      <w:pPr>
        <w:pStyle w:val="Paantrat"/>
        <w:jc w:val="both"/>
        <w:rPr>
          <w:rFonts w:ascii="Times New Roman" w:hAnsi="Times New Roman"/>
          <w:b w:val="0"/>
          <w:szCs w:val="22"/>
          <w:lang w:val="lt-LT"/>
        </w:rPr>
      </w:pPr>
      <w:r w:rsidRPr="004A3D44">
        <w:rPr>
          <w:rFonts w:ascii="Times New Roman" w:hAnsi="Times New Roman"/>
          <w:b w:val="0"/>
          <w:szCs w:val="22"/>
          <w:lang w:val="lt-LT"/>
        </w:rPr>
        <w:t>UAB “SERVIER PHARMA”</w:t>
      </w:r>
    </w:p>
    <w:p w:rsidR="00A327F1" w:rsidRPr="00571C58" w:rsidRDefault="00A327F1" w:rsidP="00A327F1">
      <w:pPr>
        <w:pStyle w:val="Paantrat"/>
        <w:jc w:val="both"/>
        <w:rPr>
          <w:rFonts w:ascii="Times New Roman" w:hAnsi="Times New Roman"/>
          <w:b w:val="0"/>
          <w:szCs w:val="22"/>
          <w:lang w:val="lt-LT"/>
        </w:rPr>
      </w:pPr>
      <w:r w:rsidRPr="00571C58">
        <w:rPr>
          <w:rFonts w:ascii="Times New Roman" w:hAnsi="Times New Roman"/>
          <w:b w:val="0"/>
          <w:szCs w:val="22"/>
          <w:lang w:val="lt-LT"/>
        </w:rPr>
        <w:t>Konstitucijos pr. 7</w:t>
      </w:r>
    </w:p>
    <w:p w:rsidR="00A327F1" w:rsidRPr="00497B43" w:rsidRDefault="00A327F1" w:rsidP="00A327F1">
      <w:pPr>
        <w:pStyle w:val="Paantrat"/>
        <w:jc w:val="both"/>
        <w:rPr>
          <w:rFonts w:ascii="Times New Roman" w:hAnsi="Times New Roman"/>
          <w:b w:val="0"/>
          <w:szCs w:val="22"/>
          <w:lang w:val="lt-LT"/>
        </w:rPr>
      </w:pPr>
      <w:r w:rsidRPr="004F30E1">
        <w:rPr>
          <w:rFonts w:ascii="Times New Roman" w:hAnsi="Times New Roman"/>
          <w:b w:val="0"/>
          <w:szCs w:val="22"/>
          <w:lang w:val="lt-LT"/>
        </w:rPr>
        <w:t>LT-09308 V</w:t>
      </w:r>
      <w:r w:rsidRPr="00497B43">
        <w:rPr>
          <w:rFonts w:ascii="Times New Roman" w:hAnsi="Times New Roman"/>
          <w:b w:val="0"/>
          <w:szCs w:val="22"/>
          <w:lang w:val="lt-LT"/>
        </w:rPr>
        <w:t>ilnius</w:t>
      </w:r>
    </w:p>
    <w:p w:rsidR="00A327F1" w:rsidRPr="002979F2" w:rsidRDefault="00A327F1" w:rsidP="00A327F1">
      <w:pPr>
        <w:pStyle w:val="Paantrat"/>
        <w:jc w:val="both"/>
        <w:rPr>
          <w:rFonts w:ascii="Times New Roman" w:hAnsi="Times New Roman"/>
          <w:b w:val="0"/>
          <w:szCs w:val="22"/>
          <w:lang w:val="lt-LT"/>
        </w:rPr>
      </w:pPr>
      <w:r w:rsidRPr="00FB458B">
        <w:rPr>
          <w:rFonts w:ascii="Times New Roman" w:hAnsi="Times New Roman"/>
          <w:b w:val="0"/>
          <w:szCs w:val="22"/>
          <w:lang w:val="lt-LT"/>
        </w:rPr>
        <w:t xml:space="preserve">Tel. </w:t>
      </w:r>
      <w:r w:rsidRPr="00FB458B">
        <w:rPr>
          <w:rFonts w:ascii="Times New Roman" w:hAnsi="Times New Roman"/>
          <w:b w:val="0"/>
          <w:szCs w:val="22"/>
          <w:lang w:val="lt-LT"/>
        </w:rPr>
        <w:sym w:font="Symbol" w:char="F02B"/>
      </w:r>
      <w:r w:rsidRPr="002979F2">
        <w:rPr>
          <w:rFonts w:ascii="Times New Roman" w:hAnsi="Times New Roman"/>
          <w:b w:val="0"/>
          <w:szCs w:val="22"/>
          <w:lang w:val="lt-LT"/>
        </w:rPr>
        <w:t xml:space="preserve">370 (5) 2 63 86 28 </w:t>
      </w:r>
    </w:p>
    <w:p w:rsidR="00A327F1" w:rsidRPr="0001550C" w:rsidRDefault="00A327F1" w:rsidP="00A327F1">
      <w:pPr>
        <w:pStyle w:val="BTEMEASMCA"/>
      </w:pPr>
    </w:p>
    <w:p w:rsidR="00A327F1" w:rsidRPr="002F3A66" w:rsidRDefault="00A327F1" w:rsidP="00A327F1">
      <w:pPr>
        <w:pStyle w:val="BTbEMEASMCA"/>
      </w:pPr>
      <w:r w:rsidRPr="00783314">
        <w:rPr>
          <w:bCs/>
        </w:rPr>
        <w:t>Šis pakuotės lapelis</w:t>
      </w:r>
      <w:r w:rsidRPr="002551F6">
        <w:t xml:space="preserve"> paskutinį kartą patvirtintas </w:t>
      </w:r>
      <w:r>
        <w:t>201</w:t>
      </w:r>
      <w:r w:rsidR="00787A5A">
        <w:t>9</w:t>
      </w:r>
      <w:r>
        <w:t>-</w:t>
      </w:r>
      <w:r w:rsidR="009A1AAB">
        <w:t>0</w:t>
      </w:r>
      <w:r w:rsidR="00C9664C">
        <w:t>5.</w:t>
      </w:r>
      <w:bookmarkStart w:id="85" w:name="_GoBack"/>
      <w:bookmarkEnd w:id="85"/>
    </w:p>
    <w:p w:rsidR="00A327F1" w:rsidRDefault="00A327F1" w:rsidP="00A327F1">
      <w:pPr>
        <w:pStyle w:val="BTEMEASMCA"/>
      </w:pPr>
    </w:p>
    <w:p w:rsidR="00A327F1" w:rsidRPr="00444CB1" w:rsidRDefault="00A327F1" w:rsidP="00A327F1">
      <w:pPr>
        <w:pStyle w:val="BTEMEASMCA"/>
      </w:pPr>
      <w:r w:rsidRPr="0001550C">
        <w:t>Išsami informacija apie šį vaistą pateikiama Valstybinės vaistų kontrolės tarnybos prie Lietuvos Respublikos sveikatos apsaugos ministerijos tinklalapyje</w:t>
      </w:r>
      <w:r w:rsidRPr="00750BE0">
        <w:rPr>
          <w:i/>
        </w:rPr>
        <w:t xml:space="preserve"> </w:t>
      </w:r>
      <w:hyperlink r:id="rId17" w:history="1">
        <w:r w:rsidRPr="00444CB1">
          <w:rPr>
            <w:rStyle w:val="Hipersaitas"/>
          </w:rPr>
          <w:t>http://www.vvkt.lt/</w:t>
        </w:r>
      </w:hyperlink>
      <w:r>
        <w:rPr>
          <w:rStyle w:val="Hipersaitas"/>
        </w:rPr>
        <w:t xml:space="preserve">        </w:t>
      </w:r>
    </w:p>
    <w:p w:rsidR="00A327F1" w:rsidRPr="00D748DE" w:rsidRDefault="00A327F1" w:rsidP="00A327F1">
      <w:pPr>
        <w:rPr>
          <w:lang w:val="lt-LT"/>
        </w:rPr>
      </w:pPr>
    </w:p>
    <w:p w:rsidR="00697AF7" w:rsidRDefault="00697AF7"/>
    <w:sectPr w:rsidR="00697AF7" w:rsidSect="00A327F1">
      <w:footerReference w:type="even" r:id="rId18"/>
      <w:footerReference w:type="default" r:id="rId1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343" w:rsidRDefault="004E2343">
      <w:pPr>
        <w:spacing w:after="0" w:line="240" w:lineRule="auto"/>
      </w:pPr>
      <w:r>
        <w:separator/>
      </w:r>
    </w:p>
  </w:endnote>
  <w:endnote w:type="continuationSeparator" w:id="0">
    <w:p w:rsidR="004E2343" w:rsidRDefault="004E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43" w:rsidRDefault="004E2343" w:rsidP="00A327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4E2343" w:rsidRDefault="004E2343" w:rsidP="00A327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43" w:rsidRPr="00FE4211" w:rsidRDefault="004E2343" w:rsidP="00A327F1">
    <w:pPr>
      <w:pStyle w:val="Porat"/>
      <w:framePr w:wrap="around" w:vAnchor="text" w:hAnchor="margin" w:xAlign="right" w:y="1"/>
      <w:rPr>
        <w:rStyle w:val="Puslapionumeris"/>
        <w:sz w:val="22"/>
        <w:szCs w:val="22"/>
      </w:rPr>
    </w:pPr>
    <w:r w:rsidRPr="00FE4211">
      <w:rPr>
        <w:rStyle w:val="Puslapionumeris"/>
        <w:sz w:val="22"/>
        <w:szCs w:val="22"/>
      </w:rPr>
      <w:fldChar w:fldCharType="begin"/>
    </w:r>
    <w:r w:rsidRPr="00FE4211">
      <w:rPr>
        <w:rStyle w:val="Puslapionumeris"/>
        <w:sz w:val="22"/>
        <w:szCs w:val="22"/>
      </w:rPr>
      <w:instrText xml:space="preserve">PAGE  </w:instrText>
    </w:r>
    <w:r w:rsidRPr="00FE4211">
      <w:rPr>
        <w:rStyle w:val="Puslapionumeris"/>
        <w:sz w:val="22"/>
        <w:szCs w:val="22"/>
      </w:rPr>
      <w:fldChar w:fldCharType="separate"/>
    </w:r>
    <w:r w:rsidR="00C9664C">
      <w:rPr>
        <w:rStyle w:val="Puslapionumeris"/>
        <w:noProof/>
        <w:sz w:val="22"/>
        <w:szCs w:val="22"/>
      </w:rPr>
      <w:t>23</w:t>
    </w:r>
    <w:r w:rsidRPr="00FE4211">
      <w:rPr>
        <w:rStyle w:val="Puslapionumeris"/>
        <w:sz w:val="22"/>
        <w:szCs w:val="22"/>
      </w:rPr>
      <w:fldChar w:fldCharType="end"/>
    </w:r>
  </w:p>
  <w:p w:rsidR="004E2343" w:rsidRDefault="004E2343" w:rsidP="00A327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343" w:rsidRDefault="004E2343">
      <w:pPr>
        <w:spacing w:after="0" w:line="240" w:lineRule="auto"/>
      </w:pPr>
      <w:r>
        <w:separator/>
      </w:r>
    </w:p>
  </w:footnote>
  <w:footnote w:type="continuationSeparator" w:id="0">
    <w:p w:rsidR="004E2343" w:rsidRDefault="004E2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2B0F"/>
    <w:multiLevelType w:val="hybridMultilevel"/>
    <w:tmpl w:val="DFC8B024"/>
    <w:lvl w:ilvl="0" w:tplc="D842D53C">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377C3D21"/>
    <w:multiLevelType w:val="hybridMultilevel"/>
    <w:tmpl w:val="74381ACC"/>
    <w:lvl w:ilvl="0" w:tplc="66D2264C">
      <w:start w:val="3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EE"/>
    <w:rsid w:val="00453EEA"/>
    <w:rsid w:val="004E2343"/>
    <w:rsid w:val="004F14F6"/>
    <w:rsid w:val="00697AF7"/>
    <w:rsid w:val="00787A5A"/>
    <w:rsid w:val="008346E9"/>
    <w:rsid w:val="009A1AAB"/>
    <w:rsid w:val="00A327F1"/>
    <w:rsid w:val="00A7573B"/>
    <w:rsid w:val="00C9664C"/>
    <w:rsid w:val="00F06742"/>
    <w:rsid w:val="00F4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77A3"/>
  <w15:chartTrackingRefBased/>
  <w15:docId w15:val="{405406BB-A7F0-437E-B433-F3504DB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27F1"/>
    <w:rPr>
      <w:rFonts w:ascii="Calibri" w:eastAsia="Calibri" w:hAnsi="Calibri" w:cs="Times New Roman"/>
    </w:rPr>
  </w:style>
  <w:style w:type="paragraph" w:styleId="Antrat1">
    <w:name w:val="heading 1"/>
    <w:basedOn w:val="prastasis"/>
    <w:next w:val="prastasis"/>
    <w:link w:val="Antrat1Diagrama"/>
    <w:uiPriority w:val="99"/>
    <w:qFormat/>
    <w:rsid w:val="00A327F1"/>
    <w:pPr>
      <w:keepNext/>
      <w:spacing w:before="240" w:after="60" w:line="240" w:lineRule="auto"/>
      <w:outlineLvl w:val="0"/>
    </w:pPr>
    <w:rPr>
      <w:rFonts w:ascii="Arial" w:eastAsia="MS Mincho" w:hAnsi="Arial" w:cs="Arial"/>
      <w:b/>
      <w:bCs/>
      <w:kern w:val="32"/>
      <w:sz w:val="32"/>
      <w:szCs w:val="32"/>
      <w:lang w:val="lt-LT"/>
    </w:rPr>
  </w:style>
  <w:style w:type="paragraph" w:styleId="Antrat2">
    <w:name w:val="heading 2"/>
    <w:basedOn w:val="prastasis"/>
    <w:next w:val="prastasis"/>
    <w:link w:val="Antrat2Diagrama"/>
    <w:uiPriority w:val="99"/>
    <w:qFormat/>
    <w:rsid w:val="00A327F1"/>
    <w:pPr>
      <w:keepNext/>
      <w:spacing w:before="240" w:after="60" w:line="240" w:lineRule="auto"/>
      <w:outlineLvl w:val="1"/>
    </w:pPr>
    <w:rPr>
      <w:rFonts w:ascii="Arial" w:eastAsia="MS Mincho" w:hAnsi="Arial" w:cs="Arial"/>
      <w:b/>
      <w:bCs/>
      <w:i/>
      <w:iCs/>
      <w:sz w:val="28"/>
      <w:szCs w:val="28"/>
      <w:lang w:val="lt-LT"/>
    </w:rPr>
  </w:style>
  <w:style w:type="paragraph" w:styleId="Antrat3">
    <w:name w:val="heading 3"/>
    <w:basedOn w:val="prastasis"/>
    <w:next w:val="prastasis"/>
    <w:link w:val="Antrat3Diagrama"/>
    <w:uiPriority w:val="99"/>
    <w:qFormat/>
    <w:rsid w:val="00A327F1"/>
    <w:pPr>
      <w:keepNext/>
      <w:spacing w:before="240" w:after="60" w:line="240" w:lineRule="auto"/>
      <w:outlineLvl w:val="2"/>
    </w:pPr>
    <w:rPr>
      <w:rFonts w:ascii="Arial" w:eastAsia="MS Mincho"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27F1"/>
    <w:rPr>
      <w:rFonts w:ascii="Arial" w:eastAsia="MS Mincho" w:hAnsi="Arial" w:cs="Arial"/>
      <w:b/>
      <w:bCs/>
      <w:kern w:val="32"/>
      <w:sz w:val="32"/>
      <w:szCs w:val="32"/>
      <w:lang w:val="lt-LT"/>
    </w:rPr>
  </w:style>
  <w:style w:type="character" w:customStyle="1" w:styleId="Antrat2Diagrama">
    <w:name w:val="Antraštė 2 Diagrama"/>
    <w:basedOn w:val="Numatytasispastraiposriftas"/>
    <w:link w:val="Antrat2"/>
    <w:uiPriority w:val="99"/>
    <w:rsid w:val="00A327F1"/>
    <w:rPr>
      <w:rFonts w:ascii="Arial" w:eastAsia="MS Mincho" w:hAnsi="Arial" w:cs="Arial"/>
      <w:b/>
      <w:bCs/>
      <w:i/>
      <w:iCs/>
      <w:sz w:val="28"/>
      <w:szCs w:val="28"/>
      <w:lang w:val="lt-LT"/>
    </w:rPr>
  </w:style>
  <w:style w:type="character" w:customStyle="1" w:styleId="Antrat3Diagrama">
    <w:name w:val="Antraštė 3 Diagrama"/>
    <w:basedOn w:val="Numatytasispastraiposriftas"/>
    <w:link w:val="Antrat3"/>
    <w:uiPriority w:val="99"/>
    <w:rsid w:val="00A327F1"/>
    <w:rPr>
      <w:rFonts w:ascii="Arial" w:eastAsia="MS Mincho" w:hAnsi="Arial" w:cs="Arial"/>
      <w:b/>
      <w:bCs/>
      <w:sz w:val="26"/>
      <w:szCs w:val="26"/>
      <w:lang w:val="lt-LT"/>
    </w:rPr>
  </w:style>
  <w:style w:type="character" w:styleId="Hipersaitas">
    <w:name w:val="Hyperlink"/>
    <w:uiPriority w:val="99"/>
    <w:rsid w:val="00A327F1"/>
    <w:rPr>
      <w:rFonts w:cs="Times New Roman"/>
      <w:color w:val="0000FF"/>
      <w:u w:val="single"/>
    </w:rPr>
  </w:style>
  <w:style w:type="character" w:styleId="Perirtashipersaitas">
    <w:name w:val="FollowedHyperlink"/>
    <w:uiPriority w:val="99"/>
    <w:rsid w:val="00A327F1"/>
    <w:rPr>
      <w:rFonts w:cs="Times New Roman"/>
      <w:color w:val="800080"/>
      <w:u w:val="single"/>
    </w:rPr>
  </w:style>
  <w:style w:type="paragraph" w:styleId="Komentarotekstas">
    <w:name w:val="annotation text"/>
    <w:basedOn w:val="prastasis"/>
    <w:link w:val="KomentarotekstasDiagrama"/>
    <w:uiPriority w:val="99"/>
    <w:semiHidden/>
    <w:rsid w:val="00A327F1"/>
    <w:pPr>
      <w:spacing w:after="0" w:line="240" w:lineRule="auto"/>
    </w:pPr>
    <w:rPr>
      <w:rFonts w:ascii="Times New Roman" w:eastAsia="MS Mincho" w:hAnsi="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A327F1"/>
    <w:rPr>
      <w:rFonts w:ascii="Times New Roman" w:eastAsia="MS Mincho" w:hAnsi="Times New Roman" w:cs="Times New Roman"/>
      <w:sz w:val="20"/>
      <w:szCs w:val="20"/>
      <w:lang w:val="lt-LT"/>
    </w:rPr>
  </w:style>
  <w:style w:type="paragraph" w:styleId="Pavadinimas">
    <w:name w:val="Title"/>
    <w:basedOn w:val="prastasis"/>
    <w:link w:val="PavadinimasDiagrama"/>
    <w:uiPriority w:val="99"/>
    <w:qFormat/>
    <w:rsid w:val="00A327F1"/>
    <w:pPr>
      <w:spacing w:after="0" w:line="240" w:lineRule="auto"/>
      <w:jc w:val="center"/>
    </w:pPr>
    <w:rPr>
      <w:rFonts w:ascii="Times New Roman" w:eastAsia="MS Mincho" w:hAnsi="Times New Roman"/>
      <w:sz w:val="28"/>
      <w:szCs w:val="20"/>
    </w:rPr>
  </w:style>
  <w:style w:type="character" w:customStyle="1" w:styleId="PavadinimasDiagrama">
    <w:name w:val="Pavadinimas Diagrama"/>
    <w:basedOn w:val="Numatytasispastraiposriftas"/>
    <w:link w:val="Pavadinimas"/>
    <w:uiPriority w:val="99"/>
    <w:rsid w:val="00A327F1"/>
    <w:rPr>
      <w:rFonts w:ascii="Times New Roman" w:eastAsia="MS Mincho" w:hAnsi="Times New Roman" w:cs="Times New Roman"/>
      <w:sz w:val="28"/>
      <w:szCs w:val="20"/>
    </w:rPr>
  </w:style>
  <w:style w:type="paragraph" w:styleId="Pagrindinistekstas">
    <w:name w:val="Body Text"/>
    <w:basedOn w:val="prastasis"/>
    <w:link w:val="PagrindinistekstasDiagrama"/>
    <w:uiPriority w:val="99"/>
    <w:rsid w:val="00A327F1"/>
    <w:pPr>
      <w:spacing w:after="120" w:line="240" w:lineRule="auto"/>
    </w:pPr>
    <w:rPr>
      <w:rFonts w:ascii="Times New Roman" w:eastAsia="MS Mincho" w:hAnsi="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A327F1"/>
    <w:rPr>
      <w:rFonts w:ascii="Times New Roman" w:eastAsia="MS Mincho" w:hAnsi="Times New Roman" w:cs="Times New Roman"/>
      <w:szCs w:val="20"/>
      <w:lang w:val="lt-LT" w:eastAsia="lt-LT"/>
    </w:rPr>
  </w:style>
  <w:style w:type="paragraph" w:styleId="Paantrat">
    <w:name w:val="Subtitle"/>
    <w:basedOn w:val="prastasis"/>
    <w:link w:val="PaantratDiagrama"/>
    <w:uiPriority w:val="99"/>
    <w:qFormat/>
    <w:rsid w:val="00A327F1"/>
    <w:pPr>
      <w:autoSpaceDE w:val="0"/>
      <w:autoSpaceDN w:val="0"/>
      <w:adjustRightInd w:val="0"/>
      <w:spacing w:after="0" w:line="240" w:lineRule="auto"/>
      <w:jc w:val="center"/>
    </w:pPr>
    <w:rPr>
      <w:rFonts w:ascii="TimesNewRoman,Bold" w:eastAsia="MS Mincho" w:hAnsi="TimesNewRoman,Bold"/>
      <w:b/>
      <w:color w:val="000000"/>
      <w:szCs w:val="20"/>
      <w:lang w:eastAsia="lt-LT"/>
    </w:rPr>
  </w:style>
  <w:style w:type="character" w:customStyle="1" w:styleId="PaantratDiagrama">
    <w:name w:val="Paantraštė Diagrama"/>
    <w:basedOn w:val="Numatytasispastraiposriftas"/>
    <w:link w:val="Paantrat"/>
    <w:uiPriority w:val="99"/>
    <w:rsid w:val="00A327F1"/>
    <w:rPr>
      <w:rFonts w:ascii="TimesNewRoman,Bold" w:eastAsia="MS Mincho" w:hAnsi="TimesNewRoman,Bold" w:cs="Times New Roman"/>
      <w:b/>
      <w:color w:val="000000"/>
      <w:szCs w:val="20"/>
      <w:lang w:eastAsia="lt-LT"/>
    </w:rPr>
  </w:style>
  <w:style w:type="paragraph" w:styleId="Dokumentostruktra">
    <w:name w:val="Document Map"/>
    <w:basedOn w:val="prastasis"/>
    <w:link w:val="DokumentostruktraDiagrama"/>
    <w:uiPriority w:val="99"/>
    <w:semiHidden/>
    <w:rsid w:val="00A327F1"/>
    <w:pPr>
      <w:shd w:val="clear" w:color="auto" w:fill="000080"/>
      <w:spacing w:after="0" w:line="240" w:lineRule="auto"/>
    </w:pPr>
    <w:rPr>
      <w:rFonts w:ascii="Tahoma" w:eastAsia="MS Mincho" w:hAnsi="Tahoma" w:cs="Tahoma"/>
      <w:sz w:val="20"/>
      <w:szCs w:val="20"/>
      <w:lang w:val="lt-LT"/>
    </w:rPr>
  </w:style>
  <w:style w:type="character" w:customStyle="1" w:styleId="DokumentostruktraDiagrama">
    <w:name w:val="Dokumento struktūra Diagrama"/>
    <w:basedOn w:val="Numatytasispastraiposriftas"/>
    <w:link w:val="Dokumentostruktra"/>
    <w:uiPriority w:val="99"/>
    <w:semiHidden/>
    <w:rsid w:val="00A327F1"/>
    <w:rPr>
      <w:rFonts w:ascii="Tahoma" w:eastAsia="MS Mincho" w:hAnsi="Tahoma" w:cs="Tahoma"/>
      <w:sz w:val="20"/>
      <w:szCs w:val="20"/>
      <w:shd w:val="clear" w:color="auto" w:fill="000080"/>
      <w:lang w:val="lt-LT"/>
    </w:rPr>
  </w:style>
  <w:style w:type="paragraph" w:styleId="Komentarotema">
    <w:name w:val="annotation subject"/>
    <w:basedOn w:val="Komentarotekstas"/>
    <w:next w:val="Komentarotekstas"/>
    <w:link w:val="KomentarotemaDiagrama"/>
    <w:uiPriority w:val="99"/>
    <w:semiHidden/>
    <w:rsid w:val="00A327F1"/>
    <w:rPr>
      <w:b/>
      <w:bCs/>
    </w:rPr>
  </w:style>
  <w:style w:type="character" w:customStyle="1" w:styleId="KomentarotemaDiagrama">
    <w:name w:val="Komentaro tema Diagrama"/>
    <w:basedOn w:val="KomentarotekstasDiagrama"/>
    <w:link w:val="Komentarotema"/>
    <w:uiPriority w:val="99"/>
    <w:semiHidden/>
    <w:rsid w:val="00A327F1"/>
    <w:rPr>
      <w:rFonts w:ascii="Times New Roman" w:eastAsia="MS Mincho" w:hAnsi="Times New Roman" w:cs="Times New Roman"/>
      <w:b/>
      <w:bCs/>
      <w:sz w:val="20"/>
      <w:szCs w:val="20"/>
      <w:lang w:val="lt-LT"/>
    </w:rPr>
  </w:style>
  <w:style w:type="paragraph" w:styleId="Debesliotekstas">
    <w:name w:val="Balloon Text"/>
    <w:basedOn w:val="prastasis"/>
    <w:link w:val="DebesliotekstasDiagrama"/>
    <w:uiPriority w:val="99"/>
    <w:semiHidden/>
    <w:rsid w:val="00A327F1"/>
    <w:pPr>
      <w:spacing w:after="0" w:line="240" w:lineRule="auto"/>
    </w:pPr>
    <w:rPr>
      <w:rFonts w:ascii="Tahoma" w:eastAsia="MS Mincho"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A327F1"/>
    <w:rPr>
      <w:rFonts w:ascii="Tahoma" w:eastAsia="MS Mincho" w:hAnsi="Tahoma" w:cs="Tahoma"/>
      <w:sz w:val="16"/>
      <w:szCs w:val="16"/>
      <w:lang w:val="lt-LT"/>
    </w:rPr>
  </w:style>
  <w:style w:type="paragraph" w:customStyle="1" w:styleId="PI-1EMEASMCA">
    <w:name w:val="PI-1 EMEA_SMCA"/>
    <w:basedOn w:val="Antrat2"/>
    <w:autoRedefine/>
    <w:uiPriority w:val="99"/>
    <w:rsid w:val="00A327F1"/>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A327F1"/>
    <w:rPr>
      <w:b/>
      <w:noProof/>
    </w:rPr>
  </w:style>
  <w:style w:type="paragraph" w:customStyle="1" w:styleId="PI-1labEMEASMCA">
    <w:name w:val="PI-1_lab EMEA_SMCA"/>
    <w:basedOn w:val="prastasis"/>
    <w:link w:val="PI-1labEMEASMCAChar"/>
    <w:autoRedefine/>
    <w:uiPriority w:val="99"/>
    <w:rsid w:val="00A327F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heme="minorHAnsi" w:eastAsiaTheme="minorHAnsi" w:hAnsiTheme="minorHAnsi" w:cstheme="minorBidi"/>
      <w:b/>
      <w:noProof/>
    </w:rPr>
  </w:style>
  <w:style w:type="paragraph" w:customStyle="1" w:styleId="PI-2EMEASMCA">
    <w:name w:val="PI-2 EMEA_SMCA"/>
    <w:basedOn w:val="Antrat3"/>
    <w:autoRedefine/>
    <w:rsid w:val="00A327F1"/>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A327F1"/>
    <w:rPr>
      <w:rFonts w:ascii="Times New Roman" w:hAnsi="Times New Roman"/>
      <w:iCs/>
      <w:noProof/>
    </w:rPr>
  </w:style>
  <w:style w:type="paragraph" w:customStyle="1" w:styleId="BTEMEASMCA">
    <w:name w:val="BT EMEA_SMCA"/>
    <w:basedOn w:val="prastasis"/>
    <w:link w:val="BTEMEASMCAChar"/>
    <w:autoRedefine/>
    <w:rsid w:val="00A327F1"/>
    <w:pPr>
      <w:spacing w:after="0" w:line="240" w:lineRule="auto"/>
    </w:pPr>
    <w:rPr>
      <w:rFonts w:ascii="Times New Roman" w:eastAsiaTheme="minorHAnsi" w:hAnsi="Times New Roman" w:cstheme="minorBidi"/>
      <w:iCs/>
      <w:noProof/>
    </w:rPr>
  </w:style>
  <w:style w:type="character" w:customStyle="1" w:styleId="TTEMEASMCAChar">
    <w:name w:val="TT EMEA_SMCA Char"/>
    <w:link w:val="TTEMEASMCA"/>
    <w:uiPriority w:val="99"/>
    <w:locked/>
    <w:rsid w:val="00A327F1"/>
    <w:rPr>
      <w:b/>
    </w:rPr>
  </w:style>
  <w:style w:type="paragraph" w:customStyle="1" w:styleId="TTEMEASMCA">
    <w:name w:val="TT EMEA_SMCA"/>
    <w:basedOn w:val="Antrat1"/>
    <w:link w:val="TTEMEASMCAChar"/>
    <w:autoRedefine/>
    <w:uiPriority w:val="99"/>
    <w:rsid w:val="00A327F1"/>
    <w:pPr>
      <w:keepNext w:val="0"/>
      <w:tabs>
        <w:tab w:val="left" w:pos="567"/>
      </w:tabs>
      <w:spacing w:before="0" w:after="0"/>
      <w:ind w:left="567" w:hanging="567"/>
      <w:jc w:val="center"/>
    </w:pPr>
    <w:rPr>
      <w:rFonts w:asciiTheme="minorHAnsi" w:eastAsiaTheme="minorHAnsi" w:hAnsiTheme="minorHAnsi" w:cstheme="minorBidi"/>
      <w:bCs w:val="0"/>
      <w:kern w:val="0"/>
      <w:sz w:val="22"/>
      <w:szCs w:val="22"/>
      <w:lang w:val="en-US"/>
    </w:rPr>
  </w:style>
  <w:style w:type="paragraph" w:customStyle="1" w:styleId="BTAnIIEMEASMCA">
    <w:name w:val="BT(AnII) EMEA_SMCA"/>
    <w:basedOn w:val="Debesliotekstas"/>
    <w:autoRedefine/>
    <w:uiPriority w:val="99"/>
    <w:rsid w:val="00A327F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A327F1"/>
    <w:pPr>
      <w:numPr>
        <w:numId w:val="1"/>
      </w:numPr>
      <w:tabs>
        <w:tab w:val="clear" w:pos="720"/>
        <w:tab w:val="num" w:pos="360"/>
      </w:tabs>
      <w:ind w:left="0" w:firstLine="0"/>
    </w:pPr>
  </w:style>
  <w:style w:type="paragraph" w:customStyle="1" w:styleId="PI-3EMEASMCA">
    <w:name w:val="PI-3 EMEA_SMCA"/>
    <w:basedOn w:val="prastasis"/>
    <w:autoRedefine/>
    <w:uiPriority w:val="99"/>
    <w:rsid w:val="00A327F1"/>
    <w:pPr>
      <w:spacing w:after="0" w:line="220" w:lineRule="exact"/>
      <w:ind w:left="360" w:hanging="360"/>
    </w:pPr>
    <w:rPr>
      <w:rFonts w:ascii="Times New Roman" w:eastAsia="MS Mincho" w:hAnsi="Times New Roman"/>
      <w:b/>
      <w:bCs/>
      <w:lang w:val="lt-LT"/>
    </w:rPr>
  </w:style>
  <w:style w:type="paragraph" w:customStyle="1" w:styleId="BTbEMEASMCA">
    <w:name w:val="BT(b) EMEA_SMCA"/>
    <w:basedOn w:val="BTEMEASMCA"/>
    <w:autoRedefine/>
    <w:uiPriority w:val="99"/>
    <w:rsid w:val="00A327F1"/>
    <w:rPr>
      <w:b/>
    </w:rPr>
  </w:style>
  <w:style w:type="paragraph" w:customStyle="1" w:styleId="BTbeEMEASMCA">
    <w:name w:val="BT(be) EMEA_SMCA"/>
    <w:basedOn w:val="BTEMEASMCA"/>
    <w:autoRedefine/>
    <w:uiPriority w:val="99"/>
    <w:rsid w:val="00A327F1"/>
    <w:pPr>
      <w:jc w:val="center"/>
    </w:pPr>
    <w:rPr>
      <w:b/>
    </w:rPr>
  </w:style>
  <w:style w:type="paragraph" w:customStyle="1" w:styleId="BTeEMEASMCA">
    <w:name w:val="BT(e) EMEA_SMCA"/>
    <w:basedOn w:val="BTEMEASMCA"/>
    <w:autoRedefine/>
    <w:uiPriority w:val="99"/>
    <w:rsid w:val="00A327F1"/>
    <w:pPr>
      <w:jc w:val="center"/>
    </w:pPr>
  </w:style>
  <w:style w:type="character" w:customStyle="1" w:styleId="BTgEMEASMCAChar">
    <w:name w:val="BT(g) EMEA_SMCA Char"/>
    <w:link w:val="BTgEMEASMCA"/>
    <w:uiPriority w:val="99"/>
    <w:locked/>
    <w:rsid w:val="00A327F1"/>
    <w:rPr>
      <w:rFonts w:eastAsia="MS Mincho"/>
      <w:i/>
      <w:noProof/>
      <w:color w:val="008000"/>
    </w:rPr>
  </w:style>
  <w:style w:type="paragraph" w:customStyle="1" w:styleId="BTgEMEASMCA">
    <w:name w:val="BT(g) EMEA_SMCA"/>
    <w:basedOn w:val="BTEMEASMCA"/>
    <w:link w:val="BTgEMEASMCAChar"/>
    <w:autoRedefine/>
    <w:uiPriority w:val="99"/>
    <w:rsid w:val="00A327F1"/>
    <w:rPr>
      <w:rFonts w:asciiTheme="minorHAnsi" w:eastAsia="MS Mincho" w:hAnsiTheme="minorHAnsi"/>
      <w:i/>
      <w:iCs w:val="0"/>
      <w:color w:val="008000"/>
    </w:rPr>
  </w:style>
  <w:style w:type="paragraph" w:customStyle="1" w:styleId="BTuEMEASMCA">
    <w:name w:val="BT(u) EMEA_SMCA"/>
    <w:basedOn w:val="BTEMEASMCA"/>
    <w:autoRedefine/>
    <w:uiPriority w:val="99"/>
    <w:rsid w:val="00A327F1"/>
    <w:rPr>
      <w:u w:val="single"/>
    </w:rPr>
  </w:style>
  <w:style w:type="character" w:styleId="Komentaronuoroda">
    <w:name w:val="annotation reference"/>
    <w:uiPriority w:val="99"/>
    <w:semiHidden/>
    <w:rsid w:val="00A327F1"/>
    <w:rPr>
      <w:rFonts w:cs="Times New Roman"/>
      <w:sz w:val="16"/>
      <w:szCs w:val="16"/>
    </w:rPr>
  </w:style>
  <w:style w:type="paragraph" w:styleId="Porat">
    <w:name w:val="footer"/>
    <w:basedOn w:val="prastasis"/>
    <w:link w:val="PoratDiagrama"/>
    <w:rsid w:val="00A327F1"/>
    <w:pPr>
      <w:tabs>
        <w:tab w:val="center" w:pos="4819"/>
        <w:tab w:val="right" w:pos="9638"/>
      </w:tabs>
      <w:spacing w:after="0" w:line="240" w:lineRule="auto"/>
    </w:pPr>
    <w:rPr>
      <w:rFonts w:ascii="Times New Roman" w:eastAsia="MS Mincho" w:hAnsi="Times New Roman"/>
      <w:sz w:val="24"/>
      <w:szCs w:val="24"/>
      <w:lang w:val="lt-LT"/>
    </w:rPr>
  </w:style>
  <w:style w:type="character" w:customStyle="1" w:styleId="PoratDiagrama">
    <w:name w:val="Poraštė Diagrama"/>
    <w:basedOn w:val="Numatytasispastraiposriftas"/>
    <w:link w:val="Porat"/>
    <w:rsid w:val="00A327F1"/>
    <w:rPr>
      <w:rFonts w:ascii="Times New Roman" w:eastAsia="MS Mincho" w:hAnsi="Times New Roman" w:cs="Times New Roman"/>
      <w:sz w:val="24"/>
      <w:szCs w:val="24"/>
      <w:lang w:val="lt-LT"/>
    </w:rPr>
  </w:style>
  <w:style w:type="character" w:styleId="Puslapionumeris">
    <w:name w:val="page number"/>
    <w:rsid w:val="00A327F1"/>
  </w:style>
  <w:style w:type="paragraph" w:styleId="Antrats">
    <w:name w:val="header"/>
    <w:basedOn w:val="prastasis"/>
    <w:link w:val="AntratsDiagrama"/>
    <w:rsid w:val="00A327F1"/>
    <w:pPr>
      <w:tabs>
        <w:tab w:val="center" w:pos="4819"/>
        <w:tab w:val="right" w:pos="9638"/>
      </w:tabs>
      <w:spacing w:after="0" w:line="240" w:lineRule="auto"/>
    </w:pPr>
    <w:rPr>
      <w:rFonts w:ascii="Times New Roman" w:eastAsia="MS Mincho" w:hAnsi="Times New Roman"/>
      <w:sz w:val="24"/>
      <w:szCs w:val="24"/>
      <w:lang w:val="lt-LT"/>
    </w:rPr>
  </w:style>
  <w:style w:type="character" w:customStyle="1" w:styleId="AntratsDiagrama">
    <w:name w:val="Antraštės Diagrama"/>
    <w:basedOn w:val="Numatytasispastraiposriftas"/>
    <w:link w:val="Antrats"/>
    <w:rsid w:val="00A327F1"/>
    <w:rPr>
      <w:rFonts w:ascii="Times New Roman" w:eastAsia="MS Mincho" w:hAnsi="Times New Roman" w:cs="Times New Roman"/>
      <w:sz w:val="24"/>
      <w:szCs w:val="24"/>
      <w:lang w:val="lt-LT"/>
    </w:rPr>
  </w:style>
  <w:style w:type="character" w:customStyle="1" w:styleId="st1">
    <w:name w:val="st1"/>
    <w:rsid w:val="00A327F1"/>
  </w:style>
  <w:style w:type="paragraph" w:customStyle="1" w:styleId="a">
    <w:name w:val="("/>
    <w:rsid w:val="00A327F1"/>
    <w:pPr>
      <w:spacing w:after="0" w:line="240" w:lineRule="auto"/>
    </w:pPr>
    <w:rPr>
      <w:rFonts w:ascii="Times New Roman" w:eastAsia="Times New Roman" w:hAnsi="Times New Roman" w:cs="Times New Roman"/>
      <w:sz w:val="24"/>
      <w:szCs w:val="20"/>
      <w:lang w:val="fr-FR" w:eastAsia="fr-FR"/>
    </w:rPr>
  </w:style>
  <w:style w:type="paragraph" w:customStyle="1" w:styleId="Default">
    <w:name w:val="Default"/>
    <w:rsid w:val="00A327F1"/>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Spalvotasspalvinimas1parykinimas1">
    <w:name w:val="Spalvotas spalvinimas – 1 paryškinimas1"/>
    <w:hidden/>
    <w:uiPriority w:val="99"/>
    <w:semiHidden/>
    <w:rsid w:val="00A327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lanned_x0020_Submission_x0020_Date xmlns="6b55b3b7-28a0-4cc8-93fd-089f3ca1f9ee" xsi:nil="true"/>
    <Country xmlns="6b55b3b7-28a0-4cc8-93fd-089f3ca1f9ee">Lithuania</Country>
    <Comment xmlns="6b55b3b7-28a0-4cc8-93fd-089f3ca1f9ee" xsi:nil="true"/>
    <Deadline_x0020_to_x0020_post_x0020_national_x0020_documents_x0020_at_x0020_HQ_x0020_disposal xmlns="6b55b3b7-28a0-4cc8-93fd-089f3ca1f9ee" xsi:nil="true"/>
    <Regulatory_x0020_Event_x0020_Title xmlns="6b55b3b7-28a0-4cc8-93fd-089f3ca1f9ee">Type IAIN following PSUSA/000029431/201806   </Regulatory_x0020_Event_x0020_Tit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A200435171F4F9389A087217FC117" ma:contentTypeVersion="5" ma:contentTypeDescription="Create a new document." ma:contentTypeScope="" ma:versionID="d1722f04ea2c8d4bb56bdd8ab0cca86b">
  <xsd:schema xmlns:xsd="http://www.w3.org/2001/XMLSchema" xmlns:p="http://schemas.microsoft.com/office/2006/metadata/properties" xmlns:ns2="6b55b3b7-28a0-4cc8-93fd-089f3ca1f9ee" targetNamespace="http://schemas.microsoft.com/office/2006/metadata/properties" ma:root="true" ma:fieldsID="7ffb76ced0367e24ad2efbd80b3bd1f0" ns2:_="">
    <xsd:import namespace="6b55b3b7-28a0-4cc8-93fd-089f3ca1f9ee"/>
    <xsd:element name="properties">
      <xsd:complexType>
        <xsd:sequence>
          <xsd:element name="documentManagement">
            <xsd:complexType>
              <xsd:all>
                <xsd:element ref="ns2:Country" minOccurs="0"/>
                <xsd:element ref="ns2:Regulatory_x0020_Event_x0020_Title" minOccurs="0"/>
                <xsd:element ref="ns2:Planned_x0020_Submission_x0020_Date" minOccurs="0"/>
                <xsd:element ref="ns2:Deadline_x0020_to_x0020_post_x0020_national_x0020_documents_x0020_at_x0020_HQ_x0020_disposal" minOccurs="0"/>
                <xsd:element ref="ns2:Comment" minOccurs="0"/>
              </xsd:all>
            </xsd:complexType>
          </xsd:element>
        </xsd:sequence>
      </xsd:complexType>
    </xsd:element>
  </xsd:schema>
  <xsd:schema xmlns:xsd="http://www.w3.org/2001/XMLSchema" xmlns:dms="http://schemas.microsoft.com/office/2006/documentManagement/types" targetNamespace="6b55b3b7-28a0-4cc8-93fd-089f3ca1f9ee" elementFormDefault="qualified">
    <xsd:import namespace="http://schemas.microsoft.com/office/2006/documentManagement/types"/>
    <xsd:element name="Country" ma:index="8" nillable="true"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MO"/>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Regulatory_x0020_Event_x0020_Title" ma:index="9" nillable="true" ma:displayName="Regulatory Event Title" ma:internalName="Regulatory_x0020_Event_x0020_Title">
      <xsd:simpleType>
        <xsd:restriction base="dms:Text">
          <xsd:maxLength value="255"/>
        </xsd:restriction>
      </xsd:simpleType>
    </xsd:element>
    <xsd:element name="Planned_x0020_Submission_x0020_Date" ma:index="10" nillable="true" ma:displayName="Planned Submission Date" ma:format="DateOnly" ma:internalName="Planned_x0020_Submission_x0020_Date">
      <xsd:simpleType>
        <xsd:restriction base="dms:DateTime"/>
      </xsd:simpleType>
    </xsd:element>
    <xsd:element name="Deadline_x0020_to_x0020_post_x0020_national_x0020_documents_x0020_at_x0020_HQ_x0020_disposal" ma:index="11" nillable="true" ma:displayName="Deadline to post national documents at HQ disposal" ma:format="DateOnly" ma:internalName="Deadline_x0020_to_x0020_post_x0020_national_x0020_documents_x0020_at_x0020_HQ_x0020_disposal">
      <xsd:simpleType>
        <xsd:restriction base="dms:DateTime"/>
      </xsd:simpleType>
    </xsd:element>
    <xsd:element name="Comment" ma:index="12" nillable="true" ma:displayName="Comment"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805BD6-E407-4679-ACE7-83937C6F8E02}">
  <ds:schemaRefs>
    <ds:schemaRef ds:uri="http://schemas.microsoft.com/office/2006/metadata/properties"/>
    <ds:schemaRef ds:uri="6b55b3b7-28a0-4cc8-93fd-089f3ca1f9ee"/>
  </ds:schemaRefs>
</ds:datastoreItem>
</file>

<file path=customXml/itemProps2.xml><?xml version="1.0" encoding="utf-8"?>
<ds:datastoreItem xmlns:ds="http://schemas.openxmlformats.org/officeDocument/2006/customXml" ds:itemID="{88126947-DB9E-4394-8032-C6F2FBB1EA6A}">
  <ds:schemaRefs>
    <ds:schemaRef ds:uri="http://schemas.microsoft.com/sharepoint/v3/contenttype/forms"/>
  </ds:schemaRefs>
</ds:datastoreItem>
</file>

<file path=customXml/itemProps3.xml><?xml version="1.0" encoding="utf-8"?>
<ds:datastoreItem xmlns:ds="http://schemas.openxmlformats.org/officeDocument/2006/customXml" ds:itemID="{A17E66C5-CD2A-4FE8-A69B-2EFBD3A2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5b3b7-28a0-4cc8-93fd-089f3ca1f9e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21106</Words>
  <Characters>12031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AGANAUSKAS Arnas LITHUANIA</dc:creator>
  <cp:keywords/>
  <dc:description/>
  <cp:lastModifiedBy>Sigita Žentelienė</cp:lastModifiedBy>
  <cp:revision>6</cp:revision>
  <dcterms:created xsi:type="dcterms:W3CDTF">2019-05-14T11:38:00Z</dcterms:created>
  <dcterms:modified xsi:type="dcterms:W3CDTF">2019-07-25T06:49:00Z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0x010100FA0A200435171F4F9389A087217FC117</vt:lpwstr>
  </property>
</Properties>
</file>