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EE" w:rsidRPr="007F1996" w:rsidRDefault="00322EEE" w:rsidP="00322EEE">
      <w:pPr>
        <w:keepNext/>
        <w:keepLines/>
        <w:tabs>
          <w:tab w:val="clear" w:pos="567"/>
        </w:tabs>
        <w:spacing w:line="240" w:lineRule="auto"/>
        <w:jc w:val="center"/>
        <w:rPr>
          <w:rFonts w:eastAsia="Times New Roman"/>
          <w:b/>
          <w:snapToGrid/>
          <w:szCs w:val="22"/>
          <w:lang w:val="lt-LT"/>
        </w:rPr>
      </w:pPr>
      <w:r w:rsidRPr="007F1996">
        <w:rPr>
          <w:rFonts w:eastAsia="Times New Roman"/>
          <w:b/>
          <w:snapToGrid/>
          <w:szCs w:val="22"/>
          <w:lang w:val="lt-LT"/>
        </w:rPr>
        <w:t>Pakuotės lapelis: informacija vartotojui</w:t>
      </w:r>
    </w:p>
    <w:p w:rsidR="00322EEE" w:rsidRPr="007F1996" w:rsidRDefault="00322EEE" w:rsidP="00322EEE">
      <w:pPr>
        <w:keepNext/>
        <w:keepLines/>
        <w:tabs>
          <w:tab w:val="clear" w:pos="567"/>
        </w:tabs>
        <w:spacing w:line="240" w:lineRule="auto"/>
        <w:jc w:val="center"/>
        <w:rPr>
          <w:rFonts w:eastAsia="Times New Roman"/>
          <w:b/>
          <w:snapToGrid/>
          <w:szCs w:val="22"/>
          <w:lang w:val="lt-LT"/>
        </w:rPr>
      </w:pPr>
    </w:p>
    <w:p w:rsidR="00322EEE" w:rsidRPr="007F1996" w:rsidRDefault="00322EEE" w:rsidP="00322EEE">
      <w:pPr>
        <w:keepNext/>
        <w:keepLines/>
        <w:tabs>
          <w:tab w:val="clear" w:pos="567"/>
        </w:tabs>
        <w:spacing w:line="240" w:lineRule="auto"/>
        <w:jc w:val="center"/>
        <w:rPr>
          <w:rFonts w:eastAsia="Times New Roman"/>
          <w:b/>
          <w:snapToGrid/>
          <w:szCs w:val="22"/>
          <w:lang w:val="lt-LT"/>
        </w:rPr>
      </w:pPr>
      <w:r w:rsidRPr="007F1996">
        <w:rPr>
          <w:rFonts w:eastAsia="Times New Roman"/>
          <w:b/>
          <w:snapToGrid/>
          <w:szCs w:val="22"/>
          <w:lang w:val="lt-LT"/>
        </w:rPr>
        <w:t>EFFERALGAN 80 mg žvakutės</w:t>
      </w:r>
    </w:p>
    <w:p w:rsidR="00322EEE" w:rsidRPr="007F1996" w:rsidRDefault="00322EEE" w:rsidP="00322EEE">
      <w:pPr>
        <w:keepNext/>
        <w:keepLines/>
        <w:tabs>
          <w:tab w:val="clear" w:pos="567"/>
        </w:tabs>
        <w:spacing w:line="240" w:lineRule="auto"/>
        <w:jc w:val="center"/>
        <w:rPr>
          <w:rFonts w:eastAsia="Times New Roman"/>
          <w:b/>
          <w:snapToGrid/>
          <w:szCs w:val="22"/>
          <w:lang w:val="lt-LT"/>
        </w:rPr>
      </w:pPr>
      <w:r w:rsidRPr="007F1996">
        <w:rPr>
          <w:rFonts w:eastAsia="Times New Roman"/>
          <w:b/>
          <w:snapToGrid/>
          <w:szCs w:val="22"/>
          <w:lang w:val="lt-LT"/>
        </w:rPr>
        <w:t>EFFERALGAN 150 mg žvakutės</w:t>
      </w:r>
    </w:p>
    <w:p w:rsidR="00322EEE" w:rsidRPr="007F1996" w:rsidRDefault="00322EEE" w:rsidP="00322EEE">
      <w:pPr>
        <w:keepNext/>
        <w:keepLines/>
        <w:tabs>
          <w:tab w:val="clear" w:pos="567"/>
        </w:tabs>
        <w:spacing w:line="240" w:lineRule="auto"/>
        <w:jc w:val="center"/>
        <w:rPr>
          <w:rFonts w:eastAsia="Times New Roman"/>
          <w:snapToGrid/>
          <w:szCs w:val="22"/>
          <w:lang w:val="lt-LT"/>
        </w:rPr>
      </w:pPr>
      <w:r w:rsidRPr="007F1996">
        <w:rPr>
          <w:rFonts w:eastAsia="Times New Roman"/>
          <w:snapToGrid/>
          <w:szCs w:val="22"/>
          <w:lang w:val="lt-LT"/>
        </w:rPr>
        <w:t>paracetamolis</w:t>
      </w:r>
    </w:p>
    <w:p w:rsidR="00322EEE" w:rsidRPr="007F1996" w:rsidRDefault="00322EEE" w:rsidP="00322EEE">
      <w:pPr>
        <w:keepNext/>
        <w:keepLines/>
        <w:tabs>
          <w:tab w:val="clear" w:pos="567"/>
        </w:tabs>
        <w:spacing w:line="240" w:lineRule="auto"/>
        <w:jc w:val="center"/>
        <w:rPr>
          <w:rFonts w:eastAsia="Times New Roman"/>
          <w:b/>
          <w:snapToGrid/>
          <w:szCs w:val="22"/>
          <w:lang w:val="lt-LT"/>
        </w:rPr>
      </w:pPr>
    </w:p>
    <w:p w:rsidR="00322EEE" w:rsidRPr="007F1996" w:rsidRDefault="00322EEE" w:rsidP="00322EEE">
      <w:pPr>
        <w:keepNext/>
        <w:keepLines/>
        <w:tabs>
          <w:tab w:val="clear" w:pos="567"/>
        </w:tabs>
        <w:spacing w:line="240" w:lineRule="auto"/>
        <w:outlineLvl w:val="2"/>
        <w:rPr>
          <w:rFonts w:eastAsia="Times New Roman"/>
          <w:b/>
          <w:snapToGrid/>
          <w:szCs w:val="22"/>
          <w:highlight w:val="yellow"/>
          <w:lang w:val="lt-LT"/>
        </w:rPr>
      </w:pPr>
      <w:r w:rsidRPr="007F1996">
        <w:rPr>
          <w:rFonts w:eastAsia="Times New Roman"/>
          <w:b/>
          <w:snapToGrid/>
          <w:szCs w:val="22"/>
          <w:lang w:val="lt-LT"/>
        </w:rPr>
        <w:t>Atidžiai perskaitykite visą šį lapelį, prieš pradėdami vartoti šį vaistą, nes jame pateikiama Jums svarbi informacija.</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Visada vartokite šį vaistą tiksliai kaip aprašyta šiame lapelyje arba kaip nurodė gydytojas arba vaistininkas.</w:t>
      </w:r>
    </w:p>
    <w:p w:rsidR="00322EEE" w:rsidRPr="007F1996" w:rsidRDefault="00322EEE" w:rsidP="00322EEE">
      <w:pPr>
        <w:pStyle w:val="Sraopastraipa"/>
        <w:numPr>
          <w:ilvl w:val="0"/>
          <w:numId w:val="3"/>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Neišmeskite šio lapelio, nes vėl gali prireikti jį perskaityti.</w:t>
      </w:r>
    </w:p>
    <w:p w:rsidR="00322EEE" w:rsidRPr="007F1996" w:rsidRDefault="00322EEE" w:rsidP="00322EEE">
      <w:pPr>
        <w:pStyle w:val="Sraopastraipa"/>
        <w:numPr>
          <w:ilvl w:val="0"/>
          <w:numId w:val="3"/>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Jeigu norite sužinoti daugiau arba pasitarti, kreipkitės į vaistininką.</w:t>
      </w:r>
    </w:p>
    <w:p w:rsidR="00322EEE" w:rsidRPr="007F1996" w:rsidRDefault="00322EEE" w:rsidP="00322EEE">
      <w:pPr>
        <w:pStyle w:val="Sraopastraipa"/>
        <w:numPr>
          <w:ilvl w:val="0"/>
          <w:numId w:val="3"/>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Jeigu pasireiškė šalutinis poveikis (net jeigu jis šiame lapelyje nenurodytas), kreipkitės į gydytoją arba vaistininką. Žr. 4 skyrių.</w:t>
      </w:r>
    </w:p>
    <w:p w:rsidR="00322EEE" w:rsidRPr="007F1996" w:rsidRDefault="00322EEE" w:rsidP="00322EEE">
      <w:pPr>
        <w:pStyle w:val="Sraopastraipa"/>
        <w:numPr>
          <w:ilvl w:val="0"/>
          <w:numId w:val="3"/>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Jeigu per 3</w:t>
      </w:r>
      <w:r>
        <w:rPr>
          <w:rFonts w:eastAsia="Times New Roman"/>
          <w:snapToGrid/>
          <w:szCs w:val="22"/>
          <w:lang w:val="lt-LT"/>
        </w:rPr>
        <w:t> </w:t>
      </w:r>
      <w:r w:rsidRPr="007F1996">
        <w:rPr>
          <w:rFonts w:eastAsia="Times New Roman"/>
          <w:snapToGrid/>
          <w:szCs w:val="22"/>
          <w:lang w:val="lt-LT"/>
        </w:rPr>
        <w:t>dienas Jūsų savijauta nepagerėjo arba net pablogėjo, kreipkitės į gydytoją.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b/>
          <w:snapToGrid/>
          <w:szCs w:val="22"/>
          <w:lang w:val="lt-LT"/>
        </w:rPr>
      </w:pPr>
      <w:r w:rsidRPr="007F1996">
        <w:rPr>
          <w:rFonts w:eastAsia="Times New Roman"/>
          <w:b/>
          <w:snapToGrid/>
          <w:szCs w:val="22"/>
          <w:lang w:val="lt-LT"/>
        </w:rPr>
        <w:t>Apie ką rašoma šiame lapelyje?</w:t>
      </w:r>
    </w:p>
    <w:p w:rsidR="00322EEE" w:rsidRPr="007F1996" w:rsidRDefault="00322EEE" w:rsidP="00322EEE">
      <w:pPr>
        <w:tabs>
          <w:tab w:val="clear" w:pos="567"/>
        </w:tabs>
        <w:spacing w:line="240" w:lineRule="auto"/>
        <w:rPr>
          <w:rFonts w:eastAsia="Times New Roman"/>
          <w:b/>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1.</w:t>
      </w:r>
      <w:r w:rsidRPr="007F1996">
        <w:rPr>
          <w:rFonts w:eastAsia="Times New Roman"/>
          <w:snapToGrid/>
          <w:szCs w:val="22"/>
          <w:lang w:val="lt-LT"/>
        </w:rPr>
        <w:tab/>
        <w:t>Kas yra EFFERALGAN ir kam jis vartojamas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2.</w:t>
      </w:r>
      <w:r w:rsidRPr="007F1996">
        <w:rPr>
          <w:rFonts w:eastAsia="Times New Roman"/>
          <w:snapToGrid/>
          <w:szCs w:val="22"/>
          <w:lang w:val="lt-LT"/>
        </w:rPr>
        <w:tab/>
        <w:t>Kas žinotina prieš vartojant EFFERALGAN</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3.</w:t>
      </w:r>
      <w:r w:rsidRPr="007F1996">
        <w:rPr>
          <w:rFonts w:eastAsia="Times New Roman"/>
          <w:snapToGrid/>
          <w:szCs w:val="22"/>
          <w:lang w:val="lt-LT"/>
        </w:rPr>
        <w:tab/>
        <w:t>Kaip vartoti EFFERALGAN</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4.</w:t>
      </w:r>
      <w:r w:rsidRPr="007F1996">
        <w:rPr>
          <w:rFonts w:eastAsia="Times New Roman"/>
          <w:snapToGrid/>
          <w:szCs w:val="22"/>
          <w:lang w:val="lt-LT"/>
        </w:rPr>
        <w:tab/>
        <w:t>Galimas šalutinis poveikis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5.</w:t>
      </w:r>
      <w:r w:rsidRPr="007F1996">
        <w:rPr>
          <w:rFonts w:eastAsia="Times New Roman"/>
          <w:snapToGrid/>
          <w:szCs w:val="22"/>
          <w:lang w:val="lt-LT"/>
        </w:rPr>
        <w:tab/>
        <w:t>Kaip laikyti EFFERALGAN</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6.</w:t>
      </w:r>
      <w:r w:rsidRPr="007F1996">
        <w:rPr>
          <w:rFonts w:eastAsia="Times New Roman"/>
          <w:snapToGrid/>
          <w:szCs w:val="22"/>
          <w:lang w:val="lt-LT"/>
        </w:rPr>
        <w:tab/>
        <w:t>Pakuotės turinys ir kita informacija</w:t>
      </w:r>
    </w:p>
    <w:p w:rsidR="00322EEE" w:rsidRPr="007F1996" w:rsidRDefault="00322EEE" w:rsidP="00322EEE">
      <w:pPr>
        <w:tabs>
          <w:tab w:val="clear" w:pos="567"/>
          <w:tab w:val="left" w:pos="720"/>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spacing w:line="240" w:lineRule="auto"/>
        <w:ind w:left="567" w:hanging="567"/>
        <w:outlineLvl w:val="1"/>
        <w:rPr>
          <w:rFonts w:eastAsia="Times New Roman"/>
          <w:b/>
          <w:snapToGrid/>
          <w:szCs w:val="22"/>
          <w:lang w:val="lt-LT"/>
        </w:rPr>
      </w:pPr>
      <w:bookmarkStart w:id="0" w:name="_Toc129243264"/>
      <w:bookmarkStart w:id="1" w:name="_Toc129243139"/>
      <w:r w:rsidRPr="007F1996">
        <w:rPr>
          <w:rFonts w:eastAsia="Times New Roman"/>
          <w:b/>
          <w:snapToGrid/>
          <w:szCs w:val="22"/>
          <w:lang w:val="lt-LT"/>
        </w:rPr>
        <w:t>1.</w:t>
      </w:r>
      <w:r w:rsidRPr="007F1996">
        <w:rPr>
          <w:rFonts w:eastAsia="Times New Roman"/>
          <w:b/>
          <w:snapToGrid/>
          <w:szCs w:val="22"/>
          <w:lang w:val="lt-LT"/>
        </w:rPr>
        <w:tab/>
        <w:t>Kas yra EFFERALGAN ir kam jis vartojamas</w:t>
      </w:r>
      <w:bookmarkEnd w:id="0"/>
      <w:bookmarkEnd w:id="1"/>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EFFERALGAN - tai vaistas, vartojamas simptominiam lengv</w:t>
      </w:r>
      <w:r>
        <w:rPr>
          <w:rFonts w:eastAsia="Times New Roman"/>
          <w:snapToGrid/>
          <w:szCs w:val="22"/>
          <w:lang w:val="lt-LT"/>
        </w:rPr>
        <w:t>am</w:t>
      </w:r>
      <w:r w:rsidRPr="007F1996">
        <w:rPr>
          <w:rFonts w:eastAsia="Times New Roman"/>
          <w:snapToGrid/>
          <w:szCs w:val="22"/>
          <w:lang w:val="lt-LT"/>
        </w:rPr>
        <w:t xml:space="preserve"> ir vidutinio stiprumo skausm</w:t>
      </w:r>
      <w:r>
        <w:rPr>
          <w:rFonts w:eastAsia="Times New Roman"/>
          <w:snapToGrid/>
          <w:szCs w:val="22"/>
          <w:lang w:val="lt-LT"/>
        </w:rPr>
        <w:t>ui</w:t>
      </w:r>
      <w:r w:rsidRPr="007F1996">
        <w:rPr>
          <w:rFonts w:eastAsia="Times New Roman"/>
          <w:snapToGrid/>
          <w:szCs w:val="22"/>
          <w:lang w:val="lt-LT"/>
        </w:rPr>
        <w:t xml:space="preserve"> (pvz., galvos, dantų, gerklės, raumenų) malšin</w:t>
      </w:r>
      <w:r>
        <w:rPr>
          <w:rFonts w:eastAsia="Times New Roman"/>
          <w:snapToGrid/>
          <w:szCs w:val="22"/>
          <w:lang w:val="lt-LT"/>
        </w:rPr>
        <w:t>ti</w:t>
      </w:r>
      <w:r w:rsidRPr="007F1996">
        <w:rPr>
          <w:rFonts w:eastAsia="Times New Roman"/>
          <w:snapToGrid/>
          <w:szCs w:val="22"/>
          <w:lang w:val="lt-LT"/>
        </w:rPr>
        <w:t xml:space="preserve"> ir (arba) trumpą laiką karščiavim</w:t>
      </w:r>
      <w:r>
        <w:rPr>
          <w:rFonts w:eastAsia="Times New Roman"/>
          <w:snapToGrid/>
          <w:szCs w:val="22"/>
          <w:lang w:val="lt-LT"/>
        </w:rPr>
        <w:t>ui</w:t>
      </w:r>
      <w:r w:rsidRPr="007F1996">
        <w:rPr>
          <w:rFonts w:eastAsia="Times New Roman"/>
          <w:snapToGrid/>
          <w:szCs w:val="22"/>
          <w:lang w:val="lt-LT"/>
        </w:rPr>
        <w:t xml:space="preserve"> mažin</w:t>
      </w:r>
      <w:r>
        <w:rPr>
          <w:rFonts w:eastAsia="Times New Roman"/>
          <w:snapToGrid/>
          <w:szCs w:val="22"/>
          <w:lang w:val="lt-LT"/>
        </w:rPr>
        <w:t>ti</w:t>
      </w:r>
      <w:r w:rsidRPr="007F1996">
        <w:rPr>
          <w:rFonts w:eastAsia="Times New Roman"/>
          <w:snapToGrid/>
          <w:szCs w:val="22"/>
          <w:lang w:val="lt-LT"/>
        </w:rPr>
        <w:t>.</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Jeigu per 3</w:t>
      </w:r>
      <w:r>
        <w:rPr>
          <w:rFonts w:eastAsia="Times New Roman"/>
          <w:snapToGrid/>
          <w:szCs w:val="22"/>
          <w:lang w:val="lt-LT"/>
        </w:rPr>
        <w:t> </w:t>
      </w:r>
      <w:r w:rsidRPr="007F1996">
        <w:rPr>
          <w:rFonts w:eastAsia="Times New Roman"/>
          <w:snapToGrid/>
          <w:szCs w:val="22"/>
          <w:lang w:val="lt-LT"/>
        </w:rPr>
        <w:t>dienas Jūsų vaiko savijauta nepagerėjo arba net pablogėjo, kreipkitės į gydytoją.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spacing w:line="240" w:lineRule="auto"/>
        <w:ind w:left="567" w:hanging="567"/>
        <w:outlineLvl w:val="1"/>
        <w:rPr>
          <w:rFonts w:eastAsia="Times New Roman"/>
          <w:b/>
          <w:snapToGrid/>
          <w:szCs w:val="22"/>
          <w:lang w:val="lt-LT"/>
        </w:rPr>
      </w:pPr>
      <w:bookmarkStart w:id="2" w:name="_Toc129243265"/>
      <w:bookmarkStart w:id="3" w:name="_Toc129243140"/>
      <w:r w:rsidRPr="007F1996">
        <w:rPr>
          <w:rFonts w:eastAsia="Times New Roman"/>
          <w:b/>
          <w:snapToGrid/>
          <w:szCs w:val="22"/>
          <w:lang w:val="lt-LT"/>
        </w:rPr>
        <w:t>2.</w:t>
      </w:r>
      <w:r w:rsidRPr="007F1996">
        <w:rPr>
          <w:rFonts w:eastAsia="Times New Roman"/>
          <w:b/>
          <w:snapToGrid/>
          <w:szCs w:val="22"/>
          <w:lang w:val="lt-LT"/>
        </w:rPr>
        <w:tab/>
        <w:t>Kas žinotina prieš vartojant EFFERALGAN</w:t>
      </w:r>
      <w:bookmarkEnd w:id="2"/>
      <w:bookmarkEnd w:id="3"/>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EFFERALGAN vartoti draudžiama:</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jeigu yra alergija (padidėjęs jautrumas) paracetamoliui arba bet kuriai pagalbinei šio vaisto medžiagai (jos išvardytos 6 skyriuje);</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jeigu vaikas serga sunkiu kepenų nepakankamumu arba dekompensuota ūmine kepenų liga;</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jeigu vaikas viduriuoja;</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jeigu neseniai buvo analinės srities arba tiesiosios žarnos uždegimas arba kraujavimas iš tiesiosios žarnos.</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Pr>
          <w:rFonts w:eastAsia="Times New Roman"/>
          <w:snapToGrid/>
          <w:szCs w:val="22"/>
          <w:lang w:val="lt-LT"/>
        </w:rPr>
        <w:t>j</w:t>
      </w:r>
      <w:r w:rsidRPr="007F1996">
        <w:rPr>
          <w:rFonts w:eastAsia="Times New Roman"/>
          <w:snapToGrid/>
          <w:szCs w:val="22"/>
          <w:lang w:val="lt-LT"/>
        </w:rPr>
        <w:t>ei yra padidėjęs jautrumas sojai ar žemės riešutams, šio vaisto vartoti negalima.</w:t>
      </w:r>
      <w:r w:rsidRPr="00D0012B">
        <w:rPr>
          <w:rFonts w:eastAsia="Times New Roman"/>
          <w:snapToGrid/>
          <w:szCs w:val="22"/>
          <w:lang w:val="lt-LT"/>
        </w:rPr>
        <w:t xml:space="preserve"> </w:t>
      </w:r>
      <w:r w:rsidRPr="007F1996">
        <w:rPr>
          <w:rFonts w:eastAsia="Times New Roman"/>
          <w:snapToGrid/>
          <w:szCs w:val="22"/>
          <w:lang w:val="lt-LT"/>
        </w:rPr>
        <w:t>Šio vaisto sudėtyje yra iš sojų aliejaus pagaminto lecitino.</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suppressLineNumbers/>
        <w:tabs>
          <w:tab w:val="clear" w:pos="567"/>
        </w:tabs>
        <w:spacing w:line="240" w:lineRule="auto"/>
        <w:rPr>
          <w:rFonts w:eastAsia="Times New Roman"/>
          <w:b/>
          <w:snapToGrid/>
          <w:szCs w:val="22"/>
          <w:lang w:val="lt-LT"/>
        </w:rPr>
      </w:pPr>
      <w:r w:rsidRPr="007F1996">
        <w:rPr>
          <w:rFonts w:eastAsia="Times New Roman"/>
          <w:b/>
          <w:snapToGrid/>
          <w:szCs w:val="22"/>
          <w:lang w:val="lt-LT"/>
        </w:rPr>
        <w:t>Įspėjimai ir atsargumo priemonės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Pasitarkite su gydytoju arba vaistininku, prieš pradėdami vartoti EFFERALGAN.</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Vartojant didesn</w:t>
      </w:r>
      <w:r>
        <w:rPr>
          <w:rFonts w:eastAsia="Times New Roman"/>
          <w:snapToGrid/>
          <w:szCs w:val="22"/>
          <w:lang w:val="lt-LT"/>
        </w:rPr>
        <w:t>ių</w:t>
      </w:r>
      <w:r w:rsidRPr="007F1996">
        <w:rPr>
          <w:rFonts w:eastAsia="Times New Roman"/>
          <w:snapToGrid/>
          <w:szCs w:val="22"/>
          <w:lang w:val="lt-LT"/>
        </w:rPr>
        <w:t xml:space="preserve"> nei rekomenduojama paracetamolio doz</w:t>
      </w:r>
      <w:r>
        <w:rPr>
          <w:rFonts w:eastAsia="Times New Roman"/>
          <w:snapToGrid/>
          <w:szCs w:val="22"/>
          <w:lang w:val="lt-LT"/>
        </w:rPr>
        <w:t>ių</w:t>
      </w:r>
      <w:r w:rsidRPr="007F1996">
        <w:rPr>
          <w:rFonts w:eastAsia="Times New Roman"/>
          <w:snapToGrid/>
          <w:szCs w:val="22"/>
          <w:lang w:val="lt-LT"/>
        </w:rPr>
        <w:t>, kyla labai sunkaus kepenų pažeidimo rizika. Pirmieji klinikiniai kepenų pažeidimo simptomai paprastai pasireiškia praėjus 1</w:t>
      </w:r>
      <w:r>
        <w:rPr>
          <w:rFonts w:eastAsia="Times New Roman"/>
          <w:snapToGrid/>
          <w:szCs w:val="22"/>
          <w:lang w:val="lt-LT"/>
        </w:rPr>
        <w:t>–</w:t>
      </w:r>
      <w:r w:rsidRPr="007F1996">
        <w:rPr>
          <w:rFonts w:eastAsia="Times New Roman"/>
          <w:snapToGrid/>
          <w:szCs w:val="22"/>
          <w:lang w:val="lt-LT"/>
        </w:rPr>
        <w:t>2 dienoms po paracetamolio perdozavimo. Sunkiausi kepenų pažeidimo simptomai paprastai pasireiškia po 3</w:t>
      </w:r>
      <w:r>
        <w:rPr>
          <w:rFonts w:eastAsia="Times New Roman"/>
          <w:snapToGrid/>
          <w:szCs w:val="22"/>
          <w:lang w:val="lt-LT"/>
        </w:rPr>
        <w:t>–</w:t>
      </w:r>
      <w:r w:rsidRPr="007F1996">
        <w:rPr>
          <w:rFonts w:eastAsia="Times New Roman"/>
          <w:snapToGrid/>
          <w:szCs w:val="22"/>
          <w:lang w:val="lt-LT"/>
        </w:rPr>
        <w:t>4 dienų (žr. 3 skyriaus poskyrį „Ką daryti pavartojus per didelę EFFERALGAN dozę“).</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Paracetamolio būtina vartoti atsargiai šiais atvejais:</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jeigu Jūsų vaikas serga sunkia inkstų liga, (prieš vartojant paracetamol</w:t>
      </w:r>
      <w:r>
        <w:rPr>
          <w:rFonts w:eastAsia="Times New Roman"/>
          <w:snapToGrid/>
          <w:szCs w:val="22"/>
          <w:lang w:val="lt-LT"/>
        </w:rPr>
        <w:t>io</w:t>
      </w:r>
      <w:r w:rsidRPr="007F1996">
        <w:rPr>
          <w:rFonts w:eastAsia="Times New Roman"/>
          <w:snapToGrid/>
          <w:szCs w:val="22"/>
          <w:lang w:val="lt-LT"/>
        </w:rPr>
        <w:t xml:space="preserve"> ar duodant jo vaikui, būtina pasitarti su gydytoju);</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jeigu Jūsų vaikas serga Žilberto sindromu (šeimine hiperbilirubinemija);</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jeigu Jūsų vaikui yra vadinamoji gliukozės-6 fosfato dehidrogenazės (G6FD) stoka (gali pasireikšti raudonųjų kraujo ląstelių irimo sukelta mažakraujystė);</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Jūsų vaikui yra anoreksija, bulimija, išsekimas arba lėtinis mitybos nepakankamumas;</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jeigu gerokai sumažėjęs Jūsų vaiko kūno svoris dėl skysčių netekimo (dehidratacija, hipovolemija);</w:t>
      </w:r>
    </w:p>
    <w:p w:rsidR="00322EEE" w:rsidRPr="007F1996"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jei gydytojas nurodė ištirti šlapimo rūgšties arba cukraus kiekį kraujyje, informuokite jį apie šio vaisto vartojimą;</w:t>
      </w:r>
    </w:p>
    <w:p w:rsidR="00322EEE" w:rsidRDefault="00322EEE" w:rsidP="00322EEE">
      <w:pPr>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kai jaučiamas lokalaus dirginimo požymių ar skausmas analinėje srityje.</w:t>
      </w:r>
    </w:p>
    <w:p w:rsidR="00322EEE"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bookmarkStart w:id="4" w:name="_Hlk188365312"/>
      <w:r>
        <w:rPr>
          <w:rFonts w:eastAsia="Times New Roman"/>
          <w:snapToGrid/>
          <w:szCs w:val="22"/>
          <w:lang w:val="lt-LT"/>
        </w:rPr>
        <w:t xml:space="preserve">Gydymo EFFERALGAN laikotarpiu nedelsdami pasakykite </w:t>
      </w:r>
      <w:r w:rsidRPr="004421D9">
        <w:rPr>
          <w:rFonts w:eastAsia="Times New Roman"/>
          <w:snapToGrid/>
          <w:szCs w:val="22"/>
          <w:lang w:val="lt-LT"/>
        </w:rPr>
        <w:t xml:space="preserve">gydytojui, </w:t>
      </w:r>
      <w:r w:rsidRPr="004421D9">
        <w:rPr>
          <w:rFonts w:eastAsia="Times New Roman"/>
          <w:snapToGrid/>
          <w:szCs w:val="22"/>
          <w:lang w:val="lt-LT" w:eastAsia="lt-LT"/>
        </w:rPr>
        <w:t>jeigu</w:t>
      </w:r>
      <w:bookmarkEnd w:id="4"/>
      <w:r w:rsidRPr="00E17659">
        <w:rPr>
          <w:rFonts w:eastAsia="Times New Roman"/>
          <w:snapToGrid/>
          <w:szCs w:val="22"/>
          <w:lang w:val="lt-LT" w:eastAsia="lt-LT"/>
        </w:rPr>
        <w:t xml:space="preserve"> </w:t>
      </w:r>
      <w:r>
        <w:rPr>
          <w:rFonts w:eastAsia="Times New Roman"/>
          <w:snapToGrid/>
          <w:szCs w:val="22"/>
          <w:lang w:val="lt-LT" w:eastAsia="lt-LT"/>
        </w:rPr>
        <w:t xml:space="preserve">Jūsų vaikas </w:t>
      </w:r>
      <w:r w:rsidRPr="00E17659">
        <w:rPr>
          <w:rFonts w:eastAsia="Times New Roman"/>
          <w:snapToGrid/>
          <w:szCs w:val="22"/>
          <w:lang w:val="lt-LT" w:eastAsia="lt-LT"/>
        </w:rPr>
        <w:t>serga sunkiomis ligomis, įskaitant sunkius inkstų funkcijos sutrikimus arba sepsį (kai į kraują patekus bakterijų ir jų toksinų pažeidžiami organai), netinkamą mitybą, lėtinį alkoholizmą arba jei vartoja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322EEE" w:rsidRPr="007F1996" w:rsidRDefault="00322EEE" w:rsidP="00322EEE">
      <w:pPr>
        <w:tabs>
          <w:tab w:val="clear" w:pos="567"/>
        </w:tabs>
        <w:spacing w:line="240" w:lineRule="auto"/>
        <w:ind w:left="357"/>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Paracetamolis gali sukelti sunkių odos reakcijų, tokių kaip ūminė išplitusi egzanteminė pustuliozė (</w:t>
      </w:r>
      <w:r w:rsidRPr="007F1996">
        <w:rPr>
          <w:rFonts w:eastAsia="Times New Roman"/>
          <w:i/>
          <w:iCs/>
          <w:snapToGrid/>
          <w:szCs w:val="22"/>
          <w:lang w:val="lt-LT"/>
        </w:rPr>
        <w:t>AGEP</w:t>
      </w:r>
      <w:r w:rsidRPr="007F1996">
        <w:rPr>
          <w:rFonts w:eastAsia="Times New Roman"/>
          <w:snapToGrid/>
          <w:szCs w:val="22"/>
          <w:lang w:val="lt-LT"/>
        </w:rPr>
        <w:t>), Stivenso ir Džonsono sindromas ir toksinio epidermio nekrolizė (TEN), kurios gali būti mirtinos. Pacientai turi žinoti apie sunkių odos reakcijų požymius</w:t>
      </w:r>
      <w:r>
        <w:rPr>
          <w:rFonts w:eastAsia="Times New Roman"/>
          <w:snapToGrid/>
          <w:szCs w:val="22"/>
          <w:lang w:val="lt-LT"/>
        </w:rPr>
        <w:t>,</w:t>
      </w:r>
      <w:r w:rsidRPr="007F1996">
        <w:rPr>
          <w:rFonts w:eastAsia="Times New Roman"/>
          <w:snapToGrid/>
          <w:szCs w:val="22"/>
          <w:lang w:val="lt-LT"/>
        </w:rPr>
        <w:t xml:space="preserve"> atsiradus pirmiesiems odos išbėrimo ar bet kokiems kitiems padidėjusio jautrumo požymiams, šio vaisto vartojimą reikia nedelsiant nutraukti.</w:t>
      </w:r>
    </w:p>
    <w:p w:rsidR="00322EEE" w:rsidRPr="00D45A23" w:rsidRDefault="00322EEE" w:rsidP="00322EEE">
      <w:pPr>
        <w:rPr>
          <w:lang w:val="lt-LT"/>
        </w:rPr>
      </w:pPr>
      <w:bookmarkStart w:id="5" w:name="_Hlk92457627"/>
    </w:p>
    <w:p w:rsidR="00322EEE" w:rsidRPr="007F1996" w:rsidRDefault="00322EEE" w:rsidP="00322EEE">
      <w:pPr>
        <w:rPr>
          <w:lang w:val="lt-LT"/>
        </w:rPr>
      </w:pPr>
      <w:r w:rsidRPr="007F1996">
        <w:rPr>
          <w:lang w:val="lt-LT"/>
        </w:rPr>
        <w:t>Ilgą laiką (&gt;</w:t>
      </w:r>
      <w:r>
        <w:rPr>
          <w:lang w:val="lt-LT"/>
        </w:rPr>
        <w:t> </w:t>
      </w:r>
      <w:r w:rsidRPr="007F1996">
        <w:rPr>
          <w:lang w:val="lt-LT"/>
        </w:rPr>
        <w:t>3</w:t>
      </w:r>
      <w:r>
        <w:rPr>
          <w:lang w:val="lt-LT"/>
        </w:rPr>
        <w:t> </w:t>
      </w:r>
      <w:r w:rsidRPr="007F1996">
        <w:rPr>
          <w:lang w:val="lt-LT"/>
        </w:rPr>
        <w:t>mėnesius), kas dvi dienas ar dažniau, vartojant skausmą malšinančių vaistų pacientams, sergantiems lėtiniu galvos skausmu, gali atsirasti arba paūmėti galvos skausmas. Galvos skausmas, sukeltas dėl per didelio vaistinių preparatų vartojimo (</w:t>
      </w:r>
      <w:r w:rsidRPr="007F1996">
        <w:rPr>
          <w:i/>
          <w:iCs/>
          <w:lang w:val="lt-LT"/>
        </w:rPr>
        <w:t xml:space="preserve">MOH </w:t>
      </w:r>
      <w:r w:rsidRPr="007F1996">
        <w:rPr>
          <w:i/>
          <w:iCs/>
          <w:szCs w:val="22"/>
          <w:lang w:val="lt-LT" w:eastAsia="en-GB"/>
        </w:rPr>
        <w:t>— Medication-Overuse Headache</w:t>
      </w:r>
      <w:r w:rsidRPr="007F1996">
        <w:rPr>
          <w:lang w:val="lt-LT"/>
        </w:rPr>
        <w:t>), neturėtų būti gydomas didinant dozę. Tokiais atvejais, pasikonsultavus su vaiko gydytoju, skausmą malšinančių vaistų vartojimą reikia nutraukti.</w:t>
      </w:r>
    </w:p>
    <w:bookmarkEnd w:id="5"/>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Kiti vaistai ir EFFERALGAN</w:t>
      </w:r>
    </w:p>
    <w:p w:rsidR="00322EEE" w:rsidRPr="007F1996" w:rsidRDefault="00322EEE" w:rsidP="00322EEE">
      <w:pPr>
        <w:tabs>
          <w:tab w:val="clear" w:pos="567"/>
        </w:tabs>
        <w:spacing w:line="240" w:lineRule="auto"/>
        <w:rPr>
          <w:rFonts w:eastAsia="Times New Roman"/>
          <w:i/>
          <w:snapToGrid/>
          <w:szCs w:val="22"/>
          <w:lang w:val="lt-LT"/>
        </w:rPr>
      </w:pPr>
      <w:r w:rsidRPr="007F1996">
        <w:rPr>
          <w:rFonts w:eastAsia="Times New Roman"/>
          <w:snapToGrid/>
          <w:szCs w:val="22"/>
          <w:lang w:val="lt-LT"/>
        </w:rPr>
        <w:t>Jeigu Jūsų vaikas vartoja arba neseniai vartojo kitų vaistų arba dėl to nesate tikri, apie tai pasakykite gydytojui</w:t>
      </w:r>
      <w:r>
        <w:rPr>
          <w:rFonts w:eastAsia="Times New Roman"/>
          <w:snapToGrid/>
          <w:szCs w:val="22"/>
          <w:lang w:val="lt-LT"/>
        </w:rPr>
        <w:t xml:space="preserve"> arba vaistininkui</w:t>
      </w:r>
      <w:r w:rsidRPr="007F1996">
        <w:rPr>
          <w:rFonts w:eastAsia="Times New Roman"/>
          <w:snapToGrid/>
          <w:szCs w:val="22"/>
          <w:lang w:val="lt-LT"/>
        </w:rPr>
        <w:t>.</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Jei kartu su paracetamoliu vartojama kitų vaistų</w:t>
      </w:r>
      <w:r w:rsidRPr="007F1996">
        <w:rPr>
          <w:rFonts w:eastAsia="Times New Roman"/>
          <w:i/>
          <w:snapToGrid/>
          <w:szCs w:val="22"/>
          <w:lang w:val="lt-LT"/>
        </w:rPr>
        <w:t xml:space="preserve">, </w:t>
      </w:r>
      <w:r w:rsidRPr="00D45A23">
        <w:rPr>
          <w:rFonts w:eastAsia="Times New Roman"/>
          <w:iCs/>
          <w:snapToGrid/>
          <w:szCs w:val="22"/>
          <w:lang w:val="lt-LT"/>
        </w:rPr>
        <w:t xml:space="preserve">kurie </w:t>
      </w:r>
      <w:r w:rsidRPr="007F1996">
        <w:rPr>
          <w:rFonts w:eastAsia="Times New Roman"/>
          <w:iCs/>
          <w:snapToGrid/>
          <w:szCs w:val="22"/>
          <w:lang w:val="lt-LT"/>
        </w:rPr>
        <w:t xml:space="preserve">specifiškai </w:t>
      </w:r>
      <w:r w:rsidRPr="00D45A23">
        <w:rPr>
          <w:rFonts w:eastAsia="Times New Roman"/>
          <w:iCs/>
          <w:snapToGrid/>
          <w:szCs w:val="22"/>
          <w:lang w:val="lt-LT"/>
        </w:rPr>
        <w:t xml:space="preserve">aktyvina kepenų </w:t>
      </w:r>
      <w:r w:rsidRPr="007F1996">
        <w:rPr>
          <w:rFonts w:eastAsia="Times New Roman"/>
          <w:iCs/>
          <w:snapToGrid/>
          <w:szCs w:val="22"/>
          <w:lang w:val="lt-LT"/>
        </w:rPr>
        <w:t>ląsteles, p</w:t>
      </w:r>
      <w:r w:rsidRPr="007F1996">
        <w:rPr>
          <w:rFonts w:eastAsia="Times New Roman"/>
          <w:snapToGrid/>
          <w:szCs w:val="22"/>
          <w:lang w:val="lt-LT"/>
        </w:rPr>
        <w:t xml:space="preserve">avyzdžiui, tam tikrų rūšių migdomųjų ir antiepilepsinių vaistų (įskaitant </w:t>
      </w:r>
      <w:r w:rsidRPr="00D45A23">
        <w:rPr>
          <w:rFonts w:eastAsia="Times New Roman"/>
          <w:snapToGrid/>
          <w:szCs w:val="22"/>
          <w:lang w:val="lt-LT"/>
        </w:rPr>
        <w:t>fenobarbital</w:t>
      </w:r>
      <w:r w:rsidRPr="007F1996">
        <w:rPr>
          <w:rFonts w:eastAsia="Times New Roman"/>
          <w:snapToGrid/>
          <w:szCs w:val="22"/>
          <w:lang w:val="lt-LT"/>
        </w:rPr>
        <w:t>į</w:t>
      </w:r>
      <w:r w:rsidRPr="00D45A23">
        <w:rPr>
          <w:rFonts w:eastAsia="Times New Roman"/>
          <w:snapToGrid/>
          <w:szCs w:val="22"/>
          <w:lang w:val="lt-LT"/>
        </w:rPr>
        <w:t>, fenitoin</w:t>
      </w:r>
      <w:r w:rsidRPr="007F1996">
        <w:rPr>
          <w:rFonts w:eastAsia="Times New Roman"/>
          <w:snapToGrid/>
          <w:szCs w:val="22"/>
          <w:lang w:val="lt-LT"/>
        </w:rPr>
        <w:t>ą</w:t>
      </w:r>
      <w:r w:rsidRPr="00D45A23">
        <w:rPr>
          <w:rFonts w:eastAsia="Times New Roman"/>
          <w:snapToGrid/>
          <w:szCs w:val="22"/>
          <w:lang w:val="lt-LT"/>
        </w:rPr>
        <w:t>, karbamazepin</w:t>
      </w:r>
      <w:r w:rsidRPr="007F1996">
        <w:rPr>
          <w:rFonts w:eastAsia="Times New Roman"/>
          <w:snapToGrid/>
          <w:szCs w:val="22"/>
          <w:lang w:val="lt-LT"/>
        </w:rPr>
        <w:t>ą</w:t>
      </w:r>
      <w:r w:rsidRPr="00D45A23">
        <w:rPr>
          <w:rFonts w:eastAsia="Times New Roman"/>
          <w:snapToGrid/>
          <w:szCs w:val="22"/>
          <w:lang w:val="lt-LT"/>
        </w:rPr>
        <w:t>)</w:t>
      </w:r>
      <w:r w:rsidRPr="007F1996">
        <w:rPr>
          <w:rFonts w:eastAsia="Times New Roman"/>
          <w:snapToGrid/>
          <w:szCs w:val="22"/>
          <w:lang w:val="lt-LT"/>
        </w:rPr>
        <w:t xml:space="preserve"> bei antibakterinių vaistų (</w:t>
      </w:r>
      <w:r w:rsidRPr="00D45A23">
        <w:rPr>
          <w:rFonts w:eastAsia="Times New Roman"/>
          <w:snapToGrid/>
          <w:szCs w:val="22"/>
          <w:lang w:val="lt-LT"/>
        </w:rPr>
        <w:t>izoniazido, rifampicino</w:t>
      </w:r>
      <w:r w:rsidRPr="007F1996">
        <w:rPr>
          <w:rFonts w:eastAsia="Times New Roman"/>
          <w:snapToGrid/>
          <w:szCs w:val="22"/>
          <w:lang w:val="lt-LT"/>
        </w:rPr>
        <w:t>), net paprastai nekenksmingomis laikomos paracetamolio dozės gali pažeisti kepenis.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Kartu su paracetamoliu vartojamo </w:t>
      </w:r>
      <w:r w:rsidRPr="00D45A23">
        <w:rPr>
          <w:rFonts w:eastAsia="Times New Roman"/>
          <w:iCs/>
          <w:snapToGrid/>
          <w:szCs w:val="22"/>
          <w:lang w:val="lt-LT"/>
        </w:rPr>
        <w:t>chloramfenikolio</w:t>
      </w:r>
      <w:r w:rsidRPr="007F1996">
        <w:rPr>
          <w:rFonts w:eastAsia="Times New Roman"/>
          <w:snapToGrid/>
          <w:szCs w:val="22"/>
          <w:lang w:val="lt-LT"/>
        </w:rPr>
        <w:t xml:space="preserve"> šalinimas gerokai sulėtėja, todėl gali padidėti toksinio poveikio rizika.</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Paracetamolio vartojant kartu su zidovudinu, gali padidėti sunkių kraujodaros sutrikimų (neutropenijos) rizika, todėl paracetamolį kartu su zidovudinu galima vartoti kartu tik gydytojui nurodžius.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Kraujo krešėjimą slopinantys vaistai. Ilgai ir reguliariai vartojant paracetamol</w:t>
      </w:r>
      <w:r>
        <w:rPr>
          <w:rFonts w:eastAsia="Times New Roman"/>
          <w:snapToGrid/>
          <w:szCs w:val="22"/>
          <w:lang w:val="lt-LT"/>
        </w:rPr>
        <w:t>io</w:t>
      </w:r>
      <w:r w:rsidRPr="007F1996">
        <w:rPr>
          <w:rFonts w:eastAsia="Times New Roman"/>
          <w:snapToGrid/>
          <w:szCs w:val="22"/>
          <w:lang w:val="lt-LT"/>
        </w:rPr>
        <w:t xml:space="preserve"> kartu su kumarinais, įskaitant varfariną, gali šiek tiek svyruoti tarptautinio normalizuoto santykio (TNS) rodmenys. Tokiu atveju reikia dažniau tikrinti TNS rodmenis tuo laikotarpiu, kai minėtų vaistų vartojama kartu ir vieną savaitę po to, kai nutraukiamas gydymas paracetamoliu. Ilgalaikis ir reguliarus paracetamolio vartojimas kartu su geriamaisiais kraujo krešėjimą mažinančiais vaistais gali lemti nedidelius TNS rodmenų pokyčius ir kraujavimo rizikos padidėjimą. </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Probenecidas beveik du kartus sumažina paracetamolio išskyrimą, nes slopina jo jungimąsi su gliukurono rūgštimi. Vartojant paracetamolio kartu su probenecidu, reikėtų apsvarstyti galimybę sumažinti paracetamolio dozę.</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Paracetamolio pasisavinimą mažina cholestiraminas.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Paracetamolis, vartojamas kartu su monoaminooksidazės inhibitoriais</w:t>
      </w:r>
      <w:r>
        <w:rPr>
          <w:rFonts w:eastAsia="Times New Roman"/>
          <w:snapToGrid/>
          <w:szCs w:val="22"/>
          <w:lang w:val="lt-LT"/>
        </w:rPr>
        <w:t xml:space="preserve"> (MAO inhibitoriais)</w:t>
      </w:r>
      <w:r w:rsidRPr="007F1996">
        <w:rPr>
          <w:rFonts w:eastAsia="Times New Roman"/>
          <w:snapToGrid/>
          <w:szCs w:val="22"/>
          <w:lang w:val="lt-LT"/>
        </w:rPr>
        <w:t>, gali sukelti padidėjusį susijaudinimą ir karščiavimą.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Jei paracetamolio kartu vartojama su virškinimo trakto motoriką skatinančiais vaistais, pvz., metoklopramidu, gali pagreitėti per burną vartojamo paracetamolio pasisavinimas ir jo veikimo pradžia.</w:t>
      </w:r>
    </w:p>
    <w:p w:rsidR="00322EEE" w:rsidRPr="007F1996" w:rsidRDefault="00322EEE" w:rsidP="00322EEE">
      <w:pPr>
        <w:tabs>
          <w:tab w:val="clear" w:pos="567"/>
        </w:tabs>
        <w:spacing w:line="240" w:lineRule="auto"/>
        <w:rPr>
          <w:rFonts w:eastAsia="Times New Roman"/>
          <w:snapToGrid/>
          <w:szCs w:val="22"/>
          <w:lang w:val="lt-LT"/>
        </w:rPr>
      </w:pPr>
    </w:p>
    <w:p w:rsidR="00322EEE" w:rsidRPr="00D408D7" w:rsidRDefault="00322EEE" w:rsidP="00322EEE">
      <w:pPr>
        <w:spacing w:line="240" w:lineRule="auto"/>
        <w:rPr>
          <w:rFonts w:eastAsia="Times New Roman"/>
          <w:snapToGrid/>
          <w:szCs w:val="22"/>
          <w:lang w:val="lt-LT"/>
        </w:rPr>
      </w:pPr>
      <w:r w:rsidRPr="004421D9">
        <w:rPr>
          <w:rFonts w:eastAsia="Times New Roman"/>
          <w:snapToGrid/>
          <w:szCs w:val="22"/>
          <w:lang w:val="lt-LT"/>
        </w:rPr>
        <w:t>Pasakykite gydytojui arba vaistininkui, jeigu Jūsų vaikas vartoja: flukloksaciliną</w:t>
      </w:r>
      <w:r w:rsidRPr="007F1996">
        <w:rPr>
          <w:rFonts w:eastAsia="Times New Roman"/>
          <w:snapToGrid/>
          <w:szCs w:val="22"/>
          <w:lang w:val="lt-LT"/>
        </w:rPr>
        <w:t xml:space="preserve"> (antibiotik</w:t>
      </w:r>
      <w:r>
        <w:rPr>
          <w:rFonts w:eastAsia="Times New Roman"/>
          <w:snapToGrid/>
          <w:szCs w:val="22"/>
          <w:lang w:val="lt-LT"/>
        </w:rPr>
        <w:t>ą</w:t>
      </w:r>
      <w:r w:rsidRPr="007F1996">
        <w:rPr>
          <w:rFonts w:eastAsia="Times New Roman"/>
          <w:snapToGrid/>
          <w:szCs w:val="22"/>
          <w:lang w:val="lt-LT"/>
        </w:rPr>
        <w:t xml:space="preserve">) </w:t>
      </w:r>
      <w:r>
        <w:rPr>
          <w:rFonts w:eastAsia="Times New Roman"/>
          <w:snapToGrid/>
          <w:szCs w:val="22"/>
          <w:lang w:val="lt-LT"/>
        </w:rPr>
        <w:t xml:space="preserve">dėl didelės kraujo ir skysčių tyrimų nenormalių rodiklių (vadinamos </w:t>
      </w:r>
      <w:r w:rsidRPr="007F1996">
        <w:rPr>
          <w:rFonts w:eastAsia="Times New Roman"/>
          <w:snapToGrid/>
          <w:szCs w:val="22"/>
          <w:lang w:val="lt-LT"/>
        </w:rPr>
        <w:t>metabolin</w:t>
      </w:r>
      <w:r>
        <w:rPr>
          <w:rFonts w:eastAsia="Times New Roman"/>
          <w:snapToGrid/>
          <w:szCs w:val="22"/>
          <w:lang w:val="lt-LT"/>
        </w:rPr>
        <w:t>ės</w:t>
      </w:r>
      <w:r w:rsidRPr="007F1996">
        <w:rPr>
          <w:rFonts w:eastAsia="Times New Roman"/>
          <w:snapToGrid/>
          <w:szCs w:val="22"/>
          <w:lang w:val="lt-LT"/>
        </w:rPr>
        <w:t xml:space="preserve"> acidoz</w:t>
      </w:r>
      <w:r>
        <w:rPr>
          <w:rFonts w:eastAsia="Times New Roman"/>
          <w:snapToGrid/>
          <w:szCs w:val="22"/>
          <w:lang w:val="lt-LT"/>
        </w:rPr>
        <w:t>ės</w:t>
      </w:r>
      <w:r w:rsidRPr="007F1996">
        <w:rPr>
          <w:rFonts w:eastAsia="Times New Roman"/>
          <w:snapToGrid/>
          <w:szCs w:val="22"/>
          <w:lang w:val="lt-LT"/>
        </w:rPr>
        <w:t xml:space="preserve">) </w:t>
      </w:r>
      <w:r w:rsidRPr="00D408D7">
        <w:rPr>
          <w:rFonts w:eastAsia="Times New Roman"/>
          <w:snapToGrid/>
          <w:szCs w:val="22"/>
          <w:lang w:val="lt-LT"/>
        </w:rPr>
        <w:t>rizikos (žr. 2 skyrių), kurią reikia skubiai gydyti.</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D45A23">
        <w:rPr>
          <w:rFonts w:eastAsia="Times New Roman"/>
          <w:b/>
          <w:bCs/>
          <w:i/>
          <w:iCs/>
          <w:snapToGrid/>
          <w:szCs w:val="22"/>
          <w:lang w:val="lt-LT"/>
        </w:rPr>
        <w:t>Saveika su laboratoriniais tyrimais</w:t>
      </w:r>
      <w:r w:rsidRPr="007F1996">
        <w:rPr>
          <w:rFonts w:eastAsia="Times New Roman"/>
          <w:snapToGrid/>
          <w:szCs w:val="22"/>
          <w:lang w:val="lt-LT"/>
        </w:rPr>
        <w:t xml:space="preserve">. </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Vartojant paracetamolio, gali būti netikslūs šlapimo rūgšties kiekio kraujyje (fosfotungsto rūgšties metodu) ir gliukozės kiekio kraujyje (oksidazės-peroksidazės metodu) tyrimų rezultatai.</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EFFERALGAN negalima vartoti kartu su kitais vaistais, kurių sudėtyje yra paracetamolio, kad nebūtų viršyta rekomenduojama paros dozė. </w:t>
      </w:r>
    </w:p>
    <w:p w:rsidR="00322EEE" w:rsidRPr="007F1996" w:rsidRDefault="00322EEE" w:rsidP="00322EEE">
      <w:pPr>
        <w:tabs>
          <w:tab w:val="clear" w:pos="567"/>
        </w:tabs>
        <w:spacing w:line="240" w:lineRule="auto"/>
        <w:rPr>
          <w:rFonts w:eastAsia="Times New Roman"/>
          <w:bCs/>
          <w:snapToGrid/>
          <w:szCs w:val="22"/>
          <w:lang w:val="lt-LT"/>
        </w:rPr>
      </w:pPr>
      <w:r w:rsidRPr="007F1996">
        <w:rPr>
          <w:rFonts w:eastAsia="Times New Roman"/>
          <w:snapToGrid/>
          <w:szCs w:val="22"/>
          <w:lang w:val="lt-LT"/>
        </w:rPr>
        <w:t xml:space="preserve">Paracetamolio vartoti kartu su acetilsalicilo rūgštimi ar kitais skausmą malšinančiais </w:t>
      </w:r>
      <w:r>
        <w:rPr>
          <w:rFonts w:eastAsia="Times New Roman"/>
          <w:snapToGrid/>
          <w:szCs w:val="22"/>
          <w:lang w:val="lt-LT"/>
        </w:rPr>
        <w:t>vaistais</w:t>
      </w:r>
      <w:r w:rsidRPr="007F1996">
        <w:rPr>
          <w:rFonts w:eastAsia="Times New Roman"/>
          <w:snapToGrid/>
          <w:szCs w:val="22"/>
          <w:lang w:val="lt-LT"/>
        </w:rPr>
        <w:t xml:space="preserve"> nerekomenduojama.</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b/>
          <w:snapToGrid/>
          <w:szCs w:val="22"/>
          <w:lang w:val="lt-LT"/>
        </w:rPr>
      </w:pPr>
      <w:r w:rsidRPr="007F1996">
        <w:rPr>
          <w:rFonts w:eastAsia="Times New Roman"/>
          <w:b/>
          <w:snapToGrid/>
          <w:szCs w:val="22"/>
          <w:lang w:val="lt-LT"/>
        </w:rPr>
        <w:t>Nėštumas ir žindymo laikotarpis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Šis vaistas skirtas vartoti vaikams.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Prieš vartojant bet kokį vaistą, būtina pasitarti su gydytoju arba vaistininku.</w:t>
      </w:r>
    </w:p>
    <w:p w:rsidR="00322EEE" w:rsidRPr="007F1996" w:rsidRDefault="00322EEE" w:rsidP="00322EEE">
      <w:pPr>
        <w:tabs>
          <w:tab w:val="clear" w:pos="567"/>
        </w:tabs>
        <w:spacing w:line="240" w:lineRule="auto"/>
        <w:rPr>
          <w:rFonts w:eastAsia="Times New Roman"/>
          <w:snapToGrid/>
          <w:szCs w:val="22"/>
          <w:lang w:val="lt-LT"/>
        </w:rPr>
      </w:pPr>
      <w:r w:rsidRPr="007F1996">
        <w:rPr>
          <w:lang w:val="lt-LT"/>
        </w:rPr>
        <w:t>Jei būtina, paracetamol</w:t>
      </w:r>
      <w:r>
        <w:rPr>
          <w:lang w:val="lt-LT"/>
        </w:rPr>
        <w:t>io</w:t>
      </w:r>
      <w:r w:rsidRPr="007F1996">
        <w:rPr>
          <w:lang w:val="lt-LT"/>
        </w:rPr>
        <w:t xml:space="preserve"> galima vartoti nėštumo metu, tačiau būtina vartoti mažiausią veiksmingą dozę kuo trumpesnį laikotarpį ir kuo rečiau. Jeigu skausmas ir (arba) karščiavimas nemažėja arba Jums reikia dažniau vartoti šio vaisto, kreipkitės į savo gydytoją.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b/>
          <w:snapToGrid/>
          <w:szCs w:val="22"/>
          <w:lang w:val="lt-LT"/>
        </w:rPr>
      </w:pPr>
      <w:r w:rsidRPr="007F1996">
        <w:rPr>
          <w:rFonts w:eastAsia="Times New Roman"/>
          <w:b/>
          <w:snapToGrid/>
          <w:szCs w:val="22"/>
          <w:lang w:val="lt-LT"/>
        </w:rPr>
        <w:t>Vairavimas ir mechanizmų valdymas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Šis vaistas skirtas vartoti vaikams. Poveikio su reakcija susijusiems įgūdžiams nepastebėta.</w:t>
      </w:r>
    </w:p>
    <w:p w:rsidR="00322EEE" w:rsidRPr="007F1996" w:rsidRDefault="00322EEE" w:rsidP="00322EEE">
      <w:pPr>
        <w:tabs>
          <w:tab w:val="clear" w:pos="567"/>
        </w:tabs>
        <w:spacing w:line="240" w:lineRule="auto"/>
        <w:rPr>
          <w:rFonts w:eastAsia="Times New Roman"/>
          <w:snapToGrid/>
          <w:szCs w:val="22"/>
          <w:lang w:val="lt-LT"/>
        </w:rPr>
      </w:pPr>
    </w:p>
    <w:p w:rsidR="00322EEE" w:rsidRPr="00EC0735" w:rsidRDefault="00322EEE" w:rsidP="00322EEE">
      <w:pPr>
        <w:rPr>
          <w:b/>
          <w:lang w:val="lt-LT"/>
        </w:rPr>
      </w:pPr>
      <w:r w:rsidRPr="00D45A23">
        <w:rPr>
          <w:b/>
          <w:bCs/>
          <w:caps/>
          <w:lang w:val="lt-LT"/>
        </w:rPr>
        <w:t>EFFERALGAN</w:t>
      </w:r>
      <w:r w:rsidRPr="00D45A23">
        <w:rPr>
          <w:b/>
          <w:bCs/>
          <w:lang w:val="lt-LT"/>
        </w:rPr>
        <w:t xml:space="preserve"> sudėtyje yra sojų lecitino</w:t>
      </w:r>
    </w:p>
    <w:p w:rsidR="00322EEE" w:rsidRPr="007F1996" w:rsidRDefault="00322EEE" w:rsidP="00322EEE">
      <w:pPr>
        <w:pStyle w:val="PI-3EMEASMCA"/>
      </w:pPr>
      <w:r w:rsidRPr="00C046A2">
        <w:t>Jei esate alergiškas (alergiška) žemės riešutams arba sojai, Jums šio vaisto vartoti negalima.</w:t>
      </w:r>
    </w:p>
    <w:p w:rsidR="00322EEE" w:rsidRPr="007F1996" w:rsidRDefault="00322EEE" w:rsidP="00322EEE">
      <w:pPr>
        <w:keepNext/>
        <w:keepLines/>
        <w:tabs>
          <w:tab w:val="clear" w:pos="567"/>
        </w:tabs>
        <w:spacing w:line="240" w:lineRule="auto"/>
        <w:ind w:left="567" w:hanging="567"/>
        <w:outlineLvl w:val="0"/>
        <w:rPr>
          <w:rFonts w:eastAsia="Times New Roman"/>
          <w:b/>
          <w:caps/>
          <w:snapToGrid/>
          <w:szCs w:val="22"/>
          <w:lang w:val="lt-LT"/>
        </w:rPr>
      </w:pPr>
    </w:p>
    <w:p w:rsidR="00322EEE" w:rsidRPr="007F1996" w:rsidRDefault="00322EEE" w:rsidP="00322EEE">
      <w:pPr>
        <w:keepNext/>
        <w:keepLines/>
        <w:tabs>
          <w:tab w:val="clear" w:pos="567"/>
        </w:tabs>
        <w:spacing w:line="240" w:lineRule="auto"/>
        <w:ind w:left="567" w:hanging="567"/>
        <w:outlineLvl w:val="0"/>
        <w:rPr>
          <w:rFonts w:eastAsia="Times New Roman"/>
          <w:b/>
          <w:caps/>
          <w:snapToGrid/>
          <w:szCs w:val="22"/>
          <w:lang w:val="lt-LT"/>
        </w:rPr>
      </w:pPr>
    </w:p>
    <w:p w:rsidR="00322EEE" w:rsidRPr="007F1996" w:rsidRDefault="00322EEE" w:rsidP="00322EEE">
      <w:pPr>
        <w:keepNext/>
        <w:keepLines/>
        <w:tabs>
          <w:tab w:val="clear" w:pos="567"/>
        </w:tabs>
        <w:spacing w:line="240" w:lineRule="auto"/>
        <w:ind w:left="567" w:hanging="567"/>
        <w:outlineLvl w:val="0"/>
        <w:rPr>
          <w:rFonts w:eastAsia="Times New Roman"/>
          <w:b/>
          <w:caps/>
          <w:snapToGrid/>
          <w:szCs w:val="22"/>
          <w:lang w:val="lt-LT"/>
        </w:rPr>
      </w:pPr>
      <w:r w:rsidRPr="007F1996">
        <w:rPr>
          <w:rFonts w:eastAsia="Times New Roman"/>
          <w:b/>
          <w:caps/>
          <w:snapToGrid/>
          <w:szCs w:val="22"/>
          <w:lang w:val="lt-LT"/>
        </w:rPr>
        <w:t>3.</w:t>
      </w:r>
      <w:r w:rsidRPr="007F1996">
        <w:rPr>
          <w:rFonts w:eastAsia="Times New Roman"/>
          <w:b/>
          <w:caps/>
          <w:snapToGrid/>
          <w:szCs w:val="22"/>
          <w:lang w:val="lt-LT"/>
        </w:rPr>
        <w:tab/>
      </w:r>
      <w:r w:rsidRPr="007F1996">
        <w:rPr>
          <w:rFonts w:eastAsia="Times New Roman"/>
          <w:b/>
          <w:snapToGrid/>
          <w:szCs w:val="22"/>
          <w:lang w:val="lt-LT"/>
        </w:rPr>
        <w:t xml:space="preserve">Kaip vartoti </w:t>
      </w:r>
      <w:r w:rsidRPr="007F1996">
        <w:rPr>
          <w:rFonts w:eastAsia="Times New Roman"/>
          <w:b/>
          <w:caps/>
          <w:snapToGrid/>
          <w:szCs w:val="22"/>
          <w:lang w:val="lt-LT"/>
        </w:rPr>
        <w:t>EFFERALGAN</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ind w:right="-2"/>
        <w:rPr>
          <w:snapToGrid/>
          <w:szCs w:val="22"/>
          <w:lang w:val="lt-LT" w:eastAsia="lt-LT"/>
        </w:rPr>
      </w:pPr>
      <w:r w:rsidRPr="00D45A23">
        <w:rPr>
          <w:noProof/>
          <w:lang w:val="lt-LT"/>
        </w:rPr>
        <w:t>Visada vartokite šį vaistą tiksliai, kaip nurodė gydytojas arba vaistininkas.</w:t>
      </w:r>
      <w:r w:rsidRPr="00D45A23">
        <w:rPr>
          <w:lang w:val="lt-LT"/>
        </w:rPr>
        <w:t xml:space="preserve"> </w:t>
      </w:r>
      <w:r w:rsidRPr="007F1996">
        <w:rPr>
          <w:noProof/>
          <w:lang w:val="lt-LT"/>
        </w:rPr>
        <w:t>Jeigu abejojate, kreipkitės į gydytoją, arba vaistininką.</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Vartoti į tiesiąją žarną.</w:t>
      </w:r>
    </w:p>
    <w:p w:rsidR="00322EEE" w:rsidRPr="007F1996" w:rsidRDefault="00322EEE" w:rsidP="00322EEE">
      <w:pPr>
        <w:tabs>
          <w:tab w:val="clear" w:pos="567"/>
        </w:tabs>
        <w:spacing w:line="240" w:lineRule="auto"/>
        <w:rPr>
          <w:rFonts w:eastAsia="Times New Roman"/>
          <w:b/>
          <w:snapToGrid/>
          <w:szCs w:val="22"/>
          <w:lang w:val="lt-LT"/>
        </w:rPr>
      </w:pPr>
    </w:p>
    <w:p w:rsidR="00322EEE" w:rsidRPr="00D45A23" w:rsidRDefault="00322EEE" w:rsidP="00322EEE">
      <w:pPr>
        <w:rPr>
          <w:snapToGrid/>
          <w:u w:val="single"/>
          <w:lang w:val="lt-LT"/>
        </w:rPr>
      </w:pPr>
      <w:r w:rsidRPr="00D45A23">
        <w:rPr>
          <w:snapToGrid/>
          <w:u w:val="single"/>
          <w:lang w:val="lt-LT"/>
        </w:rPr>
        <w:t>Dozavimas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Rekomenduojama maksimali paros dozė – 60 mg/kg. Ji padalijama į 4 lygias vienkartines dozes, t. y. vartojama maždaug po 15 mg/kg kas 6 val. Negalima vartoti dažniau kaip kas 6 val.</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Pasverkite vaiką, kad galėtumėte parinkti tinkamiausią dozę. Paracetamolis tiekiamas įvairių stiprumų, todėl kiekvienam vaikui galima parinkti tinkamą vaistą pagal kūno svorį. Apytiksliai nurodytas amžius pagal vaiko svorį gali skirtis.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D45A23">
        <w:rPr>
          <w:rFonts w:eastAsia="Times New Roman"/>
          <w:b/>
          <w:snapToGrid/>
          <w:szCs w:val="22"/>
          <w:lang w:val="lt-LT"/>
        </w:rPr>
        <w:t>EFFERALGAN 80 mg žvakutės</w:t>
      </w:r>
      <w:r w:rsidRPr="007F1996">
        <w:rPr>
          <w:rFonts w:eastAsia="Times New Roman"/>
          <w:snapToGrid/>
          <w:szCs w:val="22"/>
          <w:lang w:val="lt-LT"/>
        </w:rPr>
        <w:t xml:space="preserve"> tinka tik </w:t>
      </w:r>
      <w:r w:rsidRPr="00D45A23">
        <w:rPr>
          <w:rFonts w:eastAsia="Times New Roman"/>
          <w:b/>
          <w:bCs/>
          <w:snapToGrid/>
          <w:szCs w:val="22"/>
          <w:lang w:val="lt-LT"/>
        </w:rPr>
        <w:t>nuo 5 iki &lt; 10 kg</w:t>
      </w:r>
      <w:r w:rsidRPr="007F1996">
        <w:rPr>
          <w:rFonts w:eastAsia="Times New Roman"/>
          <w:b/>
          <w:snapToGrid/>
          <w:szCs w:val="22"/>
          <w:lang w:val="lt-LT"/>
        </w:rPr>
        <w:t xml:space="preserve"> </w:t>
      </w:r>
      <w:r w:rsidRPr="007F1996">
        <w:rPr>
          <w:rFonts w:eastAsia="Times New Roman"/>
          <w:snapToGrid/>
          <w:szCs w:val="22"/>
          <w:lang w:val="lt-LT"/>
        </w:rPr>
        <w:t>svorio (maždaug nuo 2 iki &lt;</w:t>
      </w:r>
      <w:r>
        <w:rPr>
          <w:rFonts w:eastAsia="Times New Roman"/>
          <w:snapToGrid/>
          <w:szCs w:val="22"/>
          <w:lang w:val="lt-LT"/>
        </w:rPr>
        <w:t> </w:t>
      </w:r>
      <w:r w:rsidRPr="007F1996">
        <w:rPr>
          <w:rFonts w:eastAsia="Times New Roman"/>
          <w:snapToGrid/>
          <w:szCs w:val="22"/>
          <w:lang w:val="lt-LT"/>
        </w:rPr>
        <w:t>24 mėn.) kūdikiams, vienkartinė dozė yra viena 80 mg žvakutė. Jei reikia, dozę galima kartotinai vartoti kas 6 valandas, maksimali paros dozė yra 4 žvakutės.</w:t>
      </w:r>
    </w:p>
    <w:p w:rsidR="00322EEE" w:rsidRPr="007F1996" w:rsidRDefault="00322EEE" w:rsidP="00322EEE">
      <w:pPr>
        <w:tabs>
          <w:tab w:val="clear" w:pos="567"/>
        </w:tabs>
        <w:spacing w:line="240" w:lineRule="auto"/>
        <w:rPr>
          <w:rFonts w:eastAsia="Times New Roman"/>
          <w:snapToGrid/>
          <w:szCs w:val="22"/>
          <w:lang w:val="lt-LT"/>
        </w:rPr>
      </w:pPr>
      <w:r w:rsidRPr="00D45A23">
        <w:rPr>
          <w:rFonts w:eastAsia="Times New Roman"/>
          <w:b/>
          <w:snapToGrid/>
          <w:szCs w:val="22"/>
          <w:lang w:val="lt-LT"/>
        </w:rPr>
        <w:t>EFFERALGAN 150 mg žvakutės</w:t>
      </w:r>
      <w:r w:rsidRPr="007F1996">
        <w:rPr>
          <w:rFonts w:eastAsia="Times New Roman"/>
          <w:snapToGrid/>
          <w:szCs w:val="22"/>
          <w:lang w:val="lt-LT"/>
        </w:rPr>
        <w:t xml:space="preserve"> tinka tik </w:t>
      </w:r>
      <w:r w:rsidRPr="00D45A23">
        <w:rPr>
          <w:rFonts w:eastAsia="Times New Roman"/>
          <w:b/>
          <w:bCs/>
          <w:snapToGrid/>
          <w:szCs w:val="22"/>
          <w:lang w:val="lt-LT"/>
        </w:rPr>
        <w:t>nuo 10 iki &lt; 15 kg</w:t>
      </w:r>
      <w:r w:rsidRPr="007F1996">
        <w:rPr>
          <w:rFonts w:eastAsia="Times New Roman"/>
          <w:snapToGrid/>
          <w:szCs w:val="22"/>
          <w:lang w:val="lt-LT"/>
        </w:rPr>
        <w:t xml:space="preserve"> svorio (maždaug nuo 24</w:t>
      </w:r>
      <w:r>
        <w:rPr>
          <w:rFonts w:eastAsia="Times New Roman"/>
          <w:snapToGrid/>
          <w:szCs w:val="22"/>
          <w:lang w:val="lt-LT"/>
        </w:rPr>
        <w:t> </w:t>
      </w:r>
      <w:r w:rsidRPr="007F1996">
        <w:rPr>
          <w:rFonts w:eastAsia="Times New Roman"/>
          <w:snapToGrid/>
          <w:szCs w:val="22"/>
          <w:lang w:val="lt-LT"/>
        </w:rPr>
        <w:t>mėn. iki &lt;</w:t>
      </w:r>
      <w:r>
        <w:rPr>
          <w:rFonts w:eastAsia="Times New Roman"/>
          <w:snapToGrid/>
          <w:szCs w:val="22"/>
          <w:lang w:val="lt-LT"/>
        </w:rPr>
        <w:t> </w:t>
      </w:r>
      <w:r w:rsidRPr="007F1996">
        <w:rPr>
          <w:rFonts w:eastAsia="Times New Roman"/>
          <w:snapToGrid/>
          <w:szCs w:val="22"/>
          <w:lang w:val="lt-LT"/>
        </w:rPr>
        <w:t>3 metų) mažiems vaikams, vienkartinė dozė yra viena 150 mg žvakutė. Jei reikia, dozę galima kartotinai vartoti kas 6 valandas, maksimali paros dozė yra 4 žvakutės.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Žvakutės gali sukelti tiesiosios žarnos sudirginimą, todėl jas reikia vartoti kiek galima trumpiau (ne ilgiau kaip 3 dienas) ir kiek įmanoma greičiau pakeisti geriamąja vaisto forma.</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b/>
          <w:snapToGrid/>
          <w:szCs w:val="22"/>
          <w:lang w:val="lt-LT"/>
        </w:rPr>
      </w:pPr>
      <w:r w:rsidRPr="007F1996">
        <w:rPr>
          <w:rFonts w:eastAsia="Times New Roman"/>
          <w:i/>
          <w:snapToGrid/>
          <w:szCs w:val="22"/>
          <w:lang w:val="lt-LT"/>
        </w:rPr>
        <w:t>Inkstų nepakankamumas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Jei vaikas serga sunkiu inkstų nepakankamumu, šio vaisto jam galima vartoti ne dažniau kaip kas 6</w:t>
      </w:r>
      <w:r>
        <w:rPr>
          <w:rFonts w:eastAsia="Times New Roman"/>
          <w:snapToGrid/>
          <w:szCs w:val="22"/>
          <w:lang w:val="lt-LT"/>
        </w:rPr>
        <w:t>–</w:t>
      </w:r>
      <w:r w:rsidRPr="007F1996">
        <w:rPr>
          <w:rFonts w:eastAsia="Times New Roman"/>
          <w:snapToGrid/>
          <w:szCs w:val="22"/>
          <w:lang w:val="lt-LT"/>
        </w:rPr>
        <w:t>8</w:t>
      </w:r>
      <w:r>
        <w:rPr>
          <w:rFonts w:eastAsia="Times New Roman"/>
          <w:snapToGrid/>
          <w:szCs w:val="22"/>
          <w:lang w:val="lt-LT"/>
        </w:rPr>
        <w:t> </w:t>
      </w:r>
      <w:r w:rsidRPr="007F1996">
        <w:rPr>
          <w:rFonts w:eastAsia="Times New Roman"/>
          <w:snapToGrid/>
          <w:szCs w:val="22"/>
          <w:lang w:val="lt-LT"/>
        </w:rPr>
        <w:t>val.</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i/>
          <w:snapToGrid/>
          <w:szCs w:val="22"/>
          <w:lang w:val="lt-LT"/>
        </w:rPr>
      </w:pPr>
      <w:r w:rsidRPr="007F1996">
        <w:rPr>
          <w:rFonts w:eastAsia="Times New Roman"/>
          <w:i/>
          <w:snapToGrid/>
          <w:szCs w:val="22"/>
          <w:lang w:val="lt-LT"/>
        </w:rPr>
        <w:t>Kepenų nepakankamumas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Jei yra kepenų funkcijos sutrikimas, reikia mažinti dozę arba ilginti intervalą tarp dozių vartojimo. Didžiausia paros dozė negali būti didesnė kaip 60</w:t>
      </w:r>
      <w:r w:rsidRPr="007F1996">
        <w:rPr>
          <w:lang w:val="lt-LT"/>
        </w:rPr>
        <w:t> mg/kg kūno svorio</w:t>
      </w:r>
      <w:r w:rsidRPr="007F1996">
        <w:rPr>
          <w:rFonts w:eastAsia="Times New Roman"/>
          <w:snapToGrid/>
          <w:szCs w:val="22"/>
          <w:lang w:val="lt-LT"/>
        </w:rPr>
        <w:t>, jeigu yra:</w:t>
      </w:r>
    </w:p>
    <w:p w:rsidR="00322EEE" w:rsidRPr="007F1996" w:rsidRDefault="00322EEE" w:rsidP="00322EEE">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Žilberto sindromas (šeiminė hiperbilirubinemija);</w:t>
      </w:r>
    </w:p>
    <w:p w:rsidR="00322EEE" w:rsidRPr="007F1996" w:rsidRDefault="00322EEE" w:rsidP="00322EEE">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gliukozės-6 fosfato dehidrogenazės (G6FD) stoka (gali pasireikšti raudonųjų kraujo ląstelių irimo sukelta mažakraujystė);</w:t>
      </w:r>
    </w:p>
    <w:p w:rsidR="00322EEE" w:rsidRPr="007F1996" w:rsidRDefault="00322EEE" w:rsidP="00322EEE">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lėtinė ar kompensuota aktyvi kepenų liga, ypač jei yra lengvas ar vidutinio sunkumo kepenų nepakankamumas;</w:t>
      </w:r>
    </w:p>
    <w:p w:rsidR="00322EEE" w:rsidRPr="007F1996" w:rsidRDefault="00322EEE" w:rsidP="00322EEE">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lėtinis mitybos nepakankamumas (mažos glutationo atsargos kepenyse), anoreksija, bulimija ar išsekimas;</w:t>
      </w:r>
    </w:p>
    <w:p w:rsidR="00322EEE" w:rsidRPr="007F1996" w:rsidRDefault="00322EEE" w:rsidP="00322EEE">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yra dehidratacija (sunki skysčių stoka organizme).</w:t>
      </w: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bookmarkStart w:id="6" w:name="_Hlk152854596"/>
      <w:r w:rsidRPr="007F1996">
        <w:rPr>
          <w:rFonts w:eastAsia="Times New Roman"/>
          <w:b/>
          <w:snapToGrid/>
          <w:szCs w:val="22"/>
          <w:lang w:val="lt-LT"/>
        </w:rPr>
        <w:t>Ką daryti pavartojus per didelę EFFERALGAN dozę</w:t>
      </w:r>
      <w:bookmarkEnd w:id="6"/>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Perdozavus (netyčia pavartojus per didelę dozę), būtina nedelsiant pasikonsultuoti su gydytoju arba kviesti greitąją pagalbą.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Siekiant išvengti perdozavimo, reikia patikrinti, ar kartu nevartojama kitų vaistų, kurių sudėtyje yra paracetamolio, įskaitant receptinius ir nereceptinius vaistus. Ankstyvieji (pasireiškiantys pirmą dieną) perdozavimo simptomai gali būti pykinimas, vėmimas, apetito stoka, prakaitavimas, blyškumas ir bendras negalavimas. Net jeigu kitą dieną simptomai palengvėja, vėliau gali pasireikšti negrįžtamas kepenų pažeidimas.</w:t>
      </w:r>
    </w:p>
    <w:p w:rsidR="00322EEE" w:rsidRPr="007F1996" w:rsidRDefault="00322EEE" w:rsidP="00322EEE">
      <w:pPr>
        <w:tabs>
          <w:tab w:val="clear" w:pos="567"/>
        </w:tabs>
        <w:spacing w:line="240" w:lineRule="auto"/>
        <w:rPr>
          <w:rFonts w:eastAsia="Times New Roman"/>
          <w:snapToGrid/>
          <w:szCs w:val="22"/>
          <w:lang w:val="lt-LT"/>
        </w:rPr>
      </w:pPr>
      <w:bookmarkStart w:id="7" w:name="_Hlk92457684"/>
      <w:r w:rsidRPr="007F1996">
        <w:rPr>
          <w:rFonts w:eastAsia="Times New Roman"/>
          <w:snapToGrid/>
          <w:szCs w:val="22"/>
          <w:lang w:val="lt-LT"/>
        </w:rPr>
        <w:t xml:space="preserve">Atsitiktinis perdozavimas gali sukelti sunkų kepenų pažeidimą ir mirtį. Perdozavus paracetamolio buvo ūminio inkstų veiklos sutrikimo ir retų kasos uždegimo atvejų. </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Po paracetamolio perdozavimo taip pat gali pasireikšti būklė, kai dėl kepenų pažeidimo kraujyje susidaro maži kraujo krešuliai, blokuojantys smulkias kraujagysles.</w:t>
      </w:r>
    </w:p>
    <w:bookmarkEnd w:id="7"/>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Pamiršus pavartoti EFFERALGAN</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Negalima vartoti dvigubos dozės norint kompensuoti praleistą dozę.</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Jeigu kiltų daugiau klausimų dėl šio vaisto vartojimo, kreipkitės į gydytoją arba vaistininką.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0"/>
        <w:rPr>
          <w:rFonts w:eastAsia="Times New Roman"/>
          <w:b/>
          <w:caps/>
          <w:snapToGrid/>
          <w:szCs w:val="22"/>
          <w:lang w:val="lt-LT"/>
        </w:rPr>
      </w:pPr>
      <w:r w:rsidRPr="007F1996">
        <w:rPr>
          <w:rFonts w:eastAsia="Times New Roman"/>
          <w:b/>
          <w:caps/>
          <w:snapToGrid/>
          <w:szCs w:val="22"/>
          <w:lang w:val="lt-LT"/>
        </w:rPr>
        <w:t>4.</w:t>
      </w:r>
      <w:r w:rsidRPr="007F1996">
        <w:rPr>
          <w:rFonts w:eastAsia="Times New Roman"/>
          <w:b/>
          <w:caps/>
          <w:snapToGrid/>
          <w:szCs w:val="22"/>
          <w:lang w:val="lt-LT"/>
        </w:rPr>
        <w:tab/>
      </w:r>
      <w:r w:rsidRPr="007F1996">
        <w:rPr>
          <w:rFonts w:eastAsia="Times New Roman"/>
          <w:b/>
          <w:snapToGrid/>
          <w:szCs w:val="22"/>
          <w:lang w:val="lt-LT"/>
        </w:rPr>
        <w:t>Galimas šalutinis poveikis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Šis vaistas, kaip ir visi kiti, gali sukelti šalutinį poveikį, nors jis pasireiškia ne visiems žmonėms.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Pranešimų apie toliau nurodytas nepageidaujamas reakcijas į paracetamolį gauta vaistui esant rinkoje. Todėl jų dažnis nėra žinomas (nežinomas).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jc w:val="both"/>
        <w:rPr>
          <w:rFonts w:eastAsia="Times New Roman"/>
          <w:snapToGrid/>
          <w:szCs w:val="22"/>
          <w:lang w:val="lt-LT" w:eastAsia="lt-LT"/>
        </w:rPr>
      </w:pPr>
      <w:r w:rsidRPr="00D45A23">
        <w:rPr>
          <w:b/>
          <w:bCs/>
          <w:noProof/>
          <w:szCs w:val="22"/>
          <w:lang w:val="lt-LT"/>
        </w:rPr>
        <w:t>Šalutinio poveikio reiškiniai, kurių dažnis nežinomas (negali būti apskaičiuotas pagal turimus duomenis):</w:t>
      </w:r>
    </w:p>
    <w:p w:rsidR="00322EEE" w:rsidRPr="007F1996" w:rsidRDefault="00322EEE" w:rsidP="00322EEE">
      <w:pPr>
        <w:tabs>
          <w:tab w:val="clear" w:pos="567"/>
        </w:tabs>
        <w:spacing w:line="240" w:lineRule="auto"/>
        <w:rPr>
          <w:rFonts w:eastAsia="Times New Roman"/>
          <w:snapToGrid/>
          <w:szCs w:val="22"/>
          <w:lang w:val="lt-LT"/>
        </w:rPr>
      </w:pPr>
    </w:p>
    <w:p w:rsidR="00322EEE" w:rsidRPr="000C58F4" w:rsidRDefault="00322EEE" w:rsidP="00322EEE">
      <w:pPr>
        <w:numPr>
          <w:ilvl w:val="0"/>
          <w:numId w:val="2"/>
        </w:numPr>
        <w:tabs>
          <w:tab w:val="clear" w:pos="567"/>
        </w:tabs>
        <w:spacing w:line="240" w:lineRule="auto"/>
        <w:ind w:left="567" w:hanging="567"/>
        <w:jc w:val="both"/>
        <w:rPr>
          <w:rFonts w:eastAsia="Times New Roman"/>
          <w:snapToGrid/>
          <w:szCs w:val="22"/>
          <w:lang w:val="lt-LT"/>
        </w:rPr>
      </w:pPr>
      <w:r w:rsidRPr="000C58F4">
        <w:rPr>
          <w:rFonts w:eastAsia="Times New Roman"/>
          <w:snapToGrid/>
          <w:szCs w:val="22"/>
          <w:lang w:val="lt-LT"/>
        </w:rPr>
        <w:t>Viduriavimas ir pilvo skausmas;</w:t>
      </w:r>
    </w:p>
    <w:p w:rsidR="00322EEE" w:rsidRPr="000C58F4" w:rsidRDefault="00322EEE" w:rsidP="00322EEE">
      <w:pPr>
        <w:numPr>
          <w:ilvl w:val="0"/>
          <w:numId w:val="2"/>
        </w:numPr>
        <w:tabs>
          <w:tab w:val="clear" w:pos="567"/>
        </w:tabs>
        <w:spacing w:line="240" w:lineRule="auto"/>
        <w:ind w:left="567" w:hanging="567"/>
        <w:jc w:val="both"/>
        <w:rPr>
          <w:rFonts w:eastAsia="Times New Roman"/>
          <w:snapToGrid/>
          <w:szCs w:val="22"/>
          <w:lang w:val="lt-LT"/>
        </w:rPr>
      </w:pPr>
      <w:r w:rsidRPr="000C58F4">
        <w:rPr>
          <w:rFonts w:eastAsia="Times New Roman"/>
          <w:snapToGrid/>
          <w:szCs w:val="22"/>
          <w:lang w:val="lt-LT"/>
        </w:rPr>
        <w:t>Padidėjęs kepenų fermentų (transaminazių) aktyvumas.</w:t>
      </w:r>
    </w:p>
    <w:p w:rsidR="00322EEE" w:rsidRDefault="00322EEE" w:rsidP="00322EEE">
      <w:pPr>
        <w:numPr>
          <w:ilvl w:val="0"/>
          <w:numId w:val="2"/>
        </w:numPr>
        <w:tabs>
          <w:tab w:val="clear" w:pos="567"/>
        </w:tabs>
        <w:spacing w:line="240" w:lineRule="auto"/>
        <w:ind w:left="567" w:hanging="567"/>
        <w:jc w:val="both"/>
        <w:rPr>
          <w:rFonts w:eastAsia="Times New Roman"/>
          <w:snapToGrid/>
          <w:szCs w:val="22"/>
          <w:lang w:val="lt-LT"/>
        </w:rPr>
      </w:pPr>
      <w:r w:rsidRPr="000C58F4">
        <w:rPr>
          <w:rFonts w:eastAsia="Times New Roman"/>
          <w:snapToGrid/>
          <w:szCs w:val="22"/>
          <w:lang w:val="lt-LT"/>
        </w:rPr>
        <w:t>Per stiprus ir ilgalaikis kvėpavimo takų raumenų susitraukimas, sukeliantis kvėpavimo pasunkėjimą acetilsalicilo rūgščiai ir kitiems NVNU (skausmą malšinančių vaistų, pasižyminčių priešuždegiminiu ir karščiavimą mažinančiu poveikiu, grupė) jautriems asmenims.</w:t>
      </w:r>
    </w:p>
    <w:p w:rsidR="00322EEE" w:rsidRPr="000C58F4" w:rsidRDefault="00322EEE" w:rsidP="00322EEE">
      <w:pPr>
        <w:tabs>
          <w:tab w:val="clear" w:pos="567"/>
        </w:tabs>
        <w:spacing w:line="240" w:lineRule="auto"/>
        <w:ind w:left="567"/>
        <w:jc w:val="both"/>
        <w:rPr>
          <w:rFonts w:eastAsia="Times New Roman"/>
          <w:snapToGrid/>
          <w:szCs w:val="22"/>
          <w:lang w:val="lt-LT"/>
        </w:rPr>
      </w:pPr>
    </w:p>
    <w:p w:rsidR="00322EEE" w:rsidRPr="000C58F4" w:rsidRDefault="00322EEE" w:rsidP="00322EEE">
      <w:pPr>
        <w:tabs>
          <w:tab w:val="clear" w:pos="567"/>
        </w:tabs>
        <w:spacing w:line="240" w:lineRule="auto"/>
        <w:jc w:val="both"/>
        <w:rPr>
          <w:rFonts w:eastAsia="Times New Roman"/>
          <w:snapToGrid/>
          <w:szCs w:val="22"/>
          <w:lang w:val="lt-LT"/>
        </w:rPr>
      </w:pPr>
      <w:r w:rsidRPr="000C58F4">
        <w:rPr>
          <w:rFonts w:eastAsia="Times New Roman"/>
          <w:snapToGrid/>
          <w:szCs w:val="22"/>
          <w:lang w:val="lt-LT"/>
        </w:rPr>
        <w:t>Paprastai šie pokyčiai būna lengvi, laikini ir dėl jų šio vaisto vartojimo nutraukti nereikia.</w:t>
      </w:r>
    </w:p>
    <w:p w:rsidR="00322EEE" w:rsidRPr="000C58F4" w:rsidRDefault="00322EEE" w:rsidP="00322EEE">
      <w:pPr>
        <w:tabs>
          <w:tab w:val="clear" w:pos="567"/>
        </w:tabs>
        <w:spacing w:line="240" w:lineRule="auto"/>
        <w:jc w:val="both"/>
        <w:rPr>
          <w:rFonts w:eastAsia="Times New Roman"/>
          <w:snapToGrid/>
          <w:szCs w:val="22"/>
          <w:lang w:val="lt-LT"/>
        </w:rPr>
      </w:pPr>
    </w:p>
    <w:p w:rsidR="00322EEE" w:rsidRPr="000C58F4" w:rsidRDefault="00322EEE" w:rsidP="00322EEE">
      <w:pPr>
        <w:numPr>
          <w:ilvl w:val="0"/>
          <w:numId w:val="2"/>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lastRenderedPageBreak/>
        <w:t xml:space="preserve">Dilgėlinė, raudonė, </w:t>
      </w:r>
      <w:bookmarkStart w:id="8" w:name="_Hlk92457710"/>
      <w:r w:rsidRPr="000C58F4">
        <w:rPr>
          <w:rFonts w:eastAsia="Times New Roman"/>
          <w:snapToGrid/>
          <w:szCs w:val="22"/>
          <w:lang w:val="lt-LT"/>
        </w:rPr>
        <w:t>purpura (</w:t>
      </w:r>
      <w:r w:rsidRPr="00D45A23">
        <w:rPr>
          <w:szCs w:val="22"/>
          <w:shd w:val="clear" w:color="auto" w:fill="FFFFFF"/>
          <w:lang w:val="lt-LT"/>
        </w:rPr>
        <w:t>dauginės taškinės kraujosruvos</w:t>
      </w:r>
      <w:r w:rsidRPr="00D45A23">
        <w:rPr>
          <w:rFonts w:ascii="Arial" w:hAnsi="Arial" w:cs="Arial"/>
          <w:sz w:val="20"/>
          <w:shd w:val="clear" w:color="auto" w:fill="FFFFFF"/>
          <w:lang w:val="lt-LT"/>
        </w:rPr>
        <w:t>)</w:t>
      </w:r>
      <w:r w:rsidRPr="000C58F4">
        <w:rPr>
          <w:rFonts w:eastAsia="Times New Roman"/>
          <w:snapToGrid/>
          <w:szCs w:val="22"/>
          <w:lang w:val="lt-LT"/>
        </w:rPr>
        <w:t xml:space="preserve">, </w:t>
      </w:r>
      <w:bookmarkEnd w:id="8"/>
      <w:r w:rsidRPr="000C58F4">
        <w:rPr>
          <w:rFonts w:eastAsia="Times New Roman"/>
          <w:snapToGrid/>
          <w:szCs w:val="22"/>
          <w:lang w:val="lt-LT"/>
        </w:rPr>
        <w:t>niežėjimas, ūmi išplitusi egzanteminė pustuliozė, toksinė epidermio nekrolizė, Stivenso ir Džonsono sindromas.</w:t>
      </w:r>
    </w:p>
    <w:p w:rsidR="00322EEE" w:rsidRPr="000C58F4" w:rsidRDefault="00322EEE" w:rsidP="00322EEE">
      <w:pPr>
        <w:numPr>
          <w:ilvl w:val="0"/>
          <w:numId w:val="2"/>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 xml:space="preserve">Alerginės reakcijos, pvz., </w:t>
      </w:r>
      <w:r w:rsidRPr="000C58F4">
        <w:rPr>
          <w:rFonts w:eastAsia="Times New Roman"/>
          <w:snapToGrid/>
          <w:szCs w:val="22"/>
          <w:lang w:val="lt-LT" w:eastAsia="lt-LT"/>
        </w:rPr>
        <w:t>angioneurozinė edema (poodiniai patinimai) ar anafilaksinis šokas (anafilaksija su sunkiu kraujospūdžio sumažėjimu)</w:t>
      </w:r>
      <w:r w:rsidRPr="000C58F4">
        <w:rPr>
          <w:rFonts w:eastAsia="Times New Roman"/>
          <w:snapToGrid/>
          <w:szCs w:val="22"/>
          <w:lang w:val="lt-LT"/>
        </w:rPr>
        <w:t>.</w:t>
      </w:r>
    </w:p>
    <w:p w:rsidR="00322EEE" w:rsidRPr="000C58F4" w:rsidRDefault="00322EEE" w:rsidP="00322EEE">
      <w:pPr>
        <w:numPr>
          <w:ilvl w:val="0"/>
          <w:numId w:val="2"/>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Raudonos ar violetinės odos dėmės, atsirandančios toje pačioje vietoje.</w:t>
      </w:r>
    </w:p>
    <w:p w:rsidR="00322EEE" w:rsidRPr="000C58F4" w:rsidRDefault="00322EEE" w:rsidP="00322EEE">
      <w:pPr>
        <w:numPr>
          <w:ilvl w:val="0"/>
          <w:numId w:val="2"/>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Trombocitopenija, leukopenija, neutropenija (tam tikrų kraujo ląstelių skaičiaus sumažėjimas).</w:t>
      </w:r>
    </w:p>
    <w:p w:rsidR="00322EEE" w:rsidRDefault="00322EEE" w:rsidP="00322EEE">
      <w:pPr>
        <w:numPr>
          <w:ilvl w:val="0"/>
          <w:numId w:val="2"/>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Tiesiosios žarnos ar analinės srities uždegimas.</w:t>
      </w:r>
    </w:p>
    <w:p w:rsidR="00322EEE" w:rsidRPr="003B1301" w:rsidRDefault="00322EEE" w:rsidP="00322EEE">
      <w:pPr>
        <w:numPr>
          <w:ilvl w:val="0"/>
          <w:numId w:val="2"/>
        </w:numPr>
        <w:spacing w:line="240" w:lineRule="auto"/>
        <w:ind w:left="567" w:hanging="567"/>
        <w:rPr>
          <w:rFonts w:eastAsia="Times New Roman"/>
          <w:snapToGrid/>
          <w:szCs w:val="22"/>
          <w:lang w:val="lt-LT" w:eastAsia="lt-LT"/>
        </w:rPr>
      </w:pPr>
      <w:r>
        <w:rPr>
          <w:rFonts w:eastAsia="Times New Roman"/>
          <w:snapToGrid/>
          <w:szCs w:val="22"/>
          <w:lang w:val="lt-LT" w:eastAsia="lt-LT"/>
        </w:rPr>
        <w:t xml:space="preserve">Sunkus sutrikimas, dėl kurio gali padidėti kraujo rūgštingumas (vadinamas metaboline acidoze) sunkia liga sergantiems pacientams, vartojantiems paracetamolį (žr. </w:t>
      </w:r>
      <w:r w:rsidRPr="00E17659">
        <w:rPr>
          <w:rFonts w:eastAsia="Times New Roman"/>
          <w:snapToGrid/>
          <w:szCs w:val="22"/>
          <w:lang w:val="lt-LT" w:eastAsia="lt-LT"/>
        </w:rPr>
        <w:t>2</w:t>
      </w:r>
      <w:r>
        <w:rPr>
          <w:rFonts w:eastAsia="Times New Roman"/>
          <w:snapToGrid/>
          <w:szCs w:val="22"/>
          <w:lang w:val="lt-LT" w:eastAsia="lt-LT"/>
        </w:rPr>
        <w:t xml:space="preserve"> skyrių).</w:t>
      </w:r>
    </w:p>
    <w:p w:rsidR="00322EEE" w:rsidRPr="007F1996" w:rsidRDefault="00322EEE" w:rsidP="00322EEE">
      <w:pPr>
        <w:tabs>
          <w:tab w:val="clear" w:pos="567"/>
        </w:tabs>
        <w:spacing w:line="240" w:lineRule="auto"/>
        <w:rPr>
          <w:rFonts w:eastAsia="Times New Roman"/>
          <w:snapToGrid/>
          <w:szCs w:val="22"/>
          <w:lang w:val="lt-LT"/>
        </w:rPr>
      </w:pPr>
    </w:p>
    <w:p w:rsidR="00322EEE" w:rsidRPr="00D45A23" w:rsidRDefault="00322EEE" w:rsidP="00322EEE">
      <w:pPr>
        <w:tabs>
          <w:tab w:val="clear" w:pos="567"/>
        </w:tabs>
        <w:spacing w:line="240" w:lineRule="auto"/>
        <w:rPr>
          <w:rFonts w:eastAsia="Times New Roman"/>
          <w:b/>
          <w:snapToGrid/>
          <w:szCs w:val="22"/>
          <w:lang w:val="lt-LT"/>
        </w:rPr>
      </w:pPr>
      <w:r w:rsidRPr="00D45A23">
        <w:rPr>
          <w:rFonts w:eastAsia="Times New Roman"/>
          <w:b/>
          <w:snapToGrid/>
          <w:szCs w:val="22"/>
          <w:lang w:val="lt-LT"/>
        </w:rPr>
        <w:t>Labai reti šalutinio poveikio reiškiniai (gali pasireikšti rečiau kaip 1 iš 10 000 asmenų):</w:t>
      </w:r>
    </w:p>
    <w:p w:rsidR="00322EEE" w:rsidRPr="007F1996" w:rsidRDefault="00322EEE" w:rsidP="00322EEE">
      <w:pPr>
        <w:pStyle w:val="Sraopastraipa"/>
        <w:numPr>
          <w:ilvl w:val="0"/>
          <w:numId w:val="1"/>
        </w:numPr>
        <w:tabs>
          <w:tab w:val="clear" w:pos="567"/>
        </w:tabs>
        <w:spacing w:line="240" w:lineRule="auto"/>
        <w:rPr>
          <w:rFonts w:eastAsia="Times New Roman"/>
          <w:snapToGrid/>
          <w:szCs w:val="22"/>
          <w:lang w:val="lt-LT"/>
        </w:rPr>
      </w:pPr>
      <w:r w:rsidRPr="007F1996">
        <w:rPr>
          <w:rFonts w:eastAsia="Times New Roman"/>
          <w:snapToGrid/>
          <w:szCs w:val="22"/>
          <w:lang w:val="lt-LT"/>
        </w:rPr>
        <w:t>Inkstų funkcijos sutrikimas.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Buvo atvejų, kai vartojant paracetamolio nenormaliai sumažėjo kai kurių kraujo ląstelių (trombocitopenija, leukopenija, neutropenija (tam tikrų kraujo ląstelių skaičiaus sumažėjimas). Tai gali sukelti kraujavimą iš nosies ar dantenų, karščiavimą ar infekciją.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jc w:val="both"/>
        <w:rPr>
          <w:rFonts w:eastAsia="Times New Roman"/>
          <w:snapToGrid/>
          <w:szCs w:val="22"/>
          <w:lang w:val="lt-LT"/>
        </w:rPr>
      </w:pPr>
      <w:r w:rsidRPr="007F1996">
        <w:rPr>
          <w:rFonts w:eastAsia="Times New Roman"/>
          <w:snapToGrid/>
          <w:szCs w:val="22"/>
          <w:lang w:val="lt-LT"/>
        </w:rPr>
        <w:t>Jeigu taip atsitiktų, reikia nedelsiant nutraukti šio vaisto vartojimą ir kreiptis į gydytoją.</w:t>
      </w:r>
    </w:p>
    <w:p w:rsidR="00322EEE" w:rsidRPr="007F1996" w:rsidRDefault="00322EEE" w:rsidP="00322EEE">
      <w:pPr>
        <w:tabs>
          <w:tab w:val="clear" w:pos="567"/>
        </w:tabs>
        <w:spacing w:line="240" w:lineRule="auto"/>
        <w:jc w:val="both"/>
        <w:rPr>
          <w:rFonts w:eastAsia="Times New Roman"/>
          <w:snapToGrid/>
          <w:szCs w:val="22"/>
          <w:lang w:val="lt-LT"/>
        </w:rPr>
      </w:pPr>
    </w:p>
    <w:p w:rsidR="00322EEE" w:rsidRPr="007F1996" w:rsidRDefault="00322EEE" w:rsidP="00322EEE">
      <w:pPr>
        <w:tabs>
          <w:tab w:val="clear" w:pos="567"/>
        </w:tabs>
        <w:spacing w:line="240" w:lineRule="auto"/>
        <w:jc w:val="both"/>
        <w:rPr>
          <w:rFonts w:eastAsia="Times New Roman"/>
          <w:snapToGrid/>
          <w:szCs w:val="22"/>
          <w:lang w:val="lt-LT"/>
        </w:rPr>
      </w:pPr>
      <w:r w:rsidRPr="007F1996">
        <w:rPr>
          <w:rFonts w:eastAsia="Times New Roman"/>
          <w:snapToGrid/>
          <w:szCs w:val="22"/>
          <w:lang w:val="lt-LT"/>
        </w:rPr>
        <w:t>Žvakutės gali sukelti tiesiosios žarnos ar analinės srities sudirginimą.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b/>
          <w:snapToGrid/>
          <w:szCs w:val="22"/>
          <w:lang w:val="lt-LT"/>
        </w:rPr>
      </w:pPr>
      <w:r w:rsidRPr="007F1996">
        <w:rPr>
          <w:rFonts w:eastAsia="Times New Roman"/>
          <w:b/>
          <w:snapToGrid/>
          <w:szCs w:val="22"/>
          <w:lang w:val="lt-LT"/>
        </w:rPr>
        <w:t>Pranešimas apie šalutinį poveikį</w:t>
      </w:r>
    </w:p>
    <w:p w:rsidR="00322EEE" w:rsidRPr="007F1996" w:rsidRDefault="00322EEE" w:rsidP="00322EEE">
      <w:pPr>
        <w:numPr>
          <w:ilvl w:val="12"/>
          <w:numId w:val="0"/>
        </w:numPr>
        <w:tabs>
          <w:tab w:val="clear" w:pos="567"/>
        </w:tabs>
        <w:spacing w:line="240" w:lineRule="auto"/>
        <w:ind w:right="-2"/>
        <w:rPr>
          <w:rFonts w:eastAsia="Times New Roman"/>
          <w:snapToGrid/>
          <w:szCs w:val="22"/>
          <w:lang w:val="lt-LT"/>
        </w:rPr>
      </w:pPr>
      <w:r w:rsidRPr="007F1996">
        <w:rPr>
          <w:rFonts w:eastAsia="Times New Roman"/>
          <w:snapToGrid/>
          <w:szCs w:val="22"/>
          <w:lang w:val="lt-LT"/>
        </w:rPr>
        <w:t xml:space="preserve">Jeigu pasireiškė šalutinis poveikis, įskaitant šiame lapelyje nenurodytą, pasakykite gydytojui arba vaistininkui. </w:t>
      </w:r>
      <w:bookmarkStart w:id="9" w:name="_Hlk92457757"/>
      <w:r w:rsidRPr="007F1996">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F1996">
          <w:rPr>
            <w:rStyle w:val="Hipersaitas"/>
            <w:lang w:val="lt-LT"/>
          </w:rPr>
          <w:t>https://vapris.vvkt.lt/vvkt-web/public/nrv</w:t>
        </w:r>
      </w:hyperlink>
      <w:r w:rsidRPr="007F1996">
        <w:rPr>
          <w:lang w:val="lt-LT"/>
        </w:rPr>
        <w:t xml:space="preserve"> arba užpildant Paciento pranešimo apie įtariamą nepageidaujamą reakciją (ĮNR) formą, kuri skelbiama </w:t>
      </w:r>
      <w:hyperlink r:id="rId6" w:history="1">
        <w:r w:rsidRPr="007F1996">
          <w:rPr>
            <w:rStyle w:val="Hipersaitas"/>
            <w:lang w:val="lt-LT"/>
          </w:rPr>
          <w:t>https://www.vvkt.lt/index.php?4004286486</w:t>
        </w:r>
      </w:hyperlink>
      <w:r w:rsidRPr="007F1996">
        <w:rPr>
          <w:lang w:val="lt-LT"/>
        </w:rPr>
        <w:t xml:space="preserve">, ir atsiunčiant elektroniniu paštu (adresu </w:t>
      </w:r>
      <w:hyperlink r:id="rId7" w:history="1">
        <w:r w:rsidRPr="007F1996">
          <w:rPr>
            <w:rStyle w:val="Hipersaitas"/>
            <w:lang w:val="lt-LT"/>
          </w:rPr>
          <w:t>NepageidaujamaR@vvkt.lt</w:t>
        </w:r>
      </w:hyperlink>
      <w:r w:rsidRPr="007F1996">
        <w:rPr>
          <w:lang w:val="lt-LT"/>
        </w:rPr>
        <w:t>) arba nemokamu telefonu 8 800 73 568.</w:t>
      </w:r>
      <w:bookmarkEnd w:id="9"/>
      <w:r w:rsidRPr="00D45A23">
        <w:rPr>
          <w:lang w:val="lt-LT"/>
        </w:rPr>
        <w:t xml:space="preserve"> </w:t>
      </w:r>
      <w:r w:rsidRPr="007F1996">
        <w:rPr>
          <w:rFonts w:eastAsia="Times New Roman"/>
          <w:snapToGrid/>
          <w:szCs w:val="22"/>
          <w:lang w:val="lt-LT"/>
        </w:rPr>
        <w:t>Pranešdami apie šalutinį poveikį galite mums padėti gauti daugiau informacijos apie šio vaisto saugumą.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spacing w:line="240" w:lineRule="auto"/>
        <w:ind w:left="567" w:hanging="567"/>
        <w:outlineLvl w:val="1"/>
        <w:rPr>
          <w:rFonts w:eastAsia="Times New Roman"/>
          <w:b/>
          <w:snapToGrid/>
          <w:szCs w:val="22"/>
          <w:lang w:val="lt-LT"/>
        </w:rPr>
      </w:pPr>
      <w:bookmarkStart w:id="10" w:name="_Toc129243268"/>
      <w:bookmarkStart w:id="11" w:name="_Toc129243143"/>
      <w:r w:rsidRPr="007F1996">
        <w:rPr>
          <w:rFonts w:eastAsia="Times New Roman"/>
          <w:b/>
          <w:snapToGrid/>
          <w:szCs w:val="22"/>
          <w:lang w:val="lt-LT"/>
        </w:rPr>
        <w:t>5.</w:t>
      </w:r>
      <w:r w:rsidRPr="007F1996">
        <w:rPr>
          <w:rFonts w:eastAsia="Times New Roman"/>
          <w:b/>
          <w:snapToGrid/>
          <w:szCs w:val="22"/>
          <w:lang w:val="lt-LT"/>
        </w:rPr>
        <w:tab/>
        <w:t xml:space="preserve">Kaip laikyti </w:t>
      </w:r>
      <w:bookmarkEnd w:id="10"/>
      <w:bookmarkEnd w:id="11"/>
      <w:r w:rsidRPr="007F1996">
        <w:rPr>
          <w:rFonts w:eastAsia="Times New Roman"/>
          <w:b/>
          <w:snapToGrid/>
          <w:szCs w:val="22"/>
          <w:lang w:val="lt-LT"/>
        </w:rPr>
        <w:t>EFFERALGAN</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Šį vaistą laikykite vaikams nepastebimoje ir nepasiekiamoje vietoje.</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Laikyti ne aukštesnėje kaip 30 </w:t>
      </w:r>
      <w:r w:rsidRPr="007F1996">
        <w:rPr>
          <w:rFonts w:eastAsia="Times New Roman"/>
          <w:snapToGrid/>
          <w:szCs w:val="22"/>
          <w:lang w:val="lt-LT"/>
        </w:rPr>
        <w:sym w:font="Symbol" w:char="F0B0"/>
      </w:r>
      <w:r w:rsidRPr="007F1996">
        <w:rPr>
          <w:rFonts w:eastAsia="Times New Roman"/>
          <w:snapToGrid/>
          <w:szCs w:val="22"/>
          <w:lang w:val="lt-LT"/>
        </w:rPr>
        <w:t>C temperatūroje.</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Ant dėžutės po „Tinka iki“ ar dvisluoksnės juostelės nurodytam tinkamumo laikui pasibaigus, šio vaisto vartoti negalima. Vaistas tinkamas vartoti iki paskutinės nurodyto mėnesio dienos.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Vaistų negalima išmesti į kanalizaciją arba su buitinėmis atliekomis. Kaip išmesti nereikalingus vaistus, klauskite vaistininko. Šios priemonės padės apsaugoti aplinką.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0"/>
        <w:rPr>
          <w:rFonts w:eastAsia="Times New Roman"/>
          <w:b/>
          <w:caps/>
          <w:snapToGrid/>
          <w:szCs w:val="22"/>
          <w:lang w:val="lt-LT"/>
        </w:rPr>
      </w:pPr>
      <w:r w:rsidRPr="007F1996">
        <w:rPr>
          <w:rFonts w:eastAsia="Times New Roman"/>
          <w:b/>
          <w:caps/>
          <w:snapToGrid/>
          <w:szCs w:val="22"/>
          <w:lang w:val="lt-LT"/>
        </w:rPr>
        <w:t>6.</w:t>
      </w:r>
      <w:r w:rsidRPr="007F1996">
        <w:rPr>
          <w:rFonts w:eastAsia="Times New Roman"/>
          <w:b/>
          <w:caps/>
          <w:snapToGrid/>
          <w:szCs w:val="22"/>
          <w:lang w:val="lt-LT"/>
        </w:rPr>
        <w:tab/>
      </w:r>
      <w:r w:rsidRPr="007F1996">
        <w:rPr>
          <w:rFonts w:eastAsia="Times New Roman"/>
          <w:b/>
          <w:snapToGrid/>
          <w:szCs w:val="22"/>
          <w:lang w:val="lt-LT"/>
        </w:rPr>
        <w:t>Pakuotės turinys ir kita informacija</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EFFERALGAN sudėtis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numPr>
          <w:ilvl w:val="0"/>
          <w:numId w:val="1"/>
        </w:numPr>
        <w:tabs>
          <w:tab w:val="clear" w:pos="720"/>
          <w:tab w:val="num" w:pos="567"/>
        </w:tabs>
        <w:spacing w:line="240" w:lineRule="auto"/>
        <w:ind w:left="567" w:hanging="567"/>
        <w:rPr>
          <w:rFonts w:eastAsia="Times New Roman"/>
          <w:snapToGrid/>
          <w:szCs w:val="22"/>
          <w:lang w:val="lt-LT"/>
        </w:rPr>
      </w:pPr>
      <w:r w:rsidRPr="007F1996">
        <w:rPr>
          <w:rFonts w:eastAsia="Times New Roman"/>
          <w:snapToGrid/>
          <w:szCs w:val="22"/>
          <w:lang w:val="lt-LT"/>
        </w:rPr>
        <w:t>Veiklioji medžiaga yra paracetamolis. Vienoje žvakutėje yra atitinkamai 80 mg arba 150 mg paracetamolio.</w:t>
      </w:r>
    </w:p>
    <w:p w:rsidR="00322EEE" w:rsidRPr="007F1996" w:rsidRDefault="00322EEE" w:rsidP="00322EEE">
      <w:pPr>
        <w:numPr>
          <w:ilvl w:val="0"/>
          <w:numId w:val="1"/>
        </w:numPr>
        <w:tabs>
          <w:tab w:val="clear" w:pos="720"/>
          <w:tab w:val="num" w:pos="567"/>
        </w:tabs>
        <w:spacing w:line="240" w:lineRule="auto"/>
        <w:ind w:left="567" w:hanging="567"/>
        <w:rPr>
          <w:rFonts w:eastAsia="Times New Roman"/>
          <w:snapToGrid/>
          <w:szCs w:val="22"/>
          <w:lang w:val="lt-LT"/>
        </w:rPr>
      </w:pPr>
      <w:r w:rsidRPr="007F1996">
        <w:rPr>
          <w:rFonts w:eastAsia="Times New Roman"/>
          <w:snapToGrid/>
          <w:szCs w:val="22"/>
          <w:lang w:val="lt-LT"/>
        </w:rPr>
        <w:t>Pagalbinė medžiaga yra kietieji riebalai, su priedais (sudėtyje yra sojų lecitino).</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EFFERALGAN išvaizda ir kiekis pakuotėje</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Žvakutės yra baltos spalvos, glotnaus, blizgaus paviršiaus.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Dėžutėje yra 10 žvakučių (plastikinėje dvisluoksnėje juostelėje).</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lastRenderedPageBreak/>
        <w:t>Registruotojas ir gamintojas</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i/>
          <w:snapToGrid/>
          <w:szCs w:val="22"/>
          <w:lang w:val="lt-LT"/>
        </w:rPr>
      </w:pPr>
      <w:r w:rsidRPr="007F1996">
        <w:rPr>
          <w:rFonts w:eastAsia="Times New Roman"/>
          <w:i/>
          <w:snapToGrid/>
          <w:szCs w:val="22"/>
          <w:lang w:val="lt-LT"/>
        </w:rPr>
        <w:t>Registruotojas</w:t>
      </w:r>
    </w:p>
    <w:p w:rsidR="00322EEE" w:rsidRPr="00D45A23" w:rsidRDefault="00322EEE" w:rsidP="00322EEE">
      <w:pPr>
        <w:rPr>
          <w:snapToGrid/>
          <w:szCs w:val="22"/>
          <w:lang w:val="lt-LT"/>
        </w:rPr>
      </w:pPr>
      <w:r w:rsidRPr="00D45A23">
        <w:rPr>
          <w:szCs w:val="22"/>
          <w:lang w:val="lt-LT"/>
        </w:rPr>
        <w:t>UPSA SAS</w:t>
      </w:r>
    </w:p>
    <w:p w:rsidR="00322EEE" w:rsidRPr="00D45A23" w:rsidRDefault="00322EEE" w:rsidP="00322EEE">
      <w:pPr>
        <w:rPr>
          <w:szCs w:val="22"/>
          <w:lang w:val="lt-LT"/>
        </w:rPr>
      </w:pPr>
      <w:r w:rsidRPr="00D45A23">
        <w:rPr>
          <w:szCs w:val="22"/>
          <w:lang w:val="lt-LT"/>
        </w:rPr>
        <w:t>3, rue Joseph Monier</w:t>
      </w:r>
    </w:p>
    <w:p w:rsidR="00322EEE" w:rsidRPr="00D45A23" w:rsidRDefault="00322EEE" w:rsidP="00322EEE">
      <w:pPr>
        <w:rPr>
          <w:szCs w:val="22"/>
          <w:lang w:val="lt-LT"/>
        </w:rPr>
      </w:pPr>
      <w:r w:rsidRPr="00D45A23">
        <w:rPr>
          <w:szCs w:val="22"/>
          <w:lang w:val="lt-LT"/>
        </w:rPr>
        <w:t>92500 Rueil-Malmaison</w:t>
      </w:r>
    </w:p>
    <w:p w:rsidR="00322EEE" w:rsidRPr="007F1996" w:rsidRDefault="00322EEE" w:rsidP="00322EEE">
      <w:pPr>
        <w:tabs>
          <w:tab w:val="clear" w:pos="567"/>
        </w:tabs>
        <w:spacing w:line="240" w:lineRule="auto"/>
        <w:rPr>
          <w:rFonts w:eastAsia="Times New Roman"/>
          <w:snapToGrid/>
          <w:szCs w:val="22"/>
          <w:lang w:val="lt-LT"/>
        </w:rPr>
      </w:pPr>
      <w:r w:rsidRPr="00D45A23">
        <w:rPr>
          <w:szCs w:val="22"/>
          <w:lang w:val="lt-LT"/>
        </w:rPr>
        <w:t>Prancūzija</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i/>
          <w:snapToGrid/>
          <w:szCs w:val="22"/>
          <w:lang w:val="lt-LT"/>
        </w:rPr>
      </w:pPr>
      <w:r w:rsidRPr="007F1996">
        <w:rPr>
          <w:rFonts w:eastAsia="Times New Roman"/>
          <w:i/>
          <w:snapToGrid/>
          <w:szCs w:val="22"/>
          <w:lang w:val="lt-LT"/>
        </w:rPr>
        <w:t>Gamintojas</w:t>
      </w:r>
    </w:p>
    <w:p w:rsidR="00322EEE" w:rsidRPr="007F1996" w:rsidRDefault="00322EEE" w:rsidP="00322EEE">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UPSA SAS</w:t>
      </w:r>
    </w:p>
    <w:p w:rsidR="00322EEE" w:rsidRPr="007F1996" w:rsidRDefault="00322EEE" w:rsidP="00322EEE">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304, avenue du Docteur Jean Bru</w:t>
      </w:r>
    </w:p>
    <w:p w:rsidR="00322EEE" w:rsidRPr="007F1996" w:rsidRDefault="00322EEE" w:rsidP="00322EEE">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47000 Agen</w:t>
      </w:r>
    </w:p>
    <w:p w:rsidR="00322EEE" w:rsidRPr="007F1996" w:rsidRDefault="00322EEE" w:rsidP="00322EEE">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Prancūzija</w:t>
      </w:r>
    </w:p>
    <w:p w:rsidR="00322EEE" w:rsidRPr="007F1996" w:rsidRDefault="00322EEE" w:rsidP="00322EEE">
      <w:pPr>
        <w:keepNext/>
        <w:keepLines/>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arba</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UPSA SAS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979, avenue des Pyrénées</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47520 Le Passage </w:t>
      </w: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Prancūzija</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Jeigu apie šį vaistą norite sužinoti daugiau, kreipkitės į vietinį registruotojo atstovą.</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uppressAutoHyphens/>
        <w:spacing w:line="240" w:lineRule="auto"/>
        <w:rPr>
          <w:rFonts w:eastAsia="Times New Roman"/>
          <w:snapToGrid/>
          <w:szCs w:val="22"/>
          <w:lang w:val="lt-LT" w:eastAsia="zh-CN"/>
        </w:rPr>
      </w:pPr>
      <w:r w:rsidRPr="007F1996">
        <w:rPr>
          <w:rFonts w:eastAsia="Times New Roman"/>
          <w:snapToGrid/>
          <w:szCs w:val="22"/>
          <w:lang w:val="lt-LT" w:eastAsia="zh-CN"/>
        </w:rPr>
        <w:t xml:space="preserve">UAB </w:t>
      </w:r>
      <w:r>
        <w:rPr>
          <w:rFonts w:eastAsia="Times New Roman"/>
          <w:snapToGrid/>
          <w:szCs w:val="22"/>
          <w:lang w:val="lt-LT" w:eastAsia="zh-CN"/>
        </w:rPr>
        <w:t>„</w:t>
      </w:r>
      <w:r w:rsidRPr="007F1996">
        <w:rPr>
          <w:rFonts w:eastAsia="Times New Roman"/>
          <w:snapToGrid/>
          <w:szCs w:val="22"/>
          <w:lang w:val="lt-LT" w:eastAsia="zh-CN"/>
        </w:rPr>
        <w:t>Swixx Biopharma</w:t>
      </w:r>
      <w:r>
        <w:rPr>
          <w:rFonts w:eastAsia="Times New Roman"/>
          <w:snapToGrid/>
          <w:szCs w:val="22"/>
          <w:lang w:val="lt-LT" w:eastAsia="zh-CN"/>
        </w:rPr>
        <w:t>“</w:t>
      </w:r>
    </w:p>
    <w:p w:rsidR="00322EEE" w:rsidRPr="007F1996" w:rsidRDefault="00322EEE" w:rsidP="00322EEE">
      <w:pPr>
        <w:tabs>
          <w:tab w:val="clear" w:pos="567"/>
        </w:tabs>
        <w:suppressAutoHyphens/>
        <w:spacing w:line="240" w:lineRule="auto"/>
        <w:rPr>
          <w:rFonts w:eastAsia="Times New Roman"/>
          <w:snapToGrid/>
          <w:szCs w:val="22"/>
          <w:lang w:val="lt-LT" w:eastAsia="zh-CN"/>
        </w:rPr>
      </w:pPr>
      <w:r w:rsidRPr="007F1996">
        <w:rPr>
          <w:rFonts w:eastAsia="Times New Roman"/>
          <w:snapToGrid/>
          <w:szCs w:val="22"/>
          <w:lang w:val="lt-LT" w:eastAsia="zh-CN"/>
        </w:rPr>
        <w:t>Bokšto 1-3, Vilnius LT-01126, Lietuva</w:t>
      </w:r>
    </w:p>
    <w:p w:rsidR="00322EEE" w:rsidRPr="007F1996" w:rsidRDefault="00322EEE" w:rsidP="00322EEE">
      <w:pPr>
        <w:tabs>
          <w:tab w:val="clear" w:pos="567"/>
        </w:tabs>
        <w:suppressAutoHyphens/>
        <w:spacing w:line="240" w:lineRule="auto"/>
        <w:jc w:val="both"/>
        <w:rPr>
          <w:rFonts w:eastAsia="Times New Roman"/>
          <w:b/>
          <w:snapToGrid/>
          <w:szCs w:val="22"/>
          <w:lang w:val="lt-LT" w:eastAsia="zh-CN"/>
        </w:rPr>
      </w:pPr>
      <w:r w:rsidRPr="007F1996">
        <w:rPr>
          <w:rFonts w:eastAsia="Times New Roman"/>
          <w:snapToGrid/>
          <w:szCs w:val="22"/>
          <w:lang w:val="lt-LT" w:eastAsia="zh-CN"/>
        </w:rPr>
        <w:t>Tel. +370 52 369140</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 xml:space="preserve">Šis pakuotės lapelis paskutinį kartą peržiūrėtas </w:t>
      </w:r>
      <w:r>
        <w:rPr>
          <w:rFonts w:eastAsia="Times New Roman"/>
          <w:b/>
          <w:snapToGrid/>
          <w:szCs w:val="22"/>
          <w:lang w:val="lt-LT"/>
        </w:rPr>
        <w:t>202</w:t>
      </w:r>
      <w:r w:rsidRPr="003B1301">
        <w:rPr>
          <w:rFonts w:eastAsia="Times New Roman"/>
          <w:b/>
          <w:snapToGrid/>
          <w:szCs w:val="22"/>
          <w:lang w:val="lt-LT"/>
        </w:rPr>
        <w:t>5</w:t>
      </w:r>
      <w:r>
        <w:rPr>
          <w:rFonts w:eastAsia="Times New Roman"/>
          <w:b/>
          <w:snapToGrid/>
          <w:szCs w:val="22"/>
          <w:lang w:val="lt-LT"/>
        </w:rPr>
        <w:t>-01-24.</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Išsami informacija apie šį vaistą pateikiama Valstybinės vaistų kontrolės tarnybos prie Lietuvos Respublikos sveikatos apsaugos ministerijos tinklalapyje </w:t>
      </w:r>
      <w:hyperlink r:id="rId8" w:history="1">
        <w:r w:rsidRPr="007F1996">
          <w:rPr>
            <w:rFonts w:eastAsia="Times New Roman"/>
            <w:snapToGrid/>
            <w:szCs w:val="22"/>
            <w:u w:val="single"/>
            <w:lang w:val="lt-LT"/>
          </w:rPr>
          <w:t>http://www.vvkt.lt/</w:t>
        </w:r>
      </w:hyperlink>
      <w:r w:rsidRPr="007F1996">
        <w:rPr>
          <w:rFonts w:eastAsia="Times New Roman"/>
          <w:snapToGrid/>
          <w:szCs w:val="22"/>
          <w:lang w:val="lt-LT"/>
        </w:rPr>
        <w:t>.</w:t>
      </w:r>
    </w:p>
    <w:p w:rsidR="00322EEE" w:rsidRPr="007F1996" w:rsidRDefault="00322EEE" w:rsidP="00322EEE">
      <w:pPr>
        <w:tabs>
          <w:tab w:val="clear" w:pos="567"/>
        </w:tabs>
        <w:spacing w:line="240" w:lineRule="auto"/>
        <w:rPr>
          <w:rFonts w:eastAsia="Times New Roman"/>
          <w:snapToGrid/>
          <w:szCs w:val="22"/>
          <w:lang w:val="lt-LT"/>
        </w:rPr>
      </w:pPr>
    </w:p>
    <w:p w:rsidR="00322EEE" w:rsidRPr="007F1996" w:rsidRDefault="00322EEE" w:rsidP="00322EEE">
      <w:pPr>
        <w:rPr>
          <w:lang w:val="lt-LT"/>
        </w:rPr>
      </w:pPr>
    </w:p>
    <w:p w:rsidR="00BA6577" w:rsidRDefault="00BA6577">
      <w:bookmarkStart w:id="12" w:name="_GoBack"/>
      <w:bookmarkEnd w:id="12"/>
    </w:p>
    <w:sectPr w:rsidR="00BA6577" w:rsidSect="0023669C">
      <w:headerReference w:type="default" r:id="rId9"/>
      <w:footerReference w:type="even" r:id="rId10"/>
      <w:footerReference w:type="default" r:id="rId1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6A" w:rsidRDefault="00322E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1156A" w:rsidRDefault="00322EE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6A" w:rsidRDefault="00322E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D1156A" w:rsidRDefault="00322EE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6A" w:rsidRDefault="00322E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6184E"/>
    <w:multiLevelType w:val="hybridMultilevel"/>
    <w:tmpl w:val="2260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E6003A"/>
    <w:multiLevelType w:val="singleLevel"/>
    <w:tmpl w:val="B14AEF66"/>
    <w:lvl w:ilvl="0">
      <w:start w:val="4"/>
      <w:numFmt w:val="bullet"/>
      <w:lvlText w:val="-"/>
      <w:lvlJc w:val="left"/>
      <w:pPr>
        <w:tabs>
          <w:tab w:val="num" w:pos="720"/>
        </w:tabs>
        <w:ind w:left="720" w:hanging="720"/>
      </w:pPr>
      <w:rPr>
        <w:rFonts w:hint="default"/>
      </w:rPr>
    </w:lvl>
  </w:abstractNum>
  <w:abstractNum w:abstractNumId="2" w15:restartNumberingAfterBreak="0">
    <w:nsid w:val="6F086686"/>
    <w:multiLevelType w:val="hybridMultilevel"/>
    <w:tmpl w:val="BDB42508"/>
    <w:lvl w:ilvl="0" w:tplc="B14AEF66">
      <w:start w:val="4"/>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EE"/>
    <w:rsid w:val="00072F85"/>
    <w:rsid w:val="000A5E72"/>
    <w:rsid w:val="000A7B60"/>
    <w:rsid w:val="00181364"/>
    <w:rsid w:val="002945D9"/>
    <w:rsid w:val="00305C48"/>
    <w:rsid w:val="00322EEE"/>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CD7A3-3093-410E-9353-5AF12411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2EEE"/>
    <w:pPr>
      <w:tabs>
        <w:tab w:val="left" w:pos="567"/>
      </w:tabs>
      <w:spacing w:after="0" w:line="260" w:lineRule="exact"/>
    </w:pPr>
    <w:rPr>
      <w:rFonts w:ascii="Times New Roman" w:eastAsia="Calibri"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uiPriority w:val="99"/>
    <w:unhideWhenUsed/>
    <w:rsid w:val="00322EEE"/>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322EEE"/>
    <w:rPr>
      <w:rFonts w:ascii="Times New Roman" w:eastAsia="Calibri" w:hAnsi="Times New Roman" w:cs="Times New Roman"/>
      <w:snapToGrid w:val="0"/>
      <w:szCs w:val="20"/>
      <w:lang w:val="en-GB"/>
    </w:rPr>
  </w:style>
  <w:style w:type="character" w:styleId="Puslapionumeris">
    <w:name w:val="page number"/>
    <w:basedOn w:val="Numatytasispastraiposriftas"/>
    <w:uiPriority w:val="99"/>
    <w:rsid w:val="00322EEE"/>
  </w:style>
  <w:style w:type="paragraph" w:styleId="Sraopastraipa">
    <w:name w:val="List Paragraph"/>
    <w:basedOn w:val="prastasis"/>
    <w:uiPriority w:val="34"/>
    <w:qFormat/>
    <w:rsid w:val="00322EEE"/>
    <w:pPr>
      <w:ind w:left="720"/>
      <w:contextualSpacing/>
    </w:pPr>
  </w:style>
  <w:style w:type="paragraph" w:styleId="Antrats">
    <w:name w:val="header"/>
    <w:basedOn w:val="prastasis"/>
    <w:link w:val="AntratsDiagrama"/>
    <w:uiPriority w:val="99"/>
    <w:unhideWhenUsed/>
    <w:rsid w:val="00322EEE"/>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22EEE"/>
    <w:rPr>
      <w:rFonts w:ascii="Times New Roman" w:eastAsia="Calibri" w:hAnsi="Times New Roman" w:cs="Times New Roman"/>
      <w:snapToGrid w:val="0"/>
      <w:szCs w:val="20"/>
      <w:lang w:val="en-GB"/>
    </w:rPr>
  </w:style>
  <w:style w:type="paragraph" w:customStyle="1" w:styleId="PI-3EMEASMCA">
    <w:name w:val="PI-3 EMEA_SMCA"/>
    <w:basedOn w:val="prastasis"/>
    <w:autoRedefine/>
    <w:rsid w:val="00322EEE"/>
    <w:pPr>
      <w:tabs>
        <w:tab w:val="clear" w:pos="567"/>
      </w:tabs>
      <w:spacing w:line="220" w:lineRule="exact"/>
    </w:pPr>
    <w:rPr>
      <w:rFonts w:eastAsia="Times New Roman"/>
      <w:bCs/>
      <w:iCs/>
      <w:snapToGrid/>
      <w:szCs w:val="22"/>
      <w:lang w:val="lt-LT"/>
    </w:rPr>
  </w:style>
  <w:style w:type="character" w:styleId="Hipersaitas">
    <w:name w:val="Hyperlink"/>
    <w:basedOn w:val="Numatytasispastraiposriftas"/>
    <w:uiPriority w:val="99"/>
    <w:semiHidden/>
    <w:unhideWhenUsed/>
    <w:rsid w:val="00322E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10147</Words>
  <Characters>5784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2025-05-06T12:38:00Z</dcterms:created>
  <dcterms:modified xsi:type="dcterms:W3CDTF">2025-05-06T12:39:00Z</dcterms:modified>
</cp:coreProperties>
</file>