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384" w:rsidRPr="008D37AB" w:rsidRDefault="006C2384" w:rsidP="006C2384">
      <w:pPr>
        <w:spacing w:after="0" w:line="240" w:lineRule="auto"/>
        <w:jc w:val="center"/>
        <w:outlineLvl w:val="0"/>
        <w:rPr>
          <w:rFonts w:ascii="Times New Roman" w:eastAsia="Calibri" w:hAnsi="Times New Roman" w:cs="Times New Roman"/>
          <w:b/>
          <w:noProof/>
          <w:lang w:val="lt-LT"/>
        </w:rPr>
      </w:pPr>
      <w:r w:rsidRPr="008D37AB">
        <w:rPr>
          <w:rFonts w:ascii="Times New Roman" w:eastAsia="Calibri" w:hAnsi="Times New Roman" w:cs="Times New Roman"/>
          <w:b/>
          <w:iCs/>
          <w:noProof/>
          <w:lang w:val="lt-LT"/>
        </w:rPr>
        <w:t>Pakuotės lapelis: informacija pacientui</w:t>
      </w:r>
    </w:p>
    <w:p w:rsidR="006C2384" w:rsidRPr="008D37AB" w:rsidRDefault="006C2384" w:rsidP="006C2384">
      <w:pPr>
        <w:tabs>
          <w:tab w:val="left" w:pos="720"/>
        </w:tabs>
        <w:spacing w:after="0" w:line="240" w:lineRule="auto"/>
        <w:jc w:val="center"/>
        <w:outlineLvl w:val="0"/>
        <w:rPr>
          <w:rFonts w:ascii="Times New Roman" w:eastAsia="Calibri" w:hAnsi="Times New Roman" w:cs="Times New Roman"/>
          <w:b/>
          <w:noProof/>
          <w:lang w:val="lt-LT"/>
        </w:rPr>
      </w:pPr>
    </w:p>
    <w:p w:rsidR="006C2384" w:rsidRPr="008D37AB" w:rsidRDefault="006C2384" w:rsidP="006C2384">
      <w:pPr>
        <w:tabs>
          <w:tab w:val="left" w:pos="567"/>
        </w:tabs>
        <w:spacing w:after="0" w:line="260" w:lineRule="exact"/>
        <w:jc w:val="center"/>
        <w:rPr>
          <w:rFonts w:ascii="Times New Roman" w:eastAsia="Calibri" w:hAnsi="Times New Roman" w:cs="Times New Roman"/>
          <w:b/>
          <w:noProof/>
          <w:lang w:val="lt-LT"/>
        </w:rPr>
      </w:pPr>
      <w:r w:rsidRPr="008D37AB">
        <w:rPr>
          <w:rFonts w:ascii="Times New Roman" w:eastAsia="Calibri" w:hAnsi="Times New Roman" w:cs="Times New Roman"/>
          <w:b/>
          <w:noProof/>
          <w:lang w:val="lt-LT"/>
        </w:rPr>
        <w:t>Hexoral 1 mg/ml gargalas ar burnos ploviklis</w:t>
      </w:r>
    </w:p>
    <w:p w:rsidR="006C2384" w:rsidRPr="008D37AB" w:rsidRDefault="006C2384" w:rsidP="006C2384">
      <w:pPr>
        <w:tabs>
          <w:tab w:val="left" w:pos="567"/>
        </w:tabs>
        <w:spacing w:after="0" w:line="260" w:lineRule="exact"/>
        <w:ind w:left="567" w:hanging="567"/>
        <w:jc w:val="center"/>
        <w:rPr>
          <w:rFonts w:ascii="Times New Roman" w:eastAsia="Calibri" w:hAnsi="Times New Roman" w:cs="Times New Roman"/>
          <w:noProof/>
          <w:lang w:val="lt-LT"/>
        </w:rPr>
      </w:pPr>
      <w:r w:rsidRPr="008D37AB">
        <w:rPr>
          <w:rFonts w:ascii="Times New Roman" w:eastAsia="Calibri" w:hAnsi="Times New Roman" w:cs="Times New Roman"/>
          <w:noProof/>
          <w:lang w:val="lt-LT"/>
        </w:rPr>
        <w:t>Heksetidinas</w:t>
      </w:r>
    </w:p>
    <w:p w:rsidR="006C2384" w:rsidRPr="008D37AB" w:rsidRDefault="006C2384" w:rsidP="006C2384">
      <w:pPr>
        <w:tabs>
          <w:tab w:val="left" w:pos="720"/>
        </w:tabs>
        <w:spacing w:after="0" w:line="240" w:lineRule="auto"/>
        <w:jc w:val="center"/>
        <w:rPr>
          <w:rFonts w:ascii="Times New Roman" w:eastAsia="Calibri" w:hAnsi="Times New Roman" w:cs="Times New Roman"/>
          <w:noProof/>
          <w:lang w:val="lt-LT"/>
        </w:rPr>
      </w:pPr>
    </w:p>
    <w:p w:rsidR="006C2384" w:rsidRPr="008D37AB" w:rsidRDefault="006C2384" w:rsidP="006C2384">
      <w:pPr>
        <w:numPr>
          <w:ilvl w:val="12"/>
          <w:numId w:val="0"/>
        </w:numPr>
        <w:spacing w:after="0" w:line="240" w:lineRule="auto"/>
        <w:ind w:right="-2"/>
        <w:rPr>
          <w:rFonts w:ascii="Times New Roman" w:eastAsia="Calibri" w:hAnsi="Times New Roman" w:cs="Times New Roman"/>
          <w:b/>
          <w:noProof/>
          <w:lang w:val="lt-LT"/>
        </w:rPr>
      </w:pPr>
      <w:r w:rsidRPr="008D37AB">
        <w:rPr>
          <w:rFonts w:ascii="Times New Roman" w:eastAsia="Calibri" w:hAnsi="Times New Roman" w:cs="Times New Roman"/>
          <w:b/>
          <w:noProof/>
          <w:lang w:val="lt-LT"/>
        </w:rPr>
        <w:t>Atidžiai perskaitykite visą šį lapelį, prieš pradėdami vartoti šį vaistą, nes jame pateikiama Jums svarbi informacija.</w:t>
      </w:r>
    </w:p>
    <w:p w:rsidR="006C2384" w:rsidRPr="008D37AB" w:rsidRDefault="006C2384" w:rsidP="006C2384">
      <w:pPr>
        <w:numPr>
          <w:ilvl w:val="12"/>
          <w:numId w:val="0"/>
        </w:num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Visada vartokite šį vaistą tiksliai kaip aprašyta šiame lapelyje arba kaip nurodė gydytojas arba vaistininkas.</w:t>
      </w:r>
    </w:p>
    <w:p w:rsidR="006C2384" w:rsidRPr="008D37AB" w:rsidRDefault="006C2384" w:rsidP="006C2384">
      <w:pPr>
        <w:numPr>
          <w:ilvl w:val="0"/>
          <w:numId w:val="1"/>
        </w:numPr>
        <w:tabs>
          <w:tab w:val="left" w:pos="567"/>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 xml:space="preserve">Neišmeskite šio lapelio, nes vėl gali prireikti jį perskaityti. </w:t>
      </w:r>
    </w:p>
    <w:p w:rsidR="006C2384" w:rsidRPr="008D37AB" w:rsidRDefault="006C2384" w:rsidP="006C2384">
      <w:pPr>
        <w:numPr>
          <w:ilvl w:val="0"/>
          <w:numId w:val="1"/>
        </w:numPr>
        <w:tabs>
          <w:tab w:val="left" w:pos="567"/>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Jeigu norite sužinoti daugiau arba pasitarti, kreipkitės į vaistininką.</w:t>
      </w:r>
    </w:p>
    <w:p w:rsidR="006C2384" w:rsidRPr="008D37AB" w:rsidRDefault="006C2384" w:rsidP="006C2384">
      <w:pPr>
        <w:numPr>
          <w:ilvl w:val="0"/>
          <w:numId w:val="1"/>
        </w:numPr>
        <w:tabs>
          <w:tab w:val="left" w:pos="567"/>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Jeigu pasireiškė šalutinis poveikis (net jeigu jis šiame lapelyje nenurodytas), kreipkitės į gydytoją arba vaistininką. Žr. 4 skyrių.</w:t>
      </w:r>
    </w:p>
    <w:p w:rsidR="006C2384" w:rsidRPr="008D37AB" w:rsidRDefault="006C2384" w:rsidP="006C2384">
      <w:pPr>
        <w:numPr>
          <w:ilvl w:val="0"/>
          <w:numId w:val="1"/>
        </w:numPr>
        <w:tabs>
          <w:tab w:val="left" w:pos="567"/>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Jeigu per 10</w:t>
      </w:r>
      <w:r>
        <w:rPr>
          <w:rFonts w:ascii="Times New Roman" w:eastAsia="Calibri" w:hAnsi="Times New Roman" w:cs="Times New Roman"/>
          <w:noProof/>
          <w:lang w:val="lt-LT"/>
        </w:rPr>
        <w:t> </w:t>
      </w:r>
      <w:r w:rsidRPr="008D37AB">
        <w:rPr>
          <w:rFonts w:ascii="Times New Roman" w:eastAsia="Calibri" w:hAnsi="Times New Roman" w:cs="Times New Roman"/>
          <w:noProof/>
          <w:lang w:val="lt-LT"/>
        </w:rPr>
        <w:t>dienų Jūsų savijauta nepagerėjo arba net pablogėjo, kreipkitės į gydytoją.</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p>
    <w:p w:rsidR="006C2384" w:rsidRPr="008D37AB" w:rsidRDefault="006C2384" w:rsidP="006C2384">
      <w:pPr>
        <w:numPr>
          <w:ilvl w:val="12"/>
          <w:numId w:val="0"/>
        </w:numPr>
        <w:tabs>
          <w:tab w:val="left" w:pos="720"/>
        </w:tabs>
        <w:spacing w:after="0" w:line="240" w:lineRule="auto"/>
        <w:ind w:right="-2"/>
        <w:outlineLvl w:val="0"/>
        <w:rPr>
          <w:rFonts w:ascii="Times New Roman" w:eastAsia="Calibri" w:hAnsi="Times New Roman" w:cs="Times New Roman"/>
          <w:b/>
          <w:noProof/>
          <w:lang w:val="lt-LT"/>
        </w:rPr>
      </w:pPr>
    </w:p>
    <w:p w:rsidR="006C2384" w:rsidRPr="008D37AB" w:rsidRDefault="006C2384" w:rsidP="006C2384">
      <w:pPr>
        <w:keepNext/>
        <w:tabs>
          <w:tab w:val="left" w:pos="567"/>
        </w:tabs>
        <w:spacing w:after="0" w:line="260" w:lineRule="exact"/>
        <w:jc w:val="both"/>
        <w:outlineLvl w:val="3"/>
        <w:rPr>
          <w:rFonts w:ascii="Times New Roman" w:eastAsia="Calibri" w:hAnsi="Times New Roman" w:cs="Times New Roman"/>
          <w:b/>
          <w:noProof/>
          <w:lang w:val="lt-LT"/>
        </w:rPr>
      </w:pPr>
      <w:r w:rsidRPr="008D37AB">
        <w:rPr>
          <w:rFonts w:ascii="Times New Roman" w:eastAsia="Calibri" w:hAnsi="Times New Roman" w:cs="Times New Roman"/>
          <w:b/>
          <w:noProof/>
          <w:lang w:val="lt-LT"/>
        </w:rPr>
        <w:t>Apie ką rašoma šiame lapelyje?</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b/>
          <w:noProof/>
          <w:lang w:val="lt-LT"/>
        </w:rPr>
      </w:pP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1.</w:t>
      </w:r>
      <w:r w:rsidRPr="008D37AB">
        <w:rPr>
          <w:rFonts w:ascii="Times New Roman" w:eastAsia="Calibri" w:hAnsi="Times New Roman" w:cs="Times New Roman"/>
          <w:noProof/>
          <w:lang w:val="lt-LT"/>
        </w:rPr>
        <w:tab/>
        <w:t>Kas yra Hexoral ir kam jis vartojamas</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2.</w:t>
      </w:r>
      <w:r w:rsidRPr="008D37AB">
        <w:rPr>
          <w:rFonts w:ascii="Times New Roman" w:eastAsia="Calibri" w:hAnsi="Times New Roman" w:cs="Times New Roman"/>
          <w:noProof/>
          <w:lang w:val="lt-LT"/>
        </w:rPr>
        <w:tab/>
        <w:t>Kas žinotina prieš vartojant Hexoral</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3.</w:t>
      </w:r>
      <w:r w:rsidRPr="008D37AB">
        <w:rPr>
          <w:rFonts w:ascii="Times New Roman" w:eastAsia="Calibri" w:hAnsi="Times New Roman" w:cs="Times New Roman"/>
          <w:noProof/>
          <w:lang w:val="lt-LT"/>
        </w:rPr>
        <w:tab/>
        <w:t>Kaip vartoti Hexoral</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4.</w:t>
      </w:r>
      <w:r w:rsidRPr="008D37AB">
        <w:rPr>
          <w:rFonts w:ascii="Times New Roman" w:eastAsia="Calibri" w:hAnsi="Times New Roman" w:cs="Times New Roman"/>
          <w:noProof/>
          <w:lang w:val="lt-LT"/>
        </w:rPr>
        <w:tab/>
        <w:t>Galimas šalutinis poveikis</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5.</w:t>
      </w:r>
      <w:r w:rsidRPr="008D37AB">
        <w:rPr>
          <w:rFonts w:ascii="Times New Roman" w:eastAsia="Calibri" w:hAnsi="Times New Roman" w:cs="Times New Roman"/>
          <w:noProof/>
          <w:lang w:val="lt-LT"/>
        </w:rPr>
        <w:tab/>
        <w:t>Kaip laikyti Hexoral</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6.</w:t>
      </w:r>
      <w:r w:rsidRPr="008D37AB">
        <w:rPr>
          <w:rFonts w:ascii="Times New Roman" w:eastAsia="Calibri" w:hAnsi="Times New Roman" w:cs="Times New Roman"/>
          <w:noProof/>
          <w:lang w:val="lt-LT"/>
        </w:rPr>
        <w:tab/>
        <w:t>Pakuotės turinys ir kita informacija</w:t>
      </w:r>
    </w:p>
    <w:p w:rsidR="006C2384" w:rsidRPr="008D37AB"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p>
    <w:p w:rsidR="006C2384" w:rsidRPr="008D37AB"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p>
    <w:p w:rsidR="006C2384" w:rsidRPr="008D37AB" w:rsidRDefault="006C2384" w:rsidP="006C2384">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8D37AB">
        <w:rPr>
          <w:rFonts w:ascii="Times New Roman" w:eastAsia="Calibri" w:hAnsi="Times New Roman" w:cs="Times New Roman"/>
          <w:b/>
          <w:noProof/>
          <w:lang w:val="lt-LT"/>
        </w:rPr>
        <w:t>1.</w:t>
      </w:r>
      <w:r w:rsidRPr="008D37AB">
        <w:rPr>
          <w:rFonts w:ascii="Times New Roman" w:eastAsia="Calibri" w:hAnsi="Times New Roman" w:cs="Times New Roman"/>
          <w:b/>
          <w:noProof/>
          <w:lang w:val="lt-LT"/>
        </w:rPr>
        <w:tab/>
        <w:t>Kas yra Hexoral ir kam jis vartojamas</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Veiklioji vaisto medžiaga heksetidinas antiseptiškai veikia burnos ir gerklės infekcinių ligų sukėlėjus (bakterijas ir grybelius).</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Hexoral vartojamas lengvo burnos, ryklės ir dantenų gleivinės uždegimo gydymui bei burnos ir ryklės infekcijos profilaktikai prieš chirurgines procedūras ir po jų.</w:t>
      </w:r>
    </w:p>
    <w:p w:rsidR="006C2384" w:rsidRPr="008D37AB"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p>
    <w:p w:rsidR="006C2384" w:rsidRPr="008D37AB"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Jeigu per 10</w:t>
      </w:r>
      <w:r>
        <w:rPr>
          <w:rFonts w:ascii="Times New Roman" w:eastAsia="Calibri" w:hAnsi="Times New Roman" w:cs="Times New Roman"/>
          <w:noProof/>
          <w:lang w:val="lt-LT"/>
        </w:rPr>
        <w:t> </w:t>
      </w:r>
      <w:r w:rsidRPr="008D37AB">
        <w:rPr>
          <w:rFonts w:ascii="Times New Roman" w:eastAsia="Calibri" w:hAnsi="Times New Roman" w:cs="Times New Roman"/>
          <w:noProof/>
          <w:lang w:val="lt-LT"/>
        </w:rPr>
        <w:t>dienų Jūsų savijauta nepagerėjo arba net pablogėjo, kreipkitės į gydytoją.</w:t>
      </w:r>
    </w:p>
    <w:p w:rsidR="006C2384" w:rsidRPr="008D37AB"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p>
    <w:p w:rsidR="006C2384" w:rsidRPr="008D37AB"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p>
    <w:p w:rsidR="006C2384" w:rsidRPr="008D37AB" w:rsidRDefault="006C2384" w:rsidP="006C2384">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8D37AB">
        <w:rPr>
          <w:rFonts w:ascii="Times New Roman" w:eastAsia="Calibri" w:hAnsi="Times New Roman" w:cs="Times New Roman"/>
          <w:b/>
          <w:noProof/>
          <w:lang w:val="lt-LT"/>
        </w:rPr>
        <w:t>2.</w:t>
      </w:r>
      <w:r w:rsidRPr="008D37AB">
        <w:rPr>
          <w:rFonts w:ascii="Times New Roman" w:eastAsia="Calibri" w:hAnsi="Times New Roman" w:cs="Times New Roman"/>
          <w:b/>
          <w:noProof/>
          <w:lang w:val="lt-LT"/>
        </w:rPr>
        <w:tab/>
        <w:t>Kas žinotina prieš vartojant Hexoral</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ind w:left="567" w:hanging="567"/>
        <w:rPr>
          <w:rFonts w:ascii="Times New Roman" w:eastAsia="Calibri" w:hAnsi="Times New Roman" w:cs="Times New Roman"/>
          <w:b/>
          <w:caps/>
          <w:noProof/>
          <w:lang w:val="lt-LT"/>
        </w:rPr>
      </w:pPr>
      <w:r w:rsidRPr="008D37AB">
        <w:rPr>
          <w:rFonts w:ascii="Times New Roman" w:eastAsia="Calibri" w:hAnsi="Times New Roman" w:cs="Times New Roman"/>
          <w:b/>
          <w:bCs/>
          <w:noProof/>
          <w:lang w:val="lt-LT"/>
        </w:rPr>
        <w:t>Hexoral vartoti negalima:</w:t>
      </w:r>
    </w:p>
    <w:p w:rsidR="006C2384" w:rsidRPr="008D37AB" w:rsidRDefault="006C2384" w:rsidP="006C2384">
      <w:pPr>
        <w:numPr>
          <w:ilvl w:val="12"/>
          <w:numId w:val="0"/>
        </w:num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w:t>
      </w:r>
      <w:r w:rsidRPr="008D37AB">
        <w:rPr>
          <w:rFonts w:ascii="Times New Roman" w:eastAsia="Calibri" w:hAnsi="Times New Roman" w:cs="Times New Roman"/>
          <w:noProof/>
          <w:lang w:val="lt-LT"/>
        </w:rPr>
        <w:tab/>
        <w:t>jeigu yra alergija heksetidinui arba bet kuriai pagalbinei šio vaisto medžiagai (jos išvardytos 6 skyriuje);</w:t>
      </w:r>
    </w:p>
    <w:p w:rsidR="006C2384" w:rsidRPr="008D37AB" w:rsidRDefault="006C2384" w:rsidP="006C2384">
      <w:pPr>
        <w:numPr>
          <w:ilvl w:val="12"/>
          <w:numId w:val="0"/>
        </w:num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w:t>
      </w:r>
      <w:r w:rsidRPr="008D37AB">
        <w:rPr>
          <w:rFonts w:ascii="Times New Roman" w:eastAsia="Calibri" w:hAnsi="Times New Roman" w:cs="Times New Roman"/>
          <w:noProof/>
          <w:lang w:val="lt-LT"/>
        </w:rPr>
        <w:tab/>
        <w:t>negalima vartoti jaunesniems nei 12</w:t>
      </w:r>
      <w:r>
        <w:rPr>
          <w:rFonts w:ascii="Times New Roman" w:eastAsia="Calibri" w:hAnsi="Times New Roman" w:cs="Times New Roman"/>
          <w:noProof/>
          <w:lang w:val="lt-LT"/>
        </w:rPr>
        <w:t> </w:t>
      </w:r>
      <w:r w:rsidRPr="008D37AB">
        <w:rPr>
          <w:rFonts w:ascii="Times New Roman" w:eastAsia="Calibri" w:hAnsi="Times New Roman" w:cs="Times New Roman"/>
          <w:noProof/>
          <w:lang w:val="lt-LT"/>
        </w:rPr>
        <w:t>metų vaikams.</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Įspėjimai ir atsargumo priemonės</w:t>
      </w:r>
    </w:p>
    <w:p w:rsidR="006C2384" w:rsidRPr="008D37AB" w:rsidRDefault="006C2384" w:rsidP="006C2384">
      <w:pPr>
        <w:numPr>
          <w:ilvl w:val="12"/>
          <w:numId w:val="0"/>
        </w:numPr>
        <w:spacing w:after="0" w:line="240" w:lineRule="auto"/>
        <w:ind w:right="-2"/>
        <w:rPr>
          <w:rFonts w:ascii="Times New Roman" w:eastAsia="Calibri" w:hAnsi="Times New Roman" w:cs="Times New Roman"/>
          <w:noProof/>
          <w:lang w:val="lt-LT"/>
        </w:rPr>
      </w:pPr>
      <w:r w:rsidRPr="008D37AB">
        <w:rPr>
          <w:rFonts w:ascii="Times New Roman" w:eastAsia="Calibri" w:hAnsi="Times New Roman" w:cs="Times New Roman"/>
          <w:noProof/>
          <w:lang w:val="lt-LT"/>
        </w:rPr>
        <w:t>Pasitarkite su gydytoju arba vaistininku, prieš pradėdami vartoti Hexoral.</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Reikia saugoti, kad vaisto nepatektų į akis. Atsiradus sudirginimui ar alerginėms reakcijoms, vaisto vartojimą reikia nutraukti.</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Hexoral gargalas vartojamas tik išoriškai; tirpalo nuryti negalima.</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Jeigu gydytojas nenurodė kitaip, Hexoral negalima vartoti ilgiau kaip 10</w:t>
      </w:r>
      <w:r>
        <w:rPr>
          <w:rFonts w:ascii="Times New Roman" w:eastAsia="Calibri" w:hAnsi="Times New Roman" w:cs="Times New Roman"/>
          <w:noProof/>
          <w:lang w:val="lt-LT"/>
        </w:rPr>
        <w:t> </w:t>
      </w:r>
      <w:r w:rsidRPr="008D37AB">
        <w:rPr>
          <w:rFonts w:ascii="Times New Roman" w:eastAsia="Calibri" w:hAnsi="Times New Roman" w:cs="Times New Roman"/>
          <w:noProof/>
          <w:lang w:val="lt-LT"/>
        </w:rPr>
        <w:t>dienų.</w:t>
      </w:r>
    </w:p>
    <w:p w:rsidR="006C2384" w:rsidRPr="008D37AB"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rPr>
          <w:rFonts w:ascii="Times New Roman" w:eastAsia="Calibri" w:hAnsi="Times New Roman" w:cs="Times New Roman"/>
          <w:b/>
          <w:noProof/>
          <w:lang w:val="lt-LT"/>
        </w:rPr>
      </w:pPr>
      <w:r w:rsidRPr="008D37AB">
        <w:rPr>
          <w:rFonts w:ascii="Times New Roman" w:eastAsia="Calibri" w:hAnsi="Times New Roman" w:cs="Times New Roman"/>
          <w:b/>
          <w:noProof/>
          <w:lang w:val="lt-LT"/>
        </w:rPr>
        <w:t>Kiti vaistai ir Hexoral</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lastRenderedPageBreak/>
        <w:t>Jeigu vartojate ar neseniai vartojote kitų vaistų arba dėl to nesate tikri, apie tai pasakykite gydytojui arba vaistininkui.</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Kai vaistas buvo vartojamas taip, kaip rekomenduojama, vaistų sąveikos nestebėta.</w:t>
      </w:r>
    </w:p>
    <w:p w:rsidR="006C2384" w:rsidRPr="008D37AB"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Nėštumas ir žindymo laikotarpis</w:t>
      </w:r>
    </w:p>
    <w:p w:rsidR="006C2384" w:rsidRPr="008D37AB" w:rsidRDefault="006C2384" w:rsidP="006C2384">
      <w:pPr>
        <w:spacing w:after="0" w:line="240" w:lineRule="auto"/>
        <w:rPr>
          <w:rFonts w:ascii="Times New Roman" w:eastAsia="Calibri" w:hAnsi="Times New Roman" w:cs="Times New Roman"/>
          <w:iCs/>
          <w:noProof/>
          <w:lang w:val="lt-LT"/>
        </w:rPr>
      </w:pPr>
      <w:r w:rsidRPr="008D37AB">
        <w:rPr>
          <w:rFonts w:ascii="Times New Roman" w:eastAsia="Calibri" w:hAnsi="Times New Roman" w:cs="Times New Roman"/>
          <w:iCs/>
          <w:noProof/>
          <w:lang w:val="lt-LT"/>
        </w:rPr>
        <w:t>Jeigu esate nėščia, žindote kūdikį, manote, kad galbūt esate nėščia, arba planuojate pastoti, tai prieš vartodama šį vaistą, pasitarkite su gydytoju arba vaistininku.</w:t>
      </w:r>
    </w:p>
    <w:p w:rsidR="006C2384" w:rsidRPr="008D37AB" w:rsidRDefault="006C2384" w:rsidP="006C2384">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iCs/>
          <w:noProof/>
          <w:lang w:val="lt-LT"/>
        </w:rPr>
        <w:t>Tyrimų su žmonėmis atlikta nebuvo. Tačiau remiantis</w:t>
      </w:r>
      <w:r w:rsidRPr="008D37AB">
        <w:rPr>
          <w:rFonts w:ascii="Times New Roman" w:eastAsia="Calibri" w:hAnsi="Times New Roman" w:cs="Times New Roman"/>
          <w:noProof/>
          <w:lang w:val="lt-LT"/>
        </w:rPr>
        <w:t xml:space="preserve"> tyrimų, atliktų su gyvūnais, duomenimis ir teoriškai nereikšminga sistemine absorbcija, laikoma labai mažai tikėtinu dalyku, kad Hexoral nėštumo metu gali turėti poveikį vaisiui.</w:t>
      </w:r>
    </w:p>
    <w:p w:rsidR="006C2384" w:rsidRPr="008D37AB" w:rsidRDefault="006C2384" w:rsidP="006C2384">
      <w:pPr>
        <w:spacing w:after="0" w:line="240" w:lineRule="auto"/>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Nežinoma, ar heksetidinas išsiskiria į motinos pieną. Kadangi heksetidino sisteminė absorbcija yra nereikšminga, mažai tikėtina, kad heksetidino koncentracija motinos piene gali turėti poveikį naujagimiui ar kūdikiui.</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Vairavimas ir mechanizmų valdymas</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bCs/>
          <w:noProof/>
          <w:lang w:val="lt-LT"/>
        </w:rPr>
        <w:t>Hexoral</w:t>
      </w:r>
      <w:r w:rsidRPr="008D37AB">
        <w:rPr>
          <w:rFonts w:ascii="Times New Roman" w:eastAsia="Calibri" w:hAnsi="Times New Roman" w:cs="Times New Roman"/>
          <w:noProof/>
          <w:lang w:val="lt-LT"/>
        </w:rPr>
        <w:t xml:space="preserve"> gebėjimo vairuoti ir valdyti mechanizmus neveikia.</w:t>
      </w:r>
    </w:p>
    <w:p w:rsidR="006C2384" w:rsidRPr="008D37AB"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p>
    <w:p w:rsidR="006C2384" w:rsidRPr="00465B06" w:rsidRDefault="006C2384" w:rsidP="006C2384">
      <w:pPr>
        <w:tabs>
          <w:tab w:val="left" w:pos="567"/>
        </w:tabs>
        <w:spacing w:after="0" w:line="260" w:lineRule="exact"/>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Hexoral sudėtyje yra dažiklio azorubino (E122)</w:t>
      </w:r>
      <w:r>
        <w:rPr>
          <w:rFonts w:ascii="Times New Roman" w:eastAsia="Calibri" w:hAnsi="Times New Roman" w:cs="Times New Roman"/>
          <w:b/>
          <w:noProof/>
          <w:lang w:val="lt-LT"/>
        </w:rPr>
        <w:t>,</w:t>
      </w:r>
      <w:r w:rsidRPr="008D37AB">
        <w:rPr>
          <w:rFonts w:ascii="Times New Roman" w:eastAsia="Calibri" w:hAnsi="Times New Roman" w:cs="Times New Roman"/>
          <w:b/>
          <w:noProof/>
          <w:lang w:val="lt-LT"/>
        </w:rPr>
        <w:t xml:space="preserve"> </w:t>
      </w:r>
      <w:r w:rsidRPr="00465B06">
        <w:rPr>
          <w:rFonts w:ascii="Times New Roman" w:eastAsia="Calibri" w:hAnsi="Times New Roman" w:cs="Times New Roman"/>
          <w:b/>
          <w:noProof/>
          <w:lang w:val="lt-LT"/>
        </w:rPr>
        <w:t>etanolio ir natrio.</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465B06">
        <w:rPr>
          <w:rFonts w:ascii="Times New Roman" w:eastAsia="Calibri" w:hAnsi="Times New Roman" w:cs="Times New Roman"/>
          <w:noProof/>
          <w:lang w:val="lt-LT"/>
        </w:rPr>
        <w:t>Sudėtyje yra dažiklio azorubino (E122). Gali sukelti alerginių reakcijų</w:t>
      </w:r>
      <w:r w:rsidRPr="008D37AB">
        <w:rPr>
          <w:rFonts w:ascii="Times New Roman" w:eastAsia="Calibri" w:hAnsi="Times New Roman" w:cs="Times New Roman"/>
          <w:noProof/>
          <w:lang w:val="lt-LT"/>
        </w:rPr>
        <w:t>.</w:t>
      </w:r>
    </w:p>
    <w:p w:rsidR="006C2384" w:rsidRPr="00465B06"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Kiekvienuose šio vaisto 15 ml yra 623,95 mg alkoholio (etanolio), tai atitinka 41,6 mg/ml (4,16 % m/V). Toks dozėje esantis alkoholio kiekis atitinka 17 ml alaus ar 7 ml vyno. Alkoholio kiekis, esantis šio vaisto sudėtyje, nesukelia poveikio suaugusiesiems ir paaugliams, o poveikis vaikams, tikėtina, kad bus nepastebimas. Vis dėl to, mažiems vaikams toks alkoholio kiekis gali daryti nedidelį poveikį, pavyzdžiui, sukelti mieguistumą.</w:t>
      </w:r>
    </w:p>
    <w:p w:rsidR="006C2384" w:rsidRPr="00465B06"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Alkoholio kiekis, esantis šio vaisto sudėtyje, gali keisti kitų vaistų poveikį. Jeigu vartojate kitų vaistų, pasitarkite su gydytoju arba vaistininku.</w:t>
      </w:r>
    </w:p>
    <w:p w:rsidR="006C2384" w:rsidRPr="00465B06"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Jeigu esate nėščia ar žindote kūdikį, prieš vartodama šį vaistą pasitarkite su gydytoju arba vaistininku.</w:t>
      </w:r>
    </w:p>
    <w:p w:rsidR="006C2384"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Jeigu esate priklausomi nuo alkoholio, prieš vartodami šį vaistą pasitarkite su gydytoju arba vaistininku.</w:t>
      </w:r>
    </w:p>
    <w:p w:rsidR="006C2384" w:rsidRPr="00465B06"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p>
    <w:p w:rsidR="006C2384" w:rsidRPr="008D37AB" w:rsidRDefault="006C2384" w:rsidP="006C2384">
      <w:pPr>
        <w:numPr>
          <w:ilvl w:val="12"/>
          <w:numId w:val="0"/>
        </w:numPr>
        <w:tabs>
          <w:tab w:val="left" w:pos="720"/>
        </w:tabs>
        <w:spacing w:after="0" w:line="240" w:lineRule="auto"/>
        <w:rPr>
          <w:rFonts w:ascii="Times New Roman" w:eastAsia="Calibri" w:hAnsi="Times New Roman" w:cs="Times New Roman"/>
          <w:noProof/>
          <w:lang w:val="lt-LT"/>
        </w:rPr>
      </w:pPr>
      <w:r w:rsidRPr="00465B06">
        <w:rPr>
          <w:rFonts w:ascii="Times New Roman" w:eastAsia="Calibri" w:hAnsi="Times New Roman" w:cs="Times New Roman"/>
          <w:noProof/>
          <w:lang w:val="lt-LT"/>
        </w:rPr>
        <w:t>Šio vaisto 15 ml yra mažiau kaip 1 mmol (23 mg) natrio, t.y. jis beveik neturi reikšmės</w:t>
      </w:r>
      <w:r w:rsidRPr="00A3774D">
        <w:rPr>
          <w:rFonts w:ascii="Times New Roman" w:eastAsia="Calibri" w:hAnsi="Times New Roman" w:cs="Times New Roman"/>
          <w:noProof/>
          <w:lang w:val="lt-LT"/>
        </w:rPr>
        <w:t>.</w:t>
      </w: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lang w:val="lt-LT"/>
        </w:rPr>
      </w:pPr>
    </w:p>
    <w:p w:rsidR="006C2384" w:rsidRPr="008D37AB" w:rsidRDefault="006C2384" w:rsidP="006C2384">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8D37AB">
        <w:rPr>
          <w:rFonts w:ascii="Times New Roman" w:eastAsia="Calibri" w:hAnsi="Times New Roman" w:cs="Times New Roman"/>
          <w:b/>
          <w:noProof/>
          <w:lang w:val="lt-LT"/>
        </w:rPr>
        <w:t>3.</w:t>
      </w:r>
      <w:r w:rsidRPr="008D37AB">
        <w:rPr>
          <w:rFonts w:ascii="Times New Roman" w:eastAsia="Calibri" w:hAnsi="Times New Roman" w:cs="Times New Roman"/>
          <w:b/>
          <w:noProof/>
          <w:lang w:val="lt-LT"/>
        </w:rPr>
        <w:tab/>
        <w:t>Kaip vartoti Hexoral</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rPr>
          <w:rFonts w:ascii="Times New Roman" w:eastAsia="Times New Roman" w:hAnsi="Times New Roman" w:cs="Times New Roman"/>
          <w:noProof/>
          <w:snapToGrid w:val="0"/>
          <w:szCs w:val="24"/>
          <w:lang w:val="lt-LT"/>
        </w:rPr>
      </w:pPr>
      <w:r w:rsidRPr="008D37AB">
        <w:rPr>
          <w:rFonts w:ascii="Times New Roman" w:eastAsia="Times New Roman" w:hAnsi="Times New Roman" w:cs="Times New Roman"/>
          <w:noProof/>
          <w:snapToGrid w:val="0"/>
          <w:szCs w:val="24"/>
          <w:lang w:val="lt-LT"/>
        </w:rPr>
        <w:t>Visada vartokite šį vaistą tiksliai kaip aprašyta šiame lapelyje arba kaip nurodė gydytojas arba vaistininkas.</w:t>
      </w:r>
      <w:r w:rsidRPr="008D37AB">
        <w:rPr>
          <w:rFonts w:ascii="Times New Roman" w:eastAsia="Times New Roman" w:hAnsi="Times New Roman" w:cs="Times New Roman"/>
          <w:snapToGrid w:val="0"/>
          <w:szCs w:val="24"/>
          <w:lang w:val="lt-LT"/>
        </w:rPr>
        <w:t xml:space="preserve"> </w:t>
      </w:r>
      <w:r w:rsidRPr="008D37AB">
        <w:rPr>
          <w:rFonts w:ascii="Times New Roman" w:eastAsia="Times New Roman" w:hAnsi="Times New Roman" w:cs="Times New Roman"/>
          <w:noProof/>
          <w:snapToGrid w:val="0"/>
          <w:szCs w:val="24"/>
          <w:lang w:val="lt-LT"/>
        </w:rPr>
        <w:t>Jeigu abejojate, kreipkitės į gydytoją arba vaistininką.</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p>
    <w:p w:rsidR="006C2384" w:rsidRPr="008D37AB" w:rsidRDefault="006C2384" w:rsidP="006C2384">
      <w:pPr>
        <w:keepNext/>
        <w:tabs>
          <w:tab w:val="left" w:pos="567"/>
        </w:tabs>
        <w:spacing w:after="0" w:line="260" w:lineRule="exact"/>
        <w:jc w:val="both"/>
        <w:outlineLvl w:val="3"/>
        <w:rPr>
          <w:rFonts w:ascii="Times New Roman" w:eastAsia="Calibri" w:hAnsi="Times New Roman" w:cs="Times New Roman"/>
          <w:i/>
          <w:noProof/>
          <w:lang w:val="lt-LT"/>
        </w:rPr>
      </w:pPr>
      <w:r w:rsidRPr="008D37AB">
        <w:rPr>
          <w:rFonts w:ascii="Times New Roman" w:eastAsia="Calibri" w:hAnsi="Times New Roman" w:cs="Times New Roman"/>
          <w:i/>
          <w:noProof/>
          <w:lang w:val="lt-LT"/>
        </w:rPr>
        <w:t>Suaugusieji ir vyresni kaip 12</w:t>
      </w:r>
      <w:r>
        <w:rPr>
          <w:rFonts w:ascii="Times New Roman" w:eastAsia="Calibri" w:hAnsi="Times New Roman" w:cs="Times New Roman"/>
          <w:i/>
          <w:noProof/>
          <w:lang w:val="lt-LT"/>
        </w:rPr>
        <w:t> </w:t>
      </w:r>
      <w:r w:rsidRPr="008D37AB">
        <w:rPr>
          <w:rFonts w:ascii="Times New Roman" w:eastAsia="Calibri" w:hAnsi="Times New Roman" w:cs="Times New Roman"/>
          <w:i/>
          <w:noProof/>
          <w:lang w:val="lt-LT"/>
        </w:rPr>
        <w:t>metų vaikai</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Sergant burnos ertmės ligomis, skalauti 10</w:t>
      </w:r>
      <w:r>
        <w:rPr>
          <w:rFonts w:ascii="Times New Roman" w:eastAsia="Calibri" w:hAnsi="Times New Roman" w:cs="Times New Roman"/>
          <w:noProof/>
          <w:lang w:val="lt-LT"/>
        </w:rPr>
        <w:noBreakHyphen/>
      </w:r>
      <w:r w:rsidRPr="008D37AB">
        <w:rPr>
          <w:rFonts w:ascii="Times New Roman" w:eastAsia="Calibri" w:hAnsi="Times New Roman" w:cs="Times New Roman"/>
          <w:noProof/>
          <w:lang w:val="lt-LT"/>
        </w:rPr>
        <w:t>15</w:t>
      </w:r>
      <w:r>
        <w:rPr>
          <w:rFonts w:ascii="Times New Roman" w:eastAsia="Calibri" w:hAnsi="Times New Roman" w:cs="Times New Roman"/>
          <w:noProof/>
          <w:lang w:val="lt-LT"/>
        </w:rPr>
        <w:t> </w:t>
      </w:r>
      <w:r w:rsidRPr="008D37AB">
        <w:rPr>
          <w:rFonts w:ascii="Times New Roman" w:eastAsia="Calibri" w:hAnsi="Times New Roman" w:cs="Times New Roman"/>
          <w:noProof/>
          <w:lang w:val="lt-LT"/>
        </w:rPr>
        <w:t>ml (1 valgomasis šaukštas) neskiesto Hexoral apie pusę minutės, sergant ryklės ligomis – gargaliuoti gerklėje tokiu pat kiekiu Hexoral pusę minutės.</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Jei nepaskirta kitaip, vaistą vartoti 2</w:t>
      </w:r>
      <w:r>
        <w:rPr>
          <w:rFonts w:ascii="Times New Roman" w:eastAsia="Calibri" w:hAnsi="Times New Roman" w:cs="Times New Roman"/>
          <w:noProof/>
          <w:lang w:val="lt-LT"/>
        </w:rPr>
        <w:noBreakHyphen/>
      </w:r>
      <w:r w:rsidRPr="008D37AB">
        <w:rPr>
          <w:rFonts w:ascii="Times New Roman" w:eastAsia="Calibri" w:hAnsi="Times New Roman" w:cs="Times New Roman"/>
          <w:noProof/>
          <w:lang w:val="lt-LT"/>
        </w:rPr>
        <w:t>3 kartus per parą, geriau rytą ir vakare po valgio. Hexoral yra visiškai saugus, net kartais vartojamas dažniau.</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Heksetidinas prilimpa prie gleivinės, todėl veikia ilgai. Todėl jį reikia vartoti po valgio.</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Visada skalaukite ar gargaliuokite neskiestu tirpalu. Hexoral suvilgytu tamponu galima tepti ir tik pažeistas burnos vietas.</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Nenurykite tirpalo, o po naudojimo išspjaukite.</w:t>
      </w:r>
    </w:p>
    <w:p w:rsidR="006C2384" w:rsidRPr="008D37AB" w:rsidRDefault="006C2384" w:rsidP="006C2384">
      <w:pPr>
        <w:tabs>
          <w:tab w:val="left" w:pos="567"/>
        </w:tabs>
        <w:spacing w:after="0" w:line="260" w:lineRule="exact"/>
        <w:rPr>
          <w:rFonts w:ascii="Times New Roman" w:eastAsia="Calibri" w:hAnsi="Times New Roman" w:cs="Times New Roman"/>
          <w:i/>
          <w:noProof/>
          <w:lang w:val="lt-LT"/>
        </w:rPr>
      </w:pPr>
    </w:p>
    <w:p w:rsidR="006C2384" w:rsidRPr="008D37AB" w:rsidRDefault="006C2384" w:rsidP="006C2384">
      <w:pPr>
        <w:spacing w:after="0" w:line="240" w:lineRule="auto"/>
        <w:rPr>
          <w:rFonts w:ascii="Times New Roman" w:eastAsia="Calibri" w:hAnsi="Times New Roman" w:cs="Times New Roman"/>
          <w:b/>
          <w:i/>
          <w:noProof/>
          <w:lang w:val="lt-LT"/>
        </w:rPr>
      </w:pPr>
      <w:r w:rsidRPr="008D37AB">
        <w:rPr>
          <w:rFonts w:ascii="Times New Roman" w:eastAsia="Times New Roman" w:hAnsi="Times New Roman" w:cs="Times New Roman"/>
          <w:b/>
          <w:snapToGrid w:val="0"/>
          <w:szCs w:val="20"/>
          <w:lang w:val="lt-LT"/>
        </w:rPr>
        <w:t>Vartojimas vaikams</w:t>
      </w:r>
    </w:p>
    <w:p w:rsidR="006C2384" w:rsidRPr="008D37AB" w:rsidRDefault="006C2384" w:rsidP="006C2384">
      <w:pPr>
        <w:spacing w:after="0" w:line="240" w:lineRule="auto"/>
        <w:rPr>
          <w:rFonts w:ascii="Times New Roman" w:eastAsia="Calibri" w:hAnsi="Times New Roman" w:cs="Times New Roman"/>
          <w:iCs/>
          <w:noProof/>
          <w:lang w:val="lt-LT"/>
        </w:rPr>
      </w:pPr>
      <w:r w:rsidRPr="008D37AB">
        <w:rPr>
          <w:rFonts w:ascii="Times New Roman" w:eastAsia="Calibri" w:hAnsi="Times New Roman" w:cs="Times New Roman"/>
          <w:iCs/>
          <w:noProof/>
          <w:lang w:val="lt-LT"/>
        </w:rPr>
        <w:lastRenderedPageBreak/>
        <w:t>Jaunesniems kaip 12</w:t>
      </w:r>
      <w:r>
        <w:rPr>
          <w:rFonts w:ascii="Times New Roman" w:eastAsia="Calibri" w:hAnsi="Times New Roman" w:cs="Times New Roman"/>
          <w:iCs/>
          <w:noProof/>
          <w:lang w:val="lt-LT"/>
        </w:rPr>
        <w:t> </w:t>
      </w:r>
      <w:r w:rsidRPr="008D37AB">
        <w:rPr>
          <w:rFonts w:ascii="Times New Roman" w:eastAsia="Calibri" w:hAnsi="Times New Roman" w:cs="Times New Roman"/>
          <w:iCs/>
          <w:noProof/>
          <w:lang w:val="lt-LT"/>
        </w:rPr>
        <w:t>metų vaikams vartoti negalima.</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Jeigu manote, kad Hexoral veikia per stipriai arba per silpnai, kreipkitės į gydytoją arba vaistininką.</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ind w:left="567" w:hanging="567"/>
        <w:rPr>
          <w:rFonts w:ascii="Times New Roman" w:eastAsia="Calibri" w:hAnsi="Times New Roman" w:cs="Times New Roman"/>
          <w:b/>
          <w:noProof/>
          <w:lang w:val="lt-LT"/>
        </w:rPr>
      </w:pPr>
      <w:r w:rsidRPr="008D37AB">
        <w:rPr>
          <w:rFonts w:ascii="Times New Roman" w:eastAsia="Calibri" w:hAnsi="Times New Roman" w:cs="Times New Roman"/>
          <w:b/>
          <w:noProof/>
          <w:lang w:val="lt-LT"/>
        </w:rPr>
        <w:t>Pamiršus pavartoti Hexoral</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r w:rsidRPr="008D37AB">
        <w:rPr>
          <w:rFonts w:ascii="Times New Roman" w:eastAsia="Calibri" w:hAnsi="Times New Roman" w:cs="Times New Roman"/>
          <w:noProof/>
          <w:lang w:val="lt-LT"/>
        </w:rPr>
        <w:t>Negalima vartoti dvigubos dozės norint kompensuoti praleistą dozę.</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lang w:val="lt-LT"/>
        </w:rPr>
      </w:pPr>
      <w:r w:rsidRPr="008D37AB">
        <w:rPr>
          <w:rFonts w:ascii="Times New Roman" w:eastAsia="Calibri" w:hAnsi="Times New Roman" w:cs="Times New Roman"/>
          <w:noProof/>
          <w:lang w:val="lt-LT"/>
        </w:rPr>
        <w:t>Jeigu kiltų daugiau klausimų dėl šio vaisto vartojimo, kreipkitės į gydytoją arba vaistininką.</w:t>
      </w: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lang w:val="lt-LT"/>
        </w:rPr>
      </w:pP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lang w:val="lt-LT"/>
        </w:rPr>
      </w:pPr>
    </w:p>
    <w:p w:rsidR="006C2384" w:rsidRPr="008D37AB" w:rsidRDefault="006C2384" w:rsidP="006C2384">
      <w:pPr>
        <w:numPr>
          <w:ilvl w:val="12"/>
          <w:numId w:val="0"/>
        </w:numPr>
        <w:tabs>
          <w:tab w:val="left" w:pos="567"/>
        </w:tabs>
        <w:spacing w:after="0" w:line="260" w:lineRule="exact"/>
        <w:ind w:left="567" w:hanging="567"/>
        <w:outlineLvl w:val="0"/>
        <w:rPr>
          <w:rFonts w:ascii="Times New Roman" w:eastAsia="Calibri" w:hAnsi="Times New Roman" w:cs="Times New Roman"/>
          <w:b/>
          <w:caps/>
          <w:noProof/>
          <w:lang w:val="lt-LT"/>
        </w:rPr>
      </w:pPr>
      <w:r w:rsidRPr="008D37AB">
        <w:rPr>
          <w:rFonts w:ascii="Times New Roman" w:eastAsia="Calibri" w:hAnsi="Times New Roman" w:cs="Times New Roman"/>
          <w:b/>
          <w:caps/>
          <w:noProof/>
          <w:lang w:val="lt-LT"/>
        </w:rPr>
        <w:t>4.</w:t>
      </w:r>
      <w:r w:rsidRPr="008D37AB">
        <w:rPr>
          <w:rFonts w:ascii="Times New Roman" w:eastAsia="Calibri" w:hAnsi="Times New Roman" w:cs="Times New Roman"/>
          <w:b/>
          <w:caps/>
          <w:noProof/>
          <w:lang w:val="lt-LT"/>
        </w:rPr>
        <w:tab/>
      </w:r>
      <w:r w:rsidRPr="008D37AB">
        <w:rPr>
          <w:rFonts w:ascii="Times New Roman" w:eastAsia="Calibri" w:hAnsi="Times New Roman" w:cs="Times New Roman"/>
          <w:b/>
          <w:noProof/>
          <w:lang w:val="lt-LT"/>
        </w:rPr>
        <w:t>Galimas šalutinis poveikis</w:t>
      </w:r>
    </w:p>
    <w:p w:rsidR="006C2384" w:rsidRPr="008D37AB" w:rsidRDefault="006C2384" w:rsidP="006C2384">
      <w:pPr>
        <w:tabs>
          <w:tab w:val="left" w:pos="567"/>
        </w:tabs>
        <w:spacing w:after="0" w:line="260" w:lineRule="exact"/>
        <w:ind w:left="567" w:hanging="567"/>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Šis vaistas, kaip ir visi kiti, gali sukelti šalutinį poveikį, nors jis pasireiškia ne visiems žmonėms.</w:t>
      </w:r>
    </w:p>
    <w:p w:rsidR="006C2384" w:rsidRPr="008D37AB" w:rsidRDefault="006C2384" w:rsidP="006C2384">
      <w:pPr>
        <w:spacing w:after="0" w:line="240" w:lineRule="auto"/>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Toliau išvard</w:t>
      </w:r>
      <w:r>
        <w:rPr>
          <w:rFonts w:ascii="Times New Roman" w:eastAsia="Calibri" w:hAnsi="Times New Roman" w:cs="Times New Roman"/>
          <w:noProof/>
          <w:lang w:val="lt-LT"/>
        </w:rPr>
        <w:t>y</w:t>
      </w:r>
      <w:r w:rsidRPr="008D37AB">
        <w:rPr>
          <w:rFonts w:ascii="Times New Roman" w:eastAsia="Calibri" w:hAnsi="Times New Roman" w:cs="Times New Roman"/>
          <w:noProof/>
          <w:lang w:val="lt-LT"/>
        </w:rPr>
        <w:t>tas šalutinis poveikis, kurio pasireiškimo dažnis labai retas: padidėjusio jautrumo reakcijos, alerginis pabrinkimas, skonio sutrikimas ar praradimas, kosulys, dusulys, burnos sausumas, pasunkėjęs rijimas, pykinimas, seilių liaukos padidėjimas, vėmimas, vartojimo vietos reakcijos (įskaitant burnos ir gerklės sudirginimą, nenormalius pojūčius burnoje, liežuvio, dantų spalvos pasikeitimus, uždegimą, gleivinės lupimąsi bei opas).</w:t>
      </w:r>
    </w:p>
    <w:p w:rsidR="006C2384" w:rsidRPr="008D37AB" w:rsidRDefault="006C2384" w:rsidP="006C2384">
      <w:pPr>
        <w:spacing w:after="0" w:line="240" w:lineRule="auto"/>
        <w:rPr>
          <w:rFonts w:ascii="Times New Roman" w:eastAsia="Calibri" w:hAnsi="Times New Roman" w:cs="Times New Roman"/>
          <w:noProof/>
          <w:lang w:val="lt-LT"/>
        </w:rPr>
      </w:pPr>
    </w:p>
    <w:p w:rsidR="006C2384" w:rsidRPr="008D37AB" w:rsidRDefault="006C2384" w:rsidP="006C2384">
      <w:pPr>
        <w:tabs>
          <w:tab w:val="left" w:pos="567"/>
        </w:tabs>
        <w:spacing w:after="0" w:line="240" w:lineRule="auto"/>
        <w:rPr>
          <w:rFonts w:ascii="Times New Roman" w:eastAsia="Times New Roman" w:hAnsi="Times New Roman" w:cs="Times New Roman"/>
          <w:b/>
          <w:snapToGrid w:val="0"/>
          <w:szCs w:val="24"/>
          <w:lang w:val="lt-LT"/>
        </w:rPr>
      </w:pPr>
      <w:r w:rsidRPr="008D37AB">
        <w:rPr>
          <w:rFonts w:ascii="Times New Roman" w:eastAsia="Times New Roman" w:hAnsi="Times New Roman" w:cs="Times New Roman"/>
          <w:b/>
          <w:noProof/>
          <w:snapToGrid w:val="0"/>
          <w:szCs w:val="24"/>
          <w:lang w:val="lt-LT"/>
        </w:rPr>
        <w:t>Pranešimas apie šalutinį poveikį</w:t>
      </w:r>
    </w:p>
    <w:p w:rsidR="006C2384" w:rsidRPr="008D37AB" w:rsidRDefault="006C2384" w:rsidP="006C2384">
      <w:pPr>
        <w:tabs>
          <w:tab w:val="left" w:pos="567"/>
        </w:tabs>
        <w:spacing w:after="0" w:line="260" w:lineRule="exact"/>
        <w:ind w:right="-449"/>
        <w:rPr>
          <w:rFonts w:ascii="Times New Roman" w:eastAsia="Calibri" w:hAnsi="Times New Roman" w:cs="Times New Roman"/>
          <w:noProof/>
          <w:lang w:val="lt-LT"/>
        </w:rPr>
      </w:pPr>
      <w:r w:rsidRPr="008D37AB">
        <w:rPr>
          <w:rFonts w:ascii="Times New Roman" w:eastAsia="Times New Roman" w:hAnsi="Times New Roman" w:cs="Times New Roman"/>
          <w:snapToGrid w:val="0"/>
          <w:szCs w:val="2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8D37AB">
        <w:rPr>
          <w:rFonts w:ascii="Times New Roman" w:eastAsia="Times New Roman" w:hAnsi="Times New Roman" w:cs="Times New Roman"/>
          <w:snapToGrid w:val="0"/>
          <w:szCs w:val="20"/>
          <w:lang w:val="lt-LT" w:eastAsia="zh-CN"/>
        </w:rPr>
        <w:t>elefonu 8 800 73568</w:t>
      </w:r>
      <w:r w:rsidRPr="008D37AB">
        <w:rPr>
          <w:rFonts w:ascii="Times New Roman" w:eastAsia="Times New Roman" w:hAnsi="Times New Roman" w:cs="Times New Roman"/>
          <w:snapToGrid w:val="0"/>
          <w:szCs w:val="20"/>
          <w:lang w:val="lt-LT"/>
        </w:rPr>
        <w:t xml:space="preserve"> arba užpildyti interneto svetainėje </w:t>
      </w:r>
      <w:hyperlink r:id="rId5" w:history="1">
        <w:r w:rsidRPr="008D37AB">
          <w:rPr>
            <w:rFonts w:ascii="Times New Roman" w:eastAsia="SimSun" w:hAnsi="Times New Roman" w:cs="Times New Roman"/>
            <w:snapToGrid w:val="0"/>
            <w:color w:val="0000FF"/>
            <w:szCs w:val="20"/>
            <w:u w:val="single"/>
            <w:lang w:val="lt-LT"/>
          </w:rPr>
          <w:t>www.vvkt.lt</w:t>
        </w:r>
      </w:hyperlink>
      <w:r w:rsidRPr="008D37AB">
        <w:rPr>
          <w:rFonts w:ascii="Times New Roman" w:eastAsia="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 Žirmūnų g. 139A, LT-09120 Vilnius), </w:t>
      </w:r>
      <w:r w:rsidRPr="008D37AB">
        <w:rPr>
          <w:rFonts w:ascii="Times New Roman" w:eastAsia="Times New Roman" w:hAnsi="Times New Roman" w:cs="Times New Roman"/>
          <w:snapToGrid w:val="0"/>
          <w:szCs w:val="20"/>
          <w:lang w:val="lt-LT" w:eastAsia="zh-CN"/>
        </w:rPr>
        <w:t xml:space="preserve">nemokamu </w:t>
      </w:r>
      <w:r w:rsidRPr="008D37AB">
        <w:rPr>
          <w:rFonts w:ascii="Times New Roman" w:eastAsia="Times New Roman" w:hAnsi="Times New Roman" w:cs="Times New Roman"/>
          <w:snapToGrid w:val="0"/>
          <w:szCs w:val="20"/>
          <w:lang w:val="lt-LT"/>
        </w:rPr>
        <w:t>fakso numeriu 8 800 20131</w:t>
      </w:r>
      <w:r w:rsidRPr="008D37AB">
        <w:rPr>
          <w:rFonts w:ascii="Times New Roman" w:eastAsia="Times New Roman" w:hAnsi="Times New Roman" w:cs="Times New Roman"/>
          <w:snapToGrid w:val="0"/>
          <w:szCs w:val="20"/>
          <w:lang w:val="lt-LT" w:eastAsia="zh-CN"/>
        </w:rPr>
        <w:t xml:space="preserve">, </w:t>
      </w:r>
      <w:r w:rsidRPr="008D37AB">
        <w:rPr>
          <w:rFonts w:ascii="Times New Roman" w:eastAsia="Times New Roman" w:hAnsi="Times New Roman" w:cs="Times New Roman"/>
          <w:snapToGrid w:val="0"/>
          <w:szCs w:val="20"/>
          <w:lang w:val="lt-LT"/>
        </w:rPr>
        <w:t xml:space="preserve">el. paštu </w:t>
      </w:r>
      <w:hyperlink r:id="rId6" w:history="1">
        <w:r w:rsidRPr="008D37AB">
          <w:rPr>
            <w:rFonts w:ascii="Times New Roman" w:eastAsia="SimSun" w:hAnsi="Times New Roman" w:cs="Times New Roman"/>
            <w:snapToGrid w:val="0"/>
            <w:color w:val="0000FF"/>
            <w:szCs w:val="20"/>
            <w:u w:val="single"/>
            <w:lang w:val="lt-LT"/>
          </w:rPr>
          <w:t>NepageidaujamaR@vvkt.lt</w:t>
        </w:r>
      </w:hyperlink>
      <w:r w:rsidRPr="008D37AB">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7" w:history="1">
        <w:r w:rsidRPr="008D37AB">
          <w:rPr>
            <w:rFonts w:ascii="Times New Roman" w:eastAsia="SimSun" w:hAnsi="Times New Roman" w:cs="Times New Roman"/>
            <w:snapToGrid w:val="0"/>
            <w:color w:val="0000FF"/>
            <w:szCs w:val="20"/>
            <w:u w:val="single"/>
            <w:lang w:val="lt-LT"/>
          </w:rPr>
          <w:t>http://www.vvkt.lt</w:t>
        </w:r>
      </w:hyperlink>
      <w:r w:rsidRPr="008D37AB">
        <w:rPr>
          <w:rFonts w:ascii="Times New Roman" w:eastAsia="Times New Roman" w:hAnsi="Times New Roman" w:cs="Times New Roman"/>
          <w:snapToGrid w:val="0"/>
          <w:szCs w:val="20"/>
          <w:lang w:val="lt-LT"/>
        </w:rPr>
        <w:t>). Pranešdami apie šalutinį poveikį galite mums padėti gauti daugiau informacijos apie šio vaisto saugumą.</w:t>
      </w: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lang w:val="lt-LT"/>
        </w:rPr>
      </w:pP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lang w:val="lt-LT"/>
        </w:rPr>
      </w:pPr>
    </w:p>
    <w:p w:rsidR="006C2384" w:rsidRPr="008D37AB" w:rsidRDefault="006C2384" w:rsidP="006C2384">
      <w:pPr>
        <w:numPr>
          <w:ilvl w:val="12"/>
          <w:numId w:val="0"/>
        </w:numPr>
        <w:spacing w:after="0" w:line="240" w:lineRule="auto"/>
        <w:ind w:left="567" w:right="-2" w:hanging="567"/>
        <w:rPr>
          <w:rFonts w:ascii="Times New Roman" w:eastAsia="Calibri" w:hAnsi="Times New Roman" w:cs="Times New Roman"/>
          <w:noProof/>
          <w:lang w:val="lt-LT"/>
        </w:rPr>
      </w:pPr>
      <w:r w:rsidRPr="008D37AB">
        <w:rPr>
          <w:rFonts w:ascii="Times New Roman" w:eastAsia="Calibri" w:hAnsi="Times New Roman" w:cs="Times New Roman"/>
          <w:b/>
          <w:noProof/>
          <w:lang w:val="lt-LT"/>
        </w:rPr>
        <w:t>5.</w:t>
      </w:r>
      <w:r w:rsidRPr="008D37AB">
        <w:rPr>
          <w:rFonts w:ascii="Times New Roman" w:eastAsia="Calibri" w:hAnsi="Times New Roman" w:cs="Times New Roman"/>
          <w:b/>
          <w:noProof/>
          <w:lang w:val="lt-LT"/>
        </w:rPr>
        <w:tab/>
        <w:t>Kaip laikyti Hexoral</w:t>
      </w:r>
    </w:p>
    <w:p w:rsidR="006C2384" w:rsidRPr="008D37AB" w:rsidRDefault="006C2384" w:rsidP="006C2384">
      <w:pPr>
        <w:numPr>
          <w:ilvl w:val="12"/>
          <w:numId w:val="0"/>
        </w:numPr>
        <w:tabs>
          <w:tab w:val="left" w:pos="720"/>
        </w:tabs>
        <w:spacing w:after="0" w:line="240" w:lineRule="auto"/>
        <w:ind w:left="567" w:right="-2" w:hanging="567"/>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Šį vaistą laikykite vaikams nepastebimoje ir nepasiekiamoje vietoje.</w:t>
      </w:r>
    </w:p>
    <w:p w:rsidR="006C2384" w:rsidRPr="008D37AB" w:rsidRDefault="006C2384" w:rsidP="006C2384">
      <w:pPr>
        <w:spacing w:after="0" w:line="240" w:lineRule="auto"/>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Laikyti ne aukštesnėje kaip 30 °C temperatūroje. Buteliuką laikyti išorinėje dėžutėje, kad vaistas būtų apsaugotas nuo šviesos. Negalima šaldyti.</w:t>
      </w:r>
    </w:p>
    <w:p w:rsidR="006C2384" w:rsidRPr="008D37AB" w:rsidRDefault="006C2384" w:rsidP="006C2384">
      <w:pPr>
        <w:spacing w:after="0" w:line="240" w:lineRule="auto"/>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Ant dėžutės ar buteliuko po „Tinka iki</w:t>
      </w:r>
      <w:r>
        <w:rPr>
          <w:rFonts w:ascii="Times New Roman" w:eastAsia="Calibri" w:hAnsi="Times New Roman" w:cs="Times New Roman"/>
          <w:noProof/>
          <w:lang w:val="lt-LT"/>
        </w:rPr>
        <w:t>/EXP</w:t>
      </w:r>
      <w:r w:rsidRPr="008D37AB">
        <w:rPr>
          <w:rFonts w:ascii="Times New Roman" w:eastAsia="Calibri" w:hAnsi="Times New Roman" w:cs="Times New Roman"/>
          <w:noProof/>
          <w:lang w:val="lt-LT"/>
        </w:rPr>
        <w:t>“ nurodytam tinkamumo laikui pasibaigus, šio vaisto vartoti negalima. Vaistas tinkamas vartoti iki paskutinės nurodyto mėnesio dienos.</w:t>
      </w:r>
    </w:p>
    <w:p w:rsidR="006C2384" w:rsidRPr="008D37AB" w:rsidRDefault="006C2384" w:rsidP="006C2384">
      <w:pPr>
        <w:spacing w:after="0" w:line="240" w:lineRule="auto"/>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Pirmą kartą atidarius buteliuką, vaisto tinkamumo laikas yra 6</w:t>
      </w:r>
      <w:r>
        <w:rPr>
          <w:rFonts w:ascii="Times New Roman" w:eastAsia="Calibri" w:hAnsi="Times New Roman" w:cs="Times New Roman"/>
          <w:noProof/>
          <w:lang w:val="lt-LT"/>
        </w:rPr>
        <w:t> </w:t>
      </w:r>
      <w:r w:rsidRPr="008D37AB">
        <w:rPr>
          <w:rFonts w:ascii="Times New Roman" w:eastAsia="Calibri" w:hAnsi="Times New Roman" w:cs="Times New Roman"/>
          <w:noProof/>
          <w:lang w:val="lt-LT"/>
        </w:rPr>
        <w:t>mėnesiai.</w:t>
      </w:r>
    </w:p>
    <w:p w:rsidR="006C2384" w:rsidRPr="008D37AB" w:rsidRDefault="006C2384" w:rsidP="006C2384">
      <w:pPr>
        <w:spacing w:after="0" w:line="240" w:lineRule="auto"/>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Vaistų negalima išmesti į kanalizaciją arba su buitinėmis atliekomis. Kaip išmesti</w:t>
      </w:r>
      <w:r w:rsidRPr="008D37AB" w:rsidDel="0038681F">
        <w:rPr>
          <w:rFonts w:ascii="Times New Roman" w:eastAsia="Calibri" w:hAnsi="Times New Roman" w:cs="Times New Roman"/>
          <w:noProof/>
          <w:lang w:val="lt-LT"/>
        </w:rPr>
        <w:t xml:space="preserve"> </w:t>
      </w:r>
      <w:r w:rsidRPr="008D37AB">
        <w:rPr>
          <w:rFonts w:ascii="Times New Roman" w:eastAsia="Calibri" w:hAnsi="Times New Roman" w:cs="Times New Roman"/>
          <w:noProof/>
          <w:lang w:val="lt-LT"/>
        </w:rPr>
        <w:t>nereikalingus vaistus, klauskite vaistininko. Šios priemonės padės apsaugoti aplinką.</w:t>
      </w: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lang w:val="lt-LT"/>
        </w:rPr>
      </w:pP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lang w:val="lt-LT"/>
        </w:rPr>
      </w:pP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b/>
          <w:noProof/>
          <w:lang w:val="lt-LT"/>
        </w:rPr>
      </w:pPr>
      <w:r w:rsidRPr="008D37AB">
        <w:rPr>
          <w:rFonts w:ascii="Times New Roman" w:eastAsia="Calibri" w:hAnsi="Times New Roman" w:cs="Times New Roman"/>
          <w:b/>
          <w:noProof/>
          <w:lang w:val="lt-LT"/>
        </w:rPr>
        <w:t>6.</w:t>
      </w:r>
      <w:r w:rsidRPr="008D37AB">
        <w:rPr>
          <w:rFonts w:ascii="Times New Roman" w:eastAsia="Calibri" w:hAnsi="Times New Roman" w:cs="Times New Roman"/>
          <w:b/>
          <w:noProof/>
          <w:lang w:val="lt-LT"/>
        </w:rPr>
        <w:tab/>
        <w:t>Pakuotės turinys ir kita informacija</w:t>
      </w: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b/>
          <w:bCs/>
          <w:noProof/>
          <w:lang w:val="lt-LT"/>
        </w:rPr>
      </w:pPr>
      <w:r w:rsidRPr="008D37AB">
        <w:rPr>
          <w:rFonts w:ascii="Times New Roman" w:eastAsia="Calibri" w:hAnsi="Times New Roman" w:cs="Times New Roman"/>
          <w:b/>
          <w:bCs/>
          <w:noProof/>
          <w:lang w:val="lt-LT"/>
        </w:rPr>
        <w:t>Hexoral sudėtis</w:t>
      </w:r>
    </w:p>
    <w:p w:rsidR="006C2384" w:rsidRPr="008D37AB" w:rsidRDefault="006C2384" w:rsidP="006C2384">
      <w:pPr>
        <w:tabs>
          <w:tab w:val="left" w:pos="567"/>
        </w:tabs>
        <w:spacing w:after="0" w:line="260" w:lineRule="exact"/>
        <w:ind w:left="567" w:hanging="283"/>
        <w:rPr>
          <w:rFonts w:ascii="Times New Roman" w:eastAsia="Calibri" w:hAnsi="Times New Roman" w:cs="Times New Roman"/>
          <w:noProof/>
          <w:lang w:val="lt-LT"/>
        </w:rPr>
      </w:pPr>
      <w:r w:rsidRPr="008D37AB">
        <w:rPr>
          <w:rFonts w:ascii="Times New Roman" w:eastAsia="Calibri" w:hAnsi="Times New Roman" w:cs="Times New Roman"/>
          <w:noProof/>
          <w:lang w:val="lt-LT"/>
        </w:rPr>
        <w:t>-</w:t>
      </w:r>
      <w:r w:rsidRPr="008D37AB">
        <w:rPr>
          <w:rFonts w:ascii="Times New Roman" w:eastAsia="Calibri" w:hAnsi="Times New Roman" w:cs="Times New Roman"/>
          <w:noProof/>
          <w:lang w:val="lt-LT"/>
        </w:rPr>
        <w:tab/>
        <w:t>Veiklioji medžiaga yra heksetidinas. 1 ml gargalo ar burnos ploviklio yra 1 mg heksetidino.</w:t>
      </w:r>
    </w:p>
    <w:p w:rsidR="006C2384" w:rsidRPr="008D37AB" w:rsidRDefault="006C2384" w:rsidP="006C2384">
      <w:pPr>
        <w:spacing w:after="0" w:line="240" w:lineRule="auto"/>
        <w:ind w:left="567" w:hanging="283"/>
        <w:rPr>
          <w:rFonts w:ascii="Times New Roman" w:eastAsia="Calibri" w:hAnsi="Times New Roman" w:cs="Times New Roman"/>
          <w:noProof/>
          <w:lang w:val="lt-LT"/>
        </w:rPr>
      </w:pPr>
      <w:r w:rsidRPr="008D37AB">
        <w:rPr>
          <w:rFonts w:ascii="Times New Roman" w:eastAsia="Calibri" w:hAnsi="Times New Roman" w:cs="Times New Roman"/>
          <w:noProof/>
          <w:lang w:val="lt-LT"/>
        </w:rPr>
        <w:lastRenderedPageBreak/>
        <w:t>-</w:t>
      </w:r>
      <w:r w:rsidRPr="008D37AB">
        <w:rPr>
          <w:rFonts w:ascii="Times New Roman" w:eastAsia="Calibri" w:hAnsi="Times New Roman" w:cs="Times New Roman"/>
          <w:noProof/>
          <w:lang w:val="lt-LT"/>
        </w:rPr>
        <w:tab/>
        <w:t>Pagalbinės medžiagos yra eukaliptų eterinis aliejus, citrinų rūgštis monohidratas, etanolis (96 %), levomentolis, polisorbatas 80, sacharino natrio druska, natrio-kalcio edetatas, natrio hidroksidas (pH reguliuoti), azorubinas (E122), išgrynintas vanduo.</w:t>
      </w:r>
    </w:p>
    <w:p w:rsidR="006C2384" w:rsidRPr="008D37AB" w:rsidRDefault="006C2384" w:rsidP="006C2384">
      <w:pPr>
        <w:tabs>
          <w:tab w:val="left" w:pos="720"/>
        </w:tabs>
        <w:spacing w:after="0" w:line="240" w:lineRule="auto"/>
        <w:ind w:right="-2"/>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b/>
          <w:bCs/>
          <w:noProof/>
          <w:lang w:val="lt-LT"/>
        </w:rPr>
      </w:pPr>
      <w:r w:rsidRPr="008D37AB">
        <w:rPr>
          <w:rFonts w:ascii="Times New Roman" w:eastAsia="Calibri" w:hAnsi="Times New Roman" w:cs="Times New Roman"/>
          <w:b/>
          <w:bCs/>
          <w:noProof/>
          <w:lang w:val="lt-LT"/>
        </w:rPr>
        <w:t>Hexoral išvaizda ir kiekis pakuotėje</w:t>
      </w:r>
    </w:p>
    <w:p w:rsidR="006C2384" w:rsidRPr="008D37AB" w:rsidRDefault="006C2384" w:rsidP="006C2384">
      <w:pPr>
        <w:spacing w:after="0" w:line="240" w:lineRule="auto"/>
        <w:rPr>
          <w:rFonts w:ascii="Times New Roman" w:eastAsia="Calibri" w:hAnsi="Times New Roman" w:cs="Times New Roman"/>
          <w:noProof/>
          <w:u w:val="single"/>
          <w:lang w:val="lt-LT"/>
        </w:rPr>
      </w:pPr>
      <w:r w:rsidRPr="008D37AB">
        <w:rPr>
          <w:rFonts w:ascii="Times New Roman" w:eastAsia="Calibri" w:hAnsi="Times New Roman" w:cs="Times New Roman"/>
          <w:noProof/>
          <w:lang w:val="lt-LT"/>
        </w:rPr>
        <w:t>Gargalas ar burnos ploviklis yra skaidrus, raudonas skystis.</w:t>
      </w:r>
    </w:p>
    <w:p w:rsidR="006C2384" w:rsidRPr="008D37AB" w:rsidRDefault="006C2384" w:rsidP="006C2384">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noProof/>
          <w:lang w:val="lt-LT"/>
        </w:rPr>
        <w:t>Kartono dėžutėje yra vienas buteliukas (200 ml).</w:t>
      </w: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u w:val="single"/>
          <w:lang w:val="lt-LT"/>
        </w:rPr>
      </w:pPr>
    </w:p>
    <w:p w:rsidR="006C2384" w:rsidRPr="008D37AB" w:rsidRDefault="006C2384" w:rsidP="006C2384">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b/>
          <w:bCs/>
          <w:noProof/>
          <w:lang w:val="lt-LT"/>
        </w:rPr>
        <w:t xml:space="preserve">Registruotojas </w:t>
      </w:r>
    </w:p>
    <w:p w:rsidR="006C2384" w:rsidRPr="00F86ED8" w:rsidRDefault="006C2384" w:rsidP="006C2384">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McNeil Healthcare (Ireland) Limited</w:t>
      </w:r>
    </w:p>
    <w:p w:rsidR="006C2384" w:rsidRDefault="006C2384" w:rsidP="006C2384">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Airton Road, Tallaght</w:t>
      </w:r>
    </w:p>
    <w:p w:rsidR="006C2384" w:rsidRDefault="006C2384" w:rsidP="006C2384">
      <w:pPr>
        <w:tabs>
          <w:tab w:val="left" w:pos="567"/>
        </w:tabs>
        <w:suppressAutoHyphens/>
        <w:spacing w:after="0" w:line="240" w:lineRule="auto"/>
        <w:ind w:right="28"/>
        <w:rPr>
          <w:rFonts w:ascii="Times New Roman" w:eastAsia="Arial Unicode MS" w:hAnsi="Times New Roman" w:cs="Times New Roman"/>
          <w:noProof/>
          <w:lang w:val="lt-LT"/>
        </w:rPr>
      </w:pPr>
      <w:r w:rsidRPr="00F86ED8">
        <w:rPr>
          <w:rFonts w:ascii="Times New Roman" w:eastAsia="Arial Unicode MS" w:hAnsi="Times New Roman" w:cs="Times New Roman"/>
          <w:noProof/>
          <w:lang w:val="lt-LT"/>
        </w:rPr>
        <w:t>Dublin 24</w:t>
      </w:r>
    </w:p>
    <w:p w:rsidR="006C2384" w:rsidRDefault="006C2384" w:rsidP="006C2384">
      <w:pPr>
        <w:tabs>
          <w:tab w:val="left" w:pos="567"/>
        </w:tabs>
        <w:suppressAutoHyphens/>
        <w:spacing w:after="0" w:line="240" w:lineRule="auto"/>
        <w:ind w:right="28"/>
        <w:rPr>
          <w:rFonts w:ascii="Times New Roman" w:eastAsia="Arial Unicode MS" w:hAnsi="Times New Roman" w:cs="Times New Roman"/>
          <w:noProof/>
          <w:lang w:val="lt-LT"/>
        </w:rPr>
      </w:pPr>
      <w:r>
        <w:rPr>
          <w:rFonts w:ascii="Times New Roman" w:eastAsia="Arial Unicode MS" w:hAnsi="Times New Roman" w:cs="Times New Roman"/>
          <w:noProof/>
          <w:lang w:val="lt-LT"/>
        </w:rPr>
        <w:t>Airija</w:t>
      </w:r>
    </w:p>
    <w:p w:rsidR="006C2384" w:rsidRPr="008D37AB" w:rsidRDefault="006C2384" w:rsidP="006C2384">
      <w:pPr>
        <w:spacing w:after="0" w:line="240" w:lineRule="auto"/>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noProof/>
          <w:lang w:val="lt-LT"/>
        </w:rPr>
      </w:pPr>
      <w:r w:rsidRPr="008D37AB">
        <w:rPr>
          <w:rFonts w:ascii="Times New Roman" w:eastAsia="Calibri" w:hAnsi="Times New Roman" w:cs="Times New Roman"/>
          <w:b/>
          <w:noProof/>
          <w:lang w:val="lt-LT"/>
        </w:rPr>
        <w:t>Gamintojas</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465B06">
        <w:rPr>
          <w:rFonts w:ascii="Times New Roman" w:eastAsia="Calibri" w:hAnsi="Times New Roman" w:cs="Times New Roman"/>
          <w:noProof/>
          <w:lang w:val="lt-LT"/>
        </w:rPr>
        <w:t>Delpharm</w:t>
      </w:r>
      <w:r w:rsidRPr="008D37AB">
        <w:rPr>
          <w:rFonts w:ascii="Times New Roman" w:eastAsia="Calibri" w:hAnsi="Times New Roman" w:cs="Times New Roman"/>
          <w:noProof/>
          <w:lang w:val="lt-LT"/>
        </w:rPr>
        <w:t xml:space="preserve"> Orleans</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5 Avenue de Concyr</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45071 Orleans, Cedex 2</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Prancūzija</w:t>
      </w: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r w:rsidRPr="008D37AB">
        <w:rPr>
          <w:rFonts w:ascii="Times New Roman" w:eastAsia="Calibri" w:hAnsi="Times New Roman" w:cs="Times New Roman"/>
          <w:noProof/>
          <w:lang w:val="lt-LT"/>
        </w:rPr>
        <w:t>Jeigu apie šį vaistą norite sužinoti daugiau, kreipkitės į vietinį registruotojo atstovą</w:t>
      </w:r>
      <w:r w:rsidRPr="00514818">
        <w:t xml:space="preserve"> </w:t>
      </w:r>
      <w:r w:rsidRPr="00514818">
        <w:rPr>
          <w:rFonts w:ascii="Times New Roman" w:eastAsia="Calibri" w:hAnsi="Times New Roman" w:cs="Times New Roman"/>
          <w:noProof/>
          <w:lang w:val="lt-LT"/>
        </w:rPr>
        <w:t>elektroniniu paštu lt@its.jnj.com</w:t>
      </w:r>
      <w:r w:rsidRPr="008D37AB">
        <w:rPr>
          <w:rFonts w:ascii="Times New Roman" w:eastAsia="Calibri" w:hAnsi="Times New Roman" w:cs="Times New Roman"/>
          <w:noProof/>
          <w:lang w:val="lt-LT"/>
        </w:rPr>
        <w:t>.</w:t>
      </w: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lang w:val="lt-LT"/>
        </w:rPr>
      </w:pPr>
    </w:p>
    <w:p w:rsidR="006C2384" w:rsidRDefault="006C2384" w:rsidP="006C2384">
      <w:pPr>
        <w:numPr>
          <w:ilvl w:val="12"/>
          <w:numId w:val="0"/>
        </w:numPr>
        <w:spacing w:after="0" w:line="240" w:lineRule="auto"/>
        <w:ind w:right="-2"/>
        <w:outlineLvl w:val="0"/>
        <w:rPr>
          <w:rFonts w:ascii="Times New Roman" w:eastAsia="Calibri" w:hAnsi="Times New Roman" w:cs="Times New Roman"/>
          <w:b/>
          <w:noProof/>
          <w:lang w:val="lt-LT"/>
        </w:rPr>
      </w:pPr>
      <w:r w:rsidRPr="008D37AB">
        <w:rPr>
          <w:rFonts w:ascii="Times New Roman" w:eastAsia="Calibri" w:hAnsi="Times New Roman" w:cs="Times New Roman"/>
          <w:b/>
          <w:bCs/>
          <w:noProof/>
          <w:lang w:val="lt-LT"/>
        </w:rPr>
        <w:t xml:space="preserve">Šis pakuotės </w:t>
      </w:r>
      <w:r w:rsidRPr="008D37AB">
        <w:rPr>
          <w:rFonts w:ascii="Times New Roman" w:eastAsia="Calibri" w:hAnsi="Times New Roman" w:cs="Times New Roman"/>
          <w:b/>
          <w:noProof/>
          <w:lang w:val="lt-LT"/>
        </w:rPr>
        <w:t xml:space="preserve">lapelis paskutinį kartą peržiūrėtas </w:t>
      </w:r>
      <w:r>
        <w:rPr>
          <w:rFonts w:ascii="Times New Roman" w:eastAsia="Calibri" w:hAnsi="Times New Roman" w:cs="Times New Roman"/>
          <w:b/>
          <w:noProof/>
          <w:lang w:val="lt-LT"/>
        </w:rPr>
        <w:t>2020-12-22.</w:t>
      </w:r>
    </w:p>
    <w:p w:rsidR="006C2384" w:rsidRPr="008D37AB" w:rsidRDefault="006C2384" w:rsidP="006C2384">
      <w:pPr>
        <w:numPr>
          <w:ilvl w:val="12"/>
          <w:numId w:val="0"/>
        </w:numPr>
        <w:spacing w:after="0" w:line="240" w:lineRule="auto"/>
        <w:ind w:right="-2"/>
        <w:outlineLvl w:val="0"/>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noProof/>
          <w:lang w:val="lt-LT"/>
        </w:rPr>
      </w:pPr>
      <w:r w:rsidRPr="008D37AB">
        <w:rPr>
          <w:rFonts w:ascii="Times New Roman" w:eastAsia="Times New Roman" w:hAnsi="Times New Roman" w:cs="Times New Roman"/>
          <w:snapToGrid w:val="0"/>
          <w:szCs w:val="20"/>
          <w:lang w:val="lt-LT"/>
        </w:rPr>
        <w:t xml:space="preserve">Išsami informacija apie šį </w:t>
      </w:r>
      <w:r w:rsidRPr="008D37AB">
        <w:rPr>
          <w:rFonts w:ascii="Times New Roman" w:eastAsia="Times New Roman" w:hAnsi="Times New Roman" w:cs="Times New Roman"/>
          <w:snapToGrid w:val="0"/>
          <w:szCs w:val="24"/>
          <w:lang w:val="lt-LT"/>
        </w:rPr>
        <w:t>vaistą</w:t>
      </w:r>
      <w:r w:rsidRPr="008D37AB">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8D37AB">
        <w:rPr>
          <w:rFonts w:ascii="Times New Roman" w:eastAsia="Times New Roman" w:hAnsi="Times New Roman" w:cs="Times New Roman"/>
          <w:i/>
          <w:snapToGrid w:val="0"/>
          <w:szCs w:val="24"/>
          <w:lang w:val="lt-LT"/>
        </w:rPr>
        <w:t xml:space="preserve"> </w:t>
      </w:r>
      <w:r w:rsidRPr="008D37AB">
        <w:rPr>
          <w:rFonts w:ascii="Times New Roman" w:eastAsia="Times New Roman" w:hAnsi="Times New Roman" w:cs="Times New Roman"/>
          <w:noProof/>
          <w:snapToGrid w:val="0"/>
          <w:szCs w:val="24"/>
          <w:lang w:val="lt-LT"/>
        </w:rPr>
        <w:t>http://</w:t>
      </w:r>
      <w:hyperlink r:id="rId8" w:history="1">
        <w:r w:rsidRPr="008D37AB">
          <w:rPr>
            <w:rFonts w:ascii="Times New Roman" w:eastAsia="SimSun" w:hAnsi="Times New Roman" w:cs="Times New Roman"/>
            <w:noProof/>
            <w:snapToGrid w:val="0"/>
            <w:color w:val="0000FF"/>
            <w:szCs w:val="24"/>
            <w:u w:val="single"/>
            <w:lang w:val="lt-LT"/>
          </w:rPr>
          <w:t>www.vvkt.lt</w:t>
        </w:r>
      </w:hyperlink>
      <w:r w:rsidRPr="008D37AB">
        <w:rPr>
          <w:rFonts w:ascii="Times New Roman" w:eastAsia="Times New Roman" w:hAnsi="Times New Roman" w:cs="Times New Roman"/>
          <w:noProof/>
          <w:snapToGrid w:val="0"/>
          <w:szCs w:val="24"/>
          <w:lang w:val="lt-LT"/>
        </w:rPr>
        <w:t>/</w:t>
      </w:r>
      <w:r w:rsidRPr="008D37AB">
        <w:rPr>
          <w:rFonts w:ascii="Times New Roman" w:eastAsia="Times New Roman" w:hAnsi="Times New Roman" w:cs="Times New Roman"/>
          <w:snapToGrid w:val="0"/>
          <w:szCs w:val="20"/>
          <w:lang w:val="lt-LT"/>
        </w:rPr>
        <w:t>.</w:t>
      </w:r>
    </w:p>
    <w:p w:rsidR="006C2384" w:rsidRPr="008D37AB" w:rsidRDefault="006C2384" w:rsidP="006C2384">
      <w:pPr>
        <w:spacing w:after="0" w:line="240" w:lineRule="auto"/>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noProof/>
          <w:lang w:val="lt-LT"/>
        </w:rPr>
      </w:pPr>
    </w:p>
    <w:p w:rsidR="006C2384" w:rsidRPr="008D37AB" w:rsidRDefault="006C2384" w:rsidP="006C2384">
      <w:pPr>
        <w:spacing w:after="0" w:line="240" w:lineRule="auto"/>
        <w:rPr>
          <w:rFonts w:ascii="Times New Roman" w:eastAsia="Calibri" w:hAnsi="Times New Roman" w:cs="Times New Roman"/>
          <w:b/>
          <w:noProof/>
          <w:lang w:val="lt-LT"/>
        </w:rPr>
      </w:pPr>
    </w:p>
    <w:p w:rsidR="006C2384" w:rsidRPr="008D37AB" w:rsidRDefault="006C2384" w:rsidP="006C2384">
      <w:pPr>
        <w:numPr>
          <w:ilvl w:val="12"/>
          <w:numId w:val="0"/>
        </w:numPr>
        <w:tabs>
          <w:tab w:val="left" w:pos="720"/>
        </w:tabs>
        <w:spacing w:after="0" w:line="240" w:lineRule="auto"/>
        <w:ind w:right="-2"/>
        <w:rPr>
          <w:rFonts w:ascii="Times New Roman" w:eastAsia="Calibri" w:hAnsi="Times New Roman" w:cs="Times New Roman"/>
          <w:noProof/>
          <w:lang w:val="lt-LT"/>
        </w:rPr>
      </w:pPr>
    </w:p>
    <w:p w:rsidR="006C2384" w:rsidRPr="008D37AB" w:rsidRDefault="006C2384" w:rsidP="006C2384">
      <w:pPr>
        <w:tabs>
          <w:tab w:val="left" w:pos="567"/>
        </w:tabs>
        <w:spacing w:after="0" w:line="260" w:lineRule="exact"/>
        <w:rPr>
          <w:rFonts w:ascii="Times New Roman" w:eastAsia="Calibri" w:hAnsi="Times New Roman" w:cs="Times New Roman"/>
          <w:noProof/>
          <w:lang w:val="lt-LT"/>
        </w:rPr>
      </w:pPr>
    </w:p>
    <w:p w:rsidR="006C2384" w:rsidRPr="008D37AB" w:rsidRDefault="006C2384" w:rsidP="006C2384">
      <w:pPr>
        <w:spacing w:after="200" w:line="276" w:lineRule="auto"/>
        <w:rPr>
          <w:rFonts w:ascii="Calibri" w:eastAsia="Calibri" w:hAnsi="Calibri" w:cs="Times New Roman"/>
          <w:noProof/>
          <w:lang w:val="lt-LT"/>
        </w:rPr>
      </w:pPr>
    </w:p>
    <w:p w:rsidR="006C2384" w:rsidRDefault="006C2384" w:rsidP="006C2384"/>
    <w:p w:rsidR="009041DB" w:rsidRDefault="009041DB">
      <w:bookmarkStart w:id="0" w:name="_GoBack"/>
      <w:bookmarkEnd w:id="0"/>
    </w:p>
    <w:sectPr w:rsidR="009041DB" w:rsidSect="006D0990">
      <w:footerReference w:type="default" r:id="rId9"/>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818" w:rsidRDefault="006C2384" w:rsidP="00D618D3">
    <w:pPr>
      <w:pStyle w:val="Porat"/>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84"/>
    <w:rsid w:val="006C2384"/>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097D0-CB9C-4ACC-9128-ACCBC810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2384"/>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C238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C2384"/>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5478</Words>
  <Characters>3124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2020-12-28T10:53:00Z</dcterms:created>
  <dcterms:modified xsi:type="dcterms:W3CDTF">2020-12-28T10:53:00Z</dcterms:modified>
</cp:coreProperties>
</file>