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E07C" w14:textId="77777777" w:rsidR="00CE1739" w:rsidRPr="00193E0B" w:rsidRDefault="00CE1739" w:rsidP="00CE1739">
      <w:pPr>
        <w:keepNext/>
        <w:keepLines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</w:rPr>
      </w:pPr>
      <w:r w:rsidRPr="00193E0B">
        <w:rPr>
          <w:rFonts w:ascii="Times New Roman" w:eastAsia="Times New Roman" w:hAnsi="Times New Roman" w:cs="Times New Roman"/>
          <w:b/>
          <w:bCs/>
          <w:iCs/>
          <w:noProof/>
        </w:rPr>
        <w:t>Pakuotės lapelis: informacija pacientui</w:t>
      </w:r>
    </w:p>
    <w:p w14:paraId="7B76A273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4318D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Hexoraletten N 5</w:t>
      </w:r>
      <w:r>
        <w:rPr>
          <w:rFonts w:ascii="Times New Roman" w:eastAsia="Calibri" w:hAnsi="Times New Roman" w:cs="Times New Roman"/>
          <w:b/>
          <w:noProof/>
        </w:rPr>
        <w:t> </w:t>
      </w:r>
      <w:r w:rsidRPr="00193E0B">
        <w:rPr>
          <w:rFonts w:ascii="Times New Roman" w:eastAsia="Calibri" w:hAnsi="Times New Roman" w:cs="Times New Roman"/>
          <w:b/>
          <w:noProof/>
        </w:rPr>
        <w:t>mg/1,5</w:t>
      </w:r>
      <w:r>
        <w:rPr>
          <w:rFonts w:ascii="Times New Roman" w:eastAsia="Calibri" w:hAnsi="Times New Roman" w:cs="Times New Roman"/>
          <w:b/>
          <w:noProof/>
        </w:rPr>
        <w:t> </w:t>
      </w:r>
      <w:r w:rsidRPr="00193E0B">
        <w:rPr>
          <w:rFonts w:ascii="Times New Roman" w:eastAsia="Calibri" w:hAnsi="Times New Roman" w:cs="Times New Roman"/>
          <w:b/>
          <w:noProof/>
        </w:rPr>
        <w:t>mg kietosios pastilės</w:t>
      </w:r>
    </w:p>
    <w:p w14:paraId="561C568E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noProof/>
        </w:rPr>
      </w:pPr>
      <w:r>
        <w:rPr>
          <w:rFonts w:ascii="Times New Roman" w:eastAsia="Calibri" w:hAnsi="Times New Roman" w:cs="Times New Roman"/>
          <w:noProof/>
        </w:rPr>
        <w:t>c</w:t>
      </w:r>
      <w:r w:rsidRPr="00193E0B">
        <w:rPr>
          <w:rFonts w:ascii="Times New Roman" w:eastAsia="Calibri" w:hAnsi="Times New Roman" w:cs="Times New Roman"/>
          <w:noProof/>
        </w:rPr>
        <w:t>hlorheksidino dihidrochloridas, benzokainas</w:t>
      </w:r>
      <w:r w:rsidRPr="008D6CBB">
        <w:rPr>
          <w:rFonts w:ascii="Times New Roman" w:eastAsia="Calibri" w:hAnsi="Times New Roman" w:cs="Times New Roman"/>
          <w:i/>
          <w:iCs/>
          <w:noProof/>
        </w:rPr>
        <w:t xml:space="preserve"> </w:t>
      </w:r>
      <w:r w:rsidRPr="00E06F4D">
        <w:rPr>
          <w:rFonts w:ascii="Times New Roman" w:eastAsia="Calibri" w:hAnsi="Times New Roman" w:cs="Times New Roman"/>
          <w:i/>
          <w:iCs/>
          <w:noProof/>
        </w:rPr>
        <w:t>(chlorhexidini dihydrochloridum/benzocainum)</w:t>
      </w:r>
    </w:p>
    <w:p w14:paraId="183161C0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97FC643" w14:textId="77777777" w:rsidR="00CE1739" w:rsidRPr="00E06F4D" w:rsidRDefault="00CE1739" w:rsidP="00CE1739">
      <w:pPr>
        <w:numPr>
          <w:ilvl w:val="12"/>
          <w:numId w:val="0"/>
        </w:numPr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noProof/>
        </w:rPr>
      </w:pPr>
      <w:r w:rsidRPr="00E06F4D">
        <w:rPr>
          <w:rFonts w:ascii="Times New Roman" w:eastAsia="Calibri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14:paraId="75E5C510" w14:textId="77777777" w:rsidR="00CE1739" w:rsidRPr="00E06F4D" w:rsidRDefault="00CE1739" w:rsidP="00CE173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0AC5F705" w14:textId="77777777" w:rsidR="00CE1739" w:rsidRPr="00E06F4D" w:rsidRDefault="00CE1739" w:rsidP="00CE17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 xml:space="preserve">Neišmeskite šio lapelio, nes vėl gali prireikti jį perskaityti. </w:t>
      </w:r>
    </w:p>
    <w:p w14:paraId="67A22633" w14:textId="77777777" w:rsidR="00CE1739" w:rsidRPr="00E06F4D" w:rsidRDefault="00CE1739" w:rsidP="00CE17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14:paraId="52A052E2" w14:textId="77777777" w:rsidR="00CE1739" w:rsidRPr="00E06F4D" w:rsidRDefault="00CE1739" w:rsidP="00CE17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14:paraId="6B989891" w14:textId="77777777" w:rsidR="00CE1739" w:rsidRPr="00193E0B" w:rsidRDefault="00CE1739" w:rsidP="00CE17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Jeigu per 3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dienas Jūsų savijauta nepagerėjo arba net pablogėjo, kreipkitės į gydytoją.</w:t>
      </w:r>
    </w:p>
    <w:p w14:paraId="5821E52A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7616B14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Apie ką rašoma šiame lapelyje?</w:t>
      </w:r>
    </w:p>
    <w:p w14:paraId="5F55AA8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747C6CE3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1.</w:t>
      </w:r>
      <w:r w:rsidRPr="00193E0B">
        <w:rPr>
          <w:rFonts w:ascii="Times New Roman" w:eastAsia="Calibri" w:hAnsi="Times New Roman" w:cs="Times New Roman"/>
          <w:noProof/>
        </w:rPr>
        <w:tab/>
        <w:t>Kas yra Hexoraletten N ir kam jis vartojamas</w:t>
      </w:r>
    </w:p>
    <w:p w14:paraId="646A2AD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2.</w:t>
      </w:r>
      <w:r w:rsidRPr="00193E0B">
        <w:rPr>
          <w:rFonts w:ascii="Times New Roman" w:eastAsia="Calibri" w:hAnsi="Times New Roman" w:cs="Times New Roman"/>
          <w:noProof/>
        </w:rPr>
        <w:tab/>
        <w:t>Kas žinotina prieš vartojant Hexoraletten N</w:t>
      </w:r>
    </w:p>
    <w:p w14:paraId="57FB376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3.</w:t>
      </w:r>
      <w:r w:rsidRPr="00193E0B">
        <w:rPr>
          <w:rFonts w:ascii="Times New Roman" w:eastAsia="Calibri" w:hAnsi="Times New Roman" w:cs="Times New Roman"/>
          <w:noProof/>
        </w:rPr>
        <w:tab/>
        <w:t>Kaip vartoti Hexoraletten N</w:t>
      </w:r>
    </w:p>
    <w:p w14:paraId="5B8A33F4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4.</w:t>
      </w:r>
      <w:r w:rsidRPr="00193E0B">
        <w:rPr>
          <w:rFonts w:ascii="Times New Roman" w:eastAsia="Calibri" w:hAnsi="Times New Roman" w:cs="Times New Roman"/>
          <w:noProof/>
        </w:rPr>
        <w:tab/>
        <w:t>Galimas šalutinis poveikis</w:t>
      </w:r>
    </w:p>
    <w:p w14:paraId="5FF7EBEF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5.</w:t>
      </w:r>
      <w:r w:rsidRPr="00193E0B">
        <w:rPr>
          <w:rFonts w:ascii="Times New Roman" w:eastAsia="Calibri" w:hAnsi="Times New Roman" w:cs="Times New Roman"/>
          <w:noProof/>
        </w:rPr>
        <w:tab/>
        <w:t>Kaip laikyti Hexoraletten N</w:t>
      </w:r>
    </w:p>
    <w:p w14:paraId="452316E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6.</w:t>
      </w:r>
      <w:r w:rsidRPr="00193E0B">
        <w:rPr>
          <w:rFonts w:ascii="Times New Roman" w:eastAsia="Calibri" w:hAnsi="Times New Roman" w:cs="Times New Roman"/>
          <w:noProof/>
        </w:rPr>
        <w:tab/>
        <w:t>Pakuotės turinys ir kita informacija</w:t>
      </w:r>
    </w:p>
    <w:p w14:paraId="6E33598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2FEDBFF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64AAFF6" w14:textId="77777777" w:rsidR="00CE1739" w:rsidRPr="00193E0B" w:rsidRDefault="00CE1739" w:rsidP="00CE1739">
      <w:pPr>
        <w:keepNext/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0" w:name="_Toc129243139"/>
      <w:bookmarkStart w:id="1" w:name="_Toc129243264"/>
      <w:r w:rsidRPr="00193E0B">
        <w:rPr>
          <w:rFonts w:ascii="Times New Roman" w:eastAsia="Calibri" w:hAnsi="Times New Roman" w:cs="Times New Roman"/>
          <w:b/>
          <w:noProof/>
        </w:rPr>
        <w:t>1.</w:t>
      </w:r>
      <w:r w:rsidRPr="00193E0B">
        <w:rPr>
          <w:rFonts w:ascii="Times New Roman" w:eastAsia="Calibri" w:hAnsi="Times New Roman" w:cs="Times New Roman"/>
          <w:b/>
          <w:noProof/>
        </w:rPr>
        <w:tab/>
        <w:t>Kas yra Hexoraletten N ir kam jis vartojamas</w:t>
      </w:r>
      <w:bookmarkEnd w:id="0"/>
      <w:bookmarkEnd w:id="1"/>
    </w:p>
    <w:p w14:paraId="3A4D408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0B1D59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Hexoraletten N vartojamas burnos ir ryklės uždegimo simptomams slopinti. </w:t>
      </w:r>
    </w:p>
    <w:p w14:paraId="015C959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E3AC7A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Chlorheksidinas veikia gramteigiamas ir gramneigiamas bakterijas, mieliagrybius, dermatofitus, mikobakterijas ir kai kurias </w:t>
      </w:r>
      <w:r w:rsidRPr="00193E0B">
        <w:rPr>
          <w:rFonts w:ascii="Times New Roman" w:eastAsia="Calibri" w:hAnsi="Times New Roman" w:cs="Times New Roman"/>
          <w:i/>
          <w:noProof/>
        </w:rPr>
        <w:t>Pseudomonas</w:t>
      </w:r>
      <w:r w:rsidRPr="00193E0B">
        <w:rPr>
          <w:rFonts w:ascii="Times New Roman" w:eastAsia="Calibri" w:hAnsi="Times New Roman" w:cs="Times New Roman"/>
          <w:noProof/>
        </w:rPr>
        <w:t xml:space="preserve"> ir </w:t>
      </w:r>
      <w:r w:rsidRPr="00193E0B">
        <w:rPr>
          <w:rFonts w:ascii="Times New Roman" w:eastAsia="Calibri" w:hAnsi="Times New Roman" w:cs="Times New Roman"/>
          <w:i/>
          <w:noProof/>
        </w:rPr>
        <w:t>Proteus</w:t>
      </w:r>
      <w:r w:rsidRPr="00193E0B">
        <w:rPr>
          <w:rFonts w:ascii="Times New Roman" w:eastAsia="Calibri" w:hAnsi="Times New Roman" w:cs="Times New Roman"/>
          <w:noProof/>
        </w:rPr>
        <w:t xml:space="preserve"> rūšis. Pavartotos chlorheksidino pastilės ryškiai sumažina burnos ertmės bakterijų kiekį. </w:t>
      </w:r>
    </w:p>
    <w:p w14:paraId="545CB05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Benzokainas yra gerai ištirtas paviršinis anestetikas, kuris greitai ir ilgam nuslopina burnos bei gerklės skausmą. </w:t>
      </w:r>
    </w:p>
    <w:p w14:paraId="02E6E89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764FB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DCC4F3" w14:textId="77777777" w:rsidR="00CE1739" w:rsidRPr="00193E0B" w:rsidRDefault="00CE1739" w:rsidP="00CE1739">
      <w:pPr>
        <w:keepNext/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2" w:name="_Toc129243140"/>
      <w:bookmarkStart w:id="3" w:name="_Toc129243265"/>
      <w:r w:rsidRPr="00193E0B">
        <w:rPr>
          <w:rFonts w:ascii="Times New Roman" w:eastAsia="Calibri" w:hAnsi="Times New Roman" w:cs="Times New Roman"/>
          <w:b/>
          <w:noProof/>
        </w:rPr>
        <w:t>2.</w:t>
      </w:r>
      <w:r w:rsidRPr="00193E0B">
        <w:rPr>
          <w:rFonts w:ascii="Times New Roman" w:eastAsia="Calibri" w:hAnsi="Times New Roman" w:cs="Times New Roman"/>
          <w:b/>
          <w:noProof/>
        </w:rPr>
        <w:tab/>
        <w:t>Kas žinotina prieš vartojant Hexoraletten N</w:t>
      </w:r>
      <w:bookmarkEnd w:id="2"/>
      <w:bookmarkEnd w:id="3"/>
    </w:p>
    <w:p w14:paraId="387C61F0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6C60ED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 xml:space="preserve">Hexoraletten N vartoti </w:t>
      </w:r>
      <w:r w:rsidRPr="00E06F4D">
        <w:rPr>
          <w:rFonts w:ascii="Times New Roman" w:eastAsia="Calibri" w:hAnsi="Times New Roman" w:cs="Times New Roman"/>
          <w:b/>
          <w:bCs/>
          <w:noProof/>
        </w:rPr>
        <w:t>draudžiama:</w:t>
      </w:r>
    </w:p>
    <w:p w14:paraId="473492CB" w14:textId="77777777" w:rsidR="00CE1739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>jeigu yra alergija chlorheksidino dihidrochloridui ar benzokainui arba bet kuriai pagalbinei šio vaisto medžiagai (jos išvardytos 6 skyriuje);</w:t>
      </w:r>
    </w:p>
    <w:p w14:paraId="46F0482B" w14:textId="77777777" w:rsidR="00CE1739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>jeigu sumažėjęs Jūsų plazmos cholinesterazės kiekis;</w:t>
      </w:r>
    </w:p>
    <w:p w14:paraId="0B0D6BF9" w14:textId="77777777" w:rsidR="00CE1739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>jeigu burnoje ar gerklėje yra žaizdų ar opų;</w:t>
      </w:r>
    </w:p>
    <w:p w14:paraId="1CF3D479" w14:textId="77777777" w:rsidR="00CE1739" w:rsidRPr="00250A2C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 xml:space="preserve">jeigu pacientas yra jaunesnis kaip </w:t>
      </w:r>
      <w:r>
        <w:rPr>
          <w:rFonts w:ascii="Times New Roman" w:eastAsia="Calibri" w:hAnsi="Times New Roman" w:cs="Times New Roman"/>
          <w:noProof/>
          <w:lang w:val="et-EE"/>
        </w:rPr>
        <w:t>6</w:t>
      </w:r>
      <w:r>
        <w:rPr>
          <w:rFonts w:ascii="Times New Roman" w:eastAsia="Calibri" w:hAnsi="Times New Roman" w:cs="Times New Roman"/>
          <w:noProof/>
        </w:rPr>
        <w:t> </w:t>
      </w:r>
      <w:r w:rsidRPr="00250A2C">
        <w:rPr>
          <w:rFonts w:ascii="Times New Roman" w:eastAsia="Calibri" w:hAnsi="Times New Roman" w:cs="Times New Roman"/>
          <w:noProof/>
        </w:rPr>
        <w:t>metų vaikas.</w:t>
      </w:r>
    </w:p>
    <w:p w14:paraId="512AF57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1758A0" w14:textId="77777777" w:rsidR="00CE1739" w:rsidRPr="00193E0B" w:rsidRDefault="00CE1739" w:rsidP="00CE1739">
      <w:pPr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Įspėjimai ir atsargumo priemonės</w:t>
      </w:r>
    </w:p>
    <w:p w14:paraId="32AFEB23" w14:textId="77777777" w:rsidR="00CE1739" w:rsidRPr="00193E0B" w:rsidRDefault="00CE1739" w:rsidP="00CE1739">
      <w:pPr>
        <w:numPr>
          <w:ilvl w:val="12"/>
          <w:numId w:val="0"/>
        </w:numPr>
        <w:suppressAutoHyphens/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Pasitarkite su</w:t>
      </w:r>
      <w:r>
        <w:rPr>
          <w:rFonts w:ascii="Times New Roman" w:eastAsia="Calibri" w:hAnsi="Times New Roman" w:cs="Times New Roman"/>
          <w:noProof/>
        </w:rPr>
        <w:t xml:space="preserve"> gydytoju arba</w:t>
      </w:r>
      <w:r w:rsidRPr="00193E0B">
        <w:rPr>
          <w:rFonts w:ascii="Times New Roman" w:eastAsia="Calibri" w:hAnsi="Times New Roman" w:cs="Times New Roman"/>
          <w:noProof/>
        </w:rPr>
        <w:t xml:space="preserve"> vaistininku, prieš pradėdami vartoti Hexoraletten N.</w:t>
      </w:r>
    </w:p>
    <w:p w14:paraId="21DC5EAE" w14:textId="77777777" w:rsidR="00CE1739" w:rsidRPr="00193E0B" w:rsidRDefault="00CE1739" w:rsidP="00CE1739">
      <w:p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E28FF32" w14:textId="77777777" w:rsidR="00CE1739" w:rsidRPr="00193E0B" w:rsidRDefault="00CE1739" w:rsidP="00CE1739">
      <w:p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Jeigu sergate sunkia infekcine liga, pasireiškiančia aukšta temperatūra, galvos skausmu, vėmimu, būtina gydytojo konsultacija, ypač jei savijauta nepagerėja per 3 dienas.</w:t>
      </w:r>
    </w:p>
    <w:p w14:paraId="25D2EDAB" w14:textId="77777777" w:rsidR="00CE1739" w:rsidRPr="00193E0B" w:rsidRDefault="00CE1739" w:rsidP="00CE1739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</w:p>
    <w:p w14:paraId="27F47E0F" w14:textId="77777777" w:rsidR="00CE1739" w:rsidRPr="00193E0B" w:rsidRDefault="00CE1739" w:rsidP="00CE1739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 yra burnos gleivinės epitelio defektų ar gleivinė lupasi šio vaisto vartoti nereikėtų.</w:t>
      </w:r>
    </w:p>
    <w:p w14:paraId="6994BD1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0A282688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Yra duomenų, rodančių, jog nuo chlorheksidino gliukonato gali atsirasti dėmių burnos gleivinės bei dantų paviršiuje.</w:t>
      </w:r>
    </w:p>
    <w:p w14:paraId="415AE1D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6968B9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lastRenderedPageBreak/>
        <w:t xml:space="preserve">Benzokainas gali sukelti methemoglobinemiją, </w:t>
      </w:r>
      <w:r w:rsidRPr="00193E0B">
        <w:rPr>
          <w:rFonts w:ascii="Times New Roman" w:eastAsia="Times New Roman" w:hAnsi="Times New Roman" w:cs="Times New Roman"/>
          <w:noProof/>
        </w:rPr>
        <w:t>ligą, kai kraujyje susidaro pernelyg daug neįprastos formos hemoglobino, kuris negali veiksmingai išnešioti deguonies po organizmą.</w:t>
      </w:r>
      <w:r w:rsidRPr="00193E0B">
        <w:rPr>
          <w:rFonts w:ascii="Times New Roman" w:eastAsia="Calibri" w:hAnsi="Times New Roman" w:cs="Times New Roman"/>
          <w:noProof/>
        </w:rPr>
        <w:t xml:space="preserve"> Ši būklė pasireiškia odos, lūpų ir nagų guolių blyškumu, pilkumu ar melsvumu, galvos skausmu, svaiguliu, dusuliu, nuovargiu ir dažnu širdies plakimu. </w:t>
      </w:r>
    </w:p>
    <w:p w14:paraId="6875BFD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Šie požymiai gali rodyti vidutinio sunkumo ar sunkią methemoglobinemijos formą ir žymiai sumažėjusį kraujo gebėjimą pernešti deguonį.</w:t>
      </w:r>
    </w:p>
    <w:p w14:paraId="084DD72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D44B00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Naujagimiams ir vaikams, taip pat senyvo amžiaus pacientams methemoglobinemijos rizika yra didesnė.</w:t>
      </w:r>
    </w:p>
    <w:p w14:paraId="3F224F8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2524E28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Kietosios pastilės gali sukelti užspringimo riziką.</w:t>
      </w:r>
    </w:p>
    <w:p w14:paraId="4A8D1305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1F9364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Šio vaisto reikia atsargiai vartoti tiems pacientams, kurie turi aspiracijos ir rijimo problemų.</w:t>
      </w:r>
      <w:r w:rsidRPr="00E06F4D">
        <w:t xml:space="preserve"> </w:t>
      </w:r>
      <w:r w:rsidRPr="00E06F4D">
        <w:rPr>
          <w:rFonts w:ascii="Times New Roman" w:eastAsia="Calibri" w:hAnsi="Times New Roman" w:cs="Times New Roman"/>
          <w:noProof/>
        </w:rPr>
        <w:t>Vaistą reikia laikyti vaikams nepasiekamoje vietoje. Negalima vartoti jaunesniems nei 6</w:t>
      </w:r>
      <w:r w:rsidRPr="00E06F4D">
        <w:t> </w:t>
      </w:r>
      <w:r w:rsidRPr="00E06F4D">
        <w:rPr>
          <w:rFonts w:ascii="Times New Roman" w:eastAsia="Calibri" w:hAnsi="Times New Roman" w:cs="Times New Roman"/>
          <w:noProof/>
        </w:rPr>
        <w:t>metų vaikams.</w:t>
      </w:r>
    </w:p>
    <w:p w14:paraId="53661E5F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FA80173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 xml:space="preserve">Dėl vietinio anestetinio benzokaino poveikio, </w:t>
      </w:r>
      <w:r w:rsidRPr="00E06F4D">
        <w:rPr>
          <w:rFonts w:ascii="Times New Roman" w:eastAsia="Calibri" w:hAnsi="Times New Roman" w:cs="Times New Roman"/>
          <w:i/>
          <w:noProof/>
        </w:rPr>
        <w:t>vengti valgyti ar gerti iškart</w:t>
      </w:r>
      <w:r w:rsidRPr="000A4377">
        <w:rPr>
          <w:rFonts w:ascii="Times New Roman" w:eastAsia="Calibri" w:hAnsi="Times New Roman" w:cs="Times New Roman"/>
          <w:i/>
          <w:noProof/>
        </w:rPr>
        <w:t xml:space="preserve"> po pastilės vartojimo</w:t>
      </w:r>
      <w:r w:rsidRPr="000A4377">
        <w:rPr>
          <w:rFonts w:ascii="Times New Roman" w:eastAsia="Calibri" w:hAnsi="Times New Roman" w:cs="Times New Roman"/>
          <w:noProof/>
        </w:rPr>
        <w:t>.</w:t>
      </w:r>
    </w:p>
    <w:p w14:paraId="3B4C5193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79E2421A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Kiti vaistai ir Hexoraletten N</w:t>
      </w:r>
    </w:p>
    <w:p w14:paraId="780EC72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Jeigu vartojate ar neseniai vartojote kitų vaistų arba dėl to nesate tikri,</w:t>
      </w:r>
      <w:r>
        <w:rPr>
          <w:rFonts w:ascii="Times New Roman" w:eastAsia="Calibri" w:hAnsi="Times New Roman" w:cs="Times New Roman"/>
          <w:noProof/>
        </w:rPr>
        <w:t xml:space="preserve"> apie tai</w:t>
      </w:r>
      <w:r w:rsidRPr="00193E0B">
        <w:rPr>
          <w:rFonts w:ascii="Times New Roman" w:eastAsia="Calibri" w:hAnsi="Times New Roman" w:cs="Times New Roman"/>
          <w:noProof/>
        </w:rPr>
        <w:t xml:space="preserve"> pasakykite gydytojui arba vaistininkui.</w:t>
      </w:r>
    </w:p>
    <w:p w14:paraId="69FABF44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Benzokaino metabolitas 4-aminobenzoatas silpnina sulfonamidų bei aminosalicilatų poveikį. </w:t>
      </w:r>
    </w:p>
    <w:p w14:paraId="5388720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Sacharozė, polisorbatas 80, netirpios magnio, cinko bei kalcio druskos slopina chlorheksidino poveikį.</w:t>
      </w:r>
    </w:p>
    <w:p w14:paraId="348BB76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Chlorheksidino veiksmingumą taip pat mažina muilai, kraujas ar pūliai. </w:t>
      </w:r>
    </w:p>
    <w:p w14:paraId="6F07FF73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0DFC37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Hexoraletten N vartojimas su maistu ir gėrimais</w:t>
      </w:r>
    </w:p>
    <w:p w14:paraId="435B2451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Šio vaisto negalima vartoti prieš pat valgį ar valgio metu.</w:t>
      </w:r>
    </w:p>
    <w:p w14:paraId="1A8D2114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333AB41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>Nėštumas ir žindymo laikotarpis</w:t>
      </w:r>
    </w:p>
    <w:p w14:paraId="6E1B9631" w14:textId="77777777" w:rsidR="00CE1739" w:rsidRPr="00193E0B" w:rsidRDefault="00CE1739" w:rsidP="00CE173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Jeigu esate nėščia, žindote kūdikį, manote, kad galbūt esate nėščia arba planuojate pastoti, tai prieš vartodama šį vaistą pasitarkite su</w:t>
      </w:r>
      <w:r>
        <w:rPr>
          <w:rFonts w:ascii="Times New Roman" w:eastAsia="Calibri" w:hAnsi="Times New Roman" w:cs="Times New Roman"/>
          <w:noProof/>
        </w:rPr>
        <w:t xml:space="preserve"> gydytoju arba</w:t>
      </w:r>
      <w:r w:rsidRPr="00193E0B">
        <w:rPr>
          <w:rFonts w:ascii="Times New Roman" w:eastAsia="Calibri" w:hAnsi="Times New Roman" w:cs="Times New Roman"/>
          <w:noProof/>
        </w:rPr>
        <w:t xml:space="preserve"> vaistininku. </w:t>
      </w:r>
    </w:p>
    <w:p w14:paraId="335DCCB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Duomenys apie žmonių gydymą nėštumo ir žindymo laikotarpiu yra nepakankami, todėl nėštumo ir žindymo laikotarpiu Hexoraletten N galima vartoti tik tada, kai numatoma nauda pateisina galim</w:t>
      </w:r>
      <w:r>
        <w:rPr>
          <w:rFonts w:ascii="Times New Roman" w:eastAsia="Calibri" w:hAnsi="Times New Roman" w:cs="Times New Roman"/>
          <w:noProof/>
        </w:rPr>
        <w:t>ą</w:t>
      </w:r>
      <w:r w:rsidRPr="00193E0B">
        <w:rPr>
          <w:rFonts w:ascii="Times New Roman" w:eastAsia="Calibri" w:hAnsi="Times New Roman" w:cs="Times New Roman"/>
          <w:noProof/>
        </w:rPr>
        <w:t xml:space="preserve"> riziką vaisiui.</w:t>
      </w:r>
    </w:p>
    <w:p w14:paraId="3083462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26E61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>Hexoraletten N</w:t>
      </w:r>
      <w:r>
        <w:rPr>
          <w:rFonts w:ascii="Times New Roman" w:eastAsia="Calibri" w:hAnsi="Times New Roman" w:cs="Times New Roman"/>
          <w:b/>
          <w:bCs/>
          <w:noProof/>
        </w:rPr>
        <w:t xml:space="preserve"> sudėtyje yra aspartamo (E951) ir izomalto (E953)</w:t>
      </w:r>
      <w:r w:rsidRPr="00193E0B">
        <w:rPr>
          <w:rFonts w:ascii="Times New Roman" w:eastAsia="Calibri" w:hAnsi="Times New Roman" w:cs="Times New Roman"/>
          <w:b/>
          <w:bCs/>
          <w:noProof/>
        </w:rPr>
        <w:t xml:space="preserve"> </w:t>
      </w:r>
    </w:p>
    <w:p w14:paraId="6A55C25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Angliavandenių kiekis 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pastilėje atitinka 0,1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duonos vienetą.</w:t>
      </w:r>
    </w:p>
    <w:p w14:paraId="770E6AF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D1838">
        <w:rPr>
          <w:rFonts w:ascii="Times New Roman" w:eastAsia="Calibri" w:hAnsi="Times New Roman" w:cs="Times New Roman"/>
          <w:noProof/>
        </w:rPr>
        <w:t>Kiekvienoje šio vaisto</w:t>
      </w:r>
      <w:r>
        <w:rPr>
          <w:rFonts w:ascii="Times New Roman" w:eastAsia="Calibri" w:hAnsi="Times New Roman" w:cs="Times New Roman"/>
          <w:noProof/>
        </w:rPr>
        <w:t xml:space="preserve"> kietojoje pastilėje </w:t>
      </w:r>
      <w:r w:rsidRPr="00BD1838">
        <w:rPr>
          <w:rFonts w:ascii="Times New Roman" w:eastAsia="Calibri" w:hAnsi="Times New Roman" w:cs="Times New Roman"/>
          <w:noProof/>
        </w:rPr>
        <w:t xml:space="preserve">yra </w:t>
      </w:r>
      <w:r>
        <w:rPr>
          <w:rFonts w:ascii="Times New Roman" w:eastAsia="Calibri" w:hAnsi="Times New Roman" w:cs="Times New Roman"/>
          <w:noProof/>
        </w:rPr>
        <w:t>2,29 </w:t>
      </w:r>
      <w:r w:rsidRPr="00BD1838">
        <w:rPr>
          <w:rFonts w:ascii="Times New Roman" w:eastAsia="Calibri" w:hAnsi="Times New Roman" w:cs="Times New Roman"/>
          <w:noProof/>
        </w:rPr>
        <w:t>mg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aspartamo.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Aspartamas yra fenilalanino šaltinis. Jis gali būti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kenksmingas sergantiems fenilketonurija, reta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genetine liga, kuria sergant fenilaninas kaupiasi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organizme, nes organizmas negali jo tinkamai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BD1838">
        <w:rPr>
          <w:rFonts w:ascii="Times New Roman" w:eastAsia="Calibri" w:hAnsi="Times New Roman" w:cs="Times New Roman"/>
          <w:noProof/>
        </w:rPr>
        <w:t>pašalinti.</w:t>
      </w:r>
    </w:p>
    <w:p w14:paraId="7F2A3EE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D1838">
        <w:rPr>
          <w:rFonts w:ascii="Times New Roman" w:eastAsia="Calibri" w:hAnsi="Times New Roman" w:cs="Times New Roman"/>
          <w:noProof/>
        </w:rPr>
        <w:t xml:space="preserve">Kiekvienoje šio vaisto </w:t>
      </w:r>
      <w:r>
        <w:rPr>
          <w:rFonts w:ascii="Times New Roman" w:eastAsia="Calibri" w:hAnsi="Times New Roman" w:cs="Times New Roman"/>
          <w:noProof/>
        </w:rPr>
        <w:t>v</w:t>
      </w:r>
      <w:r w:rsidRPr="00193E0B">
        <w:rPr>
          <w:rFonts w:ascii="Times New Roman" w:eastAsia="Calibri" w:hAnsi="Times New Roman" w:cs="Times New Roman"/>
          <w:noProof/>
        </w:rPr>
        <w:t xml:space="preserve">aisto </w:t>
      </w:r>
      <w:r w:rsidRPr="00BD1838">
        <w:rPr>
          <w:rFonts w:ascii="Times New Roman" w:eastAsia="Calibri" w:hAnsi="Times New Roman" w:cs="Times New Roman"/>
          <w:noProof/>
        </w:rPr>
        <w:t xml:space="preserve">kietojoje pastilėje </w:t>
      </w:r>
      <w:r w:rsidRPr="00193E0B">
        <w:rPr>
          <w:rFonts w:ascii="Times New Roman" w:eastAsia="Calibri" w:hAnsi="Times New Roman" w:cs="Times New Roman"/>
          <w:noProof/>
        </w:rPr>
        <w:t xml:space="preserve">yra </w:t>
      </w:r>
      <w:r>
        <w:rPr>
          <w:rFonts w:ascii="Times New Roman" w:eastAsia="Calibri" w:hAnsi="Times New Roman" w:cs="Times New Roman"/>
          <w:noProof/>
        </w:rPr>
        <w:t xml:space="preserve">2,29 g </w:t>
      </w:r>
      <w:r w:rsidRPr="00193E0B">
        <w:rPr>
          <w:rFonts w:ascii="Times New Roman" w:eastAsia="Calibri" w:hAnsi="Times New Roman" w:cs="Times New Roman"/>
          <w:noProof/>
        </w:rPr>
        <w:t>izomalto. Jeigu gydytojas Jums yra sakęs, kad netoleruojate kokių nors angliavandenių, kreipkitės į jį pri</w:t>
      </w:r>
      <w:r>
        <w:rPr>
          <w:rFonts w:ascii="Times New Roman" w:eastAsia="Calibri" w:hAnsi="Times New Roman" w:cs="Times New Roman"/>
          <w:noProof/>
        </w:rPr>
        <w:t>e</w:t>
      </w:r>
      <w:r w:rsidRPr="00193E0B">
        <w:rPr>
          <w:rFonts w:ascii="Times New Roman" w:eastAsia="Calibri" w:hAnsi="Times New Roman" w:cs="Times New Roman"/>
          <w:noProof/>
        </w:rPr>
        <w:t>š pradėdami vartoti šį vaistą.</w:t>
      </w:r>
      <w:r w:rsidRPr="00BF39D5">
        <w:t xml:space="preserve"> </w:t>
      </w:r>
      <w:r w:rsidRPr="00BF39D5">
        <w:rPr>
          <w:rFonts w:ascii="Times New Roman" w:eastAsia="Calibri" w:hAnsi="Times New Roman" w:cs="Times New Roman"/>
          <w:noProof/>
        </w:rPr>
        <w:t>Gali truputį laisvinti vidurius. 1</w:t>
      </w:r>
      <w:r>
        <w:rPr>
          <w:rFonts w:ascii="Times New Roman" w:eastAsia="Calibri" w:hAnsi="Times New Roman" w:cs="Times New Roman"/>
          <w:noProof/>
        </w:rPr>
        <w:t> </w:t>
      </w:r>
      <w:r w:rsidRPr="00BF39D5">
        <w:rPr>
          <w:rFonts w:ascii="Times New Roman" w:eastAsia="Calibri" w:hAnsi="Times New Roman" w:cs="Times New Roman"/>
          <w:noProof/>
        </w:rPr>
        <w:t>g izomalto energinė vertė – 2,3</w:t>
      </w:r>
      <w:r>
        <w:rPr>
          <w:rFonts w:ascii="Times New Roman" w:eastAsia="Calibri" w:hAnsi="Times New Roman" w:cs="Times New Roman"/>
          <w:noProof/>
        </w:rPr>
        <w:t> </w:t>
      </w:r>
      <w:r w:rsidRPr="00BF39D5">
        <w:rPr>
          <w:rFonts w:ascii="Times New Roman" w:eastAsia="Calibri" w:hAnsi="Times New Roman" w:cs="Times New Roman"/>
          <w:noProof/>
        </w:rPr>
        <w:t>kcal.</w:t>
      </w:r>
      <w:r w:rsidRPr="00BD1838">
        <w:t xml:space="preserve"> </w:t>
      </w:r>
    </w:p>
    <w:p w14:paraId="12BBEE2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EACE81F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A51DAC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bookmarkStart w:id="4" w:name="_Toc129243141"/>
      <w:bookmarkStart w:id="5" w:name="_Toc129243266"/>
      <w:r w:rsidRPr="00193E0B">
        <w:rPr>
          <w:rFonts w:ascii="Times New Roman" w:eastAsia="Calibri" w:hAnsi="Times New Roman" w:cs="Times New Roman"/>
          <w:b/>
          <w:noProof/>
        </w:rPr>
        <w:t>3.</w:t>
      </w:r>
      <w:r w:rsidRPr="00193E0B">
        <w:rPr>
          <w:rFonts w:ascii="Times New Roman" w:eastAsia="Calibri" w:hAnsi="Times New Roman" w:cs="Times New Roman"/>
          <w:b/>
          <w:noProof/>
        </w:rPr>
        <w:tab/>
        <w:t>Kaip vartoti Hexoraletten N</w:t>
      </w:r>
    </w:p>
    <w:bookmarkEnd w:id="4"/>
    <w:bookmarkEnd w:id="5"/>
    <w:p w14:paraId="1144001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C4DB8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Visada vartokite šį vaistą tiksliai kaip </w:t>
      </w:r>
      <w:r w:rsidRPr="00A15AE8">
        <w:rPr>
          <w:rFonts w:ascii="Times New Roman" w:eastAsia="Calibri" w:hAnsi="Times New Roman" w:cs="Times New Roman"/>
          <w:noProof/>
        </w:rPr>
        <w:t xml:space="preserve">aprašyta šiame lapelyje arba </w:t>
      </w:r>
      <w:r>
        <w:rPr>
          <w:rFonts w:ascii="Times New Roman" w:eastAsia="Calibri" w:hAnsi="Times New Roman" w:cs="Times New Roman"/>
          <w:noProof/>
        </w:rPr>
        <w:t xml:space="preserve">kaip </w:t>
      </w:r>
      <w:r w:rsidRPr="00193E0B">
        <w:rPr>
          <w:rFonts w:ascii="Times New Roman" w:eastAsia="Calibri" w:hAnsi="Times New Roman" w:cs="Times New Roman"/>
          <w:noProof/>
        </w:rPr>
        <w:t>nurodė gydytojas</w:t>
      </w:r>
      <w:r>
        <w:rPr>
          <w:rFonts w:ascii="Times New Roman" w:eastAsia="Calibri" w:hAnsi="Times New Roman" w:cs="Times New Roman"/>
          <w:noProof/>
        </w:rPr>
        <w:t xml:space="preserve"> arba vaistininkas</w:t>
      </w:r>
      <w:r w:rsidRPr="00193E0B">
        <w:rPr>
          <w:rFonts w:ascii="Times New Roman" w:eastAsia="Calibri" w:hAnsi="Times New Roman" w:cs="Times New Roman"/>
          <w:noProof/>
        </w:rPr>
        <w:t xml:space="preserve">. Jeigu abejojate, kreipkitės į gydytoją arba vaistininką. </w:t>
      </w:r>
    </w:p>
    <w:p w14:paraId="3326D470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B0930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193E0B">
        <w:rPr>
          <w:rFonts w:ascii="Times New Roman" w:eastAsia="Calibri" w:hAnsi="Times New Roman" w:cs="Times New Roman"/>
          <w:i/>
          <w:noProof/>
        </w:rPr>
        <w:t xml:space="preserve">Dozavimas suaugusiesiems ir </w:t>
      </w:r>
      <w:r w:rsidRPr="00193E0B">
        <w:rPr>
          <w:rFonts w:ascii="Times New Roman" w:eastAsia="Calibri" w:hAnsi="Times New Roman" w:cs="Times New Roman"/>
          <w:bCs/>
          <w:i/>
          <w:noProof/>
        </w:rPr>
        <w:t>vyresniems kaip 12</w:t>
      </w:r>
      <w:r>
        <w:rPr>
          <w:rFonts w:ascii="Times New Roman" w:eastAsia="Calibri" w:hAnsi="Times New Roman" w:cs="Times New Roman"/>
          <w:bCs/>
          <w:i/>
          <w:noProof/>
        </w:rPr>
        <w:t> </w:t>
      </w:r>
      <w:r w:rsidRPr="00193E0B">
        <w:rPr>
          <w:rFonts w:ascii="Times New Roman" w:eastAsia="Calibri" w:hAnsi="Times New Roman" w:cs="Times New Roman"/>
          <w:bCs/>
          <w:i/>
          <w:noProof/>
        </w:rPr>
        <w:t>metų vaikams</w:t>
      </w:r>
    </w:p>
    <w:p w14:paraId="5805FC5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 nepaskirta kitaip, sučiulpti po 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kietąją pastilę keletą kartų per parą. Jei reikia, galima čiulpti po 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kietąją pastilę kas 1</w:t>
      </w:r>
      <w:r>
        <w:rPr>
          <w:rFonts w:ascii="Times New Roman" w:eastAsia="Calibri" w:hAnsi="Times New Roman" w:cs="Times New Roman"/>
          <w:noProof/>
        </w:rPr>
        <w:noBreakHyphen/>
      </w:r>
      <w:r w:rsidRPr="00193E0B">
        <w:rPr>
          <w:rFonts w:ascii="Times New Roman" w:eastAsia="Calibri" w:hAnsi="Times New Roman" w:cs="Times New Roman"/>
          <w:noProof/>
        </w:rPr>
        <w:t>2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val.,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193E0B">
        <w:rPr>
          <w:rFonts w:ascii="Times New Roman" w:eastAsia="Calibri" w:hAnsi="Times New Roman" w:cs="Times New Roman"/>
          <w:iCs/>
          <w:noProof/>
        </w:rPr>
        <w:t xml:space="preserve">daugiausiai </w:t>
      </w:r>
      <w:r w:rsidRPr="00193E0B">
        <w:rPr>
          <w:rFonts w:ascii="Times New Roman" w:eastAsia="Calibri" w:hAnsi="Times New Roman" w:cs="Times New Roman"/>
          <w:noProof/>
        </w:rPr>
        <w:t>8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</w:t>
      </w:r>
      <w:r>
        <w:rPr>
          <w:rFonts w:ascii="Times New Roman" w:eastAsia="Calibri" w:hAnsi="Times New Roman" w:cs="Times New Roman"/>
          <w:noProof/>
        </w:rPr>
        <w:t>ą</w:t>
      </w:r>
      <w:r w:rsidRPr="00193E0B">
        <w:rPr>
          <w:rFonts w:ascii="Times New Roman" w:eastAsia="Calibri" w:hAnsi="Times New Roman" w:cs="Times New Roman"/>
          <w:noProof/>
        </w:rPr>
        <w:t>sias pastiles per parą.</w:t>
      </w:r>
    </w:p>
    <w:p w14:paraId="78AE6C7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6833F4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193E0B">
        <w:rPr>
          <w:rFonts w:ascii="Times New Roman" w:eastAsia="Calibri" w:hAnsi="Times New Roman" w:cs="Times New Roman"/>
          <w:i/>
          <w:noProof/>
        </w:rPr>
        <w:t xml:space="preserve">Dozavimas </w:t>
      </w:r>
      <w:r>
        <w:rPr>
          <w:rFonts w:ascii="Times New Roman" w:eastAsia="Calibri" w:hAnsi="Times New Roman" w:cs="Times New Roman"/>
          <w:i/>
          <w:noProof/>
        </w:rPr>
        <w:t>6</w:t>
      </w:r>
      <w:r>
        <w:rPr>
          <w:rFonts w:ascii="Times New Roman" w:eastAsia="Calibri" w:hAnsi="Times New Roman" w:cs="Times New Roman"/>
          <w:i/>
          <w:noProof/>
        </w:rPr>
        <w:noBreakHyphen/>
      </w:r>
      <w:r w:rsidRPr="00193E0B">
        <w:rPr>
          <w:rFonts w:ascii="Times New Roman" w:eastAsia="Calibri" w:hAnsi="Times New Roman" w:cs="Times New Roman"/>
          <w:i/>
          <w:noProof/>
        </w:rPr>
        <w:t>12</w:t>
      </w:r>
      <w:r>
        <w:rPr>
          <w:rFonts w:ascii="Times New Roman" w:eastAsia="Calibri" w:hAnsi="Times New Roman" w:cs="Times New Roman"/>
          <w:i/>
          <w:noProof/>
        </w:rPr>
        <w:t> </w:t>
      </w:r>
      <w:r w:rsidRPr="00193E0B">
        <w:rPr>
          <w:rFonts w:ascii="Times New Roman" w:eastAsia="Calibri" w:hAnsi="Times New Roman" w:cs="Times New Roman"/>
          <w:i/>
          <w:noProof/>
        </w:rPr>
        <w:t>metų vaikams</w:t>
      </w:r>
    </w:p>
    <w:p w14:paraId="041EABE9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Jei nepaskirta kitaip, sučiulpti po 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kietąją pastilę keletą kartų per parą. Jei reikia, galima čiulpti po 1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kietąją pastilę kas 1</w:t>
      </w:r>
      <w:r>
        <w:rPr>
          <w:rFonts w:ascii="Times New Roman" w:eastAsia="Calibri" w:hAnsi="Times New Roman" w:cs="Times New Roman"/>
          <w:noProof/>
        </w:rPr>
        <w:noBreakHyphen/>
      </w:r>
      <w:r w:rsidRPr="00193E0B">
        <w:rPr>
          <w:rFonts w:ascii="Times New Roman" w:eastAsia="Calibri" w:hAnsi="Times New Roman" w:cs="Times New Roman"/>
          <w:noProof/>
        </w:rPr>
        <w:t>2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val.,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193E0B">
        <w:rPr>
          <w:rFonts w:ascii="Times New Roman" w:eastAsia="Calibri" w:hAnsi="Times New Roman" w:cs="Times New Roman"/>
          <w:iCs/>
          <w:noProof/>
        </w:rPr>
        <w:t>daugiausiai 4</w:t>
      </w:r>
      <w:r>
        <w:rPr>
          <w:rFonts w:ascii="Times New Roman" w:eastAsia="Calibri" w:hAnsi="Times New Roman" w:cs="Times New Roman"/>
          <w:iCs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</w:t>
      </w:r>
      <w:r>
        <w:rPr>
          <w:rFonts w:ascii="Times New Roman" w:eastAsia="Calibri" w:hAnsi="Times New Roman" w:cs="Times New Roman"/>
          <w:noProof/>
        </w:rPr>
        <w:t>ą</w:t>
      </w:r>
      <w:r w:rsidRPr="00193E0B">
        <w:rPr>
          <w:rFonts w:ascii="Times New Roman" w:eastAsia="Calibri" w:hAnsi="Times New Roman" w:cs="Times New Roman"/>
          <w:noProof/>
        </w:rPr>
        <w:t>sias pastiles per parą.</w:t>
      </w:r>
    </w:p>
    <w:p w14:paraId="27B5B07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03F55C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lastRenderedPageBreak/>
        <w:t>Gydyti pradėti kuo anksčiau pasireiškus pirmiesiems simptomams ir, simptomams išnykus, profilaktiškai vartoti dar kelias dienas.</w:t>
      </w:r>
    </w:p>
    <w:p w14:paraId="18CB05B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FA632F1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Negalima vartoti jaunesniems kaip </w:t>
      </w:r>
      <w:r>
        <w:rPr>
          <w:rFonts w:ascii="Times New Roman" w:eastAsia="Calibri" w:hAnsi="Times New Roman" w:cs="Times New Roman"/>
          <w:noProof/>
        </w:rPr>
        <w:t>6 </w:t>
      </w:r>
      <w:r w:rsidRPr="00193E0B">
        <w:rPr>
          <w:rFonts w:ascii="Times New Roman" w:eastAsia="Calibri" w:hAnsi="Times New Roman" w:cs="Times New Roman"/>
          <w:noProof/>
        </w:rPr>
        <w:t>metų vaikams.</w:t>
      </w:r>
    </w:p>
    <w:p w14:paraId="65FD0F03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35D2BD" w14:textId="77777777" w:rsidR="00CE1739" w:rsidRPr="00193E0B" w:rsidRDefault="00CE1739" w:rsidP="00CE1739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noProof/>
          <w:u w:val="single"/>
        </w:rPr>
      </w:pPr>
      <w:r w:rsidRPr="00193E0B">
        <w:rPr>
          <w:rFonts w:ascii="Times New Roman" w:eastAsia="Calibri" w:hAnsi="Times New Roman" w:cs="Times New Roman"/>
          <w:iCs/>
          <w:noProof/>
          <w:u w:val="single"/>
        </w:rPr>
        <w:t>Vartojimo metodas</w:t>
      </w:r>
    </w:p>
    <w:p w14:paraId="03E25EAD" w14:textId="77777777" w:rsidR="00CE1739" w:rsidRPr="00193E0B" w:rsidRDefault="00CE1739" w:rsidP="00CE1739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noProof/>
        </w:rPr>
      </w:pPr>
      <w:r>
        <w:rPr>
          <w:rFonts w:ascii="Times New Roman" w:eastAsia="Calibri" w:hAnsi="Times New Roman" w:cs="Times New Roman"/>
          <w:iCs/>
          <w:noProof/>
        </w:rPr>
        <w:t xml:space="preserve">Vartoti į burną ir ryklę. </w:t>
      </w:r>
      <w:r w:rsidRPr="00193E0B">
        <w:rPr>
          <w:rFonts w:ascii="Times New Roman" w:eastAsia="Calibri" w:hAnsi="Times New Roman" w:cs="Times New Roman"/>
          <w:iCs/>
          <w:noProof/>
        </w:rPr>
        <w:t>Leisti kiet</w:t>
      </w:r>
      <w:r>
        <w:rPr>
          <w:rFonts w:ascii="Times New Roman" w:eastAsia="Calibri" w:hAnsi="Times New Roman" w:cs="Times New Roman"/>
          <w:iCs/>
          <w:noProof/>
        </w:rPr>
        <w:t>a</w:t>
      </w:r>
      <w:r w:rsidRPr="00193E0B">
        <w:rPr>
          <w:rFonts w:ascii="Times New Roman" w:eastAsia="Calibri" w:hAnsi="Times New Roman" w:cs="Times New Roman"/>
          <w:iCs/>
          <w:noProof/>
        </w:rPr>
        <w:t>jai pastilei lėtai ištirpti burnoje.</w:t>
      </w:r>
    </w:p>
    <w:p w14:paraId="1E56C74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2288E2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E1EB9E" w14:textId="77777777" w:rsidR="00CE1739" w:rsidRPr="00193E0B" w:rsidRDefault="00CE1739" w:rsidP="00CE1739">
      <w:pPr>
        <w:keepNext/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6" w:name="_Toc129243142"/>
      <w:bookmarkStart w:id="7" w:name="_Toc129243267"/>
      <w:r w:rsidRPr="00193E0B">
        <w:rPr>
          <w:rFonts w:ascii="Times New Roman" w:eastAsia="Calibri" w:hAnsi="Times New Roman" w:cs="Times New Roman"/>
          <w:b/>
          <w:noProof/>
        </w:rPr>
        <w:t>4.</w:t>
      </w:r>
      <w:r w:rsidRPr="00193E0B">
        <w:rPr>
          <w:rFonts w:ascii="Times New Roman" w:eastAsia="Calibri" w:hAnsi="Times New Roman" w:cs="Times New Roman"/>
          <w:b/>
          <w:noProof/>
        </w:rPr>
        <w:tab/>
        <w:t>Galimas šalutinis poveikis</w:t>
      </w:r>
      <w:bookmarkEnd w:id="6"/>
      <w:bookmarkEnd w:id="7"/>
    </w:p>
    <w:p w14:paraId="3E1905DC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02A44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 žmonėms.</w:t>
      </w:r>
    </w:p>
    <w:p w14:paraId="3D6461E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0D94C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Nepageidaujamas poveikis, apie kurį pranešta po </w:t>
      </w:r>
      <w:r>
        <w:rPr>
          <w:rFonts w:ascii="Times New Roman" w:eastAsia="Calibri" w:hAnsi="Times New Roman" w:cs="Times New Roman"/>
          <w:noProof/>
        </w:rPr>
        <w:t>vaisto</w:t>
      </w:r>
      <w:r w:rsidRPr="00193E0B">
        <w:rPr>
          <w:rFonts w:ascii="Times New Roman" w:eastAsia="Calibri" w:hAnsi="Times New Roman" w:cs="Times New Roman"/>
          <w:noProof/>
        </w:rPr>
        <w:t xml:space="preserve"> pateikimo į rinką, išvard</w:t>
      </w:r>
      <w:r>
        <w:rPr>
          <w:rFonts w:ascii="Times New Roman" w:eastAsia="Calibri" w:hAnsi="Times New Roman" w:cs="Times New Roman"/>
          <w:noProof/>
        </w:rPr>
        <w:t>y</w:t>
      </w:r>
      <w:r w:rsidRPr="00193E0B">
        <w:rPr>
          <w:rFonts w:ascii="Times New Roman" w:eastAsia="Calibri" w:hAnsi="Times New Roman" w:cs="Times New Roman"/>
          <w:noProof/>
        </w:rPr>
        <w:t>tas toliau</w:t>
      </w:r>
      <w:r>
        <w:rPr>
          <w:rFonts w:ascii="Times New Roman" w:eastAsia="Calibri" w:hAnsi="Times New Roman" w:cs="Times New Roman"/>
          <w:noProof/>
        </w:rPr>
        <w:t>.</w:t>
      </w:r>
    </w:p>
    <w:p w14:paraId="57120577" w14:textId="77777777" w:rsidR="00CE1739" w:rsidRDefault="00CE1739" w:rsidP="00CE1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color w:val="000000"/>
        </w:rPr>
      </w:pPr>
    </w:p>
    <w:p w14:paraId="69687846" w14:textId="77777777" w:rsidR="00CE1739" w:rsidRPr="00E06F4D" w:rsidRDefault="00CE1739" w:rsidP="00CE1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color w:val="000000"/>
        </w:rPr>
      </w:pPr>
      <w:r w:rsidRPr="00E06F4D">
        <w:rPr>
          <w:rFonts w:ascii="Times New Roman" w:eastAsia="Times New Roman" w:hAnsi="Times New Roman" w:cs="Times New Roman"/>
          <w:b/>
          <w:bCs/>
          <w:iCs/>
          <w:noProof/>
          <w:color w:val="000000"/>
        </w:rPr>
        <w:t>Šalutinio poveikio reiškiniai, kurių dažnis nežinomas (negali būti apskaičiuotas pagal turimus duomenis):</w:t>
      </w:r>
    </w:p>
    <w:p w14:paraId="67DB11A9" w14:textId="77777777" w:rsidR="00CE1739" w:rsidRPr="00E06F4D" w:rsidRDefault="00CE1739" w:rsidP="00CE1739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</w:rPr>
      </w:pPr>
      <w:r w:rsidRPr="00E06F4D">
        <w:rPr>
          <w:rFonts w:ascii="Times New Roman" w:eastAsia="Times New Roman" w:hAnsi="Times New Roman" w:cs="Times New Roman"/>
          <w:noProof/>
          <w:color w:val="000000"/>
        </w:rPr>
        <w:t>methemoglobinemija (deguonies apykaitos sutrikimas),</w:t>
      </w:r>
    </w:p>
    <w:p w14:paraId="5A416060" w14:textId="77777777" w:rsidR="00CE1739" w:rsidRPr="00E06F4D" w:rsidRDefault="00CE1739" w:rsidP="00CE1739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  <w:r w:rsidRPr="00E06F4D">
        <w:rPr>
          <w:rFonts w:ascii="Times New Roman" w:eastAsia="Calibri" w:hAnsi="Times New Roman" w:cs="Times New Roman"/>
          <w:bCs/>
          <w:iCs/>
          <w:noProof/>
          <w:color w:val="000000"/>
        </w:rPr>
        <w:t xml:space="preserve">padidėjusio jautrumo reakcijos (dilgėlinė, angioneurozinė edema (alerginis pabrinkimas), anafilaktinės (alerginės) reakcijos, anafilaktinis šokas </w:t>
      </w:r>
      <w:r w:rsidRPr="00E06F4D">
        <w:rPr>
          <w:rFonts w:ascii="Times New Roman" w:eastAsia="Calibri" w:hAnsi="Times New Roman" w:cs="Times New Roman"/>
          <w:bCs/>
          <w:iCs/>
          <w:noProof/>
        </w:rPr>
        <w:t>(</w:t>
      </w:r>
      <w:r w:rsidRPr="00E06F4D">
        <w:rPr>
          <w:rFonts w:ascii="Times New Roman" w:eastAsia="Times New Roman" w:hAnsi="Times New Roman" w:cs="Times New Roman"/>
          <w:noProof/>
        </w:rPr>
        <w:t>ūminė, gyvybei pavojinga sisteminė organizmo reakcija į patekusį alergeną)),</w:t>
      </w:r>
    </w:p>
    <w:p w14:paraId="191B36DE" w14:textId="77777777" w:rsidR="00CE1739" w:rsidRPr="00E06F4D" w:rsidRDefault="00CE1739" w:rsidP="00CE1739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color w:val="000000"/>
        </w:rPr>
      </w:pPr>
      <w:r w:rsidRPr="00E06F4D">
        <w:rPr>
          <w:rFonts w:ascii="Times New Roman" w:eastAsia="Calibri" w:hAnsi="Times New Roman" w:cs="Times New Roman"/>
          <w:noProof/>
          <w:color w:val="000000"/>
        </w:rPr>
        <w:t>skonio sutrikimas,</w:t>
      </w:r>
    </w:p>
    <w:p w14:paraId="44149D05" w14:textId="77777777" w:rsidR="00CE1739" w:rsidRPr="00E06F4D" w:rsidRDefault="00CE1739" w:rsidP="00CE1739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Times New Roman" w:hAnsi="Times New Roman" w:cs="Times New Roman"/>
          <w:noProof/>
          <w:color w:val="000000"/>
        </w:rPr>
        <w:t>praeinantis burnos nejautrumas, dantų spalvos pasikeitimas, grįžtamas liežuvio spalvos pokytis, dantų plombų spalvos pokytis, dantų apnašos, stomatitas, burnos gleivinės lupimasis, burnos deginimo pojūtis, paausinių seilių liaukų padidėjimas,</w:t>
      </w:r>
    </w:p>
    <w:p w14:paraId="65D88F66" w14:textId="77777777" w:rsidR="00CE1739" w:rsidRPr="00E06F4D" w:rsidRDefault="00CE1739" w:rsidP="00CE1739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Calibri" w:hAnsi="Times New Roman" w:cs="Times New Roman"/>
          <w:noProof/>
        </w:rPr>
        <w:t>kontaktinis dermatitas.</w:t>
      </w:r>
    </w:p>
    <w:p w14:paraId="400219F1" w14:textId="77777777" w:rsidR="00CE1739" w:rsidRPr="00E06F4D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BA9FCE2" w14:textId="77777777" w:rsidR="00CE1739" w:rsidRPr="00E06F4D" w:rsidRDefault="00CE1739" w:rsidP="00CE173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06F4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335724C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06F4D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 w:rsidRPr="00E06F4D">
        <w:rPr>
          <w:rFonts w:ascii="Times New Roman" w:eastAsia="Times New Roman" w:hAnsi="Times New Roman" w:cs="Times New Roman"/>
          <w:snapToGrid w:val="0"/>
        </w:rPr>
        <w:t>.</w:t>
      </w:r>
      <w:r w:rsidRPr="00E06F4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B23B33">
        <w:rPr>
          <w:rFonts w:ascii="Times New Roman" w:hAnsi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B23B33">
          <w:rPr>
            <w:rFonts w:ascii="Times New Roman" w:hAnsi="Times New Roman"/>
            <w:color w:val="0000FF"/>
            <w:u w:val="single"/>
          </w:rPr>
          <w:t>https://vvkt.lrv.lt/lt/</w:t>
        </w:r>
      </w:hyperlink>
      <w:r w:rsidRPr="00B23B33">
        <w:rPr>
          <w:rFonts w:ascii="Times New Roman" w:hAnsi="Times New Roman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312A7C0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5E4BF9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9682F4" w14:textId="77777777" w:rsidR="00CE1739" w:rsidRPr="00193E0B" w:rsidRDefault="00CE1739" w:rsidP="00CE1739">
      <w:pPr>
        <w:keepNext/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8" w:name="_Toc129243143"/>
      <w:bookmarkStart w:id="9" w:name="_Toc129243268"/>
      <w:r w:rsidRPr="00193E0B">
        <w:rPr>
          <w:rFonts w:ascii="Times New Roman" w:eastAsia="Calibri" w:hAnsi="Times New Roman" w:cs="Times New Roman"/>
          <w:b/>
          <w:noProof/>
        </w:rPr>
        <w:t>5.</w:t>
      </w:r>
      <w:r w:rsidRPr="00193E0B">
        <w:rPr>
          <w:rFonts w:ascii="Times New Roman" w:eastAsia="Calibri" w:hAnsi="Times New Roman" w:cs="Times New Roman"/>
          <w:b/>
          <w:noProof/>
        </w:rPr>
        <w:tab/>
        <w:t>Kaip laikyti Hexoraletten N</w:t>
      </w:r>
      <w:bookmarkEnd w:id="8"/>
      <w:bookmarkEnd w:id="9"/>
    </w:p>
    <w:p w14:paraId="702AC3F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AC1E1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Šį vaistą laikykite vaikams nepastebimoje ir nepasiekiamoje vietoje.</w:t>
      </w:r>
    </w:p>
    <w:p w14:paraId="6D0C1A78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01767A">
        <w:rPr>
          <w:rFonts w:ascii="Times New Roman" w:eastAsia="Calibri" w:hAnsi="Times New Roman" w:cs="Times New Roman"/>
          <w:noProof/>
        </w:rPr>
        <w:t>Šiam vaistui specialių laikymo sąlygų nereikia.</w:t>
      </w:r>
    </w:p>
    <w:p w14:paraId="046068E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A62557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Ant lizdinės plokštelės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193E0B">
        <w:rPr>
          <w:rFonts w:ascii="Times New Roman" w:eastAsia="Calibri" w:hAnsi="Times New Roman" w:cs="Times New Roman"/>
          <w:noProof/>
        </w:rPr>
        <w:t>ir dėžutės po „</w:t>
      </w:r>
      <w:r>
        <w:rPr>
          <w:rFonts w:ascii="Times New Roman" w:eastAsia="Calibri" w:hAnsi="Times New Roman" w:cs="Times New Roman"/>
          <w:noProof/>
        </w:rPr>
        <w:t>EXP</w:t>
      </w:r>
      <w:r w:rsidRPr="00193E0B">
        <w:rPr>
          <w:rFonts w:ascii="Times New Roman" w:eastAsia="Calibri" w:hAnsi="Times New Roman" w:cs="Times New Roman"/>
          <w:noProof/>
        </w:rPr>
        <w:t>“ nurodytam tinkamumo laikui pasibaigus, šio vaisto vartoti negalima. Vaistas tinka</w:t>
      </w:r>
      <w:r>
        <w:rPr>
          <w:rFonts w:ascii="Times New Roman" w:eastAsia="Calibri" w:hAnsi="Times New Roman" w:cs="Times New Roman"/>
          <w:noProof/>
        </w:rPr>
        <w:t>mas</w:t>
      </w:r>
      <w:r w:rsidRPr="00193E0B">
        <w:rPr>
          <w:rFonts w:ascii="Times New Roman" w:eastAsia="Calibri" w:hAnsi="Times New Roman" w:cs="Times New Roman"/>
          <w:noProof/>
        </w:rPr>
        <w:t xml:space="preserve"> vartoti iki paskutinės nurodyto mėnesio dienos.</w:t>
      </w:r>
    </w:p>
    <w:p w14:paraId="5DF33AE4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273730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>Vaistų negalima išmesti į kanalizaciją</w:t>
      </w:r>
      <w:r>
        <w:rPr>
          <w:rFonts w:ascii="Times New Roman" w:eastAsia="Calibri" w:hAnsi="Times New Roman" w:cs="Times New Roman"/>
          <w:noProof/>
        </w:rPr>
        <w:t xml:space="preserve"> arba</w:t>
      </w:r>
      <w:r w:rsidRPr="00193E0B">
        <w:rPr>
          <w:rFonts w:ascii="Times New Roman" w:eastAsia="Calibri" w:hAnsi="Times New Roman" w:cs="Times New Roman"/>
          <w:noProof/>
        </w:rPr>
        <w:t xml:space="preserve"> su buitinėmis atliekomis. Kaip išmesti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193E0B">
        <w:rPr>
          <w:rFonts w:ascii="Times New Roman" w:eastAsia="Calibri" w:hAnsi="Times New Roman" w:cs="Times New Roman"/>
          <w:noProof/>
        </w:rPr>
        <w:t>nereikalingus vaistus, klauskite vaistininko. Šios priemonės padės apsaugoti aplinką.</w:t>
      </w:r>
    </w:p>
    <w:p w14:paraId="167D0322" w14:textId="77777777" w:rsidR="00CE1739" w:rsidRPr="00193E0B" w:rsidRDefault="00CE1739" w:rsidP="00CE1739">
      <w:pPr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10" w:name="_Toc129243144"/>
      <w:bookmarkStart w:id="11" w:name="_Toc129243269"/>
    </w:p>
    <w:p w14:paraId="54EDE8E5" w14:textId="77777777" w:rsidR="00CE1739" w:rsidRPr="00193E0B" w:rsidRDefault="00CE1739" w:rsidP="00CE1739">
      <w:pPr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</w:p>
    <w:p w14:paraId="460C8636" w14:textId="77777777" w:rsidR="00CE1739" w:rsidRPr="00193E0B" w:rsidRDefault="00CE1739" w:rsidP="00CE1739">
      <w:pPr>
        <w:tabs>
          <w:tab w:val="left" w:pos="0"/>
          <w:tab w:val="left" w:pos="567"/>
        </w:tabs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r w:rsidRPr="00193E0B">
        <w:rPr>
          <w:rFonts w:ascii="Times New Roman" w:eastAsia="Calibri" w:hAnsi="Times New Roman" w:cs="Times New Roman"/>
          <w:b/>
          <w:noProof/>
        </w:rPr>
        <w:t>6.</w:t>
      </w:r>
      <w:r w:rsidRPr="00193E0B">
        <w:rPr>
          <w:rFonts w:ascii="Times New Roman" w:eastAsia="Calibri" w:hAnsi="Times New Roman" w:cs="Times New Roman"/>
          <w:b/>
          <w:noProof/>
        </w:rPr>
        <w:tab/>
        <w:t>Pakuotės turinys ir kita informacija</w:t>
      </w:r>
      <w:bookmarkEnd w:id="10"/>
      <w:bookmarkEnd w:id="11"/>
    </w:p>
    <w:p w14:paraId="6985AA78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7E9AA2A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>Hexoraletten N sudėtis</w:t>
      </w:r>
    </w:p>
    <w:p w14:paraId="6A31EEAA" w14:textId="77777777" w:rsidR="00CE1739" w:rsidRPr="00250A2C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 xml:space="preserve">Veikliosios medžiagos yra chlorheksidino dihidrochloridas ir benzokainas. Vienoje </w:t>
      </w:r>
      <w:r>
        <w:rPr>
          <w:rFonts w:ascii="Times New Roman" w:eastAsia="Calibri" w:hAnsi="Times New Roman" w:cs="Times New Roman"/>
          <w:noProof/>
        </w:rPr>
        <w:t xml:space="preserve">kietojoje </w:t>
      </w:r>
      <w:r w:rsidRPr="00250A2C">
        <w:rPr>
          <w:rFonts w:ascii="Times New Roman" w:eastAsia="Calibri" w:hAnsi="Times New Roman" w:cs="Times New Roman"/>
          <w:noProof/>
        </w:rPr>
        <w:t>pastilėje yra 5</w:t>
      </w:r>
      <w:r>
        <w:rPr>
          <w:rFonts w:ascii="Times New Roman" w:eastAsia="Calibri" w:hAnsi="Times New Roman" w:cs="Times New Roman"/>
          <w:noProof/>
        </w:rPr>
        <w:t> </w:t>
      </w:r>
      <w:r w:rsidRPr="00250A2C">
        <w:rPr>
          <w:rFonts w:ascii="Times New Roman" w:eastAsia="Calibri" w:hAnsi="Times New Roman" w:cs="Times New Roman"/>
          <w:noProof/>
        </w:rPr>
        <w:t>mg chlorheksidino dihidrochlorido ir 1,5</w:t>
      </w:r>
      <w:r>
        <w:rPr>
          <w:rFonts w:ascii="Times New Roman" w:eastAsia="Calibri" w:hAnsi="Times New Roman" w:cs="Times New Roman"/>
          <w:noProof/>
        </w:rPr>
        <w:t> </w:t>
      </w:r>
      <w:r w:rsidRPr="00250A2C">
        <w:rPr>
          <w:rFonts w:ascii="Times New Roman" w:eastAsia="Calibri" w:hAnsi="Times New Roman" w:cs="Times New Roman"/>
          <w:noProof/>
        </w:rPr>
        <w:t>mg benzokaino.</w:t>
      </w:r>
    </w:p>
    <w:p w14:paraId="189DCEB2" w14:textId="77777777" w:rsidR="00CE1739" w:rsidRPr="00250A2C" w:rsidRDefault="00CE1739" w:rsidP="00CE1739">
      <w:pPr>
        <w:pStyle w:val="Sraopastraipa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50A2C">
        <w:rPr>
          <w:rFonts w:ascii="Times New Roman" w:eastAsia="Calibri" w:hAnsi="Times New Roman" w:cs="Times New Roman"/>
          <w:noProof/>
        </w:rPr>
        <w:t xml:space="preserve">Pagalbinės medžiagos yra izomaltas (E953), aspartamas (E951), pipirmėčių eterinis aliejus, </w:t>
      </w:r>
      <w:r>
        <w:rPr>
          <w:rFonts w:ascii="Times New Roman" w:eastAsia="Calibri" w:hAnsi="Times New Roman" w:cs="Times New Roman"/>
          <w:noProof/>
        </w:rPr>
        <w:t>levo</w:t>
      </w:r>
      <w:r w:rsidRPr="00250A2C">
        <w:rPr>
          <w:rFonts w:ascii="Times New Roman" w:eastAsia="Calibri" w:hAnsi="Times New Roman" w:cs="Times New Roman"/>
          <w:noProof/>
        </w:rPr>
        <w:t xml:space="preserve">mentolis, </w:t>
      </w:r>
      <w:r>
        <w:rPr>
          <w:rFonts w:ascii="Times New Roman" w:eastAsia="Calibri" w:hAnsi="Times New Roman" w:cs="Times New Roman"/>
          <w:noProof/>
        </w:rPr>
        <w:t>timolis</w:t>
      </w:r>
      <w:r w:rsidRPr="00250A2C">
        <w:rPr>
          <w:rFonts w:ascii="Times New Roman" w:eastAsia="Calibri" w:hAnsi="Times New Roman" w:cs="Times New Roman"/>
          <w:noProof/>
        </w:rPr>
        <w:t>.</w:t>
      </w:r>
    </w:p>
    <w:p w14:paraId="790F3B7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868EB91" w14:textId="77777777" w:rsidR="00CE1739" w:rsidRPr="00193E0B" w:rsidRDefault="00CE1739" w:rsidP="00CE1739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lastRenderedPageBreak/>
        <w:t>Hexoraletten N išvaizda ir kiekis pakuotėje</w:t>
      </w:r>
    </w:p>
    <w:p w14:paraId="4C220173" w14:textId="77777777" w:rsidR="00CE1739" w:rsidRPr="00193E0B" w:rsidRDefault="00CE1739" w:rsidP="00CE1739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noProof/>
        </w:rPr>
        <w:t xml:space="preserve">Kietosios pastilės </w:t>
      </w:r>
      <w:r>
        <w:rPr>
          <w:rFonts w:ascii="Times New Roman" w:eastAsia="Calibri" w:hAnsi="Times New Roman" w:cs="Times New Roman"/>
          <w:noProof/>
        </w:rPr>
        <w:t xml:space="preserve">yra </w:t>
      </w:r>
      <w:r w:rsidRPr="00193E0B">
        <w:rPr>
          <w:rFonts w:ascii="Times New Roman" w:eastAsia="Calibri" w:hAnsi="Times New Roman" w:cs="Times New Roman"/>
          <w:noProof/>
        </w:rPr>
        <w:t xml:space="preserve">apvalios, </w:t>
      </w:r>
      <w:r>
        <w:rPr>
          <w:rFonts w:ascii="Times New Roman" w:eastAsia="Calibri" w:hAnsi="Times New Roman" w:cs="Times New Roman"/>
          <w:noProof/>
        </w:rPr>
        <w:t>plokščiu paviršiumi</w:t>
      </w:r>
      <w:r w:rsidRPr="00193E0B">
        <w:rPr>
          <w:rFonts w:ascii="Times New Roman" w:eastAsia="Calibri" w:hAnsi="Times New Roman" w:cs="Times New Roman"/>
          <w:noProof/>
        </w:rPr>
        <w:t>, neper</w:t>
      </w:r>
      <w:r>
        <w:rPr>
          <w:rFonts w:ascii="Times New Roman" w:eastAsia="Calibri" w:hAnsi="Times New Roman" w:cs="Times New Roman"/>
          <w:noProof/>
        </w:rPr>
        <w:t>matomos</w:t>
      </w:r>
      <w:r w:rsidRPr="00193E0B">
        <w:rPr>
          <w:rFonts w:ascii="Times New Roman" w:eastAsia="Calibri" w:hAnsi="Times New Roman" w:cs="Times New Roman"/>
          <w:noProof/>
        </w:rPr>
        <w:t xml:space="preserve">, </w:t>
      </w:r>
      <w:r>
        <w:rPr>
          <w:rFonts w:ascii="Times New Roman" w:eastAsia="Calibri" w:hAnsi="Times New Roman" w:cs="Times New Roman"/>
          <w:noProof/>
        </w:rPr>
        <w:t>baltos, geltonai baltos ar šviesiai pilkos, arba geltonai pilkos</w:t>
      </w:r>
      <w:r w:rsidRPr="00193E0B">
        <w:rPr>
          <w:rFonts w:ascii="Times New Roman" w:eastAsia="Calibri" w:hAnsi="Times New Roman" w:cs="Times New Roman"/>
          <w:noProof/>
        </w:rPr>
        <w:t xml:space="preserve"> spalvos. Pastilės gali būti nevienodo spalvingumo, su oro burbuliukais, </w:t>
      </w:r>
      <w:r>
        <w:rPr>
          <w:rFonts w:ascii="Times New Roman" w:eastAsia="Calibri" w:hAnsi="Times New Roman" w:cs="Times New Roman"/>
          <w:noProof/>
        </w:rPr>
        <w:t xml:space="preserve">šiek tiek </w:t>
      </w:r>
      <w:r w:rsidRPr="00193E0B">
        <w:rPr>
          <w:rFonts w:ascii="Times New Roman" w:eastAsia="Calibri" w:hAnsi="Times New Roman" w:cs="Times New Roman"/>
          <w:noProof/>
        </w:rPr>
        <w:t>nelygiais kraštais. Paviršius gali pasidengti bal</w:t>
      </w:r>
      <w:r>
        <w:rPr>
          <w:rFonts w:ascii="Times New Roman" w:eastAsia="Calibri" w:hAnsi="Times New Roman" w:cs="Times New Roman"/>
          <w:noProof/>
        </w:rPr>
        <w:t>tais milteliais</w:t>
      </w:r>
      <w:r w:rsidRPr="00193E0B">
        <w:rPr>
          <w:rFonts w:ascii="Times New Roman" w:eastAsia="Calibri" w:hAnsi="Times New Roman" w:cs="Times New Roman"/>
          <w:noProof/>
        </w:rPr>
        <w:t>.</w:t>
      </w:r>
    </w:p>
    <w:p w14:paraId="4F9E8892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DC580B">
        <w:rPr>
          <w:rFonts w:ascii="Times New Roman" w:hAnsi="Times New Roman"/>
          <w:noProof/>
        </w:rPr>
        <w:t>Sidabro spalvos, nepermatomos</w:t>
      </w:r>
      <w:r>
        <w:rPr>
          <w:rFonts w:ascii="Times New Roman" w:hAnsi="Times New Roman"/>
          <w:noProof/>
        </w:rPr>
        <w:t xml:space="preserve"> </w:t>
      </w:r>
      <w:r w:rsidRPr="00FE0862">
        <w:rPr>
          <w:rFonts w:ascii="Times New Roman" w:eastAsia="Calibri" w:hAnsi="Times New Roman" w:cs="Times New Roman"/>
          <w:noProof/>
        </w:rPr>
        <w:t xml:space="preserve">PVC/PVdC </w:t>
      </w:r>
      <w:r>
        <w:rPr>
          <w:rFonts w:ascii="Times New Roman" w:eastAsia="Calibri" w:hAnsi="Times New Roman" w:cs="Times New Roman"/>
          <w:noProof/>
        </w:rPr>
        <w:t xml:space="preserve">ir aliuminio folijos </w:t>
      </w:r>
      <w:r w:rsidRPr="00FE0862">
        <w:rPr>
          <w:rFonts w:ascii="Times New Roman" w:eastAsia="Calibri" w:hAnsi="Times New Roman" w:cs="Times New Roman"/>
          <w:noProof/>
        </w:rPr>
        <w:t>lizdinė plokštelė</w:t>
      </w:r>
      <w:r>
        <w:rPr>
          <w:rFonts w:ascii="Times New Roman" w:eastAsia="Calibri" w:hAnsi="Times New Roman" w:cs="Times New Roman"/>
          <w:noProof/>
        </w:rPr>
        <w:t>s.</w:t>
      </w:r>
      <w:r w:rsidRPr="00FE0862">
        <w:rPr>
          <w:rFonts w:ascii="Times New Roman" w:eastAsia="Calibri" w:hAnsi="Times New Roman" w:cs="Times New Roman"/>
          <w:noProof/>
        </w:rPr>
        <w:t xml:space="preserve"> </w:t>
      </w:r>
      <w:r w:rsidRPr="00193E0B">
        <w:rPr>
          <w:rFonts w:ascii="Times New Roman" w:eastAsia="Calibri" w:hAnsi="Times New Roman" w:cs="Times New Roman"/>
          <w:noProof/>
        </w:rPr>
        <w:t xml:space="preserve">Pakuotėje yra </w:t>
      </w:r>
      <w:r w:rsidRPr="00616FD0">
        <w:rPr>
          <w:rFonts w:ascii="Times New Roman" w:eastAsia="Calibri" w:hAnsi="Times New Roman" w:cs="Times New Roman"/>
          <w:noProof/>
        </w:rPr>
        <w:t>16</w:t>
      </w:r>
      <w:r>
        <w:rPr>
          <w:rFonts w:ascii="Times New Roman" w:eastAsia="Calibri" w:hAnsi="Times New Roman" w:cs="Times New Roman"/>
          <w:noProof/>
        </w:rPr>
        <w:t> </w:t>
      </w:r>
      <w:r w:rsidRPr="00193E0B">
        <w:rPr>
          <w:rFonts w:ascii="Times New Roman" w:eastAsia="Calibri" w:hAnsi="Times New Roman" w:cs="Times New Roman"/>
          <w:noProof/>
        </w:rPr>
        <w:t>kietųjų pastilių.</w:t>
      </w:r>
      <w:r>
        <w:rPr>
          <w:rFonts w:ascii="Times New Roman" w:eastAsia="Calibri" w:hAnsi="Times New Roman" w:cs="Times New Roman"/>
          <w:noProof/>
        </w:rPr>
        <w:t xml:space="preserve"> Pakuotėje yra 2 lizdinės plokštelės po 8 kietąsias pastiles. </w:t>
      </w:r>
      <w:r w:rsidRPr="00DD08C4">
        <w:rPr>
          <w:rFonts w:ascii="Times New Roman" w:eastAsia="Calibri" w:hAnsi="Times New Roman" w:cs="Times New Roman"/>
          <w:noProof/>
        </w:rPr>
        <w:t>Gali būti tiekiamos ne visų dydžių pakuotės.</w:t>
      </w:r>
    </w:p>
    <w:p w14:paraId="0FEA232E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45462E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>R</w:t>
      </w:r>
      <w:r>
        <w:rPr>
          <w:rFonts w:ascii="Times New Roman" w:eastAsia="Calibri" w:hAnsi="Times New Roman" w:cs="Times New Roman"/>
          <w:b/>
          <w:bCs/>
          <w:noProof/>
        </w:rPr>
        <w:t>egistruo</w:t>
      </w:r>
      <w:r w:rsidRPr="00193E0B">
        <w:rPr>
          <w:rFonts w:ascii="Times New Roman" w:eastAsia="Calibri" w:hAnsi="Times New Roman" w:cs="Times New Roman"/>
          <w:b/>
          <w:bCs/>
          <w:noProof/>
        </w:rPr>
        <w:t xml:space="preserve">tojas </w:t>
      </w:r>
    </w:p>
    <w:p w14:paraId="5462B419" w14:textId="77777777" w:rsidR="00CE1739" w:rsidRPr="00F86ED8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F86ED8">
        <w:rPr>
          <w:rFonts w:ascii="Times New Roman" w:eastAsia="Arial Unicode MS" w:hAnsi="Times New Roman" w:cs="Times New Roman"/>
          <w:noProof/>
        </w:rPr>
        <w:t>McNeil Healthcare (Ireland) Limited</w:t>
      </w:r>
    </w:p>
    <w:p w14:paraId="69A3F2CE" w14:textId="77777777" w:rsidR="00CE1739" w:rsidRPr="00B939D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B939D9">
        <w:rPr>
          <w:rFonts w:ascii="Times New Roman" w:eastAsia="Arial Unicode MS" w:hAnsi="Times New Roman" w:cs="Times New Roman"/>
          <w:noProof/>
        </w:rPr>
        <w:t>Office 5, 6 &amp; 7, Block 5</w:t>
      </w:r>
    </w:p>
    <w:p w14:paraId="51A6ACDD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B939D9">
        <w:rPr>
          <w:rFonts w:ascii="Times New Roman" w:eastAsia="Arial Unicode MS" w:hAnsi="Times New Roman" w:cs="Times New Roman"/>
          <w:noProof/>
        </w:rPr>
        <w:t>High Street</w:t>
      </w:r>
    </w:p>
    <w:p w14:paraId="024286EF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F86ED8">
        <w:rPr>
          <w:rFonts w:ascii="Times New Roman" w:eastAsia="Arial Unicode MS" w:hAnsi="Times New Roman" w:cs="Times New Roman"/>
          <w:noProof/>
        </w:rPr>
        <w:t>Tallaght</w:t>
      </w:r>
    </w:p>
    <w:p w14:paraId="4D3F40D6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F86ED8">
        <w:rPr>
          <w:rFonts w:ascii="Times New Roman" w:eastAsia="Arial Unicode MS" w:hAnsi="Times New Roman" w:cs="Times New Roman"/>
          <w:noProof/>
        </w:rPr>
        <w:t>Dublin 24</w:t>
      </w:r>
    </w:p>
    <w:p w14:paraId="0EA72C90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 w:rsidRPr="00451206">
        <w:rPr>
          <w:rFonts w:ascii="Times New Roman" w:eastAsia="Arial Unicode MS" w:hAnsi="Times New Roman" w:cs="Times New Roman"/>
          <w:noProof/>
        </w:rPr>
        <w:t>D24 YK8N</w:t>
      </w:r>
    </w:p>
    <w:p w14:paraId="3E653A1F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</w:rPr>
      </w:pPr>
      <w:r>
        <w:rPr>
          <w:rFonts w:ascii="Times New Roman" w:eastAsia="Arial Unicode MS" w:hAnsi="Times New Roman" w:cs="Times New Roman"/>
          <w:noProof/>
        </w:rPr>
        <w:t>Airija</w:t>
      </w:r>
    </w:p>
    <w:p w14:paraId="4C739EBD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A9D8C9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>Gamintoja</w:t>
      </w:r>
      <w:r>
        <w:rPr>
          <w:rFonts w:ascii="Times New Roman" w:eastAsia="Calibri" w:hAnsi="Times New Roman" w:cs="Times New Roman"/>
          <w:b/>
          <w:bCs/>
          <w:noProof/>
        </w:rPr>
        <w:t>s</w:t>
      </w:r>
    </w:p>
    <w:p w14:paraId="5926F463" w14:textId="77777777" w:rsidR="00CE1739" w:rsidRPr="00AE5A10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DA5505">
        <w:rPr>
          <w:rFonts w:ascii="Times New Roman" w:eastAsia="Calibri" w:hAnsi="Times New Roman" w:cs="Times New Roman"/>
          <w:noProof/>
        </w:rPr>
        <w:t>JNTL Consumer Health (France) SAS</w:t>
      </w:r>
    </w:p>
    <w:p w14:paraId="467A6603" w14:textId="77777777" w:rsidR="00CE1739" w:rsidRPr="00AE5A10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5A10">
        <w:rPr>
          <w:rFonts w:ascii="Times New Roman" w:eastAsia="Calibri" w:hAnsi="Times New Roman" w:cs="Times New Roman"/>
          <w:noProof/>
        </w:rPr>
        <w:t>Domaine de Maigremont</w:t>
      </w:r>
    </w:p>
    <w:p w14:paraId="60A85814" w14:textId="77777777" w:rsidR="00CE1739" w:rsidRPr="00AE5A10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5A10">
        <w:rPr>
          <w:rFonts w:ascii="Times New Roman" w:eastAsia="Calibri" w:hAnsi="Times New Roman" w:cs="Times New Roman"/>
          <w:noProof/>
        </w:rPr>
        <w:t>27100 Val de Reuil</w:t>
      </w:r>
    </w:p>
    <w:p w14:paraId="3547F30C" w14:textId="77777777" w:rsidR="00CE1739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Prancūzija</w:t>
      </w:r>
    </w:p>
    <w:p w14:paraId="2443EFE6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D570A8B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3C54FA" w14:textId="77777777" w:rsidR="00CE1739" w:rsidRPr="00193E0B" w:rsidRDefault="00CE1739" w:rsidP="00CE1739">
      <w:pPr>
        <w:numPr>
          <w:ilvl w:val="12"/>
          <w:numId w:val="0"/>
        </w:numPr>
        <w:tabs>
          <w:tab w:val="left" w:pos="567"/>
        </w:tabs>
        <w:suppressAutoHyphens/>
        <w:spacing w:after="0" w:line="240" w:lineRule="auto"/>
        <w:ind w:right="-2"/>
        <w:outlineLvl w:val="0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Calibri" w:hAnsi="Times New Roman" w:cs="Times New Roman"/>
          <w:b/>
          <w:bCs/>
          <w:noProof/>
        </w:rPr>
        <w:t xml:space="preserve">Šis pakuotės </w:t>
      </w:r>
      <w:r w:rsidRPr="00193E0B">
        <w:rPr>
          <w:rFonts w:ascii="Times New Roman" w:eastAsia="Calibri" w:hAnsi="Times New Roman" w:cs="Times New Roman"/>
          <w:b/>
          <w:noProof/>
        </w:rPr>
        <w:t>lapelis paskutinį kartą peržiūrėtas</w:t>
      </w:r>
      <w:r>
        <w:rPr>
          <w:rFonts w:ascii="Times New Roman" w:eastAsia="Calibri" w:hAnsi="Times New Roman" w:cs="Times New Roman"/>
          <w:b/>
          <w:noProof/>
        </w:rPr>
        <w:t xml:space="preserve"> 2025-04-30.</w:t>
      </w:r>
    </w:p>
    <w:p w14:paraId="7894FCE5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B6C39F" w14:textId="77777777" w:rsidR="00CE1739" w:rsidRPr="00193E0B" w:rsidRDefault="00CE1739" w:rsidP="00CE1739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93E0B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193E0B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193E0B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193E0B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6" w:history="1">
        <w:r w:rsidRPr="002047C2">
          <w:rPr>
            <w:rFonts w:ascii="Times New Roman" w:hAnsi="Times New Roman"/>
            <w:color w:val="0000FF"/>
            <w:u w:val="single"/>
          </w:rPr>
          <w:t>https://vvkt.lrv.lt/lt/</w:t>
        </w:r>
      </w:hyperlink>
      <w:r w:rsidRPr="002047C2">
        <w:t>.</w:t>
      </w:r>
    </w:p>
    <w:p w14:paraId="2C7B69EE" w14:textId="77777777" w:rsidR="00CE1739" w:rsidRDefault="00CE1739" w:rsidP="00CE1739"/>
    <w:p w14:paraId="199C965D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C841807"/>
    <w:multiLevelType w:val="hybridMultilevel"/>
    <w:tmpl w:val="06EE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8200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204914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39"/>
    <w:rsid w:val="00222FED"/>
    <w:rsid w:val="005F173E"/>
    <w:rsid w:val="008B3AD4"/>
    <w:rsid w:val="00984A0A"/>
    <w:rsid w:val="00BC5B93"/>
    <w:rsid w:val="00CE1739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E8F4"/>
  <w15:chartTrackingRefBased/>
  <w15:docId w15:val="{E89039B9-DC13-477E-8D26-134F7AB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1739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17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17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17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17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17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17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173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17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17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17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17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17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1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5855</Words>
  <Characters>3338</Characters>
  <Application>Microsoft Office Word</Application>
  <DocSecurity>0</DocSecurity>
  <Lines>27</Lines>
  <Paragraphs>18</Paragraphs>
  <ScaleCrop>false</ScaleCrop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2026-03-19T06:56:00Z</dcterms:created>
  <dcterms:modified xsi:type="dcterms:W3CDTF">2026-03-19T06:57:00Z</dcterms:modified>
</cp:coreProperties>
</file>