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88376" w14:textId="77777777" w:rsidR="008001D5" w:rsidRPr="00D606FA" w:rsidRDefault="008001D5" w:rsidP="008001D5">
      <w:pPr>
        <w:rPr>
          <w:sz w:val="22"/>
          <w:szCs w:val="22"/>
        </w:rPr>
      </w:pPr>
    </w:p>
    <w:p w14:paraId="03E80124" w14:textId="77777777" w:rsidR="008001D5" w:rsidRPr="00D606FA" w:rsidRDefault="008001D5" w:rsidP="008001D5">
      <w:pPr>
        <w:rPr>
          <w:sz w:val="22"/>
          <w:szCs w:val="22"/>
        </w:rPr>
      </w:pPr>
    </w:p>
    <w:p w14:paraId="76806930" w14:textId="77777777" w:rsidR="008001D5" w:rsidRPr="00D606FA" w:rsidRDefault="008001D5" w:rsidP="008001D5">
      <w:pPr>
        <w:rPr>
          <w:sz w:val="22"/>
          <w:szCs w:val="22"/>
        </w:rPr>
      </w:pPr>
    </w:p>
    <w:p w14:paraId="37504F99" w14:textId="77777777" w:rsidR="008001D5" w:rsidRPr="00D606FA" w:rsidRDefault="008001D5" w:rsidP="008001D5">
      <w:pPr>
        <w:rPr>
          <w:sz w:val="22"/>
          <w:szCs w:val="22"/>
        </w:rPr>
      </w:pPr>
    </w:p>
    <w:p w14:paraId="1F0A6F7C" w14:textId="77777777" w:rsidR="008001D5" w:rsidRPr="00D606FA" w:rsidRDefault="008001D5" w:rsidP="008001D5">
      <w:pPr>
        <w:rPr>
          <w:sz w:val="22"/>
          <w:szCs w:val="22"/>
        </w:rPr>
      </w:pPr>
    </w:p>
    <w:p w14:paraId="6E63A5C9" w14:textId="77777777" w:rsidR="008001D5" w:rsidRPr="00D606FA" w:rsidRDefault="008001D5" w:rsidP="008001D5">
      <w:pPr>
        <w:rPr>
          <w:sz w:val="22"/>
          <w:szCs w:val="22"/>
        </w:rPr>
      </w:pPr>
    </w:p>
    <w:p w14:paraId="7FDC03A1" w14:textId="77777777" w:rsidR="008001D5" w:rsidRPr="00D606FA" w:rsidRDefault="008001D5" w:rsidP="008001D5">
      <w:pPr>
        <w:rPr>
          <w:sz w:val="22"/>
          <w:szCs w:val="22"/>
        </w:rPr>
      </w:pPr>
    </w:p>
    <w:p w14:paraId="3684422E" w14:textId="77777777" w:rsidR="008001D5" w:rsidRPr="00D606FA" w:rsidRDefault="008001D5" w:rsidP="008001D5">
      <w:pPr>
        <w:rPr>
          <w:sz w:val="22"/>
          <w:szCs w:val="22"/>
        </w:rPr>
      </w:pPr>
    </w:p>
    <w:p w14:paraId="0AEBC0F2" w14:textId="77777777" w:rsidR="008001D5" w:rsidRPr="00D606FA" w:rsidRDefault="008001D5" w:rsidP="008001D5">
      <w:pPr>
        <w:rPr>
          <w:sz w:val="22"/>
          <w:szCs w:val="22"/>
        </w:rPr>
      </w:pPr>
    </w:p>
    <w:p w14:paraId="1155BC6A" w14:textId="77777777" w:rsidR="008001D5" w:rsidRPr="00D606FA" w:rsidRDefault="008001D5" w:rsidP="008001D5">
      <w:pPr>
        <w:rPr>
          <w:sz w:val="22"/>
          <w:szCs w:val="22"/>
        </w:rPr>
      </w:pPr>
    </w:p>
    <w:p w14:paraId="2129E056" w14:textId="77777777" w:rsidR="008001D5" w:rsidRPr="00D606FA" w:rsidRDefault="008001D5" w:rsidP="00E33FE9">
      <w:pPr>
        <w:pStyle w:val="BTEMEASMCADiagrama"/>
      </w:pPr>
    </w:p>
    <w:p w14:paraId="5E901510" w14:textId="77777777" w:rsidR="008001D5" w:rsidRPr="00D606FA" w:rsidRDefault="008001D5" w:rsidP="00E33FE9">
      <w:pPr>
        <w:pStyle w:val="BTEMEASMCADiagrama"/>
      </w:pPr>
    </w:p>
    <w:p w14:paraId="5884EE23" w14:textId="77777777" w:rsidR="008001D5" w:rsidRPr="00D606FA" w:rsidRDefault="008001D5" w:rsidP="00E33FE9">
      <w:pPr>
        <w:pStyle w:val="BTEMEASMCADiagrama"/>
      </w:pPr>
    </w:p>
    <w:p w14:paraId="7EB0A10F" w14:textId="77777777" w:rsidR="008001D5" w:rsidRPr="00D606FA" w:rsidRDefault="008001D5" w:rsidP="00E33FE9">
      <w:pPr>
        <w:pStyle w:val="BTEMEASMCADiagrama"/>
      </w:pPr>
    </w:p>
    <w:p w14:paraId="591FAF50" w14:textId="77777777" w:rsidR="008001D5" w:rsidRPr="00D606FA" w:rsidRDefault="008001D5" w:rsidP="00E33FE9">
      <w:pPr>
        <w:pStyle w:val="BTEMEASMCADiagrama"/>
      </w:pPr>
    </w:p>
    <w:p w14:paraId="2F957B70" w14:textId="77777777" w:rsidR="008001D5" w:rsidRPr="00D606FA" w:rsidRDefault="008001D5" w:rsidP="00E33FE9">
      <w:pPr>
        <w:pStyle w:val="BTEMEASMCADiagrama"/>
      </w:pPr>
    </w:p>
    <w:p w14:paraId="14AD3655" w14:textId="77777777" w:rsidR="008001D5" w:rsidRPr="00D606FA" w:rsidRDefault="008001D5" w:rsidP="00E33FE9">
      <w:pPr>
        <w:pStyle w:val="BTEMEASMCADiagrama"/>
      </w:pPr>
    </w:p>
    <w:p w14:paraId="540A08A9" w14:textId="77777777" w:rsidR="008001D5" w:rsidRPr="00D606FA" w:rsidRDefault="008001D5" w:rsidP="00E33FE9">
      <w:pPr>
        <w:pStyle w:val="BTEMEASMCADiagrama"/>
      </w:pPr>
    </w:p>
    <w:p w14:paraId="1FFB1490" w14:textId="77777777" w:rsidR="008001D5" w:rsidRPr="00D606FA" w:rsidRDefault="008001D5" w:rsidP="00E33FE9">
      <w:pPr>
        <w:pStyle w:val="BTEMEASMCADiagrama"/>
      </w:pPr>
    </w:p>
    <w:p w14:paraId="7E5091A1" w14:textId="77777777" w:rsidR="008001D5" w:rsidRPr="00D606FA" w:rsidRDefault="008001D5" w:rsidP="00E33FE9">
      <w:pPr>
        <w:pStyle w:val="BTEMEASMCADiagrama"/>
      </w:pPr>
    </w:p>
    <w:p w14:paraId="73EFCBF7" w14:textId="77777777" w:rsidR="008001D5" w:rsidRPr="00D606FA" w:rsidRDefault="008001D5" w:rsidP="00E33FE9">
      <w:pPr>
        <w:pStyle w:val="BTEMEASMCADiagrama"/>
      </w:pPr>
    </w:p>
    <w:p w14:paraId="5170B3F2" w14:textId="77777777" w:rsidR="008001D5" w:rsidRPr="00D606FA" w:rsidRDefault="008001D5" w:rsidP="00E33FE9">
      <w:pPr>
        <w:pStyle w:val="BTEMEASMCADiagrama"/>
      </w:pPr>
    </w:p>
    <w:p w14:paraId="6BB4366F" w14:textId="77777777" w:rsidR="008001D5" w:rsidRPr="00D606FA" w:rsidRDefault="008001D5" w:rsidP="00E33FE9">
      <w:pPr>
        <w:pStyle w:val="BTEMEASMCADiagrama"/>
      </w:pPr>
    </w:p>
    <w:p w14:paraId="7B993343" w14:textId="15182A9B" w:rsidR="008001D5" w:rsidRPr="00D606FA" w:rsidRDefault="008001D5" w:rsidP="009420B3">
      <w:pPr>
        <w:pStyle w:val="TTEMEASMCA"/>
      </w:pPr>
      <w:bookmarkStart w:id="0" w:name="_Toc129243096"/>
      <w:bookmarkStart w:id="1" w:name="_Toc129243221"/>
      <w:r w:rsidRPr="00D606FA">
        <w:t>I PRIEDAS</w:t>
      </w:r>
      <w:bookmarkEnd w:id="0"/>
      <w:bookmarkEnd w:id="1"/>
    </w:p>
    <w:p w14:paraId="3F5083C1" w14:textId="77777777" w:rsidR="008001D5" w:rsidRPr="00D606FA" w:rsidRDefault="008001D5" w:rsidP="00E33FE9">
      <w:pPr>
        <w:pStyle w:val="BTEMEASMCADiagrama"/>
      </w:pPr>
    </w:p>
    <w:p w14:paraId="0EDB6B0B" w14:textId="05AE3918" w:rsidR="008001D5" w:rsidRPr="00D606FA" w:rsidRDefault="008001D5" w:rsidP="009420B3">
      <w:pPr>
        <w:pStyle w:val="TTEMEASMCA"/>
      </w:pPr>
      <w:bookmarkStart w:id="2" w:name="_Toc129243097"/>
      <w:bookmarkStart w:id="3" w:name="_Toc129243222"/>
      <w:r w:rsidRPr="00D606FA">
        <w:t>PREPARATO CHARAKTERISTIKŲ SANTRAUKA</w:t>
      </w:r>
      <w:bookmarkEnd w:id="2"/>
      <w:bookmarkEnd w:id="3"/>
    </w:p>
    <w:p w14:paraId="12A63601" w14:textId="77777777" w:rsidR="008001D5" w:rsidRPr="00D606FA" w:rsidRDefault="008001D5" w:rsidP="008001D5">
      <w:pPr>
        <w:ind w:left="567" w:hanging="567"/>
        <w:outlineLvl w:val="0"/>
        <w:rPr>
          <w:b/>
          <w:bCs/>
          <w:sz w:val="22"/>
          <w:szCs w:val="22"/>
        </w:rPr>
      </w:pPr>
      <w:r w:rsidRPr="00D606FA">
        <w:rPr>
          <w:sz w:val="22"/>
          <w:szCs w:val="22"/>
        </w:rPr>
        <w:br w:type="page"/>
      </w:r>
      <w:bookmarkStart w:id="4" w:name="_Toc129243098"/>
      <w:bookmarkStart w:id="5" w:name="_Toc129243223"/>
      <w:r w:rsidRPr="00D606FA">
        <w:rPr>
          <w:b/>
          <w:bCs/>
          <w:sz w:val="22"/>
          <w:szCs w:val="22"/>
        </w:rPr>
        <w:lastRenderedPageBreak/>
        <w:t>1.</w:t>
      </w:r>
      <w:r w:rsidRPr="00D606FA">
        <w:rPr>
          <w:b/>
          <w:bCs/>
          <w:sz w:val="22"/>
          <w:szCs w:val="22"/>
        </w:rPr>
        <w:tab/>
        <w:t>VAISTINIO PREPARATO PAVADINIMAS</w:t>
      </w:r>
      <w:bookmarkEnd w:id="4"/>
      <w:bookmarkEnd w:id="5"/>
    </w:p>
    <w:p w14:paraId="0D726FE6" w14:textId="77777777" w:rsidR="008001D5" w:rsidRPr="00D606FA" w:rsidRDefault="008001D5" w:rsidP="008001D5">
      <w:pPr>
        <w:ind w:left="567" w:hanging="567"/>
        <w:rPr>
          <w:sz w:val="22"/>
          <w:szCs w:val="22"/>
        </w:rPr>
      </w:pPr>
    </w:p>
    <w:p w14:paraId="7A3B927C" w14:textId="77777777" w:rsidR="008001D5" w:rsidRPr="00D606FA" w:rsidRDefault="008001D5" w:rsidP="008001D5">
      <w:pPr>
        <w:ind w:left="567" w:hanging="567"/>
        <w:rPr>
          <w:sz w:val="22"/>
          <w:szCs w:val="22"/>
        </w:rPr>
      </w:pPr>
      <w:r w:rsidRPr="00D606FA">
        <w:rPr>
          <w:sz w:val="22"/>
          <w:szCs w:val="22"/>
        </w:rPr>
        <w:t>LIPANTHYL 200 mg kietosios kapsulės</w:t>
      </w:r>
      <w:bookmarkStart w:id="6" w:name="_GoBack"/>
      <w:bookmarkEnd w:id="6"/>
    </w:p>
    <w:p w14:paraId="5A6F8745" w14:textId="77777777" w:rsidR="008001D5" w:rsidRPr="00D606FA" w:rsidRDefault="008001D5" w:rsidP="008001D5">
      <w:pPr>
        <w:ind w:left="567" w:hanging="567"/>
        <w:rPr>
          <w:sz w:val="22"/>
          <w:szCs w:val="22"/>
        </w:rPr>
      </w:pPr>
    </w:p>
    <w:p w14:paraId="03A55563" w14:textId="77777777" w:rsidR="008001D5" w:rsidRPr="00D606FA" w:rsidRDefault="008001D5" w:rsidP="008001D5">
      <w:pPr>
        <w:ind w:left="567" w:hanging="567"/>
        <w:rPr>
          <w:sz w:val="22"/>
          <w:szCs w:val="22"/>
        </w:rPr>
      </w:pPr>
    </w:p>
    <w:p w14:paraId="78C958FB" w14:textId="77777777" w:rsidR="008001D5" w:rsidRPr="00D606FA" w:rsidRDefault="008001D5" w:rsidP="008001D5">
      <w:pPr>
        <w:ind w:left="567" w:hanging="567"/>
        <w:outlineLvl w:val="0"/>
        <w:rPr>
          <w:b/>
          <w:bCs/>
          <w:sz w:val="22"/>
          <w:szCs w:val="22"/>
        </w:rPr>
      </w:pPr>
      <w:bookmarkStart w:id="7" w:name="_Toc129243099"/>
      <w:bookmarkStart w:id="8" w:name="_Toc129243224"/>
      <w:r w:rsidRPr="00D606FA">
        <w:rPr>
          <w:b/>
          <w:bCs/>
          <w:sz w:val="22"/>
          <w:szCs w:val="22"/>
        </w:rPr>
        <w:t>2.</w:t>
      </w:r>
      <w:r w:rsidRPr="00D606FA">
        <w:rPr>
          <w:b/>
          <w:bCs/>
          <w:sz w:val="22"/>
          <w:szCs w:val="22"/>
        </w:rPr>
        <w:tab/>
        <w:t>KOKYBINĖ IR KIEKYBINĖ SUDĖTIS</w:t>
      </w:r>
      <w:bookmarkEnd w:id="7"/>
      <w:bookmarkEnd w:id="8"/>
    </w:p>
    <w:p w14:paraId="5F6780DB" w14:textId="77777777" w:rsidR="008001D5" w:rsidRPr="00D606FA" w:rsidRDefault="008001D5" w:rsidP="008001D5">
      <w:pPr>
        <w:ind w:left="567" w:hanging="567"/>
        <w:rPr>
          <w:sz w:val="22"/>
          <w:szCs w:val="22"/>
        </w:rPr>
      </w:pPr>
    </w:p>
    <w:p w14:paraId="20C72C26" w14:textId="77777777" w:rsidR="008001D5" w:rsidRDefault="008001D5" w:rsidP="008001D5">
      <w:pPr>
        <w:ind w:left="567" w:hanging="567"/>
        <w:rPr>
          <w:sz w:val="22"/>
          <w:szCs w:val="22"/>
        </w:rPr>
      </w:pPr>
      <w:r w:rsidRPr="00D606FA">
        <w:rPr>
          <w:sz w:val="22"/>
          <w:szCs w:val="22"/>
        </w:rPr>
        <w:t>Vienoje kietojoje kapsulėje yra 200 mg fenofibrato.</w:t>
      </w:r>
    </w:p>
    <w:p w14:paraId="13F57870" w14:textId="77777777" w:rsidR="008001D5" w:rsidRPr="00D606FA" w:rsidRDefault="008001D5" w:rsidP="008001D5">
      <w:pPr>
        <w:ind w:left="567" w:hanging="567"/>
        <w:rPr>
          <w:sz w:val="22"/>
          <w:szCs w:val="22"/>
        </w:rPr>
      </w:pPr>
    </w:p>
    <w:p w14:paraId="4B1A10DE" w14:textId="77777777" w:rsidR="008001D5" w:rsidRPr="00D606FA" w:rsidRDefault="008001D5" w:rsidP="008001D5">
      <w:pPr>
        <w:ind w:left="567" w:hanging="567"/>
        <w:rPr>
          <w:sz w:val="22"/>
          <w:szCs w:val="22"/>
        </w:rPr>
      </w:pPr>
      <w:r w:rsidRPr="00D606FA">
        <w:rPr>
          <w:sz w:val="22"/>
          <w:szCs w:val="22"/>
          <w:u w:val="single"/>
        </w:rPr>
        <w:t>Pagalbinės medžiagos, kurių poveikis žinomas</w:t>
      </w:r>
      <w:r w:rsidRPr="00D606FA">
        <w:rPr>
          <w:sz w:val="22"/>
          <w:szCs w:val="22"/>
        </w:rPr>
        <w:t>: vienoje kapsulėje yra 101 mg laktozės monohidrato.</w:t>
      </w:r>
    </w:p>
    <w:p w14:paraId="4205E69F" w14:textId="77777777" w:rsidR="008001D5" w:rsidRPr="00D606FA" w:rsidRDefault="008001D5" w:rsidP="008001D5">
      <w:pPr>
        <w:ind w:left="567" w:hanging="567"/>
        <w:rPr>
          <w:sz w:val="22"/>
          <w:szCs w:val="22"/>
        </w:rPr>
      </w:pPr>
    </w:p>
    <w:p w14:paraId="776D30A8" w14:textId="77777777" w:rsidR="008001D5" w:rsidRPr="00D606FA" w:rsidRDefault="008001D5" w:rsidP="008001D5">
      <w:pPr>
        <w:ind w:left="567" w:hanging="567"/>
        <w:rPr>
          <w:sz w:val="22"/>
          <w:szCs w:val="22"/>
        </w:rPr>
      </w:pPr>
      <w:r w:rsidRPr="00D606FA">
        <w:rPr>
          <w:sz w:val="22"/>
          <w:szCs w:val="22"/>
        </w:rPr>
        <w:t>Visos pagalbinės medžiagos išvardytos 6.1 skyriuje.</w:t>
      </w:r>
    </w:p>
    <w:p w14:paraId="32F0A780" w14:textId="77777777" w:rsidR="008001D5" w:rsidRPr="00D606FA" w:rsidRDefault="008001D5" w:rsidP="008001D5">
      <w:pPr>
        <w:ind w:left="567" w:hanging="567"/>
        <w:rPr>
          <w:sz w:val="22"/>
          <w:szCs w:val="22"/>
        </w:rPr>
      </w:pPr>
    </w:p>
    <w:p w14:paraId="5556A6C0" w14:textId="77777777" w:rsidR="008001D5" w:rsidRPr="00D606FA" w:rsidRDefault="008001D5" w:rsidP="008001D5">
      <w:pPr>
        <w:ind w:left="567" w:hanging="567"/>
        <w:rPr>
          <w:sz w:val="22"/>
          <w:szCs w:val="22"/>
        </w:rPr>
      </w:pPr>
    </w:p>
    <w:p w14:paraId="7847F800" w14:textId="77777777" w:rsidR="008001D5" w:rsidRPr="00D606FA" w:rsidRDefault="008001D5" w:rsidP="008001D5">
      <w:pPr>
        <w:ind w:left="567" w:hanging="567"/>
        <w:outlineLvl w:val="0"/>
        <w:rPr>
          <w:b/>
          <w:bCs/>
          <w:sz w:val="22"/>
          <w:szCs w:val="22"/>
        </w:rPr>
      </w:pPr>
      <w:bookmarkStart w:id="9" w:name="_Toc129243100"/>
      <w:bookmarkStart w:id="10" w:name="_Toc129243225"/>
      <w:r w:rsidRPr="00D606FA">
        <w:rPr>
          <w:b/>
          <w:bCs/>
          <w:sz w:val="22"/>
          <w:szCs w:val="22"/>
        </w:rPr>
        <w:t>3.</w:t>
      </w:r>
      <w:r w:rsidRPr="00D606FA">
        <w:rPr>
          <w:b/>
          <w:bCs/>
          <w:sz w:val="22"/>
          <w:szCs w:val="22"/>
        </w:rPr>
        <w:tab/>
        <w:t>FARMACINĖ FORMA</w:t>
      </w:r>
      <w:bookmarkEnd w:id="9"/>
      <w:bookmarkEnd w:id="10"/>
    </w:p>
    <w:p w14:paraId="7C02198C" w14:textId="77777777" w:rsidR="008001D5" w:rsidRPr="00D606FA" w:rsidRDefault="008001D5" w:rsidP="008001D5">
      <w:pPr>
        <w:ind w:left="567" w:hanging="567"/>
        <w:rPr>
          <w:sz w:val="22"/>
          <w:szCs w:val="22"/>
        </w:rPr>
      </w:pPr>
    </w:p>
    <w:p w14:paraId="779B124E" w14:textId="77777777" w:rsidR="008001D5" w:rsidRPr="00D606FA" w:rsidRDefault="008001D5" w:rsidP="008001D5">
      <w:pPr>
        <w:ind w:left="567" w:hanging="567"/>
        <w:rPr>
          <w:sz w:val="22"/>
          <w:szCs w:val="22"/>
        </w:rPr>
      </w:pPr>
      <w:r w:rsidRPr="00D606FA">
        <w:rPr>
          <w:sz w:val="22"/>
          <w:szCs w:val="22"/>
        </w:rPr>
        <w:t>Kietoji kapsulė</w:t>
      </w:r>
    </w:p>
    <w:p w14:paraId="131A43AF" w14:textId="77777777" w:rsidR="008001D5" w:rsidRPr="00D606FA" w:rsidRDefault="008001D5" w:rsidP="008001D5">
      <w:pPr>
        <w:ind w:left="567" w:hanging="567"/>
        <w:rPr>
          <w:sz w:val="22"/>
          <w:szCs w:val="22"/>
        </w:rPr>
      </w:pPr>
    </w:p>
    <w:p w14:paraId="71A34219" w14:textId="77777777" w:rsidR="008001D5" w:rsidRPr="00D606FA" w:rsidRDefault="008001D5" w:rsidP="008001D5">
      <w:pPr>
        <w:ind w:left="567" w:hanging="567"/>
        <w:rPr>
          <w:sz w:val="22"/>
          <w:szCs w:val="22"/>
        </w:rPr>
      </w:pPr>
      <w:r w:rsidRPr="00D606FA">
        <w:rPr>
          <w:sz w:val="22"/>
          <w:szCs w:val="22"/>
        </w:rPr>
        <w:t>Kapsulės yra ochros spalvos, kietos, želatininės.</w:t>
      </w:r>
    </w:p>
    <w:p w14:paraId="1F2BBBC2" w14:textId="77777777" w:rsidR="008001D5" w:rsidRPr="00D606FA" w:rsidRDefault="008001D5" w:rsidP="008001D5">
      <w:pPr>
        <w:ind w:left="567" w:hanging="567"/>
        <w:rPr>
          <w:sz w:val="22"/>
          <w:szCs w:val="22"/>
        </w:rPr>
      </w:pPr>
    </w:p>
    <w:p w14:paraId="6BCED2EC" w14:textId="77777777" w:rsidR="008001D5" w:rsidRPr="00D606FA" w:rsidRDefault="008001D5" w:rsidP="008001D5">
      <w:pPr>
        <w:ind w:left="567" w:hanging="567"/>
        <w:rPr>
          <w:sz w:val="22"/>
          <w:szCs w:val="22"/>
        </w:rPr>
      </w:pPr>
    </w:p>
    <w:p w14:paraId="787E9294" w14:textId="77777777" w:rsidR="008001D5" w:rsidRPr="00D606FA" w:rsidRDefault="008001D5" w:rsidP="008001D5">
      <w:pPr>
        <w:ind w:left="567" w:hanging="567"/>
        <w:outlineLvl w:val="0"/>
        <w:rPr>
          <w:b/>
          <w:bCs/>
          <w:sz w:val="22"/>
          <w:szCs w:val="22"/>
        </w:rPr>
      </w:pPr>
      <w:bookmarkStart w:id="11" w:name="_Toc129243101"/>
      <w:bookmarkStart w:id="12" w:name="_Toc129243226"/>
      <w:r w:rsidRPr="00D606FA">
        <w:rPr>
          <w:b/>
          <w:bCs/>
          <w:sz w:val="22"/>
          <w:szCs w:val="22"/>
        </w:rPr>
        <w:t>4.</w:t>
      </w:r>
      <w:r w:rsidRPr="00D606FA">
        <w:rPr>
          <w:b/>
          <w:bCs/>
          <w:sz w:val="22"/>
          <w:szCs w:val="22"/>
        </w:rPr>
        <w:tab/>
        <w:t>KLINIKINĖ INFORMACIJA</w:t>
      </w:r>
      <w:bookmarkEnd w:id="11"/>
      <w:bookmarkEnd w:id="12"/>
    </w:p>
    <w:p w14:paraId="2ACA38DE" w14:textId="77777777" w:rsidR="008001D5" w:rsidRPr="00D606FA" w:rsidRDefault="008001D5" w:rsidP="00E33FE9">
      <w:pPr>
        <w:pStyle w:val="BTEMEASMCADiagrama"/>
      </w:pPr>
    </w:p>
    <w:p w14:paraId="2AF4754A" w14:textId="0AB53136" w:rsidR="008001D5" w:rsidRPr="00D606FA" w:rsidRDefault="008001D5" w:rsidP="00E33FE9">
      <w:pPr>
        <w:pStyle w:val="PI-2EMEASMCA"/>
      </w:pPr>
      <w:bookmarkStart w:id="13" w:name="_Toc129243102"/>
      <w:bookmarkStart w:id="14" w:name="_Toc129243227"/>
      <w:r w:rsidRPr="00D606FA">
        <w:t>4.1</w:t>
      </w:r>
      <w:r w:rsidRPr="00D606FA">
        <w:tab/>
        <w:t>Terapinės indikacijos</w:t>
      </w:r>
      <w:bookmarkEnd w:id="13"/>
      <w:bookmarkEnd w:id="14"/>
    </w:p>
    <w:p w14:paraId="7F446D2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7F1C3FC4" w14:textId="77777777" w:rsidR="008001D5" w:rsidRPr="00D606FA" w:rsidRDefault="008001D5" w:rsidP="008001D5">
      <w:pPr>
        <w:rPr>
          <w:b/>
          <w:bCs/>
          <w:sz w:val="22"/>
          <w:szCs w:val="22"/>
        </w:rPr>
      </w:pPr>
      <w:r w:rsidRPr="00D606FA">
        <w:rPr>
          <w:sz w:val="22"/>
          <w:szCs w:val="22"/>
        </w:rPr>
        <w:t>LIPANTHYL</w:t>
      </w:r>
      <w:r w:rsidRPr="00D606FA" w:rsidDel="00DA5D6D">
        <w:rPr>
          <w:sz w:val="22"/>
          <w:szCs w:val="22"/>
        </w:rPr>
        <w:t xml:space="preserve"> </w:t>
      </w:r>
      <w:r w:rsidRPr="00D606FA">
        <w:rPr>
          <w:sz w:val="22"/>
          <w:szCs w:val="22"/>
        </w:rPr>
        <w:t>vartojamas kaip pagalbinė priemonė, kartu taikant gydymą dieta ir kitą nefarmakologinį gydymą (pvz., mankštą, svorio mažinimą) šiais atvejais:</w:t>
      </w:r>
    </w:p>
    <w:p w14:paraId="79C730DE" w14:textId="77777777" w:rsidR="008001D5" w:rsidRPr="00D606FA" w:rsidRDefault="008001D5" w:rsidP="008001D5">
      <w:pPr>
        <w:suppressAutoHyphens/>
        <w:ind w:left="540" w:hanging="540"/>
        <w:rPr>
          <w:sz w:val="22"/>
          <w:szCs w:val="22"/>
        </w:rPr>
      </w:pPr>
      <w:r w:rsidRPr="00D606FA">
        <w:rPr>
          <w:sz w:val="22"/>
          <w:szCs w:val="22"/>
        </w:rPr>
        <w:t>-</w:t>
      </w:r>
      <w:r w:rsidRPr="00D606FA">
        <w:rPr>
          <w:sz w:val="22"/>
          <w:szCs w:val="22"/>
        </w:rPr>
        <w:tab/>
        <w:t>sunkios hipertrigliceridemijos, kai yra (arba ne) mažas DTL cholesterolio kiekis, gydymas;</w:t>
      </w:r>
    </w:p>
    <w:p w14:paraId="69AABFCA" w14:textId="77777777" w:rsidR="008001D5" w:rsidRPr="00D606FA" w:rsidRDefault="008001D5" w:rsidP="008001D5">
      <w:pPr>
        <w:suppressAutoHyphens/>
        <w:ind w:left="540" w:hanging="540"/>
        <w:rPr>
          <w:sz w:val="22"/>
          <w:szCs w:val="22"/>
        </w:rPr>
      </w:pPr>
      <w:r w:rsidRPr="00D606FA">
        <w:rPr>
          <w:sz w:val="22"/>
          <w:szCs w:val="22"/>
        </w:rPr>
        <w:t>-</w:t>
      </w:r>
      <w:r w:rsidRPr="00D606FA">
        <w:rPr>
          <w:sz w:val="22"/>
          <w:szCs w:val="22"/>
        </w:rPr>
        <w:tab/>
        <w:t>mišri hiperlipidemija, kai statinų vartoti negalima arba jie nėra toleruojami;</w:t>
      </w:r>
    </w:p>
    <w:p w14:paraId="568C8E0F" w14:textId="77777777" w:rsidR="008001D5" w:rsidRPr="00D606FA" w:rsidRDefault="008001D5" w:rsidP="008001D5">
      <w:pPr>
        <w:suppressAutoHyphens/>
        <w:ind w:left="540" w:hanging="540"/>
        <w:rPr>
          <w:i/>
          <w:iCs/>
          <w:sz w:val="22"/>
          <w:szCs w:val="22"/>
        </w:rPr>
      </w:pPr>
      <w:r w:rsidRPr="00D606FA">
        <w:rPr>
          <w:sz w:val="22"/>
          <w:szCs w:val="22"/>
        </w:rPr>
        <w:t>-</w:t>
      </w:r>
      <w:r w:rsidRPr="00D606FA">
        <w:rPr>
          <w:sz w:val="22"/>
          <w:szCs w:val="22"/>
        </w:rPr>
        <w:tab/>
        <w:t>mišri hiperlipidemija pacientams, kuriems yra didelė širdies ir kraujagyslių ligų rizika, vartojant kartu su statinais, kai tinkamai kontroliuoti trigliceridų ir DTL cholesterolio nepavyksta.</w:t>
      </w:r>
    </w:p>
    <w:p w14:paraId="6932C1F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B473B5A" w14:textId="77777777" w:rsidR="008001D5" w:rsidRPr="00D606FA" w:rsidRDefault="008001D5" w:rsidP="00E33FE9">
      <w:pPr>
        <w:pStyle w:val="PI-2EMEASMCA"/>
      </w:pPr>
      <w:bookmarkStart w:id="15" w:name="_Toc129243103"/>
      <w:bookmarkStart w:id="16" w:name="_Toc129243228"/>
      <w:r w:rsidRPr="00D606FA">
        <w:t>4.2</w:t>
      </w:r>
      <w:r w:rsidRPr="00D606FA">
        <w:tab/>
        <w:t>Dozavimas ir vartojimo metodas</w:t>
      </w:r>
      <w:bookmarkEnd w:id="15"/>
      <w:bookmarkEnd w:id="16"/>
    </w:p>
    <w:p w14:paraId="56BCCEC0" w14:textId="77777777" w:rsidR="008001D5" w:rsidRPr="00D606FA" w:rsidRDefault="008001D5" w:rsidP="008001D5">
      <w:pPr>
        <w:tabs>
          <w:tab w:val="left" w:pos="916"/>
        </w:tabs>
        <w:rPr>
          <w:sz w:val="22"/>
          <w:szCs w:val="22"/>
        </w:rPr>
      </w:pPr>
    </w:p>
    <w:p w14:paraId="24547A89" w14:textId="77777777" w:rsidR="008001D5" w:rsidRPr="00D606FA" w:rsidRDefault="008001D5" w:rsidP="008001D5">
      <w:pPr>
        <w:tabs>
          <w:tab w:val="left" w:pos="916"/>
        </w:tabs>
        <w:rPr>
          <w:sz w:val="22"/>
          <w:szCs w:val="22"/>
          <w:u w:val="single"/>
        </w:rPr>
      </w:pPr>
      <w:r w:rsidRPr="00D606FA">
        <w:rPr>
          <w:sz w:val="22"/>
          <w:szCs w:val="22"/>
          <w:u w:val="single"/>
        </w:rPr>
        <w:t>Dozavimas</w:t>
      </w:r>
    </w:p>
    <w:p w14:paraId="57EDAAFE" w14:textId="77777777" w:rsidR="008001D5" w:rsidRPr="00D606FA" w:rsidRDefault="008001D5" w:rsidP="008001D5">
      <w:pPr>
        <w:tabs>
          <w:tab w:val="left" w:pos="916"/>
        </w:tabs>
        <w:rPr>
          <w:sz w:val="22"/>
          <w:szCs w:val="22"/>
        </w:rPr>
      </w:pPr>
    </w:p>
    <w:p w14:paraId="53C5A837" w14:textId="77777777" w:rsidR="008001D5" w:rsidRPr="00D606FA" w:rsidRDefault="008001D5" w:rsidP="008001D5">
      <w:pPr>
        <w:pStyle w:val="texte20"/>
        <w:spacing w:after="0" w:line="240" w:lineRule="atLeast"/>
        <w:ind w:left="0"/>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Reakcija į vaistinį preparatą turi būti stebima nustatant lipidų kiekį kraujo serume. Jei per keletą mėnesi</w:t>
      </w:r>
      <w:r>
        <w:rPr>
          <w:rFonts w:ascii="Times New Roman" w:hAnsi="Times New Roman" w:cs="Times New Roman"/>
          <w:sz w:val="22"/>
          <w:szCs w:val="22"/>
          <w:lang w:val="lt-LT"/>
        </w:rPr>
        <w:t>ų</w:t>
      </w:r>
      <w:r w:rsidRPr="00D606FA">
        <w:rPr>
          <w:rFonts w:ascii="Times New Roman" w:hAnsi="Times New Roman" w:cs="Times New Roman"/>
          <w:sz w:val="22"/>
          <w:szCs w:val="22"/>
          <w:lang w:val="lt-LT"/>
        </w:rPr>
        <w:t xml:space="preserve"> (t.y. per 3</w:t>
      </w:r>
      <w:r>
        <w:rPr>
          <w:rFonts w:ascii="Times New Roman" w:hAnsi="Times New Roman" w:cs="Times New Roman"/>
          <w:sz w:val="22"/>
          <w:szCs w:val="22"/>
          <w:lang w:val="lt-LT"/>
        </w:rPr>
        <w:t> </w:t>
      </w:r>
      <w:r w:rsidRPr="00D606FA">
        <w:rPr>
          <w:rFonts w:ascii="Times New Roman" w:hAnsi="Times New Roman" w:cs="Times New Roman"/>
          <w:sz w:val="22"/>
          <w:szCs w:val="22"/>
          <w:lang w:val="lt-LT"/>
        </w:rPr>
        <w:t>mėnesius) pakankamo</w:t>
      </w:r>
      <w:r>
        <w:rPr>
          <w:rFonts w:ascii="Times New Roman" w:hAnsi="Times New Roman" w:cs="Times New Roman"/>
          <w:sz w:val="22"/>
          <w:szCs w:val="22"/>
          <w:lang w:val="lt-LT"/>
        </w:rPr>
        <w:t>s</w:t>
      </w:r>
      <w:r w:rsidRPr="00D606FA">
        <w:rPr>
          <w:rFonts w:ascii="Times New Roman" w:hAnsi="Times New Roman" w:cs="Times New Roman"/>
          <w:sz w:val="22"/>
          <w:szCs w:val="22"/>
          <w:lang w:val="lt-LT"/>
        </w:rPr>
        <w:t xml:space="preserve"> reakcijos nesulaukiama, reikia apsvarstyti papildomas arba kitas gydymo priemones.</w:t>
      </w:r>
    </w:p>
    <w:p w14:paraId="60D32CEE" w14:textId="77777777" w:rsidR="008001D5" w:rsidRPr="00D606FA" w:rsidRDefault="008001D5" w:rsidP="008001D5">
      <w:pPr>
        <w:pStyle w:val="texte20"/>
        <w:spacing w:after="0" w:line="240" w:lineRule="atLeast"/>
        <w:ind w:left="0"/>
        <w:jc w:val="left"/>
        <w:rPr>
          <w:rFonts w:ascii="Times New Roman" w:hAnsi="Times New Roman" w:cs="Times New Roman"/>
          <w:sz w:val="22"/>
          <w:szCs w:val="22"/>
          <w:highlight w:val="yellow"/>
          <w:lang w:val="lt-LT"/>
        </w:rPr>
      </w:pPr>
    </w:p>
    <w:p w14:paraId="206F9655"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r w:rsidRPr="00D606FA">
        <w:rPr>
          <w:spacing w:val="-3"/>
          <w:sz w:val="22"/>
          <w:szCs w:val="22"/>
          <w:u w:val="single"/>
        </w:rPr>
        <w:t>Suaugusiesiems</w:t>
      </w:r>
    </w:p>
    <w:p w14:paraId="73E6F59F"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Suaugusiesiems rekomenduojama dozė yra 200 mg per parą, vartojama kaip viena kapsulė per parą.</w:t>
      </w:r>
    </w:p>
    <w:p w14:paraId="7E69BE2F"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p>
    <w:p w14:paraId="39B200CB" w14:textId="77777777" w:rsidR="008001D5" w:rsidRPr="00D606FA" w:rsidRDefault="008001D5" w:rsidP="008001D5">
      <w:pPr>
        <w:suppressAutoHyphens/>
        <w:rPr>
          <w:spacing w:val="-3"/>
          <w:sz w:val="22"/>
          <w:szCs w:val="22"/>
        </w:rPr>
      </w:pPr>
      <w:r w:rsidRPr="00D606FA">
        <w:rPr>
          <w:spacing w:val="-3"/>
          <w:sz w:val="22"/>
          <w:szCs w:val="22"/>
        </w:rPr>
        <w:t>Ypatingos pacientų grupės</w:t>
      </w:r>
    </w:p>
    <w:p w14:paraId="7CD53EF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p>
    <w:p w14:paraId="1BDE688C"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sz w:val="22"/>
          <w:szCs w:val="22"/>
        </w:rPr>
      </w:pPr>
      <w:r w:rsidRPr="00D606FA">
        <w:rPr>
          <w:i/>
          <w:iCs/>
          <w:spacing w:val="-3"/>
          <w:sz w:val="22"/>
          <w:szCs w:val="22"/>
        </w:rPr>
        <w:t xml:space="preserve">Senyviems </w:t>
      </w:r>
      <w:r w:rsidRPr="00D606FA">
        <w:rPr>
          <w:i/>
          <w:iCs/>
          <w:sz w:val="22"/>
          <w:szCs w:val="22"/>
        </w:rPr>
        <w:t>&gt;65 metų pacientams</w:t>
      </w:r>
    </w:p>
    <w:p w14:paraId="3E5D876B"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D606FA">
        <w:rPr>
          <w:spacing w:val="-3"/>
          <w:sz w:val="22"/>
          <w:szCs w:val="22"/>
        </w:rPr>
        <w:t xml:space="preserve">Dozės koreguoti nereikia. Rekomenduojama skirti įprastinę dozę, išskyrus pacientus su sumažėjusia inkstų funkcija, kai glomerulų filtracijos greitis </w:t>
      </w:r>
      <w:r w:rsidRPr="00D606FA">
        <w:rPr>
          <w:sz w:val="22"/>
          <w:szCs w:val="22"/>
        </w:rPr>
        <w:t xml:space="preserve">&lt; 60 ml/min/1,73 (žr. </w:t>
      </w:r>
      <w:r w:rsidRPr="00D606FA">
        <w:rPr>
          <w:i/>
          <w:iCs/>
          <w:sz w:val="22"/>
          <w:szCs w:val="22"/>
        </w:rPr>
        <w:t>Pacientams, kurių inkstų funkcija sutrikusi</w:t>
      </w:r>
      <w:r w:rsidRPr="00D606FA">
        <w:rPr>
          <w:sz w:val="22"/>
          <w:szCs w:val="22"/>
        </w:rPr>
        <w:t>).</w:t>
      </w:r>
    </w:p>
    <w:p w14:paraId="2520F56E"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C744377"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z w:val="22"/>
          <w:szCs w:val="22"/>
        </w:rPr>
      </w:pPr>
      <w:r w:rsidRPr="00D606FA">
        <w:rPr>
          <w:i/>
          <w:iCs/>
          <w:sz w:val="22"/>
          <w:szCs w:val="22"/>
        </w:rPr>
        <w:t>Pacientams, kurių inkstų funkcija sutrikusi</w:t>
      </w:r>
    </w:p>
    <w:p w14:paraId="134D2983"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D606FA">
        <w:rPr>
          <w:sz w:val="22"/>
          <w:szCs w:val="22"/>
        </w:rPr>
        <w:t>Fenofibrato vartoti negalima, jei yra sunkus inkstų funkcijos sutrikimas, apibrėžiamas kaip aGFG &lt;30 ml/min 1,73 m</w:t>
      </w:r>
      <w:r w:rsidRPr="00D606FA">
        <w:rPr>
          <w:sz w:val="22"/>
          <w:szCs w:val="22"/>
          <w:vertAlign w:val="superscript"/>
        </w:rPr>
        <w:t>2</w:t>
      </w:r>
      <w:r w:rsidRPr="00D606FA">
        <w:rPr>
          <w:sz w:val="22"/>
          <w:szCs w:val="22"/>
        </w:rPr>
        <w:t>.</w:t>
      </w:r>
    </w:p>
    <w:p w14:paraId="123E550B"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D606FA">
        <w:rPr>
          <w:sz w:val="22"/>
          <w:szCs w:val="22"/>
        </w:rPr>
        <w:t>Jei aGFG yra tarp 30 ir 59 ml/min 1,73m</w:t>
      </w:r>
      <w:r w:rsidRPr="00D606FA">
        <w:rPr>
          <w:sz w:val="22"/>
          <w:szCs w:val="22"/>
          <w:vertAlign w:val="superscript"/>
        </w:rPr>
        <w:t>2</w:t>
      </w:r>
      <w:r w:rsidRPr="00D606FA">
        <w:rPr>
          <w:sz w:val="22"/>
          <w:szCs w:val="22"/>
        </w:rPr>
        <w:t>, fenofibrato dozė neturi viršyti 100 mg paprasto ar 67 mg mikronizuoto vaistinio preparato kartą per parą.</w:t>
      </w:r>
    </w:p>
    <w:p w14:paraId="7C514149"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D606FA">
        <w:rPr>
          <w:sz w:val="22"/>
          <w:szCs w:val="22"/>
        </w:rPr>
        <w:t>Jei stebint aGFG vis sumažėja &lt;30 ml/min 1,73 m</w:t>
      </w:r>
      <w:r w:rsidRPr="00D606FA">
        <w:rPr>
          <w:sz w:val="22"/>
          <w:szCs w:val="22"/>
          <w:vertAlign w:val="superscript"/>
        </w:rPr>
        <w:t>2</w:t>
      </w:r>
      <w:r w:rsidRPr="00D606FA">
        <w:rPr>
          <w:sz w:val="22"/>
          <w:szCs w:val="22"/>
        </w:rPr>
        <w:t>, fenofibrato vartojimą reikia nutraukti.</w:t>
      </w:r>
    </w:p>
    <w:p w14:paraId="544299DC"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u w:val="single"/>
        </w:rPr>
      </w:pPr>
    </w:p>
    <w:p w14:paraId="1A156F0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i/>
          <w:iCs/>
          <w:spacing w:val="-3"/>
          <w:sz w:val="22"/>
          <w:szCs w:val="22"/>
          <w:u w:val="single"/>
        </w:rPr>
      </w:pPr>
      <w:r w:rsidRPr="00D606FA">
        <w:rPr>
          <w:i/>
          <w:iCs/>
          <w:sz w:val="22"/>
          <w:szCs w:val="22"/>
          <w:u w:val="single"/>
        </w:rPr>
        <w:lastRenderedPageBreak/>
        <w:t>Pacientams, kurių kepenų funkcija sutrikusi</w:t>
      </w:r>
    </w:p>
    <w:p w14:paraId="43504A49"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Kadangi trūksta duomenų, LIPANTHYL 200</w:t>
      </w:r>
      <w:r>
        <w:rPr>
          <w:spacing w:val="-3"/>
          <w:sz w:val="22"/>
          <w:szCs w:val="22"/>
        </w:rPr>
        <w:t> </w:t>
      </w:r>
      <w:r w:rsidRPr="00D606FA">
        <w:rPr>
          <w:spacing w:val="-3"/>
          <w:sz w:val="22"/>
          <w:szCs w:val="22"/>
        </w:rPr>
        <w:t>mg nerekomenduojama vartoti pacientams, kurių kepenų veikla sutrikusi.</w:t>
      </w:r>
    </w:p>
    <w:p w14:paraId="7A3EB2F3"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2640BB6" w14:textId="77777777" w:rsidR="008001D5" w:rsidRPr="00D606FA" w:rsidRDefault="008001D5" w:rsidP="008001D5">
      <w:pPr>
        <w:tabs>
          <w:tab w:val="left" w:pos="0"/>
          <w:tab w:val="left" w:pos="720"/>
          <w:tab w:val="left" w:pos="1440"/>
          <w:tab w:val="right" w:pos="9212"/>
        </w:tabs>
        <w:suppressAutoHyphens/>
        <w:rPr>
          <w:i/>
          <w:iCs/>
          <w:sz w:val="22"/>
          <w:szCs w:val="22"/>
        </w:rPr>
      </w:pPr>
      <w:r w:rsidRPr="00D606FA">
        <w:rPr>
          <w:i/>
          <w:iCs/>
          <w:sz w:val="22"/>
          <w:szCs w:val="22"/>
        </w:rPr>
        <w:t>Vaikų populiacija</w:t>
      </w:r>
    </w:p>
    <w:p w14:paraId="632233A2" w14:textId="77777777" w:rsidR="008001D5" w:rsidRPr="00D606FA" w:rsidRDefault="008001D5" w:rsidP="008001D5">
      <w:pPr>
        <w:pStyle w:val="Komentarotekstas"/>
        <w:rPr>
          <w:sz w:val="22"/>
          <w:szCs w:val="22"/>
          <w:u w:val="single"/>
        </w:rPr>
      </w:pPr>
      <w:r w:rsidRPr="00D606FA">
        <w:rPr>
          <w:sz w:val="22"/>
          <w:szCs w:val="22"/>
        </w:rPr>
        <w:t>Fenofibrato saugumas ir veiksmingumas vaikams ir paaugliams, jaunesniems kaip 18</w:t>
      </w:r>
      <w:r>
        <w:rPr>
          <w:sz w:val="22"/>
          <w:szCs w:val="22"/>
        </w:rPr>
        <w:t> </w:t>
      </w:r>
      <w:r w:rsidRPr="00D606FA">
        <w:rPr>
          <w:sz w:val="22"/>
          <w:szCs w:val="22"/>
        </w:rPr>
        <w:t>metų, neištirtas. Duomenų nėra. Dėl to, fenofibrato vartoti jaunesniems kaip 18</w:t>
      </w:r>
      <w:r>
        <w:rPr>
          <w:sz w:val="22"/>
          <w:szCs w:val="22"/>
        </w:rPr>
        <w:t> </w:t>
      </w:r>
      <w:r w:rsidRPr="00D606FA">
        <w:rPr>
          <w:sz w:val="22"/>
          <w:szCs w:val="22"/>
        </w:rPr>
        <w:t>metų pacientams nerekomenduojama.</w:t>
      </w:r>
    </w:p>
    <w:p w14:paraId="3223CAFC" w14:textId="77777777" w:rsidR="008001D5" w:rsidRPr="00D606FA" w:rsidRDefault="008001D5" w:rsidP="008001D5">
      <w:pPr>
        <w:pStyle w:val="Komentarotekstas"/>
        <w:rPr>
          <w:sz w:val="22"/>
          <w:szCs w:val="22"/>
          <w:u w:val="single"/>
        </w:rPr>
      </w:pPr>
    </w:p>
    <w:p w14:paraId="222EE610" w14:textId="77777777" w:rsidR="008001D5" w:rsidRPr="00D606FA" w:rsidRDefault="008001D5" w:rsidP="008001D5">
      <w:pPr>
        <w:pStyle w:val="Komentarotekstas"/>
        <w:rPr>
          <w:sz w:val="22"/>
          <w:szCs w:val="22"/>
          <w:u w:val="single"/>
        </w:rPr>
      </w:pPr>
      <w:r w:rsidRPr="00D606FA">
        <w:rPr>
          <w:sz w:val="22"/>
          <w:szCs w:val="22"/>
          <w:u w:val="single"/>
        </w:rPr>
        <w:t>Vartojimo metodas</w:t>
      </w:r>
    </w:p>
    <w:p w14:paraId="7C3CB658" w14:textId="77777777" w:rsidR="008001D5" w:rsidRPr="00D606FA" w:rsidRDefault="008001D5" w:rsidP="008001D5">
      <w:pPr>
        <w:pStyle w:val="Komentarotekstas"/>
        <w:rPr>
          <w:sz w:val="22"/>
          <w:szCs w:val="22"/>
          <w:u w:val="single"/>
        </w:rPr>
      </w:pPr>
    </w:p>
    <w:p w14:paraId="402C598F" w14:textId="77777777" w:rsidR="008001D5" w:rsidRPr="00D606FA" w:rsidRDefault="008001D5" w:rsidP="008001D5">
      <w:pPr>
        <w:pStyle w:val="Komentarotekstas"/>
        <w:rPr>
          <w:sz w:val="22"/>
          <w:szCs w:val="22"/>
        </w:rPr>
      </w:pPr>
      <w:r w:rsidRPr="00D606FA">
        <w:rPr>
          <w:sz w:val="22"/>
          <w:szCs w:val="22"/>
        </w:rPr>
        <w:t>Kapsulę reikia nuryti visą valgio metu.</w:t>
      </w:r>
    </w:p>
    <w:p w14:paraId="0074AC14" w14:textId="77777777" w:rsidR="008001D5" w:rsidRPr="00D606FA" w:rsidRDefault="008001D5" w:rsidP="00F17259">
      <w:pPr>
        <w:pStyle w:val="PI-2EMEASMCA"/>
      </w:pPr>
      <w:bookmarkStart w:id="17" w:name="_Toc129243104"/>
      <w:bookmarkStart w:id="18" w:name="_Toc129243229"/>
    </w:p>
    <w:p w14:paraId="16FA28AD" w14:textId="77777777" w:rsidR="008001D5" w:rsidRPr="00D606FA" w:rsidRDefault="008001D5" w:rsidP="00E33FE9">
      <w:pPr>
        <w:pStyle w:val="PI-2EMEASMCA"/>
      </w:pPr>
      <w:r w:rsidRPr="00D606FA">
        <w:t>4.3</w:t>
      </w:r>
      <w:r w:rsidRPr="00D606FA">
        <w:tab/>
        <w:t>Kontraindikacijos</w:t>
      </w:r>
      <w:bookmarkEnd w:id="17"/>
      <w:bookmarkEnd w:id="18"/>
    </w:p>
    <w:p w14:paraId="15F72B2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46401069" w14:textId="77777777" w:rsidR="008001D5" w:rsidRPr="00D606FA" w:rsidRDefault="008001D5" w:rsidP="008001D5">
      <w:pPr>
        <w:numPr>
          <w:ilvl w:val="0"/>
          <w:numId w:val="5"/>
        </w:numPr>
        <w:tabs>
          <w:tab w:val="clear" w:pos="1077"/>
        </w:tabs>
        <w:ind w:left="540" w:hanging="540"/>
        <w:rPr>
          <w:sz w:val="22"/>
          <w:szCs w:val="22"/>
        </w:rPr>
      </w:pPr>
      <w:r w:rsidRPr="00D606FA">
        <w:rPr>
          <w:sz w:val="22"/>
          <w:szCs w:val="22"/>
        </w:rPr>
        <w:t>Padidėjęs jautrumas veikliajai arba kokiai nors kitai 6.1 skyriuje nurodytai pagalbinei medžiagai.</w:t>
      </w:r>
    </w:p>
    <w:p w14:paraId="22C2710A" w14:textId="77777777" w:rsidR="008001D5" w:rsidRPr="00D606FA" w:rsidRDefault="008001D5" w:rsidP="008001D5">
      <w:pPr>
        <w:numPr>
          <w:ilvl w:val="0"/>
          <w:numId w:val="5"/>
        </w:numPr>
        <w:tabs>
          <w:tab w:val="clear" w:pos="1077"/>
        </w:tabs>
        <w:ind w:left="540" w:hanging="540"/>
        <w:rPr>
          <w:sz w:val="22"/>
          <w:szCs w:val="22"/>
        </w:rPr>
      </w:pPr>
      <w:r w:rsidRPr="00D606FA">
        <w:rPr>
          <w:sz w:val="22"/>
          <w:szCs w:val="22"/>
        </w:rPr>
        <w:t>Kepenų nepakankamumas (įskaitant biliarinę kepenų cirozę ir nežinomos kilmės nuolatinį kepenų funkcijos sutrikimą).</w:t>
      </w:r>
    </w:p>
    <w:p w14:paraId="1877432F" w14:textId="77777777" w:rsidR="008001D5" w:rsidRPr="00D606FA" w:rsidRDefault="008001D5" w:rsidP="008001D5">
      <w:pPr>
        <w:numPr>
          <w:ilvl w:val="0"/>
          <w:numId w:val="5"/>
        </w:numPr>
        <w:tabs>
          <w:tab w:val="clear" w:pos="1077"/>
        </w:tabs>
        <w:ind w:left="540" w:hanging="540"/>
        <w:rPr>
          <w:sz w:val="22"/>
          <w:szCs w:val="22"/>
        </w:rPr>
      </w:pPr>
      <w:r w:rsidRPr="00D606FA">
        <w:rPr>
          <w:sz w:val="22"/>
          <w:szCs w:val="22"/>
        </w:rPr>
        <w:t>Nustatyta tulžies pūslės liga.</w:t>
      </w:r>
    </w:p>
    <w:p w14:paraId="32591E8B" w14:textId="77777777" w:rsidR="008001D5" w:rsidRPr="00D606FA" w:rsidRDefault="008001D5" w:rsidP="008001D5">
      <w:pPr>
        <w:numPr>
          <w:ilvl w:val="0"/>
          <w:numId w:val="5"/>
        </w:numPr>
        <w:tabs>
          <w:tab w:val="clear" w:pos="1077"/>
        </w:tabs>
        <w:ind w:left="540" w:hanging="540"/>
        <w:rPr>
          <w:sz w:val="22"/>
          <w:szCs w:val="22"/>
        </w:rPr>
      </w:pPr>
      <w:r w:rsidRPr="00D606FA">
        <w:rPr>
          <w:sz w:val="22"/>
          <w:szCs w:val="22"/>
        </w:rPr>
        <w:t>Sunkus inkstų funkcijos nepakankamumas (apskaičiuotas glomerulų filtracijos greitis &lt; 30 ml/min/1,73 m</w:t>
      </w:r>
      <w:r w:rsidRPr="00D606FA">
        <w:rPr>
          <w:sz w:val="22"/>
          <w:szCs w:val="22"/>
          <w:vertAlign w:val="superscript"/>
        </w:rPr>
        <w:t>2</w:t>
      </w:r>
      <w:r w:rsidRPr="00D606FA">
        <w:rPr>
          <w:sz w:val="22"/>
          <w:szCs w:val="22"/>
        </w:rPr>
        <w:t>).</w:t>
      </w:r>
    </w:p>
    <w:p w14:paraId="1FF58461" w14:textId="77777777" w:rsidR="008001D5" w:rsidRPr="00D606FA" w:rsidRDefault="008001D5" w:rsidP="008001D5">
      <w:pPr>
        <w:numPr>
          <w:ilvl w:val="0"/>
          <w:numId w:val="5"/>
        </w:numPr>
        <w:tabs>
          <w:tab w:val="clear" w:pos="1077"/>
        </w:tabs>
        <w:ind w:left="540" w:hanging="540"/>
        <w:rPr>
          <w:sz w:val="22"/>
          <w:szCs w:val="22"/>
        </w:rPr>
      </w:pPr>
      <w:r w:rsidRPr="00D606FA">
        <w:rPr>
          <w:sz w:val="22"/>
          <w:szCs w:val="22"/>
        </w:rPr>
        <w:t>Lėtinis arba ūminis pankreatitas, išskyrus ūminį pankreatitą dėl sunkios hipertrigliceridemijos.</w:t>
      </w:r>
    </w:p>
    <w:p w14:paraId="28E43476" w14:textId="77777777" w:rsidR="008001D5" w:rsidRPr="00D606FA" w:rsidRDefault="008001D5" w:rsidP="008001D5">
      <w:pPr>
        <w:numPr>
          <w:ilvl w:val="0"/>
          <w:numId w:val="5"/>
        </w:numPr>
        <w:tabs>
          <w:tab w:val="clear" w:pos="1077"/>
        </w:tabs>
        <w:ind w:left="540" w:hanging="540"/>
        <w:rPr>
          <w:sz w:val="22"/>
          <w:szCs w:val="22"/>
        </w:rPr>
      </w:pPr>
      <w:r w:rsidRPr="00D606FA">
        <w:rPr>
          <w:sz w:val="22"/>
          <w:szCs w:val="22"/>
        </w:rPr>
        <w:t>Nustatyta fotoalerginė arba fototoksinė reakcija gydymo fibratais arba ketoprofenu metu.</w:t>
      </w:r>
    </w:p>
    <w:p w14:paraId="55BD67AF" w14:textId="77777777" w:rsidR="008001D5" w:rsidRPr="00D606FA" w:rsidRDefault="008001D5" w:rsidP="008001D5">
      <w:pPr>
        <w:ind w:left="540" w:hanging="540"/>
        <w:rPr>
          <w:spacing w:val="-3"/>
          <w:sz w:val="22"/>
          <w:szCs w:val="22"/>
        </w:rPr>
      </w:pPr>
      <w:r w:rsidRPr="00D606FA">
        <w:rPr>
          <w:sz w:val="22"/>
          <w:szCs w:val="22"/>
        </w:rPr>
        <w:t xml:space="preserve"> </w:t>
      </w:r>
    </w:p>
    <w:p w14:paraId="5E3F9617" w14:textId="77777777" w:rsidR="008001D5" w:rsidRPr="00D606FA" w:rsidRDefault="008001D5" w:rsidP="00E33FE9">
      <w:pPr>
        <w:pStyle w:val="PI-2EMEASMCA"/>
      </w:pPr>
      <w:bookmarkStart w:id="19" w:name="_Toc129243105"/>
      <w:bookmarkStart w:id="20" w:name="_Toc129243230"/>
      <w:r w:rsidRPr="00D606FA">
        <w:t>4.4</w:t>
      </w:r>
      <w:r w:rsidRPr="00D606FA">
        <w:tab/>
        <w:t>Specialūs įspėjimai ir atsargumo priemonės</w:t>
      </w:r>
      <w:bookmarkEnd w:id="19"/>
      <w:bookmarkEnd w:id="20"/>
    </w:p>
    <w:p w14:paraId="486DD150" w14:textId="77777777" w:rsidR="008001D5" w:rsidRPr="00D606FA" w:rsidRDefault="008001D5" w:rsidP="00F17259">
      <w:pPr>
        <w:pStyle w:val="PI-2EMEASMCA"/>
      </w:pPr>
    </w:p>
    <w:p w14:paraId="3803C58D" w14:textId="77777777" w:rsidR="008001D5" w:rsidRPr="00D606FA" w:rsidRDefault="008001D5" w:rsidP="008001D5">
      <w:pPr>
        <w:rPr>
          <w:sz w:val="22"/>
          <w:szCs w:val="22"/>
          <w:u w:val="single"/>
        </w:rPr>
      </w:pPr>
      <w:r w:rsidRPr="00D606FA">
        <w:rPr>
          <w:sz w:val="22"/>
          <w:szCs w:val="22"/>
          <w:u w:val="single"/>
        </w:rPr>
        <w:t>Antrinės hiperlipidemijos priežastys</w:t>
      </w:r>
    </w:p>
    <w:p w14:paraId="03BE83C0" w14:textId="77777777" w:rsidR="008001D5" w:rsidRPr="00D606FA" w:rsidRDefault="008001D5" w:rsidP="008001D5">
      <w:pPr>
        <w:rPr>
          <w:sz w:val="22"/>
          <w:szCs w:val="22"/>
        </w:rPr>
      </w:pPr>
      <w:r w:rsidRPr="00D606FA">
        <w:rPr>
          <w:sz w:val="22"/>
          <w:szCs w:val="22"/>
        </w:rPr>
        <w:t>Antrinė</w:t>
      </w:r>
      <w:r>
        <w:rPr>
          <w:sz w:val="22"/>
          <w:szCs w:val="22"/>
        </w:rPr>
        <w:t>s</w:t>
      </w:r>
      <w:r w:rsidRPr="00D606FA">
        <w:rPr>
          <w:sz w:val="22"/>
          <w:szCs w:val="22"/>
        </w:rPr>
        <w:t xml:space="preserve"> hiperlipidemijos priežastis, tokia kaip nekontroliuojamas II tipo cukrinis diabetas, hipotirozė, nefrotinis sindromas, disproteinemija, obstrukcinė kepenų liga, farmakologinis gydymas, alkoholizmas, turi būti atitinkamai pašalinta prieš nusprendžiant gydyti fenofibratu. Hiperlipidemija sergantiems pacientams, vartojantiems estrogenų arba kontraceptikų, kurių sudėtyje yra estrogenų, reikėtų nustatyti, ar hiperlipidemijos priežastis yra pirminė, ar antrinė (lipidų koncentracijos padidėjimą gali sukelti geriamieji estrogenai).</w:t>
      </w:r>
    </w:p>
    <w:p w14:paraId="3ED101D7" w14:textId="77777777" w:rsidR="008001D5" w:rsidRPr="00D606FA" w:rsidRDefault="008001D5" w:rsidP="008001D5">
      <w:pPr>
        <w:rPr>
          <w:sz w:val="22"/>
          <w:szCs w:val="22"/>
        </w:rPr>
      </w:pPr>
    </w:p>
    <w:p w14:paraId="73406B92"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u w:val="single"/>
        </w:rPr>
      </w:pPr>
      <w:r w:rsidRPr="00D606FA">
        <w:rPr>
          <w:sz w:val="22"/>
          <w:szCs w:val="22"/>
          <w:u w:val="single"/>
        </w:rPr>
        <w:t>Inkstų pažeidimas</w:t>
      </w:r>
    </w:p>
    <w:p w14:paraId="096BB169" w14:textId="77777777" w:rsidR="008001D5" w:rsidRPr="00D606FA" w:rsidRDefault="008001D5" w:rsidP="008001D5">
      <w:pPr>
        <w:rPr>
          <w:sz w:val="22"/>
          <w:szCs w:val="22"/>
        </w:rPr>
      </w:pPr>
      <w:r w:rsidRPr="00D606FA">
        <w:rPr>
          <w:sz w:val="22"/>
          <w:szCs w:val="22"/>
        </w:rPr>
        <w:t>LIPANTHYL negalima vartoti, jei yra sunkus inkstų funkcijos sutrikimas (žr. 4.3 skyrių).</w:t>
      </w:r>
    </w:p>
    <w:p w14:paraId="0381B5E1" w14:textId="77777777" w:rsidR="008001D5" w:rsidRPr="00D606FA" w:rsidRDefault="008001D5" w:rsidP="008001D5">
      <w:pPr>
        <w:rPr>
          <w:sz w:val="22"/>
          <w:szCs w:val="22"/>
        </w:rPr>
      </w:pPr>
      <w:r w:rsidRPr="00D606FA">
        <w:rPr>
          <w:sz w:val="22"/>
          <w:szCs w:val="22"/>
        </w:rPr>
        <w:t>LIPANTHYL reikia vartoti atsargiai pacientams, kuriems yra nesunkus ar vidutinio sunkumo inkstų nepakankamumas. Pacientams, kurių apskaičiuotas glomerulų filtracijos greitis yra 30</w:t>
      </w:r>
      <w:r>
        <w:rPr>
          <w:sz w:val="22"/>
          <w:szCs w:val="22"/>
        </w:rPr>
        <w:noBreakHyphen/>
      </w:r>
      <w:r w:rsidRPr="00D606FA">
        <w:rPr>
          <w:sz w:val="22"/>
          <w:szCs w:val="22"/>
        </w:rPr>
        <w:t>59 ml/min/1,73 m</w:t>
      </w:r>
      <w:r w:rsidRPr="00D606FA">
        <w:rPr>
          <w:sz w:val="22"/>
          <w:szCs w:val="22"/>
          <w:vertAlign w:val="superscript"/>
        </w:rPr>
        <w:t>2</w:t>
      </w:r>
      <w:r w:rsidRPr="00D606FA">
        <w:rPr>
          <w:sz w:val="22"/>
          <w:szCs w:val="22"/>
        </w:rPr>
        <w:t>, reikia koreguoti dozę (žr. 4.2 skyrių).</w:t>
      </w:r>
    </w:p>
    <w:p w14:paraId="222B3D13" w14:textId="77777777" w:rsidR="008001D5" w:rsidRPr="00D606FA" w:rsidRDefault="008001D5" w:rsidP="008001D5">
      <w:pPr>
        <w:rPr>
          <w:sz w:val="22"/>
          <w:szCs w:val="22"/>
        </w:rPr>
      </w:pPr>
      <w:r w:rsidRPr="00D606FA">
        <w:rPr>
          <w:sz w:val="22"/>
          <w:szCs w:val="22"/>
        </w:rPr>
        <w:t>Gydant vien fenofibratu ar fenofibratą paskyrus vartoti kartu su statinais, pacientams yra pasitaikę laikino kreatinino koncentracijos serume padidėjimo atvejų. Padidėjęs kreatinino kiekis serume laikui bėgant paprastai išliko stabilus ir ilgalaikio gydymo atveju tolesnio jo didėjimo požymių nebuvo pastebėta. Nutraukus gydymą kreatinino kiekis serume tapdavo toks, koks buvo prieš gydymą.</w:t>
      </w:r>
    </w:p>
    <w:p w14:paraId="6FD2CE8D" w14:textId="77777777" w:rsidR="008001D5" w:rsidRPr="00D606FA" w:rsidRDefault="008001D5" w:rsidP="008001D5">
      <w:pPr>
        <w:rPr>
          <w:sz w:val="22"/>
          <w:szCs w:val="22"/>
        </w:rPr>
      </w:pPr>
      <w:r w:rsidRPr="00D606FA">
        <w:rPr>
          <w:sz w:val="22"/>
          <w:szCs w:val="22"/>
        </w:rPr>
        <w:t>Atliekant klinikinius tyrimus 10 % pacientų kreatinino kiekis padidėjo daugiau kaip 30 µmol/l, palyginti su pradine verte, kai jiems buvo skirta fenofibrato ir simvastatino terapija, ir 4,4 %, kai buvo vartojamas tik statinas. 0,3 % pacientų, vartojusių abu vaistinius preparatus, kreatinino kiekis padidėjo iki kliniškai reikšmingos &gt; 200 µmol/l vertės.</w:t>
      </w:r>
    </w:p>
    <w:p w14:paraId="054AF076" w14:textId="77777777" w:rsidR="008001D5" w:rsidRPr="00D606FA" w:rsidRDefault="008001D5" w:rsidP="008001D5">
      <w:pPr>
        <w:rPr>
          <w:sz w:val="22"/>
          <w:szCs w:val="22"/>
        </w:rPr>
      </w:pPr>
      <w:r w:rsidRPr="00D606FA">
        <w:rPr>
          <w:sz w:val="22"/>
          <w:szCs w:val="22"/>
        </w:rPr>
        <w:t>Gydymas turi būti sustabdytas, jei kreatinino koncentracija viršija viršutinę normos ribą</w:t>
      </w:r>
    </w:p>
    <w:p w14:paraId="26F78E73" w14:textId="77777777" w:rsidR="008001D5" w:rsidRPr="00D606FA" w:rsidRDefault="008001D5" w:rsidP="008001D5">
      <w:pPr>
        <w:rPr>
          <w:sz w:val="22"/>
          <w:szCs w:val="22"/>
        </w:rPr>
      </w:pPr>
      <w:r w:rsidRPr="00D606FA">
        <w:rPr>
          <w:sz w:val="22"/>
          <w:szCs w:val="22"/>
        </w:rPr>
        <w:t>daugiau kaip 50 %. Rekomenduojama kreatinino koncentraciją tikrinti per pirmuosius 3 gydymo</w:t>
      </w:r>
    </w:p>
    <w:p w14:paraId="0220925F" w14:textId="77777777" w:rsidR="008001D5" w:rsidRPr="00D606FA" w:rsidRDefault="008001D5" w:rsidP="008001D5">
      <w:pPr>
        <w:rPr>
          <w:sz w:val="22"/>
          <w:szCs w:val="22"/>
        </w:rPr>
      </w:pPr>
      <w:r w:rsidRPr="00D606FA">
        <w:rPr>
          <w:sz w:val="22"/>
          <w:szCs w:val="22"/>
        </w:rPr>
        <w:t>mėnesius ir periodiškai toliau gydant.</w:t>
      </w:r>
    </w:p>
    <w:p w14:paraId="369BE9A7" w14:textId="77777777" w:rsidR="008001D5" w:rsidRPr="00D606FA" w:rsidRDefault="008001D5" w:rsidP="008001D5">
      <w:pPr>
        <w:rPr>
          <w:sz w:val="22"/>
          <w:szCs w:val="22"/>
        </w:rPr>
      </w:pPr>
    </w:p>
    <w:p w14:paraId="165F8CC8" w14:textId="77777777" w:rsidR="008001D5" w:rsidRPr="00D606FA" w:rsidRDefault="008001D5" w:rsidP="008001D5">
      <w:pPr>
        <w:rPr>
          <w:sz w:val="22"/>
          <w:szCs w:val="22"/>
          <w:u w:val="single"/>
        </w:rPr>
      </w:pPr>
      <w:r w:rsidRPr="00D606FA">
        <w:rPr>
          <w:sz w:val="22"/>
          <w:szCs w:val="22"/>
          <w:u w:val="single"/>
        </w:rPr>
        <w:t>Kepenų funkcija</w:t>
      </w:r>
    </w:p>
    <w:p w14:paraId="6AA8885B" w14:textId="77777777" w:rsidR="008001D5" w:rsidRPr="00D606FA" w:rsidRDefault="008001D5" w:rsidP="008001D5">
      <w:pPr>
        <w:rPr>
          <w:sz w:val="22"/>
          <w:szCs w:val="22"/>
        </w:rPr>
      </w:pPr>
      <w:r w:rsidRPr="00D606FA">
        <w:rPr>
          <w:sz w:val="22"/>
          <w:szCs w:val="22"/>
        </w:rPr>
        <w:t>Kaip ir vartojant kitus lipidų koncentraciją mažinančius vaistinius preparatus, buvo pranešta apie transaminazės koncentracijos padidėjimą kai kuriems pacientams. Daugeliu atvejų šis transaminazės koncentracijos padidėjimas buvo laikinas, nedidelis ir besimptomis. Rekomenduojama pirmus 12</w:t>
      </w:r>
      <w:r>
        <w:rPr>
          <w:sz w:val="22"/>
          <w:szCs w:val="22"/>
        </w:rPr>
        <w:t> </w:t>
      </w:r>
      <w:r w:rsidRPr="00D606FA">
        <w:rPr>
          <w:sz w:val="22"/>
          <w:szCs w:val="22"/>
        </w:rPr>
        <w:t xml:space="preserve">gydymo mėnesių kas tris mėnesius, o vėliau reguliariai tikrinti transaminazių kiekį. Reikia atkreipti dėmesį į pacientus, kuriems padidėja transaminazės koncentracija ir, jei AST (aspartato </w:t>
      </w:r>
      <w:r w:rsidRPr="00D606FA">
        <w:rPr>
          <w:sz w:val="22"/>
          <w:szCs w:val="22"/>
        </w:rPr>
        <w:lastRenderedPageBreak/>
        <w:t xml:space="preserve">aminotransferazės) (SGOT - </w:t>
      </w:r>
      <w:r w:rsidRPr="00D606FA">
        <w:rPr>
          <w:rStyle w:val="Emfaz"/>
          <w:sz w:val="22"/>
          <w:szCs w:val="22"/>
        </w:rPr>
        <w:t>glutamo</w:t>
      </w:r>
      <w:r w:rsidRPr="00D606FA">
        <w:rPr>
          <w:rStyle w:val="st"/>
          <w:i/>
          <w:iCs/>
          <w:sz w:val="22"/>
          <w:szCs w:val="22"/>
        </w:rPr>
        <w:t xml:space="preserve"> </w:t>
      </w:r>
      <w:r w:rsidRPr="00D606FA">
        <w:rPr>
          <w:rStyle w:val="st"/>
          <w:sz w:val="22"/>
          <w:szCs w:val="22"/>
        </w:rPr>
        <w:t>oksalato serumo transaminazės</w:t>
      </w:r>
      <w:r w:rsidRPr="00D606FA">
        <w:rPr>
          <w:sz w:val="22"/>
          <w:szCs w:val="22"/>
        </w:rPr>
        <w:t xml:space="preserve">) ir ALT (alanino transaminazės) (SGPT - </w:t>
      </w:r>
      <w:r w:rsidRPr="00D606FA">
        <w:rPr>
          <w:rStyle w:val="st"/>
          <w:sz w:val="22"/>
          <w:szCs w:val="22"/>
        </w:rPr>
        <w:t>serumo glutamatpiruvattransaminazės</w:t>
      </w:r>
      <w:r w:rsidRPr="00D606FA">
        <w:rPr>
          <w:sz w:val="22"/>
          <w:szCs w:val="22"/>
        </w:rPr>
        <w:t>) kiekis padidėja ir daugiau nei 3</w:t>
      </w:r>
      <w:r>
        <w:rPr>
          <w:sz w:val="22"/>
          <w:szCs w:val="22"/>
        </w:rPr>
        <w:t> </w:t>
      </w:r>
      <w:r w:rsidRPr="00D606FA">
        <w:rPr>
          <w:sz w:val="22"/>
          <w:szCs w:val="22"/>
        </w:rPr>
        <w:t>kartus viršija įprastinę normą, gydymą reikia nutraukti. Pasireiškus hepatito simptomams (pvz., gelta, niežulys) ir diagnozę patvirtinus laboratoriniais tyrimais, gydymas fenofibratu</w:t>
      </w:r>
      <w:r w:rsidRPr="00D606FA" w:rsidDel="00601A41">
        <w:rPr>
          <w:sz w:val="22"/>
          <w:szCs w:val="22"/>
        </w:rPr>
        <w:t xml:space="preserve"> </w:t>
      </w:r>
      <w:r w:rsidRPr="00D606FA">
        <w:rPr>
          <w:sz w:val="22"/>
          <w:szCs w:val="22"/>
        </w:rPr>
        <w:t>turi būti nutrauktas.</w:t>
      </w:r>
    </w:p>
    <w:p w14:paraId="5E83F1A2"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06D9C73F" w14:textId="77777777" w:rsidR="008001D5" w:rsidRPr="00D606FA" w:rsidRDefault="008001D5" w:rsidP="008001D5">
      <w:pPr>
        <w:rPr>
          <w:i/>
          <w:iCs/>
          <w:sz w:val="22"/>
          <w:szCs w:val="22"/>
          <w:u w:val="single"/>
        </w:rPr>
      </w:pPr>
      <w:r w:rsidRPr="00D606FA">
        <w:rPr>
          <w:sz w:val="22"/>
          <w:szCs w:val="22"/>
          <w:u w:val="single"/>
        </w:rPr>
        <w:t>Kasa</w:t>
      </w:r>
    </w:p>
    <w:p w14:paraId="6BBD64DF" w14:textId="77777777" w:rsidR="008001D5" w:rsidRPr="00D606FA" w:rsidRDefault="008001D5" w:rsidP="008001D5">
      <w:pPr>
        <w:rPr>
          <w:color w:val="000000"/>
          <w:sz w:val="22"/>
          <w:szCs w:val="22"/>
        </w:rPr>
      </w:pPr>
      <w:r w:rsidRPr="00D606FA">
        <w:rPr>
          <w:sz w:val="22"/>
          <w:szCs w:val="22"/>
        </w:rPr>
        <w:t xml:space="preserve">Fenofibratą vartojantiems pacientams pasireiškė pankreatitas (žr. 4.3 ir 4.8 skyrių). Tai gali reikšti, kad vaistinis preparatas yra neefektyvus sunkia </w:t>
      </w:r>
      <w:r w:rsidRPr="00D606FA">
        <w:rPr>
          <w:color w:val="000000"/>
          <w:sz w:val="22"/>
          <w:szCs w:val="22"/>
        </w:rPr>
        <w:t xml:space="preserve">hipertrigliceridemija </w:t>
      </w:r>
      <w:r w:rsidRPr="00D606FA">
        <w:rPr>
          <w:sz w:val="22"/>
          <w:szCs w:val="22"/>
        </w:rPr>
        <w:t xml:space="preserve">sergantiems pacientams, </w:t>
      </w:r>
      <w:r w:rsidRPr="00D606FA">
        <w:rPr>
          <w:color w:val="000000"/>
          <w:sz w:val="22"/>
          <w:szCs w:val="22"/>
        </w:rPr>
        <w:t>arba gali reikšti tiesioginį vaistinio preparato poveikį arba papildomus simptomus dėl tulžies latako akmenligės arba nuosėdų formavimosi su bendrojo tulžies latako obstrukcija.</w:t>
      </w:r>
    </w:p>
    <w:p w14:paraId="5BD3A690" w14:textId="77777777" w:rsidR="008001D5" w:rsidRPr="00D606FA" w:rsidRDefault="008001D5" w:rsidP="008001D5">
      <w:pPr>
        <w:rPr>
          <w:color w:val="000000"/>
          <w:sz w:val="22"/>
          <w:szCs w:val="22"/>
        </w:rPr>
      </w:pPr>
    </w:p>
    <w:p w14:paraId="61A9BD59" w14:textId="77777777" w:rsidR="008001D5" w:rsidRPr="00D606FA" w:rsidRDefault="008001D5" w:rsidP="008001D5">
      <w:pPr>
        <w:rPr>
          <w:i/>
          <w:iCs/>
          <w:sz w:val="22"/>
          <w:szCs w:val="22"/>
          <w:u w:val="single"/>
        </w:rPr>
      </w:pPr>
      <w:r w:rsidRPr="00D606FA">
        <w:rPr>
          <w:i/>
          <w:iCs/>
          <w:sz w:val="22"/>
          <w:szCs w:val="22"/>
          <w:u w:val="single"/>
        </w:rPr>
        <w:t>Raumenys</w:t>
      </w:r>
    </w:p>
    <w:p w14:paraId="47D1F3C5" w14:textId="77777777" w:rsidR="008001D5" w:rsidRPr="00D606FA" w:rsidRDefault="008001D5" w:rsidP="008001D5">
      <w:pPr>
        <w:rPr>
          <w:sz w:val="22"/>
          <w:szCs w:val="22"/>
        </w:rPr>
      </w:pPr>
      <w:r w:rsidRPr="00D606FA">
        <w:rPr>
          <w:sz w:val="22"/>
          <w:szCs w:val="22"/>
        </w:rPr>
        <w:t>Vartojant fibratus ir kitas lipidų kiekį mažinančias medžiagas buvo stebimas raumenų toksiškumas, įskaitant retus rabdomiolizės atvejus su inkstų nepakankamumu arba be jo. Šių sutrikimų dažniau atsiranda pacientams, sergantiems hipoalbuminemija ir sirgusiems inkstų nepakankamumu.</w:t>
      </w:r>
    </w:p>
    <w:p w14:paraId="5C81B0BE" w14:textId="77777777" w:rsidR="008001D5" w:rsidRPr="00D606FA" w:rsidRDefault="008001D5" w:rsidP="008001D5">
      <w:pPr>
        <w:rPr>
          <w:color w:val="000000"/>
          <w:sz w:val="22"/>
          <w:szCs w:val="22"/>
        </w:rPr>
      </w:pPr>
    </w:p>
    <w:p w14:paraId="7666639A" w14:textId="77777777" w:rsidR="008001D5" w:rsidRPr="00D606FA" w:rsidRDefault="008001D5" w:rsidP="008001D5">
      <w:pPr>
        <w:rPr>
          <w:color w:val="000000"/>
          <w:sz w:val="22"/>
          <w:szCs w:val="22"/>
        </w:rPr>
      </w:pPr>
      <w:r w:rsidRPr="00D606FA">
        <w:rPr>
          <w:sz w:val="22"/>
          <w:szCs w:val="22"/>
        </w:rPr>
        <w:t xml:space="preserve">Pacientams, kurie turi polinkį į miopatiją ir (arba) </w:t>
      </w:r>
      <w:r w:rsidRPr="00D606FA">
        <w:rPr>
          <w:color w:val="000000"/>
          <w:sz w:val="22"/>
          <w:szCs w:val="22"/>
        </w:rPr>
        <w:t>rabdomiolizę, įskaitant vyresnius kaip 70</w:t>
      </w:r>
      <w:r>
        <w:rPr>
          <w:color w:val="000000"/>
          <w:sz w:val="22"/>
          <w:szCs w:val="22"/>
        </w:rPr>
        <w:t> </w:t>
      </w:r>
      <w:r w:rsidRPr="00D606FA">
        <w:rPr>
          <w:color w:val="000000"/>
          <w:sz w:val="22"/>
          <w:szCs w:val="22"/>
        </w:rPr>
        <w:t>metų pacientus, taip pat sirgus ar šeimoje pasitaikius paveldimų raumenų ligų, inkstų funkcijos sutrikimų, esant hipotiroidizmui, taip pat gausiai vartojantiems alkoholį pacientams yra padidėjusi susirgimo rabdomiolize rizika. Šiems pacientams skiriant gydymą fenofibratu reikia labai atidžiai įvertinti spėjamą jo naudą ir riziką.</w:t>
      </w:r>
    </w:p>
    <w:p w14:paraId="51081171" w14:textId="77777777" w:rsidR="008001D5" w:rsidRPr="00D606FA" w:rsidRDefault="008001D5" w:rsidP="008001D5">
      <w:pPr>
        <w:rPr>
          <w:color w:val="000000"/>
          <w:sz w:val="22"/>
          <w:szCs w:val="22"/>
        </w:rPr>
      </w:pPr>
    </w:p>
    <w:p w14:paraId="3D91F7B0" w14:textId="77777777" w:rsidR="008001D5" w:rsidRPr="00D606FA" w:rsidRDefault="008001D5" w:rsidP="008001D5">
      <w:pPr>
        <w:rPr>
          <w:color w:val="000000"/>
          <w:sz w:val="22"/>
          <w:szCs w:val="22"/>
        </w:rPr>
      </w:pPr>
      <w:r w:rsidRPr="00D606FA">
        <w:rPr>
          <w:sz w:val="22"/>
          <w:szCs w:val="22"/>
        </w:rPr>
        <w:t>Raumenų toksiškumą reikia įtarti, jeigu pacientams pasireiškia difuzinė mialgija, miozitas, raumenų mėšlungiai ir silpnumas ir (arba) pastebimas CPK kiekio padidėjimas (daugiau negu 5</w:t>
      </w:r>
      <w:r>
        <w:rPr>
          <w:sz w:val="22"/>
          <w:szCs w:val="22"/>
        </w:rPr>
        <w:t> </w:t>
      </w:r>
      <w:r w:rsidRPr="00D606FA">
        <w:rPr>
          <w:sz w:val="22"/>
          <w:szCs w:val="22"/>
        </w:rPr>
        <w:t>kartus viršijantis įprastinį lygį). Tokiais atvejais gydymą fenofibratu reikia nutraukti.</w:t>
      </w:r>
    </w:p>
    <w:p w14:paraId="23D7FA66" w14:textId="77777777" w:rsidR="008001D5" w:rsidRPr="00D606FA" w:rsidRDefault="008001D5" w:rsidP="008001D5">
      <w:pPr>
        <w:rPr>
          <w:color w:val="000000"/>
          <w:sz w:val="22"/>
          <w:szCs w:val="22"/>
        </w:rPr>
      </w:pPr>
    </w:p>
    <w:p w14:paraId="2FADDE44" w14:textId="77777777" w:rsidR="008001D5" w:rsidRPr="00D606FA" w:rsidRDefault="008001D5" w:rsidP="008001D5">
      <w:pPr>
        <w:rPr>
          <w:color w:val="000000"/>
          <w:sz w:val="22"/>
          <w:szCs w:val="22"/>
        </w:rPr>
      </w:pPr>
      <w:r w:rsidRPr="00D606FA">
        <w:rPr>
          <w:color w:val="000000"/>
          <w:sz w:val="22"/>
          <w:szCs w:val="22"/>
        </w:rPr>
        <w:t>Raumenų toksiškumo rizika gali padidėti vartojant vaistinį preparatą su kitu fibratu arba HMG-</w:t>
      </w:r>
      <w:r>
        <w:rPr>
          <w:color w:val="000000"/>
          <w:sz w:val="22"/>
          <w:szCs w:val="22"/>
        </w:rPr>
        <w:t>K</w:t>
      </w:r>
      <w:r w:rsidRPr="00D606FA">
        <w:rPr>
          <w:color w:val="000000"/>
          <w:sz w:val="22"/>
          <w:szCs w:val="22"/>
        </w:rPr>
        <w:t>oA reduktazės inhibitoriumi, ypač jei anksčiau buvo pasireiškusi raumenų liga.</w:t>
      </w:r>
      <w:r w:rsidRPr="00D606FA">
        <w:rPr>
          <w:sz w:val="22"/>
          <w:szCs w:val="22"/>
        </w:rPr>
        <w:t xml:space="preserve"> Todėl kartu skirti fenofibrato su HMG-</w:t>
      </w:r>
      <w:r>
        <w:rPr>
          <w:sz w:val="22"/>
          <w:szCs w:val="22"/>
        </w:rPr>
        <w:t>K</w:t>
      </w:r>
      <w:r w:rsidRPr="00D606FA">
        <w:rPr>
          <w:sz w:val="22"/>
          <w:szCs w:val="22"/>
        </w:rPr>
        <w:t>oA reduktazės inhibitorium ar kitu fibratu pacientams, sergantiems sunkia mišria dislipidemija, turintiems didelę širdies ir kraujagyslių ligų riziką bei niekada nesirgusiems raumenų ligomis, reikia atsargiai, atidžiai stebint, ar nepasireiškia galimas toksiškumas raumenims.</w:t>
      </w:r>
    </w:p>
    <w:p w14:paraId="3C34ADEC" w14:textId="77777777" w:rsidR="008001D5" w:rsidRPr="00D606FA" w:rsidRDefault="008001D5" w:rsidP="008001D5">
      <w:pPr>
        <w:rPr>
          <w:color w:val="000000"/>
          <w:sz w:val="22"/>
          <w:szCs w:val="22"/>
        </w:rPr>
      </w:pPr>
    </w:p>
    <w:p w14:paraId="4C00FAB2" w14:textId="77777777" w:rsidR="008001D5" w:rsidRDefault="008001D5" w:rsidP="008001D5">
      <w:pPr>
        <w:rPr>
          <w:color w:val="000000"/>
          <w:sz w:val="22"/>
          <w:szCs w:val="22"/>
          <w:u w:val="single"/>
        </w:rPr>
      </w:pPr>
      <w:r w:rsidRPr="00D606FA">
        <w:rPr>
          <w:color w:val="000000"/>
          <w:sz w:val="22"/>
          <w:szCs w:val="22"/>
          <w:u w:val="single"/>
        </w:rPr>
        <w:t>Pagalbinės medžiagos</w:t>
      </w:r>
    </w:p>
    <w:p w14:paraId="5C9E4ED6" w14:textId="77777777" w:rsidR="008001D5" w:rsidRPr="006B3DC6" w:rsidRDefault="008001D5" w:rsidP="008001D5">
      <w:pPr>
        <w:rPr>
          <w:i/>
          <w:color w:val="000000"/>
          <w:sz w:val="22"/>
          <w:szCs w:val="22"/>
          <w:u w:val="single"/>
        </w:rPr>
      </w:pPr>
      <w:r w:rsidRPr="006B3DC6">
        <w:rPr>
          <w:i/>
          <w:color w:val="000000"/>
          <w:sz w:val="22"/>
          <w:szCs w:val="22"/>
          <w:u w:val="single"/>
        </w:rPr>
        <w:t>Laktozė</w:t>
      </w:r>
    </w:p>
    <w:p w14:paraId="40434F38" w14:textId="77777777" w:rsidR="008001D5" w:rsidRDefault="008001D5" w:rsidP="008001D5">
      <w:pPr>
        <w:pStyle w:val="Pagrindinistekstas"/>
        <w:jc w:val="left"/>
        <w:rPr>
          <w:sz w:val="22"/>
          <w:szCs w:val="22"/>
        </w:rPr>
      </w:pPr>
      <w:r w:rsidRPr="00167742">
        <w:rPr>
          <w:sz w:val="22"/>
          <w:szCs w:val="22"/>
        </w:rPr>
        <w:t>Šio vaistinio preparato negalima</w:t>
      </w:r>
      <w:r>
        <w:rPr>
          <w:sz w:val="22"/>
          <w:szCs w:val="22"/>
        </w:rPr>
        <w:t xml:space="preserve"> </w:t>
      </w:r>
      <w:r w:rsidRPr="00167742">
        <w:rPr>
          <w:sz w:val="22"/>
          <w:szCs w:val="22"/>
        </w:rPr>
        <w:t>vartoti pacientams, kuriems nustatytas retas paveldimas</w:t>
      </w:r>
      <w:r>
        <w:rPr>
          <w:sz w:val="22"/>
          <w:szCs w:val="22"/>
        </w:rPr>
        <w:t xml:space="preserve"> </w:t>
      </w:r>
      <w:r w:rsidRPr="00167742">
        <w:rPr>
          <w:sz w:val="22"/>
          <w:szCs w:val="22"/>
        </w:rPr>
        <w:t>sutrikimas –  galaktozės</w:t>
      </w:r>
      <w:r>
        <w:rPr>
          <w:sz w:val="22"/>
          <w:szCs w:val="22"/>
        </w:rPr>
        <w:t xml:space="preserve"> </w:t>
      </w:r>
      <w:r w:rsidRPr="00167742">
        <w:rPr>
          <w:sz w:val="22"/>
          <w:szCs w:val="22"/>
        </w:rPr>
        <w:t xml:space="preserve">netoleravimas, </w:t>
      </w:r>
      <w:r>
        <w:rPr>
          <w:sz w:val="22"/>
          <w:szCs w:val="22"/>
        </w:rPr>
        <w:t xml:space="preserve">visiškas laktazės stygius </w:t>
      </w:r>
      <w:r w:rsidRPr="00167742">
        <w:rPr>
          <w:sz w:val="22"/>
          <w:szCs w:val="22"/>
        </w:rPr>
        <w:t xml:space="preserve"> arba gliukozės ir galaktozės</w:t>
      </w:r>
      <w:r>
        <w:rPr>
          <w:sz w:val="22"/>
          <w:szCs w:val="22"/>
        </w:rPr>
        <w:t xml:space="preserve"> </w:t>
      </w:r>
      <w:r w:rsidRPr="00167742">
        <w:rPr>
          <w:sz w:val="22"/>
          <w:szCs w:val="22"/>
        </w:rPr>
        <w:t>malabsorbcija.</w:t>
      </w:r>
    </w:p>
    <w:p w14:paraId="7142EB43" w14:textId="77777777" w:rsidR="008001D5" w:rsidRPr="006B3DC6" w:rsidRDefault="008001D5" w:rsidP="008001D5">
      <w:pPr>
        <w:pStyle w:val="Pagrindinistekstas"/>
        <w:jc w:val="left"/>
        <w:rPr>
          <w:i/>
          <w:sz w:val="22"/>
          <w:szCs w:val="22"/>
        </w:rPr>
      </w:pPr>
      <w:r w:rsidRPr="006B3DC6">
        <w:rPr>
          <w:i/>
          <w:sz w:val="22"/>
          <w:szCs w:val="22"/>
        </w:rPr>
        <w:t>Natris</w:t>
      </w:r>
    </w:p>
    <w:p w14:paraId="2F4853F7" w14:textId="77777777" w:rsidR="008001D5" w:rsidRPr="00D606FA" w:rsidRDefault="008001D5" w:rsidP="008001D5">
      <w:pPr>
        <w:pStyle w:val="Pagrindinistekstas"/>
        <w:rPr>
          <w:sz w:val="22"/>
          <w:szCs w:val="22"/>
        </w:rPr>
      </w:pPr>
      <w:r w:rsidRPr="00167742">
        <w:rPr>
          <w:sz w:val="22"/>
          <w:szCs w:val="22"/>
        </w:rPr>
        <w:t>Šio vaist</w:t>
      </w:r>
      <w:r>
        <w:rPr>
          <w:sz w:val="22"/>
          <w:szCs w:val="22"/>
        </w:rPr>
        <w:t>ini</w:t>
      </w:r>
      <w:r w:rsidRPr="00167742">
        <w:rPr>
          <w:sz w:val="22"/>
          <w:szCs w:val="22"/>
        </w:rPr>
        <w:t>o</w:t>
      </w:r>
      <w:r>
        <w:rPr>
          <w:sz w:val="22"/>
          <w:szCs w:val="22"/>
        </w:rPr>
        <w:t xml:space="preserve"> preparato kiekvienoje kapsulėje</w:t>
      </w:r>
      <w:r w:rsidRPr="00167742">
        <w:rPr>
          <w:sz w:val="22"/>
          <w:szCs w:val="22"/>
        </w:rPr>
        <w:t xml:space="preserve"> yra</w:t>
      </w:r>
      <w:r>
        <w:rPr>
          <w:sz w:val="22"/>
          <w:szCs w:val="22"/>
        </w:rPr>
        <w:t xml:space="preserve"> mažiau kaip 1 mmol (23 </w:t>
      </w:r>
      <w:r w:rsidRPr="00167742">
        <w:rPr>
          <w:sz w:val="22"/>
          <w:szCs w:val="22"/>
        </w:rPr>
        <w:t>mg) natrio, t.y. jis beveik</w:t>
      </w:r>
      <w:r>
        <w:rPr>
          <w:sz w:val="22"/>
          <w:szCs w:val="22"/>
        </w:rPr>
        <w:t xml:space="preserve"> </w:t>
      </w:r>
      <w:r w:rsidRPr="00167742">
        <w:rPr>
          <w:sz w:val="22"/>
          <w:szCs w:val="22"/>
        </w:rPr>
        <w:t>neturi reikšmės</w:t>
      </w:r>
      <w:r>
        <w:rPr>
          <w:sz w:val="22"/>
          <w:szCs w:val="22"/>
        </w:rPr>
        <w:t>.</w:t>
      </w:r>
    </w:p>
    <w:p w14:paraId="04C9F07E"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21BC95F" w14:textId="77777777" w:rsidR="008001D5" w:rsidRPr="00D606FA" w:rsidRDefault="008001D5" w:rsidP="00E33FE9">
      <w:pPr>
        <w:pStyle w:val="PI-2EMEASMCA"/>
      </w:pPr>
      <w:bookmarkStart w:id="21" w:name="_Toc129243106"/>
      <w:bookmarkStart w:id="22" w:name="_Toc129243231"/>
      <w:r w:rsidRPr="00D606FA">
        <w:t>4.5</w:t>
      </w:r>
      <w:r w:rsidRPr="00D606FA">
        <w:tab/>
        <w:t>Sąveika su kitais vaistiniais preparatais ir kitokia sąveika</w:t>
      </w:r>
      <w:bookmarkEnd w:id="21"/>
      <w:bookmarkEnd w:id="22"/>
    </w:p>
    <w:p w14:paraId="0F0912D0"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6A236C1C" w14:textId="77777777" w:rsidR="008001D5" w:rsidRPr="00D606FA" w:rsidRDefault="008001D5" w:rsidP="008001D5">
      <w:pPr>
        <w:pStyle w:val="Pagrindinistekstas"/>
        <w:jc w:val="left"/>
        <w:rPr>
          <w:sz w:val="22"/>
          <w:szCs w:val="22"/>
          <w:u w:val="single"/>
        </w:rPr>
      </w:pPr>
      <w:r w:rsidRPr="00D606FA">
        <w:rPr>
          <w:sz w:val="22"/>
          <w:szCs w:val="22"/>
          <w:u w:val="single"/>
        </w:rPr>
        <w:t>Geriamieji antikoaguliantai</w:t>
      </w:r>
    </w:p>
    <w:p w14:paraId="6BF75100" w14:textId="77777777" w:rsidR="008001D5" w:rsidRPr="00D606FA" w:rsidRDefault="008001D5" w:rsidP="008001D5">
      <w:pPr>
        <w:pStyle w:val="Pagrindinistekstas"/>
        <w:jc w:val="left"/>
        <w:rPr>
          <w:sz w:val="22"/>
          <w:szCs w:val="22"/>
        </w:rPr>
      </w:pPr>
      <w:r w:rsidRPr="00D606FA">
        <w:rPr>
          <w:sz w:val="22"/>
          <w:szCs w:val="22"/>
        </w:rPr>
        <w:t>Fenofibratas sustiprina geriamų antikoaguliantų poveikį, ir vartojant geriamuosius antikoaguliantus gali padidėti kraujavimo rizika. Pradedant gydymą fenofibratu rekomenduojama vienu trečdaliu sumažinti antikoaguliantų dozę ir vėliau esant reikalui palaipsniui ją koreguoti pagal TNS (Tarptautinį normalizuotą santykį – INR).</w:t>
      </w:r>
    </w:p>
    <w:p w14:paraId="09EB5D3F" w14:textId="77777777" w:rsidR="008001D5" w:rsidRPr="00D606FA" w:rsidRDefault="008001D5" w:rsidP="008001D5">
      <w:pPr>
        <w:pStyle w:val="Pagrindinistekstas"/>
        <w:jc w:val="left"/>
        <w:rPr>
          <w:sz w:val="22"/>
          <w:szCs w:val="22"/>
        </w:rPr>
      </w:pPr>
    </w:p>
    <w:p w14:paraId="2564F143" w14:textId="77777777" w:rsidR="008001D5" w:rsidRPr="00D606FA" w:rsidRDefault="008001D5" w:rsidP="008001D5">
      <w:pPr>
        <w:pStyle w:val="Pagrindinistekstas"/>
        <w:jc w:val="left"/>
        <w:rPr>
          <w:b/>
          <w:bCs/>
          <w:sz w:val="22"/>
          <w:szCs w:val="22"/>
        </w:rPr>
      </w:pPr>
      <w:r w:rsidRPr="00D606FA">
        <w:rPr>
          <w:sz w:val="22"/>
          <w:szCs w:val="22"/>
          <w:u w:val="single"/>
        </w:rPr>
        <w:t>Ciklosporinas</w:t>
      </w:r>
    </w:p>
    <w:p w14:paraId="2C8853BC" w14:textId="77777777" w:rsidR="008001D5" w:rsidRPr="00D606FA" w:rsidRDefault="008001D5" w:rsidP="008001D5">
      <w:pPr>
        <w:pStyle w:val="Pagrindinistekstas"/>
        <w:jc w:val="left"/>
        <w:rPr>
          <w:sz w:val="22"/>
          <w:szCs w:val="22"/>
        </w:rPr>
      </w:pPr>
      <w:r w:rsidRPr="00D606FA">
        <w:rPr>
          <w:sz w:val="22"/>
          <w:szCs w:val="22"/>
        </w:rPr>
        <w:t>Nustatyti keli sunkūs grįžtamieji inkstų funkcijos nepakankamumo atvejai, fenofibratą ir ciklosporiną vartojant kartu. Todėl šių pacientų inkstų funkciją reikia atidžiai stebėti ir nustačius didelius laboratorinių tyrimų rezultatų pokyčius gydymą nutraukti.</w:t>
      </w:r>
    </w:p>
    <w:p w14:paraId="05011636" w14:textId="77777777" w:rsidR="008001D5" w:rsidRPr="00D606FA" w:rsidRDefault="008001D5" w:rsidP="008001D5">
      <w:pPr>
        <w:pStyle w:val="Pagrindinistekstas"/>
        <w:jc w:val="left"/>
        <w:rPr>
          <w:sz w:val="22"/>
          <w:szCs w:val="22"/>
        </w:rPr>
      </w:pPr>
    </w:p>
    <w:p w14:paraId="15BDD0F7" w14:textId="77777777" w:rsidR="008001D5" w:rsidRPr="00D606FA" w:rsidRDefault="008001D5" w:rsidP="008001D5">
      <w:pPr>
        <w:pStyle w:val="Pagrindinistekstas"/>
        <w:jc w:val="left"/>
        <w:rPr>
          <w:sz w:val="22"/>
          <w:szCs w:val="22"/>
          <w:u w:val="single"/>
        </w:rPr>
      </w:pPr>
      <w:r w:rsidRPr="00D606FA">
        <w:rPr>
          <w:sz w:val="22"/>
          <w:szCs w:val="22"/>
          <w:u w:val="single"/>
        </w:rPr>
        <w:t xml:space="preserve">HMG </w:t>
      </w:r>
      <w:r>
        <w:rPr>
          <w:sz w:val="22"/>
          <w:szCs w:val="22"/>
          <w:u w:val="single"/>
        </w:rPr>
        <w:t>K</w:t>
      </w:r>
      <w:r w:rsidRPr="00D606FA">
        <w:rPr>
          <w:sz w:val="22"/>
          <w:szCs w:val="22"/>
          <w:u w:val="single"/>
        </w:rPr>
        <w:t>oA reduktazės inhibitoriai ir kiti fibratai</w:t>
      </w:r>
    </w:p>
    <w:p w14:paraId="2E0641D0" w14:textId="77777777" w:rsidR="008001D5" w:rsidRPr="00D606FA" w:rsidRDefault="008001D5" w:rsidP="008001D5">
      <w:pPr>
        <w:pStyle w:val="Pagrindinistekstas"/>
        <w:jc w:val="left"/>
        <w:rPr>
          <w:sz w:val="22"/>
          <w:szCs w:val="22"/>
        </w:rPr>
      </w:pPr>
      <w:r w:rsidRPr="00D606FA">
        <w:rPr>
          <w:sz w:val="22"/>
          <w:szCs w:val="22"/>
        </w:rPr>
        <w:t>Sunkaus raumenų toksiškumo rizika padidėja kartu vartojant fibratą ir HMG-</w:t>
      </w:r>
      <w:r>
        <w:rPr>
          <w:sz w:val="22"/>
          <w:szCs w:val="22"/>
        </w:rPr>
        <w:t>K</w:t>
      </w:r>
      <w:r w:rsidRPr="00D606FA">
        <w:rPr>
          <w:sz w:val="22"/>
          <w:szCs w:val="22"/>
        </w:rPr>
        <w:t>oA reduktazės inhibitoriumi ar kitu fibratu. Gydymą šiuo deriniu reikia skirti atsargiai</w:t>
      </w:r>
      <w:r>
        <w:rPr>
          <w:sz w:val="22"/>
          <w:szCs w:val="22"/>
        </w:rPr>
        <w:t>,</w:t>
      </w:r>
      <w:r w:rsidRPr="00D606FA">
        <w:rPr>
          <w:sz w:val="22"/>
          <w:szCs w:val="22"/>
        </w:rPr>
        <w:t xml:space="preserve"> atidžiai stebint pacientus dėl raumenų toksiškumo simptomų (žr. 4.4 skyrių).</w:t>
      </w:r>
    </w:p>
    <w:p w14:paraId="4117973D" w14:textId="77777777" w:rsidR="008001D5" w:rsidRPr="00D606FA" w:rsidRDefault="008001D5" w:rsidP="008001D5">
      <w:pPr>
        <w:pStyle w:val="Pagrindinistekstas"/>
        <w:jc w:val="left"/>
        <w:rPr>
          <w:sz w:val="22"/>
          <w:szCs w:val="22"/>
        </w:rPr>
      </w:pPr>
    </w:p>
    <w:p w14:paraId="4111CE5C" w14:textId="77777777" w:rsidR="008001D5" w:rsidRPr="00D606FA" w:rsidRDefault="008001D5" w:rsidP="008001D5">
      <w:pPr>
        <w:pStyle w:val="Pagrindinistekstas"/>
        <w:jc w:val="left"/>
        <w:rPr>
          <w:sz w:val="22"/>
          <w:szCs w:val="22"/>
          <w:u w:val="single"/>
        </w:rPr>
      </w:pPr>
      <w:r w:rsidRPr="00D606FA">
        <w:rPr>
          <w:sz w:val="22"/>
          <w:szCs w:val="22"/>
          <w:u w:val="single"/>
        </w:rPr>
        <w:t>Glitazonai</w:t>
      </w:r>
    </w:p>
    <w:p w14:paraId="63267909" w14:textId="77777777" w:rsidR="008001D5" w:rsidRPr="00D606FA" w:rsidRDefault="008001D5" w:rsidP="008001D5">
      <w:pPr>
        <w:pStyle w:val="Pagrindinistekstas"/>
        <w:jc w:val="left"/>
        <w:rPr>
          <w:sz w:val="22"/>
          <w:szCs w:val="22"/>
        </w:rPr>
      </w:pPr>
      <w:r w:rsidRPr="00D606FA">
        <w:rPr>
          <w:sz w:val="22"/>
          <w:szCs w:val="22"/>
        </w:rPr>
        <w:t>Fenofibratą ir glitazonus vartojant kartu, buvo pranešta apie grįžtamojo paradoksalaus DTL cholesterolio kiekio sumažėjimo atvejus. Todėl, pradedant vartoti šiuos preparatus kartu bei nutraukiant kurio nors iš jų vartojimą, rekomenduojama sekti DTL cholesterolio kiekį, kad DTL cholesterolio koncentracija nebūtų per maža.</w:t>
      </w:r>
    </w:p>
    <w:p w14:paraId="55FE3166" w14:textId="77777777" w:rsidR="008001D5" w:rsidRPr="00D606FA" w:rsidRDefault="008001D5" w:rsidP="008001D5">
      <w:pPr>
        <w:pStyle w:val="Pagrindinistekstas"/>
        <w:jc w:val="left"/>
        <w:rPr>
          <w:sz w:val="22"/>
          <w:szCs w:val="22"/>
        </w:rPr>
      </w:pPr>
    </w:p>
    <w:p w14:paraId="13B9FBCF" w14:textId="77777777" w:rsidR="008001D5" w:rsidRPr="00D606FA" w:rsidRDefault="008001D5" w:rsidP="008001D5">
      <w:pPr>
        <w:pStyle w:val="Pagrindinistekstas"/>
        <w:jc w:val="left"/>
        <w:rPr>
          <w:sz w:val="22"/>
          <w:szCs w:val="22"/>
          <w:u w:val="single"/>
        </w:rPr>
      </w:pPr>
      <w:r w:rsidRPr="00D606FA">
        <w:rPr>
          <w:sz w:val="22"/>
          <w:szCs w:val="22"/>
          <w:u w:val="single"/>
        </w:rPr>
        <w:t>Citochromo P450 fermentai</w:t>
      </w:r>
    </w:p>
    <w:p w14:paraId="60FE014C" w14:textId="77777777" w:rsidR="008001D5" w:rsidRPr="00D606FA" w:rsidRDefault="008001D5" w:rsidP="008001D5">
      <w:pPr>
        <w:pStyle w:val="Pagrindinistekstas"/>
        <w:jc w:val="left"/>
        <w:rPr>
          <w:sz w:val="22"/>
          <w:szCs w:val="22"/>
        </w:rPr>
      </w:pPr>
      <w:r w:rsidRPr="00D606FA">
        <w:rPr>
          <w:sz w:val="22"/>
          <w:szCs w:val="22"/>
        </w:rPr>
        <w:t xml:space="preserve">Tyrimai </w:t>
      </w:r>
      <w:r w:rsidRPr="00D606FA">
        <w:rPr>
          <w:i/>
          <w:iCs/>
          <w:sz w:val="22"/>
          <w:szCs w:val="22"/>
        </w:rPr>
        <w:t>in vitro</w:t>
      </w:r>
      <w:r w:rsidRPr="00D606FA">
        <w:rPr>
          <w:sz w:val="22"/>
          <w:szCs w:val="22"/>
        </w:rPr>
        <w:t>, naudojant žmogaus kepenų mikrosomas, parodė, kad fenofibratas ir fenofibrino rūgštis nėra citochromo (CYP) P450 izoformų CYP3A4, CYP2D6, CYP2E1 ar CYP1A2 inhibitoriai. Esant terapinėms koncentracijoms jie sukelia silpną CYP2C19 ir CYP2A6 bei nedidelio ar vidutinio laipsnio CYP2C9 inhibiciją.</w:t>
      </w:r>
    </w:p>
    <w:p w14:paraId="0B84BD4B" w14:textId="77777777" w:rsidR="008001D5" w:rsidRPr="00D606FA" w:rsidRDefault="008001D5" w:rsidP="008001D5">
      <w:pPr>
        <w:pStyle w:val="Pagrindinistekstas"/>
        <w:jc w:val="left"/>
        <w:rPr>
          <w:sz w:val="22"/>
          <w:szCs w:val="22"/>
        </w:rPr>
      </w:pPr>
    </w:p>
    <w:p w14:paraId="7E5EA34F" w14:textId="77777777" w:rsidR="008001D5" w:rsidRPr="00D606FA" w:rsidRDefault="008001D5" w:rsidP="008001D5">
      <w:pPr>
        <w:pStyle w:val="Pagrindinistekstas"/>
        <w:jc w:val="left"/>
        <w:rPr>
          <w:sz w:val="22"/>
          <w:szCs w:val="22"/>
        </w:rPr>
      </w:pPr>
      <w:r w:rsidRPr="00D606FA">
        <w:rPr>
          <w:sz w:val="22"/>
          <w:szCs w:val="22"/>
        </w:rPr>
        <w:t>Pacientus, vartojančius kartu fenofibratą ir CYP2C19, CYP2A6 bei ypač CYP2C9 metabolizuojamus vaistinius preparatus, kurių terapinis poveikis yra siauras, reikia atidžiai stebėti ir, jei būtina, koreguoti šių vaistinių preparatų dozę.</w:t>
      </w:r>
    </w:p>
    <w:p w14:paraId="0FAC0F54" w14:textId="77777777" w:rsidR="008001D5" w:rsidRPr="00D606FA" w:rsidRDefault="008001D5" w:rsidP="008001D5">
      <w:pPr>
        <w:pStyle w:val="Pagrindinistekstas"/>
        <w:jc w:val="left"/>
        <w:rPr>
          <w:sz w:val="22"/>
          <w:szCs w:val="22"/>
        </w:rPr>
      </w:pPr>
    </w:p>
    <w:p w14:paraId="56D4C648" w14:textId="77777777" w:rsidR="008001D5" w:rsidRPr="00D606FA" w:rsidRDefault="008001D5" w:rsidP="00E33FE9">
      <w:pPr>
        <w:pStyle w:val="PI-2EMEASMCA"/>
      </w:pPr>
      <w:bookmarkStart w:id="23" w:name="_Toc129243107"/>
      <w:bookmarkStart w:id="24" w:name="_Toc129243232"/>
      <w:r w:rsidRPr="00D606FA">
        <w:t>4.6</w:t>
      </w:r>
      <w:r w:rsidRPr="00D606FA">
        <w:tab/>
        <w:t>Vaisingumas, nėštumo ir žindymo laikotarpis</w:t>
      </w:r>
      <w:bookmarkEnd w:id="23"/>
      <w:bookmarkEnd w:id="24"/>
    </w:p>
    <w:p w14:paraId="3BC79DE9"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7401C0BE" w14:textId="77777777" w:rsidR="008001D5" w:rsidRPr="00D606FA" w:rsidRDefault="008001D5" w:rsidP="008001D5">
      <w:pPr>
        <w:rPr>
          <w:sz w:val="22"/>
          <w:szCs w:val="22"/>
          <w:u w:val="single"/>
        </w:rPr>
      </w:pPr>
      <w:r w:rsidRPr="00D606FA">
        <w:rPr>
          <w:sz w:val="22"/>
          <w:szCs w:val="22"/>
          <w:u w:val="single"/>
        </w:rPr>
        <w:t>Nėštumas</w:t>
      </w:r>
    </w:p>
    <w:p w14:paraId="024C35B5" w14:textId="77777777" w:rsidR="008001D5" w:rsidRPr="00D606FA" w:rsidRDefault="008001D5" w:rsidP="008001D5">
      <w:pPr>
        <w:rPr>
          <w:sz w:val="22"/>
          <w:szCs w:val="22"/>
        </w:rPr>
      </w:pPr>
      <w:r w:rsidRPr="00D606FA">
        <w:rPr>
          <w:sz w:val="22"/>
          <w:szCs w:val="22"/>
        </w:rPr>
        <w:t xml:space="preserve">Pakankamai duomenų apie fenofibrato vartojimą nėštumo metu nėra. Tyrimai su gyvūnais teratogeninio poveikio neparodė. </w:t>
      </w:r>
      <w:r w:rsidRPr="00D606FA">
        <w:rPr>
          <w:sz w:val="22"/>
          <w:szCs w:val="22"/>
          <w:lang w:eastAsia="lt-LT"/>
        </w:rPr>
        <w:t>Embriotoksinis poveikis išryškėja esant dozėms motinos toksiškumo diapazone (žr. 5.3 skyrių).</w:t>
      </w:r>
      <w:r w:rsidRPr="00D606FA">
        <w:rPr>
          <w:b/>
          <w:bCs/>
          <w:sz w:val="22"/>
          <w:szCs w:val="22"/>
        </w:rPr>
        <w:t xml:space="preserve"> </w:t>
      </w:r>
      <w:r w:rsidRPr="00D606FA">
        <w:rPr>
          <w:sz w:val="22"/>
          <w:szCs w:val="22"/>
        </w:rPr>
        <w:t>Galimas pavojus žmogui nežinomas. Nėštumo laikotarpiu LIPANTHYL 200</w:t>
      </w:r>
      <w:r>
        <w:rPr>
          <w:sz w:val="22"/>
          <w:szCs w:val="22"/>
        </w:rPr>
        <w:t> </w:t>
      </w:r>
      <w:r w:rsidRPr="00D606FA">
        <w:rPr>
          <w:sz w:val="22"/>
          <w:szCs w:val="22"/>
        </w:rPr>
        <w:t>mg galima vartoti tik tiksliai įvertinus vartojimo naudos ir rizikos santykį.</w:t>
      </w:r>
    </w:p>
    <w:p w14:paraId="40B51DD2" w14:textId="77777777" w:rsidR="008001D5" w:rsidRPr="00D606FA" w:rsidRDefault="008001D5" w:rsidP="008001D5">
      <w:pPr>
        <w:pStyle w:val="Pagrindinistekstas"/>
        <w:jc w:val="left"/>
        <w:rPr>
          <w:sz w:val="22"/>
          <w:szCs w:val="22"/>
        </w:rPr>
      </w:pPr>
    </w:p>
    <w:p w14:paraId="7F45DC8D" w14:textId="77777777" w:rsidR="008001D5" w:rsidRPr="00D606FA" w:rsidRDefault="008001D5" w:rsidP="008001D5">
      <w:pPr>
        <w:pStyle w:val="Pagrindinistekstas"/>
        <w:jc w:val="left"/>
        <w:rPr>
          <w:sz w:val="22"/>
          <w:szCs w:val="22"/>
          <w:u w:val="single"/>
        </w:rPr>
      </w:pPr>
      <w:r w:rsidRPr="00D606FA">
        <w:rPr>
          <w:sz w:val="22"/>
          <w:szCs w:val="22"/>
          <w:u w:val="single"/>
        </w:rPr>
        <w:t>Žindymo laikotarpis</w:t>
      </w:r>
    </w:p>
    <w:p w14:paraId="362B0735" w14:textId="77777777" w:rsidR="008001D5" w:rsidRPr="00D606FA" w:rsidRDefault="008001D5" w:rsidP="008001D5">
      <w:pPr>
        <w:tabs>
          <w:tab w:val="left" w:pos="0"/>
        </w:tabs>
        <w:suppressAutoHyphens/>
        <w:rPr>
          <w:rFonts w:eastAsia="SimSun"/>
          <w:color w:val="000000"/>
          <w:sz w:val="22"/>
          <w:szCs w:val="22"/>
          <w:lang w:eastAsia="zh-CN"/>
        </w:rPr>
      </w:pPr>
      <w:r w:rsidRPr="00D606FA">
        <w:rPr>
          <w:rFonts w:eastAsia="SimSun"/>
          <w:color w:val="000000"/>
          <w:sz w:val="22"/>
          <w:szCs w:val="22"/>
          <w:lang w:eastAsia="zh-CN"/>
        </w:rPr>
        <w:t>Nėra žinoma, ar fenofibrato ir (arba) jo metabolitų išsiskiria į motinos pieną. Negalima atmesti rizikos žindomam kūdikiui, todėl žindymo laikotarpiu fenofibrato vartoti negalima.</w:t>
      </w:r>
    </w:p>
    <w:p w14:paraId="2BC04B01" w14:textId="77777777" w:rsidR="008001D5" w:rsidRPr="00D606FA" w:rsidRDefault="008001D5" w:rsidP="008001D5">
      <w:pPr>
        <w:tabs>
          <w:tab w:val="left" w:pos="0"/>
        </w:tabs>
        <w:suppressAutoHyphens/>
        <w:rPr>
          <w:rFonts w:eastAsia="SimSun"/>
          <w:color w:val="000000"/>
          <w:sz w:val="22"/>
          <w:szCs w:val="22"/>
          <w:lang w:eastAsia="zh-CN"/>
        </w:rPr>
      </w:pPr>
    </w:p>
    <w:p w14:paraId="0B0A3B89" w14:textId="77777777" w:rsidR="008001D5" w:rsidRPr="00D606FA" w:rsidRDefault="008001D5" w:rsidP="008001D5">
      <w:pPr>
        <w:tabs>
          <w:tab w:val="left" w:pos="0"/>
        </w:tabs>
        <w:suppressAutoHyphens/>
        <w:rPr>
          <w:rFonts w:eastAsia="SimSun"/>
          <w:color w:val="000000"/>
          <w:sz w:val="22"/>
          <w:szCs w:val="22"/>
          <w:u w:val="single"/>
          <w:lang w:eastAsia="zh-CN"/>
        </w:rPr>
      </w:pPr>
      <w:r w:rsidRPr="00D606FA">
        <w:rPr>
          <w:rFonts w:eastAsia="SimSun"/>
          <w:color w:val="000000"/>
          <w:sz w:val="22"/>
          <w:szCs w:val="22"/>
          <w:u w:val="single"/>
          <w:lang w:eastAsia="zh-CN"/>
        </w:rPr>
        <w:t>Vaisingumas</w:t>
      </w:r>
    </w:p>
    <w:p w14:paraId="229AA5E7" w14:textId="77777777" w:rsidR="008001D5" w:rsidRPr="00D606FA" w:rsidRDefault="008001D5" w:rsidP="008001D5">
      <w:pPr>
        <w:tabs>
          <w:tab w:val="left" w:pos="0"/>
        </w:tabs>
        <w:suppressAutoHyphens/>
        <w:rPr>
          <w:rFonts w:eastAsia="SimSun"/>
          <w:color w:val="000000"/>
          <w:sz w:val="22"/>
          <w:szCs w:val="22"/>
          <w:lang w:eastAsia="zh-CN"/>
        </w:rPr>
      </w:pPr>
      <w:r w:rsidRPr="00D606FA">
        <w:rPr>
          <w:rFonts w:eastAsia="SimSun"/>
          <w:color w:val="000000"/>
          <w:sz w:val="22"/>
          <w:szCs w:val="22"/>
          <w:lang w:eastAsia="zh-CN"/>
        </w:rPr>
        <w:t>Atliekant tyrimus su gyvūnais pastebėtas laikinas poveikis vaisingumui (žr. 5.3 skyrių).</w:t>
      </w:r>
    </w:p>
    <w:p w14:paraId="21DB4C10" w14:textId="77777777" w:rsidR="008001D5" w:rsidRPr="00D606FA" w:rsidRDefault="008001D5" w:rsidP="008001D5">
      <w:pPr>
        <w:tabs>
          <w:tab w:val="left" w:pos="0"/>
        </w:tabs>
        <w:suppressAutoHyphens/>
        <w:rPr>
          <w:rFonts w:eastAsia="SimSun"/>
          <w:color w:val="000000"/>
          <w:sz w:val="22"/>
          <w:szCs w:val="22"/>
          <w:lang w:eastAsia="zh-CN"/>
        </w:rPr>
      </w:pPr>
      <w:r w:rsidRPr="00D606FA">
        <w:rPr>
          <w:rFonts w:eastAsia="SimSun"/>
          <w:color w:val="000000"/>
          <w:sz w:val="22"/>
          <w:szCs w:val="22"/>
          <w:lang w:eastAsia="zh-CN"/>
        </w:rPr>
        <w:t>Nėra klinikinių duomenų apie LIPANTHYL poveikį vaisingumui.</w:t>
      </w:r>
    </w:p>
    <w:p w14:paraId="7501BDAD" w14:textId="77777777" w:rsidR="008001D5" w:rsidRPr="00D606FA" w:rsidRDefault="008001D5" w:rsidP="008001D5">
      <w:pPr>
        <w:tabs>
          <w:tab w:val="left" w:pos="0"/>
        </w:tabs>
        <w:suppressAutoHyphens/>
        <w:rPr>
          <w:spacing w:val="-3"/>
          <w:sz w:val="22"/>
          <w:szCs w:val="22"/>
        </w:rPr>
      </w:pPr>
    </w:p>
    <w:p w14:paraId="5ED69B12" w14:textId="77777777" w:rsidR="008001D5" w:rsidRPr="00D606FA" w:rsidRDefault="008001D5" w:rsidP="00E33FE9">
      <w:pPr>
        <w:pStyle w:val="PI-2EMEASMCA"/>
      </w:pPr>
      <w:bookmarkStart w:id="25" w:name="_Toc129243108"/>
      <w:bookmarkStart w:id="26" w:name="_Toc129243233"/>
      <w:r w:rsidRPr="00D606FA">
        <w:t>4.7</w:t>
      </w:r>
      <w:r w:rsidRPr="00D606FA">
        <w:tab/>
        <w:t>Poveikis gebėjimui vairuoti ir valdyti mechanizmus</w:t>
      </w:r>
      <w:bookmarkEnd w:id="25"/>
      <w:bookmarkEnd w:id="26"/>
    </w:p>
    <w:p w14:paraId="6A07D9E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4A3E6C7F" w14:textId="77777777" w:rsidR="008001D5" w:rsidRPr="00D606FA" w:rsidRDefault="008001D5" w:rsidP="00E33FE9">
      <w:pPr>
        <w:pStyle w:val="BTEMEASMCADiagrama"/>
      </w:pPr>
      <w:r w:rsidRPr="00D606FA">
        <w:t>LIPANTHYL 200</w:t>
      </w:r>
      <w:r>
        <w:t> </w:t>
      </w:r>
      <w:r w:rsidRPr="00D606FA">
        <w:t>mg gebėjimo vairuoti ir valdyti mechanizmus neveikia arba veikia nereikšmingai.</w:t>
      </w:r>
    </w:p>
    <w:p w14:paraId="57D52338"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6B50871" w14:textId="3948641D" w:rsidR="008001D5" w:rsidRPr="00D606FA" w:rsidRDefault="008001D5" w:rsidP="00E33FE9">
      <w:pPr>
        <w:pStyle w:val="PI-2EMEASMCA"/>
      </w:pPr>
      <w:bookmarkStart w:id="27" w:name="_Toc129243109"/>
      <w:bookmarkStart w:id="28" w:name="_Toc129243234"/>
      <w:r w:rsidRPr="00D606FA">
        <w:t>4.8</w:t>
      </w:r>
      <w:r w:rsidRPr="00D606FA">
        <w:tab/>
      </w:r>
      <w:r w:rsidR="005E12E0">
        <w:t>Nepageidaujamas</w:t>
      </w:r>
      <w:r w:rsidRPr="00D606FA">
        <w:t xml:space="preserve"> poveikis</w:t>
      </w:r>
      <w:bookmarkEnd w:id="27"/>
      <w:bookmarkEnd w:id="28"/>
    </w:p>
    <w:p w14:paraId="0A119C83" w14:textId="77777777" w:rsidR="008001D5" w:rsidRPr="00D606FA" w:rsidRDefault="008001D5" w:rsidP="008001D5">
      <w:pPr>
        <w:rPr>
          <w:sz w:val="22"/>
          <w:szCs w:val="22"/>
        </w:rPr>
      </w:pPr>
    </w:p>
    <w:p w14:paraId="60AE0FAD" w14:textId="77777777" w:rsidR="008001D5" w:rsidRPr="00D606FA" w:rsidRDefault="008001D5" w:rsidP="008001D5">
      <w:pPr>
        <w:rPr>
          <w:sz w:val="22"/>
          <w:szCs w:val="22"/>
        </w:rPr>
      </w:pPr>
      <w:r w:rsidRPr="00D606FA">
        <w:rPr>
          <w:sz w:val="22"/>
          <w:szCs w:val="22"/>
        </w:rPr>
        <w:t>Gydymo fenofibratu metu dažniausiai pranešama apie šalutinį poveikį, pasireiškiantį virškinimo, skrandžio ar žarnyno veiklos sutrikimais.</w:t>
      </w:r>
    </w:p>
    <w:p w14:paraId="109C41A2" w14:textId="77777777" w:rsidR="008001D5" w:rsidRPr="00D606FA" w:rsidRDefault="008001D5" w:rsidP="008001D5">
      <w:pPr>
        <w:pStyle w:val="Paragraph"/>
        <w:spacing w:after="0"/>
        <w:rPr>
          <w:sz w:val="22"/>
          <w:szCs w:val="22"/>
          <w:lang w:eastAsia="fr-FR"/>
        </w:rPr>
      </w:pPr>
    </w:p>
    <w:p w14:paraId="558E98E6" w14:textId="77777777" w:rsidR="008001D5" w:rsidRPr="00D606FA" w:rsidRDefault="008001D5" w:rsidP="008001D5">
      <w:pPr>
        <w:rPr>
          <w:sz w:val="22"/>
          <w:szCs w:val="22"/>
        </w:rPr>
      </w:pPr>
      <w:r w:rsidRPr="00D606FA">
        <w:rPr>
          <w:sz w:val="22"/>
          <w:szCs w:val="22"/>
          <w:lang w:eastAsia="fr-FR"/>
        </w:rPr>
        <w:t>Placebu kontroliuojamų klinikinių tyrimų (n = 2344) metu buvo stebimas šis toliau išvardytas šalutinis poveikis, kurio dažnis taip pat nurodytas.</w:t>
      </w:r>
      <w:r w:rsidRPr="00D606FA">
        <w:rPr>
          <w:sz w:val="22"/>
          <w:szCs w:val="22"/>
        </w:rPr>
        <w:t xml:space="preserve"> </w:t>
      </w:r>
    </w:p>
    <w:p w14:paraId="5A8CA078" w14:textId="77777777" w:rsidR="008001D5" w:rsidRPr="00D606FA" w:rsidRDefault="008001D5" w:rsidP="008001D5">
      <w:pPr>
        <w:pStyle w:val="Pagrindinistekstas"/>
        <w:rPr>
          <w:sz w:val="22"/>
          <w:szCs w:val="22"/>
        </w:rPr>
      </w:pPr>
    </w:p>
    <w:tbl>
      <w:tblPr>
        <w:tblW w:w="95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27"/>
        <w:gridCol w:w="2126"/>
        <w:gridCol w:w="1843"/>
        <w:gridCol w:w="1640"/>
      </w:tblGrid>
      <w:tr w:rsidR="008001D5" w:rsidRPr="00D606FA" w14:paraId="259EB2AF" w14:textId="77777777" w:rsidTr="00860F50">
        <w:tc>
          <w:tcPr>
            <w:tcW w:w="1809" w:type="dxa"/>
            <w:vAlign w:val="center"/>
          </w:tcPr>
          <w:p w14:paraId="5FF51187"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r w:rsidRPr="00D606FA">
              <w:rPr>
                <w:rFonts w:ascii="Times New Roman" w:hAnsi="Times New Roman" w:cs="Times New Roman"/>
                <w:b/>
                <w:bCs/>
                <w:sz w:val="22"/>
                <w:szCs w:val="22"/>
                <w:lang w:val="lt-LT"/>
              </w:rPr>
              <w:br w:type="page"/>
              <w:t>MedDRA organų sistemų klasė</w:t>
            </w:r>
          </w:p>
        </w:tc>
        <w:tc>
          <w:tcPr>
            <w:tcW w:w="2127" w:type="dxa"/>
            <w:vAlign w:val="center"/>
          </w:tcPr>
          <w:p w14:paraId="57AE647F"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r w:rsidRPr="00D606FA">
              <w:rPr>
                <w:rFonts w:ascii="Times New Roman" w:hAnsi="Times New Roman" w:cs="Times New Roman"/>
                <w:b/>
                <w:bCs/>
                <w:sz w:val="22"/>
                <w:szCs w:val="22"/>
                <w:lang w:val="lt-LT"/>
              </w:rPr>
              <w:t>Dažni &gt;1/100, &lt; 1/10</w:t>
            </w:r>
          </w:p>
        </w:tc>
        <w:tc>
          <w:tcPr>
            <w:tcW w:w="2126" w:type="dxa"/>
            <w:vAlign w:val="center"/>
          </w:tcPr>
          <w:p w14:paraId="58525106"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r w:rsidRPr="00D606FA">
              <w:rPr>
                <w:rFonts w:ascii="Times New Roman" w:hAnsi="Times New Roman" w:cs="Times New Roman"/>
                <w:b/>
                <w:bCs/>
                <w:sz w:val="22"/>
                <w:szCs w:val="22"/>
                <w:lang w:val="lt-LT"/>
              </w:rPr>
              <w:t>Nedažni ≥1/1000, &lt;1/100</w:t>
            </w:r>
          </w:p>
        </w:tc>
        <w:tc>
          <w:tcPr>
            <w:tcW w:w="1843" w:type="dxa"/>
            <w:vAlign w:val="center"/>
          </w:tcPr>
          <w:p w14:paraId="68FB3ACE"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r w:rsidRPr="00D606FA">
              <w:rPr>
                <w:rFonts w:ascii="Times New Roman" w:hAnsi="Times New Roman" w:cs="Times New Roman"/>
                <w:b/>
                <w:bCs/>
                <w:sz w:val="22"/>
                <w:szCs w:val="22"/>
                <w:lang w:val="lt-LT"/>
              </w:rPr>
              <w:t>Reti ≥1/10 000, &lt; 1/1000</w:t>
            </w:r>
          </w:p>
        </w:tc>
        <w:tc>
          <w:tcPr>
            <w:tcW w:w="1640" w:type="dxa"/>
            <w:vAlign w:val="center"/>
          </w:tcPr>
          <w:p w14:paraId="090BD2B2"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r w:rsidRPr="00D606FA">
              <w:rPr>
                <w:rFonts w:ascii="Times New Roman" w:hAnsi="Times New Roman" w:cs="Times New Roman"/>
                <w:b/>
                <w:bCs/>
                <w:sz w:val="22"/>
                <w:szCs w:val="22"/>
                <w:lang w:val="lt-LT"/>
              </w:rPr>
              <w:t>Labai reti &lt; 1/10 000, įskaitant pavienius pranešimus</w:t>
            </w:r>
          </w:p>
        </w:tc>
      </w:tr>
      <w:tr w:rsidR="008001D5" w:rsidRPr="00D606FA" w14:paraId="17B6A97C" w14:textId="77777777" w:rsidTr="00860F50">
        <w:tc>
          <w:tcPr>
            <w:tcW w:w="1809" w:type="dxa"/>
            <w:vAlign w:val="center"/>
          </w:tcPr>
          <w:p w14:paraId="5439AA02" w14:textId="77777777" w:rsidR="008001D5" w:rsidRPr="00D606FA" w:rsidRDefault="008001D5" w:rsidP="00860F50">
            <w:pPr>
              <w:pStyle w:val="tabg0"/>
              <w:spacing w:before="0" w:after="0" w:line="240" w:lineRule="auto"/>
              <w:jc w:val="left"/>
              <w:rPr>
                <w:rFonts w:ascii="Times New Roman" w:hAnsi="Times New Roman" w:cs="Times New Roman"/>
                <w:b/>
                <w:bCs/>
                <w:strike/>
                <w:sz w:val="22"/>
                <w:szCs w:val="22"/>
                <w:lang w:val="lt-LT"/>
              </w:rPr>
            </w:pPr>
            <w:r w:rsidRPr="00D606FA">
              <w:rPr>
                <w:rFonts w:ascii="Times New Roman" w:hAnsi="Times New Roman" w:cs="Times New Roman"/>
                <w:b/>
                <w:bCs/>
                <w:spacing w:val="2"/>
                <w:sz w:val="22"/>
                <w:szCs w:val="22"/>
                <w:lang w:val="lt-LT"/>
              </w:rPr>
              <w:t>Kraujo ir limfinės sistemos sutrikimai</w:t>
            </w:r>
          </w:p>
        </w:tc>
        <w:tc>
          <w:tcPr>
            <w:tcW w:w="2127" w:type="dxa"/>
            <w:vAlign w:val="center"/>
          </w:tcPr>
          <w:p w14:paraId="433BDEAD"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c>
          <w:tcPr>
            <w:tcW w:w="2126" w:type="dxa"/>
            <w:vAlign w:val="center"/>
          </w:tcPr>
          <w:p w14:paraId="6ADA656B"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c>
          <w:tcPr>
            <w:tcW w:w="1843" w:type="dxa"/>
            <w:vAlign w:val="center"/>
          </w:tcPr>
          <w:p w14:paraId="57719A27"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Sumažėjęs hemoglobino kiekis</w:t>
            </w:r>
          </w:p>
          <w:p w14:paraId="3C33B3BE"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r w:rsidRPr="00D606FA">
              <w:rPr>
                <w:rFonts w:ascii="Times New Roman" w:hAnsi="Times New Roman" w:cs="Times New Roman"/>
                <w:sz w:val="22"/>
                <w:szCs w:val="22"/>
                <w:lang w:val="lt-LT"/>
              </w:rPr>
              <w:t xml:space="preserve">Sumažėjęs baltųjų kraujo kūnelių kiekis </w:t>
            </w:r>
          </w:p>
        </w:tc>
        <w:tc>
          <w:tcPr>
            <w:tcW w:w="1640" w:type="dxa"/>
            <w:vAlign w:val="center"/>
          </w:tcPr>
          <w:p w14:paraId="2683573E"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p>
        </w:tc>
      </w:tr>
      <w:tr w:rsidR="008001D5" w:rsidRPr="00D606FA" w14:paraId="1BCD1B3B" w14:textId="77777777" w:rsidTr="00860F50">
        <w:tc>
          <w:tcPr>
            <w:tcW w:w="1809" w:type="dxa"/>
            <w:vAlign w:val="center"/>
          </w:tcPr>
          <w:p w14:paraId="5590CA38" w14:textId="77777777" w:rsidR="008001D5" w:rsidRPr="00D606FA" w:rsidRDefault="008001D5" w:rsidP="00860F50">
            <w:pPr>
              <w:suppressAutoHyphens/>
              <w:rPr>
                <w:b/>
                <w:bCs/>
                <w:spacing w:val="2"/>
                <w:sz w:val="22"/>
                <w:szCs w:val="22"/>
              </w:rPr>
            </w:pPr>
            <w:r w:rsidRPr="00D606FA">
              <w:rPr>
                <w:b/>
                <w:bCs/>
                <w:spacing w:val="2"/>
                <w:sz w:val="22"/>
                <w:szCs w:val="22"/>
              </w:rPr>
              <w:lastRenderedPageBreak/>
              <w:t>Imuninės sistemos sutrikimai</w:t>
            </w:r>
          </w:p>
        </w:tc>
        <w:tc>
          <w:tcPr>
            <w:tcW w:w="2127" w:type="dxa"/>
            <w:vAlign w:val="center"/>
          </w:tcPr>
          <w:p w14:paraId="2EAAADD2" w14:textId="77777777" w:rsidR="008001D5" w:rsidRPr="00D606FA" w:rsidRDefault="008001D5" w:rsidP="00860F50">
            <w:pPr>
              <w:pStyle w:val="tabg0"/>
              <w:spacing w:before="0" w:after="0" w:line="240" w:lineRule="auto"/>
              <w:jc w:val="left"/>
              <w:rPr>
                <w:rFonts w:ascii="Times New Roman" w:hAnsi="Times New Roman" w:cs="Times New Roman"/>
                <w:b/>
                <w:bCs/>
                <w:i/>
                <w:iCs/>
                <w:strike/>
                <w:sz w:val="22"/>
                <w:szCs w:val="22"/>
                <w:lang w:val="lt-LT"/>
              </w:rPr>
            </w:pPr>
          </w:p>
        </w:tc>
        <w:tc>
          <w:tcPr>
            <w:tcW w:w="2126" w:type="dxa"/>
            <w:vAlign w:val="center"/>
          </w:tcPr>
          <w:p w14:paraId="64DB2535" w14:textId="77777777" w:rsidR="008001D5" w:rsidRPr="00D606FA" w:rsidRDefault="008001D5" w:rsidP="00860F50">
            <w:pPr>
              <w:pStyle w:val="tabg0"/>
              <w:spacing w:before="0" w:after="0" w:line="240" w:lineRule="auto"/>
              <w:jc w:val="left"/>
              <w:rPr>
                <w:rFonts w:ascii="Times New Roman" w:hAnsi="Times New Roman" w:cs="Times New Roman"/>
                <w:b/>
                <w:bCs/>
                <w:i/>
                <w:iCs/>
                <w:strike/>
                <w:sz w:val="22"/>
                <w:szCs w:val="22"/>
                <w:lang w:val="lt-LT"/>
              </w:rPr>
            </w:pPr>
          </w:p>
        </w:tc>
        <w:tc>
          <w:tcPr>
            <w:tcW w:w="1843" w:type="dxa"/>
            <w:vAlign w:val="center"/>
          </w:tcPr>
          <w:p w14:paraId="462F4CE0"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r w:rsidRPr="00D606FA">
              <w:rPr>
                <w:rFonts w:ascii="Times New Roman" w:hAnsi="Times New Roman" w:cs="Times New Roman"/>
                <w:sz w:val="22"/>
                <w:szCs w:val="22"/>
                <w:lang w:val="lt-LT"/>
              </w:rPr>
              <w:t>Padidėjęs jautrumas</w:t>
            </w:r>
          </w:p>
        </w:tc>
        <w:tc>
          <w:tcPr>
            <w:tcW w:w="1640" w:type="dxa"/>
            <w:vAlign w:val="center"/>
          </w:tcPr>
          <w:p w14:paraId="1FA5196D"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r>
      <w:tr w:rsidR="008001D5" w:rsidRPr="00D606FA" w14:paraId="0A14E23C" w14:textId="77777777" w:rsidTr="00860F50">
        <w:tc>
          <w:tcPr>
            <w:tcW w:w="1809" w:type="dxa"/>
            <w:vAlign w:val="center"/>
          </w:tcPr>
          <w:p w14:paraId="269A557E" w14:textId="77777777" w:rsidR="008001D5" w:rsidRPr="00D606FA" w:rsidRDefault="008001D5" w:rsidP="00860F50">
            <w:pPr>
              <w:suppressAutoHyphens/>
              <w:rPr>
                <w:b/>
                <w:bCs/>
                <w:sz w:val="22"/>
                <w:szCs w:val="22"/>
              </w:rPr>
            </w:pPr>
            <w:r w:rsidRPr="00D606FA">
              <w:rPr>
                <w:b/>
                <w:bCs/>
                <w:sz w:val="22"/>
                <w:szCs w:val="22"/>
              </w:rPr>
              <w:t xml:space="preserve">Nervų sistemos sutrikimai </w:t>
            </w:r>
          </w:p>
        </w:tc>
        <w:tc>
          <w:tcPr>
            <w:tcW w:w="2127" w:type="dxa"/>
            <w:vAlign w:val="center"/>
          </w:tcPr>
          <w:p w14:paraId="09CE78F3"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2126" w:type="dxa"/>
            <w:vAlign w:val="center"/>
          </w:tcPr>
          <w:p w14:paraId="5102C244"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Galvos skausmas</w:t>
            </w:r>
          </w:p>
        </w:tc>
        <w:tc>
          <w:tcPr>
            <w:tcW w:w="1843" w:type="dxa"/>
            <w:vAlign w:val="center"/>
          </w:tcPr>
          <w:p w14:paraId="71E3892F"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1640" w:type="dxa"/>
            <w:vAlign w:val="center"/>
          </w:tcPr>
          <w:p w14:paraId="4112D226"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p>
        </w:tc>
      </w:tr>
      <w:tr w:rsidR="008001D5" w:rsidRPr="00D606FA" w14:paraId="55C90F4E" w14:textId="77777777" w:rsidTr="00860F50">
        <w:tc>
          <w:tcPr>
            <w:tcW w:w="1809" w:type="dxa"/>
            <w:vAlign w:val="center"/>
          </w:tcPr>
          <w:p w14:paraId="5E37D6E3" w14:textId="77777777" w:rsidR="008001D5" w:rsidRPr="00D606FA" w:rsidRDefault="008001D5" w:rsidP="00860F50">
            <w:pPr>
              <w:rPr>
                <w:sz w:val="22"/>
                <w:szCs w:val="22"/>
              </w:rPr>
            </w:pPr>
            <w:r w:rsidRPr="00D606FA">
              <w:rPr>
                <w:b/>
                <w:bCs/>
                <w:sz w:val="22"/>
                <w:szCs w:val="22"/>
              </w:rPr>
              <w:t>Kraujagyslių sutrikimai</w:t>
            </w:r>
          </w:p>
        </w:tc>
        <w:tc>
          <w:tcPr>
            <w:tcW w:w="2127" w:type="dxa"/>
            <w:vAlign w:val="center"/>
          </w:tcPr>
          <w:p w14:paraId="1F3B9A0F"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2126" w:type="dxa"/>
            <w:vAlign w:val="center"/>
          </w:tcPr>
          <w:p w14:paraId="4C91F1E3"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Tromboembolija (plaučių embolija, giliųjų venų trombozė)*</w:t>
            </w:r>
          </w:p>
        </w:tc>
        <w:tc>
          <w:tcPr>
            <w:tcW w:w="1843" w:type="dxa"/>
            <w:vAlign w:val="center"/>
          </w:tcPr>
          <w:p w14:paraId="15F97366"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1640" w:type="dxa"/>
            <w:vAlign w:val="center"/>
          </w:tcPr>
          <w:p w14:paraId="1DCCD30B"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p>
        </w:tc>
      </w:tr>
      <w:tr w:rsidR="008001D5" w:rsidRPr="00D606FA" w14:paraId="39C002A5" w14:textId="77777777" w:rsidTr="00860F50">
        <w:tc>
          <w:tcPr>
            <w:tcW w:w="1809" w:type="dxa"/>
            <w:vAlign w:val="center"/>
          </w:tcPr>
          <w:p w14:paraId="1D5D1A06" w14:textId="77777777" w:rsidR="008001D5" w:rsidRPr="00D606FA" w:rsidRDefault="008001D5" w:rsidP="00860F50">
            <w:pPr>
              <w:rPr>
                <w:sz w:val="22"/>
                <w:szCs w:val="22"/>
              </w:rPr>
            </w:pPr>
            <w:r w:rsidRPr="00D606FA">
              <w:rPr>
                <w:b/>
                <w:bCs/>
                <w:sz w:val="22"/>
                <w:szCs w:val="22"/>
              </w:rPr>
              <w:t>Virškinimo trakto sutrikimai</w:t>
            </w:r>
          </w:p>
        </w:tc>
        <w:tc>
          <w:tcPr>
            <w:tcW w:w="2127" w:type="dxa"/>
            <w:vAlign w:val="center"/>
          </w:tcPr>
          <w:p w14:paraId="17BC273B"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 xml:space="preserve">Virškinimo trakto sutrikimo požymiai ir simptomai (pilvo skausmas, pykinimas, vėmimas, viduriavimas, vidurių pūtimas) </w:t>
            </w:r>
          </w:p>
        </w:tc>
        <w:tc>
          <w:tcPr>
            <w:tcW w:w="2126" w:type="dxa"/>
            <w:vAlign w:val="center"/>
          </w:tcPr>
          <w:p w14:paraId="2839CE1D"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Pankreatitas*</w:t>
            </w:r>
          </w:p>
        </w:tc>
        <w:tc>
          <w:tcPr>
            <w:tcW w:w="1843" w:type="dxa"/>
            <w:vAlign w:val="center"/>
          </w:tcPr>
          <w:p w14:paraId="4CA4F38B"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1640" w:type="dxa"/>
            <w:vAlign w:val="center"/>
          </w:tcPr>
          <w:p w14:paraId="6F20007F"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r>
      <w:tr w:rsidR="008001D5" w:rsidRPr="00D606FA" w14:paraId="2633FF6A" w14:textId="77777777" w:rsidTr="00860F50">
        <w:tc>
          <w:tcPr>
            <w:tcW w:w="1809" w:type="dxa"/>
            <w:vAlign w:val="center"/>
          </w:tcPr>
          <w:p w14:paraId="16324D2F" w14:textId="77777777" w:rsidR="008001D5" w:rsidRPr="00D606FA" w:rsidRDefault="008001D5" w:rsidP="00860F50">
            <w:pPr>
              <w:rPr>
                <w:b/>
                <w:bCs/>
                <w:sz w:val="22"/>
                <w:szCs w:val="22"/>
              </w:rPr>
            </w:pPr>
            <w:r w:rsidRPr="00D606FA">
              <w:rPr>
                <w:b/>
                <w:bCs/>
                <w:sz w:val="22"/>
                <w:szCs w:val="22"/>
              </w:rPr>
              <w:t>Kepenų, tulžies pūslės ir latakų sutrikimai</w:t>
            </w:r>
          </w:p>
        </w:tc>
        <w:tc>
          <w:tcPr>
            <w:tcW w:w="2127" w:type="dxa"/>
            <w:vAlign w:val="center"/>
          </w:tcPr>
          <w:p w14:paraId="22C7C45D"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Transaminazių kiekio padidėjimas (žr. 4.4 skyrių)</w:t>
            </w:r>
            <w:r w:rsidRPr="00D606FA" w:rsidDel="00DB3E64">
              <w:rPr>
                <w:rFonts w:ascii="Times New Roman" w:hAnsi="Times New Roman" w:cs="Times New Roman"/>
                <w:sz w:val="22"/>
                <w:szCs w:val="22"/>
                <w:lang w:val="lt-LT"/>
              </w:rPr>
              <w:t xml:space="preserve"> </w:t>
            </w:r>
          </w:p>
        </w:tc>
        <w:tc>
          <w:tcPr>
            <w:tcW w:w="2126" w:type="dxa"/>
            <w:vAlign w:val="center"/>
          </w:tcPr>
          <w:p w14:paraId="64C4F7C7"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r w:rsidRPr="00D606FA">
              <w:rPr>
                <w:rFonts w:ascii="Times New Roman" w:hAnsi="Times New Roman" w:cs="Times New Roman"/>
                <w:sz w:val="22"/>
                <w:szCs w:val="22"/>
                <w:lang w:val="lt-LT"/>
              </w:rPr>
              <w:t>Cholelitiazė</w:t>
            </w:r>
          </w:p>
          <w:p w14:paraId="73627EE2"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bookmarkStart w:id="29" w:name="OLE_LINK6"/>
            <w:bookmarkStart w:id="30" w:name="OLE_LINK7"/>
            <w:r w:rsidRPr="00D606FA">
              <w:rPr>
                <w:rFonts w:ascii="Times New Roman" w:hAnsi="Times New Roman" w:cs="Times New Roman"/>
                <w:sz w:val="22"/>
                <w:szCs w:val="22"/>
                <w:lang w:val="lt-LT"/>
              </w:rPr>
              <w:t>(žr. 4.4 skyrių)</w:t>
            </w:r>
            <w:bookmarkEnd w:id="29"/>
            <w:bookmarkEnd w:id="30"/>
          </w:p>
        </w:tc>
        <w:tc>
          <w:tcPr>
            <w:tcW w:w="1843" w:type="dxa"/>
            <w:vAlign w:val="center"/>
          </w:tcPr>
          <w:p w14:paraId="24AA8C07"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 xml:space="preserve">Kepenų uždegimas </w:t>
            </w:r>
          </w:p>
        </w:tc>
        <w:tc>
          <w:tcPr>
            <w:tcW w:w="1640" w:type="dxa"/>
            <w:vAlign w:val="center"/>
          </w:tcPr>
          <w:p w14:paraId="3DCABFFC"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r>
      <w:tr w:rsidR="008001D5" w:rsidRPr="00D606FA" w14:paraId="4731C191" w14:textId="77777777" w:rsidTr="00860F50">
        <w:tc>
          <w:tcPr>
            <w:tcW w:w="1809" w:type="dxa"/>
            <w:vAlign w:val="center"/>
          </w:tcPr>
          <w:p w14:paraId="33DA4952" w14:textId="77777777" w:rsidR="008001D5" w:rsidRPr="00D606FA" w:rsidRDefault="008001D5" w:rsidP="00860F50">
            <w:pPr>
              <w:rPr>
                <w:b/>
                <w:bCs/>
                <w:sz w:val="22"/>
                <w:szCs w:val="22"/>
              </w:rPr>
            </w:pPr>
            <w:r w:rsidRPr="00D606FA">
              <w:rPr>
                <w:b/>
                <w:bCs/>
                <w:sz w:val="22"/>
                <w:szCs w:val="22"/>
              </w:rPr>
              <w:t>Odos ir poodinio audinio sutrikimai</w:t>
            </w:r>
          </w:p>
        </w:tc>
        <w:tc>
          <w:tcPr>
            <w:tcW w:w="2127" w:type="dxa"/>
            <w:vAlign w:val="center"/>
          </w:tcPr>
          <w:p w14:paraId="583B9106"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2126" w:type="dxa"/>
            <w:vAlign w:val="center"/>
          </w:tcPr>
          <w:p w14:paraId="003782E7"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Padidėjęs odos jautrumas (pvz., bėrimai, niežėjimas, dilgėlinė)</w:t>
            </w:r>
          </w:p>
        </w:tc>
        <w:tc>
          <w:tcPr>
            <w:tcW w:w="1843" w:type="dxa"/>
            <w:vAlign w:val="center"/>
          </w:tcPr>
          <w:p w14:paraId="6CA584B9"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Alopecija</w:t>
            </w:r>
          </w:p>
          <w:p w14:paraId="24E19EE0"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Fotosensibilizacijos reakcijos</w:t>
            </w:r>
          </w:p>
        </w:tc>
        <w:tc>
          <w:tcPr>
            <w:tcW w:w="1640" w:type="dxa"/>
            <w:vAlign w:val="center"/>
          </w:tcPr>
          <w:p w14:paraId="7E98CE5D"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r>
      <w:tr w:rsidR="008001D5" w:rsidRPr="00D606FA" w14:paraId="2B35A4D7" w14:textId="77777777" w:rsidTr="00860F50">
        <w:tc>
          <w:tcPr>
            <w:tcW w:w="1809" w:type="dxa"/>
            <w:vAlign w:val="center"/>
          </w:tcPr>
          <w:p w14:paraId="5ADBB436" w14:textId="77777777" w:rsidR="008001D5" w:rsidRPr="00D606FA" w:rsidRDefault="008001D5" w:rsidP="00860F50">
            <w:pPr>
              <w:rPr>
                <w:b/>
                <w:bCs/>
                <w:sz w:val="22"/>
                <w:szCs w:val="22"/>
              </w:rPr>
            </w:pPr>
            <w:r w:rsidRPr="00D606FA">
              <w:rPr>
                <w:b/>
                <w:bCs/>
                <w:sz w:val="22"/>
                <w:szCs w:val="22"/>
              </w:rPr>
              <w:t>Skeleto, raumenų ir jungiamojo audinio sutrikimai</w:t>
            </w:r>
          </w:p>
        </w:tc>
        <w:tc>
          <w:tcPr>
            <w:tcW w:w="2127" w:type="dxa"/>
            <w:vAlign w:val="center"/>
          </w:tcPr>
          <w:p w14:paraId="399D61F8"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p>
        </w:tc>
        <w:tc>
          <w:tcPr>
            <w:tcW w:w="2126" w:type="dxa"/>
            <w:vAlign w:val="center"/>
          </w:tcPr>
          <w:p w14:paraId="65C44594"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Raumenų sutrikimas (pvz., mialgija, miozitas, raumenų spazmai ir silpnumas)</w:t>
            </w:r>
          </w:p>
        </w:tc>
        <w:tc>
          <w:tcPr>
            <w:tcW w:w="1843" w:type="dxa"/>
            <w:vAlign w:val="center"/>
          </w:tcPr>
          <w:p w14:paraId="35AE1A7B"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trike/>
                <w:sz w:val="22"/>
                <w:szCs w:val="22"/>
                <w:lang w:val="lt-LT"/>
              </w:rPr>
              <w:t xml:space="preserve"> </w:t>
            </w:r>
          </w:p>
        </w:tc>
        <w:tc>
          <w:tcPr>
            <w:tcW w:w="1640" w:type="dxa"/>
            <w:vAlign w:val="center"/>
          </w:tcPr>
          <w:p w14:paraId="733AA0BF"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r>
      <w:tr w:rsidR="008001D5" w:rsidRPr="00D606FA" w14:paraId="5A0CFCA9" w14:textId="77777777" w:rsidTr="00860F50">
        <w:tc>
          <w:tcPr>
            <w:tcW w:w="1809" w:type="dxa"/>
            <w:vAlign w:val="center"/>
          </w:tcPr>
          <w:p w14:paraId="4401A3D9" w14:textId="77777777" w:rsidR="008001D5" w:rsidRPr="00D606FA" w:rsidRDefault="008001D5" w:rsidP="00860F50">
            <w:pPr>
              <w:suppressAutoHyphens/>
              <w:rPr>
                <w:b/>
                <w:bCs/>
                <w:sz w:val="22"/>
                <w:szCs w:val="22"/>
              </w:rPr>
            </w:pPr>
            <w:r w:rsidRPr="00D606FA">
              <w:rPr>
                <w:b/>
                <w:bCs/>
                <w:sz w:val="22"/>
                <w:szCs w:val="22"/>
              </w:rPr>
              <w:t xml:space="preserve">Lytinės sistemos ir krūties sutrikimai </w:t>
            </w:r>
          </w:p>
        </w:tc>
        <w:tc>
          <w:tcPr>
            <w:tcW w:w="2127" w:type="dxa"/>
            <w:vAlign w:val="center"/>
          </w:tcPr>
          <w:p w14:paraId="0DF78A36"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p>
        </w:tc>
        <w:tc>
          <w:tcPr>
            <w:tcW w:w="2126" w:type="dxa"/>
            <w:vAlign w:val="center"/>
          </w:tcPr>
          <w:p w14:paraId="6C7DECF1"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Lytinė disfunkcija</w:t>
            </w:r>
          </w:p>
        </w:tc>
        <w:tc>
          <w:tcPr>
            <w:tcW w:w="1843" w:type="dxa"/>
            <w:vAlign w:val="center"/>
          </w:tcPr>
          <w:p w14:paraId="35F7C3A6"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p>
        </w:tc>
        <w:tc>
          <w:tcPr>
            <w:tcW w:w="1640" w:type="dxa"/>
            <w:vAlign w:val="center"/>
          </w:tcPr>
          <w:p w14:paraId="7D1998EF"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r>
      <w:tr w:rsidR="008001D5" w:rsidRPr="00D606FA" w14:paraId="7DC4B025" w14:textId="77777777" w:rsidTr="00860F50">
        <w:tc>
          <w:tcPr>
            <w:tcW w:w="1809" w:type="dxa"/>
            <w:vAlign w:val="center"/>
          </w:tcPr>
          <w:p w14:paraId="3F45D8B4" w14:textId="77777777" w:rsidR="008001D5" w:rsidRPr="00D606FA" w:rsidRDefault="008001D5" w:rsidP="00860F50">
            <w:pPr>
              <w:rPr>
                <w:sz w:val="22"/>
                <w:szCs w:val="22"/>
              </w:rPr>
            </w:pPr>
            <w:r w:rsidRPr="00D606FA">
              <w:rPr>
                <w:b/>
                <w:bCs/>
                <w:sz w:val="22"/>
                <w:szCs w:val="22"/>
              </w:rPr>
              <w:t>Tyrimai</w:t>
            </w:r>
          </w:p>
        </w:tc>
        <w:tc>
          <w:tcPr>
            <w:tcW w:w="2127" w:type="dxa"/>
            <w:vAlign w:val="center"/>
          </w:tcPr>
          <w:p w14:paraId="75974E26" w14:textId="77777777" w:rsidR="008001D5" w:rsidRPr="00D606FA" w:rsidRDefault="008001D5" w:rsidP="00860F50">
            <w:pPr>
              <w:pStyle w:val="tabg0"/>
              <w:spacing w:before="0" w:after="0" w:line="240" w:lineRule="auto"/>
              <w:jc w:val="left"/>
              <w:rPr>
                <w:rFonts w:ascii="Times New Roman" w:hAnsi="Times New Roman" w:cs="Times New Roman"/>
                <w:b/>
                <w:bCs/>
                <w:sz w:val="22"/>
                <w:szCs w:val="22"/>
                <w:lang w:val="lt-LT"/>
              </w:rPr>
            </w:pPr>
            <w:r w:rsidRPr="00D606FA">
              <w:rPr>
                <w:rFonts w:ascii="Times New Roman" w:hAnsi="Times New Roman" w:cs="Times New Roman"/>
                <w:sz w:val="22"/>
                <w:szCs w:val="22"/>
                <w:lang w:val="lt-LT"/>
              </w:rPr>
              <w:t>Padidėjęs homocisteino kiekis**</w:t>
            </w:r>
          </w:p>
        </w:tc>
        <w:tc>
          <w:tcPr>
            <w:tcW w:w="2126" w:type="dxa"/>
            <w:vAlign w:val="center"/>
          </w:tcPr>
          <w:p w14:paraId="489E0310"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Padidėjęs kreatinino kiekis kraujyje</w:t>
            </w:r>
          </w:p>
        </w:tc>
        <w:tc>
          <w:tcPr>
            <w:tcW w:w="1843" w:type="dxa"/>
            <w:vAlign w:val="center"/>
          </w:tcPr>
          <w:p w14:paraId="70E84F02" w14:textId="77777777" w:rsidR="008001D5" w:rsidRPr="00D606FA" w:rsidRDefault="008001D5" w:rsidP="00860F50">
            <w:pPr>
              <w:pStyle w:val="tabg0"/>
              <w:spacing w:before="0" w:after="0" w:line="240" w:lineRule="auto"/>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Padidėjęs šlapalo kiekis kraujyje</w:t>
            </w:r>
          </w:p>
        </w:tc>
        <w:tc>
          <w:tcPr>
            <w:tcW w:w="1640" w:type="dxa"/>
            <w:vAlign w:val="center"/>
          </w:tcPr>
          <w:p w14:paraId="1B2BE389" w14:textId="77777777" w:rsidR="008001D5" w:rsidRPr="00D606FA" w:rsidRDefault="008001D5" w:rsidP="00860F50">
            <w:pPr>
              <w:pStyle w:val="tabg0"/>
              <w:spacing w:before="0" w:after="0" w:line="240" w:lineRule="auto"/>
              <w:jc w:val="left"/>
              <w:rPr>
                <w:rFonts w:ascii="Times New Roman" w:hAnsi="Times New Roman" w:cs="Times New Roman"/>
                <w:strike/>
                <w:sz w:val="22"/>
                <w:szCs w:val="22"/>
                <w:lang w:val="lt-LT"/>
              </w:rPr>
            </w:pPr>
          </w:p>
        </w:tc>
      </w:tr>
    </w:tbl>
    <w:p w14:paraId="7DA6702D" w14:textId="77777777" w:rsidR="008001D5" w:rsidRPr="00D606FA" w:rsidRDefault="008001D5" w:rsidP="008001D5">
      <w:pPr>
        <w:pStyle w:val="Pagrindinistekstas"/>
        <w:jc w:val="left"/>
        <w:rPr>
          <w:sz w:val="22"/>
          <w:szCs w:val="22"/>
        </w:rPr>
      </w:pPr>
    </w:p>
    <w:p w14:paraId="752A6E8C" w14:textId="77777777" w:rsidR="008001D5" w:rsidRPr="00D606FA" w:rsidRDefault="008001D5" w:rsidP="008001D5">
      <w:pPr>
        <w:pStyle w:val="Pagrindinistekstas"/>
        <w:jc w:val="left"/>
        <w:rPr>
          <w:sz w:val="22"/>
          <w:szCs w:val="22"/>
        </w:rPr>
      </w:pPr>
      <w:r w:rsidRPr="00D606FA">
        <w:rPr>
          <w:sz w:val="22"/>
          <w:szCs w:val="22"/>
        </w:rPr>
        <w:t xml:space="preserve">* Atsitiktinių imčių placebu kontroliuojamo FIELD </w:t>
      </w:r>
      <w:r w:rsidRPr="00D606FA">
        <w:rPr>
          <w:i/>
          <w:iCs/>
          <w:sz w:val="22"/>
          <w:szCs w:val="22"/>
        </w:rPr>
        <w:t xml:space="preserve">(angl. Fenofibrate Intervention in Event Lowering in Diabetes) </w:t>
      </w:r>
      <w:r w:rsidRPr="00D606FA">
        <w:rPr>
          <w:sz w:val="22"/>
          <w:szCs w:val="22"/>
        </w:rPr>
        <w:t>tyrimo, atlikto su 9795 pacientais, sergančiais II tipo cukriniu diabetu, metu pacientams, vartojantiems fenofibratą, buvo stebimas statistiškai reikšmingas pankreatito atvejų skaičiaus padidėjimas, palyginti su placebą vartojančiais pacientais, (0,8 % palyginti</w:t>
      </w:r>
      <w:r w:rsidRPr="00D606FA" w:rsidDel="0054089A">
        <w:rPr>
          <w:sz w:val="22"/>
          <w:szCs w:val="22"/>
        </w:rPr>
        <w:t xml:space="preserve"> </w:t>
      </w:r>
      <w:r w:rsidRPr="00D606FA">
        <w:rPr>
          <w:sz w:val="22"/>
          <w:szCs w:val="22"/>
        </w:rPr>
        <w:t>su 0,5 %; p = 0,031). To paties tyrimo metu buvo pranešta apie statistiškai reikšmingą plaučių embolijos atvejų skaičiaus padidėjimą (0,7 % placebo grupėje, palyginti</w:t>
      </w:r>
      <w:r w:rsidRPr="00D606FA" w:rsidDel="0054089A">
        <w:rPr>
          <w:sz w:val="22"/>
          <w:szCs w:val="22"/>
        </w:rPr>
        <w:t xml:space="preserve"> </w:t>
      </w:r>
      <w:r w:rsidRPr="00D606FA">
        <w:rPr>
          <w:sz w:val="22"/>
          <w:szCs w:val="22"/>
        </w:rPr>
        <w:t>su 1,1 % fenofibrato grupėje; p = 0,022) ir statistiškai nereikšmingą giliųjų venų trombozės atvejų skaičiaus padidėjimą (placebo grupė: 1 % [48 iš 4900 pacientų], palyginti</w:t>
      </w:r>
      <w:r w:rsidRPr="00D606FA" w:rsidDel="0054089A">
        <w:rPr>
          <w:sz w:val="22"/>
          <w:szCs w:val="22"/>
        </w:rPr>
        <w:t xml:space="preserve"> </w:t>
      </w:r>
      <w:r w:rsidRPr="00D606FA">
        <w:rPr>
          <w:sz w:val="22"/>
          <w:szCs w:val="22"/>
        </w:rPr>
        <w:t>su 1,4 % fenofibrato grupėje [67 iš 4895 pacientų]; p = 0,074).</w:t>
      </w:r>
    </w:p>
    <w:p w14:paraId="77DFE8F7" w14:textId="77777777" w:rsidR="008001D5" w:rsidRPr="00D606FA" w:rsidRDefault="008001D5" w:rsidP="008001D5">
      <w:pPr>
        <w:pStyle w:val="Pagrindinistekstas"/>
        <w:jc w:val="left"/>
        <w:rPr>
          <w:sz w:val="22"/>
          <w:szCs w:val="22"/>
        </w:rPr>
      </w:pPr>
    </w:p>
    <w:p w14:paraId="63F95286" w14:textId="77777777" w:rsidR="008001D5" w:rsidRPr="00D606FA" w:rsidRDefault="008001D5" w:rsidP="008001D5">
      <w:pPr>
        <w:pStyle w:val="Pagrindinistekstas"/>
        <w:rPr>
          <w:sz w:val="22"/>
          <w:szCs w:val="22"/>
        </w:rPr>
      </w:pPr>
      <w:r w:rsidRPr="00D606FA">
        <w:rPr>
          <w:sz w:val="22"/>
          <w:szCs w:val="22"/>
        </w:rPr>
        <w:t>** Atliekant FIELD tyrimą fenofibratu gydomiems pacientams homocisteino kiekis kraujyje</w:t>
      </w:r>
    </w:p>
    <w:p w14:paraId="6EDFD630" w14:textId="77777777" w:rsidR="008001D5" w:rsidRPr="00D606FA" w:rsidRDefault="008001D5" w:rsidP="008001D5">
      <w:pPr>
        <w:pStyle w:val="Pagrindinistekstas"/>
        <w:jc w:val="left"/>
        <w:rPr>
          <w:sz w:val="22"/>
          <w:szCs w:val="22"/>
        </w:rPr>
      </w:pPr>
      <w:r w:rsidRPr="00D606FA">
        <w:rPr>
          <w:sz w:val="22"/>
          <w:szCs w:val="22"/>
        </w:rPr>
        <w:t>vidutiniškai padidėjo 6,5 µmol/l, o nutraukus gydymą grįžo į pradinį lygį. Padidėjusi venų trombozės reiškinių rizika gali būti susijusi su padidėjusiu homocisteino kiekiu. Klinikinė šio reiškinio reikšmė neaiški.</w:t>
      </w:r>
    </w:p>
    <w:p w14:paraId="1C28E4C7" w14:textId="77777777" w:rsidR="008001D5" w:rsidRPr="00D606FA" w:rsidRDefault="008001D5" w:rsidP="008001D5">
      <w:pPr>
        <w:pStyle w:val="Pagrindinistekstas"/>
        <w:jc w:val="left"/>
        <w:rPr>
          <w:sz w:val="22"/>
          <w:szCs w:val="22"/>
        </w:rPr>
      </w:pPr>
    </w:p>
    <w:p w14:paraId="67DD6B26" w14:textId="77777777" w:rsidR="008001D5" w:rsidRPr="00D606FA" w:rsidRDefault="008001D5" w:rsidP="008001D5">
      <w:pPr>
        <w:pStyle w:val="Pagrindinistekstas"/>
        <w:jc w:val="left"/>
        <w:rPr>
          <w:sz w:val="22"/>
          <w:szCs w:val="22"/>
        </w:rPr>
      </w:pPr>
      <w:r w:rsidRPr="00D606FA">
        <w:rPr>
          <w:sz w:val="22"/>
          <w:szCs w:val="22"/>
        </w:rPr>
        <w:t xml:space="preserve">Papildomai, be šalutinio poveikio, apie kurį buvo pranešama klinikinių tyrimų metu, buvo gauta pranešimų apie išvardytus šalutinius poveikius po to, kai LIPANTHYL pateko į rinką. Tikslus dažnis negali būti įvertintas pagal turimus duomenis ir yra klasifikuojamas taip: „dažnis nežinomas”. </w:t>
      </w:r>
    </w:p>
    <w:p w14:paraId="34648E3C" w14:textId="77777777" w:rsidR="008001D5" w:rsidRPr="00D606FA" w:rsidRDefault="008001D5" w:rsidP="008001D5">
      <w:pPr>
        <w:rPr>
          <w:b/>
          <w:bCs/>
          <w:sz w:val="22"/>
          <w:szCs w:val="22"/>
        </w:rPr>
      </w:pPr>
      <w:r w:rsidRPr="00D606FA">
        <w:rPr>
          <w:sz w:val="22"/>
          <w:szCs w:val="22"/>
          <w:u w:val="single"/>
        </w:rPr>
        <w:t>Kvėpavimo sistemos, krūtinės ląstos ir tarpuplaučio sutrikimai:</w:t>
      </w:r>
      <w:r w:rsidRPr="00D606FA">
        <w:rPr>
          <w:sz w:val="22"/>
          <w:szCs w:val="22"/>
        </w:rPr>
        <w:t xml:space="preserve"> interscitinė plaučių liga.</w:t>
      </w:r>
    </w:p>
    <w:p w14:paraId="10B17030" w14:textId="77777777" w:rsidR="008001D5" w:rsidRPr="00D606FA" w:rsidRDefault="008001D5" w:rsidP="008001D5">
      <w:pPr>
        <w:rPr>
          <w:sz w:val="22"/>
          <w:szCs w:val="22"/>
        </w:rPr>
      </w:pPr>
      <w:r w:rsidRPr="00D606FA">
        <w:rPr>
          <w:sz w:val="22"/>
          <w:szCs w:val="22"/>
          <w:u w:val="single"/>
        </w:rPr>
        <w:t>Skeleto, raumenų ir jungiamojo audinio sutrikimai:</w:t>
      </w:r>
      <w:r w:rsidRPr="00D606FA">
        <w:rPr>
          <w:sz w:val="22"/>
          <w:szCs w:val="22"/>
        </w:rPr>
        <w:t xml:space="preserve"> rabdomiolizė.</w:t>
      </w:r>
    </w:p>
    <w:p w14:paraId="0229937E" w14:textId="77777777" w:rsidR="008001D5" w:rsidRPr="00D606FA" w:rsidRDefault="008001D5" w:rsidP="008001D5">
      <w:pPr>
        <w:rPr>
          <w:sz w:val="22"/>
          <w:szCs w:val="22"/>
        </w:rPr>
      </w:pPr>
      <w:r w:rsidRPr="00D606FA">
        <w:rPr>
          <w:sz w:val="22"/>
          <w:szCs w:val="22"/>
          <w:u w:val="single"/>
        </w:rPr>
        <w:t>Kepenų, tulžies pūslės ir latakų sutrikimai:</w:t>
      </w:r>
      <w:r w:rsidRPr="00D606FA">
        <w:rPr>
          <w:sz w:val="22"/>
          <w:szCs w:val="22"/>
        </w:rPr>
        <w:t xml:space="preserve"> gelta, cholelitiazės komplikacijos (pvz., cholecistitas, cholangitas, tulžies kolika).</w:t>
      </w:r>
    </w:p>
    <w:p w14:paraId="100C0924" w14:textId="77777777" w:rsidR="008001D5" w:rsidRPr="00D606FA" w:rsidRDefault="008001D5" w:rsidP="008001D5">
      <w:pPr>
        <w:rPr>
          <w:sz w:val="22"/>
          <w:szCs w:val="22"/>
        </w:rPr>
      </w:pPr>
      <w:r w:rsidRPr="00D606FA">
        <w:rPr>
          <w:sz w:val="22"/>
          <w:szCs w:val="22"/>
          <w:u w:val="single"/>
        </w:rPr>
        <w:lastRenderedPageBreak/>
        <w:t>Odos ir poodinio audinio sutrikimai:</w:t>
      </w:r>
      <w:r w:rsidRPr="00D606FA">
        <w:rPr>
          <w:sz w:val="22"/>
          <w:szCs w:val="22"/>
        </w:rPr>
        <w:t xml:space="preserve"> sunkios odos reakcijos (pvz., daugiaformė eritema, </w:t>
      </w:r>
      <w:r w:rsidRPr="00D606FA">
        <w:rPr>
          <w:i/>
          <w:iCs/>
          <w:sz w:val="22"/>
          <w:szCs w:val="22"/>
        </w:rPr>
        <w:t>Stevens – Johnson</w:t>
      </w:r>
      <w:r w:rsidRPr="00D606FA">
        <w:rPr>
          <w:sz w:val="22"/>
          <w:szCs w:val="22"/>
        </w:rPr>
        <w:t xml:space="preserve"> sindromas, toksinė epidermio nekrolizė).</w:t>
      </w:r>
    </w:p>
    <w:p w14:paraId="38C75EAE" w14:textId="77777777" w:rsidR="008001D5" w:rsidRPr="00D606FA" w:rsidRDefault="008001D5" w:rsidP="008001D5">
      <w:pPr>
        <w:rPr>
          <w:b/>
          <w:bCs/>
          <w:sz w:val="22"/>
          <w:szCs w:val="22"/>
        </w:rPr>
      </w:pPr>
      <w:r w:rsidRPr="00D606FA">
        <w:rPr>
          <w:sz w:val="22"/>
          <w:szCs w:val="22"/>
          <w:u w:val="single"/>
        </w:rPr>
        <w:t>Bendrieji sutrikimai ir vartojimo vietos pažeidimai:</w:t>
      </w:r>
      <w:r w:rsidRPr="00D606FA">
        <w:rPr>
          <w:sz w:val="22"/>
          <w:szCs w:val="22"/>
        </w:rPr>
        <w:t xml:space="preserve"> nuovargis.</w:t>
      </w:r>
    </w:p>
    <w:p w14:paraId="53881752"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hanging="540"/>
        <w:jc w:val="left"/>
        <w:rPr>
          <w:sz w:val="22"/>
          <w:szCs w:val="22"/>
        </w:rPr>
      </w:pPr>
    </w:p>
    <w:p w14:paraId="26F38406" w14:textId="77777777" w:rsidR="008001D5" w:rsidRPr="00D606FA" w:rsidRDefault="008001D5" w:rsidP="008001D5">
      <w:pPr>
        <w:tabs>
          <w:tab w:val="left" w:pos="567"/>
        </w:tabs>
        <w:autoSpaceDE w:val="0"/>
        <w:autoSpaceDN w:val="0"/>
        <w:adjustRightInd w:val="0"/>
        <w:spacing w:line="260" w:lineRule="exact"/>
        <w:jc w:val="both"/>
        <w:rPr>
          <w:snapToGrid w:val="0"/>
          <w:sz w:val="22"/>
          <w:szCs w:val="22"/>
          <w:u w:val="single"/>
        </w:rPr>
      </w:pPr>
      <w:r w:rsidRPr="00D606FA">
        <w:rPr>
          <w:noProof/>
          <w:snapToGrid w:val="0"/>
          <w:sz w:val="22"/>
          <w:szCs w:val="22"/>
          <w:u w:val="single"/>
        </w:rPr>
        <w:t>Pranešimas apie įtariamas nepageidaujamas reakcijas</w:t>
      </w:r>
    </w:p>
    <w:p w14:paraId="671CAED9" w14:textId="51F271D8" w:rsidR="008001D5" w:rsidRPr="00D606FA" w:rsidRDefault="008001D5" w:rsidP="008001D5">
      <w:pPr>
        <w:tabs>
          <w:tab w:val="left" w:pos="567"/>
        </w:tabs>
        <w:autoSpaceDE w:val="0"/>
        <w:autoSpaceDN w:val="0"/>
        <w:adjustRightInd w:val="0"/>
        <w:spacing w:line="260" w:lineRule="exact"/>
        <w:rPr>
          <w:noProof/>
          <w:snapToGrid w:val="0"/>
          <w:sz w:val="22"/>
          <w:szCs w:val="22"/>
        </w:rPr>
      </w:pPr>
      <w:r w:rsidRPr="00D606FA">
        <w:rPr>
          <w:noProof/>
          <w:snapToGrid w:val="0"/>
          <w:sz w:val="22"/>
          <w:szCs w:val="22"/>
        </w:rPr>
        <w:t>Svarbu pranešti apie įtariamas nepageidaujamas reakcijas, pastebėtas po vaistinio preparato registracijos, nes tai leidžia nuolat stebėti vaistinio preparato naudos ir rizikos santykį.</w:t>
      </w:r>
      <w:r w:rsidRPr="00D606FA">
        <w:rPr>
          <w:snapToGrid w:val="0"/>
          <w:sz w:val="22"/>
          <w:szCs w:val="22"/>
        </w:rPr>
        <w:t xml:space="preserve"> </w:t>
      </w:r>
      <w:r w:rsidR="005E12E0" w:rsidRPr="005E12E0">
        <w:rPr>
          <w:rFonts w:eastAsia="Times New Roman"/>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005E12E0" w:rsidRPr="005E12E0">
          <w:rPr>
            <w:rFonts w:eastAsia="Times New Roman"/>
            <w:noProof/>
            <w:snapToGrid w:val="0"/>
            <w:color w:val="0000FF"/>
            <w:sz w:val="22"/>
            <w:u w:val="single"/>
          </w:rPr>
          <w:t>https://vapris.vvkt.lt/vvkt-web/public/nrvSpecialist</w:t>
        </w:r>
      </w:hyperlink>
      <w:r w:rsidR="005E12E0" w:rsidRPr="005E12E0">
        <w:rPr>
          <w:rFonts w:eastAsia="Times New Roman"/>
          <w:noProof/>
          <w:snapToGrid w:val="0"/>
          <w:sz w:val="22"/>
        </w:rPr>
        <w:t xml:space="preserve"> arba užpildę Sveikatos priežiūros ar farmacijos specialisto pranešimo apie įtariamą nepageidaujamą reakciją (ĮNR) formą, kuri skelbiama </w:t>
      </w:r>
      <w:hyperlink r:id="rId9" w:history="1">
        <w:r w:rsidR="005E12E0" w:rsidRPr="005E12E0">
          <w:rPr>
            <w:rFonts w:eastAsia="Times New Roman"/>
            <w:noProof/>
            <w:snapToGrid w:val="0"/>
            <w:color w:val="0000FF"/>
            <w:sz w:val="22"/>
            <w:u w:val="single"/>
          </w:rPr>
          <w:t>https://www.vvkt.lt/index.php?1399030386</w:t>
        </w:r>
      </w:hyperlink>
      <w:r w:rsidR="005E12E0" w:rsidRPr="005E12E0">
        <w:rPr>
          <w:rFonts w:eastAsia="Times New Roman"/>
          <w:noProof/>
          <w:snapToGrid w:val="0"/>
          <w:sz w:val="22"/>
        </w:rPr>
        <w:t>, ir atsiųsti elektroniniu paštu (adresu NepageidaujamaR@vvkt.lt).</w:t>
      </w:r>
    </w:p>
    <w:p w14:paraId="526C9E69"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540" w:hanging="540"/>
        <w:jc w:val="left"/>
        <w:rPr>
          <w:sz w:val="22"/>
          <w:szCs w:val="22"/>
        </w:rPr>
      </w:pPr>
    </w:p>
    <w:p w14:paraId="2C060B58" w14:textId="77777777" w:rsidR="008001D5" w:rsidRPr="00D606FA" w:rsidRDefault="008001D5" w:rsidP="00E33FE9">
      <w:pPr>
        <w:pStyle w:val="PI-2EMEASMCA"/>
      </w:pPr>
      <w:bookmarkStart w:id="31" w:name="_Toc129243110"/>
      <w:bookmarkStart w:id="32" w:name="_Toc129243235"/>
      <w:r w:rsidRPr="00D606FA">
        <w:t>4.9</w:t>
      </w:r>
      <w:r w:rsidRPr="00D606FA">
        <w:tab/>
        <w:t>Perdozavimas</w:t>
      </w:r>
      <w:bookmarkEnd w:id="31"/>
      <w:bookmarkEnd w:id="32"/>
    </w:p>
    <w:p w14:paraId="7EEE09B4"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0CF73D53" w14:textId="77777777" w:rsidR="008001D5" w:rsidRPr="00D606FA" w:rsidRDefault="008001D5" w:rsidP="008001D5">
      <w:pPr>
        <w:pStyle w:val="Pagrindinistekstas"/>
        <w:jc w:val="left"/>
        <w:rPr>
          <w:sz w:val="22"/>
          <w:szCs w:val="22"/>
        </w:rPr>
      </w:pPr>
      <w:r w:rsidRPr="00D606FA">
        <w:rPr>
          <w:sz w:val="22"/>
          <w:szCs w:val="22"/>
        </w:rPr>
        <w:t>Buvo tik epizodinių perdozavimo fenofibratu atvejų. Daugelio atvejų metu perdozavimo simptomų nepastebėta.</w:t>
      </w:r>
    </w:p>
    <w:p w14:paraId="03F8413E" w14:textId="77777777" w:rsidR="008001D5" w:rsidRPr="00D606FA" w:rsidRDefault="008001D5" w:rsidP="008001D5">
      <w:pPr>
        <w:pStyle w:val="Pagrindinistekstas"/>
        <w:jc w:val="left"/>
        <w:rPr>
          <w:sz w:val="22"/>
          <w:szCs w:val="22"/>
        </w:rPr>
      </w:pPr>
    </w:p>
    <w:p w14:paraId="65EBA1D1" w14:textId="77777777" w:rsidR="008001D5" w:rsidRPr="00D606FA" w:rsidRDefault="008001D5" w:rsidP="008001D5">
      <w:pPr>
        <w:pStyle w:val="Pagrindinistekstas"/>
        <w:jc w:val="left"/>
        <w:rPr>
          <w:sz w:val="22"/>
          <w:szCs w:val="22"/>
        </w:rPr>
      </w:pPr>
      <w:r w:rsidRPr="00D606FA">
        <w:rPr>
          <w:sz w:val="22"/>
          <w:szCs w:val="22"/>
        </w:rPr>
        <w:t>Nėra žinomo priešnuodžio. Įtarus perdozavimą skiriamas simptominis gydymas ir imamasi tinkamų palaikomųjų priemonių. Fenofibratas negali būti pašalintas hemodializės būdu.</w:t>
      </w:r>
    </w:p>
    <w:p w14:paraId="1BABB4E8"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547E3ED" w14:textId="77777777" w:rsidR="008001D5" w:rsidRPr="00D606FA" w:rsidRDefault="008001D5" w:rsidP="008001D5">
      <w:pPr>
        <w:suppressAutoHyphens/>
        <w:rPr>
          <w:spacing w:val="-3"/>
          <w:sz w:val="22"/>
          <w:szCs w:val="22"/>
        </w:rPr>
      </w:pPr>
    </w:p>
    <w:p w14:paraId="51FFC50D" w14:textId="77777777" w:rsidR="008001D5" w:rsidRPr="00D606FA" w:rsidRDefault="008001D5" w:rsidP="008001D5">
      <w:pPr>
        <w:ind w:left="567" w:hanging="567"/>
        <w:outlineLvl w:val="0"/>
        <w:rPr>
          <w:b/>
          <w:bCs/>
          <w:sz w:val="22"/>
          <w:szCs w:val="22"/>
        </w:rPr>
      </w:pPr>
      <w:bookmarkStart w:id="33" w:name="_Toc129243111"/>
      <w:bookmarkStart w:id="34" w:name="_Toc129243236"/>
      <w:r w:rsidRPr="00D606FA">
        <w:rPr>
          <w:b/>
          <w:bCs/>
          <w:sz w:val="22"/>
          <w:szCs w:val="22"/>
        </w:rPr>
        <w:t>5.</w:t>
      </w:r>
      <w:r w:rsidRPr="00D606FA">
        <w:rPr>
          <w:b/>
          <w:bCs/>
          <w:sz w:val="22"/>
          <w:szCs w:val="22"/>
        </w:rPr>
        <w:tab/>
        <w:t>FARMAKOLOGINĖS SAVYBĖS</w:t>
      </w:r>
      <w:bookmarkEnd w:id="33"/>
      <w:bookmarkEnd w:id="34"/>
    </w:p>
    <w:p w14:paraId="5C376846" w14:textId="77777777" w:rsidR="008001D5" w:rsidRPr="00D606FA" w:rsidRDefault="008001D5" w:rsidP="00E33FE9">
      <w:pPr>
        <w:pStyle w:val="BTEMEASMCADiagrama"/>
      </w:pPr>
    </w:p>
    <w:p w14:paraId="54A83C7D" w14:textId="3548782E" w:rsidR="008001D5" w:rsidRPr="00D606FA" w:rsidRDefault="008001D5" w:rsidP="00E33FE9">
      <w:pPr>
        <w:pStyle w:val="PI-2EMEASMCA"/>
      </w:pPr>
      <w:bookmarkStart w:id="35" w:name="_Toc129243112"/>
      <w:bookmarkStart w:id="36" w:name="_Toc129243237"/>
      <w:r w:rsidRPr="00D606FA">
        <w:t>5.1</w:t>
      </w:r>
      <w:r w:rsidRPr="00D606FA">
        <w:tab/>
        <w:t>Farmakodinaminės savybės</w:t>
      </w:r>
      <w:bookmarkEnd w:id="35"/>
      <w:bookmarkEnd w:id="36"/>
    </w:p>
    <w:p w14:paraId="5525794D" w14:textId="77777777" w:rsidR="008001D5" w:rsidRPr="00D606FA" w:rsidRDefault="008001D5" w:rsidP="008001D5">
      <w:pPr>
        <w:suppressAutoHyphens/>
        <w:rPr>
          <w:b/>
          <w:bCs/>
          <w:spacing w:val="-3"/>
          <w:sz w:val="22"/>
          <w:szCs w:val="22"/>
        </w:rPr>
      </w:pPr>
    </w:p>
    <w:p w14:paraId="19AB5C69" w14:textId="77777777" w:rsidR="008001D5" w:rsidRPr="00D606FA" w:rsidRDefault="008001D5" w:rsidP="008001D5">
      <w:pPr>
        <w:rPr>
          <w:sz w:val="22"/>
          <w:szCs w:val="22"/>
        </w:rPr>
      </w:pPr>
      <w:r w:rsidRPr="00D606FA">
        <w:rPr>
          <w:sz w:val="22"/>
          <w:szCs w:val="22"/>
        </w:rPr>
        <w:t>Farmakoterapinė grupė – Lipidų arba cholesterolio ir trigliceridų kiekį mažinantys vaistiniai preparatai arba fibratai, ATC kodas – C 10 AB05.</w:t>
      </w:r>
    </w:p>
    <w:p w14:paraId="5E04EF06" w14:textId="77777777" w:rsidR="008001D5" w:rsidRPr="00D606FA" w:rsidRDefault="008001D5" w:rsidP="008001D5">
      <w:pPr>
        <w:rPr>
          <w:sz w:val="22"/>
          <w:szCs w:val="22"/>
        </w:rPr>
      </w:pPr>
    </w:p>
    <w:p w14:paraId="7E52B2EF" w14:textId="77777777" w:rsidR="008001D5" w:rsidRPr="00D606FA" w:rsidRDefault="008001D5" w:rsidP="008001D5">
      <w:pPr>
        <w:rPr>
          <w:sz w:val="22"/>
          <w:szCs w:val="22"/>
          <w:lang w:eastAsia="lt-LT"/>
        </w:rPr>
      </w:pPr>
      <w:r w:rsidRPr="00D606FA">
        <w:rPr>
          <w:sz w:val="22"/>
          <w:szCs w:val="22"/>
          <w:lang w:eastAsia="lt-LT"/>
        </w:rPr>
        <w:t>Fenofibratas yra fibro rūgšties darinys, kuris lipidų kiekį žmogaus kraujyje keičia</w:t>
      </w:r>
      <w:r w:rsidRPr="00D606FA">
        <w:rPr>
          <w:sz w:val="22"/>
          <w:szCs w:val="22"/>
        </w:rPr>
        <w:t xml:space="preserve"> aktyvindamas peroksisomos proliferaciją skatinančio veiksnio aktyvuojamus alfa tipo receptorius (angl. </w:t>
      </w:r>
      <w:r w:rsidRPr="00D606FA">
        <w:rPr>
          <w:i/>
          <w:iCs/>
          <w:sz w:val="22"/>
          <w:szCs w:val="22"/>
        </w:rPr>
        <w:t>peroxisome proliferator activated receptor, type alpha - PPAR</w:t>
      </w:r>
      <w:r w:rsidRPr="00D606FA">
        <w:rPr>
          <w:i/>
          <w:iCs/>
          <w:sz w:val="22"/>
          <w:szCs w:val="22"/>
        </w:rPr>
        <w:sym w:font="Symbol" w:char="F061"/>
      </w:r>
      <w:r w:rsidRPr="00D606FA">
        <w:rPr>
          <w:sz w:val="22"/>
          <w:szCs w:val="22"/>
        </w:rPr>
        <w:t>).</w:t>
      </w:r>
    </w:p>
    <w:p w14:paraId="45A78165" w14:textId="77777777" w:rsidR="008001D5" w:rsidRPr="00D606FA" w:rsidRDefault="008001D5" w:rsidP="008001D5">
      <w:pPr>
        <w:rPr>
          <w:sz w:val="22"/>
          <w:szCs w:val="22"/>
          <w:lang w:eastAsia="lt-LT"/>
        </w:rPr>
      </w:pPr>
    </w:p>
    <w:p w14:paraId="461BE239" w14:textId="77777777" w:rsidR="008001D5" w:rsidRPr="00D606FA" w:rsidRDefault="008001D5" w:rsidP="008001D5">
      <w:pPr>
        <w:rPr>
          <w:sz w:val="22"/>
          <w:szCs w:val="22"/>
          <w:lang w:eastAsia="lt-LT"/>
        </w:rPr>
      </w:pPr>
      <w:r w:rsidRPr="00D606FA">
        <w:rPr>
          <w:sz w:val="22"/>
          <w:szCs w:val="22"/>
        </w:rPr>
        <w:t>Aktyvindamas PPAR</w:t>
      </w:r>
      <w:r w:rsidRPr="00D606FA">
        <w:rPr>
          <w:sz w:val="22"/>
          <w:szCs w:val="22"/>
        </w:rPr>
        <w:sym w:font="Symbol" w:char="F061"/>
      </w:r>
      <w:r w:rsidRPr="00D606FA">
        <w:rPr>
          <w:sz w:val="22"/>
          <w:szCs w:val="22"/>
        </w:rPr>
        <w:t>, fenofibratas didina lipolizę ir aterogeninių dalelių, kuriose daug trigliceridų, eliminaciją iš kraujo plazmos, aktyvindamas lipoproteinlipazę ir mažindamas apoproteino CIII gamybą. Be to, suaktyvinus PPAR</w:t>
      </w:r>
      <w:r w:rsidRPr="00D606FA">
        <w:rPr>
          <w:sz w:val="22"/>
          <w:szCs w:val="22"/>
        </w:rPr>
        <w:sym w:font="Symbol" w:char="F061"/>
      </w:r>
      <w:r w:rsidRPr="00D606FA">
        <w:rPr>
          <w:sz w:val="22"/>
          <w:szCs w:val="22"/>
        </w:rPr>
        <w:t>, taip pat padidėja apoproteinų AI ir AII sintezė.</w:t>
      </w:r>
    </w:p>
    <w:p w14:paraId="36C27914" w14:textId="77777777" w:rsidR="008001D5" w:rsidRPr="00D606FA" w:rsidRDefault="008001D5" w:rsidP="008001D5">
      <w:pPr>
        <w:rPr>
          <w:sz w:val="22"/>
          <w:szCs w:val="22"/>
          <w:lang w:eastAsia="lt-LT"/>
        </w:rPr>
      </w:pPr>
    </w:p>
    <w:p w14:paraId="5DABBBF8"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jc w:val="left"/>
        <w:rPr>
          <w:sz w:val="22"/>
          <w:szCs w:val="22"/>
        </w:rPr>
      </w:pPr>
      <w:r w:rsidRPr="00D606FA">
        <w:rPr>
          <w:sz w:val="22"/>
          <w:szCs w:val="22"/>
        </w:rPr>
        <w:t>Dėl minėto fenofibrato poveikio lipoproteinams sumažėja labai mažo ir mažo tankio lipoproteinų (LMTL ir MTL) frakcija, kurioje yra apoproteino B ir padidėja didelio tankio lipoproteinų (DTL) frakcija, kurioje yra apoproteino AI ir AII.</w:t>
      </w:r>
    </w:p>
    <w:p w14:paraId="205712C8" w14:textId="77777777" w:rsidR="008001D5" w:rsidRPr="00D606FA" w:rsidRDefault="008001D5" w:rsidP="008001D5">
      <w:pPr>
        <w:rPr>
          <w:sz w:val="22"/>
          <w:szCs w:val="22"/>
        </w:rPr>
      </w:pPr>
    </w:p>
    <w:p w14:paraId="47783588"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jc w:val="left"/>
        <w:rPr>
          <w:sz w:val="22"/>
          <w:szCs w:val="22"/>
        </w:rPr>
      </w:pPr>
      <w:r w:rsidRPr="00D606FA">
        <w:rPr>
          <w:sz w:val="22"/>
          <w:szCs w:val="22"/>
        </w:rPr>
        <w:t>Be to, moduliuojant labai mažo tankio lipoproteinų (LMTL) gamybą ir katabolizmą, fenofibratas padidina MTL klirensą ir sumažina mažo tankio lipoproteinų, kurių koncentracija padidėja esant aterogeniniam lipoproteinų fenotipui – sutrikimui, dažniausiai pasitaikančiam pacientams, kuriems yra koronarinės širdies ligos rizika.</w:t>
      </w:r>
    </w:p>
    <w:p w14:paraId="69AA890E"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jc w:val="left"/>
        <w:rPr>
          <w:spacing w:val="0"/>
          <w:sz w:val="22"/>
          <w:szCs w:val="22"/>
        </w:rPr>
      </w:pPr>
    </w:p>
    <w:p w14:paraId="4E58D871"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jc w:val="left"/>
        <w:rPr>
          <w:spacing w:val="0"/>
          <w:sz w:val="22"/>
          <w:szCs w:val="22"/>
        </w:rPr>
      </w:pPr>
      <w:r w:rsidRPr="00D606FA">
        <w:rPr>
          <w:spacing w:val="0"/>
          <w:sz w:val="22"/>
          <w:szCs w:val="22"/>
        </w:rPr>
        <w:t>Klinikinių tyrimų metu, vartojant fenofibratą, bendrasis serumo cholesterolio kiekis sumažėjo 20</w:t>
      </w:r>
      <w:r>
        <w:rPr>
          <w:spacing w:val="0"/>
          <w:sz w:val="22"/>
          <w:szCs w:val="22"/>
        </w:rPr>
        <w:noBreakHyphen/>
      </w:r>
      <w:r w:rsidRPr="00D606FA">
        <w:rPr>
          <w:spacing w:val="0"/>
          <w:sz w:val="22"/>
          <w:szCs w:val="22"/>
        </w:rPr>
        <w:t xml:space="preserve">25 %, TG kiekis </w:t>
      </w:r>
      <w:r>
        <w:rPr>
          <w:spacing w:val="0"/>
          <w:sz w:val="22"/>
          <w:szCs w:val="22"/>
        </w:rPr>
        <w:t>–</w:t>
      </w:r>
      <w:r w:rsidRPr="00D606FA">
        <w:rPr>
          <w:spacing w:val="0"/>
          <w:sz w:val="22"/>
          <w:szCs w:val="22"/>
        </w:rPr>
        <w:t xml:space="preserve"> 40</w:t>
      </w:r>
      <w:r>
        <w:rPr>
          <w:spacing w:val="0"/>
          <w:sz w:val="22"/>
          <w:szCs w:val="22"/>
        </w:rPr>
        <w:noBreakHyphen/>
      </w:r>
      <w:r w:rsidRPr="00D606FA">
        <w:rPr>
          <w:spacing w:val="0"/>
          <w:sz w:val="22"/>
          <w:szCs w:val="22"/>
        </w:rPr>
        <w:t>50 % ir DTL kiekis – 10</w:t>
      </w:r>
      <w:r>
        <w:rPr>
          <w:spacing w:val="0"/>
          <w:sz w:val="22"/>
          <w:szCs w:val="22"/>
        </w:rPr>
        <w:noBreakHyphen/>
      </w:r>
      <w:r w:rsidRPr="00D606FA">
        <w:rPr>
          <w:spacing w:val="0"/>
          <w:sz w:val="22"/>
          <w:szCs w:val="22"/>
        </w:rPr>
        <w:t>30 %.</w:t>
      </w:r>
    </w:p>
    <w:p w14:paraId="417458A4"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jc w:val="left"/>
        <w:rPr>
          <w:spacing w:val="0"/>
          <w:sz w:val="22"/>
          <w:szCs w:val="22"/>
        </w:rPr>
      </w:pPr>
    </w:p>
    <w:p w14:paraId="27797381" w14:textId="77777777" w:rsidR="008001D5" w:rsidRPr="00D606FA" w:rsidRDefault="008001D5" w:rsidP="008001D5">
      <w:pPr>
        <w:rPr>
          <w:sz w:val="22"/>
          <w:szCs w:val="22"/>
        </w:rPr>
      </w:pPr>
      <w:r w:rsidRPr="00D606FA">
        <w:rPr>
          <w:sz w:val="22"/>
          <w:szCs w:val="22"/>
        </w:rPr>
        <w:t>Hipercholesterolemija sergantiems pacientams, kai MTL kiekis sumažėjo 20</w:t>
      </w:r>
      <w:r>
        <w:rPr>
          <w:sz w:val="22"/>
          <w:szCs w:val="22"/>
        </w:rPr>
        <w:noBreakHyphen/>
      </w:r>
      <w:r w:rsidRPr="00D606FA">
        <w:rPr>
          <w:sz w:val="22"/>
          <w:szCs w:val="22"/>
        </w:rPr>
        <w:t>30 %, bendrasis poveikis cholesteroliui pasireiškė aterogeninės rizikos faktorių – bendrojo ir DTL cholesterolio, MTL ir DTL cholesterolio arba ApoB ir ApoA1 – santykių sumažėjimu.</w:t>
      </w:r>
    </w:p>
    <w:p w14:paraId="7950F33A" w14:textId="77777777" w:rsidR="008001D5" w:rsidRPr="00D606FA" w:rsidRDefault="008001D5" w:rsidP="008001D5">
      <w:pPr>
        <w:rPr>
          <w:sz w:val="22"/>
          <w:szCs w:val="22"/>
        </w:rPr>
      </w:pPr>
    </w:p>
    <w:p w14:paraId="318FF055" w14:textId="77777777" w:rsidR="008001D5" w:rsidRPr="00D606FA" w:rsidRDefault="008001D5" w:rsidP="008001D5">
      <w:pPr>
        <w:rPr>
          <w:sz w:val="22"/>
          <w:szCs w:val="22"/>
        </w:rPr>
      </w:pPr>
      <w:r w:rsidRPr="00D606FA">
        <w:rPr>
          <w:sz w:val="22"/>
          <w:szCs w:val="22"/>
        </w:rPr>
        <w:t>Pacientams, kuriems buvo padidėjusi fibrinogeno ir lipoproteinų koncentracija, gydytiems fenofibratu šie rodikliai gerokai sumažėjo. Gydymo fenofibratu metu sumažėjo ir kiti uždegiminių ligų žymenys, pvz., CRB.</w:t>
      </w:r>
    </w:p>
    <w:p w14:paraId="7A03B4E2" w14:textId="77777777" w:rsidR="008001D5" w:rsidRPr="00D606FA" w:rsidRDefault="008001D5" w:rsidP="008001D5">
      <w:pPr>
        <w:rPr>
          <w:sz w:val="22"/>
          <w:szCs w:val="22"/>
        </w:rPr>
      </w:pPr>
    </w:p>
    <w:p w14:paraId="7B3F314B" w14:textId="77777777" w:rsidR="008001D5" w:rsidRPr="00D606FA" w:rsidRDefault="008001D5" w:rsidP="008001D5">
      <w:pPr>
        <w:rPr>
          <w:sz w:val="22"/>
          <w:szCs w:val="22"/>
        </w:rPr>
      </w:pPr>
      <w:r w:rsidRPr="00D606FA">
        <w:rPr>
          <w:sz w:val="22"/>
          <w:szCs w:val="22"/>
        </w:rPr>
        <w:t>Yra įrodymų, kad gydymas fenofibratu mažina koronarinės širdies ligos sunkių atvejų, bet nėra įrodyta teigiamo poveikio, susijusio su pirminės arba antrinės kardiovaskulinių ligų profilaktikos bendruoju mirštamumu.</w:t>
      </w:r>
    </w:p>
    <w:p w14:paraId="4252F95D" w14:textId="77777777" w:rsidR="008001D5" w:rsidRPr="00D606FA" w:rsidRDefault="008001D5" w:rsidP="008001D5">
      <w:pPr>
        <w:rPr>
          <w:sz w:val="22"/>
          <w:szCs w:val="22"/>
        </w:rPr>
      </w:pPr>
    </w:p>
    <w:p w14:paraId="04354D04" w14:textId="77777777" w:rsidR="008001D5" w:rsidRPr="00D606FA" w:rsidRDefault="008001D5" w:rsidP="008001D5">
      <w:pPr>
        <w:rPr>
          <w:sz w:val="22"/>
          <w:szCs w:val="22"/>
        </w:rPr>
      </w:pPr>
      <w:r w:rsidRPr="00D606FA">
        <w:rPr>
          <w:sz w:val="22"/>
          <w:szCs w:val="22"/>
        </w:rPr>
        <w:t xml:space="preserve">Diabeto ir aterosklerozės intervencijos tyrimo (angl. </w:t>
      </w:r>
      <w:r w:rsidRPr="00D606FA">
        <w:rPr>
          <w:i/>
          <w:iCs/>
          <w:sz w:val="22"/>
          <w:szCs w:val="22"/>
        </w:rPr>
        <w:t xml:space="preserve">Diabetes Atherosclerosis Intervention Study </w:t>
      </w:r>
      <w:r>
        <w:rPr>
          <w:i/>
          <w:iCs/>
          <w:sz w:val="22"/>
          <w:szCs w:val="22"/>
        </w:rPr>
        <w:t>[</w:t>
      </w:r>
      <w:r w:rsidRPr="00D606FA">
        <w:rPr>
          <w:i/>
          <w:iCs/>
          <w:sz w:val="22"/>
          <w:szCs w:val="22"/>
        </w:rPr>
        <w:t>DAIS</w:t>
      </w:r>
      <w:r>
        <w:rPr>
          <w:i/>
          <w:iCs/>
          <w:sz w:val="22"/>
          <w:szCs w:val="22"/>
        </w:rPr>
        <w:t>]</w:t>
      </w:r>
      <w:r w:rsidRPr="00C905F7">
        <w:rPr>
          <w:iCs/>
          <w:sz w:val="22"/>
          <w:szCs w:val="22"/>
        </w:rPr>
        <w:t>)</w:t>
      </w:r>
      <w:r w:rsidRPr="00D606FA">
        <w:rPr>
          <w:sz w:val="22"/>
          <w:szCs w:val="22"/>
        </w:rPr>
        <w:t xml:space="preserve"> rezultatai parodė, kad fenofibratas pastebimai sumažina pacientų, sergančių 2 tipo diabetu ir hipercholesterolemija, vietinės koronarų aterosklerozės angiografinį progresavimą. DAIS buvo dvigubai </w:t>
      </w:r>
      <w:r>
        <w:rPr>
          <w:sz w:val="22"/>
          <w:szCs w:val="22"/>
        </w:rPr>
        <w:t>koduotas</w:t>
      </w:r>
      <w:r w:rsidRPr="00D606FA">
        <w:rPr>
          <w:sz w:val="22"/>
          <w:szCs w:val="22"/>
        </w:rPr>
        <w:t>, placebu kontroliuojamas tyrimas, kuriame dalyvavo 418 pacientų, sergančiųjų 2 tipo cukriniu diabetu ir hipercholesterolemija (vidutinė bendrojo cholesterolio koncentracija</w:t>
      </w:r>
      <w:r w:rsidRPr="00D606FA">
        <w:rPr>
          <w:i/>
          <w:iCs/>
          <w:sz w:val="22"/>
          <w:szCs w:val="22"/>
        </w:rPr>
        <w:t xml:space="preserve"> </w:t>
      </w:r>
      <w:r w:rsidRPr="00D606FA">
        <w:rPr>
          <w:sz w:val="22"/>
          <w:szCs w:val="22"/>
        </w:rPr>
        <w:t>5,57 mmol/l, TG 2,54</w:t>
      </w:r>
      <w:r>
        <w:rPr>
          <w:sz w:val="22"/>
          <w:szCs w:val="22"/>
        </w:rPr>
        <w:t> </w:t>
      </w:r>
      <w:r w:rsidRPr="00D606FA">
        <w:rPr>
          <w:sz w:val="22"/>
          <w:szCs w:val="22"/>
        </w:rPr>
        <w:t>mmol/l, MTL cholesterolio 3,37</w:t>
      </w:r>
      <w:r>
        <w:rPr>
          <w:sz w:val="22"/>
          <w:szCs w:val="22"/>
        </w:rPr>
        <w:t> </w:t>
      </w:r>
      <w:r w:rsidRPr="00D606FA">
        <w:rPr>
          <w:sz w:val="22"/>
          <w:szCs w:val="22"/>
        </w:rPr>
        <w:t>mmol/l, DTL cholesterolio 1,03</w:t>
      </w:r>
      <w:r>
        <w:rPr>
          <w:sz w:val="22"/>
          <w:szCs w:val="22"/>
        </w:rPr>
        <w:t> </w:t>
      </w:r>
      <w:r w:rsidRPr="00D606FA">
        <w:rPr>
          <w:sz w:val="22"/>
          <w:szCs w:val="22"/>
        </w:rPr>
        <w:t>mmol/l). Gydymas fenofibratu, kurio trukmė buvo vidutiniškai 38</w:t>
      </w:r>
      <w:r>
        <w:rPr>
          <w:sz w:val="22"/>
          <w:szCs w:val="22"/>
        </w:rPr>
        <w:t> </w:t>
      </w:r>
      <w:r w:rsidRPr="00D606FA">
        <w:rPr>
          <w:sz w:val="22"/>
          <w:szCs w:val="22"/>
        </w:rPr>
        <w:t>mėnesiai, sukėlė pastebimų (apie 40 %) vietinių arterijos pažeidimų, nustatytų kokybiška koronarų angiografija, progresavimo sumažėjimą.</w:t>
      </w:r>
    </w:p>
    <w:p w14:paraId="0BD838F8" w14:textId="77777777" w:rsidR="008001D5" w:rsidRPr="00D606FA" w:rsidRDefault="008001D5" w:rsidP="008001D5">
      <w:pPr>
        <w:rPr>
          <w:sz w:val="22"/>
          <w:szCs w:val="22"/>
        </w:rPr>
      </w:pPr>
    </w:p>
    <w:p w14:paraId="010E4383" w14:textId="77777777" w:rsidR="008001D5" w:rsidRPr="00D606FA" w:rsidRDefault="008001D5" w:rsidP="008001D5">
      <w:pPr>
        <w:rPr>
          <w:sz w:val="22"/>
          <w:szCs w:val="22"/>
        </w:rPr>
      </w:pPr>
      <w:r w:rsidRPr="00D606FA">
        <w:rPr>
          <w:sz w:val="22"/>
          <w:szCs w:val="22"/>
        </w:rPr>
        <w:t>Gydymo fenofibratu metu gali žymiai sumažėti arba net visiškai išnykti cholesterolio sankaupų ne kraujagyslėse (sausgyslinė arba gumburinė ksantoma).</w:t>
      </w:r>
    </w:p>
    <w:p w14:paraId="1B409BA9" w14:textId="77777777" w:rsidR="008001D5" w:rsidRPr="00D606FA" w:rsidRDefault="008001D5" w:rsidP="008001D5">
      <w:pPr>
        <w:rPr>
          <w:sz w:val="22"/>
          <w:szCs w:val="22"/>
        </w:rPr>
      </w:pPr>
    </w:p>
    <w:p w14:paraId="18A0562D" w14:textId="77777777" w:rsidR="008001D5" w:rsidRPr="00D606FA" w:rsidRDefault="008001D5" w:rsidP="008001D5">
      <w:pPr>
        <w:rPr>
          <w:sz w:val="22"/>
          <w:szCs w:val="22"/>
        </w:rPr>
      </w:pPr>
      <w:r w:rsidRPr="00D606FA">
        <w:rPr>
          <w:sz w:val="22"/>
          <w:szCs w:val="22"/>
        </w:rPr>
        <w:t>Pacientams, kuriems yra dislipidemija ir hiperurikemija, papildomos naudos gali turėti urikozurinis fenofibrato poveikis, lemiantis šlapimo rūgšties kiekio sumažėjimą maždaug 25 </w:t>
      </w:r>
      <w:r w:rsidRPr="00D606FA">
        <w:rPr>
          <w:sz w:val="22"/>
          <w:szCs w:val="22"/>
        </w:rPr>
        <w:sym w:font="Symbol" w:char="F025"/>
      </w:r>
      <w:r w:rsidRPr="00D606FA">
        <w:rPr>
          <w:sz w:val="22"/>
          <w:szCs w:val="22"/>
        </w:rPr>
        <w:t>.</w:t>
      </w:r>
    </w:p>
    <w:p w14:paraId="5A16A8AB" w14:textId="77777777" w:rsidR="008001D5" w:rsidRPr="00D606FA" w:rsidRDefault="008001D5" w:rsidP="008001D5">
      <w:pPr>
        <w:rPr>
          <w:sz w:val="22"/>
          <w:szCs w:val="22"/>
        </w:rPr>
      </w:pPr>
    </w:p>
    <w:p w14:paraId="32517FAD" w14:textId="77777777" w:rsidR="008001D5" w:rsidRPr="00D606FA" w:rsidRDefault="008001D5" w:rsidP="008001D5">
      <w:pPr>
        <w:rPr>
          <w:sz w:val="22"/>
          <w:szCs w:val="22"/>
        </w:rPr>
      </w:pPr>
      <w:r w:rsidRPr="00D606FA">
        <w:rPr>
          <w:sz w:val="22"/>
          <w:szCs w:val="22"/>
        </w:rPr>
        <w:t>Yra duomenų, kad gydymas fibratais gali susilpninti vainikinių širdies kraujagyslių ligos reiškinius, bet nenustatyta, kad jie sumažintų bendrąjį mirtingumą taikant pirminę ar antrinę širdies ir kraujagyslių ligos prevenciją.</w:t>
      </w:r>
    </w:p>
    <w:p w14:paraId="7B9BE005" w14:textId="77777777" w:rsidR="008001D5" w:rsidRPr="00D606FA" w:rsidRDefault="008001D5" w:rsidP="008001D5">
      <w:pPr>
        <w:rPr>
          <w:sz w:val="22"/>
          <w:szCs w:val="22"/>
        </w:rPr>
      </w:pPr>
    </w:p>
    <w:p w14:paraId="25EE074B" w14:textId="77777777" w:rsidR="008001D5" w:rsidRPr="00D606FA" w:rsidRDefault="008001D5" w:rsidP="008001D5">
      <w:pPr>
        <w:rPr>
          <w:sz w:val="22"/>
          <w:szCs w:val="22"/>
        </w:rPr>
      </w:pPr>
      <w:r w:rsidRPr="00D606FA">
        <w:rPr>
          <w:sz w:val="22"/>
          <w:szCs w:val="22"/>
        </w:rPr>
        <w:t xml:space="preserve">ACCORD (angl. </w:t>
      </w:r>
      <w:r w:rsidRPr="00D606FA">
        <w:rPr>
          <w:i/>
          <w:iCs/>
          <w:sz w:val="22"/>
          <w:szCs w:val="22"/>
        </w:rPr>
        <w:t>Action to Control Cardiovascular Risk in Diabetes</w:t>
      </w:r>
      <w:r w:rsidRPr="00D606FA">
        <w:rPr>
          <w:sz w:val="22"/>
          <w:szCs w:val="22"/>
        </w:rPr>
        <w:t>) lipidų tyrimas buvo atsitiktinių imčių placebu kontroliuojamas tyrimas, kuriame dalyvavo 5 518 pacientų, sergančių 2 tipo cukriniu diabetu, kurie buvo gydomi fenofibratu ir simvastatinu. Gydymas fenofibratu ir simvastatinu neparodė jokių reikšmingų skirtumų, palyginti su gydymu vien simvastatinu pagal nemirtino miokardo infarkto, nemirtino insulto ir mirties dėl širdies bei kraujagyslių patologijos sudėtines pirmines baigtis (pavojaus santykis [PS] 0,92, 95</w:t>
      </w:r>
      <w:r>
        <w:rPr>
          <w:sz w:val="22"/>
          <w:szCs w:val="22"/>
        </w:rPr>
        <w:t> </w:t>
      </w:r>
      <w:r w:rsidRPr="00D606FA">
        <w:rPr>
          <w:sz w:val="22"/>
          <w:szCs w:val="22"/>
        </w:rPr>
        <w:t>% PI 0,79</w:t>
      </w:r>
      <w:r>
        <w:rPr>
          <w:sz w:val="22"/>
          <w:szCs w:val="22"/>
        </w:rPr>
        <w:noBreakHyphen/>
      </w:r>
      <w:r w:rsidRPr="00D606FA">
        <w:rPr>
          <w:sz w:val="22"/>
          <w:szCs w:val="22"/>
        </w:rPr>
        <w:t>1,08, p = 0,32; absoliutus rizikos sumažėjimas: 0,74</w:t>
      </w:r>
      <w:r>
        <w:rPr>
          <w:sz w:val="22"/>
          <w:szCs w:val="22"/>
        </w:rPr>
        <w:t> </w:t>
      </w:r>
      <w:r w:rsidRPr="00D606FA">
        <w:rPr>
          <w:sz w:val="22"/>
          <w:szCs w:val="22"/>
        </w:rPr>
        <w:t>%). Iš anksto apibrėžtame dislipidemija sergančių pacientų pogrupyje, kuris apibūdinamas kaip pacientai, kurių pradinio vertinimo metu DTL-C tertilė buvo mažiausia (≤</w:t>
      </w:r>
      <w:r>
        <w:rPr>
          <w:sz w:val="22"/>
          <w:szCs w:val="22"/>
        </w:rPr>
        <w:t> </w:t>
      </w:r>
      <w:r w:rsidRPr="00D606FA">
        <w:rPr>
          <w:sz w:val="22"/>
          <w:szCs w:val="22"/>
        </w:rPr>
        <w:t>34</w:t>
      </w:r>
      <w:r>
        <w:rPr>
          <w:sz w:val="22"/>
          <w:szCs w:val="22"/>
        </w:rPr>
        <w:t> </w:t>
      </w:r>
      <w:r w:rsidRPr="00D606FA">
        <w:rPr>
          <w:sz w:val="22"/>
          <w:szCs w:val="22"/>
        </w:rPr>
        <w:t>mg/dl arba 0,88</w:t>
      </w:r>
      <w:r>
        <w:rPr>
          <w:sz w:val="22"/>
          <w:szCs w:val="22"/>
        </w:rPr>
        <w:t> </w:t>
      </w:r>
      <w:r w:rsidRPr="00D606FA">
        <w:rPr>
          <w:sz w:val="22"/>
          <w:szCs w:val="22"/>
        </w:rPr>
        <w:t>mmol/l), o trigliceridų (TG) tertilė buvo didžiausia (≥</w:t>
      </w:r>
      <w:r>
        <w:rPr>
          <w:sz w:val="22"/>
          <w:szCs w:val="22"/>
        </w:rPr>
        <w:t> </w:t>
      </w:r>
      <w:r w:rsidRPr="00D606FA">
        <w:rPr>
          <w:sz w:val="22"/>
          <w:szCs w:val="22"/>
        </w:rPr>
        <w:t>204</w:t>
      </w:r>
      <w:r>
        <w:rPr>
          <w:sz w:val="22"/>
          <w:szCs w:val="22"/>
        </w:rPr>
        <w:t> </w:t>
      </w:r>
      <w:r w:rsidRPr="00D606FA">
        <w:rPr>
          <w:sz w:val="22"/>
          <w:szCs w:val="22"/>
        </w:rPr>
        <w:t>mg/dl arba 2,3</w:t>
      </w:r>
      <w:r>
        <w:rPr>
          <w:sz w:val="22"/>
          <w:szCs w:val="22"/>
        </w:rPr>
        <w:t> </w:t>
      </w:r>
      <w:r w:rsidRPr="00D606FA">
        <w:rPr>
          <w:sz w:val="22"/>
          <w:szCs w:val="22"/>
        </w:rPr>
        <w:t>mmol/l), gydymas fenofibratu ir simvastatinu sąlygojo 31</w:t>
      </w:r>
      <w:r>
        <w:rPr>
          <w:sz w:val="22"/>
          <w:szCs w:val="22"/>
        </w:rPr>
        <w:t> </w:t>
      </w:r>
      <w:r w:rsidRPr="00D606FA">
        <w:rPr>
          <w:sz w:val="22"/>
          <w:szCs w:val="22"/>
        </w:rPr>
        <w:t>% santykinį sumažėjimą, palyginti su gydymu vien simvastatinu pagal sudėtines pirmines baigtis (pavojaus santykis [PS] 0,69, 95</w:t>
      </w:r>
      <w:r>
        <w:rPr>
          <w:sz w:val="22"/>
          <w:szCs w:val="22"/>
        </w:rPr>
        <w:t> </w:t>
      </w:r>
      <w:r w:rsidRPr="00D606FA">
        <w:rPr>
          <w:sz w:val="22"/>
          <w:szCs w:val="22"/>
        </w:rPr>
        <w:t>% PI 0,49–0,97, p = 0,03; absoliutus rizikos sumažėjimas: 4,95</w:t>
      </w:r>
      <w:r>
        <w:rPr>
          <w:sz w:val="22"/>
          <w:szCs w:val="22"/>
        </w:rPr>
        <w:t> </w:t>
      </w:r>
      <w:r w:rsidRPr="00D606FA">
        <w:rPr>
          <w:sz w:val="22"/>
          <w:szCs w:val="22"/>
        </w:rPr>
        <w:t>%). Kita iš anksto apibrėžto pogrupio analizė parodė statistiškai reikšmingą gydymo pagal lytį sąveiką (p = 0,01), kuri rodo galimą vyrų gydymo preparatų deriniu naudą (p = 0,037), bet potencialiai didesnę pirminių baigčių riziką moterims, gydytoms preparatų deriniu, palyginti su gydymu vien simvastatinu (p = 0,069). To nebuvo nustatyta pirmiau minėtame dislipidemija sergančių pacientų pogrupyje, bet nebuvo ir aiškių duomenų apie naudą dislipidemija sergančioms moterims, gydytoms fenofibratu ir simvastatinu, taip pat negalima atmesti galimo kenksmingo poveikio šiame pogrupyje galimybės.</w:t>
      </w:r>
    </w:p>
    <w:p w14:paraId="379A9C3E" w14:textId="77777777" w:rsidR="008001D5" w:rsidRPr="00D606FA" w:rsidRDefault="008001D5" w:rsidP="008001D5">
      <w:pPr>
        <w:rPr>
          <w:sz w:val="22"/>
          <w:szCs w:val="22"/>
        </w:rPr>
      </w:pPr>
    </w:p>
    <w:p w14:paraId="4168C1C0" w14:textId="77777777" w:rsidR="008001D5" w:rsidRPr="00D606FA" w:rsidRDefault="008001D5" w:rsidP="008001D5">
      <w:pPr>
        <w:rPr>
          <w:sz w:val="22"/>
          <w:szCs w:val="22"/>
        </w:rPr>
      </w:pPr>
      <w:r w:rsidRPr="00D606FA">
        <w:rPr>
          <w:sz w:val="22"/>
          <w:szCs w:val="22"/>
        </w:rPr>
        <w:t>Tyrimų su gyvūnais bei klinikinių tyrimų metu įrodyta, kad fenofibratas daro antiagregacinį poveikį trombocitams: mažina ADF, arachidono rūgšties bei epinefrino sukeliamą trombocitų agregaciją.</w:t>
      </w:r>
    </w:p>
    <w:p w14:paraId="6ADDCAAC" w14:textId="77777777" w:rsidR="008001D5" w:rsidRPr="00D606FA" w:rsidRDefault="008001D5" w:rsidP="008001D5">
      <w:pPr>
        <w:rPr>
          <w:sz w:val="22"/>
          <w:szCs w:val="22"/>
        </w:rPr>
      </w:pPr>
    </w:p>
    <w:p w14:paraId="59B52636" w14:textId="77777777" w:rsidR="008001D5" w:rsidRPr="00D606FA" w:rsidRDefault="008001D5" w:rsidP="00E33FE9">
      <w:pPr>
        <w:pStyle w:val="PI-2EMEASMCA"/>
      </w:pPr>
      <w:bookmarkStart w:id="37" w:name="_Toc129243113"/>
      <w:bookmarkStart w:id="38" w:name="_Toc129243238"/>
      <w:r w:rsidRPr="00D606FA">
        <w:t>5.2</w:t>
      </w:r>
      <w:r w:rsidRPr="00D606FA">
        <w:tab/>
        <w:t>Farmakokinetinės savybės</w:t>
      </w:r>
      <w:bookmarkEnd w:id="37"/>
      <w:bookmarkEnd w:id="38"/>
    </w:p>
    <w:p w14:paraId="1587DE08" w14:textId="77777777" w:rsidR="008001D5" w:rsidRPr="00D606FA" w:rsidRDefault="008001D5" w:rsidP="008001D5">
      <w:pPr>
        <w:pStyle w:val="BTEMEASMCA"/>
        <w:rPr>
          <w:sz w:val="22"/>
          <w:szCs w:val="22"/>
          <w:lang w:val="lt-LT"/>
        </w:rPr>
      </w:pPr>
    </w:p>
    <w:p w14:paraId="185D886A"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u w:val="single"/>
        </w:rPr>
        <w:t>Absorbcija</w:t>
      </w:r>
    </w:p>
    <w:p w14:paraId="57470420"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r w:rsidRPr="00D606FA">
        <w:rPr>
          <w:spacing w:val="-3"/>
          <w:sz w:val="22"/>
          <w:szCs w:val="22"/>
        </w:rPr>
        <w:t>I</w:t>
      </w:r>
      <w:r w:rsidRPr="00D606FA">
        <w:rPr>
          <w:sz w:val="22"/>
          <w:szCs w:val="22"/>
        </w:rPr>
        <w:t>šgėrus, didžiausia koncentracija kraujo plazmoje (angl. C</w:t>
      </w:r>
      <w:r w:rsidRPr="00D606FA">
        <w:rPr>
          <w:sz w:val="22"/>
          <w:szCs w:val="22"/>
          <w:vertAlign w:val="subscript"/>
        </w:rPr>
        <w:t>max</w:t>
      </w:r>
      <w:r w:rsidRPr="00D606FA">
        <w:rPr>
          <w:sz w:val="22"/>
          <w:szCs w:val="22"/>
        </w:rPr>
        <w:t xml:space="preserve">) susidaro per 4 – 5 val. Nepertraukiamo gydymo metu koncentracija kraujo plazmoje visais atvejais būna pastovi. </w:t>
      </w:r>
    </w:p>
    <w:p w14:paraId="5A76339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03A6EEC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z w:val="22"/>
          <w:szCs w:val="22"/>
        </w:rPr>
        <w:t>Valgio metu išgerto fenofibrato absorbcija padidėja.</w:t>
      </w:r>
    </w:p>
    <w:p w14:paraId="3622C22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E7F09B0"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u w:val="single"/>
        </w:rPr>
      </w:pPr>
      <w:r w:rsidRPr="00D606FA">
        <w:rPr>
          <w:spacing w:val="-3"/>
          <w:sz w:val="22"/>
          <w:szCs w:val="22"/>
          <w:u w:val="single"/>
        </w:rPr>
        <w:t>Pasiskirstymas</w:t>
      </w:r>
    </w:p>
    <w:p w14:paraId="1AA395A2"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z w:val="22"/>
          <w:szCs w:val="22"/>
        </w:rPr>
        <w:t>Fenofibro rūgštis stipriai prisijungia prie kraujo plazmos albuminų (daugiau negu 99 </w:t>
      </w:r>
      <w:r w:rsidRPr="00D606FA">
        <w:rPr>
          <w:sz w:val="22"/>
          <w:szCs w:val="22"/>
        </w:rPr>
        <w:sym w:font="Symbol" w:char="F025"/>
      </w:r>
      <w:r w:rsidRPr="00D606FA">
        <w:rPr>
          <w:sz w:val="22"/>
          <w:szCs w:val="22"/>
        </w:rPr>
        <w:t>).</w:t>
      </w:r>
    </w:p>
    <w:p w14:paraId="10B0228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0292AC6"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r w:rsidRPr="00D606FA">
        <w:rPr>
          <w:rFonts w:ascii="Times New Roman" w:hAnsi="Times New Roman" w:cs="Times New Roman"/>
          <w:sz w:val="22"/>
          <w:szCs w:val="22"/>
          <w:u w:val="single"/>
          <w:lang w:val="lt-LT"/>
        </w:rPr>
        <w:lastRenderedPageBreak/>
        <w:t>Metabolizmas ir išsiskyrimas</w:t>
      </w:r>
      <w:r w:rsidRPr="00D606FA">
        <w:rPr>
          <w:rFonts w:ascii="Times New Roman" w:hAnsi="Times New Roman" w:cs="Times New Roman"/>
          <w:sz w:val="22"/>
          <w:szCs w:val="22"/>
          <w:lang w:val="lt-LT"/>
        </w:rPr>
        <w:t xml:space="preserve"> </w:t>
      </w:r>
    </w:p>
    <w:p w14:paraId="565ABB54"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Išgėrus, fenofibratas yra greitai esterazių hidrolizuojamas į aktyvų metabolitą – fenofibro rūgštį.</w:t>
      </w:r>
    </w:p>
    <w:p w14:paraId="71D177B4"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Nepakitusio fenofibrato plazmoje neaptinkama. Fenofibratas nėra CYP</w:t>
      </w:r>
      <w:r>
        <w:rPr>
          <w:rFonts w:ascii="Times New Roman" w:hAnsi="Times New Roman" w:cs="Times New Roman"/>
          <w:sz w:val="22"/>
          <w:szCs w:val="22"/>
          <w:lang w:val="lt-LT"/>
        </w:rPr>
        <w:t> </w:t>
      </w:r>
      <w:r w:rsidRPr="00D606FA">
        <w:rPr>
          <w:rFonts w:ascii="Times New Roman" w:hAnsi="Times New Roman" w:cs="Times New Roman"/>
          <w:sz w:val="22"/>
          <w:szCs w:val="22"/>
          <w:lang w:val="lt-LT"/>
        </w:rPr>
        <w:t>3A4 substratas. Mikrosomų katalizuojamas metabolizmas kepenyse nevyksta.</w:t>
      </w:r>
    </w:p>
    <w:p w14:paraId="0BEA2DB4"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p>
    <w:p w14:paraId="31E808DD"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Vaistinis preparatas daugiausiai išsiskiria su šlapimu. Faktiškai visas vaistinio preparato kiekis yra pašalinamas per 6</w:t>
      </w:r>
      <w:r>
        <w:rPr>
          <w:rFonts w:ascii="Times New Roman" w:hAnsi="Times New Roman" w:cs="Times New Roman"/>
          <w:sz w:val="22"/>
          <w:szCs w:val="22"/>
          <w:lang w:val="lt-LT"/>
        </w:rPr>
        <w:t> </w:t>
      </w:r>
      <w:r w:rsidRPr="00D606FA">
        <w:rPr>
          <w:rFonts w:ascii="Times New Roman" w:hAnsi="Times New Roman" w:cs="Times New Roman"/>
          <w:sz w:val="22"/>
          <w:szCs w:val="22"/>
          <w:lang w:val="lt-LT"/>
        </w:rPr>
        <w:t>paras. Daugiausiai fenofibrato išsiskiria fenofibro rūgšties ir gliukuronido konjugato pavidalu.</w:t>
      </w:r>
    </w:p>
    <w:p w14:paraId="2DA8E226"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p>
    <w:p w14:paraId="42F899CE" w14:textId="77777777" w:rsidR="008001D5" w:rsidRPr="00D606FA" w:rsidRDefault="008001D5" w:rsidP="008001D5">
      <w:pPr>
        <w:pStyle w:val="texte20"/>
        <w:spacing w:after="0" w:line="240" w:lineRule="auto"/>
        <w:ind w:left="0"/>
        <w:jc w:val="left"/>
        <w:rPr>
          <w:rFonts w:ascii="Times New Roman" w:hAnsi="Times New Roman" w:cs="Times New Roman"/>
          <w:sz w:val="22"/>
          <w:szCs w:val="22"/>
          <w:lang w:val="lt-LT"/>
        </w:rPr>
      </w:pPr>
      <w:r w:rsidRPr="00D606FA">
        <w:rPr>
          <w:rFonts w:ascii="Times New Roman" w:hAnsi="Times New Roman" w:cs="Times New Roman"/>
          <w:sz w:val="22"/>
          <w:szCs w:val="22"/>
          <w:lang w:val="lt-LT"/>
        </w:rPr>
        <w:t>Senyvų žmonių kraujo plazmoje tariamas bendras fenofibro rūgšties klirensas nekinta.</w:t>
      </w:r>
    </w:p>
    <w:p w14:paraId="5631510C"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Preparato kinetikos tyrimai, išgėrus vienkartinę vaistinio preparato dozę ir taikant ilgalaikį gydymą, parodė, kad vaistinis preparatas organizme nesikaupia. Fenofibrato rūgštis nepašalinama taikant hemodializę.</w:t>
      </w:r>
    </w:p>
    <w:p w14:paraId="3CFF11B3"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056DFCA"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Fenofibrato rūgšties pusinės eliminacijos laikas yra apie 20</w:t>
      </w:r>
      <w:r>
        <w:rPr>
          <w:spacing w:val="-3"/>
          <w:sz w:val="22"/>
          <w:szCs w:val="22"/>
        </w:rPr>
        <w:t> </w:t>
      </w:r>
      <w:r w:rsidRPr="00D606FA">
        <w:rPr>
          <w:spacing w:val="-3"/>
          <w:sz w:val="22"/>
          <w:szCs w:val="22"/>
        </w:rPr>
        <w:t>valandų.</w:t>
      </w:r>
    </w:p>
    <w:p w14:paraId="3FD4011B"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33B2F8B" w14:textId="77777777" w:rsidR="008001D5" w:rsidRPr="00D606FA" w:rsidRDefault="008001D5" w:rsidP="00E33FE9">
      <w:pPr>
        <w:pStyle w:val="PI-2EMEASMCA"/>
      </w:pPr>
      <w:bookmarkStart w:id="39" w:name="_Toc129243114"/>
      <w:bookmarkStart w:id="40" w:name="_Toc129243239"/>
      <w:r w:rsidRPr="00D606FA">
        <w:t>5.3</w:t>
      </w:r>
      <w:r w:rsidRPr="00D606FA">
        <w:tab/>
        <w:t>Ikiklinikinių saugumo tyrimų duomenys</w:t>
      </w:r>
      <w:bookmarkEnd w:id="39"/>
      <w:bookmarkEnd w:id="40"/>
    </w:p>
    <w:p w14:paraId="509BACF4" w14:textId="77777777" w:rsidR="008001D5" w:rsidRPr="00D606FA" w:rsidRDefault="008001D5" w:rsidP="008001D5">
      <w:pPr>
        <w:rPr>
          <w:sz w:val="22"/>
          <w:szCs w:val="22"/>
        </w:rPr>
      </w:pPr>
    </w:p>
    <w:p w14:paraId="7F46F516" w14:textId="77777777" w:rsidR="008001D5" w:rsidRPr="00D606FA" w:rsidRDefault="008001D5" w:rsidP="008001D5">
      <w:pPr>
        <w:suppressAutoHyphens/>
        <w:rPr>
          <w:spacing w:val="-3"/>
          <w:sz w:val="22"/>
          <w:szCs w:val="22"/>
        </w:rPr>
      </w:pPr>
      <w:r w:rsidRPr="00D606FA">
        <w:rPr>
          <w:spacing w:val="-3"/>
          <w:sz w:val="22"/>
          <w:szCs w:val="22"/>
        </w:rPr>
        <w:t>Buvo atlikti trijų mėnesių trukmės ikiklinikiniai tyrimai su žiurkėmis, kurių metu tirtas fenofibro rūgšties, aktyviojo fenofibrato metabolito, toksinis poveikis skeleto raumenims (ypač tiems, kuriuose vyrauja I tipo, t. y. lėtojo oksidavimo raumeninės skaidulos). Pastebėta širdies degeneracija, anemija, kūno svorio sumažėjimas. Jokio skeletą veikiančio toksinio poveikio duodant dozes iki 30 mg/kg (maždaug 17</w:t>
      </w:r>
      <w:r>
        <w:rPr>
          <w:spacing w:val="-3"/>
          <w:sz w:val="22"/>
          <w:szCs w:val="22"/>
        </w:rPr>
        <w:t> </w:t>
      </w:r>
      <w:r w:rsidRPr="00D606FA">
        <w:rPr>
          <w:spacing w:val="-3"/>
          <w:sz w:val="22"/>
          <w:szCs w:val="22"/>
        </w:rPr>
        <w:t>kartų viršijančias didžiausias žmonėms rekomenduojamas dozes) nepastebėta. Kardiomiotoksinio poveikio požymių duodant 3</w:t>
      </w:r>
      <w:r>
        <w:rPr>
          <w:spacing w:val="-3"/>
          <w:sz w:val="22"/>
          <w:szCs w:val="22"/>
        </w:rPr>
        <w:t> </w:t>
      </w:r>
      <w:r w:rsidRPr="00D606FA">
        <w:rPr>
          <w:spacing w:val="-3"/>
          <w:sz w:val="22"/>
          <w:szCs w:val="22"/>
        </w:rPr>
        <w:t>kartus didesnę dozę, nei rekomenduojama žmonėms, nepastebėta.</w:t>
      </w:r>
    </w:p>
    <w:p w14:paraId="60355523" w14:textId="77777777" w:rsidR="008001D5" w:rsidRPr="00D606FA" w:rsidRDefault="008001D5" w:rsidP="008001D5">
      <w:pPr>
        <w:suppressAutoHyphens/>
        <w:rPr>
          <w:spacing w:val="-3"/>
          <w:sz w:val="22"/>
          <w:szCs w:val="22"/>
        </w:rPr>
      </w:pPr>
      <w:r w:rsidRPr="00D606FA">
        <w:rPr>
          <w:spacing w:val="-3"/>
          <w:sz w:val="22"/>
          <w:szCs w:val="22"/>
        </w:rPr>
        <w:t>3</w:t>
      </w:r>
      <w:r>
        <w:rPr>
          <w:spacing w:val="-3"/>
          <w:sz w:val="22"/>
          <w:szCs w:val="22"/>
        </w:rPr>
        <w:t> </w:t>
      </w:r>
      <w:r w:rsidRPr="00D606FA">
        <w:rPr>
          <w:spacing w:val="-3"/>
          <w:sz w:val="22"/>
          <w:szCs w:val="22"/>
        </w:rPr>
        <w:t>mėnesius šunimis duodant fenofibrato pastebėtos grįžtamosios opos ir erozija virškinimo trakte. Esant 5</w:t>
      </w:r>
      <w:r>
        <w:rPr>
          <w:spacing w:val="-3"/>
          <w:sz w:val="22"/>
          <w:szCs w:val="22"/>
        </w:rPr>
        <w:t> </w:t>
      </w:r>
      <w:r w:rsidRPr="00D606FA">
        <w:rPr>
          <w:spacing w:val="-3"/>
          <w:sz w:val="22"/>
          <w:szCs w:val="22"/>
        </w:rPr>
        <w:t>kartus didesnei ekspozicijai, nei rekomenduojama maksimali dozė žmonėms, jokių virškinimo trakto pažeidimų nepastebėta.</w:t>
      </w:r>
    </w:p>
    <w:p w14:paraId="790FFB33"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524CB69"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Fenofibrato mutageniškumo tyrimai buvo neigiami.</w:t>
      </w:r>
    </w:p>
    <w:p w14:paraId="1F9C6CF7"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F0CEFE9" w14:textId="77777777" w:rsidR="008001D5" w:rsidRPr="00D606FA" w:rsidRDefault="008001D5" w:rsidP="008001D5">
      <w:pPr>
        <w:pStyle w:val="Pagrindinistekstas"/>
        <w:jc w:val="left"/>
        <w:rPr>
          <w:sz w:val="22"/>
          <w:szCs w:val="22"/>
        </w:rPr>
      </w:pPr>
      <w:r w:rsidRPr="00D606FA">
        <w:rPr>
          <w:sz w:val="22"/>
          <w:szCs w:val="22"/>
        </w:rPr>
        <w:t>Vartojant dideles dozes, kurios gali būti susijusios su peroksisomų proliferacija, žiurkėms ir pelėms išsivystė kepenų navikai. Šie navikai yra būdingi mažiesiems graužikams ir jų nebuvo pastebėta atliekant bandymus su kitomis gyvūnų rūšimis. Šie bandymų rezultatai neturi įtakos šio vaistinio preparato vartojimui žmogaus gydymui.</w:t>
      </w:r>
    </w:p>
    <w:p w14:paraId="3E5C8F9E" w14:textId="77777777" w:rsidR="008001D5" w:rsidRPr="00D606FA" w:rsidRDefault="008001D5" w:rsidP="008001D5">
      <w:pPr>
        <w:pStyle w:val="Pagrindinistekstas"/>
        <w:jc w:val="left"/>
        <w:rPr>
          <w:sz w:val="22"/>
          <w:szCs w:val="22"/>
        </w:rPr>
      </w:pPr>
    </w:p>
    <w:p w14:paraId="7FFE6F4B" w14:textId="77777777" w:rsidR="008001D5" w:rsidRPr="00D606FA" w:rsidRDefault="008001D5" w:rsidP="008001D5">
      <w:pPr>
        <w:pStyle w:val="Pagrindinisteksta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sz w:val="22"/>
          <w:szCs w:val="22"/>
        </w:rPr>
      </w:pPr>
      <w:r w:rsidRPr="00D606FA">
        <w:rPr>
          <w:sz w:val="22"/>
          <w:szCs w:val="22"/>
        </w:rPr>
        <w:t>Tyrimų su pelėmis, žiurkėmis ir triušiais metu vaistinis preparatas nesukėlė teratogeninio poveikio. Vaistinis preparatas sukėlė embriotoksinį poveikį nėštumo metu. Naudojant dideles dozes pasireiškė nėštumo laikotarpio pailgėjimas ir sunkus gimdymas. Nenustatytas joks poveikis vaisingumui.</w:t>
      </w:r>
    </w:p>
    <w:p w14:paraId="5F009AB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353C2BBC"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Atliekant fenofibro rūgšties daugkartinių dozių toksiškumo tyrimus su jaunais šunimis pastebėta praeinanti hipospermija, vakuolizacija sėklidėse ir sulėtėjęs kiaušidžių vystymasis. Tačiau jokio poveikio vaisingumui ikiklinikinio reprodukcinio toksiškumo tyrimo su fenofibratu metu aptikta nebuvo.</w:t>
      </w:r>
    </w:p>
    <w:p w14:paraId="60668930"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58A9D1A0"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5DBC324" w14:textId="77777777" w:rsidR="008001D5" w:rsidRPr="00D606FA" w:rsidRDefault="008001D5" w:rsidP="008001D5">
      <w:pPr>
        <w:ind w:left="567" w:hanging="567"/>
        <w:outlineLvl w:val="0"/>
        <w:rPr>
          <w:b/>
          <w:bCs/>
          <w:sz w:val="22"/>
          <w:szCs w:val="22"/>
        </w:rPr>
      </w:pPr>
      <w:bookmarkStart w:id="41" w:name="_Toc129243115"/>
      <w:bookmarkStart w:id="42" w:name="_Toc129243240"/>
      <w:r w:rsidRPr="00D606FA">
        <w:rPr>
          <w:b/>
          <w:bCs/>
          <w:sz w:val="22"/>
          <w:szCs w:val="22"/>
        </w:rPr>
        <w:t>6.</w:t>
      </w:r>
      <w:r w:rsidRPr="00D606FA">
        <w:rPr>
          <w:b/>
          <w:bCs/>
          <w:sz w:val="22"/>
          <w:szCs w:val="22"/>
        </w:rPr>
        <w:tab/>
        <w:t>FARMACINĖ INFORMACIJA</w:t>
      </w:r>
      <w:bookmarkEnd w:id="41"/>
      <w:bookmarkEnd w:id="42"/>
    </w:p>
    <w:p w14:paraId="5AD9F1A7" w14:textId="77777777" w:rsidR="008001D5" w:rsidRPr="00D606FA" w:rsidRDefault="008001D5" w:rsidP="00E33FE9">
      <w:pPr>
        <w:pStyle w:val="BTEMEASMCADiagrama"/>
      </w:pPr>
    </w:p>
    <w:p w14:paraId="761868A2" w14:textId="6259A89C" w:rsidR="008001D5" w:rsidRPr="00D606FA" w:rsidRDefault="008001D5" w:rsidP="00E33FE9">
      <w:pPr>
        <w:pStyle w:val="PI-2EMEASMCA"/>
      </w:pPr>
      <w:bookmarkStart w:id="43" w:name="_Toc129243116"/>
      <w:bookmarkStart w:id="44" w:name="_Toc129243241"/>
      <w:r w:rsidRPr="00D606FA">
        <w:t>6.1</w:t>
      </w:r>
      <w:r w:rsidRPr="00D606FA">
        <w:tab/>
        <w:t>Pagalbinių medžiagų sąrašas</w:t>
      </w:r>
      <w:bookmarkEnd w:id="43"/>
      <w:bookmarkEnd w:id="44"/>
    </w:p>
    <w:p w14:paraId="21730E4F"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55F89F20" w14:textId="77777777" w:rsidR="008001D5" w:rsidRPr="00D606FA" w:rsidRDefault="008001D5" w:rsidP="008001D5">
      <w:pPr>
        <w:pStyle w:val="Pagrindinistekstas"/>
        <w:jc w:val="left"/>
        <w:rPr>
          <w:i/>
          <w:iCs/>
          <w:sz w:val="22"/>
          <w:szCs w:val="22"/>
        </w:rPr>
      </w:pPr>
      <w:r w:rsidRPr="00D606FA">
        <w:rPr>
          <w:i/>
          <w:iCs/>
          <w:sz w:val="22"/>
          <w:szCs w:val="22"/>
        </w:rPr>
        <w:t>Kapsulės turinys</w:t>
      </w:r>
    </w:p>
    <w:p w14:paraId="3DFD71D5" w14:textId="77777777" w:rsidR="008001D5" w:rsidRPr="00D606FA" w:rsidRDefault="008001D5" w:rsidP="008001D5">
      <w:pPr>
        <w:pStyle w:val="Pagrindinistekstas"/>
        <w:jc w:val="left"/>
        <w:rPr>
          <w:sz w:val="22"/>
          <w:szCs w:val="22"/>
        </w:rPr>
      </w:pPr>
      <w:r w:rsidRPr="00D606FA">
        <w:rPr>
          <w:sz w:val="22"/>
          <w:szCs w:val="22"/>
        </w:rPr>
        <w:t>Natrio laurisulfatas</w:t>
      </w:r>
    </w:p>
    <w:p w14:paraId="3F04BEBD" w14:textId="77777777" w:rsidR="008001D5" w:rsidRPr="00D606FA" w:rsidRDefault="008001D5" w:rsidP="008001D5">
      <w:pPr>
        <w:pStyle w:val="Pagrindinistekstas"/>
        <w:jc w:val="left"/>
        <w:rPr>
          <w:sz w:val="22"/>
          <w:szCs w:val="22"/>
        </w:rPr>
      </w:pPr>
      <w:r w:rsidRPr="00D606FA">
        <w:rPr>
          <w:sz w:val="22"/>
          <w:szCs w:val="22"/>
        </w:rPr>
        <w:t>Laktozė monohidratas</w:t>
      </w:r>
    </w:p>
    <w:p w14:paraId="341621A4" w14:textId="77777777" w:rsidR="008001D5" w:rsidRPr="00D606FA" w:rsidRDefault="008001D5" w:rsidP="008001D5">
      <w:pPr>
        <w:pStyle w:val="Pagrindinistekstas"/>
        <w:jc w:val="left"/>
        <w:rPr>
          <w:sz w:val="22"/>
          <w:szCs w:val="22"/>
        </w:rPr>
      </w:pPr>
      <w:r w:rsidRPr="00D606FA">
        <w:rPr>
          <w:sz w:val="22"/>
          <w:szCs w:val="22"/>
        </w:rPr>
        <w:t>Pregelifikuotas krakmolas</w:t>
      </w:r>
    </w:p>
    <w:p w14:paraId="50156745" w14:textId="77777777" w:rsidR="008001D5" w:rsidRPr="00D606FA" w:rsidRDefault="008001D5" w:rsidP="008001D5">
      <w:pPr>
        <w:pStyle w:val="Pagrindinistekstas"/>
        <w:jc w:val="left"/>
        <w:rPr>
          <w:sz w:val="22"/>
          <w:szCs w:val="22"/>
        </w:rPr>
      </w:pPr>
      <w:r w:rsidRPr="00D606FA">
        <w:rPr>
          <w:sz w:val="22"/>
          <w:szCs w:val="22"/>
        </w:rPr>
        <w:t>Krospovidonas</w:t>
      </w:r>
    </w:p>
    <w:p w14:paraId="6027A1F9" w14:textId="77777777" w:rsidR="008001D5" w:rsidRPr="00D606FA" w:rsidRDefault="008001D5" w:rsidP="008001D5">
      <w:pPr>
        <w:pStyle w:val="Pagrindinistekstas"/>
        <w:jc w:val="left"/>
        <w:rPr>
          <w:sz w:val="22"/>
          <w:szCs w:val="22"/>
        </w:rPr>
      </w:pPr>
      <w:r w:rsidRPr="00D606FA">
        <w:rPr>
          <w:sz w:val="22"/>
          <w:szCs w:val="22"/>
        </w:rPr>
        <w:t>Magnio stearatas</w:t>
      </w:r>
    </w:p>
    <w:p w14:paraId="6B7DBA7A" w14:textId="77777777" w:rsidR="008001D5" w:rsidRPr="00D606FA" w:rsidRDefault="008001D5" w:rsidP="008001D5">
      <w:pPr>
        <w:pStyle w:val="Pagrindinistekstas"/>
        <w:jc w:val="left"/>
        <w:rPr>
          <w:sz w:val="22"/>
          <w:szCs w:val="22"/>
        </w:rPr>
      </w:pPr>
    </w:p>
    <w:p w14:paraId="5167BF2C" w14:textId="77777777" w:rsidR="008001D5" w:rsidRPr="00D606FA" w:rsidRDefault="008001D5" w:rsidP="008001D5">
      <w:pPr>
        <w:pStyle w:val="Pagrindinistekstas"/>
        <w:jc w:val="left"/>
        <w:rPr>
          <w:i/>
          <w:iCs/>
          <w:sz w:val="22"/>
          <w:szCs w:val="22"/>
        </w:rPr>
      </w:pPr>
      <w:r w:rsidRPr="00D606FA">
        <w:rPr>
          <w:i/>
          <w:iCs/>
          <w:sz w:val="22"/>
          <w:szCs w:val="22"/>
        </w:rPr>
        <w:t>Kapsulės korpusas</w:t>
      </w:r>
    </w:p>
    <w:p w14:paraId="141DE7B5" w14:textId="77777777" w:rsidR="008001D5" w:rsidRPr="00D606FA" w:rsidRDefault="008001D5" w:rsidP="008001D5">
      <w:pPr>
        <w:pStyle w:val="Pagrindinistekstas"/>
        <w:jc w:val="left"/>
        <w:rPr>
          <w:sz w:val="22"/>
          <w:szCs w:val="22"/>
        </w:rPr>
      </w:pPr>
      <w:r w:rsidRPr="00D606FA">
        <w:rPr>
          <w:sz w:val="22"/>
          <w:szCs w:val="22"/>
        </w:rPr>
        <w:t>Želatina</w:t>
      </w:r>
    </w:p>
    <w:p w14:paraId="5A4ED3BC" w14:textId="77777777" w:rsidR="008001D5" w:rsidRPr="00D606FA" w:rsidRDefault="008001D5" w:rsidP="008001D5">
      <w:pPr>
        <w:pStyle w:val="Pagrindinistekstas"/>
        <w:jc w:val="left"/>
        <w:rPr>
          <w:sz w:val="22"/>
          <w:szCs w:val="22"/>
        </w:rPr>
      </w:pPr>
      <w:r w:rsidRPr="00D606FA">
        <w:rPr>
          <w:sz w:val="22"/>
          <w:szCs w:val="22"/>
        </w:rPr>
        <w:lastRenderedPageBreak/>
        <w:t>Titano dioksidas (E171)</w:t>
      </w:r>
    </w:p>
    <w:p w14:paraId="1D1DA9FE" w14:textId="77777777" w:rsidR="008001D5" w:rsidRPr="00D606FA" w:rsidRDefault="008001D5" w:rsidP="008001D5">
      <w:pPr>
        <w:pStyle w:val="Pagrindinistekstas"/>
        <w:jc w:val="left"/>
        <w:rPr>
          <w:sz w:val="22"/>
          <w:szCs w:val="22"/>
        </w:rPr>
      </w:pPr>
      <w:r w:rsidRPr="00D606FA">
        <w:rPr>
          <w:sz w:val="22"/>
          <w:szCs w:val="22"/>
        </w:rPr>
        <w:t>Raudonasis geležies oksidas (E172)</w:t>
      </w:r>
    </w:p>
    <w:p w14:paraId="160F2ED2" w14:textId="77777777" w:rsidR="008001D5" w:rsidRPr="00D606FA" w:rsidRDefault="008001D5" w:rsidP="008001D5">
      <w:pPr>
        <w:pStyle w:val="Pagrindinistekstas"/>
        <w:jc w:val="left"/>
        <w:rPr>
          <w:sz w:val="22"/>
          <w:szCs w:val="22"/>
        </w:rPr>
      </w:pPr>
      <w:r w:rsidRPr="00D606FA">
        <w:rPr>
          <w:sz w:val="22"/>
          <w:szCs w:val="22"/>
        </w:rPr>
        <w:t>Geltonasis geležies oksidas (E172)</w:t>
      </w:r>
    </w:p>
    <w:p w14:paraId="5F83F4F2" w14:textId="77777777" w:rsidR="008001D5" w:rsidRPr="00D606FA" w:rsidRDefault="008001D5" w:rsidP="008001D5">
      <w:pPr>
        <w:pStyle w:val="Pagrindinistekstas"/>
        <w:jc w:val="left"/>
        <w:rPr>
          <w:sz w:val="22"/>
          <w:szCs w:val="22"/>
        </w:rPr>
      </w:pPr>
    </w:p>
    <w:p w14:paraId="6458CCC4" w14:textId="77777777" w:rsidR="008001D5" w:rsidRPr="00D606FA" w:rsidRDefault="008001D5" w:rsidP="00E33FE9">
      <w:pPr>
        <w:pStyle w:val="PI-2EMEASMCA"/>
      </w:pPr>
      <w:bookmarkStart w:id="45" w:name="_Toc129243117"/>
      <w:bookmarkStart w:id="46" w:name="_Toc129243242"/>
      <w:r w:rsidRPr="00D606FA">
        <w:t>6.2</w:t>
      </w:r>
      <w:r w:rsidRPr="00D606FA">
        <w:tab/>
        <w:t>Nesuderinamumas</w:t>
      </w:r>
      <w:bookmarkEnd w:id="45"/>
      <w:bookmarkEnd w:id="46"/>
    </w:p>
    <w:p w14:paraId="3DB467C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4CFDF85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Duomenys nebūtini.</w:t>
      </w:r>
    </w:p>
    <w:p w14:paraId="462CDA2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1BACF82" w14:textId="77777777" w:rsidR="008001D5" w:rsidRPr="00D606FA" w:rsidRDefault="008001D5" w:rsidP="00E33FE9">
      <w:pPr>
        <w:pStyle w:val="PI-2EMEASMCA"/>
      </w:pPr>
      <w:bookmarkStart w:id="47" w:name="_Toc129243118"/>
      <w:bookmarkStart w:id="48" w:name="_Toc129243243"/>
      <w:r w:rsidRPr="00D606FA">
        <w:t>6.3</w:t>
      </w:r>
      <w:r w:rsidRPr="00D606FA">
        <w:tab/>
        <w:t>Tinkamumo laikas</w:t>
      </w:r>
      <w:bookmarkEnd w:id="47"/>
      <w:bookmarkEnd w:id="48"/>
    </w:p>
    <w:p w14:paraId="36B77BEE"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381A1AC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3</w:t>
      </w:r>
      <w:r>
        <w:rPr>
          <w:spacing w:val="-3"/>
          <w:sz w:val="22"/>
          <w:szCs w:val="22"/>
        </w:rPr>
        <w:t> </w:t>
      </w:r>
      <w:r w:rsidRPr="00D606FA">
        <w:rPr>
          <w:spacing w:val="-3"/>
          <w:sz w:val="22"/>
          <w:szCs w:val="22"/>
        </w:rPr>
        <w:t>metai.</w:t>
      </w:r>
    </w:p>
    <w:p w14:paraId="5C82ECEF"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5C86B16" w14:textId="77777777" w:rsidR="008001D5" w:rsidRPr="00D606FA" w:rsidRDefault="008001D5" w:rsidP="00E33FE9">
      <w:pPr>
        <w:pStyle w:val="PI-2EMEASMCA"/>
      </w:pPr>
      <w:bookmarkStart w:id="49" w:name="_Toc129243119"/>
      <w:bookmarkStart w:id="50" w:name="_Toc129243244"/>
      <w:r w:rsidRPr="00D606FA">
        <w:t>6.4</w:t>
      </w:r>
      <w:r w:rsidRPr="00D606FA">
        <w:tab/>
        <w:t>Specialios laikymo sąlygos</w:t>
      </w:r>
      <w:bookmarkEnd w:id="49"/>
      <w:bookmarkEnd w:id="50"/>
    </w:p>
    <w:p w14:paraId="14C0F1C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490911E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Šiam vaistiniam preparatui specialių temperatūros sąlygų nereikia.</w:t>
      </w:r>
    </w:p>
    <w:p w14:paraId="7C0088E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Laikyti gamintojo pakuotėje, kad vaistinis preparatas būtų apsaugotas nuo drėgmės.</w:t>
      </w:r>
    </w:p>
    <w:p w14:paraId="3B902842"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4654405" w14:textId="77777777" w:rsidR="008001D5" w:rsidRPr="00D606FA" w:rsidRDefault="008001D5" w:rsidP="00E33FE9">
      <w:pPr>
        <w:pStyle w:val="PI-2EMEASMCA"/>
      </w:pPr>
      <w:bookmarkStart w:id="51" w:name="_Toc129243120"/>
      <w:bookmarkStart w:id="52" w:name="_Toc129243245"/>
      <w:r w:rsidRPr="00D606FA">
        <w:t>6.5</w:t>
      </w:r>
      <w:r w:rsidRPr="00D606FA">
        <w:tab/>
        <w:t>Pakuotė ir jos turinys</w:t>
      </w:r>
      <w:bookmarkEnd w:id="51"/>
      <w:bookmarkEnd w:id="52"/>
    </w:p>
    <w:p w14:paraId="5BEF37B3"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0338BD99"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PVC/aliuminio folijos lizdinė plokštelė. Kartono dėžutėje yra 30</w:t>
      </w:r>
      <w:r>
        <w:rPr>
          <w:spacing w:val="-3"/>
          <w:sz w:val="22"/>
          <w:szCs w:val="22"/>
        </w:rPr>
        <w:t> </w:t>
      </w:r>
      <w:r w:rsidRPr="00D606FA">
        <w:rPr>
          <w:spacing w:val="-3"/>
          <w:sz w:val="22"/>
          <w:szCs w:val="22"/>
        </w:rPr>
        <w:t>kapsulių.</w:t>
      </w:r>
    </w:p>
    <w:p w14:paraId="32CE5BD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31A53479" w14:textId="77777777" w:rsidR="008001D5" w:rsidRPr="00D606FA" w:rsidRDefault="008001D5" w:rsidP="00E33FE9">
      <w:pPr>
        <w:pStyle w:val="PI-2EMEASMCA"/>
      </w:pPr>
      <w:bookmarkStart w:id="53" w:name="_Toc129243121"/>
      <w:bookmarkStart w:id="54" w:name="_Toc129243246"/>
      <w:r w:rsidRPr="00D606FA">
        <w:t>6.6</w:t>
      </w:r>
      <w:r w:rsidRPr="00D606FA">
        <w:tab/>
        <w:t xml:space="preserve">Specialūs reikalavimai atliekoms tvarkyti </w:t>
      </w:r>
      <w:bookmarkEnd w:id="53"/>
      <w:bookmarkEnd w:id="54"/>
    </w:p>
    <w:p w14:paraId="29DAE4BE"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4D861E3F"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Specialių reikalavimų nėra.</w:t>
      </w:r>
    </w:p>
    <w:p w14:paraId="2D432CD5"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051BA7F9"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11079E9A" w14:textId="77777777" w:rsidR="008001D5" w:rsidRPr="00D606FA" w:rsidRDefault="008001D5" w:rsidP="008001D5">
      <w:pPr>
        <w:ind w:left="567" w:hanging="567"/>
        <w:outlineLvl w:val="0"/>
        <w:rPr>
          <w:b/>
          <w:bCs/>
          <w:sz w:val="22"/>
          <w:szCs w:val="22"/>
        </w:rPr>
      </w:pPr>
      <w:bookmarkStart w:id="55" w:name="_Toc129243122"/>
      <w:bookmarkStart w:id="56" w:name="_Toc129243247"/>
      <w:r w:rsidRPr="00D606FA">
        <w:rPr>
          <w:b/>
          <w:bCs/>
          <w:sz w:val="22"/>
          <w:szCs w:val="22"/>
        </w:rPr>
        <w:t>7.</w:t>
      </w:r>
      <w:r w:rsidRPr="00D606FA">
        <w:rPr>
          <w:b/>
          <w:bCs/>
          <w:sz w:val="22"/>
          <w:szCs w:val="22"/>
        </w:rPr>
        <w:tab/>
      </w:r>
      <w:bookmarkEnd w:id="55"/>
      <w:bookmarkEnd w:id="56"/>
      <w:r w:rsidRPr="00D606FA">
        <w:rPr>
          <w:b/>
          <w:bCs/>
          <w:sz w:val="22"/>
          <w:szCs w:val="22"/>
        </w:rPr>
        <w:t>REGISTRUOTOJAS</w:t>
      </w:r>
    </w:p>
    <w:p w14:paraId="6C5C34B0"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285E2D5D" w14:textId="5D0649E0" w:rsidR="008001D5" w:rsidRPr="008417CD" w:rsidRDefault="0086045E" w:rsidP="008001D5">
      <w:pPr>
        <w:rPr>
          <w:sz w:val="22"/>
          <w:szCs w:val="22"/>
        </w:rPr>
      </w:pPr>
      <w:r>
        <w:rPr>
          <w:sz w:val="22"/>
          <w:szCs w:val="22"/>
        </w:rPr>
        <w:t>Viatris</w:t>
      </w:r>
      <w:r w:rsidR="008001D5" w:rsidRPr="00AF3C6C">
        <w:rPr>
          <w:sz w:val="22"/>
          <w:szCs w:val="22"/>
        </w:rPr>
        <w:t xml:space="preserve"> </w:t>
      </w:r>
      <w:r w:rsidR="008001D5" w:rsidRPr="008417CD">
        <w:rPr>
          <w:sz w:val="22"/>
          <w:szCs w:val="22"/>
        </w:rPr>
        <w:t>SIA</w:t>
      </w:r>
    </w:p>
    <w:p w14:paraId="3FFF1224" w14:textId="77777777" w:rsidR="008001D5" w:rsidRPr="008417CD" w:rsidRDefault="008001D5" w:rsidP="008001D5">
      <w:pPr>
        <w:rPr>
          <w:sz w:val="22"/>
          <w:szCs w:val="22"/>
        </w:rPr>
      </w:pPr>
      <w:r w:rsidRPr="008417CD">
        <w:rPr>
          <w:sz w:val="22"/>
          <w:szCs w:val="22"/>
        </w:rPr>
        <w:t>Mūkusalas 101</w:t>
      </w:r>
    </w:p>
    <w:p w14:paraId="3767C240" w14:textId="77777777" w:rsidR="008001D5" w:rsidRPr="008417CD" w:rsidRDefault="008001D5" w:rsidP="008001D5">
      <w:pPr>
        <w:rPr>
          <w:sz w:val="22"/>
          <w:szCs w:val="22"/>
        </w:rPr>
      </w:pPr>
      <w:r w:rsidRPr="008417CD">
        <w:rPr>
          <w:sz w:val="22"/>
          <w:szCs w:val="22"/>
        </w:rPr>
        <w:t>Rīga LV 1004</w:t>
      </w:r>
    </w:p>
    <w:p w14:paraId="2293DC8E" w14:textId="77777777" w:rsidR="008001D5" w:rsidRPr="00D606FA" w:rsidRDefault="008001D5" w:rsidP="008001D5">
      <w:pPr>
        <w:rPr>
          <w:sz w:val="22"/>
          <w:szCs w:val="22"/>
        </w:rPr>
      </w:pPr>
      <w:r w:rsidRPr="008417CD">
        <w:rPr>
          <w:sz w:val="22"/>
          <w:szCs w:val="22"/>
        </w:rPr>
        <w:t>Latvija</w:t>
      </w:r>
    </w:p>
    <w:p w14:paraId="1D80FC1E"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854DE24"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6ADB03B6" w14:textId="77777777" w:rsidR="008001D5" w:rsidRPr="00D606FA" w:rsidRDefault="008001D5" w:rsidP="008001D5">
      <w:pPr>
        <w:ind w:left="567" w:hanging="567"/>
        <w:outlineLvl w:val="0"/>
        <w:rPr>
          <w:b/>
          <w:bCs/>
          <w:sz w:val="22"/>
          <w:szCs w:val="22"/>
        </w:rPr>
      </w:pPr>
      <w:bookmarkStart w:id="57" w:name="_Toc129243123"/>
      <w:bookmarkStart w:id="58" w:name="_Toc129243248"/>
      <w:r w:rsidRPr="00D606FA">
        <w:rPr>
          <w:b/>
          <w:bCs/>
          <w:sz w:val="22"/>
          <w:szCs w:val="22"/>
        </w:rPr>
        <w:t>8.</w:t>
      </w:r>
      <w:r w:rsidRPr="00D606FA">
        <w:rPr>
          <w:b/>
          <w:bCs/>
          <w:sz w:val="22"/>
          <w:szCs w:val="22"/>
        </w:rPr>
        <w:tab/>
        <w:t>REGISTRACIJOS PAŽYMĖJIMO NUMERIS</w:t>
      </w:r>
      <w:bookmarkEnd w:id="57"/>
      <w:bookmarkEnd w:id="58"/>
    </w:p>
    <w:p w14:paraId="6F2A480A"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441A8944" w14:textId="77777777" w:rsidR="008001D5" w:rsidRPr="00D606FA" w:rsidRDefault="008001D5" w:rsidP="008001D5">
      <w:pPr>
        <w:rPr>
          <w:sz w:val="22"/>
          <w:szCs w:val="22"/>
        </w:rPr>
      </w:pPr>
      <w:r w:rsidRPr="00D606FA">
        <w:rPr>
          <w:sz w:val="22"/>
          <w:szCs w:val="22"/>
        </w:rPr>
        <w:t>LT/1/96/2568/001</w:t>
      </w:r>
    </w:p>
    <w:p w14:paraId="4910C34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231F6E61"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07DA49F2" w14:textId="77777777" w:rsidR="008001D5" w:rsidRPr="00D606FA" w:rsidRDefault="008001D5" w:rsidP="008001D5">
      <w:pPr>
        <w:ind w:left="567" w:hanging="567"/>
        <w:outlineLvl w:val="0"/>
        <w:rPr>
          <w:b/>
          <w:bCs/>
          <w:sz w:val="22"/>
          <w:szCs w:val="22"/>
        </w:rPr>
      </w:pPr>
      <w:bookmarkStart w:id="59" w:name="_Toc129243124"/>
      <w:bookmarkStart w:id="60" w:name="_Toc129243249"/>
      <w:r w:rsidRPr="00D606FA">
        <w:rPr>
          <w:b/>
          <w:bCs/>
          <w:sz w:val="22"/>
          <w:szCs w:val="22"/>
        </w:rPr>
        <w:t>9.</w:t>
      </w:r>
      <w:r w:rsidRPr="00D606FA">
        <w:rPr>
          <w:b/>
          <w:bCs/>
          <w:sz w:val="22"/>
          <w:szCs w:val="22"/>
        </w:rPr>
        <w:tab/>
        <w:t>REGISTRAVIMO / PERREGISTRAVIMO DATA</w:t>
      </w:r>
      <w:bookmarkEnd w:id="59"/>
      <w:bookmarkEnd w:id="60"/>
    </w:p>
    <w:p w14:paraId="5C53800F"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bCs/>
          <w:spacing w:val="-3"/>
          <w:sz w:val="22"/>
          <w:szCs w:val="22"/>
        </w:rPr>
      </w:pPr>
    </w:p>
    <w:p w14:paraId="0A64B3AB" w14:textId="77777777" w:rsidR="008001D5" w:rsidRPr="00D606FA" w:rsidRDefault="008001D5" w:rsidP="008001D5">
      <w:pPr>
        <w:rPr>
          <w:spacing w:val="-3"/>
          <w:sz w:val="22"/>
          <w:szCs w:val="22"/>
        </w:rPr>
      </w:pPr>
      <w:r w:rsidRPr="00D606FA">
        <w:rPr>
          <w:sz w:val="22"/>
          <w:szCs w:val="22"/>
        </w:rPr>
        <w:t>Registravimo data 1996</w:t>
      </w:r>
      <w:r>
        <w:rPr>
          <w:sz w:val="22"/>
          <w:szCs w:val="22"/>
        </w:rPr>
        <w:t> </w:t>
      </w:r>
      <w:r w:rsidRPr="00D606FA">
        <w:rPr>
          <w:sz w:val="22"/>
          <w:szCs w:val="22"/>
        </w:rPr>
        <w:t>m. vasario 15</w:t>
      </w:r>
      <w:r>
        <w:rPr>
          <w:sz w:val="22"/>
          <w:szCs w:val="22"/>
        </w:rPr>
        <w:t> </w:t>
      </w:r>
      <w:r w:rsidRPr="00D606FA">
        <w:rPr>
          <w:sz w:val="22"/>
          <w:szCs w:val="22"/>
        </w:rPr>
        <w:t>d.</w:t>
      </w:r>
    </w:p>
    <w:p w14:paraId="544D5008" w14:textId="77777777" w:rsidR="008001D5" w:rsidRPr="00D606FA" w:rsidRDefault="008001D5" w:rsidP="008001D5">
      <w:pPr>
        <w:rPr>
          <w:sz w:val="22"/>
          <w:szCs w:val="22"/>
        </w:rPr>
      </w:pPr>
      <w:r w:rsidRPr="00D606FA">
        <w:rPr>
          <w:sz w:val="22"/>
          <w:szCs w:val="22"/>
        </w:rPr>
        <w:t>Paskutinio perregistravimo data 2011 m. liepos 28</w:t>
      </w:r>
      <w:r>
        <w:rPr>
          <w:sz w:val="22"/>
          <w:szCs w:val="22"/>
        </w:rPr>
        <w:t> </w:t>
      </w:r>
      <w:r w:rsidRPr="00D606FA">
        <w:rPr>
          <w:sz w:val="22"/>
          <w:szCs w:val="22"/>
        </w:rPr>
        <w:t>d.</w:t>
      </w:r>
    </w:p>
    <w:p w14:paraId="3504237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AD2516A"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p>
    <w:p w14:paraId="718A5BFF" w14:textId="77777777" w:rsidR="008001D5" w:rsidRPr="00D606FA" w:rsidRDefault="008001D5" w:rsidP="008001D5">
      <w:pPr>
        <w:ind w:left="567" w:hanging="567"/>
        <w:outlineLvl w:val="0"/>
        <w:rPr>
          <w:b/>
          <w:bCs/>
          <w:sz w:val="22"/>
          <w:szCs w:val="22"/>
        </w:rPr>
      </w:pPr>
      <w:bookmarkStart w:id="61" w:name="_Toc129243125"/>
      <w:bookmarkStart w:id="62" w:name="_Toc129243250"/>
      <w:r w:rsidRPr="00D606FA">
        <w:rPr>
          <w:b/>
          <w:bCs/>
          <w:sz w:val="22"/>
          <w:szCs w:val="22"/>
        </w:rPr>
        <w:t>10.</w:t>
      </w:r>
      <w:r w:rsidRPr="00D606FA">
        <w:rPr>
          <w:b/>
          <w:bCs/>
          <w:sz w:val="22"/>
          <w:szCs w:val="22"/>
        </w:rPr>
        <w:tab/>
        <w:t>TEKSTO PERŽIŪROS DATA</w:t>
      </w:r>
      <w:bookmarkEnd w:id="61"/>
      <w:bookmarkEnd w:id="62"/>
    </w:p>
    <w:p w14:paraId="63F835A7" w14:textId="77777777" w:rsidR="008001D5" w:rsidRDefault="008001D5" w:rsidP="00E33FE9">
      <w:pPr>
        <w:pStyle w:val="BTEMEASMCADiagrama"/>
      </w:pPr>
    </w:p>
    <w:p w14:paraId="442F36C9" w14:textId="554D117B" w:rsidR="008001D5" w:rsidRPr="0072052A" w:rsidRDefault="008001D5" w:rsidP="00E33FE9">
      <w:pPr>
        <w:pStyle w:val="BTEMEASMCADiagrama"/>
      </w:pPr>
      <w:r w:rsidRPr="0072052A">
        <w:t xml:space="preserve"> 20</w:t>
      </w:r>
      <w:r w:rsidR="0078694F" w:rsidRPr="0072052A">
        <w:t>23 m. rugsėjo 1 d.</w:t>
      </w:r>
    </w:p>
    <w:p w14:paraId="6255A52B" w14:textId="77777777" w:rsidR="008001D5" w:rsidRPr="0072052A" w:rsidRDefault="008001D5" w:rsidP="00E33FE9">
      <w:pPr>
        <w:pStyle w:val="BTEMEASMCADiagrama"/>
      </w:pPr>
    </w:p>
    <w:p w14:paraId="0AAE4EE5" w14:textId="77777777" w:rsidR="008001D5" w:rsidRPr="0072052A" w:rsidRDefault="008001D5" w:rsidP="00E33FE9">
      <w:pPr>
        <w:pStyle w:val="BTEMEASMCADiagrama"/>
      </w:pPr>
      <w:r w:rsidRPr="0072052A">
        <w:t>Išsami informacija apie šį vaistinį preparatą pateikiama Valstybinės vaistų kontrolės tarnybos prie Lietuvos Respublikos sveikatos apsaugos ministerijos tinklalapyje http://www.vvkt.lt/.</w:t>
      </w:r>
    </w:p>
    <w:p w14:paraId="5C156CB9" w14:textId="77777777" w:rsidR="008001D5" w:rsidRPr="00D606FA" w:rsidRDefault="008001D5" w:rsidP="00E33FE9">
      <w:pPr>
        <w:pStyle w:val="BTEMEASMCADiagrama"/>
      </w:pPr>
      <w:r w:rsidRPr="00D606FA">
        <w:br w:type="page"/>
      </w:r>
    </w:p>
    <w:p w14:paraId="3CF8E4A0" w14:textId="77777777" w:rsidR="008001D5" w:rsidRPr="00D606FA" w:rsidRDefault="008001D5" w:rsidP="00E33FE9">
      <w:pPr>
        <w:pStyle w:val="BTEMEASMCADiagrama"/>
      </w:pPr>
    </w:p>
    <w:p w14:paraId="3367ABC9" w14:textId="77777777" w:rsidR="008001D5" w:rsidRPr="00D606FA" w:rsidRDefault="008001D5" w:rsidP="00E33FE9">
      <w:pPr>
        <w:pStyle w:val="BTEMEASMCADiagrama"/>
      </w:pPr>
    </w:p>
    <w:p w14:paraId="2B3619CF" w14:textId="77777777" w:rsidR="008001D5" w:rsidRPr="00D606FA" w:rsidRDefault="008001D5" w:rsidP="00E33FE9">
      <w:pPr>
        <w:pStyle w:val="BTEMEASMCADiagrama"/>
      </w:pPr>
    </w:p>
    <w:p w14:paraId="5588E13B" w14:textId="77777777" w:rsidR="008001D5" w:rsidRPr="00D606FA" w:rsidRDefault="008001D5" w:rsidP="00E33FE9">
      <w:pPr>
        <w:pStyle w:val="BTEMEASMCADiagrama"/>
      </w:pPr>
    </w:p>
    <w:p w14:paraId="7F3575C3" w14:textId="77777777" w:rsidR="008001D5" w:rsidRPr="00D606FA" w:rsidRDefault="008001D5" w:rsidP="00E33FE9">
      <w:pPr>
        <w:pStyle w:val="BTEMEASMCADiagrama"/>
      </w:pPr>
    </w:p>
    <w:p w14:paraId="40F3B82B" w14:textId="77777777" w:rsidR="008001D5" w:rsidRPr="00D606FA" w:rsidRDefault="008001D5" w:rsidP="00E33FE9">
      <w:pPr>
        <w:pStyle w:val="BTEMEASMCADiagrama"/>
      </w:pPr>
    </w:p>
    <w:p w14:paraId="60ED2D0D" w14:textId="77777777" w:rsidR="008001D5" w:rsidRPr="00D606FA" w:rsidRDefault="008001D5" w:rsidP="00E33FE9">
      <w:pPr>
        <w:pStyle w:val="BTEMEASMCADiagrama"/>
      </w:pPr>
    </w:p>
    <w:p w14:paraId="05E626FD" w14:textId="77777777" w:rsidR="008001D5" w:rsidRPr="00D606FA" w:rsidRDefault="008001D5" w:rsidP="00E33FE9">
      <w:pPr>
        <w:pStyle w:val="BTEMEASMCADiagrama"/>
      </w:pPr>
    </w:p>
    <w:p w14:paraId="69727486" w14:textId="77777777" w:rsidR="008001D5" w:rsidRPr="00D606FA" w:rsidRDefault="008001D5" w:rsidP="00E33FE9">
      <w:pPr>
        <w:pStyle w:val="BTEMEASMCADiagrama"/>
      </w:pPr>
    </w:p>
    <w:p w14:paraId="66ED36DB" w14:textId="77777777" w:rsidR="008001D5" w:rsidRPr="00D606FA" w:rsidRDefault="008001D5" w:rsidP="00E33FE9">
      <w:pPr>
        <w:pStyle w:val="BTEMEASMCADiagrama"/>
      </w:pPr>
    </w:p>
    <w:p w14:paraId="355E6B44" w14:textId="77777777" w:rsidR="008001D5" w:rsidRPr="00D606FA" w:rsidRDefault="008001D5" w:rsidP="00E33FE9">
      <w:pPr>
        <w:pStyle w:val="BTEMEASMCADiagrama"/>
      </w:pPr>
    </w:p>
    <w:p w14:paraId="0245E546" w14:textId="77777777" w:rsidR="008001D5" w:rsidRPr="00D606FA" w:rsidRDefault="008001D5" w:rsidP="00E33FE9">
      <w:pPr>
        <w:pStyle w:val="BTEMEASMCADiagrama"/>
      </w:pPr>
    </w:p>
    <w:p w14:paraId="4E79728A" w14:textId="77777777" w:rsidR="008001D5" w:rsidRPr="00D606FA" w:rsidRDefault="008001D5" w:rsidP="00E33FE9">
      <w:pPr>
        <w:pStyle w:val="BTEMEASMCADiagrama"/>
      </w:pPr>
    </w:p>
    <w:p w14:paraId="242BF63F" w14:textId="77777777" w:rsidR="008001D5" w:rsidRPr="00D606FA" w:rsidRDefault="008001D5" w:rsidP="00E33FE9">
      <w:pPr>
        <w:pStyle w:val="BTEMEASMCADiagrama"/>
      </w:pPr>
    </w:p>
    <w:p w14:paraId="45929EC3" w14:textId="77777777" w:rsidR="008001D5" w:rsidRPr="00D606FA" w:rsidRDefault="008001D5" w:rsidP="00E33FE9">
      <w:pPr>
        <w:pStyle w:val="BTEMEASMCADiagrama"/>
      </w:pPr>
    </w:p>
    <w:p w14:paraId="24E16A72" w14:textId="77777777" w:rsidR="008001D5" w:rsidRPr="00D606FA" w:rsidRDefault="008001D5" w:rsidP="00E33FE9">
      <w:pPr>
        <w:pStyle w:val="BTEMEASMCADiagrama"/>
      </w:pPr>
    </w:p>
    <w:p w14:paraId="76BD5574" w14:textId="77777777" w:rsidR="008001D5" w:rsidRPr="00D606FA" w:rsidRDefault="008001D5" w:rsidP="00E33FE9">
      <w:pPr>
        <w:pStyle w:val="BTEMEASMCADiagrama"/>
      </w:pPr>
    </w:p>
    <w:p w14:paraId="58842C44" w14:textId="77777777" w:rsidR="008001D5" w:rsidRPr="00D606FA" w:rsidRDefault="008001D5" w:rsidP="00E33FE9">
      <w:pPr>
        <w:pStyle w:val="BTEMEASMCADiagrama"/>
      </w:pPr>
    </w:p>
    <w:p w14:paraId="61A3008C" w14:textId="77777777" w:rsidR="008001D5" w:rsidRPr="00D606FA" w:rsidRDefault="008001D5" w:rsidP="00E33FE9">
      <w:pPr>
        <w:pStyle w:val="BTEMEASMCADiagrama"/>
      </w:pPr>
    </w:p>
    <w:p w14:paraId="4558DE84" w14:textId="77777777" w:rsidR="008001D5" w:rsidRPr="00D606FA" w:rsidRDefault="008001D5" w:rsidP="00E33FE9">
      <w:pPr>
        <w:pStyle w:val="BTEMEASMCADiagrama"/>
      </w:pPr>
    </w:p>
    <w:p w14:paraId="7D5D37C1" w14:textId="77777777" w:rsidR="008001D5" w:rsidRPr="00D606FA" w:rsidRDefault="008001D5" w:rsidP="009420B3">
      <w:pPr>
        <w:pStyle w:val="TTEMEASMCA"/>
      </w:pPr>
      <w:bookmarkStart w:id="63" w:name="_Toc129243128"/>
      <w:bookmarkStart w:id="64" w:name="_Toc129243253"/>
    </w:p>
    <w:p w14:paraId="7C30E417" w14:textId="77777777" w:rsidR="008001D5" w:rsidRPr="00D606FA" w:rsidRDefault="008001D5" w:rsidP="009420B3">
      <w:pPr>
        <w:pStyle w:val="TTEMEASMCA"/>
      </w:pPr>
    </w:p>
    <w:p w14:paraId="7AAB45A8" w14:textId="77777777" w:rsidR="008001D5" w:rsidRPr="00D606FA" w:rsidRDefault="008001D5" w:rsidP="009420B3">
      <w:pPr>
        <w:pStyle w:val="TTEMEASMCA"/>
      </w:pPr>
    </w:p>
    <w:p w14:paraId="179C2F40" w14:textId="0DF8F95C" w:rsidR="008001D5" w:rsidRPr="00D606FA" w:rsidRDefault="008001D5" w:rsidP="009420B3">
      <w:pPr>
        <w:pStyle w:val="TTEMEASMCA"/>
      </w:pPr>
      <w:r w:rsidRPr="00D606FA">
        <w:t>II PRIEDAS</w:t>
      </w:r>
      <w:bookmarkEnd w:id="63"/>
      <w:bookmarkEnd w:id="64"/>
    </w:p>
    <w:p w14:paraId="5DCD6F68" w14:textId="77777777" w:rsidR="008001D5" w:rsidRPr="00D606FA" w:rsidRDefault="008001D5" w:rsidP="009420B3">
      <w:pPr>
        <w:pStyle w:val="TTEMEASMCA"/>
      </w:pPr>
    </w:p>
    <w:p w14:paraId="2D37DBB9" w14:textId="77777777" w:rsidR="008001D5" w:rsidRPr="00D606FA" w:rsidRDefault="008001D5" w:rsidP="009420B3">
      <w:pPr>
        <w:pStyle w:val="TTEMEASMCA"/>
      </w:pPr>
      <w:r w:rsidRPr="00D606FA">
        <w:t>REGISTRACIJOS SĄLYGOS</w:t>
      </w:r>
    </w:p>
    <w:p w14:paraId="52F5141C" w14:textId="77777777" w:rsidR="008001D5" w:rsidRPr="00D606FA" w:rsidRDefault="008001D5" w:rsidP="00E33FE9">
      <w:pPr>
        <w:pStyle w:val="BTEMEASMCADiagrama"/>
      </w:pPr>
    </w:p>
    <w:p w14:paraId="1F115017" w14:textId="77777777" w:rsidR="008001D5" w:rsidRPr="00D606FA" w:rsidRDefault="008001D5" w:rsidP="008001D5">
      <w:pPr>
        <w:pStyle w:val="BTAnIIEMEASMCA"/>
        <w:rPr>
          <w:highlight w:val="yellow"/>
          <w:lang w:val="lt-LT"/>
        </w:rPr>
      </w:pPr>
      <w:r w:rsidRPr="00D606FA">
        <w:rPr>
          <w:lang w:val="lt-LT"/>
        </w:rPr>
        <w:t>A.</w:t>
      </w:r>
      <w:r w:rsidRPr="00D606FA">
        <w:rPr>
          <w:lang w:val="lt-LT"/>
        </w:rPr>
        <w:tab/>
        <w:t>GAMINTOJAS, ATSAKINGAS UŽ SERIJŲ IŠLEIDIMĄ</w:t>
      </w:r>
    </w:p>
    <w:p w14:paraId="763A34A1" w14:textId="77777777" w:rsidR="008001D5" w:rsidRPr="00D606FA" w:rsidRDefault="008001D5" w:rsidP="00E33FE9">
      <w:pPr>
        <w:pStyle w:val="BTEMEASMCADiagrama"/>
        <w:rPr>
          <w:highlight w:val="yellow"/>
        </w:rPr>
      </w:pPr>
    </w:p>
    <w:p w14:paraId="3202001F" w14:textId="77777777" w:rsidR="008001D5" w:rsidRPr="00D606FA" w:rsidRDefault="008001D5" w:rsidP="008001D5">
      <w:pPr>
        <w:pStyle w:val="BTAnIIEMEASMCA"/>
        <w:rPr>
          <w:lang w:val="lt-LT"/>
        </w:rPr>
      </w:pPr>
      <w:r w:rsidRPr="00D606FA">
        <w:rPr>
          <w:lang w:val="lt-LT"/>
        </w:rPr>
        <w:t>B.</w:t>
      </w:r>
      <w:r w:rsidRPr="00D606FA">
        <w:rPr>
          <w:lang w:val="lt-LT"/>
        </w:rPr>
        <w:tab/>
        <w:t>TIEKIMO IR VARTOJIMO SĄLYGOS AR APRIBOJIMAI</w:t>
      </w:r>
    </w:p>
    <w:p w14:paraId="11CB7404" w14:textId="77777777" w:rsidR="008001D5" w:rsidRPr="00D606FA" w:rsidRDefault="008001D5" w:rsidP="00E33FE9">
      <w:pPr>
        <w:pStyle w:val="BTEMEASMCADiagrama"/>
        <w:rPr>
          <w:highlight w:val="yellow"/>
        </w:rPr>
      </w:pPr>
    </w:p>
    <w:p w14:paraId="452E6D42" w14:textId="77777777" w:rsidR="008001D5" w:rsidRPr="00D606FA" w:rsidRDefault="008001D5" w:rsidP="008001D5">
      <w:pPr>
        <w:ind w:left="567" w:hanging="567"/>
        <w:rPr>
          <w:b/>
          <w:bCs/>
          <w:sz w:val="22"/>
          <w:szCs w:val="22"/>
        </w:rPr>
      </w:pPr>
      <w:r w:rsidRPr="00D606FA">
        <w:rPr>
          <w:sz w:val="22"/>
          <w:szCs w:val="22"/>
        </w:rPr>
        <w:br w:type="page"/>
      </w:r>
      <w:r w:rsidRPr="00D606FA">
        <w:rPr>
          <w:b/>
          <w:bCs/>
          <w:sz w:val="22"/>
          <w:szCs w:val="22"/>
        </w:rPr>
        <w:lastRenderedPageBreak/>
        <w:t>A.</w:t>
      </w:r>
      <w:r w:rsidRPr="00D606FA">
        <w:rPr>
          <w:b/>
          <w:bCs/>
          <w:sz w:val="22"/>
          <w:szCs w:val="22"/>
        </w:rPr>
        <w:tab/>
        <w:t>GAMINTOJAS, ATSAKINGAS UŽ SERIJŲ IŠLEIDIMĄ</w:t>
      </w:r>
    </w:p>
    <w:p w14:paraId="21225279" w14:textId="77777777" w:rsidR="008001D5" w:rsidRPr="00D606FA" w:rsidRDefault="008001D5" w:rsidP="00E33FE9">
      <w:pPr>
        <w:pStyle w:val="BTEMEASMCADiagrama"/>
        <w:rPr>
          <w:highlight w:val="yellow"/>
        </w:rPr>
      </w:pPr>
    </w:p>
    <w:p w14:paraId="3CC2A919" w14:textId="77777777" w:rsidR="008001D5" w:rsidRPr="00D606FA" w:rsidRDefault="008001D5" w:rsidP="00E33FE9">
      <w:pPr>
        <w:pStyle w:val="BTuEMEASMCA"/>
      </w:pPr>
      <w:r w:rsidRPr="00D606FA">
        <w:t>Gamintojo, atsakingo už serijų išleidimą, pavadinimas ir adresas</w:t>
      </w:r>
    </w:p>
    <w:p w14:paraId="12DE0651" w14:textId="77777777" w:rsidR="008001D5" w:rsidRPr="00D606FA" w:rsidRDefault="008001D5" w:rsidP="00E33FE9">
      <w:pPr>
        <w:pStyle w:val="BTEMEASMCADiagrama"/>
        <w:rPr>
          <w:highlight w:val="yellow"/>
        </w:rPr>
      </w:pPr>
    </w:p>
    <w:p w14:paraId="6AA509EB" w14:textId="77777777" w:rsidR="008001D5" w:rsidRPr="00D606FA" w:rsidRDefault="008001D5" w:rsidP="00E33FE9">
      <w:pPr>
        <w:pStyle w:val="BTEMEASMCADiagrama"/>
      </w:pPr>
      <w:r w:rsidRPr="003C3633">
        <w:t>Astrea Fontaine</w:t>
      </w:r>
    </w:p>
    <w:p w14:paraId="587A7AEC" w14:textId="77777777" w:rsidR="008001D5" w:rsidRPr="00D606FA" w:rsidRDefault="008001D5" w:rsidP="00E33FE9">
      <w:pPr>
        <w:pStyle w:val="BTEMEASMCADiagrama"/>
      </w:pPr>
      <w:r w:rsidRPr="00D606FA">
        <w:t>Rue des Prés Potets – 21121 Fontaine les Dijon</w:t>
      </w:r>
    </w:p>
    <w:p w14:paraId="6DCAA7EB" w14:textId="77777777" w:rsidR="008001D5" w:rsidRPr="00D606FA" w:rsidRDefault="008001D5" w:rsidP="00E33FE9">
      <w:pPr>
        <w:pStyle w:val="BTEMEASMCADiagrama"/>
      </w:pPr>
      <w:r w:rsidRPr="00D606FA">
        <w:t>Prancūzija</w:t>
      </w:r>
    </w:p>
    <w:p w14:paraId="1298C9B3" w14:textId="77777777" w:rsidR="008001D5" w:rsidRPr="00D606FA" w:rsidRDefault="008001D5" w:rsidP="00E33FE9">
      <w:pPr>
        <w:pStyle w:val="BTEMEASMCADiagrama"/>
        <w:rPr>
          <w:highlight w:val="yellow"/>
        </w:rPr>
      </w:pPr>
    </w:p>
    <w:p w14:paraId="0A7E9E17" w14:textId="77777777" w:rsidR="008001D5" w:rsidRPr="00D606FA" w:rsidRDefault="008001D5" w:rsidP="00E33FE9">
      <w:pPr>
        <w:pStyle w:val="BTEMEASMCADiagrama"/>
      </w:pPr>
      <w:r w:rsidRPr="00D41E08">
        <w:t>Delpharm</w:t>
      </w:r>
      <w:r w:rsidRPr="00D606FA">
        <w:t xml:space="preserve"> L’Aigle</w:t>
      </w:r>
    </w:p>
    <w:p w14:paraId="36838577" w14:textId="77777777" w:rsidR="008001D5" w:rsidRPr="00D606FA" w:rsidRDefault="008001D5" w:rsidP="00E33FE9">
      <w:pPr>
        <w:pStyle w:val="BTEMEASMCADiagrama"/>
      </w:pPr>
      <w:r w:rsidRPr="00D606FA">
        <w:t>Zone Industrielle No.</w:t>
      </w:r>
      <w:r>
        <w:t> </w:t>
      </w:r>
      <w:r w:rsidRPr="00D606FA">
        <w:t>1</w:t>
      </w:r>
    </w:p>
    <w:p w14:paraId="6EA3E70A" w14:textId="77777777" w:rsidR="008001D5" w:rsidRPr="00D606FA" w:rsidRDefault="008001D5" w:rsidP="00E33FE9">
      <w:pPr>
        <w:pStyle w:val="BTEMEASMCADiagrama"/>
      </w:pPr>
      <w:r w:rsidRPr="00D606FA">
        <w:t>Route Crulai</w:t>
      </w:r>
    </w:p>
    <w:p w14:paraId="20E36F68" w14:textId="77777777" w:rsidR="008001D5" w:rsidRPr="00D606FA" w:rsidRDefault="008001D5" w:rsidP="00E33FE9">
      <w:pPr>
        <w:pStyle w:val="BTEMEASMCADiagrama"/>
      </w:pPr>
      <w:r w:rsidRPr="00D606FA">
        <w:t>61300 L’Aigle</w:t>
      </w:r>
    </w:p>
    <w:p w14:paraId="5035BD86" w14:textId="77777777" w:rsidR="008001D5" w:rsidRPr="00D606FA" w:rsidRDefault="008001D5" w:rsidP="00E33FE9">
      <w:pPr>
        <w:pStyle w:val="BTEMEASMCADiagrama"/>
      </w:pPr>
      <w:r w:rsidRPr="00D606FA">
        <w:t>Prancūzija</w:t>
      </w:r>
    </w:p>
    <w:p w14:paraId="38B4A83A" w14:textId="77777777" w:rsidR="008001D5" w:rsidRPr="00D606FA" w:rsidRDefault="008001D5" w:rsidP="00E33FE9">
      <w:pPr>
        <w:pStyle w:val="BTEMEASMCADiagrama"/>
        <w:rPr>
          <w:highlight w:val="yellow"/>
        </w:rPr>
      </w:pPr>
    </w:p>
    <w:p w14:paraId="05A69E27" w14:textId="77777777" w:rsidR="008001D5" w:rsidRPr="00D606FA" w:rsidRDefault="008001D5" w:rsidP="00E33FE9">
      <w:pPr>
        <w:pStyle w:val="BTEMEASMCADiagrama"/>
      </w:pPr>
      <w:r w:rsidRPr="00D606FA">
        <w:t>Su pakuote pateikiamame lapelyje nurodomas gamintojo, atsakingo už konkrečios serijos išleidimą, pavadinimas ir adresas.</w:t>
      </w:r>
    </w:p>
    <w:p w14:paraId="640DF2EA" w14:textId="77777777" w:rsidR="008001D5" w:rsidRPr="00D606FA" w:rsidRDefault="008001D5" w:rsidP="00E33FE9">
      <w:pPr>
        <w:pStyle w:val="BTEMEASMCADiagrama"/>
        <w:rPr>
          <w:highlight w:val="yellow"/>
        </w:rPr>
      </w:pPr>
    </w:p>
    <w:p w14:paraId="062CF66B" w14:textId="77777777" w:rsidR="008001D5" w:rsidRPr="00D606FA" w:rsidRDefault="008001D5" w:rsidP="00E33FE9">
      <w:pPr>
        <w:pStyle w:val="BTEMEASMCADiagrama"/>
        <w:rPr>
          <w:highlight w:val="yellow"/>
        </w:rPr>
      </w:pPr>
    </w:p>
    <w:p w14:paraId="05F62092" w14:textId="3FB4E88B" w:rsidR="008001D5" w:rsidRPr="00D606FA" w:rsidRDefault="008001D5" w:rsidP="008001D5">
      <w:pPr>
        <w:ind w:left="567" w:hanging="567"/>
        <w:rPr>
          <w:sz w:val="22"/>
          <w:szCs w:val="22"/>
        </w:rPr>
      </w:pPr>
      <w:bookmarkStart w:id="65" w:name="_Toc129243129"/>
      <w:bookmarkStart w:id="66" w:name="_Toc129243254"/>
      <w:bookmarkStart w:id="67" w:name="_Toc129243130"/>
      <w:bookmarkStart w:id="68" w:name="_Toc129243255"/>
      <w:r w:rsidRPr="00D606FA">
        <w:rPr>
          <w:b/>
          <w:bCs/>
          <w:sz w:val="22"/>
          <w:szCs w:val="22"/>
        </w:rPr>
        <w:t>B.</w:t>
      </w:r>
      <w:r w:rsidRPr="00D606FA">
        <w:rPr>
          <w:b/>
          <w:bCs/>
          <w:sz w:val="22"/>
          <w:szCs w:val="22"/>
        </w:rPr>
        <w:tab/>
        <w:t>TIEKIMO IR VARTOJIMO SĄLYGOS AR APRIBOJIMAI</w:t>
      </w:r>
      <w:bookmarkEnd w:id="65"/>
      <w:bookmarkEnd w:id="66"/>
      <w:bookmarkEnd w:id="67"/>
      <w:bookmarkEnd w:id="68"/>
    </w:p>
    <w:p w14:paraId="4E4C2F45" w14:textId="77777777" w:rsidR="008001D5" w:rsidRPr="00D606FA" w:rsidRDefault="008001D5" w:rsidP="00E33FE9">
      <w:pPr>
        <w:pStyle w:val="BTEMEASMCADiagrama"/>
      </w:pPr>
    </w:p>
    <w:p w14:paraId="5BBE46AD" w14:textId="77777777" w:rsidR="008001D5" w:rsidRPr="00D606FA" w:rsidRDefault="008001D5" w:rsidP="00E33FE9">
      <w:pPr>
        <w:pStyle w:val="BTEMEASMCADiagrama"/>
      </w:pPr>
      <w:r w:rsidRPr="00D606FA">
        <w:t>Receptinis vaistinis preparatas</w:t>
      </w:r>
    </w:p>
    <w:p w14:paraId="2DAA482B" w14:textId="77777777" w:rsidR="008001D5" w:rsidRPr="00D606FA" w:rsidRDefault="008001D5" w:rsidP="00E33FE9">
      <w:pPr>
        <w:pStyle w:val="BTEMEASMCADiagrama"/>
      </w:pPr>
    </w:p>
    <w:p w14:paraId="789F73FB" w14:textId="77777777" w:rsidR="008001D5" w:rsidRPr="00D606FA" w:rsidRDefault="008001D5" w:rsidP="00E33FE9">
      <w:pPr>
        <w:pStyle w:val="BTEMEASMCADiagrama"/>
      </w:pPr>
    </w:p>
    <w:p w14:paraId="183166A3" w14:textId="77777777" w:rsidR="008001D5" w:rsidRPr="00D606FA" w:rsidRDefault="008001D5" w:rsidP="00E33FE9">
      <w:pPr>
        <w:pStyle w:val="BTEMEASMCADiagrama"/>
      </w:pPr>
      <w:r w:rsidRPr="00D606FA">
        <w:br w:type="page"/>
      </w:r>
    </w:p>
    <w:p w14:paraId="3A3B37D5" w14:textId="77777777" w:rsidR="008001D5" w:rsidRPr="00D606FA" w:rsidRDefault="008001D5" w:rsidP="00E33FE9">
      <w:pPr>
        <w:pStyle w:val="BTEMEASMCADiagrama"/>
      </w:pPr>
    </w:p>
    <w:p w14:paraId="0CD9BE33" w14:textId="77777777" w:rsidR="008001D5" w:rsidRPr="00D606FA" w:rsidRDefault="008001D5" w:rsidP="00E33FE9">
      <w:pPr>
        <w:pStyle w:val="BTEMEASMCADiagrama"/>
      </w:pPr>
    </w:p>
    <w:p w14:paraId="18625983" w14:textId="77777777" w:rsidR="008001D5" w:rsidRPr="00D606FA" w:rsidRDefault="008001D5" w:rsidP="00E33FE9">
      <w:pPr>
        <w:pStyle w:val="BTEMEASMCADiagrama"/>
      </w:pPr>
    </w:p>
    <w:p w14:paraId="1010A5CC" w14:textId="77777777" w:rsidR="008001D5" w:rsidRPr="00D606FA" w:rsidRDefault="008001D5" w:rsidP="00E33FE9">
      <w:pPr>
        <w:pStyle w:val="BTEMEASMCADiagrama"/>
      </w:pPr>
    </w:p>
    <w:p w14:paraId="69B54738" w14:textId="77777777" w:rsidR="008001D5" w:rsidRPr="00D606FA" w:rsidRDefault="008001D5" w:rsidP="00E33FE9">
      <w:pPr>
        <w:pStyle w:val="BTEMEASMCADiagrama"/>
      </w:pPr>
    </w:p>
    <w:p w14:paraId="6A7A0D74" w14:textId="77777777" w:rsidR="008001D5" w:rsidRPr="00D606FA" w:rsidRDefault="008001D5" w:rsidP="00E33FE9">
      <w:pPr>
        <w:pStyle w:val="BTEMEASMCADiagrama"/>
      </w:pPr>
    </w:p>
    <w:p w14:paraId="6762FA5F" w14:textId="77777777" w:rsidR="008001D5" w:rsidRPr="00D606FA" w:rsidRDefault="008001D5" w:rsidP="00E33FE9">
      <w:pPr>
        <w:pStyle w:val="BTEMEASMCADiagrama"/>
      </w:pPr>
    </w:p>
    <w:p w14:paraId="5B2C098B" w14:textId="77777777" w:rsidR="008001D5" w:rsidRPr="00D606FA" w:rsidRDefault="008001D5" w:rsidP="00E33FE9">
      <w:pPr>
        <w:pStyle w:val="BTEMEASMCADiagrama"/>
      </w:pPr>
    </w:p>
    <w:p w14:paraId="4376FD13" w14:textId="77777777" w:rsidR="008001D5" w:rsidRPr="00D606FA" w:rsidRDefault="008001D5" w:rsidP="00E33FE9">
      <w:pPr>
        <w:pStyle w:val="BTEMEASMCADiagrama"/>
      </w:pPr>
    </w:p>
    <w:p w14:paraId="46D7AB1A" w14:textId="77777777" w:rsidR="008001D5" w:rsidRPr="00D606FA" w:rsidRDefault="008001D5" w:rsidP="00E33FE9">
      <w:pPr>
        <w:pStyle w:val="BTEMEASMCADiagrama"/>
      </w:pPr>
    </w:p>
    <w:p w14:paraId="5ACBDF2F" w14:textId="77777777" w:rsidR="008001D5" w:rsidRPr="00D606FA" w:rsidRDefault="008001D5" w:rsidP="00E33FE9">
      <w:pPr>
        <w:pStyle w:val="BTEMEASMCADiagrama"/>
      </w:pPr>
    </w:p>
    <w:p w14:paraId="5A3DE6A3" w14:textId="77777777" w:rsidR="008001D5" w:rsidRPr="00D606FA" w:rsidRDefault="008001D5" w:rsidP="00E33FE9">
      <w:pPr>
        <w:pStyle w:val="BTEMEASMCADiagrama"/>
      </w:pPr>
    </w:p>
    <w:p w14:paraId="13C5EFE2" w14:textId="77777777" w:rsidR="008001D5" w:rsidRPr="00D606FA" w:rsidRDefault="008001D5" w:rsidP="00E33FE9">
      <w:pPr>
        <w:pStyle w:val="BTEMEASMCADiagrama"/>
      </w:pPr>
    </w:p>
    <w:p w14:paraId="2B905D76" w14:textId="77777777" w:rsidR="008001D5" w:rsidRPr="00D606FA" w:rsidRDefault="008001D5" w:rsidP="00E33FE9">
      <w:pPr>
        <w:pStyle w:val="BTEMEASMCADiagrama"/>
      </w:pPr>
    </w:p>
    <w:p w14:paraId="5C5E3FB9" w14:textId="77777777" w:rsidR="008001D5" w:rsidRPr="00D606FA" w:rsidRDefault="008001D5" w:rsidP="00E33FE9">
      <w:pPr>
        <w:pStyle w:val="BTEMEASMCADiagrama"/>
      </w:pPr>
    </w:p>
    <w:p w14:paraId="26BF7D77" w14:textId="77777777" w:rsidR="008001D5" w:rsidRPr="00D606FA" w:rsidRDefault="008001D5" w:rsidP="00E33FE9">
      <w:pPr>
        <w:pStyle w:val="BTEMEASMCADiagrama"/>
      </w:pPr>
    </w:p>
    <w:p w14:paraId="1B3D0F3B" w14:textId="77777777" w:rsidR="008001D5" w:rsidRPr="00D606FA" w:rsidRDefault="008001D5" w:rsidP="00E33FE9">
      <w:pPr>
        <w:pStyle w:val="BTEMEASMCADiagrama"/>
      </w:pPr>
    </w:p>
    <w:p w14:paraId="107E0B79" w14:textId="77777777" w:rsidR="008001D5" w:rsidRPr="00D606FA" w:rsidRDefault="008001D5" w:rsidP="00E33FE9">
      <w:pPr>
        <w:pStyle w:val="BTEMEASMCADiagrama"/>
      </w:pPr>
    </w:p>
    <w:p w14:paraId="4E8AEDE8" w14:textId="77777777" w:rsidR="008001D5" w:rsidRPr="00D606FA" w:rsidRDefault="008001D5" w:rsidP="00E33FE9">
      <w:pPr>
        <w:pStyle w:val="BTEMEASMCADiagrama"/>
      </w:pPr>
    </w:p>
    <w:p w14:paraId="42D5CC07" w14:textId="77777777" w:rsidR="008001D5" w:rsidRPr="00D606FA" w:rsidRDefault="008001D5" w:rsidP="00E33FE9">
      <w:pPr>
        <w:pStyle w:val="BTEMEASMCADiagrama"/>
      </w:pPr>
    </w:p>
    <w:p w14:paraId="1F00EDDB" w14:textId="77777777" w:rsidR="008001D5" w:rsidRPr="00D606FA" w:rsidRDefault="008001D5" w:rsidP="00E33FE9">
      <w:pPr>
        <w:pStyle w:val="BTEMEASMCADiagrama"/>
      </w:pPr>
    </w:p>
    <w:p w14:paraId="01B19EB6" w14:textId="77777777" w:rsidR="008001D5" w:rsidRPr="00D606FA" w:rsidRDefault="008001D5" w:rsidP="00E33FE9">
      <w:pPr>
        <w:pStyle w:val="BTEMEASMCADiagrama"/>
      </w:pPr>
    </w:p>
    <w:p w14:paraId="16226FC8" w14:textId="3113938F" w:rsidR="008001D5" w:rsidRPr="00D606FA" w:rsidRDefault="008001D5" w:rsidP="009420B3">
      <w:pPr>
        <w:pStyle w:val="TTEMEASMCA"/>
      </w:pPr>
      <w:bookmarkStart w:id="69" w:name="_Toc129243134"/>
      <w:bookmarkStart w:id="70" w:name="_Toc129243259"/>
      <w:r w:rsidRPr="00D606FA">
        <w:t>III PRIEDAS</w:t>
      </w:r>
      <w:bookmarkEnd w:id="69"/>
      <w:bookmarkEnd w:id="70"/>
    </w:p>
    <w:p w14:paraId="4226FFF5" w14:textId="77777777" w:rsidR="008001D5" w:rsidRPr="00D606FA" w:rsidRDefault="008001D5" w:rsidP="00E33FE9">
      <w:pPr>
        <w:pStyle w:val="BTEMEASMCADiagrama"/>
      </w:pPr>
    </w:p>
    <w:p w14:paraId="6D36429A" w14:textId="77DBE474" w:rsidR="008001D5" w:rsidRPr="00D606FA" w:rsidRDefault="008001D5" w:rsidP="009420B3">
      <w:pPr>
        <w:pStyle w:val="TTEMEASMCA"/>
      </w:pPr>
      <w:bookmarkStart w:id="71" w:name="_Toc129243135"/>
      <w:bookmarkStart w:id="72" w:name="_Toc129243260"/>
      <w:r w:rsidRPr="00D606FA">
        <w:t>ŽENKLINIMAS IR PAKUOTĖS LAPELIS</w:t>
      </w:r>
      <w:bookmarkEnd w:id="71"/>
      <w:bookmarkEnd w:id="72"/>
    </w:p>
    <w:p w14:paraId="55A5FDAA" w14:textId="77777777" w:rsidR="008001D5" w:rsidRPr="00D606FA" w:rsidRDefault="008001D5" w:rsidP="00E33FE9">
      <w:pPr>
        <w:pStyle w:val="BTEMEASMCADiagrama"/>
      </w:pPr>
      <w:r w:rsidRPr="00D606FA">
        <w:br w:type="page"/>
      </w:r>
    </w:p>
    <w:p w14:paraId="5C013600" w14:textId="77777777" w:rsidR="008001D5" w:rsidRPr="00D606FA" w:rsidRDefault="008001D5" w:rsidP="00E33FE9">
      <w:pPr>
        <w:pStyle w:val="BTEMEASMCADiagrama"/>
      </w:pPr>
    </w:p>
    <w:p w14:paraId="358196A3" w14:textId="77777777" w:rsidR="008001D5" w:rsidRPr="00D606FA" w:rsidRDefault="008001D5" w:rsidP="00E33FE9">
      <w:pPr>
        <w:pStyle w:val="BTEMEASMCADiagrama"/>
      </w:pPr>
    </w:p>
    <w:p w14:paraId="477CAFA0" w14:textId="77777777" w:rsidR="008001D5" w:rsidRPr="00D606FA" w:rsidRDefault="008001D5" w:rsidP="00E33FE9">
      <w:pPr>
        <w:pStyle w:val="BTEMEASMCADiagrama"/>
      </w:pPr>
    </w:p>
    <w:p w14:paraId="156A60BF" w14:textId="77777777" w:rsidR="008001D5" w:rsidRPr="00D606FA" w:rsidRDefault="008001D5" w:rsidP="00E33FE9">
      <w:pPr>
        <w:pStyle w:val="BTEMEASMCADiagrama"/>
      </w:pPr>
    </w:p>
    <w:p w14:paraId="2D0E4E23" w14:textId="77777777" w:rsidR="008001D5" w:rsidRPr="00D606FA" w:rsidRDefault="008001D5" w:rsidP="00E33FE9">
      <w:pPr>
        <w:pStyle w:val="BTEMEASMCADiagrama"/>
      </w:pPr>
    </w:p>
    <w:p w14:paraId="18D86AE3" w14:textId="77777777" w:rsidR="008001D5" w:rsidRPr="00D606FA" w:rsidRDefault="008001D5" w:rsidP="00E33FE9">
      <w:pPr>
        <w:pStyle w:val="BTEMEASMCADiagrama"/>
      </w:pPr>
    </w:p>
    <w:p w14:paraId="41893598" w14:textId="77777777" w:rsidR="008001D5" w:rsidRPr="00D606FA" w:rsidRDefault="008001D5" w:rsidP="00E33FE9">
      <w:pPr>
        <w:pStyle w:val="BTEMEASMCADiagrama"/>
      </w:pPr>
    </w:p>
    <w:p w14:paraId="47D9EBB9" w14:textId="77777777" w:rsidR="008001D5" w:rsidRPr="00D606FA" w:rsidRDefault="008001D5" w:rsidP="00E33FE9">
      <w:pPr>
        <w:pStyle w:val="BTEMEASMCADiagrama"/>
      </w:pPr>
    </w:p>
    <w:p w14:paraId="0E34FA71" w14:textId="77777777" w:rsidR="008001D5" w:rsidRPr="00D606FA" w:rsidRDefault="008001D5" w:rsidP="00E33FE9">
      <w:pPr>
        <w:pStyle w:val="BTEMEASMCADiagrama"/>
      </w:pPr>
    </w:p>
    <w:p w14:paraId="2178798D" w14:textId="77777777" w:rsidR="008001D5" w:rsidRPr="00D606FA" w:rsidRDefault="008001D5" w:rsidP="00E33FE9">
      <w:pPr>
        <w:pStyle w:val="BTEMEASMCADiagrama"/>
      </w:pPr>
    </w:p>
    <w:p w14:paraId="25DBC80D" w14:textId="77777777" w:rsidR="008001D5" w:rsidRPr="00D606FA" w:rsidRDefault="008001D5" w:rsidP="00E33FE9">
      <w:pPr>
        <w:pStyle w:val="BTEMEASMCADiagrama"/>
      </w:pPr>
    </w:p>
    <w:p w14:paraId="7B966C8B" w14:textId="77777777" w:rsidR="008001D5" w:rsidRPr="00D606FA" w:rsidRDefault="008001D5" w:rsidP="00E33FE9">
      <w:pPr>
        <w:pStyle w:val="BTEMEASMCADiagrama"/>
      </w:pPr>
    </w:p>
    <w:p w14:paraId="54CEF7D2" w14:textId="77777777" w:rsidR="008001D5" w:rsidRPr="00D606FA" w:rsidRDefault="008001D5" w:rsidP="00E33FE9">
      <w:pPr>
        <w:pStyle w:val="BTEMEASMCADiagrama"/>
      </w:pPr>
    </w:p>
    <w:p w14:paraId="23061FB6" w14:textId="77777777" w:rsidR="008001D5" w:rsidRPr="00D606FA" w:rsidRDefault="008001D5" w:rsidP="00E33FE9">
      <w:pPr>
        <w:pStyle w:val="BTEMEASMCADiagrama"/>
      </w:pPr>
    </w:p>
    <w:p w14:paraId="3CFB5C96" w14:textId="77777777" w:rsidR="008001D5" w:rsidRPr="00D606FA" w:rsidRDefault="008001D5" w:rsidP="00E33FE9">
      <w:pPr>
        <w:pStyle w:val="BTEMEASMCADiagrama"/>
      </w:pPr>
    </w:p>
    <w:p w14:paraId="121BCDAC" w14:textId="77777777" w:rsidR="008001D5" w:rsidRPr="00D606FA" w:rsidRDefault="008001D5" w:rsidP="00E33FE9">
      <w:pPr>
        <w:pStyle w:val="BTEMEASMCADiagrama"/>
      </w:pPr>
    </w:p>
    <w:p w14:paraId="4FADF788" w14:textId="77777777" w:rsidR="008001D5" w:rsidRPr="00D606FA" w:rsidRDefault="008001D5" w:rsidP="00E33FE9">
      <w:pPr>
        <w:pStyle w:val="BTEMEASMCADiagrama"/>
      </w:pPr>
    </w:p>
    <w:p w14:paraId="5FFDF126" w14:textId="77777777" w:rsidR="008001D5" w:rsidRPr="00D606FA" w:rsidRDefault="008001D5" w:rsidP="00E33FE9">
      <w:pPr>
        <w:pStyle w:val="BTEMEASMCADiagrama"/>
      </w:pPr>
    </w:p>
    <w:p w14:paraId="2C19295B" w14:textId="77777777" w:rsidR="008001D5" w:rsidRPr="00D606FA" w:rsidRDefault="008001D5" w:rsidP="00E33FE9">
      <w:pPr>
        <w:pStyle w:val="BTEMEASMCADiagrama"/>
      </w:pPr>
    </w:p>
    <w:p w14:paraId="5C5446C6" w14:textId="77777777" w:rsidR="008001D5" w:rsidRPr="00D606FA" w:rsidRDefault="008001D5" w:rsidP="00E33FE9">
      <w:pPr>
        <w:pStyle w:val="BTEMEASMCADiagrama"/>
      </w:pPr>
    </w:p>
    <w:p w14:paraId="282BF50B" w14:textId="77777777" w:rsidR="008001D5" w:rsidRPr="00D606FA" w:rsidRDefault="008001D5" w:rsidP="00E33FE9">
      <w:pPr>
        <w:pStyle w:val="BTEMEASMCADiagrama"/>
      </w:pPr>
    </w:p>
    <w:p w14:paraId="39647C0A" w14:textId="77777777" w:rsidR="008001D5" w:rsidRPr="00D606FA" w:rsidRDefault="008001D5" w:rsidP="00E33FE9">
      <w:pPr>
        <w:pStyle w:val="BTEMEASMCADiagrama"/>
      </w:pPr>
    </w:p>
    <w:p w14:paraId="5EF76BB0" w14:textId="2123D972" w:rsidR="008001D5" w:rsidRPr="00D606FA" w:rsidRDefault="008001D5" w:rsidP="009420B3">
      <w:pPr>
        <w:pStyle w:val="TTEMEASMCA"/>
      </w:pPr>
      <w:bookmarkStart w:id="73" w:name="_Toc129243136"/>
      <w:bookmarkStart w:id="74" w:name="_Toc129243261"/>
      <w:r w:rsidRPr="00D606FA">
        <w:t>A. ŽENKLINIMAS</w:t>
      </w:r>
      <w:bookmarkEnd w:id="73"/>
      <w:bookmarkEnd w:id="74"/>
    </w:p>
    <w:p w14:paraId="54EB39E5" w14:textId="77777777" w:rsidR="008001D5" w:rsidRPr="00D606FA" w:rsidRDefault="008001D5" w:rsidP="00E33FE9">
      <w:pPr>
        <w:pStyle w:val="BTEMEASMCADiagrama"/>
      </w:pPr>
      <w:r w:rsidRPr="00D606FA">
        <w:br w:type="page"/>
      </w:r>
    </w:p>
    <w:p w14:paraId="5F18E2CD" w14:textId="77777777" w:rsidR="008001D5" w:rsidRPr="00D606FA" w:rsidRDefault="008001D5" w:rsidP="008001D5">
      <w:pPr>
        <w:pStyle w:val="PI-1labEMEASMCA"/>
        <w:rPr>
          <w:sz w:val="22"/>
          <w:szCs w:val="22"/>
        </w:rPr>
      </w:pPr>
      <w:r w:rsidRPr="00D606FA">
        <w:rPr>
          <w:sz w:val="22"/>
          <w:szCs w:val="22"/>
        </w:rPr>
        <w:lastRenderedPageBreak/>
        <w:t>INFORMACIJA ANT IŠORINĖS PAKUOTĖS</w:t>
      </w:r>
    </w:p>
    <w:p w14:paraId="58C1BFCB" w14:textId="77777777" w:rsidR="008001D5" w:rsidRPr="00D606FA" w:rsidRDefault="008001D5" w:rsidP="008001D5">
      <w:pPr>
        <w:pStyle w:val="PI-1labEMEASMCA"/>
        <w:rPr>
          <w:sz w:val="22"/>
          <w:szCs w:val="22"/>
        </w:rPr>
      </w:pPr>
    </w:p>
    <w:p w14:paraId="1BE7A91D" w14:textId="77777777" w:rsidR="008001D5" w:rsidRPr="00D606FA" w:rsidRDefault="008001D5" w:rsidP="008001D5">
      <w:pPr>
        <w:pStyle w:val="PI-1labEMEASMCA"/>
        <w:rPr>
          <w:sz w:val="22"/>
          <w:szCs w:val="22"/>
        </w:rPr>
      </w:pPr>
      <w:r w:rsidRPr="00D606FA">
        <w:rPr>
          <w:sz w:val="22"/>
          <w:szCs w:val="22"/>
        </w:rPr>
        <w:t>KARTONO DĖŽUTĖ</w:t>
      </w:r>
    </w:p>
    <w:p w14:paraId="214F7343" w14:textId="77777777" w:rsidR="008001D5" w:rsidRPr="00D606FA" w:rsidRDefault="008001D5" w:rsidP="00E33FE9">
      <w:pPr>
        <w:pStyle w:val="BTEMEASMCADiagrama"/>
      </w:pPr>
    </w:p>
    <w:p w14:paraId="00058DE3" w14:textId="77777777" w:rsidR="008001D5" w:rsidRPr="00D606FA" w:rsidRDefault="008001D5" w:rsidP="00E33FE9">
      <w:pPr>
        <w:pStyle w:val="BTEMEASMCADiagrama"/>
      </w:pPr>
    </w:p>
    <w:p w14:paraId="7020E7F2" w14:textId="77777777" w:rsidR="008001D5" w:rsidRPr="00D606FA" w:rsidRDefault="008001D5" w:rsidP="008001D5">
      <w:pPr>
        <w:pStyle w:val="PI-1labEMEASMCA"/>
        <w:rPr>
          <w:sz w:val="22"/>
          <w:szCs w:val="22"/>
        </w:rPr>
      </w:pPr>
      <w:r w:rsidRPr="00D606FA">
        <w:rPr>
          <w:sz w:val="22"/>
          <w:szCs w:val="22"/>
        </w:rPr>
        <w:t>1.</w:t>
      </w:r>
      <w:r w:rsidRPr="00D606FA">
        <w:rPr>
          <w:sz w:val="22"/>
          <w:szCs w:val="22"/>
        </w:rPr>
        <w:tab/>
        <w:t>VAISTINIO PREPARATO PAVADINIMAS</w:t>
      </w:r>
    </w:p>
    <w:p w14:paraId="396F2EBE" w14:textId="77777777" w:rsidR="008001D5" w:rsidRPr="00D606FA" w:rsidRDefault="008001D5" w:rsidP="00E33FE9">
      <w:pPr>
        <w:pStyle w:val="BTEMEASMCADiagrama"/>
      </w:pPr>
    </w:p>
    <w:p w14:paraId="79611226"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LIPANTHYL 200</w:t>
      </w:r>
      <w:r>
        <w:rPr>
          <w:spacing w:val="-3"/>
          <w:sz w:val="22"/>
          <w:szCs w:val="22"/>
        </w:rPr>
        <w:t> </w:t>
      </w:r>
      <w:r w:rsidRPr="00D606FA">
        <w:rPr>
          <w:spacing w:val="-3"/>
          <w:sz w:val="22"/>
          <w:szCs w:val="22"/>
        </w:rPr>
        <w:t>mg kietosios kapsulės</w:t>
      </w:r>
    </w:p>
    <w:p w14:paraId="1C0247EC" w14:textId="08A4863C" w:rsidR="008001D5" w:rsidRPr="00D606FA" w:rsidRDefault="0068740D" w:rsidP="00E33FE9">
      <w:pPr>
        <w:pStyle w:val="BTEMEASMCADiagrama"/>
      </w:pPr>
      <w:r>
        <w:t>f</w:t>
      </w:r>
      <w:r w:rsidR="008001D5" w:rsidRPr="00D606FA">
        <w:t>enofibratum</w:t>
      </w:r>
    </w:p>
    <w:p w14:paraId="1E8DF5FD" w14:textId="77777777" w:rsidR="008001D5" w:rsidRPr="00D606FA" w:rsidRDefault="008001D5" w:rsidP="00E33FE9">
      <w:pPr>
        <w:pStyle w:val="BTEMEASMCADiagrama"/>
      </w:pPr>
    </w:p>
    <w:p w14:paraId="4722A8CD" w14:textId="77777777" w:rsidR="008001D5" w:rsidRPr="00D606FA" w:rsidRDefault="008001D5" w:rsidP="00E33FE9">
      <w:pPr>
        <w:pStyle w:val="BTEMEASMCADiagrama"/>
      </w:pPr>
    </w:p>
    <w:p w14:paraId="17B29BAA" w14:textId="77777777" w:rsidR="008001D5" w:rsidRPr="00D606FA" w:rsidRDefault="008001D5" w:rsidP="008001D5">
      <w:pPr>
        <w:pStyle w:val="PI-1labEMEASMCA"/>
        <w:rPr>
          <w:sz w:val="22"/>
          <w:szCs w:val="22"/>
        </w:rPr>
      </w:pPr>
      <w:r w:rsidRPr="00D606FA">
        <w:rPr>
          <w:sz w:val="22"/>
          <w:szCs w:val="22"/>
        </w:rPr>
        <w:t>2.</w:t>
      </w:r>
      <w:r w:rsidRPr="00D606FA">
        <w:rPr>
          <w:sz w:val="22"/>
          <w:szCs w:val="22"/>
        </w:rPr>
        <w:tab/>
        <w:t>VEIKLIOJI MEDŽIAGA IR JOS KIEKIS</w:t>
      </w:r>
    </w:p>
    <w:p w14:paraId="3A0A7E68" w14:textId="77777777" w:rsidR="008001D5" w:rsidRPr="00D606FA" w:rsidRDefault="008001D5" w:rsidP="00E33FE9">
      <w:pPr>
        <w:pStyle w:val="BTEMEASMCADiagrama"/>
      </w:pPr>
    </w:p>
    <w:p w14:paraId="3FA037B8" w14:textId="77777777" w:rsidR="008001D5" w:rsidRPr="00D606FA" w:rsidRDefault="008001D5" w:rsidP="00E33FE9">
      <w:pPr>
        <w:pStyle w:val="BTEMEASMCADiagrama"/>
      </w:pPr>
      <w:r w:rsidRPr="00D606FA">
        <w:t>Vienoje kietojoje kapsulėje yra 200</w:t>
      </w:r>
      <w:r>
        <w:t> </w:t>
      </w:r>
      <w:r w:rsidRPr="00D606FA">
        <w:t>mg fenofibrato.</w:t>
      </w:r>
    </w:p>
    <w:p w14:paraId="008662D1" w14:textId="77777777" w:rsidR="008001D5" w:rsidRPr="00D606FA" w:rsidRDefault="008001D5" w:rsidP="00E33FE9">
      <w:pPr>
        <w:pStyle w:val="BTEMEASMCADiagrama"/>
      </w:pPr>
    </w:p>
    <w:p w14:paraId="3E899EA7" w14:textId="77777777" w:rsidR="008001D5" w:rsidRPr="00D606FA" w:rsidRDefault="008001D5" w:rsidP="00E33FE9">
      <w:pPr>
        <w:pStyle w:val="BTEMEASMCADiagrama"/>
      </w:pPr>
    </w:p>
    <w:p w14:paraId="40984562" w14:textId="77777777" w:rsidR="008001D5" w:rsidRPr="00D606FA" w:rsidRDefault="008001D5" w:rsidP="008001D5">
      <w:pPr>
        <w:pStyle w:val="PI-1labEMEASMCA"/>
        <w:rPr>
          <w:sz w:val="22"/>
          <w:szCs w:val="22"/>
          <w:highlight w:val="lightGray"/>
        </w:rPr>
      </w:pPr>
      <w:r w:rsidRPr="00D606FA">
        <w:rPr>
          <w:sz w:val="22"/>
          <w:szCs w:val="22"/>
        </w:rPr>
        <w:t>3.</w:t>
      </w:r>
      <w:r w:rsidRPr="00D606FA">
        <w:rPr>
          <w:sz w:val="22"/>
          <w:szCs w:val="22"/>
        </w:rPr>
        <w:tab/>
        <w:t>PAGALBINIŲ MEDŽIAGŲ SĄRAŠAS</w:t>
      </w:r>
    </w:p>
    <w:p w14:paraId="2CAAA84E" w14:textId="77777777" w:rsidR="008001D5" w:rsidRPr="00D606FA" w:rsidRDefault="008001D5" w:rsidP="00E33FE9">
      <w:pPr>
        <w:pStyle w:val="BTEMEASMCADiagrama"/>
      </w:pPr>
    </w:p>
    <w:p w14:paraId="2A077ACD" w14:textId="77777777" w:rsidR="008001D5" w:rsidRPr="00D606FA" w:rsidRDefault="008001D5" w:rsidP="00E33FE9">
      <w:pPr>
        <w:pStyle w:val="BTEMEASMCADiagrama"/>
      </w:pPr>
      <w:r w:rsidRPr="00D606FA">
        <w:t>Sudėtyje yra laktozės.</w:t>
      </w:r>
    </w:p>
    <w:p w14:paraId="7BFEC25E" w14:textId="77777777" w:rsidR="008001D5" w:rsidRPr="00D606FA" w:rsidRDefault="008001D5" w:rsidP="00E33FE9">
      <w:pPr>
        <w:pStyle w:val="BTEMEASMCADiagrama"/>
      </w:pPr>
    </w:p>
    <w:p w14:paraId="77737D51" w14:textId="77777777" w:rsidR="008001D5" w:rsidRPr="00D606FA" w:rsidRDefault="008001D5" w:rsidP="00E33FE9">
      <w:pPr>
        <w:pStyle w:val="BTEMEASMCADiagrama"/>
      </w:pPr>
    </w:p>
    <w:p w14:paraId="249B7F4B" w14:textId="77777777" w:rsidR="008001D5" w:rsidRPr="00D606FA" w:rsidRDefault="008001D5" w:rsidP="008001D5">
      <w:pPr>
        <w:pStyle w:val="PI-1labEMEASMCA"/>
        <w:rPr>
          <w:sz w:val="22"/>
          <w:szCs w:val="22"/>
        </w:rPr>
      </w:pPr>
      <w:r w:rsidRPr="00D606FA">
        <w:rPr>
          <w:sz w:val="22"/>
          <w:szCs w:val="22"/>
        </w:rPr>
        <w:t>4.</w:t>
      </w:r>
      <w:r w:rsidRPr="00D606FA">
        <w:rPr>
          <w:sz w:val="22"/>
          <w:szCs w:val="22"/>
        </w:rPr>
        <w:tab/>
        <w:t>FARMACINĖ FORMA IR KIEKIS PAKUOTĖJE</w:t>
      </w:r>
    </w:p>
    <w:p w14:paraId="7C6F2540" w14:textId="77777777" w:rsidR="008001D5" w:rsidRPr="00D606FA" w:rsidRDefault="008001D5" w:rsidP="00E33FE9">
      <w:pPr>
        <w:pStyle w:val="BTEMEASMCADiagrama"/>
      </w:pPr>
    </w:p>
    <w:p w14:paraId="4EF5139E" w14:textId="77777777" w:rsidR="008001D5" w:rsidRPr="00D606FA" w:rsidRDefault="008001D5" w:rsidP="00E33FE9">
      <w:pPr>
        <w:pStyle w:val="BTEMEASMCADiagrama"/>
      </w:pPr>
      <w:r w:rsidRPr="00D606FA">
        <w:t>30 kietųjų kapsulių.</w:t>
      </w:r>
    </w:p>
    <w:p w14:paraId="2AFE688B" w14:textId="77777777" w:rsidR="008001D5" w:rsidRPr="00D606FA" w:rsidRDefault="008001D5" w:rsidP="00E33FE9">
      <w:pPr>
        <w:pStyle w:val="BTEMEASMCADiagrama"/>
      </w:pPr>
    </w:p>
    <w:p w14:paraId="7CFD75A8" w14:textId="77777777" w:rsidR="008001D5" w:rsidRPr="00D606FA" w:rsidRDefault="008001D5" w:rsidP="00E33FE9">
      <w:pPr>
        <w:pStyle w:val="BTEMEASMCADiagrama"/>
      </w:pPr>
    </w:p>
    <w:p w14:paraId="2297B415" w14:textId="77777777" w:rsidR="008001D5" w:rsidRPr="00D606FA" w:rsidRDefault="008001D5" w:rsidP="008001D5">
      <w:pPr>
        <w:pStyle w:val="PI-1labEMEASMCA"/>
        <w:rPr>
          <w:sz w:val="22"/>
          <w:szCs w:val="22"/>
          <w:highlight w:val="lightGray"/>
        </w:rPr>
      </w:pPr>
      <w:r w:rsidRPr="00D606FA">
        <w:rPr>
          <w:sz w:val="22"/>
          <w:szCs w:val="22"/>
        </w:rPr>
        <w:t>5.</w:t>
      </w:r>
      <w:r w:rsidRPr="00D606FA">
        <w:rPr>
          <w:sz w:val="22"/>
          <w:szCs w:val="22"/>
        </w:rPr>
        <w:tab/>
        <w:t>VARTOJIMO METODAS IR BŪDAS (-AI)</w:t>
      </w:r>
    </w:p>
    <w:p w14:paraId="30E43B75" w14:textId="77777777" w:rsidR="008001D5" w:rsidRPr="00D606FA" w:rsidRDefault="008001D5" w:rsidP="00E33FE9">
      <w:pPr>
        <w:pStyle w:val="BTEMEASMCADiagrama"/>
      </w:pPr>
    </w:p>
    <w:p w14:paraId="3EC9C953" w14:textId="77777777" w:rsidR="008001D5" w:rsidRPr="00D606FA" w:rsidRDefault="008001D5" w:rsidP="00E33FE9">
      <w:pPr>
        <w:pStyle w:val="BTEMEASMCADiagrama"/>
      </w:pPr>
      <w:r w:rsidRPr="00D606FA">
        <w:t>Prieš vartojimą perskaitykite pakuotės lapelį.</w:t>
      </w:r>
    </w:p>
    <w:p w14:paraId="5E3D5C7A" w14:textId="77777777" w:rsidR="008001D5" w:rsidRPr="00D606FA" w:rsidRDefault="008001D5" w:rsidP="00E33FE9">
      <w:pPr>
        <w:pStyle w:val="BTEMEASMCADiagrama"/>
      </w:pPr>
      <w:r w:rsidRPr="00D606FA">
        <w:t>Vartoti per burną.</w:t>
      </w:r>
    </w:p>
    <w:p w14:paraId="7311A0AA" w14:textId="77777777" w:rsidR="008001D5" w:rsidRPr="00D606FA" w:rsidRDefault="008001D5" w:rsidP="00E33FE9">
      <w:pPr>
        <w:pStyle w:val="BTEMEASMCADiagrama"/>
      </w:pPr>
    </w:p>
    <w:p w14:paraId="064D8CA0" w14:textId="77777777" w:rsidR="008001D5" w:rsidRPr="00D606FA" w:rsidRDefault="008001D5" w:rsidP="00F17259">
      <w:pPr>
        <w:pStyle w:val="BTEMEASMCADiagrama"/>
      </w:pPr>
    </w:p>
    <w:p w14:paraId="68189B22" w14:textId="77777777" w:rsidR="008001D5" w:rsidRPr="00D606FA" w:rsidRDefault="008001D5" w:rsidP="008001D5">
      <w:pPr>
        <w:pStyle w:val="PI-1labEMEASMCA"/>
        <w:rPr>
          <w:sz w:val="22"/>
          <w:szCs w:val="22"/>
        </w:rPr>
      </w:pPr>
      <w:r w:rsidRPr="00D606FA">
        <w:rPr>
          <w:sz w:val="22"/>
          <w:szCs w:val="22"/>
        </w:rPr>
        <w:t>6.</w:t>
      </w:r>
      <w:r w:rsidRPr="00D606FA">
        <w:rPr>
          <w:sz w:val="22"/>
          <w:szCs w:val="22"/>
        </w:rPr>
        <w:tab/>
        <w:t>SPECIALUS ĮSPĖJIMAS, KAD VAISTINĮ PREPARATĄ BŪTINA LAIKYTI VAIKAMS NEPASTEBIMOJE IR NEPASIEKIAMOJE VIETOJE</w:t>
      </w:r>
    </w:p>
    <w:p w14:paraId="13044C5C" w14:textId="77777777" w:rsidR="008001D5" w:rsidRPr="00D606FA" w:rsidRDefault="008001D5" w:rsidP="00E33FE9">
      <w:pPr>
        <w:pStyle w:val="BTEMEASMCADiagrama"/>
      </w:pPr>
    </w:p>
    <w:p w14:paraId="26F21334" w14:textId="77777777" w:rsidR="008001D5" w:rsidRPr="00D606FA" w:rsidRDefault="008001D5" w:rsidP="00E33FE9">
      <w:pPr>
        <w:pStyle w:val="BTEMEASMCADiagrama"/>
      </w:pPr>
      <w:r w:rsidRPr="00D606FA">
        <w:t>Laikyti vaikams nepastebimoje ir nepasiekiamoje vietoje.</w:t>
      </w:r>
    </w:p>
    <w:p w14:paraId="2FD78B0E" w14:textId="77777777" w:rsidR="008001D5" w:rsidRPr="00D606FA" w:rsidRDefault="008001D5" w:rsidP="00E33FE9">
      <w:pPr>
        <w:pStyle w:val="BTEMEASMCADiagrama"/>
      </w:pPr>
    </w:p>
    <w:p w14:paraId="7AFE77C4" w14:textId="77777777" w:rsidR="008001D5" w:rsidRPr="00D606FA" w:rsidRDefault="008001D5" w:rsidP="00E33FE9">
      <w:pPr>
        <w:pStyle w:val="BTEMEASMCADiagrama"/>
      </w:pPr>
    </w:p>
    <w:p w14:paraId="0F4598AF" w14:textId="77777777" w:rsidR="008001D5" w:rsidRPr="00D606FA" w:rsidRDefault="008001D5" w:rsidP="008001D5">
      <w:pPr>
        <w:pStyle w:val="PI-1labEMEASMCA"/>
        <w:rPr>
          <w:sz w:val="22"/>
          <w:szCs w:val="22"/>
          <w:highlight w:val="lightGray"/>
        </w:rPr>
      </w:pPr>
      <w:r w:rsidRPr="00D606FA">
        <w:rPr>
          <w:sz w:val="22"/>
          <w:szCs w:val="22"/>
        </w:rPr>
        <w:t>7.</w:t>
      </w:r>
      <w:r w:rsidRPr="00D606FA">
        <w:rPr>
          <w:sz w:val="22"/>
          <w:szCs w:val="22"/>
        </w:rPr>
        <w:tab/>
        <w:t>KITAS (-I) SPECIALUS (-ŪS) ĮSPĖJIMAS (-AI) (JEI REIKIA)</w:t>
      </w:r>
    </w:p>
    <w:p w14:paraId="7BFF3C6D" w14:textId="77777777" w:rsidR="008001D5" w:rsidRPr="00D606FA" w:rsidRDefault="008001D5" w:rsidP="00E33FE9">
      <w:pPr>
        <w:pStyle w:val="BTEMEASMCADiagrama"/>
      </w:pPr>
    </w:p>
    <w:p w14:paraId="09BE0D0C" w14:textId="77777777" w:rsidR="008001D5" w:rsidRPr="00D606FA" w:rsidRDefault="008001D5" w:rsidP="00E33FE9">
      <w:pPr>
        <w:pStyle w:val="BTEMEASMCADiagrama"/>
      </w:pPr>
    </w:p>
    <w:p w14:paraId="5B074B1E" w14:textId="77777777" w:rsidR="008001D5" w:rsidRPr="00D606FA" w:rsidRDefault="008001D5" w:rsidP="008001D5">
      <w:pPr>
        <w:pStyle w:val="PI-1labEMEASMCA"/>
        <w:rPr>
          <w:sz w:val="22"/>
          <w:szCs w:val="22"/>
          <w:highlight w:val="lightGray"/>
        </w:rPr>
      </w:pPr>
      <w:r w:rsidRPr="00D606FA">
        <w:rPr>
          <w:sz w:val="22"/>
          <w:szCs w:val="22"/>
        </w:rPr>
        <w:t>8.</w:t>
      </w:r>
      <w:r w:rsidRPr="00D606FA">
        <w:rPr>
          <w:sz w:val="22"/>
          <w:szCs w:val="22"/>
        </w:rPr>
        <w:tab/>
        <w:t>TINKAMUMO LAIKAS</w:t>
      </w:r>
    </w:p>
    <w:p w14:paraId="41D99BDC" w14:textId="77777777" w:rsidR="008001D5" w:rsidRPr="00D606FA" w:rsidRDefault="008001D5" w:rsidP="00E33FE9">
      <w:pPr>
        <w:pStyle w:val="BTEMEASMCADiagrama"/>
      </w:pPr>
    </w:p>
    <w:p w14:paraId="543D1838" w14:textId="77777777" w:rsidR="008001D5" w:rsidRPr="00D606FA" w:rsidRDefault="008001D5" w:rsidP="00E33FE9">
      <w:pPr>
        <w:pStyle w:val="BTEMEASMCADiagrama"/>
      </w:pPr>
      <w:r w:rsidRPr="00D606FA">
        <w:t>Tinka iki {mm/MMMM}</w:t>
      </w:r>
    </w:p>
    <w:p w14:paraId="46D6F941" w14:textId="77777777" w:rsidR="008001D5" w:rsidRPr="00D606FA" w:rsidRDefault="008001D5" w:rsidP="00E33FE9">
      <w:pPr>
        <w:pStyle w:val="BTEMEASMCADiagrama"/>
      </w:pPr>
    </w:p>
    <w:p w14:paraId="40251572" w14:textId="77777777" w:rsidR="008001D5" w:rsidRPr="00D606FA" w:rsidRDefault="008001D5" w:rsidP="00E33FE9">
      <w:pPr>
        <w:pStyle w:val="BTEMEASMCADiagrama"/>
      </w:pPr>
    </w:p>
    <w:p w14:paraId="69B4804B" w14:textId="77777777" w:rsidR="008001D5" w:rsidRPr="00D606FA" w:rsidRDefault="008001D5" w:rsidP="008001D5">
      <w:pPr>
        <w:pStyle w:val="PI-1labEMEASMCA"/>
        <w:rPr>
          <w:sz w:val="22"/>
          <w:szCs w:val="22"/>
        </w:rPr>
      </w:pPr>
      <w:r w:rsidRPr="00D606FA">
        <w:rPr>
          <w:sz w:val="22"/>
          <w:szCs w:val="22"/>
        </w:rPr>
        <w:t>9.</w:t>
      </w:r>
      <w:r w:rsidRPr="00D606FA">
        <w:rPr>
          <w:sz w:val="22"/>
          <w:szCs w:val="22"/>
        </w:rPr>
        <w:tab/>
        <w:t>SPECIALIOS LAIKYMO SĄLYGOS</w:t>
      </w:r>
    </w:p>
    <w:p w14:paraId="4CAA9AD5" w14:textId="77777777" w:rsidR="008001D5" w:rsidRPr="00D606FA" w:rsidRDefault="008001D5" w:rsidP="00E33FE9">
      <w:pPr>
        <w:pStyle w:val="BTEMEASMCADiagrama"/>
      </w:pPr>
    </w:p>
    <w:p w14:paraId="4802B233" w14:textId="2ABE6A83" w:rsidR="008001D5" w:rsidRPr="00D606FA" w:rsidRDefault="008001D5" w:rsidP="00E33FE9">
      <w:pPr>
        <w:pStyle w:val="BTEMEASMCADiagrama"/>
      </w:pPr>
      <w:r w:rsidRPr="00D606FA">
        <w:t xml:space="preserve">Laikyti gamintojo pakuotėje, kad </w:t>
      </w:r>
      <w:r>
        <w:t>vaistas</w:t>
      </w:r>
      <w:r w:rsidRPr="00D606FA">
        <w:t xml:space="preserve"> būtų apsaugotas nuo drėgmės.</w:t>
      </w:r>
    </w:p>
    <w:p w14:paraId="2A7B19AF" w14:textId="77777777" w:rsidR="008001D5" w:rsidRPr="00D606FA" w:rsidRDefault="008001D5" w:rsidP="00E33FE9">
      <w:pPr>
        <w:pStyle w:val="BTEMEASMCADiagrama"/>
      </w:pPr>
    </w:p>
    <w:p w14:paraId="4F95092B" w14:textId="77777777" w:rsidR="008001D5" w:rsidRPr="00D606FA" w:rsidRDefault="008001D5" w:rsidP="00E33FE9">
      <w:pPr>
        <w:pStyle w:val="BTEMEASMCADiagrama"/>
      </w:pPr>
    </w:p>
    <w:p w14:paraId="238D921C" w14:textId="77777777" w:rsidR="008001D5" w:rsidRPr="00D606FA" w:rsidRDefault="008001D5" w:rsidP="008001D5">
      <w:pPr>
        <w:pStyle w:val="PI-1labEMEASMCA"/>
        <w:rPr>
          <w:sz w:val="22"/>
          <w:szCs w:val="22"/>
        </w:rPr>
      </w:pPr>
      <w:r w:rsidRPr="00D606FA">
        <w:rPr>
          <w:sz w:val="22"/>
          <w:szCs w:val="22"/>
        </w:rPr>
        <w:t>10.</w:t>
      </w:r>
      <w:r w:rsidRPr="00D606FA">
        <w:rPr>
          <w:sz w:val="22"/>
          <w:szCs w:val="22"/>
        </w:rPr>
        <w:tab/>
        <w:t>SPECIALIOS ATSARGUMO PRIEMONĖS DĖL NESUVARTOTO VAISTINIO PREPARATO AR JO ATLIEKŲ TVARKYMO (JEI REIKIA)</w:t>
      </w:r>
    </w:p>
    <w:p w14:paraId="092B0DB3" w14:textId="77777777" w:rsidR="008001D5" w:rsidRPr="00D606FA" w:rsidRDefault="008001D5" w:rsidP="00E33FE9">
      <w:pPr>
        <w:pStyle w:val="BTEMEASMCADiagrama"/>
      </w:pPr>
    </w:p>
    <w:p w14:paraId="53B9311E" w14:textId="77777777" w:rsidR="008001D5" w:rsidRPr="00D606FA" w:rsidRDefault="008001D5" w:rsidP="00E33FE9">
      <w:pPr>
        <w:pStyle w:val="BTEMEASMCADiagrama"/>
      </w:pPr>
    </w:p>
    <w:p w14:paraId="029E225F" w14:textId="77777777" w:rsidR="008001D5" w:rsidRPr="00D606FA" w:rsidRDefault="008001D5" w:rsidP="008001D5">
      <w:pPr>
        <w:pStyle w:val="PI-1labEMEASMCA"/>
        <w:rPr>
          <w:sz w:val="22"/>
          <w:szCs w:val="22"/>
        </w:rPr>
      </w:pPr>
      <w:r w:rsidRPr="00D606FA">
        <w:rPr>
          <w:sz w:val="22"/>
          <w:szCs w:val="22"/>
        </w:rPr>
        <w:t>11.</w:t>
      </w:r>
      <w:r w:rsidRPr="00D606FA">
        <w:rPr>
          <w:sz w:val="22"/>
          <w:szCs w:val="22"/>
        </w:rPr>
        <w:tab/>
        <w:t>REGISTRUOTOJO PAVADINIMAS IR ADRESAS</w:t>
      </w:r>
    </w:p>
    <w:p w14:paraId="07993B28" w14:textId="77777777" w:rsidR="008001D5" w:rsidRPr="00D606FA" w:rsidRDefault="008001D5" w:rsidP="00E33FE9">
      <w:pPr>
        <w:pStyle w:val="BTEMEASMCADiagrama"/>
      </w:pPr>
    </w:p>
    <w:p w14:paraId="1C7F1A31" w14:textId="02201470" w:rsidR="008001D5" w:rsidRPr="008417CD" w:rsidRDefault="0086045E" w:rsidP="008001D5">
      <w:pPr>
        <w:rPr>
          <w:sz w:val="22"/>
          <w:szCs w:val="22"/>
        </w:rPr>
      </w:pPr>
      <w:r>
        <w:rPr>
          <w:sz w:val="22"/>
          <w:szCs w:val="22"/>
        </w:rPr>
        <w:t>Viatris</w:t>
      </w:r>
      <w:r w:rsidR="008001D5" w:rsidRPr="00AF3C6C">
        <w:rPr>
          <w:sz w:val="22"/>
          <w:szCs w:val="22"/>
        </w:rPr>
        <w:t xml:space="preserve"> </w:t>
      </w:r>
      <w:r w:rsidR="008001D5" w:rsidRPr="008417CD">
        <w:rPr>
          <w:sz w:val="22"/>
          <w:szCs w:val="22"/>
        </w:rPr>
        <w:t>SIA</w:t>
      </w:r>
    </w:p>
    <w:p w14:paraId="531C9E29" w14:textId="77777777" w:rsidR="008001D5" w:rsidRPr="008417CD" w:rsidRDefault="008001D5" w:rsidP="008001D5">
      <w:pPr>
        <w:rPr>
          <w:sz w:val="22"/>
          <w:szCs w:val="22"/>
        </w:rPr>
      </w:pPr>
      <w:r w:rsidRPr="008417CD">
        <w:rPr>
          <w:sz w:val="22"/>
          <w:szCs w:val="22"/>
        </w:rPr>
        <w:t>Mūkusalas 101</w:t>
      </w:r>
    </w:p>
    <w:p w14:paraId="0BEC69B8" w14:textId="77777777" w:rsidR="008001D5" w:rsidRPr="008417CD" w:rsidRDefault="008001D5" w:rsidP="008001D5">
      <w:pPr>
        <w:rPr>
          <w:sz w:val="22"/>
          <w:szCs w:val="22"/>
        </w:rPr>
      </w:pPr>
      <w:r w:rsidRPr="008417CD">
        <w:rPr>
          <w:sz w:val="22"/>
          <w:szCs w:val="22"/>
        </w:rPr>
        <w:t>Rīga LV 1004</w:t>
      </w:r>
    </w:p>
    <w:p w14:paraId="07A07956" w14:textId="77777777" w:rsidR="008001D5" w:rsidRPr="00D606FA" w:rsidRDefault="008001D5" w:rsidP="00E33FE9">
      <w:pPr>
        <w:pStyle w:val="BTEMEASMCADiagrama"/>
      </w:pPr>
      <w:r w:rsidRPr="008417CD">
        <w:t>Latvija</w:t>
      </w:r>
    </w:p>
    <w:p w14:paraId="325B8247" w14:textId="77777777" w:rsidR="008001D5" w:rsidRPr="00D606FA" w:rsidRDefault="008001D5" w:rsidP="00E33FE9">
      <w:pPr>
        <w:pStyle w:val="BTEMEASMCADiagrama"/>
      </w:pPr>
    </w:p>
    <w:p w14:paraId="7BA1B3CF" w14:textId="77777777" w:rsidR="008001D5" w:rsidRPr="00D606FA" w:rsidRDefault="008001D5" w:rsidP="00E33FE9">
      <w:pPr>
        <w:pStyle w:val="BTEMEASMCADiagrama"/>
      </w:pPr>
    </w:p>
    <w:p w14:paraId="057BFA1F" w14:textId="77777777" w:rsidR="008001D5" w:rsidRPr="00D606FA" w:rsidRDefault="008001D5" w:rsidP="008001D5">
      <w:pPr>
        <w:pStyle w:val="PI-1labEMEASMCA"/>
        <w:rPr>
          <w:sz w:val="22"/>
          <w:szCs w:val="22"/>
        </w:rPr>
      </w:pPr>
      <w:r w:rsidRPr="00D606FA">
        <w:rPr>
          <w:sz w:val="22"/>
          <w:szCs w:val="22"/>
        </w:rPr>
        <w:t>12.</w:t>
      </w:r>
      <w:r w:rsidRPr="00D606FA">
        <w:rPr>
          <w:sz w:val="22"/>
          <w:szCs w:val="22"/>
        </w:rPr>
        <w:tab/>
        <w:t>REGISTRACIJOS PAŽYMĖJIMO NUMERIS</w:t>
      </w:r>
    </w:p>
    <w:p w14:paraId="00373CB9" w14:textId="77777777" w:rsidR="008001D5" w:rsidRPr="00D606FA" w:rsidRDefault="008001D5" w:rsidP="00E33FE9">
      <w:pPr>
        <w:pStyle w:val="BTEMEASMCADiagrama"/>
      </w:pPr>
    </w:p>
    <w:p w14:paraId="6221474B" w14:textId="77777777" w:rsidR="008001D5" w:rsidRPr="00D606FA" w:rsidRDefault="008001D5" w:rsidP="008001D5">
      <w:pPr>
        <w:rPr>
          <w:sz w:val="22"/>
          <w:szCs w:val="22"/>
        </w:rPr>
      </w:pPr>
      <w:r w:rsidRPr="00D606FA">
        <w:rPr>
          <w:sz w:val="22"/>
          <w:szCs w:val="22"/>
        </w:rPr>
        <w:t>LT/1/96/2568/001</w:t>
      </w:r>
    </w:p>
    <w:p w14:paraId="31B8EA08" w14:textId="77777777" w:rsidR="008001D5" w:rsidRPr="00D606FA" w:rsidRDefault="008001D5" w:rsidP="00E33FE9">
      <w:pPr>
        <w:pStyle w:val="BTEMEASMCADiagrama"/>
      </w:pPr>
    </w:p>
    <w:p w14:paraId="1DF6F858" w14:textId="77777777" w:rsidR="008001D5" w:rsidRPr="00D606FA" w:rsidRDefault="008001D5" w:rsidP="00E33FE9">
      <w:pPr>
        <w:pStyle w:val="BTEMEASMCADiagrama"/>
      </w:pPr>
    </w:p>
    <w:p w14:paraId="26A20DBB" w14:textId="77777777" w:rsidR="008001D5" w:rsidRPr="00D606FA" w:rsidRDefault="008001D5" w:rsidP="008001D5">
      <w:pPr>
        <w:pStyle w:val="PI-1labEMEASMCA"/>
        <w:rPr>
          <w:sz w:val="22"/>
          <w:szCs w:val="22"/>
        </w:rPr>
      </w:pPr>
      <w:r w:rsidRPr="00D606FA">
        <w:rPr>
          <w:sz w:val="22"/>
          <w:szCs w:val="22"/>
        </w:rPr>
        <w:t>13.</w:t>
      </w:r>
      <w:r w:rsidRPr="00D606FA">
        <w:rPr>
          <w:sz w:val="22"/>
          <w:szCs w:val="22"/>
        </w:rPr>
        <w:tab/>
        <w:t>SERIJOS NUMERIS</w:t>
      </w:r>
    </w:p>
    <w:p w14:paraId="31F57688" w14:textId="77777777" w:rsidR="008001D5" w:rsidRPr="00D606FA" w:rsidRDefault="008001D5" w:rsidP="00E33FE9">
      <w:pPr>
        <w:pStyle w:val="BTEMEASMCADiagrama"/>
      </w:pPr>
    </w:p>
    <w:p w14:paraId="30D110B4" w14:textId="77777777" w:rsidR="008001D5" w:rsidRPr="00D606FA" w:rsidRDefault="008001D5" w:rsidP="00E33FE9">
      <w:pPr>
        <w:pStyle w:val="BTEMEASMCADiagrama"/>
      </w:pPr>
      <w:r w:rsidRPr="00D606FA">
        <w:t>Serija</w:t>
      </w:r>
    </w:p>
    <w:p w14:paraId="5F7AA64D" w14:textId="77777777" w:rsidR="008001D5" w:rsidRPr="00D606FA" w:rsidRDefault="008001D5" w:rsidP="00E33FE9">
      <w:pPr>
        <w:pStyle w:val="BTEMEASMCADiagrama"/>
      </w:pPr>
    </w:p>
    <w:p w14:paraId="7F4ABACD" w14:textId="77777777" w:rsidR="008001D5" w:rsidRPr="00D606FA" w:rsidRDefault="008001D5" w:rsidP="00E33FE9">
      <w:pPr>
        <w:pStyle w:val="BTEMEASMCADiagrama"/>
      </w:pPr>
    </w:p>
    <w:p w14:paraId="70ED3AB6" w14:textId="77777777" w:rsidR="008001D5" w:rsidRPr="00D606FA" w:rsidRDefault="008001D5" w:rsidP="008001D5">
      <w:pPr>
        <w:pStyle w:val="PI-1labEMEASMCA"/>
        <w:rPr>
          <w:sz w:val="22"/>
          <w:szCs w:val="22"/>
        </w:rPr>
      </w:pPr>
      <w:r w:rsidRPr="00D606FA">
        <w:rPr>
          <w:sz w:val="22"/>
          <w:szCs w:val="22"/>
        </w:rPr>
        <w:t>14.</w:t>
      </w:r>
      <w:r w:rsidRPr="00D606FA">
        <w:rPr>
          <w:sz w:val="22"/>
          <w:szCs w:val="22"/>
        </w:rPr>
        <w:tab/>
        <w:t>PARDAVIMO (IŠDAVIMO) TVARKA</w:t>
      </w:r>
    </w:p>
    <w:p w14:paraId="57F25C37" w14:textId="77777777" w:rsidR="008001D5" w:rsidRPr="00D606FA" w:rsidRDefault="008001D5" w:rsidP="00E33FE9">
      <w:pPr>
        <w:pStyle w:val="BTEMEASMCADiagrama"/>
      </w:pPr>
    </w:p>
    <w:p w14:paraId="07C88CD1" w14:textId="77777777" w:rsidR="008001D5" w:rsidRPr="00D606FA" w:rsidRDefault="008001D5" w:rsidP="00E33FE9">
      <w:pPr>
        <w:pStyle w:val="BTEMEASMCADiagrama"/>
      </w:pPr>
      <w:r w:rsidRPr="00D606FA">
        <w:t>Receptinis vaist</w:t>
      </w:r>
      <w:r>
        <w:t>as</w:t>
      </w:r>
    </w:p>
    <w:p w14:paraId="33CED171" w14:textId="77777777" w:rsidR="008001D5" w:rsidRPr="00D606FA" w:rsidRDefault="008001D5" w:rsidP="00E33FE9">
      <w:pPr>
        <w:pStyle w:val="BTEMEASMCADiagrama"/>
      </w:pPr>
    </w:p>
    <w:p w14:paraId="2045B9A3" w14:textId="77777777" w:rsidR="008001D5" w:rsidRPr="00D606FA" w:rsidRDefault="008001D5" w:rsidP="00E33FE9">
      <w:pPr>
        <w:pStyle w:val="BTEMEASMCADiagrama"/>
      </w:pPr>
    </w:p>
    <w:p w14:paraId="2DEF7709" w14:textId="77777777" w:rsidR="008001D5" w:rsidRPr="00D606FA" w:rsidRDefault="008001D5" w:rsidP="008001D5">
      <w:pPr>
        <w:pStyle w:val="PI-1labEMEASMCA"/>
        <w:rPr>
          <w:sz w:val="22"/>
          <w:szCs w:val="22"/>
        </w:rPr>
      </w:pPr>
      <w:r w:rsidRPr="00D606FA">
        <w:rPr>
          <w:sz w:val="22"/>
          <w:szCs w:val="22"/>
        </w:rPr>
        <w:t>15.</w:t>
      </w:r>
      <w:r w:rsidRPr="00D606FA">
        <w:rPr>
          <w:sz w:val="22"/>
          <w:szCs w:val="22"/>
        </w:rPr>
        <w:tab/>
        <w:t>VARTOJIMO INSTRUKCIJA</w:t>
      </w:r>
    </w:p>
    <w:p w14:paraId="56B65F6C" w14:textId="77777777" w:rsidR="008001D5" w:rsidRPr="00D606FA" w:rsidRDefault="008001D5" w:rsidP="00E33FE9">
      <w:pPr>
        <w:pStyle w:val="BTEMEASMCADiagrama"/>
      </w:pPr>
    </w:p>
    <w:p w14:paraId="2D779331" w14:textId="77777777" w:rsidR="008001D5" w:rsidRPr="00D606FA" w:rsidRDefault="008001D5" w:rsidP="00E33FE9">
      <w:pPr>
        <w:pStyle w:val="BTEMEASMCADiagrama"/>
      </w:pPr>
    </w:p>
    <w:p w14:paraId="5F569A49" w14:textId="77777777" w:rsidR="008001D5" w:rsidRPr="00D606FA" w:rsidRDefault="008001D5" w:rsidP="008001D5">
      <w:pPr>
        <w:pStyle w:val="PI-1labEMEASMCA"/>
        <w:rPr>
          <w:sz w:val="22"/>
          <w:szCs w:val="22"/>
        </w:rPr>
      </w:pPr>
      <w:r w:rsidRPr="00D606FA">
        <w:rPr>
          <w:sz w:val="22"/>
          <w:szCs w:val="22"/>
        </w:rPr>
        <w:t>16.</w:t>
      </w:r>
      <w:r w:rsidRPr="00D606FA">
        <w:rPr>
          <w:sz w:val="22"/>
          <w:szCs w:val="22"/>
        </w:rPr>
        <w:tab/>
        <w:t>INFORMACIJA BRAILIO RAŠTU</w:t>
      </w:r>
    </w:p>
    <w:p w14:paraId="1869DA68" w14:textId="77777777" w:rsidR="008001D5" w:rsidRPr="00D606FA" w:rsidRDefault="008001D5" w:rsidP="00E33FE9">
      <w:pPr>
        <w:pStyle w:val="BTEMEASMCADiagrama"/>
      </w:pPr>
    </w:p>
    <w:p w14:paraId="2FEC933C" w14:textId="77777777" w:rsidR="008001D5" w:rsidRDefault="008001D5" w:rsidP="00E33FE9">
      <w:pPr>
        <w:pStyle w:val="BTEMEASMCADiagrama"/>
      </w:pPr>
      <w:r>
        <w:t>l</w:t>
      </w:r>
      <w:r w:rsidRPr="00D606FA">
        <w:t>ipanthyl</w:t>
      </w:r>
    </w:p>
    <w:p w14:paraId="21D93B44" w14:textId="77777777" w:rsidR="008001D5" w:rsidRDefault="008001D5" w:rsidP="00E33FE9">
      <w:pPr>
        <w:pStyle w:val="BTEMEASMCADiagrama"/>
      </w:pPr>
    </w:p>
    <w:p w14:paraId="25C36AB5" w14:textId="77777777" w:rsidR="008001D5" w:rsidRPr="0072052A" w:rsidRDefault="008001D5" w:rsidP="00E33FE9">
      <w:pPr>
        <w:pStyle w:val="BTEMEASMCADiagrama"/>
      </w:pPr>
    </w:p>
    <w:p w14:paraId="437652B4" w14:textId="77777777" w:rsidR="0068740D" w:rsidRPr="0068740D" w:rsidRDefault="0068740D" w:rsidP="0068740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2"/>
          <w:lang w:val="en-GB"/>
        </w:rPr>
      </w:pPr>
      <w:r w:rsidRPr="0068740D">
        <w:rPr>
          <w:rFonts w:eastAsia="Times New Roman"/>
          <w:b/>
          <w:noProof/>
          <w:snapToGrid w:val="0"/>
          <w:sz w:val="22"/>
          <w:szCs w:val="22"/>
          <w:lang w:val="en-GB"/>
        </w:rPr>
        <w:t>17.</w:t>
      </w:r>
      <w:r w:rsidRPr="0068740D">
        <w:rPr>
          <w:rFonts w:eastAsia="Times New Roman"/>
          <w:b/>
          <w:noProof/>
          <w:snapToGrid w:val="0"/>
          <w:sz w:val="22"/>
          <w:szCs w:val="22"/>
          <w:lang w:val="en-GB"/>
        </w:rPr>
        <w:tab/>
        <w:t>UNIKALUS IDENTIFIKATORIUS – 2D BRŪKŠNINIS KODAS</w:t>
      </w:r>
    </w:p>
    <w:p w14:paraId="2D4FAD91" w14:textId="77777777" w:rsidR="0068740D" w:rsidRPr="0068740D" w:rsidRDefault="0068740D" w:rsidP="0068740D">
      <w:pPr>
        <w:tabs>
          <w:tab w:val="left" w:pos="567"/>
        </w:tabs>
        <w:spacing w:line="260" w:lineRule="exact"/>
        <w:rPr>
          <w:rFonts w:eastAsia="Times New Roman"/>
          <w:noProof/>
          <w:snapToGrid w:val="0"/>
          <w:sz w:val="22"/>
          <w:szCs w:val="22"/>
          <w:lang w:val="en-GB"/>
        </w:rPr>
      </w:pPr>
    </w:p>
    <w:p w14:paraId="64C255E9" w14:textId="0D3583B3" w:rsidR="0068740D" w:rsidRPr="0068740D" w:rsidRDefault="0068740D" w:rsidP="0068740D">
      <w:pPr>
        <w:tabs>
          <w:tab w:val="left" w:pos="567"/>
        </w:tabs>
        <w:spacing w:line="260" w:lineRule="exact"/>
        <w:rPr>
          <w:rFonts w:eastAsia="Times New Roman"/>
          <w:noProof/>
          <w:snapToGrid w:val="0"/>
          <w:sz w:val="22"/>
          <w:szCs w:val="22"/>
          <w:shd w:val="clear" w:color="auto" w:fill="CCCCCC"/>
          <w:lang w:val="en-GB"/>
        </w:rPr>
      </w:pPr>
      <w:r w:rsidRPr="0068740D">
        <w:rPr>
          <w:rFonts w:eastAsia="Times New Roman"/>
          <w:snapToGrid w:val="0"/>
          <w:sz w:val="22"/>
          <w:szCs w:val="22"/>
          <w:highlight w:val="lightGray"/>
          <w:lang w:val="en-GB"/>
        </w:rPr>
        <w:t>2D brūkšninis kodas su nurodytu unikaliu identifikatoriumi.</w:t>
      </w:r>
    </w:p>
    <w:p w14:paraId="186DCF4F" w14:textId="77777777" w:rsidR="0068740D" w:rsidRPr="0068740D" w:rsidRDefault="0068740D" w:rsidP="0068740D">
      <w:pPr>
        <w:tabs>
          <w:tab w:val="left" w:pos="567"/>
        </w:tabs>
        <w:spacing w:line="260" w:lineRule="exact"/>
        <w:rPr>
          <w:rFonts w:eastAsia="Times New Roman"/>
          <w:noProof/>
          <w:snapToGrid w:val="0"/>
          <w:sz w:val="22"/>
          <w:szCs w:val="22"/>
          <w:lang w:val="en-GB"/>
        </w:rPr>
      </w:pPr>
    </w:p>
    <w:p w14:paraId="47B6D23B" w14:textId="77777777" w:rsidR="0068740D" w:rsidRPr="0068740D" w:rsidRDefault="0068740D" w:rsidP="0068740D">
      <w:pPr>
        <w:tabs>
          <w:tab w:val="left" w:pos="567"/>
        </w:tabs>
        <w:spacing w:line="260" w:lineRule="exact"/>
        <w:rPr>
          <w:rFonts w:eastAsia="Times New Roman"/>
          <w:noProof/>
          <w:snapToGrid w:val="0"/>
          <w:sz w:val="22"/>
          <w:szCs w:val="22"/>
          <w:lang w:val="en-GB"/>
        </w:rPr>
      </w:pPr>
    </w:p>
    <w:p w14:paraId="4BABF4AE" w14:textId="77777777" w:rsidR="0068740D" w:rsidRPr="0068740D" w:rsidRDefault="0068740D" w:rsidP="0068740D">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2"/>
          <w:lang w:val="en-GB"/>
        </w:rPr>
      </w:pPr>
      <w:r w:rsidRPr="0068740D">
        <w:rPr>
          <w:rFonts w:eastAsia="Times New Roman"/>
          <w:b/>
          <w:noProof/>
          <w:snapToGrid w:val="0"/>
          <w:sz w:val="22"/>
          <w:szCs w:val="22"/>
          <w:lang w:val="en-GB"/>
        </w:rPr>
        <w:t>18.</w:t>
      </w:r>
      <w:r w:rsidRPr="0068740D">
        <w:rPr>
          <w:rFonts w:eastAsia="Times New Roman"/>
          <w:b/>
          <w:noProof/>
          <w:snapToGrid w:val="0"/>
          <w:sz w:val="22"/>
          <w:szCs w:val="22"/>
          <w:lang w:val="en-GB"/>
        </w:rPr>
        <w:tab/>
        <w:t>UNIKALUS IDENTIFIKATORIUS – ŽMONĖMS SUPRANTAMI DUOMENYS</w:t>
      </w:r>
    </w:p>
    <w:p w14:paraId="1ED6897C" w14:textId="77777777" w:rsidR="0068740D" w:rsidRPr="0068740D" w:rsidRDefault="0068740D" w:rsidP="0068740D">
      <w:pPr>
        <w:tabs>
          <w:tab w:val="left" w:pos="567"/>
        </w:tabs>
        <w:spacing w:line="260" w:lineRule="exact"/>
        <w:rPr>
          <w:rFonts w:eastAsia="Times New Roman"/>
          <w:noProof/>
          <w:snapToGrid w:val="0"/>
          <w:sz w:val="22"/>
          <w:szCs w:val="22"/>
          <w:lang w:val="en-GB"/>
        </w:rPr>
      </w:pPr>
    </w:p>
    <w:p w14:paraId="27651E75" w14:textId="4E422330" w:rsidR="0068740D" w:rsidRPr="0068740D" w:rsidRDefault="0068740D" w:rsidP="0068740D">
      <w:pPr>
        <w:tabs>
          <w:tab w:val="left" w:pos="567"/>
        </w:tabs>
        <w:spacing w:line="260" w:lineRule="exact"/>
        <w:rPr>
          <w:rFonts w:eastAsia="Times New Roman"/>
          <w:snapToGrid w:val="0"/>
          <w:color w:val="008000"/>
          <w:sz w:val="22"/>
          <w:szCs w:val="22"/>
          <w:lang w:val="en-GB"/>
        </w:rPr>
      </w:pPr>
      <w:r w:rsidRPr="0068740D">
        <w:rPr>
          <w:rFonts w:eastAsia="Times New Roman"/>
          <w:snapToGrid w:val="0"/>
          <w:sz w:val="22"/>
          <w:szCs w:val="22"/>
          <w:lang w:val="en-GB"/>
        </w:rPr>
        <w:t xml:space="preserve">PC {numeris} </w:t>
      </w:r>
    </w:p>
    <w:p w14:paraId="6D4E421F" w14:textId="7EB02522" w:rsidR="0068740D" w:rsidRPr="0068740D" w:rsidRDefault="0068740D" w:rsidP="0068740D">
      <w:pPr>
        <w:tabs>
          <w:tab w:val="left" w:pos="567"/>
        </w:tabs>
        <w:spacing w:line="260" w:lineRule="exact"/>
        <w:rPr>
          <w:rFonts w:eastAsia="Times New Roman"/>
          <w:snapToGrid w:val="0"/>
          <w:sz w:val="22"/>
          <w:szCs w:val="22"/>
          <w:lang w:val="en-GB"/>
        </w:rPr>
      </w:pPr>
      <w:r w:rsidRPr="0068740D">
        <w:rPr>
          <w:rFonts w:eastAsia="Times New Roman"/>
          <w:snapToGrid w:val="0"/>
          <w:sz w:val="22"/>
          <w:szCs w:val="22"/>
          <w:lang w:val="en-GB"/>
        </w:rPr>
        <w:t>SN {numeris}</w:t>
      </w:r>
    </w:p>
    <w:p w14:paraId="5006446F" w14:textId="06ADAA31" w:rsidR="0068740D" w:rsidRPr="0068740D" w:rsidRDefault="0068740D" w:rsidP="0068740D">
      <w:pPr>
        <w:tabs>
          <w:tab w:val="left" w:pos="567"/>
        </w:tabs>
        <w:spacing w:line="260" w:lineRule="exact"/>
        <w:rPr>
          <w:rFonts w:eastAsia="Times New Roman"/>
          <w:noProof/>
          <w:snapToGrid w:val="0"/>
          <w:vanish/>
          <w:sz w:val="22"/>
          <w:szCs w:val="22"/>
          <w:lang w:val="en-GB"/>
        </w:rPr>
      </w:pPr>
      <w:r w:rsidRPr="0068740D">
        <w:rPr>
          <w:rFonts w:eastAsia="Times New Roman"/>
          <w:snapToGrid w:val="0"/>
          <w:sz w:val="22"/>
          <w:szCs w:val="22"/>
          <w:highlight w:val="lightGray"/>
          <w:lang w:val="en-GB"/>
        </w:rPr>
        <w:t>NN {numeris}</w:t>
      </w:r>
    </w:p>
    <w:p w14:paraId="1B7C3CAE" w14:textId="77777777" w:rsidR="0068740D" w:rsidRPr="0068740D" w:rsidRDefault="0068740D" w:rsidP="0068740D">
      <w:pPr>
        <w:tabs>
          <w:tab w:val="left" w:pos="567"/>
        </w:tabs>
        <w:spacing w:line="260" w:lineRule="exact"/>
        <w:rPr>
          <w:rFonts w:eastAsia="Times New Roman"/>
          <w:noProof/>
          <w:snapToGrid w:val="0"/>
          <w:vanish/>
          <w:sz w:val="22"/>
          <w:szCs w:val="22"/>
          <w:lang w:val="en-GB"/>
        </w:rPr>
      </w:pPr>
    </w:p>
    <w:p w14:paraId="08309756" w14:textId="77777777" w:rsidR="0068740D" w:rsidRPr="0068740D" w:rsidRDefault="0068740D" w:rsidP="0068740D">
      <w:pPr>
        <w:tabs>
          <w:tab w:val="left" w:pos="567"/>
        </w:tabs>
        <w:spacing w:line="260" w:lineRule="exact"/>
        <w:rPr>
          <w:rFonts w:eastAsia="Times New Roman"/>
          <w:snapToGrid w:val="0"/>
          <w:sz w:val="22"/>
          <w:szCs w:val="22"/>
        </w:rPr>
      </w:pPr>
    </w:p>
    <w:p w14:paraId="13EAA3AF" w14:textId="77777777" w:rsidR="008001D5" w:rsidRPr="0072052A" w:rsidRDefault="008001D5" w:rsidP="00E33FE9">
      <w:pPr>
        <w:pStyle w:val="BTEMEASMCADiagrama"/>
      </w:pPr>
    </w:p>
    <w:p w14:paraId="2B963D87" w14:textId="77777777" w:rsidR="008001D5" w:rsidRDefault="008001D5" w:rsidP="00E33FE9">
      <w:pPr>
        <w:pStyle w:val="BTEMEASMCADiagrama"/>
      </w:pPr>
      <w:r w:rsidRPr="00D606FA">
        <w:br w:type="page"/>
      </w:r>
    </w:p>
    <w:p w14:paraId="3DC32C6D" w14:textId="77777777" w:rsidR="008001D5" w:rsidRPr="00DF00B7" w:rsidRDefault="008001D5" w:rsidP="008001D5">
      <w:pPr>
        <w:rPr>
          <w:lang w:eastAsia="lt-LT"/>
        </w:rPr>
      </w:pPr>
    </w:p>
    <w:p w14:paraId="038C16E9" w14:textId="77777777" w:rsidR="008001D5" w:rsidRPr="00D606FA" w:rsidRDefault="008001D5" w:rsidP="008001D5">
      <w:pPr>
        <w:pStyle w:val="PI-1labEMEASMCA"/>
        <w:rPr>
          <w:sz w:val="22"/>
          <w:szCs w:val="22"/>
        </w:rPr>
      </w:pPr>
      <w:r w:rsidRPr="00D606FA">
        <w:rPr>
          <w:sz w:val="22"/>
          <w:szCs w:val="22"/>
        </w:rPr>
        <w:t xml:space="preserve">MINIMALI </w:t>
      </w:r>
      <w:r w:rsidRPr="00D606FA">
        <w:rPr>
          <w:caps/>
          <w:sz w:val="22"/>
          <w:szCs w:val="22"/>
        </w:rPr>
        <w:t xml:space="preserve">informacija ant </w:t>
      </w:r>
      <w:r w:rsidRPr="00D606FA">
        <w:rPr>
          <w:sz w:val="22"/>
          <w:szCs w:val="22"/>
        </w:rPr>
        <w:t>LIZDINIŲ PLOKŠTELIŲ ARBA DVISLUOKSNIŲ JUOSTELIŲ</w:t>
      </w:r>
    </w:p>
    <w:p w14:paraId="30579CCC" w14:textId="77777777" w:rsidR="008001D5" w:rsidRPr="00D606FA" w:rsidRDefault="008001D5" w:rsidP="008001D5">
      <w:pPr>
        <w:pStyle w:val="PI-1labEMEASMCA"/>
        <w:rPr>
          <w:sz w:val="22"/>
          <w:szCs w:val="22"/>
        </w:rPr>
      </w:pPr>
    </w:p>
    <w:p w14:paraId="2C2701C5" w14:textId="77777777" w:rsidR="008001D5" w:rsidRPr="00D606FA" w:rsidRDefault="008001D5" w:rsidP="008001D5">
      <w:pPr>
        <w:pStyle w:val="PI-1labEMEASMCA"/>
        <w:rPr>
          <w:sz w:val="22"/>
          <w:szCs w:val="22"/>
        </w:rPr>
      </w:pPr>
      <w:r w:rsidRPr="00D606FA">
        <w:rPr>
          <w:sz w:val="22"/>
          <w:szCs w:val="22"/>
        </w:rPr>
        <w:t>LIZDINĖ PLOKŠTELĖ</w:t>
      </w:r>
    </w:p>
    <w:p w14:paraId="6F7BBD3A" w14:textId="77777777" w:rsidR="008001D5" w:rsidRPr="00D606FA" w:rsidRDefault="008001D5" w:rsidP="00E33FE9">
      <w:pPr>
        <w:pStyle w:val="BTEMEASMCADiagrama"/>
      </w:pPr>
    </w:p>
    <w:p w14:paraId="79175207" w14:textId="77777777" w:rsidR="008001D5" w:rsidRPr="00D606FA" w:rsidRDefault="008001D5" w:rsidP="00E33FE9">
      <w:pPr>
        <w:pStyle w:val="BTEMEASMCADiagrama"/>
      </w:pPr>
    </w:p>
    <w:p w14:paraId="0EB2CF68" w14:textId="77777777" w:rsidR="008001D5" w:rsidRPr="00D606FA" w:rsidRDefault="008001D5" w:rsidP="008001D5">
      <w:pPr>
        <w:pStyle w:val="PI-1labEMEASMCA"/>
        <w:rPr>
          <w:sz w:val="22"/>
          <w:szCs w:val="22"/>
        </w:rPr>
      </w:pPr>
      <w:r w:rsidRPr="00D606FA">
        <w:rPr>
          <w:sz w:val="22"/>
          <w:szCs w:val="22"/>
        </w:rPr>
        <w:t>1.</w:t>
      </w:r>
      <w:r w:rsidRPr="00D606FA">
        <w:rPr>
          <w:sz w:val="22"/>
          <w:szCs w:val="22"/>
        </w:rPr>
        <w:tab/>
        <w:t>VAISTINIO PREPARATO PAVADINIMAS</w:t>
      </w:r>
    </w:p>
    <w:p w14:paraId="7CCB7BCE" w14:textId="77777777" w:rsidR="008001D5" w:rsidRPr="00D606FA" w:rsidRDefault="008001D5" w:rsidP="00E33FE9">
      <w:pPr>
        <w:pStyle w:val="BTEMEASMCADiagrama"/>
      </w:pPr>
    </w:p>
    <w:p w14:paraId="2559826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pacing w:val="-3"/>
          <w:sz w:val="22"/>
          <w:szCs w:val="22"/>
        </w:rPr>
        <w:t>LIPANTHYL 200</w:t>
      </w:r>
      <w:r>
        <w:rPr>
          <w:spacing w:val="-3"/>
          <w:sz w:val="22"/>
          <w:szCs w:val="22"/>
        </w:rPr>
        <w:t> </w:t>
      </w:r>
      <w:r w:rsidRPr="00D606FA">
        <w:rPr>
          <w:spacing w:val="-3"/>
          <w:sz w:val="22"/>
          <w:szCs w:val="22"/>
        </w:rPr>
        <w:t>mg kietosios kapsulės</w:t>
      </w:r>
    </w:p>
    <w:p w14:paraId="75ED5B59" w14:textId="2D44FEA4" w:rsidR="008001D5" w:rsidRPr="00D606FA" w:rsidRDefault="009420B3" w:rsidP="00E33FE9">
      <w:pPr>
        <w:pStyle w:val="BTEMEASMCADiagrama"/>
      </w:pPr>
      <w:r>
        <w:t>f</w:t>
      </w:r>
      <w:r w:rsidR="008001D5" w:rsidRPr="00D606FA">
        <w:t>enofibratum</w:t>
      </w:r>
    </w:p>
    <w:p w14:paraId="2DD657AD" w14:textId="77777777" w:rsidR="008001D5" w:rsidRPr="00D606FA" w:rsidRDefault="008001D5" w:rsidP="00E33FE9">
      <w:pPr>
        <w:pStyle w:val="BTEMEASMCADiagrama"/>
      </w:pPr>
    </w:p>
    <w:p w14:paraId="12EE4285" w14:textId="77777777" w:rsidR="008001D5" w:rsidRPr="00D606FA" w:rsidRDefault="008001D5" w:rsidP="00E33FE9">
      <w:pPr>
        <w:pStyle w:val="BTEMEASMCADiagrama"/>
      </w:pPr>
    </w:p>
    <w:p w14:paraId="597AA468" w14:textId="77777777" w:rsidR="008001D5" w:rsidRPr="00D606FA" w:rsidRDefault="008001D5" w:rsidP="008001D5">
      <w:pPr>
        <w:pStyle w:val="PI-1labEMEASMCA"/>
        <w:rPr>
          <w:sz w:val="22"/>
          <w:szCs w:val="22"/>
        </w:rPr>
      </w:pPr>
      <w:r w:rsidRPr="00D606FA">
        <w:rPr>
          <w:sz w:val="22"/>
          <w:szCs w:val="22"/>
        </w:rPr>
        <w:t>2.</w:t>
      </w:r>
      <w:r w:rsidRPr="00D606FA">
        <w:rPr>
          <w:sz w:val="22"/>
          <w:szCs w:val="22"/>
        </w:rPr>
        <w:tab/>
        <w:t>REGISTRUOTOJO PAVADINIMAS</w:t>
      </w:r>
    </w:p>
    <w:p w14:paraId="51021D8B" w14:textId="77777777" w:rsidR="008001D5" w:rsidRPr="00D606FA" w:rsidRDefault="008001D5" w:rsidP="00E33FE9">
      <w:pPr>
        <w:pStyle w:val="BTEMEASMCADiagrama"/>
      </w:pPr>
    </w:p>
    <w:p w14:paraId="59344FB0" w14:textId="4AE9B7B0" w:rsidR="008001D5" w:rsidRDefault="0086045E" w:rsidP="00E33FE9">
      <w:pPr>
        <w:pStyle w:val="BTEMEASMCADiagrama"/>
      </w:pPr>
      <w:r>
        <w:t>Viatris</w:t>
      </w:r>
      <w:r w:rsidR="008001D5">
        <w:t xml:space="preserve"> SIA</w:t>
      </w:r>
    </w:p>
    <w:p w14:paraId="46E1E5E2" w14:textId="77777777" w:rsidR="008001D5" w:rsidRPr="00D606FA" w:rsidRDefault="008001D5" w:rsidP="00E33FE9">
      <w:pPr>
        <w:pStyle w:val="BTEMEASMCADiagrama"/>
      </w:pPr>
    </w:p>
    <w:p w14:paraId="633CEBDC" w14:textId="77777777" w:rsidR="008001D5" w:rsidRPr="00D606FA" w:rsidRDefault="008001D5" w:rsidP="00E33FE9">
      <w:pPr>
        <w:pStyle w:val="BTEMEASMCADiagrama"/>
      </w:pPr>
    </w:p>
    <w:p w14:paraId="3331522E" w14:textId="77777777" w:rsidR="008001D5" w:rsidRPr="00D606FA" w:rsidRDefault="008001D5" w:rsidP="008001D5">
      <w:pPr>
        <w:pStyle w:val="PI-1labEMEASMCA"/>
        <w:rPr>
          <w:sz w:val="22"/>
          <w:szCs w:val="22"/>
        </w:rPr>
      </w:pPr>
      <w:r w:rsidRPr="00D606FA">
        <w:rPr>
          <w:sz w:val="22"/>
          <w:szCs w:val="22"/>
        </w:rPr>
        <w:t>3.</w:t>
      </w:r>
      <w:r w:rsidRPr="00D606FA">
        <w:rPr>
          <w:sz w:val="22"/>
          <w:szCs w:val="22"/>
        </w:rPr>
        <w:tab/>
        <w:t>TINKAMUMO LAIKAS</w:t>
      </w:r>
    </w:p>
    <w:p w14:paraId="062A80D6" w14:textId="77777777" w:rsidR="008001D5" w:rsidRPr="00D606FA" w:rsidRDefault="008001D5" w:rsidP="00E33FE9">
      <w:pPr>
        <w:pStyle w:val="BTEMEASMCADiagrama"/>
      </w:pPr>
    </w:p>
    <w:p w14:paraId="279D4838" w14:textId="77777777" w:rsidR="008001D5" w:rsidRPr="00D606FA" w:rsidRDefault="008001D5" w:rsidP="00E33FE9">
      <w:pPr>
        <w:pStyle w:val="BTEMEASMCADiagrama"/>
      </w:pPr>
      <w:r w:rsidRPr="00D606FA">
        <w:t>EXP {mm/MMMM</w:t>
      </w:r>
      <w:r w:rsidRPr="00D606FA" w:rsidDel="00005DA2">
        <w:t xml:space="preserve"> </w:t>
      </w:r>
      <w:r w:rsidRPr="00D606FA">
        <w:t>}</w:t>
      </w:r>
    </w:p>
    <w:p w14:paraId="57E841D7" w14:textId="77777777" w:rsidR="008001D5" w:rsidRPr="00D606FA" w:rsidRDefault="008001D5" w:rsidP="00E33FE9">
      <w:pPr>
        <w:pStyle w:val="BTEMEASMCADiagrama"/>
      </w:pPr>
    </w:p>
    <w:p w14:paraId="0432C979" w14:textId="77777777" w:rsidR="008001D5" w:rsidRPr="00D606FA" w:rsidRDefault="008001D5" w:rsidP="00E33FE9">
      <w:pPr>
        <w:pStyle w:val="BTEMEASMCADiagrama"/>
      </w:pPr>
    </w:p>
    <w:p w14:paraId="2B67DDCE" w14:textId="77777777" w:rsidR="008001D5" w:rsidRPr="00D606FA" w:rsidRDefault="008001D5" w:rsidP="008001D5">
      <w:pPr>
        <w:pStyle w:val="PI-1labEMEASMCA"/>
        <w:rPr>
          <w:sz w:val="22"/>
          <w:szCs w:val="22"/>
        </w:rPr>
      </w:pPr>
      <w:r w:rsidRPr="00D606FA">
        <w:rPr>
          <w:sz w:val="22"/>
          <w:szCs w:val="22"/>
        </w:rPr>
        <w:t>4.</w:t>
      </w:r>
      <w:r w:rsidRPr="00D606FA">
        <w:rPr>
          <w:sz w:val="22"/>
          <w:szCs w:val="22"/>
        </w:rPr>
        <w:tab/>
        <w:t>SERIJOS NUMERIS</w:t>
      </w:r>
    </w:p>
    <w:p w14:paraId="4AB5002D" w14:textId="77777777" w:rsidR="008001D5" w:rsidRPr="00D606FA" w:rsidRDefault="008001D5" w:rsidP="00E33FE9">
      <w:pPr>
        <w:pStyle w:val="BTEMEASMCADiagrama"/>
      </w:pPr>
    </w:p>
    <w:p w14:paraId="1CD49E1C" w14:textId="77777777" w:rsidR="008001D5" w:rsidRPr="00D606FA" w:rsidRDefault="008001D5" w:rsidP="00E33FE9">
      <w:pPr>
        <w:pStyle w:val="BTEMEASMCADiagrama"/>
      </w:pPr>
      <w:r w:rsidRPr="00D606FA">
        <w:t>Lot</w:t>
      </w:r>
    </w:p>
    <w:p w14:paraId="23C250E5" w14:textId="77777777" w:rsidR="008001D5" w:rsidRPr="00D606FA" w:rsidRDefault="008001D5" w:rsidP="00E33FE9">
      <w:pPr>
        <w:pStyle w:val="BTEMEASMCADiagrama"/>
      </w:pPr>
    </w:p>
    <w:p w14:paraId="70A627EC" w14:textId="77777777" w:rsidR="008001D5" w:rsidRPr="00D606FA" w:rsidRDefault="008001D5" w:rsidP="00E33FE9">
      <w:pPr>
        <w:pStyle w:val="BTEMEASMCADiagrama"/>
      </w:pPr>
    </w:p>
    <w:p w14:paraId="3156748F" w14:textId="77777777" w:rsidR="008001D5" w:rsidRPr="00D606FA" w:rsidRDefault="008001D5" w:rsidP="008001D5">
      <w:pPr>
        <w:pStyle w:val="PI-1labEMEASMCA"/>
        <w:rPr>
          <w:sz w:val="22"/>
          <w:szCs w:val="22"/>
        </w:rPr>
      </w:pPr>
      <w:r w:rsidRPr="00D606FA">
        <w:rPr>
          <w:sz w:val="22"/>
          <w:szCs w:val="22"/>
        </w:rPr>
        <w:t>5.</w:t>
      </w:r>
      <w:r w:rsidRPr="00D606FA">
        <w:rPr>
          <w:sz w:val="22"/>
          <w:szCs w:val="22"/>
        </w:rPr>
        <w:tab/>
        <w:t>KITA</w:t>
      </w:r>
    </w:p>
    <w:p w14:paraId="5CC2541C" w14:textId="77777777" w:rsidR="008001D5" w:rsidRPr="00D606FA" w:rsidRDefault="008001D5" w:rsidP="00E33FE9">
      <w:pPr>
        <w:pStyle w:val="BTEMEASMCADiagrama"/>
      </w:pPr>
    </w:p>
    <w:p w14:paraId="26219EEC" w14:textId="77777777" w:rsidR="008001D5" w:rsidRPr="00D606FA" w:rsidRDefault="008001D5" w:rsidP="00E33FE9">
      <w:pPr>
        <w:pStyle w:val="BTEMEASMCADiagrama"/>
      </w:pPr>
    </w:p>
    <w:p w14:paraId="72DA9B06" w14:textId="77777777" w:rsidR="008001D5" w:rsidRPr="00D606FA" w:rsidRDefault="008001D5" w:rsidP="008001D5">
      <w:pPr>
        <w:spacing w:line="276" w:lineRule="auto"/>
        <w:rPr>
          <w:noProof/>
          <w:sz w:val="22"/>
          <w:szCs w:val="22"/>
          <w:lang w:eastAsia="lt-LT"/>
        </w:rPr>
      </w:pPr>
      <w:r w:rsidRPr="00D606FA">
        <w:rPr>
          <w:sz w:val="22"/>
          <w:szCs w:val="22"/>
        </w:rPr>
        <w:br w:type="page"/>
      </w:r>
    </w:p>
    <w:p w14:paraId="477A2679" w14:textId="77777777" w:rsidR="008001D5" w:rsidRPr="00D606FA" w:rsidRDefault="008001D5" w:rsidP="00E33FE9">
      <w:pPr>
        <w:pStyle w:val="BTEMEASMCADiagrama"/>
      </w:pPr>
    </w:p>
    <w:p w14:paraId="3422BC03" w14:textId="77777777" w:rsidR="008001D5" w:rsidRPr="00D606FA" w:rsidRDefault="008001D5" w:rsidP="00E33FE9">
      <w:pPr>
        <w:pStyle w:val="BTEMEASMCADiagrama"/>
      </w:pPr>
    </w:p>
    <w:p w14:paraId="33938094" w14:textId="77777777" w:rsidR="008001D5" w:rsidRPr="00D606FA" w:rsidRDefault="008001D5" w:rsidP="00E33FE9">
      <w:pPr>
        <w:pStyle w:val="BTEMEASMCADiagrama"/>
      </w:pPr>
    </w:p>
    <w:p w14:paraId="3CB87E2A" w14:textId="77777777" w:rsidR="008001D5" w:rsidRPr="00D606FA" w:rsidRDefault="008001D5" w:rsidP="00E33FE9">
      <w:pPr>
        <w:pStyle w:val="BTEMEASMCADiagrama"/>
      </w:pPr>
    </w:p>
    <w:p w14:paraId="0CCCE747" w14:textId="77777777" w:rsidR="008001D5" w:rsidRPr="00D606FA" w:rsidRDefault="008001D5" w:rsidP="00E33FE9">
      <w:pPr>
        <w:pStyle w:val="BTEMEASMCADiagrama"/>
      </w:pPr>
    </w:p>
    <w:p w14:paraId="2BD1565A" w14:textId="77777777" w:rsidR="008001D5" w:rsidRPr="00D606FA" w:rsidRDefault="008001D5" w:rsidP="00E33FE9">
      <w:pPr>
        <w:pStyle w:val="BTEMEASMCADiagrama"/>
      </w:pPr>
    </w:p>
    <w:p w14:paraId="18EA8015" w14:textId="77777777" w:rsidR="008001D5" w:rsidRPr="00D606FA" w:rsidRDefault="008001D5" w:rsidP="00E33FE9">
      <w:pPr>
        <w:pStyle w:val="BTEMEASMCADiagrama"/>
      </w:pPr>
    </w:p>
    <w:p w14:paraId="774060BF" w14:textId="77777777" w:rsidR="008001D5" w:rsidRPr="00D606FA" w:rsidRDefault="008001D5" w:rsidP="00E33FE9">
      <w:pPr>
        <w:pStyle w:val="BTEMEASMCADiagrama"/>
      </w:pPr>
    </w:p>
    <w:p w14:paraId="7BCC6549" w14:textId="77777777" w:rsidR="008001D5" w:rsidRPr="00D606FA" w:rsidRDefault="008001D5" w:rsidP="00E33FE9">
      <w:pPr>
        <w:pStyle w:val="BTEMEASMCADiagrama"/>
      </w:pPr>
    </w:p>
    <w:p w14:paraId="6B56A2EB" w14:textId="77777777" w:rsidR="008001D5" w:rsidRPr="00D606FA" w:rsidRDefault="008001D5" w:rsidP="00E33FE9">
      <w:pPr>
        <w:pStyle w:val="BTEMEASMCADiagrama"/>
      </w:pPr>
    </w:p>
    <w:p w14:paraId="75B505E2" w14:textId="77777777" w:rsidR="008001D5" w:rsidRPr="00D606FA" w:rsidRDefault="008001D5" w:rsidP="00E33FE9">
      <w:pPr>
        <w:pStyle w:val="BTEMEASMCADiagrama"/>
      </w:pPr>
    </w:p>
    <w:p w14:paraId="3CAF9A53" w14:textId="77777777" w:rsidR="008001D5" w:rsidRPr="00D606FA" w:rsidRDefault="008001D5" w:rsidP="00E33FE9">
      <w:pPr>
        <w:pStyle w:val="BTEMEASMCADiagrama"/>
      </w:pPr>
    </w:p>
    <w:p w14:paraId="37C0394B" w14:textId="77777777" w:rsidR="008001D5" w:rsidRPr="00D606FA" w:rsidRDefault="008001D5" w:rsidP="00E33FE9">
      <w:pPr>
        <w:pStyle w:val="BTEMEASMCADiagrama"/>
      </w:pPr>
    </w:p>
    <w:p w14:paraId="6462D599" w14:textId="77777777" w:rsidR="008001D5" w:rsidRPr="00D606FA" w:rsidRDefault="008001D5" w:rsidP="00E33FE9">
      <w:pPr>
        <w:pStyle w:val="BTEMEASMCADiagrama"/>
      </w:pPr>
    </w:p>
    <w:p w14:paraId="3EA9493D" w14:textId="77777777" w:rsidR="008001D5" w:rsidRPr="00D606FA" w:rsidRDefault="008001D5" w:rsidP="00E33FE9">
      <w:pPr>
        <w:pStyle w:val="BTEMEASMCADiagrama"/>
      </w:pPr>
    </w:p>
    <w:p w14:paraId="7F6B9042" w14:textId="77777777" w:rsidR="008001D5" w:rsidRPr="00D606FA" w:rsidRDefault="008001D5" w:rsidP="00E33FE9">
      <w:pPr>
        <w:pStyle w:val="BTEMEASMCADiagrama"/>
      </w:pPr>
    </w:p>
    <w:p w14:paraId="5C8A31C8" w14:textId="77777777" w:rsidR="008001D5" w:rsidRPr="00D606FA" w:rsidRDefault="008001D5" w:rsidP="00E33FE9">
      <w:pPr>
        <w:pStyle w:val="BTEMEASMCADiagrama"/>
      </w:pPr>
    </w:p>
    <w:p w14:paraId="3CA49E99" w14:textId="77777777" w:rsidR="008001D5" w:rsidRPr="00D606FA" w:rsidRDefault="008001D5" w:rsidP="00E33FE9">
      <w:pPr>
        <w:pStyle w:val="BTEMEASMCADiagrama"/>
      </w:pPr>
    </w:p>
    <w:p w14:paraId="12651E5D" w14:textId="77777777" w:rsidR="008001D5" w:rsidRPr="00D606FA" w:rsidRDefault="008001D5" w:rsidP="00E33FE9">
      <w:pPr>
        <w:pStyle w:val="BTEMEASMCADiagrama"/>
      </w:pPr>
    </w:p>
    <w:p w14:paraId="4C4A93E6" w14:textId="77777777" w:rsidR="008001D5" w:rsidRPr="00D606FA" w:rsidRDefault="008001D5" w:rsidP="00E33FE9">
      <w:pPr>
        <w:pStyle w:val="BTEMEASMCADiagrama"/>
      </w:pPr>
    </w:p>
    <w:p w14:paraId="6418CEA5" w14:textId="77777777" w:rsidR="008001D5" w:rsidRPr="00D606FA" w:rsidRDefault="008001D5" w:rsidP="00E33FE9">
      <w:pPr>
        <w:pStyle w:val="BTEMEASMCADiagrama"/>
      </w:pPr>
    </w:p>
    <w:p w14:paraId="26BC85F5" w14:textId="77777777" w:rsidR="008001D5" w:rsidRPr="00D606FA" w:rsidRDefault="008001D5" w:rsidP="00E33FE9">
      <w:pPr>
        <w:pStyle w:val="BTEMEASMCADiagrama"/>
      </w:pPr>
    </w:p>
    <w:p w14:paraId="296BBEB4" w14:textId="4FBD9DE2" w:rsidR="008001D5" w:rsidRPr="00D606FA" w:rsidRDefault="008001D5" w:rsidP="009420B3">
      <w:pPr>
        <w:pStyle w:val="TTEMEASMCA"/>
      </w:pPr>
      <w:bookmarkStart w:id="75" w:name="_Toc129243137"/>
      <w:bookmarkStart w:id="76" w:name="_Toc129243262"/>
      <w:r w:rsidRPr="00D606FA">
        <w:t>B. PAKUOTĖS LAPELIS</w:t>
      </w:r>
      <w:bookmarkEnd w:id="75"/>
      <w:bookmarkEnd w:id="76"/>
    </w:p>
    <w:p w14:paraId="257FC9CC" w14:textId="77777777" w:rsidR="008001D5" w:rsidRPr="00D606FA" w:rsidRDefault="008001D5" w:rsidP="009420B3">
      <w:pPr>
        <w:pStyle w:val="TTEMEASMCA"/>
      </w:pPr>
      <w:r w:rsidRPr="00D606FA">
        <w:br w:type="page"/>
      </w:r>
      <w:bookmarkStart w:id="77" w:name="_Toc129243138"/>
      <w:bookmarkStart w:id="78" w:name="_Toc129243263"/>
      <w:r w:rsidRPr="00D606FA">
        <w:lastRenderedPageBreak/>
        <w:t>Pakuotės lapelis: informacija vartotojui</w:t>
      </w:r>
      <w:bookmarkEnd w:id="77"/>
      <w:bookmarkEnd w:id="78"/>
    </w:p>
    <w:p w14:paraId="326D58BF" w14:textId="77777777" w:rsidR="008001D5" w:rsidRPr="00D606FA" w:rsidRDefault="008001D5" w:rsidP="00E33FE9">
      <w:pPr>
        <w:pStyle w:val="BTEMEASMCADiagrama"/>
      </w:pPr>
    </w:p>
    <w:p w14:paraId="27F275B9" w14:textId="77777777" w:rsidR="008001D5" w:rsidRPr="00D606FA" w:rsidRDefault="008001D5" w:rsidP="00E33FE9">
      <w:pPr>
        <w:pStyle w:val="BTbeEMEASMCA"/>
        <w:rPr>
          <w:noProof w:val="0"/>
        </w:rPr>
      </w:pPr>
      <w:r w:rsidRPr="00D606FA">
        <w:rPr>
          <w:caps/>
        </w:rPr>
        <w:t>Lipanthyl</w:t>
      </w:r>
      <w:r w:rsidRPr="00D606FA">
        <w:t xml:space="preserve"> 200 mg kietosios kapsulės</w:t>
      </w:r>
    </w:p>
    <w:p w14:paraId="1B9B07FC" w14:textId="77777777" w:rsidR="008001D5" w:rsidRPr="00D606FA" w:rsidRDefault="008001D5" w:rsidP="00E33FE9">
      <w:pPr>
        <w:pStyle w:val="BTeEMEASMCA"/>
      </w:pPr>
      <w:r>
        <w:t>f</w:t>
      </w:r>
      <w:r w:rsidRPr="00D606FA">
        <w:t>enofibratas</w:t>
      </w:r>
    </w:p>
    <w:p w14:paraId="258E16DB" w14:textId="77777777" w:rsidR="008001D5" w:rsidRPr="00D606FA" w:rsidRDefault="008001D5" w:rsidP="00E33FE9">
      <w:pPr>
        <w:pStyle w:val="BTEMEASMCADiagrama"/>
      </w:pPr>
    </w:p>
    <w:p w14:paraId="570F8DE6" w14:textId="77777777" w:rsidR="008001D5" w:rsidRPr="00D606FA" w:rsidRDefault="008001D5" w:rsidP="00E33FE9">
      <w:pPr>
        <w:pStyle w:val="BTbEMEASMCA"/>
      </w:pPr>
      <w:r w:rsidRPr="00D606FA">
        <w:t>Atidžiai perskaitykite visą šį lapelį, prieš pradėdami vartoti vaistą, nes jame pateikiama Jums svarbi informacija.</w:t>
      </w:r>
    </w:p>
    <w:p w14:paraId="0AC38F31" w14:textId="77777777" w:rsidR="008001D5" w:rsidRPr="00D606FA" w:rsidRDefault="008001D5" w:rsidP="008001D5">
      <w:pPr>
        <w:pStyle w:val="Sraopastraipa1"/>
        <w:numPr>
          <w:ilvl w:val="0"/>
          <w:numId w:val="13"/>
        </w:numPr>
        <w:rPr>
          <w:sz w:val="22"/>
          <w:szCs w:val="22"/>
        </w:rPr>
      </w:pPr>
      <w:r w:rsidRPr="00D606FA">
        <w:rPr>
          <w:sz w:val="22"/>
          <w:szCs w:val="22"/>
        </w:rPr>
        <w:t>Neišmeskite šio lapelio, nes vėl gali prireikti jį perskaityti.</w:t>
      </w:r>
    </w:p>
    <w:p w14:paraId="0B590E17" w14:textId="77777777" w:rsidR="008001D5" w:rsidRPr="00D606FA" w:rsidRDefault="008001D5" w:rsidP="008001D5">
      <w:pPr>
        <w:pStyle w:val="Sraopastraipa1"/>
        <w:numPr>
          <w:ilvl w:val="0"/>
          <w:numId w:val="13"/>
        </w:numPr>
        <w:rPr>
          <w:sz w:val="22"/>
          <w:szCs w:val="22"/>
        </w:rPr>
      </w:pPr>
      <w:r w:rsidRPr="00D606FA">
        <w:rPr>
          <w:sz w:val="22"/>
          <w:szCs w:val="22"/>
        </w:rPr>
        <w:t>Jeigu kiltų daugiau klausimų, kreipkitės į gydytoją, vaistininką arba slaugytoją.</w:t>
      </w:r>
    </w:p>
    <w:p w14:paraId="727E402D" w14:textId="77777777" w:rsidR="008001D5" w:rsidRPr="00D606FA" w:rsidRDefault="008001D5" w:rsidP="008001D5">
      <w:pPr>
        <w:pStyle w:val="Sraopastraipa1"/>
        <w:numPr>
          <w:ilvl w:val="0"/>
          <w:numId w:val="13"/>
        </w:numPr>
        <w:rPr>
          <w:sz w:val="22"/>
          <w:szCs w:val="22"/>
        </w:rPr>
      </w:pPr>
      <w:r w:rsidRPr="00D606FA">
        <w:rPr>
          <w:sz w:val="22"/>
          <w:szCs w:val="22"/>
        </w:rPr>
        <w:t>Šis vaistas skirtas tik Jums, todėl kitiems žmonėms jo duoti negalima. Vaistas gali jiems pakenkti (net tiems, kurių ligos požymiai yra tokie patys kaip Jūsų).</w:t>
      </w:r>
    </w:p>
    <w:p w14:paraId="7070E48C" w14:textId="77777777" w:rsidR="008001D5" w:rsidRPr="00D606FA" w:rsidRDefault="008001D5" w:rsidP="008001D5">
      <w:pPr>
        <w:pStyle w:val="Sraopastraipa1"/>
        <w:numPr>
          <w:ilvl w:val="0"/>
          <w:numId w:val="13"/>
        </w:numPr>
        <w:rPr>
          <w:sz w:val="22"/>
          <w:szCs w:val="22"/>
        </w:rPr>
      </w:pPr>
      <w:r w:rsidRPr="00D606FA">
        <w:rPr>
          <w:sz w:val="22"/>
          <w:szCs w:val="22"/>
        </w:rPr>
        <w:t>Jeigu pasireiškė sunkus šalutinis poveikis (net jeigu jis šiame lapelyje nenurodytas), kreipkitės į gydytoją, vaistininką arba slaugytoją. Žr. 4 skyrių.</w:t>
      </w:r>
    </w:p>
    <w:p w14:paraId="35FCC5C6" w14:textId="77777777" w:rsidR="008001D5" w:rsidRPr="00D606FA" w:rsidRDefault="008001D5" w:rsidP="00E33FE9">
      <w:pPr>
        <w:pStyle w:val="BTEMEASMCADiagrama"/>
      </w:pPr>
    </w:p>
    <w:p w14:paraId="3D3BFA99" w14:textId="7A7D77BF" w:rsidR="008001D5" w:rsidRPr="00F820B6" w:rsidRDefault="008001D5" w:rsidP="00E33FE9">
      <w:pPr>
        <w:pStyle w:val="BTEMEASMCADiagrama"/>
      </w:pPr>
      <w:r w:rsidRPr="009420B3">
        <w:t>Apie ką rašoma šiame lapelyje?</w:t>
      </w:r>
    </w:p>
    <w:p w14:paraId="3A67D3B2" w14:textId="77777777" w:rsidR="009D39AA" w:rsidRPr="0072052A" w:rsidRDefault="009D39AA" w:rsidP="00E33FE9">
      <w:pPr>
        <w:pStyle w:val="BTEMEASMCADiagrama"/>
      </w:pPr>
    </w:p>
    <w:p w14:paraId="410985DD" w14:textId="77777777" w:rsidR="008001D5" w:rsidRPr="00DE2A32" w:rsidRDefault="008001D5" w:rsidP="00E33FE9">
      <w:pPr>
        <w:pStyle w:val="BTEMEASMCADiagrama"/>
      </w:pPr>
      <w:r w:rsidRPr="00DE2A32">
        <w:t>1.</w:t>
      </w:r>
      <w:r w:rsidRPr="00DE2A32">
        <w:tab/>
        <w:t xml:space="preserve">Kas yra </w:t>
      </w:r>
      <w:r w:rsidRPr="00DE2A32">
        <w:rPr>
          <w:caps/>
        </w:rPr>
        <w:t>Lipanthyl</w:t>
      </w:r>
      <w:r w:rsidRPr="00DE2A32">
        <w:t xml:space="preserve"> ir kam jis vartojamas</w:t>
      </w:r>
    </w:p>
    <w:p w14:paraId="256157AA" w14:textId="77777777" w:rsidR="008001D5" w:rsidRPr="00DE2A32" w:rsidRDefault="008001D5" w:rsidP="00E33FE9">
      <w:pPr>
        <w:pStyle w:val="BTEMEASMCADiagrama"/>
      </w:pPr>
      <w:r w:rsidRPr="00DE2A32">
        <w:t>2.</w:t>
      </w:r>
      <w:r w:rsidRPr="00DE2A32">
        <w:tab/>
        <w:t xml:space="preserve">Kas žinotina prieš vartojant </w:t>
      </w:r>
      <w:r w:rsidRPr="00DE2A32">
        <w:rPr>
          <w:caps/>
        </w:rPr>
        <w:t>Lipanthyl</w:t>
      </w:r>
    </w:p>
    <w:p w14:paraId="226CC936" w14:textId="77777777" w:rsidR="008001D5" w:rsidRPr="00DE2A32" w:rsidRDefault="008001D5" w:rsidP="00E33FE9">
      <w:pPr>
        <w:pStyle w:val="BTEMEASMCADiagrama"/>
      </w:pPr>
      <w:r w:rsidRPr="00DE2A32">
        <w:t>3.</w:t>
      </w:r>
      <w:r w:rsidRPr="00DE2A32">
        <w:tab/>
        <w:t xml:space="preserve">Kaip vartoti </w:t>
      </w:r>
      <w:r w:rsidRPr="00DE2A32">
        <w:rPr>
          <w:caps/>
        </w:rPr>
        <w:t>Lipanthyl</w:t>
      </w:r>
    </w:p>
    <w:p w14:paraId="426FD5CA" w14:textId="77777777" w:rsidR="008001D5" w:rsidRPr="00DE2A32" w:rsidRDefault="008001D5" w:rsidP="00E33FE9">
      <w:pPr>
        <w:pStyle w:val="BTEMEASMCADiagrama"/>
      </w:pPr>
      <w:r w:rsidRPr="00DE2A32">
        <w:t>4.</w:t>
      </w:r>
      <w:r w:rsidRPr="00DE2A32">
        <w:tab/>
        <w:t>Galimas šalutinis poveikis</w:t>
      </w:r>
    </w:p>
    <w:p w14:paraId="57697090" w14:textId="77777777" w:rsidR="008001D5" w:rsidRPr="00DE2A32" w:rsidRDefault="008001D5" w:rsidP="00E33FE9">
      <w:pPr>
        <w:pStyle w:val="BTEMEASMCADiagrama"/>
      </w:pPr>
      <w:r w:rsidRPr="00DE2A32">
        <w:t>5.</w:t>
      </w:r>
      <w:r w:rsidRPr="00DE2A32">
        <w:tab/>
        <w:t xml:space="preserve">Kaip laikyti </w:t>
      </w:r>
      <w:r w:rsidRPr="00DE2A32">
        <w:rPr>
          <w:caps/>
        </w:rPr>
        <w:t>Lipanthyl</w:t>
      </w:r>
    </w:p>
    <w:p w14:paraId="03101769" w14:textId="77777777" w:rsidR="008001D5" w:rsidRPr="00DE2A32" w:rsidRDefault="008001D5" w:rsidP="00E33FE9">
      <w:pPr>
        <w:pStyle w:val="BTEMEASMCADiagrama"/>
      </w:pPr>
      <w:r w:rsidRPr="00DE2A32">
        <w:t>6.</w:t>
      </w:r>
      <w:r w:rsidRPr="00DE2A32">
        <w:tab/>
        <w:t>Pakuotės turinys ir kita informacija</w:t>
      </w:r>
    </w:p>
    <w:p w14:paraId="1B5EDB7B" w14:textId="77777777" w:rsidR="008001D5" w:rsidRPr="0072052A" w:rsidRDefault="008001D5" w:rsidP="00E33FE9">
      <w:pPr>
        <w:pStyle w:val="BTEMEASMCADiagrama"/>
      </w:pPr>
    </w:p>
    <w:p w14:paraId="2116CA57" w14:textId="77777777" w:rsidR="008001D5" w:rsidRPr="00D606FA" w:rsidRDefault="008001D5" w:rsidP="00E33FE9">
      <w:pPr>
        <w:pStyle w:val="BTEMEASMCADiagrama"/>
      </w:pPr>
    </w:p>
    <w:p w14:paraId="025D2F1F" w14:textId="2B173E93" w:rsidR="008001D5" w:rsidRPr="00D606FA" w:rsidRDefault="008001D5" w:rsidP="008001D5">
      <w:pPr>
        <w:ind w:left="567" w:hanging="567"/>
        <w:outlineLvl w:val="0"/>
        <w:rPr>
          <w:b/>
          <w:bCs/>
          <w:sz w:val="22"/>
          <w:szCs w:val="22"/>
        </w:rPr>
      </w:pPr>
      <w:bookmarkStart w:id="79" w:name="_Toc129243139"/>
      <w:bookmarkStart w:id="80" w:name="_Toc129243264"/>
      <w:r w:rsidRPr="00D606FA">
        <w:rPr>
          <w:b/>
          <w:bCs/>
          <w:sz w:val="22"/>
          <w:szCs w:val="22"/>
        </w:rPr>
        <w:t>1.</w:t>
      </w:r>
      <w:r w:rsidRPr="00D606FA">
        <w:rPr>
          <w:b/>
          <w:bCs/>
          <w:sz w:val="22"/>
          <w:szCs w:val="22"/>
        </w:rPr>
        <w:tab/>
        <w:t xml:space="preserve">Kas yra </w:t>
      </w:r>
      <w:r w:rsidRPr="00D606FA">
        <w:rPr>
          <w:b/>
          <w:bCs/>
          <w:caps/>
          <w:sz w:val="22"/>
          <w:szCs w:val="22"/>
        </w:rPr>
        <w:t>Lipanthyl</w:t>
      </w:r>
      <w:r w:rsidRPr="00D606FA">
        <w:rPr>
          <w:b/>
          <w:bCs/>
          <w:sz w:val="22"/>
          <w:szCs w:val="22"/>
        </w:rPr>
        <w:t xml:space="preserve"> ir kam jis vartojamas</w:t>
      </w:r>
      <w:bookmarkEnd w:id="79"/>
      <w:bookmarkEnd w:id="80"/>
    </w:p>
    <w:p w14:paraId="4BE55EA0" w14:textId="77777777" w:rsidR="008001D5" w:rsidRPr="00D606FA" w:rsidRDefault="008001D5" w:rsidP="00E33FE9">
      <w:pPr>
        <w:pStyle w:val="BTEMEASMCADiagrama"/>
      </w:pPr>
    </w:p>
    <w:p w14:paraId="396BF9F8" w14:textId="77777777" w:rsidR="008001D5" w:rsidRPr="00D606FA" w:rsidRDefault="008001D5" w:rsidP="008001D5">
      <w:pPr>
        <w:rPr>
          <w:sz w:val="22"/>
          <w:szCs w:val="22"/>
        </w:rPr>
      </w:pPr>
      <w:r w:rsidRPr="00D606FA">
        <w:rPr>
          <w:sz w:val="22"/>
          <w:szCs w:val="22"/>
        </w:rPr>
        <w:t>LIPANTHYL priklauso vaistų, vadinamų fibratais, grupei. Šie vaistai vartojami riebalų (lipidų) kiekiui kraujyje mažinti, pavyzdžiui, riebalų, vadinamų trigliceridais, kiekiui mažinti.</w:t>
      </w:r>
    </w:p>
    <w:p w14:paraId="7E616167" w14:textId="77777777" w:rsidR="008001D5" w:rsidRPr="00D606FA" w:rsidRDefault="008001D5" w:rsidP="008001D5">
      <w:pPr>
        <w:rPr>
          <w:sz w:val="22"/>
          <w:szCs w:val="22"/>
        </w:rPr>
      </w:pPr>
    </w:p>
    <w:p w14:paraId="78E2A31A" w14:textId="77777777" w:rsidR="008001D5" w:rsidRPr="00D606FA" w:rsidRDefault="008001D5" w:rsidP="008001D5">
      <w:pPr>
        <w:rPr>
          <w:sz w:val="22"/>
          <w:szCs w:val="22"/>
        </w:rPr>
      </w:pPr>
      <w:r w:rsidRPr="00D606FA">
        <w:rPr>
          <w:sz w:val="22"/>
          <w:szCs w:val="22"/>
        </w:rPr>
        <w:t>LIPANTHYL vartojamas, kartu taikant mažai riebalų turinčią dietą ir kitą nemedicininį gydymą, pvz., mankštą ir svorio metimą, riebalų kiekiui kraujyje mažinti.</w:t>
      </w:r>
    </w:p>
    <w:p w14:paraId="299811DC" w14:textId="77777777" w:rsidR="008001D5" w:rsidRPr="00D606FA" w:rsidRDefault="008001D5" w:rsidP="008001D5">
      <w:pPr>
        <w:rPr>
          <w:sz w:val="22"/>
          <w:szCs w:val="22"/>
        </w:rPr>
      </w:pPr>
    </w:p>
    <w:p w14:paraId="49F1F0AD" w14:textId="77777777" w:rsidR="008001D5" w:rsidRPr="00D606FA" w:rsidRDefault="008001D5" w:rsidP="008001D5">
      <w:pPr>
        <w:rPr>
          <w:sz w:val="22"/>
          <w:szCs w:val="22"/>
        </w:rPr>
      </w:pPr>
      <w:r w:rsidRPr="00D606FA">
        <w:rPr>
          <w:sz w:val="22"/>
          <w:szCs w:val="22"/>
        </w:rPr>
        <w:t>LIPANTHYL galima vartoti kartu su kitais vaistais (statinais) tam tikromis aplinkybėmis, kai vien statinu riebalų kiekio kraujyje kontroliuoti nepavyksta.</w:t>
      </w:r>
    </w:p>
    <w:p w14:paraId="61AAE8D3" w14:textId="77777777" w:rsidR="008001D5" w:rsidRPr="00D606FA" w:rsidRDefault="008001D5" w:rsidP="00E33FE9">
      <w:pPr>
        <w:pStyle w:val="BTEMEASMCADiagrama"/>
      </w:pPr>
    </w:p>
    <w:p w14:paraId="74B2C788" w14:textId="77777777" w:rsidR="008001D5" w:rsidRPr="00D606FA" w:rsidRDefault="008001D5" w:rsidP="00E33FE9">
      <w:pPr>
        <w:pStyle w:val="BTEMEASMCADiagrama"/>
      </w:pPr>
    </w:p>
    <w:p w14:paraId="099DA74B" w14:textId="35CFF3DE" w:rsidR="008001D5" w:rsidRPr="00D606FA" w:rsidRDefault="008001D5" w:rsidP="008001D5">
      <w:pPr>
        <w:ind w:left="567" w:hanging="567"/>
        <w:outlineLvl w:val="0"/>
        <w:rPr>
          <w:b/>
          <w:bCs/>
          <w:sz w:val="22"/>
          <w:szCs w:val="22"/>
        </w:rPr>
      </w:pPr>
      <w:bookmarkStart w:id="81" w:name="_Toc129243140"/>
      <w:bookmarkStart w:id="82" w:name="_Toc129243265"/>
      <w:r w:rsidRPr="00D606FA">
        <w:rPr>
          <w:b/>
          <w:bCs/>
          <w:sz w:val="22"/>
          <w:szCs w:val="22"/>
        </w:rPr>
        <w:t>2.</w:t>
      </w:r>
      <w:r w:rsidRPr="00D606FA">
        <w:rPr>
          <w:b/>
          <w:bCs/>
          <w:sz w:val="22"/>
          <w:szCs w:val="22"/>
        </w:rPr>
        <w:tab/>
        <w:t xml:space="preserve">Kas žinotina prieš vartojant </w:t>
      </w:r>
      <w:bookmarkEnd w:id="81"/>
      <w:bookmarkEnd w:id="82"/>
      <w:r w:rsidRPr="00D606FA">
        <w:rPr>
          <w:b/>
          <w:bCs/>
          <w:caps/>
          <w:sz w:val="22"/>
          <w:szCs w:val="22"/>
        </w:rPr>
        <w:t>Lipanthyl</w:t>
      </w:r>
    </w:p>
    <w:p w14:paraId="00279788" w14:textId="77777777" w:rsidR="008001D5" w:rsidRPr="00D606FA" w:rsidRDefault="008001D5" w:rsidP="00E33FE9">
      <w:pPr>
        <w:pStyle w:val="BTEMEASMCADiagrama"/>
      </w:pPr>
    </w:p>
    <w:p w14:paraId="09ECE120" w14:textId="0338BA2D" w:rsidR="008001D5" w:rsidRPr="00D606FA" w:rsidRDefault="008001D5" w:rsidP="0072052A">
      <w:pPr>
        <w:pStyle w:val="PI-3EMEASMCA"/>
      </w:pPr>
      <w:r w:rsidRPr="00D606FA">
        <w:rPr>
          <w:caps/>
        </w:rPr>
        <w:t>Lipanthyl</w:t>
      </w:r>
      <w:r w:rsidRPr="00D606FA">
        <w:t xml:space="preserve"> vartoti </w:t>
      </w:r>
      <w:r w:rsidR="009D39AA">
        <w:t>draudžiama:</w:t>
      </w:r>
    </w:p>
    <w:p w14:paraId="5F853C40" w14:textId="324AFEA8" w:rsidR="008001D5" w:rsidRPr="00D606FA" w:rsidRDefault="009D39AA" w:rsidP="008001D5">
      <w:pPr>
        <w:numPr>
          <w:ilvl w:val="0"/>
          <w:numId w:val="6"/>
        </w:numPr>
        <w:tabs>
          <w:tab w:val="clear" w:pos="1440"/>
        </w:tabs>
        <w:ind w:left="567" w:hanging="567"/>
        <w:rPr>
          <w:sz w:val="22"/>
          <w:szCs w:val="22"/>
        </w:rPr>
      </w:pPr>
      <w:r>
        <w:rPr>
          <w:sz w:val="22"/>
          <w:szCs w:val="22"/>
        </w:rPr>
        <w:t>jeigu</w:t>
      </w:r>
      <w:r w:rsidR="008001D5" w:rsidRPr="00D606FA">
        <w:rPr>
          <w:sz w:val="22"/>
          <w:szCs w:val="22"/>
        </w:rPr>
        <w:t xml:space="preserve"> yra alergija (padidėjęs jautrumas) fenofibratui arba bet kuriai sudėtinei šio vaisto medžiagai (jos išvardytos 6 skyriuje);</w:t>
      </w:r>
    </w:p>
    <w:p w14:paraId="1565513D" w14:textId="77777777" w:rsidR="008001D5" w:rsidRPr="00D606FA" w:rsidRDefault="008001D5" w:rsidP="008001D5">
      <w:pPr>
        <w:numPr>
          <w:ilvl w:val="0"/>
          <w:numId w:val="6"/>
        </w:numPr>
        <w:tabs>
          <w:tab w:val="clear" w:pos="1440"/>
        </w:tabs>
        <w:ind w:left="567" w:hanging="567"/>
        <w:rPr>
          <w:sz w:val="22"/>
          <w:szCs w:val="22"/>
        </w:rPr>
      </w:pPr>
      <w:r w:rsidRPr="00D606FA">
        <w:rPr>
          <w:sz w:val="22"/>
          <w:szCs w:val="22"/>
        </w:rPr>
        <w:t>vartojant kitus vaistus (tokius kaip kiti fibratai ar vaistas nuo uždegimo, vadinamas ketoprofenu), saulė arba UV šviesa sukėlė alerginę reakciją arba odos pažeidimą;</w:t>
      </w:r>
    </w:p>
    <w:p w14:paraId="6AEA4E39" w14:textId="77777777" w:rsidR="008001D5" w:rsidRPr="00D606FA" w:rsidRDefault="008001D5" w:rsidP="008001D5">
      <w:pPr>
        <w:numPr>
          <w:ilvl w:val="0"/>
          <w:numId w:val="6"/>
        </w:numPr>
        <w:tabs>
          <w:tab w:val="clear" w:pos="1440"/>
        </w:tabs>
        <w:ind w:left="567" w:hanging="567"/>
        <w:rPr>
          <w:sz w:val="22"/>
          <w:szCs w:val="22"/>
        </w:rPr>
      </w:pPr>
      <w:r w:rsidRPr="00D606FA">
        <w:rPr>
          <w:sz w:val="22"/>
          <w:szCs w:val="22"/>
        </w:rPr>
        <w:t>Jums yra sunkių kepenų, inkstų ar tulžies pūslės sutrikimų;</w:t>
      </w:r>
    </w:p>
    <w:p w14:paraId="39C7E255" w14:textId="77777777" w:rsidR="008001D5" w:rsidRPr="00D606FA" w:rsidRDefault="008001D5" w:rsidP="008001D5">
      <w:pPr>
        <w:numPr>
          <w:ilvl w:val="0"/>
          <w:numId w:val="6"/>
        </w:numPr>
        <w:tabs>
          <w:tab w:val="clear" w:pos="1440"/>
        </w:tabs>
        <w:ind w:left="567" w:hanging="567"/>
        <w:rPr>
          <w:sz w:val="22"/>
          <w:szCs w:val="22"/>
        </w:rPr>
      </w:pPr>
      <w:r w:rsidRPr="00D606FA">
        <w:rPr>
          <w:sz w:val="22"/>
          <w:szCs w:val="22"/>
        </w:rPr>
        <w:t>sergate pankreatitu (kasos uždegimu, sukeliančiu pilvo skausmą), kurio priežastis nėra padidėjęs riebalų kiekis kraujyje.</w:t>
      </w:r>
    </w:p>
    <w:p w14:paraId="4442BA02" w14:textId="77777777" w:rsidR="008001D5" w:rsidRPr="00BA1C27" w:rsidRDefault="008001D5" w:rsidP="00E33FE9">
      <w:pPr>
        <w:pStyle w:val="BTEMEASMCADiagrama"/>
      </w:pPr>
    </w:p>
    <w:p w14:paraId="4EE6C47B" w14:textId="77777777" w:rsidR="008001D5" w:rsidRPr="00BA1C27" w:rsidRDefault="008001D5" w:rsidP="00E33FE9">
      <w:pPr>
        <w:pStyle w:val="BTEMEASMCADiagrama"/>
      </w:pPr>
      <w:r w:rsidRPr="00BA1C27">
        <w:t>Nevartokite LIPANTHYL, jeigu bent vienas iš pirmiau paminėtų atvejų Jums tinka. Jeigu abejojate, prieš vartodami LIPANTHYL kreipkitės į gydytoją arba vaistininką.</w:t>
      </w:r>
    </w:p>
    <w:p w14:paraId="060C6FCA" w14:textId="77777777" w:rsidR="008001D5" w:rsidRPr="00D606FA" w:rsidRDefault="008001D5" w:rsidP="00E33FE9">
      <w:pPr>
        <w:pStyle w:val="BTEMEASMCADiagrama"/>
      </w:pPr>
    </w:p>
    <w:p w14:paraId="26294857" w14:textId="77777777" w:rsidR="008001D5" w:rsidRPr="00D606FA" w:rsidRDefault="008001D5" w:rsidP="0072052A">
      <w:pPr>
        <w:pStyle w:val="PI-3EMEASMCA"/>
      </w:pPr>
      <w:r w:rsidRPr="00D606FA">
        <w:t>Įspėjimai ir atsargumo priemonės</w:t>
      </w:r>
    </w:p>
    <w:p w14:paraId="18C8EEAD" w14:textId="77777777" w:rsidR="008001D5" w:rsidRPr="00D606FA"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D606FA">
        <w:rPr>
          <w:sz w:val="22"/>
          <w:szCs w:val="22"/>
        </w:rPr>
        <w:t>Pasitarkite su gydytoju, vaistininku arba slaugytoja, prieš pradėdami vartoti šį vaistą:</w:t>
      </w:r>
    </w:p>
    <w:p w14:paraId="6F7917BF" w14:textId="77777777" w:rsidR="008001D5" w:rsidRPr="00D606FA" w:rsidRDefault="008001D5" w:rsidP="008001D5">
      <w:pPr>
        <w:numPr>
          <w:ilvl w:val="0"/>
          <w:numId w:val="7"/>
        </w:numPr>
        <w:tabs>
          <w:tab w:val="clear" w:pos="720"/>
        </w:tabs>
        <w:ind w:left="567" w:hanging="567"/>
        <w:rPr>
          <w:spacing w:val="-3"/>
          <w:sz w:val="22"/>
          <w:szCs w:val="22"/>
        </w:rPr>
      </w:pPr>
      <w:r w:rsidRPr="00D606FA">
        <w:rPr>
          <w:sz w:val="22"/>
          <w:szCs w:val="22"/>
        </w:rPr>
        <w:t>jei sergate inkstų arba kepenų ligomis;</w:t>
      </w:r>
    </w:p>
    <w:p w14:paraId="1390DD5F" w14:textId="77777777" w:rsidR="008001D5" w:rsidRPr="00D606FA" w:rsidRDefault="008001D5" w:rsidP="008001D5">
      <w:pPr>
        <w:numPr>
          <w:ilvl w:val="0"/>
          <w:numId w:val="7"/>
        </w:numPr>
        <w:tabs>
          <w:tab w:val="clear" w:pos="720"/>
        </w:tabs>
        <w:ind w:left="567" w:hanging="567"/>
        <w:rPr>
          <w:sz w:val="22"/>
          <w:szCs w:val="22"/>
        </w:rPr>
      </w:pPr>
      <w:r w:rsidRPr="00D606FA">
        <w:rPr>
          <w:sz w:val="22"/>
          <w:szCs w:val="22"/>
        </w:rPr>
        <w:t>jei Jums gali būti kepenų uždegimas (hepatitas), kurio požymiai yra odos ir akių baltymų pageltimas (gelta) ir padidėjęs kepenų fermentų kiekis (matomas atlikus tyrimus);</w:t>
      </w:r>
    </w:p>
    <w:p w14:paraId="3789370A" w14:textId="77777777" w:rsidR="008001D5" w:rsidRPr="00D606FA" w:rsidRDefault="008001D5" w:rsidP="008001D5">
      <w:pPr>
        <w:numPr>
          <w:ilvl w:val="0"/>
          <w:numId w:val="7"/>
        </w:numPr>
        <w:tabs>
          <w:tab w:val="clear" w:pos="720"/>
        </w:tabs>
        <w:ind w:left="567" w:hanging="567"/>
        <w:rPr>
          <w:spacing w:val="-3"/>
          <w:sz w:val="22"/>
          <w:szCs w:val="22"/>
        </w:rPr>
      </w:pPr>
      <w:r w:rsidRPr="00D606FA">
        <w:rPr>
          <w:sz w:val="22"/>
          <w:szCs w:val="22"/>
        </w:rPr>
        <w:t>jei sergate pankreatitu (kasos uždegimu, sukeliančiu pilvo skausmą);</w:t>
      </w:r>
    </w:p>
    <w:p w14:paraId="261156F2" w14:textId="77777777" w:rsidR="008001D5" w:rsidRPr="00D606FA" w:rsidRDefault="008001D5" w:rsidP="008001D5">
      <w:pPr>
        <w:numPr>
          <w:ilvl w:val="0"/>
          <w:numId w:val="7"/>
        </w:numPr>
        <w:tabs>
          <w:tab w:val="clear" w:pos="720"/>
        </w:tabs>
        <w:ind w:left="567" w:hanging="567"/>
        <w:rPr>
          <w:spacing w:val="-3"/>
          <w:sz w:val="22"/>
          <w:szCs w:val="22"/>
        </w:rPr>
      </w:pPr>
      <w:r w:rsidRPr="00D606FA">
        <w:rPr>
          <w:sz w:val="22"/>
          <w:szCs w:val="22"/>
        </w:rPr>
        <w:t>jei susilpnėjusi skydliaukės veikla (hipotirozė).</w:t>
      </w:r>
    </w:p>
    <w:p w14:paraId="0241535D" w14:textId="77777777" w:rsidR="008001D5" w:rsidRPr="00D606FA" w:rsidRDefault="008001D5" w:rsidP="008001D5">
      <w:pPr>
        <w:rPr>
          <w:sz w:val="22"/>
          <w:szCs w:val="22"/>
        </w:rPr>
      </w:pPr>
      <w:r w:rsidRPr="00D606FA">
        <w:rPr>
          <w:sz w:val="22"/>
          <w:szCs w:val="22"/>
        </w:rPr>
        <w:lastRenderedPageBreak/>
        <w:t>Jei bent vienas iš pirmiau paminėtų atvejų Jums tinka (arba jeigu abejojate), prieš vartodami LIPANTHYL kreipkitės į gydytoją arba vaistininką.</w:t>
      </w:r>
    </w:p>
    <w:p w14:paraId="1F27DB46" w14:textId="77777777" w:rsidR="008001D5" w:rsidRPr="00D606FA" w:rsidRDefault="008001D5" w:rsidP="008001D5">
      <w:pPr>
        <w:ind w:left="720"/>
        <w:rPr>
          <w:sz w:val="22"/>
          <w:szCs w:val="22"/>
        </w:rPr>
      </w:pPr>
    </w:p>
    <w:p w14:paraId="5713C0A8" w14:textId="77777777" w:rsidR="008001D5" w:rsidRPr="00D606FA" w:rsidRDefault="008001D5" w:rsidP="008001D5">
      <w:pPr>
        <w:rPr>
          <w:i/>
          <w:iCs/>
          <w:sz w:val="22"/>
          <w:szCs w:val="22"/>
        </w:rPr>
      </w:pPr>
      <w:r w:rsidRPr="00D606FA">
        <w:rPr>
          <w:i/>
          <w:iCs/>
          <w:sz w:val="22"/>
          <w:szCs w:val="22"/>
        </w:rPr>
        <w:t>Poveikis raumenims</w:t>
      </w:r>
    </w:p>
    <w:p w14:paraId="2BD2CEAA" w14:textId="77777777" w:rsidR="008001D5" w:rsidRPr="00D606FA" w:rsidRDefault="008001D5" w:rsidP="008001D5">
      <w:pPr>
        <w:rPr>
          <w:sz w:val="22"/>
          <w:szCs w:val="22"/>
        </w:rPr>
      </w:pPr>
      <w:r w:rsidRPr="00D606FA">
        <w:rPr>
          <w:sz w:val="22"/>
          <w:szCs w:val="22"/>
        </w:rPr>
        <w:t>Nustokite vartoti LIPANTHYL ir nedelsdami susisiekite su gydytoju, jei vartojant šį vaistą pasireiškia nepaaiškinami raumenų spazmai, skausmas, padidėjęs jautrumas arba silpnumas.</w:t>
      </w:r>
    </w:p>
    <w:p w14:paraId="514F1D3C" w14:textId="77777777" w:rsidR="008001D5" w:rsidRPr="00D606FA" w:rsidRDefault="008001D5" w:rsidP="008001D5">
      <w:pPr>
        <w:rPr>
          <w:sz w:val="22"/>
          <w:szCs w:val="22"/>
        </w:rPr>
      </w:pPr>
      <w:r w:rsidRPr="00D606FA">
        <w:rPr>
          <w:sz w:val="22"/>
          <w:szCs w:val="22"/>
        </w:rPr>
        <w:t>Tai vyksta dėl to, kad šis vaistas gali sukelti sunkius raumenų sutrikimus.</w:t>
      </w:r>
    </w:p>
    <w:p w14:paraId="63215997" w14:textId="77777777" w:rsidR="008001D5" w:rsidRPr="00D606FA" w:rsidRDefault="008001D5" w:rsidP="008001D5">
      <w:pPr>
        <w:rPr>
          <w:sz w:val="22"/>
          <w:szCs w:val="22"/>
        </w:rPr>
      </w:pPr>
      <w:r w:rsidRPr="00D606FA">
        <w:rPr>
          <w:sz w:val="22"/>
          <w:szCs w:val="22"/>
        </w:rPr>
        <w:t>Šie sutrikimai pasireiškia retai, tačiau tai gali būti ir raumenų uždegimas bei nykimas, galintis sukelti inkstų pažeidimą ar net mirtį.</w:t>
      </w:r>
    </w:p>
    <w:p w14:paraId="1176EB0C" w14:textId="77777777" w:rsidR="008001D5" w:rsidRPr="00D606FA" w:rsidRDefault="008001D5" w:rsidP="008001D5">
      <w:pPr>
        <w:rPr>
          <w:sz w:val="22"/>
          <w:szCs w:val="22"/>
        </w:rPr>
      </w:pPr>
    </w:p>
    <w:p w14:paraId="1A23E222" w14:textId="77777777" w:rsidR="008001D5" w:rsidRPr="00D606FA" w:rsidRDefault="008001D5" w:rsidP="008001D5">
      <w:pPr>
        <w:rPr>
          <w:sz w:val="22"/>
          <w:szCs w:val="22"/>
        </w:rPr>
      </w:pPr>
      <w:r w:rsidRPr="00D606FA">
        <w:rPr>
          <w:sz w:val="22"/>
          <w:szCs w:val="22"/>
        </w:rPr>
        <w:t>Prieš pradedant ir pradėjus gydymą, Jūsų gydytojas gali atlikti kraujo tyrimą raumenų būklei patikrinti.</w:t>
      </w:r>
    </w:p>
    <w:p w14:paraId="6DA703B9" w14:textId="77777777" w:rsidR="008001D5" w:rsidRPr="00D606FA" w:rsidRDefault="008001D5" w:rsidP="008001D5">
      <w:pPr>
        <w:rPr>
          <w:sz w:val="22"/>
          <w:szCs w:val="22"/>
        </w:rPr>
      </w:pPr>
    </w:p>
    <w:p w14:paraId="3B46B416" w14:textId="77777777" w:rsidR="008001D5" w:rsidRPr="00D606FA" w:rsidRDefault="008001D5" w:rsidP="008001D5">
      <w:pPr>
        <w:rPr>
          <w:sz w:val="22"/>
          <w:szCs w:val="22"/>
        </w:rPr>
      </w:pPr>
      <w:r w:rsidRPr="00D606FA">
        <w:rPr>
          <w:sz w:val="22"/>
          <w:szCs w:val="22"/>
        </w:rPr>
        <w:t>Tam tikriems pacientams yra didesnė raumenų sunykimo rizika. Pasakykite gydytojui:</w:t>
      </w:r>
    </w:p>
    <w:p w14:paraId="22778EC7"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Jūs esate vyresnis kaip 70</w:t>
      </w:r>
      <w:r>
        <w:rPr>
          <w:sz w:val="22"/>
          <w:szCs w:val="22"/>
        </w:rPr>
        <w:t> </w:t>
      </w:r>
      <w:r w:rsidRPr="00D606FA">
        <w:rPr>
          <w:sz w:val="22"/>
          <w:szCs w:val="22"/>
        </w:rPr>
        <w:t>metų;</w:t>
      </w:r>
    </w:p>
    <w:p w14:paraId="5FAD3983"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sergate inkstų ligomis;</w:t>
      </w:r>
    </w:p>
    <w:p w14:paraId="138452E6"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sergate skydliaukės ligomis;</w:t>
      </w:r>
    </w:p>
    <w:p w14:paraId="566D0224"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suvartojate daug alkoholio;</w:t>
      </w:r>
    </w:p>
    <w:p w14:paraId="2EF80EF3"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Jūs arba artimi Jūsų giminaičiai serga paveldimomis raumenų ligomis;</w:t>
      </w:r>
    </w:p>
    <w:p w14:paraId="7D623B05"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vartojate cholesterolį mažinančius vaistus (pvz., simvastatiną, atorvastatiną, pravastatiną, rozuvastatiną ar fluvastatiną), vadinamus statinais;</w:t>
      </w:r>
    </w:p>
    <w:p w14:paraId="3C7F183E" w14:textId="77777777" w:rsidR="008001D5" w:rsidRPr="00D606FA" w:rsidRDefault="008001D5" w:rsidP="008001D5">
      <w:pPr>
        <w:numPr>
          <w:ilvl w:val="0"/>
          <w:numId w:val="8"/>
        </w:numPr>
        <w:tabs>
          <w:tab w:val="clear" w:pos="720"/>
        </w:tabs>
        <w:ind w:left="567" w:hanging="567"/>
        <w:rPr>
          <w:sz w:val="22"/>
          <w:szCs w:val="22"/>
        </w:rPr>
      </w:pPr>
      <w:r w:rsidRPr="00D606FA">
        <w:rPr>
          <w:sz w:val="22"/>
          <w:szCs w:val="22"/>
        </w:rPr>
        <w:t>jei Jūs kada nors buvote susirgę raumenų ligomis vartodami statinus arba fibratus, pvz., fenofibratą, bezafibratą arba gemfibrozilį.</w:t>
      </w:r>
    </w:p>
    <w:p w14:paraId="72D1CBE0" w14:textId="77777777" w:rsidR="008001D5" w:rsidRPr="00D606FA" w:rsidRDefault="008001D5" w:rsidP="008001D5">
      <w:pPr>
        <w:rPr>
          <w:sz w:val="22"/>
          <w:szCs w:val="22"/>
        </w:rPr>
      </w:pPr>
    </w:p>
    <w:p w14:paraId="758749E8" w14:textId="77777777" w:rsidR="008001D5" w:rsidRPr="00D606FA" w:rsidRDefault="008001D5" w:rsidP="008001D5">
      <w:pPr>
        <w:rPr>
          <w:sz w:val="22"/>
          <w:szCs w:val="22"/>
        </w:rPr>
      </w:pPr>
      <w:r w:rsidRPr="00D606FA">
        <w:rPr>
          <w:sz w:val="22"/>
          <w:szCs w:val="22"/>
        </w:rPr>
        <w:t>Jei bent vienas iš pirmiau paminėtų atvejų Jums tinka (arba jeigu abejojate), prieš vartodami LIPANTHYL kreipkitės į gydytoją.</w:t>
      </w:r>
    </w:p>
    <w:p w14:paraId="622B3B18" w14:textId="77777777" w:rsidR="008001D5" w:rsidRPr="00D606FA" w:rsidRDefault="008001D5" w:rsidP="00E33FE9">
      <w:pPr>
        <w:pStyle w:val="BTEMEASMCADiagrama"/>
      </w:pPr>
    </w:p>
    <w:p w14:paraId="2F8704A0" w14:textId="77777777" w:rsidR="008001D5" w:rsidRPr="00D606FA" w:rsidRDefault="008001D5" w:rsidP="0072052A">
      <w:pPr>
        <w:pStyle w:val="PI-3EMEASMCA"/>
      </w:pPr>
      <w:r w:rsidRPr="00D606FA">
        <w:t>Kiti vaistai ir LIPANTHYL</w:t>
      </w:r>
    </w:p>
    <w:p w14:paraId="69C94018" w14:textId="77777777" w:rsidR="008001D5" w:rsidRPr="009D39AA" w:rsidRDefault="008001D5" w:rsidP="008001D5">
      <w:pPr>
        <w:rPr>
          <w:sz w:val="22"/>
          <w:szCs w:val="22"/>
        </w:rPr>
      </w:pPr>
      <w:r w:rsidRPr="00D606FA">
        <w:rPr>
          <w:sz w:val="22"/>
          <w:szCs w:val="22"/>
        </w:rPr>
        <w:t xml:space="preserve">Jeigu vartojate ar </w:t>
      </w:r>
      <w:r w:rsidRPr="009D39AA">
        <w:rPr>
          <w:sz w:val="22"/>
          <w:szCs w:val="22"/>
        </w:rPr>
        <w:t>neseniai vartojote kitų vaistų arba dėl to nesate tikri, apie tai pasakykite gydytojui arba vaistininkui.</w:t>
      </w:r>
    </w:p>
    <w:p w14:paraId="68ACCDFB" w14:textId="77777777" w:rsidR="008001D5" w:rsidRPr="00BA1C27" w:rsidRDefault="008001D5" w:rsidP="008001D5">
      <w:pPr>
        <w:rPr>
          <w:sz w:val="22"/>
          <w:szCs w:val="22"/>
        </w:rPr>
      </w:pPr>
    </w:p>
    <w:p w14:paraId="4866FA4A" w14:textId="77777777" w:rsidR="008001D5" w:rsidRPr="00BA1C27" w:rsidRDefault="008001D5" w:rsidP="00E33FE9">
      <w:pPr>
        <w:pStyle w:val="BTEMEASMCADiagrama"/>
      </w:pPr>
      <w:r w:rsidRPr="00BA1C27">
        <w:t>Ypač svarbu pasakyti gydytojui arba vaistininkui,</w:t>
      </w:r>
      <w:r w:rsidRPr="00BA1C27" w:rsidDel="00AD5BAC">
        <w:t xml:space="preserve"> </w:t>
      </w:r>
      <w:r w:rsidRPr="00BA1C27">
        <w:t>jei vartojate kurį nors iš šių vaistų:</w:t>
      </w:r>
    </w:p>
    <w:p w14:paraId="319CB623" w14:textId="77777777" w:rsidR="008001D5" w:rsidRPr="00BA1C27" w:rsidRDefault="008001D5" w:rsidP="00E33FE9">
      <w:pPr>
        <w:pStyle w:val="BTEMEASMCADiagrama"/>
        <w:numPr>
          <w:ilvl w:val="0"/>
          <w:numId w:val="9"/>
        </w:numPr>
      </w:pPr>
      <w:r w:rsidRPr="00BA1C27">
        <w:t>antikoaguliantus kraujui skystinti (pvz., varfariną);</w:t>
      </w:r>
    </w:p>
    <w:p w14:paraId="64041A9B" w14:textId="77777777" w:rsidR="008001D5" w:rsidRPr="00BA1C27" w:rsidRDefault="008001D5" w:rsidP="00E33FE9">
      <w:pPr>
        <w:pStyle w:val="BTEMEASMCADiagrama"/>
        <w:numPr>
          <w:ilvl w:val="0"/>
          <w:numId w:val="9"/>
        </w:numPr>
      </w:pPr>
      <w:r w:rsidRPr="00BA1C27">
        <w:t>kitus vaistus lipidų (riebalų) kiekiui kraujyje kontroliuoti (pvz., statinus arba fibratus). Vartojant statinus kartu su LIPANTHYL, gali padidėti raumenų ligų rizika;</w:t>
      </w:r>
    </w:p>
    <w:p w14:paraId="0C7D8780" w14:textId="77777777" w:rsidR="008001D5" w:rsidRPr="00BA1C27" w:rsidRDefault="008001D5" w:rsidP="00E33FE9">
      <w:pPr>
        <w:pStyle w:val="BTEMEASMCADiagrama"/>
        <w:numPr>
          <w:ilvl w:val="0"/>
          <w:numId w:val="9"/>
        </w:numPr>
      </w:pPr>
      <w:r w:rsidRPr="00BA1C27">
        <w:t>tam tikros grupės vaistus nuo cukrinio diabeto (pvz., rosiglitazoną arba pioglitazoną);</w:t>
      </w:r>
    </w:p>
    <w:p w14:paraId="46C3EF26" w14:textId="77777777" w:rsidR="008001D5" w:rsidRPr="00BA1C27" w:rsidRDefault="008001D5" w:rsidP="00E33FE9">
      <w:pPr>
        <w:pStyle w:val="BTEMEASMCADiagrama"/>
        <w:numPr>
          <w:ilvl w:val="0"/>
          <w:numId w:val="9"/>
        </w:numPr>
      </w:pPr>
      <w:r w:rsidRPr="00BA1C27">
        <w:t>ciklosporiną, vartojamą imuninei sistemai slopinti;</w:t>
      </w:r>
    </w:p>
    <w:p w14:paraId="65BA60BD" w14:textId="77777777" w:rsidR="008001D5" w:rsidRPr="00BA1C27" w:rsidRDefault="008001D5" w:rsidP="00E33FE9">
      <w:pPr>
        <w:pStyle w:val="BTEMEASMCADiagrama"/>
        <w:numPr>
          <w:ilvl w:val="0"/>
          <w:numId w:val="9"/>
        </w:numPr>
      </w:pPr>
      <w:r w:rsidRPr="00BA1C27">
        <w:t>fenilbutazoną, priešuždegiminį vaistą nuo skausmo.</w:t>
      </w:r>
    </w:p>
    <w:p w14:paraId="3A1E2DFE" w14:textId="77777777" w:rsidR="008001D5" w:rsidRPr="0072052A" w:rsidRDefault="008001D5" w:rsidP="00E33FE9">
      <w:pPr>
        <w:pStyle w:val="BTEMEASMCADiagrama"/>
      </w:pPr>
    </w:p>
    <w:p w14:paraId="32D7425D" w14:textId="77777777" w:rsidR="008001D5" w:rsidRPr="009D39AA" w:rsidRDefault="008001D5" w:rsidP="008001D5">
      <w:pPr>
        <w:rPr>
          <w:sz w:val="22"/>
          <w:szCs w:val="22"/>
        </w:rPr>
      </w:pPr>
      <w:r w:rsidRPr="009D39AA">
        <w:rPr>
          <w:sz w:val="22"/>
          <w:szCs w:val="22"/>
        </w:rPr>
        <w:t>Jei bent vienas iš pirmiau paminėtų atvejų Jums tinka (arba jeigu abejojate), prieš vartodami LIPANTHYL kreipkitės į gydytoją arba vaistininką.</w:t>
      </w:r>
    </w:p>
    <w:p w14:paraId="0719C281" w14:textId="77777777" w:rsidR="008001D5" w:rsidRPr="009D39AA" w:rsidRDefault="008001D5" w:rsidP="008001D5">
      <w:pPr>
        <w:rPr>
          <w:sz w:val="22"/>
          <w:szCs w:val="22"/>
        </w:rPr>
      </w:pPr>
    </w:p>
    <w:p w14:paraId="024784BE" w14:textId="77777777" w:rsidR="008001D5" w:rsidRPr="009D39AA" w:rsidRDefault="008001D5" w:rsidP="0072052A">
      <w:pPr>
        <w:pStyle w:val="PI-3EMEASMCA"/>
      </w:pPr>
      <w:r w:rsidRPr="009D39AA">
        <w:rPr>
          <w:caps/>
        </w:rPr>
        <w:t>Lipanthyl</w:t>
      </w:r>
      <w:r w:rsidRPr="009D39AA">
        <w:t xml:space="preserve"> vartojimas su maistu, gėrimais ir alkoholiu</w:t>
      </w:r>
    </w:p>
    <w:p w14:paraId="0CBC1124" w14:textId="77777777" w:rsidR="008001D5" w:rsidRPr="0072052A" w:rsidRDefault="008001D5" w:rsidP="00E33FE9">
      <w:pPr>
        <w:pStyle w:val="BTEMEASMCADiagrama"/>
      </w:pPr>
      <w:r w:rsidRPr="0072052A">
        <w:t>Svarbu gerti kapsulę valgymo metu, nes vaistas neveiks gerai, jei Jūsų skrandis tuščias.</w:t>
      </w:r>
    </w:p>
    <w:p w14:paraId="25EA5AB0" w14:textId="77777777" w:rsidR="008001D5" w:rsidRPr="00BA1C27" w:rsidRDefault="008001D5" w:rsidP="0072052A">
      <w:pPr>
        <w:pStyle w:val="PI-3EMEASMCA"/>
      </w:pPr>
    </w:p>
    <w:p w14:paraId="2AA5DCC8" w14:textId="77777777" w:rsidR="008001D5" w:rsidRPr="00BA1C27" w:rsidRDefault="008001D5" w:rsidP="0072052A">
      <w:pPr>
        <w:pStyle w:val="PI-3EMEASMCA"/>
      </w:pPr>
      <w:r w:rsidRPr="00BA1C27">
        <w:t>Nėštumas, žindymo laikotarpis ir vaisingumas</w:t>
      </w:r>
    </w:p>
    <w:p w14:paraId="3813C0DB" w14:textId="5FF117F4" w:rsidR="008001D5" w:rsidRPr="00BA1C27" w:rsidRDefault="008001D5" w:rsidP="008001D5">
      <w:pPr>
        <w:numPr>
          <w:ilvl w:val="0"/>
          <w:numId w:val="10"/>
        </w:numPr>
        <w:tabs>
          <w:tab w:val="clear" w:pos="720"/>
        </w:tabs>
        <w:ind w:left="540" w:hanging="540"/>
        <w:rPr>
          <w:sz w:val="22"/>
          <w:szCs w:val="22"/>
        </w:rPr>
      </w:pPr>
      <w:r w:rsidRPr="00BA1C27">
        <w:rPr>
          <w:sz w:val="22"/>
          <w:szCs w:val="22"/>
        </w:rPr>
        <w:t>Nevartokite LIPANTHYL ir pasakykite gydytojui, jei esate nėščia, manote, kad galite būti nėščia arba planuojate susilaukti kūdikio.</w:t>
      </w:r>
    </w:p>
    <w:p w14:paraId="68DA6BBC" w14:textId="77777777" w:rsidR="008001D5" w:rsidRPr="00BA1C27" w:rsidRDefault="008001D5" w:rsidP="0072052A">
      <w:pPr>
        <w:numPr>
          <w:ilvl w:val="0"/>
          <w:numId w:val="10"/>
        </w:numPr>
        <w:tabs>
          <w:tab w:val="clear" w:pos="720"/>
        </w:tabs>
        <w:ind w:left="540" w:hanging="540"/>
        <w:rPr>
          <w:sz w:val="22"/>
          <w:szCs w:val="22"/>
        </w:rPr>
      </w:pPr>
      <w:r w:rsidRPr="00BA1C27">
        <w:rPr>
          <w:sz w:val="22"/>
          <w:szCs w:val="22"/>
        </w:rPr>
        <w:t>Jei maitinate kūdikį krūtimi arba planuojate tai daryti.</w:t>
      </w:r>
    </w:p>
    <w:p w14:paraId="1E63E91C" w14:textId="77777777" w:rsidR="008001D5" w:rsidRPr="00BA1C27" w:rsidRDefault="008001D5" w:rsidP="00E33FE9">
      <w:pPr>
        <w:pStyle w:val="BTEMEASMCADiagrama"/>
      </w:pPr>
    </w:p>
    <w:p w14:paraId="79F29A87" w14:textId="77777777" w:rsidR="008001D5" w:rsidRPr="00BA1C27" w:rsidRDefault="008001D5" w:rsidP="00E33FE9">
      <w:pPr>
        <w:pStyle w:val="BTEMEASMCADiagrama"/>
      </w:pPr>
      <w:r w:rsidRPr="00BA1C27">
        <w:t>Prieš vartodama šį vaistą, būtinai pasitarkite su gydytoju arba vaistininku.</w:t>
      </w:r>
    </w:p>
    <w:p w14:paraId="6B1F388F" w14:textId="77777777" w:rsidR="008001D5" w:rsidRPr="00BA1C27" w:rsidRDefault="008001D5" w:rsidP="0072052A">
      <w:pPr>
        <w:pStyle w:val="PI-3EMEASMCA"/>
      </w:pPr>
    </w:p>
    <w:p w14:paraId="27C9A82F" w14:textId="77777777" w:rsidR="008001D5" w:rsidRPr="00BA1C27" w:rsidRDefault="008001D5" w:rsidP="0072052A">
      <w:pPr>
        <w:pStyle w:val="PI-3EMEASMCA"/>
      </w:pPr>
      <w:r w:rsidRPr="00BA1C27">
        <w:t>Vairavimas ir mechanizmų valdymas</w:t>
      </w:r>
    </w:p>
    <w:p w14:paraId="7E45CBA4" w14:textId="77777777" w:rsidR="008001D5" w:rsidRPr="00BA1C27" w:rsidRDefault="008001D5" w:rsidP="00E33FE9">
      <w:pPr>
        <w:pStyle w:val="BTEMEASMCADiagrama"/>
      </w:pPr>
      <w:r w:rsidRPr="00BA1C27">
        <w:t>LIPANTHYL neveikia gebėjimo vairuoti ir valdyti mechanizmus.</w:t>
      </w:r>
    </w:p>
    <w:p w14:paraId="56A25819" w14:textId="77777777" w:rsidR="008001D5" w:rsidRPr="00BA1C27" w:rsidRDefault="008001D5" w:rsidP="00E33FE9">
      <w:pPr>
        <w:pStyle w:val="BTEMEASMCADiagrama"/>
      </w:pPr>
    </w:p>
    <w:p w14:paraId="2D1AAB4C" w14:textId="77777777" w:rsidR="008001D5" w:rsidRPr="009D39AA" w:rsidRDefault="008001D5" w:rsidP="008001D5">
      <w:pPr>
        <w:rPr>
          <w:b/>
          <w:bCs/>
          <w:sz w:val="22"/>
          <w:szCs w:val="22"/>
        </w:rPr>
      </w:pPr>
      <w:r w:rsidRPr="009D39AA">
        <w:rPr>
          <w:b/>
          <w:bCs/>
          <w:caps/>
          <w:sz w:val="22"/>
          <w:szCs w:val="22"/>
        </w:rPr>
        <w:t>Lipanthyl</w:t>
      </w:r>
      <w:r w:rsidRPr="009D39AA">
        <w:rPr>
          <w:b/>
          <w:bCs/>
          <w:sz w:val="22"/>
          <w:szCs w:val="22"/>
        </w:rPr>
        <w:t xml:space="preserve"> sudėtyje yra laktozės ir natrio</w:t>
      </w:r>
      <w:r w:rsidRPr="009D39AA">
        <w:rPr>
          <w:sz w:val="22"/>
          <w:szCs w:val="22"/>
        </w:rPr>
        <w:t xml:space="preserve"> (angliavandenių rūšis).</w:t>
      </w:r>
    </w:p>
    <w:p w14:paraId="732A51E1" w14:textId="77777777" w:rsidR="008001D5" w:rsidRPr="009D39AA" w:rsidRDefault="008001D5" w:rsidP="008001D5">
      <w:pPr>
        <w:rPr>
          <w:sz w:val="22"/>
          <w:szCs w:val="22"/>
        </w:rPr>
      </w:pPr>
      <w:r w:rsidRPr="009D39AA">
        <w:rPr>
          <w:sz w:val="22"/>
          <w:szCs w:val="22"/>
        </w:rPr>
        <w:lastRenderedPageBreak/>
        <w:t>Jeigu gydytojas Jums yra sakęs, kad netoleruojate kokių nors angliavandenių, kreipkitės į jį prieš pradėdami vartoti šį vaistą.</w:t>
      </w:r>
    </w:p>
    <w:p w14:paraId="39942BAF" w14:textId="77777777" w:rsidR="008001D5" w:rsidRPr="009D39AA" w:rsidRDefault="008001D5" w:rsidP="008001D5">
      <w:pPr>
        <w:rPr>
          <w:sz w:val="22"/>
          <w:szCs w:val="22"/>
        </w:rPr>
      </w:pPr>
    </w:p>
    <w:p w14:paraId="045CB7AA" w14:textId="77777777" w:rsidR="008001D5" w:rsidRPr="009D39AA" w:rsidRDefault="008001D5" w:rsidP="008001D5">
      <w:pPr>
        <w:rPr>
          <w:sz w:val="22"/>
          <w:szCs w:val="22"/>
        </w:rPr>
      </w:pPr>
      <w:r w:rsidRPr="009D39AA">
        <w:rPr>
          <w:sz w:val="22"/>
          <w:szCs w:val="22"/>
        </w:rPr>
        <w:t>Šio vaisto kiekvienoje kapsulėje yra mažiau kaip 1 mmol (23 mg) natrio, t.y. jis beveik neturi reikšmės.</w:t>
      </w:r>
    </w:p>
    <w:p w14:paraId="73FE9520" w14:textId="77777777" w:rsidR="008001D5" w:rsidRPr="0072052A" w:rsidRDefault="008001D5" w:rsidP="00E33FE9">
      <w:pPr>
        <w:pStyle w:val="BTEMEASMCADiagrama"/>
      </w:pPr>
    </w:p>
    <w:p w14:paraId="08ABD873" w14:textId="77777777" w:rsidR="008001D5" w:rsidRPr="0072052A" w:rsidRDefault="008001D5" w:rsidP="00E33FE9">
      <w:pPr>
        <w:pStyle w:val="BTEMEASMCADiagrama"/>
      </w:pPr>
    </w:p>
    <w:p w14:paraId="439B75F0" w14:textId="057649F5" w:rsidR="008001D5" w:rsidRPr="009D39AA" w:rsidRDefault="008001D5" w:rsidP="008001D5">
      <w:pPr>
        <w:ind w:left="567" w:hanging="567"/>
        <w:outlineLvl w:val="0"/>
        <w:rPr>
          <w:b/>
          <w:bCs/>
          <w:sz w:val="22"/>
          <w:szCs w:val="22"/>
        </w:rPr>
      </w:pPr>
      <w:bookmarkStart w:id="83" w:name="_Toc129243141"/>
      <w:bookmarkStart w:id="84" w:name="_Toc129243266"/>
      <w:r w:rsidRPr="009D39AA">
        <w:rPr>
          <w:b/>
          <w:bCs/>
          <w:sz w:val="22"/>
          <w:szCs w:val="22"/>
        </w:rPr>
        <w:t>3.</w:t>
      </w:r>
      <w:r w:rsidRPr="009D39AA">
        <w:rPr>
          <w:b/>
          <w:bCs/>
          <w:sz w:val="22"/>
          <w:szCs w:val="22"/>
        </w:rPr>
        <w:tab/>
        <w:t xml:space="preserve">Kaip vartoti </w:t>
      </w:r>
      <w:bookmarkEnd w:id="83"/>
      <w:bookmarkEnd w:id="84"/>
      <w:r w:rsidRPr="009D39AA">
        <w:rPr>
          <w:b/>
          <w:bCs/>
          <w:caps/>
          <w:sz w:val="22"/>
          <w:szCs w:val="22"/>
        </w:rPr>
        <w:t>Lipanthyl</w:t>
      </w:r>
    </w:p>
    <w:p w14:paraId="3E0860F0" w14:textId="77777777" w:rsidR="008001D5" w:rsidRPr="0072052A" w:rsidRDefault="008001D5" w:rsidP="00E33FE9">
      <w:pPr>
        <w:pStyle w:val="BTEMEASMCADiagrama"/>
      </w:pPr>
    </w:p>
    <w:p w14:paraId="627BAE7A" w14:textId="77777777" w:rsidR="008001D5" w:rsidRPr="0072052A" w:rsidRDefault="008001D5" w:rsidP="00E33FE9">
      <w:pPr>
        <w:pStyle w:val="BTEMEASMCADiagrama"/>
      </w:pPr>
      <w:r w:rsidRPr="0072052A">
        <w:rPr>
          <w:caps/>
        </w:rPr>
        <w:t>V</w:t>
      </w:r>
      <w:r w:rsidRPr="0072052A">
        <w:t>aistą visada vartokite tiksliai kaip nurodė gydytojas arba vaistininkas. Jeigu abejojate, kreipkitės į gydytoją arba vaistininką.</w:t>
      </w:r>
    </w:p>
    <w:p w14:paraId="3DE16F9D" w14:textId="77777777" w:rsidR="008001D5" w:rsidRPr="0072052A" w:rsidRDefault="008001D5" w:rsidP="00E33FE9">
      <w:pPr>
        <w:pStyle w:val="BTEMEASMCADiagrama"/>
      </w:pPr>
    </w:p>
    <w:p w14:paraId="0C83A617" w14:textId="77777777" w:rsidR="008001D5" w:rsidRPr="0072052A" w:rsidRDefault="008001D5" w:rsidP="00E33FE9">
      <w:pPr>
        <w:pStyle w:val="BTEMEASMCADiagrama"/>
      </w:pPr>
      <w:r w:rsidRPr="0072052A">
        <w:t>Jūsų gydytojas, atsižvelgdamas į Jūsų būklę, dabar taikomą gydymą ir Jums esančias rizikas, nustatys, kokio stiprumo vaistas Jums tinka.</w:t>
      </w:r>
    </w:p>
    <w:p w14:paraId="318781D8" w14:textId="77777777" w:rsidR="008001D5" w:rsidRPr="0072052A" w:rsidRDefault="008001D5" w:rsidP="00E33FE9">
      <w:pPr>
        <w:pStyle w:val="BTEMEASMCADiagrama"/>
      </w:pPr>
    </w:p>
    <w:p w14:paraId="368D0BDE" w14:textId="77777777" w:rsidR="008001D5" w:rsidRPr="009420B3" w:rsidRDefault="008001D5" w:rsidP="00E33FE9">
      <w:pPr>
        <w:pStyle w:val="BTEMEASMCADiagrama"/>
      </w:pPr>
      <w:r w:rsidRPr="009420B3">
        <w:t>Vartojant šį vaistą</w:t>
      </w:r>
    </w:p>
    <w:p w14:paraId="5C0D19AA" w14:textId="77777777" w:rsidR="008001D5" w:rsidRPr="0072052A" w:rsidRDefault="008001D5" w:rsidP="00E33FE9">
      <w:pPr>
        <w:pStyle w:val="BTEMEASMCADiagrama"/>
        <w:numPr>
          <w:ilvl w:val="0"/>
          <w:numId w:val="11"/>
        </w:numPr>
      </w:pPr>
      <w:r w:rsidRPr="0072052A">
        <w:t>Nurykite nepažeistą kapsulę, užsigerdami stikline vandens.</w:t>
      </w:r>
    </w:p>
    <w:p w14:paraId="7D9E7CAD" w14:textId="77777777" w:rsidR="008001D5" w:rsidRPr="0072052A" w:rsidRDefault="008001D5" w:rsidP="00E33FE9">
      <w:pPr>
        <w:pStyle w:val="BTEMEASMCADiagrama"/>
        <w:numPr>
          <w:ilvl w:val="0"/>
          <w:numId w:val="11"/>
        </w:numPr>
      </w:pPr>
      <w:r w:rsidRPr="0072052A">
        <w:t>Kapsulės neatidarykite ir nekramtykite.</w:t>
      </w:r>
    </w:p>
    <w:p w14:paraId="4421E498" w14:textId="77777777" w:rsidR="008001D5" w:rsidRPr="0072052A" w:rsidRDefault="008001D5" w:rsidP="00E33FE9">
      <w:pPr>
        <w:pStyle w:val="BTEMEASMCADiagrama"/>
        <w:numPr>
          <w:ilvl w:val="0"/>
          <w:numId w:val="11"/>
        </w:numPr>
      </w:pPr>
      <w:r w:rsidRPr="0072052A">
        <w:t>Kapsulę gerkite valgio metu, nes vaisto poveikis nebus geras, jei Jūsų skrandis bus tuščias.</w:t>
      </w:r>
    </w:p>
    <w:p w14:paraId="634B7CD9" w14:textId="77777777" w:rsidR="008001D5" w:rsidRPr="0072052A" w:rsidRDefault="008001D5" w:rsidP="00E33FE9">
      <w:pPr>
        <w:pStyle w:val="BTEMEASMCADiagrama"/>
      </w:pPr>
    </w:p>
    <w:p w14:paraId="620184AB" w14:textId="77777777" w:rsidR="008001D5" w:rsidRPr="009420B3" w:rsidRDefault="008001D5" w:rsidP="00E33FE9">
      <w:pPr>
        <w:pStyle w:val="BTEMEASMCADiagrama"/>
      </w:pPr>
      <w:r w:rsidRPr="009420B3">
        <w:t>Kiek vartoti</w:t>
      </w:r>
    </w:p>
    <w:p w14:paraId="6F4B8D47" w14:textId="77777777" w:rsidR="008001D5" w:rsidRPr="0072052A" w:rsidRDefault="008001D5" w:rsidP="00E33FE9">
      <w:pPr>
        <w:pStyle w:val="BTEMEASMCADiagrama"/>
      </w:pPr>
      <w:r w:rsidRPr="0072052A">
        <w:t>Rekomenduojama dozė yra 1 kapsulė per parą.</w:t>
      </w:r>
    </w:p>
    <w:p w14:paraId="4077D1FB" w14:textId="77777777" w:rsidR="008001D5" w:rsidRPr="0072052A" w:rsidRDefault="008001D5" w:rsidP="00E33FE9">
      <w:pPr>
        <w:pStyle w:val="BTEMEASMCADiagrama"/>
      </w:pPr>
    </w:p>
    <w:p w14:paraId="4FBF6752" w14:textId="77777777" w:rsidR="008001D5" w:rsidRPr="009420B3" w:rsidRDefault="008001D5" w:rsidP="00E33FE9">
      <w:pPr>
        <w:pStyle w:val="BTEMEASMCADiagrama"/>
      </w:pPr>
      <w:r w:rsidRPr="009420B3">
        <w:t>Inkstų ligomis sergantys asmenys</w:t>
      </w:r>
    </w:p>
    <w:p w14:paraId="7CEB8628" w14:textId="77777777" w:rsidR="008001D5" w:rsidRPr="0072052A" w:rsidRDefault="008001D5" w:rsidP="00E33FE9">
      <w:pPr>
        <w:pStyle w:val="BTEMEASMCADiagrama"/>
      </w:pPr>
      <w:r w:rsidRPr="0072052A">
        <w:t>Jei sergate inkstų ligomis, Jūsų gydytojas Jums skirs vartoti mažesnę dozę. Apie tai klauskite gydytojo arba vaistininko.</w:t>
      </w:r>
    </w:p>
    <w:p w14:paraId="7286B6C5" w14:textId="77777777" w:rsidR="008001D5" w:rsidRPr="0072052A" w:rsidRDefault="008001D5" w:rsidP="00E33FE9">
      <w:pPr>
        <w:pStyle w:val="BTEMEASMCADiagrama"/>
      </w:pPr>
    </w:p>
    <w:p w14:paraId="351EA8B7" w14:textId="77777777" w:rsidR="008001D5" w:rsidRPr="009420B3" w:rsidRDefault="008001D5" w:rsidP="00E33FE9">
      <w:pPr>
        <w:pStyle w:val="BTEMEASMCADiagrama"/>
      </w:pPr>
      <w:r w:rsidRPr="009420B3">
        <w:t>Vaikai ir paaugliai</w:t>
      </w:r>
    </w:p>
    <w:p w14:paraId="743B45C6" w14:textId="77777777" w:rsidR="008001D5" w:rsidRPr="0072052A" w:rsidRDefault="008001D5" w:rsidP="00E33FE9">
      <w:pPr>
        <w:pStyle w:val="BTEMEASMCADiagrama"/>
      </w:pPr>
      <w:r w:rsidRPr="0072052A">
        <w:t>LIPANTHYL nerekomenduojama vartoti vaikams ir jaunuoliams, jaunesniems kaip 18 metų.</w:t>
      </w:r>
    </w:p>
    <w:p w14:paraId="20F0C035" w14:textId="77777777" w:rsidR="008001D5" w:rsidRPr="0072052A" w:rsidRDefault="008001D5" w:rsidP="00E33FE9">
      <w:pPr>
        <w:pStyle w:val="BTEMEASMCADiagrama"/>
      </w:pPr>
    </w:p>
    <w:p w14:paraId="4F0A6DB8" w14:textId="02183041" w:rsidR="008001D5" w:rsidRPr="0072052A" w:rsidRDefault="008001D5" w:rsidP="0072052A">
      <w:pPr>
        <w:pStyle w:val="PI-3EMEASMCA"/>
      </w:pPr>
      <w:r w:rsidRPr="0072052A">
        <w:t xml:space="preserve">Ką daryti pavartojus per didelę </w:t>
      </w:r>
      <w:r w:rsidRPr="0072052A">
        <w:rPr>
          <w:caps/>
        </w:rPr>
        <w:t>Lipanthyl</w:t>
      </w:r>
      <w:r w:rsidRPr="0072052A">
        <w:t xml:space="preserve"> dozę</w:t>
      </w:r>
    </w:p>
    <w:p w14:paraId="5E201C16" w14:textId="77777777" w:rsidR="008001D5" w:rsidRPr="0072052A" w:rsidRDefault="008001D5" w:rsidP="00E33FE9">
      <w:pPr>
        <w:pStyle w:val="BTEMEASMCADiagrama"/>
      </w:pPr>
      <w:r w:rsidRPr="0072052A">
        <w:t>Jei atsitiktinai LIPANTHYL išgėrėte daugiau, negu reikia, arba jeigu Jūsų vaistą išgėrė kas nors kitas, nedelsdami pasakykite savo gydytojui arba kreipkitės į artimiausią medicinos įstaigą.</w:t>
      </w:r>
    </w:p>
    <w:p w14:paraId="10E25595" w14:textId="77777777" w:rsidR="008001D5" w:rsidRPr="0072052A" w:rsidRDefault="008001D5" w:rsidP="0072052A">
      <w:pPr>
        <w:pStyle w:val="PI-3EMEASMCA"/>
      </w:pPr>
    </w:p>
    <w:p w14:paraId="55F9E395" w14:textId="77777777" w:rsidR="008001D5" w:rsidRPr="0072052A" w:rsidRDefault="008001D5" w:rsidP="0072052A">
      <w:pPr>
        <w:pStyle w:val="PI-3EMEASMCA"/>
      </w:pPr>
      <w:r w:rsidRPr="0072052A">
        <w:t xml:space="preserve">Pamiršus pavartoti </w:t>
      </w:r>
      <w:r w:rsidRPr="0072052A">
        <w:rPr>
          <w:caps/>
        </w:rPr>
        <w:t>Lipanthyl</w:t>
      </w:r>
    </w:p>
    <w:p w14:paraId="6E9CBCA5" w14:textId="77777777" w:rsidR="008001D5" w:rsidRPr="0072052A" w:rsidRDefault="008001D5" w:rsidP="00E33FE9">
      <w:pPr>
        <w:pStyle w:val="BTEMEASMCADiagrama"/>
      </w:pPr>
      <w:r w:rsidRPr="0072052A">
        <w:t>Pamiršus suvartoti dozę, kitą dozę vartokite kito valgio metu.</w:t>
      </w:r>
    </w:p>
    <w:p w14:paraId="0DFDE6E7" w14:textId="77777777" w:rsidR="008001D5" w:rsidRPr="0072052A" w:rsidRDefault="008001D5" w:rsidP="00E33FE9">
      <w:pPr>
        <w:pStyle w:val="BTEMEASMCADiagrama"/>
      </w:pPr>
      <w:r w:rsidRPr="0072052A">
        <w:t>Suvartokite kitą dozę su kitu valgiu ir toliau gerkite kitas kapsules įprastu laiku.</w:t>
      </w:r>
    </w:p>
    <w:p w14:paraId="608FE131" w14:textId="77777777" w:rsidR="008001D5" w:rsidRPr="0072052A" w:rsidRDefault="008001D5" w:rsidP="00E33FE9">
      <w:pPr>
        <w:pStyle w:val="BTEMEASMCADiagrama"/>
      </w:pPr>
      <w:r w:rsidRPr="0072052A">
        <w:t>Negalima vartoti dvigubos dozės norint kompensuoti praleistąją dozę.</w:t>
      </w:r>
    </w:p>
    <w:p w14:paraId="0ABEF443" w14:textId="77777777" w:rsidR="008001D5" w:rsidRPr="0072052A" w:rsidRDefault="008001D5" w:rsidP="00E33FE9">
      <w:pPr>
        <w:pStyle w:val="BTEMEASMCADiagrama"/>
      </w:pPr>
      <w:r w:rsidRPr="0072052A">
        <w:t>Jei abejojate, kreipkitės į savo gydytoją.</w:t>
      </w:r>
    </w:p>
    <w:p w14:paraId="5AAD718D" w14:textId="77777777" w:rsidR="008001D5" w:rsidRPr="0072052A" w:rsidRDefault="008001D5" w:rsidP="0072052A">
      <w:pPr>
        <w:pStyle w:val="PI-3EMEASMCA"/>
      </w:pPr>
    </w:p>
    <w:p w14:paraId="4AEA0570" w14:textId="77777777" w:rsidR="008001D5" w:rsidRPr="0072052A" w:rsidRDefault="008001D5" w:rsidP="0072052A">
      <w:pPr>
        <w:pStyle w:val="PI-3EMEASMCA"/>
      </w:pPr>
      <w:r w:rsidRPr="0072052A">
        <w:t xml:space="preserve">Nustojus vartoti </w:t>
      </w:r>
      <w:r w:rsidRPr="0072052A">
        <w:rPr>
          <w:caps/>
        </w:rPr>
        <w:t>Lipanthyl</w:t>
      </w:r>
    </w:p>
    <w:p w14:paraId="0EDF8404" w14:textId="77777777" w:rsidR="008001D5" w:rsidRPr="0072052A" w:rsidRDefault="008001D5" w:rsidP="00E33FE9">
      <w:pPr>
        <w:pStyle w:val="BTEMEASMCADiagrama"/>
      </w:pPr>
      <w:r w:rsidRPr="0072052A">
        <w:t>Nenustokite vartoję LIPANTHYL, nebent taip nurodė Jūsų gydytojas arba vartodami kapsules pasijutote blogai. Tai būtina, nes padidėjusi riebalų koncentracija kraujyje turi būti gydoma ilgai.</w:t>
      </w:r>
    </w:p>
    <w:p w14:paraId="2FD83744" w14:textId="77777777" w:rsidR="008001D5" w:rsidRPr="0072052A" w:rsidRDefault="008001D5" w:rsidP="00E33FE9">
      <w:pPr>
        <w:pStyle w:val="BTEMEASMCADiagrama"/>
      </w:pPr>
    </w:p>
    <w:p w14:paraId="14CCECD2" w14:textId="77777777" w:rsidR="008001D5" w:rsidRPr="0072052A" w:rsidRDefault="008001D5" w:rsidP="00E33FE9">
      <w:pPr>
        <w:pStyle w:val="BTEMEASMCADiagrama"/>
      </w:pPr>
      <w:r w:rsidRPr="0072052A">
        <w:t>Atminkite, kad kol vartojate LIPANTHYL, svarbu:</w:t>
      </w:r>
    </w:p>
    <w:p w14:paraId="14A5E1D9" w14:textId="77777777" w:rsidR="008001D5" w:rsidRPr="0072052A" w:rsidRDefault="008001D5" w:rsidP="00E33FE9">
      <w:pPr>
        <w:pStyle w:val="BTEMEASMCADiagrama"/>
        <w:numPr>
          <w:ilvl w:val="0"/>
          <w:numId w:val="12"/>
        </w:numPr>
      </w:pPr>
      <w:r w:rsidRPr="0072052A">
        <w:t>laikytis mažai riebalų turinčios dietos;</w:t>
      </w:r>
    </w:p>
    <w:p w14:paraId="3AD60618" w14:textId="77777777" w:rsidR="008001D5" w:rsidRPr="0072052A" w:rsidRDefault="008001D5" w:rsidP="00E33FE9">
      <w:pPr>
        <w:pStyle w:val="BTEMEASMCADiagrama"/>
        <w:numPr>
          <w:ilvl w:val="0"/>
          <w:numId w:val="12"/>
        </w:numPr>
      </w:pPr>
      <w:r w:rsidRPr="0072052A">
        <w:t>reguliariai mankštintis.</w:t>
      </w:r>
    </w:p>
    <w:p w14:paraId="3FB48C67" w14:textId="77777777" w:rsidR="008001D5" w:rsidRPr="0072052A" w:rsidRDefault="008001D5" w:rsidP="00E33FE9">
      <w:pPr>
        <w:pStyle w:val="BTEMEASMCADiagrama"/>
      </w:pPr>
    </w:p>
    <w:p w14:paraId="0C7B226A" w14:textId="77777777" w:rsidR="008001D5" w:rsidRPr="0072052A" w:rsidRDefault="008001D5" w:rsidP="00E33FE9">
      <w:pPr>
        <w:pStyle w:val="BTEMEASMCADiagrama"/>
      </w:pPr>
      <w:r w:rsidRPr="0072052A">
        <w:t>Jeigu kiltų daugiau klausimų dėl šio vaisto vartojimo, kreipkitės į gydytoją, vaistininką arba slaugytoją.</w:t>
      </w:r>
    </w:p>
    <w:p w14:paraId="6AE3EB8F" w14:textId="77777777" w:rsidR="008001D5" w:rsidRPr="0072052A" w:rsidRDefault="008001D5" w:rsidP="00E33FE9">
      <w:pPr>
        <w:pStyle w:val="BTEMEASMCADiagrama"/>
      </w:pPr>
    </w:p>
    <w:p w14:paraId="44D0CFD9" w14:textId="77777777" w:rsidR="008001D5" w:rsidRPr="0072052A" w:rsidRDefault="008001D5" w:rsidP="00E33FE9">
      <w:pPr>
        <w:pStyle w:val="BTEMEASMCADiagrama"/>
      </w:pPr>
    </w:p>
    <w:p w14:paraId="19C29E43" w14:textId="5D12D3A8" w:rsidR="008001D5" w:rsidRPr="009D39AA" w:rsidRDefault="008001D5" w:rsidP="008001D5">
      <w:pPr>
        <w:ind w:left="567" w:hanging="567"/>
        <w:outlineLvl w:val="0"/>
        <w:rPr>
          <w:b/>
          <w:bCs/>
          <w:sz w:val="22"/>
          <w:szCs w:val="22"/>
        </w:rPr>
      </w:pPr>
      <w:bookmarkStart w:id="85" w:name="_Toc129243142"/>
      <w:bookmarkStart w:id="86" w:name="_Toc129243267"/>
      <w:r w:rsidRPr="009D39AA">
        <w:rPr>
          <w:b/>
          <w:bCs/>
          <w:sz w:val="22"/>
          <w:szCs w:val="22"/>
        </w:rPr>
        <w:t>4.</w:t>
      </w:r>
      <w:r w:rsidRPr="009D39AA">
        <w:rPr>
          <w:b/>
          <w:bCs/>
          <w:sz w:val="22"/>
          <w:szCs w:val="22"/>
        </w:rPr>
        <w:tab/>
        <w:t>Galimas šalutinis poveikis</w:t>
      </w:r>
      <w:bookmarkEnd w:id="85"/>
      <w:bookmarkEnd w:id="86"/>
    </w:p>
    <w:p w14:paraId="5A3E2F6E" w14:textId="77777777" w:rsidR="008001D5" w:rsidRPr="009D39AA" w:rsidRDefault="008001D5" w:rsidP="008001D5">
      <w:pPr>
        <w:rPr>
          <w:sz w:val="22"/>
          <w:szCs w:val="22"/>
        </w:rPr>
      </w:pPr>
    </w:p>
    <w:p w14:paraId="1EAE668E" w14:textId="77777777" w:rsidR="008001D5" w:rsidRPr="00DE2A32" w:rsidRDefault="008001D5" w:rsidP="00E33FE9">
      <w:pPr>
        <w:pStyle w:val="BTEMEASMCADiagrama"/>
      </w:pPr>
      <w:r w:rsidRPr="00DE2A32">
        <w:t>Šis vaistas, kaip ir visi kiti vaistai, gali sukelti šalutinį poveikį, nors jis pasireiškia ne visiems žmonėms.</w:t>
      </w:r>
    </w:p>
    <w:p w14:paraId="23A11607" w14:textId="77777777" w:rsidR="008001D5" w:rsidRPr="0072052A" w:rsidRDefault="008001D5" w:rsidP="00E33FE9">
      <w:pPr>
        <w:pStyle w:val="BTEMEASMCADiagrama"/>
      </w:pPr>
    </w:p>
    <w:p w14:paraId="75D6C61C" w14:textId="77777777" w:rsidR="008001D5" w:rsidRPr="009D39AA" w:rsidRDefault="008001D5" w:rsidP="008001D5">
      <w:pPr>
        <w:pStyle w:val="minusone"/>
        <w:spacing w:before="0" w:beforeAutospacing="0" w:after="0" w:afterAutospacing="0"/>
        <w:rPr>
          <w:rFonts w:ascii="Times New Roman" w:hAnsi="Times New Roman" w:cs="Times New Roman"/>
          <w:b/>
          <w:bCs/>
          <w:color w:val="auto"/>
          <w:sz w:val="22"/>
          <w:szCs w:val="22"/>
          <w:lang w:val="lt-LT"/>
        </w:rPr>
      </w:pPr>
      <w:r w:rsidRPr="009D39AA">
        <w:rPr>
          <w:rFonts w:ascii="Times New Roman" w:hAnsi="Times New Roman" w:cs="Times New Roman"/>
          <w:b/>
          <w:bCs/>
          <w:color w:val="auto"/>
          <w:sz w:val="22"/>
          <w:szCs w:val="22"/>
          <w:lang w:val="lt-LT"/>
        </w:rPr>
        <w:lastRenderedPageBreak/>
        <w:t>Jeigu Jums pasireiškė kuris nors iš toliau išvardytų sunkių šalutinio poveikio požymių, LIPANTHYL kapsulių vartojimą nutraukite ir iškart praneškite gydytojui, nes Jums gali prireikti skubaus medicininio gydymo:</w:t>
      </w:r>
    </w:p>
    <w:p w14:paraId="4B7B0985" w14:textId="77777777" w:rsidR="008001D5" w:rsidRPr="00B038AD" w:rsidRDefault="008001D5" w:rsidP="00E33FE9">
      <w:pPr>
        <w:pStyle w:val="BTEMEASMCADiagrama"/>
        <w:numPr>
          <w:ilvl w:val="0"/>
          <w:numId w:val="4"/>
        </w:numPr>
      </w:pPr>
      <w:r w:rsidRPr="00B038AD">
        <w:t>alerginė reakcija. Jos požymiai gali būti tokie: veido, lūpų, liežuvio ar gerklės tinimas, galintis apsunkinti kvėpavimą;</w:t>
      </w:r>
    </w:p>
    <w:p w14:paraId="4A291C24" w14:textId="77777777" w:rsidR="008001D5" w:rsidRPr="00B038AD" w:rsidRDefault="008001D5" w:rsidP="00E33FE9">
      <w:pPr>
        <w:pStyle w:val="BTEMEASMCADiagrama"/>
        <w:numPr>
          <w:ilvl w:val="0"/>
          <w:numId w:val="4"/>
        </w:numPr>
      </w:pPr>
      <w:r w:rsidRPr="00B038AD">
        <w:t>raumenų spazmai ar skausmas, jautrumas ar silpnumas – tai gali būti raumenų uždegimo ar nykimo, galinčio sukelti inkstų pažeidimą ar net mirtį, požymiai;</w:t>
      </w:r>
    </w:p>
    <w:p w14:paraId="26296F57" w14:textId="77777777" w:rsidR="008001D5" w:rsidRPr="00B038AD" w:rsidRDefault="008001D5" w:rsidP="00E33FE9">
      <w:pPr>
        <w:pStyle w:val="BTEMEASMCADiagrama"/>
        <w:numPr>
          <w:ilvl w:val="0"/>
          <w:numId w:val="4"/>
        </w:numPr>
      </w:pPr>
      <w:r w:rsidRPr="00B038AD">
        <w:t>skrandžio skausmas – tai gali būti kasos uždegimo (pankreatito) požymis;</w:t>
      </w:r>
    </w:p>
    <w:p w14:paraId="1EA1236A" w14:textId="77777777" w:rsidR="008001D5" w:rsidRPr="00B038AD" w:rsidRDefault="008001D5" w:rsidP="00E33FE9">
      <w:pPr>
        <w:pStyle w:val="BTEMEASMCADiagrama"/>
        <w:numPr>
          <w:ilvl w:val="0"/>
          <w:numId w:val="4"/>
        </w:numPr>
      </w:pPr>
      <w:r w:rsidRPr="00B038AD">
        <w:t>krūtinės skausmas ir dusulys – tai gali būti plaučiuose esančio kraujo krešulio (plaučių embolijos) požymiai;</w:t>
      </w:r>
    </w:p>
    <w:p w14:paraId="26D865F0" w14:textId="77777777" w:rsidR="008001D5" w:rsidRPr="00B038AD" w:rsidRDefault="008001D5" w:rsidP="00E33FE9">
      <w:pPr>
        <w:pStyle w:val="BTEMEASMCADiagrama"/>
        <w:numPr>
          <w:ilvl w:val="0"/>
          <w:numId w:val="4"/>
        </w:numPr>
      </w:pPr>
      <w:r w:rsidRPr="00B038AD">
        <w:t>kojų skausmas, paraudimas ir tinimas – tai gali būti kraujo krešulio, esančio kojoje (giliųjų venų trombozės), požymiai;</w:t>
      </w:r>
    </w:p>
    <w:p w14:paraId="56CB6627" w14:textId="77777777" w:rsidR="008001D5" w:rsidRPr="00B038AD" w:rsidRDefault="008001D5" w:rsidP="00E33FE9">
      <w:pPr>
        <w:pStyle w:val="BTEMEASMCADiagrama"/>
        <w:numPr>
          <w:ilvl w:val="0"/>
          <w:numId w:val="4"/>
        </w:numPr>
      </w:pPr>
      <w:r w:rsidRPr="00B038AD">
        <w:t>odos ir akių baltymų pageltimas (gelta) ar kepenų fermentų kiekio padidėjimas – tai gali būti kepenų uždegimo (hepatito) požymiai.</w:t>
      </w:r>
    </w:p>
    <w:p w14:paraId="541AC853" w14:textId="77777777" w:rsidR="008001D5" w:rsidRPr="00B038AD" w:rsidRDefault="008001D5" w:rsidP="00E33FE9">
      <w:pPr>
        <w:pStyle w:val="BTEMEASMCADiagrama"/>
      </w:pPr>
    </w:p>
    <w:p w14:paraId="2283F00C" w14:textId="77777777" w:rsidR="008001D5" w:rsidRPr="00B038AD" w:rsidRDefault="008001D5" w:rsidP="00E33FE9">
      <w:pPr>
        <w:pStyle w:val="BTEMEASMCADiagrama"/>
      </w:pPr>
      <w:r w:rsidRPr="00B038AD">
        <w:t>Nustokite vartoję LIPANTHYL ir susisiekite su savo gydytoju, jeigu pastebėjote bent vieną iš aukščiau išvardytų šalutinio poveikio požymių, kuris pasireiškė Jums.</w:t>
      </w:r>
    </w:p>
    <w:p w14:paraId="3A9CB24F" w14:textId="77777777" w:rsidR="008001D5" w:rsidRPr="00B038AD" w:rsidRDefault="008001D5" w:rsidP="00E33FE9">
      <w:pPr>
        <w:pStyle w:val="BTEMEASMCADiagrama"/>
      </w:pPr>
    </w:p>
    <w:p w14:paraId="28715226" w14:textId="7F135A02" w:rsidR="008001D5" w:rsidRPr="00B038AD" w:rsidRDefault="008001D5" w:rsidP="00E33FE9">
      <w:pPr>
        <w:pStyle w:val="BTEMEASMCADiagrama"/>
      </w:pPr>
      <w:r w:rsidRPr="00B038AD">
        <w:t>Kit</w:t>
      </w:r>
      <w:r w:rsidR="00F820B6">
        <w:t>i</w:t>
      </w:r>
      <w:r w:rsidRPr="00B038AD">
        <w:t xml:space="preserve"> šalutini</w:t>
      </w:r>
      <w:r w:rsidR="00F820B6">
        <w:t>o</w:t>
      </w:r>
      <w:r w:rsidRPr="00B038AD">
        <w:t xml:space="preserve"> poveiki</w:t>
      </w:r>
      <w:r w:rsidR="00F820B6">
        <w:t>o reiškiniai</w:t>
      </w:r>
      <w:r w:rsidRPr="00B038AD">
        <w:t>:</w:t>
      </w:r>
    </w:p>
    <w:p w14:paraId="1E69404B" w14:textId="1BE2B9CD" w:rsidR="008001D5" w:rsidRPr="00B038AD" w:rsidRDefault="008001D5" w:rsidP="008001D5">
      <w:pPr>
        <w:rPr>
          <w:sz w:val="22"/>
          <w:szCs w:val="22"/>
        </w:rPr>
      </w:pPr>
      <w:r w:rsidRPr="00B038AD">
        <w:rPr>
          <w:b/>
          <w:bCs/>
          <w:sz w:val="22"/>
          <w:szCs w:val="22"/>
        </w:rPr>
        <w:t>Dažn</w:t>
      </w:r>
      <w:r w:rsidR="00F820B6">
        <w:rPr>
          <w:b/>
          <w:bCs/>
          <w:sz w:val="22"/>
          <w:szCs w:val="22"/>
        </w:rPr>
        <w:t>i</w:t>
      </w:r>
      <w:r w:rsidRPr="00B038AD">
        <w:rPr>
          <w:b/>
          <w:bCs/>
          <w:sz w:val="22"/>
          <w:szCs w:val="22"/>
        </w:rPr>
        <w:t xml:space="preserve"> </w:t>
      </w:r>
      <w:r w:rsidRPr="00B038AD">
        <w:rPr>
          <w:sz w:val="22"/>
          <w:szCs w:val="22"/>
        </w:rPr>
        <w:t>(</w:t>
      </w:r>
      <w:r w:rsidR="00F820B6" w:rsidRPr="00F820B6">
        <w:rPr>
          <w:sz w:val="22"/>
          <w:szCs w:val="22"/>
        </w:rPr>
        <w:t>gali pasireikšti rečiau kaip 1 iš 10</w:t>
      </w:r>
      <w:r w:rsidR="00F820B6">
        <w:rPr>
          <w:sz w:val="22"/>
          <w:szCs w:val="22"/>
        </w:rPr>
        <w:t> </w:t>
      </w:r>
      <w:r w:rsidR="00F820B6" w:rsidRPr="00F820B6">
        <w:rPr>
          <w:sz w:val="22"/>
          <w:szCs w:val="22"/>
        </w:rPr>
        <w:t>asmenų</w:t>
      </w:r>
      <w:r w:rsidRPr="00B038AD">
        <w:rPr>
          <w:sz w:val="22"/>
          <w:szCs w:val="22"/>
        </w:rPr>
        <w:t>):</w:t>
      </w:r>
    </w:p>
    <w:p w14:paraId="46D43179"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viduriavimas,</w:t>
      </w:r>
    </w:p>
    <w:p w14:paraId="557AB996"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skrandžio skausmas,</w:t>
      </w:r>
    </w:p>
    <w:p w14:paraId="602E8608"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vidurių pūtimas (flatulencija),</w:t>
      </w:r>
    </w:p>
    <w:p w14:paraId="73D8D93D"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pykinimas,</w:t>
      </w:r>
    </w:p>
    <w:p w14:paraId="6112EE6C"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vėmimas,</w:t>
      </w:r>
    </w:p>
    <w:p w14:paraId="2E51896A"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padidėjęs kepenų fermentų kiekis kraujyje (matomas atlikus tyrimus),</w:t>
      </w:r>
    </w:p>
    <w:p w14:paraId="09117BBB" w14:textId="77777777" w:rsidR="008001D5" w:rsidRPr="00B038AD" w:rsidRDefault="008001D5" w:rsidP="008001D5">
      <w:pPr>
        <w:numPr>
          <w:ilvl w:val="0"/>
          <w:numId w:val="3"/>
        </w:numPr>
        <w:tabs>
          <w:tab w:val="clear" w:pos="720"/>
        </w:tabs>
        <w:ind w:left="540" w:hanging="540"/>
        <w:rPr>
          <w:sz w:val="22"/>
          <w:szCs w:val="22"/>
        </w:rPr>
      </w:pPr>
      <w:r w:rsidRPr="00B038AD">
        <w:rPr>
          <w:sz w:val="22"/>
          <w:szCs w:val="22"/>
        </w:rPr>
        <w:t>padidėjęs homocisteino kiekis kraujyje (per didelis šios aminorūgšties kiekis kraujyje susijęs su didesne vainikinių širdies arterijų ligos, insulto ir periferinių kraujagyslių ligos rizika, bet priežastinis ryšys nėra patvirtintas).</w:t>
      </w:r>
    </w:p>
    <w:p w14:paraId="7EC46EB3" w14:textId="77777777" w:rsidR="008001D5" w:rsidRPr="00B038AD" w:rsidRDefault="008001D5" w:rsidP="008001D5">
      <w:pPr>
        <w:rPr>
          <w:sz w:val="22"/>
          <w:szCs w:val="22"/>
        </w:rPr>
      </w:pPr>
    </w:p>
    <w:p w14:paraId="50D7CAF4" w14:textId="3E28D125" w:rsidR="008001D5" w:rsidRPr="00B038AD" w:rsidRDefault="008001D5" w:rsidP="008001D5">
      <w:pPr>
        <w:rPr>
          <w:sz w:val="22"/>
          <w:szCs w:val="22"/>
        </w:rPr>
      </w:pPr>
      <w:r w:rsidRPr="00B038AD">
        <w:rPr>
          <w:b/>
          <w:bCs/>
          <w:sz w:val="22"/>
          <w:szCs w:val="22"/>
        </w:rPr>
        <w:t>Nedažn</w:t>
      </w:r>
      <w:r w:rsidR="00F820B6">
        <w:rPr>
          <w:b/>
          <w:bCs/>
          <w:sz w:val="22"/>
          <w:szCs w:val="22"/>
        </w:rPr>
        <w:t>i</w:t>
      </w:r>
      <w:r w:rsidRPr="00B038AD">
        <w:rPr>
          <w:sz w:val="22"/>
          <w:szCs w:val="22"/>
        </w:rPr>
        <w:t xml:space="preserve"> (</w:t>
      </w:r>
      <w:r w:rsidR="00F820B6" w:rsidRPr="00F820B6">
        <w:rPr>
          <w:sz w:val="22"/>
          <w:szCs w:val="22"/>
        </w:rPr>
        <w:t>gali pasireikšti rečiau kaip 1 iš 100</w:t>
      </w:r>
      <w:r w:rsidR="00F820B6">
        <w:rPr>
          <w:sz w:val="22"/>
          <w:szCs w:val="22"/>
        </w:rPr>
        <w:t> </w:t>
      </w:r>
      <w:r w:rsidR="00F820B6" w:rsidRPr="00F820B6">
        <w:rPr>
          <w:sz w:val="22"/>
          <w:szCs w:val="22"/>
        </w:rPr>
        <w:t>asmenų</w:t>
      </w:r>
      <w:r w:rsidRPr="00B038AD">
        <w:rPr>
          <w:sz w:val="22"/>
          <w:szCs w:val="22"/>
        </w:rPr>
        <w:t>):</w:t>
      </w:r>
    </w:p>
    <w:p w14:paraId="0191CB49" w14:textId="77777777" w:rsidR="008001D5" w:rsidRPr="00B038AD" w:rsidRDefault="008001D5" w:rsidP="008001D5">
      <w:pPr>
        <w:numPr>
          <w:ilvl w:val="0"/>
          <w:numId w:val="2"/>
        </w:numPr>
        <w:tabs>
          <w:tab w:val="clear" w:pos="720"/>
        </w:tabs>
        <w:ind w:left="540" w:hanging="540"/>
        <w:rPr>
          <w:sz w:val="22"/>
          <w:szCs w:val="22"/>
        </w:rPr>
      </w:pPr>
      <w:r w:rsidRPr="00B038AD">
        <w:rPr>
          <w:sz w:val="22"/>
          <w:szCs w:val="22"/>
        </w:rPr>
        <w:t>galvos skausmas,</w:t>
      </w:r>
    </w:p>
    <w:p w14:paraId="51305E6D" w14:textId="77777777" w:rsidR="008001D5" w:rsidRPr="00B038AD" w:rsidRDefault="008001D5" w:rsidP="008001D5">
      <w:pPr>
        <w:numPr>
          <w:ilvl w:val="0"/>
          <w:numId w:val="2"/>
        </w:numPr>
        <w:tabs>
          <w:tab w:val="clear" w:pos="720"/>
        </w:tabs>
        <w:ind w:left="540" w:hanging="540"/>
        <w:rPr>
          <w:sz w:val="22"/>
          <w:szCs w:val="22"/>
        </w:rPr>
      </w:pPr>
      <w:r w:rsidRPr="00B038AD">
        <w:rPr>
          <w:sz w:val="22"/>
          <w:szCs w:val="22"/>
        </w:rPr>
        <w:t>tulžies pūslės akmenys,</w:t>
      </w:r>
    </w:p>
    <w:p w14:paraId="47A34A33" w14:textId="77777777" w:rsidR="008001D5" w:rsidRPr="00B038AD" w:rsidRDefault="008001D5" w:rsidP="008001D5">
      <w:pPr>
        <w:numPr>
          <w:ilvl w:val="0"/>
          <w:numId w:val="2"/>
        </w:numPr>
        <w:tabs>
          <w:tab w:val="clear" w:pos="720"/>
        </w:tabs>
        <w:ind w:left="540" w:hanging="540"/>
        <w:rPr>
          <w:sz w:val="22"/>
          <w:szCs w:val="22"/>
        </w:rPr>
      </w:pPr>
      <w:r w:rsidRPr="00B038AD">
        <w:rPr>
          <w:sz w:val="22"/>
          <w:szCs w:val="22"/>
        </w:rPr>
        <w:t>sumažėjęs lytinis potraukis,</w:t>
      </w:r>
    </w:p>
    <w:p w14:paraId="5E625A39" w14:textId="77777777" w:rsidR="008001D5" w:rsidRPr="00B038AD" w:rsidRDefault="008001D5" w:rsidP="008001D5">
      <w:pPr>
        <w:numPr>
          <w:ilvl w:val="0"/>
          <w:numId w:val="2"/>
        </w:numPr>
        <w:tabs>
          <w:tab w:val="clear" w:pos="720"/>
        </w:tabs>
        <w:ind w:left="540" w:hanging="540"/>
        <w:rPr>
          <w:sz w:val="22"/>
          <w:szCs w:val="22"/>
        </w:rPr>
      </w:pPr>
      <w:r w:rsidRPr="00B038AD">
        <w:rPr>
          <w:sz w:val="22"/>
          <w:szCs w:val="22"/>
        </w:rPr>
        <w:t>bėrimas, niežtinčios ar raudonos dėmelės ant odos,</w:t>
      </w:r>
    </w:p>
    <w:p w14:paraId="7E2C126C" w14:textId="77777777" w:rsidR="008001D5" w:rsidRPr="00B038AD" w:rsidRDefault="008001D5" w:rsidP="008001D5">
      <w:pPr>
        <w:numPr>
          <w:ilvl w:val="0"/>
          <w:numId w:val="2"/>
        </w:numPr>
        <w:tabs>
          <w:tab w:val="clear" w:pos="720"/>
        </w:tabs>
        <w:ind w:left="540" w:hanging="540"/>
        <w:rPr>
          <w:sz w:val="22"/>
          <w:szCs w:val="22"/>
        </w:rPr>
      </w:pPr>
      <w:r w:rsidRPr="00B038AD">
        <w:rPr>
          <w:sz w:val="22"/>
          <w:szCs w:val="22"/>
        </w:rPr>
        <w:t>inkstų gaminamo kreatinino kiekio padidėjimas (matomas atlikus tyrimus).</w:t>
      </w:r>
    </w:p>
    <w:p w14:paraId="7BCBB1A4" w14:textId="77777777" w:rsidR="008001D5" w:rsidRPr="00B038AD" w:rsidRDefault="008001D5" w:rsidP="008001D5">
      <w:pPr>
        <w:rPr>
          <w:b/>
          <w:bCs/>
          <w:sz w:val="22"/>
          <w:szCs w:val="22"/>
        </w:rPr>
      </w:pPr>
    </w:p>
    <w:p w14:paraId="506ADCE2" w14:textId="07D8EB77" w:rsidR="008001D5" w:rsidRPr="00B038AD" w:rsidRDefault="008001D5" w:rsidP="008001D5">
      <w:pPr>
        <w:rPr>
          <w:sz w:val="22"/>
          <w:szCs w:val="22"/>
        </w:rPr>
      </w:pPr>
      <w:r w:rsidRPr="00B038AD">
        <w:rPr>
          <w:b/>
          <w:bCs/>
          <w:sz w:val="22"/>
          <w:szCs w:val="22"/>
        </w:rPr>
        <w:t>Ret</w:t>
      </w:r>
      <w:r w:rsidR="00F820B6">
        <w:rPr>
          <w:b/>
          <w:bCs/>
          <w:sz w:val="22"/>
          <w:szCs w:val="22"/>
        </w:rPr>
        <w:t>i</w:t>
      </w:r>
      <w:r w:rsidRPr="00B038AD">
        <w:rPr>
          <w:b/>
          <w:bCs/>
          <w:sz w:val="22"/>
          <w:szCs w:val="22"/>
        </w:rPr>
        <w:t xml:space="preserve"> </w:t>
      </w:r>
      <w:r w:rsidRPr="00B038AD">
        <w:rPr>
          <w:sz w:val="22"/>
          <w:szCs w:val="22"/>
        </w:rPr>
        <w:t>(</w:t>
      </w:r>
      <w:r w:rsidR="00F820B6" w:rsidRPr="00F820B6">
        <w:rPr>
          <w:sz w:val="22"/>
          <w:szCs w:val="22"/>
        </w:rPr>
        <w:t>gali pasireikšti rečiau kaip 1 iš 1</w:t>
      </w:r>
      <w:r w:rsidR="00F820B6">
        <w:rPr>
          <w:sz w:val="22"/>
          <w:szCs w:val="22"/>
        </w:rPr>
        <w:t> </w:t>
      </w:r>
      <w:r w:rsidR="00F820B6" w:rsidRPr="00F820B6">
        <w:rPr>
          <w:sz w:val="22"/>
          <w:szCs w:val="22"/>
        </w:rPr>
        <w:t>000</w:t>
      </w:r>
      <w:r w:rsidR="00F820B6">
        <w:rPr>
          <w:sz w:val="22"/>
          <w:szCs w:val="22"/>
        </w:rPr>
        <w:t> </w:t>
      </w:r>
      <w:r w:rsidR="00F820B6" w:rsidRPr="00F820B6">
        <w:rPr>
          <w:sz w:val="22"/>
          <w:szCs w:val="22"/>
        </w:rPr>
        <w:t>asmenų</w:t>
      </w:r>
      <w:r w:rsidRPr="00B038AD">
        <w:rPr>
          <w:sz w:val="22"/>
          <w:szCs w:val="22"/>
        </w:rPr>
        <w:t>):</w:t>
      </w:r>
    </w:p>
    <w:p w14:paraId="2EA8B121" w14:textId="77777777" w:rsidR="008001D5" w:rsidRPr="00B038AD" w:rsidRDefault="008001D5" w:rsidP="008001D5">
      <w:pPr>
        <w:numPr>
          <w:ilvl w:val="0"/>
          <w:numId w:val="1"/>
        </w:numPr>
        <w:tabs>
          <w:tab w:val="clear" w:pos="1440"/>
        </w:tabs>
        <w:ind w:left="540" w:hanging="540"/>
        <w:rPr>
          <w:sz w:val="22"/>
          <w:szCs w:val="22"/>
        </w:rPr>
      </w:pPr>
      <w:r w:rsidRPr="00B038AD">
        <w:rPr>
          <w:sz w:val="22"/>
          <w:szCs w:val="22"/>
        </w:rPr>
        <w:t>plaukų slinkimas,</w:t>
      </w:r>
    </w:p>
    <w:p w14:paraId="18A00F77" w14:textId="77777777" w:rsidR="008001D5" w:rsidRPr="00B038AD" w:rsidRDefault="008001D5" w:rsidP="008001D5">
      <w:pPr>
        <w:numPr>
          <w:ilvl w:val="0"/>
          <w:numId w:val="1"/>
        </w:numPr>
        <w:tabs>
          <w:tab w:val="clear" w:pos="1440"/>
        </w:tabs>
        <w:ind w:left="540" w:hanging="540"/>
        <w:rPr>
          <w:sz w:val="22"/>
          <w:szCs w:val="22"/>
        </w:rPr>
      </w:pPr>
      <w:r w:rsidRPr="00B038AD">
        <w:rPr>
          <w:sz w:val="22"/>
          <w:szCs w:val="22"/>
        </w:rPr>
        <w:t>nuovargis ir svaigulys (</w:t>
      </w:r>
      <w:r w:rsidRPr="00B038AD">
        <w:rPr>
          <w:i/>
          <w:iCs/>
          <w:sz w:val="22"/>
          <w:szCs w:val="22"/>
        </w:rPr>
        <w:t>vertigo</w:t>
      </w:r>
      <w:r w:rsidRPr="00B038AD">
        <w:rPr>
          <w:sz w:val="22"/>
          <w:szCs w:val="22"/>
        </w:rPr>
        <w:t>),</w:t>
      </w:r>
    </w:p>
    <w:p w14:paraId="4F7DFEDA" w14:textId="77777777" w:rsidR="008001D5" w:rsidRPr="00B038AD" w:rsidRDefault="008001D5" w:rsidP="008001D5">
      <w:pPr>
        <w:numPr>
          <w:ilvl w:val="0"/>
          <w:numId w:val="1"/>
        </w:numPr>
        <w:tabs>
          <w:tab w:val="clear" w:pos="1440"/>
        </w:tabs>
        <w:ind w:left="540" w:hanging="540"/>
        <w:rPr>
          <w:sz w:val="22"/>
          <w:szCs w:val="22"/>
        </w:rPr>
      </w:pPr>
      <w:r w:rsidRPr="00B038AD">
        <w:rPr>
          <w:sz w:val="22"/>
          <w:szCs w:val="22"/>
        </w:rPr>
        <w:t>išsekimo pojūtis (silpnumas),</w:t>
      </w:r>
    </w:p>
    <w:p w14:paraId="2FA6DAFF" w14:textId="77777777" w:rsidR="008001D5" w:rsidRPr="00B038AD" w:rsidRDefault="008001D5" w:rsidP="008001D5">
      <w:pPr>
        <w:numPr>
          <w:ilvl w:val="0"/>
          <w:numId w:val="1"/>
        </w:numPr>
        <w:tabs>
          <w:tab w:val="clear" w:pos="1440"/>
        </w:tabs>
        <w:ind w:left="540" w:hanging="540"/>
        <w:rPr>
          <w:sz w:val="22"/>
          <w:szCs w:val="22"/>
        </w:rPr>
      </w:pPr>
      <w:r w:rsidRPr="00B038AD">
        <w:rPr>
          <w:sz w:val="22"/>
          <w:szCs w:val="22"/>
        </w:rPr>
        <w:t>padidėjęs šlapalo, gaminamo inkstuose, kiekis (matomas atlikus tyrimus),</w:t>
      </w:r>
    </w:p>
    <w:p w14:paraId="2F2C2E65" w14:textId="77777777" w:rsidR="008001D5" w:rsidRPr="00B038AD" w:rsidRDefault="008001D5" w:rsidP="008001D5">
      <w:pPr>
        <w:numPr>
          <w:ilvl w:val="0"/>
          <w:numId w:val="1"/>
        </w:numPr>
        <w:tabs>
          <w:tab w:val="clear" w:pos="1440"/>
        </w:tabs>
        <w:ind w:left="540" w:hanging="540"/>
        <w:rPr>
          <w:sz w:val="22"/>
          <w:szCs w:val="22"/>
        </w:rPr>
      </w:pPr>
      <w:r w:rsidRPr="00B038AD">
        <w:rPr>
          <w:sz w:val="22"/>
          <w:szCs w:val="22"/>
        </w:rPr>
        <w:t>padidėjęs jautrumas saulės šviesai, saulės lempų šviesai ir soliariumams,</w:t>
      </w:r>
    </w:p>
    <w:p w14:paraId="4CFCB6A7" w14:textId="77777777" w:rsidR="008001D5" w:rsidRPr="00B038AD" w:rsidRDefault="008001D5" w:rsidP="008001D5">
      <w:pPr>
        <w:numPr>
          <w:ilvl w:val="0"/>
          <w:numId w:val="1"/>
        </w:numPr>
        <w:tabs>
          <w:tab w:val="clear" w:pos="1440"/>
        </w:tabs>
        <w:ind w:left="540" w:hanging="540"/>
        <w:rPr>
          <w:sz w:val="22"/>
          <w:szCs w:val="22"/>
        </w:rPr>
      </w:pPr>
      <w:r w:rsidRPr="00B038AD">
        <w:rPr>
          <w:sz w:val="22"/>
          <w:szCs w:val="22"/>
        </w:rPr>
        <w:t>hemoglobino (kuris perneša deguonį kraujyje) ir baltųjų kraujo kūnelių kiekio sumažėjimas (matomas atlikus tyrimus).</w:t>
      </w:r>
    </w:p>
    <w:p w14:paraId="15F7F5F8" w14:textId="77777777" w:rsidR="008001D5" w:rsidRPr="00B038AD" w:rsidRDefault="008001D5" w:rsidP="008001D5">
      <w:pPr>
        <w:jc w:val="both"/>
        <w:rPr>
          <w:b/>
          <w:bCs/>
          <w:sz w:val="22"/>
          <w:szCs w:val="22"/>
        </w:rPr>
      </w:pPr>
    </w:p>
    <w:p w14:paraId="64A3E1A4" w14:textId="3889A31A" w:rsidR="008001D5" w:rsidRPr="00B038AD" w:rsidRDefault="008001D5" w:rsidP="008001D5">
      <w:pPr>
        <w:jc w:val="both"/>
        <w:rPr>
          <w:b/>
          <w:bCs/>
          <w:sz w:val="22"/>
          <w:szCs w:val="22"/>
        </w:rPr>
      </w:pPr>
      <w:r w:rsidRPr="00B038AD">
        <w:rPr>
          <w:b/>
          <w:bCs/>
          <w:sz w:val="22"/>
          <w:szCs w:val="22"/>
        </w:rPr>
        <w:t>Šalutini</w:t>
      </w:r>
      <w:r w:rsidR="00F820B6">
        <w:rPr>
          <w:b/>
          <w:bCs/>
          <w:sz w:val="22"/>
          <w:szCs w:val="22"/>
        </w:rPr>
        <w:t>o</w:t>
      </w:r>
      <w:r w:rsidRPr="00B038AD">
        <w:rPr>
          <w:b/>
          <w:bCs/>
          <w:sz w:val="22"/>
          <w:szCs w:val="22"/>
        </w:rPr>
        <w:t xml:space="preserve"> poveiki</w:t>
      </w:r>
      <w:r w:rsidR="00F820B6">
        <w:rPr>
          <w:b/>
          <w:bCs/>
          <w:sz w:val="22"/>
          <w:szCs w:val="22"/>
        </w:rPr>
        <w:t>o reiškiniai</w:t>
      </w:r>
      <w:r w:rsidRPr="00B038AD">
        <w:rPr>
          <w:b/>
          <w:bCs/>
          <w:sz w:val="22"/>
          <w:szCs w:val="22"/>
        </w:rPr>
        <w:t>, kuri</w:t>
      </w:r>
      <w:r w:rsidR="00F820B6">
        <w:rPr>
          <w:b/>
          <w:bCs/>
          <w:sz w:val="22"/>
          <w:szCs w:val="22"/>
        </w:rPr>
        <w:t>ų</w:t>
      </w:r>
      <w:r w:rsidRPr="00B038AD">
        <w:rPr>
          <w:b/>
          <w:bCs/>
          <w:sz w:val="22"/>
          <w:szCs w:val="22"/>
        </w:rPr>
        <w:t xml:space="preserve"> dažnis nežinomas</w:t>
      </w:r>
      <w:r w:rsidR="00F820B6">
        <w:rPr>
          <w:b/>
          <w:bCs/>
          <w:sz w:val="22"/>
          <w:szCs w:val="22"/>
        </w:rPr>
        <w:t xml:space="preserve"> </w:t>
      </w:r>
      <w:r w:rsidR="00F820B6" w:rsidRPr="00F17259">
        <w:rPr>
          <w:noProof/>
          <w:snapToGrid w:val="0"/>
          <w:sz w:val="22"/>
          <w:szCs w:val="22"/>
        </w:rPr>
        <w:t>(negali būti apskaičiuotas pagal turimus duomenis)</w:t>
      </w:r>
      <w:r w:rsidRPr="00F17259">
        <w:rPr>
          <w:sz w:val="22"/>
          <w:szCs w:val="22"/>
        </w:rPr>
        <w:t>:</w:t>
      </w:r>
    </w:p>
    <w:p w14:paraId="7E143368" w14:textId="0A932455" w:rsidR="008001D5" w:rsidRPr="00B038AD" w:rsidRDefault="00F820B6" w:rsidP="008001D5">
      <w:pPr>
        <w:numPr>
          <w:ilvl w:val="1"/>
          <w:numId w:val="1"/>
        </w:numPr>
        <w:tabs>
          <w:tab w:val="clear" w:pos="1443"/>
        </w:tabs>
        <w:ind w:left="540" w:hanging="540"/>
        <w:rPr>
          <w:sz w:val="22"/>
          <w:szCs w:val="22"/>
        </w:rPr>
      </w:pPr>
      <w:r>
        <w:rPr>
          <w:sz w:val="22"/>
          <w:szCs w:val="22"/>
        </w:rPr>
        <w:t>s</w:t>
      </w:r>
      <w:r w:rsidR="008001D5" w:rsidRPr="00B038AD">
        <w:rPr>
          <w:sz w:val="22"/>
          <w:szCs w:val="22"/>
        </w:rPr>
        <w:t>unkios odos reakcijos</w:t>
      </w:r>
      <w:r>
        <w:rPr>
          <w:sz w:val="22"/>
          <w:szCs w:val="22"/>
        </w:rPr>
        <w:t>,</w:t>
      </w:r>
    </w:p>
    <w:p w14:paraId="68050D06" w14:textId="07860C8B" w:rsidR="008001D5" w:rsidRPr="00B038AD" w:rsidRDefault="00F820B6" w:rsidP="008001D5">
      <w:pPr>
        <w:numPr>
          <w:ilvl w:val="1"/>
          <w:numId w:val="1"/>
        </w:numPr>
        <w:tabs>
          <w:tab w:val="clear" w:pos="1443"/>
        </w:tabs>
        <w:ind w:left="540" w:hanging="540"/>
        <w:rPr>
          <w:sz w:val="22"/>
          <w:szCs w:val="22"/>
        </w:rPr>
      </w:pPr>
      <w:r>
        <w:rPr>
          <w:sz w:val="22"/>
          <w:szCs w:val="22"/>
        </w:rPr>
        <w:t>i</w:t>
      </w:r>
      <w:r w:rsidR="008001D5" w:rsidRPr="00B038AD">
        <w:rPr>
          <w:sz w:val="22"/>
          <w:szCs w:val="22"/>
        </w:rPr>
        <w:t>lgai trunkančios plaučių ligos. Jeigu Jums pasireiškia bet koks sunkumas kvėpuoti, iškart pasakykite gydytojui</w:t>
      </w:r>
      <w:r>
        <w:rPr>
          <w:sz w:val="22"/>
          <w:szCs w:val="22"/>
        </w:rPr>
        <w:t>,</w:t>
      </w:r>
    </w:p>
    <w:p w14:paraId="24D17CEB" w14:textId="3C9BD37D" w:rsidR="008001D5" w:rsidRPr="00B038AD" w:rsidRDefault="00F820B6" w:rsidP="008001D5">
      <w:pPr>
        <w:numPr>
          <w:ilvl w:val="1"/>
          <w:numId w:val="1"/>
        </w:numPr>
        <w:tabs>
          <w:tab w:val="clear" w:pos="1443"/>
        </w:tabs>
        <w:ind w:left="540" w:hanging="540"/>
        <w:rPr>
          <w:sz w:val="22"/>
          <w:szCs w:val="22"/>
        </w:rPr>
      </w:pPr>
      <w:r>
        <w:rPr>
          <w:sz w:val="22"/>
          <w:szCs w:val="22"/>
        </w:rPr>
        <w:t>n</w:t>
      </w:r>
      <w:r w:rsidR="008001D5" w:rsidRPr="00B038AD">
        <w:rPr>
          <w:sz w:val="22"/>
          <w:szCs w:val="22"/>
        </w:rPr>
        <w:t>uovargis.</w:t>
      </w:r>
    </w:p>
    <w:p w14:paraId="13B1FFC4" w14:textId="77777777" w:rsidR="008001D5" w:rsidRPr="00B038AD" w:rsidRDefault="008001D5" w:rsidP="00E33FE9">
      <w:pPr>
        <w:pStyle w:val="BTEMEASMCADiagrama"/>
      </w:pPr>
    </w:p>
    <w:p w14:paraId="2EADC51E" w14:textId="77777777" w:rsidR="008001D5" w:rsidRPr="00B038AD" w:rsidRDefault="008001D5" w:rsidP="008001D5">
      <w:pPr>
        <w:tabs>
          <w:tab w:val="left" w:pos="567"/>
        </w:tabs>
        <w:rPr>
          <w:b/>
          <w:bCs/>
          <w:snapToGrid w:val="0"/>
          <w:sz w:val="22"/>
          <w:szCs w:val="22"/>
        </w:rPr>
      </w:pPr>
      <w:bookmarkStart w:id="87" w:name="_Toc129243143"/>
      <w:bookmarkStart w:id="88" w:name="_Toc129243268"/>
      <w:r w:rsidRPr="00B038AD">
        <w:rPr>
          <w:b/>
          <w:bCs/>
          <w:noProof/>
          <w:snapToGrid w:val="0"/>
          <w:sz w:val="22"/>
          <w:szCs w:val="22"/>
        </w:rPr>
        <w:t>Pranešimas apie šalutinį poveikį</w:t>
      </w:r>
    </w:p>
    <w:p w14:paraId="5B6FCB3E" w14:textId="42C06513" w:rsidR="008001D5" w:rsidRPr="00B038AD" w:rsidRDefault="008001D5" w:rsidP="008001D5">
      <w:pPr>
        <w:tabs>
          <w:tab w:val="left" w:pos="567"/>
        </w:tabs>
        <w:spacing w:line="260" w:lineRule="exact"/>
        <w:ind w:right="-449"/>
        <w:rPr>
          <w:noProof/>
          <w:snapToGrid w:val="0"/>
          <w:sz w:val="22"/>
          <w:szCs w:val="22"/>
        </w:rPr>
      </w:pPr>
      <w:r w:rsidRPr="00B038AD">
        <w:rPr>
          <w:noProof/>
          <w:snapToGrid w:val="0"/>
          <w:sz w:val="22"/>
          <w:szCs w:val="22"/>
        </w:rPr>
        <w:t xml:space="preserve">Jeigu pasireiškė šalutinis poveikis, įskaitant šiame lapelyje nenurodytą, pasakykite gydytojui arba vaistininkui. </w:t>
      </w:r>
      <w:r w:rsidR="00F820B6" w:rsidRPr="00F820B6">
        <w:rPr>
          <w:rFonts w:eastAsia="Times New Roman"/>
          <w:snapToGrid w:val="0"/>
          <w:sz w:val="22"/>
          <w:szCs w:val="20"/>
        </w:rPr>
        <w:t xml:space="preserve">Pranešimą apie šalutinį poveikį galite pateikti šiais būdais: tiesiogiai užpildant formą internetu Valstybinės vaistų kontrolės tarnybos prie Lietuvos Respublikos sveikatos apsaugos ministerijos Vaistinių </w:t>
      </w:r>
      <w:r w:rsidR="00F820B6" w:rsidRPr="00F820B6">
        <w:rPr>
          <w:rFonts w:eastAsia="Times New Roman"/>
          <w:snapToGrid w:val="0"/>
          <w:sz w:val="22"/>
          <w:szCs w:val="20"/>
        </w:rPr>
        <w:lastRenderedPageBreak/>
        <w:t xml:space="preserve">preparatų informacinėje sistemoje </w:t>
      </w:r>
      <w:hyperlink r:id="rId10" w:history="1">
        <w:r w:rsidR="00F820B6" w:rsidRPr="00F820B6">
          <w:rPr>
            <w:rFonts w:eastAsia="Times New Roman"/>
            <w:snapToGrid w:val="0"/>
            <w:color w:val="0000FF"/>
            <w:sz w:val="22"/>
            <w:szCs w:val="20"/>
            <w:u w:val="single"/>
          </w:rPr>
          <w:t>https://vapris.vvkt.lt/vvkt-web/public/nrv</w:t>
        </w:r>
      </w:hyperlink>
      <w:r w:rsidR="00F820B6" w:rsidRPr="00F820B6">
        <w:rPr>
          <w:rFonts w:eastAsia="Times New Roman"/>
          <w:snapToGrid w:val="0"/>
          <w:sz w:val="22"/>
          <w:szCs w:val="20"/>
        </w:rPr>
        <w:t xml:space="preserve"> arba užpildant Paciento pranešimo apie įtariamą nepageidaujamą reakciją (ĮNR) formą, kuri skelbiama </w:t>
      </w:r>
      <w:hyperlink r:id="rId11" w:history="1">
        <w:r w:rsidR="00F820B6" w:rsidRPr="00F820B6">
          <w:rPr>
            <w:rFonts w:eastAsia="Times New Roman"/>
            <w:snapToGrid w:val="0"/>
            <w:color w:val="0000FF"/>
            <w:sz w:val="22"/>
            <w:szCs w:val="20"/>
            <w:u w:val="single"/>
          </w:rPr>
          <w:t>https://www.vvkt.lt/index.php?4004286486</w:t>
        </w:r>
      </w:hyperlink>
      <w:r w:rsidR="00F820B6" w:rsidRPr="00F820B6">
        <w:rPr>
          <w:rFonts w:eastAsia="Times New Roman"/>
          <w:snapToGrid w:val="0"/>
          <w:sz w:val="22"/>
          <w:szCs w:val="20"/>
        </w:rPr>
        <w:t xml:space="preserve">, ir atsiunčiant elektroniniu paštu (adresu </w:t>
      </w:r>
      <w:hyperlink r:id="rId12" w:history="1">
        <w:r w:rsidR="00F820B6" w:rsidRPr="00F820B6">
          <w:rPr>
            <w:rFonts w:eastAsia="Times New Roman"/>
            <w:snapToGrid w:val="0"/>
            <w:color w:val="0000FF"/>
            <w:sz w:val="22"/>
            <w:szCs w:val="20"/>
            <w:u w:val="single"/>
          </w:rPr>
          <w:t>NepageidaujamaR@vvkt.lt</w:t>
        </w:r>
      </w:hyperlink>
      <w:r w:rsidR="00F820B6" w:rsidRPr="00F820B6">
        <w:rPr>
          <w:rFonts w:eastAsia="Times New Roman"/>
          <w:snapToGrid w:val="0"/>
          <w:sz w:val="22"/>
          <w:szCs w:val="20"/>
        </w:rPr>
        <w:t>) arba nemokamu telefonu 8</w:t>
      </w:r>
      <w:r w:rsidR="00F820B6">
        <w:rPr>
          <w:rFonts w:eastAsia="Times New Roman"/>
          <w:snapToGrid w:val="0"/>
          <w:sz w:val="22"/>
          <w:szCs w:val="20"/>
        </w:rPr>
        <w:t> </w:t>
      </w:r>
      <w:r w:rsidR="00F820B6" w:rsidRPr="00F820B6">
        <w:rPr>
          <w:rFonts w:eastAsia="Times New Roman"/>
          <w:snapToGrid w:val="0"/>
          <w:sz w:val="22"/>
          <w:szCs w:val="20"/>
        </w:rPr>
        <w:t>800</w:t>
      </w:r>
      <w:r w:rsidR="00F820B6">
        <w:rPr>
          <w:rFonts w:eastAsia="Times New Roman"/>
          <w:snapToGrid w:val="0"/>
          <w:sz w:val="22"/>
          <w:szCs w:val="20"/>
        </w:rPr>
        <w:t> </w:t>
      </w:r>
      <w:r w:rsidR="00F820B6" w:rsidRPr="00F820B6">
        <w:rPr>
          <w:rFonts w:eastAsia="Times New Roman"/>
          <w:snapToGrid w:val="0"/>
          <w:sz w:val="22"/>
          <w:szCs w:val="20"/>
        </w:rPr>
        <w:t>73</w:t>
      </w:r>
      <w:r w:rsidR="00F820B6">
        <w:rPr>
          <w:rFonts w:eastAsia="Times New Roman"/>
          <w:snapToGrid w:val="0"/>
          <w:sz w:val="22"/>
          <w:szCs w:val="20"/>
        </w:rPr>
        <w:t> </w:t>
      </w:r>
      <w:r w:rsidR="00F820B6" w:rsidRPr="00F820B6">
        <w:rPr>
          <w:rFonts w:eastAsia="Times New Roman"/>
          <w:snapToGrid w:val="0"/>
          <w:sz w:val="22"/>
          <w:szCs w:val="20"/>
        </w:rPr>
        <w:t xml:space="preserve">568. </w:t>
      </w:r>
      <w:r w:rsidRPr="00B038AD">
        <w:rPr>
          <w:noProof/>
          <w:snapToGrid w:val="0"/>
          <w:sz w:val="22"/>
          <w:szCs w:val="22"/>
        </w:rPr>
        <w:t>Pranešdami apie šalutinį poveikį galite mums padėti gauti daugiau informacijos apie šio vaisto saugumą.</w:t>
      </w:r>
    </w:p>
    <w:p w14:paraId="6AD4DDF7" w14:textId="77777777" w:rsidR="008001D5" w:rsidRPr="00B038AD" w:rsidRDefault="008001D5" w:rsidP="008001D5">
      <w:pPr>
        <w:pStyle w:val="Pagrindinistekstas"/>
        <w:jc w:val="left"/>
        <w:rPr>
          <w:sz w:val="22"/>
          <w:szCs w:val="22"/>
        </w:rPr>
      </w:pPr>
    </w:p>
    <w:p w14:paraId="035441C6" w14:textId="77777777" w:rsidR="008001D5" w:rsidRPr="00B038AD" w:rsidRDefault="008001D5" w:rsidP="008001D5">
      <w:pPr>
        <w:pStyle w:val="Pagrindinistekstas"/>
        <w:jc w:val="left"/>
        <w:rPr>
          <w:sz w:val="22"/>
          <w:szCs w:val="22"/>
        </w:rPr>
      </w:pPr>
    </w:p>
    <w:p w14:paraId="526BF1EA" w14:textId="5CF7EC6B" w:rsidR="008001D5" w:rsidRPr="00B038AD" w:rsidRDefault="008001D5" w:rsidP="008001D5">
      <w:pPr>
        <w:ind w:left="567" w:hanging="567"/>
        <w:outlineLvl w:val="0"/>
        <w:rPr>
          <w:b/>
          <w:bCs/>
          <w:sz w:val="22"/>
          <w:szCs w:val="22"/>
        </w:rPr>
      </w:pPr>
      <w:r w:rsidRPr="00B038AD">
        <w:rPr>
          <w:b/>
          <w:bCs/>
          <w:sz w:val="22"/>
          <w:szCs w:val="22"/>
        </w:rPr>
        <w:t>5.</w:t>
      </w:r>
      <w:r w:rsidRPr="00B038AD">
        <w:rPr>
          <w:b/>
          <w:bCs/>
          <w:sz w:val="22"/>
          <w:szCs w:val="22"/>
        </w:rPr>
        <w:tab/>
        <w:t xml:space="preserve">Kaip laikyti </w:t>
      </w:r>
      <w:bookmarkEnd w:id="87"/>
      <w:bookmarkEnd w:id="88"/>
      <w:r w:rsidRPr="00B038AD">
        <w:rPr>
          <w:b/>
          <w:bCs/>
          <w:caps/>
          <w:sz w:val="22"/>
          <w:szCs w:val="22"/>
        </w:rPr>
        <w:t>Lipanthyl</w:t>
      </w:r>
    </w:p>
    <w:p w14:paraId="122C8590" w14:textId="77777777" w:rsidR="008001D5" w:rsidRPr="00B038AD" w:rsidRDefault="008001D5" w:rsidP="00E33FE9">
      <w:pPr>
        <w:pStyle w:val="BTEMEASMCADiagrama"/>
      </w:pPr>
    </w:p>
    <w:p w14:paraId="510CB0D7" w14:textId="77777777" w:rsidR="008001D5" w:rsidRPr="00B038AD" w:rsidRDefault="008001D5" w:rsidP="00E33FE9">
      <w:pPr>
        <w:pStyle w:val="BTEMEASMCADiagrama"/>
      </w:pPr>
      <w:r w:rsidRPr="00B038AD">
        <w:t>Šį vaistą laikykite vaikams nepastebimoje ir nepasiekiamoje vietoje.</w:t>
      </w:r>
    </w:p>
    <w:p w14:paraId="6EE9058A" w14:textId="77777777" w:rsidR="008001D5" w:rsidRPr="00B038AD" w:rsidRDefault="008001D5" w:rsidP="00E33FE9">
      <w:pPr>
        <w:pStyle w:val="BTEMEASMCADiagrama"/>
      </w:pPr>
      <w:r w:rsidRPr="00B038AD">
        <w:t>Laikyti gamintojo pakuotėje, kad vaistas būtų apsaugotas nuo drėgmės.</w:t>
      </w:r>
    </w:p>
    <w:p w14:paraId="7C866C60" w14:textId="77777777" w:rsidR="008001D5" w:rsidRPr="00B038AD"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38AD">
        <w:rPr>
          <w:noProof/>
          <w:sz w:val="22"/>
          <w:szCs w:val="22"/>
        </w:rPr>
        <w:t>Šiam vaistui specialių temperatūros sąlygų nereikia</w:t>
      </w:r>
      <w:r w:rsidRPr="00B038AD">
        <w:rPr>
          <w:sz w:val="22"/>
          <w:szCs w:val="22"/>
        </w:rPr>
        <w:t>.</w:t>
      </w:r>
    </w:p>
    <w:p w14:paraId="4BF898C8" w14:textId="77777777" w:rsidR="008001D5" w:rsidRPr="00B038AD"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1B0A1EE1" w14:textId="77777777" w:rsidR="008001D5" w:rsidRPr="00B038AD" w:rsidRDefault="008001D5" w:rsidP="00E33FE9">
      <w:pPr>
        <w:pStyle w:val="BTEMEASMCADiagrama"/>
      </w:pPr>
      <w:r w:rsidRPr="00B038AD">
        <w:t>Ant dėžutės po „Tinka iki“ ir lizdinės plokštelės nurodytam tinkamumo laikui pasibaigus, šio vaisto vartoti negalima. Vaistas tinkamas vartoti iki paskutinės nurodyto mėnesio dienos.</w:t>
      </w:r>
    </w:p>
    <w:p w14:paraId="6E4F58A1" w14:textId="77777777" w:rsidR="008001D5" w:rsidRPr="00B038AD" w:rsidRDefault="008001D5" w:rsidP="00E33FE9">
      <w:pPr>
        <w:pStyle w:val="BTEMEASMCADiagrama"/>
      </w:pPr>
    </w:p>
    <w:p w14:paraId="75080FD9" w14:textId="77777777" w:rsidR="008001D5" w:rsidRPr="00B038AD" w:rsidRDefault="008001D5" w:rsidP="00E33FE9">
      <w:pPr>
        <w:pStyle w:val="BTEMEASMCADiagrama"/>
      </w:pPr>
      <w:r w:rsidRPr="00B038AD">
        <w:t>Vaistų negalima išmesti į kanalizaciją arba su buitinėmis atliekomis. Kaip išmesti nereikalingus vaistus, klauskite vaistininko. Šios priemonės padės apsaugoti aplinką.</w:t>
      </w:r>
    </w:p>
    <w:p w14:paraId="5154DF4F" w14:textId="77777777" w:rsidR="008001D5" w:rsidRPr="00B038AD" w:rsidRDefault="008001D5" w:rsidP="00E33FE9">
      <w:pPr>
        <w:pStyle w:val="BTEMEASMCADiagrama"/>
      </w:pPr>
    </w:p>
    <w:p w14:paraId="4007ADB2" w14:textId="77777777" w:rsidR="008001D5" w:rsidRPr="00B038AD" w:rsidRDefault="008001D5" w:rsidP="00E33FE9">
      <w:pPr>
        <w:pStyle w:val="BTEMEASMCADiagrama"/>
      </w:pPr>
    </w:p>
    <w:p w14:paraId="019F50E5" w14:textId="626D1A51" w:rsidR="008001D5" w:rsidRPr="00B038AD" w:rsidRDefault="008001D5" w:rsidP="008001D5">
      <w:pPr>
        <w:ind w:left="567" w:hanging="567"/>
        <w:outlineLvl w:val="0"/>
        <w:rPr>
          <w:b/>
          <w:bCs/>
          <w:sz w:val="22"/>
          <w:szCs w:val="22"/>
        </w:rPr>
      </w:pPr>
      <w:bookmarkStart w:id="89" w:name="_Toc129243144"/>
      <w:bookmarkStart w:id="90" w:name="_Toc129243269"/>
      <w:r w:rsidRPr="00B038AD">
        <w:rPr>
          <w:b/>
          <w:bCs/>
          <w:sz w:val="22"/>
          <w:szCs w:val="22"/>
        </w:rPr>
        <w:t>6.</w:t>
      </w:r>
      <w:r w:rsidRPr="00B038AD">
        <w:rPr>
          <w:b/>
          <w:bCs/>
          <w:sz w:val="22"/>
          <w:szCs w:val="22"/>
        </w:rPr>
        <w:tab/>
        <w:t>Pakuotės turinys ir kita informacija</w:t>
      </w:r>
      <w:bookmarkEnd w:id="89"/>
      <w:bookmarkEnd w:id="90"/>
    </w:p>
    <w:p w14:paraId="57EF22C1" w14:textId="77777777" w:rsidR="008001D5" w:rsidRPr="00B038AD" w:rsidRDefault="008001D5" w:rsidP="00E33FE9">
      <w:pPr>
        <w:pStyle w:val="BTEMEASMCADiagrama"/>
      </w:pPr>
    </w:p>
    <w:p w14:paraId="0C151D7C" w14:textId="77777777" w:rsidR="008001D5" w:rsidRPr="00B038AD" w:rsidRDefault="008001D5" w:rsidP="0072052A">
      <w:pPr>
        <w:pStyle w:val="PI-3EMEASMCA"/>
      </w:pPr>
      <w:r w:rsidRPr="00B038AD">
        <w:t>LIPANTHYL sudėtis</w:t>
      </w:r>
    </w:p>
    <w:p w14:paraId="2118D50C" w14:textId="77777777" w:rsidR="008001D5" w:rsidRPr="00B038AD" w:rsidRDefault="008001D5" w:rsidP="008001D5">
      <w:pPr>
        <w:numPr>
          <w:ilvl w:val="1"/>
          <w:numId w:val="1"/>
        </w:numPr>
        <w:tabs>
          <w:tab w:val="clear" w:pos="1443"/>
        </w:tabs>
        <w:ind w:left="540" w:hanging="540"/>
        <w:rPr>
          <w:sz w:val="22"/>
          <w:szCs w:val="22"/>
        </w:rPr>
      </w:pPr>
      <w:r w:rsidRPr="00B038AD">
        <w:rPr>
          <w:sz w:val="22"/>
          <w:szCs w:val="22"/>
        </w:rPr>
        <w:t>Veiklioji medžiaga yra fenofibratas. Vienoje kietojoje kapsulėje yra 200 miligramų (mg) fenofibrato.</w:t>
      </w:r>
    </w:p>
    <w:p w14:paraId="50B1ED46" w14:textId="77777777" w:rsidR="008001D5" w:rsidRPr="00B038AD" w:rsidRDefault="008001D5" w:rsidP="008001D5">
      <w:pPr>
        <w:numPr>
          <w:ilvl w:val="1"/>
          <w:numId w:val="1"/>
        </w:numPr>
        <w:tabs>
          <w:tab w:val="clear" w:pos="1443"/>
        </w:tabs>
        <w:ind w:left="540" w:hanging="540"/>
        <w:rPr>
          <w:sz w:val="22"/>
          <w:szCs w:val="22"/>
        </w:rPr>
      </w:pPr>
      <w:r w:rsidRPr="00B038AD">
        <w:rPr>
          <w:sz w:val="22"/>
          <w:szCs w:val="22"/>
        </w:rPr>
        <w:t>Pagalbinės medžiagos</w:t>
      </w:r>
    </w:p>
    <w:p w14:paraId="54E86DF2" w14:textId="77777777" w:rsidR="008001D5" w:rsidRPr="00B038AD" w:rsidRDefault="008001D5" w:rsidP="008001D5">
      <w:pPr>
        <w:ind w:left="540"/>
        <w:rPr>
          <w:sz w:val="22"/>
          <w:szCs w:val="22"/>
        </w:rPr>
      </w:pPr>
      <w:r w:rsidRPr="00B038AD">
        <w:rPr>
          <w:sz w:val="22"/>
          <w:szCs w:val="22"/>
        </w:rPr>
        <w:t>Kapsulės turinyje yra laktozė monohidratas, natrio laurilsulfatas, pregelifikuotas krakmolas, krospovidonas, magnio stearatas. Kapsulės korpuse yra želatina, titano dioksidas (E171), raudonasis geležies oksidas (E172), geltonasis geležies oksidas (E172).</w:t>
      </w:r>
    </w:p>
    <w:p w14:paraId="73CEBCBF" w14:textId="77777777" w:rsidR="008001D5" w:rsidRPr="00B038AD" w:rsidRDefault="008001D5" w:rsidP="00E33FE9">
      <w:pPr>
        <w:pStyle w:val="BTEMEASMCADiagrama"/>
      </w:pPr>
    </w:p>
    <w:p w14:paraId="5D2BD170" w14:textId="77777777" w:rsidR="008001D5" w:rsidRPr="00B038AD" w:rsidRDefault="008001D5" w:rsidP="0072052A">
      <w:pPr>
        <w:pStyle w:val="PI-3EMEASMCA"/>
      </w:pPr>
      <w:r w:rsidRPr="00B038AD">
        <w:rPr>
          <w:caps/>
        </w:rPr>
        <w:t>Lipanthyl</w:t>
      </w:r>
      <w:r w:rsidRPr="00B038AD">
        <w:t xml:space="preserve"> išvaizda ir kiekis pakuotėje</w:t>
      </w:r>
    </w:p>
    <w:p w14:paraId="750E9ECF" w14:textId="77777777" w:rsidR="008001D5" w:rsidRPr="00B038AD"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38AD">
        <w:rPr>
          <w:spacing w:val="-3"/>
          <w:sz w:val="22"/>
          <w:szCs w:val="22"/>
        </w:rPr>
        <w:t>LIPANTHYL 200 mg kietosios kapsulės yra kietos, ochros spalvos želatininės kapsulės.</w:t>
      </w:r>
    </w:p>
    <w:p w14:paraId="4CEF6555" w14:textId="77777777" w:rsidR="008001D5" w:rsidRPr="00B038AD" w:rsidRDefault="008001D5" w:rsidP="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038AD">
        <w:rPr>
          <w:spacing w:val="-3"/>
          <w:sz w:val="22"/>
          <w:szCs w:val="22"/>
        </w:rPr>
        <w:t>LIPANTHYL tiekiamas kartoninėje dėžutėje, kurioje yra 30 kapsulių PVC/aliuminio folijos lizdinėse plokštelėse.</w:t>
      </w:r>
    </w:p>
    <w:p w14:paraId="170F4AB8" w14:textId="77777777" w:rsidR="008001D5" w:rsidRPr="00B038AD" w:rsidRDefault="008001D5" w:rsidP="00E33FE9">
      <w:pPr>
        <w:pStyle w:val="BTEMEASMCADiagrama"/>
      </w:pPr>
    </w:p>
    <w:p w14:paraId="40B22A58" w14:textId="77777777" w:rsidR="008001D5" w:rsidRPr="00F820B6" w:rsidRDefault="008001D5" w:rsidP="00E33FE9">
      <w:pPr>
        <w:pStyle w:val="BTEMEASMCADiagrama"/>
      </w:pPr>
      <w:r w:rsidRPr="00F820B6">
        <w:t>Registruotojas ir gamintojas</w:t>
      </w:r>
    </w:p>
    <w:p w14:paraId="0E0F3FF9" w14:textId="77777777" w:rsidR="008001D5" w:rsidRPr="00B038AD" w:rsidRDefault="008001D5" w:rsidP="00E33FE9">
      <w:pPr>
        <w:pStyle w:val="BTEMEASMCADiagrama"/>
      </w:pPr>
    </w:p>
    <w:p w14:paraId="7A15EA4D" w14:textId="77777777" w:rsidR="008001D5" w:rsidRPr="00B038AD" w:rsidRDefault="008001D5" w:rsidP="0072052A">
      <w:pPr>
        <w:pStyle w:val="PI-3EMEASMCA"/>
      </w:pPr>
      <w:r w:rsidRPr="00B038AD">
        <w:t>Registruotojas</w:t>
      </w:r>
    </w:p>
    <w:p w14:paraId="35CA8AAD" w14:textId="5C994EBA" w:rsidR="008001D5" w:rsidRPr="00B038AD" w:rsidRDefault="0086045E" w:rsidP="008001D5">
      <w:pPr>
        <w:rPr>
          <w:sz w:val="22"/>
          <w:szCs w:val="22"/>
          <w:lang w:val="lv-LV"/>
        </w:rPr>
      </w:pPr>
      <w:r w:rsidRPr="00B038AD">
        <w:rPr>
          <w:sz w:val="22"/>
          <w:szCs w:val="22"/>
          <w:lang w:val="lv-LV"/>
        </w:rPr>
        <w:t>Viatris</w:t>
      </w:r>
      <w:r w:rsidR="008001D5" w:rsidRPr="00B038AD">
        <w:rPr>
          <w:sz w:val="22"/>
          <w:szCs w:val="22"/>
          <w:lang w:val="lv-LV"/>
        </w:rPr>
        <w:t xml:space="preserve"> SIA</w:t>
      </w:r>
    </w:p>
    <w:p w14:paraId="3636EEAF" w14:textId="77777777" w:rsidR="008001D5" w:rsidRPr="00B038AD" w:rsidRDefault="008001D5" w:rsidP="008001D5">
      <w:pPr>
        <w:rPr>
          <w:sz w:val="22"/>
          <w:szCs w:val="22"/>
          <w:lang w:val="lv-LV"/>
        </w:rPr>
      </w:pPr>
      <w:r w:rsidRPr="00B038AD">
        <w:rPr>
          <w:sz w:val="22"/>
          <w:szCs w:val="22"/>
          <w:lang w:val="lv-LV"/>
        </w:rPr>
        <w:t>Mūkusalas 101</w:t>
      </w:r>
    </w:p>
    <w:p w14:paraId="746F6F43" w14:textId="77777777" w:rsidR="008001D5" w:rsidRPr="00B038AD" w:rsidRDefault="008001D5" w:rsidP="008001D5">
      <w:pPr>
        <w:rPr>
          <w:sz w:val="22"/>
          <w:szCs w:val="22"/>
          <w:lang w:val="lv-LV"/>
        </w:rPr>
      </w:pPr>
      <w:r w:rsidRPr="00B038AD">
        <w:rPr>
          <w:sz w:val="22"/>
          <w:szCs w:val="22"/>
          <w:lang w:val="lv-LV"/>
        </w:rPr>
        <w:t>Ryga LV 1004</w:t>
      </w:r>
    </w:p>
    <w:p w14:paraId="720C4650" w14:textId="77777777" w:rsidR="008001D5" w:rsidRPr="00B038AD" w:rsidRDefault="008001D5" w:rsidP="008001D5">
      <w:pPr>
        <w:jc w:val="both"/>
        <w:rPr>
          <w:sz w:val="22"/>
          <w:szCs w:val="22"/>
          <w:lang w:val="lv-LV"/>
        </w:rPr>
      </w:pPr>
      <w:r w:rsidRPr="00B038AD">
        <w:rPr>
          <w:sz w:val="22"/>
          <w:szCs w:val="22"/>
          <w:lang w:val="lv-LV"/>
        </w:rPr>
        <w:t>Latvija</w:t>
      </w:r>
    </w:p>
    <w:p w14:paraId="5BF25755" w14:textId="77777777" w:rsidR="008001D5" w:rsidRPr="00B038AD" w:rsidRDefault="008001D5" w:rsidP="008001D5">
      <w:pPr>
        <w:jc w:val="both"/>
        <w:rPr>
          <w:sz w:val="22"/>
          <w:szCs w:val="22"/>
        </w:rPr>
      </w:pPr>
    </w:p>
    <w:p w14:paraId="7B0D43D9" w14:textId="77777777" w:rsidR="008001D5" w:rsidRPr="00B038AD" w:rsidRDefault="008001D5" w:rsidP="008001D5">
      <w:pPr>
        <w:jc w:val="both"/>
        <w:rPr>
          <w:b/>
          <w:bCs/>
          <w:sz w:val="22"/>
          <w:szCs w:val="22"/>
        </w:rPr>
      </w:pPr>
      <w:r w:rsidRPr="00B038AD">
        <w:rPr>
          <w:b/>
          <w:bCs/>
          <w:sz w:val="22"/>
          <w:szCs w:val="22"/>
        </w:rPr>
        <w:t>Gamintojas</w:t>
      </w:r>
    </w:p>
    <w:p w14:paraId="46F0D238" w14:textId="77777777" w:rsidR="008001D5" w:rsidRPr="00B038AD" w:rsidRDefault="008001D5" w:rsidP="008001D5">
      <w:pPr>
        <w:jc w:val="both"/>
        <w:rPr>
          <w:sz w:val="22"/>
          <w:szCs w:val="22"/>
        </w:rPr>
      </w:pPr>
      <w:r w:rsidRPr="00B038AD">
        <w:rPr>
          <w:sz w:val="22"/>
          <w:szCs w:val="22"/>
        </w:rPr>
        <w:t>Astrea Fontaine</w:t>
      </w:r>
    </w:p>
    <w:p w14:paraId="1FBD87E3" w14:textId="77777777" w:rsidR="008001D5" w:rsidRPr="00B038AD" w:rsidRDefault="008001D5" w:rsidP="008001D5">
      <w:pPr>
        <w:jc w:val="both"/>
        <w:rPr>
          <w:sz w:val="22"/>
          <w:szCs w:val="22"/>
        </w:rPr>
      </w:pPr>
      <w:r w:rsidRPr="00B038AD">
        <w:rPr>
          <w:sz w:val="22"/>
          <w:szCs w:val="22"/>
        </w:rPr>
        <w:t>Rue des Prés Potets – 21121 Fontaine Les Dijon</w:t>
      </w:r>
    </w:p>
    <w:p w14:paraId="4512C543" w14:textId="77777777" w:rsidR="008001D5" w:rsidRPr="00B038AD" w:rsidRDefault="008001D5" w:rsidP="008001D5">
      <w:pPr>
        <w:jc w:val="both"/>
        <w:rPr>
          <w:sz w:val="22"/>
          <w:szCs w:val="22"/>
        </w:rPr>
      </w:pPr>
      <w:r w:rsidRPr="00B038AD">
        <w:rPr>
          <w:sz w:val="22"/>
          <w:szCs w:val="22"/>
        </w:rPr>
        <w:t>Prancūzija</w:t>
      </w:r>
    </w:p>
    <w:p w14:paraId="7C268536" w14:textId="77777777" w:rsidR="008001D5" w:rsidRPr="00B038AD" w:rsidRDefault="008001D5" w:rsidP="008001D5">
      <w:pPr>
        <w:jc w:val="both"/>
        <w:rPr>
          <w:sz w:val="22"/>
          <w:szCs w:val="22"/>
        </w:rPr>
      </w:pPr>
    </w:p>
    <w:p w14:paraId="6CD15BB4" w14:textId="77777777" w:rsidR="008001D5" w:rsidRPr="00B038AD" w:rsidRDefault="008001D5" w:rsidP="008001D5">
      <w:pPr>
        <w:jc w:val="both"/>
        <w:rPr>
          <w:sz w:val="22"/>
          <w:szCs w:val="22"/>
        </w:rPr>
      </w:pPr>
      <w:r w:rsidRPr="00B038AD">
        <w:rPr>
          <w:sz w:val="22"/>
          <w:szCs w:val="22"/>
        </w:rPr>
        <w:t>arba</w:t>
      </w:r>
    </w:p>
    <w:p w14:paraId="36B80898" w14:textId="77777777" w:rsidR="008001D5" w:rsidRPr="00B038AD" w:rsidRDefault="008001D5" w:rsidP="008001D5">
      <w:pPr>
        <w:jc w:val="both"/>
        <w:rPr>
          <w:sz w:val="22"/>
          <w:szCs w:val="22"/>
        </w:rPr>
      </w:pPr>
    </w:p>
    <w:p w14:paraId="4D2E80F7" w14:textId="77777777" w:rsidR="008001D5" w:rsidRPr="00B038AD" w:rsidRDefault="008001D5" w:rsidP="008001D5">
      <w:pPr>
        <w:rPr>
          <w:sz w:val="22"/>
          <w:szCs w:val="22"/>
        </w:rPr>
      </w:pPr>
      <w:r w:rsidRPr="00B038AD">
        <w:rPr>
          <w:sz w:val="22"/>
          <w:szCs w:val="22"/>
        </w:rPr>
        <w:t>Delpharm L’Aigle</w:t>
      </w:r>
    </w:p>
    <w:p w14:paraId="0C166417" w14:textId="77777777" w:rsidR="008001D5" w:rsidRPr="00B038AD" w:rsidRDefault="008001D5" w:rsidP="008001D5">
      <w:pPr>
        <w:rPr>
          <w:sz w:val="22"/>
          <w:szCs w:val="22"/>
        </w:rPr>
      </w:pPr>
      <w:r w:rsidRPr="00B038AD">
        <w:rPr>
          <w:sz w:val="22"/>
          <w:szCs w:val="22"/>
        </w:rPr>
        <w:t>Zone Industrielle No. 1</w:t>
      </w:r>
    </w:p>
    <w:p w14:paraId="520A9075" w14:textId="77777777" w:rsidR="008001D5" w:rsidRPr="00B038AD" w:rsidRDefault="008001D5" w:rsidP="008001D5">
      <w:pPr>
        <w:rPr>
          <w:sz w:val="22"/>
          <w:szCs w:val="22"/>
        </w:rPr>
      </w:pPr>
      <w:r w:rsidRPr="00B038AD">
        <w:rPr>
          <w:sz w:val="22"/>
          <w:szCs w:val="22"/>
        </w:rPr>
        <w:t>Route Crulai</w:t>
      </w:r>
    </w:p>
    <w:p w14:paraId="7A54CAFE" w14:textId="77777777" w:rsidR="008001D5" w:rsidRPr="00B038AD" w:rsidRDefault="008001D5" w:rsidP="008001D5">
      <w:pPr>
        <w:rPr>
          <w:sz w:val="22"/>
          <w:szCs w:val="22"/>
        </w:rPr>
      </w:pPr>
      <w:r w:rsidRPr="00B038AD">
        <w:rPr>
          <w:sz w:val="22"/>
          <w:szCs w:val="22"/>
        </w:rPr>
        <w:t>61300 L’Aigle</w:t>
      </w:r>
    </w:p>
    <w:p w14:paraId="21FC6118" w14:textId="77777777" w:rsidR="008001D5" w:rsidRPr="00B038AD" w:rsidRDefault="008001D5" w:rsidP="00E33FE9">
      <w:pPr>
        <w:pStyle w:val="BTEMEASMCADiagrama"/>
      </w:pPr>
      <w:r w:rsidRPr="00B038AD">
        <w:t>Prancūzija</w:t>
      </w:r>
    </w:p>
    <w:p w14:paraId="6A25A212" w14:textId="77777777" w:rsidR="008001D5" w:rsidRPr="00B038AD" w:rsidRDefault="008001D5" w:rsidP="00E33FE9">
      <w:pPr>
        <w:pStyle w:val="BTEMEASMCADiagrama"/>
      </w:pPr>
    </w:p>
    <w:p w14:paraId="40C769E6" w14:textId="77777777" w:rsidR="008001D5" w:rsidRPr="00B038AD" w:rsidRDefault="008001D5" w:rsidP="00E33FE9">
      <w:pPr>
        <w:pStyle w:val="BTEMEASMCADiagrama"/>
      </w:pPr>
      <w:r w:rsidRPr="00B038AD">
        <w:t>Jeigu apie šį vaistą norite sužinoti daugiau, kreipkitės į vietinį registruotojo atstovą.</w:t>
      </w:r>
    </w:p>
    <w:p w14:paraId="3D3682D5" w14:textId="77777777" w:rsidR="008001D5" w:rsidRPr="00B038AD" w:rsidRDefault="008001D5" w:rsidP="008001D5">
      <w:pPr>
        <w:rPr>
          <w:sz w:val="22"/>
          <w:szCs w:val="22"/>
        </w:rPr>
      </w:pPr>
    </w:p>
    <w:tbl>
      <w:tblPr>
        <w:tblW w:w="4678" w:type="dxa"/>
        <w:tblInd w:w="2" w:type="dxa"/>
        <w:tblLayout w:type="fixed"/>
        <w:tblLook w:val="0000" w:firstRow="0" w:lastRow="0" w:firstColumn="0" w:lastColumn="0" w:noHBand="0" w:noVBand="0"/>
      </w:tblPr>
      <w:tblGrid>
        <w:gridCol w:w="4678"/>
      </w:tblGrid>
      <w:tr w:rsidR="008001D5" w:rsidRPr="009D39AA" w14:paraId="09777550" w14:textId="77777777" w:rsidTr="00860F50">
        <w:tc>
          <w:tcPr>
            <w:tcW w:w="4678" w:type="dxa"/>
          </w:tcPr>
          <w:p w14:paraId="6F45FCE5" w14:textId="006E1A34" w:rsidR="008001D5" w:rsidRPr="0072052A" w:rsidRDefault="0086045E" w:rsidP="00E33FE9">
            <w:pPr>
              <w:pStyle w:val="BTEMEASMCADiagrama"/>
            </w:pPr>
            <w:r w:rsidRPr="0072052A">
              <w:t>Viatris</w:t>
            </w:r>
            <w:r w:rsidR="008001D5" w:rsidRPr="0072052A">
              <w:t xml:space="preserve"> UAB</w:t>
            </w:r>
          </w:p>
          <w:p w14:paraId="6B03BD06" w14:textId="77777777" w:rsidR="008001D5" w:rsidRPr="0072052A" w:rsidRDefault="008001D5" w:rsidP="00E33FE9">
            <w:pPr>
              <w:pStyle w:val="BTEMEASMCADiagrama"/>
            </w:pPr>
            <w:r w:rsidRPr="0072052A">
              <w:t>Tel. + 370 5 205 12 88</w:t>
            </w:r>
          </w:p>
        </w:tc>
      </w:tr>
    </w:tbl>
    <w:p w14:paraId="46DC215B" w14:textId="77777777" w:rsidR="008001D5" w:rsidRPr="009D39AA" w:rsidRDefault="008001D5" w:rsidP="008001D5">
      <w:pPr>
        <w:rPr>
          <w:noProof/>
          <w:sz w:val="22"/>
          <w:szCs w:val="22"/>
        </w:rPr>
      </w:pPr>
    </w:p>
    <w:p w14:paraId="05F868BE" w14:textId="1AEFEE32" w:rsidR="008001D5" w:rsidRPr="00E33FE9" w:rsidRDefault="008001D5" w:rsidP="00E33FE9">
      <w:pPr>
        <w:pStyle w:val="BTEMEASMCADiagrama"/>
      </w:pPr>
      <w:r w:rsidRPr="00F17259">
        <w:rPr>
          <w:b/>
          <w:bCs/>
        </w:rPr>
        <w:t xml:space="preserve">Šis pakuotės lapelis paskutinį kartą </w:t>
      </w:r>
      <w:r w:rsidRPr="00F17259">
        <w:rPr>
          <w:b/>
          <w:bCs/>
          <w:noProof w:val="0"/>
        </w:rPr>
        <w:t>peržiūrėtas 20</w:t>
      </w:r>
      <w:r w:rsidR="00F820B6" w:rsidRPr="00F17259">
        <w:rPr>
          <w:b/>
          <w:bCs/>
          <w:noProof w:val="0"/>
        </w:rPr>
        <w:t>23-09-01</w:t>
      </w:r>
      <w:r w:rsidR="00F820B6" w:rsidRPr="00E33FE9">
        <w:rPr>
          <w:noProof w:val="0"/>
        </w:rPr>
        <w:t>.</w:t>
      </w:r>
    </w:p>
    <w:p w14:paraId="25D6FBD8" w14:textId="77777777" w:rsidR="008001D5" w:rsidRPr="009D39AA" w:rsidRDefault="008001D5" w:rsidP="008001D5">
      <w:pPr>
        <w:rPr>
          <w:sz w:val="22"/>
          <w:szCs w:val="22"/>
        </w:rPr>
      </w:pPr>
    </w:p>
    <w:p w14:paraId="4388577F" w14:textId="15FA094B" w:rsidR="008001D5" w:rsidRDefault="008001D5" w:rsidP="008001D5">
      <w:pPr>
        <w:rPr>
          <w:sz w:val="22"/>
          <w:szCs w:val="22"/>
        </w:rPr>
      </w:pPr>
      <w:r w:rsidRPr="00D606FA">
        <w:rPr>
          <w:sz w:val="22"/>
          <w:szCs w:val="22"/>
        </w:rPr>
        <w:t xml:space="preserve">Išsami informacija apie šį vaistą pateikiama Valstybinės vaistų kontrolės tarnybos prie Lietuvos Respublikos sveikatos apsaugos ministerijos tinklalapyje </w:t>
      </w:r>
      <w:hyperlink r:id="rId13" w:history="1">
        <w:r w:rsidRPr="00D606FA">
          <w:rPr>
            <w:rStyle w:val="Hipersaitas"/>
            <w:sz w:val="22"/>
            <w:szCs w:val="22"/>
          </w:rPr>
          <w:t>http://www.vvkt.lt/</w:t>
        </w:r>
      </w:hyperlink>
      <w:r w:rsidRPr="00D606FA">
        <w:rPr>
          <w:sz w:val="22"/>
          <w:szCs w:val="22"/>
        </w:rPr>
        <w:t xml:space="preserve">. </w:t>
      </w:r>
    </w:p>
    <w:p w14:paraId="60918EA8" w14:textId="77777777" w:rsidR="008001D5" w:rsidRDefault="008001D5" w:rsidP="008001D5">
      <w:pPr>
        <w:rPr>
          <w:sz w:val="22"/>
          <w:szCs w:val="22"/>
        </w:rPr>
      </w:pPr>
    </w:p>
    <w:p w14:paraId="4B1AB5F9" w14:textId="77777777" w:rsidR="008001D5" w:rsidRPr="00D606FA" w:rsidRDefault="008001D5" w:rsidP="008001D5">
      <w:pPr>
        <w:rPr>
          <w:sz w:val="22"/>
          <w:szCs w:val="22"/>
        </w:rPr>
      </w:pPr>
    </w:p>
    <w:p w14:paraId="5AC3DD5C" w14:textId="77777777" w:rsidR="008001D5" w:rsidRDefault="008001D5" w:rsidP="008001D5"/>
    <w:p w14:paraId="758C60D4" w14:textId="77777777" w:rsidR="00882F1A" w:rsidRDefault="00882F1A"/>
    <w:sectPr w:rsidR="00882F1A" w:rsidSect="00FC7DF8">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24705" w14:textId="77777777" w:rsidR="000E56A9" w:rsidRDefault="009D39AA">
      <w:r>
        <w:separator/>
      </w:r>
    </w:p>
  </w:endnote>
  <w:endnote w:type="continuationSeparator" w:id="0">
    <w:p w14:paraId="5617DF71" w14:textId="77777777" w:rsidR="000E56A9" w:rsidRDefault="009D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FDC4" w14:textId="77777777" w:rsidR="00C47901" w:rsidRDefault="004E51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4AF2" w14:textId="38045BC3" w:rsidR="00037EAC" w:rsidRPr="001F46EB" w:rsidRDefault="009853F8" w:rsidP="00FC7DF8">
    <w:pPr>
      <w:pStyle w:val="Porat"/>
      <w:framePr w:wrap="auto" w:vAnchor="text" w:hAnchor="margin" w:xAlign="right" w:y="1"/>
      <w:rPr>
        <w:rStyle w:val="Puslapionumeris"/>
        <w:sz w:val="22"/>
        <w:szCs w:val="22"/>
      </w:rPr>
    </w:pPr>
    <w:r w:rsidRPr="001F46EB">
      <w:rPr>
        <w:rStyle w:val="Puslapionumeris"/>
        <w:sz w:val="22"/>
        <w:szCs w:val="22"/>
      </w:rPr>
      <w:fldChar w:fldCharType="begin"/>
    </w:r>
    <w:r w:rsidRPr="001F46EB">
      <w:rPr>
        <w:rStyle w:val="Puslapionumeris"/>
        <w:sz w:val="22"/>
        <w:szCs w:val="22"/>
      </w:rPr>
      <w:instrText xml:space="preserve">PAGE  </w:instrText>
    </w:r>
    <w:r w:rsidRPr="001F46EB">
      <w:rPr>
        <w:rStyle w:val="Puslapionumeris"/>
        <w:sz w:val="22"/>
        <w:szCs w:val="22"/>
      </w:rPr>
      <w:fldChar w:fldCharType="separate"/>
    </w:r>
    <w:r w:rsidR="004E51C5">
      <w:rPr>
        <w:rStyle w:val="Puslapionumeris"/>
        <w:noProof/>
        <w:sz w:val="22"/>
        <w:szCs w:val="22"/>
      </w:rPr>
      <w:t>2</w:t>
    </w:r>
    <w:r w:rsidRPr="001F46EB">
      <w:rPr>
        <w:rStyle w:val="Puslapionumeris"/>
        <w:sz w:val="22"/>
        <w:szCs w:val="22"/>
      </w:rPr>
      <w:fldChar w:fldCharType="end"/>
    </w:r>
  </w:p>
  <w:p w14:paraId="1FB6E8D4" w14:textId="77777777" w:rsidR="00037EAC" w:rsidRDefault="004E51C5" w:rsidP="00FC7D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535A" w14:textId="77777777" w:rsidR="00C47901" w:rsidRDefault="004E51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C11B7" w14:textId="77777777" w:rsidR="000E56A9" w:rsidRDefault="009D39AA">
      <w:r>
        <w:separator/>
      </w:r>
    </w:p>
  </w:footnote>
  <w:footnote w:type="continuationSeparator" w:id="0">
    <w:p w14:paraId="13B39C5A" w14:textId="77777777" w:rsidR="000E56A9" w:rsidRDefault="009D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FEC56" w14:textId="77777777" w:rsidR="00C47901" w:rsidRDefault="004E51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5EE5F" w14:textId="77777777" w:rsidR="00C47901" w:rsidRDefault="004E51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45DE" w14:textId="77777777" w:rsidR="00C47901" w:rsidRDefault="004E51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D55"/>
    <w:multiLevelType w:val="hybridMultilevel"/>
    <w:tmpl w:val="D4A698B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9A3704"/>
    <w:multiLevelType w:val="hybridMultilevel"/>
    <w:tmpl w:val="C72092B0"/>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12966DA"/>
    <w:multiLevelType w:val="hybridMultilevel"/>
    <w:tmpl w:val="0862F25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FF4438"/>
    <w:multiLevelType w:val="hybridMultilevel"/>
    <w:tmpl w:val="D5DC1B54"/>
    <w:lvl w:ilvl="0" w:tplc="76E248F4">
      <w:start w:val="1"/>
      <w:numFmt w:val="bullet"/>
      <w:lvlText w:val=""/>
      <w:lvlJc w:val="left"/>
      <w:pPr>
        <w:tabs>
          <w:tab w:val="num" w:pos="717"/>
        </w:tabs>
        <w:ind w:left="717"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B66D4F"/>
    <w:multiLevelType w:val="hybridMultilevel"/>
    <w:tmpl w:val="8B8CE454"/>
    <w:lvl w:ilvl="0" w:tplc="D6366676">
      <w:start w:val="1"/>
      <w:numFmt w:val="bullet"/>
      <w:lvlText w:val="̵"/>
      <w:lvlJc w:val="left"/>
      <w:pPr>
        <w:tabs>
          <w:tab w:val="num" w:pos="1440"/>
        </w:tabs>
        <w:ind w:left="1440" w:hanging="360"/>
      </w:pPr>
      <w:rPr>
        <w:rFonts w:ascii="Courier" w:hAnsi="Courier" w:cs="Courier" w:hint="default"/>
        <w:color w:val="auto"/>
      </w:rPr>
    </w:lvl>
    <w:lvl w:ilvl="1" w:tplc="F79CA1F4">
      <w:start w:val="1"/>
      <w:numFmt w:val="bullet"/>
      <w:lvlRestart w:val="0"/>
      <w:lvlText w:val="-"/>
      <w:lvlJc w:val="left"/>
      <w:pPr>
        <w:tabs>
          <w:tab w:val="num" w:pos="1443"/>
        </w:tabs>
        <w:ind w:left="1443" w:hanging="363"/>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8A1FF0"/>
    <w:multiLevelType w:val="hybridMultilevel"/>
    <w:tmpl w:val="E29C1C24"/>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95559D"/>
    <w:multiLevelType w:val="hybridMultilevel"/>
    <w:tmpl w:val="68E4793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44479B"/>
    <w:multiLevelType w:val="hybridMultilevel"/>
    <w:tmpl w:val="B3F07F8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3CA2ECA"/>
    <w:multiLevelType w:val="hybridMultilevel"/>
    <w:tmpl w:val="8B142006"/>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B91C5C"/>
    <w:multiLevelType w:val="hybridMultilevel"/>
    <w:tmpl w:val="61DC9572"/>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5C2D74B1"/>
    <w:multiLevelType w:val="hybridMultilevel"/>
    <w:tmpl w:val="F6F01596"/>
    <w:lvl w:ilvl="0" w:tplc="F79CA1F4">
      <w:start w:val="1"/>
      <w:numFmt w:val="bullet"/>
      <w:lvlRestart w:val="0"/>
      <w:lvlText w:val="-"/>
      <w:lvlJc w:val="left"/>
      <w:pPr>
        <w:tabs>
          <w:tab w:val="num" w:pos="1440"/>
        </w:tabs>
        <w:ind w:left="1440" w:hanging="363"/>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5E2459AD"/>
    <w:multiLevelType w:val="hybridMultilevel"/>
    <w:tmpl w:val="F4AE515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9DB27E4"/>
    <w:multiLevelType w:val="hybridMultilevel"/>
    <w:tmpl w:val="0C50CC62"/>
    <w:lvl w:ilvl="0" w:tplc="F79CA1F4">
      <w:start w:val="1"/>
      <w:numFmt w:val="bullet"/>
      <w:lvlRestart w:val="0"/>
      <w:lvlText w:val="-"/>
      <w:lvlJc w:val="left"/>
      <w:pPr>
        <w:tabs>
          <w:tab w:val="num" w:pos="1077"/>
        </w:tabs>
        <w:ind w:left="1077" w:hanging="363"/>
      </w:pPr>
      <w:rPr>
        <w:rFonts w:ascii="Times New Roman" w:hAnsi="Times New Roman" w:cs="Times New Roman"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num w:numId="1">
    <w:abstractNumId w:val="4"/>
  </w:num>
  <w:num w:numId="2">
    <w:abstractNumId w:val="2"/>
  </w:num>
  <w:num w:numId="3">
    <w:abstractNumId w:val="7"/>
  </w:num>
  <w:num w:numId="4">
    <w:abstractNumId w:val="1"/>
  </w:num>
  <w:num w:numId="5">
    <w:abstractNumId w:val="12"/>
  </w:num>
  <w:num w:numId="6">
    <w:abstractNumId w:val="10"/>
  </w:num>
  <w:num w:numId="7">
    <w:abstractNumId w:val="6"/>
  </w:num>
  <w:num w:numId="8">
    <w:abstractNumId w:val="0"/>
  </w:num>
  <w:num w:numId="9">
    <w:abstractNumId w:val="3"/>
  </w:num>
  <w:num w:numId="10">
    <w:abstractNumId w:val="8"/>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D5"/>
    <w:rsid w:val="00084F74"/>
    <w:rsid w:val="000E56A9"/>
    <w:rsid w:val="001E1DD8"/>
    <w:rsid w:val="004E51C5"/>
    <w:rsid w:val="005E12E0"/>
    <w:rsid w:val="0068740D"/>
    <w:rsid w:val="0072052A"/>
    <w:rsid w:val="0078694F"/>
    <w:rsid w:val="008001D5"/>
    <w:rsid w:val="0086045E"/>
    <w:rsid w:val="00882F1A"/>
    <w:rsid w:val="00930924"/>
    <w:rsid w:val="009420B3"/>
    <w:rsid w:val="009853F8"/>
    <w:rsid w:val="009D39AA"/>
    <w:rsid w:val="00B038AD"/>
    <w:rsid w:val="00BA1C27"/>
    <w:rsid w:val="00BC28E7"/>
    <w:rsid w:val="00DE2A32"/>
    <w:rsid w:val="00E33FE9"/>
    <w:rsid w:val="00F17259"/>
    <w:rsid w:val="00F820B6"/>
    <w:rsid w:val="00FE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AF9"/>
  <w15:chartTrackingRefBased/>
  <w15:docId w15:val="{F68D2B6D-2360-4F5B-8D87-537D841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01D5"/>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9"/>
    <w:qFormat/>
    <w:rsid w:val="008001D5"/>
    <w:pPr>
      <w:keepNext/>
      <w:keepLines/>
      <w:spacing w:before="480"/>
      <w:outlineLvl w:val="0"/>
    </w:pPr>
    <w:rPr>
      <w:rFonts w:ascii="Cambria" w:eastAsia="Times New Roman" w:hAnsi="Cambria" w:cs="Cambria"/>
      <w:b/>
      <w:bCs/>
      <w:color w:val="365F91"/>
      <w:sz w:val="28"/>
      <w:szCs w:val="28"/>
    </w:rPr>
  </w:style>
  <w:style w:type="paragraph" w:styleId="Antrat3">
    <w:name w:val="heading 3"/>
    <w:basedOn w:val="prastasis"/>
    <w:next w:val="prastasis"/>
    <w:link w:val="Antrat3Diagrama"/>
    <w:uiPriority w:val="99"/>
    <w:qFormat/>
    <w:rsid w:val="008001D5"/>
    <w:pPr>
      <w:keepNext/>
      <w:spacing w:before="240" w:after="60"/>
      <w:outlineLvl w:val="2"/>
    </w:pPr>
    <w:rPr>
      <w:rFonts w:ascii="Arial"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1D5"/>
    <w:rPr>
      <w:rFonts w:ascii="Cambria" w:eastAsia="Times New Roman" w:hAnsi="Cambria" w:cs="Cambria"/>
      <w:b/>
      <w:bCs/>
      <w:color w:val="365F91"/>
      <w:sz w:val="28"/>
      <w:szCs w:val="28"/>
      <w:lang w:val="lt-LT"/>
    </w:rPr>
  </w:style>
  <w:style w:type="character" w:customStyle="1" w:styleId="Antrat3Diagrama">
    <w:name w:val="Antraštė 3 Diagrama"/>
    <w:basedOn w:val="Numatytasispastraiposriftas"/>
    <w:link w:val="Antrat3"/>
    <w:uiPriority w:val="99"/>
    <w:rsid w:val="008001D5"/>
    <w:rPr>
      <w:rFonts w:ascii="Arial" w:eastAsia="Calibri" w:hAnsi="Arial" w:cs="Arial"/>
      <w:b/>
      <w:bCs/>
      <w:sz w:val="26"/>
      <w:szCs w:val="26"/>
      <w:lang w:val="lt-LT" w:eastAsia="lt-LT"/>
    </w:rPr>
  </w:style>
  <w:style w:type="character" w:styleId="Hipersaitas">
    <w:name w:val="Hyperlink"/>
    <w:uiPriority w:val="99"/>
    <w:rsid w:val="008001D5"/>
    <w:rPr>
      <w:color w:val="0000FF"/>
      <w:u w:val="single"/>
    </w:rPr>
  </w:style>
  <w:style w:type="paragraph" w:customStyle="1" w:styleId="PI-1labEMEASMCA">
    <w:name w:val="PI-1_lab EMEA_SMCA"/>
    <w:basedOn w:val="prastasis"/>
    <w:link w:val="PI-1labEMEASMCAChar"/>
    <w:autoRedefine/>
    <w:uiPriority w:val="99"/>
    <w:rsid w:val="008001D5"/>
    <w:pPr>
      <w:pBdr>
        <w:top w:val="single" w:sz="4" w:space="1" w:color="auto"/>
        <w:left w:val="single" w:sz="4" w:space="4" w:color="auto"/>
        <w:bottom w:val="single" w:sz="4" w:space="1" w:color="auto"/>
        <w:right w:val="single" w:sz="4" w:space="4" w:color="auto"/>
      </w:pBdr>
      <w:tabs>
        <w:tab w:val="left" w:pos="540"/>
      </w:tabs>
    </w:pPr>
    <w:rPr>
      <w:b/>
      <w:bCs/>
      <w:noProof/>
      <w:sz w:val="20"/>
      <w:szCs w:val="20"/>
      <w:lang w:eastAsia="lt-LT"/>
    </w:rPr>
  </w:style>
  <w:style w:type="character" w:customStyle="1" w:styleId="PI-1labEMEASMCAChar">
    <w:name w:val="PI-1_lab EMEA_SMCA Char"/>
    <w:link w:val="PI-1labEMEASMCA"/>
    <w:uiPriority w:val="99"/>
    <w:locked/>
    <w:rsid w:val="008001D5"/>
    <w:rPr>
      <w:rFonts w:ascii="Times New Roman" w:eastAsia="Calibri" w:hAnsi="Times New Roman" w:cs="Times New Roman"/>
      <w:b/>
      <w:bCs/>
      <w:noProof/>
      <w:sz w:val="20"/>
      <w:szCs w:val="20"/>
      <w:lang w:val="lt-LT" w:eastAsia="lt-LT"/>
    </w:rPr>
  </w:style>
  <w:style w:type="paragraph" w:customStyle="1" w:styleId="PI-2EMEASMCA">
    <w:name w:val="PI-2 EMEA_SMCA"/>
    <w:basedOn w:val="Antrat3"/>
    <w:autoRedefine/>
    <w:uiPriority w:val="99"/>
    <w:rsid w:val="00E33FE9"/>
    <w:pPr>
      <w:keepLines/>
      <w:spacing w:before="0" w:after="0"/>
      <w:ind w:left="540" w:hanging="540"/>
    </w:pPr>
    <w:rPr>
      <w:rFonts w:ascii="Times New Roman" w:hAnsi="Times New Roman" w:cs="Times New Roman"/>
      <w:kern w:val="28"/>
      <w:sz w:val="22"/>
      <w:szCs w:val="22"/>
    </w:rPr>
  </w:style>
  <w:style w:type="paragraph" w:customStyle="1" w:styleId="BTEMEASMCADiagrama">
    <w:name w:val="BT EMEA_SMCA Diagrama"/>
    <w:basedOn w:val="prastasis"/>
    <w:link w:val="BTEMEASMCADiagramaDiagrama"/>
    <w:autoRedefine/>
    <w:uiPriority w:val="99"/>
    <w:rsid w:val="00E33FE9"/>
    <w:rPr>
      <w:noProof/>
      <w:sz w:val="22"/>
      <w:szCs w:val="22"/>
      <w:lang w:eastAsia="lt-LT"/>
    </w:rPr>
  </w:style>
  <w:style w:type="character" w:customStyle="1" w:styleId="BTEMEASMCADiagramaDiagrama">
    <w:name w:val="BT EMEA_SMCA Diagrama Diagrama"/>
    <w:link w:val="BTEMEASMCADiagrama"/>
    <w:uiPriority w:val="99"/>
    <w:locked/>
    <w:rsid w:val="00E33FE9"/>
    <w:rPr>
      <w:rFonts w:ascii="Times New Roman" w:eastAsia="Calibri" w:hAnsi="Times New Roman" w:cs="Times New Roman"/>
      <w:noProof/>
      <w:lang w:val="lt-LT" w:eastAsia="lt-LT"/>
    </w:rPr>
  </w:style>
  <w:style w:type="paragraph" w:customStyle="1" w:styleId="TTEMEASMCA">
    <w:name w:val="TT EMEA_SMCA"/>
    <w:basedOn w:val="Antrat1"/>
    <w:link w:val="TTEMEASMCAChar"/>
    <w:autoRedefine/>
    <w:uiPriority w:val="99"/>
    <w:rsid w:val="009420B3"/>
    <w:pPr>
      <w:keepNext w:val="0"/>
      <w:keepLines w:val="0"/>
      <w:tabs>
        <w:tab w:val="left" w:pos="567"/>
      </w:tabs>
      <w:spacing w:before="0"/>
      <w:ind w:left="567" w:hanging="567"/>
      <w:jc w:val="center"/>
      <w:outlineLvl w:val="9"/>
    </w:pPr>
    <w:rPr>
      <w:rFonts w:ascii="Times New Roman" w:eastAsia="Calibri" w:hAnsi="Times New Roman" w:cs="Times New Roman"/>
      <w:caps/>
      <w:color w:val="auto"/>
      <w:sz w:val="20"/>
      <w:szCs w:val="20"/>
      <w:lang w:eastAsia="lt-LT"/>
    </w:rPr>
  </w:style>
  <w:style w:type="character" w:customStyle="1" w:styleId="TTEMEASMCAChar">
    <w:name w:val="TT EMEA_SMCA Char"/>
    <w:link w:val="TTEMEASMCA"/>
    <w:uiPriority w:val="99"/>
    <w:locked/>
    <w:rsid w:val="009420B3"/>
    <w:rPr>
      <w:rFonts w:ascii="Times New Roman" w:eastAsia="Calibri" w:hAnsi="Times New Roman" w:cs="Times New Roman"/>
      <w:b/>
      <w:bCs/>
      <w:caps/>
      <w:sz w:val="20"/>
      <w:szCs w:val="20"/>
      <w:lang w:val="lt-LT" w:eastAsia="lt-LT"/>
    </w:rPr>
  </w:style>
  <w:style w:type="paragraph" w:customStyle="1" w:styleId="BTAnIIEMEASMCA">
    <w:name w:val="BT(AnII) EMEA_SMCA"/>
    <w:basedOn w:val="Debesliotekstas"/>
    <w:autoRedefine/>
    <w:uiPriority w:val="99"/>
    <w:rsid w:val="008001D5"/>
    <w:pPr>
      <w:tabs>
        <w:tab w:val="left" w:pos="1701"/>
      </w:tabs>
      <w:ind w:left="1701" w:hanging="567"/>
    </w:pPr>
    <w:rPr>
      <w:rFonts w:ascii="Times New Roman" w:hAnsi="Times New Roman" w:cs="Times New Roman"/>
      <w:b/>
      <w:bCs/>
      <w:sz w:val="22"/>
      <w:szCs w:val="22"/>
      <w:lang w:val="en-GB" w:eastAsia="lt-LT"/>
    </w:rPr>
  </w:style>
  <w:style w:type="paragraph" w:styleId="Debesliotekstas">
    <w:name w:val="Balloon Text"/>
    <w:basedOn w:val="prastasis"/>
    <w:link w:val="DebesliotekstasDiagrama"/>
    <w:uiPriority w:val="99"/>
    <w:semiHidden/>
    <w:rsid w:val="008001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01D5"/>
    <w:rPr>
      <w:rFonts w:ascii="Tahoma" w:eastAsia="Calibri" w:hAnsi="Tahoma" w:cs="Tahoma"/>
      <w:sz w:val="16"/>
      <w:szCs w:val="16"/>
      <w:lang w:val="lt-LT"/>
    </w:rPr>
  </w:style>
  <w:style w:type="paragraph" w:customStyle="1" w:styleId="PI-3EMEASMCA">
    <w:name w:val="PI-3 EMEA_SMCA"/>
    <w:basedOn w:val="prastasis"/>
    <w:autoRedefine/>
    <w:uiPriority w:val="99"/>
    <w:rsid w:val="0072052A"/>
    <w:rPr>
      <w:b/>
      <w:bCs/>
      <w:spacing w:val="-3"/>
      <w:sz w:val="22"/>
      <w:szCs w:val="22"/>
    </w:rPr>
  </w:style>
  <w:style w:type="paragraph" w:customStyle="1" w:styleId="BTbEMEASMCA">
    <w:name w:val="BT(b) EMEA_SMCA"/>
    <w:basedOn w:val="BTEMEASMCADiagrama"/>
    <w:autoRedefine/>
    <w:uiPriority w:val="99"/>
    <w:rsid w:val="008001D5"/>
    <w:rPr>
      <w:b/>
      <w:bCs/>
    </w:rPr>
  </w:style>
  <w:style w:type="paragraph" w:customStyle="1" w:styleId="BTbeEMEASMCA">
    <w:name w:val="BT(be) EMEA_SMCA"/>
    <w:basedOn w:val="BTEMEASMCADiagrama"/>
    <w:autoRedefine/>
    <w:uiPriority w:val="99"/>
    <w:rsid w:val="008001D5"/>
    <w:pPr>
      <w:jc w:val="center"/>
    </w:pPr>
    <w:rPr>
      <w:b/>
      <w:bCs/>
      <w:color w:val="000000"/>
    </w:rPr>
  </w:style>
  <w:style w:type="paragraph" w:customStyle="1" w:styleId="BTeEMEASMCA">
    <w:name w:val="BT(e) EMEA_SMCA"/>
    <w:basedOn w:val="BTEMEASMCADiagrama"/>
    <w:autoRedefine/>
    <w:uiPriority w:val="99"/>
    <w:rsid w:val="008001D5"/>
    <w:pPr>
      <w:jc w:val="center"/>
    </w:pPr>
  </w:style>
  <w:style w:type="paragraph" w:customStyle="1" w:styleId="BTuEMEASMCA">
    <w:name w:val="BT(u) EMEA_SMCA"/>
    <w:basedOn w:val="BTEMEASMCADiagrama"/>
    <w:autoRedefine/>
    <w:uiPriority w:val="99"/>
    <w:rsid w:val="008001D5"/>
    <w:rPr>
      <w:u w:val="single"/>
    </w:rPr>
  </w:style>
  <w:style w:type="paragraph" w:styleId="Pagrindinistekstas">
    <w:name w:val="Body Text"/>
    <w:basedOn w:val="prastasis"/>
    <w:link w:val="PagrindinistekstasDiagrama"/>
    <w:uiPriority w:val="99"/>
    <w:rsid w:val="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8"/>
      <w:lang w:eastAsia="lt-LT"/>
    </w:rPr>
  </w:style>
  <w:style w:type="character" w:customStyle="1" w:styleId="PagrindinistekstasDiagrama">
    <w:name w:val="Pagrindinis tekstas Diagrama"/>
    <w:basedOn w:val="Numatytasispastraiposriftas"/>
    <w:link w:val="Pagrindinistekstas"/>
    <w:uiPriority w:val="99"/>
    <w:rsid w:val="008001D5"/>
    <w:rPr>
      <w:rFonts w:ascii="Times New Roman" w:eastAsia="Calibri" w:hAnsi="Times New Roman" w:cs="Times New Roman"/>
      <w:spacing w:val="-3"/>
      <w:sz w:val="28"/>
      <w:szCs w:val="28"/>
      <w:lang w:val="lt-LT" w:eastAsia="lt-LT"/>
    </w:rPr>
  </w:style>
  <w:style w:type="paragraph" w:styleId="Komentarotekstas">
    <w:name w:val="annotation text"/>
    <w:basedOn w:val="prastasis"/>
    <w:link w:val="KomentarotekstasDiagrama"/>
    <w:uiPriority w:val="99"/>
    <w:semiHidden/>
    <w:rsid w:val="008001D5"/>
    <w:rPr>
      <w:sz w:val="20"/>
      <w:szCs w:val="20"/>
      <w:lang w:eastAsia="lt-LT"/>
    </w:rPr>
  </w:style>
  <w:style w:type="character" w:customStyle="1" w:styleId="CommentTextChar">
    <w:name w:val="Comment Text Char"/>
    <w:basedOn w:val="Numatytasispastraiposriftas"/>
    <w:uiPriority w:val="99"/>
    <w:semiHidden/>
    <w:rsid w:val="008001D5"/>
    <w:rPr>
      <w:rFonts w:ascii="Times New Roman" w:eastAsia="Calibri" w:hAnsi="Times New Roman" w:cs="Times New Roman"/>
      <w:sz w:val="20"/>
      <w:szCs w:val="20"/>
      <w:lang w:val="lt-LT"/>
    </w:rPr>
  </w:style>
  <w:style w:type="character" w:customStyle="1" w:styleId="KomentarotekstasDiagrama">
    <w:name w:val="Komentaro tekstas Diagrama"/>
    <w:link w:val="Komentarotekstas"/>
    <w:uiPriority w:val="99"/>
    <w:semiHidden/>
    <w:locked/>
    <w:rsid w:val="008001D5"/>
    <w:rPr>
      <w:rFonts w:ascii="Times New Roman" w:eastAsia="Calibri" w:hAnsi="Times New Roman" w:cs="Times New Roman"/>
      <w:sz w:val="20"/>
      <w:szCs w:val="20"/>
      <w:lang w:val="lt-LT" w:eastAsia="lt-LT"/>
    </w:rPr>
  </w:style>
  <w:style w:type="paragraph" w:customStyle="1" w:styleId="BTEMEASMCA">
    <w:name w:val="BT EMEA_SMCA"/>
    <w:basedOn w:val="prastasis"/>
    <w:link w:val="BTEMEASMCAChar"/>
    <w:autoRedefine/>
    <w:uiPriority w:val="99"/>
    <w:rsid w:val="008001D5"/>
    <w:rPr>
      <w:noProof/>
      <w:sz w:val="20"/>
      <w:szCs w:val="20"/>
      <w:u w:val="single"/>
      <w:lang w:val="it-IT" w:eastAsia="lt-LT"/>
    </w:rPr>
  </w:style>
  <w:style w:type="character" w:customStyle="1" w:styleId="BTEMEASMCAChar">
    <w:name w:val="BT EMEA_SMCA Char"/>
    <w:link w:val="BTEMEASMCA"/>
    <w:uiPriority w:val="99"/>
    <w:locked/>
    <w:rsid w:val="008001D5"/>
    <w:rPr>
      <w:rFonts w:ascii="Times New Roman" w:eastAsia="Calibri" w:hAnsi="Times New Roman" w:cs="Times New Roman"/>
      <w:noProof/>
      <w:sz w:val="20"/>
      <w:szCs w:val="20"/>
      <w:u w:val="single"/>
      <w:lang w:val="it-IT" w:eastAsia="lt-LT"/>
    </w:rPr>
  </w:style>
  <w:style w:type="paragraph" w:styleId="Porat">
    <w:name w:val="footer"/>
    <w:basedOn w:val="prastasis"/>
    <w:link w:val="PoratDiagrama"/>
    <w:uiPriority w:val="99"/>
    <w:rsid w:val="008001D5"/>
    <w:pPr>
      <w:tabs>
        <w:tab w:val="center" w:pos="4819"/>
        <w:tab w:val="right" w:pos="9638"/>
      </w:tabs>
    </w:pPr>
    <w:rPr>
      <w:lang w:eastAsia="lt-LT"/>
    </w:rPr>
  </w:style>
  <w:style w:type="character" w:customStyle="1" w:styleId="PoratDiagrama">
    <w:name w:val="Poraštė Diagrama"/>
    <w:basedOn w:val="Numatytasispastraiposriftas"/>
    <w:link w:val="Porat"/>
    <w:uiPriority w:val="99"/>
    <w:rsid w:val="008001D5"/>
    <w:rPr>
      <w:rFonts w:ascii="Times New Roman" w:eastAsia="Calibri" w:hAnsi="Times New Roman" w:cs="Times New Roman"/>
      <w:sz w:val="24"/>
      <w:szCs w:val="24"/>
      <w:lang w:val="lt-LT" w:eastAsia="lt-LT"/>
    </w:rPr>
  </w:style>
  <w:style w:type="character" w:styleId="Puslapionumeris">
    <w:name w:val="page number"/>
    <w:basedOn w:val="Numatytasispastraiposriftas"/>
    <w:uiPriority w:val="99"/>
    <w:rsid w:val="008001D5"/>
  </w:style>
  <w:style w:type="paragraph" w:customStyle="1" w:styleId="Paragraph">
    <w:name w:val="Paragraph"/>
    <w:link w:val="ParagraphChar"/>
    <w:uiPriority w:val="99"/>
    <w:rsid w:val="008001D5"/>
    <w:pPr>
      <w:spacing w:after="240" w:line="240" w:lineRule="auto"/>
    </w:pPr>
    <w:rPr>
      <w:rFonts w:ascii="Times New Roman" w:eastAsia="Calibri" w:hAnsi="Times New Roman" w:cs="Times New Roman"/>
      <w:sz w:val="24"/>
      <w:szCs w:val="24"/>
      <w:lang w:val="lt-LT" w:eastAsia="lt-LT"/>
    </w:rPr>
  </w:style>
  <w:style w:type="character" w:customStyle="1" w:styleId="ParagraphChar">
    <w:name w:val="Paragraph Char"/>
    <w:link w:val="Paragraph"/>
    <w:uiPriority w:val="99"/>
    <w:locked/>
    <w:rsid w:val="008001D5"/>
    <w:rPr>
      <w:rFonts w:ascii="Times New Roman" w:eastAsia="Calibri" w:hAnsi="Times New Roman" w:cs="Times New Roman"/>
      <w:sz w:val="24"/>
      <w:szCs w:val="24"/>
      <w:lang w:val="lt-LT" w:eastAsia="lt-LT"/>
    </w:rPr>
  </w:style>
  <w:style w:type="paragraph" w:customStyle="1" w:styleId="tabg0">
    <w:name w:val="tab:g:0"/>
    <w:uiPriority w:val="99"/>
    <w:rsid w:val="008001D5"/>
    <w:pPr>
      <w:spacing w:before="50" w:after="50" w:line="300" w:lineRule="atLeast"/>
      <w:jc w:val="both"/>
    </w:pPr>
    <w:rPr>
      <w:rFonts w:ascii="Times" w:eastAsia="Calibri" w:hAnsi="Times" w:cs="Times"/>
      <w:sz w:val="20"/>
      <w:szCs w:val="20"/>
      <w:lang w:val="en-GB"/>
    </w:rPr>
  </w:style>
  <w:style w:type="paragraph" w:customStyle="1" w:styleId="minusone">
    <w:name w:val="minusone"/>
    <w:basedOn w:val="prastasis"/>
    <w:uiPriority w:val="99"/>
    <w:rsid w:val="008001D5"/>
    <w:pPr>
      <w:spacing w:before="100" w:beforeAutospacing="1" w:after="100" w:afterAutospacing="1"/>
    </w:pPr>
    <w:rPr>
      <w:rFonts w:ascii="Arial" w:hAnsi="Arial" w:cs="Arial"/>
      <w:color w:val="000000"/>
      <w:sz w:val="20"/>
      <w:szCs w:val="20"/>
      <w:lang w:val="en-GB" w:eastAsia="pl-PL"/>
    </w:rPr>
  </w:style>
  <w:style w:type="paragraph" w:customStyle="1" w:styleId="texte20">
    <w:name w:val="texte:20"/>
    <w:link w:val="texte20Car"/>
    <w:uiPriority w:val="99"/>
    <w:rsid w:val="008001D5"/>
    <w:pPr>
      <w:spacing w:after="85" w:line="360" w:lineRule="atLeast"/>
      <w:ind w:left="1134"/>
      <w:jc w:val="both"/>
    </w:pPr>
    <w:rPr>
      <w:rFonts w:ascii="Times" w:eastAsia="Calibri" w:hAnsi="Times" w:cs="Times"/>
      <w:sz w:val="24"/>
      <w:szCs w:val="24"/>
      <w:lang w:val="en-GB" w:eastAsia="lt-LT"/>
    </w:rPr>
  </w:style>
  <w:style w:type="character" w:customStyle="1" w:styleId="texte20Car">
    <w:name w:val="texte:20 Car"/>
    <w:link w:val="texte20"/>
    <w:uiPriority w:val="99"/>
    <w:locked/>
    <w:rsid w:val="008001D5"/>
    <w:rPr>
      <w:rFonts w:ascii="Times" w:eastAsia="Calibri" w:hAnsi="Times" w:cs="Times"/>
      <w:sz w:val="24"/>
      <w:szCs w:val="24"/>
      <w:lang w:val="en-GB" w:eastAsia="lt-LT"/>
    </w:rPr>
  </w:style>
  <w:style w:type="character" w:customStyle="1" w:styleId="st">
    <w:name w:val="st"/>
    <w:basedOn w:val="Numatytasispastraiposriftas"/>
    <w:uiPriority w:val="99"/>
    <w:rsid w:val="008001D5"/>
  </w:style>
  <w:style w:type="character" w:styleId="Emfaz">
    <w:name w:val="Emphasis"/>
    <w:uiPriority w:val="99"/>
    <w:qFormat/>
    <w:rsid w:val="008001D5"/>
    <w:rPr>
      <w:i/>
      <w:iCs/>
    </w:rPr>
  </w:style>
  <w:style w:type="paragraph" w:customStyle="1" w:styleId="Sraopastraipa1">
    <w:name w:val="Sąrašo pastraipa1"/>
    <w:basedOn w:val="prastasis"/>
    <w:uiPriority w:val="99"/>
    <w:rsid w:val="008001D5"/>
    <w:pPr>
      <w:ind w:left="720"/>
    </w:pPr>
  </w:style>
  <w:style w:type="paragraph" w:styleId="Antrats">
    <w:name w:val="header"/>
    <w:basedOn w:val="prastasis"/>
    <w:link w:val="AntratsDiagrama"/>
    <w:uiPriority w:val="99"/>
    <w:rsid w:val="008001D5"/>
    <w:pPr>
      <w:tabs>
        <w:tab w:val="center" w:pos="4819"/>
        <w:tab w:val="right" w:pos="9638"/>
      </w:tabs>
    </w:pPr>
  </w:style>
  <w:style w:type="character" w:customStyle="1" w:styleId="AntratsDiagrama">
    <w:name w:val="Antraštės Diagrama"/>
    <w:basedOn w:val="Numatytasispastraiposriftas"/>
    <w:link w:val="Antrats"/>
    <w:uiPriority w:val="99"/>
    <w:rsid w:val="008001D5"/>
    <w:rPr>
      <w:rFonts w:ascii="Times New Roman" w:eastAsia="Calibri" w:hAnsi="Times New Roman" w:cs="Times New Roman"/>
      <w:sz w:val="24"/>
      <w:szCs w:val="24"/>
      <w:lang w:val="lt-LT"/>
    </w:rPr>
  </w:style>
  <w:style w:type="character" w:styleId="Komentaronuoroda">
    <w:name w:val="annotation reference"/>
    <w:uiPriority w:val="99"/>
    <w:semiHidden/>
    <w:rsid w:val="008001D5"/>
    <w:rPr>
      <w:sz w:val="16"/>
      <w:szCs w:val="16"/>
    </w:rPr>
  </w:style>
  <w:style w:type="paragraph" w:styleId="Komentarotema">
    <w:name w:val="annotation subject"/>
    <w:basedOn w:val="Komentarotekstas"/>
    <w:next w:val="Komentarotekstas"/>
    <w:link w:val="KomentarotemaDiagrama"/>
    <w:uiPriority w:val="99"/>
    <w:semiHidden/>
    <w:rsid w:val="008001D5"/>
    <w:rPr>
      <w:b/>
      <w:bCs/>
      <w:lang w:eastAsia="en-US"/>
    </w:rPr>
  </w:style>
  <w:style w:type="character" w:customStyle="1" w:styleId="KomentarotemaDiagrama">
    <w:name w:val="Komentaro tema Diagrama"/>
    <w:basedOn w:val="CommentTextChar"/>
    <w:link w:val="Komentarotema"/>
    <w:uiPriority w:val="99"/>
    <w:semiHidden/>
    <w:rsid w:val="008001D5"/>
    <w:rPr>
      <w:rFonts w:ascii="Times New Roman" w:eastAsia="Calibri" w:hAnsi="Times New Roman" w:cs="Times New Roman"/>
      <w:b/>
      <w:bCs/>
      <w:sz w:val="20"/>
      <w:szCs w:val="20"/>
      <w:lang w:val="lt-LT"/>
    </w:rPr>
  </w:style>
  <w:style w:type="paragraph" w:styleId="Pataisymai">
    <w:name w:val="Revision"/>
    <w:hidden/>
    <w:uiPriority w:val="99"/>
    <w:semiHidden/>
    <w:rsid w:val="008001D5"/>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A80C1-75E0-462A-91ED-4EA59F19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25903</Words>
  <Characters>14765</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Viatris LT affiliate</dc:creator>
  <cp:keywords/>
  <dc:description/>
  <cp:lastModifiedBy>Albina Burkauskaitė</cp:lastModifiedBy>
  <cp:revision>2</cp:revision>
  <dcterms:created xsi:type="dcterms:W3CDTF">2023-10-17T13:25:00Z</dcterms:created>
  <dcterms:modified xsi:type="dcterms:W3CDTF">2023-10-17T13:25:00Z</dcterms:modified>
</cp:coreProperties>
</file>