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215" w:rsidRDefault="000A0215" w:rsidP="000A0215">
      <w:pPr>
        <w:jc w:val="center"/>
        <w:rPr>
          <w:b/>
          <w:szCs w:val="22"/>
        </w:rPr>
      </w:pPr>
      <w:bookmarkStart w:id="0" w:name="_Toc129243263"/>
      <w:bookmarkStart w:id="1" w:name="_Toc129243138"/>
      <w:r>
        <w:rPr>
          <w:b/>
          <w:szCs w:val="22"/>
        </w:rPr>
        <w:t>Pakuotės lapelis: informacija vartotojui</w:t>
      </w:r>
      <w:bookmarkEnd w:id="0"/>
      <w:bookmarkEnd w:id="1"/>
    </w:p>
    <w:p w:rsidR="000A0215" w:rsidRDefault="000A0215" w:rsidP="000A0215">
      <w:pPr>
        <w:jc w:val="center"/>
        <w:rPr>
          <w:b/>
          <w:szCs w:val="22"/>
        </w:rPr>
      </w:pPr>
    </w:p>
    <w:p w:rsidR="000A0215" w:rsidRDefault="000A0215" w:rsidP="000A0215">
      <w:pPr>
        <w:jc w:val="center"/>
        <w:rPr>
          <w:b/>
          <w:szCs w:val="22"/>
        </w:rPr>
      </w:pPr>
      <w:proofErr w:type="spellStart"/>
      <w:r>
        <w:rPr>
          <w:b/>
          <w:szCs w:val="22"/>
        </w:rPr>
        <w:t>Actilyse</w:t>
      </w:r>
      <w:proofErr w:type="spellEnd"/>
      <w:r>
        <w:rPr>
          <w:b/>
          <w:szCs w:val="22"/>
        </w:rPr>
        <w:t xml:space="preserve"> 50 mg milteliai ir tirpiklis injekciniam ar infuziniam tirpalui</w:t>
      </w:r>
    </w:p>
    <w:p w:rsidR="000A0215" w:rsidRDefault="000A0215" w:rsidP="000A0215">
      <w:pPr>
        <w:jc w:val="center"/>
        <w:rPr>
          <w:szCs w:val="22"/>
        </w:rPr>
      </w:pPr>
      <w:proofErr w:type="spellStart"/>
      <w:r>
        <w:rPr>
          <w:bCs/>
          <w:szCs w:val="22"/>
        </w:rPr>
        <w:t>alteplazė</w:t>
      </w:r>
      <w:proofErr w:type="spellEnd"/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szCs w:val="22"/>
        </w:rPr>
      </w:pPr>
      <w:r>
        <w:rPr>
          <w:b/>
          <w:szCs w:val="22"/>
        </w:rPr>
        <w:t>Atidžiai perskaitykite visą šį lapelį, prieš pradėdami vartoti vaistą, nes jame pateikiama Jums svarbi informacija.</w:t>
      </w:r>
    </w:p>
    <w:p w:rsidR="000A0215" w:rsidRDefault="000A0215" w:rsidP="000A0215">
      <w:pPr>
        <w:tabs>
          <w:tab w:val="left" w:pos="567"/>
        </w:tabs>
        <w:ind w:left="567" w:hanging="567"/>
        <w:rPr>
          <w:szCs w:val="22"/>
        </w:rPr>
      </w:pPr>
      <w:r>
        <w:rPr>
          <w:szCs w:val="22"/>
        </w:rPr>
        <w:t>-</w:t>
      </w:r>
      <w:r>
        <w:rPr>
          <w:szCs w:val="22"/>
        </w:rPr>
        <w:tab/>
        <w:t>Neišmeskite šio lapelio, nes vėl gali prireikti jį perskaityti.</w:t>
      </w:r>
    </w:p>
    <w:p w:rsidR="000A0215" w:rsidRDefault="000A0215" w:rsidP="000A0215">
      <w:pPr>
        <w:tabs>
          <w:tab w:val="left" w:pos="567"/>
        </w:tabs>
        <w:ind w:left="567" w:hanging="567"/>
        <w:rPr>
          <w:szCs w:val="22"/>
        </w:rPr>
      </w:pPr>
      <w:r>
        <w:rPr>
          <w:szCs w:val="22"/>
        </w:rPr>
        <w:t>-</w:t>
      </w:r>
      <w:r>
        <w:rPr>
          <w:szCs w:val="22"/>
        </w:rPr>
        <w:tab/>
        <w:t>Jeigu kiltų daugiau klausimų, kreipkitės į gydytoją arba slaugytoją.</w:t>
      </w:r>
    </w:p>
    <w:p w:rsidR="000A0215" w:rsidRDefault="000A0215" w:rsidP="000A0215">
      <w:pPr>
        <w:tabs>
          <w:tab w:val="left" w:pos="567"/>
        </w:tabs>
        <w:ind w:left="567" w:hanging="567"/>
        <w:rPr>
          <w:szCs w:val="22"/>
        </w:rPr>
      </w:pPr>
      <w:r>
        <w:rPr>
          <w:szCs w:val="22"/>
        </w:rPr>
        <w:t>-</w:t>
      </w:r>
      <w:r>
        <w:rPr>
          <w:szCs w:val="22"/>
        </w:rPr>
        <w:tab/>
        <w:t>Jeigu pasireiškė šalutinis poveikis (net jeigu jis šiame lapelyje nenurodytas), kreipkitės į gydytoją arba slaugytoją. Žr. 4 skyrių.</w:t>
      </w:r>
    </w:p>
    <w:p w:rsidR="000A0215" w:rsidRDefault="000A0215" w:rsidP="000A0215">
      <w:pPr>
        <w:rPr>
          <w:b/>
          <w:szCs w:val="22"/>
        </w:rPr>
      </w:pP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szCs w:val="22"/>
        </w:rPr>
      </w:pPr>
      <w:r>
        <w:rPr>
          <w:b/>
          <w:szCs w:val="22"/>
        </w:rPr>
        <w:t>Apie ką rašoma šiame lapelyje?</w:t>
      </w:r>
    </w:p>
    <w:p w:rsidR="000A0215" w:rsidRDefault="000A0215" w:rsidP="000A0215">
      <w:pPr>
        <w:rPr>
          <w:b/>
          <w:szCs w:val="22"/>
        </w:rPr>
      </w:pPr>
    </w:p>
    <w:p w:rsidR="000A0215" w:rsidRDefault="000A0215" w:rsidP="000A0215">
      <w:pPr>
        <w:ind w:left="567" w:hanging="567"/>
        <w:rPr>
          <w:szCs w:val="22"/>
        </w:rPr>
      </w:pPr>
      <w:r>
        <w:rPr>
          <w:szCs w:val="22"/>
        </w:rPr>
        <w:t>1.</w:t>
      </w:r>
      <w:r>
        <w:rPr>
          <w:szCs w:val="22"/>
        </w:rPr>
        <w:tab/>
        <w:t xml:space="preserve">Kas yra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ir kam jis vartojamas</w:t>
      </w:r>
    </w:p>
    <w:p w:rsidR="000A0215" w:rsidRDefault="000A0215" w:rsidP="000A0215">
      <w:pPr>
        <w:ind w:left="567" w:hanging="567"/>
        <w:rPr>
          <w:szCs w:val="22"/>
        </w:rPr>
      </w:pPr>
      <w:r>
        <w:rPr>
          <w:szCs w:val="22"/>
        </w:rPr>
        <w:t>2.</w:t>
      </w:r>
      <w:r>
        <w:rPr>
          <w:szCs w:val="22"/>
        </w:rPr>
        <w:tab/>
        <w:t xml:space="preserve">Kas žinotina prieš vartojant </w:t>
      </w:r>
      <w:proofErr w:type="spellStart"/>
      <w:r>
        <w:rPr>
          <w:szCs w:val="22"/>
        </w:rPr>
        <w:t>Actilyse</w:t>
      </w:r>
      <w:proofErr w:type="spellEnd"/>
    </w:p>
    <w:p w:rsidR="000A0215" w:rsidRDefault="000A0215" w:rsidP="000A0215">
      <w:pPr>
        <w:ind w:left="567" w:hanging="567"/>
        <w:rPr>
          <w:szCs w:val="22"/>
        </w:rPr>
      </w:pPr>
      <w:r>
        <w:rPr>
          <w:szCs w:val="22"/>
        </w:rPr>
        <w:t>3.</w:t>
      </w:r>
      <w:r>
        <w:rPr>
          <w:szCs w:val="22"/>
        </w:rPr>
        <w:tab/>
        <w:t xml:space="preserve">Kaip vartoti </w:t>
      </w:r>
      <w:proofErr w:type="spellStart"/>
      <w:r>
        <w:rPr>
          <w:szCs w:val="22"/>
        </w:rPr>
        <w:t>Actilyse</w:t>
      </w:r>
      <w:proofErr w:type="spellEnd"/>
    </w:p>
    <w:p w:rsidR="000A0215" w:rsidRDefault="000A0215" w:rsidP="000A0215">
      <w:pPr>
        <w:ind w:left="567" w:hanging="567"/>
        <w:rPr>
          <w:szCs w:val="22"/>
        </w:rPr>
      </w:pPr>
      <w:r>
        <w:rPr>
          <w:szCs w:val="22"/>
        </w:rPr>
        <w:t>4.</w:t>
      </w:r>
      <w:r>
        <w:rPr>
          <w:szCs w:val="22"/>
        </w:rPr>
        <w:tab/>
        <w:t>Galimas šalutinis poveikis</w:t>
      </w:r>
    </w:p>
    <w:p w:rsidR="000A0215" w:rsidRDefault="000A0215" w:rsidP="000A0215">
      <w:pPr>
        <w:ind w:left="567" w:hanging="567"/>
        <w:rPr>
          <w:szCs w:val="22"/>
        </w:rPr>
      </w:pPr>
      <w:r>
        <w:rPr>
          <w:szCs w:val="22"/>
        </w:rPr>
        <w:t>5.</w:t>
      </w:r>
      <w:r>
        <w:rPr>
          <w:szCs w:val="22"/>
        </w:rPr>
        <w:tab/>
        <w:t xml:space="preserve">Kaip laikyti </w:t>
      </w:r>
      <w:proofErr w:type="spellStart"/>
      <w:r>
        <w:rPr>
          <w:szCs w:val="22"/>
        </w:rPr>
        <w:t>Actilyse</w:t>
      </w:r>
      <w:proofErr w:type="spellEnd"/>
    </w:p>
    <w:p w:rsidR="000A0215" w:rsidRDefault="000A0215" w:rsidP="000A0215">
      <w:pPr>
        <w:ind w:left="567" w:hanging="567"/>
        <w:rPr>
          <w:szCs w:val="22"/>
        </w:rPr>
      </w:pPr>
      <w:r>
        <w:rPr>
          <w:szCs w:val="22"/>
        </w:rPr>
        <w:t>6.</w:t>
      </w:r>
      <w:r>
        <w:rPr>
          <w:szCs w:val="22"/>
        </w:rPr>
        <w:tab/>
        <w:t>Pakuotės turinys ir kita informacija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tabs>
          <w:tab w:val="left" w:pos="567"/>
        </w:tabs>
        <w:rPr>
          <w:b/>
          <w:caps/>
          <w:szCs w:val="22"/>
        </w:rPr>
      </w:pPr>
      <w:bookmarkStart w:id="2" w:name="OLE_LINK8"/>
      <w:r>
        <w:rPr>
          <w:b/>
          <w:szCs w:val="22"/>
        </w:rPr>
        <w:t>1.</w:t>
      </w:r>
      <w:r>
        <w:rPr>
          <w:b/>
          <w:szCs w:val="22"/>
        </w:rPr>
        <w:tab/>
        <w:t xml:space="preserve">Kas yra </w:t>
      </w:r>
      <w:proofErr w:type="spellStart"/>
      <w:r>
        <w:rPr>
          <w:b/>
          <w:szCs w:val="22"/>
        </w:rPr>
        <w:t>Actilyse</w:t>
      </w:r>
      <w:proofErr w:type="spellEnd"/>
      <w:r>
        <w:rPr>
          <w:b/>
          <w:szCs w:val="22"/>
        </w:rPr>
        <w:t xml:space="preserve"> ir kam jis vartojamas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Veiklioji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medžiaga yra </w:t>
      </w:r>
      <w:proofErr w:type="spellStart"/>
      <w:r>
        <w:rPr>
          <w:szCs w:val="22"/>
        </w:rPr>
        <w:t>alteplazė</w:t>
      </w:r>
      <w:proofErr w:type="spellEnd"/>
      <w:r>
        <w:rPr>
          <w:szCs w:val="22"/>
        </w:rPr>
        <w:t xml:space="preserve">. Ji priklauso vaistų, kurie vadinami </w:t>
      </w:r>
      <w:proofErr w:type="spellStart"/>
      <w:r>
        <w:rPr>
          <w:szCs w:val="22"/>
        </w:rPr>
        <w:t>tromboliziniais</w:t>
      </w:r>
      <w:proofErr w:type="spellEnd"/>
      <w:r>
        <w:rPr>
          <w:szCs w:val="22"/>
        </w:rPr>
        <w:t>, grupei. Tokie vaistai tirpdo kraujo krešulius, kurie susiformuoja kraujagyslėse.</w:t>
      </w:r>
    </w:p>
    <w:bookmarkEnd w:id="2"/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szCs w:val="22"/>
        </w:rPr>
      </w:pP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gydomos kelios būklės, kurias sukelia kraujagyslėse susiformavę kraujo krešuliai, įskaitant:</w:t>
      </w:r>
    </w:p>
    <w:p w:rsidR="000A0215" w:rsidRDefault="000A0215" w:rsidP="000A0215">
      <w:pPr>
        <w:pStyle w:val="ColorfulList-Accent11"/>
        <w:numPr>
          <w:ilvl w:val="0"/>
          <w:numId w:val="13"/>
        </w:numPr>
        <w:ind w:left="567" w:hanging="567"/>
        <w:rPr>
          <w:szCs w:val="22"/>
        </w:rPr>
      </w:pPr>
      <w:r>
        <w:rPr>
          <w:szCs w:val="22"/>
        </w:rPr>
        <w:t>širdies priepuolį, sukeltą širdies arterijose atsiradusių kraujo krešulių (ūminį miokardo infarktą);</w:t>
      </w:r>
    </w:p>
    <w:p w:rsidR="000A0215" w:rsidRDefault="000A0215" w:rsidP="000A0215">
      <w:pPr>
        <w:pStyle w:val="ColorfulList-Accent11"/>
        <w:numPr>
          <w:ilvl w:val="0"/>
          <w:numId w:val="13"/>
        </w:numPr>
        <w:ind w:left="567" w:hanging="567"/>
        <w:rPr>
          <w:szCs w:val="22"/>
        </w:rPr>
      </w:pPr>
      <w:r>
        <w:rPr>
          <w:szCs w:val="22"/>
        </w:rPr>
        <w:t>kraujo krešulius plaučių arterijose (ūminę masyvią plaučių emboliją);</w:t>
      </w:r>
    </w:p>
    <w:p w:rsidR="000A0215" w:rsidRDefault="000A0215" w:rsidP="000A0215">
      <w:pPr>
        <w:pStyle w:val="ColorfulList-Accent11"/>
        <w:numPr>
          <w:ilvl w:val="0"/>
          <w:numId w:val="13"/>
        </w:numPr>
        <w:ind w:left="567" w:hanging="567"/>
        <w:rPr>
          <w:szCs w:val="22"/>
        </w:rPr>
      </w:pPr>
      <w:r>
        <w:rPr>
          <w:szCs w:val="22"/>
        </w:rPr>
        <w:t>insultą, sukeltą smegenų arterijose atsiradusių kraujo krešulių (ūminį išeminį insultą).</w:t>
      </w:r>
    </w:p>
    <w:p w:rsidR="000A0215" w:rsidRDefault="000A0215" w:rsidP="000A0215">
      <w:pPr>
        <w:rPr>
          <w:b/>
          <w:szCs w:val="22"/>
        </w:rPr>
      </w:pPr>
    </w:p>
    <w:p w:rsidR="000A0215" w:rsidRDefault="000A0215" w:rsidP="000A0215">
      <w:pPr>
        <w:rPr>
          <w:b/>
          <w:szCs w:val="22"/>
        </w:rPr>
      </w:pPr>
    </w:p>
    <w:p w:rsidR="000A0215" w:rsidRDefault="000A0215" w:rsidP="000A0215">
      <w:pPr>
        <w:tabs>
          <w:tab w:val="left" w:pos="567"/>
        </w:tabs>
        <w:rPr>
          <w:b/>
          <w:caps/>
          <w:szCs w:val="22"/>
        </w:rPr>
      </w:pPr>
      <w:r>
        <w:rPr>
          <w:b/>
          <w:szCs w:val="22"/>
        </w:rPr>
        <w:t>2.</w:t>
      </w:r>
      <w:r>
        <w:rPr>
          <w:b/>
          <w:szCs w:val="22"/>
        </w:rPr>
        <w:tab/>
        <w:t xml:space="preserve">Kas žinotina prieš vartojant </w:t>
      </w:r>
      <w:proofErr w:type="spellStart"/>
      <w:r>
        <w:rPr>
          <w:b/>
          <w:szCs w:val="22"/>
        </w:rPr>
        <w:t>Actilyse</w:t>
      </w:r>
      <w:proofErr w:type="spellEnd"/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caps/>
          <w:szCs w:val="22"/>
        </w:rPr>
      </w:pPr>
      <w:proofErr w:type="spellStart"/>
      <w:r>
        <w:rPr>
          <w:b/>
          <w:bCs/>
          <w:szCs w:val="22"/>
        </w:rPr>
        <w:t>Actilyse</w:t>
      </w:r>
      <w:proofErr w:type="spellEnd"/>
      <w:r>
        <w:rPr>
          <w:b/>
          <w:bCs/>
          <w:szCs w:val="22"/>
        </w:rPr>
        <w:t xml:space="preserve"> vartoti draudžiama: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567"/>
        </w:tabs>
        <w:ind w:left="567" w:hanging="567"/>
        <w:rPr>
          <w:szCs w:val="22"/>
        </w:rPr>
      </w:pPr>
      <w:r>
        <w:rPr>
          <w:szCs w:val="22"/>
        </w:rPr>
        <w:t xml:space="preserve">jeigu yra alergija </w:t>
      </w:r>
      <w:proofErr w:type="spellStart"/>
      <w:r>
        <w:rPr>
          <w:szCs w:val="22"/>
        </w:rPr>
        <w:t>alteplazei</w:t>
      </w:r>
      <w:proofErr w:type="spellEnd"/>
      <w:r>
        <w:rPr>
          <w:szCs w:val="22"/>
        </w:rPr>
        <w:t xml:space="preserve"> arba bet kuriai pagalbinei šio vaisto medžiagai </w:t>
      </w:r>
      <w:r>
        <w:rPr>
          <w:noProof/>
          <w:szCs w:val="22"/>
        </w:rPr>
        <w:t>(jos išvardytos 6 skyriuje)</w:t>
      </w:r>
      <w:r>
        <w:rPr>
          <w:szCs w:val="22"/>
        </w:rPr>
        <w:t>;</w:t>
      </w:r>
    </w:p>
    <w:p w:rsidR="000A0215" w:rsidRDefault="000A0215" w:rsidP="000A0215">
      <w:pPr>
        <w:numPr>
          <w:ilvl w:val="0"/>
          <w:numId w:val="15"/>
        </w:numPr>
        <w:ind w:left="567" w:hanging="567"/>
        <w:rPr>
          <w:szCs w:val="22"/>
        </w:rPr>
      </w:pPr>
      <w:r>
        <w:rPr>
          <w:szCs w:val="22"/>
        </w:rPr>
        <w:t>jeigu sergate arba neseniai sirgote kraujavimo riziką didinančia liga, įskaitant: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t>kraujavimo sutrikimą arba polinkį į kraujavimą,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t>stiprų arba pavojingą kraujavimą į bet kurią organizmo vietą,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t>kraujavimą į smegenis arba kaukolę,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t>nekontroliuojamą labai didelį kraujospūdį,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t>bakterinę širdies infekciją arba uždegimą (</w:t>
      </w:r>
      <w:proofErr w:type="spellStart"/>
      <w:r>
        <w:rPr>
          <w:szCs w:val="22"/>
        </w:rPr>
        <w:t>endokarditą</w:t>
      </w:r>
      <w:proofErr w:type="spellEnd"/>
      <w:r>
        <w:rPr>
          <w:szCs w:val="22"/>
        </w:rPr>
        <w:t>) ar širdį supančio dangalo (perikardo) uždegimą (</w:t>
      </w:r>
      <w:proofErr w:type="spellStart"/>
      <w:r>
        <w:rPr>
          <w:szCs w:val="22"/>
        </w:rPr>
        <w:t>perikarditą</w:t>
      </w:r>
      <w:proofErr w:type="spellEnd"/>
      <w:r>
        <w:rPr>
          <w:szCs w:val="22"/>
        </w:rPr>
        <w:t>),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t>kasos uždegimą (ūminį pankreatitą),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t>skrandžio opą arba žarnų opas,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t xml:space="preserve">mazginį stemplės venų išsiplėtimą (stemplės </w:t>
      </w:r>
      <w:proofErr w:type="spellStart"/>
      <w:r>
        <w:rPr>
          <w:szCs w:val="22"/>
        </w:rPr>
        <w:t>varikozę</w:t>
      </w:r>
      <w:proofErr w:type="spellEnd"/>
      <w:r>
        <w:rPr>
          <w:szCs w:val="22"/>
        </w:rPr>
        <w:t>),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t>kraujagyslių nenormalumą, pvz., lokalizuotą arterijos išsiplėtimą (aneurizmą),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lastRenderedPageBreak/>
        <w:t>tam tikrus navikus,</w:t>
      </w:r>
    </w:p>
    <w:p w:rsidR="000A0215" w:rsidRDefault="000A0215" w:rsidP="000A0215">
      <w:pPr>
        <w:numPr>
          <w:ilvl w:val="0"/>
          <w:numId w:val="16"/>
        </w:numPr>
        <w:rPr>
          <w:szCs w:val="22"/>
        </w:rPr>
      </w:pPr>
      <w:r>
        <w:rPr>
          <w:szCs w:val="22"/>
        </w:rPr>
        <w:t>sunkias kepenų ligas;</w:t>
      </w:r>
    </w:p>
    <w:p w:rsidR="000A0215" w:rsidRDefault="000A0215" w:rsidP="000A0215">
      <w:pPr>
        <w:numPr>
          <w:ilvl w:val="0"/>
          <w:numId w:val="15"/>
        </w:numPr>
        <w:tabs>
          <w:tab w:val="left" w:pos="567"/>
        </w:tabs>
        <w:ind w:left="567" w:hanging="567"/>
        <w:rPr>
          <w:szCs w:val="22"/>
        </w:rPr>
      </w:pPr>
      <w:r>
        <w:rPr>
          <w:szCs w:val="22"/>
        </w:rPr>
        <w:t>jeigu vartojate kraują skystinančių vaistų (geriamųjų antikoaguliantų), išskyrus atvejus, kai tinkamais tyrimais patvirtinama, jog kliniškai reikšmingo šių vaistų aktyvumo nėra;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kada nors Jums buvo atlikta galvos arba nugaros smegenų operacija;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paskutiniųjų 3 mėnesių laikotarpiu buvo atlikta didesnė operacija arba patyrėte reikšmingą traumą;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neseniai buvo punktuota stambesnė kraujagyslė;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paskutiniųjų 10 parų laikotarpiu Jums buvo atliktas išorinis širdies masažas;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paskutiniųjų 10 parų laikotarpiu gimdėte.</w:t>
      </w:r>
    </w:p>
    <w:p w:rsidR="000A0215" w:rsidRDefault="000A0215" w:rsidP="000A0215">
      <w:pPr>
        <w:ind w:left="567" w:hanging="567"/>
        <w:rPr>
          <w:b/>
          <w:szCs w:val="22"/>
        </w:rPr>
      </w:pPr>
    </w:p>
    <w:p w:rsidR="000A0215" w:rsidRDefault="000A0215" w:rsidP="000A0215">
      <w:pPr>
        <w:rPr>
          <w:szCs w:val="22"/>
          <w:u w:val="single"/>
        </w:rPr>
      </w:pPr>
      <w:r>
        <w:rPr>
          <w:szCs w:val="22"/>
          <w:u w:val="single"/>
        </w:rPr>
        <w:t xml:space="preserve">Be to, Jūsų gydytojas </w:t>
      </w:r>
      <w:proofErr w:type="spellStart"/>
      <w:r>
        <w:rPr>
          <w:szCs w:val="22"/>
          <w:u w:val="single"/>
        </w:rPr>
        <w:t>Actilyse</w:t>
      </w:r>
      <w:proofErr w:type="spellEnd"/>
      <w:r>
        <w:rPr>
          <w:szCs w:val="22"/>
          <w:u w:val="single"/>
        </w:rPr>
        <w:t xml:space="preserve"> negydys širdies priepuolio ar kraujo krešulių plaučių arterijose: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yra arba kada nors buvo ištikęs insultas, sukeltas kraujavimo į smegenis (hemoraginis insultas);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yra arba kada nors buvo insultas, kurio priežastis nežinoma;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neseniai (paskutiniųjų 6 mėn. laikotarpiu) buvo ištikęs insultas, sukeltas smegenų arterijoje esančio kraujo krešulio (išeminis insultas), išskyrus insultą, nuo kurio Jūs šiuo metu esate gydomas.</w:t>
      </w:r>
    </w:p>
    <w:p w:rsidR="000A0215" w:rsidRDefault="000A0215" w:rsidP="000A0215">
      <w:pPr>
        <w:ind w:left="567" w:hanging="567"/>
        <w:rPr>
          <w:szCs w:val="22"/>
        </w:rPr>
      </w:pPr>
    </w:p>
    <w:p w:rsidR="000A0215" w:rsidRDefault="000A0215" w:rsidP="000A0215">
      <w:pPr>
        <w:rPr>
          <w:szCs w:val="22"/>
          <w:u w:val="single"/>
        </w:rPr>
      </w:pPr>
      <w:r>
        <w:rPr>
          <w:szCs w:val="22"/>
          <w:u w:val="single"/>
        </w:rPr>
        <w:t xml:space="preserve">Be to, Jūsų gydytojas </w:t>
      </w:r>
      <w:proofErr w:type="spellStart"/>
      <w:r>
        <w:rPr>
          <w:szCs w:val="22"/>
          <w:u w:val="single"/>
        </w:rPr>
        <w:t>Actilyse</w:t>
      </w:r>
      <w:proofErr w:type="spellEnd"/>
      <w:r>
        <w:rPr>
          <w:szCs w:val="22"/>
          <w:u w:val="single"/>
        </w:rPr>
        <w:t xml:space="preserve"> negydys insulto, sukelto smegenų arterijoje esančio kraujo krešulio (ūminio išeminio insulto):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0"/>
        </w:tabs>
        <w:ind w:left="567" w:hanging="567"/>
        <w:rPr>
          <w:szCs w:val="22"/>
        </w:rPr>
      </w:pPr>
      <w:r>
        <w:rPr>
          <w:szCs w:val="22"/>
        </w:rPr>
        <w:t>jeigu nuo insulto simptomų atsiradimo praėjo daugiau nei 4,5 valandos arba jeigu jų galėjo atsirasti daugiau nei prieš 4,5 valandos, kadangi Jūs nežinote, kada jų atsirado;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0"/>
        </w:tabs>
        <w:ind w:left="567" w:hanging="567"/>
        <w:rPr>
          <w:szCs w:val="22"/>
        </w:rPr>
      </w:pPr>
      <w:r>
        <w:rPr>
          <w:szCs w:val="22"/>
        </w:rPr>
        <w:t>jeigu insultas sukelia tik labai silpnus simptomus;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>jeigu yra kraujavimo į smegenis požymių;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paskutiniųjų 3 mėn. laikotarpiu buvo ištikęs insultas;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 xml:space="preserve">jeigu prieš pradedant gydyti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>, insulto simptomai greitai lengvėja;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ištiko labai sunkus insultas;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prasidėjus insultui pasireiškė traukuliai (konvulsijos);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 xml:space="preserve">jeigu nenormalus </w:t>
      </w:r>
      <w:proofErr w:type="spellStart"/>
      <w:r>
        <w:rPr>
          <w:szCs w:val="22"/>
        </w:rPr>
        <w:t>tromboplastino</w:t>
      </w:r>
      <w:proofErr w:type="spellEnd"/>
      <w:r>
        <w:rPr>
          <w:szCs w:val="22"/>
        </w:rPr>
        <w:t xml:space="preserve"> laikas (kraujo parametras, rodantis, kaip kraujas </w:t>
      </w:r>
      <w:proofErr w:type="spellStart"/>
      <w:r>
        <w:rPr>
          <w:szCs w:val="22"/>
        </w:rPr>
        <w:t>kreša</w:t>
      </w:r>
      <w:proofErr w:type="spellEnd"/>
      <w:r>
        <w:rPr>
          <w:szCs w:val="22"/>
        </w:rPr>
        <w:t>). Jis gali būti nenormalus, jeigu paskutiniųjų 48 val. laikotarpiu vartojote heparino (kraują skystinančio vaisto);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sergate cukriniu diabetu ir bet kada anksčiau Jus buvo ištikęs insultas;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labai mažas kraujo plokštelių (trombocitų) kiekis Jūsų kraujyje;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Jūsų kraujospūdis labai didelis (didesnis negu 185/110 mm </w:t>
      </w:r>
      <w:proofErr w:type="spellStart"/>
      <w:r>
        <w:rPr>
          <w:szCs w:val="22"/>
        </w:rPr>
        <w:t>Hg</w:t>
      </w:r>
      <w:proofErr w:type="spellEnd"/>
      <w:r>
        <w:rPr>
          <w:szCs w:val="22"/>
        </w:rPr>
        <w:t>) ir jį galima sumažinti tik leidžiamais vaistais;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labai mažas cukraus (gliukozės) kiekis Jūsų kraujyje (mažesnis negu 50 mg/dl);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labai didelis cukraus (gliukozės) kiekis Jūsų kraujyje (didesnis negu 400 mg/dl);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jeigu esate jaunesnis negu 16 metų (16 metų ir vyresniems paaugliams žr. skyrių „Jūsų gydytojas imsis specialių atsargumo priemonių“).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szCs w:val="22"/>
        </w:rPr>
      </w:pPr>
      <w:r>
        <w:rPr>
          <w:b/>
          <w:szCs w:val="22"/>
        </w:rPr>
        <w:t>Įspėjimai ir atsargumo priemonės</w:t>
      </w:r>
    </w:p>
    <w:p w:rsidR="000A0215" w:rsidRDefault="000A0215" w:rsidP="000A0215">
      <w:pPr>
        <w:rPr>
          <w:b/>
          <w:szCs w:val="22"/>
        </w:rPr>
      </w:pPr>
      <w:r>
        <w:rPr>
          <w:b/>
          <w:szCs w:val="22"/>
        </w:rPr>
        <w:t>Jūsų gydytojas imsis specialių atsargumo priemonių:</w:t>
      </w:r>
    </w:p>
    <w:p w:rsidR="000A0215" w:rsidRDefault="000A0215" w:rsidP="000A0215">
      <w:pPr>
        <w:numPr>
          <w:ilvl w:val="0"/>
          <w:numId w:val="17"/>
        </w:numPr>
        <w:tabs>
          <w:tab w:val="left" w:pos="567"/>
        </w:tabs>
        <w:ind w:left="567" w:hanging="567"/>
        <w:rPr>
          <w:szCs w:val="22"/>
        </w:rPr>
      </w:pPr>
      <w:r>
        <w:rPr>
          <w:szCs w:val="22"/>
        </w:rPr>
        <w:t xml:space="preserve">jeigu Jums yra buvusi kokia nors alerginė reakcija, kitokia negu staigi gyvybei pavojinga alerginė reakcija (sunkus padidėjęs jautrumas) aktyviajai medžiagai </w:t>
      </w:r>
      <w:proofErr w:type="spellStart"/>
      <w:r>
        <w:rPr>
          <w:szCs w:val="22"/>
        </w:rPr>
        <w:t>alteplazei</w:t>
      </w:r>
      <w:proofErr w:type="spellEnd"/>
      <w:r>
        <w:rPr>
          <w:szCs w:val="22"/>
        </w:rPr>
        <w:t xml:space="preserve"> ar bet kuriai pagalbinei šio vaisto medžiagai (jos išvardytos 6 skyriuje);</w:t>
      </w:r>
    </w:p>
    <w:p w:rsidR="000A0215" w:rsidRDefault="000A0215" w:rsidP="000A0215">
      <w:pPr>
        <w:numPr>
          <w:ilvl w:val="0"/>
          <w:numId w:val="17"/>
        </w:numPr>
        <w:tabs>
          <w:tab w:val="left" w:pos="567"/>
        </w:tabs>
        <w:ind w:left="567" w:hanging="567"/>
        <w:rPr>
          <w:szCs w:val="22"/>
        </w:rPr>
      </w:pPr>
      <w:r>
        <w:rPr>
          <w:szCs w:val="22"/>
        </w:rPr>
        <w:t>jeigu Jums yra arba neseniai buvo bet kokia kitokia kraujavimo riziką didinanti būklė, pvz.:</w:t>
      </w:r>
    </w:p>
    <w:p w:rsidR="000A0215" w:rsidRDefault="000A0215" w:rsidP="000A0215">
      <w:pPr>
        <w:numPr>
          <w:ilvl w:val="0"/>
          <w:numId w:val="18"/>
        </w:numPr>
        <w:tabs>
          <w:tab w:val="left" w:pos="0"/>
        </w:tabs>
        <w:rPr>
          <w:szCs w:val="22"/>
        </w:rPr>
      </w:pPr>
      <w:r>
        <w:rPr>
          <w:szCs w:val="22"/>
        </w:rPr>
        <w:t>mažas sužeidimas,</w:t>
      </w:r>
    </w:p>
    <w:p w:rsidR="000A0215" w:rsidRDefault="000A0215" w:rsidP="000A0215">
      <w:pPr>
        <w:numPr>
          <w:ilvl w:val="0"/>
          <w:numId w:val="18"/>
        </w:numPr>
        <w:tabs>
          <w:tab w:val="left" w:pos="0"/>
        </w:tabs>
        <w:rPr>
          <w:szCs w:val="22"/>
        </w:rPr>
      </w:pPr>
      <w:r>
        <w:rPr>
          <w:szCs w:val="22"/>
        </w:rPr>
        <w:t>biopsija (audinio mėginio ėmimo procedūra),</w:t>
      </w:r>
    </w:p>
    <w:p w:rsidR="000A0215" w:rsidRDefault="000A0215" w:rsidP="000A0215">
      <w:pPr>
        <w:numPr>
          <w:ilvl w:val="0"/>
          <w:numId w:val="18"/>
        </w:numPr>
        <w:tabs>
          <w:tab w:val="left" w:pos="0"/>
        </w:tabs>
        <w:rPr>
          <w:szCs w:val="22"/>
        </w:rPr>
      </w:pPr>
      <w:r>
        <w:rPr>
          <w:szCs w:val="22"/>
        </w:rPr>
        <w:t>stambios kraujagyslės punkcija,</w:t>
      </w:r>
    </w:p>
    <w:p w:rsidR="000A0215" w:rsidRDefault="000A0215" w:rsidP="000A0215">
      <w:pPr>
        <w:numPr>
          <w:ilvl w:val="0"/>
          <w:numId w:val="18"/>
        </w:numPr>
        <w:tabs>
          <w:tab w:val="left" w:pos="0"/>
        </w:tabs>
        <w:rPr>
          <w:szCs w:val="22"/>
        </w:rPr>
      </w:pPr>
      <w:r>
        <w:rPr>
          <w:szCs w:val="22"/>
        </w:rPr>
        <w:t>injekcija į raumenis,</w:t>
      </w:r>
    </w:p>
    <w:p w:rsidR="000A0215" w:rsidRDefault="000A0215" w:rsidP="000A0215">
      <w:pPr>
        <w:numPr>
          <w:ilvl w:val="0"/>
          <w:numId w:val="18"/>
        </w:numPr>
        <w:tabs>
          <w:tab w:val="left" w:pos="0"/>
        </w:tabs>
        <w:rPr>
          <w:szCs w:val="22"/>
        </w:rPr>
      </w:pPr>
      <w:r>
        <w:rPr>
          <w:szCs w:val="22"/>
        </w:rPr>
        <w:t>buvo atliktas išorinis širdies masažas;</w:t>
      </w:r>
    </w:p>
    <w:p w:rsidR="000A0215" w:rsidRDefault="000A0215" w:rsidP="000A0215">
      <w:pPr>
        <w:numPr>
          <w:ilvl w:val="0"/>
          <w:numId w:val="19"/>
        </w:numPr>
        <w:tabs>
          <w:tab w:val="left" w:pos="0"/>
          <w:tab w:val="left" w:pos="567"/>
        </w:tabs>
        <w:ind w:left="567" w:hanging="567"/>
        <w:rPr>
          <w:szCs w:val="22"/>
        </w:rPr>
      </w:pPr>
      <w:r>
        <w:rPr>
          <w:szCs w:val="22"/>
        </w:rPr>
        <w:t xml:space="preserve">jeigu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esate gydytas anksčiau;</w:t>
      </w:r>
    </w:p>
    <w:p w:rsidR="000A0215" w:rsidRDefault="000A0215" w:rsidP="000A0215">
      <w:pPr>
        <w:numPr>
          <w:ilvl w:val="0"/>
          <w:numId w:val="19"/>
        </w:numPr>
        <w:tabs>
          <w:tab w:val="left" w:pos="0"/>
          <w:tab w:val="left" w:pos="567"/>
        </w:tabs>
        <w:ind w:left="567" w:hanging="567"/>
        <w:rPr>
          <w:szCs w:val="22"/>
        </w:rPr>
      </w:pPr>
      <w:r>
        <w:rPr>
          <w:szCs w:val="22"/>
        </w:rPr>
        <w:t>jeigu esate vyresnis negu 65 metų;</w:t>
      </w:r>
    </w:p>
    <w:p w:rsidR="000A0215" w:rsidRDefault="000A0215" w:rsidP="000A0215">
      <w:pPr>
        <w:numPr>
          <w:ilvl w:val="0"/>
          <w:numId w:val="20"/>
        </w:numPr>
        <w:tabs>
          <w:tab w:val="left" w:pos="0"/>
          <w:tab w:val="left" w:pos="567"/>
        </w:tabs>
        <w:ind w:left="567" w:hanging="567"/>
        <w:rPr>
          <w:szCs w:val="22"/>
        </w:rPr>
      </w:pPr>
      <w:r>
        <w:rPr>
          <w:szCs w:val="22"/>
        </w:rPr>
        <w:t xml:space="preserve">jeigu esate vyresnis nei 80 metų, nepaisant gydymo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, ligos išeitis gali būti mažiau palanki. Vis dėlto, apskritai naudos ir rizikos santykis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vartojantiems vyresniems kaip 80 metų pacientams, yra teigiamas ir vien tik amžius nėra kliūtis vartoti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>.</w:t>
      </w:r>
    </w:p>
    <w:p w:rsidR="000A0215" w:rsidRDefault="000A0215" w:rsidP="000A0215">
      <w:pPr>
        <w:numPr>
          <w:ilvl w:val="0"/>
          <w:numId w:val="20"/>
        </w:numPr>
        <w:tabs>
          <w:tab w:val="left" w:pos="0"/>
        </w:tabs>
        <w:ind w:left="567" w:hanging="567"/>
        <w:rPr>
          <w:szCs w:val="22"/>
        </w:rPr>
      </w:pPr>
      <w:r>
        <w:rPr>
          <w:szCs w:val="22"/>
        </w:rPr>
        <w:t xml:space="preserve">jeigu esate 16 metų ir vyresnis paauglys, gydymo nauda turi būti kruopščiai apsvarstyta, atsižvelgiant į individualų išeminio insulto gydymą.  </w:t>
      </w:r>
    </w:p>
    <w:p w:rsidR="000A0215" w:rsidRDefault="000A0215" w:rsidP="000A0215">
      <w:pPr>
        <w:rPr>
          <w:b/>
          <w:szCs w:val="22"/>
        </w:rPr>
      </w:pPr>
    </w:p>
    <w:p w:rsidR="000A0215" w:rsidRDefault="000A0215" w:rsidP="000A0215">
      <w:pPr>
        <w:rPr>
          <w:b/>
          <w:szCs w:val="22"/>
        </w:rPr>
      </w:pPr>
      <w:r>
        <w:rPr>
          <w:b/>
          <w:szCs w:val="22"/>
        </w:rPr>
        <w:t xml:space="preserve">Kiti vaistai ir </w:t>
      </w:r>
      <w:proofErr w:type="spellStart"/>
      <w:r>
        <w:rPr>
          <w:b/>
          <w:szCs w:val="22"/>
        </w:rPr>
        <w:t>Actilyse</w:t>
      </w:r>
      <w:proofErr w:type="spellEnd"/>
    </w:p>
    <w:p w:rsidR="000A0215" w:rsidRDefault="000A0215" w:rsidP="000A0215">
      <w:pPr>
        <w:rPr>
          <w:szCs w:val="22"/>
        </w:rPr>
      </w:pPr>
      <w:r>
        <w:rPr>
          <w:szCs w:val="22"/>
        </w:rPr>
        <w:t>Jeigu vartojate arba neseniai vartojote kitų vaistų arba dėl to nesate tikri, apie tai pasakykite gydytojui. Labai svarbu savo gydytojui pasakyti, jeigu vartojate arba neseniai vartojote:</w:t>
      </w:r>
    </w:p>
    <w:p w:rsidR="000A0215" w:rsidRDefault="000A0215" w:rsidP="000A0215">
      <w:pPr>
        <w:tabs>
          <w:tab w:val="left" w:pos="567"/>
        </w:tabs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>bet kokių vaistų, kurie vartojami kraujui skystinti, įskaitant:</w:t>
      </w:r>
    </w:p>
    <w:p w:rsidR="000A0215" w:rsidRDefault="000A0215" w:rsidP="000A0215">
      <w:pPr>
        <w:tabs>
          <w:tab w:val="left" w:pos="0"/>
        </w:tabs>
        <w:ind w:left="924" w:hanging="35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</w:r>
      <w:proofErr w:type="spellStart"/>
      <w:r>
        <w:rPr>
          <w:szCs w:val="22"/>
        </w:rPr>
        <w:t>acetilsalicilo</w:t>
      </w:r>
      <w:proofErr w:type="spellEnd"/>
      <w:r>
        <w:rPr>
          <w:szCs w:val="22"/>
        </w:rPr>
        <w:t xml:space="preserve"> rūgšties (aspirino),</w:t>
      </w:r>
    </w:p>
    <w:p w:rsidR="000A0215" w:rsidRDefault="000A0215" w:rsidP="000A0215">
      <w:pPr>
        <w:tabs>
          <w:tab w:val="left" w:pos="0"/>
        </w:tabs>
        <w:ind w:left="924" w:hanging="35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</w:r>
      <w:proofErr w:type="spellStart"/>
      <w:r>
        <w:rPr>
          <w:szCs w:val="22"/>
        </w:rPr>
        <w:t>varfarino</w:t>
      </w:r>
      <w:proofErr w:type="spellEnd"/>
      <w:r>
        <w:rPr>
          <w:szCs w:val="22"/>
        </w:rPr>
        <w:t>,</w:t>
      </w:r>
    </w:p>
    <w:p w:rsidR="000A0215" w:rsidRDefault="000A0215" w:rsidP="000A0215">
      <w:pPr>
        <w:tabs>
          <w:tab w:val="left" w:pos="0"/>
        </w:tabs>
        <w:ind w:left="924" w:hanging="35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>kumarino darinių,</w:t>
      </w:r>
    </w:p>
    <w:p w:rsidR="000A0215" w:rsidRDefault="000A0215" w:rsidP="000A0215">
      <w:pPr>
        <w:tabs>
          <w:tab w:val="left" w:pos="0"/>
        </w:tabs>
        <w:ind w:left="924" w:hanging="35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>heparino;</w:t>
      </w:r>
    </w:p>
    <w:p w:rsidR="000A0215" w:rsidRDefault="000A0215" w:rsidP="000A0215">
      <w:pPr>
        <w:tabs>
          <w:tab w:val="left" w:pos="0"/>
          <w:tab w:val="left" w:pos="567"/>
        </w:tabs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>tam tikrų vaistų nuo didelio kraujospūdžio ligos (AKF inhibitorių).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szCs w:val="22"/>
        </w:rPr>
      </w:pPr>
      <w:r>
        <w:rPr>
          <w:b/>
          <w:szCs w:val="22"/>
        </w:rPr>
        <w:t>Nėštumas, žindymo laikotarpis ir vaisingumas</w:t>
      </w:r>
    </w:p>
    <w:p w:rsidR="000A0215" w:rsidRDefault="000A0215" w:rsidP="000A0215">
      <w:pPr>
        <w:numPr>
          <w:ilvl w:val="12"/>
          <w:numId w:val="0"/>
        </w:numPr>
        <w:rPr>
          <w:szCs w:val="22"/>
        </w:rPr>
      </w:pPr>
      <w:r>
        <w:rPr>
          <w:noProof/>
          <w:szCs w:val="22"/>
        </w:rPr>
        <w:t xml:space="preserve">Jeigu esate nėščia, žindote kūdikį, manote, kad galbūt esate nėščia, arba planuojate pastoti, pasitarkite su gydytoju. </w:t>
      </w:r>
      <w:r>
        <w:rPr>
          <w:szCs w:val="22"/>
        </w:rPr>
        <w:t xml:space="preserve">Gydytojas Jus gydys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tik nustatęs, kad galima nauda Jums bus didesnė už galimą riziką Jūsų vaisiui.</w:t>
      </w:r>
    </w:p>
    <w:p w:rsidR="000A0215" w:rsidRDefault="000A0215" w:rsidP="000A0215">
      <w:pPr>
        <w:rPr>
          <w:b/>
          <w:szCs w:val="22"/>
        </w:rPr>
      </w:pPr>
    </w:p>
    <w:p w:rsidR="000A0215" w:rsidRDefault="000A0215" w:rsidP="000A0215">
      <w:pPr>
        <w:rPr>
          <w:b/>
          <w:szCs w:val="22"/>
        </w:rPr>
      </w:pPr>
    </w:p>
    <w:p w:rsidR="000A0215" w:rsidRDefault="000A0215" w:rsidP="000A0215">
      <w:pPr>
        <w:tabs>
          <w:tab w:val="left" w:pos="567"/>
        </w:tabs>
        <w:rPr>
          <w:b/>
          <w:caps/>
          <w:szCs w:val="22"/>
        </w:rPr>
      </w:pPr>
      <w:r>
        <w:rPr>
          <w:b/>
          <w:szCs w:val="22"/>
        </w:rPr>
        <w:t>3.</w:t>
      </w:r>
      <w:r>
        <w:rPr>
          <w:b/>
          <w:szCs w:val="22"/>
        </w:rPr>
        <w:tab/>
        <w:t xml:space="preserve">Kaip vartoti </w:t>
      </w:r>
      <w:proofErr w:type="spellStart"/>
      <w:r>
        <w:rPr>
          <w:b/>
          <w:szCs w:val="22"/>
        </w:rPr>
        <w:t>Actilyse</w:t>
      </w:r>
      <w:proofErr w:type="spellEnd"/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ruoš ir Jums leis gydytojas arba kitoks sveikatos priežiūros specialistas. Pačiam šiuo vaistu gydytis negalima.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Pasireiškus ligos simptomams,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reikia pradėti gydyti kuo greičiau.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Šiuo vaistu galima gydyti tris skirtingas būkles.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szCs w:val="22"/>
        </w:rPr>
      </w:pPr>
      <w:r>
        <w:rPr>
          <w:b/>
          <w:szCs w:val="22"/>
        </w:rPr>
        <w:t>Širdies priepuolis (ūminis miokardo infarktas)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Dozė, kuria Jus gydys, priklausys nuo Jūsų kūno svorio. Didžiausia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dozė yra 100 mg, tačiau jeigu Jūs sveriate mažiau negu 65 kg, ji bus mažesnė.</w:t>
      </w:r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galima dozuoti dviem skirtingais būdais.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a) 90 minučių dozavimo būdas. Jis taikomas tiems ligoniams, kurie pradedami gydyti per pirmas 6 val. nuo simptomų pasireiškimo pradžios. Gydoma taip:</w:t>
      </w:r>
    </w:p>
    <w:p w:rsidR="000A0215" w:rsidRDefault="000A0215" w:rsidP="000A0215">
      <w:pPr>
        <w:ind w:left="567" w:hanging="56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 xml:space="preserve">iš pradžių dalis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dozės suleidžiama į veną,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likusi dozės dalis suleidžiama į veną per tolesnes 90 min.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b) 3 valandų dozavimo būdas. Jis taikomas tiems pacientams, kurie pradedami gydyti praėjus 6 – 12 val. nuo simptomų pasireiškimo pradžios. Gydoma taip:</w:t>
      </w:r>
    </w:p>
    <w:p w:rsidR="000A0215" w:rsidRDefault="000A0215" w:rsidP="000A0215">
      <w:pPr>
        <w:ind w:left="567" w:hanging="56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 xml:space="preserve">iš pradžių dalis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dozės suleidžiama į veną,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likusi dozės dalis suleidžiama į veną per tolesnes 3 val.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Be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>, gydytojas Jums skirs vartoti ir kitokio kraujo krešėjimą stabdančio vaisto. Pasireiškus krūtinės skausmui, pradės gydyti kuo greičiau.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szCs w:val="22"/>
        </w:rPr>
      </w:pPr>
      <w:r>
        <w:rPr>
          <w:b/>
          <w:szCs w:val="22"/>
        </w:rPr>
        <w:t>Kraujo krešuliai plaučių arterijose (ūminė masyvi plaučių embolija)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Dozė, kuria Jus gydys, priklausys nuo Jūsų kūno svorio. Didžiausia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dozė yra 100 mg, tačiau jeigu Jūs sveriate mažiau negu 65 kg, ji bus mažesnė.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Paprastai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gydoma taip: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iš pradžių dalis dozės suleidžiama į veną,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likusi dozės dalis suleidžiama į veną per tolesnes 2 val.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Po gydymo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gydytojas Jus pradės gydyti heparinu (kraują skystinančiu vaistu) arba gydymą juo atnaujins.</w:t>
      </w:r>
    </w:p>
    <w:p w:rsidR="000A0215" w:rsidRDefault="000A0215" w:rsidP="000A0215">
      <w:pPr>
        <w:rPr>
          <w:b/>
          <w:szCs w:val="22"/>
        </w:rPr>
      </w:pPr>
    </w:p>
    <w:p w:rsidR="000A0215" w:rsidRDefault="000A0215" w:rsidP="000A0215">
      <w:pPr>
        <w:rPr>
          <w:b/>
          <w:szCs w:val="22"/>
        </w:rPr>
      </w:pPr>
      <w:r>
        <w:rPr>
          <w:b/>
          <w:szCs w:val="22"/>
        </w:rPr>
        <w:t>Insultas, sukeltas smegenų arterijoje esančio kraujo krešulio (ūminis išeminis insultas)</w:t>
      </w:r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būtina pradėti gydyti per pirmas 4,5 val. nuo pirmųjų simptomų pasireiškimo pradžios. Kuo anksčiau Jus pradės gydyti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, tuo didesnė bus gydymo nauda ir mažiau tikėtinas kenksmingas šalutinis poveikis. Dozė, kuria Jus gydys, priklausys nuo Jūsų kūno svorio. Didžiausia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dozė yra 90 mg, tačiau jeigu Jūs sveriate mažiau negu 100 kg, ji bus mažesnė.</w:t>
      </w:r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gydoma taip: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539"/>
        </w:tabs>
        <w:ind w:left="567" w:hanging="567"/>
        <w:rPr>
          <w:szCs w:val="22"/>
        </w:rPr>
      </w:pPr>
      <w:r>
        <w:rPr>
          <w:szCs w:val="22"/>
        </w:rPr>
        <w:t>iš pradžių dalis dozės suleidžiama į veną,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539"/>
        </w:tabs>
        <w:ind w:left="567" w:hanging="567"/>
        <w:rPr>
          <w:szCs w:val="22"/>
        </w:rPr>
      </w:pPr>
      <w:r>
        <w:rPr>
          <w:szCs w:val="22"/>
        </w:rPr>
        <w:t>likusi dozės dalis suleidžiama į veną per tolesnes 60 min.</w:t>
      </w:r>
    </w:p>
    <w:p w:rsidR="000A0215" w:rsidRDefault="000A0215" w:rsidP="000A0215">
      <w:pPr>
        <w:ind w:left="567" w:hanging="567"/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Pirmųjų 24 valandų laikotarpiu po insulto gydymo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Jums negalima vartoti </w:t>
      </w:r>
      <w:proofErr w:type="spellStart"/>
      <w:r>
        <w:rPr>
          <w:szCs w:val="22"/>
        </w:rPr>
        <w:t>acetilsalicilo</w:t>
      </w:r>
      <w:proofErr w:type="spellEnd"/>
      <w:r>
        <w:rPr>
          <w:szCs w:val="22"/>
        </w:rPr>
        <w:t xml:space="preserve"> rūgšties (aspirino). Prireikus gydytojas gali leisti heparino.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Jeigu kiltų daugiau klausimų dėl šio vaisto vartojimo, kreipkitės į gydytoją.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tabs>
          <w:tab w:val="left" w:pos="567"/>
        </w:tabs>
        <w:rPr>
          <w:b/>
          <w:caps/>
          <w:szCs w:val="22"/>
        </w:rPr>
      </w:pPr>
      <w:r>
        <w:rPr>
          <w:b/>
          <w:caps/>
          <w:szCs w:val="22"/>
        </w:rPr>
        <w:t>4.</w:t>
      </w:r>
      <w:r>
        <w:rPr>
          <w:b/>
          <w:caps/>
          <w:szCs w:val="22"/>
        </w:rPr>
        <w:tab/>
        <w:t>G</w:t>
      </w:r>
      <w:r>
        <w:rPr>
          <w:b/>
          <w:szCs w:val="22"/>
        </w:rPr>
        <w:t>alimas šalutinis poveikis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Šis vaistas, kaip ir visi kiti, gali sukelti šalutinį poveikį, nors jis pasireiškia ne visiems žmonėms.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Labai dažni šalutinio poveikio reiškiniai (gali pasireikšti ne rečiau kaip 1 iš 10 asmenų)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 xml:space="preserve">Širdies nepakankamumas. Tokiu atveju gydymą </w:t>
      </w:r>
      <w:proofErr w:type="spellStart"/>
      <w:r>
        <w:t>Actilyse</w:t>
      </w:r>
      <w:proofErr w:type="spellEnd"/>
      <w: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573"/>
        </w:tabs>
        <w:ind w:left="567" w:hanging="567"/>
        <w:rPr>
          <w:szCs w:val="22"/>
        </w:rPr>
      </w:pPr>
      <w:r>
        <w:rPr>
          <w:szCs w:val="22"/>
        </w:rPr>
        <w:t xml:space="preserve">Kraujavimas į smegenis (smegenų </w:t>
      </w:r>
      <w:proofErr w:type="spellStart"/>
      <w:r>
        <w:rPr>
          <w:szCs w:val="22"/>
        </w:rPr>
        <w:t>hemoragija</w:t>
      </w:r>
      <w:proofErr w:type="spellEnd"/>
      <w:r>
        <w:rPr>
          <w:szCs w:val="22"/>
        </w:rPr>
        <w:t xml:space="preserve">) po insulto, sukelto smegenų arterijoje esančio kraujo krešulio (ūminio išeminio insulto), gydymo. Tokiu atveju gydymą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0"/>
          <w:tab w:val="left" w:pos="573"/>
        </w:tabs>
        <w:ind w:left="567" w:hanging="567"/>
        <w:rPr>
          <w:szCs w:val="22"/>
        </w:rPr>
      </w:pPr>
      <w:r>
        <w:rPr>
          <w:szCs w:val="22"/>
        </w:rPr>
        <w:t>Skysčių kaupimasis plaučiuose (plaučių edema), kuris sukelia stiprų dusulį.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0"/>
          <w:tab w:val="left" w:pos="573"/>
        </w:tabs>
        <w:ind w:left="567" w:hanging="567"/>
        <w:rPr>
          <w:szCs w:val="22"/>
        </w:rPr>
      </w:pPr>
      <w:r>
        <w:rPr>
          <w:szCs w:val="22"/>
        </w:rPr>
        <w:t>Kraujavimas iš pažeistos kraujagyslės (gali susidaryti kraujosruva).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0"/>
          <w:tab w:val="left" w:pos="573"/>
        </w:tabs>
        <w:ind w:left="567" w:hanging="567"/>
        <w:rPr>
          <w:szCs w:val="22"/>
        </w:rPr>
      </w:pPr>
      <w:r>
        <w:rPr>
          <w:szCs w:val="22"/>
        </w:rPr>
        <w:t>Mažas kraujospūdis (</w:t>
      </w:r>
      <w:proofErr w:type="spellStart"/>
      <w:r>
        <w:rPr>
          <w:szCs w:val="22"/>
        </w:rPr>
        <w:t>hipotenzija</w:t>
      </w:r>
      <w:proofErr w:type="spellEnd"/>
      <w:r>
        <w:rPr>
          <w:szCs w:val="22"/>
        </w:rPr>
        <w:t>).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0"/>
          <w:tab w:val="left" w:pos="573"/>
        </w:tabs>
        <w:ind w:left="567" w:hanging="567"/>
        <w:rPr>
          <w:szCs w:val="22"/>
        </w:rPr>
      </w:pPr>
      <w:r>
        <w:rPr>
          <w:szCs w:val="22"/>
        </w:rPr>
        <w:t>Krūtinės skausmas (krūtinės angina).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Dažni šalutinio poveikio reiškiniai (gali pasireikšti rečiau kaip 1 iš 10 asmenų)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>Pakartotinis širdies priepuolis (miokardo infarktas).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573"/>
        </w:tabs>
        <w:ind w:left="567" w:hanging="567"/>
        <w:rPr>
          <w:szCs w:val="22"/>
        </w:rPr>
      </w:pPr>
      <w:r>
        <w:rPr>
          <w:szCs w:val="22"/>
        </w:rPr>
        <w:t xml:space="preserve">Kraujavimas į smegenis (smegenų </w:t>
      </w:r>
      <w:proofErr w:type="spellStart"/>
      <w:r>
        <w:rPr>
          <w:szCs w:val="22"/>
        </w:rPr>
        <w:t>hemoragija</w:t>
      </w:r>
      <w:proofErr w:type="spellEnd"/>
      <w:r>
        <w:rPr>
          <w:szCs w:val="22"/>
        </w:rPr>
        <w:t xml:space="preserve">) po širdies priepuolio (miokardo infarkto) gydymo. Tokiu atveju gydymą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 xml:space="preserve">Širdies sustojimas. Tokiu atveju gydymą </w:t>
      </w:r>
      <w:proofErr w:type="spellStart"/>
      <w:r>
        <w:t>Actilyse</w:t>
      </w:r>
      <w:proofErr w:type="spellEnd"/>
      <w: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573"/>
        </w:tabs>
        <w:ind w:left="567" w:hanging="567"/>
        <w:rPr>
          <w:szCs w:val="22"/>
        </w:rPr>
      </w:pPr>
      <w:r>
        <w:rPr>
          <w:szCs w:val="22"/>
        </w:rPr>
        <w:t xml:space="preserve">Šokas (labai mažas kraujospūdis), sukeltas širdies nepakankamumo. Tokiu atveju gydymą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573"/>
        </w:tabs>
        <w:ind w:left="567" w:hanging="567"/>
        <w:rPr>
          <w:szCs w:val="22"/>
        </w:rPr>
      </w:pPr>
      <w:r>
        <w:rPr>
          <w:szCs w:val="22"/>
        </w:rPr>
        <w:t>Kraujavimas į ryklę.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>Kraujavimas į skrandį arba žarnas, įskaitant vėmimą krauju ir kraują išmatose (</w:t>
      </w:r>
      <w:proofErr w:type="spellStart"/>
      <w:r>
        <w:t>meleną</w:t>
      </w:r>
      <w:proofErr w:type="spellEnd"/>
      <w:r>
        <w:t xml:space="preserve"> arba tiesiosios žarnos </w:t>
      </w:r>
      <w:proofErr w:type="spellStart"/>
      <w:r>
        <w:t>hemoragiją</w:t>
      </w:r>
      <w:proofErr w:type="spellEnd"/>
      <w:r>
        <w:t>), dantenų kraujavimas.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Kraujavimas į organizmo audinius, sukeliantis rausvas kraujosruvas odoje ar gleivinėse (</w:t>
      </w:r>
      <w:proofErr w:type="spellStart"/>
      <w:r>
        <w:rPr>
          <w:szCs w:val="22"/>
        </w:rPr>
        <w:t>ekchimozė</w:t>
      </w:r>
      <w:proofErr w:type="spellEnd"/>
      <w:r>
        <w:rPr>
          <w:szCs w:val="22"/>
        </w:rPr>
        <w:t>).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573"/>
        </w:tabs>
        <w:ind w:left="567" w:hanging="567"/>
        <w:rPr>
          <w:szCs w:val="22"/>
        </w:rPr>
      </w:pPr>
      <w:r>
        <w:rPr>
          <w:szCs w:val="22"/>
        </w:rPr>
        <w:t>Kraujavimas iš šlapimo ar lyties organų, dėl kurio šlapime gali atsirasti kraujo (</w:t>
      </w:r>
      <w:proofErr w:type="spellStart"/>
      <w:r>
        <w:rPr>
          <w:szCs w:val="22"/>
        </w:rPr>
        <w:t>hematurija</w:t>
      </w:r>
      <w:proofErr w:type="spellEnd"/>
      <w:r>
        <w:rPr>
          <w:szCs w:val="22"/>
        </w:rPr>
        <w:t>).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tabs>
          <w:tab w:val="left" w:pos="573"/>
        </w:tabs>
        <w:ind w:left="567" w:hanging="567"/>
        <w:rPr>
          <w:szCs w:val="22"/>
        </w:rPr>
      </w:pPr>
      <w:r>
        <w:rPr>
          <w:szCs w:val="22"/>
        </w:rPr>
        <w:t>Injekcijos vietos kraujavimas arba kraujosruva (</w:t>
      </w:r>
      <w:proofErr w:type="spellStart"/>
      <w:r>
        <w:rPr>
          <w:szCs w:val="22"/>
        </w:rPr>
        <w:t>hematoma</w:t>
      </w:r>
      <w:proofErr w:type="spellEnd"/>
      <w:r>
        <w:rPr>
          <w:szCs w:val="22"/>
        </w:rPr>
        <w:t>).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Nedažni šalutinio poveikio reiškiniai (gali pasireikšti rečiau kaip 1 iš 100 asmenų)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 xml:space="preserve">Kraujavimas iš kvėpavimo takų, plaučių, pvz., kraujingi skrepliai (atsikosėjimas krauju). Tokiu atveju gydymą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gali reikėti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Kraujavimas iš nosies (</w:t>
      </w:r>
      <w:proofErr w:type="spellStart"/>
      <w:r>
        <w:rPr>
          <w:szCs w:val="22"/>
        </w:rPr>
        <w:t>epistaksė</w:t>
      </w:r>
      <w:proofErr w:type="spellEnd"/>
      <w:r>
        <w:rPr>
          <w:szCs w:val="22"/>
        </w:rPr>
        <w:t>).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Nereguliarus (kartais pavojingas gyvybei) širdies plakimas po to, kai atsigavo širdies aprūpinimas krauju.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>Širdies vožtuvų pažaida (</w:t>
      </w:r>
      <w:proofErr w:type="spellStart"/>
      <w:r>
        <w:t>dviburio</w:t>
      </w:r>
      <w:proofErr w:type="spellEnd"/>
      <w:r>
        <w:t xml:space="preserve"> širdies vožtuvo </w:t>
      </w:r>
      <w:proofErr w:type="spellStart"/>
      <w:r>
        <w:t>nesandarumas</w:t>
      </w:r>
      <w:proofErr w:type="spellEnd"/>
      <w:r>
        <w:t xml:space="preserve">) arba sienelės tarp kamerų (skilvelių pertvaros) defektas. Tokiu atveju gydymą </w:t>
      </w:r>
      <w:proofErr w:type="spellStart"/>
      <w:r>
        <w:t>Actilyse</w:t>
      </w:r>
      <w:proofErr w:type="spellEnd"/>
      <w: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Staigi blokada plaučių arterijose (plaučių embolija), smegenų arterijose (smegenų embolija) ar kitų organizmo vietų arterijose (sisteminė embolija).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>Kraujavimas iš ausies.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Kraujospūdžio sumažėjimas.</w:t>
      </w:r>
    </w:p>
    <w:p w:rsidR="000A0215" w:rsidRDefault="000A0215" w:rsidP="000A0215">
      <w:pPr>
        <w:rPr>
          <w:b/>
          <w:szCs w:val="22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Reti šalutinio poveikio reiškiniai (gali pasireikšti rečiau kaip 1 iš 1 000 asmenų)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 xml:space="preserve">Kraujavimas į širdį supančio dangalo, vadinamo perikardu, ertmę, sukeliantis širdies suspaudimą. Tokiu atveju gydymą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Vidinis kraujavimas į užpakalinę pilvo dalį (</w:t>
      </w:r>
      <w:proofErr w:type="spellStart"/>
      <w:r>
        <w:rPr>
          <w:szCs w:val="22"/>
        </w:rPr>
        <w:t>retroperitoninis</w:t>
      </w:r>
      <w:proofErr w:type="spellEnd"/>
      <w:r>
        <w:rPr>
          <w:szCs w:val="22"/>
        </w:rPr>
        <w:t xml:space="preserve"> kraujavimas). Tokiu atveju gydymą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>Kraujo krešulių, galinčių patekti į kitus organus, susiformavimas kraujagyslėse (embolija). Simptomai priklausys nuo organo, kuris pažeidžiamas.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Alerginės reakcijos, pvz., dilgėlinė ar kitoks išbėrimas, kvėpavimo pasunkėjimas net iki astmos (bronchų spazmas), odos ir gleivinių staigus paburkimas (</w:t>
      </w:r>
      <w:proofErr w:type="spellStart"/>
      <w:r>
        <w:rPr>
          <w:szCs w:val="22"/>
        </w:rPr>
        <w:t>angioneurozinė</w:t>
      </w:r>
      <w:proofErr w:type="spellEnd"/>
      <w:r>
        <w:rPr>
          <w:szCs w:val="22"/>
        </w:rPr>
        <w:t xml:space="preserve"> edema), mažas kraujospūdis arba šokas. Tokiais atvejais gydymą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gali reikėti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Kraujavimas į akį.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Pykinimas.</w:t>
      </w:r>
    </w:p>
    <w:p w:rsidR="000A0215" w:rsidRDefault="000A0215" w:rsidP="000A0215">
      <w:pPr>
        <w:ind w:left="567"/>
        <w:rPr>
          <w:szCs w:val="22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Labai reti šalutinio poveikio reiškiniai (gali pasireikšti rečiau kaip 1 iš 10 000 asmenų)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 xml:space="preserve">Sunki alerginė reakcija (pvz., gyvybei pavojinga </w:t>
      </w:r>
      <w:proofErr w:type="spellStart"/>
      <w:r>
        <w:t>anafilaksija</w:t>
      </w:r>
      <w:proofErr w:type="spellEnd"/>
      <w:r>
        <w:t xml:space="preserve">). Tokiu atveju gydymą </w:t>
      </w:r>
      <w:proofErr w:type="spellStart"/>
      <w:r>
        <w:t>Actilyse</w:t>
      </w:r>
      <w:proofErr w:type="spellEnd"/>
      <w: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>Reiškiniai, kurie atspindi nervų sistemos pažeidimą, pvz.:</w:t>
      </w:r>
    </w:p>
    <w:p w:rsidR="000A0215" w:rsidRDefault="000A0215" w:rsidP="000A0215">
      <w:pPr>
        <w:ind w:left="924" w:hanging="35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>traukuliai (konvulsijos),</w:t>
      </w:r>
    </w:p>
    <w:p w:rsidR="000A0215" w:rsidRDefault="000A0215" w:rsidP="000A0215">
      <w:pPr>
        <w:ind w:left="924" w:hanging="35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>kalbos sutrikimas,</w:t>
      </w:r>
    </w:p>
    <w:p w:rsidR="000A0215" w:rsidRDefault="000A0215" w:rsidP="000A0215">
      <w:pPr>
        <w:ind w:left="924" w:hanging="35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>minčių susipainiojimas arba kliedėjimas,</w:t>
      </w:r>
    </w:p>
    <w:p w:rsidR="000A0215" w:rsidRDefault="000A0215" w:rsidP="000A0215">
      <w:pPr>
        <w:ind w:left="924" w:hanging="35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>nerimas, susijęs su sujaudinimu (</w:t>
      </w:r>
      <w:proofErr w:type="spellStart"/>
      <w:r>
        <w:rPr>
          <w:szCs w:val="22"/>
        </w:rPr>
        <w:t>ažitacija</w:t>
      </w:r>
      <w:proofErr w:type="spellEnd"/>
      <w:r>
        <w:rPr>
          <w:szCs w:val="22"/>
        </w:rPr>
        <w:t>),</w:t>
      </w:r>
    </w:p>
    <w:p w:rsidR="000A0215" w:rsidRDefault="000A0215" w:rsidP="000A0215">
      <w:pPr>
        <w:ind w:left="924" w:hanging="35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>depresija,</w:t>
      </w:r>
    </w:p>
    <w:p w:rsidR="000A0215" w:rsidRDefault="000A0215" w:rsidP="000A0215">
      <w:pPr>
        <w:ind w:left="924" w:hanging="35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>mąstymo sutrikimas (psichozė).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>Šių sutrikimų dažnai atsiranda insulto, sukelto kraujo krešulio arba kraujavimo į smegenis, metu.</w:t>
      </w:r>
    </w:p>
    <w:p w:rsidR="000A0215" w:rsidRPr="003B6DE1" w:rsidRDefault="000A0215" w:rsidP="000A0215">
      <w:pPr>
        <w:rPr>
          <w:i/>
          <w:szCs w:val="22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Šalutinio poveikio reiškiniai, kurių dažnis nežinomas (negali būti apskaičiuotas pagal turimus duomenis)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 xml:space="preserve">Kraujavimas į vidaus organus, pvz., kepenis. Tokiu atveju gydymą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 xml:space="preserve">Cholesterolio kristalų krešulių, galinčių patekti į kitus organus (embolija cholesterolio kristalais) formavimasis. Jo simptomai priklauso nuo organo, kuris pažeidžiamas. Tokiu atveju gydymą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gali prireikti nutraukti.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Kraujavimas, dėl kurio būtina perpilti kraujo.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Vėmimas.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  <w:rPr>
          <w:szCs w:val="22"/>
        </w:rPr>
      </w:pPr>
      <w:r>
        <w:rPr>
          <w:szCs w:val="22"/>
        </w:rPr>
        <w:t>Kūno temperatūros padidėjimas (karščiavimas).</w:t>
      </w:r>
    </w:p>
    <w:p w:rsidR="000A0215" w:rsidRDefault="000A0215" w:rsidP="000A0215">
      <w:pPr>
        <w:ind w:left="567" w:hanging="567"/>
        <w:rPr>
          <w:b/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Dėl kraujavimo į smegenis arba kitokio pavojingo kraujavimo galima mirtis arba neįgalumas visam laikui.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szCs w:val="22"/>
        </w:rPr>
      </w:pPr>
      <w:r>
        <w:rPr>
          <w:b/>
          <w:noProof/>
          <w:szCs w:val="22"/>
        </w:rPr>
        <w:t>Pranešimas apie šalutinį poveikį</w:t>
      </w:r>
    </w:p>
    <w:p w:rsidR="000A0215" w:rsidRDefault="000A0215" w:rsidP="000A0215">
      <w:pPr>
        <w:rPr>
          <w:noProof/>
          <w:szCs w:val="22"/>
        </w:rPr>
      </w:pPr>
      <w:r>
        <w:rPr>
          <w:noProof/>
          <w:szCs w:val="22"/>
        </w:rPr>
        <w:t>Jeigu pasireiškė šalutinis poveikis, įskaitant šiame lapelyje nenurodytą, pasakykite gydytojui arba slaugytojui</w:t>
      </w:r>
      <w:r>
        <w:rPr>
          <w:szCs w:val="22"/>
        </w:rPr>
        <w:t>.</w:t>
      </w:r>
      <w:r>
        <w:rPr>
          <w:noProof/>
          <w:szCs w:val="22"/>
        </w:rPr>
        <w:t xml:space="preserve"> </w:t>
      </w:r>
      <w:r w:rsidRPr="005D554B">
        <w:rPr>
          <w:snapToGrid w:val="0"/>
        </w:rPr>
        <w:t xml:space="preserve">Pranešimą apie šalutinį poveikį galite </w:t>
      </w:r>
      <w:r>
        <w:rPr>
          <w:szCs w:val="22"/>
        </w:rPr>
        <w:t xml:space="preserve">užpildyti ir pateikti Valstybinės vaistų kontrolės tarnybos prie Lietuvos Respublikos sveikatos apsaugos ministerijos tinklalapyje </w:t>
      </w:r>
      <w:r>
        <w:rPr>
          <w:color w:val="0000EE"/>
          <w:szCs w:val="22"/>
          <w:u w:val="single"/>
        </w:rPr>
        <w:t>https://vvkt.lrv.lt/lt/</w:t>
      </w:r>
      <w:r>
        <w:rPr>
          <w:szCs w:val="22"/>
        </w:rPr>
        <w:t xml:space="preserve"> nurodytais būdais arba paskambinti </w:t>
      </w:r>
      <w:r w:rsidRPr="005D554B">
        <w:rPr>
          <w:snapToGrid w:val="0"/>
        </w:rPr>
        <w:t xml:space="preserve">nemokamu telefonu 8 800 73 568. </w:t>
      </w:r>
      <w:r>
        <w:rPr>
          <w:noProof/>
          <w:szCs w:val="22"/>
        </w:rPr>
        <w:t>Pranešdami apie šalutinį poveikį galite mums padėti gauti daugiau informacijos apie šio vaisto saugumą.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tabs>
          <w:tab w:val="left" w:pos="567"/>
        </w:tabs>
        <w:rPr>
          <w:b/>
          <w:szCs w:val="22"/>
        </w:rPr>
      </w:pPr>
    </w:p>
    <w:p w:rsidR="000A0215" w:rsidRDefault="000A0215" w:rsidP="000A0215">
      <w:pPr>
        <w:tabs>
          <w:tab w:val="left" w:pos="567"/>
        </w:tabs>
        <w:rPr>
          <w:szCs w:val="22"/>
        </w:rPr>
      </w:pPr>
      <w:r>
        <w:rPr>
          <w:b/>
          <w:szCs w:val="22"/>
        </w:rPr>
        <w:t>5.</w:t>
      </w:r>
      <w:r>
        <w:rPr>
          <w:b/>
          <w:szCs w:val="22"/>
        </w:rPr>
        <w:tab/>
        <w:t xml:space="preserve">Kaip laikyti </w:t>
      </w:r>
      <w:proofErr w:type="spellStart"/>
      <w:r>
        <w:rPr>
          <w:b/>
          <w:szCs w:val="22"/>
        </w:rPr>
        <w:t>Actilyse</w:t>
      </w:r>
      <w:proofErr w:type="spellEnd"/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Paprastai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laikyti Jūsų neprašys, kadangi šio vaisto Jums leis gydytojas.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Ši vaistą laikykite vaikams nepastebimoje ir nepasiekiamoje vietoje.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Laikyti ne aukštesnėje kaip 25 </w:t>
      </w:r>
      <w:r>
        <w:rPr>
          <w:szCs w:val="22"/>
        </w:rPr>
        <w:sym w:font="Symbol" w:char="F0B0"/>
      </w:r>
      <w:r>
        <w:rPr>
          <w:szCs w:val="22"/>
        </w:rPr>
        <w:t>C temperatūroje. Laikyti gamintojo pakuotėje, kad vaistas būtų apsaugotas nuo šviesos.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iCs/>
          <w:szCs w:val="22"/>
        </w:rPr>
      </w:pPr>
      <w:r>
        <w:rPr>
          <w:iCs/>
          <w:szCs w:val="22"/>
        </w:rPr>
        <w:t>Ant kartono dėžutės ir flakono etiketėje po „EXP“ nurodytam tinkamumo laikui pasibaigus, šio vaisto vartoti negalima. Vaistas tinkamas vartoti iki paskutinės nurodyto mėnesio dienos.</w:t>
      </w:r>
    </w:p>
    <w:p w:rsidR="000A0215" w:rsidRDefault="000A0215" w:rsidP="000A0215">
      <w:pPr>
        <w:rPr>
          <w:iCs/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  <w:u w:val="single"/>
        </w:rPr>
        <w:t>Paruoštas tirpalas</w:t>
      </w:r>
    </w:p>
    <w:p w:rsidR="000A0215" w:rsidRDefault="000A0215" w:rsidP="000A0215">
      <w:pPr>
        <w:rPr>
          <w:iCs/>
          <w:szCs w:val="22"/>
        </w:rPr>
      </w:pPr>
      <w:r>
        <w:rPr>
          <w:szCs w:val="22"/>
        </w:rPr>
        <w:t xml:space="preserve">Paruošto tirpalo stabilumas nekinta 24 val., laikant </w:t>
      </w:r>
      <w:r>
        <w:rPr>
          <w:noProof/>
          <w:szCs w:val="22"/>
        </w:rPr>
        <w:t>2 </w:t>
      </w:r>
      <w:r>
        <w:rPr>
          <w:noProof/>
          <w:szCs w:val="22"/>
        </w:rPr>
        <w:sym w:font="Symbol" w:char="F0B0"/>
      </w:r>
      <w:r>
        <w:rPr>
          <w:noProof/>
          <w:szCs w:val="22"/>
        </w:rPr>
        <w:t>C - 8 </w:t>
      </w:r>
      <w:r>
        <w:rPr>
          <w:noProof/>
          <w:szCs w:val="22"/>
        </w:rPr>
        <w:sym w:font="Symbol" w:char="F0B0"/>
      </w:r>
      <w:r>
        <w:rPr>
          <w:noProof/>
          <w:szCs w:val="22"/>
        </w:rPr>
        <w:t>C</w:t>
      </w:r>
      <w:r>
        <w:rPr>
          <w:szCs w:val="22"/>
        </w:rPr>
        <w:t xml:space="preserve"> temperatūroje, laikant </w:t>
      </w:r>
      <w:r>
        <w:rPr>
          <w:noProof/>
          <w:szCs w:val="22"/>
        </w:rPr>
        <w:t>25 </w:t>
      </w:r>
      <w:r>
        <w:rPr>
          <w:noProof/>
          <w:szCs w:val="22"/>
        </w:rPr>
        <w:sym w:font="Symbol" w:char="F0B0"/>
      </w:r>
      <w:r>
        <w:rPr>
          <w:noProof/>
          <w:szCs w:val="22"/>
        </w:rPr>
        <w:t xml:space="preserve">C  temperatūroje </w:t>
      </w:r>
      <w:r>
        <w:rPr>
          <w:noProof/>
          <w:szCs w:val="22"/>
        </w:rPr>
        <w:sym w:font="Symbol" w:char="F02D"/>
      </w:r>
      <w:r>
        <w:rPr>
          <w:noProof/>
          <w:szCs w:val="22"/>
        </w:rPr>
        <w:t xml:space="preserve"> 8 val.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Mikrobiologiniu požiūriu ištirpintą vaistą reikia leisti nedelsiant. Jeigu tuoj pat jis neleidžiamas, už laikymo trukmę ir sąlygas prieš vartojimą yra atsakingas gydantis asmuo, tačiau ilgiau negu 24 valandas </w:t>
      </w:r>
      <w:r>
        <w:rPr>
          <w:noProof/>
          <w:szCs w:val="22"/>
        </w:rPr>
        <w:t>2 </w:t>
      </w:r>
      <w:r>
        <w:rPr>
          <w:noProof/>
          <w:szCs w:val="22"/>
        </w:rPr>
        <w:sym w:font="Symbol" w:char="F0B0"/>
      </w:r>
      <w:r>
        <w:rPr>
          <w:noProof/>
          <w:szCs w:val="22"/>
        </w:rPr>
        <w:t>C–8 </w:t>
      </w:r>
      <w:r>
        <w:rPr>
          <w:noProof/>
          <w:szCs w:val="22"/>
        </w:rPr>
        <w:sym w:font="Symbol" w:char="F0B0"/>
      </w:r>
      <w:r>
        <w:rPr>
          <w:noProof/>
          <w:szCs w:val="22"/>
        </w:rPr>
        <w:t>C</w:t>
      </w:r>
      <w:r>
        <w:rPr>
          <w:szCs w:val="22"/>
        </w:rPr>
        <w:t xml:space="preserve"> temperatūroje laikyti negalima.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tabs>
          <w:tab w:val="left" w:pos="567"/>
        </w:tabs>
        <w:rPr>
          <w:b/>
          <w:szCs w:val="22"/>
        </w:rPr>
      </w:pPr>
      <w:r>
        <w:rPr>
          <w:b/>
          <w:szCs w:val="22"/>
        </w:rPr>
        <w:t>6.</w:t>
      </w:r>
      <w:r>
        <w:rPr>
          <w:b/>
          <w:szCs w:val="22"/>
        </w:rPr>
        <w:tab/>
        <w:t>Pakuotės turinys ir kita informacija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  <w:u w:val="single"/>
        </w:rPr>
      </w:pPr>
      <w:proofErr w:type="spellStart"/>
      <w:r>
        <w:rPr>
          <w:b/>
          <w:bCs/>
          <w:szCs w:val="22"/>
        </w:rPr>
        <w:t>Actilyse</w:t>
      </w:r>
      <w:proofErr w:type="spellEnd"/>
      <w:r>
        <w:rPr>
          <w:b/>
          <w:bCs/>
          <w:szCs w:val="22"/>
        </w:rPr>
        <w:t xml:space="preserve"> sudėtis</w:t>
      </w:r>
    </w:p>
    <w:p w:rsidR="000A0215" w:rsidRDefault="000A0215" w:rsidP="000A0215">
      <w:pPr>
        <w:ind w:left="567" w:hanging="567"/>
        <w:rPr>
          <w:caps/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 xml:space="preserve">Veiklioji medžiaga yra </w:t>
      </w:r>
      <w:proofErr w:type="spellStart"/>
      <w:r>
        <w:rPr>
          <w:szCs w:val="22"/>
        </w:rPr>
        <w:t>alteplazė</w:t>
      </w:r>
      <w:proofErr w:type="spellEnd"/>
      <w:r>
        <w:rPr>
          <w:szCs w:val="22"/>
        </w:rPr>
        <w:t xml:space="preserve">. Kiekviename flakone yra 50 mg (atitinka 29 000 000 TV)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. </w:t>
      </w:r>
      <w:proofErr w:type="spellStart"/>
      <w:r w:rsidRPr="009742D0">
        <w:rPr>
          <w:szCs w:val="22"/>
        </w:rPr>
        <w:t>Alteplazė</w:t>
      </w:r>
      <w:proofErr w:type="spellEnd"/>
      <w:r w:rsidRPr="009742D0">
        <w:rPr>
          <w:szCs w:val="22"/>
        </w:rPr>
        <w:t xml:space="preserve"> gaminama </w:t>
      </w:r>
      <w:proofErr w:type="spellStart"/>
      <w:r w:rsidRPr="009742D0">
        <w:rPr>
          <w:szCs w:val="22"/>
        </w:rPr>
        <w:t>rekombinantiniu</w:t>
      </w:r>
      <w:proofErr w:type="spellEnd"/>
      <w:r w:rsidRPr="009742D0">
        <w:rPr>
          <w:szCs w:val="22"/>
        </w:rPr>
        <w:t xml:space="preserve"> DNR būdu, naudojant kininių žiurkėnų kiaušidžių ląstelių liniją.</w:t>
      </w:r>
    </w:p>
    <w:p w:rsidR="000A0215" w:rsidRDefault="000A0215" w:rsidP="000A0215">
      <w:pPr>
        <w:ind w:left="567" w:hanging="56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 xml:space="preserve">Pagalbinės medžiagos yra </w:t>
      </w:r>
      <w:proofErr w:type="spellStart"/>
      <w:r>
        <w:rPr>
          <w:szCs w:val="22"/>
        </w:rPr>
        <w:t>argininas</w:t>
      </w:r>
      <w:proofErr w:type="spellEnd"/>
      <w:r>
        <w:rPr>
          <w:szCs w:val="22"/>
        </w:rPr>
        <w:t xml:space="preserve">, fosfato rūgštis (pH koreguoti) ir </w:t>
      </w:r>
      <w:proofErr w:type="spellStart"/>
      <w:r>
        <w:rPr>
          <w:szCs w:val="22"/>
        </w:rPr>
        <w:t>polisorbatas</w:t>
      </w:r>
      <w:proofErr w:type="spellEnd"/>
      <w:r>
        <w:rPr>
          <w:szCs w:val="22"/>
        </w:rPr>
        <w:t> 80.</w:t>
      </w:r>
    </w:p>
    <w:p w:rsidR="000A0215" w:rsidRDefault="000A0215" w:rsidP="000A0215">
      <w:pPr>
        <w:tabs>
          <w:tab w:val="left" w:pos="567"/>
        </w:tabs>
        <w:ind w:left="567" w:hanging="567"/>
        <w:rPr>
          <w:szCs w:val="22"/>
        </w:rPr>
      </w:pPr>
      <w:r>
        <w:rPr>
          <w:szCs w:val="22"/>
        </w:rPr>
        <w:sym w:font="Symbol" w:char="F0B7"/>
      </w:r>
      <w:r>
        <w:rPr>
          <w:szCs w:val="22"/>
        </w:rPr>
        <w:tab/>
        <w:t xml:space="preserve">Tirpiklis </w:t>
      </w:r>
      <w:r>
        <w:rPr>
          <w:szCs w:val="22"/>
        </w:rPr>
        <w:sym w:font="Symbol" w:char="F02D"/>
      </w:r>
      <w:r>
        <w:rPr>
          <w:szCs w:val="22"/>
        </w:rPr>
        <w:t xml:space="preserve"> injekcinis vanduo.</w:t>
      </w:r>
    </w:p>
    <w:p w:rsidR="000A0215" w:rsidRDefault="000A0215" w:rsidP="000A0215">
      <w:pPr>
        <w:rPr>
          <w:b/>
          <w:bCs/>
          <w:szCs w:val="22"/>
        </w:rPr>
      </w:pPr>
    </w:p>
    <w:p w:rsidR="000A0215" w:rsidRDefault="000A0215" w:rsidP="000A0215">
      <w:pPr>
        <w:rPr>
          <w:b/>
          <w:bCs/>
          <w:szCs w:val="22"/>
        </w:rPr>
      </w:pPr>
      <w:proofErr w:type="spellStart"/>
      <w:r>
        <w:rPr>
          <w:b/>
          <w:bCs/>
          <w:szCs w:val="22"/>
        </w:rPr>
        <w:t>Actilyse</w:t>
      </w:r>
      <w:proofErr w:type="spellEnd"/>
      <w:r>
        <w:rPr>
          <w:b/>
          <w:szCs w:val="22"/>
        </w:rPr>
        <w:t xml:space="preserve"> </w:t>
      </w:r>
      <w:r>
        <w:rPr>
          <w:b/>
          <w:bCs/>
          <w:szCs w:val="22"/>
        </w:rPr>
        <w:t>išvaizda ir kiekis pakuotėje</w:t>
      </w:r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yra milteliai ir tirpiklis injekciniam ar infuziniam tirpalui. Kiekvienoje pakuotėje yra vienas miltelių flakonas ir vienas tirpiklio flakonas.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Miltelių išvaizda: bespalvis arba blankiai geltonas </w:t>
      </w:r>
      <w:proofErr w:type="spellStart"/>
      <w:r>
        <w:rPr>
          <w:szCs w:val="22"/>
        </w:rPr>
        <w:t>liofilizato</w:t>
      </w:r>
      <w:proofErr w:type="spellEnd"/>
      <w:r>
        <w:rPr>
          <w:szCs w:val="22"/>
        </w:rPr>
        <w:t xml:space="preserve"> gumulėlis.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>Tirpiklio išvaizda: skaidrus bespalvis skystis.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Pakuotės dydis</w:t>
      </w:r>
    </w:p>
    <w:p w:rsidR="000A0215" w:rsidRDefault="000A0215" w:rsidP="000A0215">
      <w:pPr>
        <w:pStyle w:val="ColorfulList-Accent11"/>
        <w:numPr>
          <w:ilvl w:val="0"/>
          <w:numId w:val="14"/>
        </w:numPr>
        <w:ind w:left="567" w:hanging="567"/>
      </w:pPr>
      <w:r>
        <w:t xml:space="preserve">Vienas miltelių flakonas, kuriame yra 50 mg </w:t>
      </w:r>
      <w:proofErr w:type="spellStart"/>
      <w:r>
        <w:t>alteplazės</w:t>
      </w:r>
      <w:proofErr w:type="spellEnd"/>
      <w:r>
        <w:t>, vienas flakonas, kuriame yra 50 ml tirpiklio, ir viena perpilamoji kaniulė.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bCs/>
          <w:szCs w:val="22"/>
        </w:rPr>
      </w:pPr>
      <w:r>
        <w:rPr>
          <w:b/>
          <w:szCs w:val="22"/>
        </w:rPr>
        <w:t>Registruotojas</w:t>
      </w:r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Boehringer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Ingelheim</w:t>
      </w:r>
      <w:proofErr w:type="spellEnd"/>
      <w:r>
        <w:rPr>
          <w:szCs w:val="22"/>
        </w:rPr>
        <w:t xml:space="preserve"> International </w:t>
      </w:r>
      <w:proofErr w:type="spellStart"/>
      <w:r>
        <w:rPr>
          <w:szCs w:val="22"/>
        </w:rPr>
        <w:t>GmbH</w:t>
      </w:r>
      <w:proofErr w:type="spellEnd"/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Binger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Strasse</w:t>
      </w:r>
      <w:proofErr w:type="spellEnd"/>
      <w:r>
        <w:rPr>
          <w:szCs w:val="22"/>
        </w:rPr>
        <w:t xml:space="preserve"> 173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55216 </w:t>
      </w:r>
      <w:proofErr w:type="spellStart"/>
      <w:r>
        <w:rPr>
          <w:szCs w:val="22"/>
        </w:rPr>
        <w:t>Ingelheim</w:t>
      </w:r>
      <w:proofErr w:type="spellEnd"/>
      <w:r>
        <w:rPr>
          <w:szCs w:val="22"/>
        </w:rPr>
        <w:t xml:space="preserve"> am </w:t>
      </w:r>
      <w:proofErr w:type="spellStart"/>
      <w:r>
        <w:rPr>
          <w:szCs w:val="22"/>
        </w:rPr>
        <w:t>Rhein</w:t>
      </w:r>
      <w:proofErr w:type="spellEnd"/>
    </w:p>
    <w:p w:rsidR="000A0215" w:rsidRDefault="000A0215" w:rsidP="000A0215">
      <w:pPr>
        <w:rPr>
          <w:szCs w:val="22"/>
        </w:rPr>
      </w:pPr>
      <w:r>
        <w:rPr>
          <w:szCs w:val="22"/>
        </w:rPr>
        <w:t>Vokietija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  <w:szCs w:val="22"/>
        </w:rPr>
      </w:pPr>
      <w:r>
        <w:rPr>
          <w:b/>
          <w:szCs w:val="22"/>
        </w:rPr>
        <w:t>Gamintojas</w:t>
      </w:r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Boehringer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Ingelheim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Pharma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GmbH</w:t>
      </w:r>
      <w:proofErr w:type="spellEnd"/>
      <w:r>
        <w:rPr>
          <w:szCs w:val="22"/>
        </w:rPr>
        <w:t xml:space="preserve"> </w:t>
      </w:r>
      <w:r>
        <w:rPr>
          <w:szCs w:val="22"/>
        </w:rPr>
        <w:sym w:font="Symbol" w:char="F026"/>
      </w:r>
      <w:r>
        <w:rPr>
          <w:szCs w:val="22"/>
        </w:rPr>
        <w:t xml:space="preserve"> </w:t>
      </w:r>
      <w:proofErr w:type="spellStart"/>
      <w:r>
        <w:rPr>
          <w:szCs w:val="22"/>
        </w:rPr>
        <w:t>Co</w:t>
      </w:r>
      <w:proofErr w:type="spellEnd"/>
      <w:r>
        <w:rPr>
          <w:szCs w:val="22"/>
        </w:rPr>
        <w:t>. KG</w:t>
      </w:r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Birkendorfer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Strasse</w:t>
      </w:r>
      <w:proofErr w:type="spellEnd"/>
      <w:r>
        <w:rPr>
          <w:szCs w:val="22"/>
        </w:rPr>
        <w:t xml:space="preserve"> 65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88397 </w:t>
      </w:r>
      <w:proofErr w:type="spellStart"/>
      <w:r>
        <w:rPr>
          <w:szCs w:val="22"/>
        </w:rPr>
        <w:t>Biberach</w:t>
      </w:r>
      <w:proofErr w:type="spellEnd"/>
      <w:r>
        <w:rPr>
          <w:szCs w:val="22"/>
        </w:rPr>
        <w:t>/</w:t>
      </w:r>
      <w:proofErr w:type="spellStart"/>
      <w:r>
        <w:rPr>
          <w:szCs w:val="22"/>
        </w:rPr>
        <w:t>Riss</w:t>
      </w:r>
      <w:proofErr w:type="spellEnd"/>
    </w:p>
    <w:p w:rsidR="000A0215" w:rsidRDefault="000A0215" w:rsidP="000A0215">
      <w:pPr>
        <w:rPr>
          <w:szCs w:val="22"/>
        </w:rPr>
      </w:pPr>
      <w:r>
        <w:rPr>
          <w:szCs w:val="22"/>
        </w:rPr>
        <w:t>Vokietija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  <w:shd w:val="pct15" w:color="auto" w:fill="FFFFFF"/>
        </w:rPr>
      </w:pPr>
      <w:proofErr w:type="spellStart"/>
      <w:r>
        <w:rPr>
          <w:szCs w:val="22"/>
          <w:shd w:val="pct15" w:color="auto" w:fill="FFFFFF"/>
        </w:rPr>
        <w:t>Boehringer</w:t>
      </w:r>
      <w:proofErr w:type="spellEnd"/>
      <w:r>
        <w:rPr>
          <w:szCs w:val="22"/>
          <w:shd w:val="pct15" w:color="auto" w:fill="FFFFFF"/>
        </w:rPr>
        <w:t xml:space="preserve"> </w:t>
      </w:r>
      <w:proofErr w:type="spellStart"/>
      <w:r>
        <w:rPr>
          <w:szCs w:val="22"/>
          <w:shd w:val="pct15" w:color="auto" w:fill="FFFFFF"/>
        </w:rPr>
        <w:t>Ingelheim</w:t>
      </w:r>
      <w:proofErr w:type="spellEnd"/>
      <w:r>
        <w:rPr>
          <w:szCs w:val="22"/>
          <w:shd w:val="pct15" w:color="auto" w:fill="FFFFFF"/>
        </w:rPr>
        <w:t xml:space="preserve"> France</w:t>
      </w:r>
    </w:p>
    <w:p w:rsidR="000A0215" w:rsidRDefault="000A0215" w:rsidP="000A0215">
      <w:pPr>
        <w:rPr>
          <w:szCs w:val="22"/>
          <w:shd w:val="pct15" w:color="auto" w:fill="FFFFFF"/>
        </w:rPr>
      </w:pPr>
      <w:r>
        <w:rPr>
          <w:szCs w:val="22"/>
          <w:shd w:val="pct15" w:color="auto" w:fill="FFFFFF"/>
        </w:rPr>
        <w:t xml:space="preserve">100-104 </w:t>
      </w:r>
      <w:proofErr w:type="spellStart"/>
      <w:r>
        <w:rPr>
          <w:szCs w:val="22"/>
          <w:shd w:val="pct15" w:color="auto" w:fill="FFFFFF"/>
        </w:rPr>
        <w:t>avenue</w:t>
      </w:r>
      <w:proofErr w:type="spellEnd"/>
      <w:r>
        <w:rPr>
          <w:szCs w:val="22"/>
          <w:shd w:val="pct15" w:color="auto" w:fill="FFFFFF"/>
        </w:rPr>
        <w:t xml:space="preserve"> de France</w:t>
      </w:r>
    </w:p>
    <w:p w:rsidR="000A0215" w:rsidRDefault="000A0215" w:rsidP="000A0215">
      <w:pPr>
        <w:rPr>
          <w:szCs w:val="22"/>
          <w:shd w:val="pct15" w:color="auto" w:fill="FFFFFF"/>
        </w:rPr>
      </w:pPr>
      <w:r>
        <w:rPr>
          <w:szCs w:val="22"/>
          <w:shd w:val="pct15" w:color="auto" w:fill="FFFFFF"/>
        </w:rPr>
        <w:t>75013 Paris</w:t>
      </w:r>
    </w:p>
    <w:p w:rsidR="000A0215" w:rsidRDefault="000A0215" w:rsidP="000A0215">
      <w:pPr>
        <w:rPr>
          <w:szCs w:val="22"/>
        </w:rPr>
      </w:pPr>
      <w:r>
        <w:rPr>
          <w:szCs w:val="22"/>
          <w:shd w:val="pct15" w:color="auto" w:fill="FFFFFF"/>
        </w:rPr>
        <w:t>Prancūzija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Jeigu apie šį vaistą norite sužinoti daugiau, kreipkitės į vietinį registruotojo atstovą.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Boehringer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Ingelheim</w:t>
      </w:r>
      <w:proofErr w:type="spellEnd"/>
      <w:r>
        <w:rPr>
          <w:szCs w:val="22"/>
        </w:rPr>
        <w:t xml:space="preserve"> RCV </w:t>
      </w:r>
      <w:proofErr w:type="spellStart"/>
      <w:r>
        <w:rPr>
          <w:szCs w:val="22"/>
        </w:rPr>
        <w:t>GmbH</w:t>
      </w:r>
      <w:proofErr w:type="spellEnd"/>
      <w:r>
        <w:rPr>
          <w:szCs w:val="22"/>
        </w:rPr>
        <w:t xml:space="preserve"> &amp; </w:t>
      </w:r>
      <w:proofErr w:type="spellStart"/>
      <w:r>
        <w:rPr>
          <w:szCs w:val="22"/>
        </w:rPr>
        <w:t>Co</w:t>
      </w:r>
      <w:proofErr w:type="spellEnd"/>
      <w:r>
        <w:rPr>
          <w:szCs w:val="22"/>
        </w:rPr>
        <w:t xml:space="preserve"> KG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>Lietuvos filialas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>Ukmergės g. 219</w:t>
      </w:r>
    </w:p>
    <w:p w:rsidR="000A0215" w:rsidRPr="007A29B5" w:rsidRDefault="000A0215" w:rsidP="000A0215">
      <w:pPr>
        <w:rPr>
          <w:szCs w:val="22"/>
        </w:rPr>
      </w:pPr>
      <w:r w:rsidRPr="007A29B5">
        <w:rPr>
          <w:szCs w:val="22"/>
        </w:rPr>
        <w:t>07152 Vilnius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>Tel: +370 5 2595942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b/>
          <w:bCs/>
          <w:szCs w:val="22"/>
        </w:rPr>
        <w:t xml:space="preserve">Šis pakuotės </w:t>
      </w:r>
      <w:r>
        <w:rPr>
          <w:b/>
          <w:szCs w:val="22"/>
        </w:rPr>
        <w:t xml:space="preserve">lapelis paskutinį kartą peržiūrėtas 2024-11-14. 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numPr>
          <w:ilvl w:val="12"/>
          <w:numId w:val="0"/>
        </w:numPr>
        <w:ind w:right="-2"/>
        <w:rPr>
          <w:szCs w:val="22"/>
        </w:rPr>
      </w:pPr>
      <w:r>
        <w:rPr>
          <w:szCs w:val="22"/>
        </w:rPr>
        <w:t>Išsami informacija apie šį vaistą pateikiama Valstybinės vaistų kontrolės tarnybos prie Lietuvos Respublikos sveikatos apsaugos ministerijos tinklalapyje</w:t>
      </w:r>
      <w:r>
        <w:rPr>
          <w:i/>
          <w:szCs w:val="22"/>
        </w:rPr>
        <w:t xml:space="preserve"> </w:t>
      </w:r>
      <w:r w:rsidRPr="005A0CE3">
        <w:rPr>
          <w:color w:val="0000EE"/>
          <w:szCs w:val="22"/>
          <w:u w:val="single"/>
        </w:rPr>
        <w:t>https://vvkt.lrv.lt/lt/</w:t>
      </w:r>
      <w:r w:rsidRPr="005A0CE3">
        <w:rPr>
          <w:szCs w:val="22"/>
        </w:rPr>
        <w:t>.</w:t>
      </w:r>
    </w:p>
    <w:p w:rsidR="000A0215" w:rsidRDefault="000A0215" w:rsidP="000A0215">
      <w:pPr>
        <w:pBdr>
          <w:bottom w:val="single" w:sz="6" w:space="1" w:color="auto"/>
        </w:pBdr>
        <w:rPr>
          <w:szCs w:val="22"/>
        </w:rPr>
      </w:pPr>
    </w:p>
    <w:p w:rsidR="000A0215" w:rsidRDefault="000A0215" w:rsidP="000A0215"/>
    <w:p w:rsidR="000A0215" w:rsidRDefault="000A0215" w:rsidP="000A0215">
      <w:pPr>
        <w:keepNext/>
        <w:rPr>
          <w:b/>
        </w:rPr>
      </w:pPr>
      <w:r>
        <w:rPr>
          <w:b/>
        </w:rPr>
        <w:t>Toliau pateikta informacija skirta tik sveikatos priežiūros specialistams</w:t>
      </w:r>
    </w:p>
    <w:p w:rsidR="000A0215" w:rsidRDefault="000A0215" w:rsidP="000A0215">
      <w:pPr>
        <w:keepNext/>
      </w:pPr>
    </w:p>
    <w:p w:rsidR="000A0215" w:rsidRDefault="000A0215" w:rsidP="000A0215">
      <w:pPr>
        <w:keepNext/>
        <w:rPr>
          <w:szCs w:val="22"/>
          <w:u w:val="single"/>
        </w:rPr>
      </w:pPr>
      <w:r>
        <w:rPr>
          <w:szCs w:val="22"/>
          <w:u w:val="single"/>
        </w:rPr>
        <w:t>Atsekamumas</w:t>
      </w:r>
    </w:p>
    <w:p w:rsidR="000A0215" w:rsidRDefault="000A0215" w:rsidP="000A0215">
      <w:pPr>
        <w:keepNext/>
        <w:rPr>
          <w:szCs w:val="22"/>
        </w:rPr>
      </w:pPr>
      <w:r>
        <w:rPr>
          <w:szCs w:val="22"/>
        </w:rPr>
        <w:t>Siekiant pagerinti biologinių vaistinių preparatų atsekamumą, reikia aiškiai užrašyti paskirto vaistinio preparato pavadinimą ir serijos numerį.</w:t>
      </w:r>
    </w:p>
    <w:p w:rsidR="000A0215" w:rsidRDefault="000A0215" w:rsidP="000A0215">
      <w:pPr>
        <w:keepNext/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Ūminiam miokardo infarktui, ūminei masyviai plaučių embolijai ar ūminiam išeminiam insultui gydyti 2 mg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 vaistinis preparatas neskirtas (dėl masinio dozavimo nepilna doze rizikos). Šių indikacijų atvejais tinka tik 50 mg vaistinis preparatas.</w:t>
      </w:r>
    </w:p>
    <w:p w:rsidR="000A0215" w:rsidRDefault="000A0215" w:rsidP="000A0215"/>
    <w:p w:rsidR="000A0215" w:rsidRDefault="000A0215" w:rsidP="000A0215">
      <w:pPr>
        <w:rPr>
          <w:b/>
        </w:rPr>
      </w:pPr>
      <w:r>
        <w:rPr>
          <w:b/>
        </w:rPr>
        <w:t>Tirpinimas</w:t>
      </w:r>
    </w:p>
    <w:p w:rsidR="000A0215" w:rsidRDefault="000A0215" w:rsidP="000A0215">
      <w:pPr>
        <w:rPr>
          <w:b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Kad 1 ml paruošto tirpalo būtų 1 mg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, į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miltelių flakoną reikia suleisti visą jo pakuotėje esantį tirpiklį. Tam atlikti pakuotėje yra perpilamoji kaniulė, kuria reikia naudotis.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Kad paruoštame tirpale būtų 2 mg/ml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, į miltelių flakoną reikia suleisti tik pusę jo pakuotėje esančio tirpiklio. Šiuo atveju reikiamą kiekį tirpiklio į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miltelių flakoną visada reikia leisti švirkštu.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miltelius reikia </w:t>
      </w:r>
      <w:proofErr w:type="spellStart"/>
      <w:r>
        <w:rPr>
          <w:szCs w:val="22"/>
        </w:rPr>
        <w:t>aseptinėmis</w:t>
      </w:r>
      <w:proofErr w:type="spellEnd"/>
      <w:r>
        <w:rPr>
          <w:szCs w:val="22"/>
        </w:rPr>
        <w:t xml:space="preserve"> sąlygomis tirpinti lentelėje nurodytame injekcinio vandens kiekyje, kad galutinė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 koncentracija tirpale būtų 1 mg/ml arba 2 mg/ml.</w:t>
      </w:r>
    </w:p>
    <w:p w:rsidR="000A0215" w:rsidRDefault="000A0215" w:rsidP="000A0215">
      <w:pPr>
        <w:rPr>
          <w:szCs w:val="22"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8"/>
        <w:gridCol w:w="2977"/>
      </w:tblGrid>
      <w:tr w:rsidR="000A0215" w:rsidTr="00634A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bidi="th-TH"/>
              </w:rPr>
            </w:pPr>
            <w:proofErr w:type="spellStart"/>
            <w:r>
              <w:rPr>
                <w:szCs w:val="22"/>
                <w:lang w:bidi="th-TH"/>
              </w:rPr>
              <w:t>Actilyse</w:t>
            </w:r>
            <w:proofErr w:type="spellEnd"/>
            <w:r>
              <w:rPr>
                <w:szCs w:val="22"/>
                <w:lang w:bidi="th-TH"/>
              </w:rPr>
              <w:t xml:space="preserve">  milteliai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50 mg</w:t>
            </w:r>
          </w:p>
        </w:tc>
      </w:tr>
      <w:tr w:rsidR="000A0215" w:rsidTr="00634A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szCs w:val="22"/>
                <w:lang w:bidi="th-TH"/>
              </w:rPr>
            </w:pPr>
            <w:r>
              <w:rPr>
                <w:lang w:bidi="th-TH"/>
              </w:rPr>
              <w:t>(a) Sterilaus injekcinio vandens kiekis, reikalingas sausiems milteliams praskiesti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50 ml</w:t>
            </w:r>
          </w:p>
        </w:tc>
      </w:tr>
      <w:tr w:rsidR="000A0215" w:rsidTr="00634A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szCs w:val="22"/>
                <w:lang w:bidi="th-TH"/>
              </w:rPr>
            </w:pPr>
            <w:r>
              <w:rPr>
                <w:lang w:bidi="th-TH"/>
              </w:rPr>
              <w:t>Galutinė koncentracija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bidi="th-TH"/>
              </w:rPr>
            </w:pPr>
            <w:r>
              <w:rPr>
                <w:lang w:bidi="th-TH"/>
              </w:rPr>
              <w:t xml:space="preserve">1 mg </w:t>
            </w:r>
            <w:proofErr w:type="spellStart"/>
            <w:r>
              <w:rPr>
                <w:lang w:bidi="th-TH"/>
              </w:rPr>
              <w:t>alteplazės</w:t>
            </w:r>
            <w:proofErr w:type="spellEnd"/>
            <w:r>
              <w:rPr>
                <w:lang w:bidi="th-TH"/>
              </w:rPr>
              <w:t>/ml</w:t>
            </w:r>
          </w:p>
        </w:tc>
      </w:tr>
      <w:tr w:rsidR="000A0215" w:rsidTr="00634A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szCs w:val="22"/>
                <w:lang w:bidi="th-TH"/>
              </w:rPr>
            </w:pPr>
            <w:r>
              <w:rPr>
                <w:lang w:bidi="th-TH"/>
              </w:rPr>
              <w:t>(b) Sterilaus injekcinio vandens kiekis, reikalingas sausiems milteliams praskiesti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25 ml</w:t>
            </w:r>
          </w:p>
        </w:tc>
      </w:tr>
      <w:tr w:rsidR="000A0215" w:rsidTr="00634A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szCs w:val="22"/>
                <w:lang w:bidi="th-TH"/>
              </w:rPr>
            </w:pPr>
            <w:r>
              <w:rPr>
                <w:lang w:bidi="th-TH"/>
              </w:rPr>
              <w:t>Galutinė koncentracija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bidi="th-TH"/>
              </w:rPr>
            </w:pPr>
            <w:r>
              <w:rPr>
                <w:lang w:bidi="th-TH"/>
              </w:rPr>
              <w:t xml:space="preserve">2 mg </w:t>
            </w:r>
            <w:proofErr w:type="spellStart"/>
            <w:r>
              <w:rPr>
                <w:lang w:bidi="th-TH"/>
              </w:rPr>
              <w:t>alteplazės</w:t>
            </w:r>
            <w:proofErr w:type="spellEnd"/>
            <w:r>
              <w:rPr>
                <w:lang w:bidi="th-TH"/>
              </w:rPr>
              <w:t>/ml</w:t>
            </w:r>
          </w:p>
        </w:tc>
      </w:tr>
    </w:tbl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Paruoštą tirpalą reikia leisti į veną. </w:t>
      </w:r>
      <w:r>
        <w:t>1 mg/ml paruošto tirpalo</w:t>
      </w:r>
      <w:r>
        <w:rPr>
          <w:szCs w:val="22"/>
        </w:rPr>
        <w:t xml:space="preserve"> reikia skiesti steriliu natrio chlorido 9 mg/ml (0,9 %) tirpalu iki mažiausios koncentracijos 0,2 mg/ml, kol paruoštame tirpale išnyks </w:t>
      </w:r>
      <w:proofErr w:type="spellStart"/>
      <w:r>
        <w:rPr>
          <w:szCs w:val="22"/>
        </w:rPr>
        <w:t>drumstumas</w:t>
      </w:r>
      <w:proofErr w:type="spellEnd"/>
      <w:r>
        <w:rPr>
          <w:szCs w:val="22"/>
        </w:rPr>
        <w:t xml:space="preserve">. Paruoštą </w:t>
      </w:r>
      <w:r>
        <w:t xml:space="preserve">1 mg/ml </w:t>
      </w:r>
      <w:r>
        <w:rPr>
          <w:szCs w:val="22"/>
        </w:rPr>
        <w:t xml:space="preserve">tirpalą skiesti steriliu injekciniu vandeniu arba apskritai naudoti sacharidų, pvz., gliukozės infuzinį tirpalą, nerekomenduojama, kadangi gali padidėti paruošto tirpalo </w:t>
      </w:r>
      <w:proofErr w:type="spellStart"/>
      <w:r>
        <w:rPr>
          <w:szCs w:val="22"/>
        </w:rPr>
        <w:t>drumstumas</w:t>
      </w:r>
      <w:proofErr w:type="spellEnd"/>
      <w:r>
        <w:rPr>
          <w:szCs w:val="22"/>
        </w:rPr>
        <w:t xml:space="preserve">. Tame pačiame infuziniame flakone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su kitais vaistiniais preparatais (net heparinu) maišyti negalima.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Laikymo sąlygos nurodytos šio lapelio 5 skyriuje.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Paruoštas tirpalas tinka vartoti tik vieną kartą. Nesuvartotą tirpalą reikia sunaikinti laikantis vietinių reikalavimų.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  <w:u w:val="single"/>
        </w:rPr>
      </w:pPr>
      <w:proofErr w:type="spellStart"/>
      <w:r>
        <w:rPr>
          <w:szCs w:val="22"/>
          <w:u w:val="single"/>
        </w:rPr>
        <w:t>Actilyse</w:t>
      </w:r>
      <w:proofErr w:type="spellEnd"/>
      <w:r>
        <w:rPr>
          <w:szCs w:val="22"/>
          <w:u w:val="single"/>
        </w:rPr>
        <w:t xml:space="preserve"> paruošimo instrukcija</w:t>
      </w:r>
    </w:p>
    <w:p w:rsidR="000A0215" w:rsidRDefault="000A0215" w:rsidP="000A0215">
      <w:pPr>
        <w:rPr>
          <w:szCs w:val="22"/>
        </w:rPr>
      </w:pP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"/>
        <w:gridCol w:w="4545"/>
        <w:gridCol w:w="4785"/>
      </w:tblGrid>
      <w:tr w:rsidR="000A0215" w:rsidTr="00634AB3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val="en-US" w:bidi="th-TH"/>
              </w:rPr>
            </w:pPr>
            <w:r>
              <w:rPr>
                <w:szCs w:val="22"/>
                <w:lang w:bidi="th-TH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Ištirpinti tik prieš pat vartojimą.</w:t>
            </w:r>
          </w:p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jc w:val="center"/>
              <w:rPr>
                <w:szCs w:val="22"/>
                <w:lang w:val="en-US" w:bidi="th-TH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1A09B152" wp14:editId="00E45249">
                  <wp:extent cx="2600325" cy="1609725"/>
                  <wp:effectExtent l="0" t="0" r="9525" b="9525"/>
                  <wp:docPr id="164893596" name="Picture 3" descr="A close-up of a few bottl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675334" name="Picture 3" descr="A close-up of a few bottles&#10;&#10;Description automatically generated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730" b="13423"/>
                          <a:stretch/>
                        </pic:blipFill>
                        <pic:spPr bwMode="auto">
                          <a:xfrm>
                            <a:off x="0" y="0"/>
                            <a:ext cx="2600325" cy="16097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val="en-US" w:bidi="th-TH"/>
              </w:rPr>
            </w:pPr>
          </w:p>
        </w:tc>
      </w:tr>
      <w:tr w:rsidR="000A0215" w:rsidRPr="00490C0E" w:rsidTr="00634AB3">
        <w:trPr>
          <w:trHeight w:val="293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2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 xml:space="preserve">Nuo dviejų flakonų, kurių viename yra sterilus injekcinis vanduo, kitame - </w:t>
            </w:r>
            <w:proofErr w:type="spellStart"/>
            <w:r>
              <w:rPr>
                <w:szCs w:val="22"/>
                <w:lang w:bidi="th-TH"/>
              </w:rPr>
              <w:t>Actilyse</w:t>
            </w:r>
            <w:proofErr w:type="spellEnd"/>
            <w:r>
              <w:rPr>
                <w:szCs w:val="22"/>
                <w:lang w:bidi="th-TH"/>
              </w:rPr>
              <w:t xml:space="preserve"> miltelių, nykščiu nustumti apsauginius dangtelius.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  <w:r>
              <w:rPr>
                <w:rFonts w:ascii="Calibri" w:eastAsia="SimSun" w:hAnsi="Calibri" w:cs="Cordia New"/>
                <w:noProof/>
                <w:szCs w:val="28"/>
              </w:rPr>
              <w:drawing>
                <wp:inline distT="0" distB="0" distL="0" distR="0" wp14:anchorId="52357689" wp14:editId="68115291">
                  <wp:extent cx="1273929" cy="1764000"/>
                  <wp:effectExtent l="0" t="0" r="2540" b="8255"/>
                  <wp:docPr id="1641078095" name="Picture 4" descr="A close-up of a hand holding a bott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2027043" name="Picture 4" descr="A close-up of a hand holding a bottle&#10;&#10;Description automatically generated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122" r="15969" b="16813"/>
                          <a:stretch/>
                        </pic:blipFill>
                        <pic:spPr bwMode="auto">
                          <a:xfrm>
                            <a:off x="0" y="0"/>
                            <a:ext cx="1273929" cy="176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SimSun" w:hAnsi="Calibri" w:cs="Cordia New"/>
                <w:noProof/>
                <w:szCs w:val="28"/>
              </w:rPr>
              <w:drawing>
                <wp:inline distT="0" distB="0" distL="0" distR="0" wp14:anchorId="7B996016" wp14:editId="46081CE9">
                  <wp:extent cx="1292109" cy="1771650"/>
                  <wp:effectExtent l="0" t="0" r="3810" b="0"/>
                  <wp:docPr id="1223357592" name="Picture 5" descr="A hand holding a bott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8829696" name="Picture 5" descr="A hand holding a bottle&#10;&#10;Description automatically generated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97" r="14921" b="12222"/>
                          <a:stretch/>
                        </pic:blipFill>
                        <pic:spPr bwMode="auto">
                          <a:xfrm>
                            <a:off x="0" y="0"/>
                            <a:ext cx="1297359" cy="17788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215" w:rsidRPr="00490C0E" w:rsidTr="00634AB3">
        <w:trPr>
          <w:trHeight w:val="3248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Kiekvieno flakono guminį dangtelį nuvalyti alkoholiu sumirkytu tamponu.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</w:p>
          <w:p w:rsidR="000A0215" w:rsidRDefault="000A0215" w:rsidP="00634AB3">
            <w:pPr>
              <w:spacing w:after="200" w:line="276" w:lineRule="auto"/>
              <w:rPr>
                <w:rFonts w:ascii="Calibri" w:eastAsia="SimSun" w:hAnsi="Calibri" w:cs="Cordia New"/>
                <w:szCs w:val="22"/>
                <w:lang w:eastAsia="zh-CN" w:bidi="th-TH"/>
              </w:rPr>
            </w:pPr>
            <w:r>
              <w:rPr>
                <w:rFonts w:ascii="Calibri" w:eastAsia="SimSun" w:hAnsi="Calibri" w:cs="Cordia New"/>
                <w:noProof/>
                <w:szCs w:val="28"/>
              </w:rPr>
              <w:drawing>
                <wp:inline distT="0" distB="0" distL="0" distR="0" wp14:anchorId="4049E64B" wp14:editId="6E14A84E">
                  <wp:extent cx="1238015" cy="1873581"/>
                  <wp:effectExtent l="0" t="0" r="635" b="0"/>
                  <wp:docPr id="1856939031" name="Picture 6" descr="A hand holding a bottle of medic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9528651" name="Picture 6" descr="A hand holding a bottle of medicine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469" cy="1890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SimSun" w:hAnsi="Calibri" w:cs="Cordia New"/>
                <w:noProof/>
                <w:szCs w:val="28"/>
              </w:rPr>
              <w:drawing>
                <wp:inline distT="0" distB="0" distL="0" distR="0" wp14:anchorId="2989A91B" wp14:editId="21293286">
                  <wp:extent cx="1255439" cy="1872000"/>
                  <wp:effectExtent l="0" t="0" r="1905" b="0"/>
                  <wp:docPr id="2112552752" name="Picture 7" descr="A hand holding a bottle of medic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640745" name="Picture 7" descr="A hand holding a bottle of medicine&#10;&#10;Description automatically generated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439" cy="18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215" w:rsidTr="00634AB3">
        <w:trPr>
          <w:trHeight w:val="270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Iš pakuotės išimti perpilamąją kaniulę*. Jos nereikia dezinfekuoti ar sterilizuoti; ji yra sterili.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Nutraukti dangtelį.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483FD9F" wp14:editId="16A5866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57150</wp:posOffset>
                  </wp:positionV>
                  <wp:extent cx="2234565" cy="1778000"/>
                  <wp:effectExtent l="0" t="0" r="0" b="0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4565" cy="177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szCs w:val="22"/>
                <w:lang w:bidi="th-TH"/>
              </w:rPr>
            </w:pPr>
          </w:p>
        </w:tc>
      </w:tr>
      <w:tr w:rsidR="000A0215" w:rsidTr="00634AB3">
        <w:trPr>
          <w:trHeight w:val="270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Sterilaus injekcinio vandens flakoną tvirtai laikyti statmenai pagrindui. Per guminio kamštelio centrą lengvai, bet tvirtai spaudžiant tiesiai iš viršaus smeigti perpilamąją kaniulę, jos nesukinėti.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  <w:r>
              <w:rPr>
                <w:noProof/>
              </w:rPr>
              <w:drawing>
                <wp:inline distT="0" distB="0" distL="0" distR="0" wp14:anchorId="67227F8D" wp14:editId="31842568">
                  <wp:extent cx="2883048" cy="2305050"/>
                  <wp:effectExtent l="0" t="0" r="0" b="0"/>
                  <wp:docPr id="2118158148" name="Picture 2118158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0041" cy="2334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215" w:rsidRPr="00490C0E" w:rsidTr="00634AB3">
        <w:trPr>
          <w:trHeight w:val="270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Tvirtai viena ranka laikyti sterilaus injekcinio vandens flakoną ir perpilamąją kaniulę, naudojant dviejų dalių vožtuvą.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 xml:space="preserve">Nuo perpilamosios kaniulės viršūnės nutraukti dangtelį. 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59BD0D0" wp14:editId="35A680B9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-2227580</wp:posOffset>
                  </wp:positionV>
                  <wp:extent cx="2033905" cy="1884045"/>
                  <wp:effectExtent l="0" t="0" r="4445" b="1905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905" cy="1884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A0215" w:rsidTr="00634AB3">
        <w:trPr>
          <w:trHeight w:val="3263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Viena ranka tvirtai laikyti sterilaus injekcinio vandens flakoną ir perpilamąją kaniulę, naudojant dviejų dalių vožtuvą.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 xml:space="preserve">Flakoną, kuriame yra </w:t>
            </w:r>
            <w:proofErr w:type="spellStart"/>
            <w:r>
              <w:rPr>
                <w:szCs w:val="22"/>
                <w:lang w:bidi="th-TH"/>
              </w:rPr>
              <w:t>Actilyse</w:t>
            </w:r>
            <w:proofErr w:type="spellEnd"/>
            <w:r>
              <w:rPr>
                <w:szCs w:val="22"/>
                <w:lang w:bidi="th-TH"/>
              </w:rPr>
              <w:t xml:space="preserve"> miltelių, virš perpilamosios kaniulės laikyti statmenai taip, kad jos smaigas būtų ties kamštelio centru.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Statmenai tiesiai iš viršaus stumti žemyn flakoną, kuriame yra miltelių, ant perpilamosios kaniulės ir švelniai, bet tvirtai bei nesukinėjant pradurti guminį kamštelį.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4FA505C8" wp14:editId="08DBBBED">
                  <wp:extent cx="2148894" cy="2018806"/>
                  <wp:effectExtent l="0" t="0" r="3810" b="635"/>
                  <wp:docPr id="313205587" name="Picture 9" descr="A drawing of a person holding a bott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4214647" name="Picture 9" descr="A drawing of a person holding a bottle&#10;&#10;Description automatically generated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233" b="-1"/>
                          <a:stretch/>
                        </pic:blipFill>
                        <pic:spPr bwMode="auto">
                          <a:xfrm>
                            <a:off x="0" y="0"/>
                            <a:ext cx="2151223" cy="20209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  <w:r>
              <w:rPr>
                <w:noProof/>
              </w:rPr>
              <w:drawing>
                <wp:inline distT="0" distB="0" distL="0" distR="0" wp14:anchorId="70C526A5" wp14:editId="566886F2">
                  <wp:extent cx="2360358" cy="1881984"/>
                  <wp:effectExtent l="0" t="0" r="1905" b="4445"/>
                  <wp:docPr id="2118158149" name="Picture 2118158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0954" cy="1898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</w:tc>
      </w:tr>
      <w:tr w:rsidR="000A0215" w:rsidTr="00634AB3">
        <w:trPr>
          <w:trHeight w:val="481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 xml:space="preserve">Abu flakonus apversti taip, kad vanduo visiškai patektų į miltelių flakoną.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030DC743" wp14:editId="42A2048B">
                  <wp:extent cx="2494915" cy="2066925"/>
                  <wp:effectExtent l="0" t="0" r="635" b="9525"/>
                  <wp:docPr id="446178917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311648" name="Picture 11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131" b="6907"/>
                          <a:stretch/>
                        </pic:blipFill>
                        <pic:spPr bwMode="auto">
                          <a:xfrm>
                            <a:off x="0" y="0"/>
                            <a:ext cx="2499335" cy="20705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  <w:r>
              <w:rPr>
                <w:noProof/>
              </w:rPr>
              <w:drawing>
                <wp:inline distT="0" distB="0" distL="0" distR="0" wp14:anchorId="5C9532F8" wp14:editId="62D14934">
                  <wp:extent cx="2422185" cy="1831615"/>
                  <wp:effectExtent l="0" t="0" r="0" b="0"/>
                  <wp:docPr id="2118158153" name="Picture 2118158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9586" cy="1844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</w:tc>
      </w:tr>
      <w:tr w:rsidR="000A0215" w:rsidTr="00634AB3">
        <w:trPr>
          <w:trHeight w:val="270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9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Nutraukti tuščią injekcinio vandens flakoną kartu su perpilamąja kaniule. Juos reikia tvarkyti, laikantis vietinių reikalavimų.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11F24C6D" wp14:editId="176AA0BB">
                  <wp:extent cx="2476500" cy="2295007"/>
                  <wp:effectExtent l="0" t="0" r="0" b="0"/>
                  <wp:docPr id="949094975" name="Picture 13" descr="A close-up of a hand holding a syring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625712" name="Picture 13" descr="A close-up of a hand holding a syringe&#10;&#10;Description automatically generated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5840" cy="230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215" w:rsidRPr="00490C0E" w:rsidTr="00634AB3">
        <w:trPr>
          <w:trHeight w:val="270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10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 xml:space="preserve">Flakoną, kuriame yra tirpinamo </w:t>
            </w:r>
            <w:proofErr w:type="spellStart"/>
            <w:r>
              <w:rPr>
                <w:szCs w:val="22"/>
                <w:lang w:bidi="th-TH"/>
              </w:rPr>
              <w:t>Actilyse</w:t>
            </w:r>
            <w:proofErr w:type="spellEnd"/>
            <w:r>
              <w:rPr>
                <w:szCs w:val="22"/>
                <w:lang w:bidi="th-TH"/>
              </w:rPr>
              <w:t xml:space="preserve"> , reikia švelniai pasukioti, kad ištirptų visi milteliai, tačiau flakono purtyti negalima, kad nesusidarytų putų.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Jei atsirado burbuliukų, palikti tirpalą kelioms minutėms ramybėje, kad jie išnyktų.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70A4E313" wp14:editId="00A83223">
                  <wp:extent cx="2552700" cy="2071756"/>
                  <wp:effectExtent l="0" t="0" r="0" b="5080"/>
                  <wp:docPr id="2118158145" name="Picture 2118158145" descr="A hand holding a bott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8158163" name="Picture 14" descr="A hand holding a bottle&#10;&#10;Description automatically generated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206" cy="2077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4F982149" wp14:editId="1A41CCAF">
                  <wp:extent cx="2562225" cy="2352158"/>
                  <wp:effectExtent l="0" t="0" r="0" b="0"/>
                  <wp:docPr id="1218456906" name="Picture 15" descr="A close-up of a bott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84070" name="Picture 15" descr="A close-up of a bottle&#10;&#10;Description automatically generated"/>
                          <pic:cNvPicPr/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0335"/>
                          <a:stretch/>
                        </pic:blipFill>
                        <pic:spPr bwMode="auto">
                          <a:xfrm>
                            <a:off x="0" y="0"/>
                            <a:ext cx="2572853" cy="23619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A0215" w:rsidRDefault="000A0215" w:rsidP="00634AB3">
            <w:pPr>
              <w:spacing w:line="276" w:lineRule="auto"/>
              <w:rPr>
                <w:noProof/>
                <w:szCs w:val="22"/>
                <w:lang w:bidi="th-TH"/>
              </w:rPr>
            </w:pPr>
          </w:p>
        </w:tc>
      </w:tr>
      <w:tr w:rsidR="000A0215" w:rsidTr="00634AB3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11</w:t>
            </w:r>
          </w:p>
        </w:tc>
        <w:tc>
          <w:tcPr>
            <w:tcW w:w="9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 xml:space="preserve">Paruoštame tirpale yra 1 mg/ml </w:t>
            </w:r>
            <w:proofErr w:type="spellStart"/>
            <w:r>
              <w:rPr>
                <w:szCs w:val="22"/>
                <w:lang w:bidi="th-TH"/>
              </w:rPr>
              <w:t>alteplazės</w:t>
            </w:r>
            <w:proofErr w:type="spellEnd"/>
            <w:r>
              <w:rPr>
                <w:szCs w:val="22"/>
                <w:lang w:bidi="th-TH"/>
              </w:rPr>
              <w:t xml:space="preserve">. Tirpalas turi būti skaidrus ir bespalvis, arba blyškiai gelsvas. Jame neturi būti jokių dalelių. 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</w:tr>
      <w:tr w:rsidR="000A0215" w:rsidRPr="00490C0E" w:rsidTr="00634AB3">
        <w:trPr>
          <w:trHeight w:val="322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12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Naudojant tik adatą ir švirkštą, įtraukti reikalingą tirpalo kiekį.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Siekiant išvengti pratekėjimo, nenaudoti perpilamąja kaniule pradurtos vietos.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szCs w:val="22"/>
                <w:lang w:bidi="th-TH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69560860" wp14:editId="248C2A8F">
                  <wp:extent cx="2732949" cy="1758950"/>
                  <wp:effectExtent l="0" t="0" r="0" b="0"/>
                  <wp:docPr id="1203656741" name="Picture 16" descr="A drawing of a syringe and a need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906264" name="Picture 16" descr="A drawing of a syringe and a needle&#10;&#10;Description automatically generated"/>
                          <pic:cNvPicPr/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804"/>
                          <a:stretch/>
                        </pic:blipFill>
                        <pic:spPr bwMode="auto">
                          <a:xfrm>
                            <a:off x="0" y="0"/>
                            <a:ext cx="2744242" cy="17662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A0215" w:rsidRDefault="000A0215" w:rsidP="00634AB3">
            <w:pPr>
              <w:spacing w:line="276" w:lineRule="auto"/>
              <w:rPr>
                <w:szCs w:val="22"/>
                <w:lang w:bidi="th-TH"/>
              </w:rPr>
            </w:pPr>
          </w:p>
        </w:tc>
      </w:tr>
      <w:tr w:rsidR="000A0215" w:rsidRPr="00490C0E" w:rsidTr="00634AB3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13</w:t>
            </w:r>
          </w:p>
        </w:tc>
        <w:tc>
          <w:tcPr>
            <w:tcW w:w="9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Vartoti nedelsiant.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Bet kokį nesuvartotą tirpalą tvarkyti, laikantis vietinių reikalavimų.</w:t>
            </w:r>
          </w:p>
          <w:p w:rsidR="000A0215" w:rsidRDefault="000A0215" w:rsidP="00634AB3">
            <w:pPr>
              <w:autoSpaceDE w:val="0"/>
              <w:autoSpaceDN w:val="0"/>
              <w:adjustRightInd w:val="0"/>
              <w:spacing w:line="276" w:lineRule="auto"/>
              <w:rPr>
                <w:szCs w:val="22"/>
                <w:lang w:bidi="th-TH"/>
              </w:rPr>
            </w:pPr>
          </w:p>
        </w:tc>
      </w:tr>
    </w:tbl>
    <w:p w:rsidR="000A0215" w:rsidRDefault="000A0215" w:rsidP="000A0215">
      <w:pPr>
        <w:rPr>
          <w:szCs w:val="22"/>
        </w:rPr>
      </w:pPr>
      <w:r>
        <w:rPr>
          <w:szCs w:val="22"/>
        </w:rPr>
        <w:t>(</w:t>
      </w:r>
      <w:r>
        <w:rPr>
          <w:szCs w:val="22"/>
          <w:vertAlign w:val="superscript"/>
        </w:rPr>
        <w:t>*</w:t>
      </w:r>
      <w:r>
        <w:rPr>
          <w:szCs w:val="22"/>
        </w:rPr>
        <w:t xml:space="preserve">jei </w:t>
      </w:r>
      <w:proofErr w:type="spellStart"/>
      <w:r>
        <w:rPr>
          <w:szCs w:val="22"/>
        </w:rPr>
        <w:t>perpiliamoji</w:t>
      </w:r>
      <w:proofErr w:type="spellEnd"/>
      <w:r>
        <w:rPr>
          <w:szCs w:val="22"/>
        </w:rPr>
        <w:t xml:space="preserve"> kaniulė yra pakuotėje. Tirpinimas taip pat gali būti atliekamas ir švirkštu su adata.)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b/>
        </w:rPr>
      </w:pPr>
      <w:r>
        <w:rPr>
          <w:b/>
        </w:rPr>
        <w:t>Dozavimas ir vartojimo metodas</w:t>
      </w:r>
    </w:p>
    <w:p w:rsidR="000A0215" w:rsidRDefault="000A0215" w:rsidP="000A0215">
      <w:pPr>
        <w:rPr>
          <w:b/>
        </w:rPr>
      </w:pPr>
    </w:p>
    <w:p w:rsidR="000A0215" w:rsidRDefault="000A0215" w:rsidP="000A0215">
      <w:pPr>
        <w:rPr>
          <w:szCs w:val="22"/>
          <w:u w:val="single"/>
        </w:rPr>
      </w:pPr>
      <w:r>
        <w:rPr>
          <w:szCs w:val="22"/>
          <w:u w:val="single"/>
        </w:rPr>
        <w:t>Ūminis miokardo infarktas</w:t>
      </w:r>
    </w:p>
    <w:p w:rsidR="000A0215" w:rsidRDefault="000A0215" w:rsidP="000A0215">
      <w:pPr>
        <w:rPr>
          <w:szCs w:val="22"/>
          <w:u w:val="single"/>
        </w:rPr>
      </w:pPr>
    </w:p>
    <w:p w:rsidR="000A0215" w:rsidRDefault="000A0215" w:rsidP="000A0215">
      <w:pPr>
        <w:rPr>
          <w:szCs w:val="22"/>
          <w:u w:val="single"/>
        </w:rPr>
      </w:pPr>
      <w:r>
        <w:rPr>
          <w:szCs w:val="22"/>
          <w:u w:val="single"/>
        </w:rPr>
        <w:t>Dozavimas</w:t>
      </w:r>
    </w:p>
    <w:p w:rsidR="000A0215" w:rsidRDefault="000A0215" w:rsidP="000A0215">
      <w:pPr>
        <w:numPr>
          <w:ilvl w:val="0"/>
          <w:numId w:val="22"/>
        </w:numPr>
        <w:ind w:left="567" w:hanging="567"/>
        <w:rPr>
          <w:szCs w:val="22"/>
        </w:rPr>
      </w:pPr>
      <w:r>
        <w:rPr>
          <w:szCs w:val="22"/>
        </w:rPr>
        <w:t>90 minučių (pagreitintas) dozavimo būdas ūminio miokardo infarkto ištiktiems pacientams, kuriuos galima pradėti gydyti per pirmas 6 valandas nuo simptomų pasireiškimo pradžios.</w:t>
      </w:r>
    </w:p>
    <w:p w:rsidR="000A0215" w:rsidRDefault="000A0215" w:rsidP="000A0215">
      <w:pPr>
        <w:rPr>
          <w:szCs w:val="22"/>
          <w:u w:val="single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Pacientams, sveriantiems 65 kg ar daugiau</w:t>
      </w:r>
    </w:p>
    <w:p w:rsidR="000A0215" w:rsidRDefault="000A0215" w:rsidP="000A0215">
      <w:pPr>
        <w:rPr>
          <w:szCs w:val="22"/>
        </w:rPr>
      </w:pPr>
    </w:p>
    <w:tbl>
      <w:tblPr>
        <w:tblW w:w="0" w:type="auto"/>
        <w:tblInd w:w="1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76"/>
        <w:gridCol w:w="1191"/>
        <w:gridCol w:w="1474"/>
      </w:tblGrid>
      <w:tr w:rsidR="000A0215" w:rsidRPr="00490C0E" w:rsidTr="00634AB3">
        <w:tc>
          <w:tcPr>
            <w:tcW w:w="4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2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Leidžiamo tirpalo kiekis, atsižvelgiant į </w:t>
            </w:r>
            <w:proofErr w:type="spellStart"/>
            <w:r>
              <w:rPr>
                <w:color w:val="000000"/>
                <w:szCs w:val="22"/>
                <w:lang w:bidi="th-TH"/>
              </w:rPr>
              <w:t>alteplazės</w:t>
            </w:r>
            <w:proofErr w:type="spellEnd"/>
            <w:r>
              <w:rPr>
                <w:color w:val="000000"/>
                <w:szCs w:val="22"/>
                <w:lang w:bidi="th-TH"/>
              </w:rPr>
              <w:t xml:space="preserve"> koncentraciją         </w:t>
            </w:r>
          </w:p>
        </w:tc>
      </w:tr>
      <w:tr w:rsidR="000A0215" w:rsidTr="00634AB3">
        <w:tc>
          <w:tcPr>
            <w:tcW w:w="4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1 mg/ml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2 mg/ml </w:t>
            </w:r>
          </w:p>
        </w:tc>
      </w:tr>
      <w:tr w:rsidR="000A0215" w:rsidTr="00634AB3"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15 mg suleisti į veną iš karto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15 ml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7,5 ml</w:t>
            </w:r>
          </w:p>
        </w:tc>
      </w:tr>
      <w:tr w:rsidR="000A0215" w:rsidTr="00634AB3"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Tuoj pat po to 50 mg pastoviu greičiu suleisti į veną per pirmąsias 30 min.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50 ml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25 ml</w:t>
            </w:r>
          </w:p>
        </w:tc>
      </w:tr>
      <w:tr w:rsidR="000A0215" w:rsidTr="00634AB3"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Tuoj pat po to 35 mg pastoviu greičiu leisti į veną per 60 min. iki didžiausios visos 100 mg dozės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35 ml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17,5 ml</w:t>
            </w:r>
          </w:p>
        </w:tc>
      </w:tr>
    </w:tbl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i/>
          <w:szCs w:val="22"/>
        </w:rPr>
        <w:t>Mažiau negu 65 kg sveriantiems pacientams</w:t>
      </w:r>
      <w:r>
        <w:rPr>
          <w:szCs w:val="22"/>
        </w:rPr>
        <w:t xml:space="preserve"> 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Visą dozę reikia nustatyti, atsižvelgiant į kūno svorį, taip, kaip nurodyta žemiau esančioje lentelėje. </w:t>
      </w:r>
    </w:p>
    <w:p w:rsidR="000A0215" w:rsidRDefault="000A0215" w:rsidP="000A0215">
      <w:pPr>
        <w:rPr>
          <w:szCs w:val="22"/>
        </w:rPr>
      </w:pPr>
    </w:p>
    <w:tbl>
      <w:tblPr>
        <w:tblW w:w="0" w:type="auto"/>
        <w:tblInd w:w="1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24"/>
        <w:gridCol w:w="1606"/>
        <w:gridCol w:w="1411"/>
      </w:tblGrid>
      <w:tr w:rsidR="000A0215" w:rsidRPr="00490C0E" w:rsidTr="00634AB3">
        <w:tc>
          <w:tcPr>
            <w:tcW w:w="4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3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Leidžiamo tirpalo kiekis, atsižvelgiant į </w:t>
            </w:r>
          </w:p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proofErr w:type="spellStart"/>
            <w:r>
              <w:rPr>
                <w:color w:val="000000"/>
                <w:szCs w:val="22"/>
                <w:lang w:bidi="th-TH"/>
              </w:rPr>
              <w:t>alteplazės</w:t>
            </w:r>
            <w:proofErr w:type="spellEnd"/>
            <w:r>
              <w:rPr>
                <w:color w:val="000000"/>
                <w:szCs w:val="22"/>
                <w:lang w:bidi="th-TH"/>
              </w:rPr>
              <w:t xml:space="preserve"> koncentraciją</w:t>
            </w:r>
          </w:p>
        </w:tc>
      </w:tr>
      <w:tr w:rsidR="000A0215" w:rsidTr="00634AB3">
        <w:tc>
          <w:tcPr>
            <w:tcW w:w="4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1 mg/ml          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2 mg/ml </w:t>
            </w:r>
          </w:p>
        </w:tc>
      </w:tr>
      <w:tr w:rsidR="000A0215" w:rsidTr="00634AB3"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15 mg suleisti į veną iš karto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15 ml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7,5 ml</w:t>
            </w:r>
          </w:p>
        </w:tc>
      </w:tr>
      <w:tr w:rsidR="000A0215" w:rsidTr="00634AB3"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 xml:space="preserve">Tuoj pat po to 0,75 mg/kg kūno svorio pastoviu greičiu suleisti į veną per pirmąsias 30 min.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0,75 ml/kg kūno svorio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0,375 ml/kg kūno svorio</w:t>
            </w:r>
          </w:p>
        </w:tc>
      </w:tr>
      <w:tr w:rsidR="000A0215" w:rsidTr="00634AB3"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Tuoj pat po to 0,5 mg/kg kūno svorio pastoviu greičiu suleisti į veną per 60 min.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0,5 ml/kg kūno svorio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0,25 ml/kg kūno svorio</w:t>
            </w:r>
          </w:p>
        </w:tc>
      </w:tr>
    </w:tbl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>b) 3 valandų dozavimo būdas patyrusiems ūminį miokardo infarktą pacientams, kuriuos galima pradėti gydyti per pirmas 6 – 12 valandų nuo simptomų pasireiškimo pradžios.</w:t>
      </w:r>
    </w:p>
    <w:p w:rsidR="000A0215" w:rsidRDefault="000A0215" w:rsidP="000A0215">
      <w:pPr>
        <w:rPr>
          <w:szCs w:val="22"/>
          <w:u w:val="single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Pacientams, sveriantiems 65 kg ar daugiau</w:t>
      </w:r>
    </w:p>
    <w:p w:rsidR="000A0215" w:rsidRDefault="000A0215" w:rsidP="000A0215">
      <w:pPr>
        <w:rPr>
          <w:szCs w:val="22"/>
        </w:rPr>
      </w:pPr>
    </w:p>
    <w:tbl>
      <w:tblPr>
        <w:tblW w:w="0" w:type="auto"/>
        <w:tblInd w:w="1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76"/>
        <w:gridCol w:w="1191"/>
        <w:gridCol w:w="1474"/>
      </w:tblGrid>
      <w:tr w:rsidR="000A0215" w:rsidRPr="00490C0E" w:rsidTr="00634AB3"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2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Leidžiamo tirpalo kiekis, atsižvelgiant į </w:t>
            </w:r>
            <w:proofErr w:type="spellStart"/>
            <w:r>
              <w:rPr>
                <w:color w:val="000000"/>
                <w:szCs w:val="22"/>
                <w:lang w:bidi="th-TH"/>
              </w:rPr>
              <w:t>alteplazės</w:t>
            </w:r>
            <w:proofErr w:type="spellEnd"/>
            <w:r>
              <w:rPr>
                <w:color w:val="000000"/>
                <w:szCs w:val="22"/>
                <w:lang w:bidi="th-TH"/>
              </w:rPr>
              <w:t xml:space="preserve"> koncentraciją</w:t>
            </w:r>
          </w:p>
        </w:tc>
      </w:tr>
      <w:tr w:rsidR="000A0215" w:rsidTr="00634AB3"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1 mg/ml         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2 mg/ml </w:t>
            </w:r>
          </w:p>
        </w:tc>
      </w:tr>
      <w:tr w:rsidR="000A0215" w:rsidTr="00634AB3"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10 mg suleisti į veną iš karto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10 ml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5 ml</w:t>
            </w:r>
          </w:p>
        </w:tc>
      </w:tr>
      <w:tr w:rsidR="000A0215" w:rsidTr="00634AB3"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Tuoj pat po to 50 mg pastoviu greičiu suleisti į veną per pirmą valandą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50 ml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25 ml</w:t>
            </w:r>
          </w:p>
        </w:tc>
      </w:tr>
      <w:tr w:rsidR="000A0215" w:rsidTr="00634AB3"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Tuoj pat po to 40 mg pastoviu greičiu 2 valandas  leisti į veną tol, kol bus pasiekta didžiausia visa 100 mg dozė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40 ml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7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20 ml</w:t>
            </w:r>
          </w:p>
        </w:tc>
      </w:tr>
    </w:tbl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Mažiau negu 65 kg sveriantiems pacientams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 </w:t>
      </w:r>
    </w:p>
    <w:tbl>
      <w:tblPr>
        <w:tblW w:w="0" w:type="auto"/>
        <w:tblInd w:w="1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99"/>
        <w:gridCol w:w="1968"/>
        <w:gridCol w:w="1474"/>
      </w:tblGrid>
      <w:tr w:rsidR="000A0215" w:rsidRPr="00490C0E" w:rsidTr="00634AB3">
        <w:tc>
          <w:tcPr>
            <w:tcW w:w="4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Leidžiamo tirpalo kiekis, atsižvelgiant į </w:t>
            </w:r>
            <w:proofErr w:type="spellStart"/>
            <w:r>
              <w:rPr>
                <w:color w:val="000000"/>
                <w:szCs w:val="22"/>
                <w:lang w:bidi="th-TH"/>
              </w:rPr>
              <w:t>alteplazės</w:t>
            </w:r>
            <w:proofErr w:type="spellEnd"/>
            <w:r>
              <w:rPr>
                <w:color w:val="000000"/>
                <w:szCs w:val="22"/>
                <w:lang w:bidi="th-TH"/>
              </w:rPr>
              <w:t xml:space="preserve"> koncentraciją</w:t>
            </w:r>
          </w:p>
        </w:tc>
      </w:tr>
      <w:tr w:rsidR="000A0215" w:rsidTr="00634AB3">
        <w:tc>
          <w:tcPr>
            <w:tcW w:w="4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1 mg/ml         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2 mg/ml </w:t>
            </w:r>
          </w:p>
        </w:tc>
      </w:tr>
      <w:tr w:rsidR="000A0215" w:rsidTr="00634AB3"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10 mg suleisti į veną iš karto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10 ml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5 ml</w:t>
            </w:r>
          </w:p>
        </w:tc>
      </w:tr>
      <w:tr w:rsidR="000A0215" w:rsidTr="00634AB3">
        <w:trPr>
          <w:trHeight w:val="744"/>
        </w:trPr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Pastoviu greičiu per 3 val. į veną suleisti visą didžiausią 1,5 mg/kg kūno svorio  dozę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1,5 ml/kg kūno svorio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0,75 ml/kg kūno svorio</w:t>
            </w:r>
          </w:p>
        </w:tc>
      </w:tr>
    </w:tbl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i/>
          <w:szCs w:val="22"/>
        </w:rPr>
        <w:t xml:space="preserve">Papildomas gydymas. </w:t>
      </w:r>
      <w:r>
        <w:rPr>
          <w:szCs w:val="22"/>
        </w:rPr>
        <w:t xml:space="preserve">Pacientams, ištiktiems miokardo infarkto, kai jų elektrokardiogramoje ST segmentas pakilęs virš izoelektrinės linijos, rekomenduojamas papildomas </w:t>
      </w:r>
      <w:proofErr w:type="spellStart"/>
      <w:r>
        <w:rPr>
          <w:szCs w:val="22"/>
        </w:rPr>
        <w:t>antitrombozinis</w:t>
      </w:r>
      <w:proofErr w:type="spellEnd"/>
      <w:r>
        <w:rPr>
          <w:szCs w:val="22"/>
        </w:rPr>
        <w:t xml:space="preserve"> gydymas pagal galiojančias tarptautines rekomendacijas.</w:t>
      </w:r>
    </w:p>
    <w:p w:rsidR="000A0215" w:rsidRDefault="000A0215" w:rsidP="000A0215">
      <w:pPr>
        <w:rPr>
          <w:i/>
          <w:szCs w:val="22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Vartojimo metodas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>Paruoštą tirpalą reikia leisti į veną nedelsiant.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2 mg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 flakonai šios indikacijos atveju netinka.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Didžiausia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 dozė yra 100 mg.</w:t>
      </w:r>
    </w:p>
    <w:p w:rsidR="000A0215" w:rsidRDefault="000A0215" w:rsidP="000A0215">
      <w:pPr>
        <w:rPr>
          <w:szCs w:val="22"/>
          <w:u w:val="single"/>
        </w:rPr>
      </w:pPr>
    </w:p>
    <w:p w:rsidR="000A0215" w:rsidRDefault="000A0215" w:rsidP="000A0215">
      <w:pPr>
        <w:rPr>
          <w:szCs w:val="22"/>
          <w:u w:val="single"/>
        </w:rPr>
      </w:pPr>
      <w:r>
        <w:rPr>
          <w:szCs w:val="22"/>
          <w:u w:val="single"/>
        </w:rPr>
        <w:t>Ūminė masyvi plaučių embolija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  <w:u w:val="single"/>
        </w:rPr>
      </w:pPr>
      <w:r>
        <w:rPr>
          <w:szCs w:val="22"/>
          <w:u w:val="single"/>
        </w:rPr>
        <w:t>Dozavimas</w:t>
      </w:r>
    </w:p>
    <w:p w:rsidR="000A0215" w:rsidRDefault="000A0215" w:rsidP="000A0215">
      <w:pPr>
        <w:rPr>
          <w:szCs w:val="22"/>
          <w:u w:val="single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Pacientams, sveriantiems 65 kg ar daugiau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Per 2 valandas reikia suleisti visą 100 mg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 dozę. Daugiausiai patirties sukaupta dozuojant taip, kaip nurodyta žemiau esančioje lentelėje.</w:t>
      </w:r>
    </w:p>
    <w:p w:rsidR="000A0215" w:rsidRDefault="000A0215" w:rsidP="000A0215">
      <w:pPr>
        <w:rPr>
          <w:szCs w:val="22"/>
        </w:rPr>
      </w:pPr>
    </w:p>
    <w:tbl>
      <w:tblPr>
        <w:tblW w:w="0" w:type="auto"/>
        <w:tblInd w:w="1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99"/>
        <w:gridCol w:w="1701"/>
        <w:gridCol w:w="1741"/>
      </w:tblGrid>
      <w:tr w:rsidR="000A0215" w:rsidRPr="00490C0E" w:rsidTr="00634AB3">
        <w:tc>
          <w:tcPr>
            <w:tcW w:w="4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Leidžiamo tirpalo kiekis, atsižvelgiant į </w:t>
            </w:r>
            <w:proofErr w:type="spellStart"/>
            <w:r>
              <w:rPr>
                <w:color w:val="000000"/>
                <w:szCs w:val="22"/>
                <w:lang w:bidi="th-TH"/>
              </w:rPr>
              <w:t>alteplazės</w:t>
            </w:r>
            <w:proofErr w:type="spellEnd"/>
            <w:r>
              <w:rPr>
                <w:color w:val="000000"/>
                <w:szCs w:val="22"/>
                <w:lang w:bidi="th-TH"/>
              </w:rPr>
              <w:t xml:space="preserve"> koncentraciją</w:t>
            </w:r>
          </w:p>
        </w:tc>
      </w:tr>
      <w:tr w:rsidR="000A0215" w:rsidTr="00634AB3">
        <w:tc>
          <w:tcPr>
            <w:tcW w:w="4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1 mg/ml                 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2 mg/ml</w:t>
            </w:r>
          </w:p>
        </w:tc>
      </w:tr>
      <w:tr w:rsidR="000A0215" w:rsidTr="00634AB3"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Per 1 – 2 minutes 10 mg suleisti į veną iš karto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10 ml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5 ml</w:t>
            </w:r>
          </w:p>
        </w:tc>
      </w:tr>
      <w:tr w:rsidR="000A0215" w:rsidTr="00634AB3"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Pastoviu greičiu per 2 valandas į veną leisti</w:t>
            </w:r>
          </w:p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 xml:space="preserve">90 mg dozę, kol bus pasiekta 100 mg visa didžiausia dozė.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90 ml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45 ml</w:t>
            </w:r>
          </w:p>
        </w:tc>
      </w:tr>
    </w:tbl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Mažiau nei 65 kg sveriantiems pacientams</w:t>
      </w:r>
    </w:p>
    <w:p w:rsidR="000A0215" w:rsidRDefault="000A0215" w:rsidP="000A0215">
      <w:pPr>
        <w:rPr>
          <w:szCs w:val="22"/>
          <w:highlight w:val="yellow"/>
        </w:rPr>
      </w:pPr>
    </w:p>
    <w:tbl>
      <w:tblPr>
        <w:tblW w:w="0" w:type="auto"/>
        <w:tblInd w:w="1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99"/>
        <w:gridCol w:w="1701"/>
        <w:gridCol w:w="1741"/>
      </w:tblGrid>
      <w:tr w:rsidR="000A0215" w:rsidRPr="00490C0E" w:rsidTr="00634AB3"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</w:p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Leidžiamo tirpalo kiekis, atsižvelgiant į </w:t>
            </w:r>
            <w:proofErr w:type="spellStart"/>
            <w:r>
              <w:rPr>
                <w:color w:val="000000"/>
                <w:szCs w:val="22"/>
                <w:lang w:bidi="th-TH"/>
              </w:rPr>
              <w:t>alteplazės</w:t>
            </w:r>
            <w:proofErr w:type="spellEnd"/>
            <w:r>
              <w:rPr>
                <w:color w:val="000000"/>
                <w:szCs w:val="22"/>
                <w:lang w:bidi="th-TH"/>
              </w:rPr>
              <w:t xml:space="preserve"> koncentraciją</w:t>
            </w:r>
          </w:p>
        </w:tc>
      </w:tr>
      <w:tr w:rsidR="000A0215" w:rsidTr="00634AB3"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 xml:space="preserve">1 mg/ml                 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2 mg/ml</w:t>
            </w:r>
          </w:p>
        </w:tc>
      </w:tr>
      <w:tr w:rsidR="000A0215" w:rsidTr="00634AB3"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Per 1 – 2 minutes 10 mg suleisti į veną iš karto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10 ml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5 ml</w:t>
            </w:r>
          </w:p>
        </w:tc>
      </w:tr>
      <w:tr w:rsidR="000A0215" w:rsidTr="00634AB3"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Pastoviu greičiu per 2 val. suleisti į veną didžiausią 1,5 mg/kg kūno svorio visą dozę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1,5 ml/kg kūno svorio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15" w:rsidRDefault="000A0215" w:rsidP="00634AB3">
            <w:pPr>
              <w:spacing w:line="256" w:lineRule="auto"/>
              <w:rPr>
                <w:color w:val="000000"/>
                <w:szCs w:val="22"/>
                <w:lang w:bidi="th-TH"/>
              </w:rPr>
            </w:pPr>
            <w:r>
              <w:rPr>
                <w:color w:val="000000"/>
                <w:szCs w:val="22"/>
                <w:lang w:bidi="th-TH"/>
              </w:rPr>
              <w:t>0, 75 ml/kg kūno svorio</w:t>
            </w:r>
          </w:p>
        </w:tc>
      </w:tr>
    </w:tbl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i/>
          <w:szCs w:val="22"/>
        </w:rPr>
        <w:t xml:space="preserve">Papildomas gydymas. </w:t>
      </w:r>
      <w:r>
        <w:rPr>
          <w:szCs w:val="22"/>
        </w:rPr>
        <w:t xml:space="preserve">Jeigu po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infuzijos dalinio aktyvinto </w:t>
      </w:r>
      <w:proofErr w:type="spellStart"/>
      <w:r>
        <w:rPr>
          <w:szCs w:val="22"/>
        </w:rPr>
        <w:t>tromboplastino</w:t>
      </w:r>
      <w:proofErr w:type="spellEnd"/>
      <w:r>
        <w:rPr>
          <w:szCs w:val="22"/>
        </w:rPr>
        <w:t xml:space="preserve"> laiko reikšmė yra mažiau negu 2 kartus didesnė už viršutinę normos ribą, reikia pradėti gydyti heparinu (arba gydymą juo atnaujinti). Jo reikia leisti taip, kad dalinio aktyvinto </w:t>
      </w:r>
      <w:proofErr w:type="spellStart"/>
      <w:r>
        <w:rPr>
          <w:szCs w:val="22"/>
        </w:rPr>
        <w:t>tromboplastino</w:t>
      </w:r>
      <w:proofErr w:type="spellEnd"/>
      <w:r>
        <w:rPr>
          <w:szCs w:val="22"/>
        </w:rPr>
        <w:t xml:space="preserve"> laiko reikšmė būtų 50–70 sek (1,5–2,5 karto didesnė už lyginamąją).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  <w:u w:val="single"/>
        </w:rPr>
      </w:pPr>
      <w:r>
        <w:rPr>
          <w:szCs w:val="22"/>
          <w:u w:val="single"/>
        </w:rPr>
        <w:t>Vartojimo metodas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>Paruoštą tirpalą reikia leisti į veną nedelsiant.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2 mg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 flakonai šios indikacijos atveju netinka.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  <w:u w:val="single"/>
        </w:rPr>
      </w:pPr>
      <w:r>
        <w:rPr>
          <w:szCs w:val="22"/>
          <w:u w:val="single"/>
        </w:rPr>
        <w:t>Ūminis išeminis smegenų insultas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Gydyti galima tik tuo atveju, jeigu atsakomybę prisiima ir gydymą prižiūri gydytojas, turintis </w:t>
      </w:r>
      <w:proofErr w:type="spellStart"/>
      <w:r>
        <w:rPr>
          <w:szCs w:val="22"/>
        </w:rPr>
        <w:t>neurovaskulinių</w:t>
      </w:r>
      <w:proofErr w:type="spellEnd"/>
      <w:r>
        <w:rPr>
          <w:szCs w:val="22"/>
        </w:rPr>
        <w:t xml:space="preserve"> sutrikimų gydymo kvalifikacijos ir patirties (žr. Preparato charakteristikų santraukos (PCS) 4.3 ir 4.4 skyrius).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būtina pradėti gydyti kuo greičiau per pirmas 4,5 val. nuo simptomų pasireiškimo pradžios (žr. PCS 4.4 skyrių). Praėjus daugiau negu 4,5 val. nuo insulto simptomų pasireiškimo pradžios, gydymo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naudos ir rizikos santykis yra nepalankus, todėl vaistiniu preparatu gydyti negalima (žr. PCS 5.1 skyrių).</w:t>
      </w:r>
    </w:p>
    <w:p w:rsidR="000A0215" w:rsidRDefault="000A0215" w:rsidP="000A0215">
      <w:pPr>
        <w:tabs>
          <w:tab w:val="left" w:pos="1461"/>
        </w:tabs>
        <w:rPr>
          <w:szCs w:val="22"/>
        </w:rPr>
      </w:pPr>
    </w:p>
    <w:p w:rsidR="000A0215" w:rsidRDefault="000A0215" w:rsidP="000A0215">
      <w:pPr>
        <w:rPr>
          <w:szCs w:val="22"/>
          <w:u w:val="single"/>
        </w:rPr>
      </w:pPr>
      <w:r>
        <w:rPr>
          <w:szCs w:val="22"/>
          <w:u w:val="single"/>
        </w:rPr>
        <w:t>Dozavimas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Rekomenduojama visa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 dozė yra 0,9 mg/kg kūno svorio (ne daugiau kaip 90 mg). Pradžioje 10 </w:t>
      </w:r>
      <w:r>
        <w:rPr>
          <w:szCs w:val="22"/>
        </w:rPr>
        <w:sym w:font="Symbol" w:char="F025"/>
      </w:r>
      <w:r>
        <w:rPr>
          <w:szCs w:val="22"/>
        </w:rPr>
        <w:t xml:space="preserve"> šios dozės reikia suleisti į veną iš karto, o likusį kiekį tuoj pat po to suleisti per 60 min.</w:t>
      </w:r>
    </w:p>
    <w:p w:rsidR="000A0215" w:rsidRDefault="000A0215" w:rsidP="000A0215">
      <w:pPr>
        <w:rPr>
          <w:szCs w:val="22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7"/>
        <w:gridCol w:w="2331"/>
        <w:gridCol w:w="2348"/>
        <w:gridCol w:w="2350"/>
      </w:tblGrid>
      <w:tr w:rsidR="000A0215" w:rsidTr="00634AB3">
        <w:trPr>
          <w:trHeight w:val="516"/>
        </w:trPr>
        <w:tc>
          <w:tcPr>
            <w:tcW w:w="9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DOZAVIMAS ŪMINIO IŠEMINIO INSULTO ATVEJU</w:t>
            </w:r>
          </w:p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</w:p>
        </w:tc>
      </w:tr>
      <w:tr w:rsidR="000A0215" w:rsidTr="00634AB3">
        <w:trPr>
          <w:trHeight w:val="516"/>
        </w:trPr>
        <w:tc>
          <w:tcPr>
            <w:tcW w:w="9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Vartojamas standartinės koncentracijos 1 mg/ml vaistinio preparato kiekis (ml) atitinka rekomenduojamą dozę (mg)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Svoris (kg)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Bendra dozė (mg)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Iš karto suleidžiama dozė (mg)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proofErr w:type="spellStart"/>
            <w:r>
              <w:rPr>
                <w:szCs w:val="22"/>
                <w:lang w:bidi="th-TH"/>
              </w:rPr>
              <w:t>Infuzuojama</w:t>
            </w:r>
            <w:proofErr w:type="spellEnd"/>
            <w:r>
              <w:rPr>
                <w:szCs w:val="22"/>
                <w:lang w:bidi="th-TH"/>
              </w:rPr>
              <w:t xml:space="preserve"> dozė*</w:t>
            </w:r>
          </w:p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(mg)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36,0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3,6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32,4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37,8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3,8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34,0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39,6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35,6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41,4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4,1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37,3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43,2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4,3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38,9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45,0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4,5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40,5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46,8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4,7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42,1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48,6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4,9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43,7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50,4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45,4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52,2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5,2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47,0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54,0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5,4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48,6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55,8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5,6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50,2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57,6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5,8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51,8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59,4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5,9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53,5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61,2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6,1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55,1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63,0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6,3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56,7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64,8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6,5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58,3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66,6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6,7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59,9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68,4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6,8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61,6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70,2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63,2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72,0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7,2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64,8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73,8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7,4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66,4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75,6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7,6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68,0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77,4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7,7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69,7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79,2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7,9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71,3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90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81,0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8,1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72,9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92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82,8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8,3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74,5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94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84,6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8,5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76,1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96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86,4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8,6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77,8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98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88,2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8,8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79,4</w:t>
            </w:r>
          </w:p>
        </w:tc>
      </w:tr>
      <w:tr w:rsidR="000A0215" w:rsidTr="00634AB3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100+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90,0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9,0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0215" w:rsidRDefault="000A0215" w:rsidP="00634AB3">
            <w:pPr>
              <w:spacing w:line="256" w:lineRule="auto"/>
              <w:jc w:val="center"/>
              <w:rPr>
                <w:szCs w:val="22"/>
                <w:lang w:bidi="th-TH"/>
              </w:rPr>
            </w:pPr>
            <w:r>
              <w:rPr>
                <w:szCs w:val="22"/>
                <w:lang w:bidi="th-TH"/>
              </w:rPr>
              <w:t>81,0</w:t>
            </w:r>
          </w:p>
        </w:tc>
      </w:tr>
    </w:tbl>
    <w:p w:rsidR="000A0215" w:rsidRDefault="000A0215" w:rsidP="000A0215">
      <w:pPr>
        <w:rPr>
          <w:szCs w:val="22"/>
        </w:rPr>
      </w:pPr>
      <w:r>
        <w:rPr>
          <w:szCs w:val="22"/>
        </w:rPr>
        <w:t>*pastoviu greičiu per 60 min. leidžiama 1 mg/ml koncentracijos dozė</w:t>
      </w:r>
    </w:p>
    <w:p w:rsidR="000A0215" w:rsidRDefault="000A0215" w:rsidP="000A0215">
      <w:pPr>
        <w:rPr>
          <w:sz w:val="20"/>
          <w:szCs w:val="22"/>
        </w:rPr>
      </w:pPr>
    </w:p>
    <w:p w:rsidR="000A0215" w:rsidRDefault="000A0215" w:rsidP="000A0215">
      <w:pPr>
        <w:keepNext/>
        <w:keepLines/>
        <w:rPr>
          <w:szCs w:val="22"/>
        </w:rPr>
      </w:pPr>
      <w:r>
        <w:rPr>
          <w:i/>
          <w:szCs w:val="22"/>
        </w:rPr>
        <w:t xml:space="preserve">Papildomas gydymas. </w:t>
      </w:r>
      <w:r>
        <w:rPr>
          <w:szCs w:val="22"/>
        </w:rPr>
        <w:t xml:space="preserve">Ar saugu ir veiksminga pirmas 24 valandas nuo ligos simptomų pasireiškimo pradžios kartu su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vartoti heparino ar trombocitų </w:t>
      </w:r>
      <w:proofErr w:type="spellStart"/>
      <w:r>
        <w:rPr>
          <w:szCs w:val="22"/>
        </w:rPr>
        <w:t>agregacijos</w:t>
      </w:r>
      <w:proofErr w:type="spellEnd"/>
      <w:r>
        <w:rPr>
          <w:szCs w:val="22"/>
        </w:rPr>
        <w:t xml:space="preserve"> inhibitorių, pvz., </w:t>
      </w:r>
      <w:proofErr w:type="spellStart"/>
      <w:r>
        <w:rPr>
          <w:szCs w:val="22"/>
        </w:rPr>
        <w:t>acetilsalicilo</w:t>
      </w:r>
      <w:proofErr w:type="spellEnd"/>
      <w:r>
        <w:rPr>
          <w:szCs w:val="22"/>
        </w:rPr>
        <w:t xml:space="preserve"> rūgšties, gerai neištirta. Todėl pirmas 24 valandas po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infuzijos pacientui negalima į veną leisti heparino, nei vartoti trombocitų </w:t>
      </w:r>
      <w:proofErr w:type="spellStart"/>
      <w:r>
        <w:rPr>
          <w:szCs w:val="22"/>
        </w:rPr>
        <w:t>agregacijos</w:t>
      </w:r>
      <w:proofErr w:type="spellEnd"/>
      <w:r>
        <w:rPr>
          <w:szCs w:val="22"/>
        </w:rPr>
        <w:t xml:space="preserve"> inhibitorių pvz., </w:t>
      </w:r>
      <w:proofErr w:type="spellStart"/>
      <w:r>
        <w:rPr>
          <w:szCs w:val="22"/>
        </w:rPr>
        <w:t>acetilsalicilo</w:t>
      </w:r>
      <w:proofErr w:type="spellEnd"/>
      <w:r>
        <w:rPr>
          <w:szCs w:val="22"/>
        </w:rPr>
        <w:t xml:space="preserve"> rūgšties, nes didėja </w:t>
      </w:r>
      <w:proofErr w:type="spellStart"/>
      <w:r>
        <w:rPr>
          <w:szCs w:val="22"/>
        </w:rPr>
        <w:t>hemoragijos</w:t>
      </w:r>
      <w:proofErr w:type="spellEnd"/>
      <w:r>
        <w:rPr>
          <w:szCs w:val="22"/>
        </w:rPr>
        <w:t xml:space="preserve"> atsiradimo pavojus. Jeigu heparinu būtina gydyti dėl kitos priežasties (pvz., giliųjų venų trombozės profilaktikos), tai jo reikia leisti po oda, tačiau ne daugiau kaip 10 000 TV per parą.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  <w:u w:val="single"/>
        </w:rPr>
      </w:pPr>
      <w:r>
        <w:rPr>
          <w:szCs w:val="22"/>
          <w:u w:val="single"/>
        </w:rPr>
        <w:t>Vartojimo metodas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>Paruoštą tirpalą reikia leisti į veną nedelsiant.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2 mg </w:t>
      </w:r>
      <w:proofErr w:type="spellStart"/>
      <w:r>
        <w:rPr>
          <w:szCs w:val="22"/>
        </w:rPr>
        <w:t>alteplazės</w:t>
      </w:r>
      <w:proofErr w:type="spellEnd"/>
      <w:r>
        <w:rPr>
          <w:szCs w:val="22"/>
        </w:rPr>
        <w:t xml:space="preserve"> flakonai šios indikacijos atveju netinka.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i/>
          <w:szCs w:val="22"/>
        </w:rPr>
      </w:pPr>
      <w:r>
        <w:rPr>
          <w:i/>
          <w:szCs w:val="22"/>
        </w:rPr>
        <w:t>Vaikų populiacija</w:t>
      </w: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Vaikų ir paauglių gydymo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patirties nepakanka. Ištiktus ūminio išeminio insulto jaunesnius kaip 16 metų vaikus ir paauglius </w:t>
      </w:r>
      <w:proofErr w:type="spellStart"/>
      <w:r>
        <w:rPr>
          <w:szCs w:val="22"/>
        </w:rPr>
        <w:t>Actilyse</w:t>
      </w:r>
      <w:proofErr w:type="spellEnd"/>
      <w:r>
        <w:rPr>
          <w:szCs w:val="22"/>
        </w:rPr>
        <w:t xml:space="preserve"> gydyti draudžiama (žr. PCS 4.3 skyrių). 16-17 metų paaugliams skiriama tokia pati vaistinio preparato dozė, kaip ir suaugusiems žmonėms (žr. PCS 4.4 skyrių apie rekomendacijas tyrimams pirmiausiai panaudoti reikiamas vaizdų gavimo technologijas).</w:t>
      </w:r>
    </w:p>
    <w:p w:rsidR="000A0215" w:rsidRDefault="000A0215" w:rsidP="000A0215">
      <w:pPr>
        <w:rPr>
          <w:szCs w:val="22"/>
        </w:rPr>
      </w:pPr>
    </w:p>
    <w:p w:rsidR="000A0215" w:rsidRDefault="000A0215" w:rsidP="000A0215">
      <w:pPr>
        <w:rPr>
          <w:szCs w:val="22"/>
        </w:rPr>
      </w:pPr>
      <w:r>
        <w:rPr>
          <w:szCs w:val="22"/>
        </w:rPr>
        <w:t xml:space="preserve">16 metų ar vyresni paaugliai po tinkamo tyrimo reikiamomis vaizdų gavimo technologijomis atmetus netikro insulto galimybę bei patvirtinus arterijos </w:t>
      </w:r>
      <w:proofErr w:type="spellStart"/>
      <w:r>
        <w:rPr>
          <w:szCs w:val="22"/>
        </w:rPr>
        <w:t>okliuziją</w:t>
      </w:r>
      <w:proofErr w:type="spellEnd"/>
      <w:r>
        <w:rPr>
          <w:szCs w:val="22"/>
        </w:rPr>
        <w:t xml:space="preserve"> atitinkantį neurologinį sutrikimą, turi būti gydomi, atsižvelgiant į etiketėje pateiktą suaugusių žmonių gydymo instrukciją.</w:t>
      </w:r>
    </w:p>
    <w:p w:rsidR="000A0215" w:rsidRDefault="000A0215" w:rsidP="000A0215">
      <w:pPr>
        <w:pBdr>
          <w:bottom w:val="single" w:sz="6" w:space="1" w:color="auto"/>
        </w:pBdr>
        <w:rPr>
          <w:b/>
        </w:rPr>
      </w:pPr>
    </w:p>
    <w:p w:rsidR="000A0215" w:rsidRDefault="000A0215" w:rsidP="000A0215"/>
    <w:p w:rsidR="000A0215" w:rsidRDefault="000A0215" w:rsidP="000A0215">
      <w:r>
        <w:t>Toliau pateikiama perpilamosios kaniulės vartojimo instrukcija</w:t>
      </w:r>
    </w:p>
    <w:p w:rsidR="000A0215" w:rsidRDefault="000A0215" w:rsidP="000A0215"/>
    <w:p w:rsidR="000A0215" w:rsidRDefault="000A0215" w:rsidP="000A0215">
      <w:pPr>
        <w:spacing w:line="360" w:lineRule="auto"/>
        <w:jc w:val="both"/>
        <w:rPr>
          <w:szCs w:val="22"/>
        </w:rPr>
      </w:pPr>
      <w:r>
        <w:rPr>
          <w:b/>
          <w:szCs w:val="22"/>
        </w:rPr>
        <w:t>Kaniulė sumaišymui</w:t>
      </w:r>
      <w:r>
        <w:rPr>
          <w:szCs w:val="22"/>
        </w:rPr>
        <w:t>. Siekiant sumaišyti 1-ojo ir 2-ojo flakono turinius, kaniulę reikia naudoti griežtai laikantis 1-ojo paveikslėlio instrukcijos bei atsižvelgiant į reikalavimus ir perspėjimus:</w:t>
      </w:r>
    </w:p>
    <w:p w:rsidR="000A0215" w:rsidRDefault="000A0215" w:rsidP="000A0215">
      <w:pPr>
        <w:spacing w:line="360" w:lineRule="auto"/>
        <w:jc w:val="both"/>
        <w:rPr>
          <w:szCs w:val="22"/>
        </w:rPr>
      </w:pPr>
      <w:r>
        <w:rPr>
          <w:szCs w:val="22"/>
        </w:rPr>
        <w:t>Tik vienkartiniam vartojimui! Sterilu! Pakuotė turi būti nepažeista. Jei pakuotė pažeista, vartoti draudžiama! Dėmesio, smailiuoju kaniulės galu smeikite į flakono kamštelio vidurį.</w:t>
      </w:r>
    </w:p>
    <w:p w:rsidR="000A0215" w:rsidRDefault="000A0215" w:rsidP="000A0215">
      <w:pPr>
        <w:spacing w:line="360" w:lineRule="auto"/>
        <w:jc w:val="both"/>
        <w:rPr>
          <w:szCs w:val="22"/>
        </w:rPr>
      </w:pPr>
      <w:r>
        <w:rPr>
          <w:szCs w:val="22"/>
        </w:rPr>
        <w:t>1 pav.</w:t>
      </w:r>
    </w:p>
    <w:p w:rsidR="000A0215" w:rsidRDefault="000A0215" w:rsidP="000A0215">
      <w:pPr>
        <w:spacing w:line="360" w:lineRule="auto"/>
        <w:jc w:val="both"/>
        <w:rPr>
          <w:szCs w:val="22"/>
        </w:rPr>
      </w:pPr>
      <w:r>
        <w:rPr>
          <w:noProof/>
          <w:sz w:val="24"/>
          <w:szCs w:val="24"/>
        </w:rPr>
        <w:drawing>
          <wp:inline distT="0" distB="0" distL="0" distR="0" wp14:anchorId="30498811" wp14:editId="0FF5BF08">
            <wp:extent cx="4505325" cy="1981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215" w:rsidRDefault="000A0215" w:rsidP="000A0215">
      <w:pPr>
        <w:spacing w:line="360" w:lineRule="auto"/>
        <w:jc w:val="both"/>
      </w:pPr>
      <w:r>
        <w:rPr>
          <w:szCs w:val="22"/>
        </w:rPr>
        <w:t>1 paveikslėlyje schematiškai pavaizduotas 1-ojo ir 2-ojo flakono turinio sumaišymas, naudojant kaniulę.</w:t>
      </w:r>
    </w:p>
    <w:p w:rsidR="00BA6577" w:rsidRDefault="00BA6577">
      <w:bookmarkStart w:id="3" w:name="_GoBack"/>
      <w:bookmarkEnd w:id="3"/>
    </w:p>
    <w:sectPr w:rsidR="00BA6577">
      <w:headerReference w:type="default" r:id="rId22"/>
      <w:footerReference w:type="defaul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ordia New">
    <w:altName w:val="Microsoft Sans Serif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AE" w:rsidRDefault="000A0215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AE" w:rsidRDefault="000A0215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63FA0"/>
    <w:multiLevelType w:val="hybridMultilevel"/>
    <w:tmpl w:val="4720F582"/>
    <w:lvl w:ilvl="0" w:tplc="E0329554">
      <w:start w:val="50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7A72736"/>
    <w:multiLevelType w:val="hybridMultilevel"/>
    <w:tmpl w:val="F90E234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12FD3"/>
    <w:multiLevelType w:val="multilevel"/>
    <w:tmpl w:val="BBE6F998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cs="Times New Roman"/>
      </w:rPr>
    </w:lvl>
    <w:lvl w:ilvl="1">
      <w:start w:val="8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3" w15:restartNumberingAfterBreak="0">
    <w:nsid w:val="1CE77F1A"/>
    <w:multiLevelType w:val="hybridMultilevel"/>
    <w:tmpl w:val="CA8ACC18"/>
    <w:lvl w:ilvl="0" w:tplc="2B5E10E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F5130FF"/>
    <w:multiLevelType w:val="hybridMultilevel"/>
    <w:tmpl w:val="F2D20BB0"/>
    <w:lvl w:ilvl="0" w:tplc="936C04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6F4D93"/>
    <w:multiLevelType w:val="hybridMultilevel"/>
    <w:tmpl w:val="8C44782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E87EF3"/>
    <w:multiLevelType w:val="hybridMultilevel"/>
    <w:tmpl w:val="F9C8F3D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E9320E"/>
    <w:multiLevelType w:val="hybridMultilevel"/>
    <w:tmpl w:val="334EACC4"/>
    <w:lvl w:ilvl="0" w:tplc="0B80A714">
      <w:start w:val="1"/>
      <w:numFmt w:val="upperLetter"/>
      <w:lvlText w:val="%1."/>
      <w:lvlJc w:val="left"/>
      <w:pPr>
        <w:tabs>
          <w:tab w:val="num" w:pos="1793"/>
        </w:tabs>
        <w:ind w:left="1793" w:hanging="495"/>
      </w:pPr>
      <w:rPr>
        <w:rFonts w:cs="Times New Roman"/>
      </w:r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F02CEA"/>
    <w:multiLevelType w:val="hybridMultilevel"/>
    <w:tmpl w:val="25B02EFC"/>
    <w:lvl w:ilvl="0" w:tplc="C100AFCE">
      <w:start w:val="1"/>
      <w:numFmt w:val="bullet"/>
      <w:pStyle w:val="BT-EMEASMCA"/>
      <w:lvlText w:val="-"/>
      <w:lvlJc w:val="left"/>
      <w:pPr>
        <w:tabs>
          <w:tab w:val="num" w:pos="729"/>
        </w:tabs>
        <w:ind w:left="729" w:hanging="363"/>
      </w:pPr>
      <w:rPr>
        <w:rFonts w:ascii="Times New Roman" w:hAnsi="Times New Roman" w:cs="Times New Roman" w:hint="default"/>
      </w:rPr>
    </w:lvl>
    <w:lvl w:ilvl="1" w:tplc="042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477C8E"/>
    <w:multiLevelType w:val="hybridMultilevel"/>
    <w:tmpl w:val="0C44EC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9C4C4D"/>
    <w:multiLevelType w:val="hybridMultilevel"/>
    <w:tmpl w:val="D6B8FDBC"/>
    <w:lvl w:ilvl="0" w:tplc="2B5E10E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438348EE"/>
    <w:multiLevelType w:val="hybridMultilevel"/>
    <w:tmpl w:val="72BCF0E8"/>
    <w:lvl w:ilvl="0" w:tplc="AF306B9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A86091"/>
    <w:multiLevelType w:val="hybridMultilevel"/>
    <w:tmpl w:val="7DFE210A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B22F26"/>
    <w:multiLevelType w:val="hybridMultilevel"/>
    <w:tmpl w:val="D546914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FE7771"/>
    <w:multiLevelType w:val="hybridMultilevel"/>
    <w:tmpl w:val="BF245D0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0D1D8F"/>
    <w:multiLevelType w:val="hybridMultilevel"/>
    <w:tmpl w:val="449464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7F183E"/>
    <w:multiLevelType w:val="hybridMultilevel"/>
    <w:tmpl w:val="57CA5E4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AC0CE0"/>
    <w:multiLevelType w:val="hybridMultilevel"/>
    <w:tmpl w:val="95348FC2"/>
    <w:lvl w:ilvl="0" w:tplc="0427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8" w15:restartNumberingAfterBreak="0">
    <w:nsid w:val="79911088"/>
    <w:multiLevelType w:val="hybridMultilevel"/>
    <w:tmpl w:val="B89254AA"/>
    <w:lvl w:ilvl="0" w:tplc="5ED0EE42">
      <w:start w:val="1"/>
      <w:numFmt w:val="bullet"/>
      <w:pStyle w:val="ColorfulList-Accent11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8"/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7"/>
  </w:num>
  <w:num w:numId="6">
    <w:abstractNumId w:val="11"/>
  </w:num>
  <w:num w:numId="7">
    <w:abstractNumId w:val="2"/>
  </w:num>
  <w:num w:numId="8">
    <w:abstractNumId w:val="2"/>
    <w:lvlOverride w:ilvl="0">
      <w:startOverride w:val="4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2"/>
  </w:num>
  <w:num w:numId="15">
    <w:abstractNumId w:val="6"/>
  </w:num>
  <w:num w:numId="16">
    <w:abstractNumId w:val="3"/>
  </w:num>
  <w:num w:numId="17">
    <w:abstractNumId w:val="5"/>
  </w:num>
  <w:num w:numId="18">
    <w:abstractNumId w:val="10"/>
  </w:num>
  <w:num w:numId="19">
    <w:abstractNumId w:val="15"/>
  </w:num>
  <w:num w:numId="20">
    <w:abstractNumId w:val="16"/>
  </w:num>
  <w:num w:numId="21">
    <w:abstractNumId w:val="14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215"/>
    <w:rsid w:val="00072F85"/>
    <w:rsid w:val="000A0215"/>
    <w:rsid w:val="000A5E72"/>
    <w:rsid w:val="000A7B60"/>
    <w:rsid w:val="00181364"/>
    <w:rsid w:val="002945D9"/>
    <w:rsid w:val="00305C48"/>
    <w:rsid w:val="003362C6"/>
    <w:rsid w:val="00497D4D"/>
    <w:rsid w:val="00742EBF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DC3543-C436-4515-B80C-F09CD38DD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A0215"/>
    <w:pPr>
      <w:spacing w:after="0" w:line="240" w:lineRule="auto"/>
    </w:pPr>
    <w:rPr>
      <w:rFonts w:ascii="Times New Roman" w:eastAsia="Times New Roman" w:hAnsi="Times New Roman" w:cs="Times New Roman"/>
      <w:szCs w:val="20"/>
      <w:lang w:eastAsia="lt-LT"/>
    </w:rPr>
  </w:style>
  <w:style w:type="paragraph" w:styleId="Antrat1">
    <w:name w:val="heading 1"/>
    <w:basedOn w:val="prastasis"/>
    <w:next w:val="prastasis"/>
    <w:link w:val="Antrat1Diagrama"/>
    <w:qFormat/>
    <w:rsid w:val="000A0215"/>
    <w:pPr>
      <w:pBdr>
        <w:top w:val="single" w:sz="12" w:space="1" w:color="CEBD0D"/>
        <w:left w:val="single" w:sz="12" w:space="4" w:color="CEBD0D"/>
        <w:bottom w:val="single" w:sz="12" w:space="1" w:color="CEBD0D"/>
        <w:right w:val="single" w:sz="12" w:space="4" w:color="CEBD0D"/>
      </w:pBdr>
      <w:shd w:val="clear" w:color="auto" w:fill="7C959A"/>
      <w:outlineLvl w:val="0"/>
    </w:pPr>
    <w:rPr>
      <w:rFonts w:ascii="Tw Cen MT" w:eastAsia="Calibri" w:hAnsi="Tw Cen MT"/>
      <w:iCs/>
      <w:color w:val="FFFFFF"/>
      <w:sz w:val="28"/>
      <w:szCs w:val="38"/>
      <w:lang w:val="x-none" w:eastAsia="x-none"/>
    </w:rPr>
  </w:style>
  <w:style w:type="paragraph" w:styleId="Antrat2">
    <w:name w:val="heading 2"/>
    <w:basedOn w:val="prastasis"/>
    <w:next w:val="prastasis"/>
    <w:link w:val="Antrat2Diagrama"/>
    <w:unhideWhenUsed/>
    <w:qFormat/>
    <w:rsid w:val="000A0215"/>
    <w:pPr>
      <w:spacing w:before="200" w:after="60"/>
      <w:contextualSpacing/>
      <w:outlineLvl w:val="1"/>
    </w:pPr>
    <w:rPr>
      <w:rFonts w:ascii="Tw Cen MT" w:hAnsi="Tw Cen MT"/>
      <w:b/>
      <w:bCs/>
      <w:iCs/>
      <w:outline/>
      <w:color w:val="7C959A"/>
      <w:sz w:val="34"/>
      <w:szCs w:val="34"/>
      <w:lang w:val="x-none" w:eastAsia="x-none"/>
      <w14:textOutline w14:w="9525" w14:cap="flat" w14:cmpd="sng" w14:algn="ctr">
        <w14:solidFill>
          <w14:srgbClr w14:val="7C959A"/>
        </w14:solidFill>
        <w14:prstDash w14:val="solid"/>
        <w14:round/>
      </w14:textOutline>
      <w14:textFill>
        <w14:noFill/>
      </w14:textFill>
    </w:rPr>
  </w:style>
  <w:style w:type="paragraph" w:styleId="Antrat3">
    <w:name w:val="heading 3"/>
    <w:basedOn w:val="prastasis"/>
    <w:next w:val="prastasis"/>
    <w:link w:val="Antrat3Diagrama"/>
    <w:unhideWhenUsed/>
    <w:qFormat/>
    <w:rsid w:val="000A0215"/>
    <w:pPr>
      <w:spacing w:before="200" w:after="100"/>
      <w:contextualSpacing/>
      <w:outlineLvl w:val="2"/>
    </w:pPr>
    <w:rPr>
      <w:rFonts w:ascii="Tw Cen MT" w:hAnsi="Tw Cen MT"/>
      <w:b/>
      <w:bCs/>
      <w:iCs/>
      <w:smallCaps/>
      <w:color w:val="9A8D09"/>
      <w:spacing w:val="24"/>
      <w:sz w:val="28"/>
      <w:lang w:val="x-none" w:eastAsia="x-none"/>
    </w:rPr>
  </w:style>
  <w:style w:type="paragraph" w:styleId="Antrat4">
    <w:name w:val="heading 4"/>
    <w:basedOn w:val="prastasis"/>
    <w:next w:val="prastasis"/>
    <w:link w:val="Antrat4Diagrama"/>
    <w:unhideWhenUsed/>
    <w:qFormat/>
    <w:rsid w:val="000A0215"/>
    <w:pPr>
      <w:spacing w:before="200" w:after="100"/>
      <w:contextualSpacing/>
      <w:outlineLvl w:val="3"/>
    </w:pPr>
    <w:rPr>
      <w:rFonts w:ascii="Tw Cen MT" w:hAnsi="Tw Cen MT"/>
      <w:b/>
      <w:bCs/>
      <w:iCs/>
      <w:color w:val="5A7075"/>
      <w:sz w:val="24"/>
      <w:lang w:val="x-none" w:eastAsia="x-none"/>
    </w:rPr>
  </w:style>
  <w:style w:type="paragraph" w:styleId="Antrat5">
    <w:name w:val="heading 5"/>
    <w:basedOn w:val="prastasis"/>
    <w:next w:val="prastasis"/>
    <w:link w:val="Antrat5Diagrama"/>
    <w:unhideWhenUsed/>
    <w:qFormat/>
    <w:rsid w:val="000A0215"/>
    <w:pPr>
      <w:spacing w:before="200" w:after="100"/>
      <w:contextualSpacing/>
      <w:outlineLvl w:val="4"/>
    </w:pPr>
    <w:rPr>
      <w:rFonts w:ascii="Tw Cen MT" w:hAnsi="Tw Cen MT"/>
      <w:bCs/>
      <w:iCs/>
      <w:caps/>
      <w:color w:val="9A8D09"/>
      <w:sz w:val="20"/>
      <w:lang w:val="x-none" w:eastAsia="x-none"/>
    </w:rPr>
  </w:style>
  <w:style w:type="paragraph" w:styleId="Antrat6">
    <w:name w:val="heading 6"/>
    <w:basedOn w:val="prastasis"/>
    <w:next w:val="prastasis"/>
    <w:link w:val="Antrat6Diagrama"/>
    <w:unhideWhenUsed/>
    <w:qFormat/>
    <w:rsid w:val="000A0215"/>
    <w:pPr>
      <w:spacing w:before="200" w:after="100"/>
      <w:contextualSpacing/>
      <w:outlineLvl w:val="5"/>
    </w:pPr>
    <w:rPr>
      <w:rFonts w:ascii="Tw Cen MT" w:hAnsi="Tw Cen MT"/>
      <w:iCs/>
      <w:color w:val="5A7075"/>
      <w:sz w:val="20"/>
      <w:lang w:val="x-none" w:eastAsia="x-none"/>
    </w:rPr>
  </w:style>
  <w:style w:type="paragraph" w:styleId="Antrat7">
    <w:name w:val="heading 7"/>
    <w:basedOn w:val="prastasis"/>
    <w:next w:val="prastasis"/>
    <w:link w:val="Antrat7Diagrama"/>
    <w:unhideWhenUsed/>
    <w:qFormat/>
    <w:rsid w:val="000A0215"/>
    <w:pPr>
      <w:spacing w:before="200" w:after="100"/>
      <w:contextualSpacing/>
      <w:outlineLvl w:val="6"/>
    </w:pPr>
    <w:rPr>
      <w:rFonts w:ascii="Tw Cen MT" w:hAnsi="Tw Cen MT"/>
      <w:iCs/>
      <w:color w:val="9A8D09"/>
      <w:sz w:val="20"/>
      <w:lang w:val="x-none" w:eastAsia="x-none"/>
    </w:rPr>
  </w:style>
  <w:style w:type="paragraph" w:styleId="Antrat8">
    <w:name w:val="heading 8"/>
    <w:basedOn w:val="prastasis"/>
    <w:next w:val="prastasis"/>
    <w:link w:val="Antrat8Diagrama"/>
    <w:unhideWhenUsed/>
    <w:qFormat/>
    <w:rsid w:val="000A0215"/>
    <w:pPr>
      <w:spacing w:before="200" w:after="100"/>
      <w:contextualSpacing/>
      <w:outlineLvl w:val="7"/>
    </w:pPr>
    <w:rPr>
      <w:rFonts w:ascii="Tw Cen MT" w:hAnsi="Tw Cen MT"/>
      <w:iCs/>
      <w:color w:val="7C959A"/>
      <w:sz w:val="20"/>
      <w:lang w:val="x-none" w:eastAsia="x-none"/>
    </w:rPr>
  </w:style>
  <w:style w:type="paragraph" w:styleId="Antrat9">
    <w:name w:val="heading 9"/>
    <w:basedOn w:val="prastasis"/>
    <w:next w:val="prastasis"/>
    <w:link w:val="Antrat9Diagrama"/>
    <w:uiPriority w:val="9"/>
    <w:unhideWhenUsed/>
    <w:qFormat/>
    <w:rsid w:val="000A0215"/>
    <w:pPr>
      <w:spacing w:before="200" w:after="100"/>
      <w:contextualSpacing/>
      <w:outlineLvl w:val="8"/>
    </w:pPr>
    <w:rPr>
      <w:rFonts w:ascii="Tw Cen MT" w:hAnsi="Tw Cen MT"/>
      <w:iCs/>
      <w:smallCaps/>
      <w:color w:val="CEBD0D"/>
      <w:sz w:val="20"/>
      <w:szCs w:val="21"/>
      <w:lang w:val="x-none" w:eastAsia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0A0215"/>
    <w:rPr>
      <w:rFonts w:ascii="Tw Cen MT" w:eastAsia="Calibri" w:hAnsi="Tw Cen MT" w:cs="Times New Roman"/>
      <w:iCs/>
      <w:color w:val="FFFFFF"/>
      <w:sz w:val="28"/>
      <w:szCs w:val="38"/>
      <w:shd w:val="clear" w:color="auto" w:fill="7C959A"/>
      <w:lang w:val="x-none" w:eastAsia="x-none"/>
    </w:rPr>
  </w:style>
  <w:style w:type="character" w:customStyle="1" w:styleId="Antrat2Diagrama">
    <w:name w:val="Antraštė 2 Diagrama"/>
    <w:basedOn w:val="Numatytasispastraiposriftas"/>
    <w:link w:val="Antrat2"/>
    <w:rsid w:val="000A0215"/>
    <w:rPr>
      <w:rFonts w:ascii="Tw Cen MT" w:eastAsia="Times New Roman" w:hAnsi="Tw Cen MT" w:cs="Times New Roman"/>
      <w:b/>
      <w:bCs/>
      <w:iCs/>
      <w:outline/>
      <w:color w:val="7C959A"/>
      <w:sz w:val="34"/>
      <w:szCs w:val="34"/>
      <w:lang w:val="x-none" w:eastAsia="x-none"/>
      <w14:textOutline w14:w="9525" w14:cap="flat" w14:cmpd="sng" w14:algn="ctr">
        <w14:solidFill>
          <w14:srgbClr w14:val="7C959A"/>
        </w14:solidFill>
        <w14:prstDash w14:val="solid"/>
        <w14:round/>
      </w14:textOutline>
      <w14:textFill>
        <w14:noFill/>
      </w14:textFill>
    </w:rPr>
  </w:style>
  <w:style w:type="character" w:customStyle="1" w:styleId="Antrat3Diagrama">
    <w:name w:val="Antraštė 3 Diagrama"/>
    <w:basedOn w:val="Numatytasispastraiposriftas"/>
    <w:link w:val="Antrat3"/>
    <w:rsid w:val="000A0215"/>
    <w:rPr>
      <w:rFonts w:ascii="Tw Cen MT" w:eastAsia="Times New Roman" w:hAnsi="Tw Cen MT" w:cs="Times New Roman"/>
      <w:b/>
      <w:bCs/>
      <w:iCs/>
      <w:smallCaps/>
      <w:color w:val="9A8D09"/>
      <w:spacing w:val="24"/>
      <w:sz w:val="28"/>
      <w:szCs w:val="20"/>
      <w:lang w:val="x-none" w:eastAsia="x-none"/>
    </w:rPr>
  </w:style>
  <w:style w:type="character" w:customStyle="1" w:styleId="Antrat4Diagrama">
    <w:name w:val="Antraštė 4 Diagrama"/>
    <w:basedOn w:val="Numatytasispastraiposriftas"/>
    <w:link w:val="Antrat4"/>
    <w:rsid w:val="000A0215"/>
    <w:rPr>
      <w:rFonts w:ascii="Tw Cen MT" w:eastAsia="Times New Roman" w:hAnsi="Tw Cen MT" w:cs="Times New Roman"/>
      <w:b/>
      <w:bCs/>
      <w:iCs/>
      <w:color w:val="5A7075"/>
      <w:sz w:val="24"/>
      <w:szCs w:val="20"/>
      <w:lang w:val="x-none" w:eastAsia="x-none"/>
    </w:rPr>
  </w:style>
  <w:style w:type="character" w:customStyle="1" w:styleId="Antrat5Diagrama">
    <w:name w:val="Antraštė 5 Diagrama"/>
    <w:basedOn w:val="Numatytasispastraiposriftas"/>
    <w:link w:val="Antrat5"/>
    <w:rsid w:val="000A0215"/>
    <w:rPr>
      <w:rFonts w:ascii="Tw Cen MT" w:eastAsia="Times New Roman" w:hAnsi="Tw Cen MT" w:cs="Times New Roman"/>
      <w:bCs/>
      <w:iCs/>
      <w:caps/>
      <w:color w:val="9A8D09"/>
      <w:sz w:val="20"/>
      <w:szCs w:val="20"/>
      <w:lang w:val="x-none" w:eastAsia="x-none"/>
    </w:rPr>
  </w:style>
  <w:style w:type="character" w:customStyle="1" w:styleId="Antrat6Diagrama">
    <w:name w:val="Antraštė 6 Diagrama"/>
    <w:basedOn w:val="Numatytasispastraiposriftas"/>
    <w:link w:val="Antrat6"/>
    <w:rsid w:val="000A0215"/>
    <w:rPr>
      <w:rFonts w:ascii="Tw Cen MT" w:eastAsia="Times New Roman" w:hAnsi="Tw Cen MT" w:cs="Times New Roman"/>
      <w:iCs/>
      <w:color w:val="5A7075"/>
      <w:sz w:val="20"/>
      <w:szCs w:val="20"/>
      <w:lang w:val="x-none" w:eastAsia="x-none"/>
    </w:rPr>
  </w:style>
  <w:style w:type="character" w:customStyle="1" w:styleId="Antrat7Diagrama">
    <w:name w:val="Antraštė 7 Diagrama"/>
    <w:basedOn w:val="Numatytasispastraiposriftas"/>
    <w:link w:val="Antrat7"/>
    <w:rsid w:val="000A0215"/>
    <w:rPr>
      <w:rFonts w:ascii="Tw Cen MT" w:eastAsia="Times New Roman" w:hAnsi="Tw Cen MT" w:cs="Times New Roman"/>
      <w:iCs/>
      <w:color w:val="9A8D09"/>
      <w:sz w:val="20"/>
      <w:szCs w:val="20"/>
      <w:lang w:val="x-none" w:eastAsia="x-none"/>
    </w:rPr>
  </w:style>
  <w:style w:type="character" w:customStyle="1" w:styleId="Antrat8Diagrama">
    <w:name w:val="Antraštė 8 Diagrama"/>
    <w:basedOn w:val="Numatytasispastraiposriftas"/>
    <w:link w:val="Antrat8"/>
    <w:rsid w:val="000A0215"/>
    <w:rPr>
      <w:rFonts w:ascii="Tw Cen MT" w:eastAsia="Times New Roman" w:hAnsi="Tw Cen MT" w:cs="Times New Roman"/>
      <w:iCs/>
      <w:color w:val="7C959A"/>
      <w:sz w:val="20"/>
      <w:szCs w:val="20"/>
      <w:lang w:val="x-none" w:eastAsia="x-none"/>
    </w:rPr>
  </w:style>
  <w:style w:type="character" w:customStyle="1" w:styleId="Antrat9Diagrama">
    <w:name w:val="Antraštė 9 Diagrama"/>
    <w:basedOn w:val="Numatytasispastraiposriftas"/>
    <w:link w:val="Antrat9"/>
    <w:uiPriority w:val="9"/>
    <w:rsid w:val="000A0215"/>
    <w:rPr>
      <w:rFonts w:ascii="Tw Cen MT" w:eastAsia="Times New Roman" w:hAnsi="Tw Cen MT" w:cs="Times New Roman"/>
      <w:iCs/>
      <w:smallCaps/>
      <w:color w:val="CEBD0D"/>
      <w:sz w:val="20"/>
      <w:szCs w:val="21"/>
      <w:lang w:val="x-none" w:eastAsia="x-none"/>
    </w:rPr>
  </w:style>
  <w:style w:type="character" w:styleId="Hipersaitas">
    <w:name w:val="Hyperlink"/>
    <w:semiHidden/>
    <w:unhideWhenUsed/>
    <w:rsid w:val="000A0215"/>
    <w:rPr>
      <w:rFonts w:ascii="Times New Roman" w:hAnsi="Times New Roman" w:cs="Times New Roman" w:hint="default"/>
      <w:color w:val="0000FF"/>
      <w:u w:val="single"/>
    </w:rPr>
  </w:style>
  <w:style w:type="character" w:styleId="Perirtashipersaitas">
    <w:name w:val="FollowedHyperlink"/>
    <w:semiHidden/>
    <w:unhideWhenUsed/>
    <w:rsid w:val="000A0215"/>
    <w:rPr>
      <w:color w:val="800080"/>
      <w:u w:val="single"/>
    </w:rPr>
  </w:style>
  <w:style w:type="character" w:styleId="Emfaz">
    <w:name w:val="Emphasis"/>
    <w:uiPriority w:val="20"/>
    <w:qFormat/>
    <w:rsid w:val="000A0215"/>
    <w:rPr>
      <w:rFonts w:ascii="Times New Roman" w:eastAsia="Times New Roman" w:hAnsi="Times New Roman" w:cs="Times New Roman" w:hint="default"/>
      <w:b/>
      <w:bCs/>
      <w:i w:val="0"/>
      <w:iCs w:val="0"/>
      <w:color w:val="9A8D09"/>
      <w:bdr w:val="single" w:sz="18" w:space="0" w:color="DFE6D0" w:frame="1"/>
      <w:shd w:val="clear" w:color="auto" w:fill="DFE6D0"/>
    </w:rPr>
  </w:style>
  <w:style w:type="character" w:styleId="Grietas">
    <w:name w:val="Strong"/>
    <w:uiPriority w:val="22"/>
    <w:qFormat/>
    <w:rsid w:val="000A0215"/>
    <w:rPr>
      <w:b/>
      <w:bCs/>
      <w:spacing w:val="0"/>
    </w:rPr>
  </w:style>
  <w:style w:type="paragraph" w:customStyle="1" w:styleId="msonormal0">
    <w:name w:val="msonormal"/>
    <w:basedOn w:val="prastasis"/>
    <w:rsid w:val="000A0215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styleId="Komentarotekstas">
    <w:name w:val="annotation text"/>
    <w:basedOn w:val="prastasis"/>
    <w:link w:val="KomentarotekstasDiagrama"/>
    <w:unhideWhenUsed/>
    <w:rsid w:val="000A0215"/>
    <w:rPr>
      <w:rFonts w:ascii="Calibri" w:hAnsi="Calibri"/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0A0215"/>
    <w:rPr>
      <w:rFonts w:ascii="Calibri" w:eastAsia="Times New Roman" w:hAnsi="Calibri" w:cs="Times New Roman"/>
      <w:sz w:val="20"/>
      <w:szCs w:val="20"/>
      <w:lang w:eastAsia="lt-LT"/>
    </w:rPr>
  </w:style>
  <w:style w:type="paragraph" w:styleId="Antrats">
    <w:name w:val="header"/>
    <w:basedOn w:val="prastasis"/>
    <w:link w:val="AntratsDiagrama"/>
    <w:uiPriority w:val="99"/>
    <w:unhideWhenUsed/>
    <w:rsid w:val="000A0215"/>
    <w:pPr>
      <w:tabs>
        <w:tab w:val="center" w:pos="4320"/>
        <w:tab w:val="right" w:pos="8640"/>
      </w:tabs>
    </w:pPr>
    <w:rPr>
      <w:rFonts w:ascii="Calibri" w:hAnsi="Calibri"/>
      <w:sz w:val="20"/>
      <w:lang w:eastAsia="zh-CN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0A0215"/>
    <w:rPr>
      <w:rFonts w:ascii="Calibri" w:eastAsia="Times New Roman" w:hAnsi="Calibri" w:cs="Times New Roman"/>
      <w:sz w:val="20"/>
      <w:szCs w:val="20"/>
      <w:lang w:eastAsia="zh-CN"/>
    </w:rPr>
  </w:style>
  <w:style w:type="paragraph" w:styleId="Porat">
    <w:name w:val="footer"/>
    <w:basedOn w:val="prastasis"/>
    <w:link w:val="PoratDiagrama"/>
    <w:unhideWhenUsed/>
    <w:rsid w:val="000A0215"/>
    <w:pPr>
      <w:tabs>
        <w:tab w:val="center" w:pos="4320"/>
        <w:tab w:val="right" w:pos="8640"/>
      </w:tabs>
    </w:pPr>
    <w:rPr>
      <w:rFonts w:ascii="Calibri" w:hAnsi="Calibri"/>
      <w:sz w:val="20"/>
    </w:rPr>
  </w:style>
  <w:style w:type="character" w:customStyle="1" w:styleId="PoratDiagrama">
    <w:name w:val="Poraštė Diagrama"/>
    <w:basedOn w:val="Numatytasispastraiposriftas"/>
    <w:link w:val="Porat"/>
    <w:rsid w:val="000A0215"/>
    <w:rPr>
      <w:rFonts w:ascii="Calibri" w:eastAsia="Times New Roman" w:hAnsi="Calibri" w:cs="Times New Roman"/>
      <w:sz w:val="20"/>
      <w:szCs w:val="20"/>
      <w:lang w:eastAsia="lt-LT"/>
    </w:rPr>
  </w:style>
  <w:style w:type="paragraph" w:styleId="Antrat">
    <w:name w:val="caption"/>
    <w:basedOn w:val="prastasis"/>
    <w:next w:val="prastasis"/>
    <w:uiPriority w:val="35"/>
    <w:unhideWhenUsed/>
    <w:qFormat/>
    <w:rsid w:val="000A0215"/>
    <w:rPr>
      <w:b/>
      <w:bCs/>
      <w:color w:val="9A8D09"/>
      <w:sz w:val="18"/>
      <w:szCs w:val="18"/>
    </w:rPr>
  </w:style>
  <w:style w:type="paragraph" w:styleId="Pavadinimas">
    <w:name w:val="Title"/>
    <w:basedOn w:val="prastasis"/>
    <w:next w:val="prastasis"/>
    <w:link w:val="PavadinimasDiagrama"/>
    <w:qFormat/>
    <w:rsid w:val="000A0215"/>
    <w:pPr>
      <w:shd w:val="clear" w:color="auto" w:fill="FFFFFF"/>
      <w:spacing w:after="120"/>
    </w:pPr>
    <w:rPr>
      <w:rFonts w:ascii="Tw Cen MT" w:hAnsi="Tw Cen MT"/>
      <w:b/>
      <w:iCs/>
      <w:color w:val="FFFFFF"/>
      <w:spacing w:val="10"/>
      <w:sz w:val="72"/>
      <w:szCs w:val="64"/>
      <w:lang w:val="x-none" w:eastAsia="x-none"/>
    </w:rPr>
  </w:style>
  <w:style w:type="character" w:customStyle="1" w:styleId="PavadinimasDiagrama">
    <w:name w:val="Pavadinimas Diagrama"/>
    <w:basedOn w:val="Numatytasispastraiposriftas"/>
    <w:link w:val="Pavadinimas"/>
    <w:rsid w:val="000A0215"/>
    <w:rPr>
      <w:rFonts w:ascii="Tw Cen MT" w:eastAsia="Times New Roman" w:hAnsi="Tw Cen MT" w:cs="Times New Roman"/>
      <w:b/>
      <w:iCs/>
      <w:color w:val="FFFFFF"/>
      <w:spacing w:val="10"/>
      <w:sz w:val="72"/>
      <w:szCs w:val="64"/>
      <w:shd w:val="clear" w:color="auto" w:fill="FFFFFF"/>
      <w:lang w:val="x-none" w:eastAsia="x-none"/>
    </w:rPr>
  </w:style>
  <w:style w:type="paragraph" w:styleId="Pagrindinistekstas">
    <w:name w:val="Body Text"/>
    <w:basedOn w:val="prastasis"/>
    <w:link w:val="PagrindinistekstasDiagrama"/>
    <w:semiHidden/>
    <w:unhideWhenUsed/>
    <w:rsid w:val="000A0215"/>
    <w:pPr>
      <w:spacing w:after="120"/>
    </w:pPr>
    <w:rPr>
      <w:rFonts w:ascii="Calibri" w:hAnsi="Calibri"/>
      <w:sz w:val="20"/>
      <w:lang w:eastAsia="zh-CN"/>
    </w:rPr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0A0215"/>
    <w:rPr>
      <w:rFonts w:ascii="Calibri" w:eastAsia="Times New Roman" w:hAnsi="Calibri" w:cs="Times New Roman"/>
      <w:sz w:val="20"/>
      <w:szCs w:val="20"/>
      <w:lang w:eastAsia="zh-CN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0A0215"/>
    <w:pPr>
      <w:spacing w:before="200" w:after="360"/>
    </w:pPr>
    <w:rPr>
      <w:rFonts w:ascii="Tw Cen MT" w:hAnsi="Tw Cen MT"/>
      <w:iCs/>
      <w:color w:val="1B343F"/>
      <w:spacing w:val="20"/>
      <w:sz w:val="24"/>
      <w:szCs w:val="24"/>
      <w:lang w:val="x-none" w:eastAsia="x-none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0A0215"/>
    <w:rPr>
      <w:rFonts w:ascii="Tw Cen MT" w:eastAsia="Times New Roman" w:hAnsi="Tw Cen MT" w:cs="Times New Roman"/>
      <w:iCs/>
      <w:color w:val="1B343F"/>
      <w:spacing w:val="20"/>
      <w:sz w:val="24"/>
      <w:szCs w:val="24"/>
      <w:lang w:val="x-none" w:eastAsia="x-none"/>
    </w:rPr>
  </w:style>
  <w:style w:type="paragraph" w:styleId="Pagrindinistekstas2">
    <w:name w:val="Body Text 2"/>
    <w:basedOn w:val="prastasis"/>
    <w:link w:val="Pagrindinistekstas2Diagrama"/>
    <w:semiHidden/>
    <w:unhideWhenUsed/>
    <w:rsid w:val="000A0215"/>
    <w:pPr>
      <w:spacing w:after="120" w:line="480" w:lineRule="auto"/>
    </w:pPr>
    <w:rPr>
      <w:rFonts w:ascii="Calibri" w:hAnsi="Calibri"/>
      <w:sz w:val="20"/>
      <w:lang w:eastAsia="zh-CN"/>
    </w:rPr>
  </w:style>
  <w:style w:type="character" w:customStyle="1" w:styleId="Pagrindinistekstas2Diagrama">
    <w:name w:val="Pagrindinis tekstas 2 Diagrama"/>
    <w:basedOn w:val="Numatytasispastraiposriftas"/>
    <w:link w:val="Pagrindinistekstas2"/>
    <w:semiHidden/>
    <w:rsid w:val="000A0215"/>
    <w:rPr>
      <w:rFonts w:ascii="Calibri" w:eastAsia="Times New Roman" w:hAnsi="Calibri" w:cs="Times New Roman"/>
      <w:sz w:val="20"/>
      <w:szCs w:val="20"/>
      <w:lang w:eastAsia="zh-CN"/>
    </w:rPr>
  </w:style>
  <w:style w:type="paragraph" w:styleId="Pagrindinistekstas3">
    <w:name w:val="Body Text 3"/>
    <w:basedOn w:val="prastasis"/>
    <w:link w:val="Pagrindinistekstas3Diagrama"/>
    <w:semiHidden/>
    <w:unhideWhenUsed/>
    <w:rsid w:val="000A0215"/>
    <w:pPr>
      <w:spacing w:after="120"/>
    </w:pPr>
    <w:rPr>
      <w:rFonts w:ascii="Calibri" w:hAnsi="Calibri"/>
      <w:sz w:val="16"/>
      <w:szCs w:val="16"/>
    </w:rPr>
  </w:style>
  <w:style w:type="character" w:customStyle="1" w:styleId="Pagrindinistekstas3Diagrama">
    <w:name w:val="Pagrindinis tekstas 3 Diagrama"/>
    <w:basedOn w:val="Numatytasispastraiposriftas"/>
    <w:link w:val="Pagrindinistekstas3"/>
    <w:semiHidden/>
    <w:rsid w:val="000A0215"/>
    <w:rPr>
      <w:rFonts w:ascii="Calibri" w:eastAsia="Times New Roman" w:hAnsi="Calibri" w:cs="Times New Roman"/>
      <w:sz w:val="16"/>
      <w:szCs w:val="16"/>
      <w:lang w:eastAsia="lt-LT"/>
    </w:rPr>
  </w:style>
  <w:style w:type="paragraph" w:styleId="Dokumentostruktra">
    <w:name w:val="Document Map"/>
    <w:basedOn w:val="prastasis"/>
    <w:link w:val="DokumentostruktraDiagrama"/>
    <w:semiHidden/>
    <w:unhideWhenUsed/>
    <w:rsid w:val="000A0215"/>
    <w:pPr>
      <w:shd w:val="clear" w:color="auto" w:fill="000080"/>
    </w:pPr>
    <w:rPr>
      <w:rFonts w:ascii="Tahoma" w:hAnsi="Tahoma"/>
      <w:sz w:val="24"/>
      <w:lang w:val="x-none"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semiHidden/>
    <w:rsid w:val="000A0215"/>
    <w:rPr>
      <w:rFonts w:ascii="Tahoma" w:eastAsia="Times New Roman" w:hAnsi="Tahoma" w:cs="Times New Roman"/>
      <w:sz w:val="24"/>
      <w:szCs w:val="20"/>
      <w:shd w:val="clear" w:color="auto" w:fill="000080"/>
      <w:lang w:val="x-none" w:eastAsia="zh-CN"/>
    </w:rPr>
  </w:style>
  <w:style w:type="paragraph" w:styleId="Paprastasistekstas">
    <w:name w:val="Plain Text"/>
    <w:basedOn w:val="prastasis"/>
    <w:link w:val="PaprastasistekstasDiagrama"/>
    <w:semiHidden/>
    <w:unhideWhenUsed/>
    <w:rsid w:val="000A0215"/>
    <w:rPr>
      <w:rFonts w:ascii="Courier New" w:eastAsia="SimSun" w:hAnsi="Courier New"/>
      <w:sz w:val="20"/>
      <w:lang w:val="x-none" w:eastAsia="x-none"/>
    </w:rPr>
  </w:style>
  <w:style w:type="character" w:customStyle="1" w:styleId="PaprastasistekstasDiagrama">
    <w:name w:val="Paprastasis tekstas Diagrama"/>
    <w:basedOn w:val="Numatytasispastraiposriftas"/>
    <w:link w:val="Paprastasistekstas"/>
    <w:semiHidden/>
    <w:rsid w:val="000A0215"/>
    <w:rPr>
      <w:rFonts w:ascii="Courier New" w:eastAsia="SimSun" w:hAnsi="Courier New" w:cs="Times New Roman"/>
      <w:sz w:val="20"/>
      <w:szCs w:val="20"/>
      <w:lang w:val="x-none" w:eastAsia="x-none"/>
    </w:rPr>
  </w:style>
  <w:style w:type="paragraph" w:styleId="Komentarotema">
    <w:name w:val="annotation subject"/>
    <w:basedOn w:val="Komentarotekstas"/>
    <w:next w:val="Komentarotekstas"/>
    <w:link w:val="KomentarotemaDiagrama"/>
    <w:semiHidden/>
    <w:unhideWhenUsed/>
    <w:rsid w:val="000A0215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0A0215"/>
    <w:rPr>
      <w:rFonts w:ascii="Calibri" w:eastAsia="Times New Roman" w:hAnsi="Calibri" w:cs="Times New Roman"/>
      <w:b/>
      <w:bCs/>
      <w:sz w:val="20"/>
      <w:szCs w:val="20"/>
      <w:lang w:eastAsia="lt-LT"/>
    </w:rPr>
  </w:style>
  <w:style w:type="paragraph" w:styleId="Debesliotekstas">
    <w:name w:val="Balloon Text"/>
    <w:basedOn w:val="prastasis"/>
    <w:link w:val="DebesliotekstasDiagrama"/>
    <w:semiHidden/>
    <w:unhideWhenUsed/>
    <w:rsid w:val="000A0215"/>
    <w:rPr>
      <w:rFonts w:ascii="Tahoma" w:hAnsi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0A0215"/>
    <w:rPr>
      <w:rFonts w:ascii="Tahoma" w:eastAsia="Times New Roman" w:hAnsi="Tahoma" w:cs="Times New Roman"/>
      <w:sz w:val="16"/>
      <w:szCs w:val="16"/>
      <w:lang w:eastAsia="lt-LT"/>
    </w:rPr>
  </w:style>
  <w:style w:type="paragraph" w:styleId="Betarp">
    <w:name w:val="No Spacing"/>
    <w:basedOn w:val="prastasis"/>
    <w:uiPriority w:val="1"/>
    <w:qFormat/>
    <w:rsid w:val="000A0215"/>
  </w:style>
  <w:style w:type="paragraph" w:styleId="Pataisymai">
    <w:name w:val="Revision"/>
    <w:uiPriority w:val="99"/>
    <w:semiHidden/>
    <w:rsid w:val="000A0215"/>
    <w:pPr>
      <w:spacing w:after="0" w:line="240" w:lineRule="auto"/>
    </w:pPr>
    <w:rPr>
      <w:rFonts w:ascii="Times New Roman" w:eastAsia="Times New Roman" w:hAnsi="Times New Roman" w:cs="Times New Roman"/>
      <w:szCs w:val="20"/>
      <w:lang w:eastAsia="lt-LT"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0A0215"/>
    <w:pPr>
      <w:outlineLvl w:val="9"/>
    </w:pPr>
  </w:style>
  <w:style w:type="paragraph" w:customStyle="1" w:styleId="ColorfulList-Accent11">
    <w:name w:val="Colorful List - Accent 11"/>
    <w:basedOn w:val="prastasis"/>
    <w:uiPriority w:val="34"/>
    <w:qFormat/>
    <w:rsid w:val="000A0215"/>
    <w:pPr>
      <w:numPr>
        <w:numId w:val="1"/>
      </w:numPr>
      <w:contextualSpacing/>
    </w:pPr>
  </w:style>
  <w:style w:type="character" w:customStyle="1" w:styleId="Spalvotastinklelis1parykinimasDiagrama">
    <w:name w:val="Spalvotas tinklelis – 1 paryškinimas Diagrama"/>
    <w:link w:val="ColorfulGrid-Accent11"/>
    <w:uiPriority w:val="29"/>
    <w:locked/>
    <w:rsid w:val="000A0215"/>
    <w:rPr>
      <w:rFonts w:ascii="Calibri" w:eastAsia="Calibri" w:hAnsi="Calibri" w:cs="Times New Roman"/>
      <w:b/>
      <w:i/>
      <w:iCs/>
      <w:color w:val="CEBD0D"/>
      <w:sz w:val="24"/>
      <w:szCs w:val="21"/>
      <w:lang w:val="x-none" w:eastAsia="x-none"/>
    </w:rPr>
  </w:style>
  <w:style w:type="paragraph" w:customStyle="1" w:styleId="ColorfulGrid-Accent11">
    <w:name w:val="Colorful Grid - Accent 11"/>
    <w:basedOn w:val="prastasis"/>
    <w:next w:val="prastasis"/>
    <w:link w:val="Spalvotastinklelis1parykinimasDiagrama"/>
    <w:uiPriority w:val="29"/>
    <w:qFormat/>
    <w:rsid w:val="000A0215"/>
    <w:rPr>
      <w:rFonts w:ascii="Calibri" w:eastAsia="Calibri" w:hAnsi="Calibri"/>
      <w:b/>
      <w:i/>
      <w:iCs/>
      <w:color w:val="CEBD0D"/>
      <w:sz w:val="24"/>
      <w:szCs w:val="21"/>
      <w:lang w:val="x-none" w:eastAsia="x-none"/>
    </w:rPr>
  </w:style>
  <w:style w:type="character" w:customStyle="1" w:styleId="viesusspalvinimas2parykinimasDiagrama">
    <w:name w:val="Šviesus spalvinimas – 2 paryškinimas Diagrama"/>
    <w:link w:val="LightShading-Accent21"/>
    <w:uiPriority w:val="30"/>
    <w:locked/>
    <w:rsid w:val="000A0215"/>
    <w:rPr>
      <w:rFonts w:ascii="Tw Cen MT" w:eastAsia="Times New Roman" w:hAnsi="Tw Cen MT" w:cs="Times New Roman"/>
      <w:b/>
      <w:bCs/>
      <w:i/>
      <w:iCs/>
      <w:color w:val="CEBD0D"/>
      <w:sz w:val="20"/>
      <w:szCs w:val="20"/>
      <w:lang w:val="x-none" w:eastAsia="x-none"/>
    </w:rPr>
  </w:style>
  <w:style w:type="paragraph" w:customStyle="1" w:styleId="LightShading-Accent21">
    <w:name w:val="Light Shading - Accent 21"/>
    <w:basedOn w:val="prastasis"/>
    <w:next w:val="prastasis"/>
    <w:link w:val="viesusspalvinimas2parykinimasDiagrama"/>
    <w:uiPriority w:val="30"/>
    <w:qFormat/>
    <w:rsid w:val="000A0215"/>
    <w:pPr>
      <w:pBdr>
        <w:top w:val="dotted" w:sz="8" w:space="10" w:color="CEBD0D"/>
        <w:bottom w:val="dotted" w:sz="8" w:space="10" w:color="CEBD0D"/>
      </w:pBdr>
      <w:spacing w:line="300" w:lineRule="auto"/>
      <w:ind w:left="2160" w:right="2160"/>
      <w:jc w:val="center"/>
    </w:pPr>
    <w:rPr>
      <w:rFonts w:ascii="Tw Cen MT" w:hAnsi="Tw Cen MT"/>
      <w:b/>
      <w:bCs/>
      <w:i/>
      <w:iCs/>
      <w:color w:val="CEBD0D"/>
      <w:sz w:val="20"/>
      <w:lang w:val="x-none" w:eastAsia="x-none"/>
    </w:rPr>
  </w:style>
  <w:style w:type="paragraph" w:customStyle="1" w:styleId="ColorfulShading-Accent11">
    <w:name w:val="Colorful Shading - Accent 11"/>
    <w:uiPriority w:val="99"/>
    <w:semiHidden/>
    <w:rsid w:val="000A0215"/>
    <w:pPr>
      <w:spacing w:after="0" w:line="240" w:lineRule="auto"/>
    </w:pPr>
    <w:rPr>
      <w:rFonts w:ascii="Times New Roman" w:eastAsia="Times New Roman" w:hAnsi="Times New Roman" w:cs="Times New Roman"/>
      <w:szCs w:val="20"/>
      <w:lang w:eastAsia="lt-LT"/>
    </w:rPr>
  </w:style>
  <w:style w:type="paragraph" w:customStyle="1" w:styleId="BT-EMEASMCA">
    <w:name w:val="BT- EMEA_SMCA"/>
    <w:basedOn w:val="prastasis"/>
    <w:autoRedefine/>
    <w:rsid w:val="000A0215"/>
    <w:pPr>
      <w:numPr>
        <w:numId w:val="2"/>
      </w:numPr>
      <w:tabs>
        <w:tab w:val="num" w:pos="960"/>
      </w:tabs>
      <w:ind w:left="960" w:hanging="603"/>
    </w:pPr>
    <w:rPr>
      <w:noProof/>
      <w:szCs w:val="22"/>
      <w:lang w:eastAsia="en-US"/>
    </w:rPr>
  </w:style>
  <w:style w:type="character" w:customStyle="1" w:styleId="BTEMEASMCAChar">
    <w:name w:val="BT EMEA_SMCA Char"/>
    <w:link w:val="BTEMEASMCA"/>
    <w:locked/>
    <w:rsid w:val="000A0215"/>
    <w:rPr>
      <w:noProof/>
    </w:rPr>
  </w:style>
  <w:style w:type="paragraph" w:customStyle="1" w:styleId="BTEMEASMCA">
    <w:name w:val="BT EMEA_SMCA"/>
    <w:basedOn w:val="prastasis"/>
    <w:link w:val="BTEMEASMCAChar"/>
    <w:autoRedefine/>
    <w:rsid w:val="000A0215"/>
    <w:rPr>
      <w:rFonts w:asciiTheme="minorHAnsi" w:eastAsiaTheme="minorHAnsi" w:hAnsiTheme="minorHAnsi" w:cstheme="minorBidi"/>
      <w:noProof/>
      <w:szCs w:val="22"/>
      <w:lang w:eastAsia="en-US"/>
    </w:rPr>
  </w:style>
  <w:style w:type="paragraph" w:customStyle="1" w:styleId="PI-3EMEASMCA">
    <w:name w:val="PI-3 EMEA_SMCA"/>
    <w:basedOn w:val="prastasis"/>
    <w:autoRedefine/>
    <w:rsid w:val="000A0215"/>
    <w:pPr>
      <w:spacing w:line="220" w:lineRule="exact"/>
    </w:pPr>
    <w:rPr>
      <w:b/>
      <w:bCs/>
      <w:szCs w:val="22"/>
      <w:lang w:eastAsia="en-US"/>
    </w:rPr>
  </w:style>
  <w:style w:type="paragraph" w:customStyle="1" w:styleId="Pataisymai1">
    <w:name w:val="Pataisymai1"/>
    <w:semiHidden/>
    <w:rsid w:val="000A0215"/>
    <w:pPr>
      <w:spacing w:after="0" w:line="240" w:lineRule="auto"/>
    </w:pPr>
    <w:rPr>
      <w:rFonts w:ascii="Times New Roman" w:eastAsia="Times New Roman" w:hAnsi="Times New Roman" w:cs="Times New Roman"/>
      <w:szCs w:val="20"/>
      <w:lang w:eastAsia="lt-LT"/>
    </w:rPr>
  </w:style>
  <w:style w:type="paragraph" w:customStyle="1" w:styleId="BodytextAgency">
    <w:name w:val="Body text (Agency)"/>
    <w:basedOn w:val="prastasis"/>
    <w:qFormat/>
    <w:rsid w:val="000A0215"/>
    <w:pPr>
      <w:spacing w:after="140" w:line="280" w:lineRule="atLeast"/>
    </w:pPr>
    <w:rPr>
      <w:rFonts w:ascii="Verdana" w:eastAsia="Verdana" w:hAnsi="Verdana"/>
      <w:sz w:val="18"/>
      <w:szCs w:val="18"/>
    </w:rPr>
  </w:style>
  <w:style w:type="character" w:styleId="Komentaronuoroda">
    <w:name w:val="annotation reference"/>
    <w:semiHidden/>
    <w:unhideWhenUsed/>
    <w:rsid w:val="000A0215"/>
    <w:rPr>
      <w:rFonts w:ascii="Times New Roman" w:hAnsi="Times New Roman" w:cs="Times New Roman" w:hint="default"/>
      <w:sz w:val="16"/>
      <w:szCs w:val="16"/>
    </w:rPr>
  </w:style>
  <w:style w:type="character" w:styleId="Puslapionumeris">
    <w:name w:val="page number"/>
    <w:semiHidden/>
    <w:unhideWhenUsed/>
    <w:rsid w:val="000A0215"/>
    <w:rPr>
      <w:rFonts w:ascii="Times New Roman" w:hAnsi="Times New Roman" w:cs="Times New Roman" w:hint="default"/>
    </w:rPr>
  </w:style>
  <w:style w:type="character" w:styleId="Nerykuspabraukimas">
    <w:name w:val="Subtle Emphasis"/>
    <w:uiPriority w:val="19"/>
    <w:qFormat/>
    <w:rsid w:val="000A0215"/>
    <w:rPr>
      <w:rFonts w:ascii="Tw Cen MT" w:eastAsia="Times New Roman" w:hAnsi="Tw Cen MT" w:cs="Times New Roman" w:hint="default"/>
      <w:b/>
      <w:bCs w:val="0"/>
      <w:i/>
      <w:iCs w:val="0"/>
      <w:color w:val="7C959A"/>
    </w:rPr>
  </w:style>
  <w:style w:type="character" w:styleId="Rykuspabraukimas">
    <w:name w:val="Intense Emphasis"/>
    <w:uiPriority w:val="21"/>
    <w:qFormat/>
    <w:rsid w:val="000A0215"/>
    <w:rPr>
      <w:rFonts w:ascii="Tw Cen MT" w:eastAsia="Times New Roman" w:hAnsi="Tw Cen MT" w:cs="Times New Roman" w:hint="default"/>
      <w:b/>
      <w:bCs/>
      <w:i/>
      <w:iCs/>
      <w:strike w:val="0"/>
      <w:dstrike w:val="0"/>
      <w:color w:val="FFFFFF"/>
      <w:u w:val="none"/>
      <w:effect w:val="none"/>
      <w:bdr w:val="single" w:sz="18" w:space="0" w:color="CEBD0D" w:frame="1"/>
      <w:shd w:val="clear" w:color="auto" w:fill="CEBD0D"/>
      <w:vertAlign w:val="baseline"/>
    </w:rPr>
  </w:style>
  <w:style w:type="character" w:styleId="Nerykinuoroda">
    <w:name w:val="Subtle Reference"/>
    <w:uiPriority w:val="31"/>
    <w:qFormat/>
    <w:rsid w:val="000A0215"/>
    <w:rPr>
      <w:i/>
      <w:iCs/>
      <w:smallCaps/>
      <w:color w:val="CEBD0D"/>
      <w:u w:color="CEBD0D"/>
    </w:rPr>
  </w:style>
  <w:style w:type="character" w:styleId="Rykinuoroda">
    <w:name w:val="Intense Reference"/>
    <w:uiPriority w:val="32"/>
    <w:qFormat/>
    <w:rsid w:val="000A0215"/>
    <w:rPr>
      <w:b/>
      <w:bCs/>
      <w:i/>
      <w:iCs/>
      <w:smallCaps/>
      <w:color w:val="CEBD0D"/>
      <w:u w:color="CEBD0D"/>
    </w:rPr>
  </w:style>
  <w:style w:type="character" w:styleId="Knygospavadinimas">
    <w:name w:val="Book Title"/>
    <w:uiPriority w:val="33"/>
    <w:qFormat/>
    <w:rsid w:val="000A0215"/>
    <w:rPr>
      <w:rFonts w:ascii="Tw Cen MT" w:eastAsia="Times New Roman" w:hAnsi="Tw Cen MT" w:cs="Times New Roman" w:hint="default"/>
      <w:b/>
      <w:bCs/>
      <w:smallCaps/>
      <w:color w:val="CEBD0D"/>
      <w:u w:val="single"/>
    </w:rPr>
  </w:style>
  <w:style w:type="character" w:customStyle="1" w:styleId="CommentTextChar1">
    <w:name w:val="Comment Text Char1"/>
    <w:uiPriority w:val="99"/>
    <w:semiHidden/>
    <w:rsid w:val="000A0215"/>
    <w:rPr>
      <w:rFonts w:ascii="Times New Roman" w:eastAsia="Times New Roman" w:hAnsi="Times New Roman" w:cs="Times New Roman" w:hint="default"/>
      <w:sz w:val="20"/>
      <w:szCs w:val="20"/>
      <w:lang w:eastAsia="lt-LT"/>
    </w:rPr>
  </w:style>
  <w:style w:type="character" w:customStyle="1" w:styleId="HeaderChar1">
    <w:name w:val="Header Char1"/>
    <w:uiPriority w:val="99"/>
    <w:semiHidden/>
    <w:rsid w:val="000A0215"/>
    <w:rPr>
      <w:rFonts w:ascii="Times New Roman" w:eastAsia="Times New Roman" w:hAnsi="Times New Roman" w:cs="Times New Roman" w:hint="default"/>
      <w:szCs w:val="20"/>
      <w:lang w:eastAsia="lt-LT"/>
    </w:rPr>
  </w:style>
  <w:style w:type="character" w:customStyle="1" w:styleId="FooterChar1">
    <w:name w:val="Footer Char1"/>
    <w:uiPriority w:val="99"/>
    <w:semiHidden/>
    <w:rsid w:val="000A0215"/>
    <w:rPr>
      <w:rFonts w:ascii="Times New Roman" w:eastAsia="Times New Roman" w:hAnsi="Times New Roman" w:cs="Times New Roman" w:hint="default"/>
      <w:szCs w:val="20"/>
      <w:lang w:eastAsia="lt-LT"/>
    </w:rPr>
  </w:style>
  <w:style w:type="character" w:customStyle="1" w:styleId="TitleChar1">
    <w:name w:val="Title Char1"/>
    <w:uiPriority w:val="10"/>
    <w:rsid w:val="000A0215"/>
    <w:rPr>
      <w:rFonts w:ascii="Cambria" w:eastAsia="Times New Roman" w:hAnsi="Cambria" w:cs="Times New Roman" w:hint="default"/>
      <w:color w:val="17365D"/>
      <w:spacing w:val="5"/>
      <w:kern w:val="28"/>
      <w:sz w:val="52"/>
      <w:szCs w:val="52"/>
      <w:lang w:eastAsia="lt-LT"/>
    </w:rPr>
  </w:style>
  <w:style w:type="character" w:customStyle="1" w:styleId="BodyTextChar1">
    <w:name w:val="Body Text Char1"/>
    <w:uiPriority w:val="99"/>
    <w:semiHidden/>
    <w:rsid w:val="000A0215"/>
    <w:rPr>
      <w:rFonts w:ascii="Times New Roman" w:eastAsia="Times New Roman" w:hAnsi="Times New Roman" w:cs="Times New Roman" w:hint="default"/>
      <w:szCs w:val="20"/>
      <w:lang w:eastAsia="lt-LT"/>
    </w:rPr>
  </w:style>
  <w:style w:type="character" w:customStyle="1" w:styleId="BodyText2Char1">
    <w:name w:val="Body Text 2 Char1"/>
    <w:uiPriority w:val="99"/>
    <w:semiHidden/>
    <w:rsid w:val="000A0215"/>
    <w:rPr>
      <w:rFonts w:ascii="Times New Roman" w:eastAsia="Times New Roman" w:hAnsi="Times New Roman" w:cs="Times New Roman" w:hint="default"/>
      <w:szCs w:val="20"/>
      <w:lang w:eastAsia="lt-LT"/>
    </w:rPr>
  </w:style>
  <w:style w:type="character" w:customStyle="1" w:styleId="BodyText3Char1">
    <w:name w:val="Body Text 3 Char1"/>
    <w:uiPriority w:val="99"/>
    <w:semiHidden/>
    <w:rsid w:val="000A0215"/>
    <w:rPr>
      <w:rFonts w:ascii="Times New Roman" w:eastAsia="Times New Roman" w:hAnsi="Times New Roman" w:cs="Times New Roman" w:hint="default"/>
      <w:sz w:val="16"/>
      <w:szCs w:val="16"/>
      <w:lang w:eastAsia="lt-LT"/>
    </w:rPr>
  </w:style>
  <w:style w:type="character" w:customStyle="1" w:styleId="DocumentMapChar1">
    <w:name w:val="Document Map Char1"/>
    <w:uiPriority w:val="99"/>
    <w:semiHidden/>
    <w:rsid w:val="000A0215"/>
    <w:rPr>
      <w:rFonts w:ascii="Tahoma" w:eastAsia="Times New Roman" w:hAnsi="Tahoma" w:cs="Tahoma" w:hint="default"/>
      <w:sz w:val="16"/>
      <w:szCs w:val="16"/>
      <w:lang w:eastAsia="lt-LT"/>
    </w:rPr>
  </w:style>
  <w:style w:type="character" w:customStyle="1" w:styleId="CommentSubjectChar1">
    <w:name w:val="Comment Subject Char1"/>
    <w:uiPriority w:val="99"/>
    <w:semiHidden/>
    <w:rsid w:val="000A0215"/>
    <w:rPr>
      <w:rFonts w:ascii="Times New Roman" w:eastAsia="Times New Roman" w:hAnsi="Times New Roman" w:cs="Times New Roman" w:hint="default"/>
      <w:b/>
      <w:bCs/>
      <w:sz w:val="20"/>
      <w:szCs w:val="20"/>
      <w:lang w:eastAsia="lt-LT"/>
    </w:rPr>
  </w:style>
  <w:style w:type="character" w:customStyle="1" w:styleId="BalloonTextChar1">
    <w:name w:val="Balloon Text Char1"/>
    <w:uiPriority w:val="99"/>
    <w:semiHidden/>
    <w:rsid w:val="000A0215"/>
    <w:rPr>
      <w:rFonts w:ascii="Tahoma" w:eastAsia="Times New Roman" w:hAnsi="Tahoma" w:cs="Tahoma" w:hint="default"/>
      <w:sz w:val="16"/>
      <w:szCs w:val="16"/>
      <w:lang w:eastAsia="lt-LT"/>
    </w:rPr>
  </w:style>
  <w:style w:type="character" w:customStyle="1" w:styleId="ft">
    <w:name w:val="ft"/>
    <w:rsid w:val="000A0215"/>
    <w:rPr>
      <w:rFonts w:ascii="Times New Roman" w:hAnsi="Times New Roman" w:cs="Times New Roman" w:hint="default"/>
    </w:rPr>
  </w:style>
  <w:style w:type="character" w:customStyle="1" w:styleId="st1">
    <w:name w:val="st1"/>
    <w:rsid w:val="000A0215"/>
    <w:rPr>
      <w:rFonts w:ascii="Times New Roman" w:hAnsi="Times New Roman" w:cs="Times New Roman" w:hint="default"/>
    </w:rPr>
  </w:style>
  <w:style w:type="table" w:styleId="Lentelstinklelis">
    <w:name w:val="Table Grid"/>
    <w:basedOn w:val="prastojilentel"/>
    <w:rsid w:val="000A02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 w:bidi="th-T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SText">
    <w:name w:val="CS Text"/>
    <w:basedOn w:val="prastasis"/>
    <w:link w:val="CSTextChar"/>
    <w:uiPriority w:val="99"/>
    <w:qFormat/>
    <w:rsid w:val="000A0215"/>
    <w:rPr>
      <w:sz w:val="24"/>
      <w:szCs w:val="24"/>
      <w:lang w:val="en-US" w:eastAsia="de-DE"/>
    </w:rPr>
  </w:style>
  <w:style w:type="character" w:customStyle="1" w:styleId="CSTextChar">
    <w:name w:val="CS Text Char"/>
    <w:basedOn w:val="Numatytasispastraiposriftas"/>
    <w:link w:val="CSText"/>
    <w:uiPriority w:val="99"/>
    <w:rsid w:val="000A0215"/>
    <w:rPr>
      <w:rFonts w:ascii="Times New Roman" w:eastAsia="Times New Roman" w:hAnsi="Times New Roman" w:cs="Times New Roman"/>
      <w:sz w:val="24"/>
      <w:szCs w:val="24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17" Type="http://schemas.openxmlformats.org/officeDocument/2006/relationships/image" Target="media/image13.jp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23" Type="http://schemas.openxmlformats.org/officeDocument/2006/relationships/footer" Target="footer1.xml"/><Relationship Id="rId10" Type="http://schemas.openxmlformats.org/officeDocument/2006/relationships/image" Target="media/image6.pn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17914</Words>
  <Characters>10211</Characters>
  <Application>Microsoft Office Word</Application>
  <DocSecurity>0</DocSecurity>
  <Lines>85</Lines>
  <Paragraphs>56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2024-11-18T11:50:00Z</dcterms:created>
  <dcterms:modified xsi:type="dcterms:W3CDTF">2024-11-18T11:51:00Z</dcterms:modified>
</cp:coreProperties>
</file>