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3B" w:rsidRPr="00411F12" w:rsidRDefault="0056793B" w:rsidP="0056793B">
      <w:pPr>
        <w:pStyle w:val="TTEMEASMCA"/>
        <w:rPr>
          <w:rFonts w:ascii="Times New Roman" w:hAnsi="Times New Roman"/>
          <w:lang w:val="lt-LT"/>
        </w:rPr>
      </w:pPr>
      <w:r w:rsidRPr="00411F12">
        <w:rPr>
          <w:rFonts w:ascii="Times New Roman" w:hAnsi="Times New Roman"/>
          <w:lang w:val="lt-LT"/>
        </w:rPr>
        <w:t>Pakuotės lapelis: informacija vartotojui</w:t>
      </w:r>
    </w:p>
    <w:p w:rsidR="0056793B" w:rsidRPr="00411F12" w:rsidRDefault="0056793B" w:rsidP="0056793B">
      <w:pPr>
        <w:spacing w:line="240" w:lineRule="auto"/>
        <w:rPr>
          <w:szCs w:val="22"/>
          <w:lang w:val="lt-LT"/>
        </w:rPr>
      </w:pPr>
    </w:p>
    <w:p w:rsidR="0056793B" w:rsidRPr="00411F12" w:rsidRDefault="0056793B" w:rsidP="0056793B">
      <w:pPr>
        <w:spacing w:line="240" w:lineRule="auto"/>
        <w:jc w:val="center"/>
        <w:rPr>
          <w:b/>
          <w:bCs/>
          <w:szCs w:val="22"/>
          <w:lang w:val="lt-LT"/>
        </w:rPr>
      </w:pPr>
      <w:r w:rsidRPr="00411F12">
        <w:rPr>
          <w:b/>
          <w:szCs w:val="22"/>
          <w:lang w:val="lt-LT"/>
        </w:rPr>
        <w:t>Halcion</w:t>
      </w:r>
      <w:r w:rsidRPr="00411F12">
        <w:rPr>
          <w:szCs w:val="22"/>
          <w:lang w:val="lt-LT"/>
        </w:rPr>
        <w:t xml:space="preserve"> </w:t>
      </w:r>
      <w:r w:rsidRPr="00411F12">
        <w:rPr>
          <w:b/>
          <w:bCs/>
          <w:szCs w:val="22"/>
          <w:lang w:val="lt-LT"/>
        </w:rPr>
        <w:t>250 mikrogramų tabletės</w:t>
      </w:r>
    </w:p>
    <w:p w:rsidR="0056793B" w:rsidRPr="00411F12" w:rsidRDefault="0056793B" w:rsidP="0056793B">
      <w:pPr>
        <w:spacing w:line="240" w:lineRule="auto"/>
        <w:jc w:val="center"/>
        <w:rPr>
          <w:szCs w:val="22"/>
          <w:lang w:val="lt-LT"/>
        </w:rPr>
      </w:pPr>
      <w:r w:rsidRPr="00411F12">
        <w:rPr>
          <w:szCs w:val="22"/>
          <w:lang w:val="lt-LT"/>
        </w:rPr>
        <w:t>Triazolamas</w:t>
      </w:r>
    </w:p>
    <w:p w:rsidR="0056793B" w:rsidRPr="00411F12" w:rsidRDefault="0056793B" w:rsidP="0056793B">
      <w:pPr>
        <w:pStyle w:val="BTEMEASMCA"/>
        <w:rPr>
          <w:lang w:val="lt-LT"/>
        </w:rPr>
      </w:pPr>
    </w:p>
    <w:p w:rsidR="0056793B" w:rsidRPr="00411F12" w:rsidRDefault="0056793B" w:rsidP="0056793B">
      <w:pPr>
        <w:tabs>
          <w:tab w:val="clear" w:pos="567"/>
        </w:tabs>
        <w:suppressAutoHyphens/>
        <w:spacing w:line="240" w:lineRule="auto"/>
        <w:rPr>
          <w:szCs w:val="22"/>
          <w:lang w:val="lt-LT"/>
        </w:rPr>
      </w:pPr>
      <w:r w:rsidRPr="00411F12">
        <w:rPr>
          <w:b/>
          <w:szCs w:val="22"/>
          <w:lang w:val="lt-LT"/>
        </w:rPr>
        <w:t>Atidžiai perskaitykite visą šį lapelį, prieš pradėdami vartoti vaistą, nes jame pateikiama Jums svarbi informacija.</w:t>
      </w:r>
    </w:p>
    <w:p w:rsidR="0056793B" w:rsidRPr="00411F12" w:rsidRDefault="0056793B" w:rsidP="0056793B">
      <w:pPr>
        <w:spacing w:line="240" w:lineRule="auto"/>
        <w:rPr>
          <w:szCs w:val="22"/>
          <w:lang w:val="lt-LT"/>
        </w:rPr>
      </w:pPr>
      <w:r w:rsidRPr="00411F12">
        <w:rPr>
          <w:szCs w:val="22"/>
          <w:lang w:val="lt-LT"/>
        </w:rPr>
        <w:t>-</w:t>
      </w:r>
      <w:r w:rsidRPr="00411F12">
        <w:rPr>
          <w:szCs w:val="22"/>
          <w:lang w:val="lt-LT"/>
        </w:rPr>
        <w:tab/>
        <w:t>Neišmeskite šio lapelio, nes vėl gali prireikti jį perskaityti.</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Jeigu kiltų daugiau klausimų, kreipkitės į gydytoją arba vaistininką.</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Šis vaistas skirtas tik Jums, todėl kitiems žmonėms jo duoti negalima. Vaistas gali jiems pakenkti (net tiems, kurių ligos požymiai yra tokie patys kaip Jūsų).</w:t>
      </w:r>
    </w:p>
    <w:p w:rsidR="0056793B" w:rsidRPr="00411F12" w:rsidRDefault="0056793B" w:rsidP="0056793B">
      <w:pPr>
        <w:numPr>
          <w:ilvl w:val="0"/>
          <w:numId w:val="1"/>
        </w:numPr>
        <w:spacing w:line="240" w:lineRule="auto"/>
        <w:ind w:left="567" w:hanging="567"/>
        <w:rPr>
          <w:szCs w:val="22"/>
          <w:lang w:val="lt-LT"/>
        </w:rPr>
      </w:pPr>
      <w:r w:rsidRPr="00411F12">
        <w:rPr>
          <w:szCs w:val="22"/>
          <w:lang w:val="lt-LT"/>
        </w:rPr>
        <w:t>Jeigu pasireiškė šalutinis poveikis (net jeigu jis šiame lapelyje nenurodytas), kreipkitės į gydytoją arba vaistininką. Žr. 4 skyrių.</w:t>
      </w:r>
    </w:p>
    <w:p w:rsidR="0056793B" w:rsidRPr="00411F12" w:rsidRDefault="0056793B" w:rsidP="0056793B">
      <w:pPr>
        <w:pStyle w:val="BTEMEASMCA"/>
        <w:rPr>
          <w:lang w:val="lt-LT"/>
        </w:rPr>
      </w:pPr>
    </w:p>
    <w:p w:rsidR="0056793B" w:rsidRPr="00411F12" w:rsidRDefault="0056793B" w:rsidP="0056793B">
      <w:pPr>
        <w:pStyle w:val="Antrat4"/>
        <w:rPr>
          <w:noProof w:val="0"/>
          <w:szCs w:val="22"/>
          <w:lang w:val="lt-LT"/>
        </w:rPr>
      </w:pPr>
      <w:r w:rsidRPr="00411F12">
        <w:rPr>
          <w:noProof w:val="0"/>
          <w:szCs w:val="22"/>
          <w:lang w:val="lt-LT"/>
        </w:rPr>
        <w:t>Apie ką rašoma šiame lapelyje?</w:t>
      </w:r>
    </w:p>
    <w:p w:rsidR="0056793B" w:rsidRPr="00411F12" w:rsidRDefault="0056793B" w:rsidP="0056793B">
      <w:pPr>
        <w:rPr>
          <w:lang w:val="lt-LT"/>
        </w:rPr>
      </w:pPr>
    </w:p>
    <w:p w:rsidR="0056793B" w:rsidRPr="00411F12" w:rsidRDefault="0056793B" w:rsidP="0056793B">
      <w:pPr>
        <w:spacing w:line="240" w:lineRule="auto"/>
        <w:ind w:left="540" w:hanging="540"/>
        <w:rPr>
          <w:szCs w:val="22"/>
          <w:lang w:val="lt-LT"/>
        </w:rPr>
      </w:pPr>
      <w:r w:rsidRPr="00411F12">
        <w:rPr>
          <w:szCs w:val="22"/>
          <w:lang w:val="lt-LT"/>
        </w:rPr>
        <w:t>1.</w:t>
      </w:r>
      <w:r w:rsidRPr="00411F12">
        <w:rPr>
          <w:szCs w:val="22"/>
          <w:lang w:val="lt-LT"/>
        </w:rPr>
        <w:tab/>
        <w:t>Kas yra Halcion ir kam jis vartojamas</w:t>
      </w:r>
    </w:p>
    <w:p w:rsidR="0056793B" w:rsidRPr="00411F12" w:rsidRDefault="0056793B" w:rsidP="0056793B">
      <w:pPr>
        <w:spacing w:line="240" w:lineRule="auto"/>
        <w:ind w:left="540" w:hanging="540"/>
        <w:rPr>
          <w:szCs w:val="22"/>
          <w:lang w:val="lt-LT"/>
        </w:rPr>
      </w:pPr>
      <w:r w:rsidRPr="00411F12">
        <w:rPr>
          <w:szCs w:val="22"/>
          <w:lang w:val="lt-LT"/>
        </w:rPr>
        <w:t>2.</w:t>
      </w:r>
      <w:r w:rsidRPr="00411F12">
        <w:rPr>
          <w:szCs w:val="22"/>
          <w:lang w:val="lt-LT"/>
        </w:rPr>
        <w:tab/>
        <w:t>Kas žinotina prieš vartojant Halcion</w:t>
      </w:r>
    </w:p>
    <w:p w:rsidR="0056793B" w:rsidRPr="00411F12" w:rsidRDefault="0056793B" w:rsidP="0056793B">
      <w:pPr>
        <w:spacing w:line="240" w:lineRule="auto"/>
        <w:ind w:left="540" w:hanging="540"/>
        <w:rPr>
          <w:szCs w:val="22"/>
          <w:lang w:val="lt-LT"/>
        </w:rPr>
      </w:pPr>
      <w:r w:rsidRPr="00411F12">
        <w:rPr>
          <w:szCs w:val="22"/>
          <w:lang w:val="lt-LT"/>
        </w:rPr>
        <w:t>3.</w:t>
      </w:r>
      <w:r w:rsidRPr="00411F12">
        <w:rPr>
          <w:szCs w:val="22"/>
          <w:lang w:val="lt-LT"/>
        </w:rPr>
        <w:tab/>
        <w:t>Kaip vartoti Halcion</w:t>
      </w:r>
    </w:p>
    <w:p w:rsidR="0056793B" w:rsidRPr="00411F12" w:rsidRDefault="0056793B" w:rsidP="0056793B">
      <w:pPr>
        <w:spacing w:line="240" w:lineRule="auto"/>
        <w:ind w:left="540" w:hanging="540"/>
        <w:rPr>
          <w:szCs w:val="22"/>
          <w:lang w:val="lt-LT"/>
        </w:rPr>
      </w:pPr>
      <w:r w:rsidRPr="00411F12">
        <w:rPr>
          <w:szCs w:val="22"/>
          <w:lang w:val="lt-LT"/>
        </w:rPr>
        <w:t>4.</w:t>
      </w:r>
      <w:r w:rsidRPr="00411F12">
        <w:rPr>
          <w:szCs w:val="22"/>
          <w:lang w:val="lt-LT"/>
        </w:rPr>
        <w:tab/>
        <w:t>Galimas šalutinis poveikis</w:t>
      </w:r>
    </w:p>
    <w:p w:rsidR="0056793B" w:rsidRPr="00411F12" w:rsidRDefault="0056793B" w:rsidP="0056793B">
      <w:pPr>
        <w:spacing w:line="240" w:lineRule="auto"/>
        <w:ind w:left="540" w:hanging="540"/>
        <w:rPr>
          <w:szCs w:val="22"/>
          <w:lang w:val="lt-LT"/>
        </w:rPr>
      </w:pPr>
      <w:r w:rsidRPr="00411F12">
        <w:rPr>
          <w:szCs w:val="22"/>
          <w:lang w:val="lt-LT"/>
        </w:rPr>
        <w:t>5.</w:t>
      </w:r>
      <w:r w:rsidRPr="00411F12">
        <w:rPr>
          <w:szCs w:val="22"/>
          <w:lang w:val="lt-LT"/>
        </w:rPr>
        <w:tab/>
        <w:t>Kaip laikyti Halcion</w:t>
      </w:r>
    </w:p>
    <w:p w:rsidR="0056793B" w:rsidRPr="00411F12" w:rsidRDefault="0056793B" w:rsidP="0056793B">
      <w:pPr>
        <w:spacing w:line="240" w:lineRule="auto"/>
        <w:ind w:left="540" w:hanging="540"/>
        <w:rPr>
          <w:szCs w:val="22"/>
          <w:lang w:val="lt-LT"/>
        </w:rPr>
      </w:pPr>
      <w:r w:rsidRPr="00411F12">
        <w:rPr>
          <w:szCs w:val="22"/>
          <w:lang w:val="lt-LT"/>
        </w:rPr>
        <w:t>6.</w:t>
      </w:r>
      <w:r w:rsidRPr="00411F12">
        <w:rPr>
          <w:szCs w:val="22"/>
          <w:lang w:val="lt-LT"/>
        </w:rPr>
        <w:tab/>
        <w:t>Pakuotės turinys ir kita informacija</w:t>
      </w:r>
    </w:p>
    <w:p w:rsidR="0056793B" w:rsidRPr="00411F12" w:rsidRDefault="0056793B" w:rsidP="0056793B">
      <w:pPr>
        <w:pStyle w:val="BTEMEASMCA"/>
        <w:rPr>
          <w:lang w:val="lt-LT"/>
        </w:rPr>
      </w:pPr>
    </w:p>
    <w:p w:rsidR="0056793B" w:rsidRPr="00411F12" w:rsidRDefault="0056793B" w:rsidP="0056793B">
      <w:pPr>
        <w:pStyle w:val="BTEMEASMCA"/>
        <w:rPr>
          <w:lang w:val="lt-LT"/>
        </w:rPr>
      </w:pPr>
    </w:p>
    <w:p w:rsidR="0056793B" w:rsidRPr="00411F12" w:rsidRDefault="0056793B" w:rsidP="0056793B">
      <w:pPr>
        <w:pStyle w:val="PI-1EMEASMCA"/>
      </w:pPr>
      <w:r w:rsidRPr="00411F12">
        <w:t>1.</w:t>
      </w:r>
      <w:r w:rsidRPr="00411F12">
        <w:tab/>
        <w:t>Kas yra Halcion ir kam jis vartojamas</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Halcion sudėtyje yra triazolamo – benzodiazepinų grupės migdomosios medžiagos. Migdomasis poveikis pasireiškia greitai (po 15</w:t>
      </w:r>
      <w:r w:rsidRPr="00411F12">
        <w:rPr>
          <w:lang w:val="lt-LT"/>
        </w:rPr>
        <w:noBreakHyphen/>
        <w:t>30 min.). Triazolamas yra palyginti trumpai veikiantis benzodiazepinas.</w:t>
      </w:r>
    </w:p>
    <w:p w:rsidR="0056793B" w:rsidRPr="00411F12" w:rsidRDefault="0056793B" w:rsidP="0056793B">
      <w:pPr>
        <w:pStyle w:val="BTEMEASMCA"/>
        <w:rPr>
          <w:lang w:val="lt-LT"/>
        </w:rPr>
      </w:pPr>
      <w:r w:rsidRPr="00411F12">
        <w:rPr>
          <w:bCs/>
          <w:lang w:val="lt-LT"/>
        </w:rPr>
        <w:t>Halcion</w:t>
      </w:r>
      <w:r w:rsidRPr="00411F12">
        <w:rPr>
          <w:lang w:val="lt-LT"/>
        </w:rPr>
        <w:t xml:space="preserve"> vartojamas trumpalaikiam nemigos gydymui.</w:t>
      </w:r>
    </w:p>
    <w:p w:rsidR="0056793B" w:rsidRPr="00411F12" w:rsidRDefault="0056793B" w:rsidP="0056793B">
      <w:pPr>
        <w:pStyle w:val="BTEMEASMCA"/>
        <w:rPr>
          <w:lang w:val="lt-LT"/>
        </w:rPr>
      </w:pPr>
    </w:p>
    <w:p w:rsidR="0056793B" w:rsidRPr="00411F12" w:rsidRDefault="0056793B" w:rsidP="0056793B">
      <w:pPr>
        <w:pStyle w:val="BTEMEASMCA"/>
        <w:rPr>
          <w:lang w:val="lt-LT"/>
        </w:rPr>
      </w:pPr>
    </w:p>
    <w:p w:rsidR="0056793B" w:rsidRPr="00411F12" w:rsidRDefault="0056793B" w:rsidP="0056793B">
      <w:pPr>
        <w:pStyle w:val="PI-1EMEASMCA"/>
        <w:rPr>
          <w:bCs/>
        </w:rPr>
      </w:pPr>
      <w:r w:rsidRPr="00411F12">
        <w:rPr>
          <w:bCs/>
        </w:rPr>
        <w:t>2.</w:t>
      </w:r>
      <w:r w:rsidRPr="00411F12">
        <w:rPr>
          <w:bCs/>
        </w:rPr>
        <w:tab/>
        <w:t>Kas žinotina prieš vartojant Halcion</w:t>
      </w:r>
    </w:p>
    <w:p w:rsidR="0056793B" w:rsidRPr="00411F12" w:rsidRDefault="0056793B" w:rsidP="0056793B">
      <w:pPr>
        <w:pStyle w:val="BTEMEASMCA"/>
        <w:rPr>
          <w:lang w:val="lt-LT"/>
        </w:rPr>
      </w:pPr>
    </w:p>
    <w:p w:rsidR="0056793B" w:rsidRPr="00411F12" w:rsidRDefault="0056793B" w:rsidP="0056793B">
      <w:pPr>
        <w:spacing w:line="240" w:lineRule="auto"/>
        <w:rPr>
          <w:szCs w:val="22"/>
          <w:lang w:val="lt-LT"/>
        </w:rPr>
      </w:pPr>
      <w:r w:rsidRPr="00411F12">
        <w:rPr>
          <w:b/>
          <w:bCs/>
          <w:szCs w:val="22"/>
          <w:lang w:val="lt-LT"/>
        </w:rPr>
        <w:t xml:space="preserve">Halcion vartoti </w:t>
      </w:r>
      <w:r>
        <w:rPr>
          <w:b/>
          <w:bCs/>
          <w:szCs w:val="22"/>
          <w:lang w:val="lt-LT"/>
        </w:rPr>
        <w:t>draudžiama</w:t>
      </w:r>
      <w:r w:rsidRPr="00411F12">
        <w:rPr>
          <w:b/>
          <w:bCs/>
          <w:szCs w:val="22"/>
          <w:lang w:val="lt-LT"/>
        </w:rPr>
        <w:t>:</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jeigu yra alergija benzodiazepinams, veikliajai medžiagai arba bet kuriai pagalbinei šio vaisto medžiagai (jos išvardytos 6 skyriuje);</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jeigu sergate sunkiąja miastenija (raumenų liga);</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jeigu yra sunkus kvėpavimo nepakankamumas;</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jeigu yra miego apnėjos sindromas (miegant būna kvėpavimo sustojimo epizodų);</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jeigu yra sunkus kepenų veiklos sutrikimas;</w:t>
      </w:r>
    </w:p>
    <w:p w:rsidR="0056793B" w:rsidRDefault="0056793B" w:rsidP="0056793B">
      <w:pPr>
        <w:spacing w:line="240" w:lineRule="auto"/>
        <w:rPr>
          <w:szCs w:val="22"/>
          <w:lang w:val="lt-LT"/>
        </w:rPr>
      </w:pPr>
      <w:r w:rsidRPr="00411F12">
        <w:rPr>
          <w:szCs w:val="22"/>
          <w:lang w:val="lt-LT"/>
        </w:rPr>
        <w:t>-</w:t>
      </w:r>
      <w:r w:rsidRPr="00411F12">
        <w:rPr>
          <w:szCs w:val="22"/>
          <w:lang w:val="lt-LT"/>
        </w:rPr>
        <w:tab/>
        <w:t>jeigu</w:t>
      </w:r>
      <w:r w:rsidRPr="001C0116">
        <w:rPr>
          <w:szCs w:val="22"/>
          <w:lang w:val="lt-LT"/>
        </w:rPr>
        <w:t xml:space="preserve"> </w:t>
      </w:r>
      <w:r>
        <w:rPr>
          <w:szCs w:val="22"/>
          <w:lang w:val="lt-LT"/>
        </w:rPr>
        <w:t xml:space="preserve">tuo pat metu </w:t>
      </w:r>
      <w:r w:rsidRPr="001C0116">
        <w:rPr>
          <w:szCs w:val="22"/>
          <w:lang w:val="lt-LT"/>
        </w:rPr>
        <w:t xml:space="preserve">vartojate </w:t>
      </w:r>
    </w:p>
    <w:p w:rsidR="0056793B" w:rsidRDefault="0056793B" w:rsidP="0056793B">
      <w:pPr>
        <w:pStyle w:val="Sraopastraipa"/>
        <w:numPr>
          <w:ilvl w:val="0"/>
          <w:numId w:val="2"/>
        </w:numPr>
        <w:spacing w:line="240" w:lineRule="auto"/>
        <w:rPr>
          <w:szCs w:val="22"/>
          <w:lang w:val="lt-LT"/>
        </w:rPr>
      </w:pPr>
      <w:r>
        <w:rPr>
          <w:szCs w:val="22"/>
          <w:lang w:val="lt-LT"/>
        </w:rPr>
        <w:t xml:space="preserve"> </w:t>
      </w:r>
      <w:r w:rsidRPr="00307040">
        <w:rPr>
          <w:szCs w:val="22"/>
          <w:lang w:val="lt-LT"/>
        </w:rPr>
        <w:t>vaistų nuo grybelių sukeltų infekcinių ligų</w:t>
      </w:r>
      <w:r>
        <w:rPr>
          <w:szCs w:val="22"/>
          <w:lang w:val="lt-LT"/>
        </w:rPr>
        <w:t>, kurių sudėtyje yra</w:t>
      </w:r>
      <w:r w:rsidRPr="00307040">
        <w:rPr>
          <w:szCs w:val="22"/>
          <w:lang w:val="lt-LT"/>
        </w:rPr>
        <w:t xml:space="preserve"> ketokonazolo</w:t>
      </w:r>
      <w:r>
        <w:rPr>
          <w:szCs w:val="22"/>
          <w:lang w:val="lt-LT"/>
        </w:rPr>
        <w:t xml:space="preserve"> ar</w:t>
      </w:r>
      <w:r w:rsidRPr="00307040">
        <w:rPr>
          <w:szCs w:val="22"/>
          <w:lang w:val="lt-LT"/>
        </w:rPr>
        <w:t xml:space="preserve"> itrakonazolo,</w:t>
      </w:r>
    </w:p>
    <w:p w:rsidR="0056793B" w:rsidRDefault="0056793B" w:rsidP="0056793B">
      <w:pPr>
        <w:pStyle w:val="Sraopastraipa"/>
        <w:numPr>
          <w:ilvl w:val="0"/>
          <w:numId w:val="2"/>
        </w:numPr>
        <w:spacing w:line="240" w:lineRule="auto"/>
        <w:rPr>
          <w:szCs w:val="22"/>
          <w:lang w:val="lt-LT"/>
        </w:rPr>
      </w:pPr>
      <w:r w:rsidRPr="00307040">
        <w:rPr>
          <w:szCs w:val="22"/>
          <w:lang w:val="lt-LT"/>
        </w:rPr>
        <w:t xml:space="preserve"> </w:t>
      </w:r>
      <w:r>
        <w:rPr>
          <w:szCs w:val="22"/>
          <w:lang w:val="lt-LT"/>
        </w:rPr>
        <w:t xml:space="preserve">vaistų </w:t>
      </w:r>
      <w:r>
        <w:rPr>
          <w:szCs w:val="22"/>
          <w:lang w:val="en-US"/>
        </w:rPr>
        <w:t xml:space="preserve">nuo </w:t>
      </w:r>
      <w:r w:rsidRPr="00307040">
        <w:rPr>
          <w:szCs w:val="22"/>
          <w:lang w:val="lt-LT"/>
        </w:rPr>
        <w:t>depresijos</w:t>
      </w:r>
      <w:r>
        <w:rPr>
          <w:szCs w:val="22"/>
          <w:lang w:val="lt-LT"/>
        </w:rPr>
        <w:t>, kurių sudėtyje yra</w:t>
      </w:r>
      <w:r w:rsidRPr="00307040">
        <w:rPr>
          <w:szCs w:val="22"/>
          <w:lang w:val="lt-LT"/>
        </w:rPr>
        <w:t xml:space="preserve"> nefazodono</w:t>
      </w:r>
      <w:r>
        <w:rPr>
          <w:szCs w:val="22"/>
          <w:lang w:val="lt-LT"/>
        </w:rPr>
        <w:t>,</w:t>
      </w:r>
      <w:r w:rsidRPr="00307040">
        <w:rPr>
          <w:szCs w:val="22"/>
          <w:lang w:val="lt-LT"/>
        </w:rPr>
        <w:t xml:space="preserve"> </w:t>
      </w:r>
    </w:p>
    <w:p w:rsidR="0056793B" w:rsidRDefault="0056793B" w:rsidP="0056793B">
      <w:pPr>
        <w:pStyle w:val="Sraopastraipa"/>
        <w:numPr>
          <w:ilvl w:val="0"/>
          <w:numId w:val="2"/>
        </w:numPr>
        <w:spacing w:line="240" w:lineRule="auto"/>
        <w:rPr>
          <w:szCs w:val="22"/>
          <w:lang w:val="lt-LT"/>
        </w:rPr>
      </w:pPr>
      <w:r>
        <w:rPr>
          <w:szCs w:val="22"/>
          <w:lang w:val="lt-LT"/>
        </w:rPr>
        <w:t xml:space="preserve"> vaistų nuo </w:t>
      </w:r>
      <w:r w:rsidRPr="00307040">
        <w:rPr>
          <w:szCs w:val="22"/>
          <w:lang w:val="lt-LT"/>
        </w:rPr>
        <w:t>ŽIV sukeltų ligų</w:t>
      </w:r>
      <w:r>
        <w:rPr>
          <w:szCs w:val="22"/>
          <w:lang w:val="lt-LT"/>
        </w:rPr>
        <w:t>, kurių sudėtyje yra</w:t>
      </w:r>
      <w:r w:rsidRPr="00307040">
        <w:rPr>
          <w:szCs w:val="22"/>
          <w:lang w:val="lt-LT"/>
        </w:rPr>
        <w:t xml:space="preserve"> efavirenzo ar vadinamųjų ŽIV proteazės inhibitorių</w:t>
      </w:r>
      <w:r>
        <w:rPr>
          <w:szCs w:val="22"/>
          <w:lang w:val="lt-LT"/>
        </w:rPr>
        <w:t xml:space="preserve"> (</w:t>
      </w:r>
      <w:r w:rsidRPr="00307040">
        <w:rPr>
          <w:szCs w:val="22"/>
          <w:lang w:val="lt-LT"/>
        </w:rPr>
        <w:t>pvz., ritonaviro)</w:t>
      </w:r>
      <w:r>
        <w:rPr>
          <w:szCs w:val="22"/>
          <w:lang w:val="lt-LT"/>
        </w:rPr>
        <w:t>,</w:t>
      </w:r>
    </w:p>
    <w:p w:rsidR="0056793B" w:rsidRPr="00307040" w:rsidRDefault="0056793B" w:rsidP="0056793B">
      <w:pPr>
        <w:pStyle w:val="Sraopastraipa"/>
        <w:numPr>
          <w:ilvl w:val="0"/>
          <w:numId w:val="2"/>
        </w:numPr>
        <w:spacing w:line="240" w:lineRule="auto"/>
        <w:rPr>
          <w:szCs w:val="22"/>
          <w:lang w:val="lt-LT"/>
        </w:rPr>
      </w:pPr>
      <w:r>
        <w:rPr>
          <w:szCs w:val="22"/>
          <w:lang w:val="lt-LT"/>
        </w:rPr>
        <w:t xml:space="preserve"> arba kitų vaistų, kurie stipriai sumažina tam tikrų kepenų fermentų aktyvumą (žr. skyrių „ Kiti vaistai ir Halcion“).</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Įspėjimai ir atsargumo priemonės</w:t>
      </w:r>
    </w:p>
    <w:p w:rsidR="0056793B" w:rsidRPr="00411F12" w:rsidRDefault="0056793B" w:rsidP="0056793B">
      <w:pPr>
        <w:numPr>
          <w:ilvl w:val="12"/>
          <w:numId w:val="0"/>
        </w:numPr>
        <w:tabs>
          <w:tab w:val="clear" w:pos="567"/>
        </w:tabs>
        <w:spacing w:line="240" w:lineRule="auto"/>
        <w:ind w:right="-2"/>
        <w:rPr>
          <w:szCs w:val="22"/>
          <w:lang w:val="lt-LT"/>
        </w:rPr>
      </w:pPr>
      <w:r w:rsidRPr="00411F12">
        <w:rPr>
          <w:szCs w:val="22"/>
          <w:lang w:val="lt-LT"/>
        </w:rPr>
        <w:t>Pasitarkite su gydytoju arba vaistininku, prieš pradėdami vartoti Halcion.</w:t>
      </w:r>
    </w:p>
    <w:p w:rsidR="0056793B" w:rsidRPr="00411F12" w:rsidRDefault="0056793B" w:rsidP="0056793B">
      <w:pPr>
        <w:pStyle w:val="BTEMEASMCA"/>
        <w:rPr>
          <w:lang w:val="lt-LT"/>
        </w:rPr>
      </w:pPr>
      <w:r w:rsidRPr="00411F12">
        <w:rPr>
          <w:lang w:val="lt-LT"/>
        </w:rPr>
        <w:t>Pacientams, kuriems yra lengvas ar vidutinio sunkumo kepenų funkcijos sutrikimas, šis vaistas skiriamas atsargiai. Retais atvejais gauta pranešimų apie kvėpavimo slopinimo ir apnėjos atvejus pacientams, kurių kvėpavimo funkcija sutrikusi.</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Migdomasis ilgai vartojamo Halcion poveikis gali šiek tiek susilpnėti.</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lastRenderedPageBreak/>
        <w:t xml:space="preserve">Benzodiazepinai depresijos nesukelia, tačiau, juos vartojant, gali pasireikšti depresijos simptomai tokie kaip mintys apie savižudybę ir net mėginimai nusižudyti, arba be jų. Taip atsitinka retai ir nenumatomai. Jeigu yra depresinio sutrikimo požymių ir simptomų arba minčių apie savižudybę, gydytojui apie tai reikia pasakyti prieš </w:t>
      </w:r>
      <w:r w:rsidRPr="00411F12">
        <w:rPr>
          <w:bCs/>
          <w:lang w:val="lt-LT"/>
        </w:rPr>
        <w:t>Halcion</w:t>
      </w:r>
      <w:r w:rsidRPr="00411F12">
        <w:rPr>
          <w:lang w:val="lt-LT"/>
        </w:rPr>
        <w:t xml:space="preserve"> vartojimą.</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Visi benzodiazepinai, įskaitant Halcion, gali laikinai sutrikdyti atmintį (sukelti amneziją). Toks poveikis dažniausiai pasireiškia po vaisto suvartojimo praėjus kelioms valandoms. Tam, kad būtų sumažinta atminties sutrikimo rizika, turite būti tikras, kad galėsite netrukdomas miegoti 7</w:t>
      </w:r>
      <w:r w:rsidRPr="00411F12">
        <w:rPr>
          <w:lang w:val="lt-LT"/>
        </w:rPr>
        <w:noBreakHyphen/>
        <w:t>8 val.</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Gauta duomenų, kad vartojant benzodiazepinų gali atsirasti tokių reakcijų kaip nenustygstamumas, baimingas susijaudinimas, irzlumas, agresyvumas, manija, įniršis, košmariški sapnai, haliucinacijos, psichozė, nederamas elgesys ar kitokie elgesio sutrikimai. Tokiu atveju būtina nutraukti vaisto vartojimą ir kreiptis į gydytoją. Vaikams ir senyviems žmonėms tokio poveikio rizika yra didesnė.</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Pacientams, kurie po raminančių-migdančių vaistų, įskaitant triazolamą, pavartojimo nepilnai atsibudo, nustatyta su miegojimo elgsena susijusių reiškinių derinių, pavyzdžiui, “miegojimas vairuojant” (t. y., vairavimas nepilnai atsibudus po raminančių-migdančių vaistų pavartojimo, pasireiškiant įvykio užmiršimui). Tokių ar kitokių su miegojimo elgsena susijusių reiškinių derinių gali pasireikšti vartojant gydomąsias raminančių-migdančių vaistų, įskaitant triazolamo, dozes. Papildomas alkoholio ir kitokių centrinę nervų sistemą slopinančių preparatų vartojimas bei didesnių už didžiausią rekomenduojamą vaisto dozių vartojimas didina tokių elgsenos sutrikimų pasireiškimo riziką.</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Atsargiai šio vaisto būtina vartoti senyviems ir nusilpusiems pacientams. Pacientams, ypač senyviems, kyla didesnė griuvimų rizika, kadangi triazolamas gali sukelti raminamąjį poveikį (apsnūdimą, mieguistumą, galvos svaigimą ir judesių kontrolės sutrikimą).</w:t>
      </w:r>
    </w:p>
    <w:p w:rsidR="0056793B" w:rsidRPr="00411F12" w:rsidRDefault="0056793B" w:rsidP="0056793B">
      <w:pPr>
        <w:pStyle w:val="BTEMEASMCA"/>
        <w:rPr>
          <w:lang w:val="lt-LT"/>
        </w:rPr>
      </w:pPr>
      <w:r w:rsidRPr="00411F12">
        <w:rPr>
          <w:lang w:val="lt-LT"/>
        </w:rPr>
        <w:t xml:space="preserve">Kad būtų mažesnis per didelio raminamojo poveikio, galvos svaigimo ir koordinacijos sutrikimų pavojus, rekomenduojama pradinė dozė senyviems ir (arba) nusilpusiems pacientams yra 0,125 mg. </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Halcion gali sukelti sunkių alerginių reakcijų (žr. skyrių „Galimas šalutinis poveikis“).</w:t>
      </w:r>
    </w:p>
    <w:p w:rsidR="0056793B" w:rsidRDefault="0056793B" w:rsidP="0056793B">
      <w:pPr>
        <w:keepNext/>
        <w:autoSpaceDE w:val="0"/>
        <w:autoSpaceDN w:val="0"/>
        <w:adjustRightInd w:val="0"/>
        <w:spacing w:line="240" w:lineRule="auto"/>
        <w:ind w:left="567" w:hanging="567"/>
        <w:rPr>
          <w:b/>
          <w:color w:val="000000"/>
          <w:szCs w:val="22"/>
          <w:lang w:val="lt-LT"/>
        </w:rPr>
      </w:pPr>
    </w:p>
    <w:p w:rsidR="0056793B" w:rsidRPr="00BB062C" w:rsidRDefault="0056793B" w:rsidP="0056793B">
      <w:pPr>
        <w:pStyle w:val="BTEMEASMCA"/>
        <w:rPr>
          <w:b/>
          <w:bCs/>
        </w:rPr>
      </w:pPr>
      <w:r w:rsidRPr="00BB062C">
        <w:rPr>
          <w:b/>
          <w:bCs/>
        </w:rPr>
        <w:t>Tolerancij</w:t>
      </w:r>
      <w:r>
        <w:rPr>
          <w:b/>
          <w:bCs/>
        </w:rPr>
        <w:t>a</w:t>
      </w:r>
      <w:r w:rsidRPr="00BB062C">
        <w:rPr>
          <w:b/>
          <w:bCs/>
        </w:rPr>
        <w:t xml:space="preserve"> ir priklausomybė, nutraukimo reakcijų ir piktnaudžiavimo vaistu išsivystymas</w:t>
      </w:r>
    </w:p>
    <w:p w:rsidR="0056793B" w:rsidRDefault="0056793B" w:rsidP="0056793B">
      <w:pPr>
        <w:pStyle w:val="BTEMEASMCA"/>
      </w:pPr>
      <w:r>
        <w:t>Vartojant šį vaistą ilgesnį laiką, gali sumažėti jo veiksmingumas (atsirasti tolerancija). Šis vaistas rekomenduojamas trumpalaikiam gydymui.</w:t>
      </w:r>
    </w:p>
    <w:p w:rsidR="0056793B" w:rsidRDefault="0056793B" w:rsidP="0056793B">
      <w:pPr>
        <w:pStyle w:val="BTEMEASMCA"/>
      </w:pPr>
    </w:p>
    <w:p w:rsidR="0056793B" w:rsidRDefault="0056793B" w:rsidP="0056793B">
      <w:pPr>
        <w:pStyle w:val="BTEMEASMCA"/>
      </w:pPr>
      <w:r>
        <w:t>Gydymas šiuo vaistu taip pat didina jautrumą alkoholio ir kitų vaistų, kurie slopina smegenų funkciją, poveikiui. Todėl pasitarkite su gydytoju, jei vartojate alkoholį ar tokios rūšies vaistus.</w:t>
      </w:r>
    </w:p>
    <w:p w:rsidR="0056793B" w:rsidRDefault="0056793B" w:rsidP="0056793B">
      <w:pPr>
        <w:pStyle w:val="BTEMEASMCA"/>
      </w:pPr>
    </w:p>
    <w:p w:rsidR="0056793B" w:rsidRDefault="0056793B" w:rsidP="0056793B">
      <w:pPr>
        <w:pStyle w:val="BTEMEASMCA"/>
      </w:pPr>
      <w:r>
        <w:t>Vartojant benzodiazepinus, įskaitant Halcion, gali išsivystyti priklausomybė nuo jų. Priklausomybės rizika didėja, vartojant didesnes dozes ir vartojant ilgesnį laiką. Ji taip pat didesnė, jei anksčiau piktnaudžiavote alkoholiu ar narkotinėmis medžiagomis.</w:t>
      </w:r>
    </w:p>
    <w:p w:rsidR="0056793B" w:rsidRDefault="0056793B" w:rsidP="0056793B">
      <w:pPr>
        <w:pStyle w:val="BTEMEASMCA"/>
      </w:pPr>
    </w:p>
    <w:p w:rsidR="0056793B" w:rsidRDefault="0056793B" w:rsidP="0056793B">
      <w:pPr>
        <w:pStyle w:val="BTEMEASMCA"/>
      </w:pPr>
      <w:r>
        <w:t xml:space="preserve">Privalote pasakyti gydytojui, jeigu </w:t>
      </w:r>
    </w:p>
    <w:p w:rsidR="0056793B" w:rsidRDefault="0056793B" w:rsidP="0056793B">
      <w:pPr>
        <w:pStyle w:val="BTEMEASMCA"/>
      </w:pPr>
      <w:r>
        <w:t>-</w:t>
      </w:r>
      <w:r>
        <w:tab/>
        <w:t xml:space="preserve">vartojote arba šiuo metu vartojate bet kokias nelegalias vaistines mežiagas; </w:t>
      </w:r>
    </w:p>
    <w:p w:rsidR="0056793B" w:rsidRDefault="0056793B" w:rsidP="0056793B">
      <w:pPr>
        <w:pStyle w:val="BTEMEASMCA"/>
      </w:pPr>
      <w:r>
        <w:t>-</w:t>
      </w:r>
      <w:r>
        <w:tab/>
        <w:t>reguliariai vartojate alkoholį arba praeityje dažnai vartodavote didelius alkoholio kiekius;</w:t>
      </w:r>
    </w:p>
    <w:p w:rsidR="0056793B" w:rsidRDefault="0056793B" w:rsidP="0056793B">
      <w:pPr>
        <w:pStyle w:val="BTEMEASMCA"/>
      </w:pPr>
      <w:r>
        <w:t>-</w:t>
      </w:r>
      <w:r>
        <w:tab/>
        <w:t xml:space="preserve">praeityje jautėte ar šiuo metu jaučiate potraukį vartoti didelį vaistų kiekį. </w:t>
      </w:r>
    </w:p>
    <w:p w:rsidR="0056793B" w:rsidRDefault="0056793B" w:rsidP="0056793B">
      <w:pPr>
        <w:pStyle w:val="BTEMEASMCA"/>
      </w:pPr>
    </w:p>
    <w:p w:rsidR="0056793B" w:rsidRDefault="0056793B" w:rsidP="0056793B">
      <w:pPr>
        <w:pStyle w:val="BTEMEASMCA"/>
      </w:pPr>
      <w:r>
        <w:t>Iš esmės benzodiazepinai turėtų būti vartojami tik trumpą laiką, ir jų vartojimą reikia nutraukti palaipsniui. Prieš pradedant gydymą, Jūs ir Jūsų gydytojas turite sutarti, kiek laiko vartosite vaistą.</w:t>
      </w:r>
    </w:p>
    <w:p w:rsidR="0056793B" w:rsidRDefault="0056793B" w:rsidP="0056793B">
      <w:pPr>
        <w:pStyle w:val="BTEMEASMCA"/>
      </w:pPr>
    </w:p>
    <w:p w:rsidR="0056793B" w:rsidRDefault="0056793B" w:rsidP="0056793B">
      <w:pPr>
        <w:pStyle w:val="BTEMEASMCA"/>
      </w:pPr>
      <w:r>
        <w:t>Jei vaisto vartojimą nutrauksite staiga arba greitai sumažinsite dozę, gali pasireikšti nutraukimo reakcijų. Nenutraukite šio vaisto vartojimo staiga. Patarimo, kaip nutraukti gydymą, kreipkitės į gydytoją.</w:t>
      </w:r>
    </w:p>
    <w:p w:rsidR="0056793B" w:rsidRDefault="0056793B" w:rsidP="0056793B">
      <w:pPr>
        <w:pStyle w:val="BTEMEASMCA"/>
      </w:pPr>
    </w:p>
    <w:p w:rsidR="0056793B" w:rsidRDefault="0056793B" w:rsidP="0056793B">
      <w:pPr>
        <w:pStyle w:val="BTEMEASMCA"/>
      </w:pPr>
      <w:r>
        <w:t xml:space="preserve">Kai kurios nutraukimo reakcijos gali būti pavojingos gyvybei. </w:t>
      </w:r>
    </w:p>
    <w:p w:rsidR="0056793B" w:rsidRDefault="0056793B" w:rsidP="0056793B">
      <w:pPr>
        <w:pStyle w:val="BTEMEASMCA"/>
      </w:pPr>
    </w:p>
    <w:p w:rsidR="0056793B" w:rsidRDefault="0056793B" w:rsidP="0056793B">
      <w:pPr>
        <w:pStyle w:val="BTEMEASMCA"/>
      </w:pPr>
      <w:r>
        <w:lastRenderedPageBreak/>
        <w:t>Nutraukimo reakcijos gali būti nuo lengvai depresinės nuotaikos, nemigos ir galvos skausmo iki rimto sindromo, pasireiškiančio raumenų skausmu, raumenų ir pilvo spazmais, vėmimu, prakaitavimu, drebėjimu, traukuliais, nerimu, įtampa, neramumu, sumišimu ir dirglumu. Sunkesni nutraukimo požymiai ir simptomai, įskaitant gyvybei pavojingas reakcijas, gali būti atsiskyrimo ar nutolimo nuo savęs ir išorinio pasaulio jausmas, pernelyg aštrus triukšmo suvokimas, galūnių tirpimas ir dilgčiojimas, padidėjęs jautrumas šviesai, triukšmui ir fiziniam kontaktui, haliucinacijos, baltoji karštligė, depresija, manija, psichozė, epilepsijos priepuoliai ir mintys apie savižudybę arba mėginimai nusižudyti.</w:t>
      </w:r>
    </w:p>
    <w:p w:rsidR="0056793B" w:rsidRDefault="0056793B" w:rsidP="0056793B">
      <w:pPr>
        <w:pStyle w:val="BTEMEASMCA"/>
      </w:pPr>
    </w:p>
    <w:p w:rsidR="0056793B" w:rsidRDefault="0056793B" w:rsidP="0056793B">
      <w:pPr>
        <w:pStyle w:val="BTEMEASMCA"/>
      </w:pPr>
      <w:r>
        <w:t>Taip pat gali trumpam atsinaujinti simptomai, dėl kurių šis vaistas buvo paskirtas (atoveiksmio reiškiniai).</w:t>
      </w:r>
    </w:p>
    <w:p w:rsidR="0056793B" w:rsidRDefault="0056793B" w:rsidP="0056793B">
      <w:pPr>
        <w:pStyle w:val="BTEMEASMCA"/>
      </w:pPr>
    </w:p>
    <w:p w:rsidR="0056793B" w:rsidRPr="00BB062C" w:rsidRDefault="0056793B" w:rsidP="0056793B">
      <w:pPr>
        <w:pStyle w:val="BTEMEASMCA"/>
      </w:pPr>
      <w:r>
        <w:t>Halcion negalima duoti šeimos nariams ar draugams. Saugiai laikykite šį vaistą, kad jis nepakenktų kitiems.</w:t>
      </w:r>
    </w:p>
    <w:p w:rsidR="0056793B" w:rsidRPr="00411F12" w:rsidRDefault="0056793B" w:rsidP="0056793B">
      <w:pPr>
        <w:keepNext/>
        <w:autoSpaceDE w:val="0"/>
        <w:autoSpaceDN w:val="0"/>
        <w:adjustRightInd w:val="0"/>
        <w:spacing w:line="240" w:lineRule="auto"/>
        <w:ind w:left="567" w:hanging="567"/>
        <w:rPr>
          <w:b/>
          <w:color w:val="000000"/>
          <w:szCs w:val="22"/>
          <w:lang w:val="lt-LT"/>
        </w:rPr>
      </w:pPr>
    </w:p>
    <w:p w:rsidR="0056793B" w:rsidRPr="00411F12" w:rsidRDefault="0056793B" w:rsidP="0056793B">
      <w:pPr>
        <w:keepNext/>
        <w:autoSpaceDE w:val="0"/>
        <w:autoSpaceDN w:val="0"/>
        <w:adjustRightInd w:val="0"/>
        <w:spacing w:line="240" w:lineRule="auto"/>
        <w:ind w:left="567" w:hanging="567"/>
        <w:rPr>
          <w:b/>
          <w:color w:val="000000"/>
          <w:szCs w:val="22"/>
          <w:lang w:val="lt-LT"/>
        </w:rPr>
      </w:pPr>
      <w:r w:rsidRPr="00411F12">
        <w:rPr>
          <w:b/>
          <w:color w:val="000000"/>
          <w:szCs w:val="22"/>
          <w:lang w:val="lt-LT"/>
        </w:rPr>
        <w:t>Vaikams ir paaugliams</w:t>
      </w:r>
    </w:p>
    <w:p w:rsidR="0056793B" w:rsidRPr="00411F12" w:rsidRDefault="0056793B" w:rsidP="0056793B">
      <w:pPr>
        <w:pStyle w:val="BTEMEASMCA"/>
        <w:rPr>
          <w:lang w:val="lt-LT"/>
        </w:rPr>
      </w:pPr>
      <w:r w:rsidRPr="00411F12">
        <w:rPr>
          <w:lang w:val="lt-LT"/>
        </w:rPr>
        <w:t>Nenustatyta, ar saugu ir veiksminga vartoti triazolamo jaunesniems kaip 18 metų vaikams ir paaugliams, todėl vaisto vartoti nerekomenduojama.</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Kiti vaistai ir Halcion</w:t>
      </w:r>
    </w:p>
    <w:p w:rsidR="0056793B" w:rsidRPr="00411F12" w:rsidRDefault="0056793B" w:rsidP="0056793B">
      <w:pPr>
        <w:numPr>
          <w:ilvl w:val="12"/>
          <w:numId w:val="0"/>
        </w:numPr>
        <w:tabs>
          <w:tab w:val="clear" w:pos="567"/>
        </w:tabs>
        <w:spacing w:line="240" w:lineRule="auto"/>
        <w:ind w:right="-2"/>
        <w:rPr>
          <w:szCs w:val="22"/>
          <w:lang w:val="lt-LT"/>
        </w:rPr>
      </w:pPr>
      <w:r w:rsidRPr="00411F12">
        <w:rPr>
          <w:szCs w:val="22"/>
          <w:lang w:val="lt-LT"/>
        </w:rPr>
        <w:t>Jeigu vartojate ar neseniai vartojote kitų vaistų arba dėl to nesate tikri, apie tai pasakykite gydytojui arba vaistininkui.</w:t>
      </w:r>
    </w:p>
    <w:p w:rsidR="0056793B" w:rsidRDefault="0056793B" w:rsidP="0056793B">
      <w:pPr>
        <w:pStyle w:val="BTEMEASMCA"/>
        <w:rPr>
          <w:lang w:val="lt-LT"/>
        </w:rPr>
      </w:pPr>
    </w:p>
    <w:p w:rsidR="0056793B" w:rsidRDefault="0056793B" w:rsidP="0056793B">
      <w:pPr>
        <w:numPr>
          <w:ilvl w:val="12"/>
          <w:numId w:val="0"/>
        </w:numPr>
        <w:tabs>
          <w:tab w:val="clear" w:pos="567"/>
        </w:tabs>
        <w:spacing w:line="240" w:lineRule="auto"/>
        <w:ind w:right="-2"/>
        <w:rPr>
          <w:noProof/>
          <w:szCs w:val="22"/>
          <w:lang w:val="lt-LT"/>
        </w:rPr>
      </w:pPr>
      <w:r>
        <w:rPr>
          <w:noProof/>
          <w:szCs w:val="22"/>
          <w:lang w:val="lt-LT"/>
        </w:rPr>
        <w:t>Halcion gali pakeisti kitų vaistų poveikį, ir kiti vaistai gali pakeisti Halcion poveikį.</w:t>
      </w:r>
    </w:p>
    <w:p w:rsidR="0056793B" w:rsidRDefault="0056793B" w:rsidP="0056793B">
      <w:pPr>
        <w:numPr>
          <w:ilvl w:val="12"/>
          <w:numId w:val="0"/>
        </w:numPr>
        <w:tabs>
          <w:tab w:val="clear" w:pos="567"/>
        </w:tabs>
        <w:spacing w:line="240" w:lineRule="auto"/>
        <w:ind w:right="-2"/>
        <w:rPr>
          <w:noProof/>
          <w:szCs w:val="22"/>
          <w:lang w:val="lt-LT"/>
        </w:rPr>
      </w:pPr>
      <w:r>
        <w:rPr>
          <w:noProof/>
          <w:szCs w:val="22"/>
          <w:lang w:val="lt-LT"/>
        </w:rPr>
        <w:t>Halcion negalima vartoti kartu su šiais vaistais:</w:t>
      </w:r>
    </w:p>
    <w:p w:rsidR="0056793B" w:rsidRDefault="0056793B" w:rsidP="0056793B">
      <w:pPr>
        <w:pStyle w:val="Sraopastraipa"/>
        <w:numPr>
          <w:ilvl w:val="0"/>
          <w:numId w:val="3"/>
        </w:numPr>
        <w:tabs>
          <w:tab w:val="clear" w:pos="567"/>
        </w:tabs>
        <w:spacing w:line="240" w:lineRule="auto"/>
        <w:ind w:right="-2"/>
        <w:rPr>
          <w:szCs w:val="22"/>
          <w:lang w:val="lt-LT"/>
        </w:rPr>
      </w:pPr>
      <w:r>
        <w:rPr>
          <w:szCs w:val="22"/>
          <w:lang w:val="lt-LT"/>
        </w:rPr>
        <w:t>ketokonazolu, itrakonazolu (vaistai nuo grybelių sukeltų infekcijų)</w:t>
      </w:r>
    </w:p>
    <w:p w:rsidR="0056793B" w:rsidRDefault="0056793B" w:rsidP="0056793B">
      <w:pPr>
        <w:pStyle w:val="Sraopastraipa"/>
        <w:numPr>
          <w:ilvl w:val="0"/>
          <w:numId w:val="3"/>
        </w:numPr>
        <w:tabs>
          <w:tab w:val="clear" w:pos="567"/>
        </w:tabs>
        <w:spacing w:line="240" w:lineRule="auto"/>
        <w:ind w:right="-2"/>
        <w:rPr>
          <w:szCs w:val="22"/>
          <w:lang w:val="lt-LT"/>
        </w:rPr>
      </w:pPr>
      <w:r>
        <w:rPr>
          <w:szCs w:val="22"/>
          <w:lang w:val="lt-LT"/>
        </w:rPr>
        <w:t>nefazodonu (vaistas nuo depresijos)</w:t>
      </w:r>
    </w:p>
    <w:p w:rsidR="0056793B" w:rsidRDefault="0056793B" w:rsidP="0056793B">
      <w:pPr>
        <w:pStyle w:val="Sraopastraipa"/>
        <w:numPr>
          <w:ilvl w:val="0"/>
          <w:numId w:val="3"/>
        </w:numPr>
        <w:tabs>
          <w:tab w:val="clear" w:pos="567"/>
        </w:tabs>
        <w:spacing w:line="240" w:lineRule="auto"/>
        <w:ind w:right="-2"/>
        <w:rPr>
          <w:szCs w:val="22"/>
          <w:lang w:val="lt-LT"/>
        </w:rPr>
      </w:pPr>
      <w:r>
        <w:rPr>
          <w:szCs w:val="22"/>
          <w:lang w:val="lt-LT"/>
        </w:rPr>
        <w:t xml:space="preserve">efavirenzu ir kitais vaistais, </w:t>
      </w:r>
      <w:r w:rsidRPr="001C0116">
        <w:rPr>
          <w:szCs w:val="22"/>
          <w:lang w:val="lt-LT"/>
        </w:rPr>
        <w:t>kuriais gydomi ŽIV infekuoti ligoniai (pvz., ritonavir</w:t>
      </w:r>
      <w:r>
        <w:rPr>
          <w:szCs w:val="22"/>
          <w:lang w:val="lt-LT"/>
        </w:rPr>
        <w:t>u)</w:t>
      </w:r>
    </w:p>
    <w:p w:rsidR="0056793B" w:rsidRPr="00A766F1" w:rsidRDefault="0056793B" w:rsidP="0056793B">
      <w:pPr>
        <w:pStyle w:val="Sraopastraipa"/>
        <w:numPr>
          <w:ilvl w:val="0"/>
          <w:numId w:val="3"/>
        </w:numPr>
        <w:tabs>
          <w:tab w:val="clear" w:pos="567"/>
        </w:tabs>
        <w:spacing w:line="240" w:lineRule="auto"/>
        <w:ind w:right="-2"/>
        <w:rPr>
          <w:szCs w:val="22"/>
          <w:lang w:val="lt-LT"/>
        </w:rPr>
      </w:pPr>
      <w:r>
        <w:rPr>
          <w:szCs w:val="22"/>
          <w:lang w:val="lt-LT"/>
        </w:rPr>
        <w:t>kitais vaistais, kurie stipriai mažina tam tikrų kepenų fermentų aktyvumą.</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Ypač svarbu pasakyti gydytojui, jeigu vartojate toliau išvardytų vaistų.</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Vaistų nuo grybelių sukeltų ligų.</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Antidepresantų (pvz., fluvoksamino, sertralino, paroksetino).</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Cimetidino (vaisto nuo opaligės ir gastroezofaginio refliukso ligos).</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Makrolidų grupės antibiotikų (pvz., eritromicino, klaritromicino, troleandomicino).</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Izoniazido ar rifampicino (vaistų, kuriais gydoma tuberkuliozė).</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Kalcio kanalų blokatorių (pvz., diltiazemo ar verapamilio, kuriais gydomos širdies ligos).</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Geriamųjų kontraceptikų.</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Imatinibo (juo gydomas kraujo vėžys).</w:t>
      </w:r>
    </w:p>
    <w:p w:rsidR="0056793B" w:rsidRPr="00411F12" w:rsidRDefault="0056793B" w:rsidP="0056793B">
      <w:pPr>
        <w:pStyle w:val="BT-EMEASMCA"/>
        <w:rPr>
          <w:noProof w:val="0"/>
        </w:rPr>
      </w:pPr>
      <w:r w:rsidRPr="00411F12">
        <w:rPr>
          <w:noProof w:val="0"/>
        </w:rPr>
        <w:t>-</w:t>
      </w:r>
      <w:r w:rsidRPr="00411F12">
        <w:rPr>
          <w:noProof w:val="0"/>
        </w:rPr>
        <w:tab/>
        <w:t>Karbamazepino (jo vartojama sergant epilepsija, pasireiškus trišakio nervo dirginimo sukeltam skausmui bei sergant kai kuriomis kitomis nervų ligomis).</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Aprepitanto (vaisto nuo pykinimo ir vėmimo).</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Vaistų nuo psichikos sutrikimų (neuroleptikų).</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Migdomųjų, raminamąjį poveikį sukeliančių vaistų.</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Anestezijai sukelti vartojamų preparatų.</w:t>
      </w:r>
    </w:p>
    <w:p w:rsidR="0056793B" w:rsidRPr="00411F12" w:rsidRDefault="0056793B" w:rsidP="0056793B">
      <w:pPr>
        <w:spacing w:line="240" w:lineRule="auto"/>
        <w:ind w:left="540" w:hanging="540"/>
        <w:rPr>
          <w:szCs w:val="22"/>
          <w:lang w:val="lt-LT"/>
        </w:rPr>
      </w:pPr>
      <w:r w:rsidRPr="00411F12">
        <w:rPr>
          <w:szCs w:val="22"/>
          <w:lang w:val="lt-LT"/>
        </w:rPr>
        <w:t>-</w:t>
      </w:r>
      <w:r w:rsidRPr="00411F12">
        <w:rPr>
          <w:szCs w:val="22"/>
          <w:lang w:val="lt-LT"/>
        </w:rPr>
        <w:tab/>
        <w:t>Raminamąjį poveikį sukeliančių antihistamininių preparatų (jų vartojama pasireiškus alergijai).</w:t>
      </w:r>
    </w:p>
    <w:p w:rsidR="0056793B" w:rsidRPr="00411F12" w:rsidRDefault="0056793B" w:rsidP="0056793B">
      <w:pPr>
        <w:pStyle w:val="BTEMEASMCA"/>
        <w:rPr>
          <w:lang w:val="lt-LT"/>
        </w:rPr>
      </w:pPr>
    </w:p>
    <w:p w:rsidR="0056793B" w:rsidRPr="00411F12" w:rsidRDefault="0056793B" w:rsidP="0056793B">
      <w:pPr>
        <w:rPr>
          <w:szCs w:val="22"/>
          <w:lang w:val="lt-LT"/>
        </w:rPr>
      </w:pPr>
      <w:r w:rsidRPr="00411F12">
        <w:rPr>
          <w:szCs w:val="22"/>
          <w:lang w:val="lt-LT"/>
        </w:rPr>
        <w:t xml:space="preserve">Kartu vartojami benzodiazepinai, įskaitant Halcion, 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rsidR="0056793B" w:rsidRPr="00411F12" w:rsidRDefault="0056793B" w:rsidP="0056793B">
      <w:pPr>
        <w:rPr>
          <w:szCs w:val="22"/>
          <w:lang w:val="lt-LT"/>
        </w:rPr>
      </w:pPr>
      <w:r w:rsidRPr="00411F12">
        <w:rPr>
          <w:szCs w:val="22"/>
          <w:lang w:val="lt-LT"/>
        </w:rPr>
        <w:t xml:space="preserve">Vis dėlto, jei gydytojas Jums paskirtų Halcion kartu su opioidais, jis turėtų apriboti dozę ir vartojimo kartu trukmę. </w:t>
      </w:r>
    </w:p>
    <w:p w:rsidR="0056793B" w:rsidRPr="00411F12" w:rsidRDefault="0056793B" w:rsidP="0056793B">
      <w:pPr>
        <w:rPr>
          <w:szCs w:val="22"/>
          <w:lang w:val="lt-LT"/>
        </w:rPr>
      </w:pPr>
      <w:r w:rsidRPr="00411F12">
        <w:rPr>
          <w:szCs w:val="22"/>
          <w:lang w:val="lt-LT"/>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lastRenderedPageBreak/>
        <w:t>Halcion vartojimas su maistu, gėrimais ir alkoholiu</w:t>
      </w:r>
    </w:p>
    <w:p w:rsidR="0056793B" w:rsidRPr="00411F12" w:rsidRDefault="0056793B" w:rsidP="0056793B">
      <w:pPr>
        <w:pStyle w:val="BTEMEASMCA"/>
        <w:rPr>
          <w:lang w:val="lt-LT"/>
        </w:rPr>
      </w:pPr>
      <w:r w:rsidRPr="00411F12">
        <w:rPr>
          <w:lang w:val="lt-LT"/>
        </w:rPr>
        <w:t>Kartu su benzodiazepinais vartojant alkoholį, slopinamasis poveikis sumuojasi.</w:t>
      </w:r>
    </w:p>
    <w:p w:rsidR="0056793B" w:rsidRPr="00411F12" w:rsidRDefault="0056793B" w:rsidP="0056793B">
      <w:pPr>
        <w:pStyle w:val="BTEMEASMCA"/>
        <w:rPr>
          <w:lang w:val="lt-LT"/>
        </w:rPr>
      </w:pPr>
      <w:r w:rsidRPr="00411F12">
        <w:rPr>
          <w:lang w:val="lt-LT"/>
        </w:rPr>
        <w:t>Gydymo Halcion metu nerekomenduojama gerti greipfrutų sulčių, kadangi gali sustiprėti vaisto poveikis.</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Nėštumas, žindymo laikotarpis ir vaisingumas</w:t>
      </w:r>
    </w:p>
    <w:p w:rsidR="0056793B" w:rsidRPr="00411F12" w:rsidRDefault="0056793B" w:rsidP="0056793B">
      <w:pPr>
        <w:numPr>
          <w:ilvl w:val="12"/>
          <w:numId w:val="0"/>
        </w:numPr>
        <w:tabs>
          <w:tab w:val="clear" w:pos="567"/>
        </w:tabs>
        <w:spacing w:line="240" w:lineRule="auto"/>
        <w:rPr>
          <w:szCs w:val="22"/>
          <w:lang w:val="lt-LT"/>
        </w:rPr>
      </w:pPr>
      <w:r w:rsidRPr="00411F12">
        <w:rPr>
          <w:szCs w:val="22"/>
          <w:lang w:val="lt-LT"/>
        </w:rPr>
        <w:t>Jeigu esate nėščia, žindote kūdikį, manote, kad galbūt esate nėščia, arba planuojate pastoti, tai prieš vartodama šį vaistą, pasitarkite su gydytoju arba vaistininku.</w:t>
      </w:r>
    </w:p>
    <w:p w:rsidR="0056793B" w:rsidRPr="00411F12" w:rsidRDefault="0056793B" w:rsidP="0056793B">
      <w:pPr>
        <w:pStyle w:val="BTEMEASMCA"/>
        <w:rPr>
          <w:szCs w:val="22"/>
          <w:lang w:val="lt-LT"/>
        </w:rPr>
      </w:pPr>
      <w:r w:rsidRPr="00411F12">
        <w:rPr>
          <w:szCs w:val="22"/>
          <w:lang w:val="lt-LT"/>
        </w:rPr>
        <w:t>Ar saugu vartoti triazolamą</w:t>
      </w:r>
      <w:r w:rsidRPr="00411F12">
        <w:rPr>
          <w:b/>
          <w:szCs w:val="22"/>
          <w:lang w:val="lt-LT"/>
        </w:rPr>
        <w:t xml:space="preserve"> </w:t>
      </w:r>
      <w:r w:rsidRPr="00411F12">
        <w:rPr>
          <w:szCs w:val="22"/>
          <w:lang w:val="lt-LT"/>
        </w:rPr>
        <w:t xml:space="preserve">nėštumo laikotarpiu, nenustatyta. </w:t>
      </w:r>
      <w:r w:rsidRPr="00411F12">
        <w:rPr>
          <w:lang w:val="lt-LT"/>
        </w:rPr>
        <w:t xml:space="preserve"> Jeigu esate nėščia, manote, kad galbūt esate nėščia, arba planuojate pastoti, tai prieš vartodama šį vaistą, pasitarkite su gydytoju.</w:t>
      </w:r>
    </w:p>
    <w:p w:rsidR="0056793B" w:rsidRPr="00411F12" w:rsidRDefault="0056793B" w:rsidP="0056793B">
      <w:pPr>
        <w:pStyle w:val="BTEMEASMCA"/>
        <w:rPr>
          <w:lang w:val="lt-LT"/>
        </w:rPr>
      </w:pPr>
      <w:r w:rsidRPr="00411F12">
        <w:rPr>
          <w:bCs/>
          <w:lang w:val="lt-LT"/>
        </w:rPr>
        <w:t>Halcion</w:t>
      </w:r>
      <w:r w:rsidRPr="00411F12">
        <w:rPr>
          <w:lang w:val="lt-LT"/>
        </w:rPr>
        <w:t xml:space="preserve"> žindymo laikotarpiu vartoti negalima.</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Vairavimas ir mechanizmų valdymas</w:t>
      </w:r>
    </w:p>
    <w:p w:rsidR="0056793B" w:rsidRPr="00411F12" w:rsidRDefault="0056793B" w:rsidP="0056793B">
      <w:pPr>
        <w:pStyle w:val="BTEMEASMCA"/>
        <w:rPr>
          <w:lang w:val="lt-LT"/>
        </w:rPr>
      </w:pPr>
      <w:r w:rsidRPr="00411F12">
        <w:rPr>
          <w:lang w:val="lt-LT"/>
        </w:rPr>
        <w:t>Gydymo Halcion metu vairuoti ir valdyti mechanizmus galima tik tada, kai paaiškės, kad dienos metu neapima mieguistumas ir nesvaigsta galva.</w:t>
      </w:r>
    </w:p>
    <w:p w:rsidR="0056793B" w:rsidRPr="00411F12" w:rsidRDefault="0056793B" w:rsidP="0056793B">
      <w:pPr>
        <w:pStyle w:val="BTEMEASMCA"/>
        <w:rPr>
          <w:lang w:val="lt-LT"/>
        </w:rPr>
      </w:pPr>
    </w:p>
    <w:p w:rsidR="0056793B" w:rsidRPr="00BB062C" w:rsidRDefault="0056793B" w:rsidP="0056793B">
      <w:pPr>
        <w:pStyle w:val="BTEMEASMCA"/>
        <w:rPr>
          <w:b/>
          <w:bCs/>
          <w:lang w:val="lt-LT"/>
        </w:rPr>
      </w:pPr>
      <w:r w:rsidRPr="00BB062C">
        <w:rPr>
          <w:b/>
          <w:bCs/>
          <w:lang w:val="lt-LT"/>
        </w:rPr>
        <w:t xml:space="preserve">Halcion sudėtyje yra laktozės, natrio benzoato (E211), natrio </w:t>
      </w:r>
    </w:p>
    <w:p w:rsidR="0056793B" w:rsidRPr="00411F12" w:rsidRDefault="0056793B" w:rsidP="0056793B">
      <w:pPr>
        <w:pStyle w:val="BTEMEASMCA"/>
        <w:rPr>
          <w:lang w:val="lt-LT"/>
        </w:rPr>
      </w:pPr>
      <w:r w:rsidRPr="00411F12">
        <w:rPr>
          <w:lang w:val="lt-LT"/>
        </w:rPr>
        <w:t>Jeigu gydytojas Jums yra sakęs, kad netoleruojate kokių nors angliavandenių, kreipkitės į jį prieš pradėdami vartoti šį vaistą.</w:t>
      </w:r>
    </w:p>
    <w:p w:rsidR="0056793B" w:rsidRPr="00411F12" w:rsidRDefault="0056793B" w:rsidP="0056793B">
      <w:pPr>
        <w:pStyle w:val="BTEMEASMCA"/>
        <w:rPr>
          <w:lang w:val="lt-LT"/>
        </w:rPr>
      </w:pPr>
      <w:r w:rsidRPr="00411F12">
        <w:rPr>
          <w:lang w:val="lt-LT"/>
        </w:rPr>
        <w:t>Kiekvienoje tabletėje yra 0,15 mg natrio benzoato (E211).</w:t>
      </w:r>
    </w:p>
    <w:p w:rsidR="0056793B" w:rsidRPr="00411F12" w:rsidRDefault="0056793B" w:rsidP="0056793B">
      <w:pPr>
        <w:pStyle w:val="BTEMEASMCA"/>
        <w:rPr>
          <w:lang w:val="lt-LT"/>
        </w:rPr>
      </w:pPr>
      <w:r w:rsidRPr="00411F12">
        <w:rPr>
          <w:lang w:val="lt-LT"/>
        </w:rPr>
        <w:t>Šio vaisto tabletėje yra mažiau kaip 1 mmol (23 mg) natrio, t.y. jis beveik neturi reikšmės.</w:t>
      </w:r>
    </w:p>
    <w:p w:rsidR="0056793B" w:rsidRPr="00411F12" w:rsidRDefault="0056793B" w:rsidP="0056793B">
      <w:pPr>
        <w:pStyle w:val="BTEMEASMCA"/>
        <w:rPr>
          <w:lang w:val="lt-LT"/>
        </w:rPr>
      </w:pPr>
    </w:p>
    <w:p w:rsidR="0056793B" w:rsidRPr="00411F12" w:rsidRDefault="0056793B" w:rsidP="0056793B">
      <w:pPr>
        <w:pStyle w:val="BTEMEASMCA"/>
        <w:rPr>
          <w:lang w:val="lt-LT"/>
        </w:rPr>
      </w:pPr>
    </w:p>
    <w:p w:rsidR="0056793B" w:rsidRPr="00411F12" w:rsidRDefault="0056793B" w:rsidP="0056793B">
      <w:pPr>
        <w:pStyle w:val="PI-1EMEASMCA"/>
      </w:pPr>
      <w:r w:rsidRPr="00411F12">
        <w:t>3.</w:t>
      </w:r>
      <w:r w:rsidRPr="00411F12">
        <w:tab/>
        <w:t>Kaip vartoti Halcion</w:t>
      </w:r>
    </w:p>
    <w:p w:rsidR="0056793B" w:rsidRPr="00411F12" w:rsidRDefault="0056793B" w:rsidP="0056793B">
      <w:pPr>
        <w:pStyle w:val="BTEMEASMCA"/>
        <w:rPr>
          <w:lang w:val="lt-LT"/>
        </w:rPr>
      </w:pPr>
    </w:p>
    <w:p w:rsidR="0056793B" w:rsidRDefault="0056793B" w:rsidP="0056793B">
      <w:pPr>
        <w:numPr>
          <w:ilvl w:val="12"/>
          <w:numId w:val="0"/>
        </w:numPr>
        <w:tabs>
          <w:tab w:val="clear" w:pos="567"/>
        </w:tabs>
        <w:spacing w:line="240" w:lineRule="auto"/>
        <w:ind w:right="-2"/>
        <w:rPr>
          <w:szCs w:val="22"/>
          <w:lang w:val="lt-LT"/>
        </w:rPr>
      </w:pPr>
      <w:r w:rsidRPr="00411F12">
        <w:rPr>
          <w:szCs w:val="22"/>
          <w:lang w:val="lt-LT"/>
        </w:rPr>
        <w:t>Visada vartokite šį vaistą tiksliai, kaip nurodė gydytojas. Jeigu abejojate, kreipkitės į gydytoją arba vaistininką.</w:t>
      </w:r>
    </w:p>
    <w:p w:rsidR="0056793B" w:rsidRDefault="0056793B" w:rsidP="0056793B">
      <w:pPr>
        <w:numPr>
          <w:ilvl w:val="12"/>
          <w:numId w:val="0"/>
        </w:numPr>
        <w:tabs>
          <w:tab w:val="clear" w:pos="567"/>
        </w:tabs>
        <w:spacing w:line="240" w:lineRule="auto"/>
        <w:ind w:right="-2"/>
        <w:rPr>
          <w:szCs w:val="22"/>
          <w:lang w:val="lt-LT"/>
        </w:rPr>
      </w:pPr>
    </w:p>
    <w:p w:rsidR="0056793B" w:rsidRPr="007F5B06" w:rsidRDefault="0056793B" w:rsidP="0056793B">
      <w:pPr>
        <w:tabs>
          <w:tab w:val="left" w:pos="288"/>
          <w:tab w:val="left" w:pos="1821"/>
        </w:tabs>
        <w:rPr>
          <w:lang w:val="lt-LT"/>
        </w:rPr>
      </w:pPr>
      <w:r w:rsidRPr="00BB062C">
        <w:rPr>
          <w:lang w:val="lt-LT"/>
        </w:rPr>
        <w:t>Dozę ir vartojimo trukmę reikia parinkti atsižvelgiant į individualią situaciją. Gydytojas patars, kokią Halcion dozę ir kiek kartų per parą vartoti bei kiek laiko juo gydytis, kad vartotumėte kuo mažesnę dozę ir kuo trumpesnį laiką, nes yra pavojus tapti priklausomam nuo šio vaisto. Jums paskirtos dozės keisti ar viršyti negalima. Norint nutraukti gydymą, dozę reikia mažinti palaipsniui, iš pradžių pasitarus su gydytoju. Tai sumažina nutraukimo reakcijų, kurios kai kuriais atvejais gali būti pavojingos gyvybei, riziką (žr. 2 skyrių).</w:t>
      </w:r>
    </w:p>
    <w:p w:rsidR="0056793B" w:rsidRPr="007F5B06" w:rsidRDefault="0056793B" w:rsidP="0056793B">
      <w:pPr>
        <w:pStyle w:val="BTEMEASMCA"/>
        <w:rPr>
          <w:lang w:val="lt-LT"/>
        </w:rPr>
      </w:pPr>
    </w:p>
    <w:p w:rsidR="0056793B" w:rsidRPr="00411F12" w:rsidRDefault="0056793B" w:rsidP="0056793B">
      <w:pPr>
        <w:pStyle w:val="BTEMEASMCA"/>
        <w:rPr>
          <w:lang w:val="lt-LT"/>
        </w:rPr>
      </w:pPr>
      <w:r w:rsidRPr="00411F12">
        <w:rPr>
          <w:lang w:val="lt-LT"/>
        </w:rPr>
        <w:t xml:space="preserve">Halcion būtina vartoti kiek įmanoma trumpiau, be to, būtina vartoti mažiausią veiksmingą dozę. Paprastai gydymas trunka ne  daugiau kaip 7 - 10 dienų. </w:t>
      </w:r>
    </w:p>
    <w:p w:rsidR="0056793B" w:rsidRPr="00411F12" w:rsidRDefault="0056793B" w:rsidP="0056793B">
      <w:pPr>
        <w:pStyle w:val="BTEMEASMCA"/>
        <w:rPr>
          <w:highlight w:val="yellow"/>
          <w:lang w:val="lt-LT"/>
        </w:rPr>
      </w:pPr>
    </w:p>
    <w:p w:rsidR="0056793B" w:rsidRPr="00411F12" w:rsidRDefault="0056793B" w:rsidP="0056793B">
      <w:pPr>
        <w:pStyle w:val="BTEMEASMCA"/>
        <w:rPr>
          <w:lang w:val="lt-LT"/>
        </w:rPr>
      </w:pPr>
      <w:r w:rsidRPr="00411F12">
        <w:rPr>
          <w:lang w:val="lt-LT"/>
        </w:rPr>
        <w:t>Daugumai suaugusiųjų rekomenduojama prieš miegą geriama dozė yra 250 mikrogramų, tačiau kai kuriems gali pakakti 125 mikrogramų dozės. Maksimalią 500 mikrogramų dozę galima vartoti tik tais atvejais, kai mažesnės dozės neveiksmingos.</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Senyviems ir nusilpusiems žmonėms bei pacientams, kurių kepenų ar inkstų funkcija sutrikusi, paprastai rekomenduojama vartoti mažesnę dozę. Tikslią dozę nurodys gydytojas.</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 xml:space="preserve">Jeigu manote, kad </w:t>
      </w:r>
      <w:r w:rsidRPr="00411F12">
        <w:rPr>
          <w:bCs/>
          <w:lang w:val="lt-LT"/>
        </w:rPr>
        <w:t>Halcion</w:t>
      </w:r>
      <w:r w:rsidRPr="00411F12">
        <w:rPr>
          <w:lang w:val="lt-LT"/>
        </w:rPr>
        <w:t xml:space="preserve"> veikia per stipriai arba per silpnai, kreipkitės į gydytoją arba vaistininką.</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Ką daryti pavartojus per didelę Halcion dozę</w:t>
      </w:r>
    </w:p>
    <w:p w:rsidR="0056793B" w:rsidRPr="00411F12" w:rsidRDefault="0056793B" w:rsidP="0056793B">
      <w:pPr>
        <w:pStyle w:val="BTEMEASMCA"/>
        <w:rPr>
          <w:lang w:val="lt-LT"/>
        </w:rPr>
      </w:pPr>
      <w:r w:rsidRPr="00411F12">
        <w:rPr>
          <w:bCs/>
          <w:lang w:val="lt-LT"/>
        </w:rPr>
        <w:t>Halcion</w:t>
      </w:r>
      <w:r w:rsidRPr="00411F12">
        <w:rPr>
          <w:lang w:val="lt-LT"/>
        </w:rPr>
        <w:t xml:space="preserve"> tablečių perdozavimas gali pasireikšti mieguistumu, koordinacijos sutrikimais, neaiškia kalba, kvėpavimo slopinimu ir galiausiai – koma.</w:t>
      </w:r>
    </w:p>
    <w:p w:rsidR="0056793B" w:rsidRPr="00411F12" w:rsidRDefault="0056793B" w:rsidP="0056793B">
      <w:pPr>
        <w:pStyle w:val="BTEMEASMCA"/>
        <w:rPr>
          <w:lang w:val="lt-LT"/>
        </w:rPr>
      </w:pPr>
    </w:p>
    <w:p w:rsidR="0056793B" w:rsidRPr="00411F12" w:rsidDel="00A972EF" w:rsidRDefault="0056793B" w:rsidP="0056793B">
      <w:pPr>
        <w:pStyle w:val="BTEMEASMCA"/>
        <w:rPr>
          <w:lang w:val="lt-LT"/>
        </w:rPr>
      </w:pPr>
      <w:r w:rsidRPr="00411F12">
        <w:rPr>
          <w:lang w:val="lt-LT"/>
        </w:rPr>
        <w:t>Kaip ir perdozavus kitų vaistų, reikėtų stebėti kvėpavimą, pulsą ir kraujospūdį, prireikus imtis bendrųjų priemonių šioms funkcijoms palaikyti. Dializės reikšmė nenustatyta.</w:t>
      </w:r>
    </w:p>
    <w:p w:rsidR="0056793B" w:rsidRPr="00411F12" w:rsidRDefault="0056793B" w:rsidP="0056793B">
      <w:pPr>
        <w:pStyle w:val="BTEMEASMCA"/>
        <w:rPr>
          <w:lang w:val="lt-LT"/>
        </w:rPr>
      </w:pPr>
      <w:r w:rsidRPr="00411F12">
        <w:rPr>
          <w:lang w:val="lt-LT"/>
        </w:rPr>
        <w:t>Gydydamas tyčinį apsinuodijimą, gydytojas visada turėtų atsižvelgti į tai, kad pacientas galėjo pavartoti ir ne vieną vaistą.</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Pamiršus pavartoti Halcion</w:t>
      </w:r>
    </w:p>
    <w:p w:rsidR="0056793B" w:rsidRPr="00411F12" w:rsidRDefault="0056793B" w:rsidP="0056793B">
      <w:pPr>
        <w:pStyle w:val="BTEMEASMCA"/>
        <w:rPr>
          <w:lang w:val="lt-LT"/>
        </w:rPr>
      </w:pPr>
      <w:r w:rsidRPr="00411F12">
        <w:rPr>
          <w:lang w:val="lt-LT"/>
        </w:rPr>
        <w:lastRenderedPageBreak/>
        <w:t>Negalima vartoti dvigubos dozės norint kompensuoti praleistą dozę.</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Nustojus vartoti Halcion</w:t>
      </w:r>
    </w:p>
    <w:p w:rsidR="0056793B" w:rsidRPr="00411F12" w:rsidRDefault="0056793B" w:rsidP="0056793B">
      <w:pPr>
        <w:pStyle w:val="BTEMEASMCA"/>
        <w:rPr>
          <w:lang w:val="lt-LT"/>
        </w:rPr>
      </w:pPr>
      <w:r w:rsidRPr="00411F12">
        <w:rPr>
          <w:lang w:val="lt-LT"/>
        </w:rPr>
        <w:t xml:space="preserve">Buvo atvejų, kai pacientams, staiga nutraukusiems ilgalaikį kasdienį </w:t>
      </w:r>
      <w:r w:rsidRPr="00411F12">
        <w:rPr>
          <w:bCs/>
          <w:lang w:val="lt-LT"/>
        </w:rPr>
        <w:t>Halcion</w:t>
      </w:r>
      <w:r w:rsidRPr="00411F12">
        <w:rPr>
          <w:lang w:val="lt-LT"/>
        </w:rPr>
        <w:t xml:space="preserve"> vartojimą, pasireiškė nutraukimo simptomų, įskaitant traukulius.</w:t>
      </w:r>
    </w:p>
    <w:p w:rsidR="0056793B" w:rsidRPr="00411F12" w:rsidRDefault="0056793B" w:rsidP="0056793B">
      <w:pPr>
        <w:pStyle w:val="BTEMEASMCA"/>
        <w:rPr>
          <w:lang w:val="lt-LT"/>
        </w:rPr>
      </w:pPr>
    </w:p>
    <w:p w:rsidR="0056793B" w:rsidRPr="00411F12" w:rsidRDefault="0056793B" w:rsidP="0056793B">
      <w:pPr>
        <w:pStyle w:val="BTEMEASMCA"/>
        <w:rPr>
          <w:lang w:val="lt-LT"/>
        </w:rPr>
      </w:pPr>
    </w:p>
    <w:p w:rsidR="0056793B" w:rsidRPr="00411F12" w:rsidRDefault="0056793B" w:rsidP="0056793B">
      <w:pPr>
        <w:spacing w:line="240" w:lineRule="auto"/>
        <w:ind w:left="540" w:hanging="540"/>
        <w:rPr>
          <w:b/>
          <w:bCs/>
          <w:szCs w:val="22"/>
          <w:lang w:val="lt-LT"/>
        </w:rPr>
      </w:pPr>
      <w:r w:rsidRPr="00411F12">
        <w:rPr>
          <w:b/>
          <w:bCs/>
          <w:szCs w:val="22"/>
          <w:lang w:val="lt-LT"/>
        </w:rPr>
        <w:t>4.</w:t>
      </w:r>
      <w:r w:rsidRPr="00411F12">
        <w:rPr>
          <w:b/>
          <w:bCs/>
          <w:szCs w:val="22"/>
          <w:lang w:val="lt-LT"/>
        </w:rPr>
        <w:tab/>
        <w:t>Galimas šalutinis poveikis</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Šis vaistas, kaip ir visi kiti, gali sukelti šalutinį poveikį, nors jis pasireiškia ne visiems žmonėms.</w:t>
      </w:r>
    </w:p>
    <w:p w:rsidR="0056793B" w:rsidRPr="00411F12" w:rsidRDefault="0056793B" w:rsidP="0056793B">
      <w:pPr>
        <w:pStyle w:val="BTEMEASMCA"/>
        <w:rPr>
          <w:lang w:val="lt-LT"/>
        </w:rPr>
      </w:pPr>
    </w:p>
    <w:p w:rsidR="0056793B" w:rsidRPr="00411F12" w:rsidRDefault="0056793B" w:rsidP="0056793B">
      <w:pPr>
        <w:spacing w:line="240" w:lineRule="auto"/>
        <w:rPr>
          <w:i/>
          <w:szCs w:val="22"/>
          <w:lang w:val="lt-LT"/>
        </w:rPr>
      </w:pPr>
      <w:r w:rsidRPr="005D554B">
        <w:rPr>
          <w:b/>
          <w:bCs/>
          <w:noProof/>
          <w:snapToGrid w:val="0"/>
          <w:szCs w:val="22"/>
        </w:rPr>
        <w:t>Dažni šalutinio poveikio reiškiniai (gali pasireikšti rečiau kaip 1 iš 10 asmenų)</w:t>
      </w:r>
      <w:r>
        <w:rPr>
          <w:b/>
          <w:bCs/>
          <w:noProof/>
          <w:snapToGrid w:val="0"/>
          <w:szCs w:val="22"/>
        </w:rPr>
        <w:t>:</w:t>
      </w:r>
    </w:p>
    <w:p w:rsidR="0056793B" w:rsidRPr="00411F12" w:rsidRDefault="0056793B" w:rsidP="0056793B">
      <w:pPr>
        <w:pStyle w:val="BTEMEASMCA"/>
        <w:rPr>
          <w:lang w:val="lt-LT"/>
        </w:rPr>
      </w:pPr>
      <w:r w:rsidRPr="00411F12">
        <w:rPr>
          <w:lang w:val="lt-LT"/>
        </w:rPr>
        <w:t>Labai stiprus mieguistumas, galvos svaigimas, judesių koordinavimo sutrikimas, galvos skausmas.</w:t>
      </w:r>
    </w:p>
    <w:p w:rsidR="0056793B" w:rsidRPr="00411F12" w:rsidRDefault="0056793B" w:rsidP="0056793B">
      <w:pPr>
        <w:pStyle w:val="BTEMEASMCA"/>
        <w:rPr>
          <w:lang w:val="lt-LT"/>
        </w:rPr>
      </w:pPr>
    </w:p>
    <w:p w:rsidR="0056793B" w:rsidRPr="00411F12" w:rsidRDefault="0056793B" w:rsidP="0056793B">
      <w:pPr>
        <w:spacing w:line="240" w:lineRule="auto"/>
        <w:rPr>
          <w:i/>
          <w:szCs w:val="22"/>
          <w:lang w:val="lt-LT"/>
        </w:rPr>
      </w:pPr>
      <w:r w:rsidRPr="005D554B">
        <w:rPr>
          <w:b/>
          <w:bCs/>
          <w:noProof/>
          <w:snapToGrid w:val="0"/>
          <w:szCs w:val="22"/>
        </w:rPr>
        <w:t>Nedažni šalutinio poveikio reiškiniai (gali pasireikšti rečiau kaip 1 iš 100 asmenų):</w:t>
      </w:r>
    </w:p>
    <w:p w:rsidR="0056793B" w:rsidRPr="00411F12" w:rsidRDefault="0056793B" w:rsidP="0056793B">
      <w:pPr>
        <w:pStyle w:val="BTEMEASMCA"/>
        <w:rPr>
          <w:lang w:val="lt-LT"/>
        </w:rPr>
      </w:pPr>
      <w:r w:rsidRPr="00411F12">
        <w:rPr>
          <w:lang w:val="lt-LT"/>
        </w:rPr>
        <w:t>Sumišimas, nemiga, atminties sutrikimas, regos sutrikimas.</w:t>
      </w:r>
    </w:p>
    <w:p w:rsidR="0056793B" w:rsidRPr="00411F12" w:rsidRDefault="0056793B" w:rsidP="0056793B">
      <w:pPr>
        <w:pStyle w:val="BTEMEASMCA"/>
        <w:rPr>
          <w:lang w:val="lt-LT"/>
        </w:rPr>
      </w:pPr>
    </w:p>
    <w:p w:rsidR="0056793B" w:rsidRPr="00411F12" w:rsidRDefault="0056793B" w:rsidP="0056793B">
      <w:pPr>
        <w:spacing w:line="240" w:lineRule="auto"/>
        <w:rPr>
          <w:i/>
          <w:szCs w:val="22"/>
          <w:lang w:val="lt-LT"/>
        </w:rPr>
      </w:pPr>
      <w:r w:rsidRPr="005D554B">
        <w:rPr>
          <w:b/>
          <w:bCs/>
          <w:noProof/>
          <w:snapToGrid w:val="0"/>
          <w:szCs w:val="22"/>
        </w:rPr>
        <w:t>Reti šalutinio poveikio reiškiniai (gali pasireikšti rečiau kaip 1 iš 1 000 asmenų):</w:t>
      </w:r>
    </w:p>
    <w:p w:rsidR="0056793B" w:rsidRPr="00411F12" w:rsidRDefault="0056793B" w:rsidP="0056793B">
      <w:pPr>
        <w:pStyle w:val="BTEMEASMCA"/>
        <w:rPr>
          <w:lang w:val="lt-LT"/>
        </w:rPr>
      </w:pPr>
      <w:r w:rsidRPr="00411F12">
        <w:rPr>
          <w:lang w:val="lt-LT"/>
        </w:rPr>
        <w:t>Išbėrimas, miastenija (raumenų silpnumu pasireiškiantis sutrikimas).</w:t>
      </w:r>
    </w:p>
    <w:p w:rsidR="0056793B" w:rsidRPr="00411F12" w:rsidRDefault="0056793B" w:rsidP="0056793B">
      <w:pPr>
        <w:pStyle w:val="BTEMEASMCA"/>
        <w:rPr>
          <w:lang w:val="lt-LT"/>
        </w:rPr>
      </w:pPr>
    </w:p>
    <w:p w:rsidR="0056793B" w:rsidRPr="00411F12" w:rsidRDefault="0056793B" w:rsidP="0056793B">
      <w:pPr>
        <w:spacing w:line="240" w:lineRule="auto"/>
        <w:rPr>
          <w:i/>
          <w:szCs w:val="22"/>
          <w:lang w:val="lt-LT"/>
        </w:rPr>
      </w:pPr>
      <w:r w:rsidRPr="005D554B">
        <w:rPr>
          <w:b/>
          <w:bCs/>
          <w:noProof/>
          <w:snapToGrid w:val="0"/>
          <w:szCs w:val="22"/>
        </w:rPr>
        <w:t>Šalutinio poveikio reiškiniai, kurių dažnis nežinomas (negali būti apskaičiuotas pagal turimus duomenis):</w:t>
      </w:r>
    </w:p>
    <w:p w:rsidR="0056793B" w:rsidRPr="00411F12" w:rsidRDefault="0056793B" w:rsidP="0056793B">
      <w:pPr>
        <w:pStyle w:val="BTEMEASMCA"/>
        <w:rPr>
          <w:lang w:val="lt-LT"/>
        </w:rPr>
      </w:pPr>
      <w:r w:rsidRPr="00411F12">
        <w:rPr>
          <w:lang w:val="lt-LT"/>
        </w:rPr>
        <w:t>Sunki alerginė reakcija (anafilaksinis šokas, anafilaktoidinė reakcija), angioneurozinė edema (staigus veido, lūpų, liežuvio ir gerklės patinimas), alerginis patinimas, padidėjęs jautrumas, agresija, haliucinacijos, somnambulizmas (vaikščiojimas miegant), atminties sutrikimas (anterogradinė amnezija), nenustygstamumas, baimingas susijaudinimas, irzlumas, manija, įniršis, košmariški sapnai, psichozė, netinkamas elgesys,</w:t>
      </w:r>
      <w:r>
        <w:rPr>
          <w:lang w:val="lt-LT"/>
        </w:rPr>
        <w:t xml:space="preserve"> piktnaudžiavimas vaistais, priklausomybė nuo vaistų,</w:t>
      </w:r>
      <w:r w:rsidRPr="00411F12">
        <w:rPr>
          <w:lang w:val="lt-LT"/>
        </w:rPr>
        <w:t xml:space="preserve"> alpulys, raminamasis poveikis, sąmonės priblėsimas, kalbos sutrikimas, dėmesio sutrikimas, skonio pojūčio sutrikimas, kvėpavimo slopinimas (pacientams, kurių kvėpavimo funkcija sutrikusi), lytinio potraukio pokytis, griuvimas</w:t>
      </w:r>
      <w:r>
        <w:rPr>
          <w:lang w:val="lt-LT"/>
        </w:rPr>
        <w:t>, vaisto nutraukimo sindromas</w:t>
      </w:r>
      <w:r w:rsidRPr="00411F12">
        <w:rPr>
          <w:lang w:val="lt-LT"/>
        </w:rPr>
        <w:t>.</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Pranešimas apie šalutinį poveikį</w:t>
      </w:r>
    </w:p>
    <w:p w:rsidR="0056793B" w:rsidRPr="005D554B" w:rsidRDefault="0056793B" w:rsidP="0056793B">
      <w:pPr>
        <w:ind w:right="-1"/>
        <w:rPr>
          <w:snapToGrid w:val="0"/>
        </w:rPr>
      </w:pPr>
      <w:r w:rsidRPr="00411F12">
        <w:rPr>
          <w:szCs w:val="22"/>
          <w:lang w:val="lt-LT"/>
        </w:rPr>
        <w:t xml:space="preserve">Jeigu pasireiškė šalutinis poveikis, įskaitant šiame lapelyje nenurodytą, pasakykite gydytojui arba vaistininkui. </w:t>
      </w:r>
      <w:r w:rsidRPr="00BB062C">
        <w:rPr>
          <w:szCs w:val="22"/>
          <w:lang w:val="lt-LT" w:eastAsia="lt-LT"/>
        </w:rPr>
        <w:t xml:space="preserve">Pranešimą apie šalutinį poveikį galite užpildyti ir pateikti Valstybinės vaistų kontrolės tarnybos prie Lietuvos Respublikos sveikatos apsaugos ministerijos tinklalapyje </w:t>
      </w:r>
      <w:r w:rsidRPr="00BB062C">
        <w:rPr>
          <w:color w:val="0000EE"/>
          <w:szCs w:val="22"/>
          <w:u w:val="single"/>
          <w:lang w:val="lt-LT" w:eastAsia="lt-LT"/>
        </w:rPr>
        <w:t>https://vvkt.lrv.lt/lt/</w:t>
      </w:r>
      <w:r w:rsidRPr="00BB062C">
        <w:rPr>
          <w:szCs w:val="22"/>
          <w:lang w:val="lt-LT" w:eastAsia="lt-LT"/>
        </w:rPr>
        <w:t xml:space="preserve"> nurodytais būdais arba paskambinti nemokamu telefonu 8 800 73 568. Pranešdami apie šalutinį poveikį galite mums padėti gauti daugiau informacijos apie šio vaisto saugumą</w:t>
      </w:r>
      <w:r w:rsidRPr="00BB062C">
        <w:rPr>
          <w:snapToGrid w:val="0"/>
          <w:lang w:val="lt-LT"/>
        </w:rPr>
        <w:t>.</w:t>
      </w:r>
    </w:p>
    <w:p w:rsidR="0056793B" w:rsidRPr="00411F12" w:rsidRDefault="0056793B" w:rsidP="0056793B">
      <w:pPr>
        <w:ind w:right="-449"/>
        <w:rPr>
          <w:szCs w:val="22"/>
          <w:lang w:val="lt-LT"/>
        </w:rPr>
      </w:pPr>
    </w:p>
    <w:p w:rsidR="0056793B" w:rsidRPr="00411F12" w:rsidRDefault="0056793B" w:rsidP="0056793B">
      <w:pPr>
        <w:pStyle w:val="BTEMEASMCA"/>
        <w:rPr>
          <w:lang w:val="lt-LT"/>
        </w:rPr>
      </w:pPr>
    </w:p>
    <w:p w:rsidR="0056793B" w:rsidRPr="00411F12" w:rsidRDefault="0056793B" w:rsidP="0056793B">
      <w:pPr>
        <w:spacing w:line="240" w:lineRule="auto"/>
        <w:ind w:left="540" w:hanging="540"/>
        <w:rPr>
          <w:b/>
          <w:bCs/>
          <w:szCs w:val="22"/>
          <w:lang w:val="lt-LT"/>
        </w:rPr>
      </w:pPr>
      <w:r w:rsidRPr="00411F12">
        <w:rPr>
          <w:b/>
          <w:bCs/>
          <w:szCs w:val="22"/>
          <w:lang w:val="lt-LT"/>
        </w:rPr>
        <w:t>5.</w:t>
      </w:r>
      <w:r w:rsidRPr="00411F12">
        <w:rPr>
          <w:b/>
          <w:bCs/>
          <w:szCs w:val="22"/>
          <w:lang w:val="lt-LT"/>
        </w:rPr>
        <w:tab/>
        <w:t>Kaip laikyti Halcion</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Šį vaistą laikykite vaikams nepastebimoje ir nepasiekiamoje vietoje.</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Laikyti ne aukštesnėje kaip 25 </w:t>
      </w:r>
      <w:r w:rsidRPr="00411F12">
        <w:rPr>
          <w:lang w:val="lt-LT"/>
        </w:rPr>
        <w:sym w:font="Symbol" w:char="F0B0"/>
      </w:r>
      <w:r w:rsidRPr="00411F12">
        <w:rPr>
          <w:lang w:val="lt-LT"/>
        </w:rPr>
        <w:t>C temperatūroje.</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Ant dėžutės ir lizdinės plokštelės po „Tinka iki“ nurodytam tinkamumo laikui pasibaigus, šio vaisto vartoti negalima. Vaistas tinkamas vartoti iki paskutinės nurodyto mėnesio dienos.</w:t>
      </w:r>
    </w:p>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Vaistų negalima išmesti į kanalizaciją arba su buitinėmis atliekomis. Kaip išmesti nereikalingus vaistus, klauskite vaistininko. Šios priemonės padės apsaugoti aplinką.</w:t>
      </w:r>
    </w:p>
    <w:p w:rsidR="0056793B" w:rsidRPr="00411F12" w:rsidRDefault="0056793B" w:rsidP="0056793B">
      <w:pPr>
        <w:pStyle w:val="BTEMEASMCA"/>
        <w:rPr>
          <w:lang w:val="lt-LT"/>
        </w:rPr>
      </w:pPr>
    </w:p>
    <w:p w:rsidR="0056793B" w:rsidRPr="00411F12" w:rsidRDefault="0056793B" w:rsidP="0056793B">
      <w:pPr>
        <w:pStyle w:val="BTEMEASMCA"/>
        <w:rPr>
          <w:lang w:val="lt-LT"/>
        </w:rPr>
      </w:pPr>
    </w:p>
    <w:p w:rsidR="0056793B" w:rsidRPr="00411F12" w:rsidRDefault="0056793B" w:rsidP="0056793B">
      <w:pPr>
        <w:spacing w:line="240" w:lineRule="auto"/>
        <w:ind w:left="540" w:hanging="540"/>
        <w:rPr>
          <w:b/>
          <w:bCs/>
          <w:szCs w:val="22"/>
          <w:lang w:val="lt-LT"/>
        </w:rPr>
      </w:pPr>
      <w:r w:rsidRPr="00411F12">
        <w:rPr>
          <w:b/>
          <w:bCs/>
          <w:szCs w:val="22"/>
          <w:lang w:val="lt-LT"/>
        </w:rPr>
        <w:t>6.</w:t>
      </w:r>
      <w:r w:rsidRPr="00411F12">
        <w:rPr>
          <w:b/>
          <w:bCs/>
          <w:szCs w:val="22"/>
          <w:lang w:val="lt-LT"/>
        </w:rPr>
        <w:tab/>
        <w:t>Pakuotės turinys ir kita informacija</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Halcion sudėtis</w:t>
      </w:r>
    </w:p>
    <w:p w:rsidR="0056793B" w:rsidRPr="00411F12" w:rsidRDefault="0056793B" w:rsidP="0056793B">
      <w:pPr>
        <w:spacing w:line="240" w:lineRule="auto"/>
        <w:ind w:left="567" w:hanging="567"/>
        <w:rPr>
          <w:szCs w:val="22"/>
          <w:lang w:val="lt-LT"/>
        </w:rPr>
      </w:pPr>
      <w:r w:rsidRPr="00411F12">
        <w:rPr>
          <w:szCs w:val="22"/>
          <w:lang w:val="lt-LT"/>
        </w:rPr>
        <w:t>-</w:t>
      </w:r>
      <w:r w:rsidRPr="00411F12">
        <w:rPr>
          <w:szCs w:val="22"/>
          <w:lang w:val="lt-LT"/>
        </w:rPr>
        <w:tab/>
        <w:t>Veiklioji medžiaga yra triazolamas. Kiekvienoje tabletėje yra 250 mikrogramų triazolamo.</w:t>
      </w:r>
    </w:p>
    <w:p w:rsidR="0056793B" w:rsidRPr="00411F12" w:rsidRDefault="0056793B" w:rsidP="0056793B">
      <w:pPr>
        <w:spacing w:line="240" w:lineRule="auto"/>
        <w:ind w:left="567" w:hanging="567"/>
        <w:rPr>
          <w:bCs/>
          <w:szCs w:val="22"/>
          <w:lang w:val="lt-LT"/>
        </w:rPr>
      </w:pPr>
      <w:r w:rsidRPr="00411F12">
        <w:rPr>
          <w:szCs w:val="22"/>
          <w:lang w:val="lt-LT"/>
        </w:rPr>
        <w:lastRenderedPageBreak/>
        <w:t>-</w:t>
      </w:r>
      <w:r w:rsidRPr="00411F12">
        <w:rPr>
          <w:szCs w:val="22"/>
          <w:lang w:val="lt-LT"/>
        </w:rPr>
        <w:tab/>
        <w:t xml:space="preserve">Pagalbinės medžiagos yra: </w:t>
      </w:r>
      <w:r w:rsidRPr="00411F12">
        <w:rPr>
          <w:bCs/>
          <w:szCs w:val="22"/>
          <w:lang w:val="lt-LT"/>
        </w:rPr>
        <w:t>l</w:t>
      </w:r>
      <w:r w:rsidRPr="00411F12">
        <w:rPr>
          <w:szCs w:val="22"/>
          <w:lang w:val="lt-LT"/>
        </w:rPr>
        <w:t>aktozė monohidratas, mikrokristalinė celiuliozė, bevandenis koloidinis silicio dioksidas, natrio dokuzatas, natrio benzoatas (E 211), magnio stearatas, kukurūzų krakmolas, indigotinas (E132) (žr. 2 skyriaus poskyrį „</w:t>
      </w:r>
      <w:r w:rsidRPr="00411F12">
        <w:rPr>
          <w:bCs/>
          <w:lang w:val="lt-LT"/>
        </w:rPr>
        <w:t>Halcion sudėtyje yra laktozės, natrio benzoato (E211), natrio</w:t>
      </w:r>
      <w:r w:rsidRPr="00411F12">
        <w:rPr>
          <w:bCs/>
          <w:szCs w:val="22"/>
          <w:lang w:val="lt-LT"/>
        </w:rPr>
        <w:t>.“).</w:t>
      </w:r>
    </w:p>
    <w:p w:rsidR="0056793B" w:rsidRPr="00411F12" w:rsidRDefault="0056793B" w:rsidP="0056793B">
      <w:pPr>
        <w:pStyle w:val="BTEMEASMCA"/>
        <w:rPr>
          <w:lang w:val="lt-LT"/>
        </w:rPr>
      </w:pPr>
    </w:p>
    <w:p w:rsidR="0056793B" w:rsidRPr="00411F12" w:rsidRDefault="0056793B" w:rsidP="0056793B">
      <w:pPr>
        <w:spacing w:line="240" w:lineRule="auto"/>
        <w:rPr>
          <w:szCs w:val="22"/>
          <w:lang w:val="lt-LT"/>
        </w:rPr>
      </w:pPr>
      <w:r w:rsidRPr="00411F12">
        <w:rPr>
          <w:b/>
          <w:szCs w:val="22"/>
          <w:lang w:val="lt-LT"/>
        </w:rPr>
        <w:t>Halcion išvaizda ir kiekis pakuotėje</w:t>
      </w:r>
    </w:p>
    <w:p w:rsidR="0056793B" w:rsidRPr="00411F12" w:rsidRDefault="0056793B" w:rsidP="0056793B">
      <w:pPr>
        <w:pStyle w:val="BTEMEASMCA"/>
        <w:rPr>
          <w:lang w:val="lt-LT"/>
        </w:rPr>
      </w:pPr>
      <w:r w:rsidRPr="00411F12">
        <w:rPr>
          <w:lang w:val="lt-LT"/>
        </w:rPr>
        <w:t>Halcion tabletė yra mėlyna, elipsės formos tabletė su laužimo vagele vienoje tabletės pusėje.</w:t>
      </w:r>
    </w:p>
    <w:p w:rsidR="0056793B" w:rsidRPr="00411F12" w:rsidRDefault="0056793B" w:rsidP="0056793B">
      <w:pPr>
        <w:pStyle w:val="BTEMEASMCA"/>
        <w:rPr>
          <w:lang w:val="lt-LT"/>
        </w:rPr>
      </w:pPr>
      <w:r w:rsidRPr="00411F12">
        <w:rPr>
          <w:lang w:val="lt-LT"/>
        </w:rPr>
        <w:t>Tabletę galima padalyti į dvi lygias dozes.</w:t>
      </w:r>
    </w:p>
    <w:p w:rsidR="0056793B" w:rsidRPr="00411F12" w:rsidRDefault="0056793B" w:rsidP="0056793B">
      <w:pPr>
        <w:pStyle w:val="BTEMEASMCA"/>
        <w:rPr>
          <w:lang w:val="lt-LT"/>
        </w:rPr>
      </w:pPr>
      <w:r w:rsidRPr="00411F12">
        <w:rPr>
          <w:lang w:val="lt-LT"/>
        </w:rPr>
        <w:t>Pakuotėje yra 10 arba 30 tablečių.</w:t>
      </w:r>
    </w:p>
    <w:p w:rsidR="0056793B" w:rsidRPr="00411F12" w:rsidRDefault="0056793B" w:rsidP="0056793B">
      <w:pPr>
        <w:pStyle w:val="BTEMEASMCA"/>
        <w:rPr>
          <w:lang w:val="lt-LT"/>
        </w:rPr>
      </w:pPr>
      <w:r w:rsidRPr="00411F12">
        <w:rPr>
          <w:lang w:val="lt-LT"/>
        </w:rPr>
        <w:t>Gali būti tiekiamos ne visų dydžių pakuotės.</w:t>
      </w:r>
    </w:p>
    <w:p w:rsidR="0056793B" w:rsidRPr="00411F12" w:rsidRDefault="0056793B" w:rsidP="0056793B">
      <w:pPr>
        <w:pStyle w:val="BTEMEASMCA"/>
        <w:rPr>
          <w:lang w:val="lt-LT"/>
        </w:rPr>
      </w:pPr>
    </w:p>
    <w:p w:rsidR="0056793B" w:rsidRPr="00411F12" w:rsidRDefault="0056793B" w:rsidP="0056793B">
      <w:pPr>
        <w:spacing w:line="240" w:lineRule="auto"/>
        <w:rPr>
          <w:b/>
          <w:szCs w:val="22"/>
          <w:lang w:val="lt-LT"/>
        </w:rPr>
      </w:pPr>
      <w:r w:rsidRPr="00411F12">
        <w:rPr>
          <w:b/>
          <w:szCs w:val="22"/>
          <w:lang w:val="lt-LT"/>
        </w:rPr>
        <w:t>Registruotojas ir gamintojas</w:t>
      </w:r>
    </w:p>
    <w:p w:rsidR="0056793B" w:rsidRPr="00411F12" w:rsidRDefault="0056793B" w:rsidP="0056793B">
      <w:pPr>
        <w:spacing w:line="240" w:lineRule="auto"/>
        <w:rPr>
          <w:szCs w:val="22"/>
          <w:lang w:val="lt-LT"/>
        </w:rPr>
      </w:pPr>
    </w:p>
    <w:p w:rsidR="0056793B" w:rsidRPr="00411F12" w:rsidRDefault="0056793B" w:rsidP="0056793B">
      <w:pPr>
        <w:spacing w:line="240" w:lineRule="auto"/>
        <w:rPr>
          <w:szCs w:val="22"/>
          <w:u w:val="single"/>
          <w:lang w:val="lt-LT"/>
        </w:rPr>
      </w:pPr>
      <w:r w:rsidRPr="00411F12">
        <w:rPr>
          <w:szCs w:val="22"/>
          <w:u w:val="single"/>
          <w:lang w:val="lt-LT"/>
        </w:rPr>
        <w:t>Registruotojas</w:t>
      </w:r>
    </w:p>
    <w:p w:rsidR="0056793B" w:rsidRPr="00411F12" w:rsidRDefault="0056793B" w:rsidP="0056793B">
      <w:pPr>
        <w:pStyle w:val="BTEMEASMCA"/>
        <w:rPr>
          <w:lang w:val="lt-LT"/>
        </w:rPr>
      </w:pPr>
      <w:r w:rsidRPr="00411F12">
        <w:rPr>
          <w:lang w:val="lt-LT"/>
        </w:rPr>
        <w:t>Pfizer Europe MA EEIG</w:t>
      </w:r>
    </w:p>
    <w:p w:rsidR="0056793B" w:rsidRPr="00411F12" w:rsidRDefault="0056793B" w:rsidP="0056793B">
      <w:pPr>
        <w:spacing w:line="240" w:lineRule="auto"/>
        <w:outlineLvl w:val="0"/>
        <w:rPr>
          <w:lang w:val="lt-LT"/>
        </w:rPr>
      </w:pPr>
      <w:r w:rsidRPr="00411F12">
        <w:rPr>
          <w:lang w:val="lt-LT"/>
        </w:rPr>
        <w:t>Boulevard de la Plaine 17</w:t>
      </w:r>
    </w:p>
    <w:p w:rsidR="0056793B" w:rsidRPr="00411F12" w:rsidRDefault="0056793B" w:rsidP="0056793B">
      <w:pPr>
        <w:spacing w:line="240" w:lineRule="auto"/>
        <w:outlineLvl w:val="0"/>
        <w:rPr>
          <w:lang w:val="lt-LT"/>
        </w:rPr>
      </w:pPr>
      <w:r w:rsidRPr="00411F12">
        <w:rPr>
          <w:lang w:val="lt-LT"/>
        </w:rPr>
        <w:t>1050 Bruxelles</w:t>
      </w:r>
    </w:p>
    <w:p w:rsidR="0056793B" w:rsidRPr="00411F12" w:rsidRDefault="0056793B" w:rsidP="0056793B">
      <w:pPr>
        <w:pStyle w:val="BTEMEASMCA"/>
        <w:rPr>
          <w:szCs w:val="22"/>
          <w:lang w:val="lt-LT"/>
        </w:rPr>
      </w:pPr>
      <w:r w:rsidRPr="00411F12">
        <w:rPr>
          <w:lang w:val="lt-LT"/>
        </w:rPr>
        <w:t>Belgija</w:t>
      </w:r>
    </w:p>
    <w:p w:rsidR="0056793B" w:rsidRPr="00411F12" w:rsidRDefault="0056793B" w:rsidP="0056793B">
      <w:pPr>
        <w:pStyle w:val="BTEMEASMCA"/>
        <w:rPr>
          <w:lang w:val="lt-LT"/>
        </w:rPr>
      </w:pPr>
    </w:p>
    <w:p w:rsidR="0056793B" w:rsidRPr="00411F12" w:rsidRDefault="0056793B" w:rsidP="0056793B">
      <w:pPr>
        <w:pStyle w:val="Pagrindinistekstas"/>
        <w:jc w:val="both"/>
        <w:rPr>
          <w:i w:val="0"/>
          <w:color w:val="auto"/>
          <w:szCs w:val="22"/>
          <w:u w:val="single"/>
          <w:lang w:val="lt-LT"/>
        </w:rPr>
      </w:pPr>
      <w:r w:rsidRPr="00411F12">
        <w:rPr>
          <w:i w:val="0"/>
          <w:color w:val="auto"/>
          <w:szCs w:val="22"/>
          <w:u w:val="single"/>
          <w:lang w:val="lt-LT"/>
        </w:rPr>
        <w:t>Gamintojai</w:t>
      </w:r>
    </w:p>
    <w:tbl>
      <w:tblPr>
        <w:tblW w:w="0" w:type="auto"/>
        <w:tblLook w:val="01E0" w:firstRow="1" w:lastRow="1" w:firstColumn="1" w:lastColumn="1" w:noHBand="0" w:noVBand="0"/>
      </w:tblPr>
      <w:tblGrid>
        <w:gridCol w:w="4545"/>
        <w:gridCol w:w="4526"/>
      </w:tblGrid>
      <w:tr w:rsidR="0056793B" w:rsidRPr="00411F12" w:rsidTr="007F7BC9">
        <w:tc>
          <w:tcPr>
            <w:tcW w:w="4643" w:type="dxa"/>
          </w:tcPr>
          <w:p w:rsidR="0056793B" w:rsidRPr="00411F12" w:rsidRDefault="0056793B" w:rsidP="007F7BC9">
            <w:pPr>
              <w:pStyle w:val="BTEMEASMCA"/>
              <w:rPr>
                <w:lang w:val="lt-LT"/>
              </w:rPr>
            </w:pPr>
            <w:r w:rsidRPr="00411F12">
              <w:rPr>
                <w:lang w:val="lt-LT"/>
              </w:rPr>
              <w:t>Pfizer Manufacturing Belgium N.V.</w:t>
            </w:r>
          </w:p>
          <w:p w:rsidR="0056793B" w:rsidRPr="00411F12" w:rsidRDefault="0056793B" w:rsidP="007F7BC9">
            <w:pPr>
              <w:pStyle w:val="BTEMEASMCA"/>
              <w:rPr>
                <w:lang w:val="lt-LT"/>
              </w:rPr>
            </w:pPr>
            <w:r w:rsidRPr="00411F12">
              <w:rPr>
                <w:lang w:val="lt-LT"/>
              </w:rPr>
              <w:t>Rijksweg 12</w:t>
            </w:r>
          </w:p>
          <w:p w:rsidR="0056793B" w:rsidRPr="00411F12" w:rsidRDefault="0056793B" w:rsidP="007F7BC9">
            <w:pPr>
              <w:pStyle w:val="BTEMEASMCA"/>
              <w:rPr>
                <w:lang w:val="lt-LT"/>
              </w:rPr>
            </w:pPr>
            <w:r w:rsidRPr="00411F12">
              <w:rPr>
                <w:lang w:val="lt-LT"/>
              </w:rPr>
              <w:t>2870 Puurs</w:t>
            </w:r>
          </w:p>
          <w:p w:rsidR="0056793B" w:rsidRPr="00411F12" w:rsidRDefault="0056793B" w:rsidP="007F7BC9">
            <w:pPr>
              <w:pStyle w:val="BTEMEASMCA"/>
              <w:rPr>
                <w:lang w:val="lt-LT"/>
              </w:rPr>
            </w:pPr>
            <w:r w:rsidRPr="00411F12">
              <w:rPr>
                <w:lang w:val="lt-LT"/>
              </w:rPr>
              <w:t>Belgija</w:t>
            </w:r>
          </w:p>
        </w:tc>
        <w:tc>
          <w:tcPr>
            <w:tcW w:w="4643" w:type="dxa"/>
          </w:tcPr>
          <w:p w:rsidR="0056793B" w:rsidRPr="00411F12" w:rsidRDefault="0056793B" w:rsidP="007F7BC9">
            <w:pPr>
              <w:pStyle w:val="BTEMEASMCA"/>
              <w:rPr>
                <w:lang w:val="lt-LT"/>
              </w:rPr>
            </w:pPr>
            <w:r w:rsidRPr="00411F12">
              <w:rPr>
                <w:lang w:val="lt-LT"/>
              </w:rPr>
              <w:t>Pfizer Italia S. r.l.</w:t>
            </w:r>
          </w:p>
          <w:p w:rsidR="0056793B" w:rsidRPr="00411F12" w:rsidRDefault="0056793B" w:rsidP="007F7BC9">
            <w:pPr>
              <w:pStyle w:val="BTEMEASMCA"/>
              <w:rPr>
                <w:lang w:val="lt-LT"/>
              </w:rPr>
            </w:pPr>
            <w:r w:rsidRPr="00411F12">
              <w:rPr>
                <w:lang w:val="lt-LT"/>
              </w:rPr>
              <w:t>Localita Marino del Tronto</w:t>
            </w:r>
          </w:p>
          <w:p w:rsidR="0056793B" w:rsidRPr="00411F12" w:rsidRDefault="0056793B" w:rsidP="007F7BC9">
            <w:pPr>
              <w:pStyle w:val="BTEMEASMCA"/>
              <w:rPr>
                <w:lang w:val="lt-LT"/>
              </w:rPr>
            </w:pPr>
            <w:r w:rsidRPr="00411F12">
              <w:rPr>
                <w:lang w:val="lt-LT"/>
              </w:rPr>
              <w:t>63100 Ascoli Piceno (AP)</w:t>
            </w:r>
          </w:p>
          <w:p w:rsidR="0056793B" w:rsidRPr="00411F12" w:rsidRDefault="0056793B" w:rsidP="007F7BC9">
            <w:pPr>
              <w:pStyle w:val="BTEMEASMCA"/>
              <w:rPr>
                <w:lang w:val="lt-LT"/>
              </w:rPr>
            </w:pPr>
            <w:r w:rsidRPr="00411F12">
              <w:rPr>
                <w:lang w:val="lt-LT"/>
              </w:rPr>
              <w:t>Italija</w:t>
            </w:r>
          </w:p>
        </w:tc>
      </w:tr>
    </w:tbl>
    <w:p w:rsidR="0056793B" w:rsidRPr="00411F12" w:rsidRDefault="0056793B" w:rsidP="0056793B">
      <w:pPr>
        <w:pStyle w:val="BTEMEASMCA"/>
        <w:rPr>
          <w:lang w:val="lt-LT"/>
        </w:rPr>
      </w:pPr>
    </w:p>
    <w:p w:rsidR="0056793B" w:rsidRPr="00411F12" w:rsidRDefault="0056793B" w:rsidP="0056793B">
      <w:pPr>
        <w:pStyle w:val="BTEMEASMCA"/>
        <w:rPr>
          <w:lang w:val="lt-LT"/>
        </w:rPr>
      </w:pPr>
      <w:r w:rsidRPr="00411F12">
        <w:rPr>
          <w:lang w:val="lt-LT"/>
        </w:rPr>
        <w:t>Jeigu</w:t>
      </w:r>
      <w:r w:rsidRPr="00411F12" w:rsidDel="00F755CA">
        <w:rPr>
          <w:lang w:val="lt-LT"/>
        </w:rPr>
        <w:t xml:space="preserve"> </w:t>
      </w:r>
      <w:r w:rsidRPr="00411F12">
        <w:rPr>
          <w:lang w:val="lt-LT"/>
        </w:rPr>
        <w:t>apie šį vaistą norite sužinoti daugiau, kreipkitės į vietinį registruotojo atstovą.</w:t>
      </w:r>
    </w:p>
    <w:p w:rsidR="0056793B" w:rsidRPr="00411F12" w:rsidRDefault="0056793B" w:rsidP="0056793B">
      <w:pPr>
        <w:pStyle w:val="BTEMEASMCA"/>
        <w:rPr>
          <w:lang w:val="lt-LT"/>
        </w:rPr>
      </w:pPr>
    </w:p>
    <w:tbl>
      <w:tblPr>
        <w:tblW w:w="0" w:type="auto"/>
        <w:tblLayout w:type="fixed"/>
        <w:tblLook w:val="0000" w:firstRow="0" w:lastRow="0" w:firstColumn="0" w:lastColumn="0" w:noHBand="0" w:noVBand="0"/>
      </w:tblPr>
      <w:tblGrid>
        <w:gridCol w:w="4678"/>
      </w:tblGrid>
      <w:tr w:rsidR="0056793B" w:rsidRPr="00411F12" w:rsidTr="007F7BC9">
        <w:tc>
          <w:tcPr>
            <w:tcW w:w="4678" w:type="dxa"/>
          </w:tcPr>
          <w:p w:rsidR="0056793B" w:rsidRPr="00411F12" w:rsidRDefault="0056793B" w:rsidP="007F7BC9">
            <w:pPr>
              <w:pStyle w:val="BTEMEASMCA"/>
              <w:rPr>
                <w:lang w:val="lt-LT"/>
              </w:rPr>
            </w:pPr>
            <w:r w:rsidRPr="00411F12">
              <w:rPr>
                <w:lang w:val="lt-LT"/>
              </w:rPr>
              <w:t xml:space="preserve">Pfizer Luxembourg SARL </w:t>
            </w:r>
            <w:r>
              <w:rPr>
                <w:lang w:val="lt-LT"/>
              </w:rPr>
              <w:t>f</w:t>
            </w:r>
            <w:r w:rsidRPr="00411F12">
              <w:rPr>
                <w:lang w:val="lt-LT"/>
              </w:rPr>
              <w:t>ilialas Lietuvoje</w:t>
            </w:r>
          </w:p>
          <w:p w:rsidR="0056793B" w:rsidRPr="00411F12" w:rsidRDefault="0056793B" w:rsidP="007F7BC9">
            <w:pPr>
              <w:pStyle w:val="BTEMEASMCA"/>
              <w:rPr>
                <w:lang w:val="lt-LT"/>
              </w:rPr>
            </w:pPr>
            <w:r w:rsidRPr="00620E19">
              <w:rPr>
                <w:lang w:val="lt-LT"/>
              </w:rPr>
              <w:t>A.</w:t>
            </w:r>
            <w:r>
              <w:rPr>
                <w:lang w:val="lt-LT"/>
              </w:rPr>
              <w:t xml:space="preserve"> </w:t>
            </w:r>
            <w:r w:rsidRPr="00411F12">
              <w:rPr>
                <w:lang w:val="lt-LT"/>
              </w:rPr>
              <w:t xml:space="preserve">Goštauto </w:t>
            </w:r>
            <w:r>
              <w:rPr>
                <w:lang w:val="lt-LT"/>
              </w:rPr>
              <w:t xml:space="preserve">g. </w:t>
            </w:r>
            <w:r w:rsidRPr="00411F12">
              <w:rPr>
                <w:lang w:val="lt-LT"/>
              </w:rPr>
              <w:t>40A</w:t>
            </w:r>
          </w:p>
          <w:p w:rsidR="0056793B" w:rsidRPr="00411F12" w:rsidRDefault="0056793B" w:rsidP="007F7BC9">
            <w:pPr>
              <w:pStyle w:val="BTEMEASMCA"/>
              <w:rPr>
                <w:lang w:val="lt-LT"/>
              </w:rPr>
            </w:pPr>
            <w:r w:rsidRPr="00411F12">
              <w:rPr>
                <w:lang w:val="lt-LT"/>
              </w:rPr>
              <w:t>LT</w:t>
            </w:r>
            <w:r w:rsidRPr="00411F12">
              <w:rPr>
                <w:lang w:val="lt-LT"/>
              </w:rPr>
              <w:noBreakHyphen/>
            </w:r>
            <w:r w:rsidRPr="00620E19">
              <w:rPr>
                <w:color w:val="000000" w:themeColor="text1"/>
                <w:shd w:val="clear" w:color="auto" w:fill="FFFFFF"/>
              </w:rPr>
              <w:t>03163</w:t>
            </w:r>
            <w:r w:rsidRPr="00620E19">
              <w:rPr>
                <w:lang w:val="lt-LT"/>
              </w:rPr>
              <w:t xml:space="preserve"> V</w:t>
            </w:r>
            <w:r w:rsidRPr="00411F12">
              <w:rPr>
                <w:lang w:val="lt-LT"/>
              </w:rPr>
              <w:t>ilnius</w:t>
            </w:r>
          </w:p>
          <w:p w:rsidR="0056793B" w:rsidRPr="00411F12" w:rsidRDefault="0056793B" w:rsidP="007F7BC9">
            <w:pPr>
              <w:pStyle w:val="BTEMEASMCA"/>
              <w:rPr>
                <w:lang w:val="lt-LT"/>
              </w:rPr>
            </w:pPr>
            <w:r w:rsidRPr="00411F12">
              <w:rPr>
                <w:lang w:val="lt-LT"/>
              </w:rPr>
              <w:t>Tel. +370 5 251 4000</w:t>
            </w:r>
          </w:p>
          <w:p w:rsidR="0056793B" w:rsidRPr="00411F12" w:rsidRDefault="0056793B" w:rsidP="007F7BC9">
            <w:pPr>
              <w:pStyle w:val="BTEMEASMCA"/>
              <w:rPr>
                <w:lang w:val="lt-LT"/>
              </w:rPr>
            </w:pPr>
          </w:p>
        </w:tc>
      </w:tr>
    </w:tbl>
    <w:p w:rsidR="0056793B" w:rsidRPr="00411F12" w:rsidRDefault="0056793B" w:rsidP="0056793B">
      <w:pPr>
        <w:pStyle w:val="BTEMEASMCA"/>
        <w:rPr>
          <w:lang w:val="lt-LT"/>
        </w:rPr>
      </w:pPr>
    </w:p>
    <w:p w:rsidR="0056793B" w:rsidRPr="00411F12" w:rsidRDefault="0056793B" w:rsidP="0056793B">
      <w:pPr>
        <w:pStyle w:val="Pagrindinistekstas"/>
        <w:rPr>
          <w:b/>
          <w:bCs/>
          <w:i w:val="0"/>
          <w:color w:val="auto"/>
          <w:szCs w:val="22"/>
          <w:lang w:val="lt-LT"/>
        </w:rPr>
      </w:pPr>
      <w:r w:rsidRPr="00411F12">
        <w:rPr>
          <w:b/>
          <w:bCs/>
          <w:i w:val="0"/>
          <w:color w:val="auto"/>
          <w:szCs w:val="22"/>
          <w:lang w:val="lt-LT"/>
        </w:rPr>
        <w:t xml:space="preserve">Šis pakuotės lapelis paskutinį kartą </w:t>
      </w:r>
      <w:r w:rsidRPr="00411F12">
        <w:rPr>
          <w:b/>
          <w:i w:val="0"/>
          <w:color w:val="auto"/>
          <w:szCs w:val="22"/>
          <w:lang w:val="lt-LT"/>
        </w:rPr>
        <w:t xml:space="preserve">peržiūrėtas </w:t>
      </w:r>
      <w:r>
        <w:rPr>
          <w:b/>
          <w:i w:val="0"/>
          <w:color w:val="auto"/>
          <w:szCs w:val="22"/>
          <w:lang w:val="lt-LT"/>
        </w:rPr>
        <w:t>2025-03-27</w:t>
      </w:r>
      <w:r w:rsidRPr="00411F12">
        <w:rPr>
          <w:b/>
          <w:i w:val="0"/>
          <w:color w:val="auto"/>
          <w:szCs w:val="22"/>
          <w:lang w:val="lt-LT"/>
        </w:rPr>
        <w:t>.</w:t>
      </w:r>
    </w:p>
    <w:p w:rsidR="0056793B" w:rsidRPr="00411F12" w:rsidRDefault="0056793B" w:rsidP="0056793B">
      <w:pPr>
        <w:pStyle w:val="BTEMEASMCA"/>
        <w:rPr>
          <w:lang w:val="lt-LT"/>
        </w:rPr>
      </w:pPr>
    </w:p>
    <w:p w:rsidR="0056793B" w:rsidRPr="00411F12" w:rsidRDefault="0056793B" w:rsidP="0056793B">
      <w:pPr>
        <w:pStyle w:val="BTEMEASMCA"/>
        <w:rPr>
          <w:rStyle w:val="Hipersaitas"/>
          <w:noProof w:val="0"/>
          <w:lang w:val="lt-LT"/>
        </w:rPr>
      </w:pPr>
      <w:r w:rsidRPr="00411F12">
        <w:rPr>
          <w:lang w:val="lt-LT"/>
        </w:rPr>
        <w:t>Išsami informacija apie šį vaistą pateikiama Valstybinės vaistų kontrolės tarnybos prie Lietuvos Respublikos sveikatos apsaugos ministerijos tinklalapyje</w:t>
      </w:r>
      <w:r>
        <w:rPr>
          <w:lang w:val="lt-LT"/>
        </w:rPr>
        <w:t xml:space="preserve"> </w:t>
      </w:r>
      <w:r>
        <w:rPr>
          <w:color w:val="0000EE"/>
          <w:szCs w:val="22"/>
          <w:u w:val="single"/>
          <w:lang w:eastAsia="lt-LT"/>
        </w:rPr>
        <w:t>https://vvkt.lrv.lt/lt/</w:t>
      </w:r>
      <w:r>
        <w:rPr>
          <w:szCs w:val="22"/>
          <w:lang w:eastAsia="lt-LT"/>
        </w:rPr>
        <w:t>.</w:t>
      </w:r>
      <w:r w:rsidRPr="00411F12">
        <w:rPr>
          <w:i/>
          <w:lang w:val="lt-LT"/>
        </w:rPr>
        <w:t xml:space="preserve"> </w:t>
      </w:r>
    </w:p>
    <w:p w:rsidR="0056793B" w:rsidRPr="00411F12" w:rsidRDefault="0056793B" w:rsidP="0056793B">
      <w:pPr>
        <w:pStyle w:val="BTEMEASMCA"/>
        <w:rPr>
          <w:rStyle w:val="Hipersaitas"/>
          <w:noProof w:val="0"/>
          <w:lang w:val="lt-LT"/>
        </w:rPr>
      </w:pPr>
    </w:p>
    <w:p w:rsidR="00BA6577" w:rsidRDefault="00BA6577">
      <w:bookmarkStart w:id="0" w:name="_GoBack"/>
      <w:bookmarkEnd w:id="0"/>
    </w:p>
    <w:sectPr w:rsidR="00BA6577" w:rsidSect="00547CAB">
      <w:headerReference w:type="default" r:id="rId5"/>
      <w:footerReference w:type="default" r:id="rId6"/>
      <w:footerReference w:type="first" r:id="rId7"/>
      <w:endnotePr>
        <w:numFmt w:val="decimal"/>
      </w:endnotePr>
      <w:pgSz w:w="11907" w:h="16840"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34" w:rsidRDefault="0056793B">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instrText xml:space="preserve"> </w:instrText>
    </w:r>
    <w:r>
      <w:rPr>
        <w:rStyle w:val="Puslapionumeris"/>
        <w:rFonts w:ascii="Arial" w:hAnsi="Arial" w:cs="Arial"/>
      </w:rPr>
      <w:fldChar w:fldCharType="separate"/>
    </w:r>
    <w:r>
      <w:rPr>
        <w:rStyle w:val="Puslapionumeris"/>
        <w:rFonts w:ascii="Arial" w:hAnsi="Arial" w:cs="Arial"/>
        <w:noProof/>
      </w:rPr>
      <w:t>6</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34" w:rsidRDefault="0056793B">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34" w:rsidRDefault="005679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DC1"/>
    <w:multiLevelType w:val="hybridMultilevel"/>
    <w:tmpl w:val="B72CA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F52B4C"/>
    <w:multiLevelType w:val="hybridMultilevel"/>
    <w:tmpl w:val="8FDC827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9C4667"/>
    <w:multiLevelType w:val="hybridMultilevel"/>
    <w:tmpl w:val="2A320A5A"/>
    <w:lvl w:ilvl="0" w:tplc="6A9A38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3B"/>
    <w:rsid w:val="00072F85"/>
    <w:rsid w:val="000A5E72"/>
    <w:rsid w:val="000A7B60"/>
    <w:rsid w:val="00181364"/>
    <w:rsid w:val="002945D9"/>
    <w:rsid w:val="00305C48"/>
    <w:rsid w:val="003362C6"/>
    <w:rsid w:val="00497D4D"/>
    <w:rsid w:val="0056793B"/>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3E38D-EBDA-4764-BDE6-14A34426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793B"/>
    <w:pPr>
      <w:tabs>
        <w:tab w:val="left" w:pos="567"/>
      </w:tabs>
      <w:spacing w:after="0" w:line="260" w:lineRule="exact"/>
    </w:pPr>
    <w:rPr>
      <w:rFonts w:ascii="Times New Roman" w:eastAsia="MS Mincho" w:hAnsi="Times New Roman" w:cs="Times New Roman"/>
      <w:szCs w:val="20"/>
      <w:lang w:val="en-GB"/>
    </w:rPr>
  </w:style>
  <w:style w:type="paragraph" w:styleId="Antrat1">
    <w:name w:val="heading 1"/>
    <w:basedOn w:val="prastasis"/>
    <w:next w:val="prastasis"/>
    <w:link w:val="Antrat1Diagrama"/>
    <w:uiPriority w:val="9"/>
    <w:qFormat/>
    <w:rsid w:val="005679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679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56793B"/>
    <w:pPr>
      <w:keepNex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56793B"/>
    <w:rPr>
      <w:rFonts w:ascii="Times New Roman" w:eastAsia="MS Mincho" w:hAnsi="Times New Roman" w:cs="Times New Roman"/>
      <w:b/>
      <w:noProof/>
      <w:szCs w:val="20"/>
      <w:lang w:val="en-GB"/>
    </w:rPr>
  </w:style>
  <w:style w:type="paragraph" w:styleId="Antrats">
    <w:name w:val="header"/>
    <w:basedOn w:val="prastasis"/>
    <w:link w:val="AntratsDiagrama"/>
    <w:rsid w:val="0056793B"/>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56793B"/>
    <w:rPr>
      <w:rFonts w:ascii="Helvetica" w:eastAsia="MS Mincho" w:hAnsi="Helvetica" w:cs="Times New Roman"/>
      <w:sz w:val="20"/>
      <w:szCs w:val="20"/>
      <w:lang w:val="en-GB"/>
    </w:rPr>
  </w:style>
  <w:style w:type="paragraph" w:styleId="Porat">
    <w:name w:val="footer"/>
    <w:basedOn w:val="prastasis"/>
    <w:link w:val="PoratDiagrama"/>
    <w:rsid w:val="0056793B"/>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56793B"/>
    <w:rPr>
      <w:rFonts w:ascii="Helvetica" w:eastAsia="MS Mincho" w:hAnsi="Helvetica" w:cs="Times New Roman"/>
      <w:sz w:val="16"/>
      <w:szCs w:val="20"/>
      <w:lang w:val="en-GB"/>
    </w:rPr>
  </w:style>
  <w:style w:type="character" w:styleId="Puslapionumeris">
    <w:name w:val="page number"/>
    <w:rsid w:val="0056793B"/>
    <w:rPr>
      <w:rFonts w:cs="Times New Roman"/>
    </w:rPr>
  </w:style>
  <w:style w:type="paragraph" w:styleId="Pagrindinistekstas">
    <w:name w:val="Body Text"/>
    <w:basedOn w:val="prastasis"/>
    <w:link w:val="PagrindinistekstasDiagrama"/>
    <w:rsid w:val="0056793B"/>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56793B"/>
    <w:rPr>
      <w:rFonts w:ascii="Times New Roman" w:eastAsia="MS Mincho" w:hAnsi="Times New Roman" w:cs="Times New Roman"/>
      <w:i/>
      <w:color w:val="008000"/>
      <w:szCs w:val="20"/>
      <w:lang w:val="en-GB"/>
    </w:rPr>
  </w:style>
  <w:style w:type="character" w:styleId="Hipersaitas">
    <w:name w:val="Hyperlink"/>
    <w:uiPriority w:val="99"/>
    <w:rsid w:val="0056793B"/>
    <w:rPr>
      <w:color w:val="0000FF"/>
      <w:u w:val="single"/>
    </w:rPr>
  </w:style>
  <w:style w:type="paragraph" w:customStyle="1" w:styleId="BT-EMEASMCA">
    <w:name w:val="BT- EMEA_SMCA"/>
    <w:basedOn w:val="prastasis"/>
    <w:autoRedefine/>
    <w:rsid w:val="0056793B"/>
    <w:pPr>
      <w:tabs>
        <w:tab w:val="clear" w:pos="567"/>
      </w:tabs>
      <w:spacing w:line="240" w:lineRule="auto"/>
      <w:ind w:left="567" w:hanging="567"/>
    </w:pPr>
    <w:rPr>
      <w:noProof/>
      <w:szCs w:val="22"/>
      <w:lang w:val="lt-LT"/>
    </w:rPr>
  </w:style>
  <w:style w:type="paragraph" w:customStyle="1" w:styleId="BTEMEASMCA">
    <w:name w:val="BT EMEA_SMCA"/>
    <w:basedOn w:val="prastasis"/>
    <w:link w:val="BTEMEASMCAChar"/>
    <w:autoRedefine/>
    <w:rsid w:val="0056793B"/>
    <w:pPr>
      <w:tabs>
        <w:tab w:val="clear" w:pos="567"/>
      </w:tabs>
      <w:spacing w:line="240" w:lineRule="auto"/>
    </w:pPr>
    <w:rPr>
      <w:noProof/>
    </w:rPr>
  </w:style>
  <w:style w:type="paragraph" w:customStyle="1" w:styleId="TTEMEASMCA">
    <w:name w:val="TT EMEA_SMCA"/>
    <w:basedOn w:val="Antrat1"/>
    <w:link w:val="TTEMEASMCAChar"/>
    <w:autoRedefine/>
    <w:rsid w:val="0056793B"/>
    <w:pPr>
      <w:keepNext w:val="0"/>
      <w:keepLines w:val="0"/>
      <w:spacing w:before="0" w:line="240" w:lineRule="auto"/>
      <w:ind w:left="567" w:hanging="567"/>
      <w:jc w:val="center"/>
    </w:pPr>
    <w:rPr>
      <w:rFonts w:ascii="Times New Roman Bold" w:eastAsia="Times New Roman" w:hAnsi="Times New Roman Bold" w:cs="Times New Roman"/>
      <w:b/>
      <w:color w:val="auto"/>
      <w:sz w:val="22"/>
      <w:szCs w:val="22"/>
      <w:lang w:val="en-US"/>
    </w:rPr>
  </w:style>
  <w:style w:type="character" w:customStyle="1" w:styleId="TTEMEASMCAChar">
    <w:name w:val="TT EMEA_SMCA Char"/>
    <w:link w:val="TTEMEASMCA"/>
    <w:locked/>
    <w:rsid w:val="0056793B"/>
    <w:rPr>
      <w:rFonts w:ascii="Times New Roman Bold" w:eastAsia="Times New Roman" w:hAnsi="Times New Roman Bold" w:cs="Times New Roman"/>
      <w:b/>
      <w:lang w:val="en-US"/>
    </w:rPr>
  </w:style>
  <w:style w:type="character" w:customStyle="1" w:styleId="BTEMEASMCAChar">
    <w:name w:val="BT EMEA_SMCA Char"/>
    <w:link w:val="BTEMEASMCA"/>
    <w:locked/>
    <w:rsid w:val="0056793B"/>
    <w:rPr>
      <w:rFonts w:ascii="Times New Roman" w:eastAsia="MS Mincho" w:hAnsi="Times New Roman" w:cs="Times New Roman"/>
      <w:noProof/>
      <w:szCs w:val="20"/>
      <w:lang w:val="en-GB"/>
    </w:rPr>
  </w:style>
  <w:style w:type="paragraph" w:customStyle="1" w:styleId="PI-1EMEASMCA">
    <w:name w:val="PI-1 EMEA_SMCA"/>
    <w:basedOn w:val="Antrat2"/>
    <w:autoRedefine/>
    <w:rsid w:val="0056793B"/>
    <w:pPr>
      <w:keepLines w:val="0"/>
      <w:spacing w:before="0" w:line="240" w:lineRule="auto"/>
      <w:ind w:left="567" w:hanging="567"/>
    </w:pPr>
    <w:rPr>
      <w:rFonts w:ascii="Times New Roman" w:eastAsia="MS Mincho" w:hAnsi="Times New Roman" w:cs="Times New Roman"/>
      <w:b/>
      <w:color w:val="auto"/>
      <w:sz w:val="22"/>
      <w:szCs w:val="22"/>
      <w:lang w:val="lt-LT"/>
    </w:rPr>
  </w:style>
  <w:style w:type="paragraph" w:styleId="Sraopastraipa">
    <w:name w:val="List Paragraph"/>
    <w:basedOn w:val="prastasis"/>
    <w:uiPriority w:val="34"/>
    <w:qFormat/>
    <w:rsid w:val="0056793B"/>
    <w:pPr>
      <w:ind w:left="720"/>
      <w:contextualSpacing/>
    </w:pPr>
  </w:style>
  <w:style w:type="character" w:customStyle="1" w:styleId="Antrat1Diagrama">
    <w:name w:val="Antraštė 1 Diagrama"/>
    <w:basedOn w:val="Numatytasispastraiposriftas"/>
    <w:link w:val="Antrat1"/>
    <w:uiPriority w:val="9"/>
    <w:rsid w:val="0056793B"/>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56793B"/>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10677</Words>
  <Characters>6087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2025-03-27T14:12:00Z</dcterms:created>
  <dcterms:modified xsi:type="dcterms:W3CDTF">2025-03-27T14:12:00Z</dcterms:modified>
</cp:coreProperties>
</file>