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267C" w14:textId="77777777" w:rsidR="003F33B8" w:rsidRPr="001D5EBE" w:rsidRDefault="003F33B8" w:rsidP="003F33B8">
      <w:pPr>
        <w:pStyle w:val="Pagrindinistekstas"/>
        <w:spacing w:after="0"/>
        <w:rPr>
          <w:szCs w:val="22"/>
        </w:rPr>
      </w:pPr>
    </w:p>
    <w:p w14:paraId="6F48550C" w14:textId="77777777" w:rsidR="003F33B8" w:rsidRPr="001D5EBE" w:rsidRDefault="003F33B8" w:rsidP="003F33B8">
      <w:pPr>
        <w:pStyle w:val="Pagrindinistekstas"/>
        <w:spacing w:after="0"/>
        <w:rPr>
          <w:szCs w:val="22"/>
        </w:rPr>
      </w:pPr>
    </w:p>
    <w:p w14:paraId="44F3A864" w14:textId="77777777" w:rsidR="003F33B8" w:rsidRPr="001D5EBE" w:rsidRDefault="003F33B8" w:rsidP="003F33B8">
      <w:pPr>
        <w:pStyle w:val="Pagrindinistekstas"/>
        <w:spacing w:after="0"/>
        <w:rPr>
          <w:szCs w:val="22"/>
        </w:rPr>
      </w:pPr>
    </w:p>
    <w:p w14:paraId="528FE80F" w14:textId="77777777" w:rsidR="003F33B8" w:rsidRPr="001D5EBE" w:rsidRDefault="003F33B8" w:rsidP="003F33B8">
      <w:pPr>
        <w:pStyle w:val="Pagrindinistekstas"/>
        <w:spacing w:after="0"/>
        <w:rPr>
          <w:szCs w:val="22"/>
        </w:rPr>
      </w:pPr>
    </w:p>
    <w:p w14:paraId="75C65838" w14:textId="77777777" w:rsidR="003F33B8" w:rsidRPr="001D5EBE" w:rsidRDefault="003F33B8" w:rsidP="003F33B8">
      <w:pPr>
        <w:pStyle w:val="Pagrindinistekstas"/>
        <w:spacing w:after="0"/>
        <w:rPr>
          <w:szCs w:val="22"/>
        </w:rPr>
      </w:pPr>
    </w:p>
    <w:p w14:paraId="55335534" w14:textId="77777777" w:rsidR="003F33B8" w:rsidRPr="001D5EBE" w:rsidRDefault="003F33B8" w:rsidP="003F33B8">
      <w:pPr>
        <w:pStyle w:val="Pagrindinistekstas"/>
        <w:spacing w:after="0"/>
        <w:rPr>
          <w:szCs w:val="22"/>
        </w:rPr>
      </w:pPr>
    </w:p>
    <w:p w14:paraId="2D588548" w14:textId="77777777" w:rsidR="003F33B8" w:rsidRPr="001D5EBE" w:rsidRDefault="003F33B8" w:rsidP="003F33B8">
      <w:pPr>
        <w:pStyle w:val="Pagrindinistekstas"/>
        <w:spacing w:after="0"/>
        <w:rPr>
          <w:szCs w:val="22"/>
        </w:rPr>
      </w:pPr>
    </w:p>
    <w:p w14:paraId="37FDE962" w14:textId="77777777" w:rsidR="003F33B8" w:rsidRPr="001D5EBE" w:rsidRDefault="003F33B8" w:rsidP="003F33B8">
      <w:pPr>
        <w:pStyle w:val="Pagrindinistekstas"/>
        <w:spacing w:after="0"/>
        <w:rPr>
          <w:szCs w:val="22"/>
        </w:rPr>
      </w:pPr>
    </w:p>
    <w:p w14:paraId="22EF205B" w14:textId="77777777" w:rsidR="003F33B8" w:rsidRPr="001D5EBE" w:rsidRDefault="003F33B8" w:rsidP="003F33B8">
      <w:pPr>
        <w:pStyle w:val="Pagrindinistekstas"/>
        <w:spacing w:after="0"/>
        <w:rPr>
          <w:szCs w:val="22"/>
        </w:rPr>
      </w:pPr>
    </w:p>
    <w:p w14:paraId="4AB90F09" w14:textId="77777777" w:rsidR="003F33B8" w:rsidRPr="001D5EBE" w:rsidRDefault="003F33B8" w:rsidP="003F33B8">
      <w:pPr>
        <w:pStyle w:val="Pagrindinistekstas"/>
        <w:spacing w:after="0"/>
        <w:rPr>
          <w:szCs w:val="22"/>
        </w:rPr>
      </w:pPr>
    </w:p>
    <w:p w14:paraId="3882AD27" w14:textId="77777777" w:rsidR="003F33B8" w:rsidRPr="001D5EBE" w:rsidRDefault="003F33B8" w:rsidP="003F33B8">
      <w:pPr>
        <w:pStyle w:val="Pagrindinistekstas"/>
        <w:spacing w:after="0"/>
        <w:rPr>
          <w:szCs w:val="22"/>
        </w:rPr>
      </w:pPr>
    </w:p>
    <w:p w14:paraId="083985B1" w14:textId="77777777" w:rsidR="003F33B8" w:rsidRPr="001D5EBE" w:rsidRDefault="003F33B8" w:rsidP="003F33B8">
      <w:pPr>
        <w:pStyle w:val="Pagrindinistekstas"/>
        <w:spacing w:after="0"/>
        <w:rPr>
          <w:szCs w:val="22"/>
        </w:rPr>
      </w:pPr>
    </w:p>
    <w:p w14:paraId="21CA8695" w14:textId="77777777" w:rsidR="003F33B8" w:rsidRPr="001D5EBE" w:rsidRDefault="003F33B8" w:rsidP="003F33B8">
      <w:pPr>
        <w:pStyle w:val="Pagrindinistekstas"/>
        <w:spacing w:after="0"/>
        <w:rPr>
          <w:szCs w:val="22"/>
        </w:rPr>
      </w:pPr>
    </w:p>
    <w:p w14:paraId="7199CD34" w14:textId="77777777" w:rsidR="003F33B8" w:rsidRPr="001D5EBE" w:rsidRDefault="003F33B8" w:rsidP="003F33B8">
      <w:pPr>
        <w:pStyle w:val="Pagrindinistekstas"/>
        <w:spacing w:after="0"/>
        <w:rPr>
          <w:szCs w:val="22"/>
        </w:rPr>
      </w:pPr>
    </w:p>
    <w:p w14:paraId="3462443E" w14:textId="77777777" w:rsidR="003F33B8" w:rsidRPr="001D5EBE" w:rsidRDefault="003F33B8" w:rsidP="003F33B8">
      <w:pPr>
        <w:pStyle w:val="Pagrindinistekstas"/>
        <w:spacing w:after="0"/>
        <w:rPr>
          <w:szCs w:val="22"/>
        </w:rPr>
      </w:pPr>
    </w:p>
    <w:p w14:paraId="38E0DE35" w14:textId="77777777" w:rsidR="003F33B8" w:rsidRPr="001D5EBE" w:rsidRDefault="003F33B8" w:rsidP="003F33B8">
      <w:pPr>
        <w:pStyle w:val="Pagrindinistekstas"/>
        <w:spacing w:after="0"/>
        <w:rPr>
          <w:szCs w:val="22"/>
        </w:rPr>
      </w:pPr>
    </w:p>
    <w:p w14:paraId="25B96F5F" w14:textId="77777777" w:rsidR="003F33B8" w:rsidRPr="001D5EBE" w:rsidRDefault="003F33B8" w:rsidP="003F33B8">
      <w:pPr>
        <w:pStyle w:val="Pagrindinistekstas"/>
        <w:spacing w:after="0"/>
        <w:rPr>
          <w:szCs w:val="22"/>
        </w:rPr>
      </w:pPr>
    </w:p>
    <w:p w14:paraId="55F25A5D" w14:textId="77777777" w:rsidR="003F33B8" w:rsidRPr="001D5EBE" w:rsidRDefault="003F33B8" w:rsidP="003F33B8">
      <w:pPr>
        <w:pStyle w:val="Pagrindinistekstas"/>
        <w:spacing w:after="0"/>
        <w:rPr>
          <w:szCs w:val="22"/>
        </w:rPr>
      </w:pPr>
    </w:p>
    <w:p w14:paraId="4D818D3B" w14:textId="77777777" w:rsidR="003F33B8" w:rsidRPr="001D5EBE" w:rsidRDefault="003F33B8" w:rsidP="003F33B8">
      <w:pPr>
        <w:pStyle w:val="Pagrindinistekstas"/>
        <w:spacing w:after="0"/>
        <w:rPr>
          <w:szCs w:val="22"/>
        </w:rPr>
      </w:pPr>
    </w:p>
    <w:p w14:paraId="7E13FC67" w14:textId="77777777" w:rsidR="003F33B8" w:rsidRPr="001D5EBE" w:rsidRDefault="003F33B8" w:rsidP="003F33B8">
      <w:pPr>
        <w:pStyle w:val="Pagrindinistekstas"/>
        <w:spacing w:after="0"/>
        <w:rPr>
          <w:szCs w:val="22"/>
        </w:rPr>
      </w:pPr>
    </w:p>
    <w:p w14:paraId="5FC6F1CE" w14:textId="77777777" w:rsidR="003F33B8" w:rsidRPr="001D5EBE" w:rsidRDefault="003F33B8" w:rsidP="003F33B8">
      <w:pPr>
        <w:pStyle w:val="Pagrindinistekstas"/>
        <w:spacing w:after="0"/>
        <w:rPr>
          <w:szCs w:val="22"/>
        </w:rPr>
      </w:pPr>
    </w:p>
    <w:p w14:paraId="6E37455F" w14:textId="77777777" w:rsidR="003F33B8" w:rsidRPr="001D5EBE" w:rsidRDefault="003F33B8" w:rsidP="003F33B8">
      <w:pPr>
        <w:pStyle w:val="Pagrindinistekstas"/>
        <w:spacing w:after="0"/>
        <w:rPr>
          <w:szCs w:val="22"/>
        </w:rPr>
      </w:pPr>
    </w:p>
    <w:p w14:paraId="596D5009" w14:textId="77777777" w:rsidR="003F33B8" w:rsidRPr="001D5EBE" w:rsidRDefault="003F33B8" w:rsidP="003F33B8">
      <w:pPr>
        <w:pStyle w:val="Pagrindinistekstas"/>
        <w:spacing w:after="0"/>
        <w:rPr>
          <w:szCs w:val="22"/>
        </w:rPr>
      </w:pPr>
    </w:p>
    <w:p w14:paraId="51A4534B" w14:textId="77777777" w:rsidR="003F33B8" w:rsidRPr="001D5EBE" w:rsidRDefault="003F33B8" w:rsidP="003F33B8">
      <w:pPr>
        <w:pStyle w:val="Pavadinimas"/>
      </w:pPr>
      <w:r w:rsidRPr="001D5EBE">
        <w:t>I PRIEDAS</w:t>
      </w:r>
    </w:p>
    <w:p w14:paraId="281C3EE9" w14:textId="77777777" w:rsidR="003F33B8" w:rsidRPr="001D5EBE" w:rsidRDefault="003F33B8" w:rsidP="003F33B8">
      <w:pPr>
        <w:pStyle w:val="Pagrindinistekstas"/>
        <w:spacing w:after="0"/>
        <w:rPr>
          <w:b/>
          <w:szCs w:val="22"/>
        </w:rPr>
      </w:pPr>
    </w:p>
    <w:p w14:paraId="5EA6423D" w14:textId="77777777" w:rsidR="003F33B8" w:rsidRPr="001D5EBE" w:rsidRDefault="003F33B8" w:rsidP="003F33B8">
      <w:pPr>
        <w:pStyle w:val="Pavadinimas"/>
      </w:pPr>
      <w:r w:rsidRPr="001D5EBE">
        <w:t>PREPARATO CHARAKTERISTIKŲ SANTRAUKA</w:t>
      </w:r>
    </w:p>
    <w:p w14:paraId="2B4816F2" w14:textId="77777777" w:rsidR="003F33B8" w:rsidRPr="001D5EBE" w:rsidRDefault="003F33B8" w:rsidP="003F33B8">
      <w:pPr>
        <w:pStyle w:val="Pagrindinistekstas"/>
        <w:spacing w:after="0"/>
        <w:rPr>
          <w:b/>
          <w:szCs w:val="22"/>
        </w:rPr>
      </w:pPr>
    </w:p>
    <w:p w14:paraId="07A51444" w14:textId="77777777" w:rsidR="003F33B8" w:rsidRPr="001D5EBE" w:rsidRDefault="003F33B8" w:rsidP="003F33B8">
      <w:pPr>
        <w:pStyle w:val="Antrat2"/>
        <w:rPr>
          <w:szCs w:val="22"/>
        </w:rPr>
      </w:pPr>
      <w:r w:rsidRPr="001D5EBE">
        <w:rPr>
          <w:szCs w:val="22"/>
        </w:rPr>
        <w:br w:type="page"/>
      </w:r>
      <w:r w:rsidRPr="001D5EBE">
        <w:rPr>
          <w:szCs w:val="22"/>
        </w:rPr>
        <w:lastRenderedPageBreak/>
        <w:t>1.</w:t>
      </w:r>
      <w:r w:rsidRPr="001D5EBE">
        <w:rPr>
          <w:szCs w:val="22"/>
        </w:rPr>
        <w:tab/>
        <w:t>VAISTINIO PREPARATO PAVADINIMAS</w:t>
      </w:r>
    </w:p>
    <w:p w14:paraId="630719B7" w14:textId="77777777" w:rsidR="003F33B8" w:rsidRPr="001D5EBE" w:rsidRDefault="003F33B8" w:rsidP="003F33B8">
      <w:pPr>
        <w:pStyle w:val="Pagrindinistekstas"/>
        <w:spacing w:after="0"/>
        <w:rPr>
          <w:szCs w:val="22"/>
        </w:rPr>
      </w:pPr>
    </w:p>
    <w:p w14:paraId="22727758" w14:textId="77777777" w:rsidR="003F33B8" w:rsidRPr="001D5EBE" w:rsidRDefault="003F33B8" w:rsidP="003F33B8">
      <w:pPr>
        <w:pStyle w:val="Pagrindinistekstas"/>
        <w:spacing w:after="0"/>
        <w:rPr>
          <w:szCs w:val="22"/>
        </w:rPr>
      </w:pPr>
      <w:r w:rsidRPr="001D5EBE">
        <w:rPr>
          <w:szCs w:val="22"/>
        </w:rPr>
        <w:t>SOLU-MEDROL 500 mg</w:t>
      </w:r>
      <w:r w:rsidRPr="001D5EBE">
        <w:rPr>
          <w:b/>
          <w:szCs w:val="22"/>
        </w:rPr>
        <w:t xml:space="preserve"> </w:t>
      </w:r>
      <w:r w:rsidRPr="001D5EBE">
        <w:rPr>
          <w:szCs w:val="22"/>
        </w:rPr>
        <w:t>milteliai ir tirpiklis injekciniam tirpalui</w:t>
      </w:r>
    </w:p>
    <w:p w14:paraId="1C593A18" w14:textId="77777777" w:rsidR="003F33B8" w:rsidRPr="001D5EBE" w:rsidRDefault="003F33B8" w:rsidP="003F33B8">
      <w:pPr>
        <w:pStyle w:val="Pagrindinistekstas"/>
        <w:spacing w:after="0"/>
        <w:rPr>
          <w:szCs w:val="22"/>
        </w:rPr>
      </w:pPr>
    </w:p>
    <w:p w14:paraId="26167D5E" w14:textId="77777777" w:rsidR="003F33B8" w:rsidRPr="001D5EBE" w:rsidRDefault="003F33B8" w:rsidP="003F33B8">
      <w:pPr>
        <w:pStyle w:val="Pagrindinistekstas"/>
        <w:spacing w:after="0"/>
        <w:rPr>
          <w:szCs w:val="22"/>
        </w:rPr>
      </w:pPr>
    </w:p>
    <w:p w14:paraId="47D44009" w14:textId="77777777" w:rsidR="003F33B8" w:rsidRPr="001D5EBE" w:rsidRDefault="003F33B8" w:rsidP="003F33B8">
      <w:pPr>
        <w:pStyle w:val="Antrat2"/>
        <w:rPr>
          <w:szCs w:val="22"/>
        </w:rPr>
      </w:pPr>
      <w:r w:rsidRPr="001D5EBE">
        <w:rPr>
          <w:szCs w:val="22"/>
        </w:rPr>
        <w:t>2.</w:t>
      </w:r>
      <w:r w:rsidRPr="001D5EBE">
        <w:rPr>
          <w:szCs w:val="22"/>
        </w:rPr>
        <w:tab/>
        <w:t>KOKYBINĖ IR KIEKYBINĖ SUDĖTIS</w:t>
      </w:r>
    </w:p>
    <w:p w14:paraId="34A97EA6" w14:textId="77777777" w:rsidR="003F33B8" w:rsidRPr="001D5EBE" w:rsidRDefault="003F33B8" w:rsidP="003F33B8">
      <w:pPr>
        <w:pStyle w:val="Pagrindinistekstas"/>
        <w:spacing w:after="0"/>
        <w:rPr>
          <w:szCs w:val="22"/>
        </w:rPr>
      </w:pPr>
    </w:p>
    <w:p w14:paraId="656C76ED" w14:textId="77777777" w:rsidR="003F33B8" w:rsidRPr="001D5EBE" w:rsidRDefault="003F33B8" w:rsidP="003F33B8">
      <w:pPr>
        <w:pStyle w:val="Pagrindinistekstas"/>
        <w:spacing w:after="0"/>
        <w:rPr>
          <w:szCs w:val="22"/>
        </w:rPr>
      </w:pPr>
      <w:r w:rsidRPr="001D5EBE">
        <w:rPr>
          <w:szCs w:val="22"/>
        </w:rPr>
        <w:t xml:space="preserve">Viename </w:t>
      </w:r>
      <w:r w:rsidR="00B25481" w:rsidRPr="001D5EBE">
        <w:rPr>
          <w:szCs w:val="22"/>
        </w:rPr>
        <w:t>flakone</w:t>
      </w:r>
      <w:r w:rsidRPr="001D5EBE">
        <w:rPr>
          <w:szCs w:val="22"/>
        </w:rPr>
        <w:t xml:space="preserve"> yra 500 mg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pavidalu).</w:t>
      </w:r>
    </w:p>
    <w:p w14:paraId="0D1B4D06" w14:textId="77777777" w:rsidR="003F33B8" w:rsidRPr="001D5EBE" w:rsidRDefault="003F33B8" w:rsidP="003F33B8">
      <w:pPr>
        <w:pStyle w:val="Pagrindinistekstas"/>
        <w:spacing w:after="0"/>
        <w:rPr>
          <w:szCs w:val="22"/>
        </w:rPr>
      </w:pPr>
      <w:r w:rsidRPr="001D5EBE">
        <w:rPr>
          <w:szCs w:val="22"/>
        </w:rPr>
        <w:t xml:space="preserve">1 ml paruošto injekcinio tirpalo yra 62,5 mg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pavidalu).</w:t>
      </w:r>
    </w:p>
    <w:p w14:paraId="6B669A5F" w14:textId="77777777" w:rsidR="003F33B8" w:rsidRPr="001D5EBE" w:rsidRDefault="003F33B8" w:rsidP="003F33B8">
      <w:pPr>
        <w:pStyle w:val="Pagrindinistekstas"/>
        <w:spacing w:after="0"/>
        <w:rPr>
          <w:szCs w:val="22"/>
        </w:rPr>
      </w:pPr>
    </w:p>
    <w:p w14:paraId="5A3D1B62" w14:textId="77777777" w:rsidR="00B46A59" w:rsidRPr="001D5EBE" w:rsidRDefault="003F33B8" w:rsidP="003F33B8">
      <w:pPr>
        <w:pStyle w:val="Pagrindinistekstas"/>
        <w:spacing w:after="0"/>
        <w:rPr>
          <w:szCs w:val="22"/>
        </w:rPr>
      </w:pPr>
      <w:r w:rsidRPr="001D5EBE">
        <w:rPr>
          <w:szCs w:val="22"/>
          <w:u w:val="single"/>
        </w:rPr>
        <w:t>Pagalbinė</w:t>
      </w:r>
      <w:r w:rsidR="00B46A59" w:rsidRPr="001D5EBE">
        <w:rPr>
          <w:szCs w:val="22"/>
          <w:u w:val="single"/>
        </w:rPr>
        <w:t>s</w:t>
      </w:r>
      <w:r w:rsidRPr="001D5EBE">
        <w:rPr>
          <w:szCs w:val="22"/>
          <w:u w:val="single"/>
        </w:rPr>
        <w:t xml:space="preserve"> medžiag</w:t>
      </w:r>
      <w:r w:rsidR="00B46A59" w:rsidRPr="001D5EBE">
        <w:rPr>
          <w:szCs w:val="22"/>
          <w:u w:val="single"/>
        </w:rPr>
        <w:t>os</w:t>
      </w:r>
      <w:r w:rsidRPr="001D5EBE">
        <w:rPr>
          <w:szCs w:val="22"/>
          <w:u w:val="single"/>
        </w:rPr>
        <w:t>, kuri</w:t>
      </w:r>
      <w:r w:rsidR="00B46A59" w:rsidRPr="001D5EBE">
        <w:rPr>
          <w:szCs w:val="22"/>
          <w:u w:val="single"/>
        </w:rPr>
        <w:t>ų</w:t>
      </w:r>
      <w:r w:rsidRPr="001D5EBE">
        <w:rPr>
          <w:szCs w:val="22"/>
          <w:u w:val="single"/>
        </w:rPr>
        <w:t xml:space="preserve"> poveikis žinomas</w:t>
      </w:r>
      <w:r w:rsidRPr="001D5EBE">
        <w:rPr>
          <w:szCs w:val="22"/>
        </w:rPr>
        <w:t>:</w:t>
      </w:r>
    </w:p>
    <w:p w14:paraId="75505597" w14:textId="77777777" w:rsidR="00B46A59" w:rsidRPr="001D5EBE" w:rsidRDefault="003F33B8" w:rsidP="003F33B8">
      <w:pPr>
        <w:pStyle w:val="Pagrindinistekstas"/>
        <w:spacing w:after="0"/>
        <w:rPr>
          <w:szCs w:val="22"/>
        </w:rPr>
      </w:pPr>
      <w:r w:rsidRPr="001D5EBE">
        <w:rPr>
          <w:szCs w:val="22"/>
        </w:rPr>
        <w:t xml:space="preserve">tirpiklyje yra 9 mg/ml </w:t>
      </w:r>
      <w:proofErr w:type="spellStart"/>
      <w:r w:rsidRPr="001D5EBE">
        <w:rPr>
          <w:szCs w:val="22"/>
        </w:rPr>
        <w:t>benzilo</w:t>
      </w:r>
      <w:proofErr w:type="spellEnd"/>
      <w:r w:rsidRPr="001D5EBE">
        <w:rPr>
          <w:szCs w:val="22"/>
        </w:rPr>
        <w:t xml:space="preserve"> alkoholio</w:t>
      </w:r>
      <w:r w:rsidR="00B46A59" w:rsidRPr="001D5EBE">
        <w:rPr>
          <w:szCs w:val="22"/>
        </w:rPr>
        <w:t>;</w:t>
      </w:r>
    </w:p>
    <w:p w14:paraId="25F07DA4" w14:textId="1C2C7ABB" w:rsidR="003F33B8" w:rsidRPr="001D5EBE" w:rsidRDefault="001068FF" w:rsidP="003F33B8">
      <w:pPr>
        <w:pStyle w:val="Pagrindinistekstas"/>
        <w:spacing w:after="0"/>
        <w:rPr>
          <w:szCs w:val="22"/>
        </w:rPr>
      </w:pPr>
      <w:r>
        <w:rPr>
          <w:szCs w:val="22"/>
        </w:rPr>
        <w:t>viename flakone</w:t>
      </w:r>
      <w:r w:rsidR="00486EBA" w:rsidRPr="001D5EBE">
        <w:rPr>
          <w:szCs w:val="22"/>
        </w:rPr>
        <w:t xml:space="preserve"> yra </w:t>
      </w:r>
      <w:r w:rsidR="00486EBA" w:rsidRPr="001D5EBE">
        <w:rPr>
          <w:color w:val="000000"/>
          <w:szCs w:val="22"/>
        </w:rPr>
        <w:t>58,56 mg natrio</w:t>
      </w:r>
      <w:r w:rsidR="00B46A59" w:rsidRPr="001D5EBE">
        <w:rPr>
          <w:color w:val="000000"/>
          <w:szCs w:val="22"/>
        </w:rPr>
        <w:t>.</w:t>
      </w:r>
    </w:p>
    <w:p w14:paraId="1610B2C1" w14:textId="77777777" w:rsidR="003F33B8" w:rsidRPr="001D5EBE" w:rsidRDefault="003F33B8" w:rsidP="003F33B8">
      <w:pPr>
        <w:pStyle w:val="Pagrindinistekstas"/>
        <w:spacing w:after="0"/>
        <w:rPr>
          <w:szCs w:val="22"/>
        </w:rPr>
      </w:pPr>
    </w:p>
    <w:p w14:paraId="19A6561B" w14:textId="77777777" w:rsidR="003F33B8" w:rsidRPr="001D5EBE" w:rsidRDefault="003F33B8" w:rsidP="003F33B8">
      <w:pPr>
        <w:pStyle w:val="Pagrindinistekstas"/>
        <w:spacing w:after="0"/>
        <w:rPr>
          <w:szCs w:val="22"/>
        </w:rPr>
      </w:pPr>
      <w:r w:rsidRPr="001D5EBE">
        <w:rPr>
          <w:szCs w:val="22"/>
        </w:rPr>
        <w:t>Visos pagalbinės medžiagos išvardytos 6.1 skyriuje.</w:t>
      </w:r>
    </w:p>
    <w:p w14:paraId="1D4201EF" w14:textId="77777777" w:rsidR="003F33B8" w:rsidRPr="001D5EBE" w:rsidRDefault="003F33B8" w:rsidP="003F33B8">
      <w:pPr>
        <w:pStyle w:val="Pagrindinistekstas"/>
        <w:spacing w:after="0"/>
        <w:rPr>
          <w:szCs w:val="22"/>
        </w:rPr>
      </w:pPr>
    </w:p>
    <w:p w14:paraId="0850E32D" w14:textId="77777777" w:rsidR="003F33B8" w:rsidRPr="001D5EBE" w:rsidRDefault="003F33B8" w:rsidP="003F33B8">
      <w:pPr>
        <w:pStyle w:val="Pagrindinistekstas"/>
        <w:spacing w:after="0"/>
        <w:rPr>
          <w:szCs w:val="22"/>
        </w:rPr>
      </w:pPr>
    </w:p>
    <w:p w14:paraId="2227F56A" w14:textId="77777777" w:rsidR="003F33B8" w:rsidRPr="001D5EBE" w:rsidRDefault="003F33B8" w:rsidP="003F33B8">
      <w:pPr>
        <w:pStyle w:val="Antrat2"/>
        <w:rPr>
          <w:szCs w:val="22"/>
        </w:rPr>
      </w:pPr>
      <w:r w:rsidRPr="001D5EBE">
        <w:rPr>
          <w:szCs w:val="22"/>
        </w:rPr>
        <w:t>3.</w:t>
      </w:r>
      <w:r w:rsidRPr="001D5EBE">
        <w:rPr>
          <w:szCs w:val="22"/>
        </w:rPr>
        <w:tab/>
        <w:t>FARMACINĖ FORMA</w:t>
      </w:r>
    </w:p>
    <w:p w14:paraId="71FEA298" w14:textId="77777777" w:rsidR="003F33B8" w:rsidRPr="001D5EBE" w:rsidRDefault="003F33B8" w:rsidP="003F33B8">
      <w:pPr>
        <w:pStyle w:val="Pagrindinistekstas"/>
        <w:spacing w:after="0"/>
        <w:rPr>
          <w:szCs w:val="22"/>
        </w:rPr>
      </w:pPr>
    </w:p>
    <w:p w14:paraId="50B09F2C" w14:textId="77777777" w:rsidR="003F33B8" w:rsidRPr="001D5EBE" w:rsidRDefault="003F33B8" w:rsidP="003F33B8">
      <w:pPr>
        <w:pStyle w:val="Pagrindinistekstas"/>
        <w:spacing w:after="0"/>
        <w:rPr>
          <w:szCs w:val="22"/>
        </w:rPr>
      </w:pPr>
      <w:r w:rsidRPr="001D5EBE">
        <w:rPr>
          <w:szCs w:val="22"/>
        </w:rPr>
        <w:t>Milteliai ir tirpiklis injekciniam tirpalui.</w:t>
      </w:r>
    </w:p>
    <w:p w14:paraId="22D741DD" w14:textId="77777777" w:rsidR="003F33B8" w:rsidRPr="001D5EBE" w:rsidRDefault="003F33B8" w:rsidP="003F33B8">
      <w:pPr>
        <w:pStyle w:val="Pagrindinistekstas"/>
        <w:spacing w:after="0"/>
        <w:rPr>
          <w:szCs w:val="22"/>
        </w:rPr>
      </w:pPr>
      <w:r w:rsidRPr="001D5EBE">
        <w:rPr>
          <w:i/>
          <w:szCs w:val="22"/>
        </w:rPr>
        <w:t>Milteliai:</w:t>
      </w:r>
      <w:r w:rsidRPr="001D5EBE">
        <w:rPr>
          <w:szCs w:val="22"/>
        </w:rPr>
        <w:tab/>
        <w:t>balti arba beveik balti milteliai.</w:t>
      </w:r>
    </w:p>
    <w:p w14:paraId="37067DD3" w14:textId="77777777" w:rsidR="003F33B8" w:rsidRPr="001D5EBE" w:rsidRDefault="003F33B8" w:rsidP="003F33B8">
      <w:pPr>
        <w:pStyle w:val="Pagrindinistekstas"/>
        <w:spacing w:after="0"/>
        <w:rPr>
          <w:szCs w:val="22"/>
        </w:rPr>
      </w:pPr>
      <w:r w:rsidRPr="001D5EBE">
        <w:rPr>
          <w:i/>
          <w:szCs w:val="22"/>
        </w:rPr>
        <w:t>Tirpiklis:</w:t>
      </w:r>
      <w:r w:rsidRPr="001D5EBE">
        <w:rPr>
          <w:szCs w:val="22"/>
        </w:rPr>
        <w:t xml:space="preserve"> </w:t>
      </w:r>
      <w:r w:rsidRPr="001D5EBE">
        <w:rPr>
          <w:szCs w:val="22"/>
        </w:rPr>
        <w:tab/>
        <w:t>skaidrus, bespalvis tirpalas.</w:t>
      </w:r>
    </w:p>
    <w:p w14:paraId="0F15C685" w14:textId="77777777" w:rsidR="003F33B8" w:rsidRPr="001D5EBE" w:rsidRDefault="003F33B8" w:rsidP="003F33B8">
      <w:pPr>
        <w:pStyle w:val="Pagrindinistekstas"/>
        <w:spacing w:after="0"/>
        <w:rPr>
          <w:szCs w:val="22"/>
        </w:rPr>
      </w:pPr>
    </w:p>
    <w:p w14:paraId="516D9F00" w14:textId="77777777" w:rsidR="003F33B8" w:rsidRPr="001D5EBE" w:rsidRDefault="003F33B8" w:rsidP="003F33B8">
      <w:pPr>
        <w:pStyle w:val="Pagrindinistekstas"/>
        <w:spacing w:after="0"/>
        <w:rPr>
          <w:szCs w:val="22"/>
        </w:rPr>
      </w:pPr>
    </w:p>
    <w:p w14:paraId="7579B629" w14:textId="77777777" w:rsidR="003F33B8" w:rsidRPr="001D5EBE" w:rsidRDefault="003F33B8" w:rsidP="003F33B8">
      <w:pPr>
        <w:pStyle w:val="Antrat2"/>
        <w:rPr>
          <w:szCs w:val="22"/>
        </w:rPr>
      </w:pPr>
      <w:r w:rsidRPr="001D5EBE">
        <w:rPr>
          <w:caps/>
          <w:szCs w:val="22"/>
        </w:rPr>
        <w:t>4.</w:t>
      </w:r>
      <w:r w:rsidRPr="001D5EBE">
        <w:rPr>
          <w:caps/>
          <w:szCs w:val="22"/>
        </w:rPr>
        <w:tab/>
      </w:r>
      <w:r w:rsidRPr="001D5EBE">
        <w:rPr>
          <w:szCs w:val="22"/>
        </w:rPr>
        <w:t>KLINIKINĖ INFORMACIJA</w:t>
      </w:r>
    </w:p>
    <w:p w14:paraId="594E4A10" w14:textId="77777777" w:rsidR="003F33B8" w:rsidRPr="001D5EBE" w:rsidRDefault="003F33B8" w:rsidP="003F33B8">
      <w:pPr>
        <w:pStyle w:val="Pagrindinistekstas"/>
        <w:spacing w:after="0"/>
        <w:rPr>
          <w:szCs w:val="22"/>
        </w:rPr>
      </w:pPr>
    </w:p>
    <w:p w14:paraId="2B7C3BBA" w14:textId="77777777" w:rsidR="003F33B8" w:rsidRPr="001D5EBE" w:rsidRDefault="003F33B8" w:rsidP="003F33B8">
      <w:pPr>
        <w:pStyle w:val="Antrat3"/>
        <w:rPr>
          <w:szCs w:val="22"/>
        </w:rPr>
      </w:pPr>
      <w:r w:rsidRPr="001D5EBE">
        <w:rPr>
          <w:szCs w:val="22"/>
        </w:rPr>
        <w:t>4.1</w:t>
      </w:r>
      <w:r w:rsidRPr="001D5EBE">
        <w:rPr>
          <w:szCs w:val="22"/>
        </w:rPr>
        <w:tab/>
        <w:t>Terapinės indikacijos</w:t>
      </w:r>
    </w:p>
    <w:p w14:paraId="580C2855" w14:textId="77777777" w:rsidR="003F33B8" w:rsidRPr="001D5EBE" w:rsidRDefault="003F33B8" w:rsidP="003F33B8">
      <w:pPr>
        <w:pStyle w:val="BTEMEASMCA"/>
      </w:pPr>
    </w:p>
    <w:p w14:paraId="657435F2" w14:textId="77777777" w:rsidR="003F33B8" w:rsidRPr="001D5EBE" w:rsidRDefault="003F33B8" w:rsidP="003F33B8">
      <w:pPr>
        <w:pStyle w:val="BTEMEASMCA"/>
      </w:pPr>
      <w:r w:rsidRPr="001D5EBE">
        <w:t>Ligų, kai būtini parenteriniu būdu vartojami gliukokortikoidai, gydymas:</w:t>
      </w:r>
    </w:p>
    <w:p w14:paraId="3646626D"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odos, pvz., sunkios daugiaformės raudonės (</w:t>
      </w:r>
      <w:proofErr w:type="spellStart"/>
      <w:r w:rsidRPr="001D5EBE">
        <w:rPr>
          <w:i/>
          <w:lang w:val="lt-LT"/>
        </w:rPr>
        <w:t>Stevens-Johnson</w:t>
      </w:r>
      <w:proofErr w:type="spellEnd"/>
      <w:r w:rsidRPr="001D5EBE">
        <w:rPr>
          <w:lang w:val="lt-LT"/>
        </w:rPr>
        <w:t xml:space="preserve"> sindromo); </w:t>
      </w:r>
    </w:p>
    <w:p w14:paraId="453ABD73"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 xml:space="preserve">alerginių būklių, pvz., astmos, sunkaus sezoninio ar nuolatinio alerginio rinito, </w:t>
      </w:r>
      <w:proofErr w:type="spellStart"/>
      <w:r w:rsidRPr="001D5EBE">
        <w:rPr>
          <w:lang w:val="lt-LT"/>
        </w:rPr>
        <w:t>angioneurozinės</w:t>
      </w:r>
      <w:proofErr w:type="spellEnd"/>
      <w:r w:rsidRPr="001D5EBE">
        <w:rPr>
          <w:lang w:val="lt-LT"/>
        </w:rPr>
        <w:t xml:space="preserve"> edemos, </w:t>
      </w:r>
      <w:proofErr w:type="spellStart"/>
      <w:r w:rsidRPr="001D5EBE">
        <w:rPr>
          <w:lang w:val="lt-LT"/>
        </w:rPr>
        <w:t>anafilaksijos</w:t>
      </w:r>
      <w:proofErr w:type="spellEnd"/>
      <w:r w:rsidRPr="001D5EBE">
        <w:rPr>
          <w:lang w:val="lt-LT"/>
        </w:rPr>
        <w:t>;</w:t>
      </w:r>
    </w:p>
    <w:p w14:paraId="7982B40C"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sisteminių uždegiminių ligų, pvz., sisteminės raudonosios vilkligės, reumatoidinio artrito;</w:t>
      </w:r>
    </w:p>
    <w:p w14:paraId="2642374F"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virškinimo trakto, pvz., opinio kolito, Krono ligos;</w:t>
      </w:r>
    </w:p>
    <w:p w14:paraId="55508A6B"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 xml:space="preserve">kvėpavimo sistemos, pvz., žaibinės ar </w:t>
      </w:r>
      <w:proofErr w:type="spellStart"/>
      <w:r w:rsidRPr="001D5EBE">
        <w:rPr>
          <w:lang w:val="lt-LT"/>
        </w:rPr>
        <w:t>diseminuotos</w:t>
      </w:r>
      <w:proofErr w:type="spellEnd"/>
      <w:r w:rsidRPr="001D5EBE">
        <w:rPr>
          <w:lang w:val="lt-LT"/>
        </w:rPr>
        <w:t xml:space="preserve"> plaučių tuberkuliozės (vartojama kartu su atitinkamais vaistiniais preparatais nuo tuberkuliozės);</w:t>
      </w:r>
    </w:p>
    <w:p w14:paraId="0DDB17F8"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nervų sistemos, pvz., smegenų edemos, išsėtinės sklerozės;</w:t>
      </w:r>
    </w:p>
    <w:p w14:paraId="29334A8E" w14:textId="77777777" w:rsidR="003F33B8" w:rsidRPr="001D5EBE" w:rsidRDefault="003F33B8" w:rsidP="003F33B8">
      <w:pPr>
        <w:tabs>
          <w:tab w:val="num" w:pos="567"/>
        </w:tabs>
        <w:spacing w:line="240" w:lineRule="auto"/>
        <w:ind w:left="567" w:hanging="567"/>
        <w:rPr>
          <w:lang w:val="lt-LT"/>
        </w:rPr>
      </w:pPr>
      <w:r w:rsidRPr="001D5EBE">
        <w:rPr>
          <w:lang w:val="lt-LT"/>
        </w:rPr>
        <w:t>-</w:t>
      </w:r>
      <w:r w:rsidRPr="001D5EBE">
        <w:rPr>
          <w:lang w:val="lt-LT"/>
        </w:rPr>
        <w:tab/>
        <w:t xml:space="preserve">kitų, pvz., </w:t>
      </w:r>
      <w:proofErr w:type="spellStart"/>
      <w:r w:rsidRPr="001D5EBE">
        <w:rPr>
          <w:lang w:val="lt-LT"/>
        </w:rPr>
        <w:t>transplantanto</w:t>
      </w:r>
      <w:proofErr w:type="spellEnd"/>
      <w:r w:rsidRPr="001D5EBE">
        <w:rPr>
          <w:lang w:val="lt-LT"/>
        </w:rPr>
        <w:t xml:space="preserve"> atmetimo reakcijos, tuberkuliozinio meningito (vartojama kartu su atitinkamais vaistiniais preparatais nuo tuberkuliozės).</w:t>
      </w:r>
    </w:p>
    <w:p w14:paraId="2FBFEBAD" w14:textId="77777777" w:rsidR="003F33B8" w:rsidRPr="001D5EBE" w:rsidRDefault="003F33B8" w:rsidP="003F33B8">
      <w:pPr>
        <w:pStyle w:val="Pagrindinistekstas"/>
        <w:spacing w:after="0"/>
        <w:rPr>
          <w:szCs w:val="22"/>
        </w:rPr>
      </w:pPr>
    </w:p>
    <w:p w14:paraId="70C10743" w14:textId="77777777" w:rsidR="003F33B8" w:rsidRPr="001D5EBE" w:rsidRDefault="003F33B8" w:rsidP="003F33B8">
      <w:pPr>
        <w:pStyle w:val="Antrat3"/>
        <w:rPr>
          <w:szCs w:val="22"/>
        </w:rPr>
      </w:pPr>
      <w:r w:rsidRPr="001D5EBE">
        <w:rPr>
          <w:szCs w:val="22"/>
        </w:rPr>
        <w:t>4.2</w:t>
      </w:r>
      <w:r w:rsidRPr="001D5EBE">
        <w:rPr>
          <w:szCs w:val="22"/>
        </w:rPr>
        <w:tab/>
        <w:t>Dozavimas ir vartojimo metodas</w:t>
      </w:r>
    </w:p>
    <w:p w14:paraId="3840971E" w14:textId="77777777" w:rsidR="003F33B8" w:rsidRPr="001D5EBE" w:rsidRDefault="003F33B8" w:rsidP="003F33B8">
      <w:pPr>
        <w:pStyle w:val="Pagrindinistekstas"/>
        <w:spacing w:after="0"/>
        <w:rPr>
          <w:szCs w:val="22"/>
        </w:rPr>
      </w:pPr>
    </w:p>
    <w:p w14:paraId="20F22474" w14:textId="77777777" w:rsidR="003F33B8" w:rsidRPr="00D73209" w:rsidRDefault="003F33B8" w:rsidP="0025749A">
      <w:pPr>
        <w:spacing w:line="240" w:lineRule="auto"/>
        <w:rPr>
          <w:lang w:val="lt-LT"/>
        </w:rPr>
      </w:pPr>
      <w:r w:rsidRPr="001D5EBE">
        <w:rPr>
          <w:u w:val="single"/>
          <w:lang w:val="lt-LT"/>
        </w:rPr>
        <w:t>Dozavimas</w:t>
      </w:r>
    </w:p>
    <w:p w14:paraId="046D45B8" w14:textId="77777777" w:rsidR="003F33B8" w:rsidRPr="001D5EBE" w:rsidRDefault="003F33B8" w:rsidP="003F33B8">
      <w:pPr>
        <w:pStyle w:val="Pagrindinistekstas"/>
        <w:spacing w:after="0"/>
        <w:rPr>
          <w:szCs w:val="22"/>
        </w:rPr>
      </w:pPr>
      <w:r w:rsidRPr="001D5EBE">
        <w:rPr>
          <w:szCs w:val="22"/>
        </w:rPr>
        <w:t xml:space="preserve">Rekomenduojamos dozės nurodomos žemiau pateikiamoje lentelėje. Vaistinio preparato dozės vaikams ir </w:t>
      </w:r>
      <w:r w:rsidR="00F45685" w:rsidRPr="001D5EBE">
        <w:rPr>
          <w:szCs w:val="22"/>
        </w:rPr>
        <w:t>kūdik</w:t>
      </w:r>
      <w:r w:rsidRPr="001D5EBE">
        <w:rPr>
          <w:szCs w:val="22"/>
        </w:rPr>
        <w:t>iams gali būti sumažinamos, bet jas parenkant yra labiau atsižvelgiama į ligos sunkumą ir organizmo atsaką į gydymą, nei į paciento amžių ir svorį. Vaistinio preparato paros dozė vaikams turi būti ne mažesnė negu 0,5 mg/kg.</w:t>
      </w:r>
    </w:p>
    <w:p w14:paraId="6F185392" w14:textId="77777777" w:rsidR="003F33B8" w:rsidRPr="001D5EBE" w:rsidRDefault="003F33B8" w:rsidP="003F33B8">
      <w:pPr>
        <w:pStyle w:val="Pagrindinistekstas"/>
        <w:spacing w:after="0"/>
        <w:jc w:val="both"/>
        <w:rPr>
          <w:szCs w:val="22"/>
        </w:rPr>
      </w:pPr>
    </w:p>
    <w:p w14:paraId="134AFCEE" w14:textId="77777777" w:rsidR="003F33B8" w:rsidRPr="001D5EBE" w:rsidRDefault="003F33B8" w:rsidP="003F33B8">
      <w:pPr>
        <w:pStyle w:val="Pagrindinistekstas"/>
        <w:spacing w:after="0"/>
        <w:jc w:val="both"/>
        <w:rPr>
          <w:szCs w:val="22"/>
        </w:rPr>
      </w:pPr>
      <w:r w:rsidRPr="001D5EBE">
        <w:rPr>
          <w:szCs w:val="22"/>
        </w:rPr>
        <w:t xml:space="preserve">Rekomenduojamos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dozės: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46"/>
      </w:tblGrid>
      <w:tr w:rsidR="003F33B8" w:rsidRPr="001D5EBE" w14:paraId="162B8632" w14:textId="77777777" w:rsidTr="00C8743D">
        <w:tc>
          <w:tcPr>
            <w:tcW w:w="2943" w:type="dxa"/>
          </w:tcPr>
          <w:p w14:paraId="3ED5F7B9" w14:textId="77777777" w:rsidR="003F33B8" w:rsidRPr="001D5EBE" w:rsidRDefault="003F33B8" w:rsidP="00584BB5">
            <w:pPr>
              <w:pStyle w:val="Pagrindinistekstas"/>
              <w:spacing w:after="0"/>
              <w:rPr>
                <w:szCs w:val="22"/>
              </w:rPr>
            </w:pPr>
            <w:r w:rsidRPr="001D5EBE">
              <w:rPr>
                <w:szCs w:val="22"/>
              </w:rPr>
              <w:t>Indikacijos</w:t>
            </w:r>
          </w:p>
        </w:tc>
        <w:tc>
          <w:tcPr>
            <w:tcW w:w="6146" w:type="dxa"/>
          </w:tcPr>
          <w:p w14:paraId="318D5611" w14:textId="77777777" w:rsidR="003F33B8" w:rsidRPr="001D5EBE" w:rsidRDefault="003F33B8" w:rsidP="00584BB5">
            <w:pPr>
              <w:pStyle w:val="Pagrindinistekstas"/>
              <w:spacing w:after="0"/>
              <w:rPr>
                <w:szCs w:val="22"/>
              </w:rPr>
            </w:pPr>
            <w:r w:rsidRPr="001D5EBE">
              <w:rPr>
                <w:szCs w:val="22"/>
              </w:rPr>
              <w:t>Dozavimas</w:t>
            </w:r>
          </w:p>
        </w:tc>
      </w:tr>
      <w:tr w:rsidR="003F33B8" w:rsidRPr="001D5EBE" w14:paraId="5FF777AF" w14:textId="77777777" w:rsidTr="00C8743D">
        <w:tc>
          <w:tcPr>
            <w:tcW w:w="2943" w:type="dxa"/>
          </w:tcPr>
          <w:p w14:paraId="1EC7F299" w14:textId="77777777" w:rsidR="003F33B8" w:rsidRPr="001D5EBE" w:rsidRDefault="003F33B8" w:rsidP="00584BB5">
            <w:pPr>
              <w:pStyle w:val="Pagrindinistekstas"/>
              <w:spacing w:after="0"/>
              <w:rPr>
                <w:szCs w:val="22"/>
              </w:rPr>
            </w:pPr>
            <w:r w:rsidRPr="001D5EBE">
              <w:rPr>
                <w:szCs w:val="22"/>
              </w:rPr>
              <w:t>Sisteminės ligos, kai standartinis gydymas neveiksmingas ir ligos paūmėjimo metu.</w:t>
            </w:r>
          </w:p>
        </w:tc>
        <w:tc>
          <w:tcPr>
            <w:tcW w:w="6146" w:type="dxa"/>
          </w:tcPr>
          <w:p w14:paraId="77B2A787" w14:textId="77777777" w:rsidR="003F33B8" w:rsidRPr="001D5EBE" w:rsidRDefault="003F33B8" w:rsidP="00584BB5">
            <w:pPr>
              <w:pStyle w:val="Pagrindinistekstas"/>
              <w:spacing w:after="0"/>
              <w:rPr>
                <w:szCs w:val="22"/>
              </w:rPr>
            </w:pPr>
            <w:r w:rsidRPr="001D5EBE">
              <w:rPr>
                <w:szCs w:val="22"/>
              </w:rPr>
              <w:t>Suleidžiama į veną ne greičiau kaip per 30 min. Gydymas gali būti pakartotas po savaitės, jeigu nėra pagerėjimo ar to reikalauja ligonio būklė.</w:t>
            </w:r>
          </w:p>
          <w:p w14:paraId="1BD1DEFB" w14:textId="77777777" w:rsidR="003F33B8" w:rsidRPr="001D5EBE" w:rsidRDefault="003F33B8" w:rsidP="00584BB5">
            <w:pPr>
              <w:pStyle w:val="Pagrindinistekstas"/>
              <w:spacing w:after="0"/>
              <w:rPr>
                <w:szCs w:val="22"/>
              </w:rPr>
            </w:pPr>
            <w:r w:rsidRPr="001D5EBE">
              <w:rPr>
                <w:szCs w:val="22"/>
              </w:rPr>
              <w:t>1 g per parą nuo 1 iki 4 dienų arba</w:t>
            </w:r>
          </w:p>
          <w:p w14:paraId="5D63FD40" w14:textId="77777777" w:rsidR="003F33B8" w:rsidRPr="001D5EBE" w:rsidRDefault="003F33B8" w:rsidP="00584BB5">
            <w:pPr>
              <w:pStyle w:val="Pagrindinistekstas"/>
              <w:spacing w:after="0"/>
              <w:rPr>
                <w:szCs w:val="22"/>
              </w:rPr>
            </w:pPr>
            <w:r w:rsidRPr="001D5EBE">
              <w:rPr>
                <w:szCs w:val="22"/>
              </w:rPr>
              <w:t>1 g per mėnesį, leidžiant 6 mėnesius</w:t>
            </w:r>
          </w:p>
        </w:tc>
      </w:tr>
      <w:tr w:rsidR="003F33B8" w:rsidRPr="0014202E" w14:paraId="2F106B3B" w14:textId="77777777" w:rsidTr="00C8743D">
        <w:tc>
          <w:tcPr>
            <w:tcW w:w="2943" w:type="dxa"/>
          </w:tcPr>
          <w:p w14:paraId="33B762F2" w14:textId="77777777" w:rsidR="003F33B8" w:rsidRPr="001D5EBE" w:rsidRDefault="003F33B8" w:rsidP="00584BB5">
            <w:pPr>
              <w:pStyle w:val="Pagrindinistekstas"/>
              <w:spacing w:after="0"/>
              <w:rPr>
                <w:szCs w:val="22"/>
              </w:rPr>
            </w:pPr>
            <w:r w:rsidRPr="001D5EBE">
              <w:rPr>
                <w:szCs w:val="22"/>
              </w:rPr>
              <w:lastRenderedPageBreak/>
              <w:t>Sisteminė raudonoji vilkligė, kai standartinis gydymas neveiksmingas ir ligos paūmėjimo metu.</w:t>
            </w:r>
          </w:p>
        </w:tc>
        <w:tc>
          <w:tcPr>
            <w:tcW w:w="6146" w:type="dxa"/>
          </w:tcPr>
          <w:p w14:paraId="1D5BA6BF" w14:textId="77777777" w:rsidR="003F33B8" w:rsidRPr="001D5EBE" w:rsidRDefault="003F33B8" w:rsidP="00584BB5">
            <w:pPr>
              <w:pStyle w:val="Pagrindinistekstas"/>
              <w:spacing w:after="0"/>
              <w:rPr>
                <w:szCs w:val="22"/>
              </w:rPr>
            </w:pPr>
            <w:r w:rsidRPr="001D5EBE">
              <w:rPr>
                <w:szCs w:val="22"/>
              </w:rPr>
              <w:t>Leidžiama į veną 1 g per parą 3 dienas iš eilės ne greičiau kaip per 30 min. Gydymas gali būti pakartotas po savaitės, jeigu nėra pagerėjimo ar to reikalauja ligonio būklė.</w:t>
            </w:r>
          </w:p>
          <w:p w14:paraId="6018B624" w14:textId="77777777" w:rsidR="003F33B8" w:rsidRPr="001D5EBE" w:rsidRDefault="003F33B8" w:rsidP="00584BB5">
            <w:pPr>
              <w:pStyle w:val="Pagrindinistekstas"/>
              <w:spacing w:after="0"/>
              <w:rPr>
                <w:szCs w:val="22"/>
              </w:rPr>
            </w:pPr>
          </w:p>
        </w:tc>
      </w:tr>
      <w:tr w:rsidR="003F33B8" w:rsidRPr="0014202E" w14:paraId="2EF36708" w14:textId="77777777" w:rsidTr="00C8743D">
        <w:tc>
          <w:tcPr>
            <w:tcW w:w="2943" w:type="dxa"/>
          </w:tcPr>
          <w:p w14:paraId="23EE7C58" w14:textId="77777777" w:rsidR="003F33B8" w:rsidRPr="001D5EBE" w:rsidRDefault="003F33B8" w:rsidP="00584BB5">
            <w:pPr>
              <w:pStyle w:val="Pagrindinistekstas"/>
              <w:spacing w:after="0"/>
              <w:rPr>
                <w:szCs w:val="22"/>
              </w:rPr>
            </w:pPr>
            <w:r w:rsidRPr="001D5EBE">
              <w:rPr>
                <w:szCs w:val="22"/>
              </w:rPr>
              <w:t>Išsėtinė sklerozė, kai standartinis gydymas neveiksmingas ir ligos paūmėjimo metu.</w:t>
            </w:r>
          </w:p>
        </w:tc>
        <w:tc>
          <w:tcPr>
            <w:tcW w:w="6146" w:type="dxa"/>
          </w:tcPr>
          <w:p w14:paraId="0F250181" w14:textId="77777777" w:rsidR="003F33B8" w:rsidRPr="001D5EBE" w:rsidRDefault="003F33B8" w:rsidP="00584BB5">
            <w:pPr>
              <w:pStyle w:val="Pagrindinistekstas"/>
              <w:spacing w:after="0"/>
              <w:rPr>
                <w:szCs w:val="22"/>
              </w:rPr>
            </w:pPr>
            <w:r w:rsidRPr="001D5EBE">
              <w:rPr>
                <w:szCs w:val="22"/>
              </w:rPr>
              <w:t>Leidžiama į veną 1 g per parą 3 ar 5 dienas iš eilės ne greičiau kaip per 30 min. Gydymas gali būti pakartotas po savaitės, jeigu nėra pagerėjimo ar to reikalauja ligonio būklė.</w:t>
            </w:r>
          </w:p>
          <w:p w14:paraId="19B77AEC" w14:textId="77777777" w:rsidR="003F33B8" w:rsidRPr="001D5EBE" w:rsidRDefault="003F33B8" w:rsidP="00584BB5">
            <w:pPr>
              <w:pStyle w:val="Pagrindinistekstas"/>
              <w:spacing w:after="0"/>
              <w:rPr>
                <w:szCs w:val="22"/>
              </w:rPr>
            </w:pPr>
          </w:p>
        </w:tc>
      </w:tr>
      <w:tr w:rsidR="003F33B8" w:rsidRPr="0014202E" w14:paraId="5C2655FF" w14:textId="77777777" w:rsidTr="00C8743D">
        <w:tc>
          <w:tcPr>
            <w:tcW w:w="2943" w:type="dxa"/>
          </w:tcPr>
          <w:p w14:paraId="4AC479B1" w14:textId="77777777" w:rsidR="003F33B8" w:rsidRPr="001D5EBE" w:rsidRDefault="003F33B8" w:rsidP="00584BB5">
            <w:pPr>
              <w:pStyle w:val="Pagrindinistekstas"/>
              <w:spacing w:after="0"/>
              <w:rPr>
                <w:szCs w:val="22"/>
              </w:rPr>
            </w:pPr>
            <w:r w:rsidRPr="001D5EBE">
              <w:rPr>
                <w:szCs w:val="22"/>
              </w:rPr>
              <w:t>Persodintų organų atmetimo profilaktika</w:t>
            </w:r>
          </w:p>
        </w:tc>
        <w:tc>
          <w:tcPr>
            <w:tcW w:w="6146" w:type="dxa"/>
          </w:tcPr>
          <w:p w14:paraId="6E7D68B2" w14:textId="77777777" w:rsidR="003F33B8" w:rsidRPr="001D5EBE" w:rsidRDefault="003F33B8" w:rsidP="00584BB5">
            <w:pPr>
              <w:pStyle w:val="Pagrindinistekstas"/>
              <w:spacing w:after="0"/>
              <w:rPr>
                <w:szCs w:val="22"/>
              </w:rPr>
            </w:pPr>
            <w:r w:rsidRPr="001D5EBE">
              <w:rPr>
                <w:szCs w:val="22"/>
              </w:rPr>
              <w:t xml:space="preserve">Slopinant imunitetą – persodintų organų atmetimo profilaktikai (ypač inkstų) – </w:t>
            </w:r>
            <w:proofErr w:type="spellStart"/>
            <w:r w:rsidRPr="001D5EBE">
              <w:rPr>
                <w:szCs w:val="22"/>
              </w:rPr>
              <w:t>metilprednizolono</w:t>
            </w:r>
            <w:proofErr w:type="spellEnd"/>
            <w:r w:rsidRPr="001D5EBE">
              <w:rPr>
                <w:szCs w:val="22"/>
              </w:rPr>
              <w:t xml:space="preserve"> </w:t>
            </w:r>
            <w:proofErr w:type="spellStart"/>
            <w:r w:rsidRPr="001D5EBE">
              <w:rPr>
                <w:szCs w:val="22"/>
              </w:rPr>
              <w:t>infuzuojama</w:t>
            </w:r>
            <w:proofErr w:type="spellEnd"/>
            <w:r w:rsidRPr="001D5EBE">
              <w:rPr>
                <w:szCs w:val="22"/>
              </w:rPr>
              <w:t xml:space="preserve"> į veną po 0,5–1 g kas 24–48 valandas, kol paciento būklė stabilizuojasi, tačiau tokiomis dozėmis gydymas turėtų būti tęsiamas ne ilgiau kaip 48</w:t>
            </w:r>
            <w:r w:rsidRPr="001D5EBE">
              <w:rPr>
                <w:szCs w:val="22"/>
              </w:rPr>
              <w:noBreakHyphen/>
              <w:t>72 valandas.</w:t>
            </w:r>
          </w:p>
        </w:tc>
      </w:tr>
      <w:tr w:rsidR="003F33B8" w:rsidRPr="00272705" w14:paraId="08AA4A4A" w14:textId="77777777" w:rsidTr="00C8743D">
        <w:tc>
          <w:tcPr>
            <w:tcW w:w="2943" w:type="dxa"/>
          </w:tcPr>
          <w:p w14:paraId="45BDEFAD" w14:textId="77777777" w:rsidR="003F33B8" w:rsidRPr="001D5EBE" w:rsidRDefault="003F33B8" w:rsidP="00584BB5">
            <w:pPr>
              <w:pStyle w:val="Pagrindinistekstas"/>
              <w:spacing w:after="0"/>
              <w:rPr>
                <w:szCs w:val="22"/>
              </w:rPr>
            </w:pPr>
            <w:r w:rsidRPr="001D5EBE">
              <w:rPr>
                <w:szCs w:val="22"/>
              </w:rPr>
              <w:t>Anafilaksinė reakcija</w:t>
            </w:r>
          </w:p>
        </w:tc>
        <w:tc>
          <w:tcPr>
            <w:tcW w:w="6146" w:type="dxa"/>
          </w:tcPr>
          <w:p w14:paraId="22A0AA19" w14:textId="77777777" w:rsidR="003F33B8" w:rsidRPr="001D5EBE" w:rsidRDefault="003F33B8" w:rsidP="00E23965">
            <w:pPr>
              <w:pStyle w:val="Pagrindinistekstas"/>
              <w:spacing w:after="0"/>
              <w:rPr>
                <w:szCs w:val="22"/>
              </w:rPr>
            </w:pPr>
            <w:r w:rsidRPr="001D5EBE">
              <w:rPr>
                <w:szCs w:val="22"/>
              </w:rPr>
              <w:t xml:space="preserve">Esant anafilaksinėms reakcijoms, pirmiausia turi būti </w:t>
            </w:r>
            <w:r w:rsidR="00E23965">
              <w:rPr>
                <w:szCs w:val="22"/>
              </w:rPr>
              <w:t>leidžiamas</w:t>
            </w:r>
            <w:r w:rsidR="00E23965" w:rsidRPr="001D5EBE">
              <w:rPr>
                <w:szCs w:val="22"/>
              </w:rPr>
              <w:t xml:space="preserve"> </w:t>
            </w:r>
            <w:r w:rsidRPr="001D5EBE">
              <w:rPr>
                <w:szCs w:val="22"/>
              </w:rPr>
              <w:t xml:space="preserve">adrenalinas ar </w:t>
            </w:r>
            <w:proofErr w:type="spellStart"/>
            <w:r w:rsidRPr="001D5EBE">
              <w:rPr>
                <w:szCs w:val="22"/>
              </w:rPr>
              <w:t>noradrenalinas</w:t>
            </w:r>
            <w:proofErr w:type="spellEnd"/>
            <w:r w:rsidRPr="001D5EBE">
              <w:rPr>
                <w:szCs w:val="22"/>
              </w:rPr>
              <w:t xml:space="preserve">, po to </w:t>
            </w:r>
            <w:r w:rsidR="00E23965">
              <w:rPr>
                <w:szCs w:val="22"/>
              </w:rPr>
              <w:t>leidžiamas</w:t>
            </w:r>
            <w:r w:rsidR="00E23965" w:rsidRPr="001D5EBE">
              <w:rPr>
                <w:szCs w:val="22"/>
              </w:rPr>
              <w:t xml:space="preserve"> </w:t>
            </w:r>
            <w:proofErr w:type="spellStart"/>
            <w:r w:rsidRPr="001D5EBE">
              <w:rPr>
                <w:szCs w:val="22"/>
              </w:rPr>
              <w:t>metilprednizolonas</w:t>
            </w:r>
            <w:proofErr w:type="spellEnd"/>
            <w:r w:rsidRPr="001D5EBE">
              <w:rPr>
                <w:szCs w:val="22"/>
              </w:rPr>
              <w:t>.</w:t>
            </w:r>
          </w:p>
        </w:tc>
      </w:tr>
      <w:tr w:rsidR="003F33B8" w:rsidRPr="0014202E" w14:paraId="3CDFD532" w14:textId="77777777" w:rsidTr="00C8743D">
        <w:tc>
          <w:tcPr>
            <w:tcW w:w="2943" w:type="dxa"/>
          </w:tcPr>
          <w:p w14:paraId="07F0BE1F" w14:textId="77777777" w:rsidR="003F33B8" w:rsidRPr="001D5EBE" w:rsidRDefault="003F33B8" w:rsidP="00584BB5">
            <w:pPr>
              <w:pStyle w:val="Pagrindinistekstas"/>
              <w:spacing w:after="0"/>
              <w:rPr>
                <w:szCs w:val="22"/>
              </w:rPr>
            </w:pPr>
            <w:r w:rsidRPr="001D5EBE">
              <w:rPr>
                <w:szCs w:val="22"/>
              </w:rPr>
              <w:t>Kaip papildomas gydymas prie kitų indikacijų.</w:t>
            </w:r>
          </w:p>
        </w:tc>
        <w:tc>
          <w:tcPr>
            <w:tcW w:w="6146" w:type="dxa"/>
          </w:tcPr>
          <w:p w14:paraId="39BA5872" w14:textId="77777777" w:rsidR="003F33B8" w:rsidRPr="001D5EBE" w:rsidRDefault="003F33B8" w:rsidP="00584BB5">
            <w:pPr>
              <w:pStyle w:val="Pagrindinistekstas"/>
              <w:spacing w:after="0"/>
              <w:rPr>
                <w:szCs w:val="22"/>
              </w:rPr>
            </w:pPr>
            <w:r w:rsidRPr="001D5EBE">
              <w:rPr>
                <w:szCs w:val="22"/>
              </w:rPr>
              <w:t>Pradinė dozė nuo 10 iki 500 mg, priklausomai nuo gydomos ligos ir būklės. Trumpalaikiam sunkių, ūminių ligų gydymui gali reikėti ir didesnių šio vaistinio preparato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tc>
      </w:tr>
    </w:tbl>
    <w:p w14:paraId="7202B973" w14:textId="77777777" w:rsidR="003F33B8" w:rsidRPr="001D5EBE" w:rsidRDefault="003F33B8" w:rsidP="003F33B8">
      <w:pPr>
        <w:pStyle w:val="Pagrindinistekstas"/>
        <w:spacing w:after="0"/>
        <w:rPr>
          <w:szCs w:val="22"/>
        </w:rPr>
      </w:pPr>
    </w:p>
    <w:p w14:paraId="6D916C42" w14:textId="77777777" w:rsidR="003F33B8" w:rsidRPr="001D5EBE" w:rsidRDefault="003F33B8" w:rsidP="003F33B8">
      <w:pPr>
        <w:pStyle w:val="prastasiniatinklio"/>
        <w:spacing w:before="0" w:beforeAutospacing="0" w:after="0"/>
        <w:rPr>
          <w:sz w:val="22"/>
          <w:szCs w:val="22"/>
          <w:lang w:val="lt-LT"/>
        </w:rPr>
      </w:pPr>
      <w:r w:rsidRPr="001D5EBE">
        <w:rPr>
          <w:sz w:val="22"/>
          <w:szCs w:val="22"/>
          <w:lang w:val="lt-LT"/>
        </w:rPr>
        <w:t>Smegenų edemos atveju, kortikosteroidai sumažina arba apsaugo nuo smegenų edemos, susijusios su smegenų navikais (pirminiais arba metastazėmis).</w:t>
      </w:r>
    </w:p>
    <w:p w14:paraId="7EF30700" w14:textId="77777777" w:rsidR="003F33B8" w:rsidRPr="001D5EBE" w:rsidRDefault="003F33B8" w:rsidP="003F33B8">
      <w:pPr>
        <w:pStyle w:val="prastasiniatinklio"/>
        <w:spacing w:before="0" w:beforeAutospacing="0" w:after="0"/>
        <w:rPr>
          <w:sz w:val="22"/>
          <w:szCs w:val="22"/>
          <w:lang w:val="lt-LT"/>
        </w:rPr>
      </w:pPr>
    </w:p>
    <w:p w14:paraId="4C6081E9" w14:textId="77777777" w:rsidR="003F33B8" w:rsidRPr="001D5EBE" w:rsidRDefault="003F33B8" w:rsidP="003F33B8">
      <w:pPr>
        <w:pStyle w:val="prastasiniatinklio"/>
        <w:spacing w:before="0" w:beforeAutospacing="0" w:after="0"/>
        <w:rPr>
          <w:sz w:val="22"/>
          <w:szCs w:val="22"/>
          <w:lang w:val="lt-LT"/>
        </w:rPr>
      </w:pPr>
      <w:r w:rsidRPr="001D5EBE">
        <w:rPr>
          <w:sz w:val="22"/>
          <w:szCs w:val="22"/>
          <w:lang w:val="lt-LT"/>
        </w:rPr>
        <w:t xml:space="preserve">Pacientams, sergantiems dėl naviko atsiradusia edema, svarbu kortikosteroidų dozę mažinti laipsniškai, kad nepasireikštų </w:t>
      </w:r>
      <w:proofErr w:type="spellStart"/>
      <w:r w:rsidRPr="001D5EBE">
        <w:rPr>
          <w:sz w:val="22"/>
          <w:szCs w:val="22"/>
          <w:lang w:val="lt-LT"/>
        </w:rPr>
        <w:t>atoveiksminis</w:t>
      </w:r>
      <w:proofErr w:type="spellEnd"/>
      <w:r w:rsidRPr="001D5EBE">
        <w:rPr>
          <w:sz w:val="22"/>
          <w:szCs w:val="22"/>
          <w:lang w:val="lt-LT"/>
        </w:rPr>
        <w:t xml:space="preserve"> </w:t>
      </w:r>
      <w:proofErr w:type="spellStart"/>
      <w:r w:rsidRPr="001D5EBE">
        <w:rPr>
          <w:sz w:val="22"/>
          <w:szCs w:val="22"/>
          <w:lang w:val="lt-LT"/>
        </w:rPr>
        <w:t>intrakranialinio</w:t>
      </w:r>
      <w:proofErr w:type="spellEnd"/>
      <w:r w:rsidRPr="001D5EBE">
        <w:rPr>
          <w:sz w:val="22"/>
          <w:szCs w:val="22"/>
          <w:lang w:val="lt-LT"/>
        </w:rPr>
        <w:t xml:space="preserve"> spaudimo padidėjimas. Jeigu sumažinus dozę pasireiškia smegenų patinimas (nesant </w:t>
      </w:r>
      <w:proofErr w:type="spellStart"/>
      <w:r w:rsidRPr="001D5EBE">
        <w:rPr>
          <w:sz w:val="22"/>
          <w:szCs w:val="22"/>
          <w:lang w:val="lt-LT"/>
        </w:rPr>
        <w:t>intrakranijinio</w:t>
      </w:r>
      <w:proofErr w:type="spellEnd"/>
      <w:r w:rsidRPr="001D5EBE">
        <w:rPr>
          <w:sz w:val="22"/>
          <w:szCs w:val="22"/>
          <w:lang w:val="lt-LT"/>
        </w:rPr>
        <w:t xml:space="preserve"> kraujavimo), reikia vėl pradėti </w:t>
      </w:r>
      <w:proofErr w:type="spellStart"/>
      <w:r w:rsidRPr="001D5EBE">
        <w:rPr>
          <w:sz w:val="22"/>
          <w:szCs w:val="22"/>
          <w:lang w:val="lt-LT"/>
        </w:rPr>
        <w:t>parenteraliai</w:t>
      </w:r>
      <w:proofErr w:type="spellEnd"/>
      <w:r w:rsidRPr="001D5EBE">
        <w:rPr>
          <w:sz w:val="22"/>
          <w:szCs w:val="22"/>
          <w:lang w:val="lt-LT"/>
        </w:rPr>
        <w:t xml:space="preserve"> vartoti didesnes dozes ir padidinti dozavimo dažn</w:t>
      </w:r>
      <w:r w:rsidR="00E23965">
        <w:rPr>
          <w:sz w:val="22"/>
          <w:szCs w:val="22"/>
          <w:lang w:val="lt-LT"/>
        </w:rPr>
        <w:t>į</w:t>
      </w:r>
      <w:r w:rsidRPr="001D5EBE">
        <w:rPr>
          <w:sz w:val="22"/>
          <w:szCs w:val="22"/>
          <w:lang w:val="lt-LT"/>
        </w:rPr>
        <w:t>. Kai kuriais navikais sergantiems pacientams, gali tekti vartoti geriamuosius kortikosteroidus kelis mėnesius arba visą gyvenimą. Panašių arba didesnių dozių vartojimas gali palengvinti edemos kontrolę spindulinio gydymo metu.</w:t>
      </w:r>
    </w:p>
    <w:p w14:paraId="2D64ABAD" w14:textId="77777777" w:rsidR="003F33B8" w:rsidRPr="001D5EBE" w:rsidRDefault="003F33B8" w:rsidP="003F33B8">
      <w:pPr>
        <w:pStyle w:val="prastasiniatinklio"/>
        <w:spacing w:before="0" w:beforeAutospacing="0" w:after="0"/>
        <w:rPr>
          <w:sz w:val="22"/>
          <w:szCs w:val="22"/>
          <w:lang w:val="lt-LT"/>
        </w:rPr>
      </w:pPr>
    </w:p>
    <w:p w14:paraId="0A1AD222" w14:textId="77777777" w:rsidR="003F33B8" w:rsidRPr="001D5EBE" w:rsidRDefault="003F33B8" w:rsidP="003F33B8">
      <w:pPr>
        <w:pStyle w:val="prastasiniatinklio"/>
        <w:spacing w:before="0" w:beforeAutospacing="0" w:after="0"/>
        <w:rPr>
          <w:sz w:val="22"/>
          <w:szCs w:val="22"/>
          <w:lang w:val="lt-LT"/>
        </w:rPr>
      </w:pPr>
      <w:r w:rsidRPr="001D5EBE">
        <w:rPr>
          <w:sz w:val="22"/>
          <w:szCs w:val="22"/>
          <w:lang w:val="lt-LT"/>
        </w:rPr>
        <w:t>Edemų, atsiradusių dėl smegenų naviko, gydymui rekomenduojamos toliau išvardyt</w:t>
      </w:r>
      <w:r w:rsidR="0086735C" w:rsidRPr="001D5EBE">
        <w:rPr>
          <w:sz w:val="22"/>
          <w:szCs w:val="22"/>
          <w:lang w:val="lt-LT"/>
        </w:rPr>
        <w:t>os</w:t>
      </w:r>
      <w:r w:rsidRPr="001D5EBE">
        <w:rPr>
          <w:sz w:val="22"/>
          <w:szCs w:val="22"/>
          <w:lang w:val="lt-LT"/>
        </w:rPr>
        <w:t xml:space="preserve"> dozavimo schemos:</w:t>
      </w: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8"/>
        <w:gridCol w:w="1678"/>
        <w:gridCol w:w="1702"/>
        <w:gridCol w:w="1729"/>
        <w:gridCol w:w="1740"/>
      </w:tblGrid>
      <w:tr w:rsidR="003F33B8" w:rsidRPr="001D5EBE" w14:paraId="64261100" w14:textId="77777777" w:rsidTr="00C8743D">
        <w:trPr>
          <w:tblCellSpacing w:w="0" w:type="dxa"/>
        </w:trPr>
        <w:tc>
          <w:tcPr>
            <w:tcW w:w="1788" w:type="dxa"/>
          </w:tcPr>
          <w:p w14:paraId="41FC245D"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Schema A (1)</w:t>
            </w:r>
          </w:p>
        </w:tc>
        <w:tc>
          <w:tcPr>
            <w:tcW w:w="1710" w:type="dxa"/>
          </w:tcPr>
          <w:p w14:paraId="010BDE9A"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Dozė (mg)</w:t>
            </w:r>
          </w:p>
        </w:tc>
        <w:tc>
          <w:tcPr>
            <w:tcW w:w="1722" w:type="dxa"/>
          </w:tcPr>
          <w:p w14:paraId="3F67731E"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Vartojimo būdas</w:t>
            </w:r>
          </w:p>
        </w:tc>
        <w:tc>
          <w:tcPr>
            <w:tcW w:w="1746" w:type="dxa"/>
          </w:tcPr>
          <w:p w14:paraId="7EB81013"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Intervalas</w:t>
            </w:r>
          </w:p>
          <w:p w14:paraId="764DADD2" w14:textId="77777777" w:rsidR="003F33B8" w:rsidRPr="00A5242A" w:rsidRDefault="003F33B8" w:rsidP="00584BB5">
            <w:pPr>
              <w:pStyle w:val="prastasiniatinklio"/>
              <w:spacing w:before="0" w:beforeAutospacing="0" w:after="0"/>
              <w:rPr>
                <w:sz w:val="22"/>
                <w:szCs w:val="22"/>
                <w:u w:val="single"/>
                <w:lang w:val="lt-LT"/>
              </w:rPr>
            </w:pPr>
            <w:r w:rsidRPr="00A5242A">
              <w:rPr>
                <w:sz w:val="22"/>
                <w:szCs w:val="22"/>
                <w:u w:val="single"/>
                <w:lang w:val="lt-LT"/>
              </w:rPr>
              <w:t>valandomis</w:t>
            </w:r>
          </w:p>
        </w:tc>
        <w:tc>
          <w:tcPr>
            <w:tcW w:w="1765" w:type="dxa"/>
          </w:tcPr>
          <w:p w14:paraId="1D125A7C"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Trukmė</w:t>
            </w:r>
          </w:p>
        </w:tc>
      </w:tr>
      <w:tr w:rsidR="003F33B8" w:rsidRPr="001D5EBE" w14:paraId="78BBB953" w14:textId="77777777" w:rsidTr="00C8743D">
        <w:trPr>
          <w:tblCellSpacing w:w="0" w:type="dxa"/>
        </w:trPr>
        <w:tc>
          <w:tcPr>
            <w:tcW w:w="1788" w:type="dxa"/>
          </w:tcPr>
          <w:p w14:paraId="2367118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Prieš operaciją</w:t>
            </w:r>
          </w:p>
        </w:tc>
        <w:tc>
          <w:tcPr>
            <w:tcW w:w="1710" w:type="dxa"/>
          </w:tcPr>
          <w:p w14:paraId="4419454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20</w:t>
            </w:r>
          </w:p>
        </w:tc>
        <w:tc>
          <w:tcPr>
            <w:tcW w:w="1722" w:type="dxa"/>
          </w:tcPr>
          <w:p w14:paraId="1883CD0D"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135E22C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r w:rsidRPr="001D5EBE">
              <w:rPr>
                <w:sz w:val="22"/>
                <w:szCs w:val="22"/>
                <w:lang w:val="lt-LT"/>
              </w:rPr>
              <w:noBreakHyphen/>
              <w:t>6</w:t>
            </w:r>
          </w:p>
        </w:tc>
        <w:tc>
          <w:tcPr>
            <w:tcW w:w="1765" w:type="dxa"/>
          </w:tcPr>
          <w:p w14:paraId="1D69B2F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7B048DAA" w14:textId="77777777" w:rsidR="003F33B8" w:rsidRPr="001D5EBE" w:rsidRDefault="003F33B8" w:rsidP="00584BB5">
            <w:pPr>
              <w:spacing w:line="240" w:lineRule="auto"/>
              <w:rPr>
                <w:color w:val="000000"/>
                <w:lang w:val="lt-LT"/>
              </w:rPr>
            </w:pPr>
            <w:r w:rsidRPr="001D5EBE">
              <w:rPr>
                <w:color w:val="000000"/>
                <w:lang w:val="lt-LT"/>
              </w:rPr>
              <w:t> </w:t>
            </w:r>
          </w:p>
        </w:tc>
      </w:tr>
      <w:tr w:rsidR="003F33B8" w:rsidRPr="001D5EBE" w14:paraId="3170DCD9" w14:textId="77777777" w:rsidTr="00C8743D">
        <w:trPr>
          <w:tblCellSpacing w:w="0" w:type="dxa"/>
        </w:trPr>
        <w:tc>
          <w:tcPr>
            <w:tcW w:w="1788" w:type="dxa"/>
          </w:tcPr>
          <w:p w14:paraId="54C1AE0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Operacijos metu</w:t>
            </w:r>
          </w:p>
        </w:tc>
        <w:tc>
          <w:tcPr>
            <w:tcW w:w="1710" w:type="dxa"/>
          </w:tcPr>
          <w:p w14:paraId="253ED6C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nuo 20 iki 40</w:t>
            </w:r>
          </w:p>
        </w:tc>
        <w:tc>
          <w:tcPr>
            <w:tcW w:w="1722" w:type="dxa"/>
          </w:tcPr>
          <w:p w14:paraId="76C36B82"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i.v</w:t>
            </w:r>
            <w:proofErr w:type="spellEnd"/>
            <w:r w:rsidRPr="000C101F">
              <w:rPr>
                <w:i/>
                <w:sz w:val="22"/>
                <w:szCs w:val="22"/>
                <w:lang w:val="lt-LT"/>
              </w:rPr>
              <w:t>.</w:t>
            </w:r>
          </w:p>
        </w:tc>
        <w:tc>
          <w:tcPr>
            <w:tcW w:w="1746" w:type="dxa"/>
          </w:tcPr>
          <w:p w14:paraId="42004FCA"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kas valandą</w:t>
            </w:r>
          </w:p>
        </w:tc>
        <w:tc>
          <w:tcPr>
            <w:tcW w:w="1765" w:type="dxa"/>
          </w:tcPr>
          <w:p w14:paraId="2101D21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5DE4E6A3" w14:textId="77777777" w:rsidR="003F33B8" w:rsidRPr="001D5EBE" w:rsidRDefault="003F33B8" w:rsidP="00584BB5">
            <w:pPr>
              <w:spacing w:line="240" w:lineRule="auto"/>
              <w:rPr>
                <w:color w:val="000000"/>
                <w:lang w:val="lt-LT"/>
              </w:rPr>
            </w:pPr>
            <w:r w:rsidRPr="001D5EBE">
              <w:rPr>
                <w:color w:val="000000"/>
                <w:lang w:val="lt-LT"/>
              </w:rPr>
              <w:t> </w:t>
            </w:r>
          </w:p>
        </w:tc>
      </w:tr>
      <w:tr w:rsidR="003F33B8" w:rsidRPr="001D5EBE" w14:paraId="05A746AE" w14:textId="77777777" w:rsidTr="00C8743D">
        <w:trPr>
          <w:tblCellSpacing w:w="0" w:type="dxa"/>
        </w:trPr>
        <w:tc>
          <w:tcPr>
            <w:tcW w:w="1788" w:type="dxa"/>
          </w:tcPr>
          <w:p w14:paraId="51D53E4F"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Po operacijos</w:t>
            </w:r>
          </w:p>
        </w:tc>
        <w:tc>
          <w:tcPr>
            <w:tcW w:w="1710" w:type="dxa"/>
          </w:tcPr>
          <w:p w14:paraId="7CC42F7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20</w:t>
            </w:r>
          </w:p>
        </w:tc>
        <w:tc>
          <w:tcPr>
            <w:tcW w:w="1722" w:type="dxa"/>
          </w:tcPr>
          <w:p w14:paraId="0D5EE9F7"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0D425F82"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p>
        </w:tc>
        <w:tc>
          <w:tcPr>
            <w:tcW w:w="1765" w:type="dxa"/>
          </w:tcPr>
          <w:p w14:paraId="4656A93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0640A2A0" w14:textId="77777777" w:rsidTr="00C8743D">
        <w:trPr>
          <w:tblCellSpacing w:w="0" w:type="dxa"/>
        </w:trPr>
        <w:tc>
          <w:tcPr>
            <w:tcW w:w="1788" w:type="dxa"/>
          </w:tcPr>
          <w:p w14:paraId="7D4F398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635FED34"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721BBE07"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16</w:t>
            </w:r>
          </w:p>
        </w:tc>
        <w:tc>
          <w:tcPr>
            <w:tcW w:w="1722" w:type="dxa"/>
          </w:tcPr>
          <w:p w14:paraId="2D560017"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574E3B6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p>
        </w:tc>
        <w:tc>
          <w:tcPr>
            <w:tcW w:w="1765" w:type="dxa"/>
          </w:tcPr>
          <w:p w14:paraId="6F4A08CD"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74FF0EC0" w14:textId="77777777" w:rsidTr="00C8743D">
        <w:trPr>
          <w:tblCellSpacing w:w="0" w:type="dxa"/>
        </w:trPr>
        <w:tc>
          <w:tcPr>
            <w:tcW w:w="1788" w:type="dxa"/>
          </w:tcPr>
          <w:p w14:paraId="78AB9B3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6A6F0EBB"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4195162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12</w:t>
            </w:r>
          </w:p>
        </w:tc>
        <w:tc>
          <w:tcPr>
            <w:tcW w:w="1722" w:type="dxa"/>
          </w:tcPr>
          <w:p w14:paraId="0F7F46BC"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20C9641A"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p>
        </w:tc>
        <w:tc>
          <w:tcPr>
            <w:tcW w:w="1765" w:type="dxa"/>
          </w:tcPr>
          <w:p w14:paraId="6912100F"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2A6F14FE" w14:textId="77777777" w:rsidTr="00C8743D">
        <w:trPr>
          <w:tblCellSpacing w:w="0" w:type="dxa"/>
        </w:trPr>
        <w:tc>
          <w:tcPr>
            <w:tcW w:w="1788" w:type="dxa"/>
          </w:tcPr>
          <w:p w14:paraId="77E5CCE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45F22B75"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7679FF3E"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8</w:t>
            </w:r>
          </w:p>
        </w:tc>
        <w:tc>
          <w:tcPr>
            <w:tcW w:w="1722" w:type="dxa"/>
          </w:tcPr>
          <w:p w14:paraId="4141E243"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1791FE2F"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p>
        </w:tc>
        <w:tc>
          <w:tcPr>
            <w:tcW w:w="1765" w:type="dxa"/>
          </w:tcPr>
          <w:p w14:paraId="56D0FC62"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2050EF63" w14:textId="77777777" w:rsidTr="00C8743D">
        <w:trPr>
          <w:tblCellSpacing w:w="0" w:type="dxa"/>
        </w:trPr>
        <w:tc>
          <w:tcPr>
            <w:tcW w:w="1788" w:type="dxa"/>
          </w:tcPr>
          <w:p w14:paraId="02852281"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48895441"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57720D98"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w:t>
            </w:r>
          </w:p>
        </w:tc>
        <w:tc>
          <w:tcPr>
            <w:tcW w:w="1722" w:type="dxa"/>
          </w:tcPr>
          <w:p w14:paraId="4D8051BD"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4ECCB17A"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w:t>
            </w:r>
          </w:p>
        </w:tc>
        <w:tc>
          <w:tcPr>
            <w:tcW w:w="1765" w:type="dxa"/>
          </w:tcPr>
          <w:p w14:paraId="1DC16BCA"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63384B50" w14:textId="77777777" w:rsidTr="00C8743D">
        <w:trPr>
          <w:tblCellSpacing w:w="0" w:type="dxa"/>
        </w:trPr>
        <w:tc>
          <w:tcPr>
            <w:tcW w:w="1788" w:type="dxa"/>
          </w:tcPr>
          <w:p w14:paraId="5BFC7BF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002D5648"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6653B290"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w:t>
            </w:r>
          </w:p>
        </w:tc>
        <w:tc>
          <w:tcPr>
            <w:tcW w:w="1722" w:type="dxa"/>
          </w:tcPr>
          <w:p w14:paraId="33F6372D"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07AF7AB0"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6</w:t>
            </w:r>
          </w:p>
        </w:tc>
        <w:tc>
          <w:tcPr>
            <w:tcW w:w="1765" w:type="dxa"/>
          </w:tcPr>
          <w:p w14:paraId="72027465"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r w:rsidR="003F33B8" w:rsidRPr="001D5EBE" w14:paraId="32393237" w14:textId="77777777" w:rsidTr="00C8743D">
        <w:trPr>
          <w:tblCellSpacing w:w="0" w:type="dxa"/>
        </w:trPr>
        <w:tc>
          <w:tcPr>
            <w:tcW w:w="1788" w:type="dxa"/>
          </w:tcPr>
          <w:p w14:paraId="01AE296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11766EF8" w14:textId="77777777" w:rsidR="003F33B8" w:rsidRPr="001D5EBE" w:rsidRDefault="003F33B8" w:rsidP="00584BB5">
            <w:pPr>
              <w:spacing w:line="240" w:lineRule="auto"/>
              <w:rPr>
                <w:color w:val="000000"/>
                <w:lang w:val="lt-LT"/>
              </w:rPr>
            </w:pPr>
            <w:r w:rsidRPr="001D5EBE">
              <w:rPr>
                <w:color w:val="000000"/>
                <w:lang w:val="lt-LT"/>
              </w:rPr>
              <w:t> </w:t>
            </w:r>
          </w:p>
        </w:tc>
        <w:tc>
          <w:tcPr>
            <w:tcW w:w="1710" w:type="dxa"/>
          </w:tcPr>
          <w:p w14:paraId="078BD5D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w:t>
            </w:r>
          </w:p>
        </w:tc>
        <w:tc>
          <w:tcPr>
            <w:tcW w:w="1722" w:type="dxa"/>
          </w:tcPr>
          <w:p w14:paraId="1A96ACD6"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21715587"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12</w:t>
            </w:r>
          </w:p>
        </w:tc>
        <w:tc>
          <w:tcPr>
            <w:tcW w:w="1765" w:type="dxa"/>
          </w:tcPr>
          <w:p w14:paraId="13EACFF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24 valandos</w:t>
            </w:r>
          </w:p>
        </w:tc>
      </w:tr>
    </w:tbl>
    <w:p w14:paraId="574828A4" w14:textId="77777777" w:rsidR="003F33B8" w:rsidRPr="001D5EBE" w:rsidRDefault="003F33B8" w:rsidP="003F33B8">
      <w:pPr>
        <w:spacing w:line="240" w:lineRule="auto"/>
        <w:rPr>
          <w:lang w:val="lt-LT"/>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7"/>
        <w:gridCol w:w="1679"/>
        <w:gridCol w:w="1703"/>
        <w:gridCol w:w="1729"/>
        <w:gridCol w:w="1739"/>
      </w:tblGrid>
      <w:tr w:rsidR="003F33B8" w:rsidRPr="001D5EBE" w14:paraId="559A6B78" w14:textId="77777777" w:rsidTr="00C8743D">
        <w:trPr>
          <w:tblCellSpacing w:w="0" w:type="dxa"/>
        </w:trPr>
        <w:tc>
          <w:tcPr>
            <w:tcW w:w="1788" w:type="dxa"/>
          </w:tcPr>
          <w:p w14:paraId="064C126B"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Schema B (2)</w:t>
            </w:r>
          </w:p>
        </w:tc>
        <w:tc>
          <w:tcPr>
            <w:tcW w:w="1710" w:type="dxa"/>
          </w:tcPr>
          <w:p w14:paraId="2F6B497F"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Dozė (mg)</w:t>
            </w:r>
          </w:p>
        </w:tc>
        <w:tc>
          <w:tcPr>
            <w:tcW w:w="1722" w:type="dxa"/>
          </w:tcPr>
          <w:p w14:paraId="41EF5093"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Vartojimo būdas</w:t>
            </w:r>
          </w:p>
        </w:tc>
        <w:tc>
          <w:tcPr>
            <w:tcW w:w="1746" w:type="dxa"/>
          </w:tcPr>
          <w:p w14:paraId="14F2DD2A"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Intervalas</w:t>
            </w:r>
          </w:p>
          <w:p w14:paraId="441B4BDB" w14:textId="77777777" w:rsidR="003F33B8" w:rsidRPr="00A5242A" w:rsidRDefault="003F33B8" w:rsidP="00584BB5">
            <w:pPr>
              <w:pStyle w:val="prastasiniatinklio"/>
              <w:spacing w:before="0" w:beforeAutospacing="0" w:after="0"/>
              <w:rPr>
                <w:sz w:val="22"/>
                <w:szCs w:val="22"/>
                <w:u w:val="single"/>
                <w:lang w:val="lt-LT"/>
              </w:rPr>
            </w:pPr>
            <w:r w:rsidRPr="00A5242A">
              <w:rPr>
                <w:sz w:val="22"/>
                <w:szCs w:val="22"/>
                <w:u w:val="single"/>
                <w:lang w:val="lt-LT"/>
              </w:rPr>
              <w:t>valandomis</w:t>
            </w:r>
          </w:p>
        </w:tc>
        <w:tc>
          <w:tcPr>
            <w:tcW w:w="1765" w:type="dxa"/>
          </w:tcPr>
          <w:p w14:paraId="6639E1DB" w14:textId="77777777" w:rsidR="003F33B8" w:rsidRPr="001D5EBE" w:rsidRDefault="003F33B8" w:rsidP="00584BB5">
            <w:pPr>
              <w:pStyle w:val="prastasiniatinklio"/>
              <w:spacing w:before="0" w:beforeAutospacing="0" w:after="0"/>
              <w:rPr>
                <w:sz w:val="22"/>
                <w:szCs w:val="22"/>
                <w:lang w:val="lt-LT"/>
              </w:rPr>
            </w:pPr>
            <w:r w:rsidRPr="001D5EBE">
              <w:rPr>
                <w:sz w:val="22"/>
                <w:szCs w:val="22"/>
                <w:u w:val="single"/>
                <w:lang w:val="lt-LT"/>
              </w:rPr>
              <w:t>Trukmė</w:t>
            </w:r>
          </w:p>
        </w:tc>
      </w:tr>
      <w:tr w:rsidR="003F33B8" w:rsidRPr="001D5EBE" w14:paraId="380AE08B" w14:textId="77777777" w:rsidTr="00C8743D">
        <w:trPr>
          <w:tblCellSpacing w:w="0" w:type="dxa"/>
        </w:trPr>
        <w:tc>
          <w:tcPr>
            <w:tcW w:w="1788" w:type="dxa"/>
          </w:tcPr>
          <w:p w14:paraId="2019BD6D"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Prieš operaciją</w:t>
            </w:r>
          </w:p>
        </w:tc>
        <w:tc>
          <w:tcPr>
            <w:tcW w:w="1710" w:type="dxa"/>
          </w:tcPr>
          <w:p w14:paraId="1684C87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40</w:t>
            </w:r>
          </w:p>
        </w:tc>
        <w:tc>
          <w:tcPr>
            <w:tcW w:w="1722" w:type="dxa"/>
          </w:tcPr>
          <w:p w14:paraId="7F0BCDE7"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02E7121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6</w:t>
            </w:r>
          </w:p>
        </w:tc>
        <w:tc>
          <w:tcPr>
            <w:tcW w:w="1765" w:type="dxa"/>
          </w:tcPr>
          <w:p w14:paraId="75AE3A98"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2-3</w:t>
            </w:r>
          </w:p>
        </w:tc>
      </w:tr>
      <w:tr w:rsidR="003F33B8" w:rsidRPr="001D5EBE" w14:paraId="4261D1A6" w14:textId="77777777" w:rsidTr="00C8743D">
        <w:trPr>
          <w:tblCellSpacing w:w="0" w:type="dxa"/>
        </w:trPr>
        <w:tc>
          <w:tcPr>
            <w:tcW w:w="1788" w:type="dxa"/>
          </w:tcPr>
          <w:p w14:paraId="145500B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Po operacijos</w:t>
            </w:r>
          </w:p>
        </w:tc>
        <w:tc>
          <w:tcPr>
            <w:tcW w:w="1710" w:type="dxa"/>
          </w:tcPr>
          <w:p w14:paraId="1C08A27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40</w:t>
            </w:r>
          </w:p>
        </w:tc>
        <w:tc>
          <w:tcPr>
            <w:tcW w:w="1722" w:type="dxa"/>
          </w:tcPr>
          <w:p w14:paraId="124D044D" w14:textId="77777777" w:rsidR="003F33B8" w:rsidRPr="000C101F" w:rsidRDefault="003F33B8" w:rsidP="00584BB5">
            <w:pPr>
              <w:pStyle w:val="prastasiniatinklio"/>
              <w:spacing w:before="0" w:beforeAutospacing="0" w:after="0"/>
              <w:rPr>
                <w:i/>
                <w:sz w:val="22"/>
                <w:szCs w:val="22"/>
                <w:lang w:val="lt-LT"/>
              </w:rPr>
            </w:pPr>
            <w:proofErr w:type="spellStart"/>
            <w:r w:rsidRPr="000C101F">
              <w:rPr>
                <w:i/>
                <w:sz w:val="22"/>
                <w:szCs w:val="22"/>
                <w:lang w:val="lt-LT"/>
              </w:rPr>
              <w:t>i.m</w:t>
            </w:r>
            <w:proofErr w:type="spellEnd"/>
            <w:r w:rsidRPr="000C101F">
              <w:rPr>
                <w:i/>
                <w:sz w:val="22"/>
                <w:szCs w:val="22"/>
                <w:lang w:val="lt-LT"/>
              </w:rPr>
              <w:t>.</w:t>
            </w:r>
          </w:p>
        </w:tc>
        <w:tc>
          <w:tcPr>
            <w:tcW w:w="1746" w:type="dxa"/>
          </w:tcPr>
          <w:p w14:paraId="2FAAAE61"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6</w:t>
            </w:r>
          </w:p>
        </w:tc>
        <w:tc>
          <w:tcPr>
            <w:tcW w:w="1765" w:type="dxa"/>
          </w:tcPr>
          <w:p w14:paraId="41F07FC0"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3-5</w:t>
            </w:r>
          </w:p>
        </w:tc>
      </w:tr>
      <w:tr w:rsidR="003F33B8" w:rsidRPr="001D5EBE" w14:paraId="60D08256" w14:textId="77777777" w:rsidTr="00C8743D">
        <w:trPr>
          <w:tblCellSpacing w:w="0" w:type="dxa"/>
        </w:trPr>
        <w:tc>
          <w:tcPr>
            <w:tcW w:w="1788" w:type="dxa"/>
          </w:tcPr>
          <w:p w14:paraId="3DB4B28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5831F47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10" w:type="dxa"/>
          </w:tcPr>
          <w:p w14:paraId="0F7BF94F"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20</w:t>
            </w:r>
          </w:p>
        </w:tc>
        <w:tc>
          <w:tcPr>
            <w:tcW w:w="1722" w:type="dxa"/>
          </w:tcPr>
          <w:p w14:paraId="22180625"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Vartoti per burną</w:t>
            </w:r>
          </w:p>
        </w:tc>
        <w:tc>
          <w:tcPr>
            <w:tcW w:w="1746" w:type="dxa"/>
          </w:tcPr>
          <w:p w14:paraId="0EB086FF"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6</w:t>
            </w:r>
          </w:p>
        </w:tc>
        <w:tc>
          <w:tcPr>
            <w:tcW w:w="1765" w:type="dxa"/>
          </w:tcPr>
          <w:p w14:paraId="2537980A"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w:t>
            </w:r>
          </w:p>
        </w:tc>
      </w:tr>
      <w:tr w:rsidR="003F33B8" w:rsidRPr="001D5EBE" w14:paraId="0B1200DE" w14:textId="77777777" w:rsidTr="00C8743D">
        <w:trPr>
          <w:tblCellSpacing w:w="0" w:type="dxa"/>
        </w:trPr>
        <w:tc>
          <w:tcPr>
            <w:tcW w:w="1788" w:type="dxa"/>
          </w:tcPr>
          <w:p w14:paraId="3A24FAC1"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37B48BF7"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10" w:type="dxa"/>
          </w:tcPr>
          <w:p w14:paraId="246A5202"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12</w:t>
            </w:r>
          </w:p>
        </w:tc>
        <w:tc>
          <w:tcPr>
            <w:tcW w:w="1722" w:type="dxa"/>
          </w:tcPr>
          <w:p w14:paraId="1DD8D0F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Vartoti per burną</w:t>
            </w:r>
          </w:p>
        </w:tc>
        <w:tc>
          <w:tcPr>
            <w:tcW w:w="1746" w:type="dxa"/>
          </w:tcPr>
          <w:p w14:paraId="21D4B2ED"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6</w:t>
            </w:r>
          </w:p>
        </w:tc>
        <w:tc>
          <w:tcPr>
            <w:tcW w:w="1765" w:type="dxa"/>
          </w:tcPr>
          <w:p w14:paraId="77E0EDD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w:t>
            </w:r>
          </w:p>
        </w:tc>
      </w:tr>
      <w:tr w:rsidR="003F33B8" w:rsidRPr="001D5EBE" w14:paraId="5B946106" w14:textId="77777777" w:rsidTr="00C8743D">
        <w:trPr>
          <w:tblCellSpacing w:w="0" w:type="dxa"/>
        </w:trPr>
        <w:tc>
          <w:tcPr>
            <w:tcW w:w="1788" w:type="dxa"/>
          </w:tcPr>
          <w:p w14:paraId="4CB80683"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4ADE9C77"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10" w:type="dxa"/>
          </w:tcPr>
          <w:p w14:paraId="59256901"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8</w:t>
            </w:r>
          </w:p>
        </w:tc>
        <w:tc>
          <w:tcPr>
            <w:tcW w:w="1722" w:type="dxa"/>
          </w:tcPr>
          <w:p w14:paraId="0B3A3B2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Vartoti per burną</w:t>
            </w:r>
          </w:p>
        </w:tc>
        <w:tc>
          <w:tcPr>
            <w:tcW w:w="1746" w:type="dxa"/>
          </w:tcPr>
          <w:p w14:paraId="53FC47A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8</w:t>
            </w:r>
          </w:p>
        </w:tc>
        <w:tc>
          <w:tcPr>
            <w:tcW w:w="1765" w:type="dxa"/>
          </w:tcPr>
          <w:p w14:paraId="105658A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w:t>
            </w:r>
          </w:p>
        </w:tc>
      </w:tr>
      <w:tr w:rsidR="003F33B8" w:rsidRPr="001D5EBE" w14:paraId="4971C7F7" w14:textId="77777777" w:rsidTr="00C8743D">
        <w:trPr>
          <w:tblCellSpacing w:w="0" w:type="dxa"/>
        </w:trPr>
        <w:tc>
          <w:tcPr>
            <w:tcW w:w="1788" w:type="dxa"/>
          </w:tcPr>
          <w:p w14:paraId="665B194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4FE529B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10" w:type="dxa"/>
          </w:tcPr>
          <w:p w14:paraId="257ED795"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w:t>
            </w:r>
          </w:p>
        </w:tc>
        <w:tc>
          <w:tcPr>
            <w:tcW w:w="1722" w:type="dxa"/>
          </w:tcPr>
          <w:p w14:paraId="0E213125"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Vartoti per burną</w:t>
            </w:r>
          </w:p>
        </w:tc>
        <w:tc>
          <w:tcPr>
            <w:tcW w:w="1746" w:type="dxa"/>
          </w:tcPr>
          <w:p w14:paraId="2A670CE5"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12</w:t>
            </w:r>
          </w:p>
        </w:tc>
        <w:tc>
          <w:tcPr>
            <w:tcW w:w="1765" w:type="dxa"/>
          </w:tcPr>
          <w:p w14:paraId="4E66665C"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w:t>
            </w:r>
          </w:p>
        </w:tc>
      </w:tr>
      <w:tr w:rsidR="003F33B8" w:rsidRPr="001D5EBE" w14:paraId="1F5AC44E" w14:textId="77777777" w:rsidTr="00C8743D">
        <w:trPr>
          <w:tblCellSpacing w:w="0" w:type="dxa"/>
        </w:trPr>
        <w:tc>
          <w:tcPr>
            <w:tcW w:w="1788" w:type="dxa"/>
          </w:tcPr>
          <w:p w14:paraId="2D1121D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054B865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10" w:type="dxa"/>
          </w:tcPr>
          <w:p w14:paraId="3D6DF759"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4</w:t>
            </w:r>
          </w:p>
        </w:tc>
        <w:tc>
          <w:tcPr>
            <w:tcW w:w="1722" w:type="dxa"/>
          </w:tcPr>
          <w:p w14:paraId="3EB6E434"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Vartoti per burną</w:t>
            </w:r>
          </w:p>
        </w:tc>
        <w:tc>
          <w:tcPr>
            <w:tcW w:w="1746" w:type="dxa"/>
          </w:tcPr>
          <w:p w14:paraId="095D74B0"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p w14:paraId="61523696"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 </w:t>
            </w:r>
          </w:p>
        </w:tc>
        <w:tc>
          <w:tcPr>
            <w:tcW w:w="1765" w:type="dxa"/>
          </w:tcPr>
          <w:p w14:paraId="2A05109B" w14:textId="77777777" w:rsidR="003F33B8" w:rsidRPr="001D5EBE" w:rsidRDefault="003F33B8" w:rsidP="00584BB5">
            <w:pPr>
              <w:pStyle w:val="prastasiniatinklio"/>
              <w:spacing w:before="0" w:beforeAutospacing="0" w:after="0"/>
              <w:rPr>
                <w:sz w:val="22"/>
                <w:szCs w:val="22"/>
                <w:lang w:val="lt-LT"/>
              </w:rPr>
            </w:pPr>
            <w:r w:rsidRPr="001D5EBE">
              <w:rPr>
                <w:sz w:val="22"/>
                <w:szCs w:val="22"/>
                <w:lang w:val="lt-LT"/>
              </w:rPr>
              <w:t>1</w:t>
            </w:r>
          </w:p>
        </w:tc>
      </w:tr>
    </w:tbl>
    <w:p w14:paraId="7829AE70" w14:textId="77777777" w:rsidR="003F33B8" w:rsidRPr="001D5EBE" w:rsidRDefault="003F33B8" w:rsidP="003F33B8">
      <w:pPr>
        <w:pStyle w:val="prastasiniatinklio"/>
        <w:spacing w:before="0" w:beforeAutospacing="0" w:after="0"/>
        <w:rPr>
          <w:sz w:val="22"/>
          <w:szCs w:val="22"/>
          <w:lang w:val="lt-LT"/>
        </w:rPr>
      </w:pPr>
      <w:r w:rsidRPr="001D5EBE">
        <w:rPr>
          <w:sz w:val="22"/>
          <w:szCs w:val="22"/>
          <w:lang w:val="lt-LT"/>
        </w:rPr>
        <w:t>Gydymą siekiama nutraukti po 10 dienų.</w:t>
      </w:r>
    </w:p>
    <w:p w14:paraId="7215F12D" w14:textId="77777777" w:rsidR="003F33B8" w:rsidRPr="001D5EBE" w:rsidRDefault="003F33B8" w:rsidP="003F33B8">
      <w:pPr>
        <w:pStyle w:val="Pagrindinistekstas"/>
        <w:spacing w:after="0"/>
        <w:jc w:val="both"/>
        <w:rPr>
          <w:szCs w:val="22"/>
        </w:rPr>
      </w:pPr>
    </w:p>
    <w:p w14:paraId="4ED23A2B" w14:textId="77777777" w:rsidR="003F33B8" w:rsidRPr="001D5EBE" w:rsidRDefault="003F33B8" w:rsidP="003F33B8">
      <w:pPr>
        <w:spacing w:line="240" w:lineRule="auto"/>
        <w:rPr>
          <w:i/>
          <w:lang w:val="lt-LT"/>
        </w:rPr>
      </w:pPr>
      <w:r w:rsidRPr="001D5EBE">
        <w:rPr>
          <w:i/>
          <w:lang w:val="lt-LT"/>
        </w:rPr>
        <w:t>Vaikų populiacija</w:t>
      </w:r>
    </w:p>
    <w:p w14:paraId="720E4FF8" w14:textId="77777777" w:rsidR="003F33B8" w:rsidRPr="001D5EBE" w:rsidRDefault="003F33B8" w:rsidP="003F33B8">
      <w:pPr>
        <w:spacing w:line="240" w:lineRule="auto"/>
        <w:rPr>
          <w:lang w:val="lt-LT"/>
        </w:rPr>
      </w:pPr>
      <w:r w:rsidRPr="001D5EBE">
        <w:rPr>
          <w:lang w:val="lt-LT"/>
        </w:rPr>
        <w:t xml:space="preserve">Dozė parenkama pagal paciento būklės sunkumą ir neturėtų būti mažesnė kaip 0,5 mg/kg per parą. Ji vartojama tol, kol paciento būklė stabilizuojasi. Esant didelių dozių poreikiui vaikams rekomenduojama paros dozė 30 mg/kg per parą iki 1 g/p. Ši dozė gali būti kartojama 3 kartus iš eilės arba kas antrą parą. Persodintų organų atmetimo reakcijų gydymui gali būti vartojamos ir didelės </w:t>
      </w:r>
      <w:proofErr w:type="spellStart"/>
      <w:r w:rsidRPr="001D5EBE">
        <w:rPr>
          <w:lang w:val="lt-LT"/>
        </w:rPr>
        <w:t>metilprednizolono</w:t>
      </w:r>
      <w:proofErr w:type="spellEnd"/>
      <w:r w:rsidRPr="001D5EBE">
        <w:rPr>
          <w:lang w:val="lt-LT"/>
        </w:rPr>
        <w:t xml:space="preserve"> dozės – 10–20 mg/kg per parą iki 1 g per parą. Toks gydymas neturėtų būti tęsiamas ilgiau kaip tris paras. </w:t>
      </w:r>
      <w:r w:rsidR="001974C8">
        <w:rPr>
          <w:lang w:val="lt-LT"/>
        </w:rPr>
        <w:t xml:space="preserve">Esant būklei </w:t>
      </w:r>
      <w:r w:rsidR="005608D3" w:rsidRPr="00705660">
        <w:rPr>
          <w:i/>
          <w:lang w:val="lt-LT"/>
        </w:rPr>
        <w:t xml:space="preserve">Status </w:t>
      </w:r>
      <w:proofErr w:type="spellStart"/>
      <w:r w:rsidR="005608D3" w:rsidRPr="00705660">
        <w:rPr>
          <w:i/>
          <w:lang w:val="lt-LT"/>
        </w:rPr>
        <w:t>asthmaticus</w:t>
      </w:r>
      <w:proofErr w:type="spellEnd"/>
      <w:r w:rsidRPr="001D5EBE">
        <w:rPr>
          <w:lang w:val="lt-LT"/>
        </w:rPr>
        <w:t>, rekomenduojama dozė 1</w:t>
      </w:r>
      <w:r w:rsidRPr="001D5EBE">
        <w:rPr>
          <w:lang w:val="lt-LT"/>
        </w:rPr>
        <w:noBreakHyphen/>
        <w:t>4 mg/kg per parą 1</w:t>
      </w:r>
      <w:r w:rsidRPr="001D5EBE">
        <w:rPr>
          <w:lang w:val="lt-LT"/>
        </w:rPr>
        <w:noBreakHyphen/>
        <w:t>3 paras.</w:t>
      </w:r>
    </w:p>
    <w:p w14:paraId="2A1EE0D2" w14:textId="77777777" w:rsidR="00CB6855" w:rsidRPr="001D5EBE" w:rsidRDefault="00CB6855" w:rsidP="003F33B8">
      <w:pPr>
        <w:spacing w:line="240" w:lineRule="auto"/>
        <w:rPr>
          <w:lang w:val="lt-LT"/>
        </w:rPr>
      </w:pPr>
      <w:r w:rsidRPr="001D5EBE">
        <w:rPr>
          <w:lang w:val="lt-LT"/>
        </w:rPr>
        <w:t xml:space="preserve">Šio vaistinio preparato </w:t>
      </w:r>
      <w:proofErr w:type="spellStart"/>
      <w:r w:rsidRPr="001D5EBE">
        <w:t>negalima</w:t>
      </w:r>
      <w:proofErr w:type="spellEnd"/>
      <w:r w:rsidRPr="001D5EBE">
        <w:t xml:space="preserve"> </w:t>
      </w:r>
      <w:proofErr w:type="spellStart"/>
      <w:r w:rsidRPr="001D5EBE">
        <w:t>skirti</w:t>
      </w:r>
      <w:proofErr w:type="spellEnd"/>
      <w:r w:rsidRPr="001D5EBE">
        <w:t xml:space="preserve"> </w:t>
      </w:r>
      <w:proofErr w:type="spellStart"/>
      <w:r w:rsidRPr="001D5EBE">
        <w:t>neišnešiotiems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naujagimiams</w:t>
      </w:r>
      <w:proofErr w:type="spellEnd"/>
      <w:r w:rsidRPr="001D5EBE">
        <w:t xml:space="preserve"> (</w:t>
      </w:r>
      <w:proofErr w:type="spellStart"/>
      <w:r w:rsidRPr="001D5EBE">
        <w:t>žr</w:t>
      </w:r>
      <w:proofErr w:type="spellEnd"/>
      <w:r w:rsidRPr="001D5EBE">
        <w:t xml:space="preserve">. 4.3 </w:t>
      </w:r>
      <w:proofErr w:type="spellStart"/>
      <w:r w:rsidRPr="001D5EBE">
        <w:t>ir</w:t>
      </w:r>
      <w:proofErr w:type="spellEnd"/>
      <w:r w:rsidRPr="001D5EBE">
        <w:t xml:space="preserve"> 4.4 </w:t>
      </w:r>
      <w:proofErr w:type="spellStart"/>
      <w:r w:rsidRPr="001D5EBE">
        <w:t>skyrius</w:t>
      </w:r>
      <w:proofErr w:type="spellEnd"/>
      <w:r w:rsidRPr="001D5EBE">
        <w:t>).</w:t>
      </w:r>
    </w:p>
    <w:p w14:paraId="7DA39859" w14:textId="77777777" w:rsidR="003F33B8" w:rsidRPr="001D5EBE" w:rsidRDefault="003F33B8" w:rsidP="003F33B8">
      <w:pPr>
        <w:spacing w:line="240" w:lineRule="auto"/>
        <w:rPr>
          <w:lang w:val="lt-LT"/>
        </w:rPr>
      </w:pPr>
    </w:p>
    <w:p w14:paraId="08189A27" w14:textId="77777777" w:rsidR="003F33B8" w:rsidRPr="00705660" w:rsidRDefault="00F278F6" w:rsidP="003F33B8">
      <w:pPr>
        <w:spacing w:line="240" w:lineRule="auto"/>
        <w:rPr>
          <w:i/>
          <w:lang w:val="lt-LT"/>
        </w:rPr>
      </w:pPr>
      <w:r w:rsidRPr="00705660">
        <w:rPr>
          <w:i/>
          <w:lang w:val="lt-LT"/>
        </w:rPr>
        <w:t>Senyviems &gt; 65 metų pacientams, taip pat pacientams, kurių inkstų funkcija sutrikusi</w:t>
      </w:r>
    </w:p>
    <w:p w14:paraId="32DE7B8C" w14:textId="77777777" w:rsidR="003F33B8" w:rsidRPr="001D5EBE" w:rsidRDefault="003F33B8" w:rsidP="003F33B8">
      <w:pPr>
        <w:spacing w:line="240" w:lineRule="auto"/>
        <w:rPr>
          <w:lang w:val="lt-LT"/>
        </w:rPr>
      </w:pPr>
      <w:r w:rsidRPr="001D5EBE">
        <w:rPr>
          <w:lang w:val="lt-LT"/>
        </w:rPr>
        <w:t xml:space="preserve">Vyresnio amžiaus pacientus ir pacientus, kurių inkstų veikla sutrikusi, rekomenduojama gydyti atsargiai. Ar šiems pacientams reikia mažinti </w:t>
      </w:r>
      <w:proofErr w:type="spellStart"/>
      <w:r w:rsidRPr="001D5EBE">
        <w:rPr>
          <w:lang w:val="lt-LT"/>
        </w:rPr>
        <w:t>metilprednizolono</w:t>
      </w:r>
      <w:proofErr w:type="spellEnd"/>
      <w:r w:rsidRPr="001D5EBE">
        <w:rPr>
          <w:lang w:val="lt-LT"/>
        </w:rPr>
        <w:t xml:space="preserve"> dozę, duomenų nėra.</w:t>
      </w:r>
    </w:p>
    <w:p w14:paraId="1C36783D" w14:textId="77777777" w:rsidR="003F33B8" w:rsidRPr="001D5EBE" w:rsidRDefault="003F33B8" w:rsidP="003F33B8">
      <w:pPr>
        <w:spacing w:line="240" w:lineRule="auto"/>
        <w:rPr>
          <w:lang w:val="lt-LT"/>
        </w:rPr>
      </w:pPr>
    </w:p>
    <w:p w14:paraId="70AF6F7C" w14:textId="77777777" w:rsidR="003F33B8" w:rsidRPr="00705660" w:rsidRDefault="00F278F6" w:rsidP="003F33B8">
      <w:pPr>
        <w:spacing w:line="240" w:lineRule="auto"/>
        <w:rPr>
          <w:i/>
          <w:lang w:val="lt-LT"/>
        </w:rPr>
      </w:pPr>
      <w:r w:rsidRPr="00705660">
        <w:rPr>
          <w:i/>
          <w:lang w:val="lt-LT"/>
        </w:rPr>
        <w:t>Pacientams, kurių kepenų funkcija sutrikusi</w:t>
      </w:r>
    </w:p>
    <w:p w14:paraId="1554D226" w14:textId="77777777" w:rsidR="003F33B8" w:rsidRPr="001D5EBE" w:rsidRDefault="003F33B8" w:rsidP="003F33B8">
      <w:pPr>
        <w:spacing w:line="240" w:lineRule="auto"/>
        <w:rPr>
          <w:lang w:val="lt-LT"/>
        </w:rPr>
      </w:pPr>
      <w:r w:rsidRPr="001D5EBE">
        <w:rPr>
          <w:lang w:val="lt-LT"/>
        </w:rPr>
        <w:t xml:space="preserve">Pacientams, sergantiems kepenų ciroze arba sunkia kepenų liga, gali tekti mažinti dozę, nes </w:t>
      </w:r>
      <w:proofErr w:type="spellStart"/>
      <w:r w:rsidRPr="001D5EBE">
        <w:rPr>
          <w:lang w:val="lt-LT"/>
        </w:rPr>
        <w:t>metilprednizolono</w:t>
      </w:r>
      <w:proofErr w:type="spellEnd"/>
      <w:r w:rsidRPr="001D5EBE">
        <w:rPr>
          <w:lang w:val="lt-LT"/>
        </w:rPr>
        <w:t xml:space="preserve"> poveikis gali sustiprėti.</w:t>
      </w:r>
    </w:p>
    <w:p w14:paraId="720EB712" w14:textId="77777777" w:rsidR="003F33B8" w:rsidRPr="001D5EBE" w:rsidRDefault="003F33B8" w:rsidP="003F33B8">
      <w:pPr>
        <w:pStyle w:val="Pagrindinistekstas"/>
        <w:spacing w:after="0"/>
        <w:jc w:val="both"/>
        <w:rPr>
          <w:szCs w:val="22"/>
        </w:rPr>
      </w:pPr>
    </w:p>
    <w:p w14:paraId="39922161" w14:textId="77777777" w:rsidR="003F33B8" w:rsidRPr="001D5EBE" w:rsidRDefault="003F33B8" w:rsidP="003F33B8">
      <w:pPr>
        <w:pStyle w:val="Pagrindinistekstas"/>
        <w:spacing w:after="0"/>
        <w:rPr>
          <w:szCs w:val="22"/>
        </w:rPr>
      </w:pPr>
      <w:r w:rsidRPr="001D5EBE">
        <w:rPr>
          <w:szCs w:val="22"/>
        </w:rPr>
        <w:t xml:space="preserve">Siekiant išvengti problemų, susijusių su stabilumu ir suderinamumu, kai tik įmanoma,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rekomenduojamas vartoti atskirai nuo kitų vaistinių preparatų. </w:t>
      </w:r>
      <w:r w:rsidR="001974C8">
        <w:rPr>
          <w:szCs w:val="22"/>
        </w:rPr>
        <w:t>Vaistinis p</w:t>
      </w:r>
      <w:r w:rsidR="001974C8" w:rsidRPr="001D5EBE">
        <w:rPr>
          <w:szCs w:val="22"/>
        </w:rPr>
        <w:t xml:space="preserve">reparatas </w:t>
      </w:r>
      <w:r w:rsidRPr="001D5EBE">
        <w:rPr>
          <w:szCs w:val="22"/>
        </w:rPr>
        <w:t xml:space="preserve">yra leidžiamas į veną, vartojamas intraveninės kameros pagalba ar </w:t>
      </w:r>
      <w:r w:rsidRPr="001D5EBE">
        <w:rPr>
          <w:i/>
          <w:szCs w:val="22"/>
        </w:rPr>
        <w:t>“</w:t>
      </w:r>
      <w:proofErr w:type="spellStart"/>
      <w:r w:rsidRPr="001D5EBE">
        <w:rPr>
          <w:i/>
          <w:szCs w:val="22"/>
        </w:rPr>
        <w:t>piggy-back</w:t>
      </w:r>
      <w:proofErr w:type="spellEnd"/>
      <w:r w:rsidRPr="001D5EBE">
        <w:rPr>
          <w:i/>
          <w:szCs w:val="22"/>
        </w:rPr>
        <w:t xml:space="preserve">” </w:t>
      </w:r>
      <w:r w:rsidRPr="001D5EBE">
        <w:rPr>
          <w:szCs w:val="22"/>
        </w:rPr>
        <w:t>būdu (</w:t>
      </w:r>
      <w:proofErr w:type="spellStart"/>
      <w:r w:rsidRPr="001D5EBE">
        <w:rPr>
          <w:szCs w:val="22"/>
        </w:rPr>
        <w:t>t.y</w:t>
      </w:r>
      <w:proofErr w:type="spellEnd"/>
      <w:r w:rsidRPr="001D5EBE">
        <w:rPr>
          <w:szCs w:val="22"/>
        </w:rPr>
        <w:t xml:space="preserve">. vaistinis preparatas supilamas į nedidelį papildomą konteinerį, kuris sujungiamas “Y” tipo jungtimi su pagrindine infuzine sistema). Esant reikalui,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sukcinatą</w:t>
      </w:r>
      <w:proofErr w:type="spellEnd"/>
      <w:r w:rsidRPr="001D5EBE">
        <w:rPr>
          <w:szCs w:val="22"/>
        </w:rPr>
        <w:t xml:space="preserve"> galima praskiesti su 5</w:t>
      </w:r>
      <w:r w:rsidR="00E23965">
        <w:rPr>
          <w:szCs w:val="22"/>
        </w:rPr>
        <w:t xml:space="preserve"> proc.</w:t>
      </w:r>
      <w:r w:rsidRPr="001D5EBE">
        <w:rPr>
          <w:szCs w:val="22"/>
        </w:rPr>
        <w:t xml:space="preserve"> gliukozės tirpalu vandenyje, fiziologiniu natrio chlorido tirpalu arba 5</w:t>
      </w:r>
      <w:r w:rsidR="00E23965">
        <w:rPr>
          <w:szCs w:val="22"/>
        </w:rPr>
        <w:t xml:space="preserve"> proc.</w:t>
      </w:r>
      <w:r w:rsidRPr="001D5EBE">
        <w:rPr>
          <w:szCs w:val="22"/>
        </w:rPr>
        <w:t xml:space="preserve"> gliukoze 0,45</w:t>
      </w:r>
      <w:r w:rsidR="00E23965">
        <w:rPr>
          <w:szCs w:val="22"/>
        </w:rPr>
        <w:t xml:space="preserve"> proc.</w:t>
      </w:r>
      <w:r w:rsidRPr="001D5EBE">
        <w:rPr>
          <w:szCs w:val="22"/>
        </w:rPr>
        <w:t xml:space="preserve"> ar 0,9</w:t>
      </w:r>
      <w:r w:rsidR="00E23965">
        <w:rPr>
          <w:szCs w:val="22"/>
        </w:rPr>
        <w:t xml:space="preserve"> proc.</w:t>
      </w:r>
      <w:r w:rsidRPr="001D5EBE">
        <w:rPr>
          <w:szCs w:val="22"/>
        </w:rPr>
        <w:t xml:space="preserve"> natrio chlorido tirpale. Gautų tirpalų fizinės ir cheminės savybės stabilios 48 valandas. Paruoštas tirpalas yra skaidrus ir bespalvis.</w:t>
      </w:r>
    </w:p>
    <w:p w14:paraId="3617592F" w14:textId="77777777" w:rsidR="003F33B8" w:rsidRPr="001D5EBE" w:rsidRDefault="003F33B8" w:rsidP="003F33B8">
      <w:pPr>
        <w:pStyle w:val="Pagrindinistekstas"/>
        <w:spacing w:after="0"/>
        <w:rPr>
          <w:szCs w:val="22"/>
        </w:rPr>
      </w:pPr>
    </w:p>
    <w:p w14:paraId="38C53CD6" w14:textId="77777777" w:rsidR="008B4F91" w:rsidRPr="001D5EBE" w:rsidRDefault="003F33B8" w:rsidP="003F33B8">
      <w:pPr>
        <w:pStyle w:val="Pagrindinistekstas"/>
        <w:spacing w:after="0"/>
        <w:rPr>
          <w:szCs w:val="22"/>
          <w:u w:val="single"/>
        </w:rPr>
      </w:pPr>
      <w:r w:rsidRPr="001D5EBE">
        <w:rPr>
          <w:szCs w:val="22"/>
          <w:u w:val="single"/>
        </w:rPr>
        <w:t>Vartojimo metodas</w:t>
      </w:r>
    </w:p>
    <w:p w14:paraId="01BBB2A4" w14:textId="010D994B" w:rsidR="003F33B8" w:rsidRPr="001D5EBE" w:rsidRDefault="003F33B8" w:rsidP="003F33B8">
      <w:pPr>
        <w:pStyle w:val="Pagrindinistekstas"/>
        <w:spacing w:after="0"/>
        <w:rPr>
          <w:szCs w:val="22"/>
        </w:rPr>
      </w:pP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gali būti leidžiamas  į veną arba  į raumenis. Kritinių atvejų metu labiau priimtinas yra vaistinio preparato leidimas į veną</w:t>
      </w:r>
    </w:p>
    <w:p w14:paraId="18C0E957" w14:textId="77777777" w:rsidR="003F33B8" w:rsidRPr="001D5EBE" w:rsidRDefault="003F33B8" w:rsidP="003F33B8">
      <w:pPr>
        <w:pStyle w:val="Pagrindinistekstas"/>
        <w:spacing w:after="0"/>
        <w:rPr>
          <w:szCs w:val="22"/>
        </w:rPr>
      </w:pPr>
    </w:p>
    <w:p w14:paraId="3BC46515" w14:textId="77777777" w:rsidR="003F33B8" w:rsidRPr="001D5EBE" w:rsidRDefault="003F33B8" w:rsidP="003F33B8">
      <w:pPr>
        <w:pStyle w:val="Pagrindinistekstas"/>
        <w:spacing w:after="0"/>
        <w:rPr>
          <w:szCs w:val="22"/>
        </w:rPr>
      </w:pPr>
    </w:p>
    <w:p w14:paraId="7866A321" w14:textId="77777777" w:rsidR="003F33B8" w:rsidRPr="001D5EBE" w:rsidRDefault="003F33B8" w:rsidP="003F33B8">
      <w:pPr>
        <w:pStyle w:val="Antrat3"/>
        <w:rPr>
          <w:szCs w:val="22"/>
        </w:rPr>
      </w:pPr>
      <w:r w:rsidRPr="001D5EBE">
        <w:rPr>
          <w:szCs w:val="22"/>
        </w:rPr>
        <w:t>4.3</w:t>
      </w:r>
      <w:r w:rsidRPr="001D5EBE">
        <w:rPr>
          <w:szCs w:val="22"/>
        </w:rPr>
        <w:tab/>
        <w:t>Kontraindikacijos</w:t>
      </w:r>
    </w:p>
    <w:p w14:paraId="148D144A" w14:textId="77777777" w:rsidR="003F33B8" w:rsidRPr="001D5EBE" w:rsidRDefault="003F33B8" w:rsidP="003F33B8">
      <w:pPr>
        <w:pStyle w:val="Pagrindinistekstas"/>
        <w:spacing w:after="0"/>
        <w:rPr>
          <w:szCs w:val="22"/>
        </w:rPr>
      </w:pPr>
    </w:p>
    <w:p w14:paraId="31E4A9DA" w14:textId="4BAC9202" w:rsidR="003F33B8" w:rsidRPr="001D5EBE" w:rsidRDefault="003F33B8" w:rsidP="004A7741">
      <w:pPr>
        <w:pStyle w:val="Pagrindinistekstas"/>
        <w:numPr>
          <w:ilvl w:val="0"/>
          <w:numId w:val="7"/>
        </w:numPr>
        <w:tabs>
          <w:tab w:val="clear" w:pos="720"/>
          <w:tab w:val="num" w:pos="567"/>
        </w:tabs>
        <w:spacing w:after="0"/>
        <w:ind w:left="567" w:hanging="567"/>
        <w:jc w:val="both"/>
      </w:pPr>
      <w:r w:rsidRPr="001D5EBE">
        <w:rPr>
          <w:szCs w:val="22"/>
        </w:rPr>
        <w:t>Padidėjęs jautrumas veikliajai arba bet kuriai 6.1 skyriuje nurodytai pagalbinei medžiagai</w:t>
      </w:r>
      <w:r w:rsidR="00962A19">
        <w:rPr>
          <w:szCs w:val="22"/>
        </w:rPr>
        <w:t>.</w:t>
      </w:r>
      <w:r w:rsidR="00962A19" w:rsidRPr="001D5EBE" w:rsidDel="00962A19">
        <w:rPr>
          <w:szCs w:val="22"/>
        </w:rPr>
        <w:t xml:space="preserve"> </w:t>
      </w:r>
      <w:r w:rsidRPr="001D5EBE">
        <w:t>Ūminės ar lėtinės virusinės ar bakterinės infekcijos, taip pat sisteminės grybelinės infekcijos, kurioms neskirtas adekvatus specifinis antimikrobinis ar chemoterapinis gydymas</w:t>
      </w:r>
      <w:r w:rsidR="00962A19">
        <w:t>.</w:t>
      </w:r>
    </w:p>
    <w:p w14:paraId="2C54E8FD" w14:textId="366A31EA" w:rsidR="003F33B8" w:rsidRPr="001D5EBE" w:rsidRDefault="003F33B8" w:rsidP="003F33B8">
      <w:pPr>
        <w:numPr>
          <w:ilvl w:val="0"/>
          <w:numId w:val="7"/>
        </w:numPr>
        <w:tabs>
          <w:tab w:val="clear" w:pos="720"/>
          <w:tab w:val="num" w:pos="567"/>
        </w:tabs>
        <w:spacing w:line="240" w:lineRule="auto"/>
        <w:ind w:left="567" w:hanging="567"/>
        <w:rPr>
          <w:lang w:val="lt-LT"/>
        </w:rPr>
      </w:pPr>
      <w:r w:rsidRPr="001D5EBE">
        <w:rPr>
          <w:lang w:val="lt-LT"/>
        </w:rPr>
        <w:t>Smegenų edema sergant maliarija</w:t>
      </w:r>
      <w:r w:rsidR="00962A19">
        <w:rPr>
          <w:lang w:val="lt-LT"/>
        </w:rPr>
        <w:t>.</w:t>
      </w:r>
    </w:p>
    <w:p w14:paraId="507B05C1" w14:textId="2309BA06" w:rsidR="003F33B8" w:rsidRPr="001D5EBE" w:rsidRDefault="003F33B8" w:rsidP="003F33B8">
      <w:pPr>
        <w:numPr>
          <w:ilvl w:val="0"/>
          <w:numId w:val="7"/>
        </w:numPr>
        <w:tabs>
          <w:tab w:val="clear" w:pos="720"/>
          <w:tab w:val="num" w:pos="567"/>
        </w:tabs>
        <w:spacing w:line="240" w:lineRule="auto"/>
        <w:ind w:left="567" w:hanging="567"/>
        <w:rPr>
          <w:lang w:val="lt-LT"/>
        </w:rPr>
      </w:pPr>
      <w:r w:rsidRPr="001D5EBE">
        <w:rPr>
          <w:lang w:val="lt-LT"/>
        </w:rPr>
        <w:t xml:space="preserve">Šio vaistinio preparato draudžiama leisti į </w:t>
      </w:r>
      <w:proofErr w:type="spellStart"/>
      <w:r w:rsidRPr="001D5EBE">
        <w:rPr>
          <w:lang w:val="lt-LT"/>
        </w:rPr>
        <w:t>povoratinklinę</w:t>
      </w:r>
      <w:proofErr w:type="spellEnd"/>
      <w:r w:rsidRPr="001D5EBE">
        <w:rPr>
          <w:lang w:val="lt-LT"/>
        </w:rPr>
        <w:t xml:space="preserve"> ertmę</w:t>
      </w:r>
      <w:r w:rsidR="00962A19">
        <w:rPr>
          <w:lang w:val="lt-LT"/>
        </w:rPr>
        <w:t>.</w:t>
      </w:r>
    </w:p>
    <w:p w14:paraId="1A98A0C5" w14:textId="47322DC1" w:rsidR="000A1ECA" w:rsidRPr="001D5EBE" w:rsidRDefault="003F33B8" w:rsidP="003F33B8">
      <w:pPr>
        <w:numPr>
          <w:ilvl w:val="0"/>
          <w:numId w:val="7"/>
        </w:numPr>
        <w:tabs>
          <w:tab w:val="clear" w:pos="720"/>
          <w:tab w:val="num" w:pos="567"/>
        </w:tabs>
        <w:spacing w:line="240" w:lineRule="auto"/>
        <w:ind w:left="567" w:hanging="567"/>
        <w:rPr>
          <w:lang w:val="lt-LT"/>
        </w:rPr>
      </w:pPr>
      <w:r w:rsidRPr="001D5EBE">
        <w:rPr>
          <w:lang w:val="lt-LT"/>
        </w:rPr>
        <w:t xml:space="preserve">Šio vaistinio preparato negalima leisti į </w:t>
      </w:r>
      <w:proofErr w:type="spellStart"/>
      <w:r w:rsidRPr="001D5EBE">
        <w:rPr>
          <w:lang w:val="lt-LT"/>
        </w:rPr>
        <w:t>epidurinę</w:t>
      </w:r>
      <w:proofErr w:type="spellEnd"/>
      <w:r w:rsidRPr="001D5EBE">
        <w:rPr>
          <w:lang w:val="lt-LT"/>
        </w:rPr>
        <w:t xml:space="preserve"> ertmę</w:t>
      </w:r>
      <w:r w:rsidR="00962A19">
        <w:rPr>
          <w:lang w:val="lt-LT"/>
        </w:rPr>
        <w:t>.</w:t>
      </w:r>
    </w:p>
    <w:p w14:paraId="6C5C6F5E" w14:textId="77777777" w:rsidR="003F33B8" w:rsidRPr="001D5EBE" w:rsidRDefault="000A1ECA" w:rsidP="000A1ECA">
      <w:pPr>
        <w:numPr>
          <w:ilvl w:val="0"/>
          <w:numId w:val="7"/>
        </w:numPr>
        <w:tabs>
          <w:tab w:val="clear" w:pos="720"/>
          <w:tab w:val="num" w:pos="567"/>
        </w:tabs>
        <w:spacing w:line="240" w:lineRule="auto"/>
        <w:ind w:left="567" w:hanging="567"/>
      </w:pPr>
      <w:proofErr w:type="spellStart"/>
      <w:r w:rsidRPr="001D5EBE">
        <w:t>Negalima</w:t>
      </w:r>
      <w:proofErr w:type="spellEnd"/>
      <w:r w:rsidRPr="001D5EBE">
        <w:t xml:space="preserve"> </w:t>
      </w:r>
      <w:proofErr w:type="spellStart"/>
      <w:r w:rsidRPr="001D5EBE">
        <w:t>skirti</w:t>
      </w:r>
      <w:proofErr w:type="spellEnd"/>
      <w:r w:rsidRPr="001D5EBE">
        <w:t xml:space="preserve"> </w:t>
      </w:r>
      <w:proofErr w:type="spellStart"/>
      <w:r w:rsidRPr="001D5EBE">
        <w:t>neišnešiotiems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naujagimiams</w:t>
      </w:r>
      <w:proofErr w:type="spellEnd"/>
      <w:r w:rsidRPr="001D5EBE">
        <w:t xml:space="preserve"> (</w:t>
      </w:r>
      <w:proofErr w:type="spellStart"/>
      <w:r w:rsidRPr="001D5EBE">
        <w:t>žr</w:t>
      </w:r>
      <w:proofErr w:type="spellEnd"/>
      <w:r w:rsidRPr="001D5EBE">
        <w:t xml:space="preserve">. 4.4 </w:t>
      </w:r>
      <w:proofErr w:type="spellStart"/>
      <w:r w:rsidRPr="001D5EBE">
        <w:t>skyrių</w:t>
      </w:r>
      <w:proofErr w:type="spellEnd"/>
      <w:r w:rsidRPr="001D5EBE">
        <w:t>).</w:t>
      </w:r>
    </w:p>
    <w:p w14:paraId="31296621" w14:textId="77777777" w:rsidR="003F33B8" w:rsidRPr="001D5EBE" w:rsidRDefault="003F33B8" w:rsidP="003F33B8">
      <w:pPr>
        <w:pStyle w:val="Pagrindinistekstas"/>
        <w:spacing w:after="0"/>
        <w:rPr>
          <w:szCs w:val="22"/>
        </w:rPr>
      </w:pPr>
    </w:p>
    <w:p w14:paraId="1C3FD8EE" w14:textId="307F70B8" w:rsidR="003F33B8" w:rsidRPr="001D5EBE" w:rsidRDefault="003F33B8" w:rsidP="003F33B8">
      <w:pPr>
        <w:pStyle w:val="Pagrindinistekstas"/>
        <w:spacing w:after="0"/>
        <w:rPr>
          <w:szCs w:val="22"/>
        </w:rPr>
      </w:pPr>
      <w:r w:rsidRPr="001D5EBE">
        <w:rPr>
          <w:szCs w:val="22"/>
        </w:rPr>
        <w:t xml:space="preserve">Pacientus, vartojančius </w:t>
      </w:r>
      <w:proofErr w:type="spellStart"/>
      <w:r w:rsidRPr="001D5EBE">
        <w:rPr>
          <w:szCs w:val="22"/>
        </w:rPr>
        <w:t>kortikosteroid</w:t>
      </w:r>
      <w:r w:rsidR="00962A19">
        <w:rPr>
          <w:szCs w:val="22"/>
        </w:rPr>
        <w:t>us</w:t>
      </w:r>
      <w:r w:rsidRPr="001D5EBE">
        <w:rPr>
          <w:szCs w:val="22"/>
        </w:rPr>
        <w:t>imuninę</w:t>
      </w:r>
      <w:proofErr w:type="spellEnd"/>
      <w:r w:rsidRPr="001D5EBE">
        <w:rPr>
          <w:szCs w:val="22"/>
        </w:rPr>
        <w:t xml:space="preserve"> sistemą slopinančiomis dozėmis, draudžiama skiepyti gyvosiomis ar gyvosiomis </w:t>
      </w:r>
      <w:proofErr w:type="spellStart"/>
      <w:r w:rsidRPr="001D5EBE">
        <w:rPr>
          <w:szCs w:val="22"/>
        </w:rPr>
        <w:t>susilpnintomis</w:t>
      </w:r>
      <w:proofErr w:type="spellEnd"/>
      <w:r w:rsidRPr="001D5EBE">
        <w:rPr>
          <w:szCs w:val="22"/>
        </w:rPr>
        <w:t xml:space="preserve"> vakcinomis.</w:t>
      </w:r>
    </w:p>
    <w:p w14:paraId="5871ED3D" w14:textId="77777777" w:rsidR="003F33B8" w:rsidRPr="001D5EBE" w:rsidRDefault="003F33B8" w:rsidP="003F33B8">
      <w:pPr>
        <w:spacing w:line="240" w:lineRule="auto"/>
        <w:rPr>
          <w:lang w:val="lt-LT"/>
        </w:rPr>
      </w:pPr>
    </w:p>
    <w:p w14:paraId="25A721A4" w14:textId="77777777" w:rsidR="003F33B8" w:rsidRPr="001D5EBE" w:rsidRDefault="003F33B8" w:rsidP="003F33B8">
      <w:pPr>
        <w:pStyle w:val="Antrat3"/>
        <w:rPr>
          <w:szCs w:val="22"/>
        </w:rPr>
      </w:pPr>
      <w:r w:rsidRPr="001D5EBE">
        <w:rPr>
          <w:szCs w:val="22"/>
        </w:rPr>
        <w:t>4.4</w:t>
      </w:r>
      <w:r w:rsidRPr="001D5EBE">
        <w:rPr>
          <w:szCs w:val="22"/>
        </w:rPr>
        <w:tab/>
        <w:t>Specialūs įspėjimai ir atsargumo priemonės</w:t>
      </w:r>
    </w:p>
    <w:p w14:paraId="17C25A4F" w14:textId="77777777" w:rsidR="003F33B8" w:rsidRPr="001D5EBE" w:rsidRDefault="003F33B8" w:rsidP="003F33B8">
      <w:pPr>
        <w:pStyle w:val="Pagrindinistekstas"/>
        <w:spacing w:after="0"/>
        <w:rPr>
          <w:szCs w:val="22"/>
        </w:rPr>
      </w:pPr>
    </w:p>
    <w:p w14:paraId="160F585A" w14:textId="77777777" w:rsidR="003F33B8" w:rsidRPr="001D5EBE" w:rsidRDefault="003F33B8" w:rsidP="003F33B8">
      <w:pPr>
        <w:pStyle w:val="Pagrindinistekstas"/>
        <w:spacing w:after="0"/>
        <w:rPr>
          <w:szCs w:val="22"/>
        </w:rPr>
      </w:pPr>
      <w:r w:rsidRPr="001D5EBE">
        <w:rPr>
          <w:szCs w:val="22"/>
        </w:rPr>
        <w:t xml:space="preserve">Sisteminis ilgalaikis gydymas </w:t>
      </w:r>
      <w:proofErr w:type="spellStart"/>
      <w:r w:rsidRPr="001D5EBE">
        <w:rPr>
          <w:szCs w:val="22"/>
        </w:rPr>
        <w:t>gliukokortikoidais</w:t>
      </w:r>
      <w:proofErr w:type="spellEnd"/>
      <w:r w:rsidRPr="001D5EBE">
        <w:rPr>
          <w:szCs w:val="22"/>
        </w:rPr>
        <w:t xml:space="preserve"> gali </w:t>
      </w:r>
      <w:proofErr w:type="spellStart"/>
      <w:r w:rsidRPr="001D5EBE">
        <w:rPr>
          <w:szCs w:val="22"/>
        </w:rPr>
        <w:t>susilpninti</w:t>
      </w:r>
      <w:proofErr w:type="spellEnd"/>
      <w:r w:rsidRPr="001D5EBE">
        <w:rPr>
          <w:szCs w:val="22"/>
        </w:rPr>
        <w:t xml:space="preserve"> antinksčių žievės funkciją. Šis poveikis gali trukti net keletą mėnesių, nutraukus gydymą. Jeigu per šį laikotarpį įvyksta bet kokia trauma, liga ar reikalinga operacija, reikia paskirti didesnę </w:t>
      </w:r>
      <w:proofErr w:type="spellStart"/>
      <w:r w:rsidRPr="001D5EBE">
        <w:rPr>
          <w:szCs w:val="22"/>
        </w:rPr>
        <w:t>metilprednizolono</w:t>
      </w:r>
      <w:proofErr w:type="spellEnd"/>
      <w:r w:rsidRPr="001D5EBE">
        <w:rPr>
          <w:szCs w:val="22"/>
        </w:rPr>
        <w:t xml:space="preserve"> dozę arba </w:t>
      </w:r>
      <w:proofErr w:type="spellStart"/>
      <w:r w:rsidRPr="001D5EBE">
        <w:rPr>
          <w:szCs w:val="22"/>
        </w:rPr>
        <w:t>metilprednizoloną</w:t>
      </w:r>
      <w:proofErr w:type="spellEnd"/>
      <w:r w:rsidRPr="001D5EBE">
        <w:rPr>
          <w:szCs w:val="22"/>
        </w:rPr>
        <w:t xml:space="preserve"> pakeisti kitu </w:t>
      </w:r>
      <w:proofErr w:type="spellStart"/>
      <w:r w:rsidRPr="001D5EBE">
        <w:rPr>
          <w:szCs w:val="22"/>
        </w:rPr>
        <w:t>gliukokortikoidu</w:t>
      </w:r>
      <w:proofErr w:type="spellEnd"/>
      <w:r w:rsidRPr="001D5EBE">
        <w:rPr>
          <w:szCs w:val="22"/>
        </w:rPr>
        <w:t xml:space="preserve">. Norint išvengti nepageidaujamo poveikio, </w:t>
      </w:r>
      <w:proofErr w:type="spellStart"/>
      <w:r w:rsidRPr="001D5EBE">
        <w:rPr>
          <w:szCs w:val="22"/>
        </w:rPr>
        <w:t>gliukokortikoidų</w:t>
      </w:r>
      <w:proofErr w:type="spellEnd"/>
      <w:r w:rsidRPr="001D5EBE">
        <w:rPr>
          <w:szCs w:val="22"/>
        </w:rPr>
        <w:t xml:space="preserve"> vartojimo negalima nutraukti staiga. Dozė mažinama palaipsniui.</w:t>
      </w:r>
    </w:p>
    <w:p w14:paraId="65BD2B64" w14:textId="77777777" w:rsidR="003F33B8" w:rsidRPr="001D5EBE" w:rsidRDefault="003F33B8" w:rsidP="003F33B8">
      <w:pPr>
        <w:pStyle w:val="Pagrindinistekstas"/>
        <w:spacing w:after="0"/>
        <w:rPr>
          <w:szCs w:val="22"/>
        </w:rPr>
      </w:pPr>
    </w:p>
    <w:p w14:paraId="25368C19" w14:textId="77777777" w:rsidR="003F33B8" w:rsidRPr="001D5EBE" w:rsidRDefault="003F33B8" w:rsidP="003F33B8">
      <w:pPr>
        <w:spacing w:line="240" w:lineRule="auto"/>
        <w:rPr>
          <w:i/>
          <w:lang w:val="lt-LT"/>
        </w:rPr>
      </w:pPr>
      <w:r w:rsidRPr="001D5EBE">
        <w:rPr>
          <w:i/>
          <w:lang w:val="lt-LT"/>
        </w:rPr>
        <w:t>Imuninę sistemą slopinantis poveikis ar imlumo infekcijai padidėjimas</w:t>
      </w:r>
    </w:p>
    <w:p w14:paraId="38A95CB8" w14:textId="77777777" w:rsidR="003F33B8" w:rsidRPr="001D5EBE" w:rsidRDefault="003F33B8" w:rsidP="003F33B8">
      <w:pPr>
        <w:spacing w:line="240" w:lineRule="auto"/>
        <w:rPr>
          <w:lang w:val="lt-LT"/>
        </w:rPr>
      </w:pPr>
      <w:proofErr w:type="spellStart"/>
      <w:r w:rsidRPr="001D5EBE">
        <w:rPr>
          <w:lang w:val="lt-LT"/>
        </w:rPr>
        <w:t>Gliukokortikoidai</w:t>
      </w:r>
      <w:proofErr w:type="spellEnd"/>
      <w:r w:rsidRPr="001D5EBE">
        <w:rPr>
          <w:lang w:val="lt-LT"/>
        </w:rPr>
        <w:t xml:space="preserve"> gali didinti jautrumą infekcijai ir maskuoti kai kuriuos infekcijos požymius, jų vartojimo metu gali kilti nauja infekcija. Vartojant </w:t>
      </w:r>
      <w:proofErr w:type="spellStart"/>
      <w:r w:rsidRPr="001D5EBE">
        <w:rPr>
          <w:lang w:val="lt-LT"/>
        </w:rPr>
        <w:t>gliukokortikoidus</w:t>
      </w:r>
      <w:proofErr w:type="spellEnd"/>
      <w:r w:rsidRPr="001D5EBE">
        <w:rPr>
          <w:lang w:val="lt-LT"/>
        </w:rPr>
        <w:t xml:space="preserve">, gali sumažėti organizmo atsparumas ir gebėjimas lokalizuoti infekciją. </w:t>
      </w:r>
      <w:proofErr w:type="spellStart"/>
      <w:r w:rsidRPr="001D5EBE">
        <w:rPr>
          <w:lang w:val="lt-LT"/>
        </w:rPr>
        <w:t>Gliukokortikoidus</w:t>
      </w:r>
      <w:proofErr w:type="spellEnd"/>
      <w:r w:rsidRPr="001D5EBE">
        <w:rPr>
          <w:lang w:val="lt-LT"/>
        </w:rPr>
        <w:t xml:space="preserve"> vartojant vienus arba kartu su kitais imunosupresiniais vaistiniais preparatais, kurie veikia ląstelinį ar humoralinį imunitetą arba </w:t>
      </w:r>
      <w:proofErr w:type="spellStart"/>
      <w:r w:rsidRPr="001D5EBE">
        <w:rPr>
          <w:lang w:val="lt-LT"/>
        </w:rPr>
        <w:t>neutrofilų</w:t>
      </w:r>
      <w:proofErr w:type="spellEnd"/>
      <w:r w:rsidRPr="001D5EBE">
        <w:rPr>
          <w:lang w:val="lt-LT"/>
        </w:rPr>
        <w:t xml:space="preserve"> funkciją, įvairūs patogeniniai mikroorganizmai (virusai, bakterijos, grybeliai, pirmuonys ar </w:t>
      </w:r>
      <w:proofErr w:type="spellStart"/>
      <w:r w:rsidRPr="001D5EBE">
        <w:rPr>
          <w:lang w:val="lt-LT"/>
        </w:rPr>
        <w:t>helmintai</w:t>
      </w:r>
      <w:proofErr w:type="spellEnd"/>
      <w:r w:rsidRPr="001D5EBE">
        <w:rPr>
          <w:lang w:val="lt-LT"/>
        </w:rPr>
        <w:t xml:space="preserve">) gali sukelti infekciją bet kurioje organizmo vietoje. Šios infekcijos gali būti tiek lengvos, tiek sunkios ir kartais mirtinos. </w:t>
      </w:r>
      <w:proofErr w:type="spellStart"/>
      <w:r w:rsidRPr="001D5EBE">
        <w:rPr>
          <w:lang w:val="lt-LT"/>
        </w:rPr>
        <w:t>Gliukokortikoidus</w:t>
      </w:r>
      <w:proofErr w:type="spellEnd"/>
      <w:r w:rsidRPr="001D5EBE">
        <w:rPr>
          <w:lang w:val="lt-LT"/>
        </w:rPr>
        <w:t xml:space="preserve"> vartojant didesnėmis dozėmis, infekcinių komplikacijų kyla dažniau. Nustačius pacientui infekcinę ligą, būtina kartu skirti veiksmingą ligos priežastį veikiantį gydymą.</w:t>
      </w:r>
    </w:p>
    <w:p w14:paraId="5456DD2D" w14:textId="77777777" w:rsidR="003F33B8" w:rsidRPr="001D5EBE" w:rsidRDefault="003F33B8" w:rsidP="003F33B8">
      <w:pPr>
        <w:spacing w:line="240" w:lineRule="auto"/>
        <w:rPr>
          <w:lang w:val="lt-LT"/>
        </w:rPr>
      </w:pPr>
    </w:p>
    <w:p w14:paraId="236FFB7D" w14:textId="77777777" w:rsidR="003F33B8" w:rsidRPr="001D5EBE" w:rsidRDefault="003F33B8" w:rsidP="003F33B8">
      <w:pPr>
        <w:pStyle w:val="Paragraph"/>
        <w:spacing w:after="0"/>
        <w:rPr>
          <w:sz w:val="22"/>
          <w:szCs w:val="22"/>
        </w:rPr>
      </w:pPr>
      <w:r w:rsidRPr="001D5EBE">
        <w:rPr>
          <w:sz w:val="22"/>
          <w:szCs w:val="22"/>
        </w:rPr>
        <w:t>Imuninę sistemą slopinančių vaistinių preparatų vartojantys žmonės infekcijai yra jautresni nei sveiki žmonės: pvz., kortikosteroidų vartojantiems vaikams ir suaugusiems žmonėms, kurių imuninė sistema yra nuslopinta, vėjaraupiai ir tymai gali pasireikšti daug sunkesne forma, pacientai net gali mirti.</w:t>
      </w:r>
    </w:p>
    <w:p w14:paraId="1A0FB2B8" w14:textId="77777777" w:rsidR="003F33B8" w:rsidRPr="001D5EBE" w:rsidRDefault="003F33B8" w:rsidP="003F33B8">
      <w:pPr>
        <w:pStyle w:val="Paragraph"/>
        <w:spacing w:after="0"/>
        <w:rPr>
          <w:sz w:val="22"/>
          <w:szCs w:val="22"/>
        </w:rPr>
      </w:pPr>
    </w:p>
    <w:p w14:paraId="6747FB2F" w14:textId="77777777" w:rsidR="003F33B8" w:rsidRPr="001D5EBE" w:rsidRDefault="003F33B8" w:rsidP="003F33B8">
      <w:pPr>
        <w:spacing w:line="240" w:lineRule="auto"/>
        <w:rPr>
          <w:lang w:val="lt-LT"/>
        </w:rPr>
      </w:pPr>
      <w:proofErr w:type="spellStart"/>
      <w:r w:rsidRPr="001D5EBE">
        <w:rPr>
          <w:lang w:val="lt-LT"/>
        </w:rPr>
        <w:t>Gliukokortikoidų</w:t>
      </w:r>
      <w:proofErr w:type="spellEnd"/>
      <w:r w:rsidRPr="001D5EBE">
        <w:rPr>
          <w:lang w:val="lt-LT"/>
        </w:rPr>
        <w:t xml:space="preserve"> vartojantiems pacientams, nesirgusiems vėjaraupiais, juostine pūsleline ir tymais, reikia vengti kontaktų su asmenimis, sergančiais šiomis ligomis, nes padidėja susirgimo sunkiomis šių ligų formomis rizika.</w:t>
      </w:r>
    </w:p>
    <w:p w14:paraId="4F7C18B5" w14:textId="77777777" w:rsidR="003F33B8" w:rsidRPr="001D5EBE" w:rsidRDefault="003F33B8" w:rsidP="003F33B8">
      <w:pPr>
        <w:pStyle w:val="Pagrindinistekstas"/>
        <w:spacing w:after="0"/>
        <w:rPr>
          <w:szCs w:val="22"/>
        </w:rPr>
      </w:pPr>
    </w:p>
    <w:p w14:paraId="66CCC167" w14:textId="7BE6990F" w:rsidR="003F33B8" w:rsidRPr="001D5EBE" w:rsidRDefault="003F33B8" w:rsidP="003F33B8">
      <w:pPr>
        <w:pStyle w:val="Pagrindinistekstas"/>
        <w:spacing w:after="0"/>
        <w:rPr>
          <w:szCs w:val="22"/>
        </w:rPr>
      </w:pPr>
      <w:r w:rsidRPr="001D5EBE">
        <w:rPr>
          <w:szCs w:val="22"/>
        </w:rPr>
        <w:t xml:space="preserve">Gydymo </w:t>
      </w:r>
      <w:proofErr w:type="spellStart"/>
      <w:r w:rsidRPr="001D5EBE">
        <w:rPr>
          <w:szCs w:val="22"/>
        </w:rPr>
        <w:t>gliukokortikoidų</w:t>
      </w:r>
      <w:proofErr w:type="spellEnd"/>
      <w:r w:rsidRPr="001D5EBE">
        <w:rPr>
          <w:szCs w:val="22"/>
        </w:rPr>
        <w:t xml:space="preserve"> </w:t>
      </w:r>
      <w:r w:rsidR="00755BCD">
        <w:rPr>
          <w:szCs w:val="22"/>
        </w:rPr>
        <w:t xml:space="preserve">vaistiniais </w:t>
      </w:r>
      <w:r w:rsidRPr="001D5EBE">
        <w:rPr>
          <w:szCs w:val="22"/>
        </w:rPr>
        <w:t xml:space="preserve">preparatais metu pacientų vakcinuoti gyvomis ar gyvomis </w:t>
      </w:r>
      <w:proofErr w:type="spellStart"/>
      <w:r w:rsidRPr="001D5EBE">
        <w:rPr>
          <w:szCs w:val="22"/>
        </w:rPr>
        <w:t>atenuotomis</w:t>
      </w:r>
      <w:proofErr w:type="spellEnd"/>
      <w:r w:rsidRPr="001D5EBE">
        <w:rPr>
          <w:szCs w:val="22"/>
        </w:rPr>
        <w:t xml:space="preserve"> vakcinomis negalima, nes padidėja neurologinių komplikacijų ir sumažėjusio antikūnų atsako pavojus. Negyvomis ar </w:t>
      </w:r>
      <w:proofErr w:type="spellStart"/>
      <w:r w:rsidRPr="001D5EBE">
        <w:rPr>
          <w:szCs w:val="22"/>
        </w:rPr>
        <w:t>inaktyvuotomis</w:t>
      </w:r>
      <w:proofErr w:type="spellEnd"/>
      <w:r w:rsidRPr="001D5EBE">
        <w:rPr>
          <w:szCs w:val="22"/>
        </w:rPr>
        <w:t xml:space="preserve"> vakcinomis šiuos pacientus vakcinuoti galima, tačiau organizmo atsakas į tokią vakcinaciją gali būti silpnesnis.</w:t>
      </w:r>
    </w:p>
    <w:p w14:paraId="58246A9A" w14:textId="77777777" w:rsidR="003F33B8" w:rsidRPr="001D5EBE" w:rsidRDefault="003F33B8" w:rsidP="003F33B8">
      <w:pPr>
        <w:pStyle w:val="Pagrindinistekstas"/>
        <w:spacing w:after="0"/>
        <w:rPr>
          <w:szCs w:val="22"/>
        </w:rPr>
      </w:pPr>
    </w:p>
    <w:p w14:paraId="081A7C27" w14:textId="77777777" w:rsidR="003F33B8" w:rsidRPr="001D5EBE" w:rsidRDefault="003F33B8" w:rsidP="003F33B8">
      <w:pPr>
        <w:pStyle w:val="Pagrindinistekstas"/>
        <w:spacing w:after="0"/>
        <w:rPr>
          <w:szCs w:val="22"/>
        </w:rPr>
      </w:pPr>
      <w:r w:rsidRPr="001D5EBE">
        <w:rPr>
          <w:szCs w:val="22"/>
        </w:rPr>
        <w:t xml:space="preserve">Pacientams, sergantiems aktyvia tuberkulioze, kortikosteroidų reikėtų skirti tik žaibinei ar </w:t>
      </w:r>
      <w:proofErr w:type="spellStart"/>
      <w:r w:rsidRPr="001D5EBE">
        <w:rPr>
          <w:szCs w:val="22"/>
        </w:rPr>
        <w:t>diseminuotai</w:t>
      </w:r>
      <w:proofErr w:type="spellEnd"/>
      <w:r w:rsidRPr="001D5EBE">
        <w:rPr>
          <w:szCs w:val="22"/>
        </w:rPr>
        <w:t xml:space="preserve"> ligos formai gydyti, kartu su atitinkamais vaistiniais preparatais  nuo tuberkuliozės.</w:t>
      </w:r>
    </w:p>
    <w:p w14:paraId="7B198E59" w14:textId="77777777" w:rsidR="003F33B8" w:rsidRPr="001D5EBE" w:rsidRDefault="003F33B8" w:rsidP="003F33B8">
      <w:pPr>
        <w:pStyle w:val="Pagrindinistekstas"/>
        <w:spacing w:after="0"/>
        <w:rPr>
          <w:szCs w:val="22"/>
        </w:rPr>
      </w:pPr>
      <w:r w:rsidRPr="001D5EBE">
        <w:rPr>
          <w:szCs w:val="22"/>
        </w:rPr>
        <w:t xml:space="preserve">Jeigu </w:t>
      </w:r>
      <w:proofErr w:type="spellStart"/>
      <w:r w:rsidRPr="001D5EBE">
        <w:rPr>
          <w:szCs w:val="22"/>
        </w:rPr>
        <w:t>gliukokortikoidų</w:t>
      </w:r>
      <w:proofErr w:type="spellEnd"/>
      <w:r w:rsidRPr="001D5EBE">
        <w:rPr>
          <w:szCs w:val="22"/>
        </w:rPr>
        <w:t xml:space="preserve"> reikia skirti pacientui, kuris serga latentine tuberkulioze arba yra reaktyvus tuberkulinui, jį būtina atidžiai stebėti, kadangi liga gali vėl aktyvuotis. Jei toks pacientas ilgai vartoja </w:t>
      </w:r>
      <w:proofErr w:type="spellStart"/>
      <w:r w:rsidRPr="001D5EBE">
        <w:rPr>
          <w:szCs w:val="22"/>
        </w:rPr>
        <w:t>gliukokortikoidus</w:t>
      </w:r>
      <w:proofErr w:type="spellEnd"/>
      <w:r w:rsidRPr="001D5EBE">
        <w:rPr>
          <w:szCs w:val="22"/>
        </w:rPr>
        <w:t xml:space="preserve">, būtina </w:t>
      </w:r>
      <w:proofErr w:type="spellStart"/>
      <w:r w:rsidRPr="001D5EBE">
        <w:rPr>
          <w:szCs w:val="22"/>
        </w:rPr>
        <w:t>chemoprofilaktika</w:t>
      </w:r>
      <w:proofErr w:type="spellEnd"/>
      <w:r w:rsidRPr="001D5EBE">
        <w:rPr>
          <w:szCs w:val="22"/>
        </w:rPr>
        <w:t>.</w:t>
      </w:r>
    </w:p>
    <w:p w14:paraId="1E76F6A7" w14:textId="77777777" w:rsidR="003F33B8" w:rsidRPr="001D5EBE" w:rsidRDefault="003F33B8" w:rsidP="003F33B8">
      <w:pPr>
        <w:pStyle w:val="Pagrindinistekstas"/>
        <w:spacing w:after="0"/>
        <w:rPr>
          <w:szCs w:val="22"/>
        </w:rPr>
      </w:pPr>
    </w:p>
    <w:p w14:paraId="54E12422" w14:textId="77777777" w:rsidR="003F33B8" w:rsidRPr="001D5EBE" w:rsidRDefault="003F33B8" w:rsidP="003F33B8">
      <w:pPr>
        <w:pStyle w:val="Pagrindinistekstas"/>
        <w:spacing w:after="0"/>
        <w:rPr>
          <w:szCs w:val="22"/>
        </w:rPr>
      </w:pPr>
      <w:r w:rsidRPr="001D5EBE">
        <w:rPr>
          <w:szCs w:val="22"/>
        </w:rPr>
        <w:t xml:space="preserve">Gauta pranešimų apie </w:t>
      </w:r>
      <w:proofErr w:type="spellStart"/>
      <w:r w:rsidRPr="001D5EBE">
        <w:rPr>
          <w:szCs w:val="22"/>
        </w:rPr>
        <w:t>Kapoši</w:t>
      </w:r>
      <w:proofErr w:type="spellEnd"/>
      <w:r w:rsidRPr="001D5EBE">
        <w:rPr>
          <w:szCs w:val="22"/>
        </w:rPr>
        <w:t xml:space="preserve"> sarkomos pasireiškimą kortikosteroidais gydomiems ligoniams. Gydymą kortikosteroidais nutraukus, galima klinikinė remisija.</w:t>
      </w:r>
    </w:p>
    <w:p w14:paraId="5C34006B" w14:textId="77777777" w:rsidR="003F33B8" w:rsidRPr="001D5EBE" w:rsidRDefault="003F33B8" w:rsidP="003F33B8">
      <w:pPr>
        <w:pStyle w:val="Pagrindinistekstas"/>
        <w:spacing w:after="0"/>
        <w:rPr>
          <w:szCs w:val="22"/>
        </w:rPr>
      </w:pPr>
    </w:p>
    <w:p w14:paraId="5201016E" w14:textId="77777777" w:rsidR="003F33B8" w:rsidRPr="001D5EBE" w:rsidRDefault="003F33B8" w:rsidP="003F33B8">
      <w:pPr>
        <w:spacing w:line="240" w:lineRule="auto"/>
        <w:rPr>
          <w:iCs/>
          <w:lang w:val="lt-LT"/>
        </w:rPr>
      </w:pPr>
      <w:r w:rsidRPr="001D5EBE">
        <w:rPr>
          <w:lang w:val="lt-LT"/>
        </w:rPr>
        <w:t xml:space="preserve">Duomenys apie kortikosteroidų poveikį </w:t>
      </w:r>
      <w:proofErr w:type="spellStart"/>
      <w:r w:rsidRPr="001D5EBE">
        <w:rPr>
          <w:lang w:val="lt-LT"/>
        </w:rPr>
        <w:t>sepsinio</w:t>
      </w:r>
      <w:proofErr w:type="spellEnd"/>
      <w:r w:rsidRPr="001D5EBE">
        <w:rPr>
          <w:lang w:val="lt-LT"/>
        </w:rPr>
        <w:t xml:space="preserve"> šoko metu yra prieštaringi. Ankstyvųjų tyrimų metu gauta duomenų ir apie palankų, ir apie žalingą poveikį. Neseniai atliktų tyrimų metu nustatyta, kad papildomai skiriami kortikosteroidai gali sukelti palankų poveikį pacientui, kuriam yra nustatytas </w:t>
      </w:r>
      <w:proofErr w:type="spellStart"/>
      <w:r w:rsidRPr="001D5EBE">
        <w:rPr>
          <w:lang w:val="lt-LT"/>
        </w:rPr>
        <w:t>sepsinis</w:t>
      </w:r>
      <w:proofErr w:type="spellEnd"/>
      <w:r w:rsidRPr="001D5EBE">
        <w:rPr>
          <w:lang w:val="lt-LT"/>
        </w:rPr>
        <w:t xml:space="preserve"> šokas ir pasireiškė antinksčių nepakankamumas. </w:t>
      </w:r>
      <w:r w:rsidRPr="001D5EBE">
        <w:rPr>
          <w:iCs/>
          <w:lang w:val="lt-LT"/>
        </w:rPr>
        <w:t xml:space="preserve">Vis dėlto paprastai kortikosteroidų skirti pacientui, kuriam yra sepsis, nerekomenduojama. Sisteminės trumpo gydymo didelėmis kortikosteroidų dozėmis apžvalgos nepateikė jų vartojimą pagrindžiančių įrodymų. Vis dėlto </w:t>
      </w:r>
      <w:proofErr w:type="spellStart"/>
      <w:r w:rsidRPr="001D5EBE">
        <w:rPr>
          <w:iCs/>
          <w:lang w:val="lt-LT"/>
        </w:rPr>
        <w:t>metaanalizės</w:t>
      </w:r>
      <w:proofErr w:type="spellEnd"/>
      <w:r w:rsidRPr="001D5EBE">
        <w:rPr>
          <w:iCs/>
          <w:lang w:val="lt-LT"/>
        </w:rPr>
        <w:t xml:space="preserve"> ir apžvalga rodo, kad ilgesnis (5</w:t>
      </w:r>
      <w:r w:rsidRPr="001D5EBE">
        <w:rPr>
          <w:iCs/>
          <w:lang w:val="lt-LT"/>
        </w:rPr>
        <w:noBreakHyphen/>
        <w:t xml:space="preserve">11 dienų) gydymo mažomis kortikosteroidų dozėmis kursas gali mažinti mirtingumą, ypač pacientų, kurie reaguoja į </w:t>
      </w:r>
      <w:proofErr w:type="spellStart"/>
      <w:r w:rsidRPr="001D5EBE">
        <w:rPr>
          <w:iCs/>
          <w:lang w:val="lt-LT"/>
        </w:rPr>
        <w:t>sepsinio</w:t>
      </w:r>
      <w:proofErr w:type="spellEnd"/>
      <w:r w:rsidRPr="001D5EBE">
        <w:rPr>
          <w:iCs/>
          <w:lang w:val="lt-LT"/>
        </w:rPr>
        <w:t xml:space="preserve"> šoko gydymą kraujagysles sutraukiančiais vaistiniais preparatais.</w:t>
      </w:r>
    </w:p>
    <w:p w14:paraId="0BA0BCC5" w14:textId="77777777" w:rsidR="003F33B8" w:rsidRPr="001D5EBE" w:rsidRDefault="003F33B8" w:rsidP="003F33B8">
      <w:pPr>
        <w:pStyle w:val="Paragraph"/>
        <w:spacing w:after="0"/>
        <w:rPr>
          <w:sz w:val="22"/>
          <w:szCs w:val="22"/>
        </w:rPr>
      </w:pPr>
    </w:p>
    <w:p w14:paraId="307682F2" w14:textId="77777777" w:rsidR="003F33B8" w:rsidRPr="001D5EBE" w:rsidRDefault="003F33B8" w:rsidP="003F33B8">
      <w:pPr>
        <w:pStyle w:val="Paragraph"/>
        <w:spacing w:after="0"/>
        <w:rPr>
          <w:i/>
          <w:sz w:val="22"/>
          <w:szCs w:val="22"/>
        </w:rPr>
      </w:pPr>
      <w:r w:rsidRPr="001D5EBE">
        <w:rPr>
          <w:i/>
          <w:sz w:val="22"/>
          <w:szCs w:val="22"/>
        </w:rPr>
        <w:t>Poveikis imuninei sistemai</w:t>
      </w:r>
    </w:p>
    <w:p w14:paraId="4D8A4C4A" w14:textId="77777777" w:rsidR="003F33B8" w:rsidRPr="001D5EBE" w:rsidRDefault="003F33B8" w:rsidP="003F33B8">
      <w:pPr>
        <w:pStyle w:val="Pagrindinistekstas"/>
        <w:spacing w:after="0"/>
        <w:rPr>
          <w:szCs w:val="22"/>
        </w:rPr>
      </w:pPr>
      <w:r w:rsidRPr="001D5EBE">
        <w:rPr>
          <w:szCs w:val="22"/>
        </w:rPr>
        <w:t xml:space="preserve">Gali atsirasti alerginių reakcijų. Buvo retų atvejų, kai pacientams, vartojusiems </w:t>
      </w:r>
      <w:proofErr w:type="spellStart"/>
      <w:r w:rsidRPr="001D5EBE">
        <w:rPr>
          <w:szCs w:val="22"/>
        </w:rPr>
        <w:t>gliukokortikoidų</w:t>
      </w:r>
      <w:proofErr w:type="spellEnd"/>
      <w:r w:rsidRPr="001D5EBE">
        <w:rPr>
          <w:szCs w:val="22"/>
        </w:rPr>
        <w:t>, pasireiškė odos reakcijų ir anafilaksinių/</w:t>
      </w:r>
      <w:proofErr w:type="spellStart"/>
      <w:r w:rsidRPr="001D5EBE">
        <w:rPr>
          <w:szCs w:val="22"/>
        </w:rPr>
        <w:t>anafilaktoidinių</w:t>
      </w:r>
      <w:proofErr w:type="spellEnd"/>
      <w:r w:rsidRPr="001D5EBE">
        <w:rPr>
          <w:szCs w:val="22"/>
        </w:rPr>
        <w:t xml:space="preserve"> reakcijų, todėl prieš vartojimą būtina imtis reikiamų atsargumo priemonių, ypač jei anksčiau buvo pasireiškusi alergija kokiam nors </w:t>
      </w:r>
      <w:proofErr w:type="spellStart"/>
      <w:r w:rsidRPr="001D5EBE">
        <w:rPr>
          <w:szCs w:val="22"/>
        </w:rPr>
        <w:t>vaistiniui</w:t>
      </w:r>
      <w:proofErr w:type="spellEnd"/>
      <w:r w:rsidRPr="001D5EBE">
        <w:rPr>
          <w:szCs w:val="22"/>
        </w:rPr>
        <w:t xml:space="preserve"> preparatui.</w:t>
      </w:r>
    </w:p>
    <w:p w14:paraId="4D9D8C92" w14:textId="77777777" w:rsidR="003F33B8" w:rsidRPr="001D5EBE" w:rsidRDefault="003F33B8" w:rsidP="003F33B8">
      <w:pPr>
        <w:pStyle w:val="Pagrindinistekstas"/>
        <w:spacing w:after="0"/>
        <w:rPr>
          <w:szCs w:val="22"/>
        </w:rPr>
      </w:pPr>
    </w:p>
    <w:p w14:paraId="3026A724" w14:textId="77777777" w:rsidR="003F33B8" w:rsidRPr="001D5EBE" w:rsidRDefault="003F33B8" w:rsidP="003F33B8">
      <w:pPr>
        <w:pStyle w:val="Paragraph"/>
        <w:spacing w:after="0"/>
        <w:rPr>
          <w:i/>
          <w:sz w:val="22"/>
          <w:szCs w:val="22"/>
        </w:rPr>
      </w:pPr>
      <w:r w:rsidRPr="001D5EBE">
        <w:rPr>
          <w:i/>
          <w:sz w:val="22"/>
          <w:szCs w:val="22"/>
        </w:rPr>
        <w:t>Poveikis endokrininei sistemai</w:t>
      </w:r>
    </w:p>
    <w:p w14:paraId="55E6CB58" w14:textId="77777777" w:rsidR="003F33B8" w:rsidRPr="001D5EBE" w:rsidRDefault="003F33B8" w:rsidP="003F33B8">
      <w:pPr>
        <w:pStyle w:val="Paragraph"/>
        <w:spacing w:after="0"/>
        <w:rPr>
          <w:iCs/>
          <w:sz w:val="22"/>
          <w:szCs w:val="22"/>
        </w:rPr>
      </w:pPr>
      <w:r w:rsidRPr="001D5EBE">
        <w:rPr>
          <w:iCs/>
          <w:sz w:val="22"/>
          <w:szCs w:val="22"/>
        </w:rPr>
        <w:t>Jei kortikosteroidais gydomas pacientas patiria neįprastą stresą, prieš stresinės situacijos atsiradimą, stresinių aplinkybių metu ir po patirtos stresinės situacijos reikia padidinti greito poveikio kortikosteroidų dozę.</w:t>
      </w:r>
    </w:p>
    <w:p w14:paraId="1213E2D0" w14:textId="77777777" w:rsidR="003F33B8" w:rsidRPr="001D5EBE" w:rsidRDefault="003F33B8" w:rsidP="003F33B8">
      <w:pPr>
        <w:pStyle w:val="Paragraph"/>
        <w:spacing w:after="0"/>
        <w:rPr>
          <w:iCs/>
          <w:sz w:val="22"/>
          <w:szCs w:val="22"/>
        </w:rPr>
      </w:pPr>
    </w:p>
    <w:p w14:paraId="1FF0F1FF" w14:textId="77777777" w:rsidR="003F33B8" w:rsidRPr="001D5EBE" w:rsidRDefault="003F33B8" w:rsidP="003F33B8">
      <w:pPr>
        <w:pStyle w:val="Paragraph"/>
        <w:spacing w:after="0"/>
        <w:rPr>
          <w:sz w:val="22"/>
          <w:szCs w:val="22"/>
        </w:rPr>
      </w:pPr>
      <w:r w:rsidRPr="001D5EBE">
        <w:rPr>
          <w:sz w:val="22"/>
          <w:szCs w:val="22"/>
        </w:rPr>
        <w:t xml:space="preserve">Ilgai farmakologinį poveikį sukeliančiomis dozėmis vartojami kortikosteroidai gali sukelti pogumburio, </w:t>
      </w:r>
      <w:proofErr w:type="spellStart"/>
      <w:r w:rsidRPr="001D5EBE">
        <w:rPr>
          <w:sz w:val="22"/>
          <w:szCs w:val="22"/>
        </w:rPr>
        <w:t>hipofizės</w:t>
      </w:r>
      <w:proofErr w:type="spellEnd"/>
      <w:r w:rsidRPr="001D5EBE">
        <w:rPr>
          <w:sz w:val="22"/>
          <w:szCs w:val="22"/>
        </w:rPr>
        <w:t xml:space="preserve"> ir antinksčių (PHA) sistemos slopinimą (antrinį antinksčių nepakankamumą). Tokio antinksčių slopinimo sunkumas ir trukmė gali būti įvairūs ir priklauso nuo dozės, vartojimo dažnumo, vartojimo laiko ir gydymo </w:t>
      </w:r>
      <w:proofErr w:type="spellStart"/>
      <w:r w:rsidRPr="001D5EBE">
        <w:rPr>
          <w:sz w:val="22"/>
          <w:szCs w:val="22"/>
        </w:rPr>
        <w:t>gliukokortikoidais</w:t>
      </w:r>
      <w:proofErr w:type="spellEnd"/>
      <w:r w:rsidRPr="001D5EBE">
        <w:rPr>
          <w:sz w:val="22"/>
          <w:szCs w:val="22"/>
        </w:rPr>
        <w:t xml:space="preserve"> trukmės. Tokį poveikį galima sumažinti iki minimumo </w:t>
      </w:r>
      <w:proofErr w:type="spellStart"/>
      <w:r w:rsidRPr="001D5EBE">
        <w:rPr>
          <w:sz w:val="22"/>
          <w:szCs w:val="22"/>
        </w:rPr>
        <w:t>gliukokortikoidų</w:t>
      </w:r>
      <w:proofErr w:type="spellEnd"/>
      <w:r w:rsidRPr="001D5EBE">
        <w:rPr>
          <w:sz w:val="22"/>
          <w:szCs w:val="22"/>
        </w:rPr>
        <w:t xml:space="preserve"> vartojant kas antrą dieną.</w:t>
      </w:r>
    </w:p>
    <w:p w14:paraId="79809275" w14:textId="77777777" w:rsidR="003F33B8" w:rsidRPr="001D5EBE" w:rsidRDefault="003F33B8" w:rsidP="003F33B8">
      <w:pPr>
        <w:pStyle w:val="Paragraph"/>
        <w:spacing w:after="0"/>
        <w:rPr>
          <w:sz w:val="22"/>
          <w:szCs w:val="22"/>
        </w:rPr>
      </w:pPr>
    </w:p>
    <w:p w14:paraId="547F9601" w14:textId="77777777" w:rsidR="003F33B8" w:rsidRPr="001D5EBE" w:rsidRDefault="003F33B8" w:rsidP="003F33B8">
      <w:pPr>
        <w:pStyle w:val="Paragraph"/>
        <w:spacing w:after="0"/>
        <w:rPr>
          <w:sz w:val="22"/>
          <w:szCs w:val="22"/>
        </w:rPr>
      </w:pPr>
      <w:r w:rsidRPr="001D5EBE">
        <w:rPr>
          <w:sz w:val="22"/>
          <w:szCs w:val="22"/>
        </w:rPr>
        <w:t xml:space="preserve">Jei gydymas </w:t>
      </w:r>
      <w:proofErr w:type="spellStart"/>
      <w:r w:rsidRPr="001D5EBE">
        <w:rPr>
          <w:sz w:val="22"/>
          <w:szCs w:val="22"/>
        </w:rPr>
        <w:t>gliukokortikoidais</w:t>
      </w:r>
      <w:proofErr w:type="spellEnd"/>
      <w:r w:rsidRPr="001D5EBE">
        <w:rPr>
          <w:sz w:val="22"/>
          <w:szCs w:val="22"/>
        </w:rPr>
        <w:t xml:space="preserve"> nutraukiamas staiga, gali pasireikšti ūminis antinksčių nepakankamumas, kuris gali būti mirtinas.</w:t>
      </w:r>
    </w:p>
    <w:p w14:paraId="3DAA75D0" w14:textId="77777777" w:rsidR="003F33B8" w:rsidRPr="001D5EBE" w:rsidRDefault="003F33B8" w:rsidP="003F33B8">
      <w:pPr>
        <w:pStyle w:val="Paragraph"/>
        <w:spacing w:after="0"/>
        <w:rPr>
          <w:sz w:val="22"/>
          <w:szCs w:val="22"/>
        </w:rPr>
      </w:pPr>
    </w:p>
    <w:p w14:paraId="4F76710C" w14:textId="77777777" w:rsidR="003F33B8" w:rsidRPr="001D5EBE" w:rsidRDefault="003F33B8" w:rsidP="003F33B8">
      <w:pPr>
        <w:pStyle w:val="Paragraph"/>
        <w:spacing w:after="0"/>
        <w:rPr>
          <w:sz w:val="22"/>
          <w:szCs w:val="22"/>
        </w:rPr>
      </w:pPr>
      <w:r w:rsidRPr="001D5EBE">
        <w:rPr>
          <w:sz w:val="22"/>
          <w:szCs w:val="22"/>
        </w:rPr>
        <w:t xml:space="preserve">Vaistinių preparatų sukeltą antrinį antinksčių nepakankamumą galima sumažinti iki minimumo laipsniškai mažinant dozę. Tokio pobūdžio reliatyvus nepakankamumas gali išlikti kelis mėnesius po gydymo nutraukimo, todėl, jei tuo laikotarpiu pasireiškia bet kokia stresinė situacija, gydymą hormonais būtina atnaujinti. </w:t>
      </w:r>
    </w:p>
    <w:p w14:paraId="0DDBB3F3" w14:textId="77777777" w:rsidR="003F33B8" w:rsidRPr="001D5EBE" w:rsidRDefault="003F33B8" w:rsidP="003F33B8">
      <w:pPr>
        <w:pStyle w:val="Paragraph"/>
        <w:spacing w:after="0"/>
        <w:rPr>
          <w:sz w:val="22"/>
          <w:szCs w:val="22"/>
        </w:rPr>
      </w:pPr>
    </w:p>
    <w:p w14:paraId="40933BE8" w14:textId="77777777" w:rsidR="003F33B8" w:rsidRPr="001D5EBE" w:rsidRDefault="003F33B8" w:rsidP="003F33B8">
      <w:pPr>
        <w:pStyle w:val="Paragraph"/>
        <w:spacing w:after="0"/>
        <w:rPr>
          <w:sz w:val="22"/>
          <w:szCs w:val="22"/>
        </w:rPr>
      </w:pPr>
      <w:r w:rsidRPr="001D5EBE">
        <w:rPr>
          <w:sz w:val="22"/>
          <w:szCs w:val="22"/>
        </w:rPr>
        <w:t xml:space="preserve">Greitai nutraukus gydymą </w:t>
      </w:r>
      <w:proofErr w:type="spellStart"/>
      <w:r w:rsidRPr="001D5EBE">
        <w:rPr>
          <w:sz w:val="22"/>
          <w:szCs w:val="22"/>
        </w:rPr>
        <w:t>gliukokortikoidais</w:t>
      </w:r>
      <w:proofErr w:type="spellEnd"/>
      <w:r w:rsidRPr="001D5EBE">
        <w:rPr>
          <w:sz w:val="22"/>
          <w:szCs w:val="22"/>
        </w:rPr>
        <w:t xml:space="preserve">, gali pasireikšti steroidų nutraukimo sindromas, kuris tikriausiai nėra susijęs su antinksčių nepakankamumu. Šiam sindromui būdingi simptomai yra anoreksija, pykinimas, vėmimas, letargija, galvos skausmas, karščiavimas, sąnarių skausmas, </w:t>
      </w:r>
      <w:proofErr w:type="spellStart"/>
      <w:r w:rsidRPr="001D5EBE">
        <w:rPr>
          <w:sz w:val="22"/>
          <w:szCs w:val="22"/>
        </w:rPr>
        <w:t>deskvamacija</w:t>
      </w:r>
      <w:proofErr w:type="spellEnd"/>
      <w:r w:rsidRPr="001D5EBE">
        <w:rPr>
          <w:sz w:val="22"/>
          <w:szCs w:val="22"/>
        </w:rPr>
        <w:t xml:space="preserve">, </w:t>
      </w:r>
      <w:proofErr w:type="spellStart"/>
      <w:r w:rsidRPr="001D5EBE">
        <w:rPr>
          <w:sz w:val="22"/>
          <w:szCs w:val="22"/>
        </w:rPr>
        <w:t>mialgija</w:t>
      </w:r>
      <w:proofErr w:type="spellEnd"/>
      <w:r w:rsidRPr="001D5EBE">
        <w:rPr>
          <w:sz w:val="22"/>
          <w:szCs w:val="22"/>
        </w:rPr>
        <w:t xml:space="preserve">, kūno svorio mažėjimas ir (arba) </w:t>
      </w:r>
      <w:proofErr w:type="spellStart"/>
      <w:r w:rsidRPr="001D5EBE">
        <w:rPr>
          <w:sz w:val="22"/>
          <w:szCs w:val="22"/>
        </w:rPr>
        <w:t>hipotenzija</w:t>
      </w:r>
      <w:proofErr w:type="spellEnd"/>
      <w:r w:rsidRPr="001D5EBE">
        <w:rPr>
          <w:sz w:val="22"/>
          <w:szCs w:val="22"/>
        </w:rPr>
        <w:t xml:space="preserve">. Manoma, kad tokį poveikį sukelia staigus </w:t>
      </w:r>
      <w:proofErr w:type="spellStart"/>
      <w:r w:rsidRPr="001D5EBE">
        <w:rPr>
          <w:sz w:val="22"/>
          <w:szCs w:val="22"/>
        </w:rPr>
        <w:t>gliukokortikoidų</w:t>
      </w:r>
      <w:proofErr w:type="spellEnd"/>
      <w:r w:rsidRPr="001D5EBE">
        <w:rPr>
          <w:sz w:val="22"/>
          <w:szCs w:val="22"/>
        </w:rPr>
        <w:t xml:space="preserve"> koncentracijos pokytis, o ne maža jų koncentracija.</w:t>
      </w:r>
    </w:p>
    <w:p w14:paraId="6B6E09D2" w14:textId="77777777" w:rsidR="003F33B8" w:rsidRPr="001D5EBE" w:rsidRDefault="003F33B8" w:rsidP="003F33B8">
      <w:pPr>
        <w:pStyle w:val="Paragraph"/>
        <w:spacing w:after="0"/>
        <w:rPr>
          <w:sz w:val="22"/>
          <w:szCs w:val="22"/>
        </w:rPr>
      </w:pPr>
    </w:p>
    <w:p w14:paraId="777BB59F" w14:textId="77777777" w:rsidR="003F33B8" w:rsidRPr="001D5EBE" w:rsidRDefault="003F33B8" w:rsidP="003F33B8">
      <w:pPr>
        <w:pStyle w:val="Paragraph"/>
        <w:spacing w:after="0"/>
        <w:rPr>
          <w:sz w:val="22"/>
          <w:szCs w:val="22"/>
        </w:rPr>
      </w:pPr>
      <w:proofErr w:type="spellStart"/>
      <w:r w:rsidRPr="001D5EBE">
        <w:rPr>
          <w:sz w:val="22"/>
          <w:szCs w:val="22"/>
        </w:rPr>
        <w:t>Gliukokortikoidai</w:t>
      </w:r>
      <w:proofErr w:type="spellEnd"/>
      <w:r w:rsidRPr="001D5EBE">
        <w:rPr>
          <w:sz w:val="22"/>
          <w:szCs w:val="22"/>
        </w:rPr>
        <w:t xml:space="preserve"> gali sukelti ar pasunkinti </w:t>
      </w:r>
      <w:proofErr w:type="spellStart"/>
      <w:r w:rsidRPr="001D5EBE">
        <w:rPr>
          <w:sz w:val="22"/>
          <w:szCs w:val="22"/>
        </w:rPr>
        <w:t>Kušingo</w:t>
      </w:r>
      <w:proofErr w:type="spellEnd"/>
      <w:r w:rsidRPr="001D5EBE">
        <w:rPr>
          <w:sz w:val="22"/>
          <w:szCs w:val="22"/>
        </w:rPr>
        <w:t xml:space="preserve"> sindromą, todėl jų nerekomenduojama vartoti </w:t>
      </w:r>
      <w:proofErr w:type="spellStart"/>
      <w:r w:rsidRPr="001D5EBE">
        <w:rPr>
          <w:sz w:val="22"/>
          <w:szCs w:val="22"/>
        </w:rPr>
        <w:t>Kušingo</w:t>
      </w:r>
      <w:proofErr w:type="spellEnd"/>
      <w:r w:rsidRPr="001D5EBE">
        <w:rPr>
          <w:sz w:val="22"/>
          <w:szCs w:val="22"/>
        </w:rPr>
        <w:t xml:space="preserve"> liga sergantiems ligoniams.</w:t>
      </w:r>
    </w:p>
    <w:p w14:paraId="5FF38A2C" w14:textId="77777777" w:rsidR="003F33B8" w:rsidRPr="001D5EBE" w:rsidRDefault="003F33B8" w:rsidP="003F33B8">
      <w:pPr>
        <w:pStyle w:val="Paragraph"/>
        <w:spacing w:after="0"/>
        <w:rPr>
          <w:sz w:val="22"/>
          <w:szCs w:val="22"/>
        </w:rPr>
      </w:pPr>
    </w:p>
    <w:p w14:paraId="1D08AC1A" w14:textId="77777777" w:rsidR="003F33B8" w:rsidRPr="001D5EBE" w:rsidRDefault="003F33B8" w:rsidP="003F33B8">
      <w:pPr>
        <w:pStyle w:val="Paragraph"/>
        <w:spacing w:after="0"/>
        <w:rPr>
          <w:sz w:val="22"/>
          <w:szCs w:val="22"/>
        </w:rPr>
      </w:pPr>
      <w:r w:rsidRPr="001D5EBE">
        <w:rPr>
          <w:sz w:val="22"/>
          <w:szCs w:val="22"/>
        </w:rPr>
        <w:t xml:space="preserve">Pacientams, kuriems yra </w:t>
      </w:r>
      <w:proofErr w:type="spellStart"/>
      <w:r w:rsidRPr="001D5EBE">
        <w:rPr>
          <w:sz w:val="22"/>
          <w:szCs w:val="22"/>
        </w:rPr>
        <w:t>hipotiroidizmas</w:t>
      </w:r>
      <w:proofErr w:type="spellEnd"/>
      <w:r w:rsidRPr="001D5EBE">
        <w:rPr>
          <w:sz w:val="22"/>
          <w:szCs w:val="22"/>
        </w:rPr>
        <w:t>, kortikosteroidų poveikis būna stipresnis.</w:t>
      </w:r>
    </w:p>
    <w:p w14:paraId="70BF2D6C" w14:textId="77777777" w:rsidR="003F33B8" w:rsidRPr="001D5EBE" w:rsidRDefault="003F33B8" w:rsidP="003F33B8">
      <w:pPr>
        <w:pStyle w:val="Paragraph"/>
        <w:spacing w:after="0"/>
        <w:rPr>
          <w:sz w:val="22"/>
          <w:szCs w:val="22"/>
        </w:rPr>
      </w:pPr>
    </w:p>
    <w:p w14:paraId="713E691D" w14:textId="77777777" w:rsidR="003F33B8" w:rsidRPr="001D5EBE" w:rsidRDefault="003F33B8" w:rsidP="003F33B8">
      <w:pPr>
        <w:pStyle w:val="Paragraph"/>
        <w:spacing w:after="0"/>
        <w:rPr>
          <w:i/>
          <w:sz w:val="22"/>
          <w:szCs w:val="22"/>
        </w:rPr>
      </w:pPr>
      <w:r w:rsidRPr="001D5EBE">
        <w:rPr>
          <w:i/>
          <w:sz w:val="22"/>
          <w:szCs w:val="22"/>
        </w:rPr>
        <w:t>Metabolizmas ir mityba</w:t>
      </w:r>
    </w:p>
    <w:p w14:paraId="0253787F" w14:textId="77777777" w:rsidR="003F33B8" w:rsidRPr="001D5EBE" w:rsidRDefault="003F33B8" w:rsidP="003F33B8">
      <w:pPr>
        <w:pStyle w:val="Paragraph"/>
        <w:spacing w:after="0"/>
        <w:rPr>
          <w:sz w:val="22"/>
          <w:szCs w:val="22"/>
        </w:rPr>
      </w:pPr>
      <w:r w:rsidRPr="001D5EBE">
        <w:rPr>
          <w:sz w:val="22"/>
          <w:szCs w:val="22"/>
        </w:rPr>
        <w:t xml:space="preserve">Kortikosteroidai, įskaitant </w:t>
      </w:r>
      <w:proofErr w:type="spellStart"/>
      <w:r w:rsidRPr="001D5EBE">
        <w:rPr>
          <w:sz w:val="22"/>
          <w:szCs w:val="22"/>
        </w:rPr>
        <w:t>metilprednizoloną</w:t>
      </w:r>
      <w:proofErr w:type="spellEnd"/>
      <w:r w:rsidRPr="001D5EBE">
        <w:rPr>
          <w:sz w:val="22"/>
          <w:szCs w:val="22"/>
        </w:rPr>
        <w:t>, gali didinti gliukozės koncentraciją kraujyje, pasunkinti diabetą ar paskatinti jo atsiradimą ilgalaikio gydymo atveju.</w:t>
      </w:r>
    </w:p>
    <w:p w14:paraId="57425675" w14:textId="77777777" w:rsidR="003F33B8" w:rsidRPr="001D5EBE" w:rsidRDefault="003F33B8" w:rsidP="003F33B8">
      <w:pPr>
        <w:pStyle w:val="Paragraph"/>
        <w:spacing w:after="0"/>
        <w:rPr>
          <w:sz w:val="22"/>
          <w:szCs w:val="22"/>
        </w:rPr>
      </w:pPr>
    </w:p>
    <w:p w14:paraId="26FBBACC" w14:textId="77777777" w:rsidR="003F33B8" w:rsidRPr="001D5EBE" w:rsidRDefault="003F33B8" w:rsidP="003F33B8">
      <w:pPr>
        <w:pStyle w:val="Paragraph"/>
        <w:spacing w:after="0"/>
        <w:rPr>
          <w:i/>
          <w:sz w:val="22"/>
          <w:szCs w:val="22"/>
        </w:rPr>
      </w:pPr>
      <w:r w:rsidRPr="001D5EBE">
        <w:rPr>
          <w:i/>
          <w:sz w:val="22"/>
          <w:szCs w:val="22"/>
        </w:rPr>
        <w:t>Poveikis psichinei būklei</w:t>
      </w:r>
    </w:p>
    <w:p w14:paraId="2239EAFE" w14:textId="77777777" w:rsidR="003F33B8" w:rsidRPr="001D5EBE" w:rsidRDefault="003F33B8" w:rsidP="003F33B8">
      <w:pPr>
        <w:pStyle w:val="Paragraph"/>
        <w:spacing w:after="0"/>
        <w:rPr>
          <w:sz w:val="22"/>
          <w:szCs w:val="22"/>
        </w:rPr>
      </w:pPr>
      <w:r w:rsidRPr="001D5EBE">
        <w:rPr>
          <w:sz w:val="22"/>
          <w:szCs w:val="22"/>
        </w:rPr>
        <w:t>Vartojant kortikosteroidų, gali atsirasti psichikos sutrikimų, tokių kaip euforija, nemiga, nuotaikos svyravimai, asmenybės pokyčiai, sunki depresija ir net akivaizdžių psichozės simptomų. Be to, vartojant kortikosteroidų, gali pasunkėti esamas emocinis nestabilumas ar polinkis į psichozę.</w:t>
      </w:r>
    </w:p>
    <w:p w14:paraId="22F8E5AC" w14:textId="77777777" w:rsidR="003F33B8" w:rsidRPr="001D5EBE" w:rsidRDefault="003F33B8" w:rsidP="003F33B8">
      <w:pPr>
        <w:pStyle w:val="Paragraph"/>
        <w:spacing w:after="0"/>
        <w:rPr>
          <w:sz w:val="22"/>
          <w:szCs w:val="22"/>
        </w:rPr>
      </w:pPr>
    </w:p>
    <w:p w14:paraId="418FB154" w14:textId="77777777" w:rsidR="003F33B8" w:rsidRPr="001D5EBE" w:rsidRDefault="003F33B8" w:rsidP="003F33B8">
      <w:pPr>
        <w:pStyle w:val="Paragraph"/>
        <w:spacing w:after="0"/>
        <w:rPr>
          <w:sz w:val="22"/>
          <w:szCs w:val="22"/>
        </w:rPr>
      </w:pPr>
      <w:r w:rsidRPr="001D5EBE">
        <w:rPr>
          <w:sz w:val="22"/>
          <w:szCs w:val="22"/>
        </w:rPr>
        <w:t>Vartojant sisteminio poveikio steroidų, gali atsirasti nepageidaujamų psichikos reakcijų, kurios gali būti sunkios. Simptomų paprastai atsiranda per kelias dienas ar savaites nuo gydymo pradžios. Dauguma reakcijų išnyksta sumažinus dozę ar nutraukus steroidų vartojimą, tačiau gali prireikti ir specifinio gydymo. Gauta pranešimų apie psichikos pokyčius po gydymo kortikosteroidais nutraukimo, tokio poveikio dažnis nėra žinomas. Pacientai ir jų globėjai turi neabejodami kreiptis į medikus, jei ligoniui atsiranda psichikos sutrikimų simptomų, ypač jei manoma, kad pasireiškia depresinė nuotaika ar atsiranda minčių apie savižudybę. Pacientai ir jų globėjai turi būti perspėti apie galimus psichikos sutrikimus mažinant dozę ar nutraukiant sisteminio poveikio steroidų vartojimą arba iš karto po to.</w:t>
      </w:r>
    </w:p>
    <w:p w14:paraId="4092C60C" w14:textId="77777777" w:rsidR="003F33B8" w:rsidRPr="001D5EBE" w:rsidRDefault="003F33B8" w:rsidP="003F33B8">
      <w:pPr>
        <w:pStyle w:val="Paragraph"/>
        <w:spacing w:after="0"/>
        <w:rPr>
          <w:sz w:val="22"/>
          <w:szCs w:val="22"/>
        </w:rPr>
      </w:pPr>
    </w:p>
    <w:p w14:paraId="59C48EBA" w14:textId="77777777" w:rsidR="003F33B8" w:rsidRPr="001D5EBE" w:rsidRDefault="003F33B8" w:rsidP="003F33B8">
      <w:pPr>
        <w:pStyle w:val="Paragraph"/>
        <w:spacing w:after="0"/>
        <w:rPr>
          <w:i/>
          <w:sz w:val="22"/>
          <w:szCs w:val="22"/>
        </w:rPr>
      </w:pPr>
      <w:r w:rsidRPr="001D5EBE">
        <w:rPr>
          <w:i/>
          <w:sz w:val="22"/>
          <w:szCs w:val="22"/>
        </w:rPr>
        <w:t>Poveikis nervų sistemai</w:t>
      </w:r>
    </w:p>
    <w:p w14:paraId="64A463A3" w14:textId="77777777" w:rsidR="003F33B8" w:rsidRPr="001D5EBE" w:rsidRDefault="003F33B8" w:rsidP="003F33B8">
      <w:pPr>
        <w:pStyle w:val="Paragraph"/>
        <w:spacing w:after="0"/>
        <w:rPr>
          <w:sz w:val="22"/>
          <w:szCs w:val="22"/>
        </w:rPr>
      </w:pPr>
      <w:r w:rsidRPr="001D5EBE">
        <w:rPr>
          <w:sz w:val="22"/>
          <w:szCs w:val="22"/>
        </w:rPr>
        <w:t>Pacientams, sergantiems traukuliais pasireiškiančia liga, kortikosteroidų būtina vartoti atsargiai.</w:t>
      </w:r>
    </w:p>
    <w:p w14:paraId="118F5DE7" w14:textId="77777777" w:rsidR="003F33B8" w:rsidRPr="001D5EBE" w:rsidRDefault="003F33B8" w:rsidP="003F33B8">
      <w:pPr>
        <w:pStyle w:val="Paragraph"/>
        <w:spacing w:after="0"/>
        <w:rPr>
          <w:sz w:val="22"/>
          <w:szCs w:val="22"/>
        </w:rPr>
      </w:pPr>
    </w:p>
    <w:p w14:paraId="441219CB" w14:textId="77777777" w:rsidR="003F33B8" w:rsidRPr="001D5EBE" w:rsidRDefault="003F33B8" w:rsidP="003F33B8">
      <w:pPr>
        <w:pStyle w:val="Paragraph"/>
        <w:spacing w:after="0"/>
        <w:rPr>
          <w:sz w:val="22"/>
          <w:szCs w:val="22"/>
        </w:rPr>
      </w:pPr>
      <w:r w:rsidRPr="001D5EBE">
        <w:rPr>
          <w:sz w:val="22"/>
          <w:szCs w:val="22"/>
        </w:rPr>
        <w:t xml:space="preserve">Sunkiąja </w:t>
      </w:r>
      <w:proofErr w:type="spellStart"/>
      <w:r w:rsidRPr="001D5EBE">
        <w:rPr>
          <w:sz w:val="22"/>
          <w:szCs w:val="22"/>
        </w:rPr>
        <w:t>miastenija</w:t>
      </w:r>
      <w:proofErr w:type="spellEnd"/>
      <w:r w:rsidRPr="001D5EBE">
        <w:rPr>
          <w:sz w:val="22"/>
          <w:szCs w:val="22"/>
        </w:rPr>
        <w:t xml:space="preserve"> sergantiems ligoniams kortikosteroidų būtina vartoti atsargiai (taip pat žr. informaciją apie </w:t>
      </w:r>
      <w:proofErr w:type="spellStart"/>
      <w:r w:rsidRPr="001D5EBE">
        <w:rPr>
          <w:sz w:val="22"/>
          <w:szCs w:val="22"/>
        </w:rPr>
        <w:t>miopatiją</w:t>
      </w:r>
      <w:proofErr w:type="spellEnd"/>
      <w:r w:rsidRPr="001D5EBE">
        <w:rPr>
          <w:sz w:val="22"/>
          <w:szCs w:val="22"/>
        </w:rPr>
        <w:t xml:space="preserve"> </w:t>
      </w:r>
      <w:r w:rsidRPr="001D5EBE">
        <w:rPr>
          <w:iCs/>
          <w:sz w:val="22"/>
          <w:szCs w:val="22"/>
        </w:rPr>
        <w:t>skyrelyje</w:t>
      </w:r>
      <w:r w:rsidRPr="001D5EBE">
        <w:rPr>
          <w:sz w:val="22"/>
          <w:szCs w:val="22"/>
        </w:rPr>
        <w:t xml:space="preserve"> „Poveikis skeleto ir raumenų sistemai“).</w:t>
      </w:r>
    </w:p>
    <w:p w14:paraId="05746767" w14:textId="77777777" w:rsidR="003F33B8" w:rsidRPr="001D5EBE" w:rsidRDefault="003F33B8" w:rsidP="003F33B8">
      <w:pPr>
        <w:pStyle w:val="Pagrindinistekstas"/>
        <w:spacing w:after="0"/>
        <w:rPr>
          <w:szCs w:val="22"/>
        </w:rPr>
      </w:pPr>
    </w:p>
    <w:p w14:paraId="5DAF880C" w14:textId="77777777" w:rsidR="003F33B8" w:rsidRPr="001D5EBE" w:rsidRDefault="003F33B8" w:rsidP="003F33B8">
      <w:pPr>
        <w:pStyle w:val="Paragraph"/>
        <w:spacing w:after="0"/>
        <w:rPr>
          <w:iCs/>
          <w:sz w:val="22"/>
          <w:szCs w:val="22"/>
        </w:rPr>
      </w:pPr>
      <w:r w:rsidRPr="001D5EBE">
        <w:rPr>
          <w:iCs/>
          <w:sz w:val="22"/>
          <w:szCs w:val="22"/>
        </w:rPr>
        <w:t>Nors kontroliuojamieji klinikiniai tyrimai parodė, kad kortikosteroidai veiksmingai stabdo išsėtinės sklerozės paūmėjimo progresavimą, duomenys nerodo, kad kortikosteroidai turėtų įtakos galutinei baigčiai ar natūraliai ligos istorijai. Šie tyrimai rodo, kad būtina vartoti santykinai dideles kortikosteroidų dozes reikšmingam poveikiui sukelti.</w:t>
      </w:r>
    </w:p>
    <w:p w14:paraId="320325F4" w14:textId="77777777" w:rsidR="003F33B8" w:rsidRPr="001D5EBE" w:rsidRDefault="003F33B8" w:rsidP="003F33B8">
      <w:pPr>
        <w:pStyle w:val="Paragraph"/>
        <w:spacing w:after="0"/>
        <w:rPr>
          <w:iCs/>
          <w:sz w:val="22"/>
          <w:szCs w:val="22"/>
        </w:rPr>
      </w:pPr>
    </w:p>
    <w:p w14:paraId="3DD3C334" w14:textId="77777777" w:rsidR="003F33B8" w:rsidRPr="001D5EBE" w:rsidRDefault="003F33B8" w:rsidP="003F33B8">
      <w:pPr>
        <w:pStyle w:val="Paragraph"/>
        <w:spacing w:after="0"/>
        <w:rPr>
          <w:iCs/>
          <w:sz w:val="22"/>
          <w:szCs w:val="22"/>
        </w:rPr>
      </w:pPr>
      <w:r w:rsidRPr="001D5EBE">
        <w:rPr>
          <w:iCs/>
          <w:sz w:val="22"/>
          <w:szCs w:val="22"/>
        </w:rPr>
        <w:t xml:space="preserve">Buvo pranešta apie sunkius nepageidaujamus reiškinius, susijusius su vaistinio preparato suleidimu </w:t>
      </w:r>
      <w:r w:rsidRPr="001D5EBE">
        <w:rPr>
          <w:sz w:val="22"/>
          <w:szCs w:val="22"/>
        </w:rPr>
        <w:t xml:space="preserve">į </w:t>
      </w:r>
      <w:proofErr w:type="spellStart"/>
      <w:r w:rsidRPr="001D5EBE">
        <w:rPr>
          <w:sz w:val="22"/>
          <w:szCs w:val="22"/>
        </w:rPr>
        <w:t>povoratinklinę</w:t>
      </w:r>
      <w:proofErr w:type="spellEnd"/>
      <w:r w:rsidRPr="001D5EBE">
        <w:rPr>
          <w:sz w:val="22"/>
          <w:szCs w:val="22"/>
        </w:rPr>
        <w:t xml:space="preserve"> </w:t>
      </w:r>
      <w:r w:rsidRPr="001D5EBE">
        <w:rPr>
          <w:iCs/>
          <w:sz w:val="22"/>
          <w:szCs w:val="22"/>
        </w:rPr>
        <w:t xml:space="preserve">arba </w:t>
      </w:r>
      <w:proofErr w:type="spellStart"/>
      <w:r w:rsidRPr="001D5EBE">
        <w:rPr>
          <w:iCs/>
          <w:sz w:val="22"/>
          <w:szCs w:val="22"/>
        </w:rPr>
        <w:t>epidurinę</w:t>
      </w:r>
      <w:proofErr w:type="spellEnd"/>
      <w:r w:rsidRPr="001D5EBE">
        <w:rPr>
          <w:iCs/>
          <w:sz w:val="22"/>
          <w:szCs w:val="22"/>
        </w:rPr>
        <w:t xml:space="preserve"> </w:t>
      </w:r>
      <w:r w:rsidRPr="001D5EBE">
        <w:rPr>
          <w:sz w:val="22"/>
          <w:szCs w:val="22"/>
        </w:rPr>
        <w:t>ertmę</w:t>
      </w:r>
      <w:r w:rsidRPr="001D5EBE">
        <w:rPr>
          <w:iCs/>
          <w:sz w:val="22"/>
          <w:szCs w:val="22"/>
        </w:rPr>
        <w:t xml:space="preserve"> (žr. 4.3, 4.8 skyrius).</w:t>
      </w:r>
    </w:p>
    <w:p w14:paraId="7FF47941" w14:textId="77777777" w:rsidR="003F33B8" w:rsidRPr="001D5EBE" w:rsidRDefault="003F33B8" w:rsidP="003F33B8">
      <w:pPr>
        <w:pStyle w:val="Paragraph"/>
        <w:spacing w:after="0"/>
        <w:rPr>
          <w:iCs/>
          <w:sz w:val="22"/>
          <w:szCs w:val="22"/>
        </w:rPr>
      </w:pPr>
    </w:p>
    <w:p w14:paraId="60DCAADF" w14:textId="77777777" w:rsidR="003F33B8" w:rsidRPr="001D5EBE" w:rsidRDefault="003F33B8" w:rsidP="003F33B8">
      <w:pPr>
        <w:pStyle w:val="Paragraph"/>
        <w:spacing w:after="0"/>
        <w:rPr>
          <w:iCs/>
          <w:sz w:val="22"/>
          <w:szCs w:val="22"/>
        </w:rPr>
      </w:pPr>
      <w:r w:rsidRPr="001D5EBE">
        <w:rPr>
          <w:iCs/>
          <w:sz w:val="22"/>
          <w:szCs w:val="22"/>
        </w:rPr>
        <w:t xml:space="preserve">Gauta pranešimų apie </w:t>
      </w:r>
      <w:proofErr w:type="spellStart"/>
      <w:r w:rsidRPr="001D5EBE">
        <w:rPr>
          <w:iCs/>
          <w:sz w:val="22"/>
          <w:szCs w:val="22"/>
        </w:rPr>
        <w:t>epidurines</w:t>
      </w:r>
      <w:proofErr w:type="spellEnd"/>
      <w:r w:rsidRPr="001D5EBE">
        <w:rPr>
          <w:iCs/>
          <w:sz w:val="22"/>
          <w:szCs w:val="22"/>
        </w:rPr>
        <w:t xml:space="preserve"> </w:t>
      </w:r>
      <w:proofErr w:type="spellStart"/>
      <w:r w:rsidRPr="001D5EBE">
        <w:rPr>
          <w:iCs/>
          <w:sz w:val="22"/>
          <w:szCs w:val="22"/>
        </w:rPr>
        <w:t>lipomatozes</w:t>
      </w:r>
      <w:proofErr w:type="spellEnd"/>
      <w:r w:rsidRPr="001D5EBE">
        <w:rPr>
          <w:iCs/>
          <w:sz w:val="22"/>
          <w:szCs w:val="22"/>
        </w:rPr>
        <w:t xml:space="preserve"> kortikosteroidais gydomiems pacientams, dažniausiai ilgą laiką vartojant dideles dozes.</w:t>
      </w:r>
    </w:p>
    <w:p w14:paraId="0C941B62" w14:textId="77777777" w:rsidR="003F33B8" w:rsidRPr="001D5EBE" w:rsidRDefault="003F33B8" w:rsidP="003F33B8">
      <w:pPr>
        <w:pStyle w:val="Pagrindinistekstas"/>
        <w:spacing w:after="0"/>
        <w:rPr>
          <w:szCs w:val="22"/>
        </w:rPr>
      </w:pPr>
    </w:p>
    <w:p w14:paraId="28EB476F" w14:textId="77777777" w:rsidR="003F33B8" w:rsidRPr="001D5EBE" w:rsidRDefault="003F33B8" w:rsidP="003F33B8">
      <w:pPr>
        <w:pStyle w:val="Pagrindinistekstas"/>
        <w:spacing w:after="0"/>
        <w:rPr>
          <w:i/>
          <w:szCs w:val="22"/>
        </w:rPr>
      </w:pPr>
      <w:r w:rsidRPr="001D5EBE">
        <w:rPr>
          <w:i/>
          <w:szCs w:val="22"/>
        </w:rPr>
        <w:t>Poveikis akims</w:t>
      </w:r>
    </w:p>
    <w:p w14:paraId="1FC7856B" w14:textId="7BA86CFB" w:rsidR="003F33B8" w:rsidRDefault="004A5109" w:rsidP="003F33B8">
      <w:pPr>
        <w:pStyle w:val="Pagrindinistekstas"/>
        <w:spacing w:after="0"/>
        <w:rPr>
          <w:szCs w:val="22"/>
        </w:rPr>
      </w:pPr>
      <w:r w:rsidRPr="004A5109">
        <w:rPr>
          <w:szCs w:val="22"/>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4A5109">
        <w:rPr>
          <w:szCs w:val="22"/>
        </w:rPr>
        <w:t>serozinė</w:t>
      </w:r>
      <w:proofErr w:type="spellEnd"/>
      <w:r w:rsidRPr="004A5109">
        <w:rPr>
          <w:szCs w:val="22"/>
        </w:rPr>
        <w:t xml:space="preserve"> </w:t>
      </w:r>
      <w:proofErr w:type="spellStart"/>
      <w:r w:rsidRPr="004A5109">
        <w:rPr>
          <w:szCs w:val="22"/>
        </w:rPr>
        <w:t>chorioretinopatija</w:t>
      </w:r>
      <w:proofErr w:type="spellEnd"/>
      <w:r w:rsidRPr="004A5109">
        <w:rPr>
          <w:szCs w:val="22"/>
        </w:rPr>
        <w:t xml:space="preserve"> (CSC), kurių atvejų buvo užregistruota pavartojus sisteminio ir lokalaus poveikio kortikosteroidų. Dėl centrinės </w:t>
      </w:r>
      <w:proofErr w:type="spellStart"/>
      <w:r w:rsidRPr="004A5109">
        <w:rPr>
          <w:szCs w:val="22"/>
        </w:rPr>
        <w:t>serozinės</w:t>
      </w:r>
      <w:proofErr w:type="spellEnd"/>
      <w:r w:rsidRPr="004A5109">
        <w:rPr>
          <w:szCs w:val="22"/>
        </w:rPr>
        <w:t xml:space="preserve"> </w:t>
      </w:r>
      <w:proofErr w:type="spellStart"/>
      <w:r w:rsidRPr="004A5109">
        <w:rPr>
          <w:szCs w:val="22"/>
        </w:rPr>
        <w:t>chorioretinopatijos</w:t>
      </w:r>
      <w:proofErr w:type="spellEnd"/>
      <w:r w:rsidRPr="004A5109">
        <w:rPr>
          <w:szCs w:val="22"/>
        </w:rPr>
        <w:t xml:space="preserve"> gali ištikti tinklainės atšokimas.</w:t>
      </w:r>
    </w:p>
    <w:p w14:paraId="0769E1B5" w14:textId="77777777" w:rsidR="004A5109" w:rsidRPr="001D5EBE" w:rsidRDefault="004A5109" w:rsidP="003F33B8">
      <w:pPr>
        <w:pStyle w:val="Pagrindinistekstas"/>
        <w:spacing w:after="0"/>
        <w:rPr>
          <w:szCs w:val="22"/>
        </w:rPr>
      </w:pPr>
    </w:p>
    <w:p w14:paraId="44561FC7" w14:textId="77777777" w:rsidR="003F33B8" w:rsidRPr="001D5EBE" w:rsidRDefault="003F33B8" w:rsidP="003F33B8">
      <w:pPr>
        <w:pStyle w:val="Pagrindinistekstas"/>
        <w:spacing w:after="0"/>
        <w:rPr>
          <w:szCs w:val="22"/>
        </w:rPr>
      </w:pPr>
      <w:r w:rsidRPr="001D5EBE">
        <w:rPr>
          <w:szCs w:val="22"/>
        </w:rPr>
        <w:t xml:space="preserve">Ilgalaikis kortikosteroidų vartojimas gali sukelti užpakalinę </w:t>
      </w:r>
      <w:proofErr w:type="spellStart"/>
      <w:r w:rsidRPr="001D5EBE">
        <w:rPr>
          <w:szCs w:val="22"/>
        </w:rPr>
        <w:t>pokapsulinę</w:t>
      </w:r>
      <w:proofErr w:type="spellEnd"/>
      <w:r w:rsidRPr="001D5EBE">
        <w:rPr>
          <w:szCs w:val="22"/>
        </w:rPr>
        <w:t xml:space="preserve"> kataraktą ir branduolinę kataraktą (ypač vaikams), išverstakumą ar padidinti akispūdį (gali pasireikšti glaukoma ir regos nervo pažeidimas). Be to, </w:t>
      </w:r>
      <w:proofErr w:type="spellStart"/>
      <w:r w:rsidRPr="001D5EBE">
        <w:rPr>
          <w:szCs w:val="22"/>
        </w:rPr>
        <w:t>gliukokortikoidais</w:t>
      </w:r>
      <w:proofErr w:type="spellEnd"/>
      <w:r w:rsidRPr="001D5EBE">
        <w:rPr>
          <w:szCs w:val="22"/>
        </w:rPr>
        <w:t xml:space="preserve"> gydomiems ligoniams gali didėti antrinės grybelių ir virusų infekcijos rizika.</w:t>
      </w:r>
    </w:p>
    <w:p w14:paraId="370E0131" w14:textId="77777777" w:rsidR="003F33B8" w:rsidRPr="001D5EBE" w:rsidRDefault="003F33B8" w:rsidP="003F33B8">
      <w:pPr>
        <w:pStyle w:val="Pagrindinistekstas"/>
        <w:spacing w:after="0"/>
        <w:rPr>
          <w:szCs w:val="22"/>
        </w:rPr>
      </w:pPr>
    </w:p>
    <w:p w14:paraId="18380410" w14:textId="77777777" w:rsidR="004A5109" w:rsidRPr="00B51238" w:rsidRDefault="004A5109" w:rsidP="004A5109">
      <w:pPr>
        <w:spacing w:line="240" w:lineRule="auto"/>
        <w:rPr>
          <w:rFonts w:eastAsia="Calibri"/>
          <w:lang w:eastAsia="lt-LT"/>
        </w:rPr>
      </w:pPr>
      <w:r w:rsidRPr="004A5109">
        <w:rPr>
          <w:rFonts w:eastAsia="Calibri"/>
          <w:lang w:val="lt-LT" w:eastAsia="lt-LT"/>
        </w:rPr>
        <w:t>Akių</w:t>
      </w:r>
      <w:r w:rsidRPr="00B51238">
        <w:rPr>
          <w:rFonts w:eastAsia="Calibri"/>
          <w:lang w:eastAsia="lt-LT"/>
        </w:rPr>
        <w:t xml:space="preserve"> </w:t>
      </w:r>
      <w:proofErr w:type="spellStart"/>
      <w:r w:rsidRPr="00B51238">
        <w:rPr>
          <w:rFonts w:eastAsia="Calibri"/>
          <w:lang w:eastAsia="lt-LT"/>
        </w:rPr>
        <w:t>paprastąja</w:t>
      </w:r>
      <w:proofErr w:type="spellEnd"/>
      <w:r w:rsidRPr="00B51238">
        <w:rPr>
          <w:rFonts w:eastAsia="Calibri"/>
          <w:lang w:eastAsia="lt-LT"/>
        </w:rPr>
        <w:t xml:space="preserve"> </w:t>
      </w:r>
      <w:proofErr w:type="spellStart"/>
      <w:r w:rsidRPr="00B51238">
        <w:rPr>
          <w:rFonts w:eastAsia="Calibri"/>
          <w:lang w:eastAsia="lt-LT"/>
        </w:rPr>
        <w:t>pūsleline</w:t>
      </w:r>
      <w:proofErr w:type="spellEnd"/>
      <w:r>
        <w:rPr>
          <w:rFonts w:eastAsia="Calibri"/>
          <w:lang w:eastAsia="lt-LT"/>
        </w:rPr>
        <w:t xml:space="preserve"> </w:t>
      </w:r>
      <w:proofErr w:type="spellStart"/>
      <w:r>
        <w:rPr>
          <w:rFonts w:eastAsia="Calibri"/>
          <w:lang w:eastAsia="lt-LT"/>
        </w:rPr>
        <w:t>sergantiems</w:t>
      </w:r>
      <w:proofErr w:type="spellEnd"/>
      <w:r>
        <w:rPr>
          <w:rFonts w:eastAsia="Calibri"/>
          <w:lang w:eastAsia="lt-LT"/>
        </w:rPr>
        <w:t xml:space="preserve"> </w:t>
      </w:r>
      <w:proofErr w:type="spellStart"/>
      <w:r>
        <w:rPr>
          <w:rFonts w:eastAsia="Calibri"/>
          <w:lang w:eastAsia="lt-LT"/>
        </w:rPr>
        <w:t>ligoniams</w:t>
      </w:r>
      <w:proofErr w:type="spellEnd"/>
      <w:r>
        <w:rPr>
          <w:rFonts w:eastAsia="Calibri"/>
          <w:lang w:eastAsia="lt-LT"/>
        </w:rPr>
        <w:t xml:space="preserve"> </w:t>
      </w:r>
      <w:proofErr w:type="spellStart"/>
      <w:r>
        <w:rPr>
          <w:rFonts w:eastAsia="Calibri"/>
          <w:lang w:eastAsia="lt-LT"/>
        </w:rPr>
        <w:t>gliukokortikoidus</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atsargiai</w:t>
      </w:r>
      <w:proofErr w:type="spellEnd"/>
      <w:r>
        <w:rPr>
          <w:rFonts w:eastAsia="Calibri"/>
          <w:lang w:eastAsia="lt-LT"/>
        </w:rPr>
        <w:t xml:space="preserve">, </w:t>
      </w:r>
      <w:proofErr w:type="spellStart"/>
      <w:r>
        <w:rPr>
          <w:rFonts w:eastAsia="Calibri"/>
          <w:lang w:eastAsia="lt-LT"/>
        </w:rPr>
        <w:t>nes</w:t>
      </w:r>
      <w:proofErr w:type="spellEnd"/>
      <w:r w:rsidRPr="00B51238">
        <w:rPr>
          <w:rFonts w:eastAsia="Calibri"/>
          <w:lang w:eastAsia="lt-LT"/>
        </w:rPr>
        <w:t xml:space="preserve"> </w:t>
      </w:r>
      <w:proofErr w:type="spellStart"/>
      <w:r w:rsidRPr="00B51238">
        <w:rPr>
          <w:rFonts w:eastAsia="Calibri"/>
          <w:lang w:eastAsia="lt-LT"/>
        </w:rPr>
        <w:t>gali</w:t>
      </w:r>
      <w:proofErr w:type="spellEnd"/>
      <w:r w:rsidRPr="00B51238">
        <w:rPr>
          <w:rFonts w:eastAsia="Calibri"/>
          <w:lang w:eastAsia="lt-LT"/>
        </w:rPr>
        <w:t xml:space="preserve"> </w:t>
      </w:r>
      <w:proofErr w:type="spellStart"/>
      <w:r w:rsidRPr="00B51238">
        <w:rPr>
          <w:rFonts w:eastAsia="Calibri"/>
          <w:lang w:eastAsia="lt-LT"/>
        </w:rPr>
        <w:t>perforuoti</w:t>
      </w:r>
      <w:proofErr w:type="spellEnd"/>
      <w:r w:rsidRPr="00B51238">
        <w:rPr>
          <w:rFonts w:eastAsia="Calibri"/>
          <w:lang w:eastAsia="lt-LT"/>
        </w:rPr>
        <w:t xml:space="preserve"> </w:t>
      </w:r>
      <w:proofErr w:type="spellStart"/>
      <w:r w:rsidRPr="00B51238">
        <w:rPr>
          <w:rFonts w:eastAsia="Calibri"/>
          <w:lang w:eastAsia="lt-LT"/>
        </w:rPr>
        <w:t>ragena</w:t>
      </w:r>
      <w:proofErr w:type="spellEnd"/>
      <w:r w:rsidRPr="00B51238">
        <w:rPr>
          <w:rFonts w:eastAsia="Calibri"/>
          <w:lang w:eastAsia="lt-LT"/>
        </w:rPr>
        <w:t>.</w:t>
      </w:r>
    </w:p>
    <w:p w14:paraId="3DF91838" w14:textId="77777777" w:rsidR="003F33B8" w:rsidRPr="001D5EBE" w:rsidRDefault="003F33B8" w:rsidP="003F33B8">
      <w:pPr>
        <w:pStyle w:val="Pagrindinistekstas"/>
        <w:spacing w:after="0"/>
        <w:rPr>
          <w:szCs w:val="22"/>
        </w:rPr>
      </w:pPr>
    </w:p>
    <w:p w14:paraId="1822F822" w14:textId="77777777" w:rsidR="003F33B8" w:rsidRPr="001D5EBE" w:rsidRDefault="003F33B8" w:rsidP="003F33B8">
      <w:pPr>
        <w:pStyle w:val="Pagrindinistekstas"/>
        <w:spacing w:after="0"/>
        <w:rPr>
          <w:i/>
          <w:szCs w:val="22"/>
        </w:rPr>
      </w:pPr>
      <w:r w:rsidRPr="001D5EBE">
        <w:rPr>
          <w:i/>
          <w:szCs w:val="22"/>
        </w:rPr>
        <w:t>Poveikis širdžiai</w:t>
      </w:r>
    </w:p>
    <w:p w14:paraId="1095F763" w14:textId="77777777" w:rsidR="003F33B8" w:rsidRPr="001D5EBE" w:rsidRDefault="003F33B8" w:rsidP="003F33B8">
      <w:pPr>
        <w:pStyle w:val="Paragraph"/>
        <w:spacing w:after="0"/>
        <w:rPr>
          <w:sz w:val="22"/>
          <w:szCs w:val="22"/>
        </w:rPr>
      </w:pPr>
      <w:r w:rsidRPr="001D5EBE">
        <w:rPr>
          <w:sz w:val="22"/>
          <w:szCs w:val="22"/>
        </w:rPr>
        <w:t xml:space="preserve">Jei gydoma ilgai ir didelėmis dozėmis, nepageidaujamas </w:t>
      </w:r>
      <w:proofErr w:type="spellStart"/>
      <w:r w:rsidRPr="001D5EBE">
        <w:rPr>
          <w:sz w:val="22"/>
          <w:szCs w:val="22"/>
        </w:rPr>
        <w:t>gliukokortikoidų</w:t>
      </w:r>
      <w:proofErr w:type="spellEnd"/>
      <w:r w:rsidRPr="001D5EBE">
        <w:rPr>
          <w:sz w:val="22"/>
          <w:szCs w:val="22"/>
        </w:rPr>
        <w:t xml:space="preserve"> poveikis širdies ir kraujagyslių sistemai, pvz., </w:t>
      </w:r>
      <w:proofErr w:type="spellStart"/>
      <w:r w:rsidRPr="001D5EBE">
        <w:rPr>
          <w:sz w:val="22"/>
          <w:szCs w:val="22"/>
        </w:rPr>
        <w:t>dislipidemija</w:t>
      </w:r>
      <w:proofErr w:type="spellEnd"/>
      <w:r w:rsidRPr="001D5EBE">
        <w:rPr>
          <w:sz w:val="22"/>
          <w:szCs w:val="22"/>
        </w:rPr>
        <w:t xml:space="preserve"> ir hipertenzija, ligoniams, turintiems kardiovaskulinės rizikos veiksnių, gali sukelti papildomą poveikį širdies ir kraujagyslių sistemai. Dėl šios priežasties kortikosteroidų tokiems pacientams būtina vartoti atsargiai, be to, reikia atkreipti dėmesį į rizikos mažinimą ir papildomą širdies būklės stebėjimą. Gydymo kortikosteroidais komplikacijų dažnį galima sumažinti kas antrą dieną vartojant mažą dozę.</w:t>
      </w:r>
    </w:p>
    <w:p w14:paraId="64404BEE" w14:textId="77777777" w:rsidR="003F33B8" w:rsidRPr="001D5EBE" w:rsidRDefault="003F33B8" w:rsidP="003F33B8">
      <w:pPr>
        <w:pStyle w:val="Pagrindinistekstas"/>
        <w:spacing w:after="0"/>
        <w:rPr>
          <w:szCs w:val="22"/>
        </w:rPr>
      </w:pPr>
    </w:p>
    <w:p w14:paraId="11ADE7CB" w14:textId="77777777" w:rsidR="003F33B8" w:rsidRPr="001D5EBE" w:rsidRDefault="003F33B8" w:rsidP="003F33B8">
      <w:pPr>
        <w:pStyle w:val="Pagrindinistekstas"/>
        <w:spacing w:after="0"/>
        <w:rPr>
          <w:szCs w:val="22"/>
        </w:rPr>
      </w:pPr>
      <w:r w:rsidRPr="001D5EBE">
        <w:rPr>
          <w:szCs w:val="22"/>
        </w:rPr>
        <w:t xml:space="preserve">Aprašyta atvejų, kai, vartojant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sukcinatą</w:t>
      </w:r>
      <w:proofErr w:type="spellEnd"/>
      <w:r w:rsidRPr="001D5EBE">
        <w:rPr>
          <w:szCs w:val="22"/>
        </w:rPr>
        <w:t xml:space="preserve"> didelėmis dozėmis greitai į veną (daugiau kaip 0,5 g greičiau kaip per 10 min.), pasireiškė širdies aritmijų, kraujotakos </w:t>
      </w:r>
      <w:proofErr w:type="spellStart"/>
      <w:r w:rsidRPr="001D5EBE">
        <w:rPr>
          <w:szCs w:val="22"/>
        </w:rPr>
        <w:t>kolapsas</w:t>
      </w:r>
      <w:proofErr w:type="spellEnd"/>
      <w:r w:rsidRPr="001D5EBE">
        <w:rPr>
          <w:szCs w:val="22"/>
        </w:rPr>
        <w:t xml:space="preserve"> ir (ar) sustojo širdis. Buvo atvejų, kai didelių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dozių vartojimo metu ar po jo pasireiškė </w:t>
      </w:r>
      <w:proofErr w:type="spellStart"/>
      <w:r w:rsidRPr="001D5EBE">
        <w:rPr>
          <w:szCs w:val="22"/>
        </w:rPr>
        <w:t>bradikardija</w:t>
      </w:r>
      <w:proofErr w:type="spellEnd"/>
      <w:r w:rsidRPr="001D5EBE">
        <w:rPr>
          <w:szCs w:val="22"/>
        </w:rPr>
        <w:t>. Ji gali būti nesusijusi su infuzijos greičiu ar trukme.</w:t>
      </w:r>
    </w:p>
    <w:p w14:paraId="57A213A9" w14:textId="77777777" w:rsidR="003F33B8" w:rsidRPr="001D5EBE" w:rsidRDefault="003F33B8" w:rsidP="003F33B8">
      <w:pPr>
        <w:pStyle w:val="Pagrindinistekstas"/>
        <w:spacing w:after="0"/>
        <w:rPr>
          <w:szCs w:val="22"/>
        </w:rPr>
      </w:pPr>
    </w:p>
    <w:p w14:paraId="7FD92E15" w14:textId="77777777" w:rsidR="003F33B8" w:rsidRPr="001D5EBE" w:rsidRDefault="003F33B8" w:rsidP="003F33B8">
      <w:pPr>
        <w:pStyle w:val="Paragraph"/>
        <w:spacing w:after="0"/>
        <w:rPr>
          <w:sz w:val="22"/>
          <w:szCs w:val="22"/>
        </w:rPr>
      </w:pPr>
      <w:r w:rsidRPr="001D5EBE">
        <w:rPr>
          <w:sz w:val="22"/>
          <w:szCs w:val="22"/>
        </w:rPr>
        <w:t xml:space="preserve">Jei yra </w:t>
      </w:r>
      <w:proofErr w:type="spellStart"/>
      <w:r w:rsidRPr="001D5EBE">
        <w:rPr>
          <w:sz w:val="22"/>
          <w:szCs w:val="22"/>
        </w:rPr>
        <w:t>stazinis</w:t>
      </w:r>
      <w:proofErr w:type="spellEnd"/>
      <w:r w:rsidRPr="001D5EBE">
        <w:rPr>
          <w:sz w:val="22"/>
          <w:szCs w:val="22"/>
        </w:rPr>
        <w:t xml:space="preserve"> širdies nepakankamumas, sisteminio poveikio kortikosteroidų reikia vartoti atsargiai ir tik būtinu atveju.</w:t>
      </w:r>
    </w:p>
    <w:p w14:paraId="49C9C6DA" w14:textId="77777777" w:rsidR="003F33B8" w:rsidRPr="001D5EBE" w:rsidRDefault="003F33B8" w:rsidP="003F33B8">
      <w:pPr>
        <w:pStyle w:val="Paragraph"/>
        <w:spacing w:after="0"/>
        <w:rPr>
          <w:sz w:val="22"/>
          <w:szCs w:val="22"/>
        </w:rPr>
      </w:pPr>
    </w:p>
    <w:p w14:paraId="5CDE7056" w14:textId="77777777" w:rsidR="003F33B8" w:rsidRPr="001D5EBE" w:rsidRDefault="003F33B8" w:rsidP="003F33B8">
      <w:pPr>
        <w:pStyle w:val="Paragraph"/>
        <w:spacing w:after="0"/>
        <w:rPr>
          <w:i/>
          <w:sz w:val="22"/>
          <w:szCs w:val="22"/>
        </w:rPr>
      </w:pPr>
      <w:r w:rsidRPr="001D5EBE">
        <w:rPr>
          <w:i/>
          <w:sz w:val="22"/>
          <w:szCs w:val="22"/>
        </w:rPr>
        <w:t>Poveikis kraujagyslėms</w:t>
      </w:r>
    </w:p>
    <w:p w14:paraId="5C887698" w14:textId="77777777" w:rsidR="00B46A59" w:rsidRPr="001D5EBE" w:rsidRDefault="00B46A59" w:rsidP="00B46A59">
      <w:pPr>
        <w:tabs>
          <w:tab w:val="left" w:pos="567"/>
        </w:tabs>
        <w:spacing w:line="240" w:lineRule="auto"/>
        <w:rPr>
          <w:lang w:val="lt-LT"/>
        </w:rPr>
      </w:pPr>
      <w:r w:rsidRPr="001D5EBE">
        <w:rPr>
          <w:lang w:val="lt-LT"/>
        </w:rPr>
        <w:t xml:space="preserve">Gauta pranešimų, kad vartojant kortikosteroidų pasireiškė trombozė, įskaitant venų </w:t>
      </w:r>
      <w:proofErr w:type="spellStart"/>
      <w:r w:rsidRPr="001D5EBE">
        <w:rPr>
          <w:lang w:val="lt-LT"/>
        </w:rPr>
        <w:t>tromboemboliją</w:t>
      </w:r>
      <w:proofErr w:type="spellEnd"/>
      <w:r w:rsidRPr="001D5EBE">
        <w:rPr>
          <w:lang w:val="lt-LT"/>
        </w:rPr>
        <w:t xml:space="preserve">. </w:t>
      </w:r>
      <w:r w:rsidR="00AB6888" w:rsidRPr="00AB6888">
        <w:rPr>
          <w:rFonts w:eastAsiaTheme="minorEastAsia"/>
          <w:bCs/>
          <w:lang w:val="lt-LT" w:eastAsia="ja-JP"/>
        </w:rPr>
        <w:t xml:space="preserve">Todėl pacientai, kuriems pasireiškia </w:t>
      </w:r>
      <w:proofErr w:type="spellStart"/>
      <w:r w:rsidR="00AB6888" w:rsidRPr="00AB6888">
        <w:rPr>
          <w:rFonts w:eastAsiaTheme="minorEastAsia"/>
          <w:bCs/>
          <w:lang w:val="lt-LT" w:eastAsia="ja-JP"/>
        </w:rPr>
        <w:t>tromboembolinių</w:t>
      </w:r>
      <w:proofErr w:type="spellEnd"/>
      <w:r w:rsidR="00AB6888" w:rsidRPr="00AB6888">
        <w:rPr>
          <w:rFonts w:eastAsiaTheme="minorEastAsia"/>
          <w:bCs/>
          <w:lang w:val="lt-LT" w:eastAsia="ja-JP"/>
        </w:rPr>
        <w:t xml:space="preserve"> sutrikimų arba kuriems gali būti didesnė šių sutrikimų pasireiškimo rizika, kortikosteroidų turi vartoti atsargiai. </w:t>
      </w:r>
    </w:p>
    <w:p w14:paraId="7A3A9FE0" w14:textId="77777777" w:rsidR="00B46A59" w:rsidRPr="001D5EBE" w:rsidRDefault="00B46A59" w:rsidP="003F33B8">
      <w:pPr>
        <w:pStyle w:val="Paragraph"/>
        <w:spacing w:after="0"/>
        <w:rPr>
          <w:sz w:val="22"/>
          <w:szCs w:val="22"/>
        </w:rPr>
      </w:pPr>
    </w:p>
    <w:p w14:paraId="36143B7A" w14:textId="77777777" w:rsidR="003F33B8" w:rsidRPr="001D5EBE" w:rsidRDefault="003F33B8" w:rsidP="003F33B8">
      <w:pPr>
        <w:pStyle w:val="Paragraph"/>
        <w:spacing w:after="0"/>
        <w:rPr>
          <w:sz w:val="22"/>
          <w:szCs w:val="22"/>
        </w:rPr>
      </w:pPr>
      <w:r w:rsidRPr="001D5EBE">
        <w:rPr>
          <w:sz w:val="22"/>
          <w:szCs w:val="22"/>
        </w:rPr>
        <w:t>Pacientams, sergantiems hipertenzija, steroidų būtina vartoti atsargiai.</w:t>
      </w:r>
    </w:p>
    <w:p w14:paraId="413A8EC3" w14:textId="77777777" w:rsidR="003F33B8" w:rsidRPr="001D5EBE" w:rsidDel="00B26827" w:rsidRDefault="003F33B8" w:rsidP="003F33B8">
      <w:pPr>
        <w:pStyle w:val="Pagrindinistekstas"/>
        <w:spacing w:after="0"/>
        <w:rPr>
          <w:szCs w:val="22"/>
        </w:rPr>
      </w:pPr>
    </w:p>
    <w:p w14:paraId="7E83A7B4" w14:textId="77777777" w:rsidR="003F33B8" w:rsidRPr="001D5EBE" w:rsidRDefault="003F33B8" w:rsidP="003F33B8">
      <w:pPr>
        <w:pStyle w:val="Paragraph"/>
        <w:spacing w:after="0"/>
        <w:rPr>
          <w:i/>
          <w:sz w:val="22"/>
          <w:szCs w:val="22"/>
        </w:rPr>
      </w:pPr>
      <w:r w:rsidRPr="001D5EBE">
        <w:rPr>
          <w:i/>
          <w:sz w:val="22"/>
          <w:szCs w:val="22"/>
        </w:rPr>
        <w:t>Poveikis virškinimo traktui</w:t>
      </w:r>
    </w:p>
    <w:p w14:paraId="1BC58E91" w14:textId="77777777" w:rsidR="00F9473F" w:rsidRPr="00ED2AB3" w:rsidRDefault="00F9473F" w:rsidP="00F9473F">
      <w:pPr>
        <w:pStyle w:val="Paragraph"/>
        <w:spacing w:after="0"/>
        <w:rPr>
          <w:sz w:val="22"/>
          <w:szCs w:val="22"/>
        </w:rPr>
      </w:pPr>
      <w:r w:rsidRPr="009B737D">
        <w:rPr>
          <w:sz w:val="22"/>
          <w:szCs w:val="22"/>
        </w:rPr>
        <w:t xml:space="preserve">Didelės kortikosteroidų dozės gali sukelti </w:t>
      </w:r>
      <w:r w:rsidR="00E23965">
        <w:rPr>
          <w:sz w:val="22"/>
          <w:szCs w:val="22"/>
        </w:rPr>
        <w:t xml:space="preserve">ūminį </w:t>
      </w:r>
      <w:r w:rsidRPr="009B737D">
        <w:rPr>
          <w:sz w:val="22"/>
          <w:szCs w:val="22"/>
        </w:rPr>
        <w:t>pankreatitą.</w:t>
      </w:r>
    </w:p>
    <w:p w14:paraId="04FB12FE" w14:textId="77777777" w:rsidR="003F33B8" w:rsidRPr="001D5EBE" w:rsidRDefault="003F33B8" w:rsidP="003F33B8">
      <w:pPr>
        <w:pStyle w:val="Paragraph"/>
        <w:spacing w:after="0"/>
        <w:rPr>
          <w:iCs/>
          <w:sz w:val="22"/>
          <w:szCs w:val="22"/>
        </w:rPr>
      </w:pPr>
      <w:r w:rsidRPr="001D5EBE">
        <w:rPr>
          <w:sz w:val="22"/>
          <w:szCs w:val="22"/>
        </w:rPr>
        <w:t xml:space="preserve">Visuotinai priimtos nuomonės, ar kortikosteroidai patys yra susiję su </w:t>
      </w:r>
      <w:proofErr w:type="spellStart"/>
      <w:r w:rsidRPr="001D5EBE">
        <w:rPr>
          <w:sz w:val="22"/>
          <w:szCs w:val="22"/>
        </w:rPr>
        <w:t>pepsinės</w:t>
      </w:r>
      <w:proofErr w:type="spellEnd"/>
      <w:r w:rsidRPr="001D5EBE">
        <w:rPr>
          <w:sz w:val="22"/>
          <w:szCs w:val="22"/>
        </w:rPr>
        <w:t xml:space="preserve"> opos atsiradimu gydymo metu, nėra. Vis dėlto gydymas </w:t>
      </w:r>
      <w:proofErr w:type="spellStart"/>
      <w:r w:rsidRPr="001D5EBE">
        <w:rPr>
          <w:sz w:val="22"/>
          <w:szCs w:val="22"/>
        </w:rPr>
        <w:t>gliukokortikoidais</w:t>
      </w:r>
      <w:proofErr w:type="spellEnd"/>
      <w:r w:rsidRPr="001D5EBE">
        <w:rPr>
          <w:sz w:val="22"/>
          <w:szCs w:val="22"/>
        </w:rPr>
        <w:t xml:space="preserve"> gali slopinti </w:t>
      </w:r>
      <w:proofErr w:type="spellStart"/>
      <w:r w:rsidRPr="001D5EBE">
        <w:rPr>
          <w:sz w:val="22"/>
          <w:szCs w:val="22"/>
        </w:rPr>
        <w:t>pepsinės</w:t>
      </w:r>
      <w:proofErr w:type="spellEnd"/>
      <w:r w:rsidRPr="001D5EBE">
        <w:rPr>
          <w:sz w:val="22"/>
          <w:szCs w:val="22"/>
        </w:rPr>
        <w:t xml:space="preserve"> opos simptomus ir prakiurimas ar kraujavimas gali atsirasti nepasireiškiant reikšmingam skausmui.</w:t>
      </w:r>
      <w:r w:rsidRPr="001D5EBE">
        <w:rPr>
          <w:iCs/>
          <w:sz w:val="22"/>
          <w:szCs w:val="22"/>
        </w:rPr>
        <w:t xml:space="preserve"> </w:t>
      </w:r>
      <w:r w:rsidR="00F9473F" w:rsidRPr="009B737D">
        <w:rPr>
          <w:sz w:val="22"/>
          <w:szCs w:val="22"/>
        </w:rPr>
        <w:t xml:space="preserve">Gydymas </w:t>
      </w:r>
      <w:proofErr w:type="spellStart"/>
      <w:r w:rsidR="00F9473F" w:rsidRPr="009B737D">
        <w:rPr>
          <w:sz w:val="22"/>
          <w:szCs w:val="22"/>
        </w:rPr>
        <w:t>gliukokortikoidais</w:t>
      </w:r>
      <w:proofErr w:type="spellEnd"/>
      <w:r w:rsidR="00F9473F" w:rsidRPr="009B737D">
        <w:rPr>
          <w:sz w:val="22"/>
          <w:szCs w:val="22"/>
        </w:rPr>
        <w:t xml:space="preserve"> gali paslėpti peritonito ar kitus požymius ar simptomus, susijusius su tokiais virškinimo trakto sutrikimais, kaip prakiurimas, obstrukcija ar pankreatitas.</w:t>
      </w:r>
      <w:r w:rsidR="00F9473F" w:rsidRPr="009B737D">
        <w:t xml:space="preserve"> </w:t>
      </w:r>
      <w:r w:rsidRPr="001D5EBE">
        <w:rPr>
          <w:iCs/>
          <w:sz w:val="22"/>
          <w:szCs w:val="22"/>
        </w:rPr>
        <w:t>Vartojant kartu su NVNU, virškinimo trakto opų atsiradimo rizika padidėja.</w:t>
      </w:r>
    </w:p>
    <w:p w14:paraId="2F14443C" w14:textId="77777777" w:rsidR="003F33B8" w:rsidRPr="001D5EBE" w:rsidRDefault="003F33B8" w:rsidP="003F33B8">
      <w:pPr>
        <w:pStyle w:val="Paragraph"/>
        <w:spacing w:after="0"/>
        <w:rPr>
          <w:iCs/>
          <w:sz w:val="22"/>
          <w:szCs w:val="22"/>
        </w:rPr>
      </w:pPr>
    </w:p>
    <w:p w14:paraId="378A80D9" w14:textId="77777777" w:rsidR="003F33B8" w:rsidRPr="001D5EBE" w:rsidRDefault="003F33B8" w:rsidP="003F33B8">
      <w:pPr>
        <w:pStyle w:val="Paragraph"/>
        <w:spacing w:after="0"/>
        <w:rPr>
          <w:iCs/>
          <w:sz w:val="22"/>
          <w:szCs w:val="22"/>
        </w:rPr>
      </w:pPr>
      <w:r w:rsidRPr="001D5EBE">
        <w:rPr>
          <w:iCs/>
          <w:sz w:val="22"/>
          <w:szCs w:val="22"/>
        </w:rPr>
        <w:t xml:space="preserve">Kortikosteroidus reikia atsargiai vartoti pacientams, kuriems pasireiškia nespecifinis opinis kolitas, jeigu yra gręsiančio prakiurimo, </w:t>
      </w:r>
      <w:proofErr w:type="spellStart"/>
      <w:r w:rsidRPr="001D5EBE">
        <w:rPr>
          <w:iCs/>
          <w:sz w:val="22"/>
          <w:szCs w:val="22"/>
        </w:rPr>
        <w:t>absceso</w:t>
      </w:r>
      <w:proofErr w:type="spellEnd"/>
      <w:r w:rsidRPr="001D5EBE">
        <w:rPr>
          <w:iCs/>
          <w:sz w:val="22"/>
          <w:szCs w:val="22"/>
        </w:rPr>
        <w:t xml:space="preserve"> ar kitokios pūlinės infekcinės ligos tikimybė, </w:t>
      </w:r>
      <w:proofErr w:type="spellStart"/>
      <w:r w:rsidRPr="001D5EBE">
        <w:rPr>
          <w:iCs/>
          <w:sz w:val="22"/>
          <w:szCs w:val="22"/>
        </w:rPr>
        <w:t>divertikulitas</w:t>
      </w:r>
      <w:proofErr w:type="spellEnd"/>
      <w:r w:rsidRPr="001D5EBE">
        <w:rPr>
          <w:iCs/>
          <w:sz w:val="22"/>
          <w:szCs w:val="22"/>
        </w:rPr>
        <w:t xml:space="preserve">, yra naujai suformuotų žarnyno </w:t>
      </w:r>
      <w:proofErr w:type="spellStart"/>
      <w:r w:rsidRPr="001D5EBE">
        <w:rPr>
          <w:iCs/>
          <w:sz w:val="22"/>
          <w:szCs w:val="22"/>
        </w:rPr>
        <w:t>anastomozių</w:t>
      </w:r>
      <w:proofErr w:type="spellEnd"/>
      <w:r w:rsidRPr="001D5EBE">
        <w:rPr>
          <w:iCs/>
          <w:sz w:val="22"/>
          <w:szCs w:val="22"/>
        </w:rPr>
        <w:t xml:space="preserve"> arba aktyvi ar slaptos eigos </w:t>
      </w:r>
      <w:proofErr w:type="spellStart"/>
      <w:r w:rsidRPr="001D5EBE">
        <w:rPr>
          <w:iCs/>
          <w:sz w:val="22"/>
          <w:szCs w:val="22"/>
        </w:rPr>
        <w:t>pepsinė</w:t>
      </w:r>
      <w:proofErr w:type="spellEnd"/>
      <w:r w:rsidRPr="001D5EBE">
        <w:rPr>
          <w:iCs/>
          <w:sz w:val="22"/>
          <w:szCs w:val="22"/>
        </w:rPr>
        <w:t xml:space="preserve"> opa.</w:t>
      </w:r>
    </w:p>
    <w:p w14:paraId="577DD082" w14:textId="77777777" w:rsidR="003F33B8" w:rsidRPr="001D5EBE" w:rsidRDefault="003F33B8" w:rsidP="003F33B8">
      <w:pPr>
        <w:pStyle w:val="Paragraph"/>
        <w:spacing w:after="0"/>
        <w:rPr>
          <w:sz w:val="22"/>
          <w:szCs w:val="22"/>
        </w:rPr>
      </w:pPr>
    </w:p>
    <w:p w14:paraId="10B4F69A" w14:textId="77777777" w:rsidR="003F33B8" w:rsidRPr="001D5EBE" w:rsidRDefault="003F33B8" w:rsidP="003F33B8">
      <w:pPr>
        <w:pStyle w:val="Paragraph"/>
        <w:spacing w:after="0"/>
        <w:rPr>
          <w:i/>
          <w:sz w:val="22"/>
          <w:szCs w:val="22"/>
        </w:rPr>
      </w:pPr>
      <w:r w:rsidRPr="001D5EBE">
        <w:rPr>
          <w:i/>
          <w:sz w:val="22"/>
          <w:szCs w:val="22"/>
        </w:rPr>
        <w:t>Poveikis kepenims, tulžies pūslei ir latakams</w:t>
      </w:r>
    </w:p>
    <w:p w14:paraId="09653097" w14:textId="77777777" w:rsidR="00D46893" w:rsidRPr="001D5EBE" w:rsidRDefault="00AB6888" w:rsidP="00D46893">
      <w:pPr>
        <w:pStyle w:val="Paragraph"/>
        <w:spacing w:after="0"/>
        <w:rPr>
          <w:sz w:val="22"/>
          <w:szCs w:val="22"/>
        </w:rPr>
      </w:pPr>
      <w:r w:rsidRPr="00DC3263">
        <w:rPr>
          <w:bCs/>
          <w:sz w:val="22"/>
          <w:szCs w:val="22"/>
        </w:rPr>
        <w:t xml:space="preserve">Skiriant ciklinį pulsinį gydymą intraveniniu </w:t>
      </w:r>
      <w:proofErr w:type="spellStart"/>
      <w:r w:rsidRPr="00DC3263">
        <w:rPr>
          <w:bCs/>
          <w:sz w:val="22"/>
          <w:szCs w:val="22"/>
        </w:rPr>
        <w:t>metilprednizolonu</w:t>
      </w:r>
      <w:proofErr w:type="spellEnd"/>
      <w:r w:rsidRPr="00DC3263">
        <w:rPr>
          <w:bCs/>
          <w:sz w:val="22"/>
          <w:szCs w:val="22"/>
        </w:rPr>
        <w:t xml:space="preserve"> (įprastai, kai pradinė dozė yra ≥ 1 g per parą), gali pasireikšti </w:t>
      </w:r>
      <w:r w:rsidR="001974C8">
        <w:rPr>
          <w:bCs/>
          <w:sz w:val="22"/>
          <w:szCs w:val="22"/>
        </w:rPr>
        <w:t>vaistinio preparato</w:t>
      </w:r>
      <w:r w:rsidR="001974C8" w:rsidRPr="00DC3263">
        <w:rPr>
          <w:bCs/>
          <w:sz w:val="22"/>
          <w:szCs w:val="22"/>
        </w:rPr>
        <w:t xml:space="preserve"> </w:t>
      </w:r>
      <w:r w:rsidRPr="00DC3263">
        <w:rPr>
          <w:bCs/>
          <w:sz w:val="22"/>
          <w:szCs w:val="22"/>
        </w:rPr>
        <w:t xml:space="preserve">sukeliamas kepenų pažeidimas, įskaitant ūminį hepatitą arba kepenų fermentų aktyvumo padidėjimą. Pranešta apie retus </w:t>
      </w:r>
      <w:proofErr w:type="spellStart"/>
      <w:r w:rsidRPr="00DC3263">
        <w:rPr>
          <w:bCs/>
          <w:sz w:val="22"/>
          <w:szCs w:val="22"/>
        </w:rPr>
        <w:t>hepatotoksiškumo</w:t>
      </w:r>
      <w:proofErr w:type="spellEnd"/>
      <w:r w:rsidRPr="00DC3263">
        <w:rPr>
          <w:bCs/>
          <w:sz w:val="22"/>
          <w:szCs w:val="22"/>
        </w:rPr>
        <w:t xml:space="preserve"> atvejus. Laikas iki šių reiškinių pasireiškimo pradžios gali būti kelios savaitės ar daugiau. Pranešama, kad nutraukus gydymą nepageidaujami reiškiniai dažniausiai išnykdavo. Todėl būtinas tinkamas stebėjimas.</w:t>
      </w:r>
      <w:r>
        <w:rPr>
          <w:b/>
          <w:bCs/>
          <w:sz w:val="17"/>
          <w:szCs w:val="17"/>
          <w:u w:val="single"/>
        </w:rPr>
        <w:t xml:space="preserve"> </w:t>
      </w:r>
    </w:p>
    <w:p w14:paraId="0A05BEA4" w14:textId="77777777" w:rsidR="003F33B8" w:rsidRPr="001D5EBE" w:rsidRDefault="003F33B8" w:rsidP="003F33B8">
      <w:pPr>
        <w:pStyle w:val="Paragraph"/>
        <w:spacing w:after="0"/>
        <w:rPr>
          <w:sz w:val="22"/>
          <w:szCs w:val="22"/>
        </w:rPr>
      </w:pPr>
    </w:p>
    <w:p w14:paraId="196F4C62" w14:textId="77777777" w:rsidR="003F33B8" w:rsidRPr="001D5EBE" w:rsidRDefault="003F33B8" w:rsidP="003F33B8">
      <w:pPr>
        <w:pStyle w:val="Pagrindinistekstas"/>
        <w:spacing w:after="0"/>
        <w:rPr>
          <w:i/>
          <w:szCs w:val="22"/>
        </w:rPr>
      </w:pPr>
      <w:r w:rsidRPr="001D5EBE">
        <w:rPr>
          <w:i/>
          <w:iCs/>
          <w:szCs w:val="22"/>
        </w:rPr>
        <w:t>Poveikis skeleto ir raumenų sistemai</w:t>
      </w:r>
      <w:r w:rsidRPr="001D5EBE" w:rsidDel="00F61884">
        <w:rPr>
          <w:i/>
          <w:szCs w:val="22"/>
        </w:rPr>
        <w:t xml:space="preserve"> </w:t>
      </w:r>
    </w:p>
    <w:p w14:paraId="5DD204EC" w14:textId="77777777" w:rsidR="003F33B8" w:rsidRPr="001D5EBE" w:rsidRDefault="003F33B8" w:rsidP="003F33B8">
      <w:pPr>
        <w:pStyle w:val="Pagrindinistekstas"/>
        <w:spacing w:after="0"/>
        <w:rPr>
          <w:szCs w:val="22"/>
        </w:rPr>
      </w:pPr>
      <w:r w:rsidRPr="001D5EBE">
        <w:rPr>
          <w:szCs w:val="22"/>
        </w:rPr>
        <w:t xml:space="preserve">Buvo atvejų, kai, vartojant </w:t>
      </w:r>
      <w:proofErr w:type="spellStart"/>
      <w:r w:rsidRPr="001D5EBE">
        <w:rPr>
          <w:szCs w:val="22"/>
        </w:rPr>
        <w:t>gliukokortikoidus</w:t>
      </w:r>
      <w:proofErr w:type="spellEnd"/>
      <w:r w:rsidRPr="001D5EBE">
        <w:rPr>
          <w:szCs w:val="22"/>
        </w:rPr>
        <w:t xml:space="preserve"> didelėmis dozėmis, pasireiškė ūminė </w:t>
      </w:r>
      <w:proofErr w:type="spellStart"/>
      <w:r w:rsidRPr="001D5EBE">
        <w:rPr>
          <w:szCs w:val="22"/>
        </w:rPr>
        <w:t>miopatija</w:t>
      </w:r>
      <w:proofErr w:type="spellEnd"/>
      <w:r w:rsidRPr="001D5EBE">
        <w:rPr>
          <w:szCs w:val="22"/>
        </w:rPr>
        <w:t xml:space="preserve">. Ši komplikacija dažniausia, kai sutrikęs nervinio impulso perdavimas raumenims (pvz., sergantiems sunkiąja </w:t>
      </w:r>
      <w:proofErr w:type="spellStart"/>
      <w:r w:rsidRPr="001D5EBE">
        <w:rPr>
          <w:szCs w:val="22"/>
        </w:rPr>
        <w:t>miastenija</w:t>
      </w:r>
      <w:proofErr w:type="spellEnd"/>
      <w:r w:rsidRPr="001D5EBE">
        <w:rPr>
          <w:szCs w:val="22"/>
        </w:rPr>
        <w:t xml:space="preserve">), arba kartu vartojant </w:t>
      </w:r>
      <w:proofErr w:type="spellStart"/>
      <w:r w:rsidRPr="001D5EBE">
        <w:rPr>
          <w:szCs w:val="22"/>
        </w:rPr>
        <w:t>anticholinerginių</w:t>
      </w:r>
      <w:proofErr w:type="spellEnd"/>
      <w:r w:rsidRPr="001D5EBE">
        <w:rPr>
          <w:szCs w:val="22"/>
        </w:rPr>
        <w:t xml:space="preserve"> vaistinių preparatų, pvz., </w:t>
      </w:r>
      <w:proofErr w:type="spellStart"/>
      <w:r w:rsidRPr="001D5EBE">
        <w:rPr>
          <w:szCs w:val="22"/>
        </w:rPr>
        <w:t>mioneuralines</w:t>
      </w:r>
      <w:proofErr w:type="spellEnd"/>
      <w:r w:rsidRPr="001D5EBE">
        <w:rPr>
          <w:szCs w:val="22"/>
        </w:rPr>
        <w:t xml:space="preserve"> </w:t>
      </w:r>
      <w:proofErr w:type="spellStart"/>
      <w:r w:rsidRPr="001D5EBE">
        <w:rPr>
          <w:szCs w:val="22"/>
        </w:rPr>
        <w:t>sinapses</w:t>
      </w:r>
      <w:proofErr w:type="spellEnd"/>
      <w:r w:rsidRPr="001D5EBE">
        <w:rPr>
          <w:szCs w:val="22"/>
        </w:rPr>
        <w:t xml:space="preserve"> blokuojančių vaistinių preparatų (pvz., </w:t>
      </w:r>
      <w:proofErr w:type="spellStart"/>
      <w:r w:rsidRPr="001D5EBE">
        <w:rPr>
          <w:szCs w:val="22"/>
        </w:rPr>
        <w:t>pankuronio</w:t>
      </w:r>
      <w:proofErr w:type="spellEnd"/>
      <w:r w:rsidRPr="001D5EBE">
        <w:rPr>
          <w:szCs w:val="22"/>
        </w:rPr>
        <w:t xml:space="preserve">). Ši ūminė </w:t>
      </w:r>
      <w:proofErr w:type="spellStart"/>
      <w:r w:rsidRPr="001D5EBE">
        <w:rPr>
          <w:szCs w:val="22"/>
        </w:rPr>
        <w:t>miopatija</w:t>
      </w:r>
      <w:proofErr w:type="spellEnd"/>
      <w:r w:rsidRPr="001D5EBE">
        <w:rPr>
          <w:szCs w:val="22"/>
        </w:rPr>
        <w:t xml:space="preserve"> būna </w:t>
      </w:r>
      <w:proofErr w:type="spellStart"/>
      <w:r w:rsidRPr="001D5EBE">
        <w:rPr>
          <w:szCs w:val="22"/>
        </w:rPr>
        <w:t>generalizuota</w:t>
      </w:r>
      <w:proofErr w:type="spellEnd"/>
      <w:r w:rsidRPr="001D5EBE">
        <w:rPr>
          <w:szCs w:val="22"/>
        </w:rPr>
        <w:t xml:space="preserve">, ji gali pažeisti akių ir kvėpavimo raumenis bei sukelti </w:t>
      </w:r>
      <w:proofErr w:type="spellStart"/>
      <w:r w:rsidRPr="001D5EBE">
        <w:rPr>
          <w:szCs w:val="22"/>
        </w:rPr>
        <w:t>kvadriparezę</w:t>
      </w:r>
      <w:proofErr w:type="spellEnd"/>
      <w:r w:rsidRPr="001D5EBE">
        <w:rPr>
          <w:szCs w:val="22"/>
        </w:rPr>
        <w:t xml:space="preserve">. Gali padidėti </w:t>
      </w:r>
      <w:proofErr w:type="spellStart"/>
      <w:r w:rsidRPr="001D5EBE">
        <w:rPr>
          <w:szCs w:val="22"/>
        </w:rPr>
        <w:t>kreatino</w:t>
      </w:r>
      <w:proofErr w:type="spellEnd"/>
      <w:r w:rsidRPr="001D5EBE">
        <w:rPr>
          <w:szCs w:val="22"/>
        </w:rPr>
        <w:t xml:space="preserve"> </w:t>
      </w:r>
      <w:proofErr w:type="spellStart"/>
      <w:r w:rsidRPr="001D5EBE">
        <w:rPr>
          <w:szCs w:val="22"/>
        </w:rPr>
        <w:t>kinazės</w:t>
      </w:r>
      <w:proofErr w:type="spellEnd"/>
      <w:r w:rsidRPr="001D5EBE">
        <w:rPr>
          <w:szCs w:val="22"/>
        </w:rPr>
        <w:t xml:space="preserve"> aktyvumas. Baigus vartoti </w:t>
      </w:r>
      <w:proofErr w:type="spellStart"/>
      <w:r w:rsidRPr="001D5EBE">
        <w:rPr>
          <w:szCs w:val="22"/>
        </w:rPr>
        <w:t>gliukokortikoidus</w:t>
      </w:r>
      <w:proofErr w:type="spellEnd"/>
      <w:r w:rsidRPr="001D5EBE">
        <w:rPr>
          <w:szCs w:val="22"/>
        </w:rPr>
        <w:t>, iki klinikinio pagerėjimo ar šių poveikių išnykimo gali praeiti nuo kelių savaičių iki kelių metų.</w:t>
      </w:r>
    </w:p>
    <w:p w14:paraId="5D13A9D9" w14:textId="77777777" w:rsidR="003F33B8" w:rsidRPr="001D5EBE" w:rsidRDefault="003F33B8" w:rsidP="003F33B8">
      <w:pPr>
        <w:pStyle w:val="Pagrindinistekstas"/>
        <w:spacing w:after="0"/>
        <w:rPr>
          <w:szCs w:val="22"/>
        </w:rPr>
      </w:pPr>
    </w:p>
    <w:p w14:paraId="5667DB0C" w14:textId="77777777" w:rsidR="003F33B8" w:rsidRPr="001D5EBE" w:rsidRDefault="003F33B8" w:rsidP="003F33B8">
      <w:pPr>
        <w:pStyle w:val="Pagrindinistekstas"/>
        <w:spacing w:after="0"/>
        <w:rPr>
          <w:szCs w:val="22"/>
        </w:rPr>
      </w:pPr>
      <w:r w:rsidRPr="001D5EBE">
        <w:rPr>
          <w:szCs w:val="22"/>
        </w:rPr>
        <w:t xml:space="preserve">Osteoporozė yra dažnas, tačiau nedažnai diagnozuojamas nepageidaujamas poveikis, susijęs su didelių </w:t>
      </w:r>
      <w:proofErr w:type="spellStart"/>
      <w:r w:rsidRPr="001D5EBE">
        <w:rPr>
          <w:szCs w:val="22"/>
        </w:rPr>
        <w:t>gliukokortikoidų</w:t>
      </w:r>
      <w:proofErr w:type="spellEnd"/>
      <w:r w:rsidRPr="001D5EBE">
        <w:rPr>
          <w:szCs w:val="22"/>
        </w:rPr>
        <w:t xml:space="preserve"> dozių vartojimu.</w:t>
      </w:r>
    </w:p>
    <w:p w14:paraId="694B46CE" w14:textId="77777777" w:rsidR="003F33B8" w:rsidRPr="001D5EBE" w:rsidRDefault="003F33B8" w:rsidP="003F33B8">
      <w:pPr>
        <w:spacing w:line="240" w:lineRule="auto"/>
        <w:rPr>
          <w:lang w:val="lt-LT"/>
        </w:rPr>
      </w:pPr>
    </w:p>
    <w:p w14:paraId="07E838D0" w14:textId="77777777" w:rsidR="003F33B8" w:rsidRDefault="003F33B8" w:rsidP="003F33B8">
      <w:pPr>
        <w:pStyle w:val="Paragraph"/>
        <w:spacing w:after="0"/>
        <w:rPr>
          <w:i/>
          <w:sz w:val="22"/>
          <w:szCs w:val="22"/>
        </w:rPr>
      </w:pPr>
      <w:r w:rsidRPr="001D5EBE">
        <w:rPr>
          <w:i/>
          <w:sz w:val="22"/>
          <w:szCs w:val="22"/>
        </w:rPr>
        <w:t>Inkstų ir šlapimo takų sutrikimai</w:t>
      </w:r>
    </w:p>
    <w:p w14:paraId="6A4BBD3E" w14:textId="17658D72" w:rsidR="00C01333" w:rsidRPr="000C101F" w:rsidRDefault="00C01333" w:rsidP="000C101F">
      <w:pPr>
        <w:pStyle w:val="Paragraph"/>
        <w:rPr>
          <w:sz w:val="22"/>
          <w:szCs w:val="22"/>
        </w:rPr>
      </w:pPr>
      <w:r>
        <w:rPr>
          <w:sz w:val="22"/>
          <w:szCs w:val="22"/>
        </w:rPr>
        <w:t xml:space="preserve">Kortikosteroidus, įskaitant </w:t>
      </w:r>
      <w:proofErr w:type="spellStart"/>
      <w:r>
        <w:rPr>
          <w:sz w:val="22"/>
          <w:szCs w:val="22"/>
        </w:rPr>
        <w:t>metilprednizoloną</w:t>
      </w:r>
      <w:proofErr w:type="spellEnd"/>
      <w:r>
        <w:rPr>
          <w:sz w:val="22"/>
          <w:szCs w:val="22"/>
        </w:rPr>
        <w:t xml:space="preserve">, būtina vartoti atsargiai pacientams, kurie serga sistemine skleroze, nes buvo nustatyti dažnesni </w:t>
      </w:r>
      <w:proofErr w:type="spellStart"/>
      <w:r>
        <w:rPr>
          <w:sz w:val="22"/>
          <w:szCs w:val="22"/>
        </w:rPr>
        <w:t>sklerodermos</w:t>
      </w:r>
      <w:proofErr w:type="spellEnd"/>
      <w:r>
        <w:rPr>
          <w:sz w:val="22"/>
          <w:szCs w:val="22"/>
        </w:rPr>
        <w:t xml:space="preserve"> sukelto</w:t>
      </w:r>
      <w:r w:rsidR="007017A5">
        <w:rPr>
          <w:sz w:val="22"/>
          <w:szCs w:val="22"/>
        </w:rPr>
        <w:t xml:space="preserve"> ūminio</w:t>
      </w:r>
      <w:r>
        <w:rPr>
          <w:sz w:val="22"/>
          <w:szCs w:val="22"/>
        </w:rPr>
        <w:t xml:space="preserve"> inkst</w:t>
      </w:r>
      <w:r w:rsidR="007017A5">
        <w:rPr>
          <w:sz w:val="22"/>
          <w:szCs w:val="22"/>
        </w:rPr>
        <w:t>ų nepakankamumo</w:t>
      </w:r>
      <w:r>
        <w:rPr>
          <w:sz w:val="22"/>
          <w:szCs w:val="22"/>
        </w:rPr>
        <w:t xml:space="preserve"> atvejai.</w:t>
      </w:r>
    </w:p>
    <w:p w14:paraId="76A7F61F" w14:textId="77777777" w:rsidR="003F33B8" w:rsidRPr="001D5EBE" w:rsidRDefault="003F33B8" w:rsidP="003F33B8">
      <w:pPr>
        <w:pStyle w:val="Paragraph"/>
        <w:spacing w:after="0"/>
        <w:rPr>
          <w:sz w:val="22"/>
          <w:szCs w:val="22"/>
        </w:rPr>
      </w:pPr>
      <w:r w:rsidRPr="001D5EBE">
        <w:rPr>
          <w:sz w:val="22"/>
          <w:szCs w:val="22"/>
        </w:rPr>
        <w:t>Jei yra inkstų nepakankamumas, kortikosteroidų būtina vartoti atsargiai.</w:t>
      </w:r>
    </w:p>
    <w:p w14:paraId="2499F41B" w14:textId="77777777" w:rsidR="003F33B8" w:rsidRPr="001D5EBE" w:rsidRDefault="003F33B8" w:rsidP="003F33B8">
      <w:pPr>
        <w:spacing w:line="240" w:lineRule="auto"/>
        <w:rPr>
          <w:lang w:val="lt-LT"/>
        </w:rPr>
      </w:pPr>
    </w:p>
    <w:p w14:paraId="41367890" w14:textId="77777777" w:rsidR="003F33B8" w:rsidRPr="001D5EBE" w:rsidRDefault="003F33B8" w:rsidP="003F33B8">
      <w:pPr>
        <w:pStyle w:val="Paragraph"/>
        <w:spacing w:after="0"/>
        <w:rPr>
          <w:i/>
          <w:sz w:val="22"/>
          <w:szCs w:val="22"/>
        </w:rPr>
      </w:pPr>
      <w:r w:rsidRPr="001D5EBE">
        <w:rPr>
          <w:i/>
          <w:sz w:val="22"/>
          <w:szCs w:val="22"/>
        </w:rPr>
        <w:t>Tyrimai</w:t>
      </w:r>
    </w:p>
    <w:p w14:paraId="61BC1476" w14:textId="77777777" w:rsidR="003F33B8" w:rsidRPr="001D5EBE" w:rsidRDefault="003F33B8" w:rsidP="003F33B8">
      <w:pPr>
        <w:pStyle w:val="Paragraph"/>
        <w:spacing w:after="0"/>
        <w:rPr>
          <w:sz w:val="22"/>
          <w:szCs w:val="22"/>
        </w:rPr>
      </w:pPr>
      <w:r w:rsidRPr="001D5EBE">
        <w:rPr>
          <w:sz w:val="22"/>
          <w:szCs w:val="22"/>
        </w:rPr>
        <w:t xml:space="preserve">Vidutinės ar didelės hidrokortizono ar </w:t>
      </w:r>
      <w:proofErr w:type="spellStart"/>
      <w:r w:rsidRPr="001D5EBE">
        <w:rPr>
          <w:sz w:val="22"/>
          <w:szCs w:val="22"/>
        </w:rPr>
        <w:t>kortizono</w:t>
      </w:r>
      <w:proofErr w:type="spellEnd"/>
      <w:r w:rsidRPr="001D5EBE">
        <w:rPr>
          <w:sz w:val="22"/>
          <w:szCs w:val="22"/>
        </w:rPr>
        <w:t xml:space="preserve"> dozės gali didinti kraujospūdį ir druskų bei vandens susilaikymą bei skatinti kalio išsiskyrimą. Tokio poveikio rizika didesnė, jei vartojama sintetinių preparatų (išskyrus atvejus, kai vartojama didelė dozė, kai rizika būna vienoda). Gali reikėti riboti natrio kiekį maiste ir vartoti kalio papildų. Visi kortikosteroidai skatina kalcio išsiskyrimą.</w:t>
      </w:r>
    </w:p>
    <w:p w14:paraId="0769DF24" w14:textId="77777777" w:rsidR="003F33B8" w:rsidRPr="001D5EBE" w:rsidRDefault="003F33B8" w:rsidP="003F33B8">
      <w:pPr>
        <w:pStyle w:val="Paragraph"/>
        <w:spacing w:after="0"/>
        <w:rPr>
          <w:b/>
          <w:sz w:val="22"/>
          <w:szCs w:val="22"/>
        </w:rPr>
      </w:pPr>
    </w:p>
    <w:p w14:paraId="03A22D9E" w14:textId="77777777" w:rsidR="003F33B8" w:rsidRPr="001D5EBE" w:rsidRDefault="003F33B8" w:rsidP="003F33B8">
      <w:pPr>
        <w:pStyle w:val="Pagrindinistekstas"/>
        <w:suppressAutoHyphens/>
        <w:spacing w:after="0"/>
        <w:rPr>
          <w:i/>
          <w:szCs w:val="22"/>
        </w:rPr>
      </w:pPr>
      <w:r w:rsidRPr="001D5EBE">
        <w:rPr>
          <w:i/>
          <w:szCs w:val="22"/>
        </w:rPr>
        <w:t>Sužalojimai, apsinuodijimai ir procedūrų komplikacijos</w:t>
      </w:r>
    </w:p>
    <w:p w14:paraId="7FBCA916" w14:textId="77777777" w:rsidR="003F33B8" w:rsidRPr="001D5EBE" w:rsidRDefault="00B46A59" w:rsidP="003F33B8">
      <w:pPr>
        <w:pStyle w:val="Paragraph"/>
        <w:spacing w:after="0"/>
        <w:rPr>
          <w:sz w:val="22"/>
          <w:szCs w:val="22"/>
        </w:rPr>
      </w:pPr>
      <w:r w:rsidRPr="001D5EBE">
        <w:rPr>
          <w:sz w:val="22"/>
          <w:szCs w:val="22"/>
        </w:rPr>
        <w:t xml:space="preserve">Sisteminiai kortikosteroidai nėra skirti </w:t>
      </w:r>
      <w:r w:rsidR="003F33B8" w:rsidRPr="001D5EBE">
        <w:rPr>
          <w:sz w:val="22"/>
          <w:szCs w:val="22"/>
        </w:rPr>
        <w:t xml:space="preserve"> </w:t>
      </w:r>
      <w:r w:rsidR="002D12E7" w:rsidRPr="001D5EBE">
        <w:rPr>
          <w:sz w:val="22"/>
          <w:szCs w:val="22"/>
        </w:rPr>
        <w:t>trauminiam smegenų pažeidimui</w:t>
      </w:r>
      <w:r w:rsidR="003F33B8" w:rsidRPr="001D5EBE">
        <w:rPr>
          <w:sz w:val="22"/>
          <w:szCs w:val="22"/>
        </w:rPr>
        <w:t xml:space="preserve"> gydyti </w:t>
      </w:r>
      <w:r w:rsidRPr="001D5EBE">
        <w:rPr>
          <w:sz w:val="22"/>
          <w:szCs w:val="22"/>
        </w:rPr>
        <w:t xml:space="preserve">ir todėl neturi būti tam vartojami. </w:t>
      </w:r>
      <w:proofErr w:type="spellStart"/>
      <w:r w:rsidRPr="001D5EBE">
        <w:rPr>
          <w:sz w:val="22"/>
          <w:szCs w:val="22"/>
        </w:rPr>
        <w:t>Daugiacentrio</w:t>
      </w:r>
      <w:proofErr w:type="spellEnd"/>
      <w:r w:rsidRPr="001D5EBE">
        <w:rPr>
          <w:sz w:val="22"/>
          <w:szCs w:val="22"/>
        </w:rPr>
        <w:t xml:space="preserve"> t</w:t>
      </w:r>
      <w:r w:rsidR="003F33B8" w:rsidRPr="001D5EBE">
        <w:rPr>
          <w:sz w:val="22"/>
          <w:szCs w:val="22"/>
        </w:rPr>
        <w:t xml:space="preserve">yrimo metu </w:t>
      </w:r>
      <w:r w:rsidRPr="001D5EBE">
        <w:rPr>
          <w:sz w:val="22"/>
          <w:szCs w:val="22"/>
        </w:rPr>
        <w:t xml:space="preserve">nustatyta, kad </w:t>
      </w:r>
      <w:r w:rsidR="003F33B8" w:rsidRPr="001D5EBE">
        <w:rPr>
          <w:sz w:val="22"/>
          <w:szCs w:val="22"/>
        </w:rPr>
        <w:t xml:space="preserve">pacientų, vartojusių </w:t>
      </w:r>
      <w:proofErr w:type="spellStart"/>
      <w:r w:rsidR="003F33B8" w:rsidRPr="001D5EBE">
        <w:rPr>
          <w:sz w:val="22"/>
          <w:szCs w:val="22"/>
        </w:rPr>
        <w:t>metilprednizolono</w:t>
      </w:r>
      <w:proofErr w:type="spellEnd"/>
      <w:r w:rsidR="003F33B8" w:rsidRPr="001D5EBE">
        <w:rPr>
          <w:sz w:val="22"/>
          <w:szCs w:val="22"/>
        </w:rPr>
        <w:t xml:space="preserve"> natrio </w:t>
      </w:r>
      <w:proofErr w:type="spellStart"/>
      <w:r w:rsidR="003F33B8" w:rsidRPr="001D5EBE">
        <w:rPr>
          <w:sz w:val="22"/>
          <w:szCs w:val="22"/>
        </w:rPr>
        <w:t>sukcinato</w:t>
      </w:r>
      <w:proofErr w:type="spellEnd"/>
      <w:r w:rsidR="003F33B8" w:rsidRPr="001D5EBE">
        <w:rPr>
          <w:sz w:val="22"/>
          <w:szCs w:val="22"/>
        </w:rPr>
        <w:t xml:space="preserve">, </w:t>
      </w:r>
      <w:r w:rsidR="001974C8">
        <w:rPr>
          <w:sz w:val="22"/>
          <w:szCs w:val="22"/>
        </w:rPr>
        <w:t>palyginti</w:t>
      </w:r>
      <w:r w:rsidR="001974C8" w:rsidRPr="001D5EBE">
        <w:rPr>
          <w:sz w:val="22"/>
          <w:szCs w:val="22"/>
        </w:rPr>
        <w:t xml:space="preserve"> </w:t>
      </w:r>
      <w:r w:rsidR="003F33B8" w:rsidRPr="001D5EBE">
        <w:rPr>
          <w:sz w:val="22"/>
          <w:szCs w:val="22"/>
        </w:rPr>
        <w:t xml:space="preserve">su vartojusiais </w:t>
      </w:r>
      <w:proofErr w:type="spellStart"/>
      <w:r w:rsidR="003F33B8" w:rsidRPr="001D5EBE">
        <w:rPr>
          <w:sz w:val="22"/>
          <w:szCs w:val="22"/>
        </w:rPr>
        <w:t>placebo</w:t>
      </w:r>
      <w:proofErr w:type="spellEnd"/>
      <w:r w:rsidR="003F33B8" w:rsidRPr="001D5EBE">
        <w:rPr>
          <w:sz w:val="22"/>
          <w:szCs w:val="22"/>
        </w:rPr>
        <w:t xml:space="preserve">, mirštamumas po traumos praėjus 2 savaitėms </w:t>
      </w:r>
      <w:r w:rsidRPr="001D5EBE">
        <w:rPr>
          <w:sz w:val="22"/>
          <w:szCs w:val="22"/>
        </w:rPr>
        <w:t>i</w:t>
      </w:r>
      <w:r w:rsidR="003F33B8" w:rsidRPr="001D5EBE">
        <w:rPr>
          <w:sz w:val="22"/>
          <w:szCs w:val="22"/>
        </w:rPr>
        <w:t xml:space="preserve">r 6 mėnesiams, buvo didesnis, tačiau priežastinis ryšys su </w:t>
      </w:r>
      <w:proofErr w:type="spellStart"/>
      <w:r w:rsidR="003F33B8" w:rsidRPr="001D5EBE">
        <w:rPr>
          <w:sz w:val="22"/>
          <w:szCs w:val="22"/>
        </w:rPr>
        <w:t>metilprednizolono</w:t>
      </w:r>
      <w:proofErr w:type="spellEnd"/>
      <w:r w:rsidR="003F33B8" w:rsidRPr="001D5EBE">
        <w:rPr>
          <w:sz w:val="22"/>
          <w:szCs w:val="22"/>
        </w:rPr>
        <w:t xml:space="preserve"> natrio </w:t>
      </w:r>
      <w:proofErr w:type="spellStart"/>
      <w:r w:rsidR="003F33B8" w:rsidRPr="001D5EBE">
        <w:rPr>
          <w:sz w:val="22"/>
          <w:szCs w:val="22"/>
        </w:rPr>
        <w:t>sukcinato</w:t>
      </w:r>
      <w:proofErr w:type="spellEnd"/>
      <w:r w:rsidR="003F33B8" w:rsidRPr="001D5EBE">
        <w:rPr>
          <w:sz w:val="22"/>
          <w:szCs w:val="22"/>
        </w:rPr>
        <w:t xml:space="preserve"> vartojimu nustatytas nebuvo.</w:t>
      </w:r>
    </w:p>
    <w:p w14:paraId="03AFB505" w14:textId="77777777" w:rsidR="003F33B8" w:rsidRPr="001D5EBE" w:rsidRDefault="003F33B8" w:rsidP="003F33B8">
      <w:pPr>
        <w:suppressAutoHyphens/>
        <w:spacing w:line="240" w:lineRule="auto"/>
        <w:rPr>
          <w:lang w:val="lt-LT"/>
        </w:rPr>
      </w:pPr>
    </w:p>
    <w:p w14:paraId="06C03665" w14:textId="77777777" w:rsidR="003F33B8" w:rsidRPr="001D5EBE" w:rsidRDefault="003F33B8" w:rsidP="003F33B8">
      <w:pPr>
        <w:pStyle w:val="Paragraph"/>
        <w:keepNext/>
        <w:spacing w:after="0"/>
        <w:rPr>
          <w:bCs/>
          <w:i/>
          <w:iCs/>
          <w:sz w:val="22"/>
          <w:szCs w:val="22"/>
        </w:rPr>
      </w:pPr>
      <w:r w:rsidRPr="001D5EBE">
        <w:rPr>
          <w:i/>
          <w:sz w:val="22"/>
          <w:szCs w:val="22"/>
        </w:rPr>
        <w:t>Kita</w:t>
      </w:r>
    </w:p>
    <w:p w14:paraId="16F36F4D" w14:textId="77777777" w:rsidR="003F33B8" w:rsidRPr="001D5EBE" w:rsidRDefault="003F33B8" w:rsidP="003F33B8">
      <w:pPr>
        <w:pStyle w:val="Paragraph"/>
        <w:spacing w:after="0"/>
        <w:rPr>
          <w:sz w:val="22"/>
          <w:szCs w:val="22"/>
        </w:rPr>
      </w:pPr>
      <w:r w:rsidRPr="001D5EBE">
        <w:rPr>
          <w:sz w:val="22"/>
          <w:szCs w:val="22"/>
        </w:rPr>
        <w:t xml:space="preserve">Gydymo </w:t>
      </w:r>
      <w:proofErr w:type="spellStart"/>
      <w:r w:rsidRPr="001D5EBE">
        <w:rPr>
          <w:sz w:val="22"/>
          <w:szCs w:val="22"/>
        </w:rPr>
        <w:t>gliukokortikoidais</w:t>
      </w:r>
      <w:proofErr w:type="spellEnd"/>
      <w:r w:rsidRPr="001D5EBE">
        <w:rPr>
          <w:sz w:val="22"/>
          <w:szCs w:val="22"/>
        </w:rPr>
        <w:t xml:space="preserve"> komplikacijos priklauso nuo dozės ir gydymo trukmės, todėl kiekvienam pacientui būtina įvertinti individualų rizikos ir naudos santykį bei nustatyti dozę, gydymo trukmę ir dozės vartojimo dažnį (kasdien ar kas antrą dieną).</w:t>
      </w:r>
    </w:p>
    <w:p w14:paraId="14018FB4" w14:textId="77777777" w:rsidR="003F33B8" w:rsidRPr="001D5EBE" w:rsidRDefault="003F33B8" w:rsidP="003F33B8">
      <w:pPr>
        <w:pStyle w:val="Paragraph"/>
        <w:spacing w:after="0"/>
        <w:rPr>
          <w:sz w:val="22"/>
          <w:szCs w:val="22"/>
        </w:rPr>
      </w:pPr>
    </w:p>
    <w:p w14:paraId="1AF29EBF" w14:textId="77777777" w:rsidR="003F33B8" w:rsidRPr="001D5EBE" w:rsidRDefault="003F33B8" w:rsidP="003F33B8">
      <w:pPr>
        <w:pStyle w:val="Paragraph"/>
        <w:spacing w:after="0"/>
        <w:rPr>
          <w:sz w:val="22"/>
          <w:szCs w:val="22"/>
        </w:rPr>
      </w:pPr>
      <w:r w:rsidRPr="001D5EBE">
        <w:rPr>
          <w:sz w:val="22"/>
          <w:szCs w:val="22"/>
        </w:rPr>
        <w:t>Būtina vartoti mažiausią įmanomą dozę, pakankamą būklei kontroliuoti. Kai tampa įmanoma mažinti dozę, tai reikia daryti laipsniškai.</w:t>
      </w:r>
    </w:p>
    <w:p w14:paraId="68C0BB42" w14:textId="77777777" w:rsidR="003F33B8" w:rsidRPr="001D5EBE" w:rsidRDefault="003F33B8" w:rsidP="003F33B8">
      <w:pPr>
        <w:pStyle w:val="Paragraph"/>
        <w:spacing w:after="0"/>
        <w:rPr>
          <w:sz w:val="22"/>
          <w:szCs w:val="22"/>
        </w:rPr>
      </w:pPr>
    </w:p>
    <w:p w14:paraId="44DCC3D2" w14:textId="77777777" w:rsidR="00705660" w:rsidRPr="00705660" w:rsidRDefault="00705660" w:rsidP="00705660">
      <w:pPr>
        <w:pStyle w:val="Paragraph"/>
        <w:spacing w:after="0"/>
        <w:rPr>
          <w:sz w:val="22"/>
          <w:szCs w:val="22"/>
        </w:rPr>
      </w:pPr>
      <w:r w:rsidRPr="00705660">
        <w:rPr>
          <w:sz w:val="22"/>
          <w:szCs w:val="22"/>
        </w:rPr>
        <w:t xml:space="preserve">Tikėtina, kad, kartu taikomas gydymas CYP3A inhibitoriais, įskaitant vaistinius preparatus, kurių sudėtyje yra </w:t>
      </w:r>
      <w:proofErr w:type="spellStart"/>
      <w:r w:rsidRPr="00705660">
        <w:rPr>
          <w:sz w:val="22"/>
          <w:szCs w:val="22"/>
        </w:rPr>
        <w:t>kobicistato</w:t>
      </w:r>
      <w:proofErr w:type="spellEnd"/>
      <w:r w:rsidRPr="00705660">
        <w:rPr>
          <w:sz w:val="22"/>
          <w:szCs w:val="22"/>
        </w:rPr>
        <w:t>,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(žr. 4.5 skyrių).</w:t>
      </w:r>
    </w:p>
    <w:p w14:paraId="645117E5" w14:textId="77777777" w:rsidR="00705660" w:rsidRDefault="00705660" w:rsidP="003F33B8">
      <w:pPr>
        <w:pStyle w:val="Paragraph"/>
        <w:spacing w:after="0"/>
        <w:rPr>
          <w:sz w:val="22"/>
          <w:szCs w:val="22"/>
        </w:rPr>
      </w:pPr>
    </w:p>
    <w:p w14:paraId="160E8668" w14:textId="77777777" w:rsidR="003F33B8" w:rsidRPr="00705660" w:rsidRDefault="003F33B8" w:rsidP="003F33B8">
      <w:pPr>
        <w:pStyle w:val="Paragraph"/>
        <w:spacing w:after="0"/>
        <w:rPr>
          <w:sz w:val="22"/>
          <w:szCs w:val="22"/>
        </w:rPr>
      </w:pPr>
      <w:proofErr w:type="spellStart"/>
      <w:r w:rsidRPr="00705660">
        <w:rPr>
          <w:sz w:val="22"/>
          <w:szCs w:val="22"/>
        </w:rPr>
        <w:t>Acetilsalicilo</w:t>
      </w:r>
      <w:proofErr w:type="spellEnd"/>
      <w:r w:rsidRPr="00705660">
        <w:rPr>
          <w:sz w:val="22"/>
          <w:szCs w:val="22"/>
        </w:rPr>
        <w:t xml:space="preserve"> rūgštį ir nesteroidinius vaistinius preparatus nuo uždegimo vartoti kartu su kortikosteroidais reikia atsargiai.</w:t>
      </w:r>
    </w:p>
    <w:p w14:paraId="464711EE" w14:textId="77777777" w:rsidR="003F33B8" w:rsidRPr="00705660" w:rsidRDefault="003F33B8" w:rsidP="003F33B8">
      <w:pPr>
        <w:pStyle w:val="Paragraph"/>
        <w:spacing w:after="0"/>
        <w:rPr>
          <w:sz w:val="22"/>
          <w:szCs w:val="22"/>
        </w:rPr>
      </w:pPr>
    </w:p>
    <w:p w14:paraId="2F87C29C" w14:textId="77777777" w:rsidR="003F33B8" w:rsidRPr="001D5EBE" w:rsidRDefault="003F33B8" w:rsidP="003F33B8">
      <w:pPr>
        <w:pStyle w:val="Paragraph"/>
        <w:spacing w:after="0"/>
        <w:rPr>
          <w:iCs/>
          <w:sz w:val="22"/>
          <w:szCs w:val="22"/>
        </w:rPr>
      </w:pPr>
      <w:r w:rsidRPr="001D5EBE">
        <w:rPr>
          <w:sz w:val="22"/>
          <w:szCs w:val="22"/>
        </w:rPr>
        <w:t xml:space="preserve">Gauta pranešimų apie po sisteminio poveikio kortikosteroidų pavartojimo pasireiškusią </w:t>
      </w:r>
      <w:proofErr w:type="spellStart"/>
      <w:r w:rsidRPr="001D5EBE">
        <w:rPr>
          <w:sz w:val="22"/>
          <w:szCs w:val="22"/>
        </w:rPr>
        <w:t>feochromocitominę</w:t>
      </w:r>
      <w:proofErr w:type="spellEnd"/>
      <w:r w:rsidRPr="001D5EBE">
        <w:rPr>
          <w:sz w:val="22"/>
          <w:szCs w:val="22"/>
        </w:rPr>
        <w:t xml:space="preserve"> krizę, kuri gali būti mirtina. Jei yra arba įtariama, kad yra </w:t>
      </w:r>
      <w:proofErr w:type="spellStart"/>
      <w:r w:rsidRPr="001D5EBE">
        <w:rPr>
          <w:sz w:val="22"/>
          <w:szCs w:val="22"/>
        </w:rPr>
        <w:t>feochromocitoma</w:t>
      </w:r>
      <w:proofErr w:type="spellEnd"/>
      <w:r w:rsidRPr="001D5EBE">
        <w:rPr>
          <w:sz w:val="22"/>
          <w:szCs w:val="22"/>
        </w:rPr>
        <w:t>, tokiam pacientui kortikosteroidų galima skirti vartoti tik tinkamai įvertinus rizikos ir naudos santykį.</w:t>
      </w:r>
    </w:p>
    <w:p w14:paraId="0641AAC6" w14:textId="77777777" w:rsidR="003F33B8" w:rsidRPr="001D5EBE" w:rsidRDefault="003F33B8" w:rsidP="003F33B8">
      <w:pPr>
        <w:pStyle w:val="Paragraph"/>
        <w:spacing w:after="0"/>
        <w:rPr>
          <w:iCs/>
          <w:sz w:val="22"/>
          <w:szCs w:val="22"/>
        </w:rPr>
      </w:pPr>
    </w:p>
    <w:p w14:paraId="20412814" w14:textId="77777777" w:rsidR="003F33B8" w:rsidRPr="00FD3FE1" w:rsidRDefault="003F33B8" w:rsidP="003F33B8">
      <w:pPr>
        <w:pStyle w:val="Paragraph"/>
        <w:spacing w:after="0"/>
        <w:rPr>
          <w:iCs/>
          <w:sz w:val="22"/>
          <w:szCs w:val="22"/>
          <w:u w:val="single"/>
        </w:rPr>
      </w:pPr>
      <w:r w:rsidRPr="00FD3FE1">
        <w:rPr>
          <w:iCs/>
          <w:sz w:val="22"/>
          <w:szCs w:val="22"/>
          <w:u w:val="single"/>
        </w:rPr>
        <w:t>Vaikų populiacija</w:t>
      </w:r>
    </w:p>
    <w:p w14:paraId="7EAB38F1" w14:textId="77777777" w:rsidR="003F33B8" w:rsidRPr="00705660" w:rsidRDefault="003F33B8" w:rsidP="003F33B8">
      <w:pPr>
        <w:pStyle w:val="Paragraph"/>
        <w:spacing w:after="0"/>
        <w:rPr>
          <w:rStyle w:val="TableText9"/>
        </w:rPr>
      </w:pPr>
      <w:r w:rsidRPr="001D5EBE">
        <w:rPr>
          <w:rStyle w:val="TableText9"/>
          <w:sz w:val="22"/>
          <w:szCs w:val="22"/>
        </w:rPr>
        <w:t xml:space="preserve">Reikia atidžiai stebėti ilgai kortikosteroidais gydomų kūdikių ir vaikų augimą ir raidą. Augimas gali būti slopinamas vaikams, kurie gydomi ilgai, dozę vartoja kasdien ir ji išdalijama į kelias dalis, todėl tokią gydymo schemą galima taikyti tik būtinu atveju. </w:t>
      </w:r>
      <w:r w:rsidRPr="001D5EBE">
        <w:rPr>
          <w:sz w:val="22"/>
          <w:szCs w:val="22"/>
        </w:rPr>
        <w:t xml:space="preserve">Toks poveikis paprastai sumažėja iki minimalaus </w:t>
      </w:r>
      <w:proofErr w:type="spellStart"/>
      <w:r w:rsidRPr="001D5EBE">
        <w:rPr>
          <w:sz w:val="22"/>
          <w:szCs w:val="22"/>
        </w:rPr>
        <w:t>gliukokortikoidų</w:t>
      </w:r>
      <w:proofErr w:type="spellEnd"/>
      <w:r w:rsidRPr="001D5EBE">
        <w:rPr>
          <w:sz w:val="22"/>
          <w:szCs w:val="22"/>
        </w:rPr>
        <w:t xml:space="preserve"> vartojant kas antrą dieną.</w:t>
      </w:r>
    </w:p>
    <w:p w14:paraId="09B45FCE" w14:textId="77777777" w:rsidR="003F33B8" w:rsidRPr="00705660" w:rsidRDefault="003F33B8" w:rsidP="003F33B8">
      <w:pPr>
        <w:pStyle w:val="Paragraph"/>
        <w:spacing w:after="0"/>
        <w:rPr>
          <w:rStyle w:val="TableText9"/>
        </w:rPr>
      </w:pPr>
    </w:p>
    <w:p w14:paraId="67CC04D3" w14:textId="77777777" w:rsidR="003F33B8" w:rsidRPr="00705660" w:rsidRDefault="003F33B8" w:rsidP="003F33B8">
      <w:pPr>
        <w:pStyle w:val="Paragraph"/>
        <w:spacing w:after="0"/>
        <w:rPr>
          <w:rStyle w:val="TableText9"/>
        </w:rPr>
      </w:pPr>
      <w:r w:rsidRPr="001D5EBE">
        <w:rPr>
          <w:rStyle w:val="TableText9"/>
          <w:sz w:val="22"/>
          <w:szCs w:val="22"/>
        </w:rPr>
        <w:t xml:space="preserve">Ilgai kortikosteroidais gydomiems kūdikiams ir vaikams gali padidėti </w:t>
      </w:r>
      <w:proofErr w:type="spellStart"/>
      <w:r w:rsidRPr="001D5EBE">
        <w:rPr>
          <w:rStyle w:val="TableText9"/>
          <w:sz w:val="22"/>
          <w:szCs w:val="22"/>
        </w:rPr>
        <w:t>intrakranialinis</w:t>
      </w:r>
      <w:proofErr w:type="spellEnd"/>
      <w:r w:rsidRPr="001D5EBE">
        <w:rPr>
          <w:rStyle w:val="TableText9"/>
          <w:sz w:val="22"/>
          <w:szCs w:val="22"/>
        </w:rPr>
        <w:t xml:space="preserve"> spaudimas.</w:t>
      </w:r>
    </w:p>
    <w:p w14:paraId="18E20C30" w14:textId="77777777" w:rsidR="003F33B8" w:rsidRPr="00705660" w:rsidRDefault="003F33B8" w:rsidP="003F33B8">
      <w:pPr>
        <w:pStyle w:val="Paragraph"/>
        <w:spacing w:after="0"/>
        <w:rPr>
          <w:rStyle w:val="Instructions"/>
        </w:rPr>
      </w:pPr>
    </w:p>
    <w:p w14:paraId="32FA58BE" w14:textId="77777777" w:rsidR="003F33B8" w:rsidRPr="00705660" w:rsidRDefault="003F33B8" w:rsidP="003F33B8">
      <w:pPr>
        <w:pStyle w:val="Paragraph"/>
        <w:spacing w:after="0"/>
        <w:rPr>
          <w:rStyle w:val="Instructions"/>
        </w:rPr>
      </w:pPr>
      <w:r w:rsidRPr="001D5EBE">
        <w:rPr>
          <w:rStyle w:val="Instructions"/>
          <w:i w:val="0"/>
          <w:iCs/>
          <w:color w:val="auto"/>
          <w:sz w:val="22"/>
          <w:szCs w:val="22"/>
        </w:rPr>
        <w:t>Didelėmis dozėmis vartojami kortikosteroidai vaikams gali sukelti pankreatitą.</w:t>
      </w:r>
    </w:p>
    <w:p w14:paraId="492B398E" w14:textId="77777777" w:rsidR="003F33B8" w:rsidRPr="001D5EBE" w:rsidRDefault="003F33B8" w:rsidP="003F33B8">
      <w:pPr>
        <w:spacing w:line="240" w:lineRule="auto"/>
        <w:rPr>
          <w:lang w:val="lt-LT"/>
        </w:rPr>
      </w:pPr>
    </w:p>
    <w:p w14:paraId="1A4BCFD5" w14:textId="77777777" w:rsidR="001A36FC" w:rsidRPr="001D5EBE" w:rsidRDefault="000A1ECA" w:rsidP="001A36FC">
      <w:pPr>
        <w:autoSpaceDE w:val="0"/>
        <w:autoSpaceDN w:val="0"/>
        <w:adjustRightInd w:val="0"/>
        <w:spacing w:line="240" w:lineRule="auto"/>
      </w:pPr>
      <w:proofErr w:type="spellStart"/>
      <w:r w:rsidRPr="001D5EBE">
        <w:t>Šio</w:t>
      </w:r>
      <w:proofErr w:type="spellEnd"/>
      <w:r w:rsidRPr="001D5EBE">
        <w:t xml:space="preserve"> </w:t>
      </w:r>
      <w:proofErr w:type="spellStart"/>
      <w:r w:rsidRPr="001D5EBE">
        <w:t>vaistinio</w:t>
      </w:r>
      <w:proofErr w:type="spellEnd"/>
      <w:r w:rsidRPr="001D5EBE">
        <w:t xml:space="preserve"> </w:t>
      </w:r>
      <w:proofErr w:type="spellStart"/>
      <w:r w:rsidRPr="001D5EBE">
        <w:t>preparato</w:t>
      </w:r>
      <w:proofErr w:type="spellEnd"/>
      <w:r w:rsidRPr="001D5EBE">
        <w:t xml:space="preserve"> </w:t>
      </w:r>
      <w:proofErr w:type="spellStart"/>
      <w:r w:rsidRPr="001D5EBE">
        <w:t>sudėtyje</w:t>
      </w:r>
      <w:proofErr w:type="spellEnd"/>
      <w:r w:rsidRPr="001D5EBE">
        <w:t xml:space="preserve"> </w:t>
      </w:r>
      <w:proofErr w:type="spellStart"/>
      <w:r w:rsidRPr="001D5EBE">
        <w:t>yra</w:t>
      </w:r>
      <w:proofErr w:type="spellEnd"/>
      <w:r w:rsidRPr="001D5EBE">
        <w:t xml:space="preserve"> </w:t>
      </w:r>
      <w:proofErr w:type="spellStart"/>
      <w:r w:rsidRPr="001D5EBE">
        <w:t>konservanto</w:t>
      </w:r>
      <w:proofErr w:type="spellEnd"/>
      <w:r w:rsidRPr="001D5EBE">
        <w:t xml:space="preserve"> </w:t>
      </w:r>
      <w:proofErr w:type="spellStart"/>
      <w:r w:rsidRPr="001D5EBE">
        <w:t>benzilo</w:t>
      </w:r>
      <w:proofErr w:type="spellEnd"/>
      <w:r w:rsidRPr="001D5EBE">
        <w:t xml:space="preserve"> </w:t>
      </w:r>
      <w:proofErr w:type="spellStart"/>
      <w:r w:rsidRPr="001D5EBE">
        <w:t>alkoholio</w:t>
      </w:r>
      <w:proofErr w:type="spellEnd"/>
      <w:r w:rsidRPr="001D5EBE">
        <w:t xml:space="preserve">. </w:t>
      </w:r>
      <w:proofErr w:type="spellStart"/>
      <w:r w:rsidRPr="001D5EBE">
        <w:t>Benzilo</w:t>
      </w:r>
      <w:proofErr w:type="spellEnd"/>
      <w:r w:rsidRPr="001D5EBE">
        <w:t xml:space="preserve"> </w:t>
      </w:r>
      <w:proofErr w:type="spellStart"/>
      <w:r w:rsidRPr="001D5EBE">
        <w:t>alkoholis</w:t>
      </w:r>
      <w:proofErr w:type="spellEnd"/>
      <w:r w:rsidRPr="001D5EBE">
        <w:t xml:space="preserve"> </w:t>
      </w:r>
      <w:proofErr w:type="spellStart"/>
      <w:r w:rsidRPr="001D5EBE">
        <w:t>siejamas</w:t>
      </w:r>
      <w:proofErr w:type="spellEnd"/>
      <w:r w:rsidRPr="001D5EBE">
        <w:t xml:space="preserve"> </w:t>
      </w:r>
      <w:proofErr w:type="spellStart"/>
      <w:r w:rsidRPr="001D5EBE">
        <w:t>su</w:t>
      </w:r>
      <w:proofErr w:type="spellEnd"/>
      <w:r w:rsidRPr="001D5EBE">
        <w:t xml:space="preserve"> </w:t>
      </w:r>
      <w:proofErr w:type="spellStart"/>
      <w:r w:rsidRPr="001D5EBE">
        <w:t>sunkiais</w:t>
      </w:r>
      <w:proofErr w:type="spellEnd"/>
      <w:r w:rsidRPr="001D5EBE">
        <w:t xml:space="preserve"> </w:t>
      </w:r>
      <w:proofErr w:type="spellStart"/>
      <w:r w:rsidRPr="001D5EBE">
        <w:t>nepageidaujamais</w:t>
      </w:r>
      <w:proofErr w:type="spellEnd"/>
      <w:r w:rsidRPr="001D5EBE">
        <w:t xml:space="preserve"> </w:t>
      </w:r>
      <w:proofErr w:type="spellStart"/>
      <w:r w:rsidRPr="001D5EBE">
        <w:t>reiškiniais</w:t>
      </w:r>
      <w:proofErr w:type="spellEnd"/>
      <w:r w:rsidRPr="001D5EBE">
        <w:t xml:space="preserve">, </w:t>
      </w:r>
      <w:proofErr w:type="spellStart"/>
      <w:r w:rsidRPr="001D5EBE">
        <w:t>įskaitant</w:t>
      </w:r>
      <w:proofErr w:type="spellEnd"/>
      <w:r w:rsidRPr="001D5EBE">
        <w:t xml:space="preserve"> „</w:t>
      </w:r>
      <w:proofErr w:type="spellStart"/>
      <w:r w:rsidRPr="001D5EBE">
        <w:t>sunkaus</w:t>
      </w:r>
      <w:proofErr w:type="spellEnd"/>
      <w:r w:rsidRPr="001D5EBE">
        <w:t xml:space="preserve"> </w:t>
      </w:r>
      <w:proofErr w:type="spellStart"/>
      <w:r w:rsidRPr="001D5EBE">
        <w:t>kvėpavimo</w:t>
      </w:r>
      <w:proofErr w:type="spellEnd"/>
      <w:r w:rsidRPr="001D5EBE">
        <w:t xml:space="preserve"> </w:t>
      </w:r>
      <w:proofErr w:type="spellStart"/>
      <w:r w:rsidRPr="001D5EBE">
        <w:t>sindromą</w:t>
      </w:r>
      <w:proofErr w:type="spellEnd"/>
      <w:proofErr w:type="gramStart"/>
      <w:r w:rsidRPr="001D5EBE">
        <w:t xml:space="preserve">“ </w:t>
      </w:r>
      <w:proofErr w:type="spellStart"/>
      <w:r w:rsidRPr="001D5EBE">
        <w:t>ir</w:t>
      </w:r>
      <w:proofErr w:type="spellEnd"/>
      <w:proofErr w:type="gramEnd"/>
      <w:r w:rsidRPr="001D5EBE">
        <w:t xml:space="preserve"> </w:t>
      </w:r>
      <w:proofErr w:type="spellStart"/>
      <w:r w:rsidRPr="001D5EBE">
        <w:t>vaikų</w:t>
      </w:r>
      <w:proofErr w:type="spellEnd"/>
      <w:r w:rsidRPr="001D5EBE">
        <w:t xml:space="preserve"> </w:t>
      </w:r>
      <w:proofErr w:type="spellStart"/>
      <w:r w:rsidRPr="001D5EBE">
        <w:t>mirtį</w:t>
      </w:r>
      <w:proofErr w:type="spellEnd"/>
      <w:r w:rsidRPr="001D5EBE">
        <w:t xml:space="preserve">.  </w:t>
      </w:r>
      <w:proofErr w:type="spellStart"/>
      <w:r w:rsidRPr="001D5EBE">
        <w:t>Nors</w:t>
      </w:r>
      <w:proofErr w:type="spellEnd"/>
      <w:r w:rsidRPr="001D5EBE">
        <w:t xml:space="preserve"> </w:t>
      </w:r>
      <w:proofErr w:type="spellStart"/>
      <w:r w:rsidRPr="001D5EBE">
        <w:t>su</w:t>
      </w:r>
      <w:proofErr w:type="spellEnd"/>
      <w:r w:rsidRPr="001D5EBE">
        <w:t xml:space="preserve"> </w:t>
      </w:r>
      <w:proofErr w:type="spellStart"/>
      <w:r w:rsidRPr="001D5EBE">
        <w:t>įprastomis</w:t>
      </w:r>
      <w:proofErr w:type="spellEnd"/>
      <w:r w:rsidRPr="001D5EBE">
        <w:t xml:space="preserve"> </w:t>
      </w:r>
      <w:proofErr w:type="spellStart"/>
      <w:r w:rsidRPr="001D5EBE">
        <w:t>šio</w:t>
      </w:r>
      <w:proofErr w:type="spellEnd"/>
      <w:r w:rsidRPr="001D5EBE">
        <w:t xml:space="preserve"> </w:t>
      </w:r>
      <w:proofErr w:type="spellStart"/>
      <w:r w:rsidRPr="001D5EBE">
        <w:t>vaistinio</w:t>
      </w:r>
      <w:proofErr w:type="spellEnd"/>
      <w:r w:rsidRPr="001D5EBE">
        <w:t xml:space="preserve"> </w:t>
      </w:r>
      <w:proofErr w:type="spellStart"/>
      <w:r w:rsidRPr="001D5EBE">
        <w:t>preparato</w:t>
      </w:r>
      <w:proofErr w:type="spellEnd"/>
      <w:r w:rsidRPr="001D5EBE">
        <w:t xml:space="preserve"> </w:t>
      </w:r>
      <w:proofErr w:type="spellStart"/>
      <w:r w:rsidRPr="001D5EBE">
        <w:t>terapinėmis</w:t>
      </w:r>
      <w:proofErr w:type="spellEnd"/>
      <w:r w:rsidRPr="001D5EBE">
        <w:t xml:space="preserve"> </w:t>
      </w:r>
      <w:proofErr w:type="spellStart"/>
      <w:r w:rsidRPr="001D5EBE">
        <w:t>dozėmis</w:t>
      </w:r>
      <w:proofErr w:type="spellEnd"/>
      <w:r w:rsidRPr="001D5EBE">
        <w:t xml:space="preserve"> </w:t>
      </w:r>
      <w:proofErr w:type="spellStart"/>
      <w:r w:rsidRPr="001D5EBE">
        <w:t>paprastai</w:t>
      </w:r>
      <w:proofErr w:type="spellEnd"/>
      <w:r w:rsidRPr="001D5EBE">
        <w:t xml:space="preserve"> </w:t>
      </w:r>
      <w:proofErr w:type="spellStart"/>
      <w:r w:rsidRPr="001D5EBE">
        <w:t>patenka</w:t>
      </w:r>
      <w:proofErr w:type="spellEnd"/>
      <w:r w:rsidRPr="001D5EBE">
        <w:t xml:space="preserve"> </w:t>
      </w:r>
      <w:proofErr w:type="spellStart"/>
      <w:r w:rsidRPr="001D5EBE">
        <w:t>gerokai</w:t>
      </w:r>
      <w:proofErr w:type="spellEnd"/>
      <w:r w:rsidRPr="001D5EBE">
        <w:t xml:space="preserve"> </w:t>
      </w:r>
      <w:proofErr w:type="spellStart"/>
      <w:r w:rsidRPr="001D5EBE">
        <w:t>mažesnis</w:t>
      </w:r>
      <w:proofErr w:type="spellEnd"/>
      <w:r w:rsidRPr="001D5EBE">
        <w:t xml:space="preserve"> </w:t>
      </w:r>
      <w:proofErr w:type="spellStart"/>
      <w:r w:rsidRPr="001D5EBE">
        <w:t>benzilo</w:t>
      </w:r>
      <w:proofErr w:type="spellEnd"/>
      <w:r w:rsidRPr="001D5EBE">
        <w:t xml:space="preserve"> </w:t>
      </w:r>
      <w:proofErr w:type="spellStart"/>
      <w:r w:rsidRPr="001D5EBE">
        <w:t>alkoholio</w:t>
      </w:r>
      <w:proofErr w:type="spellEnd"/>
      <w:r w:rsidRPr="001D5EBE">
        <w:t xml:space="preserve"> </w:t>
      </w:r>
      <w:proofErr w:type="spellStart"/>
      <w:r w:rsidRPr="001D5EBE">
        <w:t>kiekis</w:t>
      </w:r>
      <w:proofErr w:type="spellEnd"/>
      <w:r w:rsidRPr="001D5EBE">
        <w:t xml:space="preserve"> </w:t>
      </w:r>
      <w:proofErr w:type="spellStart"/>
      <w:r w:rsidRPr="001D5EBE">
        <w:t>nei</w:t>
      </w:r>
      <w:proofErr w:type="spellEnd"/>
      <w:r w:rsidRPr="001D5EBE">
        <w:t xml:space="preserve"> </w:t>
      </w:r>
      <w:proofErr w:type="spellStart"/>
      <w:r w:rsidRPr="001D5EBE">
        <w:t>su</w:t>
      </w:r>
      <w:proofErr w:type="spellEnd"/>
      <w:r w:rsidRPr="001D5EBE">
        <w:t xml:space="preserve"> </w:t>
      </w:r>
      <w:proofErr w:type="spellStart"/>
      <w:r w:rsidRPr="001D5EBE">
        <w:t>dozėmis</w:t>
      </w:r>
      <w:proofErr w:type="spellEnd"/>
      <w:r w:rsidRPr="001D5EBE">
        <w:t xml:space="preserve">, </w:t>
      </w:r>
      <w:proofErr w:type="spellStart"/>
      <w:r w:rsidRPr="001D5EBE">
        <w:t>susijusiomis</w:t>
      </w:r>
      <w:proofErr w:type="spellEnd"/>
      <w:r w:rsidRPr="001D5EBE">
        <w:t xml:space="preserve"> </w:t>
      </w:r>
      <w:proofErr w:type="spellStart"/>
      <w:r w:rsidRPr="001D5EBE">
        <w:t>su</w:t>
      </w:r>
      <w:proofErr w:type="spellEnd"/>
      <w:r w:rsidRPr="001D5EBE">
        <w:t xml:space="preserve"> </w:t>
      </w:r>
      <w:proofErr w:type="spellStart"/>
      <w:r w:rsidRPr="001D5EBE">
        <w:t>pranešimais</w:t>
      </w:r>
      <w:proofErr w:type="spellEnd"/>
      <w:r w:rsidRPr="001D5EBE">
        <w:t xml:space="preserve"> </w:t>
      </w:r>
      <w:proofErr w:type="spellStart"/>
      <w:r w:rsidRPr="001D5EBE">
        <w:t>apie</w:t>
      </w:r>
      <w:proofErr w:type="spellEnd"/>
      <w:r w:rsidRPr="001D5EBE">
        <w:t xml:space="preserve"> „</w:t>
      </w:r>
      <w:proofErr w:type="spellStart"/>
      <w:r w:rsidRPr="001D5EBE">
        <w:t>sunkaus</w:t>
      </w:r>
      <w:proofErr w:type="spellEnd"/>
      <w:r w:rsidRPr="001D5EBE">
        <w:t xml:space="preserve"> </w:t>
      </w:r>
      <w:proofErr w:type="spellStart"/>
      <w:r w:rsidRPr="001D5EBE">
        <w:t>kvėpavimo</w:t>
      </w:r>
      <w:proofErr w:type="spellEnd"/>
      <w:r w:rsidRPr="001D5EBE">
        <w:t xml:space="preserve"> </w:t>
      </w:r>
      <w:proofErr w:type="spellStart"/>
      <w:r w:rsidRPr="001D5EBE">
        <w:t>sindromą</w:t>
      </w:r>
      <w:proofErr w:type="spellEnd"/>
      <w:r w:rsidRPr="001D5EBE">
        <w:t xml:space="preserve">“, </w:t>
      </w:r>
      <w:proofErr w:type="spellStart"/>
      <w:r w:rsidRPr="001D5EBE">
        <w:t>minimalus</w:t>
      </w:r>
      <w:proofErr w:type="spellEnd"/>
      <w:r w:rsidRPr="001D5EBE">
        <w:t xml:space="preserve"> </w:t>
      </w:r>
      <w:proofErr w:type="spellStart"/>
      <w:r w:rsidRPr="001D5EBE">
        <w:t>benzilo</w:t>
      </w:r>
      <w:proofErr w:type="spellEnd"/>
      <w:r w:rsidRPr="001D5EBE">
        <w:t xml:space="preserve"> </w:t>
      </w:r>
      <w:proofErr w:type="spellStart"/>
      <w:r w:rsidRPr="001D5EBE">
        <w:t>alkoholio</w:t>
      </w:r>
      <w:proofErr w:type="spellEnd"/>
      <w:r w:rsidRPr="001D5EBE">
        <w:t xml:space="preserve"> </w:t>
      </w:r>
      <w:proofErr w:type="spellStart"/>
      <w:r w:rsidRPr="001D5EBE">
        <w:t>kiekis</w:t>
      </w:r>
      <w:proofErr w:type="spellEnd"/>
      <w:r w:rsidRPr="001D5EBE">
        <w:t xml:space="preserve">, </w:t>
      </w:r>
      <w:proofErr w:type="spellStart"/>
      <w:r w:rsidRPr="001D5EBE">
        <w:t>kuriam</w:t>
      </w:r>
      <w:proofErr w:type="spellEnd"/>
      <w:r w:rsidRPr="001D5EBE">
        <w:t xml:space="preserve"> </w:t>
      </w:r>
      <w:proofErr w:type="spellStart"/>
      <w:r w:rsidRPr="001D5EBE">
        <w:t>esant</w:t>
      </w:r>
      <w:proofErr w:type="spellEnd"/>
      <w:r w:rsidRPr="001D5EBE">
        <w:t xml:space="preserve"> </w:t>
      </w:r>
      <w:proofErr w:type="spellStart"/>
      <w:r w:rsidRPr="001D5EBE">
        <w:t>pasireikštų</w:t>
      </w:r>
      <w:proofErr w:type="spellEnd"/>
      <w:r w:rsidRPr="001D5EBE">
        <w:t xml:space="preserve"> </w:t>
      </w:r>
      <w:proofErr w:type="spellStart"/>
      <w:r w:rsidRPr="001D5EBE">
        <w:t>toksinis</w:t>
      </w:r>
      <w:proofErr w:type="spellEnd"/>
      <w:r w:rsidRPr="001D5EBE">
        <w:t xml:space="preserve"> </w:t>
      </w:r>
      <w:proofErr w:type="spellStart"/>
      <w:r w:rsidRPr="001D5EBE">
        <w:t>poveikis</w:t>
      </w:r>
      <w:proofErr w:type="spellEnd"/>
      <w:r w:rsidRPr="001D5EBE">
        <w:t xml:space="preserve">, </w:t>
      </w:r>
      <w:proofErr w:type="spellStart"/>
      <w:r w:rsidRPr="001D5EBE">
        <w:t>nėra</w:t>
      </w:r>
      <w:proofErr w:type="spellEnd"/>
      <w:r w:rsidRPr="001D5EBE">
        <w:t xml:space="preserve"> </w:t>
      </w:r>
      <w:proofErr w:type="spellStart"/>
      <w:r w:rsidRPr="001D5EBE">
        <w:t>žinomas</w:t>
      </w:r>
      <w:proofErr w:type="spellEnd"/>
      <w:r w:rsidRPr="001D5EBE">
        <w:t xml:space="preserve">.  </w:t>
      </w:r>
      <w:proofErr w:type="spellStart"/>
      <w:r w:rsidRPr="001D5EBE">
        <w:t>Benzilo</w:t>
      </w:r>
      <w:proofErr w:type="spellEnd"/>
      <w:r w:rsidRPr="001D5EBE">
        <w:t xml:space="preserve"> </w:t>
      </w:r>
      <w:proofErr w:type="spellStart"/>
      <w:r w:rsidRPr="001D5EBE">
        <w:t>alkoholio</w:t>
      </w:r>
      <w:proofErr w:type="spellEnd"/>
      <w:r w:rsidRPr="001D5EBE">
        <w:t xml:space="preserve"> </w:t>
      </w:r>
      <w:proofErr w:type="spellStart"/>
      <w:r w:rsidRPr="001D5EBE">
        <w:t>toksinio</w:t>
      </w:r>
      <w:proofErr w:type="spellEnd"/>
      <w:r w:rsidRPr="001D5EBE">
        <w:t xml:space="preserve"> </w:t>
      </w:r>
      <w:proofErr w:type="spellStart"/>
      <w:r w:rsidRPr="001D5EBE">
        <w:t>poveikio</w:t>
      </w:r>
      <w:proofErr w:type="spellEnd"/>
      <w:r w:rsidRPr="001D5EBE">
        <w:t xml:space="preserve"> </w:t>
      </w:r>
      <w:proofErr w:type="spellStart"/>
      <w:r w:rsidRPr="001D5EBE">
        <w:t>rizika</w:t>
      </w:r>
      <w:proofErr w:type="spellEnd"/>
      <w:r w:rsidRPr="001D5EBE">
        <w:t xml:space="preserve"> </w:t>
      </w:r>
      <w:proofErr w:type="spellStart"/>
      <w:r w:rsidRPr="001D5EBE">
        <w:t>priklauso</w:t>
      </w:r>
      <w:proofErr w:type="spellEnd"/>
      <w:r w:rsidRPr="001D5EBE">
        <w:t xml:space="preserve"> </w:t>
      </w:r>
      <w:proofErr w:type="spellStart"/>
      <w:r w:rsidRPr="001D5EBE">
        <w:t>nuo</w:t>
      </w:r>
      <w:proofErr w:type="spellEnd"/>
      <w:r w:rsidRPr="001D5EBE">
        <w:t xml:space="preserve"> </w:t>
      </w:r>
      <w:proofErr w:type="spellStart"/>
      <w:r w:rsidRPr="001D5EBE">
        <w:t>suvartotos</w:t>
      </w:r>
      <w:proofErr w:type="spellEnd"/>
      <w:r w:rsidRPr="001D5EBE">
        <w:t xml:space="preserve"> </w:t>
      </w:r>
      <w:proofErr w:type="spellStart"/>
      <w:r w:rsidRPr="001D5EBE">
        <w:t>dozės</w:t>
      </w:r>
      <w:proofErr w:type="spellEnd"/>
      <w:r w:rsidRPr="001D5EBE">
        <w:t xml:space="preserve"> </w:t>
      </w:r>
      <w:proofErr w:type="spellStart"/>
      <w:r w:rsidRPr="001D5EBE">
        <w:t>ir</w:t>
      </w:r>
      <w:proofErr w:type="spellEnd"/>
      <w:r w:rsidRPr="001D5EBE">
        <w:t xml:space="preserve"> </w:t>
      </w:r>
      <w:proofErr w:type="spellStart"/>
      <w:r w:rsidRPr="001D5EBE">
        <w:t>kepenų</w:t>
      </w:r>
      <w:proofErr w:type="spellEnd"/>
      <w:r w:rsidRPr="001D5EBE">
        <w:t xml:space="preserve"> </w:t>
      </w:r>
      <w:proofErr w:type="spellStart"/>
      <w:r w:rsidR="00F9473F">
        <w:t>bei</w:t>
      </w:r>
      <w:proofErr w:type="spellEnd"/>
      <w:r w:rsidR="00F9473F">
        <w:t xml:space="preserve"> </w:t>
      </w:r>
      <w:proofErr w:type="spellStart"/>
      <w:r w:rsidR="00F9473F">
        <w:t>inkstų</w:t>
      </w:r>
      <w:proofErr w:type="spellEnd"/>
      <w:r w:rsidR="00F9473F">
        <w:t xml:space="preserve"> </w:t>
      </w:r>
      <w:proofErr w:type="spellStart"/>
      <w:r w:rsidRPr="001D5EBE">
        <w:t>gebėjimo</w:t>
      </w:r>
      <w:proofErr w:type="spellEnd"/>
      <w:r w:rsidRPr="001D5EBE">
        <w:t xml:space="preserve"> </w:t>
      </w:r>
      <w:proofErr w:type="spellStart"/>
      <w:r w:rsidRPr="001D5EBE">
        <w:t>detoksikuoti</w:t>
      </w:r>
      <w:proofErr w:type="spellEnd"/>
      <w:r w:rsidRPr="001D5EBE">
        <w:t xml:space="preserve"> </w:t>
      </w:r>
      <w:proofErr w:type="spellStart"/>
      <w:r w:rsidRPr="001D5EBE">
        <w:t>chemines</w:t>
      </w:r>
      <w:proofErr w:type="spellEnd"/>
      <w:r w:rsidRPr="001D5EBE">
        <w:t xml:space="preserve"> </w:t>
      </w:r>
      <w:proofErr w:type="spellStart"/>
      <w:r w:rsidRPr="001D5EBE">
        <w:t>medžiagas</w:t>
      </w:r>
      <w:proofErr w:type="spellEnd"/>
      <w:r w:rsidRPr="001D5EBE">
        <w:t xml:space="preserve">.  </w:t>
      </w:r>
      <w:proofErr w:type="spellStart"/>
      <w:r w:rsidRPr="001D5EBE">
        <w:t>Neišnešiotiems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kūdikiams</w:t>
      </w:r>
      <w:proofErr w:type="spellEnd"/>
      <w:r w:rsidRPr="001D5EBE">
        <w:t xml:space="preserve">, </w:t>
      </w:r>
      <w:proofErr w:type="spellStart"/>
      <w:r w:rsidRPr="001D5EBE">
        <w:t>gimusiems</w:t>
      </w:r>
      <w:proofErr w:type="spellEnd"/>
      <w:r w:rsidRPr="001D5EBE">
        <w:t xml:space="preserve"> </w:t>
      </w:r>
      <w:proofErr w:type="spellStart"/>
      <w:r w:rsidRPr="001D5EBE">
        <w:t>mažo</w:t>
      </w:r>
      <w:proofErr w:type="spellEnd"/>
      <w:r w:rsidRPr="001D5EBE">
        <w:t xml:space="preserve"> </w:t>
      </w:r>
      <w:proofErr w:type="spellStart"/>
      <w:r w:rsidRPr="001D5EBE">
        <w:t>svorio</w:t>
      </w:r>
      <w:proofErr w:type="spellEnd"/>
      <w:r w:rsidRPr="001D5EBE">
        <w:t xml:space="preserve">, </w:t>
      </w:r>
      <w:r w:rsidRPr="001D5EBE">
        <w:rPr>
          <w:lang w:val="lt-LT"/>
        </w:rPr>
        <w:t xml:space="preserve">o taip pat pacientams, vartojantiems dideles vaistinio preparato dozes, </w:t>
      </w:r>
      <w:proofErr w:type="spellStart"/>
      <w:r w:rsidRPr="001D5EBE">
        <w:t>toksinis</w:t>
      </w:r>
      <w:proofErr w:type="spellEnd"/>
      <w:r w:rsidRPr="001D5EBE">
        <w:t xml:space="preserve"> </w:t>
      </w:r>
      <w:proofErr w:type="spellStart"/>
      <w:r w:rsidRPr="001D5EBE">
        <w:t>poveikis</w:t>
      </w:r>
      <w:proofErr w:type="spellEnd"/>
      <w:r w:rsidRPr="001D5EBE">
        <w:t xml:space="preserve"> </w:t>
      </w:r>
      <w:proofErr w:type="spellStart"/>
      <w:r w:rsidRPr="001D5EBE">
        <w:t>gali</w:t>
      </w:r>
      <w:proofErr w:type="spellEnd"/>
      <w:r w:rsidRPr="001D5EBE">
        <w:t xml:space="preserve"> </w:t>
      </w:r>
      <w:proofErr w:type="spellStart"/>
      <w:r w:rsidRPr="001D5EBE">
        <w:t>būti</w:t>
      </w:r>
      <w:proofErr w:type="spellEnd"/>
      <w:r w:rsidRPr="001D5EBE">
        <w:t xml:space="preserve"> </w:t>
      </w:r>
      <w:proofErr w:type="spellStart"/>
      <w:r w:rsidRPr="001D5EBE">
        <w:t>didesnis</w:t>
      </w:r>
      <w:proofErr w:type="spellEnd"/>
      <w:r w:rsidRPr="001D5EBE">
        <w:t xml:space="preserve">. </w:t>
      </w:r>
      <w:proofErr w:type="spellStart"/>
      <w:r w:rsidRPr="001D5EBE">
        <w:t>Benzilo</w:t>
      </w:r>
      <w:proofErr w:type="spellEnd"/>
      <w:r w:rsidRPr="001D5EBE">
        <w:t xml:space="preserve"> </w:t>
      </w:r>
      <w:proofErr w:type="spellStart"/>
      <w:r w:rsidRPr="001D5EBE">
        <w:t>alkoholis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vaikams</w:t>
      </w:r>
      <w:proofErr w:type="spellEnd"/>
      <w:r w:rsidRPr="001D5EBE">
        <w:t xml:space="preserve"> </w:t>
      </w:r>
      <w:proofErr w:type="spellStart"/>
      <w:r w:rsidRPr="001D5EBE">
        <w:t>iki</w:t>
      </w:r>
      <w:proofErr w:type="spellEnd"/>
      <w:r w:rsidRPr="001D5EBE">
        <w:t xml:space="preserve"> 3 </w:t>
      </w:r>
      <w:proofErr w:type="spellStart"/>
      <w:r w:rsidRPr="001D5EBE">
        <w:t>metų</w:t>
      </w:r>
      <w:proofErr w:type="spellEnd"/>
      <w:r w:rsidRPr="001D5EBE">
        <w:t xml:space="preserve"> </w:t>
      </w:r>
      <w:proofErr w:type="spellStart"/>
      <w:r w:rsidRPr="001D5EBE">
        <w:t>gali</w:t>
      </w:r>
      <w:proofErr w:type="spellEnd"/>
      <w:r w:rsidRPr="001D5EBE">
        <w:t xml:space="preserve"> </w:t>
      </w:r>
      <w:proofErr w:type="spellStart"/>
      <w:r w:rsidRPr="001D5EBE">
        <w:t>sukelti</w:t>
      </w:r>
      <w:proofErr w:type="spellEnd"/>
      <w:r w:rsidRPr="001D5EBE">
        <w:t xml:space="preserve"> </w:t>
      </w:r>
      <w:proofErr w:type="spellStart"/>
      <w:r w:rsidRPr="001D5EBE">
        <w:t>toksinių</w:t>
      </w:r>
      <w:proofErr w:type="spellEnd"/>
      <w:r w:rsidRPr="001D5EBE">
        <w:t xml:space="preserve"> </w:t>
      </w:r>
      <w:proofErr w:type="spellStart"/>
      <w:r w:rsidRPr="001D5EBE">
        <w:t>ir</w:t>
      </w:r>
      <w:proofErr w:type="spellEnd"/>
      <w:r w:rsidRPr="001D5EBE">
        <w:t xml:space="preserve"> </w:t>
      </w:r>
      <w:proofErr w:type="spellStart"/>
      <w:r w:rsidRPr="001D5EBE">
        <w:t>anafilaktoidinių</w:t>
      </w:r>
      <w:proofErr w:type="spellEnd"/>
      <w:r w:rsidRPr="001D5EBE">
        <w:t xml:space="preserve"> </w:t>
      </w:r>
      <w:proofErr w:type="spellStart"/>
      <w:r w:rsidRPr="001D5EBE">
        <w:t>reakcijų</w:t>
      </w:r>
      <w:proofErr w:type="spellEnd"/>
      <w:r w:rsidRPr="001D5EBE">
        <w:t xml:space="preserve"> (</w:t>
      </w:r>
      <w:proofErr w:type="spellStart"/>
      <w:r w:rsidRPr="001D5EBE">
        <w:t>žr</w:t>
      </w:r>
      <w:proofErr w:type="spellEnd"/>
      <w:r w:rsidRPr="001D5EBE">
        <w:t xml:space="preserve">. 4.3 </w:t>
      </w:r>
      <w:proofErr w:type="spellStart"/>
      <w:r w:rsidRPr="001D5EBE">
        <w:t>skyrių</w:t>
      </w:r>
      <w:proofErr w:type="spellEnd"/>
      <w:r w:rsidRPr="001D5EBE">
        <w:t>).</w:t>
      </w:r>
    </w:p>
    <w:p w14:paraId="6970F0A6" w14:textId="77777777" w:rsidR="003F33B8" w:rsidRPr="001D5EBE" w:rsidRDefault="003F33B8" w:rsidP="003F33B8">
      <w:pPr>
        <w:spacing w:line="240" w:lineRule="auto"/>
        <w:rPr>
          <w:lang w:val="lt-LT"/>
        </w:rPr>
      </w:pPr>
      <w:r w:rsidRPr="001D5EBE">
        <w:rPr>
          <w:lang w:val="lt-LT"/>
        </w:rPr>
        <w:t xml:space="preserve">Gydytojai, skirdami šį vaistinį preparatą ir kitus </w:t>
      </w:r>
      <w:r w:rsidR="00E23965">
        <w:rPr>
          <w:lang w:val="lt-LT"/>
        </w:rPr>
        <w:t xml:space="preserve">vaistinius </w:t>
      </w:r>
      <w:r w:rsidRPr="001D5EBE">
        <w:rPr>
          <w:lang w:val="lt-LT"/>
        </w:rPr>
        <w:t xml:space="preserve">preparatus, kurių sudėtyje gali būti </w:t>
      </w:r>
      <w:proofErr w:type="spellStart"/>
      <w:r w:rsidRPr="001D5EBE">
        <w:rPr>
          <w:lang w:val="lt-LT"/>
        </w:rPr>
        <w:t>benzilo</w:t>
      </w:r>
      <w:proofErr w:type="spellEnd"/>
      <w:r w:rsidRPr="001D5EBE">
        <w:rPr>
          <w:lang w:val="lt-LT"/>
        </w:rPr>
        <w:t xml:space="preserve"> alkoholio, turi įvertinti bendrą </w:t>
      </w:r>
      <w:proofErr w:type="spellStart"/>
      <w:r w:rsidRPr="001D5EBE">
        <w:rPr>
          <w:lang w:val="lt-LT"/>
        </w:rPr>
        <w:t>benzilo</w:t>
      </w:r>
      <w:proofErr w:type="spellEnd"/>
      <w:r w:rsidRPr="001D5EBE">
        <w:rPr>
          <w:lang w:val="lt-LT"/>
        </w:rPr>
        <w:t xml:space="preserve"> alkoholio paros dozę, gaunamą iš visų šaltinių.</w:t>
      </w:r>
    </w:p>
    <w:p w14:paraId="2CCCFB14" w14:textId="77777777" w:rsidR="00B46A59" w:rsidRPr="001D5EBE" w:rsidRDefault="00B46A59" w:rsidP="003F33B8">
      <w:pPr>
        <w:spacing w:line="240" w:lineRule="auto"/>
        <w:rPr>
          <w:lang w:val="lt-LT"/>
        </w:rPr>
      </w:pPr>
    </w:p>
    <w:p w14:paraId="4EC901E3" w14:textId="6C265241" w:rsidR="00B46A59" w:rsidRPr="00705660" w:rsidRDefault="001068FF" w:rsidP="00B46A59">
      <w:pPr>
        <w:spacing w:line="240" w:lineRule="auto"/>
        <w:rPr>
          <w:rStyle w:val="Instructions"/>
        </w:rPr>
      </w:pPr>
      <w:r w:rsidRPr="004A5109">
        <w:rPr>
          <w:lang w:val="lt-LT"/>
        </w:rPr>
        <w:t>Viename</w:t>
      </w:r>
      <w:r>
        <w:t xml:space="preserve"> </w:t>
      </w:r>
      <w:r w:rsidRPr="004A5109">
        <w:rPr>
          <w:lang w:val="lt-LT"/>
        </w:rPr>
        <w:t>š</w:t>
      </w:r>
      <w:r w:rsidR="00B46A59" w:rsidRPr="004A5109">
        <w:rPr>
          <w:lang w:val="lt-LT"/>
        </w:rPr>
        <w:t>io</w:t>
      </w:r>
      <w:r w:rsidR="00B46A59" w:rsidRPr="001D5EBE">
        <w:t xml:space="preserve"> </w:t>
      </w:r>
      <w:r w:rsidR="00B46A59" w:rsidRPr="004A5109">
        <w:rPr>
          <w:lang w:val="lt-LT"/>
        </w:rPr>
        <w:t>vaistinio</w:t>
      </w:r>
      <w:r w:rsidR="00B46A59" w:rsidRPr="001D5EBE">
        <w:t xml:space="preserve"> </w:t>
      </w:r>
      <w:r w:rsidR="00B46A59" w:rsidRPr="004A5109">
        <w:rPr>
          <w:lang w:val="lt-LT"/>
        </w:rPr>
        <w:t xml:space="preserve">preparato </w:t>
      </w:r>
      <w:r w:rsidRPr="004A5109">
        <w:rPr>
          <w:lang w:val="lt-LT"/>
        </w:rPr>
        <w:t>flakone</w:t>
      </w:r>
      <w:r w:rsidR="00B46A59" w:rsidRPr="001D5EBE">
        <w:t xml:space="preserve"> </w:t>
      </w:r>
      <w:r w:rsidR="00B46A59" w:rsidRPr="001D5EBE">
        <w:rPr>
          <w:rFonts w:eastAsiaTheme="minorEastAsia"/>
          <w:lang w:val="lt-LT" w:eastAsia="ja-JP"/>
        </w:rPr>
        <w:t xml:space="preserve">yra 2,55 </w:t>
      </w:r>
      <w:proofErr w:type="spellStart"/>
      <w:r w:rsidR="00B46A59" w:rsidRPr="001D5EBE">
        <w:rPr>
          <w:rFonts w:eastAsiaTheme="minorEastAsia"/>
          <w:lang w:val="lt-LT" w:eastAsia="ja-JP"/>
        </w:rPr>
        <w:t>mmol</w:t>
      </w:r>
      <w:proofErr w:type="spellEnd"/>
      <w:r w:rsidR="00B46A59" w:rsidRPr="001D5EBE">
        <w:rPr>
          <w:rFonts w:eastAsiaTheme="minorEastAsia"/>
          <w:lang w:val="lt-LT" w:eastAsia="ja-JP"/>
        </w:rPr>
        <w:t xml:space="preserve"> (arba  </w:t>
      </w:r>
      <w:r w:rsidR="00B46A59" w:rsidRPr="001D5EBE">
        <w:rPr>
          <w:color w:val="000000"/>
        </w:rPr>
        <w:t xml:space="preserve">58,56 </w:t>
      </w:r>
      <w:r w:rsidR="00B46A59" w:rsidRPr="001D5EBE">
        <w:rPr>
          <w:rFonts w:eastAsiaTheme="minorEastAsia"/>
          <w:lang w:val="lt-LT" w:eastAsia="ja-JP"/>
        </w:rPr>
        <w:t>mg) natrio. Būtina atsižvelgti, jei kontroliuojamas natrio kiekis maiste.</w:t>
      </w:r>
    </w:p>
    <w:p w14:paraId="105A3038" w14:textId="77777777" w:rsidR="003F33B8" w:rsidRPr="001D5EBE" w:rsidRDefault="003F33B8" w:rsidP="003F33B8">
      <w:pPr>
        <w:pStyle w:val="Pagrindinistekstas"/>
        <w:spacing w:after="0"/>
        <w:rPr>
          <w:szCs w:val="22"/>
        </w:rPr>
      </w:pPr>
    </w:p>
    <w:p w14:paraId="6EF88425" w14:textId="77777777" w:rsidR="003F33B8" w:rsidRPr="001D5EBE" w:rsidRDefault="003F33B8" w:rsidP="003F33B8">
      <w:pPr>
        <w:pStyle w:val="Antrat3"/>
        <w:rPr>
          <w:szCs w:val="22"/>
        </w:rPr>
      </w:pPr>
      <w:r w:rsidRPr="001D5EBE">
        <w:rPr>
          <w:szCs w:val="22"/>
        </w:rPr>
        <w:t>4.5</w:t>
      </w:r>
      <w:r w:rsidRPr="001D5EBE">
        <w:rPr>
          <w:szCs w:val="22"/>
        </w:rPr>
        <w:tab/>
        <w:t>Sąveika su kitais vaistiniais preparatais ir kitokia sąveika</w:t>
      </w:r>
    </w:p>
    <w:p w14:paraId="4EF27B4C" w14:textId="77777777" w:rsidR="003F33B8" w:rsidRPr="001D5EBE" w:rsidRDefault="003F33B8" w:rsidP="003F33B8">
      <w:pPr>
        <w:spacing w:line="240" w:lineRule="auto"/>
        <w:rPr>
          <w:lang w:val="lt-LT"/>
        </w:rPr>
      </w:pPr>
    </w:p>
    <w:p w14:paraId="4770F630" w14:textId="77777777" w:rsidR="003F33B8" w:rsidRPr="001D5EBE" w:rsidRDefault="003F33B8" w:rsidP="003F33B8">
      <w:pPr>
        <w:pStyle w:val="Paragraph"/>
        <w:spacing w:after="0"/>
        <w:rPr>
          <w:sz w:val="22"/>
          <w:szCs w:val="22"/>
        </w:rPr>
      </w:pPr>
      <w:proofErr w:type="spellStart"/>
      <w:r w:rsidRPr="001D5EBE">
        <w:rPr>
          <w:sz w:val="22"/>
          <w:szCs w:val="22"/>
        </w:rPr>
        <w:t>Metilprednizolonas</w:t>
      </w:r>
      <w:proofErr w:type="spellEnd"/>
      <w:r w:rsidRPr="001D5EBE">
        <w:rPr>
          <w:sz w:val="22"/>
          <w:szCs w:val="22"/>
        </w:rPr>
        <w:t xml:space="preserve"> yra </w:t>
      </w:r>
      <w:proofErr w:type="spellStart"/>
      <w:r w:rsidRPr="001D5EBE">
        <w:rPr>
          <w:sz w:val="22"/>
          <w:szCs w:val="22"/>
        </w:rPr>
        <w:t>citochromo</w:t>
      </w:r>
      <w:proofErr w:type="spellEnd"/>
      <w:r w:rsidRPr="001D5EBE">
        <w:rPr>
          <w:sz w:val="22"/>
          <w:szCs w:val="22"/>
        </w:rPr>
        <w:t xml:space="preserve"> P450 fermentų (CYP) substratas. </w:t>
      </w:r>
      <w:proofErr w:type="spellStart"/>
      <w:r w:rsidRPr="001D5EBE">
        <w:rPr>
          <w:sz w:val="22"/>
          <w:szCs w:val="22"/>
        </w:rPr>
        <w:t>Metilprednizolono</w:t>
      </w:r>
      <w:proofErr w:type="spellEnd"/>
      <w:r w:rsidRPr="001D5EBE">
        <w:rPr>
          <w:sz w:val="22"/>
          <w:szCs w:val="22"/>
        </w:rPr>
        <w:t xml:space="preserve"> metabolizme daugiausia dalyvauja CYP3A4 fermentas. CYP3A4 yra pagrindinis didžiausio suaugusio žmogaus kepenyse susidarančių fermentų CYP potipio fermentas. Jis </w:t>
      </w:r>
      <w:proofErr w:type="spellStart"/>
      <w:r w:rsidRPr="001D5EBE">
        <w:rPr>
          <w:sz w:val="22"/>
          <w:szCs w:val="22"/>
        </w:rPr>
        <w:t>katalizuoja</w:t>
      </w:r>
      <w:proofErr w:type="spellEnd"/>
      <w:r w:rsidRPr="001D5EBE">
        <w:rPr>
          <w:sz w:val="22"/>
          <w:szCs w:val="22"/>
        </w:rPr>
        <w:t xml:space="preserve"> steroidų 6-β-</w:t>
      </w:r>
      <w:proofErr w:type="spellStart"/>
      <w:r w:rsidRPr="001D5EBE">
        <w:rPr>
          <w:sz w:val="22"/>
          <w:szCs w:val="22"/>
        </w:rPr>
        <w:t>hidroksilinimą</w:t>
      </w:r>
      <w:proofErr w:type="spellEnd"/>
      <w:r w:rsidRPr="001D5EBE">
        <w:rPr>
          <w:sz w:val="22"/>
          <w:szCs w:val="22"/>
        </w:rPr>
        <w:t xml:space="preserve">, t. y. svarbiausią endogeninių ir sintetinių kortikosteroidų I metabolizmo fazės etapą. Daug kitų medžiagų yra CYP3A4 substratai, kai kurios iš šių medžiagų (bei kai kurie kiti vaistiniai preparatai) daro įtaką </w:t>
      </w:r>
      <w:proofErr w:type="spellStart"/>
      <w:r w:rsidRPr="001D5EBE">
        <w:rPr>
          <w:sz w:val="22"/>
          <w:szCs w:val="22"/>
        </w:rPr>
        <w:t>gliukokortikoidų</w:t>
      </w:r>
      <w:proofErr w:type="spellEnd"/>
      <w:r w:rsidRPr="001D5EBE">
        <w:rPr>
          <w:sz w:val="22"/>
          <w:szCs w:val="22"/>
        </w:rPr>
        <w:t xml:space="preserve"> metabolizmui indukuodami (sužadindami) ar slopindami CYP3A4 fermentą.</w:t>
      </w:r>
    </w:p>
    <w:p w14:paraId="53A178A3" w14:textId="77777777" w:rsidR="003F33B8" w:rsidRPr="001D5EBE" w:rsidRDefault="003F33B8" w:rsidP="003F33B8">
      <w:pPr>
        <w:pStyle w:val="Paragraph"/>
        <w:spacing w:after="0"/>
        <w:rPr>
          <w:sz w:val="22"/>
          <w:szCs w:val="22"/>
        </w:rPr>
      </w:pPr>
    </w:p>
    <w:p w14:paraId="749DDFF3" w14:textId="77777777" w:rsidR="003F33B8" w:rsidRPr="001D5EBE" w:rsidRDefault="003F33B8" w:rsidP="003F33B8">
      <w:pPr>
        <w:pStyle w:val="Paragraph"/>
        <w:spacing w:after="0"/>
        <w:rPr>
          <w:i/>
          <w:sz w:val="22"/>
          <w:szCs w:val="22"/>
        </w:rPr>
      </w:pPr>
      <w:r w:rsidRPr="001D5EBE">
        <w:rPr>
          <w:i/>
          <w:sz w:val="22"/>
          <w:szCs w:val="22"/>
        </w:rPr>
        <w:t>CYP3A4 inhibitoriai</w:t>
      </w:r>
    </w:p>
    <w:p w14:paraId="67A56C34" w14:textId="77777777" w:rsidR="003F33B8" w:rsidRPr="001D5EBE" w:rsidRDefault="003F33B8" w:rsidP="003F33B8">
      <w:pPr>
        <w:pStyle w:val="Paragraph"/>
        <w:spacing w:after="0"/>
        <w:rPr>
          <w:sz w:val="22"/>
          <w:szCs w:val="22"/>
        </w:rPr>
      </w:pPr>
      <w:r w:rsidRPr="001D5EBE">
        <w:rPr>
          <w:sz w:val="22"/>
          <w:szCs w:val="22"/>
        </w:rPr>
        <w:t xml:space="preserve">Vaistiniai preparatai, kurie slopina CYP3A4 aktyvumą, paprastai mažiną vaistinių preparatų, kurie yra CYP3A4 substratai, pvz., </w:t>
      </w:r>
      <w:proofErr w:type="spellStart"/>
      <w:r w:rsidRPr="001D5EBE">
        <w:rPr>
          <w:sz w:val="22"/>
          <w:szCs w:val="22"/>
        </w:rPr>
        <w:t>metilprednizolono</w:t>
      </w:r>
      <w:proofErr w:type="spellEnd"/>
      <w:r w:rsidRPr="001D5EBE">
        <w:rPr>
          <w:sz w:val="22"/>
          <w:szCs w:val="22"/>
        </w:rPr>
        <w:t xml:space="preserve">, kepenų klirensą ir didina koncentraciją plazmoje. Jei vartojama CYP3A4 inhibitorių, reikia atidžiai laipsniškai parinkti </w:t>
      </w:r>
      <w:proofErr w:type="spellStart"/>
      <w:r w:rsidRPr="001D5EBE">
        <w:rPr>
          <w:sz w:val="22"/>
          <w:szCs w:val="22"/>
        </w:rPr>
        <w:t>metilprednizolono</w:t>
      </w:r>
      <w:proofErr w:type="spellEnd"/>
      <w:r w:rsidRPr="001D5EBE">
        <w:rPr>
          <w:sz w:val="22"/>
          <w:szCs w:val="22"/>
        </w:rPr>
        <w:t xml:space="preserve"> dozę, kad būtų išvengta toksinio steroidų poveikio.</w:t>
      </w:r>
    </w:p>
    <w:p w14:paraId="5034FBB4" w14:textId="77777777" w:rsidR="003F33B8" w:rsidRPr="001D5EBE" w:rsidRDefault="003F33B8" w:rsidP="003F33B8">
      <w:pPr>
        <w:pStyle w:val="Paragraph"/>
        <w:spacing w:after="0"/>
        <w:rPr>
          <w:sz w:val="22"/>
          <w:szCs w:val="22"/>
        </w:rPr>
      </w:pPr>
    </w:p>
    <w:p w14:paraId="1BA9090D" w14:textId="77777777" w:rsidR="003F33B8" w:rsidRPr="001D5EBE" w:rsidRDefault="003F33B8" w:rsidP="003F33B8">
      <w:pPr>
        <w:pStyle w:val="Paragraph"/>
        <w:spacing w:after="0"/>
        <w:rPr>
          <w:i/>
          <w:sz w:val="22"/>
          <w:szCs w:val="22"/>
        </w:rPr>
      </w:pPr>
      <w:r w:rsidRPr="001D5EBE">
        <w:rPr>
          <w:i/>
          <w:sz w:val="22"/>
          <w:szCs w:val="22"/>
        </w:rPr>
        <w:t xml:space="preserve">CYP3A4 </w:t>
      </w:r>
      <w:proofErr w:type="spellStart"/>
      <w:r w:rsidRPr="001D5EBE">
        <w:rPr>
          <w:i/>
          <w:sz w:val="22"/>
          <w:szCs w:val="22"/>
        </w:rPr>
        <w:t>induktoriai</w:t>
      </w:r>
      <w:proofErr w:type="spellEnd"/>
    </w:p>
    <w:p w14:paraId="3ECCF756" w14:textId="77777777" w:rsidR="003F33B8" w:rsidRPr="001D5EBE" w:rsidRDefault="003F33B8" w:rsidP="003F33B8">
      <w:pPr>
        <w:pStyle w:val="Paragraph"/>
        <w:spacing w:after="0"/>
        <w:rPr>
          <w:sz w:val="22"/>
          <w:szCs w:val="22"/>
        </w:rPr>
      </w:pPr>
      <w:r w:rsidRPr="001D5EBE">
        <w:rPr>
          <w:sz w:val="22"/>
          <w:szCs w:val="22"/>
        </w:rPr>
        <w:t xml:space="preserve">Vaistiniai preparatai, kurie skatina CYP3A4 aktyvumą, paprastai didina vaistinių preparatų, kurie yra CYP3A4 substratai, kepenų klirensą ir mažina koncentraciją plazmoje. Jei vartojama CYP3A4 </w:t>
      </w:r>
      <w:proofErr w:type="spellStart"/>
      <w:r w:rsidRPr="001D5EBE">
        <w:rPr>
          <w:sz w:val="22"/>
          <w:szCs w:val="22"/>
        </w:rPr>
        <w:t>induktorių</w:t>
      </w:r>
      <w:proofErr w:type="spellEnd"/>
      <w:r w:rsidRPr="001D5EBE">
        <w:rPr>
          <w:sz w:val="22"/>
          <w:szCs w:val="22"/>
        </w:rPr>
        <w:t xml:space="preserve">, norint gauti reikiamą rezultatą, gali reikėti didinti </w:t>
      </w:r>
      <w:proofErr w:type="spellStart"/>
      <w:r w:rsidRPr="001D5EBE">
        <w:rPr>
          <w:sz w:val="22"/>
          <w:szCs w:val="22"/>
        </w:rPr>
        <w:t>metilprednizolono</w:t>
      </w:r>
      <w:proofErr w:type="spellEnd"/>
      <w:r w:rsidRPr="001D5EBE">
        <w:rPr>
          <w:sz w:val="22"/>
          <w:szCs w:val="22"/>
        </w:rPr>
        <w:t xml:space="preserve"> dozę.</w:t>
      </w:r>
    </w:p>
    <w:p w14:paraId="5839803F" w14:textId="77777777" w:rsidR="003F33B8" w:rsidRPr="001D5EBE" w:rsidRDefault="003F33B8" w:rsidP="003F33B8">
      <w:pPr>
        <w:pStyle w:val="Paragraph"/>
        <w:spacing w:after="0"/>
        <w:rPr>
          <w:sz w:val="22"/>
          <w:szCs w:val="22"/>
        </w:rPr>
      </w:pPr>
    </w:p>
    <w:p w14:paraId="30F9E135" w14:textId="77777777" w:rsidR="003F33B8" w:rsidRPr="001D5EBE" w:rsidRDefault="003F33B8" w:rsidP="003F33B8">
      <w:pPr>
        <w:pStyle w:val="Paragraph"/>
        <w:spacing w:after="0"/>
        <w:rPr>
          <w:i/>
          <w:sz w:val="22"/>
          <w:szCs w:val="22"/>
        </w:rPr>
      </w:pPr>
      <w:r w:rsidRPr="001D5EBE">
        <w:rPr>
          <w:i/>
          <w:sz w:val="22"/>
          <w:szCs w:val="22"/>
        </w:rPr>
        <w:t>CYP3A4 substratai</w:t>
      </w:r>
    </w:p>
    <w:p w14:paraId="7D416C71" w14:textId="77777777" w:rsidR="003F33B8" w:rsidRPr="001D5EBE" w:rsidRDefault="003F33B8" w:rsidP="003F33B8">
      <w:pPr>
        <w:pStyle w:val="Paragraph"/>
        <w:spacing w:after="0"/>
        <w:rPr>
          <w:sz w:val="22"/>
          <w:szCs w:val="22"/>
        </w:rPr>
      </w:pPr>
      <w:r w:rsidRPr="001D5EBE">
        <w:rPr>
          <w:sz w:val="22"/>
          <w:szCs w:val="22"/>
        </w:rPr>
        <w:t xml:space="preserve">Jei vartojama kitokio CYP3A4 substrato, gali pakisti </w:t>
      </w:r>
      <w:proofErr w:type="spellStart"/>
      <w:r w:rsidRPr="001D5EBE">
        <w:rPr>
          <w:sz w:val="22"/>
          <w:szCs w:val="22"/>
        </w:rPr>
        <w:t>metilprednizolono</w:t>
      </w:r>
      <w:proofErr w:type="spellEnd"/>
      <w:r w:rsidRPr="001D5EBE">
        <w:rPr>
          <w:sz w:val="22"/>
          <w:szCs w:val="22"/>
        </w:rPr>
        <w:t xml:space="preserve"> kepenų klirensas todėl gali prireikti atitinkamai koreguoti dozę. Kombinuotojo gydymo atveju gali padidėti rizika nepageidaujamų reiškinių, susijusių su vieno kurio nors vaistinio preparato vartojimu.</w:t>
      </w:r>
    </w:p>
    <w:p w14:paraId="51EA221C" w14:textId="77777777" w:rsidR="003F33B8" w:rsidRPr="001D5EBE" w:rsidRDefault="003F33B8" w:rsidP="003F33B8">
      <w:pPr>
        <w:pStyle w:val="Paragraph"/>
        <w:spacing w:after="0"/>
        <w:rPr>
          <w:sz w:val="22"/>
          <w:szCs w:val="22"/>
        </w:rPr>
      </w:pPr>
    </w:p>
    <w:p w14:paraId="1E2B7E24" w14:textId="77777777" w:rsidR="003F33B8" w:rsidRPr="001D5EBE" w:rsidRDefault="003F33B8" w:rsidP="003F33B8">
      <w:pPr>
        <w:pStyle w:val="Paragraph"/>
        <w:spacing w:after="0"/>
        <w:rPr>
          <w:i/>
          <w:sz w:val="22"/>
          <w:szCs w:val="22"/>
        </w:rPr>
      </w:pPr>
      <w:r w:rsidRPr="001D5EBE">
        <w:rPr>
          <w:i/>
          <w:sz w:val="22"/>
          <w:szCs w:val="22"/>
        </w:rPr>
        <w:t>Su CYP3A4 nesusijęs poveikis</w:t>
      </w:r>
    </w:p>
    <w:p w14:paraId="0592E91F" w14:textId="77777777" w:rsidR="003F33B8" w:rsidRPr="001D5EBE" w:rsidRDefault="003F33B8" w:rsidP="003F33B8">
      <w:pPr>
        <w:pStyle w:val="Paragraph"/>
        <w:spacing w:after="0"/>
        <w:rPr>
          <w:sz w:val="22"/>
          <w:szCs w:val="22"/>
        </w:rPr>
      </w:pPr>
      <w:r w:rsidRPr="001D5EBE">
        <w:rPr>
          <w:sz w:val="22"/>
          <w:szCs w:val="22"/>
        </w:rPr>
        <w:t xml:space="preserve">Kitokia sąveika ir poveikis, pasireiškiantis vartojant </w:t>
      </w:r>
      <w:proofErr w:type="spellStart"/>
      <w:r w:rsidRPr="001D5EBE">
        <w:rPr>
          <w:sz w:val="22"/>
          <w:szCs w:val="22"/>
        </w:rPr>
        <w:t>metilprednizolono</w:t>
      </w:r>
      <w:proofErr w:type="spellEnd"/>
      <w:r w:rsidRPr="001D5EBE">
        <w:rPr>
          <w:sz w:val="22"/>
          <w:szCs w:val="22"/>
        </w:rPr>
        <w:t>, apibūdinti žemiau esančioje lentelėje.</w:t>
      </w:r>
    </w:p>
    <w:p w14:paraId="70060D05" w14:textId="77777777" w:rsidR="003F33B8" w:rsidRPr="001D5EBE" w:rsidRDefault="003F33B8" w:rsidP="003F33B8">
      <w:pPr>
        <w:pStyle w:val="Paragraph"/>
        <w:spacing w:after="0"/>
        <w:rPr>
          <w:sz w:val="22"/>
          <w:szCs w:val="22"/>
        </w:rPr>
      </w:pPr>
    </w:p>
    <w:p w14:paraId="332E72F3" w14:textId="77777777" w:rsidR="003F33B8" w:rsidRPr="001D5EBE" w:rsidRDefault="003F33B8" w:rsidP="003F33B8">
      <w:pPr>
        <w:pStyle w:val="Paragraph"/>
        <w:spacing w:after="0"/>
        <w:rPr>
          <w:sz w:val="22"/>
          <w:szCs w:val="22"/>
        </w:rPr>
      </w:pPr>
      <w:r w:rsidRPr="001D5EBE">
        <w:rPr>
          <w:sz w:val="22"/>
          <w:szCs w:val="22"/>
        </w:rPr>
        <w:t xml:space="preserve">Toliau esančioje lentelėje išvardyta ir apibūdinta dažniausiai pasireiškianti ir (arba) kliniškai reikšminga sąveika ar poveikis, pasireiškiantis vartojant </w:t>
      </w:r>
      <w:proofErr w:type="spellStart"/>
      <w:r w:rsidRPr="001D5EBE">
        <w:rPr>
          <w:sz w:val="22"/>
          <w:szCs w:val="22"/>
        </w:rPr>
        <w:t>metilprednizolono</w:t>
      </w:r>
      <w:proofErr w:type="spellEnd"/>
      <w:r w:rsidRPr="001D5EBE">
        <w:rPr>
          <w:sz w:val="22"/>
          <w:szCs w:val="22"/>
        </w:rPr>
        <w:t>.</w:t>
      </w:r>
    </w:p>
    <w:p w14:paraId="17FCB11E" w14:textId="77777777" w:rsidR="003F33B8" w:rsidRPr="001D5EBE" w:rsidRDefault="003F33B8" w:rsidP="003F33B8">
      <w:pPr>
        <w:pStyle w:val="Paragraph"/>
        <w:spacing w:after="0"/>
        <w:rPr>
          <w:sz w:val="22"/>
          <w:szCs w:val="22"/>
        </w:rPr>
      </w:pPr>
    </w:p>
    <w:p w14:paraId="54238165" w14:textId="77777777" w:rsidR="003F33B8" w:rsidRPr="001D5EBE" w:rsidRDefault="003F33B8" w:rsidP="003F33B8">
      <w:pPr>
        <w:pStyle w:val="Antrat5"/>
        <w:rPr>
          <w:szCs w:val="22"/>
        </w:rPr>
      </w:pPr>
      <w:r w:rsidRPr="001D5EBE">
        <w:rPr>
          <w:szCs w:val="22"/>
        </w:rPr>
        <w:t xml:space="preserve">Svarbūs vaistiniai preparatai ar medžiagos, kurių vartojant galima sąveika su </w:t>
      </w:r>
      <w:proofErr w:type="spellStart"/>
      <w:r w:rsidRPr="001D5EBE">
        <w:rPr>
          <w:szCs w:val="22"/>
        </w:rPr>
        <w:t>metilprednizolonu</w:t>
      </w:r>
      <w:proofErr w:type="spellEnd"/>
      <w:r w:rsidRPr="001D5EBE">
        <w:rPr>
          <w:szCs w:val="22"/>
        </w:rPr>
        <w:t xml:space="preserve"> arba gali pasireikšti tam tikras poveikis</w:t>
      </w:r>
    </w:p>
    <w:p w14:paraId="7127F40D" w14:textId="77777777" w:rsidR="003F33B8" w:rsidRPr="001D5EBE" w:rsidRDefault="003F33B8" w:rsidP="003F33B8">
      <w:pPr>
        <w:pStyle w:val="Pagrindinistekstas"/>
        <w:rPr>
          <w:szCs w:val="22"/>
          <w:lang w:eastAsia="en-US"/>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6127"/>
      </w:tblGrid>
      <w:tr w:rsidR="003F33B8" w:rsidRPr="001D5EBE" w14:paraId="69CC6F5A" w14:textId="77777777" w:rsidTr="00C8743D">
        <w:trPr>
          <w:tblHeader/>
        </w:trPr>
        <w:tc>
          <w:tcPr>
            <w:tcW w:w="3000" w:type="dxa"/>
          </w:tcPr>
          <w:p w14:paraId="24CA9A4C" w14:textId="77777777" w:rsidR="003F33B8" w:rsidRPr="00705660" w:rsidRDefault="003F33B8" w:rsidP="00584BB5">
            <w:pPr>
              <w:spacing w:line="240" w:lineRule="auto"/>
              <w:rPr>
                <w:rStyle w:val="TableText9"/>
                <w:rFonts w:eastAsia="Calibri"/>
                <w:lang w:val="lt-LT"/>
              </w:rPr>
            </w:pPr>
            <w:r w:rsidRPr="001D5EBE">
              <w:rPr>
                <w:rStyle w:val="TableText9"/>
                <w:sz w:val="22"/>
                <w:lang w:val="lt-LT"/>
              </w:rPr>
              <w:t>Vaistinių preparatų klasė ar tipas</w:t>
            </w:r>
          </w:p>
          <w:p w14:paraId="0B8E2DF4" w14:textId="77777777" w:rsidR="003F33B8" w:rsidRPr="00705660" w:rsidRDefault="003F33B8" w:rsidP="00584BB5">
            <w:pPr>
              <w:spacing w:line="240" w:lineRule="auto"/>
              <w:rPr>
                <w:rStyle w:val="TableText9"/>
              </w:rPr>
            </w:pPr>
            <w:r w:rsidRPr="001D5EBE">
              <w:rPr>
                <w:rStyle w:val="TableText9"/>
                <w:sz w:val="22"/>
                <w:lang w:val="lt-LT"/>
              </w:rPr>
              <w:t>Vaistinis preparatas ar medžiaga</w:t>
            </w:r>
          </w:p>
        </w:tc>
        <w:tc>
          <w:tcPr>
            <w:tcW w:w="6127" w:type="dxa"/>
          </w:tcPr>
          <w:p w14:paraId="6885A309" w14:textId="77777777" w:rsidR="003F33B8" w:rsidRPr="00705660" w:rsidRDefault="003F33B8" w:rsidP="00584BB5">
            <w:pPr>
              <w:spacing w:line="240" w:lineRule="auto"/>
              <w:jc w:val="center"/>
              <w:rPr>
                <w:rStyle w:val="TableText9"/>
              </w:rPr>
            </w:pPr>
            <w:r w:rsidRPr="001D5EBE">
              <w:rPr>
                <w:rStyle w:val="TableText9"/>
                <w:sz w:val="22"/>
                <w:lang w:val="lt-LT"/>
              </w:rPr>
              <w:t xml:space="preserve">Sąveika ar poveikis </w:t>
            </w:r>
          </w:p>
        </w:tc>
      </w:tr>
      <w:tr w:rsidR="003F33B8" w:rsidRPr="001D5EBE" w14:paraId="00631764" w14:textId="77777777" w:rsidTr="00C8743D">
        <w:tc>
          <w:tcPr>
            <w:tcW w:w="3000" w:type="dxa"/>
          </w:tcPr>
          <w:p w14:paraId="62D8BCCA"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Antibakteriniai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p w14:paraId="2FCF7D35"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Izoniazidas</w:t>
            </w:r>
            <w:proofErr w:type="spellEnd"/>
          </w:p>
        </w:tc>
        <w:tc>
          <w:tcPr>
            <w:tcW w:w="6127" w:type="dxa"/>
            <w:vAlign w:val="center"/>
          </w:tcPr>
          <w:p w14:paraId="46031C57"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CYP3A4 inhibitorius. Be to, </w:t>
            </w:r>
            <w:proofErr w:type="spellStart"/>
            <w:r w:rsidRPr="001D5EBE">
              <w:rPr>
                <w:rFonts w:ascii="Times New Roman" w:hAnsi="Times New Roman"/>
                <w:sz w:val="22"/>
                <w:szCs w:val="22"/>
                <w:lang w:eastAsia="en-US"/>
              </w:rPr>
              <w:t>metilprednizolonas</w:t>
            </w:r>
            <w:proofErr w:type="spellEnd"/>
            <w:r w:rsidRPr="001D5EBE">
              <w:rPr>
                <w:rFonts w:ascii="Times New Roman" w:hAnsi="Times New Roman"/>
                <w:sz w:val="22"/>
                <w:szCs w:val="22"/>
                <w:lang w:eastAsia="en-US"/>
              </w:rPr>
              <w:t xml:space="preserve"> gali greitinti </w:t>
            </w:r>
            <w:proofErr w:type="spellStart"/>
            <w:r w:rsidRPr="001D5EBE">
              <w:rPr>
                <w:rFonts w:ascii="Times New Roman" w:hAnsi="Times New Roman"/>
                <w:sz w:val="22"/>
                <w:szCs w:val="22"/>
                <w:lang w:eastAsia="en-US"/>
              </w:rPr>
              <w:t>izoniazido</w:t>
            </w:r>
            <w:proofErr w:type="spellEnd"/>
            <w:r w:rsidRPr="001D5EBE">
              <w:rPr>
                <w:rFonts w:ascii="Times New Roman" w:hAnsi="Times New Roman"/>
                <w:sz w:val="22"/>
                <w:szCs w:val="22"/>
                <w:lang w:eastAsia="en-US"/>
              </w:rPr>
              <w:t xml:space="preserve"> </w:t>
            </w:r>
            <w:proofErr w:type="spellStart"/>
            <w:r w:rsidRPr="001D5EBE">
              <w:rPr>
                <w:rFonts w:ascii="Times New Roman" w:hAnsi="Times New Roman"/>
                <w:sz w:val="22"/>
                <w:szCs w:val="22"/>
                <w:lang w:eastAsia="en-US"/>
              </w:rPr>
              <w:t>acetilinimą</w:t>
            </w:r>
            <w:proofErr w:type="spellEnd"/>
            <w:r w:rsidRPr="001D5EBE">
              <w:rPr>
                <w:rFonts w:ascii="Times New Roman" w:hAnsi="Times New Roman"/>
                <w:sz w:val="22"/>
                <w:szCs w:val="22"/>
                <w:lang w:eastAsia="en-US"/>
              </w:rPr>
              <w:t xml:space="preserve"> ir klirensą.</w:t>
            </w:r>
          </w:p>
        </w:tc>
      </w:tr>
      <w:tr w:rsidR="003F33B8" w:rsidRPr="001D5EBE" w14:paraId="646EBCEB" w14:textId="77777777" w:rsidTr="00C8743D">
        <w:tc>
          <w:tcPr>
            <w:tcW w:w="3000" w:type="dxa"/>
          </w:tcPr>
          <w:p w14:paraId="74850C60"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Antibiotikai, vaistiniai preparatai nuo tuberkuliozės</w:t>
            </w:r>
          </w:p>
          <w:p w14:paraId="2F38AFCB"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Rifampinas</w:t>
            </w:r>
            <w:proofErr w:type="spellEnd"/>
          </w:p>
        </w:tc>
        <w:tc>
          <w:tcPr>
            <w:tcW w:w="6127" w:type="dxa"/>
            <w:vAlign w:val="center"/>
          </w:tcPr>
          <w:p w14:paraId="2CBCDCC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CYP3A4 </w:t>
            </w:r>
            <w:proofErr w:type="spellStart"/>
            <w:r w:rsidRPr="001D5EBE">
              <w:rPr>
                <w:rFonts w:ascii="Times New Roman" w:hAnsi="Times New Roman"/>
                <w:sz w:val="22"/>
                <w:szCs w:val="22"/>
                <w:lang w:eastAsia="en-US"/>
              </w:rPr>
              <w:t>induktorius</w:t>
            </w:r>
            <w:proofErr w:type="spellEnd"/>
            <w:r w:rsidRPr="001D5EBE">
              <w:rPr>
                <w:rFonts w:ascii="Times New Roman" w:hAnsi="Times New Roman"/>
                <w:sz w:val="22"/>
                <w:szCs w:val="22"/>
                <w:lang w:eastAsia="en-US"/>
              </w:rPr>
              <w:t xml:space="preserve"> </w:t>
            </w:r>
          </w:p>
        </w:tc>
      </w:tr>
      <w:tr w:rsidR="003F33B8" w:rsidRPr="0014202E" w14:paraId="029497D4" w14:textId="77777777" w:rsidTr="00C8743D">
        <w:tc>
          <w:tcPr>
            <w:tcW w:w="3000" w:type="dxa"/>
          </w:tcPr>
          <w:p w14:paraId="07528287" w14:textId="77777777" w:rsidR="003F33B8" w:rsidRPr="001D5EBE" w:rsidRDefault="003F33B8" w:rsidP="00584BB5">
            <w:pPr>
              <w:spacing w:line="240" w:lineRule="auto"/>
              <w:rPr>
                <w:lang w:val="lt-LT"/>
              </w:rPr>
            </w:pPr>
            <w:r w:rsidRPr="001D5EBE">
              <w:rPr>
                <w:lang w:val="lt-LT"/>
              </w:rPr>
              <w:t>Antikoaguliantai (geriamieji)</w:t>
            </w:r>
          </w:p>
        </w:tc>
        <w:tc>
          <w:tcPr>
            <w:tcW w:w="6127" w:type="dxa"/>
          </w:tcPr>
          <w:p w14:paraId="036631E4" w14:textId="77777777" w:rsidR="003F33B8" w:rsidRPr="001D5EBE" w:rsidRDefault="003F33B8" w:rsidP="00584BB5">
            <w:pPr>
              <w:spacing w:line="240" w:lineRule="auto"/>
              <w:rPr>
                <w:lang w:val="lt-LT"/>
              </w:rPr>
            </w:pPr>
            <w:proofErr w:type="spellStart"/>
            <w:r w:rsidRPr="001D5EBE">
              <w:rPr>
                <w:lang w:val="lt-LT"/>
              </w:rPr>
              <w:t>Metilprednizolono</w:t>
            </w:r>
            <w:proofErr w:type="spellEnd"/>
            <w:r w:rsidRPr="001D5EBE">
              <w:rPr>
                <w:lang w:val="lt-LT"/>
              </w:rPr>
              <w:t xml:space="preserve"> įtaka geriamųjų antikoaguliantų poveikiui būna įvairi. Gauta pranešimų ir apie sustiprėjusį, ir apie susilpnėjusį kartu su kortikosteroidais vartojamų antikoaguliantų poveikį. Dėl to, siekiant palaikyti norimą krešėjimą slopinantį poveikį, būtina stebėti </w:t>
            </w:r>
            <w:proofErr w:type="spellStart"/>
            <w:r w:rsidRPr="001D5EBE">
              <w:rPr>
                <w:lang w:val="lt-LT"/>
              </w:rPr>
              <w:t>koaguliacijos</w:t>
            </w:r>
            <w:proofErr w:type="spellEnd"/>
            <w:r w:rsidRPr="001D5EBE">
              <w:rPr>
                <w:lang w:val="lt-LT"/>
              </w:rPr>
              <w:t xml:space="preserve"> parametrus.</w:t>
            </w:r>
          </w:p>
        </w:tc>
      </w:tr>
      <w:tr w:rsidR="003F33B8" w:rsidRPr="001D5EBE" w14:paraId="6267BCD8" w14:textId="77777777" w:rsidTr="00C8743D">
        <w:tc>
          <w:tcPr>
            <w:tcW w:w="3000" w:type="dxa"/>
          </w:tcPr>
          <w:p w14:paraId="199142A3"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Vaistiniai preparatai nuo traukulių</w:t>
            </w:r>
          </w:p>
          <w:p w14:paraId="74B6178B"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Karbamazepinas</w:t>
            </w:r>
            <w:proofErr w:type="spellEnd"/>
          </w:p>
        </w:tc>
        <w:tc>
          <w:tcPr>
            <w:tcW w:w="6127" w:type="dxa"/>
          </w:tcPr>
          <w:p w14:paraId="08B22669"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57847D0"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CYP3A4 </w:t>
            </w:r>
            <w:proofErr w:type="spellStart"/>
            <w:r w:rsidRPr="001D5EBE">
              <w:rPr>
                <w:rFonts w:ascii="Times New Roman" w:hAnsi="Times New Roman"/>
                <w:sz w:val="22"/>
                <w:szCs w:val="22"/>
                <w:lang w:eastAsia="en-US"/>
              </w:rPr>
              <w:t>induktorius</w:t>
            </w:r>
            <w:proofErr w:type="spellEnd"/>
            <w:r w:rsidRPr="001D5EBE">
              <w:rPr>
                <w:rFonts w:ascii="Times New Roman" w:hAnsi="Times New Roman"/>
                <w:sz w:val="22"/>
                <w:szCs w:val="22"/>
                <w:lang w:eastAsia="en-US"/>
              </w:rPr>
              <w:t xml:space="preserve"> (ir substratas) </w:t>
            </w:r>
          </w:p>
        </w:tc>
      </w:tr>
      <w:tr w:rsidR="003F33B8" w:rsidRPr="001D5EBE" w14:paraId="7EA529FD" w14:textId="77777777" w:rsidTr="00C8743D">
        <w:tc>
          <w:tcPr>
            <w:tcW w:w="3000" w:type="dxa"/>
          </w:tcPr>
          <w:p w14:paraId="40C492D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Vaistiniai preparatai nuo traukulių</w:t>
            </w:r>
          </w:p>
          <w:p w14:paraId="5042434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Fenobarbitalis</w:t>
            </w:r>
            <w:proofErr w:type="spellEnd"/>
          </w:p>
          <w:p w14:paraId="191C00B1"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Fenitoinas</w:t>
            </w:r>
            <w:proofErr w:type="spellEnd"/>
            <w:r w:rsidRPr="001D5EBE">
              <w:rPr>
                <w:rFonts w:ascii="Times New Roman" w:hAnsi="Times New Roman"/>
                <w:sz w:val="22"/>
                <w:szCs w:val="22"/>
                <w:lang w:eastAsia="en-US"/>
              </w:rPr>
              <w:t xml:space="preserve"> </w:t>
            </w:r>
          </w:p>
        </w:tc>
        <w:tc>
          <w:tcPr>
            <w:tcW w:w="6127" w:type="dxa"/>
          </w:tcPr>
          <w:p w14:paraId="6253507A"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14351C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CYP3A4 </w:t>
            </w:r>
            <w:proofErr w:type="spellStart"/>
            <w:r w:rsidRPr="001D5EBE">
              <w:rPr>
                <w:rFonts w:ascii="Times New Roman" w:hAnsi="Times New Roman"/>
                <w:sz w:val="22"/>
                <w:szCs w:val="22"/>
                <w:lang w:eastAsia="en-US"/>
              </w:rPr>
              <w:t>induktoriai</w:t>
            </w:r>
            <w:proofErr w:type="spellEnd"/>
          </w:p>
        </w:tc>
      </w:tr>
      <w:tr w:rsidR="003F33B8" w:rsidRPr="0014202E" w14:paraId="6572B8D6" w14:textId="77777777" w:rsidTr="00C8743D">
        <w:tc>
          <w:tcPr>
            <w:tcW w:w="3000" w:type="dxa"/>
          </w:tcPr>
          <w:p w14:paraId="2148C1ED"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Anticholinerginiai</w:t>
            </w:r>
            <w:proofErr w:type="spellEnd"/>
            <w:r w:rsidRPr="001D5EBE">
              <w:rPr>
                <w:rFonts w:ascii="Times New Roman" w:hAnsi="Times New Roman"/>
                <w:sz w:val="22"/>
                <w:szCs w:val="22"/>
                <w:lang w:eastAsia="en-US"/>
              </w:rPr>
              <w:t xml:space="preserve">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p w14:paraId="7F44740A"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Nervo ir raumens jungtį blokuojantys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tc>
        <w:tc>
          <w:tcPr>
            <w:tcW w:w="6127" w:type="dxa"/>
          </w:tcPr>
          <w:p w14:paraId="0024A6C3" w14:textId="30223314"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Kortikosteroidai gali keisti </w:t>
            </w:r>
            <w:proofErr w:type="spellStart"/>
            <w:r w:rsidRPr="001D5EBE">
              <w:rPr>
                <w:rFonts w:ascii="Times New Roman" w:hAnsi="Times New Roman"/>
                <w:sz w:val="22"/>
                <w:szCs w:val="22"/>
                <w:lang w:eastAsia="en-US"/>
              </w:rPr>
              <w:t>anticholinerginių</w:t>
            </w:r>
            <w:proofErr w:type="spellEnd"/>
            <w:r w:rsidRPr="001D5EBE">
              <w:rPr>
                <w:rFonts w:ascii="Times New Roman" w:hAnsi="Times New Roman"/>
                <w:sz w:val="22"/>
                <w:szCs w:val="22"/>
                <w:lang w:eastAsia="en-US"/>
              </w:rPr>
              <w:t xml:space="preserve"> </w:t>
            </w:r>
            <w:r w:rsidR="00FE4492">
              <w:rPr>
                <w:rFonts w:ascii="Times New Roman" w:hAnsi="Times New Roman"/>
                <w:sz w:val="22"/>
                <w:szCs w:val="22"/>
                <w:lang w:eastAsia="en-US"/>
              </w:rPr>
              <w:t xml:space="preserve">vaistinių </w:t>
            </w:r>
            <w:r w:rsidRPr="001D5EBE">
              <w:rPr>
                <w:rFonts w:ascii="Times New Roman" w:hAnsi="Times New Roman"/>
                <w:sz w:val="22"/>
                <w:szCs w:val="22"/>
                <w:lang w:eastAsia="en-US"/>
              </w:rPr>
              <w:t>preparatų poveikį.</w:t>
            </w:r>
          </w:p>
          <w:p w14:paraId="191E3586"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1) Gauta pranešimų apie ūminės </w:t>
            </w:r>
            <w:proofErr w:type="spellStart"/>
            <w:r w:rsidRPr="001D5EBE">
              <w:rPr>
                <w:rFonts w:ascii="Times New Roman" w:hAnsi="Times New Roman"/>
                <w:sz w:val="22"/>
                <w:szCs w:val="22"/>
                <w:lang w:eastAsia="en-US"/>
              </w:rPr>
              <w:t>miopatijos</w:t>
            </w:r>
            <w:proofErr w:type="spellEnd"/>
            <w:r w:rsidRPr="001D5EBE">
              <w:rPr>
                <w:rFonts w:ascii="Times New Roman" w:hAnsi="Times New Roman"/>
                <w:sz w:val="22"/>
                <w:szCs w:val="22"/>
                <w:lang w:eastAsia="en-US"/>
              </w:rPr>
              <w:t xml:space="preserve"> atvejus pacientams, vartojusiems dideles kortikosteroidų dozes ir </w:t>
            </w:r>
            <w:proofErr w:type="spellStart"/>
            <w:r w:rsidRPr="001D5EBE">
              <w:rPr>
                <w:rFonts w:ascii="Times New Roman" w:hAnsi="Times New Roman"/>
                <w:sz w:val="22"/>
                <w:szCs w:val="22"/>
                <w:lang w:eastAsia="en-US"/>
              </w:rPr>
              <w:t>anticholinerginių</w:t>
            </w:r>
            <w:proofErr w:type="spellEnd"/>
            <w:r w:rsidRPr="001D5EBE">
              <w:rPr>
                <w:rFonts w:ascii="Times New Roman" w:hAnsi="Times New Roman"/>
                <w:sz w:val="22"/>
                <w:szCs w:val="22"/>
                <w:lang w:eastAsia="en-US"/>
              </w:rPr>
              <w:t xml:space="preserve"> preparatų, pvz., nervo ir raumens jungtį blokuojančių preparatų (žr. 4.4 skyriaus poskyrį „Poveikis skeleto ir raumenų sistemai“).</w:t>
            </w:r>
          </w:p>
          <w:p w14:paraId="36F80F60" w14:textId="2FA548BB"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2) Gauta pranešimų apie kortikosteroidų vartojantiems pacientams pasireiškusį antagonistinį poveikį </w:t>
            </w:r>
            <w:proofErr w:type="spellStart"/>
            <w:r w:rsidRPr="001D5EBE">
              <w:rPr>
                <w:rFonts w:ascii="Times New Roman" w:hAnsi="Times New Roman"/>
                <w:sz w:val="22"/>
                <w:szCs w:val="22"/>
                <w:lang w:eastAsia="en-US"/>
              </w:rPr>
              <w:t>pankuronio</w:t>
            </w:r>
            <w:proofErr w:type="spellEnd"/>
            <w:r w:rsidRPr="001D5EBE">
              <w:rPr>
                <w:rFonts w:ascii="Times New Roman" w:hAnsi="Times New Roman"/>
                <w:sz w:val="22"/>
                <w:szCs w:val="22"/>
                <w:lang w:eastAsia="en-US"/>
              </w:rPr>
              <w:t xml:space="preserve"> ir </w:t>
            </w:r>
            <w:proofErr w:type="spellStart"/>
            <w:r w:rsidRPr="001D5EBE">
              <w:rPr>
                <w:rFonts w:ascii="Times New Roman" w:hAnsi="Times New Roman"/>
                <w:sz w:val="22"/>
                <w:szCs w:val="22"/>
                <w:lang w:eastAsia="en-US"/>
              </w:rPr>
              <w:t>vekuronio</w:t>
            </w:r>
            <w:proofErr w:type="spellEnd"/>
            <w:r w:rsidRPr="001D5EBE">
              <w:rPr>
                <w:rFonts w:ascii="Times New Roman" w:hAnsi="Times New Roman"/>
                <w:sz w:val="22"/>
                <w:szCs w:val="22"/>
                <w:lang w:eastAsia="en-US"/>
              </w:rPr>
              <w:t xml:space="preserve"> sukeliamai nervo ir raumens jungties blokadai. Tokia sąveika galima vartojant visų konkurencinio tipo nervo ir raumens jungtį blokuojančių </w:t>
            </w:r>
            <w:r w:rsidR="00FE4492">
              <w:rPr>
                <w:rFonts w:ascii="Times New Roman" w:hAnsi="Times New Roman"/>
                <w:sz w:val="22"/>
                <w:szCs w:val="22"/>
                <w:lang w:eastAsia="en-US"/>
              </w:rPr>
              <w:t xml:space="preserve">vaistinių </w:t>
            </w:r>
            <w:r w:rsidRPr="001D5EBE">
              <w:rPr>
                <w:rFonts w:ascii="Times New Roman" w:hAnsi="Times New Roman"/>
                <w:sz w:val="22"/>
                <w:szCs w:val="22"/>
                <w:lang w:eastAsia="en-US"/>
              </w:rPr>
              <w:t>preparatų.</w:t>
            </w:r>
          </w:p>
        </w:tc>
      </w:tr>
      <w:tr w:rsidR="003F33B8" w:rsidRPr="001D5EBE" w14:paraId="5FA36155" w14:textId="77777777" w:rsidTr="00C8743D">
        <w:tc>
          <w:tcPr>
            <w:tcW w:w="3000" w:type="dxa"/>
          </w:tcPr>
          <w:p w14:paraId="7D29C96C"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Cholinesterazės</w:t>
            </w:r>
            <w:proofErr w:type="spellEnd"/>
            <w:r w:rsidRPr="001D5EBE">
              <w:rPr>
                <w:rFonts w:ascii="Times New Roman" w:hAnsi="Times New Roman"/>
                <w:sz w:val="22"/>
                <w:szCs w:val="22"/>
                <w:lang w:eastAsia="en-US"/>
              </w:rPr>
              <w:t xml:space="preserve"> inhibitoriai</w:t>
            </w:r>
          </w:p>
        </w:tc>
        <w:tc>
          <w:tcPr>
            <w:tcW w:w="6127" w:type="dxa"/>
          </w:tcPr>
          <w:p w14:paraId="472132B7"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Steroidai gali slopinti </w:t>
            </w:r>
            <w:proofErr w:type="spellStart"/>
            <w:r w:rsidRPr="001D5EBE">
              <w:rPr>
                <w:rFonts w:ascii="Times New Roman" w:hAnsi="Times New Roman"/>
                <w:sz w:val="22"/>
                <w:szCs w:val="22"/>
                <w:lang w:eastAsia="en-US"/>
              </w:rPr>
              <w:t>cholinesterazės</w:t>
            </w:r>
            <w:proofErr w:type="spellEnd"/>
            <w:r w:rsidRPr="001D5EBE">
              <w:rPr>
                <w:rFonts w:ascii="Times New Roman" w:hAnsi="Times New Roman"/>
                <w:sz w:val="22"/>
                <w:szCs w:val="22"/>
                <w:lang w:eastAsia="en-US"/>
              </w:rPr>
              <w:t xml:space="preserve"> inhibitorių poveikį gydant </w:t>
            </w:r>
            <w:proofErr w:type="spellStart"/>
            <w:r w:rsidRPr="001D5EBE">
              <w:rPr>
                <w:rFonts w:ascii="Times New Roman" w:hAnsi="Times New Roman"/>
                <w:sz w:val="22"/>
                <w:szCs w:val="22"/>
                <w:lang w:eastAsia="en-US"/>
              </w:rPr>
              <w:t>generalizuotą</w:t>
            </w:r>
            <w:proofErr w:type="spellEnd"/>
            <w:r w:rsidRPr="001D5EBE">
              <w:rPr>
                <w:rFonts w:ascii="Times New Roman" w:hAnsi="Times New Roman"/>
                <w:sz w:val="22"/>
                <w:szCs w:val="22"/>
                <w:lang w:eastAsia="en-US"/>
              </w:rPr>
              <w:t xml:space="preserve"> </w:t>
            </w:r>
            <w:proofErr w:type="spellStart"/>
            <w:r w:rsidRPr="001D5EBE">
              <w:rPr>
                <w:rFonts w:ascii="Times New Roman" w:hAnsi="Times New Roman"/>
                <w:sz w:val="22"/>
                <w:szCs w:val="22"/>
                <w:lang w:eastAsia="en-US"/>
              </w:rPr>
              <w:t>miasteniją</w:t>
            </w:r>
            <w:proofErr w:type="spellEnd"/>
            <w:r w:rsidRPr="001D5EBE">
              <w:rPr>
                <w:rFonts w:ascii="Times New Roman" w:hAnsi="Times New Roman"/>
                <w:sz w:val="22"/>
                <w:szCs w:val="22"/>
                <w:lang w:eastAsia="en-US"/>
              </w:rPr>
              <w:t>.</w:t>
            </w:r>
          </w:p>
        </w:tc>
      </w:tr>
      <w:tr w:rsidR="003F33B8" w:rsidRPr="0014202E" w14:paraId="3C15D4A6" w14:textId="77777777" w:rsidTr="00C8743D">
        <w:tc>
          <w:tcPr>
            <w:tcW w:w="3000" w:type="dxa"/>
          </w:tcPr>
          <w:p w14:paraId="19D9E554"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Vaistiniai preparatai nuo diabeto</w:t>
            </w:r>
          </w:p>
        </w:tc>
        <w:tc>
          <w:tcPr>
            <w:tcW w:w="6127" w:type="dxa"/>
          </w:tcPr>
          <w:p w14:paraId="573F8D1F"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Kortikosteroidai gali didinti gliukozės koncentraciją kraujyje, todėl gali reikėti koreguoti vaistinių preparatų nuo diabeto dozę.</w:t>
            </w:r>
          </w:p>
        </w:tc>
      </w:tr>
      <w:tr w:rsidR="003F33B8" w:rsidRPr="001D5EBE" w14:paraId="3AEB1DA2" w14:textId="77777777" w:rsidTr="00C8743D">
        <w:tc>
          <w:tcPr>
            <w:tcW w:w="3000" w:type="dxa"/>
          </w:tcPr>
          <w:p w14:paraId="2C8BBDD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Vėmimą slopinantys vaistiniai preparatai</w:t>
            </w:r>
          </w:p>
          <w:p w14:paraId="07FEE3A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Aprepitantas</w:t>
            </w:r>
            <w:proofErr w:type="spellEnd"/>
          </w:p>
          <w:p w14:paraId="586F815C"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Fosaprepitantas</w:t>
            </w:r>
            <w:proofErr w:type="spellEnd"/>
          </w:p>
        </w:tc>
        <w:tc>
          <w:tcPr>
            <w:tcW w:w="6127" w:type="dxa"/>
          </w:tcPr>
          <w:p w14:paraId="48C29983"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6C88106D"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inhibitoriai (ir substratai)</w:t>
            </w:r>
          </w:p>
        </w:tc>
      </w:tr>
      <w:tr w:rsidR="003F33B8" w:rsidRPr="001D5EBE" w14:paraId="12414802" w14:textId="77777777" w:rsidTr="00C8743D">
        <w:tc>
          <w:tcPr>
            <w:tcW w:w="3000" w:type="dxa"/>
          </w:tcPr>
          <w:p w14:paraId="68DCA964"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Priešgrybeliniai</w:t>
            </w:r>
            <w:r w:rsidR="00E23965">
              <w:rPr>
                <w:rFonts w:ascii="Times New Roman" w:hAnsi="Times New Roman"/>
                <w:sz w:val="22"/>
                <w:szCs w:val="22"/>
                <w:lang w:eastAsia="en-US"/>
              </w:rPr>
              <w:t xml:space="preserve"> vaistiniai</w:t>
            </w:r>
            <w:r w:rsidRPr="001D5EBE">
              <w:rPr>
                <w:rFonts w:ascii="Times New Roman" w:hAnsi="Times New Roman"/>
                <w:sz w:val="22"/>
                <w:szCs w:val="22"/>
                <w:lang w:eastAsia="en-US"/>
              </w:rPr>
              <w:t xml:space="preserve"> preparatai</w:t>
            </w:r>
          </w:p>
          <w:p w14:paraId="745B3D7D"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Itrakonazolas</w:t>
            </w:r>
            <w:proofErr w:type="spellEnd"/>
          </w:p>
          <w:p w14:paraId="6B52CE4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Ketokonazolas</w:t>
            </w:r>
            <w:proofErr w:type="spellEnd"/>
          </w:p>
        </w:tc>
        <w:tc>
          <w:tcPr>
            <w:tcW w:w="6127" w:type="dxa"/>
          </w:tcPr>
          <w:p w14:paraId="62C0935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0E091AD"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inhibitoriai (ir substratai)</w:t>
            </w:r>
          </w:p>
        </w:tc>
      </w:tr>
      <w:tr w:rsidR="003F33B8" w:rsidRPr="0014202E" w14:paraId="37031A88" w14:textId="77777777" w:rsidTr="00C8743D">
        <w:tc>
          <w:tcPr>
            <w:tcW w:w="3000" w:type="dxa"/>
          </w:tcPr>
          <w:p w14:paraId="6D742401"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Antivirusiniai vaistiniai preparatai</w:t>
            </w:r>
          </w:p>
          <w:p w14:paraId="1B962BCF"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ŽIV proteazės inhibitoriai</w:t>
            </w:r>
          </w:p>
        </w:tc>
        <w:tc>
          <w:tcPr>
            <w:tcW w:w="6127" w:type="dxa"/>
          </w:tcPr>
          <w:p w14:paraId="6B1B57F9"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inhibitoriai (ir substratai)</w:t>
            </w:r>
          </w:p>
          <w:p w14:paraId="130AD901" w14:textId="77777777" w:rsidR="003F33B8" w:rsidRPr="001D5EBE" w:rsidRDefault="003F33B8" w:rsidP="00584BB5">
            <w:pPr>
              <w:pStyle w:val="TableText"/>
              <w:numPr>
                <w:ilvl w:val="0"/>
                <w:numId w:val="20"/>
              </w:numPr>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Proteazės inhibitoriai, tokie kaip </w:t>
            </w:r>
            <w:proofErr w:type="spellStart"/>
            <w:r w:rsidRPr="001D5EBE">
              <w:rPr>
                <w:rFonts w:ascii="Times New Roman" w:hAnsi="Times New Roman"/>
                <w:sz w:val="22"/>
                <w:szCs w:val="22"/>
                <w:lang w:eastAsia="en-US"/>
              </w:rPr>
              <w:t>indinaviras</w:t>
            </w:r>
            <w:proofErr w:type="spellEnd"/>
            <w:r w:rsidRPr="001D5EBE">
              <w:rPr>
                <w:rFonts w:ascii="Times New Roman" w:hAnsi="Times New Roman"/>
                <w:sz w:val="22"/>
                <w:szCs w:val="22"/>
                <w:lang w:eastAsia="en-US"/>
              </w:rPr>
              <w:t xml:space="preserve"> ir </w:t>
            </w:r>
            <w:proofErr w:type="spellStart"/>
            <w:r w:rsidRPr="001D5EBE">
              <w:rPr>
                <w:rFonts w:ascii="Times New Roman" w:hAnsi="Times New Roman"/>
                <w:sz w:val="22"/>
                <w:szCs w:val="22"/>
                <w:lang w:eastAsia="en-US"/>
              </w:rPr>
              <w:t>ritonaviras</w:t>
            </w:r>
            <w:proofErr w:type="spellEnd"/>
            <w:r w:rsidRPr="001D5EBE">
              <w:rPr>
                <w:rFonts w:ascii="Times New Roman" w:hAnsi="Times New Roman"/>
                <w:sz w:val="22"/>
                <w:szCs w:val="22"/>
                <w:lang w:eastAsia="en-US"/>
              </w:rPr>
              <w:t>, gali didinti kortikosteroidų koncentraciją plazmoje.</w:t>
            </w:r>
          </w:p>
          <w:p w14:paraId="2233C46C" w14:textId="77777777" w:rsidR="003F33B8" w:rsidRPr="001D5EBE" w:rsidRDefault="003F33B8" w:rsidP="00584BB5">
            <w:pPr>
              <w:pStyle w:val="TableText"/>
              <w:numPr>
                <w:ilvl w:val="0"/>
                <w:numId w:val="20"/>
              </w:numPr>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Kortikosteroidai gali sužadinti ŽIV proteazės inhibitorių metabolizmą ir dėl to mažinti jų koncentracijas plazmoje.</w:t>
            </w:r>
          </w:p>
        </w:tc>
      </w:tr>
      <w:tr w:rsidR="00705660" w:rsidRPr="008A5F2E" w14:paraId="21F8F7BA" w14:textId="77777777" w:rsidTr="00C8743D">
        <w:tc>
          <w:tcPr>
            <w:tcW w:w="3000" w:type="dxa"/>
          </w:tcPr>
          <w:p w14:paraId="0D1DAF32" w14:textId="77777777" w:rsidR="00705660" w:rsidRPr="004F4977" w:rsidRDefault="00705660" w:rsidP="00705660">
            <w:pPr>
              <w:overflowPunct w:val="0"/>
              <w:autoSpaceDE w:val="0"/>
              <w:autoSpaceDN w:val="0"/>
              <w:adjustRightInd w:val="0"/>
              <w:textAlignment w:val="baseline"/>
              <w:rPr>
                <w:rFonts w:eastAsia="Calibri"/>
                <w:lang w:val="lt-LT"/>
              </w:rPr>
            </w:pPr>
            <w:proofErr w:type="spellStart"/>
            <w:r w:rsidRPr="004F4977">
              <w:rPr>
                <w:rFonts w:eastAsia="Calibri"/>
                <w:lang w:val="lt-LT"/>
              </w:rPr>
              <w:t>Farmakokinetikos</w:t>
            </w:r>
            <w:proofErr w:type="spellEnd"/>
            <w:r w:rsidRPr="004F4977">
              <w:rPr>
                <w:rFonts w:eastAsia="Calibri"/>
                <w:lang w:val="lt-LT"/>
              </w:rPr>
              <w:t xml:space="preserve"> </w:t>
            </w:r>
            <w:proofErr w:type="spellStart"/>
            <w:r w:rsidRPr="004F4977">
              <w:rPr>
                <w:rFonts w:eastAsia="Calibri"/>
                <w:lang w:val="lt-LT"/>
              </w:rPr>
              <w:t>stiprikliai</w:t>
            </w:r>
            <w:proofErr w:type="spellEnd"/>
          </w:p>
          <w:p w14:paraId="46D6D832" w14:textId="77777777" w:rsidR="00705660" w:rsidRPr="001D5EBE" w:rsidRDefault="00705660" w:rsidP="00705660">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4F4977">
              <w:rPr>
                <w:rFonts w:ascii="Times New Roman" w:hAnsi="Times New Roman"/>
                <w:sz w:val="22"/>
                <w:szCs w:val="22"/>
                <w:lang w:eastAsia="en-US"/>
              </w:rPr>
              <w:t>Kobicistatas</w:t>
            </w:r>
            <w:proofErr w:type="spellEnd"/>
          </w:p>
        </w:tc>
        <w:tc>
          <w:tcPr>
            <w:tcW w:w="6127" w:type="dxa"/>
            <w:vAlign w:val="center"/>
          </w:tcPr>
          <w:p w14:paraId="3B30D77F" w14:textId="77777777" w:rsidR="00705660" w:rsidRDefault="00705660" w:rsidP="00705660">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5BC7FB1A" w14:textId="77777777" w:rsidR="00705660" w:rsidRPr="001D5EBE" w:rsidRDefault="00705660" w:rsidP="00963FC9">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4F4977">
              <w:rPr>
                <w:rFonts w:ascii="Times New Roman" w:hAnsi="Times New Roman"/>
                <w:sz w:val="22"/>
                <w:szCs w:val="22"/>
                <w:lang w:eastAsia="en-US"/>
              </w:rPr>
              <w:t>CYP3A4 inhibitorius</w:t>
            </w:r>
          </w:p>
        </w:tc>
      </w:tr>
      <w:tr w:rsidR="003F33B8" w:rsidRPr="0014202E" w14:paraId="0D3837CB" w14:textId="77777777" w:rsidTr="00C8743D">
        <w:tc>
          <w:tcPr>
            <w:tcW w:w="3000" w:type="dxa"/>
          </w:tcPr>
          <w:p w14:paraId="674467E5"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Aromatazės</w:t>
            </w:r>
            <w:proofErr w:type="spellEnd"/>
            <w:r w:rsidRPr="001D5EBE">
              <w:rPr>
                <w:rFonts w:ascii="Times New Roman" w:hAnsi="Times New Roman"/>
                <w:sz w:val="22"/>
                <w:szCs w:val="22"/>
                <w:lang w:eastAsia="en-US"/>
              </w:rPr>
              <w:t xml:space="preserve"> inhibitoriai</w:t>
            </w:r>
          </w:p>
          <w:p w14:paraId="4652A76A"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Aminogliutetimidas</w:t>
            </w:r>
            <w:proofErr w:type="spellEnd"/>
          </w:p>
        </w:tc>
        <w:tc>
          <w:tcPr>
            <w:tcW w:w="6127" w:type="dxa"/>
          </w:tcPr>
          <w:p w14:paraId="6BED649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Aminogliutetimido</w:t>
            </w:r>
            <w:proofErr w:type="spellEnd"/>
            <w:r w:rsidRPr="001D5EBE">
              <w:rPr>
                <w:rFonts w:ascii="Times New Roman" w:hAnsi="Times New Roman"/>
                <w:sz w:val="22"/>
                <w:szCs w:val="22"/>
                <w:lang w:eastAsia="en-US"/>
              </w:rPr>
              <w:t xml:space="preserve"> sukeliamas antinksčių slopinimas gali sunkinti su ilgalaikiu </w:t>
            </w:r>
            <w:proofErr w:type="spellStart"/>
            <w:r w:rsidRPr="001D5EBE">
              <w:rPr>
                <w:rFonts w:ascii="Times New Roman" w:hAnsi="Times New Roman"/>
                <w:sz w:val="22"/>
                <w:szCs w:val="22"/>
                <w:lang w:eastAsia="en-US"/>
              </w:rPr>
              <w:t>gliukokortikoidų</w:t>
            </w:r>
            <w:proofErr w:type="spellEnd"/>
            <w:r w:rsidRPr="001D5EBE">
              <w:rPr>
                <w:rFonts w:ascii="Times New Roman" w:hAnsi="Times New Roman"/>
                <w:sz w:val="22"/>
                <w:szCs w:val="22"/>
                <w:lang w:eastAsia="en-US"/>
              </w:rPr>
              <w:t xml:space="preserve"> vartojimu susijusius endokrininius pokyčius. </w:t>
            </w:r>
          </w:p>
        </w:tc>
      </w:tr>
      <w:tr w:rsidR="003F33B8" w:rsidRPr="001D5EBE" w14:paraId="73D88197" w14:textId="77777777" w:rsidTr="00C8743D">
        <w:tc>
          <w:tcPr>
            <w:tcW w:w="3000" w:type="dxa"/>
          </w:tcPr>
          <w:p w14:paraId="40C118E0"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Kalcio kanalų blokatoriai</w:t>
            </w:r>
          </w:p>
          <w:p w14:paraId="4AE410B5"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Diltiazemas</w:t>
            </w:r>
            <w:proofErr w:type="spellEnd"/>
          </w:p>
        </w:tc>
        <w:tc>
          <w:tcPr>
            <w:tcW w:w="6127" w:type="dxa"/>
          </w:tcPr>
          <w:p w14:paraId="2A61C699"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040CA311"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inhibitorius (ir substratas)</w:t>
            </w:r>
          </w:p>
        </w:tc>
      </w:tr>
      <w:tr w:rsidR="003F33B8" w:rsidRPr="001D5EBE" w14:paraId="6AB899F3" w14:textId="77777777" w:rsidTr="00C8743D">
        <w:tc>
          <w:tcPr>
            <w:tcW w:w="3000" w:type="dxa"/>
          </w:tcPr>
          <w:p w14:paraId="53F06375"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Kontraceptikai (geriamieji)</w:t>
            </w:r>
          </w:p>
          <w:p w14:paraId="4824650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Etinilestradiolis</w:t>
            </w:r>
            <w:proofErr w:type="spellEnd"/>
            <w:r w:rsidRPr="001D5EBE">
              <w:rPr>
                <w:rFonts w:ascii="Times New Roman" w:hAnsi="Times New Roman"/>
                <w:sz w:val="22"/>
                <w:szCs w:val="22"/>
                <w:lang w:eastAsia="en-US"/>
              </w:rPr>
              <w:t>/</w:t>
            </w:r>
            <w:proofErr w:type="spellStart"/>
            <w:r w:rsidRPr="001D5EBE">
              <w:rPr>
                <w:rFonts w:ascii="Times New Roman" w:hAnsi="Times New Roman"/>
                <w:sz w:val="22"/>
                <w:szCs w:val="22"/>
                <w:lang w:eastAsia="en-US"/>
              </w:rPr>
              <w:t>noretidronas</w:t>
            </w:r>
            <w:proofErr w:type="spellEnd"/>
          </w:p>
        </w:tc>
        <w:tc>
          <w:tcPr>
            <w:tcW w:w="6127" w:type="dxa"/>
          </w:tcPr>
          <w:p w14:paraId="3744C277"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63E531E9"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inhibitorius (ir substratas)</w:t>
            </w:r>
          </w:p>
        </w:tc>
      </w:tr>
      <w:tr w:rsidR="003F33B8" w:rsidRPr="001D5EBE" w14:paraId="087D3D3C" w14:textId="77777777" w:rsidTr="00C8743D">
        <w:tc>
          <w:tcPr>
            <w:tcW w:w="3000" w:type="dxa"/>
          </w:tcPr>
          <w:p w14:paraId="46F6E51B"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08C010E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Greipfrutų sultys</w:t>
            </w:r>
          </w:p>
        </w:tc>
        <w:tc>
          <w:tcPr>
            <w:tcW w:w="6127" w:type="dxa"/>
          </w:tcPr>
          <w:p w14:paraId="4B5459EF"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7E0B09A0"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inhibitorius</w:t>
            </w:r>
          </w:p>
        </w:tc>
      </w:tr>
      <w:tr w:rsidR="003F33B8" w:rsidRPr="001D5EBE" w14:paraId="161F219B" w14:textId="77777777" w:rsidTr="00C8743D">
        <w:tc>
          <w:tcPr>
            <w:tcW w:w="3000" w:type="dxa"/>
          </w:tcPr>
          <w:p w14:paraId="47A2CEE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Imunosupresantai</w:t>
            </w:r>
            <w:proofErr w:type="spellEnd"/>
          </w:p>
          <w:p w14:paraId="4BE794C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Ciklosporinas</w:t>
            </w:r>
            <w:proofErr w:type="spellEnd"/>
            <w:r w:rsidRPr="001D5EBE">
              <w:rPr>
                <w:rFonts w:ascii="Times New Roman" w:hAnsi="Times New Roman"/>
                <w:sz w:val="22"/>
                <w:szCs w:val="22"/>
                <w:lang w:eastAsia="en-US"/>
              </w:rPr>
              <w:t xml:space="preserve"> </w:t>
            </w:r>
          </w:p>
        </w:tc>
        <w:tc>
          <w:tcPr>
            <w:tcW w:w="6127" w:type="dxa"/>
          </w:tcPr>
          <w:p w14:paraId="0E42BC75"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1449026"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inhibitorius (ir substratas)</w:t>
            </w:r>
          </w:p>
          <w:p w14:paraId="2E5ACBC3" w14:textId="59B1B41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1) Jei kartu vartojama </w:t>
            </w:r>
            <w:proofErr w:type="spellStart"/>
            <w:r w:rsidRPr="001D5EBE">
              <w:rPr>
                <w:rFonts w:ascii="Times New Roman" w:hAnsi="Times New Roman"/>
                <w:sz w:val="22"/>
                <w:szCs w:val="22"/>
                <w:lang w:eastAsia="en-US"/>
              </w:rPr>
              <w:t>ciklosporino</w:t>
            </w:r>
            <w:proofErr w:type="spellEnd"/>
            <w:r w:rsidRPr="001D5EBE">
              <w:rPr>
                <w:rFonts w:ascii="Times New Roman" w:hAnsi="Times New Roman"/>
                <w:sz w:val="22"/>
                <w:szCs w:val="22"/>
                <w:lang w:eastAsia="en-US"/>
              </w:rPr>
              <w:t xml:space="preserve"> ir </w:t>
            </w:r>
            <w:proofErr w:type="spellStart"/>
            <w:r w:rsidRPr="001D5EBE">
              <w:rPr>
                <w:rFonts w:ascii="Times New Roman" w:hAnsi="Times New Roman"/>
                <w:sz w:val="22"/>
                <w:szCs w:val="22"/>
                <w:lang w:eastAsia="en-US"/>
              </w:rPr>
              <w:t>metilprednizolono</w:t>
            </w:r>
            <w:proofErr w:type="spellEnd"/>
            <w:r w:rsidRPr="001D5EBE">
              <w:rPr>
                <w:rFonts w:ascii="Times New Roman" w:hAnsi="Times New Roman"/>
                <w:sz w:val="22"/>
                <w:szCs w:val="22"/>
                <w:lang w:eastAsia="en-US"/>
              </w:rPr>
              <w:t xml:space="preserve">, pasireiškia abipusis metabolizmo slopinimas, todėl gali didėti kurio nors ar abiejų </w:t>
            </w:r>
            <w:r w:rsidR="00FE4492">
              <w:rPr>
                <w:rFonts w:ascii="Times New Roman" w:hAnsi="Times New Roman"/>
                <w:sz w:val="22"/>
                <w:szCs w:val="22"/>
                <w:lang w:eastAsia="en-US"/>
              </w:rPr>
              <w:t xml:space="preserve">vaistinių </w:t>
            </w:r>
            <w:r w:rsidRPr="001D5EBE">
              <w:rPr>
                <w:rFonts w:ascii="Times New Roman" w:hAnsi="Times New Roman"/>
                <w:sz w:val="22"/>
                <w:szCs w:val="22"/>
                <w:lang w:eastAsia="en-US"/>
              </w:rPr>
              <w:t xml:space="preserve">preparatų koncentracija plazmoje. Dėl to kombinuotojo gydymo atveju gali didėti rizika nepageidaujamų reiškinių, susijusių su vieno kurio nors vaistinio preparato vartojimu. </w:t>
            </w:r>
          </w:p>
          <w:p w14:paraId="6C47B607"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2) Gauta pranešimų apie traukulius, atsiradusius </w:t>
            </w:r>
            <w:proofErr w:type="spellStart"/>
            <w:r w:rsidRPr="001D5EBE">
              <w:rPr>
                <w:rFonts w:ascii="Times New Roman" w:hAnsi="Times New Roman"/>
                <w:sz w:val="22"/>
                <w:szCs w:val="22"/>
                <w:lang w:eastAsia="en-US"/>
              </w:rPr>
              <w:t>metilprednizolono</w:t>
            </w:r>
            <w:proofErr w:type="spellEnd"/>
            <w:r w:rsidRPr="001D5EBE">
              <w:rPr>
                <w:rFonts w:ascii="Times New Roman" w:hAnsi="Times New Roman"/>
                <w:sz w:val="22"/>
                <w:szCs w:val="22"/>
                <w:lang w:eastAsia="en-US"/>
              </w:rPr>
              <w:t xml:space="preserve"> ir </w:t>
            </w:r>
            <w:proofErr w:type="spellStart"/>
            <w:r w:rsidRPr="001D5EBE">
              <w:rPr>
                <w:rFonts w:ascii="Times New Roman" w:hAnsi="Times New Roman"/>
                <w:sz w:val="22"/>
                <w:szCs w:val="22"/>
                <w:lang w:eastAsia="en-US"/>
              </w:rPr>
              <w:t>ciklosporino</w:t>
            </w:r>
            <w:proofErr w:type="spellEnd"/>
            <w:r w:rsidRPr="001D5EBE">
              <w:rPr>
                <w:rFonts w:ascii="Times New Roman" w:hAnsi="Times New Roman"/>
                <w:sz w:val="22"/>
                <w:szCs w:val="22"/>
                <w:lang w:eastAsia="en-US"/>
              </w:rPr>
              <w:t xml:space="preserve"> vienu metu vartojusiems ligoniams.</w:t>
            </w:r>
          </w:p>
        </w:tc>
      </w:tr>
      <w:tr w:rsidR="003F33B8" w:rsidRPr="001D5EBE" w14:paraId="315714F6" w14:textId="77777777" w:rsidTr="00C8743D">
        <w:tc>
          <w:tcPr>
            <w:tcW w:w="3000" w:type="dxa"/>
          </w:tcPr>
          <w:p w14:paraId="435902E9"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Imunosupresantai</w:t>
            </w:r>
            <w:proofErr w:type="spellEnd"/>
          </w:p>
          <w:p w14:paraId="48D1890C"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Ciklofosfamidas</w:t>
            </w:r>
            <w:proofErr w:type="spellEnd"/>
          </w:p>
          <w:p w14:paraId="29837A7C"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Takrolimuzas</w:t>
            </w:r>
            <w:proofErr w:type="spellEnd"/>
          </w:p>
        </w:tc>
        <w:tc>
          <w:tcPr>
            <w:tcW w:w="6127" w:type="dxa"/>
          </w:tcPr>
          <w:p w14:paraId="33FEBAD1"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4E51C09D"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substratai</w:t>
            </w:r>
          </w:p>
        </w:tc>
      </w:tr>
      <w:tr w:rsidR="003F33B8" w:rsidRPr="001D5EBE" w14:paraId="712645B5" w14:textId="77777777" w:rsidTr="00C8743D">
        <w:tc>
          <w:tcPr>
            <w:tcW w:w="3000" w:type="dxa"/>
          </w:tcPr>
          <w:p w14:paraId="74CBF79B"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Makrolidų</w:t>
            </w:r>
            <w:proofErr w:type="spellEnd"/>
            <w:r w:rsidRPr="001D5EBE">
              <w:rPr>
                <w:rFonts w:ascii="Times New Roman" w:hAnsi="Times New Roman"/>
                <w:sz w:val="22"/>
                <w:szCs w:val="22"/>
                <w:lang w:eastAsia="en-US"/>
              </w:rPr>
              <w:t xml:space="preserve"> grupės antibakteriniai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p w14:paraId="4FE6F82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Klaritromicinas</w:t>
            </w:r>
            <w:proofErr w:type="spellEnd"/>
          </w:p>
          <w:p w14:paraId="6ACA0FE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Eritromicinas</w:t>
            </w:r>
            <w:proofErr w:type="spellEnd"/>
          </w:p>
        </w:tc>
        <w:tc>
          <w:tcPr>
            <w:tcW w:w="6127" w:type="dxa"/>
          </w:tcPr>
          <w:p w14:paraId="64D041A4"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4732A30"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inhibitoriai (ir substratai)</w:t>
            </w:r>
          </w:p>
        </w:tc>
      </w:tr>
      <w:tr w:rsidR="003F33B8" w:rsidRPr="001D5EBE" w14:paraId="2EE26849" w14:textId="77777777" w:rsidTr="00C8743D">
        <w:tc>
          <w:tcPr>
            <w:tcW w:w="3000" w:type="dxa"/>
          </w:tcPr>
          <w:p w14:paraId="644D1B86"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Makrolidų</w:t>
            </w:r>
            <w:proofErr w:type="spellEnd"/>
            <w:r w:rsidRPr="001D5EBE">
              <w:rPr>
                <w:rFonts w:ascii="Times New Roman" w:hAnsi="Times New Roman"/>
                <w:sz w:val="22"/>
                <w:szCs w:val="22"/>
                <w:lang w:eastAsia="en-US"/>
              </w:rPr>
              <w:t xml:space="preserve"> grupės antibakteriniai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p w14:paraId="7D25DDBC"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proofErr w:type="spellStart"/>
            <w:r w:rsidRPr="001D5EBE">
              <w:rPr>
                <w:rFonts w:ascii="Times New Roman" w:hAnsi="Times New Roman"/>
                <w:sz w:val="22"/>
                <w:szCs w:val="22"/>
                <w:lang w:eastAsia="en-US"/>
              </w:rPr>
              <w:t>Troleandomicinas</w:t>
            </w:r>
            <w:proofErr w:type="spellEnd"/>
          </w:p>
        </w:tc>
        <w:tc>
          <w:tcPr>
            <w:tcW w:w="6127" w:type="dxa"/>
            <w:vAlign w:val="center"/>
          </w:tcPr>
          <w:p w14:paraId="30B87161"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CYP3A4 inhibitorius</w:t>
            </w:r>
          </w:p>
        </w:tc>
      </w:tr>
      <w:tr w:rsidR="003F33B8" w:rsidRPr="0014202E" w14:paraId="67593940" w14:textId="77777777" w:rsidTr="00C8743D">
        <w:tc>
          <w:tcPr>
            <w:tcW w:w="3000" w:type="dxa"/>
          </w:tcPr>
          <w:p w14:paraId="3EC78E63"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NVNU (nesteroidiniai vaistiniai preparatai nuo uždegimo) </w:t>
            </w:r>
          </w:p>
          <w:p w14:paraId="08AE4BF4"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Didelės aspirino (</w:t>
            </w:r>
            <w:proofErr w:type="spellStart"/>
            <w:r w:rsidRPr="001D5EBE">
              <w:rPr>
                <w:rFonts w:ascii="Times New Roman" w:hAnsi="Times New Roman"/>
                <w:sz w:val="22"/>
                <w:szCs w:val="22"/>
                <w:lang w:eastAsia="en-US"/>
              </w:rPr>
              <w:t>acetilsalicilo</w:t>
            </w:r>
            <w:proofErr w:type="spellEnd"/>
            <w:r w:rsidRPr="001D5EBE">
              <w:rPr>
                <w:rFonts w:ascii="Times New Roman" w:hAnsi="Times New Roman"/>
                <w:sz w:val="22"/>
                <w:szCs w:val="22"/>
                <w:lang w:eastAsia="en-US"/>
              </w:rPr>
              <w:t xml:space="preserve"> rūgšties) dozės</w:t>
            </w:r>
          </w:p>
        </w:tc>
        <w:tc>
          <w:tcPr>
            <w:tcW w:w="6127" w:type="dxa"/>
          </w:tcPr>
          <w:p w14:paraId="21A476E8"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1) Jei vienu metu vartojama kortikosteroidų ir NVNU, gali dažniau atsirasti virškinimo trakto kraujavimas ir išopėjimas.</w:t>
            </w:r>
          </w:p>
          <w:p w14:paraId="3D725CA7"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2) </w:t>
            </w:r>
            <w:proofErr w:type="spellStart"/>
            <w:r w:rsidRPr="001D5EBE">
              <w:rPr>
                <w:rFonts w:ascii="Times New Roman" w:hAnsi="Times New Roman"/>
                <w:sz w:val="22"/>
                <w:szCs w:val="22"/>
                <w:lang w:eastAsia="en-US"/>
              </w:rPr>
              <w:t>Metilprednizolonas</w:t>
            </w:r>
            <w:proofErr w:type="spellEnd"/>
            <w:r w:rsidRPr="001D5EBE">
              <w:rPr>
                <w:rFonts w:ascii="Times New Roman" w:hAnsi="Times New Roman"/>
                <w:sz w:val="22"/>
                <w:szCs w:val="22"/>
                <w:lang w:eastAsia="en-US"/>
              </w:rPr>
              <w:t xml:space="preserve"> gali didinti didelėmis dozėmis vartojamo aspirino klirensą ir dėl to gali sumažėti </w:t>
            </w:r>
            <w:proofErr w:type="spellStart"/>
            <w:r w:rsidRPr="001D5EBE">
              <w:rPr>
                <w:rFonts w:ascii="Times New Roman" w:hAnsi="Times New Roman"/>
                <w:sz w:val="22"/>
                <w:szCs w:val="22"/>
                <w:lang w:eastAsia="en-US"/>
              </w:rPr>
              <w:t>salicilatų</w:t>
            </w:r>
            <w:proofErr w:type="spellEnd"/>
            <w:r w:rsidRPr="001D5EBE">
              <w:rPr>
                <w:rFonts w:ascii="Times New Roman" w:hAnsi="Times New Roman"/>
                <w:sz w:val="22"/>
                <w:szCs w:val="22"/>
                <w:lang w:eastAsia="en-US"/>
              </w:rPr>
              <w:t xml:space="preserve"> koncentracijos serume. Nutraukus gydymą </w:t>
            </w:r>
            <w:proofErr w:type="spellStart"/>
            <w:r w:rsidRPr="001D5EBE">
              <w:rPr>
                <w:rFonts w:ascii="Times New Roman" w:hAnsi="Times New Roman"/>
                <w:sz w:val="22"/>
                <w:szCs w:val="22"/>
                <w:lang w:eastAsia="en-US"/>
              </w:rPr>
              <w:t>metilprednizolonu</w:t>
            </w:r>
            <w:proofErr w:type="spellEnd"/>
            <w:r w:rsidRPr="001D5EBE">
              <w:rPr>
                <w:rFonts w:ascii="Times New Roman" w:hAnsi="Times New Roman"/>
                <w:sz w:val="22"/>
                <w:szCs w:val="22"/>
                <w:lang w:eastAsia="en-US"/>
              </w:rPr>
              <w:t xml:space="preserve">, </w:t>
            </w:r>
            <w:proofErr w:type="spellStart"/>
            <w:r w:rsidRPr="001D5EBE">
              <w:rPr>
                <w:rFonts w:ascii="Times New Roman" w:hAnsi="Times New Roman"/>
                <w:sz w:val="22"/>
                <w:szCs w:val="22"/>
                <w:lang w:eastAsia="en-US"/>
              </w:rPr>
              <w:t>salicilatų</w:t>
            </w:r>
            <w:proofErr w:type="spellEnd"/>
            <w:r w:rsidRPr="001D5EBE">
              <w:rPr>
                <w:rFonts w:ascii="Times New Roman" w:hAnsi="Times New Roman"/>
                <w:sz w:val="22"/>
                <w:szCs w:val="22"/>
                <w:lang w:eastAsia="en-US"/>
              </w:rPr>
              <w:t xml:space="preserve"> koncentracijos serume gali padidėti, o dėl to gali padidėti </w:t>
            </w:r>
            <w:proofErr w:type="spellStart"/>
            <w:r w:rsidRPr="001D5EBE">
              <w:rPr>
                <w:rFonts w:ascii="Times New Roman" w:hAnsi="Times New Roman"/>
                <w:sz w:val="22"/>
                <w:szCs w:val="22"/>
                <w:lang w:eastAsia="en-US"/>
              </w:rPr>
              <w:t>salicilatų</w:t>
            </w:r>
            <w:proofErr w:type="spellEnd"/>
            <w:r w:rsidRPr="001D5EBE">
              <w:rPr>
                <w:rFonts w:ascii="Times New Roman" w:hAnsi="Times New Roman"/>
                <w:sz w:val="22"/>
                <w:szCs w:val="22"/>
                <w:lang w:eastAsia="en-US"/>
              </w:rPr>
              <w:t xml:space="preserve"> toksinio poveikio rizika.</w:t>
            </w:r>
          </w:p>
        </w:tc>
      </w:tr>
      <w:tr w:rsidR="003F33B8" w:rsidRPr="001D5EBE" w14:paraId="763AC606" w14:textId="77777777" w:rsidTr="00C8743D">
        <w:tc>
          <w:tcPr>
            <w:tcW w:w="3000" w:type="dxa"/>
          </w:tcPr>
          <w:p w14:paraId="64F62A22" w14:textId="77777777"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Kalio išsiskyrimą iš organizmo skatinantys </w:t>
            </w:r>
            <w:r w:rsidR="00E23965">
              <w:rPr>
                <w:rFonts w:ascii="Times New Roman" w:hAnsi="Times New Roman"/>
                <w:sz w:val="22"/>
                <w:szCs w:val="22"/>
                <w:lang w:eastAsia="en-US"/>
              </w:rPr>
              <w:t xml:space="preserve">vaistiniai </w:t>
            </w:r>
            <w:r w:rsidRPr="001D5EBE">
              <w:rPr>
                <w:rFonts w:ascii="Times New Roman" w:hAnsi="Times New Roman"/>
                <w:sz w:val="22"/>
                <w:szCs w:val="22"/>
                <w:lang w:eastAsia="en-US"/>
              </w:rPr>
              <w:t>preparatai</w:t>
            </w:r>
          </w:p>
        </w:tc>
        <w:tc>
          <w:tcPr>
            <w:tcW w:w="6127" w:type="dxa"/>
          </w:tcPr>
          <w:p w14:paraId="52BB4B0B" w14:textId="53F416BE" w:rsidR="003F33B8" w:rsidRPr="001D5EBE" w:rsidRDefault="003F33B8" w:rsidP="00584BB5">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1D5EBE">
              <w:rPr>
                <w:rFonts w:ascii="Times New Roman" w:hAnsi="Times New Roman"/>
                <w:sz w:val="22"/>
                <w:szCs w:val="22"/>
                <w:lang w:eastAsia="en-US"/>
              </w:rPr>
              <w:t xml:space="preserve">Jei kortikosteroidų vartojama kartu su kalio išsiskyrimą iš organizmo skatinančiais </w:t>
            </w:r>
            <w:r w:rsidR="00FE4492">
              <w:rPr>
                <w:rFonts w:ascii="Times New Roman" w:hAnsi="Times New Roman"/>
                <w:sz w:val="22"/>
                <w:szCs w:val="22"/>
                <w:lang w:eastAsia="en-US"/>
              </w:rPr>
              <w:t xml:space="preserve">vaistiniais </w:t>
            </w:r>
            <w:r w:rsidRPr="001D5EBE">
              <w:rPr>
                <w:rFonts w:ascii="Times New Roman" w:hAnsi="Times New Roman"/>
                <w:sz w:val="22"/>
                <w:szCs w:val="22"/>
                <w:lang w:eastAsia="en-US"/>
              </w:rPr>
              <w:t xml:space="preserve">preparatais (t. y. diuretikais), pacientus būtina atidžiai stebėti, ar neatsiranda </w:t>
            </w:r>
            <w:proofErr w:type="spellStart"/>
            <w:r w:rsidRPr="001D5EBE">
              <w:rPr>
                <w:rFonts w:ascii="Times New Roman" w:hAnsi="Times New Roman"/>
                <w:sz w:val="22"/>
                <w:szCs w:val="22"/>
                <w:lang w:eastAsia="en-US"/>
              </w:rPr>
              <w:t>hipokalemija</w:t>
            </w:r>
            <w:proofErr w:type="spellEnd"/>
            <w:r w:rsidRPr="001D5EBE">
              <w:rPr>
                <w:rFonts w:ascii="Times New Roman" w:hAnsi="Times New Roman"/>
                <w:sz w:val="22"/>
                <w:szCs w:val="22"/>
                <w:lang w:eastAsia="en-US"/>
              </w:rPr>
              <w:t xml:space="preserve">. Be to, </w:t>
            </w:r>
            <w:proofErr w:type="spellStart"/>
            <w:r w:rsidRPr="001D5EBE">
              <w:rPr>
                <w:rFonts w:ascii="Times New Roman" w:hAnsi="Times New Roman"/>
                <w:sz w:val="22"/>
                <w:szCs w:val="22"/>
                <w:lang w:eastAsia="en-US"/>
              </w:rPr>
              <w:t>hipokalemijos</w:t>
            </w:r>
            <w:proofErr w:type="spellEnd"/>
            <w:r w:rsidRPr="001D5EBE">
              <w:rPr>
                <w:rFonts w:ascii="Times New Roman" w:hAnsi="Times New Roman"/>
                <w:sz w:val="22"/>
                <w:szCs w:val="22"/>
                <w:lang w:eastAsia="en-US"/>
              </w:rPr>
              <w:t xml:space="preserve"> rizika didėja, jei kortikosteroidų vartojama kartu su </w:t>
            </w:r>
            <w:proofErr w:type="spellStart"/>
            <w:r w:rsidRPr="001D5EBE">
              <w:rPr>
                <w:rFonts w:ascii="Times New Roman" w:hAnsi="Times New Roman"/>
                <w:sz w:val="22"/>
                <w:szCs w:val="22"/>
                <w:lang w:eastAsia="en-US"/>
              </w:rPr>
              <w:t>amfotericinu</w:t>
            </w:r>
            <w:proofErr w:type="spellEnd"/>
            <w:r w:rsidRPr="001D5EBE">
              <w:rPr>
                <w:rFonts w:ascii="Times New Roman" w:hAnsi="Times New Roman"/>
                <w:sz w:val="22"/>
                <w:szCs w:val="22"/>
                <w:lang w:eastAsia="en-US"/>
              </w:rPr>
              <w:t xml:space="preserve"> B, </w:t>
            </w:r>
            <w:proofErr w:type="spellStart"/>
            <w:r w:rsidRPr="001D5EBE">
              <w:rPr>
                <w:rFonts w:ascii="Times New Roman" w:hAnsi="Times New Roman"/>
                <w:sz w:val="22"/>
                <w:szCs w:val="22"/>
                <w:lang w:eastAsia="en-US"/>
              </w:rPr>
              <w:t>ksantenais</w:t>
            </w:r>
            <w:proofErr w:type="spellEnd"/>
            <w:r w:rsidRPr="001D5EBE">
              <w:rPr>
                <w:rFonts w:ascii="Times New Roman" w:hAnsi="Times New Roman"/>
                <w:sz w:val="22"/>
                <w:szCs w:val="22"/>
                <w:lang w:eastAsia="en-US"/>
              </w:rPr>
              <w:t xml:space="preserve"> ar beta2 </w:t>
            </w:r>
            <w:proofErr w:type="spellStart"/>
            <w:r w:rsidRPr="001D5EBE">
              <w:rPr>
                <w:rFonts w:ascii="Times New Roman" w:hAnsi="Times New Roman"/>
                <w:sz w:val="22"/>
                <w:szCs w:val="22"/>
                <w:lang w:eastAsia="en-US"/>
              </w:rPr>
              <w:t>agonistais</w:t>
            </w:r>
            <w:proofErr w:type="spellEnd"/>
            <w:r w:rsidRPr="001D5EBE">
              <w:rPr>
                <w:rFonts w:ascii="Times New Roman" w:hAnsi="Times New Roman"/>
                <w:sz w:val="22"/>
                <w:szCs w:val="22"/>
                <w:lang w:eastAsia="en-US"/>
              </w:rPr>
              <w:t>.</w:t>
            </w:r>
          </w:p>
        </w:tc>
      </w:tr>
    </w:tbl>
    <w:p w14:paraId="47CBDD00" w14:textId="77777777" w:rsidR="001A36FC" w:rsidRPr="00705660" w:rsidRDefault="001A36FC" w:rsidP="001A36FC">
      <w:pPr>
        <w:pStyle w:val="Sraassunumeriais"/>
        <w:numPr>
          <w:ilvl w:val="0"/>
          <w:numId w:val="0"/>
        </w:numPr>
        <w:rPr>
          <w:rStyle w:val="Instructions"/>
          <w:sz w:val="22"/>
        </w:rPr>
      </w:pPr>
    </w:p>
    <w:p w14:paraId="72EA168C" w14:textId="77777777" w:rsidR="003F33B8" w:rsidRPr="00705660" w:rsidRDefault="001A36FC" w:rsidP="003F33B8">
      <w:pPr>
        <w:pStyle w:val="Antrat5"/>
        <w:rPr>
          <w:rStyle w:val="Instructions"/>
          <w:i/>
          <w:sz w:val="24"/>
          <w:lang w:val="en-US"/>
        </w:rPr>
      </w:pPr>
      <w:r w:rsidRPr="001D5EBE">
        <w:rPr>
          <w:rStyle w:val="Instructions"/>
          <w:iCs w:val="0"/>
          <w:color w:val="000000" w:themeColor="text1"/>
          <w:szCs w:val="22"/>
          <w:u w:val="single"/>
        </w:rPr>
        <w:t>Nesuderinamumas</w:t>
      </w:r>
    </w:p>
    <w:p w14:paraId="196FF8FD" w14:textId="45CFF65E" w:rsidR="001A36FC" w:rsidRPr="001D5EBE" w:rsidRDefault="003F33B8" w:rsidP="001A36FC">
      <w:pPr>
        <w:pStyle w:val="Sraassunumeriais"/>
        <w:numPr>
          <w:ilvl w:val="0"/>
          <w:numId w:val="0"/>
        </w:numPr>
        <w:rPr>
          <w:sz w:val="22"/>
          <w:szCs w:val="22"/>
          <w:lang w:val="lt-LT"/>
        </w:rPr>
      </w:pPr>
      <w:r w:rsidRPr="001D5EBE">
        <w:rPr>
          <w:sz w:val="22"/>
          <w:szCs w:val="22"/>
          <w:lang w:val="lt-LT"/>
        </w:rPr>
        <w:t xml:space="preserve">Siekiant išvengti su suderinamumu ir stabilumu susijusių problemų, </w:t>
      </w:r>
      <w:proofErr w:type="spellStart"/>
      <w:r w:rsidRPr="001D5EBE">
        <w:rPr>
          <w:sz w:val="22"/>
          <w:szCs w:val="22"/>
          <w:lang w:val="lt-LT"/>
        </w:rPr>
        <w:t>metilprednizolono</w:t>
      </w:r>
      <w:proofErr w:type="spellEnd"/>
      <w:r w:rsidRPr="001D5EBE">
        <w:rPr>
          <w:sz w:val="22"/>
          <w:szCs w:val="22"/>
          <w:lang w:val="lt-LT"/>
        </w:rPr>
        <w:t xml:space="preserve"> natrio </w:t>
      </w:r>
      <w:proofErr w:type="spellStart"/>
      <w:r w:rsidRPr="001D5EBE">
        <w:rPr>
          <w:sz w:val="22"/>
          <w:szCs w:val="22"/>
          <w:lang w:val="lt-LT"/>
        </w:rPr>
        <w:t>sukcinato</w:t>
      </w:r>
      <w:proofErr w:type="spellEnd"/>
      <w:r w:rsidRPr="001D5EBE">
        <w:rPr>
          <w:sz w:val="22"/>
          <w:szCs w:val="22"/>
          <w:lang w:val="lt-LT"/>
        </w:rPr>
        <w:t xml:space="preserve"> rekomenduojama švirkšti atskirai nuo kitų į veną vartojamų </w:t>
      </w:r>
      <w:r w:rsidR="00FE4492">
        <w:rPr>
          <w:sz w:val="22"/>
          <w:szCs w:val="22"/>
          <w:lang w:val="lt-LT"/>
        </w:rPr>
        <w:t xml:space="preserve">vaistinių </w:t>
      </w:r>
      <w:r w:rsidRPr="001D5EBE">
        <w:rPr>
          <w:sz w:val="22"/>
          <w:szCs w:val="22"/>
          <w:lang w:val="lt-LT"/>
        </w:rPr>
        <w:t xml:space="preserve">preparatų. Vaistiniai preparatai, kurie fizikiniu požiūriu yra nesuderinami su </w:t>
      </w:r>
      <w:proofErr w:type="spellStart"/>
      <w:r w:rsidRPr="001D5EBE">
        <w:rPr>
          <w:sz w:val="22"/>
          <w:szCs w:val="22"/>
          <w:lang w:val="lt-LT"/>
        </w:rPr>
        <w:t>metilprednizolono</w:t>
      </w:r>
      <w:proofErr w:type="spellEnd"/>
      <w:r w:rsidRPr="001D5EBE">
        <w:rPr>
          <w:sz w:val="22"/>
          <w:szCs w:val="22"/>
          <w:lang w:val="lt-LT"/>
        </w:rPr>
        <w:t xml:space="preserve"> natrio </w:t>
      </w:r>
      <w:proofErr w:type="spellStart"/>
      <w:r w:rsidRPr="001D5EBE">
        <w:rPr>
          <w:sz w:val="22"/>
          <w:szCs w:val="22"/>
          <w:lang w:val="lt-LT"/>
        </w:rPr>
        <w:t>sukcinatu</w:t>
      </w:r>
      <w:proofErr w:type="spellEnd"/>
      <w:r w:rsidRPr="001D5EBE">
        <w:rPr>
          <w:sz w:val="22"/>
          <w:szCs w:val="22"/>
          <w:lang w:val="lt-LT"/>
        </w:rPr>
        <w:t xml:space="preserve"> ir negali būti viename tirpale, yra  </w:t>
      </w:r>
      <w:proofErr w:type="spellStart"/>
      <w:r w:rsidRPr="001D5EBE">
        <w:rPr>
          <w:sz w:val="22"/>
          <w:szCs w:val="22"/>
          <w:lang w:val="lt-LT"/>
        </w:rPr>
        <w:t>alopurinolio</w:t>
      </w:r>
      <w:proofErr w:type="spellEnd"/>
      <w:r w:rsidRPr="001D5EBE">
        <w:rPr>
          <w:sz w:val="22"/>
          <w:szCs w:val="22"/>
          <w:lang w:val="lt-LT"/>
        </w:rPr>
        <w:t xml:space="preserve"> natrio druska, </w:t>
      </w:r>
      <w:proofErr w:type="spellStart"/>
      <w:r w:rsidRPr="001D5EBE">
        <w:rPr>
          <w:sz w:val="22"/>
          <w:szCs w:val="22"/>
          <w:lang w:val="lt-LT"/>
        </w:rPr>
        <w:t>doksapramo</w:t>
      </w:r>
      <w:proofErr w:type="spellEnd"/>
      <w:r w:rsidRPr="001D5EBE">
        <w:rPr>
          <w:sz w:val="22"/>
          <w:szCs w:val="22"/>
          <w:lang w:val="lt-LT"/>
        </w:rPr>
        <w:t xml:space="preserve"> hidrochloridas, </w:t>
      </w:r>
      <w:proofErr w:type="spellStart"/>
      <w:r w:rsidRPr="001D5EBE">
        <w:rPr>
          <w:sz w:val="22"/>
          <w:szCs w:val="22"/>
          <w:lang w:val="lt-LT"/>
        </w:rPr>
        <w:t>tigeciklinas</w:t>
      </w:r>
      <w:proofErr w:type="spellEnd"/>
      <w:r w:rsidRPr="001D5EBE">
        <w:rPr>
          <w:sz w:val="22"/>
          <w:szCs w:val="22"/>
          <w:lang w:val="lt-LT"/>
        </w:rPr>
        <w:t xml:space="preserve">, </w:t>
      </w:r>
      <w:proofErr w:type="spellStart"/>
      <w:r w:rsidRPr="001D5EBE">
        <w:rPr>
          <w:sz w:val="22"/>
          <w:szCs w:val="22"/>
          <w:lang w:val="lt-LT"/>
        </w:rPr>
        <w:t>diltiazemo</w:t>
      </w:r>
      <w:proofErr w:type="spellEnd"/>
      <w:r w:rsidRPr="001D5EBE">
        <w:rPr>
          <w:sz w:val="22"/>
          <w:szCs w:val="22"/>
          <w:lang w:val="lt-LT"/>
        </w:rPr>
        <w:t xml:space="preserve"> hidrochloridas kalcio </w:t>
      </w:r>
      <w:proofErr w:type="spellStart"/>
      <w:r w:rsidRPr="001D5EBE">
        <w:rPr>
          <w:sz w:val="22"/>
          <w:szCs w:val="22"/>
          <w:lang w:val="lt-LT"/>
        </w:rPr>
        <w:t>gliukonatas</w:t>
      </w:r>
      <w:proofErr w:type="spellEnd"/>
      <w:r w:rsidRPr="001D5EBE">
        <w:rPr>
          <w:sz w:val="22"/>
          <w:szCs w:val="22"/>
          <w:lang w:val="lt-LT"/>
        </w:rPr>
        <w:t xml:space="preserve">, </w:t>
      </w:r>
      <w:proofErr w:type="spellStart"/>
      <w:r w:rsidRPr="001D5EBE">
        <w:rPr>
          <w:sz w:val="22"/>
          <w:szCs w:val="22"/>
          <w:lang w:val="lt-LT"/>
        </w:rPr>
        <w:t>vekuronio</w:t>
      </w:r>
      <w:proofErr w:type="spellEnd"/>
      <w:r w:rsidRPr="001D5EBE">
        <w:rPr>
          <w:sz w:val="22"/>
          <w:szCs w:val="22"/>
          <w:lang w:val="lt-LT"/>
        </w:rPr>
        <w:t xml:space="preserve"> </w:t>
      </w:r>
      <w:proofErr w:type="spellStart"/>
      <w:r w:rsidRPr="001D5EBE">
        <w:rPr>
          <w:sz w:val="22"/>
          <w:szCs w:val="22"/>
          <w:lang w:val="lt-LT"/>
        </w:rPr>
        <w:t>bromidas</w:t>
      </w:r>
      <w:proofErr w:type="spellEnd"/>
      <w:r w:rsidRPr="001D5EBE">
        <w:rPr>
          <w:sz w:val="22"/>
          <w:szCs w:val="22"/>
          <w:lang w:val="lt-LT"/>
        </w:rPr>
        <w:t xml:space="preserve">, </w:t>
      </w:r>
      <w:proofErr w:type="spellStart"/>
      <w:r w:rsidRPr="001D5EBE">
        <w:rPr>
          <w:sz w:val="22"/>
          <w:szCs w:val="22"/>
          <w:lang w:val="lt-LT"/>
        </w:rPr>
        <w:t>rokuronio</w:t>
      </w:r>
      <w:proofErr w:type="spellEnd"/>
      <w:r w:rsidRPr="001D5EBE">
        <w:rPr>
          <w:sz w:val="22"/>
          <w:szCs w:val="22"/>
          <w:lang w:val="lt-LT"/>
        </w:rPr>
        <w:t xml:space="preserve"> </w:t>
      </w:r>
      <w:proofErr w:type="spellStart"/>
      <w:r w:rsidRPr="001D5EBE">
        <w:rPr>
          <w:sz w:val="22"/>
          <w:szCs w:val="22"/>
          <w:lang w:val="lt-LT"/>
        </w:rPr>
        <w:t>bromidas</w:t>
      </w:r>
      <w:proofErr w:type="spellEnd"/>
      <w:r w:rsidRPr="001D5EBE">
        <w:rPr>
          <w:sz w:val="22"/>
          <w:szCs w:val="22"/>
          <w:lang w:val="lt-LT"/>
        </w:rPr>
        <w:t xml:space="preserve">, </w:t>
      </w:r>
      <w:proofErr w:type="spellStart"/>
      <w:r w:rsidRPr="001D5EBE">
        <w:rPr>
          <w:sz w:val="22"/>
          <w:szCs w:val="22"/>
          <w:lang w:val="lt-LT"/>
        </w:rPr>
        <w:t>cisatrakurio</w:t>
      </w:r>
      <w:proofErr w:type="spellEnd"/>
      <w:r w:rsidRPr="001D5EBE">
        <w:rPr>
          <w:sz w:val="22"/>
          <w:szCs w:val="22"/>
          <w:lang w:val="lt-LT"/>
        </w:rPr>
        <w:t xml:space="preserve"> </w:t>
      </w:r>
      <w:proofErr w:type="spellStart"/>
      <w:r w:rsidRPr="001D5EBE">
        <w:rPr>
          <w:sz w:val="22"/>
          <w:szCs w:val="22"/>
          <w:lang w:val="lt-LT"/>
        </w:rPr>
        <w:t>besilatas</w:t>
      </w:r>
      <w:proofErr w:type="spellEnd"/>
      <w:r w:rsidRPr="001D5EBE">
        <w:rPr>
          <w:sz w:val="22"/>
          <w:szCs w:val="22"/>
          <w:lang w:val="lt-LT"/>
        </w:rPr>
        <w:t xml:space="preserve">, </w:t>
      </w:r>
      <w:proofErr w:type="spellStart"/>
      <w:r w:rsidRPr="001D5EBE">
        <w:rPr>
          <w:sz w:val="22"/>
          <w:szCs w:val="22"/>
          <w:lang w:val="lt-LT"/>
        </w:rPr>
        <w:t>glikopirlatas</w:t>
      </w:r>
      <w:proofErr w:type="spellEnd"/>
      <w:r w:rsidRPr="001D5EBE">
        <w:rPr>
          <w:sz w:val="22"/>
          <w:szCs w:val="22"/>
          <w:lang w:val="lt-LT"/>
        </w:rPr>
        <w:t xml:space="preserve">, </w:t>
      </w:r>
      <w:proofErr w:type="spellStart"/>
      <w:r w:rsidRPr="001D5EBE">
        <w:rPr>
          <w:sz w:val="22"/>
          <w:szCs w:val="22"/>
          <w:lang w:val="lt-LT"/>
        </w:rPr>
        <w:t>propofolis</w:t>
      </w:r>
      <w:proofErr w:type="spellEnd"/>
      <w:r w:rsidRPr="001D5EBE">
        <w:rPr>
          <w:sz w:val="22"/>
          <w:szCs w:val="22"/>
          <w:lang w:val="lt-LT"/>
        </w:rPr>
        <w:t>. Galimas nesuderinamumas ir su kitais vaistiniais preparatais. Papildomos informacijos pateikta 6.2 skyriuje.</w:t>
      </w:r>
    </w:p>
    <w:p w14:paraId="77AFCCC3" w14:textId="77777777" w:rsidR="003F33B8" w:rsidRPr="001D5EBE" w:rsidRDefault="003F33B8" w:rsidP="003F33B8">
      <w:pPr>
        <w:pStyle w:val="Pagrindinistekstas"/>
        <w:spacing w:after="0"/>
        <w:rPr>
          <w:szCs w:val="22"/>
        </w:rPr>
      </w:pPr>
    </w:p>
    <w:p w14:paraId="2E4F404A" w14:textId="77777777" w:rsidR="003F33B8" w:rsidRPr="001D5EBE" w:rsidRDefault="003F33B8" w:rsidP="003F33B8">
      <w:pPr>
        <w:pStyle w:val="Antrat3"/>
        <w:rPr>
          <w:szCs w:val="22"/>
        </w:rPr>
      </w:pPr>
      <w:r w:rsidRPr="001D5EBE">
        <w:rPr>
          <w:szCs w:val="22"/>
        </w:rPr>
        <w:t>4.6</w:t>
      </w:r>
      <w:r w:rsidRPr="001D5EBE">
        <w:rPr>
          <w:szCs w:val="22"/>
        </w:rPr>
        <w:tab/>
        <w:t>Vaisingumas, nėštumo ir žindymo laikotarpis</w:t>
      </w:r>
    </w:p>
    <w:p w14:paraId="31621CA4" w14:textId="77777777" w:rsidR="003F33B8" w:rsidRPr="001D5EBE" w:rsidRDefault="003F33B8" w:rsidP="003F33B8">
      <w:pPr>
        <w:pStyle w:val="Pagrindinistekstas"/>
        <w:spacing w:after="0"/>
        <w:rPr>
          <w:szCs w:val="22"/>
        </w:rPr>
      </w:pPr>
    </w:p>
    <w:p w14:paraId="1BF19D8A" w14:textId="77777777" w:rsidR="003F33B8" w:rsidRPr="00FD3FE1" w:rsidRDefault="00F278F6" w:rsidP="003F33B8">
      <w:pPr>
        <w:tabs>
          <w:tab w:val="left" w:pos="567"/>
        </w:tabs>
        <w:spacing w:line="240" w:lineRule="auto"/>
        <w:rPr>
          <w:u w:val="single"/>
          <w:lang w:val="lt-LT"/>
        </w:rPr>
      </w:pPr>
      <w:r w:rsidRPr="00FD3FE1">
        <w:rPr>
          <w:u w:val="single"/>
          <w:lang w:val="lt-LT"/>
        </w:rPr>
        <w:t>Nėštumas</w:t>
      </w:r>
    </w:p>
    <w:p w14:paraId="1F35886F" w14:textId="77777777" w:rsidR="00F9473F" w:rsidRPr="00ED2AB3" w:rsidRDefault="003F33B8" w:rsidP="00F9473F">
      <w:pPr>
        <w:tabs>
          <w:tab w:val="left" w:pos="567"/>
        </w:tabs>
        <w:spacing w:line="240" w:lineRule="auto"/>
        <w:rPr>
          <w:lang w:val="lt-LT"/>
        </w:rPr>
      </w:pPr>
      <w:r w:rsidRPr="001D5EBE">
        <w:rPr>
          <w:lang w:val="lt-LT"/>
        </w:rPr>
        <w:t xml:space="preserve">Kai kurie su gyvūnais atlikti tyrimai parodė, kad </w:t>
      </w:r>
      <w:proofErr w:type="spellStart"/>
      <w:r w:rsidRPr="001D5EBE">
        <w:rPr>
          <w:lang w:val="lt-LT"/>
        </w:rPr>
        <w:t>gliukokortikoidai</w:t>
      </w:r>
      <w:proofErr w:type="spellEnd"/>
      <w:r w:rsidRPr="001D5EBE">
        <w:rPr>
          <w:lang w:val="lt-LT"/>
        </w:rPr>
        <w:t xml:space="preserve">, skiriami didelėmis dozėmis motinai, gali sukelti vaisiaus apsigimimų. Tačiau </w:t>
      </w:r>
      <w:proofErr w:type="spellStart"/>
      <w:r w:rsidRPr="001D5EBE">
        <w:rPr>
          <w:lang w:val="lt-LT"/>
        </w:rPr>
        <w:t>gliukokortikoidai</w:t>
      </w:r>
      <w:proofErr w:type="spellEnd"/>
      <w:r w:rsidRPr="001D5EBE">
        <w:rPr>
          <w:lang w:val="lt-LT"/>
        </w:rPr>
        <w:t>, skiriami vartoti nėščioms</w:t>
      </w:r>
      <w:r w:rsidR="00F9473F">
        <w:rPr>
          <w:lang w:val="lt-LT"/>
        </w:rPr>
        <w:t xml:space="preserve"> moterims</w:t>
      </w:r>
      <w:r w:rsidRPr="001D5EBE">
        <w:rPr>
          <w:lang w:val="lt-LT"/>
        </w:rPr>
        <w:t xml:space="preserve">, nesukėlė įgimtų vaisiaus anomalijų. </w:t>
      </w:r>
      <w:r w:rsidR="00F9473F" w:rsidRPr="00255BC9">
        <w:rPr>
          <w:lang w:val="lt-LT"/>
        </w:rPr>
        <w:t xml:space="preserve">Kadangi reikiamų </w:t>
      </w:r>
      <w:proofErr w:type="spellStart"/>
      <w:r w:rsidR="00F9473F" w:rsidRPr="00255BC9">
        <w:rPr>
          <w:lang w:val="lt-LT"/>
        </w:rPr>
        <w:t>metilprednizolono</w:t>
      </w:r>
      <w:proofErr w:type="spellEnd"/>
      <w:r w:rsidR="00F9473F" w:rsidRPr="00255BC9">
        <w:rPr>
          <w:lang w:val="lt-LT"/>
        </w:rPr>
        <w:t xml:space="preserve"> natrio </w:t>
      </w:r>
      <w:proofErr w:type="spellStart"/>
      <w:r w:rsidR="00F9473F" w:rsidRPr="00255BC9">
        <w:rPr>
          <w:lang w:val="lt-LT"/>
        </w:rPr>
        <w:t>sukcinato</w:t>
      </w:r>
      <w:proofErr w:type="spellEnd"/>
      <w:r w:rsidR="00F9473F" w:rsidRPr="00255BC9">
        <w:rPr>
          <w:lang w:val="lt-LT"/>
        </w:rPr>
        <w:t xml:space="preserve"> poveikio reprodukcijai tyrimų su žmonėmis neatlikta, šį vaistinį preparatą nėštumo metu galima vartoti tik atidžiai įvertinus naudos-rizikos santykį motinai ir vaisiui.</w:t>
      </w:r>
    </w:p>
    <w:p w14:paraId="63BFC0DF" w14:textId="77777777" w:rsidR="003F33B8" w:rsidRPr="001D5EBE" w:rsidRDefault="003F33B8" w:rsidP="003F33B8">
      <w:pPr>
        <w:pStyle w:val="Pagrindinistekstas2"/>
        <w:tabs>
          <w:tab w:val="left" w:pos="567"/>
        </w:tabs>
        <w:jc w:val="left"/>
        <w:rPr>
          <w:sz w:val="22"/>
          <w:szCs w:val="22"/>
        </w:rPr>
      </w:pPr>
    </w:p>
    <w:p w14:paraId="4E570DD7" w14:textId="77777777" w:rsidR="003F33B8" w:rsidRPr="001D5EBE" w:rsidRDefault="003F33B8" w:rsidP="003F33B8">
      <w:pPr>
        <w:spacing w:line="240" w:lineRule="auto"/>
        <w:rPr>
          <w:lang w:val="lt-LT"/>
        </w:rPr>
      </w:pPr>
      <w:r w:rsidRPr="001D5EBE">
        <w:rPr>
          <w:lang w:val="lt-LT"/>
        </w:rPr>
        <w:t xml:space="preserve">Kai kurie kortikosteroidai greitai prasiskverbia per placentą. Vieno retrospektyvinio tyrimo  metu buvo nustatyta, kad nėštumo metu </w:t>
      </w:r>
      <w:proofErr w:type="spellStart"/>
      <w:r w:rsidRPr="001D5EBE">
        <w:rPr>
          <w:lang w:val="lt-LT"/>
        </w:rPr>
        <w:t>gliukokortikoidų</w:t>
      </w:r>
      <w:proofErr w:type="spellEnd"/>
      <w:r w:rsidRPr="001D5EBE">
        <w:rPr>
          <w:lang w:val="lt-LT"/>
        </w:rPr>
        <w:t xml:space="preserve"> vartojusioms moterims dažniau gimė mažos kūno masės naujagimiai. </w:t>
      </w:r>
      <w:r w:rsidR="00F9473F" w:rsidRPr="00255BC9">
        <w:rPr>
          <w:lang w:val="lt-LT"/>
        </w:rPr>
        <w:t>Rizika žmonėms pagimdyti mažos kūno masės naujagimius susijusi su doze ir gali būti sumažinta skiriant mažesnes kortikosteroidų dozes.</w:t>
      </w:r>
      <w:r w:rsidR="00F9473F">
        <w:rPr>
          <w:lang w:val="lt-LT"/>
        </w:rPr>
        <w:t xml:space="preserve"> </w:t>
      </w:r>
      <w:r w:rsidRPr="001D5EBE">
        <w:rPr>
          <w:lang w:val="lt-LT"/>
        </w:rPr>
        <w:t>Kūdikius, kurių motinos nėštumo metu vartojo dideles kortikosteroidų dozes, reikia atidžiai stebėti ir reikia stebėti, ar jiems neatsiranda antinksčių nepakankamumo požymių, nors nustatyta, kad antinksčių nepakankamumas kūdikiams, kuriems būnant gimdoje buvo kortikosteroidų ekspozicija, pasireiškia retai.</w:t>
      </w:r>
    </w:p>
    <w:p w14:paraId="7CBAE158" w14:textId="77777777" w:rsidR="003F33B8" w:rsidRPr="001D5EBE" w:rsidRDefault="003F33B8" w:rsidP="003F33B8">
      <w:pPr>
        <w:pStyle w:val="Pagrindinistekstas2"/>
        <w:tabs>
          <w:tab w:val="left" w:pos="567"/>
        </w:tabs>
        <w:jc w:val="left"/>
        <w:rPr>
          <w:sz w:val="22"/>
          <w:szCs w:val="22"/>
        </w:rPr>
      </w:pPr>
      <w:proofErr w:type="spellStart"/>
      <w:r w:rsidRPr="001D5EBE">
        <w:rPr>
          <w:sz w:val="22"/>
          <w:szCs w:val="22"/>
        </w:rPr>
        <w:t>Gliukokortikoidų</w:t>
      </w:r>
      <w:proofErr w:type="spellEnd"/>
      <w:r w:rsidRPr="001D5EBE">
        <w:rPr>
          <w:sz w:val="22"/>
          <w:szCs w:val="22"/>
        </w:rPr>
        <w:t xml:space="preserve"> poveikis gimdymo veiklai nežinomas.</w:t>
      </w:r>
    </w:p>
    <w:p w14:paraId="2863F0EB" w14:textId="77777777" w:rsidR="003F33B8" w:rsidRPr="001D5EBE" w:rsidRDefault="003F33B8" w:rsidP="003F33B8">
      <w:pPr>
        <w:pStyle w:val="Pagrindinistekstas2"/>
        <w:tabs>
          <w:tab w:val="left" w:pos="567"/>
        </w:tabs>
        <w:jc w:val="left"/>
        <w:rPr>
          <w:sz w:val="22"/>
          <w:szCs w:val="22"/>
        </w:rPr>
      </w:pPr>
    </w:p>
    <w:p w14:paraId="1D1E3C44" w14:textId="77777777" w:rsidR="003F33B8" w:rsidRPr="001D5EBE" w:rsidRDefault="003F33B8" w:rsidP="003F33B8">
      <w:pPr>
        <w:tabs>
          <w:tab w:val="left" w:pos="567"/>
        </w:tabs>
        <w:spacing w:line="240" w:lineRule="auto"/>
        <w:rPr>
          <w:lang w:val="lt-LT"/>
        </w:rPr>
      </w:pPr>
      <w:r w:rsidRPr="001D5EBE">
        <w:rPr>
          <w:lang w:val="lt-LT"/>
        </w:rPr>
        <w:t xml:space="preserve">Nėštumo metu ilgai </w:t>
      </w:r>
      <w:proofErr w:type="spellStart"/>
      <w:r w:rsidRPr="001D5EBE">
        <w:rPr>
          <w:lang w:val="lt-LT"/>
        </w:rPr>
        <w:t>gliukokortikoidų</w:t>
      </w:r>
      <w:proofErr w:type="spellEnd"/>
      <w:r w:rsidRPr="001D5EBE">
        <w:rPr>
          <w:lang w:val="lt-LT"/>
        </w:rPr>
        <w:t xml:space="preserve"> vartojusių moterų naujagimiams buvo kataraktos atvejų.</w:t>
      </w:r>
    </w:p>
    <w:p w14:paraId="2BFACED3" w14:textId="77777777" w:rsidR="003F33B8" w:rsidRPr="001D5EBE" w:rsidRDefault="003F33B8" w:rsidP="003F33B8">
      <w:pPr>
        <w:tabs>
          <w:tab w:val="left" w:pos="567"/>
        </w:tabs>
        <w:spacing w:line="240" w:lineRule="auto"/>
        <w:rPr>
          <w:lang w:val="lt-LT"/>
        </w:rPr>
      </w:pPr>
    </w:p>
    <w:p w14:paraId="4FDD517D" w14:textId="77777777" w:rsidR="000A1ECA" w:rsidRPr="001D5EBE" w:rsidRDefault="000A1ECA" w:rsidP="000A1ECA">
      <w:pPr>
        <w:pStyle w:val="Pagrindinistekstas"/>
        <w:widowControl w:val="0"/>
        <w:spacing w:after="0"/>
        <w:rPr>
          <w:szCs w:val="22"/>
        </w:rPr>
      </w:pPr>
      <w:proofErr w:type="spellStart"/>
      <w:r w:rsidRPr="001D5EBE">
        <w:rPr>
          <w:szCs w:val="22"/>
        </w:rPr>
        <w:t>Benzilo</w:t>
      </w:r>
      <w:proofErr w:type="spellEnd"/>
      <w:r w:rsidRPr="001D5EBE">
        <w:rPr>
          <w:szCs w:val="22"/>
        </w:rPr>
        <w:t xml:space="preserve"> alkoholis gali prasiskverbti per placentą (žr. 4.4 skyrių).</w:t>
      </w:r>
    </w:p>
    <w:p w14:paraId="788C0445" w14:textId="77777777" w:rsidR="000A1ECA" w:rsidRPr="001D5EBE" w:rsidRDefault="000A1ECA" w:rsidP="003F33B8">
      <w:pPr>
        <w:tabs>
          <w:tab w:val="left" w:pos="567"/>
        </w:tabs>
        <w:spacing w:line="240" w:lineRule="auto"/>
        <w:rPr>
          <w:lang w:val="lt-LT"/>
        </w:rPr>
      </w:pPr>
    </w:p>
    <w:p w14:paraId="2E8CBF6E" w14:textId="77777777" w:rsidR="003F33B8" w:rsidRPr="00FD3FE1" w:rsidRDefault="00F278F6" w:rsidP="003F33B8">
      <w:pPr>
        <w:tabs>
          <w:tab w:val="left" w:pos="567"/>
        </w:tabs>
        <w:spacing w:line="240" w:lineRule="auto"/>
        <w:rPr>
          <w:u w:val="single"/>
          <w:lang w:val="lt-LT"/>
        </w:rPr>
      </w:pPr>
      <w:r w:rsidRPr="00FD3FE1">
        <w:rPr>
          <w:u w:val="single"/>
          <w:lang w:val="lt-LT"/>
        </w:rPr>
        <w:t>Žindymas</w:t>
      </w:r>
    </w:p>
    <w:p w14:paraId="6898BC3F" w14:textId="77777777" w:rsidR="003F33B8" w:rsidRPr="001D5EBE" w:rsidRDefault="003F33B8" w:rsidP="003F33B8">
      <w:pPr>
        <w:spacing w:line="240" w:lineRule="auto"/>
        <w:rPr>
          <w:lang w:val="lt-LT"/>
        </w:rPr>
      </w:pPr>
      <w:r w:rsidRPr="001D5EBE">
        <w:rPr>
          <w:lang w:val="lt-LT"/>
        </w:rPr>
        <w:t>Kortikosteroidai išsiskiria į motinos pieną.</w:t>
      </w:r>
    </w:p>
    <w:p w14:paraId="467A9C32" w14:textId="77777777" w:rsidR="003F33B8" w:rsidRPr="001D5EBE" w:rsidRDefault="003F33B8" w:rsidP="003F33B8">
      <w:pPr>
        <w:pStyle w:val="Pagrindinistekstas"/>
        <w:spacing w:after="0"/>
        <w:rPr>
          <w:szCs w:val="22"/>
        </w:rPr>
      </w:pPr>
    </w:p>
    <w:p w14:paraId="68C705CD" w14:textId="77777777" w:rsidR="003F33B8" w:rsidRPr="00F9473F" w:rsidRDefault="003F33B8" w:rsidP="003F33B8">
      <w:pPr>
        <w:tabs>
          <w:tab w:val="left" w:pos="567"/>
        </w:tabs>
        <w:spacing w:line="240" w:lineRule="auto"/>
        <w:rPr>
          <w:lang w:val="lt-LT"/>
        </w:rPr>
      </w:pPr>
      <w:r w:rsidRPr="001D5EBE">
        <w:rPr>
          <w:lang w:val="lt-LT"/>
        </w:rPr>
        <w:t xml:space="preserve">Į moters pieną išsiskiriantys kortikosteroidai gali slopinti augimą ir trikdyti endogeninį </w:t>
      </w:r>
      <w:proofErr w:type="spellStart"/>
      <w:r w:rsidRPr="001D5EBE">
        <w:rPr>
          <w:lang w:val="lt-LT"/>
        </w:rPr>
        <w:t>gliukokortikoidų</w:t>
      </w:r>
      <w:proofErr w:type="spellEnd"/>
      <w:r w:rsidRPr="001D5EBE">
        <w:rPr>
          <w:lang w:val="lt-LT"/>
        </w:rPr>
        <w:t xml:space="preserve"> išsiskyrimą krūtimi maitinamo kūdikio organizme. </w:t>
      </w:r>
      <w:r w:rsidR="00F9473F" w:rsidRPr="00F9473F">
        <w:rPr>
          <w:lang w:val="lt-LT"/>
        </w:rPr>
        <w:t>Šį vaistinį preparatą žindymo laikotarpiu galima vartoti tik atidžiai įvertinus naudos-rizikos santykį motinai ir kūdikiui.</w:t>
      </w:r>
    </w:p>
    <w:p w14:paraId="363668EF" w14:textId="77777777" w:rsidR="003F33B8" w:rsidRPr="001D5EBE" w:rsidRDefault="003F33B8" w:rsidP="003F33B8">
      <w:pPr>
        <w:tabs>
          <w:tab w:val="left" w:pos="567"/>
        </w:tabs>
        <w:spacing w:line="240" w:lineRule="auto"/>
        <w:rPr>
          <w:i/>
          <w:lang w:val="lt-LT"/>
        </w:rPr>
      </w:pPr>
    </w:p>
    <w:p w14:paraId="60645C09" w14:textId="77777777" w:rsidR="003F33B8" w:rsidRPr="00FD3FE1" w:rsidRDefault="00F278F6" w:rsidP="003F33B8">
      <w:pPr>
        <w:tabs>
          <w:tab w:val="left" w:pos="567"/>
        </w:tabs>
        <w:spacing w:line="240" w:lineRule="auto"/>
        <w:rPr>
          <w:u w:val="single"/>
          <w:lang w:val="lt-LT"/>
        </w:rPr>
      </w:pPr>
      <w:r w:rsidRPr="00FD3FE1">
        <w:rPr>
          <w:u w:val="single"/>
          <w:lang w:val="lt-LT"/>
        </w:rPr>
        <w:t>Vaisingumas</w:t>
      </w:r>
    </w:p>
    <w:p w14:paraId="052B9C7D" w14:textId="77777777" w:rsidR="003F33B8" w:rsidRPr="001D5EBE" w:rsidRDefault="002D12E7" w:rsidP="003F33B8">
      <w:pPr>
        <w:tabs>
          <w:tab w:val="left" w:pos="567"/>
        </w:tabs>
        <w:spacing w:line="240" w:lineRule="auto"/>
        <w:rPr>
          <w:lang w:val="lt-LT"/>
        </w:rPr>
      </w:pPr>
      <w:r w:rsidRPr="001D5EBE">
        <w:rPr>
          <w:lang w:val="lt-LT"/>
        </w:rPr>
        <w:t xml:space="preserve">Tyrimų su gyvūnais metu nustatyta, kad kortikosteroidai nepalankiai veikia vaisingumą </w:t>
      </w:r>
      <w:r w:rsidR="003F33B8" w:rsidRPr="001D5EBE">
        <w:rPr>
          <w:lang w:val="lt-LT"/>
        </w:rPr>
        <w:t>(žr. 5.3 skyrių).</w:t>
      </w:r>
    </w:p>
    <w:p w14:paraId="751F2B5E" w14:textId="77777777" w:rsidR="003F33B8" w:rsidRPr="001D5EBE" w:rsidRDefault="003F33B8" w:rsidP="003F33B8">
      <w:pPr>
        <w:pStyle w:val="Pagrindinistekstas"/>
        <w:spacing w:after="0"/>
        <w:rPr>
          <w:szCs w:val="22"/>
        </w:rPr>
      </w:pPr>
    </w:p>
    <w:p w14:paraId="47CFABAF" w14:textId="77777777" w:rsidR="003F33B8" w:rsidRPr="001D5EBE" w:rsidRDefault="003F33B8" w:rsidP="003F33B8">
      <w:pPr>
        <w:pStyle w:val="Antrat3"/>
        <w:rPr>
          <w:szCs w:val="22"/>
        </w:rPr>
      </w:pPr>
      <w:r w:rsidRPr="001D5EBE">
        <w:rPr>
          <w:szCs w:val="22"/>
        </w:rPr>
        <w:t>4.7</w:t>
      </w:r>
      <w:r w:rsidRPr="001D5EBE">
        <w:rPr>
          <w:szCs w:val="22"/>
        </w:rPr>
        <w:tab/>
        <w:t>Poveikis gebėjimui vairuoti ir valdyti mechanizmus</w:t>
      </w:r>
    </w:p>
    <w:p w14:paraId="04FA4034" w14:textId="77777777" w:rsidR="003F33B8" w:rsidRPr="001D5EBE" w:rsidRDefault="003F33B8" w:rsidP="003F33B8">
      <w:pPr>
        <w:pStyle w:val="Pagrindinistekstas"/>
        <w:spacing w:after="0"/>
        <w:rPr>
          <w:szCs w:val="22"/>
        </w:rPr>
      </w:pPr>
    </w:p>
    <w:p w14:paraId="0F7DC663" w14:textId="77777777" w:rsidR="003F33B8" w:rsidRPr="001D5EBE" w:rsidRDefault="003F33B8" w:rsidP="003F33B8">
      <w:pPr>
        <w:tabs>
          <w:tab w:val="left" w:pos="567"/>
        </w:tabs>
        <w:spacing w:line="240" w:lineRule="auto"/>
        <w:rPr>
          <w:lang w:val="lt-LT"/>
        </w:rPr>
      </w:pPr>
      <w:r w:rsidRPr="001D5EBE">
        <w:rPr>
          <w:lang w:val="lt-LT"/>
        </w:rPr>
        <w:t>Sisteminių kortikosteroidų poveikio gebėjimui vairuoti ar valdyti mechanizmus tyrimų neatlikta. Gydymo kortikosteroidais metu gali pasireikšti toks nepageidaujamas poveikis kaip galvos svaigimas, galvos sukimasis, regos sutrikimas ar nuovargis. Tokiu atveju vairuoti ar valdyti mechanizmus negalima.</w:t>
      </w:r>
    </w:p>
    <w:p w14:paraId="67307FFB" w14:textId="77777777" w:rsidR="003F33B8" w:rsidRPr="001D5EBE" w:rsidRDefault="003F33B8" w:rsidP="003F33B8">
      <w:pPr>
        <w:pStyle w:val="Pagrindinistekstas"/>
        <w:spacing w:after="0"/>
        <w:rPr>
          <w:szCs w:val="22"/>
        </w:rPr>
      </w:pPr>
    </w:p>
    <w:p w14:paraId="4AAAACFB" w14:textId="77777777" w:rsidR="003F33B8" w:rsidRPr="001D5EBE" w:rsidRDefault="003F33B8" w:rsidP="003F33B8">
      <w:pPr>
        <w:pStyle w:val="Antrat3"/>
        <w:rPr>
          <w:szCs w:val="22"/>
        </w:rPr>
      </w:pPr>
      <w:r w:rsidRPr="001D5EBE">
        <w:rPr>
          <w:szCs w:val="22"/>
        </w:rPr>
        <w:t>4.8</w:t>
      </w:r>
      <w:r w:rsidRPr="001D5EBE">
        <w:rPr>
          <w:szCs w:val="22"/>
        </w:rPr>
        <w:tab/>
        <w:t>Nepageidaujamas poveikis</w:t>
      </w:r>
    </w:p>
    <w:p w14:paraId="10BAE923" w14:textId="77777777" w:rsidR="003F33B8" w:rsidRPr="001D5EBE" w:rsidRDefault="003F33B8" w:rsidP="003F33B8">
      <w:pPr>
        <w:pStyle w:val="Pagrindinistekstas"/>
        <w:spacing w:after="0"/>
        <w:rPr>
          <w:szCs w:val="22"/>
        </w:rPr>
      </w:pPr>
    </w:p>
    <w:p w14:paraId="6D8E8FEC" w14:textId="77777777" w:rsidR="003F33B8" w:rsidRPr="001D5EBE" w:rsidRDefault="003F33B8" w:rsidP="003F33B8">
      <w:pPr>
        <w:spacing w:line="240" w:lineRule="auto"/>
        <w:rPr>
          <w:lang w:val="lt-LT"/>
        </w:rPr>
      </w:pPr>
      <w:r w:rsidRPr="001D5EBE">
        <w:rPr>
          <w:lang w:val="lt-LT"/>
        </w:rPr>
        <w:t xml:space="preserve">Apie toliau išvardytas nepageidaujamas reakcijas buvo pranešta, pavartojus vaistinį preparatą toliau nurodytais būdais, kurie yra </w:t>
      </w:r>
      <w:proofErr w:type="spellStart"/>
      <w:r w:rsidRPr="001D5EBE">
        <w:rPr>
          <w:lang w:val="lt-LT"/>
        </w:rPr>
        <w:t>kontraindikuotini</w:t>
      </w:r>
      <w:proofErr w:type="spellEnd"/>
      <w:r w:rsidRPr="001D5EBE">
        <w:rPr>
          <w:lang w:val="lt-LT"/>
        </w:rPr>
        <w:t xml:space="preserve">, t. y. suleidus į </w:t>
      </w:r>
      <w:proofErr w:type="spellStart"/>
      <w:r w:rsidRPr="001D5EBE">
        <w:rPr>
          <w:lang w:val="lt-LT"/>
        </w:rPr>
        <w:t>povoratinklinę</w:t>
      </w:r>
      <w:proofErr w:type="spellEnd"/>
      <w:r w:rsidRPr="001D5EBE">
        <w:rPr>
          <w:lang w:val="lt-LT"/>
        </w:rPr>
        <w:t xml:space="preserve"> ertmę arba </w:t>
      </w:r>
      <w:proofErr w:type="spellStart"/>
      <w:r w:rsidRPr="001D5EBE">
        <w:rPr>
          <w:lang w:val="lt-LT"/>
        </w:rPr>
        <w:t>epiduriniu</w:t>
      </w:r>
      <w:proofErr w:type="spellEnd"/>
      <w:r w:rsidRPr="001D5EBE">
        <w:rPr>
          <w:lang w:val="lt-LT"/>
        </w:rPr>
        <w:t xml:space="preserve"> būdu: </w:t>
      </w:r>
      <w:proofErr w:type="spellStart"/>
      <w:r w:rsidRPr="001D5EBE">
        <w:rPr>
          <w:lang w:val="lt-LT"/>
        </w:rPr>
        <w:t>arachnoiditas</w:t>
      </w:r>
      <w:proofErr w:type="spellEnd"/>
      <w:r w:rsidRPr="001D5EBE">
        <w:rPr>
          <w:lang w:val="lt-LT"/>
        </w:rPr>
        <w:t xml:space="preserve">, funkcinis virškinimo trakto sutrikimas ar šlapimo pūslės funkcijos sutrikimas, galvos skausmas, meningitas, </w:t>
      </w:r>
      <w:proofErr w:type="spellStart"/>
      <w:r w:rsidRPr="001D5EBE">
        <w:rPr>
          <w:lang w:val="lt-LT"/>
        </w:rPr>
        <w:t>paraparezė</w:t>
      </w:r>
      <w:proofErr w:type="spellEnd"/>
      <w:r w:rsidRPr="001D5EBE">
        <w:rPr>
          <w:lang w:val="lt-LT"/>
        </w:rPr>
        <w:t xml:space="preserve"> ar </w:t>
      </w:r>
      <w:proofErr w:type="spellStart"/>
      <w:r w:rsidRPr="001D5EBE">
        <w:rPr>
          <w:lang w:val="lt-LT"/>
        </w:rPr>
        <w:t>paraplegija</w:t>
      </w:r>
      <w:proofErr w:type="spellEnd"/>
      <w:r w:rsidRPr="001D5EBE">
        <w:rPr>
          <w:lang w:val="lt-LT"/>
        </w:rPr>
        <w:t>, traukuliai, jutimų sutrikimai. Šių nepageidaujamų reakcijų dažnis nežinomas.</w:t>
      </w:r>
    </w:p>
    <w:p w14:paraId="11343105" w14:textId="77777777" w:rsidR="003F33B8" w:rsidRPr="001D5EBE" w:rsidRDefault="003F33B8" w:rsidP="003F33B8">
      <w:pPr>
        <w:tabs>
          <w:tab w:val="left" w:pos="567"/>
        </w:tabs>
        <w:spacing w:line="240" w:lineRule="auto"/>
        <w:rPr>
          <w:i/>
          <w:lang w:val="lt-LT"/>
        </w:rPr>
      </w:pPr>
    </w:p>
    <w:p w14:paraId="1A495008" w14:textId="77777777" w:rsidR="003F33B8" w:rsidRPr="001D5EBE" w:rsidRDefault="003F33B8" w:rsidP="003F33B8">
      <w:pPr>
        <w:spacing w:line="240" w:lineRule="auto"/>
        <w:rPr>
          <w:lang w:val="lt-LT"/>
        </w:rPr>
      </w:pPr>
      <w:r w:rsidRPr="001D5EBE">
        <w:rPr>
          <w:lang w:val="lt-LT"/>
        </w:rPr>
        <w:t xml:space="preserve">Vartojant </w:t>
      </w:r>
      <w:proofErr w:type="spellStart"/>
      <w:r w:rsidRPr="001D5EBE">
        <w:rPr>
          <w:lang w:val="lt-LT"/>
        </w:rPr>
        <w:t>gliukokortikoidų</w:t>
      </w:r>
      <w:proofErr w:type="spellEnd"/>
      <w:r w:rsidRPr="001D5EBE">
        <w:rPr>
          <w:lang w:val="lt-LT"/>
        </w:rPr>
        <w:t>, pastebėtos lentelėje nurodytos nepageidaujamos reakcijos.</w:t>
      </w:r>
    </w:p>
    <w:p w14:paraId="098FF3C3" w14:textId="77777777" w:rsidR="003F33B8" w:rsidRPr="001D5EBE" w:rsidRDefault="003F33B8" w:rsidP="003F33B8">
      <w:pPr>
        <w:spacing w:line="240" w:lineRule="auto"/>
        <w:rPr>
          <w:lang w:val="lt-LT"/>
        </w:rPr>
      </w:pPr>
      <w:r w:rsidRPr="001D5EBE">
        <w:rPr>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28743CC" w14:textId="77777777" w:rsidR="00491531" w:rsidRDefault="00491531" w:rsidP="00491531">
      <w:pPr>
        <w:tabs>
          <w:tab w:val="left"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677"/>
        <w:gridCol w:w="4643"/>
      </w:tblGrid>
      <w:tr w:rsidR="00F9473F" w:rsidRPr="00255BC9" w14:paraId="3FC0B3CA" w14:textId="77777777" w:rsidTr="00C8743D">
        <w:tc>
          <w:tcPr>
            <w:tcW w:w="2802" w:type="dxa"/>
            <w:tcBorders>
              <w:top w:val="single" w:sz="4" w:space="0" w:color="auto"/>
              <w:left w:val="single" w:sz="4" w:space="0" w:color="auto"/>
              <w:bottom w:val="single" w:sz="4" w:space="0" w:color="auto"/>
              <w:right w:val="single" w:sz="4" w:space="0" w:color="auto"/>
            </w:tcBorders>
          </w:tcPr>
          <w:p w14:paraId="4A40DFA5" w14:textId="77777777" w:rsidR="00F9473F" w:rsidRPr="00255BC9" w:rsidRDefault="00F9473F" w:rsidP="00F9473F">
            <w:pPr>
              <w:tabs>
                <w:tab w:val="left" w:pos="567"/>
              </w:tabs>
              <w:spacing w:line="240" w:lineRule="auto"/>
              <w:rPr>
                <w:lang w:val="lt-LT"/>
              </w:rPr>
            </w:pPr>
            <w:r w:rsidRPr="00255BC9">
              <w:rPr>
                <w:lang w:val="lt-LT"/>
              </w:rPr>
              <w:t>Organų sistemų klasė</w:t>
            </w:r>
          </w:p>
        </w:tc>
        <w:tc>
          <w:tcPr>
            <w:tcW w:w="1701" w:type="dxa"/>
            <w:tcBorders>
              <w:top w:val="single" w:sz="4" w:space="0" w:color="auto"/>
              <w:left w:val="single" w:sz="4" w:space="0" w:color="auto"/>
              <w:bottom w:val="single" w:sz="4" w:space="0" w:color="auto"/>
              <w:right w:val="single" w:sz="4" w:space="0" w:color="auto"/>
            </w:tcBorders>
          </w:tcPr>
          <w:p w14:paraId="35D0A491" w14:textId="77777777" w:rsidR="00F9473F" w:rsidRPr="00255BC9" w:rsidRDefault="00F9473F" w:rsidP="00F9473F">
            <w:pPr>
              <w:tabs>
                <w:tab w:val="left" w:pos="567"/>
              </w:tabs>
              <w:spacing w:line="240" w:lineRule="auto"/>
              <w:rPr>
                <w:lang w:val="lt-LT"/>
              </w:rPr>
            </w:pPr>
            <w:r w:rsidRPr="00255BC9">
              <w:rPr>
                <w:lang w:val="lt-LT"/>
              </w:rPr>
              <w:t>Dažnis</w:t>
            </w:r>
          </w:p>
        </w:tc>
        <w:tc>
          <w:tcPr>
            <w:tcW w:w="4783" w:type="dxa"/>
            <w:tcBorders>
              <w:top w:val="single" w:sz="4" w:space="0" w:color="auto"/>
              <w:left w:val="single" w:sz="4" w:space="0" w:color="auto"/>
              <w:bottom w:val="single" w:sz="4" w:space="0" w:color="auto"/>
              <w:right w:val="single" w:sz="4" w:space="0" w:color="auto"/>
            </w:tcBorders>
          </w:tcPr>
          <w:p w14:paraId="20463089" w14:textId="77777777" w:rsidR="00F9473F" w:rsidRPr="00255BC9" w:rsidRDefault="00F9473F" w:rsidP="00F9473F">
            <w:pPr>
              <w:tabs>
                <w:tab w:val="left" w:pos="567"/>
              </w:tabs>
              <w:spacing w:line="240" w:lineRule="auto"/>
              <w:rPr>
                <w:lang w:val="lt-LT"/>
              </w:rPr>
            </w:pPr>
            <w:r w:rsidRPr="00255BC9">
              <w:rPr>
                <w:lang w:val="lt-LT"/>
              </w:rPr>
              <w:t>Nepageidaujamas poveikis</w:t>
            </w:r>
          </w:p>
        </w:tc>
      </w:tr>
      <w:tr w:rsidR="00F9473F" w:rsidRPr="00255BC9" w14:paraId="14865E33" w14:textId="77777777" w:rsidTr="00C8743D">
        <w:tc>
          <w:tcPr>
            <w:tcW w:w="2802" w:type="dxa"/>
            <w:tcBorders>
              <w:top w:val="single" w:sz="4" w:space="0" w:color="auto"/>
              <w:left w:val="single" w:sz="4" w:space="0" w:color="auto"/>
              <w:bottom w:val="single" w:sz="4" w:space="0" w:color="auto"/>
              <w:right w:val="single" w:sz="4" w:space="0" w:color="auto"/>
            </w:tcBorders>
          </w:tcPr>
          <w:p w14:paraId="5EBE12D0" w14:textId="77777777" w:rsidR="00F9473F" w:rsidRPr="00255BC9" w:rsidRDefault="00F9473F" w:rsidP="00F9473F">
            <w:pPr>
              <w:tabs>
                <w:tab w:val="left" w:pos="567"/>
              </w:tabs>
              <w:spacing w:line="240" w:lineRule="auto"/>
              <w:rPr>
                <w:lang w:val="lt-LT"/>
              </w:rPr>
            </w:pPr>
            <w:r w:rsidRPr="00705660">
              <w:rPr>
                <w:lang w:val="lt-LT"/>
              </w:rPr>
              <w:t xml:space="preserve">Infekcijos ir </w:t>
            </w:r>
            <w:proofErr w:type="spellStart"/>
            <w:r w:rsidRPr="00705660">
              <w:rPr>
                <w:lang w:val="lt-LT"/>
              </w:rPr>
              <w:t>infestacijos</w:t>
            </w:r>
            <w:proofErr w:type="spellEnd"/>
          </w:p>
        </w:tc>
        <w:tc>
          <w:tcPr>
            <w:tcW w:w="1701" w:type="dxa"/>
            <w:tcBorders>
              <w:top w:val="single" w:sz="4" w:space="0" w:color="auto"/>
              <w:left w:val="single" w:sz="4" w:space="0" w:color="auto"/>
              <w:bottom w:val="single" w:sz="4" w:space="0" w:color="auto"/>
              <w:right w:val="single" w:sz="4" w:space="0" w:color="auto"/>
            </w:tcBorders>
          </w:tcPr>
          <w:p w14:paraId="3CE4ABE0"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2BA282F3" w14:textId="77777777" w:rsidR="00F9473F" w:rsidRPr="00255BC9" w:rsidRDefault="00F9473F" w:rsidP="00F9473F">
            <w:pPr>
              <w:tabs>
                <w:tab w:val="left" w:pos="567"/>
              </w:tabs>
              <w:spacing w:line="240" w:lineRule="auto"/>
              <w:rPr>
                <w:lang w:val="lt-LT"/>
              </w:rPr>
            </w:pPr>
            <w:r w:rsidRPr="00255BC9">
              <w:rPr>
                <w:lang w:val="lt-LT"/>
              </w:rPr>
              <w:t>Oportunistinių mikroorganizmų sukeltos infekcinės ligos, infekcija, peritonitas</w:t>
            </w:r>
            <w:r w:rsidRPr="00F9473F">
              <w:rPr>
                <w:lang w:val="lt-LT"/>
              </w:rPr>
              <w:t>#</w:t>
            </w:r>
            <w:r w:rsidRPr="00255BC9">
              <w:rPr>
                <w:lang w:val="lt-LT"/>
              </w:rPr>
              <w:t>.</w:t>
            </w:r>
          </w:p>
        </w:tc>
      </w:tr>
      <w:tr w:rsidR="00F9473F" w:rsidRPr="00255BC9" w14:paraId="022AC0CE" w14:textId="77777777" w:rsidTr="00C8743D">
        <w:tc>
          <w:tcPr>
            <w:tcW w:w="2802" w:type="dxa"/>
            <w:tcBorders>
              <w:top w:val="single" w:sz="4" w:space="0" w:color="auto"/>
              <w:left w:val="single" w:sz="4" w:space="0" w:color="auto"/>
              <w:bottom w:val="single" w:sz="4" w:space="0" w:color="auto"/>
              <w:right w:val="single" w:sz="4" w:space="0" w:color="auto"/>
            </w:tcBorders>
          </w:tcPr>
          <w:p w14:paraId="01D88DAB" w14:textId="77777777" w:rsidR="00F9473F" w:rsidRPr="00255BC9" w:rsidRDefault="00F9473F" w:rsidP="00F9473F">
            <w:pPr>
              <w:tabs>
                <w:tab w:val="left" w:pos="567"/>
              </w:tabs>
              <w:spacing w:line="240" w:lineRule="auto"/>
              <w:rPr>
                <w:lang w:val="lt-LT"/>
              </w:rPr>
            </w:pPr>
            <w:r w:rsidRPr="00255BC9">
              <w:rPr>
                <w:lang w:val="lt-LT"/>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6BBF8301"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p w14:paraId="2D11ABD0" w14:textId="77777777" w:rsidR="00F9473F" w:rsidRPr="00255BC9" w:rsidRDefault="00F9473F" w:rsidP="00F9473F">
            <w:pPr>
              <w:tabs>
                <w:tab w:val="left" w:pos="567"/>
              </w:tabs>
              <w:spacing w:line="240" w:lineRule="auto"/>
              <w:rPr>
                <w:lang w:val="lt-LT"/>
              </w:rPr>
            </w:pPr>
          </w:p>
        </w:tc>
        <w:tc>
          <w:tcPr>
            <w:tcW w:w="4783" w:type="dxa"/>
            <w:tcBorders>
              <w:top w:val="single" w:sz="4" w:space="0" w:color="auto"/>
              <w:left w:val="single" w:sz="4" w:space="0" w:color="auto"/>
              <w:bottom w:val="single" w:sz="4" w:space="0" w:color="auto"/>
              <w:right w:val="single" w:sz="4" w:space="0" w:color="auto"/>
            </w:tcBorders>
          </w:tcPr>
          <w:p w14:paraId="19F90B14" w14:textId="77777777" w:rsidR="00F9473F" w:rsidRPr="00255BC9" w:rsidRDefault="00F9473F" w:rsidP="00F9473F">
            <w:pPr>
              <w:tabs>
                <w:tab w:val="left" w:pos="567"/>
              </w:tabs>
              <w:spacing w:line="240" w:lineRule="auto"/>
              <w:rPr>
                <w:lang w:val="lt-LT"/>
              </w:rPr>
            </w:pPr>
            <w:proofErr w:type="spellStart"/>
            <w:r w:rsidRPr="00255BC9">
              <w:rPr>
                <w:lang w:val="lt-LT"/>
              </w:rPr>
              <w:t>Leukocitozė</w:t>
            </w:r>
            <w:proofErr w:type="spellEnd"/>
          </w:p>
        </w:tc>
      </w:tr>
      <w:tr w:rsidR="00F9473F" w:rsidRPr="00255BC9" w14:paraId="5D498E88" w14:textId="77777777" w:rsidTr="00C8743D">
        <w:tc>
          <w:tcPr>
            <w:tcW w:w="2802" w:type="dxa"/>
            <w:tcBorders>
              <w:top w:val="single" w:sz="4" w:space="0" w:color="auto"/>
              <w:left w:val="single" w:sz="4" w:space="0" w:color="auto"/>
              <w:bottom w:val="single" w:sz="4" w:space="0" w:color="auto"/>
              <w:right w:val="single" w:sz="4" w:space="0" w:color="auto"/>
            </w:tcBorders>
          </w:tcPr>
          <w:p w14:paraId="3D335DB4" w14:textId="77777777" w:rsidR="00F9473F" w:rsidRPr="00255BC9" w:rsidRDefault="00F9473F" w:rsidP="00F9473F">
            <w:pPr>
              <w:tabs>
                <w:tab w:val="left" w:pos="567"/>
              </w:tabs>
              <w:spacing w:line="240" w:lineRule="auto"/>
              <w:rPr>
                <w:lang w:val="lt-LT"/>
              </w:rPr>
            </w:pPr>
            <w:r w:rsidRPr="00255BC9">
              <w:rPr>
                <w:lang w:val="lt-LT"/>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769E8513"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p w14:paraId="3A643412" w14:textId="77777777" w:rsidR="00F9473F" w:rsidRPr="00255BC9" w:rsidRDefault="00F9473F" w:rsidP="00705660">
            <w:pPr>
              <w:tabs>
                <w:tab w:val="left" w:pos="567"/>
              </w:tabs>
              <w:spacing w:line="240" w:lineRule="auto"/>
              <w:rPr>
                <w:lang w:val="lt-LT"/>
              </w:rPr>
            </w:pPr>
          </w:p>
        </w:tc>
        <w:tc>
          <w:tcPr>
            <w:tcW w:w="4783" w:type="dxa"/>
            <w:tcBorders>
              <w:top w:val="single" w:sz="4" w:space="0" w:color="auto"/>
              <w:left w:val="single" w:sz="4" w:space="0" w:color="auto"/>
              <w:bottom w:val="single" w:sz="4" w:space="0" w:color="auto"/>
              <w:right w:val="single" w:sz="4" w:space="0" w:color="auto"/>
            </w:tcBorders>
          </w:tcPr>
          <w:p w14:paraId="312E6E48" w14:textId="77777777" w:rsidR="00F9473F" w:rsidRPr="00255BC9" w:rsidRDefault="00F9473F" w:rsidP="00705660">
            <w:pPr>
              <w:tabs>
                <w:tab w:val="left" w:pos="567"/>
              </w:tabs>
              <w:spacing w:line="240" w:lineRule="auto"/>
              <w:rPr>
                <w:lang w:val="lt-LT"/>
              </w:rPr>
            </w:pPr>
            <w:r w:rsidRPr="00255BC9">
              <w:rPr>
                <w:lang w:val="lt-LT"/>
              </w:rPr>
              <w:t xml:space="preserve">Padidėjęs jautrumas vaistiniam preparatui, anafilaksinė reakcija, </w:t>
            </w:r>
            <w:proofErr w:type="spellStart"/>
            <w:r w:rsidRPr="00255BC9">
              <w:rPr>
                <w:lang w:val="lt-LT"/>
              </w:rPr>
              <w:t>anafilaktoidinė</w:t>
            </w:r>
            <w:proofErr w:type="spellEnd"/>
            <w:r w:rsidRPr="00255BC9">
              <w:rPr>
                <w:lang w:val="lt-LT"/>
              </w:rPr>
              <w:t xml:space="preserve"> reakcija.</w:t>
            </w:r>
          </w:p>
        </w:tc>
      </w:tr>
      <w:tr w:rsidR="00F9473F" w:rsidRPr="00255BC9" w14:paraId="179FE96E" w14:textId="77777777" w:rsidTr="00C8743D">
        <w:tc>
          <w:tcPr>
            <w:tcW w:w="2802" w:type="dxa"/>
            <w:tcBorders>
              <w:top w:val="single" w:sz="4" w:space="0" w:color="auto"/>
              <w:left w:val="single" w:sz="4" w:space="0" w:color="auto"/>
              <w:bottom w:val="single" w:sz="4" w:space="0" w:color="auto"/>
              <w:right w:val="single" w:sz="4" w:space="0" w:color="auto"/>
            </w:tcBorders>
          </w:tcPr>
          <w:p w14:paraId="69EDD118" w14:textId="77777777" w:rsidR="00F9473F" w:rsidRPr="00255BC9" w:rsidRDefault="00F9473F" w:rsidP="00F9473F">
            <w:pPr>
              <w:tabs>
                <w:tab w:val="left" w:pos="567"/>
              </w:tabs>
              <w:spacing w:line="240" w:lineRule="auto"/>
              <w:rPr>
                <w:lang w:val="lt-LT"/>
              </w:rPr>
            </w:pPr>
            <w:r w:rsidRPr="00255BC9">
              <w:rPr>
                <w:lang w:val="lt-LT"/>
              </w:rPr>
              <w:t>Endokrininiai sutrikimai</w:t>
            </w:r>
          </w:p>
        </w:tc>
        <w:tc>
          <w:tcPr>
            <w:tcW w:w="1701" w:type="dxa"/>
            <w:tcBorders>
              <w:top w:val="single" w:sz="4" w:space="0" w:color="auto"/>
              <w:left w:val="single" w:sz="4" w:space="0" w:color="auto"/>
              <w:bottom w:val="single" w:sz="4" w:space="0" w:color="auto"/>
              <w:right w:val="single" w:sz="4" w:space="0" w:color="auto"/>
            </w:tcBorders>
          </w:tcPr>
          <w:p w14:paraId="637B6FD1"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17D868F" w14:textId="77777777" w:rsidR="00F9473F" w:rsidRPr="00255BC9" w:rsidRDefault="00F9473F" w:rsidP="00705660">
            <w:pPr>
              <w:tabs>
                <w:tab w:val="left" w:pos="567"/>
              </w:tabs>
              <w:spacing w:line="240" w:lineRule="auto"/>
              <w:rPr>
                <w:lang w:val="lt-LT"/>
              </w:rPr>
            </w:pPr>
            <w:proofErr w:type="spellStart"/>
            <w:r w:rsidRPr="00255BC9">
              <w:rPr>
                <w:lang w:val="lt-LT"/>
              </w:rPr>
              <w:t>Kušingo</w:t>
            </w:r>
            <w:proofErr w:type="spellEnd"/>
            <w:r w:rsidRPr="00255BC9">
              <w:rPr>
                <w:lang w:val="lt-LT"/>
              </w:rPr>
              <w:t xml:space="preserve"> sindromas, </w:t>
            </w:r>
            <w:proofErr w:type="spellStart"/>
            <w:r w:rsidRPr="00255BC9">
              <w:rPr>
                <w:lang w:val="lt-LT"/>
              </w:rPr>
              <w:t>hipopituitarizmas</w:t>
            </w:r>
            <w:proofErr w:type="spellEnd"/>
            <w:r w:rsidRPr="00255BC9">
              <w:rPr>
                <w:lang w:val="lt-LT"/>
              </w:rPr>
              <w:t>, steroidų nutraukimo sindromas.</w:t>
            </w:r>
          </w:p>
        </w:tc>
      </w:tr>
      <w:tr w:rsidR="00F9473F" w:rsidRPr="0014202E" w14:paraId="0E656EBB" w14:textId="77777777" w:rsidTr="00C8743D">
        <w:tc>
          <w:tcPr>
            <w:tcW w:w="2802" w:type="dxa"/>
            <w:tcBorders>
              <w:top w:val="single" w:sz="4" w:space="0" w:color="auto"/>
              <w:left w:val="single" w:sz="4" w:space="0" w:color="auto"/>
              <w:bottom w:val="single" w:sz="4" w:space="0" w:color="auto"/>
              <w:right w:val="single" w:sz="4" w:space="0" w:color="auto"/>
            </w:tcBorders>
          </w:tcPr>
          <w:p w14:paraId="6CCACD64" w14:textId="77777777" w:rsidR="00F9473F" w:rsidRPr="00255BC9" w:rsidRDefault="00F9473F" w:rsidP="00F9473F">
            <w:pPr>
              <w:tabs>
                <w:tab w:val="left" w:pos="567"/>
              </w:tabs>
              <w:spacing w:line="240" w:lineRule="auto"/>
              <w:rPr>
                <w:lang w:val="lt-LT"/>
              </w:rPr>
            </w:pPr>
            <w:r w:rsidRPr="00255BC9">
              <w:rPr>
                <w:lang w:val="lt-LT"/>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3B366A84"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31A12717" w14:textId="77777777" w:rsidR="00F9473F" w:rsidRPr="00255BC9" w:rsidRDefault="00F9473F" w:rsidP="00705660">
            <w:pPr>
              <w:tabs>
                <w:tab w:val="left" w:pos="567"/>
              </w:tabs>
              <w:spacing w:line="240" w:lineRule="auto"/>
              <w:rPr>
                <w:lang w:val="lt-LT"/>
              </w:rPr>
            </w:pPr>
            <w:proofErr w:type="spellStart"/>
            <w:r w:rsidRPr="00255BC9">
              <w:rPr>
                <w:lang w:val="lt-LT"/>
              </w:rPr>
              <w:t>Metabolinė</w:t>
            </w:r>
            <w:proofErr w:type="spellEnd"/>
            <w:r w:rsidRPr="00255BC9">
              <w:rPr>
                <w:lang w:val="lt-LT"/>
              </w:rPr>
              <w:t xml:space="preserve"> </w:t>
            </w:r>
            <w:proofErr w:type="spellStart"/>
            <w:r w:rsidRPr="00255BC9">
              <w:rPr>
                <w:lang w:val="lt-LT"/>
              </w:rPr>
              <w:t>acidozė</w:t>
            </w:r>
            <w:proofErr w:type="spellEnd"/>
            <w:r w:rsidRPr="00255BC9">
              <w:rPr>
                <w:lang w:val="lt-LT"/>
              </w:rPr>
              <w:t xml:space="preserve">, </w:t>
            </w:r>
            <w:proofErr w:type="spellStart"/>
            <w:r w:rsidRPr="00255BC9">
              <w:rPr>
                <w:lang w:val="lt-LT"/>
              </w:rPr>
              <w:t>epidurinė</w:t>
            </w:r>
            <w:proofErr w:type="spellEnd"/>
            <w:r w:rsidRPr="00255BC9">
              <w:rPr>
                <w:lang w:val="lt-LT"/>
              </w:rPr>
              <w:t xml:space="preserve"> </w:t>
            </w:r>
            <w:proofErr w:type="spellStart"/>
            <w:r w:rsidRPr="00255BC9">
              <w:rPr>
                <w:lang w:val="lt-LT"/>
              </w:rPr>
              <w:t>lipomatozė</w:t>
            </w:r>
            <w:proofErr w:type="spellEnd"/>
            <w:r w:rsidRPr="00255BC9">
              <w:rPr>
                <w:lang w:val="lt-LT"/>
              </w:rPr>
              <w:t xml:space="preserve">, natrio kaupimasis, skysčių susilaikymas, </w:t>
            </w:r>
            <w:proofErr w:type="spellStart"/>
            <w:r w:rsidRPr="00255BC9">
              <w:rPr>
                <w:lang w:val="lt-LT"/>
              </w:rPr>
              <w:t>hipokaleminė</w:t>
            </w:r>
            <w:proofErr w:type="spellEnd"/>
            <w:r w:rsidRPr="00255BC9">
              <w:rPr>
                <w:lang w:val="lt-LT"/>
              </w:rPr>
              <w:t xml:space="preserve"> </w:t>
            </w:r>
            <w:proofErr w:type="spellStart"/>
            <w:r w:rsidRPr="00255BC9">
              <w:rPr>
                <w:lang w:val="lt-LT"/>
              </w:rPr>
              <w:t>alkalozė</w:t>
            </w:r>
            <w:proofErr w:type="spellEnd"/>
            <w:r w:rsidRPr="00255BC9">
              <w:rPr>
                <w:lang w:val="lt-LT"/>
              </w:rPr>
              <w:t xml:space="preserve">, </w:t>
            </w:r>
            <w:proofErr w:type="spellStart"/>
            <w:r w:rsidRPr="00255BC9">
              <w:rPr>
                <w:lang w:val="lt-LT"/>
              </w:rPr>
              <w:t>dislipidemija</w:t>
            </w:r>
            <w:proofErr w:type="spellEnd"/>
            <w:r w:rsidRPr="00255BC9">
              <w:rPr>
                <w:lang w:val="lt-LT"/>
              </w:rPr>
              <w:t xml:space="preserve">, gliukozės toleravimo pablogėjimas, didesnis insulino ar geriamųjų vaistinių preparatų nuo diabeto poreikis, </w:t>
            </w:r>
            <w:proofErr w:type="spellStart"/>
            <w:r w:rsidRPr="00255BC9">
              <w:rPr>
                <w:lang w:val="lt-LT"/>
              </w:rPr>
              <w:t>lipomatozė</w:t>
            </w:r>
            <w:proofErr w:type="spellEnd"/>
            <w:r w:rsidRPr="00255BC9">
              <w:rPr>
                <w:lang w:val="lt-LT"/>
              </w:rPr>
              <w:t>, padidėjęs apetitas (gali padidėti kūno masė).</w:t>
            </w:r>
          </w:p>
        </w:tc>
      </w:tr>
      <w:tr w:rsidR="00F9473F" w:rsidRPr="0014202E" w14:paraId="7660ABD2" w14:textId="77777777" w:rsidTr="00C8743D">
        <w:tc>
          <w:tcPr>
            <w:tcW w:w="2802" w:type="dxa"/>
            <w:tcBorders>
              <w:top w:val="single" w:sz="4" w:space="0" w:color="auto"/>
              <w:left w:val="single" w:sz="4" w:space="0" w:color="auto"/>
              <w:bottom w:val="single" w:sz="4" w:space="0" w:color="auto"/>
              <w:right w:val="single" w:sz="4" w:space="0" w:color="auto"/>
            </w:tcBorders>
          </w:tcPr>
          <w:p w14:paraId="6455B973" w14:textId="77777777" w:rsidR="00F9473F" w:rsidRPr="00255BC9" w:rsidRDefault="00F9473F" w:rsidP="00F9473F">
            <w:pPr>
              <w:tabs>
                <w:tab w:val="left" w:pos="567"/>
              </w:tabs>
              <w:spacing w:line="240" w:lineRule="auto"/>
              <w:rPr>
                <w:lang w:val="lt-LT"/>
              </w:rPr>
            </w:pPr>
            <w:r w:rsidRPr="00255BC9">
              <w:rPr>
                <w:lang w:val="lt-LT"/>
              </w:rPr>
              <w:t>Psichikos sutrikimai</w:t>
            </w:r>
          </w:p>
        </w:tc>
        <w:tc>
          <w:tcPr>
            <w:tcW w:w="1701" w:type="dxa"/>
            <w:tcBorders>
              <w:top w:val="single" w:sz="4" w:space="0" w:color="auto"/>
              <w:left w:val="single" w:sz="4" w:space="0" w:color="auto"/>
              <w:bottom w:val="single" w:sz="4" w:space="0" w:color="auto"/>
              <w:right w:val="single" w:sz="4" w:space="0" w:color="auto"/>
            </w:tcBorders>
          </w:tcPr>
          <w:p w14:paraId="47B84F7D"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04CE38AB" w14:textId="77777777" w:rsidR="00F9473F" w:rsidRPr="00255BC9" w:rsidRDefault="00F9473F" w:rsidP="00F9473F">
            <w:pPr>
              <w:tabs>
                <w:tab w:val="left" w:pos="567"/>
              </w:tabs>
              <w:spacing w:line="240" w:lineRule="auto"/>
              <w:rPr>
                <w:lang w:val="lt-LT"/>
              </w:rPr>
            </w:pPr>
            <w:proofErr w:type="spellStart"/>
            <w:r w:rsidRPr="00255BC9">
              <w:rPr>
                <w:lang w:val="lt-LT"/>
              </w:rPr>
              <w:t>Afektinis</w:t>
            </w:r>
            <w:proofErr w:type="spellEnd"/>
            <w:r w:rsidRPr="00255BC9">
              <w:rPr>
                <w:lang w:val="lt-LT"/>
              </w:rPr>
              <w:t xml:space="preserve"> sutrikimas (įskaitant prislėgtą nuotaiką, euforiją, labilią nuotaiką, priklausomybę nuo vaist</w:t>
            </w:r>
            <w:r w:rsidR="00E23965">
              <w:rPr>
                <w:lang w:val="lt-LT"/>
              </w:rPr>
              <w:t>ini</w:t>
            </w:r>
            <w:r w:rsidRPr="00255BC9">
              <w:rPr>
                <w:lang w:val="lt-LT"/>
              </w:rPr>
              <w:t>o</w:t>
            </w:r>
            <w:r w:rsidR="00E23965">
              <w:rPr>
                <w:lang w:val="lt-LT"/>
              </w:rPr>
              <w:t xml:space="preserve"> preparato</w:t>
            </w:r>
            <w:r w:rsidRPr="00255BC9">
              <w:rPr>
                <w:lang w:val="lt-LT"/>
              </w:rPr>
              <w:t xml:space="preserve">, </w:t>
            </w:r>
            <w:proofErr w:type="spellStart"/>
            <w:r w:rsidRPr="00255BC9">
              <w:rPr>
                <w:lang w:val="lt-LT"/>
              </w:rPr>
              <w:t>suicidines</w:t>
            </w:r>
            <w:proofErr w:type="spellEnd"/>
            <w:r w:rsidRPr="00255BC9">
              <w:rPr>
                <w:lang w:val="lt-LT"/>
              </w:rPr>
              <w:t xml:space="preserve"> mintis), </w:t>
            </w:r>
            <w:proofErr w:type="spellStart"/>
            <w:r w:rsidRPr="00255BC9">
              <w:rPr>
                <w:lang w:val="lt-LT"/>
              </w:rPr>
              <w:t>psichozinis</w:t>
            </w:r>
            <w:proofErr w:type="spellEnd"/>
            <w:r w:rsidRPr="00255BC9">
              <w:rPr>
                <w:lang w:val="lt-LT"/>
              </w:rPr>
              <w:t xml:space="preserve"> sutrikimas (įskaitant maniją, kliedesį, haliucinacijas, šizofreniją), psichinis sutrikimas, asmenybės pokyčiai, sumišimo būklė, nerimas, nuotaikos svyravimai, elgesio sutrikimai, nemiga, irzlumas.</w:t>
            </w:r>
          </w:p>
        </w:tc>
      </w:tr>
      <w:tr w:rsidR="00F9473F" w:rsidRPr="0014202E" w14:paraId="4416C58D" w14:textId="77777777" w:rsidTr="00C8743D">
        <w:tc>
          <w:tcPr>
            <w:tcW w:w="2802" w:type="dxa"/>
            <w:tcBorders>
              <w:top w:val="single" w:sz="4" w:space="0" w:color="auto"/>
              <w:left w:val="single" w:sz="4" w:space="0" w:color="auto"/>
              <w:bottom w:val="single" w:sz="4" w:space="0" w:color="auto"/>
              <w:right w:val="single" w:sz="4" w:space="0" w:color="auto"/>
            </w:tcBorders>
          </w:tcPr>
          <w:p w14:paraId="75AC7DDD" w14:textId="77777777" w:rsidR="00F9473F" w:rsidRPr="00255BC9" w:rsidRDefault="00F9473F" w:rsidP="00F9473F">
            <w:pPr>
              <w:tabs>
                <w:tab w:val="left" w:pos="567"/>
              </w:tabs>
              <w:spacing w:line="240" w:lineRule="auto"/>
              <w:rPr>
                <w:lang w:val="lt-LT"/>
              </w:rPr>
            </w:pPr>
            <w:r w:rsidRPr="00255BC9">
              <w:rPr>
                <w:lang w:val="lt-LT"/>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75657ABF"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5122EE24" w14:textId="77777777" w:rsidR="00F9473F" w:rsidRPr="00255BC9" w:rsidRDefault="006F7EBE" w:rsidP="00F9473F">
            <w:pPr>
              <w:tabs>
                <w:tab w:val="left" w:pos="567"/>
              </w:tabs>
              <w:spacing w:line="240" w:lineRule="auto"/>
              <w:rPr>
                <w:lang w:val="lt-LT"/>
              </w:rPr>
            </w:pPr>
            <w:r>
              <w:rPr>
                <w:lang w:val="lt-LT"/>
              </w:rPr>
              <w:t>P</w:t>
            </w:r>
            <w:r w:rsidR="00F9473F" w:rsidRPr="00255BC9">
              <w:rPr>
                <w:lang w:val="lt-LT"/>
              </w:rPr>
              <w:t xml:space="preserve">adidėjęs </w:t>
            </w:r>
            <w:proofErr w:type="spellStart"/>
            <w:r w:rsidR="00F9473F" w:rsidRPr="00255BC9">
              <w:rPr>
                <w:lang w:val="lt-LT"/>
              </w:rPr>
              <w:t>intrakranijinis</w:t>
            </w:r>
            <w:proofErr w:type="spellEnd"/>
            <w:r w:rsidR="00F9473F" w:rsidRPr="00255BC9">
              <w:rPr>
                <w:lang w:val="lt-LT"/>
              </w:rPr>
              <w:t xml:space="preserve"> spaudimas su regos nervo disko edema (gerybinė </w:t>
            </w:r>
            <w:proofErr w:type="spellStart"/>
            <w:r w:rsidR="00F9473F" w:rsidRPr="00255BC9">
              <w:rPr>
                <w:lang w:val="lt-LT"/>
              </w:rPr>
              <w:t>intrakrani</w:t>
            </w:r>
            <w:r w:rsidR="00E23965">
              <w:rPr>
                <w:lang w:val="lt-LT"/>
              </w:rPr>
              <w:t>j</w:t>
            </w:r>
            <w:r w:rsidR="00F9473F" w:rsidRPr="00255BC9">
              <w:rPr>
                <w:lang w:val="lt-LT"/>
              </w:rPr>
              <w:t>inė</w:t>
            </w:r>
            <w:proofErr w:type="spellEnd"/>
            <w:r w:rsidR="00F9473F" w:rsidRPr="00255BC9">
              <w:rPr>
                <w:lang w:val="lt-LT"/>
              </w:rPr>
              <w:t xml:space="preserve"> hipertenzija), traukuliai, amnezija, kognityvinė disfunkcija, galvos svaigimas, galvos skausmas.</w:t>
            </w:r>
          </w:p>
        </w:tc>
      </w:tr>
      <w:tr w:rsidR="00F9473F" w:rsidRPr="00255BC9" w14:paraId="7EA60BCA" w14:textId="77777777" w:rsidTr="00C8743D">
        <w:tc>
          <w:tcPr>
            <w:tcW w:w="2802" w:type="dxa"/>
            <w:tcBorders>
              <w:top w:val="single" w:sz="4" w:space="0" w:color="auto"/>
              <w:left w:val="single" w:sz="4" w:space="0" w:color="auto"/>
              <w:bottom w:val="single" w:sz="4" w:space="0" w:color="auto"/>
              <w:right w:val="single" w:sz="4" w:space="0" w:color="auto"/>
            </w:tcBorders>
          </w:tcPr>
          <w:p w14:paraId="38A59055" w14:textId="77777777" w:rsidR="00F9473F" w:rsidRPr="00255BC9" w:rsidRDefault="00F9473F" w:rsidP="00F9473F">
            <w:pPr>
              <w:tabs>
                <w:tab w:val="left" w:pos="567"/>
              </w:tabs>
              <w:spacing w:line="240" w:lineRule="auto"/>
              <w:rPr>
                <w:lang w:val="lt-LT"/>
              </w:rPr>
            </w:pPr>
            <w:r w:rsidRPr="00255BC9">
              <w:rPr>
                <w:lang w:val="lt-LT"/>
              </w:rPr>
              <w:t>Akių sutrikimai</w:t>
            </w:r>
          </w:p>
        </w:tc>
        <w:tc>
          <w:tcPr>
            <w:tcW w:w="1701" w:type="dxa"/>
            <w:tcBorders>
              <w:top w:val="single" w:sz="4" w:space="0" w:color="auto"/>
              <w:left w:val="single" w:sz="4" w:space="0" w:color="auto"/>
              <w:bottom w:val="single" w:sz="4" w:space="0" w:color="auto"/>
              <w:right w:val="single" w:sz="4" w:space="0" w:color="auto"/>
            </w:tcBorders>
          </w:tcPr>
          <w:p w14:paraId="429EEC1D"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65D4E934" w14:textId="77777777" w:rsidR="00F9473F" w:rsidRPr="00255BC9" w:rsidRDefault="00F9473F" w:rsidP="00F9473F">
            <w:pPr>
              <w:tabs>
                <w:tab w:val="left" w:pos="567"/>
              </w:tabs>
              <w:spacing w:line="240" w:lineRule="auto"/>
              <w:rPr>
                <w:lang w:val="lt-LT"/>
              </w:rPr>
            </w:pPr>
            <w:proofErr w:type="spellStart"/>
            <w:r w:rsidRPr="00255BC9">
              <w:rPr>
                <w:lang w:val="lt-LT"/>
              </w:rPr>
              <w:t>Chorioretinopatija</w:t>
            </w:r>
            <w:proofErr w:type="spellEnd"/>
            <w:r w:rsidRPr="00255BC9">
              <w:rPr>
                <w:lang w:val="lt-LT"/>
              </w:rPr>
              <w:t>, katarakta, glaukoma,</w:t>
            </w:r>
          </w:p>
          <w:p w14:paraId="34035379" w14:textId="6CBADDCC" w:rsidR="00F9473F" w:rsidRPr="00255BC9" w:rsidRDefault="004A5109" w:rsidP="00E23965">
            <w:pPr>
              <w:tabs>
                <w:tab w:val="left" w:pos="567"/>
              </w:tabs>
              <w:spacing w:line="240" w:lineRule="auto"/>
              <w:rPr>
                <w:lang w:val="lt-LT"/>
              </w:rPr>
            </w:pPr>
            <w:r>
              <w:rPr>
                <w:lang w:val="lt-LT"/>
              </w:rPr>
              <w:t>i</w:t>
            </w:r>
            <w:r w:rsidR="00F9473F" w:rsidRPr="00255BC9">
              <w:rPr>
                <w:lang w:val="lt-LT"/>
              </w:rPr>
              <w:t>šverstakumas</w:t>
            </w:r>
            <w:r>
              <w:rPr>
                <w:lang w:val="lt-LT"/>
              </w:rPr>
              <w:t xml:space="preserve">, </w:t>
            </w:r>
            <w:proofErr w:type="spellStart"/>
            <w:r>
              <w:t>miglotas</w:t>
            </w:r>
            <w:proofErr w:type="spellEnd"/>
            <w:r>
              <w:t xml:space="preserve"> </w:t>
            </w:r>
            <w:proofErr w:type="spellStart"/>
            <w:r>
              <w:t>matymas</w:t>
            </w:r>
            <w:proofErr w:type="spellEnd"/>
            <w:r>
              <w:t xml:space="preserve"> (</w:t>
            </w:r>
            <w:proofErr w:type="spellStart"/>
            <w:r>
              <w:t>taip</w:t>
            </w:r>
            <w:proofErr w:type="spellEnd"/>
            <w:r>
              <w:t xml:space="preserve"> pat </w:t>
            </w:r>
            <w:proofErr w:type="spellStart"/>
            <w:r>
              <w:t>žr</w:t>
            </w:r>
            <w:proofErr w:type="spellEnd"/>
            <w:r>
              <w:t>. 4.4</w:t>
            </w:r>
            <w:r w:rsidRPr="00265708">
              <w:t xml:space="preserve"> </w:t>
            </w:r>
            <w:proofErr w:type="spellStart"/>
            <w:r w:rsidRPr="00265708">
              <w:t>skyriuje</w:t>
            </w:r>
            <w:proofErr w:type="spellEnd"/>
            <w:r>
              <w:t>).</w:t>
            </w:r>
          </w:p>
        </w:tc>
      </w:tr>
      <w:tr w:rsidR="00F9473F" w:rsidRPr="00255BC9" w14:paraId="420A0FCA" w14:textId="77777777" w:rsidTr="00C8743D">
        <w:tc>
          <w:tcPr>
            <w:tcW w:w="2802" w:type="dxa"/>
            <w:tcBorders>
              <w:top w:val="single" w:sz="4" w:space="0" w:color="auto"/>
              <w:left w:val="single" w:sz="4" w:space="0" w:color="auto"/>
              <w:bottom w:val="single" w:sz="4" w:space="0" w:color="auto"/>
              <w:right w:val="single" w:sz="4" w:space="0" w:color="auto"/>
            </w:tcBorders>
          </w:tcPr>
          <w:p w14:paraId="431F457C" w14:textId="77777777" w:rsidR="00F9473F" w:rsidRPr="00255BC9" w:rsidRDefault="00F9473F" w:rsidP="00F9473F">
            <w:pPr>
              <w:tabs>
                <w:tab w:val="left" w:pos="567"/>
              </w:tabs>
              <w:spacing w:line="240" w:lineRule="auto"/>
              <w:rPr>
                <w:lang w:val="lt-LT"/>
              </w:rPr>
            </w:pPr>
            <w:r w:rsidRPr="00255BC9">
              <w:rPr>
                <w:lang w:val="lt-LT"/>
              </w:rPr>
              <w:t>Ausų ir labirintų sutrikimai</w:t>
            </w:r>
          </w:p>
        </w:tc>
        <w:tc>
          <w:tcPr>
            <w:tcW w:w="1701" w:type="dxa"/>
            <w:tcBorders>
              <w:top w:val="single" w:sz="4" w:space="0" w:color="auto"/>
              <w:left w:val="single" w:sz="4" w:space="0" w:color="auto"/>
              <w:bottom w:val="single" w:sz="4" w:space="0" w:color="auto"/>
              <w:right w:val="single" w:sz="4" w:space="0" w:color="auto"/>
            </w:tcBorders>
          </w:tcPr>
          <w:p w14:paraId="21B97EB0"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643DFB34" w14:textId="77777777" w:rsidR="00F9473F" w:rsidRPr="00255BC9" w:rsidRDefault="00F9473F" w:rsidP="00F9473F">
            <w:pPr>
              <w:tabs>
                <w:tab w:val="left" w:pos="567"/>
              </w:tabs>
              <w:spacing w:line="240" w:lineRule="auto"/>
              <w:rPr>
                <w:lang w:val="lt-LT"/>
              </w:rPr>
            </w:pPr>
            <w:r w:rsidRPr="00255BC9">
              <w:rPr>
                <w:lang w:val="lt-LT"/>
              </w:rPr>
              <w:t>Galvos sukimasis.</w:t>
            </w:r>
          </w:p>
          <w:p w14:paraId="38DAEEDB" w14:textId="77777777" w:rsidR="00F9473F" w:rsidRPr="00255BC9" w:rsidRDefault="00F9473F" w:rsidP="00F9473F">
            <w:pPr>
              <w:tabs>
                <w:tab w:val="left" w:pos="567"/>
              </w:tabs>
              <w:spacing w:line="240" w:lineRule="auto"/>
              <w:rPr>
                <w:lang w:val="lt-LT"/>
              </w:rPr>
            </w:pPr>
          </w:p>
        </w:tc>
      </w:tr>
      <w:tr w:rsidR="00F9473F" w:rsidRPr="00255BC9" w14:paraId="7823E941" w14:textId="77777777" w:rsidTr="00C8743D">
        <w:tc>
          <w:tcPr>
            <w:tcW w:w="2802" w:type="dxa"/>
            <w:tcBorders>
              <w:top w:val="single" w:sz="4" w:space="0" w:color="auto"/>
              <w:left w:val="single" w:sz="4" w:space="0" w:color="auto"/>
              <w:bottom w:val="single" w:sz="4" w:space="0" w:color="auto"/>
              <w:right w:val="single" w:sz="4" w:space="0" w:color="auto"/>
            </w:tcBorders>
          </w:tcPr>
          <w:p w14:paraId="170C961F" w14:textId="77777777" w:rsidR="00F9473F" w:rsidRPr="00255BC9" w:rsidRDefault="00F9473F" w:rsidP="00F9473F">
            <w:pPr>
              <w:tabs>
                <w:tab w:val="left" w:pos="567"/>
              </w:tabs>
              <w:spacing w:line="240" w:lineRule="auto"/>
              <w:rPr>
                <w:lang w:val="lt-LT"/>
              </w:rPr>
            </w:pPr>
            <w:r w:rsidRPr="00255BC9">
              <w:rPr>
                <w:lang w:val="lt-LT"/>
              </w:rPr>
              <w:t>Širdies sutrikimai</w:t>
            </w:r>
          </w:p>
        </w:tc>
        <w:tc>
          <w:tcPr>
            <w:tcW w:w="1701" w:type="dxa"/>
            <w:tcBorders>
              <w:top w:val="single" w:sz="4" w:space="0" w:color="auto"/>
              <w:left w:val="single" w:sz="4" w:space="0" w:color="auto"/>
              <w:bottom w:val="single" w:sz="4" w:space="0" w:color="auto"/>
              <w:right w:val="single" w:sz="4" w:space="0" w:color="auto"/>
            </w:tcBorders>
          </w:tcPr>
          <w:p w14:paraId="58E7DFA7"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527BF2F1" w14:textId="77777777" w:rsidR="00F9473F" w:rsidRPr="00705660" w:rsidRDefault="00F9473F" w:rsidP="00F9473F">
            <w:pPr>
              <w:tabs>
                <w:tab w:val="left" w:pos="567"/>
              </w:tabs>
              <w:spacing w:line="240" w:lineRule="auto"/>
              <w:rPr>
                <w:lang w:val="lt-LT"/>
              </w:rPr>
            </w:pPr>
            <w:proofErr w:type="spellStart"/>
            <w:r w:rsidRPr="00255BC9">
              <w:rPr>
                <w:lang w:val="lt-LT"/>
              </w:rPr>
              <w:t>Stazinis</w:t>
            </w:r>
            <w:proofErr w:type="spellEnd"/>
            <w:r w:rsidRPr="00255BC9">
              <w:rPr>
                <w:lang w:val="lt-LT"/>
              </w:rPr>
              <w:t xml:space="preserve"> širdies nepakankamumas (jautriems pacientams), aritmija.</w:t>
            </w:r>
          </w:p>
        </w:tc>
      </w:tr>
      <w:tr w:rsidR="00F9473F" w:rsidRPr="00255BC9" w14:paraId="0A0D4D21" w14:textId="77777777" w:rsidTr="00C8743D">
        <w:tc>
          <w:tcPr>
            <w:tcW w:w="2802" w:type="dxa"/>
            <w:tcBorders>
              <w:top w:val="single" w:sz="4" w:space="0" w:color="auto"/>
              <w:left w:val="single" w:sz="4" w:space="0" w:color="auto"/>
              <w:bottom w:val="single" w:sz="4" w:space="0" w:color="auto"/>
              <w:right w:val="single" w:sz="4" w:space="0" w:color="auto"/>
            </w:tcBorders>
          </w:tcPr>
          <w:p w14:paraId="14B85D6C" w14:textId="77777777" w:rsidR="00F9473F" w:rsidRPr="00255BC9" w:rsidRDefault="00F9473F" w:rsidP="00F9473F">
            <w:pPr>
              <w:tabs>
                <w:tab w:val="left" w:pos="567"/>
              </w:tabs>
              <w:spacing w:line="240" w:lineRule="auto"/>
              <w:rPr>
                <w:lang w:val="lt-LT"/>
              </w:rPr>
            </w:pPr>
            <w:r w:rsidRPr="00255BC9">
              <w:rPr>
                <w:lang w:val="lt-LT"/>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7FE4C6FB"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06B287B8" w14:textId="77777777" w:rsidR="00F9473F" w:rsidRPr="00705660" w:rsidRDefault="00F9473F" w:rsidP="00F9473F">
            <w:pPr>
              <w:tabs>
                <w:tab w:val="left" w:pos="567"/>
              </w:tabs>
              <w:spacing w:line="240" w:lineRule="auto"/>
              <w:rPr>
                <w:lang w:val="lt-LT"/>
              </w:rPr>
            </w:pPr>
            <w:proofErr w:type="spellStart"/>
            <w:r w:rsidRPr="00255BC9">
              <w:rPr>
                <w:lang w:val="lt-LT"/>
              </w:rPr>
              <w:t>Tromboziniai</w:t>
            </w:r>
            <w:proofErr w:type="spellEnd"/>
            <w:r w:rsidRPr="00255BC9">
              <w:rPr>
                <w:lang w:val="lt-LT"/>
              </w:rPr>
              <w:t xml:space="preserve"> reiškiniai, hipertenzija, </w:t>
            </w:r>
            <w:proofErr w:type="spellStart"/>
            <w:r w:rsidRPr="00255BC9">
              <w:rPr>
                <w:lang w:val="lt-LT"/>
              </w:rPr>
              <w:t>hipotenzija</w:t>
            </w:r>
            <w:proofErr w:type="spellEnd"/>
            <w:r w:rsidRPr="00255BC9">
              <w:rPr>
                <w:lang w:val="lt-LT"/>
              </w:rPr>
              <w:t>.</w:t>
            </w:r>
          </w:p>
        </w:tc>
      </w:tr>
      <w:tr w:rsidR="00F9473F" w:rsidRPr="00255BC9" w14:paraId="40FC93FB" w14:textId="77777777" w:rsidTr="00C8743D">
        <w:tc>
          <w:tcPr>
            <w:tcW w:w="2802" w:type="dxa"/>
            <w:tcBorders>
              <w:top w:val="single" w:sz="4" w:space="0" w:color="auto"/>
              <w:left w:val="single" w:sz="4" w:space="0" w:color="auto"/>
              <w:bottom w:val="single" w:sz="4" w:space="0" w:color="auto"/>
              <w:right w:val="single" w:sz="4" w:space="0" w:color="auto"/>
            </w:tcBorders>
          </w:tcPr>
          <w:p w14:paraId="3B548FB4" w14:textId="77777777" w:rsidR="00F9473F" w:rsidRPr="00255BC9" w:rsidRDefault="00F9473F" w:rsidP="00F9473F">
            <w:pPr>
              <w:tabs>
                <w:tab w:val="left" w:pos="567"/>
              </w:tabs>
              <w:spacing w:line="240" w:lineRule="auto"/>
              <w:rPr>
                <w:lang w:val="lt-LT"/>
              </w:rPr>
            </w:pPr>
            <w:r w:rsidRPr="00F9473F">
              <w:rPr>
                <w:lang w:val="lt-LT"/>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3619C661"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5DC56DA" w14:textId="77777777" w:rsidR="00F9473F" w:rsidRPr="00255BC9" w:rsidRDefault="00F9473F" w:rsidP="00F9473F">
            <w:pPr>
              <w:tabs>
                <w:tab w:val="left" w:pos="567"/>
              </w:tabs>
              <w:spacing w:line="240" w:lineRule="auto"/>
              <w:rPr>
                <w:lang w:val="lt-LT"/>
              </w:rPr>
            </w:pPr>
            <w:r w:rsidRPr="00255BC9">
              <w:rPr>
                <w:lang w:val="lt-LT"/>
              </w:rPr>
              <w:t>Plaučių embolija, žagsėjimas.</w:t>
            </w:r>
          </w:p>
        </w:tc>
      </w:tr>
      <w:tr w:rsidR="00F9473F" w:rsidRPr="0014202E" w14:paraId="5C37D451" w14:textId="77777777" w:rsidTr="00C8743D">
        <w:tc>
          <w:tcPr>
            <w:tcW w:w="2802" w:type="dxa"/>
            <w:tcBorders>
              <w:top w:val="single" w:sz="4" w:space="0" w:color="auto"/>
              <w:left w:val="single" w:sz="4" w:space="0" w:color="auto"/>
              <w:bottom w:val="single" w:sz="4" w:space="0" w:color="auto"/>
              <w:right w:val="single" w:sz="4" w:space="0" w:color="auto"/>
            </w:tcBorders>
          </w:tcPr>
          <w:p w14:paraId="34C5D329" w14:textId="77777777" w:rsidR="00F9473F" w:rsidRPr="00255BC9" w:rsidRDefault="00F9473F" w:rsidP="00F9473F">
            <w:pPr>
              <w:tabs>
                <w:tab w:val="left" w:pos="567"/>
              </w:tabs>
              <w:spacing w:line="240" w:lineRule="auto"/>
              <w:rPr>
                <w:lang w:val="lt-LT"/>
              </w:rPr>
            </w:pPr>
            <w:r w:rsidRPr="00255BC9">
              <w:rPr>
                <w:lang w:val="lt-LT"/>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2442909B"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28B25371" w14:textId="77777777" w:rsidR="00F9473F" w:rsidRPr="00255BC9" w:rsidRDefault="00F9473F" w:rsidP="00F9473F">
            <w:pPr>
              <w:tabs>
                <w:tab w:val="left" w:pos="567"/>
              </w:tabs>
              <w:spacing w:line="240" w:lineRule="auto"/>
              <w:rPr>
                <w:lang w:val="lt-LT"/>
              </w:rPr>
            </w:pPr>
            <w:proofErr w:type="spellStart"/>
            <w:r w:rsidRPr="00255BC9">
              <w:rPr>
                <w:lang w:val="lt-LT"/>
              </w:rPr>
              <w:t>Pepsinė</w:t>
            </w:r>
            <w:proofErr w:type="spellEnd"/>
            <w:r w:rsidRPr="00255BC9">
              <w:rPr>
                <w:lang w:val="lt-LT"/>
              </w:rPr>
              <w:t xml:space="preserve"> opa (su galimu jos prakiurimu ir kraujavimu), žarnų prakiurimas, kraujavimas iš skrandžio, kasos uždegimas (pankreatitas), opinis </w:t>
            </w:r>
            <w:proofErr w:type="spellStart"/>
            <w:r w:rsidRPr="00255BC9">
              <w:rPr>
                <w:lang w:val="lt-LT"/>
              </w:rPr>
              <w:t>ezofagitas</w:t>
            </w:r>
            <w:proofErr w:type="spellEnd"/>
            <w:r w:rsidRPr="00255BC9">
              <w:rPr>
                <w:lang w:val="lt-LT"/>
              </w:rPr>
              <w:t xml:space="preserve">, </w:t>
            </w:r>
            <w:proofErr w:type="spellStart"/>
            <w:r w:rsidRPr="00255BC9">
              <w:rPr>
                <w:lang w:val="lt-LT"/>
              </w:rPr>
              <w:t>ezofagitas</w:t>
            </w:r>
            <w:proofErr w:type="spellEnd"/>
            <w:r w:rsidRPr="00255BC9">
              <w:rPr>
                <w:lang w:val="lt-LT"/>
              </w:rPr>
              <w:t>, pilvo tempimas, pilvo skausmas, viduriavimas, dispepsija, pykinimas.</w:t>
            </w:r>
          </w:p>
        </w:tc>
      </w:tr>
      <w:tr w:rsidR="00F9473F" w:rsidRPr="00255BC9" w14:paraId="32CE4C0D" w14:textId="77777777" w:rsidTr="00C8743D">
        <w:tc>
          <w:tcPr>
            <w:tcW w:w="2802" w:type="dxa"/>
            <w:tcBorders>
              <w:top w:val="single" w:sz="4" w:space="0" w:color="auto"/>
              <w:left w:val="single" w:sz="4" w:space="0" w:color="auto"/>
              <w:bottom w:val="single" w:sz="4" w:space="0" w:color="auto"/>
              <w:right w:val="single" w:sz="4" w:space="0" w:color="auto"/>
            </w:tcBorders>
          </w:tcPr>
          <w:p w14:paraId="64D8FF17" w14:textId="77777777" w:rsidR="00F9473F" w:rsidRPr="00255BC9" w:rsidRDefault="00F9473F" w:rsidP="00F9473F">
            <w:pPr>
              <w:tabs>
                <w:tab w:val="left" w:pos="567"/>
              </w:tabs>
              <w:spacing w:line="240" w:lineRule="auto"/>
              <w:rPr>
                <w:lang w:val="lt-LT"/>
              </w:rPr>
            </w:pPr>
            <w:r w:rsidRPr="00255BC9">
              <w:rPr>
                <w:lang w:val="lt-LT"/>
              </w:rP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73BF031F"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01E7C070" w14:textId="77777777" w:rsidR="00F9473F" w:rsidRPr="00255BC9" w:rsidRDefault="00F9473F" w:rsidP="00F9473F">
            <w:pPr>
              <w:tabs>
                <w:tab w:val="left" w:pos="567"/>
              </w:tabs>
              <w:spacing w:line="240" w:lineRule="auto"/>
              <w:rPr>
                <w:lang w:val="lt-LT"/>
              </w:rPr>
            </w:pPr>
            <w:r w:rsidRPr="00255BC9">
              <w:rPr>
                <w:lang w:val="lt-LT"/>
              </w:rPr>
              <w:t>Hepatitas</w:t>
            </w:r>
            <w:r w:rsidRPr="00705660">
              <w:rPr>
                <w:lang w:val="lt-LT"/>
              </w:rPr>
              <w:t>*</w:t>
            </w:r>
            <w:r w:rsidRPr="00255BC9">
              <w:rPr>
                <w:lang w:val="lt-LT"/>
              </w:rPr>
              <w:t>, padidėjęs kepenų fermentų aktyvumas.</w:t>
            </w:r>
          </w:p>
        </w:tc>
      </w:tr>
      <w:tr w:rsidR="00F9473F" w:rsidRPr="0014202E" w14:paraId="5ACBA9A5" w14:textId="77777777" w:rsidTr="00C8743D">
        <w:tc>
          <w:tcPr>
            <w:tcW w:w="2802" w:type="dxa"/>
            <w:tcBorders>
              <w:top w:val="single" w:sz="4" w:space="0" w:color="auto"/>
              <w:left w:val="single" w:sz="4" w:space="0" w:color="auto"/>
              <w:bottom w:val="single" w:sz="4" w:space="0" w:color="auto"/>
              <w:right w:val="single" w:sz="4" w:space="0" w:color="auto"/>
            </w:tcBorders>
          </w:tcPr>
          <w:p w14:paraId="2F484D84" w14:textId="77777777" w:rsidR="00F9473F" w:rsidRPr="00255BC9" w:rsidRDefault="00F9473F" w:rsidP="00F9473F">
            <w:pPr>
              <w:tabs>
                <w:tab w:val="left" w:pos="567"/>
              </w:tabs>
              <w:spacing w:line="240" w:lineRule="auto"/>
              <w:rPr>
                <w:lang w:val="lt-LT"/>
              </w:rPr>
            </w:pPr>
            <w:r w:rsidRPr="00255BC9">
              <w:rPr>
                <w:lang w:val="lt-LT"/>
              </w:rP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03D293AE"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40781BB4" w14:textId="77777777" w:rsidR="00F9473F" w:rsidRPr="00255BC9" w:rsidRDefault="00F9473F" w:rsidP="00F9473F">
            <w:pPr>
              <w:tabs>
                <w:tab w:val="left" w:pos="567"/>
              </w:tabs>
              <w:spacing w:line="240" w:lineRule="auto"/>
              <w:rPr>
                <w:lang w:val="lt-LT"/>
              </w:rPr>
            </w:pPr>
            <w:proofErr w:type="spellStart"/>
            <w:r w:rsidRPr="00255BC9">
              <w:rPr>
                <w:lang w:val="lt-LT"/>
              </w:rPr>
              <w:t>Angioneurozinė</w:t>
            </w:r>
            <w:proofErr w:type="spellEnd"/>
            <w:r w:rsidRPr="00255BC9">
              <w:rPr>
                <w:lang w:val="lt-LT"/>
              </w:rPr>
              <w:t xml:space="preserve"> edema, </w:t>
            </w:r>
            <w:proofErr w:type="spellStart"/>
            <w:r w:rsidRPr="00255BC9">
              <w:rPr>
                <w:lang w:val="lt-LT"/>
              </w:rPr>
              <w:t>hirsutizmas</w:t>
            </w:r>
            <w:proofErr w:type="spellEnd"/>
            <w:r w:rsidRPr="00255BC9">
              <w:rPr>
                <w:lang w:val="lt-LT"/>
              </w:rPr>
              <w:t xml:space="preserve">, </w:t>
            </w:r>
            <w:proofErr w:type="spellStart"/>
            <w:r w:rsidRPr="00255BC9">
              <w:rPr>
                <w:lang w:val="lt-LT"/>
              </w:rPr>
              <w:t>petechijos</w:t>
            </w:r>
            <w:proofErr w:type="spellEnd"/>
            <w:r w:rsidRPr="00255BC9">
              <w:rPr>
                <w:lang w:val="lt-LT"/>
              </w:rPr>
              <w:t xml:space="preserve">, </w:t>
            </w:r>
            <w:proofErr w:type="spellStart"/>
            <w:r w:rsidRPr="00255BC9">
              <w:rPr>
                <w:lang w:val="lt-LT"/>
              </w:rPr>
              <w:t>ekchimozės</w:t>
            </w:r>
            <w:proofErr w:type="spellEnd"/>
            <w:r w:rsidRPr="00255BC9">
              <w:rPr>
                <w:lang w:val="lt-LT"/>
              </w:rPr>
              <w:t xml:space="preserve">, odos atrofija, </w:t>
            </w:r>
            <w:proofErr w:type="spellStart"/>
            <w:r w:rsidRPr="00255BC9">
              <w:rPr>
                <w:lang w:val="lt-LT"/>
              </w:rPr>
              <w:t>eritema</w:t>
            </w:r>
            <w:proofErr w:type="spellEnd"/>
            <w:r w:rsidRPr="00255BC9">
              <w:rPr>
                <w:lang w:val="lt-LT"/>
              </w:rPr>
              <w:t xml:space="preserve">, smarkus prakaitavimas, </w:t>
            </w:r>
            <w:proofErr w:type="spellStart"/>
            <w:r w:rsidRPr="00255BC9">
              <w:rPr>
                <w:lang w:val="lt-LT"/>
              </w:rPr>
              <w:t>strijos</w:t>
            </w:r>
            <w:proofErr w:type="spellEnd"/>
            <w:r w:rsidRPr="00255BC9">
              <w:rPr>
                <w:lang w:val="lt-LT"/>
              </w:rPr>
              <w:t xml:space="preserve">, išbėrimas, niežulys, dilgėlinė, </w:t>
            </w:r>
            <w:proofErr w:type="spellStart"/>
            <w:r w:rsidRPr="00255BC9">
              <w:rPr>
                <w:lang w:val="lt-LT"/>
              </w:rPr>
              <w:t>aknė</w:t>
            </w:r>
            <w:proofErr w:type="spellEnd"/>
            <w:r w:rsidRPr="00255BC9">
              <w:rPr>
                <w:lang w:val="lt-LT"/>
              </w:rPr>
              <w:t xml:space="preserve">,  odos </w:t>
            </w:r>
            <w:proofErr w:type="spellStart"/>
            <w:r w:rsidRPr="00255BC9">
              <w:rPr>
                <w:lang w:val="lt-LT"/>
              </w:rPr>
              <w:t>hipopigmentacija</w:t>
            </w:r>
            <w:proofErr w:type="spellEnd"/>
            <w:r w:rsidRPr="00255BC9">
              <w:rPr>
                <w:lang w:val="lt-LT"/>
              </w:rPr>
              <w:t>.</w:t>
            </w:r>
          </w:p>
        </w:tc>
      </w:tr>
      <w:tr w:rsidR="00F9473F" w:rsidRPr="0014202E" w14:paraId="2BECC766" w14:textId="77777777" w:rsidTr="00C8743D">
        <w:tc>
          <w:tcPr>
            <w:tcW w:w="2802" w:type="dxa"/>
            <w:tcBorders>
              <w:top w:val="single" w:sz="4" w:space="0" w:color="auto"/>
              <w:left w:val="single" w:sz="4" w:space="0" w:color="auto"/>
              <w:bottom w:val="single" w:sz="4" w:space="0" w:color="auto"/>
              <w:right w:val="single" w:sz="4" w:space="0" w:color="auto"/>
            </w:tcBorders>
          </w:tcPr>
          <w:p w14:paraId="5238164D" w14:textId="77777777" w:rsidR="00F9473F" w:rsidRPr="00255BC9" w:rsidRDefault="00F9473F" w:rsidP="00F9473F">
            <w:pPr>
              <w:tabs>
                <w:tab w:val="left" w:pos="567"/>
              </w:tabs>
              <w:spacing w:line="240" w:lineRule="auto"/>
              <w:rPr>
                <w:lang w:val="lt-LT"/>
              </w:rPr>
            </w:pPr>
            <w:r w:rsidRPr="00255BC9">
              <w:rPr>
                <w:lang w:val="lt-LT"/>
              </w:rP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4CBC6F60"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740982D3" w14:textId="77777777" w:rsidR="00F9473F" w:rsidRPr="00255BC9" w:rsidRDefault="00F9473F" w:rsidP="00F9473F">
            <w:pPr>
              <w:tabs>
                <w:tab w:val="left" w:pos="567"/>
              </w:tabs>
              <w:spacing w:line="240" w:lineRule="auto"/>
              <w:rPr>
                <w:lang w:val="lt-LT"/>
              </w:rPr>
            </w:pPr>
            <w:r w:rsidRPr="00255BC9">
              <w:rPr>
                <w:lang w:val="lt-LT"/>
              </w:rPr>
              <w:t xml:space="preserve">Raumenų silpnumas, </w:t>
            </w:r>
            <w:proofErr w:type="spellStart"/>
            <w:r w:rsidRPr="00255BC9">
              <w:rPr>
                <w:lang w:val="lt-LT"/>
              </w:rPr>
              <w:t>mialgija</w:t>
            </w:r>
            <w:proofErr w:type="spellEnd"/>
            <w:r w:rsidRPr="00255BC9">
              <w:rPr>
                <w:lang w:val="lt-LT"/>
              </w:rPr>
              <w:t xml:space="preserve">, </w:t>
            </w:r>
            <w:proofErr w:type="spellStart"/>
            <w:r w:rsidRPr="00255BC9">
              <w:rPr>
                <w:lang w:val="lt-LT"/>
              </w:rPr>
              <w:t>miopatija</w:t>
            </w:r>
            <w:proofErr w:type="spellEnd"/>
            <w:r w:rsidRPr="00255BC9">
              <w:rPr>
                <w:lang w:val="lt-LT"/>
              </w:rPr>
              <w:t xml:space="preserve">, raumenų atrofija, osteoporozė, </w:t>
            </w:r>
            <w:proofErr w:type="spellStart"/>
            <w:r w:rsidRPr="00255BC9">
              <w:rPr>
                <w:lang w:val="lt-LT"/>
              </w:rPr>
              <w:t>osteonekrozė</w:t>
            </w:r>
            <w:proofErr w:type="spellEnd"/>
            <w:r w:rsidRPr="00255BC9">
              <w:rPr>
                <w:lang w:val="lt-LT"/>
              </w:rPr>
              <w:t xml:space="preserve">, patologiniai lūžiai, </w:t>
            </w:r>
            <w:proofErr w:type="spellStart"/>
            <w:r w:rsidRPr="00255BC9">
              <w:rPr>
                <w:lang w:val="lt-LT"/>
              </w:rPr>
              <w:t>neuropatinė</w:t>
            </w:r>
            <w:proofErr w:type="spellEnd"/>
            <w:r w:rsidRPr="00255BC9">
              <w:rPr>
                <w:lang w:val="lt-LT"/>
              </w:rPr>
              <w:t xml:space="preserve"> </w:t>
            </w:r>
            <w:proofErr w:type="spellStart"/>
            <w:r w:rsidRPr="00255BC9">
              <w:rPr>
                <w:lang w:val="lt-LT"/>
              </w:rPr>
              <w:t>artropatija</w:t>
            </w:r>
            <w:proofErr w:type="spellEnd"/>
            <w:r w:rsidRPr="00255BC9">
              <w:rPr>
                <w:lang w:val="lt-LT"/>
              </w:rPr>
              <w:t xml:space="preserve">, </w:t>
            </w:r>
            <w:proofErr w:type="spellStart"/>
            <w:r w:rsidRPr="00255BC9">
              <w:rPr>
                <w:lang w:val="lt-LT"/>
              </w:rPr>
              <w:t>artralgija</w:t>
            </w:r>
            <w:proofErr w:type="spellEnd"/>
            <w:r w:rsidRPr="00255BC9">
              <w:rPr>
                <w:lang w:val="lt-LT"/>
              </w:rPr>
              <w:t>, augimo sulėtėjimas.</w:t>
            </w:r>
          </w:p>
        </w:tc>
      </w:tr>
      <w:tr w:rsidR="00F9473F" w:rsidRPr="00255BC9" w14:paraId="570611EB" w14:textId="77777777" w:rsidTr="00C8743D">
        <w:tc>
          <w:tcPr>
            <w:tcW w:w="2802" w:type="dxa"/>
            <w:tcBorders>
              <w:top w:val="single" w:sz="4" w:space="0" w:color="auto"/>
              <w:left w:val="single" w:sz="4" w:space="0" w:color="auto"/>
              <w:bottom w:val="single" w:sz="4" w:space="0" w:color="auto"/>
              <w:right w:val="single" w:sz="4" w:space="0" w:color="auto"/>
            </w:tcBorders>
          </w:tcPr>
          <w:p w14:paraId="35AA5984" w14:textId="77777777" w:rsidR="00F9473F" w:rsidRPr="00255BC9" w:rsidRDefault="00F9473F" w:rsidP="00F9473F">
            <w:pPr>
              <w:tabs>
                <w:tab w:val="left" w:pos="567"/>
              </w:tabs>
              <w:spacing w:line="240" w:lineRule="auto"/>
              <w:rPr>
                <w:lang w:val="lt-LT"/>
              </w:rPr>
            </w:pPr>
            <w:r w:rsidRPr="00F9473F">
              <w:rPr>
                <w:lang w:val="lt-LT"/>
              </w:rPr>
              <w:t>Lytinės sistemos ir krūties sutrikimai</w:t>
            </w:r>
          </w:p>
        </w:tc>
        <w:tc>
          <w:tcPr>
            <w:tcW w:w="1701" w:type="dxa"/>
            <w:tcBorders>
              <w:top w:val="single" w:sz="4" w:space="0" w:color="auto"/>
              <w:left w:val="single" w:sz="4" w:space="0" w:color="auto"/>
              <w:bottom w:val="single" w:sz="4" w:space="0" w:color="auto"/>
              <w:right w:val="single" w:sz="4" w:space="0" w:color="auto"/>
            </w:tcBorders>
          </w:tcPr>
          <w:p w14:paraId="6338DF0A" w14:textId="77777777" w:rsidR="00F9473F" w:rsidRPr="00255BC9" w:rsidRDefault="00E23965" w:rsidP="00705660">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7D1646B" w14:textId="77777777" w:rsidR="00F9473F" w:rsidRPr="00255BC9" w:rsidRDefault="00F9473F" w:rsidP="00F9473F">
            <w:pPr>
              <w:tabs>
                <w:tab w:val="left" w:pos="567"/>
              </w:tabs>
              <w:spacing w:line="240" w:lineRule="auto"/>
              <w:rPr>
                <w:lang w:val="lt-LT"/>
              </w:rPr>
            </w:pPr>
            <w:r w:rsidRPr="00255BC9">
              <w:rPr>
                <w:lang w:val="lt-LT"/>
              </w:rPr>
              <w:t>Mėnesinių ciklo sutrikimas.</w:t>
            </w:r>
          </w:p>
        </w:tc>
      </w:tr>
      <w:tr w:rsidR="00F9473F" w:rsidRPr="00255BC9" w14:paraId="37AD211C" w14:textId="77777777" w:rsidTr="00C8743D">
        <w:tc>
          <w:tcPr>
            <w:tcW w:w="2802" w:type="dxa"/>
            <w:tcBorders>
              <w:top w:val="single" w:sz="4" w:space="0" w:color="auto"/>
              <w:left w:val="single" w:sz="4" w:space="0" w:color="auto"/>
              <w:bottom w:val="single" w:sz="4" w:space="0" w:color="auto"/>
              <w:right w:val="single" w:sz="4" w:space="0" w:color="auto"/>
            </w:tcBorders>
          </w:tcPr>
          <w:p w14:paraId="1EEA554A" w14:textId="77777777" w:rsidR="00F9473F" w:rsidRPr="00255BC9" w:rsidRDefault="00F9473F" w:rsidP="00F9473F">
            <w:pPr>
              <w:tabs>
                <w:tab w:val="left" w:pos="567"/>
              </w:tabs>
              <w:spacing w:line="240" w:lineRule="auto"/>
              <w:rPr>
                <w:lang w:val="lt-LT"/>
              </w:rPr>
            </w:pPr>
            <w:r w:rsidRPr="00255BC9">
              <w:rPr>
                <w:lang w:val="lt-LT"/>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1ED6C776"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30AEA999" w14:textId="77777777" w:rsidR="00F9473F" w:rsidRPr="00255BC9" w:rsidRDefault="00F9473F" w:rsidP="00F9473F">
            <w:pPr>
              <w:tabs>
                <w:tab w:val="left" w:pos="567"/>
              </w:tabs>
              <w:spacing w:line="240" w:lineRule="auto"/>
              <w:rPr>
                <w:lang w:val="lt-LT"/>
              </w:rPr>
            </w:pPr>
            <w:r w:rsidRPr="00255BC9">
              <w:rPr>
                <w:lang w:val="lt-LT"/>
              </w:rPr>
              <w:t>Blogas žaizdų gijimas, periferinė edema, nuovargis, bendrasis negalavimas, injekcijos vietos reakcija.</w:t>
            </w:r>
          </w:p>
        </w:tc>
      </w:tr>
      <w:tr w:rsidR="00F9473F" w:rsidRPr="0014202E" w14:paraId="3C35FE27" w14:textId="77777777" w:rsidTr="00C8743D">
        <w:tc>
          <w:tcPr>
            <w:tcW w:w="2802" w:type="dxa"/>
            <w:tcBorders>
              <w:top w:val="single" w:sz="4" w:space="0" w:color="auto"/>
              <w:left w:val="single" w:sz="4" w:space="0" w:color="auto"/>
              <w:bottom w:val="single" w:sz="4" w:space="0" w:color="auto"/>
              <w:right w:val="single" w:sz="4" w:space="0" w:color="auto"/>
            </w:tcBorders>
          </w:tcPr>
          <w:p w14:paraId="07DBF070" w14:textId="77777777" w:rsidR="00F9473F" w:rsidRPr="00255BC9" w:rsidRDefault="00F9473F" w:rsidP="00F9473F">
            <w:pPr>
              <w:tabs>
                <w:tab w:val="left" w:pos="567"/>
              </w:tabs>
              <w:spacing w:line="240" w:lineRule="auto"/>
              <w:rPr>
                <w:lang w:val="lt-LT"/>
              </w:rPr>
            </w:pPr>
            <w:r w:rsidRPr="00255BC9">
              <w:rPr>
                <w:lang w:val="lt-LT"/>
              </w:rPr>
              <w:t>Tyrimai</w:t>
            </w:r>
          </w:p>
        </w:tc>
        <w:tc>
          <w:tcPr>
            <w:tcW w:w="1701" w:type="dxa"/>
            <w:tcBorders>
              <w:top w:val="single" w:sz="4" w:space="0" w:color="auto"/>
              <w:left w:val="single" w:sz="4" w:space="0" w:color="auto"/>
              <w:bottom w:val="single" w:sz="4" w:space="0" w:color="auto"/>
              <w:right w:val="single" w:sz="4" w:space="0" w:color="auto"/>
            </w:tcBorders>
          </w:tcPr>
          <w:p w14:paraId="1BA3B42F"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72442B17" w14:textId="77777777" w:rsidR="00F9473F" w:rsidRPr="00255BC9" w:rsidRDefault="00F9473F" w:rsidP="00F9473F">
            <w:pPr>
              <w:tabs>
                <w:tab w:val="left" w:pos="567"/>
              </w:tabs>
              <w:spacing w:line="240" w:lineRule="auto"/>
              <w:rPr>
                <w:lang w:val="lt-LT"/>
              </w:rPr>
            </w:pPr>
            <w:r w:rsidRPr="00255BC9">
              <w:rPr>
                <w:lang w:val="lt-LT"/>
              </w:rPr>
              <w:t xml:space="preserve">Akispūdžio padidėjimas; angliavandenių toleravimo pablogėjimas; kalio koncentracijos kraujyje sumažėjimas; kalcio koncentracijos šlapime padidėjimas; </w:t>
            </w:r>
            <w:proofErr w:type="spellStart"/>
            <w:r w:rsidRPr="00255BC9">
              <w:rPr>
                <w:lang w:val="lt-LT"/>
              </w:rPr>
              <w:t>alanino</w:t>
            </w:r>
            <w:proofErr w:type="spellEnd"/>
            <w:r w:rsidRPr="00255BC9">
              <w:rPr>
                <w:lang w:val="lt-LT"/>
              </w:rPr>
              <w:t xml:space="preserve"> </w:t>
            </w:r>
            <w:proofErr w:type="spellStart"/>
            <w:r w:rsidRPr="00255BC9">
              <w:rPr>
                <w:lang w:val="lt-LT"/>
              </w:rPr>
              <w:t>aminotransferazės</w:t>
            </w:r>
            <w:proofErr w:type="spellEnd"/>
            <w:r w:rsidRPr="00255BC9">
              <w:rPr>
                <w:lang w:val="lt-LT"/>
              </w:rPr>
              <w:t xml:space="preserve"> suaktyvėjimas; </w:t>
            </w:r>
            <w:proofErr w:type="spellStart"/>
            <w:r w:rsidRPr="00255BC9">
              <w:rPr>
                <w:lang w:val="lt-LT"/>
              </w:rPr>
              <w:t>aspartato</w:t>
            </w:r>
            <w:proofErr w:type="spellEnd"/>
            <w:r w:rsidRPr="00255BC9">
              <w:rPr>
                <w:lang w:val="lt-LT"/>
              </w:rPr>
              <w:t xml:space="preserve"> </w:t>
            </w:r>
            <w:proofErr w:type="spellStart"/>
            <w:r w:rsidRPr="00255BC9">
              <w:rPr>
                <w:lang w:val="lt-LT"/>
              </w:rPr>
              <w:t>aminotransferazės</w:t>
            </w:r>
            <w:proofErr w:type="spellEnd"/>
            <w:r w:rsidRPr="00255BC9">
              <w:rPr>
                <w:lang w:val="lt-LT"/>
              </w:rPr>
              <w:t xml:space="preserve"> suaktyvėjimas; šarminės </w:t>
            </w:r>
            <w:proofErr w:type="spellStart"/>
            <w:r w:rsidRPr="00255BC9">
              <w:rPr>
                <w:lang w:val="lt-LT"/>
              </w:rPr>
              <w:t>fosfatazės</w:t>
            </w:r>
            <w:proofErr w:type="spellEnd"/>
            <w:r w:rsidRPr="00255BC9">
              <w:rPr>
                <w:lang w:val="lt-LT"/>
              </w:rPr>
              <w:t xml:space="preserve"> kiekio kraujyje padidėjimas; šlapalo kiekio kraujyje padidėjimas, silpnesnė reakcija į odos testus</w:t>
            </w:r>
            <w:r w:rsidRPr="00F9473F">
              <w:rPr>
                <w:lang w:val="lt-LT"/>
              </w:rPr>
              <w:t>†</w:t>
            </w:r>
            <w:r w:rsidRPr="00255BC9">
              <w:rPr>
                <w:lang w:val="lt-LT"/>
              </w:rPr>
              <w:t>.</w:t>
            </w:r>
          </w:p>
        </w:tc>
      </w:tr>
      <w:tr w:rsidR="00F9473F" w:rsidRPr="00EF2B01" w14:paraId="3635089E" w14:textId="77777777" w:rsidTr="00C8743D">
        <w:tc>
          <w:tcPr>
            <w:tcW w:w="2802" w:type="dxa"/>
            <w:tcBorders>
              <w:top w:val="single" w:sz="4" w:space="0" w:color="auto"/>
              <w:left w:val="single" w:sz="4" w:space="0" w:color="auto"/>
              <w:bottom w:val="single" w:sz="4" w:space="0" w:color="auto"/>
              <w:right w:val="single" w:sz="4" w:space="0" w:color="auto"/>
            </w:tcBorders>
          </w:tcPr>
          <w:p w14:paraId="7E63EE1D" w14:textId="77777777" w:rsidR="00F9473F" w:rsidRPr="00255BC9" w:rsidRDefault="00F9473F" w:rsidP="00F9473F">
            <w:pPr>
              <w:tabs>
                <w:tab w:val="left" w:pos="567"/>
              </w:tabs>
              <w:spacing w:line="240" w:lineRule="auto"/>
              <w:rPr>
                <w:lang w:val="lt-LT"/>
              </w:rPr>
            </w:pPr>
            <w:r w:rsidRPr="00F9473F">
              <w:rPr>
                <w:lang w:val="lt-LT"/>
              </w:rPr>
              <w:t>Sužalojimai, apsinuodijimai ir procedūrų komplikacijos</w:t>
            </w:r>
          </w:p>
        </w:tc>
        <w:tc>
          <w:tcPr>
            <w:tcW w:w="1701" w:type="dxa"/>
            <w:tcBorders>
              <w:top w:val="single" w:sz="4" w:space="0" w:color="auto"/>
              <w:left w:val="single" w:sz="4" w:space="0" w:color="auto"/>
              <w:bottom w:val="single" w:sz="4" w:space="0" w:color="auto"/>
              <w:right w:val="single" w:sz="4" w:space="0" w:color="auto"/>
            </w:tcBorders>
          </w:tcPr>
          <w:p w14:paraId="5AB2C778" w14:textId="77777777" w:rsidR="00F9473F" w:rsidRPr="00255BC9" w:rsidRDefault="00E23965" w:rsidP="00F9473F">
            <w:pPr>
              <w:tabs>
                <w:tab w:val="left" w:pos="567"/>
              </w:tabs>
              <w:spacing w:line="240" w:lineRule="auto"/>
              <w:rPr>
                <w:lang w:val="lt-LT"/>
              </w:rPr>
            </w:pPr>
            <w:r>
              <w:rPr>
                <w:lang w:val="lt-LT"/>
              </w:rPr>
              <w:t>N</w:t>
            </w:r>
            <w:r w:rsidR="00F9473F"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79B2707" w14:textId="77777777" w:rsidR="00F9473F" w:rsidRPr="00EF2B01" w:rsidRDefault="00F9473F" w:rsidP="00F9473F">
            <w:pPr>
              <w:tabs>
                <w:tab w:val="left" w:pos="567"/>
              </w:tabs>
              <w:spacing w:line="240" w:lineRule="auto"/>
              <w:rPr>
                <w:lang w:val="lt-LT"/>
              </w:rPr>
            </w:pPr>
            <w:proofErr w:type="spellStart"/>
            <w:r w:rsidRPr="00255BC9">
              <w:rPr>
                <w:lang w:val="lt-LT"/>
              </w:rPr>
              <w:t>Kompresiniai</w:t>
            </w:r>
            <w:proofErr w:type="spellEnd"/>
            <w:r w:rsidRPr="00255BC9">
              <w:rPr>
                <w:lang w:val="lt-LT"/>
              </w:rPr>
              <w:t xml:space="preserve"> slankstelių lūžiai, sausgyslių plyšimai.</w:t>
            </w:r>
          </w:p>
        </w:tc>
      </w:tr>
    </w:tbl>
    <w:p w14:paraId="2B985D68" w14:textId="77777777" w:rsidR="00D46893" w:rsidRPr="001D5EBE" w:rsidRDefault="00D46893" w:rsidP="00D46893">
      <w:pPr>
        <w:tabs>
          <w:tab w:val="left" w:pos="567"/>
        </w:tabs>
        <w:spacing w:line="240" w:lineRule="auto"/>
        <w:rPr>
          <w:lang w:val="lt-LT"/>
        </w:rPr>
      </w:pPr>
      <w:r w:rsidRPr="001D5EBE">
        <w:rPr>
          <w:vertAlign w:val="superscript"/>
          <w:lang w:val="lt-LT"/>
        </w:rPr>
        <w:t>*</w:t>
      </w:r>
      <w:r w:rsidRPr="001D5EBE">
        <w:rPr>
          <w:lang w:val="lt-LT"/>
        </w:rPr>
        <w:t xml:space="preserve"> Gauta pranešimų apie hepatito atvejus, atsiradusius leidžiant vaistinio preparato į veną (žr. 4.4 skyrių).</w:t>
      </w:r>
    </w:p>
    <w:p w14:paraId="0F44279D" w14:textId="77777777" w:rsidR="00F9473F" w:rsidRPr="00255BC9" w:rsidRDefault="00F9473F" w:rsidP="00F9473F">
      <w:pPr>
        <w:tabs>
          <w:tab w:val="left" w:pos="567"/>
        </w:tabs>
        <w:spacing w:line="240" w:lineRule="auto"/>
        <w:rPr>
          <w:lang w:val="lt-LT"/>
        </w:rPr>
      </w:pPr>
      <w:r w:rsidRPr="00255BC9">
        <w:rPr>
          <w:rFonts w:cs="Arial"/>
          <w:sz w:val="20"/>
          <w:szCs w:val="20"/>
          <w:vertAlign w:val="superscript"/>
          <w:lang w:val="lt-LT"/>
        </w:rPr>
        <w:t>†</w:t>
      </w:r>
      <w:r w:rsidRPr="00255BC9">
        <w:rPr>
          <w:rFonts w:cs="Arial"/>
          <w:sz w:val="20"/>
          <w:szCs w:val="20"/>
          <w:lang w:val="lt-LT"/>
        </w:rPr>
        <w:t xml:space="preserve"> </w:t>
      </w:r>
      <w:r w:rsidRPr="00255BC9">
        <w:rPr>
          <w:rFonts w:cs="Arial"/>
          <w:lang w:val="lt-LT"/>
        </w:rPr>
        <w:t xml:space="preserve">Nėra </w:t>
      </w:r>
      <w:proofErr w:type="spellStart"/>
      <w:r w:rsidRPr="00255BC9">
        <w:rPr>
          <w:rFonts w:cs="Arial"/>
          <w:lang w:val="lt-LT"/>
        </w:rPr>
        <w:t>MedDRA</w:t>
      </w:r>
      <w:proofErr w:type="spellEnd"/>
      <w:r w:rsidRPr="00255BC9">
        <w:rPr>
          <w:rFonts w:cs="Arial"/>
          <w:lang w:val="lt-LT"/>
        </w:rPr>
        <w:t xml:space="preserve"> rekomenduojamas terminas</w:t>
      </w:r>
      <w:r w:rsidRPr="00255BC9">
        <w:rPr>
          <w:rFonts w:cs="Arial"/>
          <w:sz w:val="20"/>
          <w:szCs w:val="20"/>
          <w:lang w:val="lt-LT"/>
        </w:rPr>
        <w:t>.</w:t>
      </w:r>
    </w:p>
    <w:p w14:paraId="44B07ACA" w14:textId="77777777" w:rsidR="00F9473F" w:rsidRPr="00705660" w:rsidRDefault="00F9473F" w:rsidP="00705660">
      <w:pPr>
        <w:pStyle w:val="BTEMEASMCA"/>
      </w:pPr>
      <w:r w:rsidRPr="00255BC9">
        <w:rPr>
          <w:rFonts w:cs="Arial"/>
          <w:sz w:val="20"/>
          <w:szCs w:val="20"/>
          <w:vertAlign w:val="superscript"/>
        </w:rPr>
        <w:t>#</w:t>
      </w:r>
      <w:r w:rsidRPr="00255BC9">
        <w:rPr>
          <w:rFonts w:cs="Arial"/>
          <w:sz w:val="20"/>
          <w:szCs w:val="20"/>
        </w:rPr>
        <w:t xml:space="preserve"> </w:t>
      </w:r>
      <w:r w:rsidRPr="00255BC9">
        <w:rPr>
          <w:rFonts w:cs="Arial"/>
        </w:rPr>
        <w:t xml:space="preserve">Peritonitas gali būti pirminis pasireiškęs virškinimo trakto sutrikimo, tokio kaip prakiurimas, obstrukcija ar pankreatitas, požymis ar simptomas (žr. 4.4 </w:t>
      </w:r>
      <w:r w:rsidRPr="008758D3">
        <w:t>skyrių).</w:t>
      </w:r>
    </w:p>
    <w:p w14:paraId="41637F89" w14:textId="77777777" w:rsidR="003F33B8" w:rsidRPr="001D5EBE" w:rsidRDefault="003F33B8" w:rsidP="003F33B8">
      <w:pPr>
        <w:tabs>
          <w:tab w:val="left" w:pos="567"/>
        </w:tabs>
        <w:spacing w:line="240" w:lineRule="auto"/>
        <w:rPr>
          <w:i/>
          <w:lang w:val="lt-LT"/>
        </w:rPr>
      </w:pPr>
    </w:p>
    <w:p w14:paraId="212070AE" w14:textId="77777777" w:rsidR="003F33B8" w:rsidRPr="001D5EBE" w:rsidRDefault="003F33B8" w:rsidP="003F33B8">
      <w:pPr>
        <w:tabs>
          <w:tab w:val="left" w:pos="567"/>
        </w:tabs>
        <w:spacing w:line="240" w:lineRule="auto"/>
        <w:rPr>
          <w:lang w:val="lt-LT"/>
        </w:rPr>
      </w:pPr>
      <w:r w:rsidRPr="001D5EBE">
        <w:rPr>
          <w:lang w:val="lt-LT"/>
        </w:rPr>
        <w:t xml:space="preserve">Nutraukimo požymiai: dėl per greito </w:t>
      </w:r>
      <w:proofErr w:type="spellStart"/>
      <w:r w:rsidRPr="001D5EBE">
        <w:rPr>
          <w:lang w:val="lt-LT"/>
        </w:rPr>
        <w:t>gliukokortikoidų</w:t>
      </w:r>
      <w:proofErr w:type="spellEnd"/>
      <w:r w:rsidRPr="001D5EBE">
        <w:rPr>
          <w:lang w:val="lt-LT"/>
        </w:rPr>
        <w:t xml:space="preserve"> dozės mažinimo po ilgalaikio gydymo gali išsivystyti ūmus antinksčių nepakankamumas, </w:t>
      </w:r>
      <w:proofErr w:type="spellStart"/>
      <w:r w:rsidRPr="001D5EBE">
        <w:rPr>
          <w:lang w:val="lt-LT"/>
        </w:rPr>
        <w:t>hipotenzija</w:t>
      </w:r>
      <w:proofErr w:type="spellEnd"/>
      <w:r w:rsidRPr="001D5EBE">
        <w:rPr>
          <w:lang w:val="lt-LT"/>
        </w:rPr>
        <w:t>, mirtis. Nutraukimo sindromas taip pat gali pasireikšti karščiavimu, raumenų skausmu, sąnarių skausmu, rinitu, konjunktyvitu, skausmingais niežtinčiais odos mazgais, svorio kritimu.</w:t>
      </w:r>
    </w:p>
    <w:p w14:paraId="748F88BE" w14:textId="77777777" w:rsidR="003F33B8" w:rsidRPr="001D5EBE" w:rsidRDefault="003F33B8" w:rsidP="003F33B8">
      <w:pPr>
        <w:tabs>
          <w:tab w:val="left" w:pos="567"/>
        </w:tabs>
        <w:spacing w:line="240" w:lineRule="auto"/>
        <w:rPr>
          <w:lang w:val="lt-LT"/>
        </w:rPr>
      </w:pPr>
    </w:p>
    <w:p w14:paraId="417DD071" w14:textId="77777777" w:rsidR="003F33B8" w:rsidRPr="001D5EBE" w:rsidRDefault="003F33B8" w:rsidP="003F33B8">
      <w:pPr>
        <w:autoSpaceDE w:val="0"/>
        <w:autoSpaceDN w:val="0"/>
        <w:adjustRightInd w:val="0"/>
        <w:spacing w:line="240" w:lineRule="auto"/>
        <w:jc w:val="both"/>
        <w:rPr>
          <w:u w:val="single"/>
          <w:lang w:val="lt-LT"/>
        </w:rPr>
      </w:pPr>
      <w:r w:rsidRPr="001D5EBE">
        <w:rPr>
          <w:noProof/>
          <w:u w:val="single"/>
          <w:lang w:val="lt-LT"/>
        </w:rPr>
        <w:t>Pranešimas apie įtariamas nepageidaujamas reakcijas</w:t>
      </w:r>
    </w:p>
    <w:p w14:paraId="12B25CCA" w14:textId="77777777" w:rsidR="00582059" w:rsidRDefault="003F33B8" w:rsidP="00582059">
      <w:pPr>
        <w:autoSpaceDE w:val="0"/>
        <w:autoSpaceDN w:val="0"/>
        <w:adjustRightInd w:val="0"/>
        <w:spacing w:line="240" w:lineRule="auto"/>
        <w:jc w:val="both"/>
        <w:rPr>
          <w:noProof/>
          <w:szCs w:val="24"/>
          <w:lang w:val="lt-LT"/>
        </w:rPr>
      </w:pPr>
      <w:r w:rsidRPr="001D5EBE">
        <w:rPr>
          <w:noProof/>
          <w:lang w:val="lt-LT"/>
        </w:rPr>
        <w:t xml:space="preserve">Svarbu pranešti apie įtariamas nepageidaujamas reakcijas, pastebėtas po vaistinio preparato </w:t>
      </w:r>
      <w:r w:rsidR="00582059">
        <w:rPr>
          <w:noProof/>
          <w:szCs w:val="24"/>
          <w:lang w:val="lt-LT"/>
        </w:rPr>
        <w:t>registracijos, nes tai leidžia nuolat stebėti vaistinio preparato naudos ir rizikos santykį.</w:t>
      </w:r>
      <w:r w:rsidR="00582059">
        <w:rPr>
          <w:szCs w:val="24"/>
          <w:lang w:val="lt-LT"/>
        </w:rPr>
        <w:t xml:space="preserve"> </w:t>
      </w:r>
      <w:r w:rsidR="00582059">
        <w:rPr>
          <w:noProof/>
          <w:szCs w:val="24"/>
          <w:lang w:val="lt-LT"/>
        </w:rPr>
        <w:t>Sveikatos priežiūros specialistai turi pranešti apie bet kokias įtariamas nepageidaujamas reakcijas, užpildę interneto svetainėje http://</w:t>
      </w:r>
      <w:hyperlink r:id="rId11" w:history="1">
        <w:r w:rsidR="00582059" w:rsidRPr="00DD1F76">
          <w:rPr>
            <w:rStyle w:val="Hipersaitas"/>
            <w:rFonts w:eastAsia="SimSun"/>
            <w:szCs w:val="24"/>
            <w:lang w:val="lt-LT"/>
          </w:rPr>
          <w:t>www.vvkt.lt</w:t>
        </w:r>
      </w:hyperlink>
      <w:r w:rsidR="00582059">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582059" w:rsidRPr="00DD1F76">
          <w:rPr>
            <w:rStyle w:val="Hipersaitas"/>
            <w:rFonts w:eastAsia="SimSun"/>
            <w:szCs w:val="24"/>
            <w:lang w:val="lt-LT"/>
          </w:rPr>
          <w:t>NepageidaujamaR@vvkt.lt</w:t>
        </w:r>
      </w:hyperlink>
      <w:r w:rsidR="00582059">
        <w:rPr>
          <w:noProof/>
          <w:szCs w:val="24"/>
          <w:lang w:val="lt-LT"/>
        </w:rPr>
        <w:t>), per interneto svetainę (adresu http://</w:t>
      </w:r>
      <w:r w:rsidR="00582059" w:rsidRPr="00FD3FE1">
        <w:rPr>
          <w:noProof/>
          <w:szCs w:val="24"/>
          <w:u w:val="single"/>
          <w:lang w:val="lt-LT"/>
        </w:rPr>
        <w:t>www.vvkt.lt</w:t>
      </w:r>
      <w:r w:rsidR="00582059">
        <w:rPr>
          <w:noProof/>
          <w:szCs w:val="24"/>
          <w:lang w:val="lt-LT"/>
        </w:rPr>
        <w:t>).</w:t>
      </w:r>
    </w:p>
    <w:p w14:paraId="5F9E6DC6" w14:textId="77777777" w:rsidR="003F33B8" w:rsidRPr="001D5EBE" w:rsidRDefault="003F33B8" w:rsidP="003F33B8">
      <w:pPr>
        <w:tabs>
          <w:tab w:val="left" w:pos="567"/>
        </w:tabs>
        <w:spacing w:line="240" w:lineRule="auto"/>
        <w:rPr>
          <w:lang w:val="lt-LT"/>
        </w:rPr>
      </w:pPr>
    </w:p>
    <w:p w14:paraId="5BE62E34" w14:textId="77777777" w:rsidR="003F33B8" w:rsidRPr="001D5EBE" w:rsidRDefault="003F33B8" w:rsidP="003F33B8">
      <w:pPr>
        <w:pStyle w:val="Antrat3"/>
        <w:rPr>
          <w:szCs w:val="22"/>
        </w:rPr>
      </w:pPr>
      <w:r w:rsidRPr="001D5EBE">
        <w:rPr>
          <w:szCs w:val="22"/>
        </w:rPr>
        <w:t>4.9</w:t>
      </w:r>
      <w:r w:rsidRPr="001D5EBE">
        <w:rPr>
          <w:szCs w:val="22"/>
        </w:rPr>
        <w:tab/>
        <w:t>Perdozavimas</w:t>
      </w:r>
    </w:p>
    <w:p w14:paraId="28876299" w14:textId="77777777" w:rsidR="003F33B8" w:rsidRPr="001D5EBE" w:rsidRDefault="003F33B8" w:rsidP="003F33B8">
      <w:pPr>
        <w:pStyle w:val="Pagrindinistekstas"/>
        <w:spacing w:after="0"/>
        <w:rPr>
          <w:szCs w:val="22"/>
        </w:rPr>
      </w:pPr>
    </w:p>
    <w:p w14:paraId="6CDE5C06" w14:textId="77777777" w:rsidR="003F33B8" w:rsidRPr="001D5EBE" w:rsidRDefault="003F33B8" w:rsidP="003F33B8">
      <w:pPr>
        <w:pStyle w:val="Pagrindinistekstas"/>
        <w:spacing w:after="0"/>
        <w:rPr>
          <w:szCs w:val="22"/>
        </w:rPr>
      </w:pPr>
      <w:r w:rsidRPr="001D5EBE">
        <w:rPr>
          <w:szCs w:val="22"/>
        </w:rPr>
        <w:t xml:space="preserve">Klinikinio ūminio kortikosteroidų perdozavimo sindromo nėra. Kortikosteroidų perdozavimo sukeliamo ūminio toksinio poveikio ar mirties atvejai yra reti. Specifinio priešnuodžio nėra, perdozavimo atveju pradedamas palaikomasis ir simptominis gydymas. Ilgai vartotas per dideles </w:t>
      </w:r>
      <w:r w:rsidR="001974C8" w:rsidRPr="001D5EBE">
        <w:rPr>
          <w:szCs w:val="22"/>
        </w:rPr>
        <w:t>doz</w:t>
      </w:r>
      <w:r w:rsidR="001974C8">
        <w:rPr>
          <w:szCs w:val="22"/>
        </w:rPr>
        <w:t>e</w:t>
      </w:r>
      <w:r w:rsidR="001974C8" w:rsidRPr="001D5EBE">
        <w:rPr>
          <w:szCs w:val="22"/>
        </w:rPr>
        <w:t xml:space="preserve">s </w:t>
      </w:r>
      <w:r w:rsidRPr="001D5EBE">
        <w:rPr>
          <w:szCs w:val="22"/>
        </w:rPr>
        <w:t>reikia mažinti laipsniškai, kad būtų išvengta antinksčių slopinimo (žr. 4.4. ir 4.8.). Gana didelės vienkartinės dozės nesukelia sunkių nepageidaujamų reakcijų. Perdozavus koreguojama dozė arba nutraukiamas gydymas.</w:t>
      </w:r>
    </w:p>
    <w:p w14:paraId="297D4738" w14:textId="77777777" w:rsidR="003F33B8" w:rsidRPr="001D5EBE" w:rsidRDefault="003F33B8" w:rsidP="003F33B8">
      <w:pPr>
        <w:pStyle w:val="Pagrindinistekstas"/>
        <w:spacing w:after="0"/>
        <w:rPr>
          <w:szCs w:val="22"/>
        </w:rPr>
      </w:pPr>
      <w:proofErr w:type="spellStart"/>
      <w:r w:rsidRPr="001D5EBE">
        <w:rPr>
          <w:szCs w:val="22"/>
        </w:rPr>
        <w:t>Metilprednizolonas</w:t>
      </w:r>
      <w:proofErr w:type="spellEnd"/>
      <w:r w:rsidRPr="001D5EBE">
        <w:rPr>
          <w:szCs w:val="22"/>
        </w:rPr>
        <w:t xml:space="preserve"> pašalinamas dializės metu.</w:t>
      </w:r>
    </w:p>
    <w:p w14:paraId="4621FEB1" w14:textId="77777777" w:rsidR="003F33B8" w:rsidRPr="001D5EBE" w:rsidRDefault="003F33B8" w:rsidP="003F33B8">
      <w:pPr>
        <w:pStyle w:val="Pagrindinistekstas"/>
        <w:spacing w:after="0"/>
        <w:rPr>
          <w:szCs w:val="22"/>
        </w:rPr>
      </w:pPr>
    </w:p>
    <w:p w14:paraId="2134B3DB" w14:textId="77777777" w:rsidR="003F33B8" w:rsidRPr="001D5EBE" w:rsidRDefault="003F33B8" w:rsidP="003F33B8">
      <w:pPr>
        <w:pStyle w:val="Pagrindinistekstas"/>
        <w:spacing w:after="0"/>
        <w:rPr>
          <w:szCs w:val="22"/>
        </w:rPr>
      </w:pPr>
    </w:p>
    <w:p w14:paraId="7DE48D14" w14:textId="77777777" w:rsidR="003F33B8" w:rsidRPr="001D5EBE" w:rsidRDefault="003F33B8" w:rsidP="003F33B8">
      <w:pPr>
        <w:pStyle w:val="Antrat2"/>
        <w:rPr>
          <w:szCs w:val="22"/>
        </w:rPr>
      </w:pPr>
      <w:r w:rsidRPr="001D5EBE">
        <w:rPr>
          <w:szCs w:val="22"/>
        </w:rPr>
        <w:t>5.</w:t>
      </w:r>
      <w:r w:rsidRPr="001D5EBE">
        <w:rPr>
          <w:szCs w:val="22"/>
        </w:rPr>
        <w:tab/>
        <w:t xml:space="preserve">FARMAKOLOGINĖS </w:t>
      </w:r>
      <w:r w:rsidRPr="001D5EBE">
        <w:rPr>
          <w:caps/>
          <w:szCs w:val="22"/>
        </w:rPr>
        <w:t>savybės</w:t>
      </w:r>
    </w:p>
    <w:p w14:paraId="44054522" w14:textId="77777777" w:rsidR="003F33B8" w:rsidRPr="001D5EBE" w:rsidRDefault="003F33B8" w:rsidP="003F33B8">
      <w:pPr>
        <w:pStyle w:val="Pagrindinistekstas"/>
        <w:spacing w:after="0"/>
        <w:rPr>
          <w:szCs w:val="22"/>
        </w:rPr>
      </w:pPr>
    </w:p>
    <w:p w14:paraId="1939EF6A" w14:textId="77777777" w:rsidR="003F33B8" w:rsidRPr="001D5EBE" w:rsidRDefault="003F33B8" w:rsidP="003F33B8">
      <w:pPr>
        <w:pStyle w:val="Antrat3"/>
        <w:rPr>
          <w:szCs w:val="22"/>
        </w:rPr>
      </w:pPr>
      <w:r w:rsidRPr="001D5EBE">
        <w:rPr>
          <w:szCs w:val="22"/>
        </w:rPr>
        <w:t>5.1</w:t>
      </w:r>
      <w:r w:rsidRPr="001D5EBE">
        <w:rPr>
          <w:szCs w:val="22"/>
        </w:rPr>
        <w:tab/>
      </w:r>
      <w:proofErr w:type="spellStart"/>
      <w:r w:rsidRPr="001D5EBE">
        <w:rPr>
          <w:szCs w:val="22"/>
        </w:rPr>
        <w:t>Farmakodinaminės</w:t>
      </w:r>
      <w:proofErr w:type="spellEnd"/>
      <w:r w:rsidRPr="001D5EBE">
        <w:rPr>
          <w:szCs w:val="22"/>
        </w:rPr>
        <w:t xml:space="preserve"> savybės</w:t>
      </w:r>
    </w:p>
    <w:p w14:paraId="5EA2629D" w14:textId="77777777" w:rsidR="003F33B8" w:rsidRPr="001D5EBE" w:rsidRDefault="003F33B8" w:rsidP="003F33B8">
      <w:pPr>
        <w:pStyle w:val="Pagrindinistekstas"/>
        <w:spacing w:after="0"/>
        <w:rPr>
          <w:szCs w:val="22"/>
        </w:rPr>
      </w:pPr>
    </w:p>
    <w:p w14:paraId="16AE0837" w14:textId="77777777" w:rsidR="003F33B8" w:rsidRPr="001D5EBE" w:rsidRDefault="003F33B8" w:rsidP="003F33B8">
      <w:pPr>
        <w:pStyle w:val="Pagrindinistekstas"/>
        <w:spacing w:after="0"/>
        <w:rPr>
          <w:szCs w:val="22"/>
        </w:rPr>
      </w:pPr>
      <w:proofErr w:type="spellStart"/>
      <w:r w:rsidRPr="001D5EBE">
        <w:rPr>
          <w:szCs w:val="22"/>
        </w:rPr>
        <w:t>Farmakoterapinė</w:t>
      </w:r>
      <w:proofErr w:type="spellEnd"/>
      <w:r w:rsidRPr="001D5EBE">
        <w:rPr>
          <w:szCs w:val="22"/>
        </w:rPr>
        <w:t xml:space="preserve"> grupė – </w:t>
      </w:r>
      <w:proofErr w:type="spellStart"/>
      <w:r w:rsidRPr="001D5EBE">
        <w:rPr>
          <w:szCs w:val="22"/>
        </w:rPr>
        <w:t>gliukokortikoidai</w:t>
      </w:r>
      <w:proofErr w:type="spellEnd"/>
      <w:r w:rsidRPr="001D5EBE">
        <w:rPr>
          <w:szCs w:val="22"/>
        </w:rPr>
        <w:t>, ATC kodas</w:t>
      </w:r>
      <w:r w:rsidR="008B4F91" w:rsidRPr="001D5EBE">
        <w:rPr>
          <w:szCs w:val="22"/>
        </w:rPr>
        <w:t xml:space="preserve"> </w:t>
      </w:r>
      <w:r w:rsidRPr="001D5EBE">
        <w:rPr>
          <w:szCs w:val="22"/>
        </w:rPr>
        <w:t>- H02AB04.</w:t>
      </w:r>
    </w:p>
    <w:p w14:paraId="2D7DDE07" w14:textId="77777777" w:rsidR="003F33B8" w:rsidRPr="001D5EBE" w:rsidRDefault="003F33B8" w:rsidP="003F33B8">
      <w:pPr>
        <w:pStyle w:val="Pagrindinistekstas"/>
        <w:spacing w:after="0"/>
        <w:rPr>
          <w:szCs w:val="22"/>
        </w:rPr>
      </w:pPr>
    </w:p>
    <w:p w14:paraId="50BB8749" w14:textId="77777777" w:rsidR="003F33B8" w:rsidRPr="001D5EBE" w:rsidRDefault="003F33B8" w:rsidP="003F33B8">
      <w:pPr>
        <w:pStyle w:val="Pagrindinistekstas"/>
        <w:spacing w:after="0"/>
        <w:rPr>
          <w:szCs w:val="22"/>
          <w:u w:val="single"/>
        </w:rPr>
      </w:pPr>
      <w:r w:rsidRPr="001D5EBE">
        <w:rPr>
          <w:noProof/>
          <w:szCs w:val="22"/>
          <w:u w:val="single"/>
        </w:rPr>
        <w:t>Veikimo mechanizmas</w:t>
      </w:r>
    </w:p>
    <w:p w14:paraId="4541E611" w14:textId="77777777" w:rsidR="003F33B8" w:rsidRPr="001D5EBE" w:rsidRDefault="003F33B8" w:rsidP="003F33B8">
      <w:pPr>
        <w:pStyle w:val="Pagrindinistekstas"/>
        <w:spacing w:after="0"/>
        <w:rPr>
          <w:szCs w:val="22"/>
        </w:rPr>
      </w:pPr>
      <w:r w:rsidRPr="001D5EBE">
        <w:rPr>
          <w:szCs w:val="22"/>
        </w:rPr>
        <w:t xml:space="preserve">Tai sintetinio </w:t>
      </w:r>
      <w:proofErr w:type="spellStart"/>
      <w:r w:rsidRPr="001D5EBE">
        <w:rPr>
          <w:szCs w:val="22"/>
        </w:rPr>
        <w:t>gliukokortikoido</w:t>
      </w:r>
      <w:proofErr w:type="spellEnd"/>
      <w:r w:rsidRPr="001D5EBE">
        <w:rPr>
          <w:szCs w:val="22"/>
        </w:rPr>
        <w:t xml:space="preserve"> </w:t>
      </w:r>
      <w:proofErr w:type="spellStart"/>
      <w:r w:rsidRPr="001D5EBE">
        <w:rPr>
          <w:szCs w:val="22"/>
        </w:rPr>
        <w:t>metilprednizolono</w:t>
      </w:r>
      <w:proofErr w:type="spellEnd"/>
      <w:r w:rsidRPr="001D5EBE">
        <w:rPr>
          <w:szCs w:val="22"/>
        </w:rPr>
        <w:t xml:space="preserve"> forma, vartojama į raumenis ir į veną. Šis labai koncentruotas vandeninis tirpalas ypač tinka gydyti patologinėms būklėms, kai reikia efektyvaus ir greito hormonų poveikio. </w:t>
      </w:r>
      <w:proofErr w:type="spellStart"/>
      <w:r w:rsidRPr="001D5EBE">
        <w:rPr>
          <w:szCs w:val="22"/>
        </w:rPr>
        <w:t>Metilprednizolonas</w:t>
      </w:r>
      <w:proofErr w:type="spellEnd"/>
      <w:r w:rsidRPr="001D5EBE">
        <w:rPr>
          <w:szCs w:val="22"/>
        </w:rPr>
        <w:t xml:space="preserve"> sukelia stiprių </w:t>
      </w:r>
      <w:r w:rsidR="00E23965">
        <w:rPr>
          <w:szCs w:val="22"/>
        </w:rPr>
        <w:t>prieš</w:t>
      </w:r>
      <w:r w:rsidR="00E23965" w:rsidRPr="001D5EBE">
        <w:rPr>
          <w:szCs w:val="22"/>
        </w:rPr>
        <w:t>uždegiminių</w:t>
      </w:r>
      <w:r w:rsidRPr="001D5EBE">
        <w:rPr>
          <w:szCs w:val="22"/>
        </w:rPr>
        <w:t xml:space="preserve">, imunosupresinių ir </w:t>
      </w:r>
      <w:proofErr w:type="spellStart"/>
      <w:r w:rsidRPr="001D5EBE">
        <w:rPr>
          <w:szCs w:val="22"/>
        </w:rPr>
        <w:t>antialerginių</w:t>
      </w:r>
      <w:proofErr w:type="spellEnd"/>
      <w:r w:rsidRPr="001D5EBE">
        <w:rPr>
          <w:szCs w:val="22"/>
        </w:rPr>
        <w:t xml:space="preserve"> poveikių.</w:t>
      </w:r>
    </w:p>
    <w:p w14:paraId="0C23FF42" w14:textId="77777777" w:rsidR="003F33B8" w:rsidRPr="001D5EBE" w:rsidRDefault="003F33B8" w:rsidP="003F33B8">
      <w:pPr>
        <w:pStyle w:val="Pagrindinistekstas"/>
        <w:spacing w:after="0"/>
        <w:rPr>
          <w:szCs w:val="22"/>
        </w:rPr>
      </w:pPr>
      <w:proofErr w:type="spellStart"/>
      <w:r w:rsidRPr="001D5EBE">
        <w:rPr>
          <w:szCs w:val="22"/>
        </w:rPr>
        <w:t>Gliukokortikoidai</w:t>
      </w:r>
      <w:proofErr w:type="spellEnd"/>
      <w:r w:rsidRPr="001D5EBE">
        <w:rPr>
          <w:szCs w:val="22"/>
        </w:rPr>
        <w:t xml:space="preserve"> </w:t>
      </w:r>
      <w:r w:rsidR="00E23965">
        <w:rPr>
          <w:szCs w:val="22"/>
        </w:rPr>
        <w:t>pereina</w:t>
      </w:r>
      <w:r w:rsidR="00E23965" w:rsidRPr="001D5EBE">
        <w:rPr>
          <w:szCs w:val="22"/>
        </w:rPr>
        <w:t xml:space="preserve"> </w:t>
      </w:r>
      <w:r w:rsidRPr="001D5EBE">
        <w:rPr>
          <w:szCs w:val="22"/>
        </w:rPr>
        <w:t>per ląstelių membranas ir sudaro kompleksus su specifiniais citoplazmos receptoriais. Po to šie kompleksai patenka į ląstelės branduolį, prisijungia prie DNR (</w:t>
      </w:r>
      <w:proofErr w:type="spellStart"/>
      <w:r w:rsidRPr="001D5EBE">
        <w:rPr>
          <w:szCs w:val="22"/>
        </w:rPr>
        <w:t>chromatino</w:t>
      </w:r>
      <w:proofErr w:type="spellEnd"/>
      <w:r w:rsidRPr="001D5EBE">
        <w:rPr>
          <w:szCs w:val="22"/>
        </w:rPr>
        <w:t xml:space="preserve">) ir stimuliuoja </w:t>
      </w:r>
      <w:proofErr w:type="spellStart"/>
      <w:r w:rsidRPr="001D5EBE">
        <w:rPr>
          <w:szCs w:val="22"/>
        </w:rPr>
        <w:t>iRNR</w:t>
      </w:r>
      <w:proofErr w:type="spellEnd"/>
      <w:r w:rsidRPr="001D5EBE">
        <w:rPr>
          <w:szCs w:val="22"/>
        </w:rPr>
        <w:t xml:space="preserve"> transkripciją bei po to vykstančią baltymų (įvairių fermentų) sintezę. Manoma, kad būtent nuo jų priklauso galutiniai poveikiai, kuriuos sukelia sisteminis </w:t>
      </w:r>
      <w:proofErr w:type="spellStart"/>
      <w:r w:rsidRPr="001D5EBE">
        <w:rPr>
          <w:szCs w:val="22"/>
        </w:rPr>
        <w:t>gliukokortikoidų</w:t>
      </w:r>
      <w:proofErr w:type="spellEnd"/>
      <w:r w:rsidRPr="001D5EBE">
        <w:rPr>
          <w:szCs w:val="22"/>
        </w:rPr>
        <w:t xml:space="preserve"> vartojimas. </w:t>
      </w:r>
      <w:proofErr w:type="spellStart"/>
      <w:r w:rsidRPr="001D5EBE">
        <w:rPr>
          <w:szCs w:val="22"/>
        </w:rPr>
        <w:t>Gliukokortikoidai</w:t>
      </w:r>
      <w:proofErr w:type="spellEnd"/>
      <w:r w:rsidRPr="001D5EBE">
        <w:rPr>
          <w:szCs w:val="22"/>
        </w:rPr>
        <w:t xml:space="preserve"> turi svarbios įtakos ne tik uždegiminiams ir imuniniams procesams, bet taip pat angliavandenių, baltymų ir riebalų metabolizmui. Be to, jie veikia širdies ir kraujagyslių sistemą, skeleto raumenis bei centrinę nervų sistemą.</w:t>
      </w:r>
    </w:p>
    <w:p w14:paraId="5C043BBA" w14:textId="77777777" w:rsidR="003F33B8" w:rsidRPr="001D5EBE" w:rsidRDefault="003F33B8" w:rsidP="003F33B8">
      <w:pPr>
        <w:pStyle w:val="Pagrindinistekstas"/>
        <w:numPr>
          <w:ilvl w:val="0"/>
          <w:numId w:val="2"/>
        </w:numPr>
        <w:spacing w:after="0"/>
        <w:rPr>
          <w:szCs w:val="22"/>
        </w:rPr>
      </w:pPr>
      <w:r w:rsidRPr="001D5EBE">
        <w:rPr>
          <w:szCs w:val="22"/>
        </w:rPr>
        <w:t>Poveikis uždegiminiams ir imuniniams procesams:</w:t>
      </w:r>
    </w:p>
    <w:p w14:paraId="2974239E" w14:textId="77777777" w:rsidR="003F33B8" w:rsidRPr="001D5EBE" w:rsidRDefault="003F33B8" w:rsidP="003F33B8">
      <w:pPr>
        <w:pStyle w:val="Pagrindinistekstas"/>
        <w:spacing w:after="0"/>
        <w:ind w:left="360"/>
        <w:rPr>
          <w:szCs w:val="22"/>
        </w:rPr>
      </w:pPr>
      <w:r w:rsidRPr="001D5EBE">
        <w:rPr>
          <w:szCs w:val="22"/>
        </w:rPr>
        <w:t xml:space="preserve">dauguma atvejų </w:t>
      </w:r>
      <w:proofErr w:type="spellStart"/>
      <w:r w:rsidRPr="001D5EBE">
        <w:rPr>
          <w:szCs w:val="22"/>
        </w:rPr>
        <w:t>gliukokortikoidai</w:t>
      </w:r>
      <w:proofErr w:type="spellEnd"/>
      <w:r w:rsidRPr="001D5EBE">
        <w:rPr>
          <w:szCs w:val="22"/>
        </w:rPr>
        <w:t xml:space="preserve"> vartojami dėl antiuždegiminių, imunosupresinių ir </w:t>
      </w:r>
      <w:proofErr w:type="spellStart"/>
      <w:r w:rsidRPr="001D5EBE">
        <w:rPr>
          <w:szCs w:val="22"/>
        </w:rPr>
        <w:t>antialerginių</w:t>
      </w:r>
      <w:proofErr w:type="spellEnd"/>
      <w:r w:rsidRPr="001D5EBE">
        <w:rPr>
          <w:szCs w:val="22"/>
        </w:rPr>
        <w:t xml:space="preserve"> savybių. Tokio vartojimo rezultatas yra:</w:t>
      </w:r>
    </w:p>
    <w:p w14:paraId="67871E17" w14:textId="77777777" w:rsidR="003F33B8" w:rsidRPr="001D5EBE" w:rsidRDefault="003F33B8" w:rsidP="003F33B8">
      <w:pPr>
        <w:pStyle w:val="Pagrindinistekstas"/>
        <w:numPr>
          <w:ilvl w:val="0"/>
          <w:numId w:val="3"/>
        </w:numPr>
        <w:tabs>
          <w:tab w:val="clear" w:pos="360"/>
          <w:tab w:val="num" w:pos="720"/>
        </w:tabs>
        <w:spacing w:after="0"/>
        <w:ind w:left="720"/>
        <w:rPr>
          <w:szCs w:val="22"/>
        </w:rPr>
      </w:pPr>
      <w:r w:rsidRPr="001D5EBE">
        <w:rPr>
          <w:szCs w:val="22"/>
        </w:rPr>
        <w:t xml:space="preserve">netoli uždegimo židinio sumažėja </w:t>
      </w:r>
      <w:proofErr w:type="spellStart"/>
      <w:r w:rsidRPr="001D5EBE">
        <w:rPr>
          <w:szCs w:val="22"/>
        </w:rPr>
        <w:t>imunoaktyvių</w:t>
      </w:r>
      <w:proofErr w:type="spellEnd"/>
      <w:r w:rsidRPr="001D5EBE">
        <w:rPr>
          <w:szCs w:val="22"/>
        </w:rPr>
        <w:t xml:space="preserve"> ląstelių;</w:t>
      </w:r>
    </w:p>
    <w:p w14:paraId="459A5350" w14:textId="77777777" w:rsidR="003F33B8" w:rsidRPr="001D5EBE" w:rsidRDefault="003F33B8" w:rsidP="003F33B8">
      <w:pPr>
        <w:pStyle w:val="Pagrindinistekstas"/>
        <w:numPr>
          <w:ilvl w:val="0"/>
          <w:numId w:val="3"/>
        </w:numPr>
        <w:tabs>
          <w:tab w:val="clear" w:pos="360"/>
          <w:tab w:val="num" w:pos="720"/>
        </w:tabs>
        <w:spacing w:after="0"/>
        <w:ind w:left="720"/>
        <w:rPr>
          <w:szCs w:val="22"/>
        </w:rPr>
      </w:pPr>
      <w:r w:rsidRPr="001D5EBE">
        <w:rPr>
          <w:szCs w:val="22"/>
        </w:rPr>
        <w:t xml:space="preserve">slopinama </w:t>
      </w:r>
      <w:proofErr w:type="spellStart"/>
      <w:r w:rsidRPr="001D5EBE">
        <w:rPr>
          <w:szCs w:val="22"/>
        </w:rPr>
        <w:t>vazodilatacija</w:t>
      </w:r>
      <w:proofErr w:type="spellEnd"/>
      <w:r w:rsidRPr="001D5EBE">
        <w:rPr>
          <w:szCs w:val="22"/>
        </w:rPr>
        <w:t>;</w:t>
      </w:r>
    </w:p>
    <w:p w14:paraId="4C7B00AC" w14:textId="77777777" w:rsidR="003F33B8" w:rsidRPr="001D5EBE" w:rsidRDefault="003F33B8" w:rsidP="003F33B8">
      <w:pPr>
        <w:pStyle w:val="Pagrindinistekstas"/>
        <w:numPr>
          <w:ilvl w:val="0"/>
          <w:numId w:val="3"/>
        </w:numPr>
        <w:tabs>
          <w:tab w:val="clear" w:pos="360"/>
          <w:tab w:val="num" w:pos="720"/>
        </w:tabs>
        <w:spacing w:after="0"/>
        <w:ind w:left="720"/>
        <w:rPr>
          <w:szCs w:val="22"/>
        </w:rPr>
      </w:pPr>
      <w:r w:rsidRPr="001D5EBE">
        <w:rPr>
          <w:szCs w:val="22"/>
        </w:rPr>
        <w:t xml:space="preserve">stabilizuojamos </w:t>
      </w:r>
      <w:proofErr w:type="spellStart"/>
      <w:r w:rsidRPr="001D5EBE">
        <w:rPr>
          <w:szCs w:val="22"/>
        </w:rPr>
        <w:t>lizosomų</w:t>
      </w:r>
      <w:proofErr w:type="spellEnd"/>
      <w:r w:rsidRPr="001D5EBE">
        <w:rPr>
          <w:szCs w:val="22"/>
        </w:rPr>
        <w:t xml:space="preserve"> membranos;</w:t>
      </w:r>
    </w:p>
    <w:p w14:paraId="25D5B3CF" w14:textId="77777777" w:rsidR="003F33B8" w:rsidRPr="001D5EBE" w:rsidRDefault="003F33B8" w:rsidP="003F33B8">
      <w:pPr>
        <w:pStyle w:val="Pagrindinistekstas"/>
        <w:numPr>
          <w:ilvl w:val="0"/>
          <w:numId w:val="3"/>
        </w:numPr>
        <w:tabs>
          <w:tab w:val="clear" w:pos="360"/>
          <w:tab w:val="num" w:pos="720"/>
        </w:tabs>
        <w:spacing w:after="0"/>
        <w:ind w:left="720"/>
        <w:rPr>
          <w:szCs w:val="22"/>
        </w:rPr>
      </w:pPr>
      <w:r w:rsidRPr="001D5EBE">
        <w:rPr>
          <w:szCs w:val="22"/>
        </w:rPr>
        <w:t xml:space="preserve">slopinama </w:t>
      </w:r>
      <w:proofErr w:type="spellStart"/>
      <w:r w:rsidRPr="001D5EBE">
        <w:rPr>
          <w:szCs w:val="22"/>
        </w:rPr>
        <w:t>fagocitozė</w:t>
      </w:r>
      <w:proofErr w:type="spellEnd"/>
      <w:r w:rsidRPr="001D5EBE">
        <w:rPr>
          <w:szCs w:val="22"/>
        </w:rPr>
        <w:t>;</w:t>
      </w:r>
    </w:p>
    <w:p w14:paraId="125FC034" w14:textId="77777777" w:rsidR="003F33B8" w:rsidRPr="001D5EBE" w:rsidRDefault="003F33B8" w:rsidP="003F33B8">
      <w:pPr>
        <w:pStyle w:val="Pagrindinistekstas"/>
        <w:numPr>
          <w:ilvl w:val="0"/>
          <w:numId w:val="3"/>
        </w:numPr>
        <w:tabs>
          <w:tab w:val="clear" w:pos="360"/>
          <w:tab w:val="num" w:pos="720"/>
        </w:tabs>
        <w:spacing w:after="0"/>
        <w:ind w:left="720"/>
        <w:rPr>
          <w:szCs w:val="22"/>
        </w:rPr>
      </w:pPr>
      <w:r w:rsidRPr="001D5EBE">
        <w:rPr>
          <w:szCs w:val="22"/>
        </w:rPr>
        <w:t>sumažėja prostaglandinų ir į juos panašių medžiagų sintezė.</w:t>
      </w:r>
    </w:p>
    <w:p w14:paraId="7E5D409C" w14:textId="77777777" w:rsidR="003F33B8" w:rsidRPr="001D5EBE" w:rsidRDefault="003F33B8" w:rsidP="003F33B8">
      <w:pPr>
        <w:pStyle w:val="Pagrindinistekstas"/>
        <w:spacing w:after="0"/>
        <w:rPr>
          <w:szCs w:val="22"/>
        </w:rPr>
      </w:pPr>
      <w:r w:rsidRPr="001D5EBE">
        <w:rPr>
          <w:szCs w:val="22"/>
        </w:rPr>
        <w:t xml:space="preserve">4 mg </w:t>
      </w:r>
      <w:proofErr w:type="spellStart"/>
      <w:r w:rsidRPr="001D5EBE">
        <w:rPr>
          <w:szCs w:val="22"/>
        </w:rPr>
        <w:t>metilprednizolono</w:t>
      </w:r>
      <w:proofErr w:type="spellEnd"/>
      <w:r w:rsidRPr="001D5EBE">
        <w:rPr>
          <w:szCs w:val="22"/>
        </w:rPr>
        <w:t xml:space="preserve"> dozė sukelia tokį gliukokortikoidinį (antiuždegiminį) poveikį kaip 20 mg hidrokortizono. </w:t>
      </w:r>
      <w:proofErr w:type="spellStart"/>
      <w:r w:rsidRPr="001D5EBE">
        <w:rPr>
          <w:szCs w:val="22"/>
        </w:rPr>
        <w:t>Metilprednizolono</w:t>
      </w:r>
      <w:proofErr w:type="spellEnd"/>
      <w:r w:rsidRPr="001D5EBE">
        <w:rPr>
          <w:szCs w:val="22"/>
        </w:rPr>
        <w:t xml:space="preserve"> </w:t>
      </w:r>
      <w:proofErr w:type="spellStart"/>
      <w:r w:rsidRPr="001D5EBE">
        <w:rPr>
          <w:szCs w:val="22"/>
        </w:rPr>
        <w:t>mineralkortikoidinis</w:t>
      </w:r>
      <w:proofErr w:type="spellEnd"/>
      <w:r w:rsidRPr="001D5EBE">
        <w:rPr>
          <w:szCs w:val="22"/>
        </w:rPr>
        <w:t xml:space="preserve"> poveikis yra minimalus (pagal šį poveikį 200 mg </w:t>
      </w:r>
      <w:proofErr w:type="spellStart"/>
      <w:r w:rsidRPr="001D5EBE">
        <w:rPr>
          <w:szCs w:val="22"/>
        </w:rPr>
        <w:t>metilprednizolono</w:t>
      </w:r>
      <w:proofErr w:type="spellEnd"/>
      <w:r w:rsidRPr="001D5EBE">
        <w:rPr>
          <w:szCs w:val="22"/>
        </w:rPr>
        <w:t xml:space="preserve"> atitinka 1 mg </w:t>
      </w:r>
      <w:proofErr w:type="spellStart"/>
      <w:r w:rsidRPr="001D5EBE">
        <w:rPr>
          <w:szCs w:val="22"/>
        </w:rPr>
        <w:t>dezoksikortikosterono</w:t>
      </w:r>
      <w:proofErr w:type="spellEnd"/>
      <w:r w:rsidRPr="001D5EBE">
        <w:rPr>
          <w:szCs w:val="22"/>
        </w:rPr>
        <w:t>).</w:t>
      </w:r>
    </w:p>
    <w:p w14:paraId="5A84A9F0" w14:textId="77777777" w:rsidR="003F33B8" w:rsidRPr="001D5EBE" w:rsidRDefault="003F33B8" w:rsidP="003F33B8">
      <w:pPr>
        <w:pStyle w:val="Pagrindinistekstas"/>
        <w:numPr>
          <w:ilvl w:val="0"/>
          <w:numId w:val="2"/>
        </w:numPr>
        <w:spacing w:after="0"/>
        <w:rPr>
          <w:szCs w:val="22"/>
        </w:rPr>
      </w:pPr>
      <w:r w:rsidRPr="001D5EBE">
        <w:rPr>
          <w:szCs w:val="22"/>
        </w:rPr>
        <w:t>Poveikis angliavandenių ir baltymų metabolizmui:</w:t>
      </w:r>
    </w:p>
    <w:p w14:paraId="2E785366" w14:textId="77777777" w:rsidR="003F33B8" w:rsidRPr="001D5EBE" w:rsidRDefault="003F33B8" w:rsidP="003F33B8">
      <w:pPr>
        <w:pStyle w:val="Pagrindinistekstas"/>
        <w:spacing w:after="0"/>
        <w:ind w:left="360"/>
        <w:rPr>
          <w:szCs w:val="22"/>
        </w:rPr>
      </w:pPr>
      <w:proofErr w:type="spellStart"/>
      <w:r w:rsidRPr="001D5EBE">
        <w:rPr>
          <w:szCs w:val="22"/>
        </w:rPr>
        <w:t>gliukokortikoidai</w:t>
      </w:r>
      <w:proofErr w:type="spellEnd"/>
      <w:r w:rsidRPr="001D5EBE">
        <w:rPr>
          <w:szCs w:val="22"/>
        </w:rPr>
        <w:t xml:space="preserve"> </w:t>
      </w:r>
      <w:proofErr w:type="spellStart"/>
      <w:r w:rsidRPr="001D5EBE">
        <w:rPr>
          <w:szCs w:val="22"/>
        </w:rPr>
        <w:t>kataboliškai</w:t>
      </w:r>
      <w:proofErr w:type="spellEnd"/>
      <w:r w:rsidRPr="001D5EBE">
        <w:rPr>
          <w:szCs w:val="22"/>
        </w:rPr>
        <w:t xml:space="preserve"> veikia baltymų apykaitą. Susidariusios amino rūgštys, vykstant </w:t>
      </w:r>
      <w:proofErr w:type="spellStart"/>
      <w:r w:rsidRPr="001D5EBE">
        <w:rPr>
          <w:szCs w:val="22"/>
        </w:rPr>
        <w:t>gliukoneogenezei</w:t>
      </w:r>
      <w:proofErr w:type="spellEnd"/>
      <w:r w:rsidRPr="001D5EBE">
        <w:rPr>
          <w:szCs w:val="22"/>
        </w:rPr>
        <w:t xml:space="preserve"> kepenyse, virsta gliukoze ir </w:t>
      </w:r>
      <w:proofErr w:type="spellStart"/>
      <w:r w:rsidRPr="001D5EBE">
        <w:rPr>
          <w:szCs w:val="22"/>
        </w:rPr>
        <w:t>glikogenu</w:t>
      </w:r>
      <w:proofErr w:type="spellEnd"/>
      <w:r w:rsidRPr="001D5EBE">
        <w:rPr>
          <w:szCs w:val="22"/>
        </w:rPr>
        <w:t xml:space="preserve">. Į periferinius audinius patenka mažiau gliukozės, todėl gali pasireikšti hiperglikemija ir </w:t>
      </w:r>
      <w:proofErr w:type="spellStart"/>
      <w:r w:rsidRPr="001D5EBE">
        <w:rPr>
          <w:szCs w:val="22"/>
        </w:rPr>
        <w:t>gliukozurija</w:t>
      </w:r>
      <w:proofErr w:type="spellEnd"/>
      <w:r w:rsidRPr="001D5EBE">
        <w:rPr>
          <w:szCs w:val="22"/>
        </w:rPr>
        <w:t>, ypač pacientams, linkusiems į diabetą.</w:t>
      </w:r>
    </w:p>
    <w:p w14:paraId="59244985" w14:textId="77777777" w:rsidR="003F33B8" w:rsidRPr="001D5EBE" w:rsidRDefault="003F33B8" w:rsidP="003F33B8">
      <w:pPr>
        <w:pStyle w:val="Pagrindinistekstas"/>
        <w:numPr>
          <w:ilvl w:val="0"/>
          <w:numId w:val="2"/>
        </w:numPr>
        <w:spacing w:after="0"/>
        <w:rPr>
          <w:szCs w:val="22"/>
        </w:rPr>
      </w:pPr>
      <w:r w:rsidRPr="001D5EBE">
        <w:rPr>
          <w:szCs w:val="22"/>
        </w:rPr>
        <w:t>Poveikis riebalų metabolizmui:</w:t>
      </w:r>
    </w:p>
    <w:p w14:paraId="60254882" w14:textId="77777777" w:rsidR="003F33B8" w:rsidRPr="001D5EBE" w:rsidRDefault="003F33B8" w:rsidP="003F33B8">
      <w:pPr>
        <w:pStyle w:val="Pagrindinistekstas"/>
        <w:spacing w:after="0"/>
        <w:ind w:left="360"/>
        <w:rPr>
          <w:szCs w:val="22"/>
        </w:rPr>
      </w:pPr>
      <w:proofErr w:type="spellStart"/>
      <w:r w:rsidRPr="001D5EBE">
        <w:rPr>
          <w:szCs w:val="22"/>
        </w:rPr>
        <w:t>gliukokortikoidai</w:t>
      </w:r>
      <w:proofErr w:type="spellEnd"/>
      <w:r w:rsidRPr="001D5EBE">
        <w:rPr>
          <w:szCs w:val="22"/>
        </w:rPr>
        <w:t xml:space="preserve"> sukelia </w:t>
      </w:r>
      <w:proofErr w:type="spellStart"/>
      <w:r w:rsidRPr="001D5EBE">
        <w:rPr>
          <w:szCs w:val="22"/>
        </w:rPr>
        <w:t>lipolizinį</w:t>
      </w:r>
      <w:proofErr w:type="spellEnd"/>
      <w:r w:rsidRPr="001D5EBE">
        <w:rPr>
          <w:szCs w:val="22"/>
        </w:rPr>
        <w:t xml:space="preserve"> poveikį, kuris daugiausia pasireiškia galūnėse. Be to, jie sukelia </w:t>
      </w:r>
      <w:proofErr w:type="spellStart"/>
      <w:r w:rsidRPr="001D5EBE">
        <w:rPr>
          <w:szCs w:val="22"/>
        </w:rPr>
        <w:t>lipogenezinį</w:t>
      </w:r>
      <w:proofErr w:type="spellEnd"/>
      <w:r w:rsidRPr="001D5EBE">
        <w:rPr>
          <w:szCs w:val="22"/>
        </w:rPr>
        <w:t xml:space="preserve"> poveikį, kuris daugiausia pasireiškia krūtinės ir kaklo srityse bei galvoje. Dėl </w:t>
      </w:r>
      <w:r w:rsidR="001974C8" w:rsidRPr="001D5EBE">
        <w:rPr>
          <w:szCs w:val="22"/>
        </w:rPr>
        <w:t>toki</w:t>
      </w:r>
      <w:r w:rsidR="001974C8">
        <w:rPr>
          <w:szCs w:val="22"/>
        </w:rPr>
        <w:t>o</w:t>
      </w:r>
      <w:r w:rsidR="001974C8" w:rsidRPr="001D5EBE">
        <w:rPr>
          <w:szCs w:val="22"/>
        </w:rPr>
        <w:t xml:space="preserve"> </w:t>
      </w:r>
      <w:r w:rsidRPr="001D5EBE">
        <w:rPr>
          <w:szCs w:val="22"/>
        </w:rPr>
        <w:t>poveikio persiskirsto riebalų atsargos.</w:t>
      </w:r>
    </w:p>
    <w:p w14:paraId="115B9139" w14:textId="77777777" w:rsidR="003F33B8" w:rsidRPr="001D5EBE" w:rsidRDefault="003F33B8" w:rsidP="003F33B8">
      <w:pPr>
        <w:pStyle w:val="Pagrindinistekstas"/>
        <w:spacing w:after="0"/>
        <w:rPr>
          <w:szCs w:val="22"/>
        </w:rPr>
      </w:pPr>
      <w:r w:rsidRPr="001D5EBE">
        <w:rPr>
          <w:szCs w:val="22"/>
        </w:rPr>
        <w:t xml:space="preserve">Stipriausias </w:t>
      </w:r>
      <w:proofErr w:type="spellStart"/>
      <w:r w:rsidRPr="001D5EBE">
        <w:rPr>
          <w:szCs w:val="22"/>
        </w:rPr>
        <w:t>gliukokortikoidų</w:t>
      </w:r>
      <w:proofErr w:type="spellEnd"/>
      <w:r w:rsidRPr="001D5EBE">
        <w:rPr>
          <w:szCs w:val="22"/>
        </w:rPr>
        <w:t xml:space="preserve"> farmakologinis poveikis pasireiškia vėliau negu susidaro didžiausia koncentracija kraujyje, todėl galima manyti, kad dauguma šių vaistinių preparatų efektų priklauso nuo fermentų aktyvumo pakitimų, o ne nuo tiesioginio poveikio.</w:t>
      </w:r>
    </w:p>
    <w:p w14:paraId="00DF0410" w14:textId="77777777" w:rsidR="003F33B8" w:rsidRPr="001D5EBE" w:rsidRDefault="003F33B8" w:rsidP="003F33B8">
      <w:pPr>
        <w:pStyle w:val="Pagrindinistekstas"/>
        <w:spacing w:after="0"/>
        <w:rPr>
          <w:szCs w:val="22"/>
        </w:rPr>
      </w:pPr>
    </w:p>
    <w:p w14:paraId="06AB90D0" w14:textId="77777777" w:rsidR="003F33B8" w:rsidRPr="001D5EBE" w:rsidRDefault="003F33B8" w:rsidP="003F33B8">
      <w:pPr>
        <w:pStyle w:val="Antrat3"/>
        <w:rPr>
          <w:szCs w:val="22"/>
        </w:rPr>
      </w:pPr>
      <w:r w:rsidRPr="001D5EBE">
        <w:rPr>
          <w:szCs w:val="22"/>
        </w:rPr>
        <w:t>5.2</w:t>
      </w:r>
      <w:r w:rsidRPr="001D5EBE">
        <w:rPr>
          <w:szCs w:val="22"/>
        </w:rPr>
        <w:tab/>
      </w:r>
      <w:proofErr w:type="spellStart"/>
      <w:r w:rsidRPr="001D5EBE">
        <w:rPr>
          <w:szCs w:val="22"/>
        </w:rPr>
        <w:t>Farmakokinetinės</w:t>
      </w:r>
      <w:proofErr w:type="spellEnd"/>
      <w:r w:rsidRPr="001D5EBE">
        <w:rPr>
          <w:szCs w:val="22"/>
        </w:rPr>
        <w:t xml:space="preserve"> savybės</w:t>
      </w:r>
    </w:p>
    <w:p w14:paraId="7EDF3B79" w14:textId="77777777" w:rsidR="003F33B8" w:rsidRPr="001D5EBE" w:rsidRDefault="003F33B8" w:rsidP="003F33B8">
      <w:pPr>
        <w:pStyle w:val="Pagrindinistekstas"/>
        <w:spacing w:after="0"/>
        <w:rPr>
          <w:szCs w:val="22"/>
        </w:rPr>
      </w:pPr>
    </w:p>
    <w:p w14:paraId="54F99A55" w14:textId="77777777" w:rsidR="003F33B8" w:rsidRPr="001D5EBE" w:rsidRDefault="003F33B8" w:rsidP="003F33B8">
      <w:pPr>
        <w:pStyle w:val="Pagrindinistekstas"/>
        <w:spacing w:after="0"/>
        <w:rPr>
          <w:szCs w:val="22"/>
        </w:rPr>
      </w:pPr>
      <w:proofErr w:type="spellStart"/>
      <w:r w:rsidRPr="001D5EBE">
        <w:rPr>
          <w:szCs w:val="22"/>
        </w:rPr>
        <w:t>Metilprednizolono</w:t>
      </w:r>
      <w:proofErr w:type="spellEnd"/>
      <w:r w:rsidRPr="001D5EBE">
        <w:rPr>
          <w:szCs w:val="22"/>
        </w:rPr>
        <w:t xml:space="preserve"> </w:t>
      </w:r>
      <w:proofErr w:type="spellStart"/>
      <w:r w:rsidRPr="001D5EBE">
        <w:rPr>
          <w:szCs w:val="22"/>
        </w:rPr>
        <w:t>farmakokinetika</w:t>
      </w:r>
      <w:proofErr w:type="spellEnd"/>
      <w:r w:rsidRPr="001D5EBE">
        <w:rPr>
          <w:szCs w:val="22"/>
        </w:rPr>
        <w:t xml:space="preserve"> yra linijinė ir nepriklauso nuo vartojimo būdo.</w:t>
      </w:r>
    </w:p>
    <w:p w14:paraId="06A295C2" w14:textId="77777777" w:rsidR="003F33B8" w:rsidRPr="001D5EBE" w:rsidRDefault="003F33B8" w:rsidP="003F33B8">
      <w:pPr>
        <w:pStyle w:val="Pagrindinistekstas"/>
        <w:spacing w:after="0"/>
        <w:rPr>
          <w:szCs w:val="22"/>
        </w:rPr>
      </w:pPr>
    </w:p>
    <w:p w14:paraId="2657F604" w14:textId="77777777" w:rsidR="003F33B8" w:rsidRPr="00FD3FE1" w:rsidRDefault="00F278F6" w:rsidP="003F33B8">
      <w:pPr>
        <w:pStyle w:val="Pagrindinistekstas"/>
        <w:spacing w:after="0"/>
        <w:rPr>
          <w:u w:val="single"/>
        </w:rPr>
      </w:pPr>
      <w:r w:rsidRPr="00FD3FE1">
        <w:rPr>
          <w:u w:val="single"/>
        </w:rPr>
        <w:t>Absorbcija</w:t>
      </w:r>
    </w:p>
    <w:p w14:paraId="1785B652" w14:textId="77777777" w:rsidR="003F33B8" w:rsidRPr="001D5EBE" w:rsidRDefault="003F33B8" w:rsidP="003F33B8">
      <w:pPr>
        <w:pStyle w:val="Pagrindinistekstas"/>
        <w:spacing w:after="0"/>
        <w:rPr>
          <w:szCs w:val="22"/>
        </w:rPr>
      </w:pPr>
      <w:proofErr w:type="spellStart"/>
      <w:r w:rsidRPr="001D5EBE">
        <w:rPr>
          <w:i/>
          <w:szCs w:val="22"/>
        </w:rPr>
        <w:t>In</w:t>
      </w:r>
      <w:proofErr w:type="spellEnd"/>
      <w:r w:rsidRPr="001D5EBE">
        <w:rPr>
          <w:i/>
          <w:szCs w:val="22"/>
        </w:rPr>
        <w:t xml:space="preserve"> </w:t>
      </w:r>
      <w:proofErr w:type="spellStart"/>
      <w:r w:rsidRPr="001D5EBE">
        <w:rPr>
          <w:i/>
          <w:szCs w:val="22"/>
        </w:rPr>
        <w:t>vivo</w:t>
      </w:r>
      <w:proofErr w:type="spellEnd"/>
      <w:r w:rsidRPr="001D5EBE">
        <w:rPr>
          <w:i/>
          <w:szCs w:val="22"/>
        </w:rPr>
        <w:t>,</w:t>
      </w:r>
      <w:r w:rsidRPr="001D5EBE">
        <w:rPr>
          <w:szCs w:val="22"/>
        </w:rPr>
        <w:t xml:space="preserve"> </w:t>
      </w:r>
      <w:proofErr w:type="spellStart"/>
      <w:r w:rsidRPr="001D5EBE">
        <w:rPr>
          <w:szCs w:val="22"/>
        </w:rPr>
        <w:t>cholinesterazės</w:t>
      </w:r>
      <w:proofErr w:type="spellEnd"/>
      <w:r w:rsidRPr="001D5EBE">
        <w:rPr>
          <w:szCs w:val="22"/>
        </w:rPr>
        <w:t xml:space="preserve"> greitai hidrolizuoja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sukcinatą</w:t>
      </w:r>
      <w:proofErr w:type="spellEnd"/>
      <w:r w:rsidRPr="001D5EBE">
        <w:rPr>
          <w:szCs w:val="22"/>
        </w:rPr>
        <w:t xml:space="preserve"> į laisvą </w:t>
      </w:r>
      <w:proofErr w:type="spellStart"/>
      <w:r w:rsidRPr="001D5EBE">
        <w:rPr>
          <w:szCs w:val="22"/>
        </w:rPr>
        <w:t>metilprednizoloną</w:t>
      </w:r>
      <w:proofErr w:type="spellEnd"/>
      <w:r w:rsidRPr="001D5EBE">
        <w:rPr>
          <w:szCs w:val="22"/>
        </w:rPr>
        <w:t>.</w:t>
      </w:r>
    </w:p>
    <w:p w14:paraId="7FB02A79" w14:textId="77777777" w:rsidR="003F33B8" w:rsidRPr="001D5EBE" w:rsidRDefault="003F33B8" w:rsidP="003F33B8">
      <w:pPr>
        <w:pStyle w:val="Pagrindinistekstas"/>
        <w:spacing w:after="0"/>
        <w:rPr>
          <w:szCs w:val="22"/>
        </w:rPr>
      </w:pPr>
      <w:r w:rsidRPr="001D5EBE">
        <w:rPr>
          <w:szCs w:val="22"/>
        </w:rPr>
        <w:t xml:space="preserve">Žmogaus organizme maždaug 40-90 proc. </w:t>
      </w:r>
      <w:proofErr w:type="spellStart"/>
      <w:r w:rsidRPr="001D5EBE">
        <w:rPr>
          <w:szCs w:val="22"/>
        </w:rPr>
        <w:t>metilprednizolono</w:t>
      </w:r>
      <w:proofErr w:type="spellEnd"/>
      <w:r w:rsidRPr="001D5EBE">
        <w:rPr>
          <w:szCs w:val="22"/>
        </w:rPr>
        <w:t xml:space="preserve"> sudaro silpnas </w:t>
      </w:r>
      <w:proofErr w:type="spellStart"/>
      <w:r w:rsidRPr="001D5EBE">
        <w:rPr>
          <w:szCs w:val="22"/>
        </w:rPr>
        <w:t>disocijuojančias</w:t>
      </w:r>
      <w:proofErr w:type="spellEnd"/>
      <w:r w:rsidRPr="001D5EBE">
        <w:rPr>
          <w:szCs w:val="22"/>
        </w:rPr>
        <w:t xml:space="preserve"> jungtis su </w:t>
      </w:r>
      <w:proofErr w:type="spellStart"/>
      <w:r w:rsidRPr="001D5EBE">
        <w:rPr>
          <w:szCs w:val="22"/>
        </w:rPr>
        <w:t>albuminais</w:t>
      </w:r>
      <w:proofErr w:type="spellEnd"/>
      <w:r w:rsidRPr="001D5EBE">
        <w:rPr>
          <w:szCs w:val="22"/>
        </w:rPr>
        <w:t xml:space="preserve"> ir </w:t>
      </w:r>
      <w:proofErr w:type="spellStart"/>
      <w:r w:rsidRPr="001D5EBE">
        <w:rPr>
          <w:szCs w:val="22"/>
        </w:rPr>
        <w:t>transkortinu</w:t>
      </w:r>
      <w:proofErr w:type="spellEnd"/>
      <w:r w:rsidRPr="001D5EBE">
        <w:rPr>
          <w:szCs w:val="22"/>
        </w:rPr>
        <w:t>.</w:t>
      </w:r>
    </w:p>
    <w:p w14:paraId="245A5720" w14:textId="77777777" w:rsidR="003F33B8" w:rsidRPr="001D5EBE" w:rsidRDefault="003F33B8" w:rsidP="003F33B8">
      <w:pPr>
        <w:pStyle w:val="Pagrindinistekstas"/>
        <w:spacing w:after="0"/>
        <w:rPr>
          <w:szCs w:val="22"/>
        </w:rPr>
      </w:pPr>
    </w:p>
    <w:p w14:paraId="38CD2125" w14:textId="77777777" w:rsidR="003F33B8" w:rsidRPr="001D5EBE" w:rsidRDefault="00E23965" w:rsidP="003F33B8">
      <w:pPr>
        <w:pStyle w:val="Pagrindinistekstas"/>
        <w:spacing w:after="0"/>
        <w:rPr>
          <w:szCs w:val="22"/>
        </w:rPr>
      </w:pPr>
      <w:r>
        <w:rPr>
          <w:szCs w:val="22"/>
        </w:rPr>
        <w:t>Suleidus</w:t>
      </w:r>
      <w:r w:rsidRPr="001D5EBE">
        <w:rPr>
          <w:szCs w:val="22"/>
        </w:rPr>
        <w:t xml:space="preserve"> </w:t>
      </w:r>
      <w:r w:rsidR="003F33B8" w:rsidRPr="001D5EBE">
        <w:rPr>
          <w:szCs w:val="22"/>
        </w:rPr>
        <w:t xml:space="preserve">30 mg/kg per 20 min. arba 1 g per 30-60 min. į veną, didžiausia </w:t>
      </w:r>
      <w:proofErr w:type="spellStart"/>
      <w:r w:rsidR="003F33B8" w:rsidRPr="001D5EBE">
        <w:rPr>
          <w:szCs w:val="22"/>
        </w:rPr>
        <w:t>metilprednizolono</w:t>
      </w:r>
      <w:proofErr w:type="spellEnd"/>
      <w:r w:rsidR="003F33B8" w:rsidRPr="001D5EBE">
        <w:rPr>
          <w:szCs w:val="22"/>
        </w:rPr>
        <w:t xml:space="preserve"> koncentracija plazmoje (apie 20 </w:t>
      </w:r>
      <w:r w:rsidR="003F33B8" w:rsidRPr="001D5EBE">
        <w:rPr>
          <w:szCs w:val="22"/>
        </w:rPr>
        <w:sym w:font="Symbol" w:char="F06D"/>
      </w:r>
      <w:r w:rsidR="003F33B8" w:rsidRPr="001D5EBE">
        <w:rPr>
          <w:szCs w:val="22"/>
        </w:rPr>
        <w:t xml:space="preserve">g/ml) susidaro maždaug po 15 min. </w:t>
      </w:r>
      <w:r>
        <w:rPr>
          <w:szCs w:val="22"/>
        </w:rPr>
        <w:t>Suleidus</w:t>
      </w:r>
      <w:r w:rsidRPr="001D5EBE">
        <w:rPr>
          <w:szCs w:val="22"/>
        </w:rPr>
        <w:t xml:space="preserve"> </w:t>
      </w:r>
      <w:r w:rsidR="003F33B8" w:rsidRPr="001D5EBE">
        <w:rPr>
          <w:szCs w:val="22"/>
        </w:rPr>
        <w:t xml:space="preserve">40 mg į veną </w:t>
      </w:r>
      <w:proofErr w:type="spellStart"/>
      <w:r w:rsidR="003F33B8" w:rsidRPr="001D5EBE">
        <w:rPr>
          <w:szCs w:val="22"/>
        </w:rPr>
        <w:t>boliusu</w:t>
      </w:r>
      <w:proofErr w:type="spellEnd"/>
      <w:r w:rsidR="003F33B8" w:rsidRPr="001D5EBE">
        <w:rPr>
          <w:szCs w:val="22"/>
        </w:rPr>
        <w:t xml:space="preserve">, didžiausia </w:t>
      </w:r>
      <w:proofErr w:type="spellStart"/>
      <w:r w:rsidR="003F33B8" w:rsidRPr="001D5EBE">
        <w:rPr>
          <w:szCs w:val="22"/>
        </w:rPr>
        <w:t>metilprednizolono</w:t>
      </w:r>
      <w:proofErr w:type="spellEnd"/>
      <w:r w:rsidR="003F33B8" w:rsidRPr="001D5EBE">
        <w:rPr>
          <w:szCs w:val="22"/>
        </w:rPr>
        <w:t xml:space="preserve"> koncentracija plazmoje (42-47 </w:t>
      </w:r>
      <w:r w:rsidR="003F33B8" w:rsidRPr="001D5EBE">
        <w:rPr>
          <w:szCs w:val="22"/>
        </w:rPr>
        <w:sym w:font="Symbol" w:char="F06D"/>
      </w:r>
      <w:r w:rsidR="003F33B8" w:rsidRPr="001D5EBE">
        <w:rPr>
          <w:szCs w:val="22"/>
        </w:rPr>
        <w:t xml:space="preserve">g/100 ml) susidaro maždaug po 25 min. </w:t>
      </w:r>
      <w:r>
        <w:rPr>
          <w:szCs w:val="22"/>
        </w:rPr>
        <w:t>Suleidus</w:t>
      </w:r>
      <w:r w:rsidRPr="001D5EBE">
        <w:rPr>
          <w:szCs w:val="22"/>
        </w:rPr>
        <w:t xml:space="preserve"> </w:t>
      </w:r>
      <w:r w:rsidR="003F33B8" w:rsidRPr="001D5EBE">
        <w:rPr>
          <w:szCs w:val="22"/>
        </w:rPr>
        <w:t xml:space="preserve">40 mg į raumenis, didžiausia </w:t>
      </w:r>
      <w:proofErr w:type="spellStart"/>
      <w:r w:rsidR="003F33B8" w:rsidRPr="001D5EBE">
        <w:rPr>
          <w:szCs w:val="22"/>
        </w:rPr>
        <w:t>metilprednizolono</w:t>
      </w:r>
      <w:proofErr w:type="spellEnd"/>
      <w:r w:rsidR="003F33B8" w:rsidRPr="001D5EBE">
        <w:rPr>
          <w:szCs w:val="22"/>
        </w:rPr>
        <w:t xml:space="preserve"> koncentracija plazmoje (34 </w:t>
      </w:r>
      <w:r w:rsidR="003F33B8" w:rsidRPr="001D5EBE">
        <w:rPr>
          <w:szCs w:val="22"/>
        </w:rPr>
        <w:sym w:font="Symbol" w:char="F06D"/>
      </w:r>
      <w:r w:rsidR="003F33B8" w:rsidRPr="001D5EBE">
        <w:rPr>
          <w:szCs w:val="22"/>
        </w:rPr>
        <w:t xml:space="preserve">g/100 ml) susidaro maždaug po 120 min. Didžiausia </w:t>
      </w:r>
      <w:proofErr w:type="spellStart"/>
      <w:r w:rsidR="003F33B8" w:rsidRPr="001D5EBE">
        <w:rPr>
          <w:szCs w:val="22"/>
        </w:rPr>
        <w:t>metilprednizolono</w:t>
      </w:r>
      <w:proofErr w:type="spellEnd"/>
      <w:r w:rsidR="003F33B8" w:rsidRPr="001D5EBE">
        <w:rPr>
          <w:szCs w:val="22"/>
        </w:rPr>
        <w:t xml:space="preserve"> koncentracija plazmoje, </w:t>
      </w:r>
      <w:r>
        <w:rPr>
          <w:szCs w:val="22"/>
        </w:rPr>
        <w:t>suleidus</w:t>
      </w:r>
      <w:r w:rsidRPr="001D5EBE">
        <w:rPr>
          <w:szCs w:val="22"/>
        </w:rPr>
        <w:t xml:space="preserve"> </w:t>
      </w:r>
      <w:r w:rsidR="003F33B8" w:rsidRPr="001D5EBE">
        <w:rPr>
          <w:szCs w:val="22"/>
        </w:rPr>
        <w:t xml:space="preserve">šio vaistinio preparato į raumenis, būna mažesnė negu </w:t>
      </w:r>
      <w:r w:rsidR="001974C8">
        <w:rPr>
          <w:szCs w:val="22"/>
        </w:rPr>
        <w:t>s</w:t>
      </w:r>
      <w:r>
        <w:rPr>
          <w:szCs w:val="22"/>
        </w:rPr>
        <w:t>uleidus</w:t>
      </w:r>
      <w:r w:rsidRPr="001D5EBE">
        <w:rPr>
          <w:szCs w:val="22"/>
        </w:rPr>
        <w:t xml:space="preserve"> </w:t>
      </w:r>
      <w:r w:rsidR="003F33B8" w:rsidRPr="001D5EBE">
        <w:rPr>
          <w:szCs w:val="22"/>
        </w:rPr>
        <w:t xml:space="preserve">į veną. Vis dėlto, </w:t>
      </w:r>
      <w:r>
        <w:rPr>
          <w:szCs w:val="22"/>
        </w:rPr>
        <w:t>suleidus</w:t>
      </w:r>
      <w:r w:rsidRPr="001D5EBE">
        <w:rPr>
          <w:szCs w:val="22"/>
        </w:rPr>
        <w:t xml:space="preserve"> </w:t>
      </w:r>
      <w:r w:rsidR="003F33B8" w:rsidRPr="001D5EBE">
        <w:rPr>
          <w:szCs w:val="22"/>
        </w:rPr>
        <w:t xml:space="preserve">į raumenis, tam tikra koncentracija plazmoje išlieka ilgiau, tad, vartojant abiem būdais, organizmą veikia vienodas </w:t>
      </w:r>
      <w:proofErr w:type="spellStart"/>
      <w:r w:rsidR="003F33B8" w:rsidRPr="001D5EBE">
        <w:rPr>
          <w:szCs w:val="22"/>
        </w:rPr>
        <w:t>metilprednizolono</w:t>
      </w:r>
      <w:proofErr w:type="spellEnd"/>
      <w:r w:rsidR="003F33B8" w:rsidRPr="001D5EBE">
        <w:rPr>
          <w:szCs w:val="22"/>
        </w:rPr>
        <w:t xml:space="preserve"> kiekis. Atsižvelgiant į </w:t>
      </w:r>
      <w:proofErr w:type="spellStart"/>
      <w:r w:rsidR="003F33B8" w:rsidRPr="001D5EBE">
        <w:rPr>
          <w:szCs w:val="22"/>
        </w:rPr>
        <w:t>gliukokortikoidų</w:t>
      </w:r>
      <w:proofErr w:type="spellEnd"/>
      <w:r w:rsidR="003F33B8" w:rsidRPr="001D5EBE">
        <w:rPr>
          <w:szCs w:val="22"/>
        </w:rPr>
        <w:t xml:space="preserve"> veikimo mechanizmą, šių mažų </w:t>
      </w:r>
      <w:proofErr w:type="spellStart"/>
      <w:r w:rsidR="003F33B8" w:rsidRPr="001D5EBE">
        <w:rPr>
          <w:szCs w:val="22"/>
        </w:rPr>
        <w:t>farmakokinetikos</w:t>
      </w:r>
      <w:proofErr w:type="spellEnd"/>
      <w:r w:rsidR="003F33B8" w:rsidRPr="001D5EBE">
        <w:rPr>
          <w:szCs w:val="22"/>
        </w:rPr>
        <w:t xml:space="preserve"> skirtumų, vartojant į veną ir į raumenis, klinikinė reikšmė tikriausiai yra minimali.</w:t>
      </w:r>
    </w:p>
    <w:p w14:paraId="307D5CF6" w14:textId="77777777" w:rsidR="003F33B8" w:rsidRPr="001D5EBE" w:rsidRDefault="003F33B8" w:rsidP="003F33B8">
      <w:pPr>
        <w:pStyle w:val="Pagrindinistekstas"/>
        <w:spacing w:after="0"/>
        <w:rPr>
          <w:szCs w:val="22"/>
        </w:rPr>
      </w:pPr>
    </w:p>
    <w:p w14:paraId="54641F02" w14:textId="77777777" w:rsidR="003F33B8" w:rsidRPr="00FD3FE1" w:rsidRDefault="00F278F6" w:rsidP="003F33B8">
      <w:pPr>
        <w:pStyle w:val="Pagrindinistekstas"/>
        <w:spacing w:after="0"/>
        <w:rPr>
          <w:u w:val="single"/>
        </w:rPr>
      </w:pPr>
      <w:r w:rsidRPr="00FD3FE1">
        <w:rPr>
          <w:u w:val="single"/>
        </w:rPr>
        <w:t>Pasiskirstymas</w:t>
      </w:r>
    </w:p>
    <w:p w14:paraId="2006812C" w14:textId="77777777" w:rsidR="003F33B8" w:rsidRPr="001D5EBE" w:rsidRDefault="003F33B8" w:rsidP="003F33B8">
      <w:pPr>
        <w:pStyle w:val="Pagrindinistekstas"/>
        <w:spacing w:after="0"/>
        <w:rPr>
          <w:szCs w:val="22"/>
        </w:rPr>
      </w:pPr>
      <w:r w:rsidRPr="001D5EBE">
        <w:rPr>
          <w:szCs w:val="22"/>
        </w:rPr>
        <w:t>Pavartojus šio vaistinio preparato, klinikinis atsakas paprastai pasireiškia po 4-6 val. Gydant bronchinę astmą, pirmuosius palankius poveikius galima pastebėti jau po 1-2 val. Manoma, kad nuo vartojimo būdo jis nepriklauso.</w:t>
      </w:r>
    </w:p>
    <w:p w14:paraId="3496289C" w14:textId="77777777" w:rsidR="003F33B8" w:rsidRPr="001D5EBE" w:rsidRDefault="003F33B8" w:rsidP="003F33B8">
      <w:pPr>
        <w:pStyle w:val="Pagrindinistekstas"/>
        <w:spacing w:after="0"/>
        <w:rPr>
          <w:szCs w:val="22"/>
        </w:rPr>
      </w:pPr>
    </w:p>
    <w:p w14:paraId="7FA0C847" w14:textId="77777777" w:rsidR="003F33B8" w:rsidRPr="001D5EBE" w:rsidRDefault="003F33B8" w:rsidP="003F33B8">
      <w:pPr>
        <w:pStyle w:val="Pagrindinistekstas"/>
        <w:spacing w:after="0"/>
        <w:rPr>
          <w:szCs w:val="22"/>
        </w:rPr>
      </w:pPr>
      <w:r w:rsidRPr="001D5EBE">
        <w:rPr>
          <w:szCs w:val="22"/>
        </w:rPr>
        <w:t xml:space="preserve">Bendrasis vidutinis </w:t>
      </w:r>
      <w:proofErr w:type="spellStart"/>
      <w:r w:rsidRPr="001D5EBE">
        <w:rPr>
          <w:szCs w:val="22"/>
        </w:rPr>
        <w:t>metilprednizolono</w:t>
      </w:r>
      <w:proofErr w:type="spellEnd"/>
      <w:r w:rsidRPr="001D5EBE">
        <w:rPr>
          <w:szCs w:val="22"/>
        </w:rPr>
        <w:t xml:space="preserve"> pusinės eliminacijos laikas yra 1,8</w:t>
      </w:r>
      <w:r w:rsidRPr="001D5EBE">
        <w:rPr>
          <w:szCs w:val="22"/>
        </w:rPr>
        <w:noBreakHyphen/>
        <w:t>5,2 val. Tariamasis pasiskirstymo tūris yra maždaug 1,4 ml/kg kūno svorio, bendrasis klirensas yra 5-6 ml/min./kg kūno svorio.</w:t>
      </w:r>
    </w:p>
    <w:p w14:paraId="5630434D" w14:textId="77777777" w:rsidR="003F33B8" w:rsidRPr="001D5EBE" w:rsidRDefault="003F33B8" w:rsidP="003F33B8">
      <w:pPr>
        <w:pStyle w:val="Pagrindinistekstas"/>
        <w:spacing w:after="0"/>
        <w:rPr>
          <w:szCs w:val="22"/>
        </w:rPr>
      </w:pPr>
    </w:p>
    <w:p w14:paraId="1492D663" w14:textId="77777777" w:rsidR="003F33B8" w:rsidRPr="001D5EBE" w:rsidRDefault="003F33B8" w:rsidP="003F33B8">
      <w:pPr>
        <w:pStyle w:val="Pagrindinistekstas"/>
        <w:spacing w:after="0"/>
        <w:rPr>
          <w:szCs w:val="22"/>
        </w:rPr>
      </w:pPr>
      <w:proofErr w:type="spellStart"/>
      <w:r w:rsidRPr="001D5EBE">
        <w:rPr>
          <w:szCs w:val="22"/>
        </w:rPr>
        <w:t>Metilprednizolonas</w:t>
      </w:r>
      <w:proofErr w:type="spellEnd"/>
      <w:r w:rsidRPr="001D5EBE">
        <w:rPr>
          <w:szCs w:val="22"/>
        </w:rPr>
        <w:t xml:space="preserve"> yra </w:t>
      </w:r>
      <w:proofErr w:type="spellStart"/>
      <w:r w:rsidRPr="001D5EBE">
        <w:rPr>
          <w:szCs w:val="22"/>
        </w:rPr>
        <w:t>gliukokortikoidas</w:t>
      </w:r>
      <w:proofErr w:type="spellEnd"/>
      <w:r w:rsidRPr="001D5EBE">
        <w:rPr>
          <w:szCs w:val="22"/>
        </w:rPr>
        <w:t xml:space="preserve">, kurio veikimo trukmė vidutinė. Jo biologinis </w:t>
      </w:r>
      <w:proofErr w:type="spellStart"/>
      <w:r w:rsidRPr="001D5EBE">
        <w:rPr>
          <w:szCs w:val="22"/>
        </w:rPr>
        <w:t>pusperiodis</w:t>
      </w:r>
      <w:proofErr w:type="spellEnd"/>
      <w:r w:rsidRPr="001D5EBE">
        <w:rPr>
          <w:szCs w:val="22"/>
        </w:rPr>
        <w:t xml:space="preserve"> – 12-36 val. </w:t>
      </w:r>
      <w:proofErr w:type="spellStart"/>
      <w:r w:rsidRPr="001D5EBE">
        <w:rPr>
          <w:szCs w:val="22"/>
        </w:rPr>
        <w:t>Gliukokortikoidai</w:t>
      </w:r>
      <w:proofErr w:type="spellEnd"/>
      <w:r w:rsidRPr="001D5EBE">
        <w:rPr>
          <w:szCs w:val="22"/>
        </w:rPr>
        <w:t xml:space="preserve"> veikia ląstelių viduje, todėl jų </w:t>
      </w:r>
      <w:proofErr w:type="spellStart"/>
      <w:r w:rsidRPr="001D5EBE">
        <w:rPr>
          <w:szCs w:val="22"/>
        </w:rPr>
        <w:t>pusperiodis</w:t>
      </w:r>
      <w:proofErr w:type="spellEnd"/>
      <w:r w:rsidRPr="001D5EBE">
        <w:rPr>
          <w:szCs w:val="22"/>
        </w:rPr>
        <w:t xml:space="preserve"> plazmoje ir farmakologinis </w:t>
      </w:r>
      <w:proofErr w:type="spellStart"/>
      <w:r w:rsidRPr="001D5EBE">
        <w:rPr>
          <w:szCs w:val="22"/>
        </w:rPr>
        <w:t>pusperiodis</w:t>
      </w:r>
      <w:proofErr w:type="spellEnd"/>
      <w:r w:rsidRPr="001D5EBE">
        <w:rPr>
          <w:szCs w:val="22"/>
        </w:rPr>
        <w:t xml:space="preserve"> gerokai skiriasi. Kai koncentracijos plazmoje išmatuoti jau nebegalima, farmakologinis poveikis dar išlieka. </w:t>
      </w:r>
      <w:proofErr w:type="spellStart"/>
      <w:r w:rsidRPr="001D5EBE">
        <w:rPr>
          <w:szCs w:val="22"/>
        </w:rPr>
        <w:t>Gliukokortikoidų</w:t>
      </w:r>
      <w:proofErr w:type="spellEnd"/>
      <w:r w:rsidRPr="001D5EBE">
        <w:rPr>
          <w:szCs w:val="22"/>
        </w:rPr>
        <w:t xml:space="preserve"> </w:t>
      </w:r>
      <w:r w:rsidR="00E23965">
        <w:rPr>
          <w:szCs w:val="22"/>
        </w:rPr>
        <w:t>prieš</w:t>
      </w:r>
      <w:r w:rsidR="00E23965" w:rsidRPr="001D5EBE">
        <w:rPr>
          <w:szCs w:val="22"/>
        </w:rPr>
        <w:t xml:space="preserve">uždegiminio </w:t>
      </w:r>
      <w:r w:rsidRPr="001D5EBE">
        <w:rPr>
          <w:szCs w:val="22"/>
        </w:rPr>
        <w:t xml:space="preserve">poveikio trukmė yra maždaug tokia pati kaip pogumburio, </w:t>
      </w:r>
      <w:proofErr w:type="spellStart"/>
      <w:r w:rsidRPr="001D5EBE">
        <w:rPr>
          <w:szCs w:val="22"/>
        </w:rPr>
        <w:t>hipofizio</w:t>
      </w:r>
      <w:proofErr w:type="spellEnd"/>
      <w:r w:rsidRPr="001D5EBE">
        <w:rPr>
          <w:szCs w:val="22"/>
        </w:rPr>
        <w:t xml:space="preserve"> ir antinksčių grandinės slopinimo trukmė.</w:t>
      </w:r>
    </w:p>
    <w:p w14:paraId="60375FA4" w14:textId="77777777" w:rsidR="003F33B8" w:rsidRPr="001D5EBE" w:rsidRDefault="003F33B8" w:rsidP="003F33B8">
      <w:pPr>
        <w:pStyle w:val="Pagrindinistekstas"/>
        <w:spacing w:after="0"/>
        <w:rPr>
          <w:iCs/>
          <w:szCs w:val="22"/>
        </w:rPr>
      </w:pPr>
    </w:p>
    <w:p w14:paraId="475D01F3" w14:textId="77777777" w:rsidR="003F33B8" w:rsidRPr="001D5EBE" w:rsidRDefault="003F33B8" w:rsidP="003F33B8">
      <w:pPr>
        <w:pStyle w:val="Pagrindinistekstas"/>
        <w:spacing w:after="0"/>
        <w:rPr>
          <w:szCs w:val="22"/>
        </w:rPr>
      </w:pPr>
      <w:proofErr w:type="spellStart"/>
      <w:r w:rsidRPr="001D5EBE">
        <w:rPr>
          <w:szCs w:val="22"/>
        </w:rPr>
        <w:t>Metilprednizolonas</w:t>
      </w:r>
      <w:proofErr w:type="spellEnd"/>
      <w:r w:rsidRPr="001D5EBE">
        <w:rPr>
          <w:szCs w:val="22"/>
        </w:rPr>
        <w:t xml:space="preserve"> plačiai pasiskirsto audiniuose, prasiskverbia per kraujo ir smegenų barjerą ir išsiskiria į moters pieną. Tariamasis pasiskirstymo tūris yra maždaug 1,4 l/kg kūno masės. Žmogaus organizme prie plazmos baltymų jungiasi maždaug 77</w:t>
      </w:r>
      <w:r w:rsidR="00E23965">
        <w:rPr>
          <w:szCs w:val="22"/>
        </w:rPr>
        <w:t xml:space="preserve"> proc.</w:t>
      </w:r>
      <w:r w:rsidRPr="001D5EBE">
        <w:rPr>
          <w:szCs w:val="22"/>
        </w:rPr>
        <w:t xml:space="preserve"> </w:t>
      </w:r>
      <w:proofErr w:type="spellStart"/>
      <w:r w:rsidRPr="001D5EBE">
        <w:rPr>
          <w:szCs w:val="22"/>
        </w:rPr>
        <w:t>metilprednizolono</w:t>
      </w:r>
      <w:proofErr w:type="spellEnd"/>
      <w:r w:rsidRPr="001D5EBE">
        <w:rPr>
          <w:szCs w:val="22"/>
        </w:rPr>
        <w:t>.</w:t>
      </w:r>
    </w:p>
    <w:p w14:paraId="5620AC48" w14:textId="77777777" w:rsidR="003F33B8" w:rsidRPr="001D5EBE" w:rsidRDefault="003F33B8" w:rsidP="003F33B8">
      <w:pPr>
        <w:pStyle w:val="Pagrindinistekstas"/>
        <w:spacing w:after="0"/>
        <w:rPr>
          <w:iCs/>
          <w:szCs w:val="22"/>
        </w:rPr>
      </w:pPr>
    </w:p>
    <w:p w14:paraId="3E7E1A4D" w14:textId="77777777" w:rsidR="003F33B8" w:rsidRPr="00FD3FE1" w:rsidRDefault="00F278F6" w:rsidP="003F33B8">
      <w:pPr>
        <w:pStyle w:val="Pagrindinistekstas"/>
        <w:spacing w:after="0"/>
        <w:rPr>
          <w:u w:val="single"/>
        </w:rPr>
      </w:pPr>
      <w:proofErr w:type="spellStart"/>
      <w:r w:rsidRPr="00FD3FE1">
        <w:rPr>
          <w:u w:val="single"/>
        </w:rPr>
        <w:t>Biotransformacija</w:t>
      </w:r>
      <w:proofErr w:type="spellEnd"/>
    </w:p>
    <w:p w14:paraId="06C3D524" w14:textId="77777777" w:rsidR="003F33B8" w:rsidRPr="001D5EBE" w:rsidRDefault="003F33B8" w:rsidP="003F33B8">
      <w:pPr>
        <w:pStyle w:val="Pagrindinistekstas"/>
        <w:spacing w:after="0"/>
        <w:rPr>
          <w:szCs w:val="22"/>
        </w:rPr>
      </w:pPr>
      <w:r w:rsidRPr="001D5EBE">
        <w:rPr>
          <w:szCs w:val="22"/>
        </w:rPr>
        <w:t xml:space="preserve">Žmogaus organizme </w:t>
      </w:r>
      <w:proofErr w:type="spellStart"/>
      <w:r w:rsidRPr="001D5EBE">
        <w:rPr>
          <w:szCs w:val="22"/>
        </w:rPr>
        <w:t>metilprednizolono</w:t>
      </w:r>
      <w:proofErr w:type="spellEnd"/>
      <w:r w:rsidRPr="001D5EBE">
        <w:rPr>
          <w:szCs w:val="22"/>
        </w:rPr>
        <w:t xml:space="preserve"> metabolizmas vyksta kepenyse, susidaro neaktyvių metabolitų. Kokybiniu požiūriu jis yra panašus į kortizolio. Pagrindiniai metabolitai yra 20-</w:t>
      </w:r>
      <w:r w:rsidRPr="001D5EBE">
        <w:rPr>
          <w:szCs w:val="22"/>
        </w:rPr>
        <w:sym w:font="Symbol" w:char="F061"/>
      </w:r>
      <w:r w:rsidRPr="001D5EBE">
        <w:rPr>
          <w:szCs w:val="22"/>
        </w:rPr>
        <w:t>-</w:t>
      </w:r>
      <w:proofErr w:type="spellStart"/>
      <w:r w:rsidRPr="001D5EBE">
        <w:rPr>
          <w:szCs w:val="22"/>
        </w:rPr>
        <w:t>hidroksimetilprednizonas</w:t>
      </w:r>
      <w:proofErr w:type="spellEnd"/>
      <w:r w:rsidRPr="001D5EBE">
        <w:rPr>
          <w:szCs w:val="22"/>
        </w:rPr>
        <w:t xml:space="preserve"> ir 20-</w:t>
      </w:r>
      <w:r w:rsidRPr="001D5EBE">
        <w:rPr>
          <w:szCs w:val="22"/>
        </w:rPr>
        <w:sym w:font="Symbol" w:char="F062"/>
      </w:r>
      <w:r w:rsidRPr="001D5EBE">
        <w:rPr>
          <w:szCs w:val="22"/>
        </w:rPr>
        <w:t>-</w:t>
      </w:r>
      <w:proofErr w:type="spellStart"/>
      <w:r w:rsidRPr="001D5EBE">
        <w:rPr>
          <w:szCs w:val="22"/>
        </w:rPr>
        <w:t>hidroksimetilprednizolonas</w:t>
      </w:r>
      <w:proofErr w:type="spellEnd"/>
      <w:r w:rsidRPr="001D5EBE">
        <w:rPr>
          <w:szCs w:val="22"/>
        </w:rPr>
        <w:t xml:space="preserve">. Šie metabolitai daugiausia išsiskiria su šlapimu </w:t>
      </w:r>
      <w:proofErr w:type="spellStart"/>
      <w:r w:rsidRPr="001D5EBE">
        <w:rPr>
          <w:szCs w:val="22"/>
        </w:rPr>
        <w:t>gliukuronidų</w:t>
      </w:r>
      <w:proofErr w:type="spellEnd"/>
      <w:r w:rsidRPr="001D5EBE">
        <w:rPr>
          <w:szCs w:val="22"/>
        </w:rPr>
        <w:t xml:space="preserve">, sulfatų ir </w:t>
      </w:r>
      <w:proofErr w:type="spellStart"/>
      <w:r w:rsidRPr="001D5EBE">
        <w:rPr>
          <w:szCs w:val="22"/>
        </w:rPr>
        <w:t>nekonjuguotų</w:t>
      </w:r>
      <w:proofErr w:type="spellEnd"/>
      <w:r w:rsidRPr="001D5EBE">
        <w:rPr>
          <w:szCs w:val="22"/>
        </w:rPr>
        <w:t xml:space="preserve"> junginių pavidalu.</w:t>
      </w:r>
    </w:p>
    <w:p w14:paraId="21D47F67" w14:textId="77777777" w:rsidR="003F33B8" w:rsidRPr="001D5EBE" w:rsidRDefault="003F33B8" w:rsidP="003F33B8">
      <w:pPr>
        <w:pStyle w:val="Pagrindinistekstas"/>
        <w:spacing w:after="0"/>
        <w:rPr>
          <w:szCs w:val="22"/>
        </w:rPr>
      </w:pPr>
      <w:r w:rsidRPr="001D5EBE">
        <w:rPr>
          <w:szCs w:val="22"/>
        </w:rPr>
        <w:t xml:space="preserve">Kepenyse metabolizmas daugiausia vyksta dalyvaujant CYP3A4. Sąrašas vaistinių preparatų, kurių vartojant su </w:t>
      </w:r>
      <w:proofErr w:type="spellStart"/>
      <w:r w:rsidRPr="001D5EBE">
        <w:rPr>
          <w:szCs w:val="22"/>
        </w:rPr>
        <w:t>metilprednizolonu</w:t>
      </w:r>
      <w:proofErr w:type="spellEnd"/>
      <w:r w:rsidRPr="001D5EBE">
        <w:rPr>
          <w:szCs w:val="22"/>
        </w:rPr>
        <w:t xml:space="preserve"> pasireiškia su CYP3A4 susijusi sąveika, pateiktas 4.5 skyriuje.</w:t>
      </w:r>
    </w:p>
    <w:p w14:paraId="7028442B" w14:textId="77777777" w:rsidR="003F33B8" w:rsidRPr="001D5EBE" w:rsidRDefault="003F33B8" w:rsidP="003F33B8">
      <w:pPr>
        <w:pStyle w:val="Pagrindinistekstas"/>
        <w:spacing w:after="0"/>
        <w:rPr>
          <w:szCs w:val="22"/>
        </w:rPr>
      </w:pPr>
    </w:p>
    <w:p w14:paraId="53CC16D6" w14:textId="77777777" w:rsidR="003F33B8" w:rsidRPr="001D5EBE" w:rsidRDefault="003F33B8" w:rsidP="003F33B8">
      <w:pPr>
        <w:pStyle w:val="Pagrindinistekstas"/>
        <w:spacing w:after="0"/>
        <w:rPr>
          <w:szCs w:val="22"/>
        </w:rPr>
      </w:pPr>
      <w:proofErr w:type="spellStart"/>
      <w:r w:rsidRPr="001D5EBE">
        <w:rPr>
          <w:szCs w:val="22"/>
        </w:rPr>
        <w:t>Metilprednizolonas</w:t>
      </w:r>
      <w:proofErr w:type="spellEnd"/>
      <w:r w:rsidRPr="001D5EBE">
        <w:rPr>
          <w:szCs w:val="22"/>
        </w:rPr>
        <w:t>, kaip ir dauguma CYP3A4 substratų, gali būti ATF sujungiančios kasetės (ASK) pernašos baltymo p-</w:t>
      </w:r>
      <w:proofErr w:type="spellStart"/>
      <w:r w:rsidRPr="001D5EBE">
        <w:rPr>
          <w:szCs w:val="22"/>
        </w:rPr>
        <w:t>glikoproteino</w:t>
      </w:r>
      <w:proofErr w:type="spellEnd"/>
      <w:r w:rsidRPr="001D5EBE">
        <w:rPr>
          <w:szCs w:val="22"/>
        </w:rPr>
        <w:t xml:space="preserve"> substratas ir todėl gali keisti kitų vaistinių preparatų pasiskirstymą audiniuose bei sukelti sąveiką.</w:t>
      </w:r>
    </w:p>
    <w:p w14:paraId="5794FB43" w14:textId="77777777" w:rsidR="003F33B8" w:rsidRPr="001D5EBE" w:rsidRDefault="003F33B8" w:rsidP="003F33B8">
      <w:pPr>
        <w:pStyle w:val="Pagrindinistekstas"/>
        <w:spacing w:after="0"/>
        <w:rPr>
          <w:szCs w:val="22"/>
        </w:rPr>
      </w:pPr>
    </w:p>
    <w:p w14:paraId="09782C49" w14:textId="77777777" w:rsidR="003F33B8" w:rsidRPr="00FD3FE1" w:rsidRDefault="00F278F6" w:rsidP="003F33B8">
      <w:pPr>
        <w:pStyle w:val="Pagrindinistekstas"/>
        <w:spacing w:after="0"/>
        <w:rPr>
          <w:u w:val="single"/>
        </w:rPr>
      </w:pPr>
      <w:r w:rsidRPr="00FD3FE1">
        <w:rPr>
          <w:u w:val="single"/>
        </w:rPr>
        <w:t>Eliminacija</w:t>
      </w:r>
    </w:p>
    <w:p w14:paraId="6247920F" w14:textId="77777777" w:rsidR="003F33B8" w:rsidRPr="001D5EBE" w:rsidRDefault="003F33B8" w:rsidP="003F33B8">
      <w:pPr>
        <w:pStyle w:val="Pagrindinistekstas"/>
        <w:spacing w:after="0"/>
        <w:rPr>
          <w:szCs w:val="22"/>
        </w:rPr>
      </w:pPr>
      <w:r w:rsidRPr="001D5EBE">
        <w:rPr>
          <w:szCs w:val="22"/>
        </w:rPr>
        <w:t xml:space="preserve">Pavartojus 14C žymėto </w:t>
      </w:r>
      <w:proofErr w:type="spellStart"/>
      <w:r w:rsidRPr="001D5EBE">
        <w:rPr>
          <w:szCs w:val="22"/>
        </w:rPr>
        <w:t>metilprednizolono</w:t>
      </w:r>
      <w:proofErr w:type="spellEnd"/>
      <w:r w:rsidRPr="001D5EBE">
        <w:rPr>
          <w:szCs w:val="22"/>
        </w:rPr>
        <w:t xml:space="preserve"> į veną, 75</w:t>
      </w:r>
      <w:r w:rsidR="00E23965">
        <w:rPr>
          <w:szCs w:val="22"/>
        </w:rPr>
        <w:t xml:space="preserve"> proc.</w:t>
      </w:r>
      <w:r w:rsidRPr="001D5EBE">
        <w:rPr>
          <w:szCs w:val="22"/>
        </w:rPr>
        <w:t xml:space="preserve"> viso radioaktyvumo randama šlapime per 96 val., 9</w:t>
      </w:r>
      <w:r w:rsidR="00E23965">
        <w:rPr>
          <w:szCs w:val="22"/>
        </w:rPr>
        <w:t xml:space="preserve"> proc.</w:t>
      </w:r>
      <w:r w:rsidRPr="001D5EBE">
        <w:rPr>
          <w:szCs w:val="22"/>
        </w:rPr>
        <w:t xml:space="preserve"> išmatose per 5 dienas ir 20</w:t>
      </w:r>
      <w:r w:rsidR="00E23965">
        <w:rPr>
          <w:szCs w:val="22"/>
        </w:rPr>
        <w:t xml:space="preserve"> proc.</w:t>
      </w:r>
      <w:r w:rsidRPr="001D5EBE">
        <w:rPr>
          <w:szCs w:val="22"/>
        </w:rPr>
        <w:t xml:space="preserve"> – tulžyje.</w:t>
      </w:r>
    </w:p>
    <w:p w14:paraId="6EBB235C" w14:textId="77777777" w:rsidR="003F33B8" w:rsidRPr="001D5EBE" w:rsidRDefault="003F33B8" w:rsidP="003F33B8">
      <w:pPr>
        <w:pStyle w:val="Pagrindinistekstas"/>
        <w:spacing w:after="0"/>
        <w:rPr>
          <w:szCs w:val="22"/>
        </w:rPr>
      </w:pPr>
    </w:p>
    <w:p w14:paraId="1C487F6E" w14:textId="77777777" w:rsidR="003F33B8" w:rsidRPr="001D5EBE" w:rsidRDefault="003F33B8" w:rsidP="003F33B8">
      <w:pPr>
        <w:pStyle w:val="Antrat3"/>
        <w:rPr>
          <w:szCs w:val="22"/>
        </w:rPr>
      </w:pPr>
      <w:r w:rsidRPr="001D5EBE">
        <w:rPr>
          <w:szCs w:val="22"/>
        </w:rPr>
        <w:t>5.3</w:t>
      </w:r>
      <w:r w:rsidRPr="001D5EBE">
        <w:rPr>
          <w:szCs w:val="22"/>
        </w:rPr>
        <w:tab/>
      </w:r>
      <w:proofErr w:type="spellStart"/>
      <w:r w:rsidRPr="001D5EBE">
        <w:rPr>
          <w:szCs w:val="22"/>
        </w:rPr>
        <w:t>Ikiklinikinių</w:t>
      </w:r>
      <w:proofErr w:type="spellEnd"/>
      <w:r w:rsidRPr="001D5EBE">
        <w:rPr>
          <w:szCs w:val="22"/>
        </w:rPr>
        <w:t xml:space="preserve"> saugumo tyrimų duomenys</w:t>
      </w:r>
    </w:p>
    <w:p w14:paraId="244D4DF1" w14:textId="77777777" w:rsidR="003F33B8" w:rsidRPr="001D5EBE" w:rsidRDefault="003F33B8" w:rsidP="003F33B8">
      <w:pPr>
        <w:pStyle w:val="Pagrindinistekstas"/>
        <w:spacing w:after="0"/>
        <w:rPr>
          <w:szCs w:val="22"/>
        </w:rPr>
      </w:pPr>
    </w:p>
    <w:p w14:paraId="44B3EC1E" w14:textId="77777777" w:rsidR="003F33B8" w:rsidRPr="001D5EBE" w:rsidRDefault="003F33B8" w:rsidP="003F33B8">
      <w:pPr>
        <w:pStyle w:val="Pagrindinistekstas"/>
        <w:spacing w:after="0"/>
        <w:rPr>
          <w:szCs w:val="22"/>
        </w:rPr>
      </w:pPr>
      <w:r w:rsidRPr="001D5EBE">
        <w:rPr>
          <w:szCs w:val="22"/>
        </w:rPr>
        <w:t xml:space="preserve">Įprastų farmakologinio saugumo ir kartotinių dozių </w:t>
      </w:r>
      <w:proofErr w:type="spellStart"/>
      <w:r w:rsidRPr="001D5EBE">
        <w:rPr>
          <w:szCs w:val="22"/>
        </w:rPr>
        <w:t>toksiškumo</w:t>
      </w:r>
      <w:proofErr w:type="spellEnd"/>
      <w:r w:rsidRPr="001D5EBE">
        <w:rPr>
          <w:szCs w:val="22"/>
        </w:rPr>
        <w:t xml:space="preserve"> tyrimų duomenys netikėto pavojaus </w:t>
      </w:r>
      <w:r w:rsidRPr="001D5EBE" w:rsidDel="00D96F91">
        <w:rPr>
          <w:szCs w:val="22"/>
        </w:rPr>
        <w:t xml:space="preserve"> </w:t>
      </w:r>
      <w:r w:rsidRPr="001D5EBE">
        <w:rPr>
          <w:szCs w:val="22"/>
        </w:rPr>
        <w:t xml:space="preserve">neparodė. Kartotinių dozių tyrimų metu nustatytas toksinis poveikis atitiko poveikį pasireiškiantį ilgalaikės </w:t>
      </w:r>
      <w:proofErr w:type="spellStart"/>
      <w:r w:rsidRPr="001D5EBE">
        <w:rPr>
          <w:szCs w:val="22"/>
        </w:rPr>
        <w:t>egzogeninių</w:t>
      </w:r>
      <w:proofErr w:type="spellEnd"/>
      <w:r w:rsidRPr="001D5EBE">
        <w:rPr>
          <w:szCs w:val="22"/>
        </w:rPr>
        <w:t xml:space="preserve"> antinksčių žievės steroidų ekspozicijos atveju.</w:t>
      </w:r>
    </w:p>
    <w:p w14:paraId="4576255F" w14:textId="77777777" w:rsidR="003F33B8" w:rsidRPr="001D5EBE" w:rsidRDefault="003F33B8" w:rsidP="003F33B8">
      <w:pPr>
        <w:pStyle w:val="Pagrindinistekstas"/>
        <w:spacing w:after="0"/>
        <w:rPr>
          <w:szCs w:val="22"/>
        </w:rPr>
      </w:pPr>
    </w:p>
    <w:p w14:paraId="60848B9F" w14:textId="77777777" w:rsidR="003F33B8" w:rsidRPr="001D5EBE" w:rsidRDefault="003F33B8" w:rsidP="003F33B8">
      <w:pPr>
        <w:pStyle w:val="Pagrindinistekstas"/>
        <w:spacing w:after="0"/>
        <w:rPr>
          <w:i/>
          <w:szCs w:val="22"/>
        </w:rPr>
      </w:pPr>
      <w:proofErr w:type="spellStart"/>
      <w:r w:rsidRPr="001D5EBE">
        <w:rPr>
          <w:i/>
          <w:szCs w:val="22"/>
        </w:rPr>
        <w:t>Kancerog</w:t>
      </w:r>
      <w:r w:rsidR="00187232" w:rsidRPr="001D5EBE">
        <w:rPr>
          <w:i/>
          <w:szCs w:val="22"/>
        </w:rPr>
        <w:t>eniškumas</w:t>
      </w:r>
      <w:proofErr w:type="spellEnd"/>
    </w:p>
    <w:p w14:paraId="57ED31FF" w14:textId="77777777" w:rsidR="00F9473F" w:rsidRPr="00133E26" w:rsidRDefault="00F9473F" w:rsidP="00F9473F">
      <w:pPr>
        <w:pStyle w:val="BTEMEASMCA"/>
        <w:rPr>
          <w:noProof w:val="0"/>
        </w:rPr>
      </w:pPr>
      <w:r w:rsidRPr="00255BC9">
        <w:rPr>
          <w:noProof w:val="0"/>
        </w:rPr>
        <w:t xml:space="preserve">Formalių kancerogeninio </w:t>
      </w:r>
      <w:proofErr w:type="spellStart"/>
      <w:r w:rsidRPr="00255BC9">
        <w:rPr>
          <w:noProof w:val="0"/>
        </w:rPr>
        <w:t>metilprednizolono</w:t>
      </w:r>
      <w:proofErr w:type="spellEnd"/>
      <w:r w:rsidRPr="00255BC9">
        <w:rPr>
          <w:noProof w:val="0"/>
        </w:rPr>
        <w:t xml:space="preserve"> poveikio tyrimų su graužikais neatlikta. Kitų </w:t>
      </w:r>
      <w:proofErr w:type="spellStart"/>
      <w:r w:rsidRPr="00255BC9">
        <w:rPr>
          <w:noProof w:val="0"/>
        </w:rPr>
        <w:t>gliukokortikoidų</w:t>
      </w:r>
      <w:proofErr w:type="spellEnd"/>
      <w:r w:rsidRPr="00255BC9">
        <w:rPr>
          <w:noProof w:val="0"/>
        </w:rPr>
        <w:t xml:space="preserve"> kancerogeninio poveikio tyrimų su pelėmis ir žiurkėmis metu gauta nevienodų rezultatų. Vis dėlto paskelbti duomenys rodo, kad žiurkių patinams su geriamuoju vandeniu girdomi keli susiję </w:t>
      </w:r>
      <w:proofErr w:type="spellStart"/>
      <w:r w:rsidRPr="00255BC9">
        <w:rPr>
          <w:noProof w:val="0"/>
        </w:rPr>
        <w:t>gliukokortikoidai</w:t>
      </w:r>
      <w:proofErr w:type="spellEnd"/>
      <w:r w:rsidRPr="00255BC9">
        <w:rPr>
          <w:noProof w:val="0"/>
        </w:rPr>
        <w:t xml:space="preserve">, įskaitant </w:t>
      </w:r>
      <w:proofErr w:type="spellStart"/>
      <w:r w:rsidRPr="00255BC9">
        <w:rPr>
          <w:noProof w:val="0"/>
        </w:rPr>
        <w:t>budezonidą</w:t>
      </w:r>
      <w:proofErr w:type="spellEnd"/>
      <w:r w:rsidRPr="00255BC9">
        <w:rPr>
          <w:noProof w:val="0"/>
        </w:rPr>
        <w:t xml:space="preserve">, prednizoloną ir </w:t>
      </w:r>
      <w:proofErr w:type="spellStart"/>
      <w:r w:rsidRPr="00255BC9">
        <w:rPr>
          <w:noProof w:val="0"/>
        </w:rPr>
        <w:t>triamcinolono</w:t>
      </w:r>
      <w:proofErr w:type="spellEnd"/>
      <w:r w:rsidRPr="00255BC9">
        <w:rPr>
          <w:noProof w:val="0"/>
        </w:rPr>
        <w:t xml:space="preserve"> </w:t>
      </w:r>
      <w:proofErr w:type="spellStart"/>
      <w:r w:rsidRPr="00255BC9">
        <w:rPr>
          <w:noProof w:val="0"/>
        </w:rPr>
        <w:t>acetonidą</w:t>
      </w:r>
      <w:proofErr w:type="spellEnd"/>
      <w:r w:rsidRPr="00255BC9">
        <w:rPr>
          <w:noProof w:val="0"/>
        </w:rPr>
        <w:t xml:space="preserve">, gali didinti kepenų ląstelių adenomų ir </w:t>
      </w:r>
      <w:proofErr w:type="spellStart"/>
      <w:r w:rsidRPr="00255BC9">
        <w:rPr>
          <w:noProof w:val="0"/>
        </w:rPr>
        <w:t>karcinomų</w:t>
      </w:r>
      <w:proofErr w:type="spellEnd"/>
      <w:r w:rsidRPr="00255BC9">
        <w:rPr>
          <w:noProof w:val="0"/>
        </w:rPr>
        <w:t xml:space="preserve"> dažnį. Toks navikų atsiradimą skatinantis poveikis pasireiškė vartojant dozes, kurios buvo mažesnės nei įprastinės klinikinės dozės (perskaičiavus mg/m</w:t>
      </w:r>
      <w:r w:rsidRPr="00255BC9">
        <w:rPr>
          <w:noProof w:val="0"/>
          <w:vertAlign w:val="superscript"/>
        </w:rPr>
        <w:t>2</w:t>
      </w:r>
      <w:r w:rsidRPr="00255BC9">
        <w:rPr>
          <w:noProof w:val="0"/>
        </w:rPr>
        <w:t>).</w:t>
      </w:r>
    </w:p>
    <w:p w14:paraId="41A3D84E" w14:textId="77777777" w:rsidR="003F33B8" w:rsidRPr="001D5EBE" w:rsidRDefault="003F33B8" w:rsidP="003F33B8">
      <w:pPr>
        <w:pStyle w:val="Pagrindinistekstas"/>
        <w:spacing w:after="0"/>
        <w:rPr>
          <w:szCs w:val="22"/>
        </w:rPr>
      </w:pPr>
    </w:p>
    <w:p w14:paraId="45AE0BEA" w14:textId="77777777" w:rsidR="003F33B8" w:rsidRPr="001D5EBE" w:rsidRDefault="003F33B8" w:rsidP="003F33B8">
      <w:pPr>
        <w:pStyle w:val="Pagrindinistekstas"/>
        <w:spacing w:after="0"/>
        <w:rPr>
          <w:i/>
          <w:szCs w:val="22"/>
        </w:rPr>
      </w:pPr>
      <w:proofErr w:type="spellStart"/>
      <w:r w:rsidRPr="001D5EBE">
        <w:rPr>
          <w:i/>
          <w:szCs w:val="22"/>
        </w:rPr>
        <w:t>Mutageni</w:t>
      </w:r>
      <w:r w:rsidR="00187232" w:rsidRPr="001D5EBE">
        <w:rPr>
          <w:i/>
          <w:szCs w:val="22"/>
        </w:rPr>
        <w:t>škumas</w:t>
      </w:r>
      <w:proofErr w:type="spellEnd"/>
    </w:p>
    <w:p w14:paraId="410BF935" w14:textId="77777777" w:rsidR="00F9473F" w:rsidRPr="00480783" w:rsidRDefault="00F9473F" w:rsidP="00F9473F">
      <w:pPr>
        <w:spacing w:line="240" w:lineRule="auto"/>
        <w:rPr>
          <w:lang w:val="lt-LT" w:eastAsia="lt-LT"/>
        </w:rPr>
      </w:pPr>
      <w:r w:rsidRPr="00480783">
        <w:rPr>
          <w:szCs w:val="20"/>
          <w:lang w:val="lt-LT" w:eastAsia="lt-LT"/>
        </w:rPr>
        <w:t xml:space="preserve">Formalių </w:t>
      </w:r>
      <w:proofErr w:type="spellStart"/>
      <w:r w:rsidRPr="00480783">
        <w:rPr>
          <w:szCs w:val="20"/>
          <w:lang w:val="lt-LT" w:eastAsia="lt-LT"/>
        </w:rPr>
        <w:t>genotoksinio</w:t>
      </w:r>
      <w:proofErr w:type="spellEnd"/>
      <w:r w:rsidRPr="00480783">
        <w:rPr>
          <w:szCs w:val="20"/>
          <w:lang w:val="lt-LT" w:eastAsia="lt-LT"/>
        </w:rPr>
        <w:t xml:space="preserve"> </w:t>
      </w:r>
      <w:proofErr w:type="spellStart"/>
      <w:r w:rsidRPr="00480783">
        <w:rPr>
          <w:szCs w:val="20"/>
          <w:lang w:val="lt-LT" w:eastAsia="lt-LT"/>
        </w:rPr>
        <w:t>metilprednizolono</w:t>
      </w:r>
      <w:proofErr w:type="spellEnd"/>
      <w:r w:rsidRPr="00480783">
        <w:rPr>
          <w:szCs w:val="20"/>
          <w:lang w:val="lt-LT" w:eastAsia="lt-LT"/>
        </w:rPr>
        <w:t xml:space="preserve"> poveikio tyrimų neatlikta. Vis dėlto </w:t>
      </w:r>
      <w:proofErr w:type="spellStart"/>
      <w:r w:rsidRPr="00480783">
        <w:rPr>
          <w:szCs w:val="20"/>
          <w:lang w:val="lt-LT" w:eastAsia="lt-LT"/>
        </w:rPr>
        <w:t>metilprednizolono</w:t>
      </w:r>
      <w:proofErr w:type="spellEnd"/>
      <w:r w:rsidRPr="00480783">
        <w:rPr>
          <w:szCs w:val="20"/>
          <w:lang w:val="lt-LT" w:eastAsia="lt-LT"/>
        </w:rPr>
        <w:t xml:space="preserve"> </w:t>
      </w:r>
      <w:proofErr w:type="spellStart"/>
      <w:r w:rsidRPr="00480783">
        <w:rPr>
          <w:szCs w:val="20"/>
          <w:lang w:val="lt-LT" w:eastAsia="lt-LT"/>
        </w:rPr>
        <w:t>sulfonatas</w:t>
      </w:r>
      <w:proofErr w:type="spellEnd"/>
      <w:r w:rsidRPr="00480783">
        <w:rPr>
          <w:szCs w:val="20"/>
          <w:lang w:val="lt-LT" w:eastAsia="lt-LT"/>
        </w:rPr>
        <w:t xml:space="preserve">, kuris struktūriškai yra panašus </w:t>
      </w:r>
      <w:r w:rsidRPr="00480783">
        <w:rPr>
          <w:lang w:val="lt-LT" w:eastAsia="lt-LT"/>
        </w:rPr>
        <w:t xml:space="preserve">į </w:t>
      </w:r>
      <w:proofErr w:type="spellStart"/>
      <w:r w:rsidRPr="00480783">
        <w:rPr>
          <w:lang w:val="lt-LT" w:eastAsia="lt-LT"/>
        </w:rPr>
        <w:t>metilprednizolon</w:t>
      </w:r>
      <w:r w:rsidR="00E85D4B">
        <w:rPr>
          <w:lang w:val="lt-LT" w:eastAsia="lt-LT"/>
        </w:rPr>
        <w:t>o</w:t>
      </w:r>
      <w:proofErr w:type="spellEnd"/>
      <w:r w:rsidR="00E85D4B">
        <w:rPr>
          <w:lang w:val="lt-LT" w:eastAsia="lt-LT"/>
        </w:rPr>
        <w:t xml:space="preserve"> natrio </w:t>
      </w:r>
      <w:proofErr w:type="spellStart"/>
      <w:r w:rsidR="00E85D4B">
        <w:rPr>
          <w:lang w:val="lt-LT" w:eastAsia="lt-LT"/>
        </w:rPr>
        <w:t>sukcinat</w:t>
      </w:r>
      <w:r w:rsidRPr="00480783">
        <w:rPr>
          <w:lang w:val="lt-LT" w:eastAsia="lt-LT"/>
        </w:rPr>
        <w:t>ą</w:t>
      </w:r>
      <w:proofErr w:type="spellEnd"/>
      <w:r w:rsidRPr="00480783">
        <w:rPr>
          <w:lang w:val="lt-LT" w:eastAsia="lt-LT"/>
        </w:rPr>
        <w:t xml:space="preserve">, nesukėlė </w:t>
      </w:r>
      <w:proofErr w:type="spellStart"/>
      <w:r w:rsidRPr="00480783">
        <w:rPr>
          <w:lang w:val="lt-LT" w:eastAsia="lt-LT"/>
        </w:rPr>
        <w:t>mutageninio</w:t>
      </w:r>
      <w:proofErr w:type="spellEnd"/>
      <w:r w:rsidRPr="00480783">
        <w:rPr>
          <w:lang w:val="lt-LT" w:eastAsia="lt-LT"/>
        </w:rPr>
        <w:t xml:space="preserve"> poveikio tyrimų su </w:t>
      </w:r>
      <w:proofErr w:type="spellStart"/>
      <w:r w:rsidRPr="00480783">
        <w:rPr>
          <w:i/>
          <w:lang w:val="lt-LT" w:eastAsia="lt-LT"/>
        </w:rPr>
        <w:t>Salmonella</w:t>
      </w:r>
      <w:proofErr w:type="spellEnd"/>
      <w:r w:rsidRPr="00480783">
        <w:rPr>
          <w:i/>
          <w:lang w:val="lt-LT" w:eastAsia="lt-LT"/>
        </w:rPr>
        <w:t xml:space="preserve"> </w:t>
      </w:r>
      <w:proofErr w:type="spellStart"/>
      <w:r w:rsidRPr="00480783">
        <w:rPr>
          <w:i/>
          <w:lang w:val="lt-LT" w:eastAsia="lt-LT"/>
        </w:rPr>
        <w:t>typhimurium</w:t>
      </w:r>
      <w:proofErr w:type="spellEnd"/>
      <w:r w:rsidRPr="00480783">
        <w:rPr>
          <w:lang w:val="lt-LT" w:eastAsia="lt-LT"/>
        </w:rPr>
        <w:t xml:space="preserve"> metu (vaistinio preparato kiekis buvo 250</w:t>
      </w:r>
      <w:r w:rsidRPr="00480783">
        <w:rPr>
          <w:lang w:val="lt-LT" w:eastAsia="lt-LT"/>
        </w:rPr>
        <w:noBreakHyphen/>
        <w:t xml:space="preserve">2 000 µg/lėkštelėje, </w:t>
      </w:r>
      <w:proofErr w:type="spellStart"/>
      <w:r w:rsidRPr="00480783">
        <w:rPr>
          <w:lang w:val="lt-LT" w:eastAsia="lt-LT"/>
        </w:rPr>
        <w:t>metabolinis</w:t>
      </w:r>
      <w:proofErr w:type="spellEnd"/>
      <w:r w:rsidRPr="00480783">
        <w:rPr>
          <w:lang w:val="lt-LT" w:eastAsia="lt-LT"/>
        </w:rPr>
        <w:t xml:space="preserve"> aktyvinimas buvo arba nebuvo atliekamas) ar žinduolių ląstelės geno mutacijos tyrimo metu, naudojant kininio žiurkėno kiaušidžių ląsteles (vaistinio preparato kiekis buvo 2 000</w:t>
      </w:r>
      <w:r w:rsidRPr="00480783">
        <w:rPr>
          <w:lang w:val="lt-LT" w:eastAsia="lt-LT"/>
        </w:rPr>
        <w:noBreakHyphen/>
        <w:t xml:space="preserve">10 000 µg/ml). </w:t>
      </w:r>
      <w:proofErr w:type="spellStart"/>
      <w:r w:rsidRPr="00480783">
        <w:rPr>
          <w:szCs w:val="20"/>
          <w:lang w:val="lt-LT" w:eastAsia="lt-LT"/>
        </w:rPr>
        <w:t>Metilprednizolono</w:t>
      </w:r>
      <w:proofErr w:type="spellEnd"/>
      <w:r w:rsidRPr="00480783">
        <w:rPr>
          <w:szCs w:val="20"/>
          <w:lang w:val="lt-LT" w:eastAsia="lt-LT"/>
        </w:rPr>
        <w:t xml:space="preserve"> </w:t>
      </w:r>
      <w:proofErr w:type="spellStart"/>
      <w:r w:rsidR="00EE6B4F">
        <w:rPr>
          <w:szCs w:val="20"/>
          <w:lang w:val="lt-LT" w:eastAsia="lt-LT"/>
        </w:rPr>
        <w:t>suleptanatas</w:t>
      </w:r>
      <w:proofErr w:type="spellEnd"/>
      <w:r w:rsidR="00272705">
        <w:rPr>
          <w:lang w:val="lt-LT" w:eastAsia="lt-LT"/>
        </w:rPr>
        <w:t xml:space="preserve"> (5</w:t>
      </w:r>
      <w:r w:rsidR="00272705">
        <w:rPr>
          <w:lang w:val="lt-LT" w:eastAsia="lt-LT"/>
        </w:rPr>
        <w:noBreakHyphen/>
        <w:t>1</w:t>
      </w:r>
      <w:r w:rsidRPr="00480783">
        <w:rPr>
          <w:lang w:val="lt-LT" w:eastAsia="lt-LT"/>
        </w:rPr>
        <w:t xml:space="preserve"> 000 µg/ml) nesukėlė neplaninės DNR sintezės pirminiuose žiurkių </w:t>
      </w:r>
      <w:proofErr w:type="spellStart"/>
      <w:r w:rsidRPr="00480783">
        <w:rPr>
          <w:lang w:val="lt-LT" w:eastAsia="lt-LT"/>
        </w:rPr>
        <w:t>hepatocituose</w:t>
      </w:r>
      <w:proofErr w:type="spellEnd"/>
      <w:r w:rsidRPr="00480783">
        <w:rPr>
          <w:lang w:val="lt-LT" w:eastAsia="lt-LT"/>
        </w:rPr>
        <w:t xml:space="preserve">. Be to, paskelbtų publikacijų analizė parodė, kad prednizolono </w:t>
      </w:r>
      <w:proofErr w:type="spellStart"/>
      <w:r w:rsidRPr="00480783">
        <w:rPr>
          <w:lang w:val="lt-LT" w:eastAsia="lt-LT"/>
        </w:rPr>
        <w:t>farnesilatas</w:t>
      </w:r>
      <w:proofErr w:type="spellEnd"/>
      <w:r w:rsidRPr="00480783">
        <w:rPr>
          <w:lang w:val="lt-LT" w:eastAsia="lt-LT"/>
        </w:rPr>
        <w:t xml:space="preserve"> (PNF), </w:t>
      </w:r>
      <w:r w:rsidRPr="00480783">
        <w:rPr>
          <w:szCs w:val="20"/>
          <w:lang w:val="lt-LT" w:eastAsia="lt-LT"/>
        </w:rPr>
        <w:t xml:space="preserve">kuris struktūriškai yra panašus </w:t>
      </w:r>
      <w:r w:rsidRPr="00480783">
        <w:rPr>
          <w:lang w:val="lt-LT" w:eastAsia="lt-LT"/>
        </w:rPr>
        <w:t xml:space="preserve">į </w:t>
      </w:r>
      <w:proofErr w:type="spellStart"/>
      <w:r w:rsidRPr="00480783">
        <w:rPr>
          <w:lang w:val="lt-LT" w:eastAsia="lt-LT"/>
        </w:rPr>
        <w:t>metilprednizoloną</w:t>
      </w:r>
      <w:proofErr w:type="spellEnd"/>
      <w:r w:rsidRPr="00480783">
        <w:rPr>
          <w:lang w:val="lt-LT" w:eastAsia="lt-LT"/>
        </w:rPr>
        <w:t xml:space="preserve">, nesukėlė </w:t>
      </w:r>
      <w:proofErr w:type="spellStart"/>
      <w:r w:rsidRPr="00480783">
        <w:rPr>
          <w:lang w:val="lt-LT" w:eastAsia="lt-LT"/>
        </w:rPr>
        <w:t>mutageninio</w:t>
      </w:r>
      <w:proofErr w:type="spellEnd"/>
      <w:r w:rsidRPr="00480783">
        <w:rPr>
          <w:lang w:val="lt-LT" w:eastAsia="lt-LT"/>
        </w:rPr>
        <w:t xml:space="preserve"> poveikio tyrimų su </w:t>
      </w:r>
      <w:proofErr w:type="spellStart"/>
      <w:r w:rsidRPr="00480783">
        <w:rPr>
          <w:i/>
          <w:lang w:val="lt-LT" w:eastAsia="lt-LT"/>
        </w:rPr>
        <w:t>Salmonella</w:t>
      </w:r>
      <w:proofErr w:type="spellEnd"/>
      <w:r w:rsidRPr="00480783">
        <w:rPr>
          <w:i/>
          <w:lang w:val="lt-LT" w:eastAsia="lt-LT"/>
        </w:rPr>
        <w:t xml:space="preserve"> </w:t>
      </w:r>
      <w:proofErr w:type="spellStart"/>
      <w:r w:rsidRPr="00480783">
        <w:rPr>
          <w:i/>
          <w:lang w:val="lt-LT" w:eastAsia="lt-LT"/>
        </w:rPr>
        <w:t>typhimurium</w:t>
      </w:r>
      <w:proofErr w:type="spellEnd"/>
      <w:r w:rsidRPr="00480783">
        <w:rPr>
          <w:lang w:val="lt-LT" w:eastAsia="lt-LT"/>
        </w:rPr>
        <w:t xml:space="preserve"> ir </w:t>
      </w:r>
      <w:proofErr w:type="spellStart"/>
      <w:r w:rsidRPr="00480783">
        <w:rPr>
          <w:i/>
          <w:lang w:val="lt-LT" w:eastAsia="lt-LT"/>
        </w:rPr>
        <w:t>Escherichia</w:t>
      </w:r>
      <w:proofErr w:type="spellEnd"/>
      <w:r w:rsidRPr="00480783">
        <w:rPr>
          <w:i/>
          <w:lang w:val="lt-LT" w:eastAsia="lt-LT"/>
        </w:rPr>
        <w:t xml:space="preserve"> coli</w:t>
      </w:r>
      <w:r w:rsidRPr="00480783">
        <w:rPr>
          <w:lang w:val="lt-LT" w:eastAsia="lt-LT"/>
        </w:rPr>
        <w:t xml:space="preserve"> padermėmis metu (vaistinio preparato kiekis buvo 312</w:t>
      </w:r>
      <w:r w:rsidRPr="00480783">
        <w:rPr>
          <w:lang w:val="lt-LT" w:eastAsia="lt-LT"/>
        </w:rPr>
        <w:noBreakHyphen/>
        <w:t xml:space="preserve">5 000 µg/lėkštelėje, </w:t>
      </w:r>
      <w:proofErr w:type="spellStart"/>
      <w:r w:rsidRPr="00480783">
        <w:rPr>
          <w:lang w:val="lt-LT"/>
        </w:rPr>
        <w:t>metabolinis</w:t>
      </w:r>
      <w:proofErr w:type="spellEnd"/>
      <w:r w:rsidRPr="00480783">
        <w:rPr>
          <w:lang w:val="lt-LT"/>
        </w:rPr>
        <w:t xml:space="preserve"> aktyvinimas buvo arba nebuvo atliekamas</w:t>
      </w:r>
      <w:r w:rsidRPr="00480783">
        <w:rPr>
          <w:lang w:val="lt-LT" w:eastAsia="lt-LT"/>
        </w:rPr>
        <w:t xml:space="preserve">). Tyrimo su kininio žiurkėno fibroblasto ląstelių linija metu PNF šiek tiek padidino struktūrinių chromosomų </w:t>
      </w:r>
      <w:proofErr w:type="spellStart"/>
      <w:r w:rsidRPr="00480783">
        <w:rPr>
          <w:lang w:val="lt-LT" w:eastAsia="lt-LT"/>
        </w:rPr>
        <w:t>aberacijų</w:t>
      </w:r>
      <w:proofErr w:type="spellEnd"/>
      <w:r w:rsidRPr="00480783">
        <w:rPr>
          <w:lang w:val="lt-LT" w:eastAsia="lt-LT"/>
        </w:rPr>
        <w:t xml:space="preserve"> dažnį (buvo naudojamas </w:t>
      </w:r>
      <w:proofErr w:type="spellStart"/>
      <w:r w:rsidRPr="00480783">
        <w:rPr>
          <w:lang w:val="lt-LT" w:eastAsia="lt-LT"/>
        </w:rPr>
        <w:t>metabolinis</w:t>
      </w:r>
      <w:proofErr w:type="spellEnd"/>
      <w:r w:rsidRPr="00480783">
        <w:rPr>
          <w:lang w:val="lt-LT" w:eastAsia="lt-LT"/>
        </w:rPr>
        <w:t xml:space="preserve"> aktyvinimas), didžiausia tirta koncentracija buvo 1 500 µg/ml.</w:t>
      </w:r>
    </w:p>
    <w:p w14:paraId="036440FF" w14:textId="77777777" w:rsidR="003F33B8" w:rsidRPr="001D5EBE" w:rsidRDefault="003F33B8" w:rsidP="003F33B8">
      <w:pPr>
        <w:pStyle w:val="Pagrindinistekstas"/>
        <w:spacing w:after="0"/>
        <w:rPr>
          <w:szCs w:val="22"/>
        </w:rPr>
      </w:pPr>
    </w:p>
    <w:p w14:paraId="381E28D7" w14:textId="77777777" w:rsidR="003F33B8" w:rsidRPr="001D5EBE" w:rsidRDefault="003F33B8" w:rsidP="003F33B8">
      <w:pPr>
        <w:pStyle w:val="Pagrindinistekstas"/>
        <w:spacing w:after="0"/>
        <w:rPr>
          <w:i/>
          <w:szCs w:val="22"/>
        </w:rPr>
      </w:pPr>
      <w:r w:rsidRPr="001D5EBE">
        <w:rPr>
          <w:i/>
          <w:szCs w:val="22"/>
        </w:rPr>
        <w:t>Toksinis poveikis reprodukcijai</w:t>
      </w:r>
    </w:p>
    <w:p w14:paraId="78118E67" w14:textId="77777777" w:rsidR="00C06AD1" w:rsidRPr="00ED2AB3" w:rsidRDefault="00EA3306" w:rsidP="00C06AD1">
      <w:pPr>
        <w:pStyle w:val="Pagrindinistekstas"/>
        <w:spacing w:after="0"/>
        <w:rPr>
          <w:szCs w:val="22"/>
        </w:rPr>
      </w:pPr>
      <w:r w:rsidRPr="001D5EBE">
        <w:rPr>
          <w:szCs w:val="22"/>
        </w:rPr>
        <w:t>Nustatyta, kad kortikosteroidai mažina žiurkių vaisingumą.</w:t>
      </w:r>
      <w:r w:rsidR="00C06AD1">
        <w:rPr>
          <w:szCs w:val="22"/>
        </w:rPr>
        <w:t xml:space="preserve"> </w:t>
      </w:r>
      <w:r w:rsidR="00C06AD1" w:rsidRPr="002A2874">
        <w:rPr>
          <w:rFonts w:eastAsia="Times New Roman"/>
          <w:szCs w:val="22"/>
        </w:rPr>
        <w:t xml:space="preserve">Tyrimo metu žiurkių patinams 6 savaites kartą per parą po oda buvo </w:t>
      </w:r>
      <w:proofErr w:type="spellStart"/>
      <w:r w:rsidR="00C06AD1" w:rsidRPr="002A2874">
        <w:rPr>
          <w:rFonts w:eastAsia="Times New Roman"/>
          <w:szCs w:val="22"/>
        </w:rPr>
        <w:t>injekuojama</w:t>
      </w:r>
      <w:proofErr w:type="spellEnd"/>
      <w:r w:rsidR="00C06AD1" w:rsidRPr="002A2874">
        <w:rPr>
          <w:rFonts w:eastAsia="Times New Roman"/>
          <w:szCs w:val="22"/>
        </w:rPr>
        <w:t xml:space="preserve"> 0, 10 ir 25 mg/kg </w:t>
      </w:r>
      <w:proofErr w:type="spellStart"/>
      <w:r w:rsidR="00C06AD1" w:rsidRPr="002A2874">
        <w:rPr>
          <w:rFonts w:eastAsia="Times New Roman"/>
          <w:szCs w:val="22"/>
        </w:rPr>
        <w:t>kortikosterono</w:t>
      </w:r>
      <w:proofErr w:type="spellEnd"/>
      <w:r w:rsidR="00C06AD1" w:rsidRPr="002A2874">
        <w:rPr>
          <w:rFonts w:eastAsia="Times New Roman"/>
          <w:szCs w:val="22"/>
        </w:rPr>
        <w:t xml:space="preserve"> paros dozė, po to jie buvo poruojami su vaistinio preparato nevartojusiomis patelėmis. Po 15</w:t>
      </w:r>
      <w:r w:rsidR="00C06AD1" w:rsidRPr="002A2874">
        <w:rPr>
          <w:rFonts w:eastAsia="Times New Roman"/>
          <w:szCs w:val="22"/>
        </w:rPr>
        <w:noBreakHyphen/>
        <w:t xml:space="preserve">osios dienos didžiausia paros dozė buvo sumažinta iki 20 mg/kg. Nustatytas po poravimosi susidarančių makšties kamščių (angl. </w:t>
      </w:r>
      <w:proofErr w:type="spellStart"/>
      <w:r w:rsidR="00C06AD1" w:rsidRPr="002A2874">
        <w:rPr>
          <w:rFonts w:eastAsia="Times New Roman"/>
          <w:i/>
          <w:szCs w:val="22"/>
        </w:rPr>
        <w:t>copulatory</w:t>
      </w:r>
      <w:proofErr w:type="spellEnd"/>
      <w:r w:rsidR="00C06AD1" w:rsidRPr="002A2874">
        <w:rPr>
          <w:rFonts w:eastAsia="Times New Roman"/>
          <w:i/>
          <w:szCs w:val="22"/>
        </w:rPr>
        <w:t xml:space="preserve"> </w:t>
      </w:r>
      <w:proofErr w:type="spellStart"/>
      <w:r w:rsidR="00C06AD1" w:rsidRPr="002A2874">
        <w:rPr>
          <w:rFonts w:eastAsia="Times New Roman"/>
          <w:i/>
          <w:szCs w:val="22"/>
        </w:rPr>
        <w:t>plugs</w:t>
      </w:r>
      <w:proofErr w:type="spellEnd"/>
      <w:r w:rsidR="00C06AD1" w:rsidRPr="002A2874">
        <w:rPr>
          <w:rFonts w:eastAsia="Times New Roman"/>
          <w:szCs w:val="22"/>
        </w:rPr>
        <w:t>) sumažėjimas, toks poveikis gali būti antrinis dėl sumažėjusio priedinių organų svorio. Sumažėjo implantacijų ir gyvų vaisių skaičius.</w:t>
      </w:r>
    </w:p>
    <w:p w14:paraId="5490FE80" w14:textId="77777777" w:rsidR="003F33B8" w:rsidRPr="001D5EBE" w:rsidRDefault="003F33B8" w:rsidP="003F33B8">
      <w:pPr>
        <w:pStyle w:val="Paragraph"/>
        <w:spacing w:after="0"/>
        <w:rPr>
          <w:sz w:val="22"/>
          <w:szCs w:val="22"/>
        </w:rPr>
      </w:pPr>
    </w:p>
    <w:p w14:paraId="598062B8" w14:textId="77777777" w:rsidR="003F33B8" w:rsidRPr="001D5EBE" w:rsidRDefault="003F33B8" w:rsidP="003F33B8">
      <w:pPr>
        <w:pStyle w:val="Paragraph"/>
        <w:spacing w:after="0"/>
        <w:rPr>
          <w:sz w:val="22"/>
          <w:szCs w:val="22"/>
        </w:rPr>
      </w:pPr>
      <w:r w:rsidRPr="001D5EBE">
        <w:rPr>
          <w:sz w:val="22"/>
          <w:szCs w:val="22"/>
        </w:rPr>
        <w:t xml:space="preserve">Kortikosteroidai parodė </w:t>
      </w:r>
      <w:proofErr w:type="spellStart"/>
      <w:r w:rsidRPr="001D5EBE">
        <w:rPr>
          <w:sz w:val="22"/>
          <w:szCs w:val="22"/>
        </w:rPr>
        <w:t>teratogeninį</w:t>
      </w:r>
      <w:proofErr w:type="spellEnd"/>
      <w:r w:rsidRPr="001D5EBE">
        <w:rPr>
          <w:sz w:val="22"/>
          <w:szCs w:val="22"/>
        </w:rPr>
        <w:t xml:space="preserve"> poveikį daugelio rūšių gyvūnams vartojant dozes, kurios atitiko žmogui skiriamą dozę. Reprodukcijos tyrimų su gyvūnais duomenimis, </w:t>
      </w:r>
      <w:proofErr w:type="spellStart"/>
      <w:r w:rsidRPr="001D5EBE">
        <w:rPr>
          <w:sz w:val="22"/>
          <w:szCs w:val="22"/>
        </w:rPr>
        <w:t>gliukokortikoidai</w:t>
      </w:r>
      <w:proofErr w:type="spellEnd"/>
      <w:r w:rsidRPr="001D5EBE">
        <w:rPr>
          <w:sz w:val="22"/>
          <w:szCs w:val="22"/>
        </w:rPr>
        <w:t xml:space="preserve">, pavyzdžiui, </w:t>
      </w:r>
      <w:proofErr w:type="spellStart"/>
      <w:r w:rsidRPr="001D5EBE">
        <w:rPr>
          <w:sz w:val="22"/>
          <w:szCs w:val="22"/>
        </w:rPr>
        <w:t>metilprednizolonas</w:t>
      </w:r>
      <w:proofErr w:type="spellEnd"/>
      <w:r w:rsidRPr="001D5EBE">
        <w:rPr>
          <w:sz w:val="22"/>
          <w:szCs w:val="22"/>
        </w:rPr>
        <w:t xml:space="preserve">, </w:t>
      </w:r>
      <w:r w:rsidR="00C06AD1">
        <w:rPr>
          <w:sz w:val="22"/>
          <w:szCs w:val="22"/>
        </w:rPr>
        <w:t>didino sklaidos defektų</w:t>
      </w:r>
      <w:r w:rsidR="00067FB1">
        <w:rPr>
          <w:sz w:val="22"/>
          <w:szCs w:val="22"/>
        </w:rPr>
        <w:t xml:space="preserve"> </w:t>
      </w:r>
      <w:r w:rsidRPr="001D5EBE">
        <w:rPr>
          <w:sz w:val="22"/>
          <w:szCs w:val="22"/>
        </w:rPr>
        <w:t xml:space="preserve">(gomurio </w:t>
      </w:r>
      <w:proofErr w:type="spellStart"/>
      <w:r w:rsidRPr="001D5EBE">
        <w:rPr>
          <w:sz w:val="22"/>
          <w:szCs w:val="22"/>
        </w:rPr>
        <w:t>nesuaugim</w:t>
      </w:r>
      <w:r w:rsidR="00C06AD1">
        <w:rPr>
          <w:sz w:val="22"/>
          <w:szCs w:val="22"/>
        </w:rPr>
        <w:t>o</w:t>
      </w:r>
      <w:proofErr w:type="spellEnd"/>
      <w:r w:rsidRPr="001D5EBE">
        <w:rPr>
          <w:sz w:val="22"/>
          <w:szCs w:val="22"/>
        </w:rPr>
        <w:t>, skeleto</w:t>
      </w:r>
      <w:r w:rsidR="00C06AD1">
        <w:rPr>
          <w:sz w:val="22"/>
          <w:szCs w:val="22"/>
        </w:rPr>
        <w:t xml:space="preserve"> sklaidos defektų</w:t>
      </w:r>
      <w:r w:rsidRPr="001D5EBE">
        <w:rPr>
          <w:sz w:val="22"/>
          <w:szCs w:val="22"/>
        </w:rPr>
        <w:t xml:space="preserve">) ir </w:t>
      </w:r>
      <w:r w:rsidR="00C06AD1" w:rsidRPr="00FE089E">
        <w:rPr>
          <w:sz w:val="22"/>
          <w:szCs w:val="22"/>
        </w:rPr>
        <w:t xml:space="preserve">embriono ir vaisiaus žuvimo (pvz., dėl padidėjusios </w:t>
      </w:r>
      <w:proofErr w:type="spellStart"/>
      <w:r w:rsidR="00C06AD1" w:rsidRPr="00FE089E">
        <w:rPr>
          <w:sz w:val="22"/>
          <w:szCs w:val="22"/>
        </w:rPr>
        <w:t>rezorbcijos</w:t>
      </w:r>
      <w:proofErr w:type="spellEnd"/>
      <w:r w:rsidR="00C06AD1" w:rsidRPr="00FE089E">
        <w:rPr>
          <w:sz w:val="22"/>
          <w:szCs w:val="22"/>
        </w:rPr>
        <w:t>) dažnį bei sukėlė</w:t>
      </w:r>
      <w:r w:rsidR="00C06AD1" w:rsidRPr="001D5EBE">
        <w:rPr>
          <w:sz w:val="22"/>
          <w:szCs w:val="22"/>
        </w:rPr>
        <w:t xml:space="preserve"> </w:t>
      </w:r>
      <w:r w:rsidRPr="001D5EBE">
        <w:rPr>
          <w:sz w:val="22"/>
          <w:szCs w:val="22"/>
        </w:rPr>
        <w:t>vaisiaus augimo gimdoje sulėtėjimą.</w:t>
      </w:r>
    </w:p>
    <w:p w14:paraId="2D580E1A" w14:textId="77777777" w:rsidR="003F33B8" w:rsidRDefault="003F33B8" w:rsidP="003F33B8">
      <w:pPr>
        <w:pStyle w:val="Pagrindinistekstas"/>
        <w:spacing w:after="0"/>
        <w:rPr>
          <w:szCs w:val="22"/>
        </w:rPr>
      </w:pPr>
      <w:proofErr w:type="spellStart"/>
      <w:r w:rsidRPr="001D5EBE">
        <w:rPr>
          <w:szCs w:val="22"/>
        </w:rPr>
        <w:t>Teratogeninio</w:t>
      </w:r>
      <w:proofErr w:type="spellEnd"/>
      <w:r w:rsidRPr="001D5EBE">
        <w:rPr>
          <w:szCs w:val="22"/>
        </w:rPr>
        <w:t xml:space="preserve"> poveikio tyrimų su triušiais metu, pasireiškė </w:t>
      </w:r>
      <w:proofErr w:type="spellStart"/>
      <w:r w:rsidRPr="001D5EBE">
        <w:rPr>
          <w:szCs w:val="22"/>
        </w:rPr>
        <w:t>gliukokortikoidams</w:t>
      </w:r>
      <w:proofErr w:type="spellEnd"/>
      <w:r w:rsidRPr="001D5EBE">
        <w:rPr>
          <w:szCs w:val="22"/>
        </w:rPr>
        <w:t xml:space="preserve"> būdingų pažeidimų, pvz., gomurio plyšys (</w:t>
      </w:r>
      <w:proofErr w:type="spellStart"/>
      <w:r w:rsidRPr="001D5EBE">
        <w:rPr>
          <w:i/>
          <w:szCs w:val="22"/>
        </w:rPr>
        <w:t>palatoschisis</w:t>
      </w:r>
      <w:proofErr w:type="spellEnd"/>
      <w:r w:rsidRPr="001D5EBE">
        <w:rPr>
          <w:szCs w:val="22"/>
        </w:rPr>
        <w:t xml:space="preserve">), </w:t>
      </w:r>
      <w:proofErr w:type="spellStart"/>
      <w:r w:rsidRPr="001D5EBE">
        <w:rPr>
          <w:szCs w:val="22"/>
        </w:rPr>
        <w:t>encefalocelė</w:t>
      </w:r>
      <w:proofErr w:type="spellEnd"/>
      <w:r w:rsidRPr="001D5EBE">
        <w:rPr>
          <w:szCs w:val="22"/>
        </w:rPr>
        <w:t xml:space="preserve">, </w:t>
      </w:r>
      <w:proofErr w:type="spellStart"/>
      <w:r w:rsidRPr="001D5EBE">
        <w:rPr>
          <w:szCs w:val="22"/>
        </w:rPr>
        <w:t>hidrocefalija</w:t>
      </w:r>
      <w:proofErr w:type="spellEnd"/>
      <w:r w:rsidRPr="001D5EBE">
        <w:rPr>
          <w:szCs w:val="22"/>
        </w:rPr>
        <w:t>.</w:t>
      </w:r>
    </w:p>
    <w:p w14:paraId="2621CC72" w14:textId="77777777" w:rsidR="009B2A03" w:rsidRPr="001D5EBE" w:rsidRDefault="009B2A03" w:rsidP="003F33B8">
      <w:pPr>
        <w:pStyle w:val="Pagrindinistekstas"/>
        <w:spacing w:after="0"/>
        <w:rPr>
          <w:szCs w:val="22"/>
        </w:rPr>
      </w:pPr>
    </w:p>
    <w:p w14:paraId="79ACF273" w14:textId="77777777" w:rsidR="003F33B8" w:rsidRPr="001D5EBE" w:rsidRDefault="003F33B8" w:rsidP="003F33B8">
      <w:pPr>
        <w:pStyle w:val="Pagrindinistekstas"/>
        <w:spacing w:after="0"/>
        <w:rPr>
          <w:szCs w:val="22"/>
        </w:rPr>
      </w:pPr>
    </w:p>
    <w:p w14:paraId="7ADE1917" w14:textId="77777777" w:rsidR="003F33B8" w:rsidRPr="001D5EBE" w:rsidRDefault="003F33B8" w:rsidP="003F33B8">
      <w:pPr>
        <w:pStyle w:val="Antrat2"/>
        <w:rPr>
          <w:szCs w:val="22"/>
        </w:rPr>
      </w:pPr>
      <w:r w:rsidRPr="001D5EBE">
        <w:rPr>
          <w:szCs w:val="22"/>
        </w:rPr>
        <w:t>6.</w:t>
      </w:r>
      <w:r w:rsidRPr="001D5EBE">
        <w:rPr>
          <w:szCs w:val="22"/>
        </w:rPr>
        <w:tab/>
        <w:t>FARMACINĖ INFORMACIJA</w:t>
      </w:r>
    </w:p>
    <w:p w14:paraId="3575762D" w14:textId="77777777" w:rsidR="003F33B8" w:rsidRPr="001D5EBE" w:rsidRDefault="003F33B8" w:rsidP="003F33B8">
      <w:pPr>
        <w:pStyle w:val="Pagrindinistekstas"/>
        <w:spacing w:after="0"/>
        <w:rPr>
          <w:b/>
          <w:szCs w:val="22"/>
        </w:rPr>
      </w:pPr>
    </w:p>
    <w:p w14:paraId="764368B2" w14:textId="77777777" w:rsidR="003F33B8" w:rsidRPr="001D5EBE" w:rsidRDefault="003F33B8" w:rsidP="003F33B8">
      <w:pPr>
        <w:pStyle w:val="Antrat3"/>
        <w:rPr>
          <w:szCs w:val="22"/>
        </w:rPr>
      </w:pPr>
      <w:r w:rsidRPr="001D5EBE">
        <w:rPr>
          <w:szCs w:val="22"/>
        </w:rPr>
        <w:t>6.1</w:t>
      </w:r>
      <w:r w:rsidRPr="001D5EBE">
        <w:rPr>
          <w:szCs w:val="22"/>
        </w:rPr>
        <w:tab/>
        <w:t>Pagalbinių medžiagų sąrašas</w:t>
      </w:r>
    </w:p>
    <w:p w14:paraId="13147864" w14:textId="77777777" w:rsidR="003F33B8" w:rsidRPr="001D5EBE" w:rsidRDefault="003F33B8" w:rsidP="003F33B8">
      <w:pPr>
        <w:pStyle w:val="Pagrindinistekstas"/>
        <w:spacing w:after="0"/>
        <w:rPr>
          <w:szCs w:val="22"/>
        </w:rPr>
      </w:pPr>
    </w:p>
    <w:p w14:paraId="135B5465" w14:textId="77777777" w:rsidR="003F33B8" w:rsidRPr="001D5EBE" w:rsidRDefault="003F33B8" w:rsidP="003F33B8">
      <w:pPr>
        <w:pStyle w:val="Pagrindinistekstas"/>
        <w:spacing w:after="0"/>
        <w:jc w:val="both"/>
        <w:rPr>
          <w:i/>
          <w:szCs w:val="22"/>
        </w:rPr>
      </w:pPr>
      <w:r w:rsidRPr="001D5EBE">
        <w:rPr>
          <w:i/>
          <w:szCs w:val="22"/>
        </w:rPr>
        <w:t>Milteliai:</w:t>
      </w:r>
    </w:p>
    <w:p w14:paraId="31C165C8" w14:textId="77777777" w:rsidR="003F33B8" w:rsidRPr="001D5EBE" w:rsidRDefault="003F33B8" w:rsidP="003F33B8">
      <w:pPr>
        <w:pStyle w:val="Pagrindinistekstas"/>
        <w:spacing w:after="0"/>
        <w:jc w:val="both"/>
        <w:rPr>
          <w:szCs w:val="22"/>
        </w:rPr>
      </w:pPr>
      <w:r w:rsidRPr="001D5EBE">
        <w:rPr>
          <w:szCs w:val="22"/>
        </w:rPr>
        <w:t>Natrio-</w:t>
      </w:r>
      <w:proofErr w:type="spellStart"/>
      <w:r w:rsidRPr="001D5EBE">
        <w:rPr>
          <w:szCs w:val="22"/>
        </w:rPr>
        <w:t>divandenilio</w:t>
      </w:r>
      <w:proofErr w:type="spellEnd"/>
      <w:r w:rsidRPr="001D5EBE">
        <w:rPr>
          <w:szCs w:val="22"/>
        </w:rPr>
        <w:t xml:space="preserve"> fosfatas </w:t>
      </w:r>
      <w:proofErr w:type="spellStart"/>
      <w:r w:rsidRPr="001D5EBE">
        <w:rPr>
          <w:szCs w:val="22"/>
        </w:rPr>
        <w:t>monohidratas</w:t>
      </w:r>
      <w:proofErr w:type="spellEnd"/>
    </w:p>
    <w:p w14:paraId="636A813F" w14:textId="77777777" w:rsidR="003F33B8" w:rsidRPr="001D5EBE" w:rsidRDefault="003F33B8" w:rsidP="003F33B8">
      <w:pPr>
        <w:pStyle w:val="Pagrindinistekstas"/>
        <w:spacing w:after="0"/>
        <w:jc w:val="both"/>
        <w:rPr>
          <w:szCs w:val="22"/>
        </w:rPr>
      </w:pPr>
      <w:r w:rsidRPr="001D5EBE">
        <w:rPr>
          <w:szCs w:val="22"/>
        </w:rPr>
        <w:t xml:space="preserve">Bevandenis </w:t>
      </w:r>
      <w:proofErr w:type="spellStart"/>
      <w:r w:rsidRPr="001D5EBE">
        <w:rPr>
          <w:szCs w:val="22"/>
        </w:rPr>
        <w:t>dinatrio</w:t>
      </w:r>
      <w:proofErr w:type="spellEnd"/>
      <w:r w:rsidRPr="001D5EBE">
        <w:rPr>
          <w:szCs w:val="22"/>
        </w:rPr>
        <w:t xml:space="preserve"> fosfatas</w:t>
      </w:r>
    </w:p>
    <w:p w14:paraId="07ED34B1" w14:textId="77777777" w:rsidR="003F33B8" w:rsidRPr="001D5EBE" w:rsidRDefault="003F33B8" w:rsidP="003F33B8">
      <w:pPr>
        <w:pStyle w:val="Pagrindinistekstas"/>
        <w:spacing w:after="0"/>
        <w:jc w:val="both"/>
        <w:rPr>
          <w:szCs w:val="22"/>
        </w:rPr>
      </w:pPr>
      <w:r w:rsidRPr="001D5EBE">
        <w:rPr>
          <w:szCs w:val="22"/>
        </w:rPr>
        <w:t xml:space="preserve">Natrio </w:t>
      </w:r>
      <w:proofErr w:type="spellStart"/>
      <w:r w:rsidRPr="001D5EBE">
        <w:rPr>
          <w:szCs w:val="22"/>
        </w:rPr>
        <w:t>hidroksidas</w:t>
      </w:r>
      <w:proofErr w:type="spellEnd"/>
    </w:p>
    <w:p w14:paraId="320B25DF" w14:textId="77777777" w:rsidR="003F33B8" w:rsidRPr="001D5EBE" w:rsidRDefault="003F33B8" w:rsidP="003F33B8">
      <w:pPr>
        <w:pStyle w:val="Pagrindinistekstas"/>
        <w:spacing w:after="0"/>
        <w:rPr>
          <w:i/>
          <w:szCs w:val="22"/>
        </w:rPr>
      </w:pPr>
    </w:p>
    <w:p w14:paraId="70B89EFF" w14:textId="77777777" w:rsidR="003F33B8" w:rsidRPr="001D5EBE" w:rsidRDefault="003F33B8" w:rsidP="003F33B8">
      <w:pPr>
        <w:pStyle w:val="Pagrindinistekstas"/>
        <w:spacing w:after="0"/>
        <w:rPr>
          <w:i/>
          <w:szCs w:val="22"/>
        </w:rPr>
      </w:pPr>
      <w:r w:rsidRPr="001D5EBE">
        <w:rPr>
          <w:i/>
          <w:szCs w:val="22"/>
        </w:rPr>
        <w:t xml:space="preserve">Tirpiklis: </w:t>
      </w:r>
    </w:p>
    <w:p w14:paraId="75B8854F" w14:textId="77777777" w:rsidR="003F33B8" w:rsidRPr="001D5EBE" w:rsidRDefault="003F33B8" w:rsidP="003F33B8">
      <w:pPr>
        <w:pStyle w:val="Pagrindinistekstas"/>
        <w:spacing w:after="0"/>
        <w:rPr>
          <w:szCs w:val="22"/>
        </w:rPr>
      </w:pPr>
      <w:proofErr w:type="spellStart"/>
      <w:r w:rsidRPr="001D5EBE">
        <w:rPr>
          <w:szCs w:val="22"/>
        </w:rPr>
        <w:t>Benzilo</w:t>
      </w:r>
      <w:proofErr w:type="spellEnd"/>
      <w:r w:rsidRPr="001D5EBE">
        <w:rPr>
          <w:szCs w:val="22"/>
        </w:rPr>
        <w:t xml:space="preserve"> alkoholis</w:t>
      </w:r>
    </w:p>
    <w:p w14:paraId="42DF1E76" w14:textId="77777777" w:rsidR="003F33B8" w:rsidRPr="001D5EBE" w:rsidRDefault="003F33B8" w:rsidP="003F33B8">
      <w:pPr>
        <w:pStyle w:val="Pagrindinistekstas"/>
        <w:spacing w:after="0"/>
        <w:rPr>
          <w:szCs w:val="22"/>
        </w:rPr>
      </w:pPr>
      <w:r w:rsidRPr="001D5EBE">
        <w:rPr>
          <w:szCs w:val="22"/>
        </w:rPr>
        <w:t>Injekcinis vanduo</w:t>
      </w:r>
    </w:p>
    <w:p w14:paraId="04A06AF7" w14:textId="77777777" w:rsidR="003F33B8" w:rsidRPr="001D5EBE" w:rsidRDefault="003F33B8" w:rsidP="003F33B8">
      <w:pPr>
        <w:pStyle w:val="Pagrindinistekstas"/>
        <w:spacing w:after="0"/>
        <w:rPr>
          <w:szCs w:val="22"/>
        </w:rPr>
      </w:pPr>
    </w:p>
    <w:p w14:paraId="19342DE5" w14:textId="77777777" w:rsidR="003F33B8" w:rsidRPr="001D5EBE" w:rsidRDefault="003F33B8" w:rsidP="003F33B8">
      <w:pPr>
        <w:pStyle w:val="Antrat3"/>
        <w:rPr>
          <w:szCs w:val="22"/>
        </w:rPr>
      </w:pPr>
      <w:r w:rsidRPr="001D5EBE">
        <w:rPr>
          <w:szCs w:val="22"/>
        </w:rPr>
        <w:t>6.2</w:t>
      </w:r>
      <w:r w:rsidRPr="001D5EBE">
        <w:rPr>
          <w:szCs w:val="22"/>
        </w:rPr>
        <w:tab/>
        <w:t>Nesuderinamumas</w:t>
      </w:r>
    </w:p>
    <w:p w14:paraId="01D16B75" w14:textId="77777777" w:rsidR="003F33B8" w:rsidRPr="001D5EBE" w:rsidRDefault="003F33B8" w:rsidP="003F33B8">
      <w:pPr>
        <w:pStyle w:val="Pagrindinistekstas"/>
        <w:spacing w:after="0"/>
        <w:rPr>
          <w:szCs w:val="22"/>
        </w:rPr>
      </w:pPr>
    </w:p>
    <w:p w14:paraId="5A1422FF" w14:textId="77777777" w:rsidR="003F33B8" w:rsidRPr="001D5EBE" w:rsidRDefault="003F33B8" w:rsidP="003F33B8">
      <w:pPr>
        <w:pStyle w:val="Pagrindinistekstas"/>
        <w:spacing w:after="0"/>
        <w:rPr>
          <w:szCs w:val="22"/>
        </w:rPr>
      </w:pPr>
      <w:r w:rsidRPr="001D5EBE">
        <w:rPr>
          <w:szCs w:val="22"/>
        </w:rPr>
        <w:t xml:space="preserve">Intraveninių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tirpalų bei intraveninių jo mišinių su kitais vaistiniais preparatais suderinamumas ir stabilumas priklauso nuo mišinio pH, koncentracijos, laikymo trukmės, temperatūros ir </w:t>
      </w:r>
      <w:proofErr w:type="spellStart"/>
      <w:r w:rsidRPr="001D5EBE">
        <w:rPr>
          <w:szCs w:val="22"/>
        </w:rPr>
        <w:t>metilprednizolono</w:t>
      </w:r>
      <w:proofErr w:type="spellEnd"/>
      <w:r w:rsidRPr="001D5EBE">
        <w:rPr>
          <w:szCs w:val="22"/>
        </w:rPr>
        <w:t xml:space="preserve"> tirpumo. Dėl to, norint išvengti su stabilumu ir suderinamumu susijusių problemų, kai tik įmanoma, SOLU-MEDROL rekomenduojamas vartoti atskirai nuo kitų vaistinių preparatų. Jis švirkščiamas į veną, vartojamas intraveninės kameros pagalba ar </w:t>
      </w:r>
      <w:r w:rsidRPr="001D5EBE">
        <w:rPr>
          <w:i/>
          <w:szCs w:val="22"/>
        </w:rPr>
        <w:t>“</w:t>
      </w:r>
      <w:proofErr w:type="spellStart"/>
      <w:r w:rsidRPr="001D5EBE">
        <w:rPr>
          <w:i/>
          <w:szCs w:val="22"/>
        </w:rPr>
        <w:t>piggy-back</w:t>
      </w:r>
      <w:proofErr w:type="spellEnd"/>
      <w:r w:rsidRPr="001D5EBE">
        <w:rPr>
          <w:i/>
          <w:szCs w:val="22"/>
        </w:rPr>
        <w:t xml:space="preserve">” </w:t>
      </w:r>
      <w:r w:rsidRPr="001D5EBE">
        <w:rPr>
          <w:szCs w:val="22"/>
        </w:rPr>
        <w:t>būdu (</w:t>
      </w:r>
      <w:proofErr w:type="spellStart"/>
      <w:r w:rsidRPr="001D5EBE">
        <w:rPr>
          <w:szCs w:val="22"/>
        </w:rPr>
        <w:t>t.y</w:t>
      </w:r>
      <w:proofErr w:type="spellEnd"/>
      <w:r w:rsidRPr="001D5EBE">
        <w:rPr>
          <w:szCs w:val="22"/>
        </w:rPr>
        <w:t>. vaistinis preparatas supilamas į nedidelį papildomą konteinerį, su pagrindine infuzine sistema sujungtą “Y” tipo jungtimi).</w:t>
      </w:r>
    </w:p>
    <w:p w14:paraId="518F7305" w14:textId="77777777" w:rsidR="003F33B8" w:rsidRPr="001D5EBE" w:rsidRDefault="003F33B8" w:rsidP="003F33B8">
      <w:pPr>
        <w:pStyle w:val="Pagrindinistekstas"/>
        <w:tabs>
          <w:tab w:val="left" w:pos="3261"/>
        </w:tabs>
        <w:spacing w:after="0"/>
        <w:rPr>
          <w:szCs w:val="22"/>
        </w:rPr>
      </w:pPr>
      <w:r w:rsidRPr="001D5EBE">
        <w:rPr>
          <w:szCs w:val="22"/>
        </w:rPr>
        <w:t>Papildomos informacijos pateikta 4.5 skyriuje.</w:t>
      </w:r>
    </w:p>
    <w:p w14:paraId="073C6441" w14:textId="77777777" w:rsidR="003F33B8" w:rsidRPr="001D5EBE" w:rsidRDefault="003F33B8" w:rsidP="003F33B8">
      <w:pPr>
        <w:pStyle w:val="Pagrindinistekstas"/>
        <w:spacing w:after="0"/>
        <w:rPr>
          <w:szCs w:val="22"/>
        </w:rPr>
      </w:pPr>
    </w:p>
    <w:p w14:paraId="32DED87F" w14:textId="77777777" w:rsidR="003F33B8" w:rsidRPr="001D5EBE" w:rsidRDefault="003F33B8" w:rsidP="003F33B8">
      <w:pPr>
        <w:pStyle w:val="Antrat3"/>
        <w:rPr>
          <w:szCs w:val="22"/>
        </w:rPr>
      </w:pPr>
      <w:r w:rsidRPr="001D5EBE">
        <w:rPr>
          <w:szCs w:val="22"/>
        </w:rPr>
        <w:t>6.3</w:t>
      </w:r>
      <w:r w:rsidRPr="001D5EBE">
        <w:rPr>
          <w:szCs w:val="22"/>
        </w:rPr>
        <w:tab/>
        <w:t>Tinkamumo laikas</w:t>
      </w:r>
    </w:p>
    <w:p w14:paraId="2A245389" w14:textId="77777777" w:rsidR="003F33B8" w:rsidRPr="001D5EBE" w:rsidRDefault="003F33B8" w:rsidP="003F33B8">
      <w:pPr>
        <w:pStyle w:val="Pagrindinistekstas"/>
        <w:spacing w:after="0"/>
        <w:rPr>
          <w:szCs w:val="22"/>
        </w:rPr>
      </w:pPr>
    </w:p>
    <w:p w14:paraId="4EA5689D" w14:textId="77777777" w:rsidR="003F33B8" w:rsidRPr="001D5EBE" w:rsidRDefault="003F33B8" w:rsidP="003F33B8">
      <w:pPr>
        <w:pStyle w:val="Pagrindinistekstas"/>
        <w:spacing w:after="0"/>
        <w:rPr>
          <w:szCs w:val="22"/>
        </w:rPr>
      </w:pPr>
      <w:r w:rsidRPr="001D5EBE">
        <w:rPr>
          <w:szCs w:val="22"/>
        </w:rPr>
        <w:t>5 metai.</w:t>
      </w:r>
    </w:p>
    <w:p w14:paraId="3AAB3191" w14:textId="77777777" w:rsidR="003F33B8" w:rsidRPr="001D5EBE" w:rsidRDefault="003F33B8" w:rsidP="003F33B8">
      <w:pPr>
        <w:pStyle w:val="Pagrindinistekstas"/>
        <w:spacing w:after="0"/>
        <w:rPr>
          <w:szCs w:val="22"/>
        </w:rPr>
      </w:pPr>
    </w:p>
    <w:p w14:paraId="54995C0B" w14:textId="77777777" w:rsidR="003F33B8" w:rsidRPr="001D5EBE" w:rsidRDefault="003F33B8" w:rsidP="003F33B8">
      <w:pPr>
        <w:spacing w:line="240" w:lineRule="auto"/>
        <w:rPr>
          <w:u w:val="single"/>
          <w:lang w:val="lt-LT"/>
        </w:rPr>
      </w:pPr>
      <w:r w:rsidRPr="001D5EBE">
        <w:rPr>
          <w:u w:val="single"/>
          <w:lang w:val="lt-LT"/>
        </w:rPr>
        <w:t>Paruošto arba praskiesto tirpalo tinkamumo laikas</w:t>
      </w:r>
    </w:p>
    <w:p w14:paraId="1A6D0012" w14:textId="30D5EFF1" w:rsidR="003F33B8" w:rsidRPr="001D5EBE" w:rsidRDefault="003F33B8" w:rsidP="003F33B8">
      <w:pPr>
        <w:spacing w:line="240" w:lineRule="auto"/>
        <w:rPr>
          <w:lang w:val="lt-LT"/>
        </w:rPr>
      </w:pPr>
      <w:r w:rsidRPr="001D5EBE">
        <w:rPr>
          <w:lang w:val="lt-LT"/>
        </w:rPr>
        <w:t xml:space="preserve">Cheminiu ir fiziniu atžvilgiu paruoštas arba praskiestas </w:t>
      </w:r>
      <w:r w:rsidR="00DC1D65">
        <w:rPr>
          <w:lang w:val="lt-LT"/>
        </w:rPr>
        <w:t xml:space="preserve">vaistinis </w:t>
      </w:r>
      <w:r w:rsidRPr="001D5EBE">
        <w:rPr>
          <w:lang w:val="lt-LT"/>
        </w:rPr>
        <w:t xml:space="preserve">preparatas lieka stabilus </w:t>
      </w:r>
      <w:r w:rsidR="004F1BB2">
        <w:rPr>
          <w:lang w:val="lt-LT"/>
        </w:rPr>
        <w:t xml:space="preserve">12 </w:t>
      </w:r>
      <w:r w:rsidR="004F1BB2" w:rsidRPr="001D5EBE">
        <w:rPr>
          <w:lang w:val="lt-LT"/>
        </w:rPr>
        <w:t> </w:t>
      </w:r>
      <w:r w:rsidRPr="001D5EBE">
        <w:rPr>
          <w:lang w:val="lt-LT"/>
        </w:rPr>
        <w:t>val., laikant ne aukštesnėje kaip 25 ºC temperatūroje.</w:t>
      </w:r>
    </w:p>
    <w:p w14:paraId="62A85F7F" w14:textId="77777777" w:rsidR="003F33B8" w:rsidRPr="001D5EBE" w:rsidRDefault="003F33B8" w:rsidP="003F33B8">
      <w:pPr>
        <w:spacing w:line="240" w:lineRule="auto"/>
        <w:rPr>
          <w:lang w:val="lt-LT"/>
        </w:rPr>
      </w:pPr>
    </w:p>
    <w:p w14:paraId="70646460" w14:textId="77777777" w:rsidR="003F33B8" w:rsidRPr="001D5EBE" w:rsidRDefault="003F33B8" w:rsidP="003F33B8">
      <w:pPr>
        <w:spacing w:line="240" w:lineRule="auto"/>
        <w:rPr>
          <w:lang w:val="lt-LT"/>
        </w:rPr>
      </w:pPr>
      <w:r w:rsidRPr="001D5EBE">
        <w:rPr>
          <w:lang w:val="lt-LT"/>
        </w:rPr>
        <w:t>Mikrobiologiniu požiūriu, atidarius/ praskiedus preparatą reikia vartoti nedelsiant. Jei jis tuoj pat nevartojamas, už laikymo trukmę ir sąlygas atsako gydantis medikas. Paprastai ilgiau negu 24 val. 2 - 8°C temperatūroje laikyti negalima</w:t>
      </w:r>
      <w:r w:rsidRPr="001D5EBE">
        <w:rPr>
          <w:spacing w:val="-3"/>
          <w:lang w:val="lt-LT"/>
        </w:rPr>
        <w:t xml:space="preserve">, nebent praskiedimas/ paruošimas buvo atliktas kontroliuojamomis ir patvirtintomis </w:t>
      </w:r>
      <w:proofErr w:type="spellStart"/>
      <w:r w:rsidRPr="001D5EBE">
        <w:rPr>
          <w:spacing w:val="-3"/>
          <w:lang w:val="lt-LT"/>
        </w:rPr>
        <w:t>aseptinėmis</w:t>
      </w:r>
      <w:proofErr w:type="spellEnd"/>
      <w:r w:rsidRPr="001D5EBE">
        <w:rPr>
          <w:spacing w:val="-3"/>
          <w:lang w:val="lt-LT"/>
        </w:rPr>
        <w:t xml:space="preserve"> sąlygomis.</w:t>
      </w:r>
    </w:p>
    <w:p w14:paraId="566B9D87" w14:textId="77777777" w:rsidR="003F33B8" w:rsidRPr="001D5EBE" w:rsidRDefault="003F33B8" w:rsidP="003F33B8">
      <w:pPr>
        <w:pStyle w:val="Pagrindinistekstas"/>
        <w:spacing w:after="0"/>
        <w:rPr>
          <w:szCs w:val="22"/>
        </w:rPr>
      </w:pPr>
    </w:p>
    <w:p w14:paraId="7987182F" w14:textId="77777777" w:rsidR="003F33B8" w:rsidRPr="001D5EBE" w:rsidRDefault="003F33B8" w:rsidP="003F33B8">
      <w:pPr>
        <w:pStyle w:val="Antrat3"/>
        <w:rPr>
          <w:szCs w:val="22"/>
        </w:rPr>
      </w:pPr>
      <w:r w:rsidRPr="001D5EBE">
        <w:rPr>
          <w:szCs w:val="22"/>
        </w:rPr>
        <w:t>6.4</w:t>
      </w:r>
      <w:r w:rsidRPr="001D5EBE">
        <w:rPr>
          <w:szCs w:val="22"/>
        </w:rPr>
        <w:tab/>
        <w:t>Specialios laikymo sąlygos</w:t>
      </w:r>
    </w:p>
    <w:p w14:paraId="4EB7C29A" w14:textId="77777777" w:rsidR="003F33B8" w:rsidRPr="001D5EBE" w:rsidRDefault="003F33B8" w:rsidP="003F33B8">
      <w:pPr>
        <w:pStyle w:val="Pagrindinistekstas"/>
        <w:spacing w:after="0"/>
        <w:rPr>
          <w:szCs w:val="22"/>
        </w:rPr>
      </w:pPr>
    </w:p>
    <w:p w14:paraId="7AB16DC6" w14:textId="77777777" w:rsidR="003F33B8" w:rsidRPr="001D5EBE" w:rsidRDefault="003F33B8" w:rsidP="003F33B8">
      <w:pPr>
        <w:pStyle w:val="Pagrindinistekstas"/>
        <w:spacing w:after="0"/>
        <w:rPr>
          <w:szCs w:val="22"/>
        </w:rPr>
      </w:pPr>
      <w:r w:rsidRPr="001D5EBE">
        <w:rPr>
          <w:szCs w:val="22"/>
        </w:rPr>
        <w:t>Laikyti ne aukštesnėje kaip 25 </w:t>
      </w:r>
      <w:r w:rsidRPr="001D5EBE">
        <w:rPr>
          <w:szCs w:val="22"/>
        </w:rPr>
        <w:sym w:font="Symbol" w:char="F0B0"/>
      </w:r>
      <w:r w:rsidRPr="001D5EBE">
        <w:rPr>
          <w:szCs w:val="22"/>
        </w:rPr>
        <w:t>C temperatūroje.</w:t>
      </w:r>
    </w:p>
    <w:p w14:paraId="03CD5159" w14:textId="77777777" w:rsidR="003F33B8" w:rsidRPr="001D5EBE" w:rsidRDefault="003F33B8" w:rsidP="003F33B8">
      <w:pPr>
        <w:pStyle w:val="Pagrindinistekstas2"/>
        <w:autoSpaceDE w:val="0"/>
        <w:autoSpaceDN w:val="0"/>
        <w:adjustRightInd w:val="0"/>
        <w:jc w:val="left"/>
        <w:rPr>
          <w:sz w:val="22"/>
          <w:szCs w:val="22"/>
        </w:rPr>
      </w:pPr>
      <w:r w:rsidRPr="001D5EBE">
        <w:rPr>
          <w:sz w:val="22"/>
          <w:szCs w:val="22"/>
        </w:rPr>
        <w:t>Paruošto arba praskiesto vaistinio preparato laikymo sąlygos nurodytos 6.3 skyriuje.</w:t>
      </w:r>
    </w:p>
    <w:p w14:paraId="76B68617" w14:textId="77777777" w:rsidR="003F33B8" w:rsidRPr="001D5EBE" w:rsidRDefault="003F33B8" w:rsidP="003F33B8">
      <w:pPr>
        <w:pStyle w:val="Pagrindinistekstas"/>
        <w:spacing w:after="0"/>
        <w:rPr>
          <w:szCs w:val="22"/>
        </w:rPr>
      </w:pPr>
    </w:p>
    <w:p w14:paraId="53431A7D" w14:textId="77777777" w:rsidR="003F33B8" w:rsidRPr="001D5EBE" w:rsidRDefault="003F33B8" w:rsidP="003F33B8">
      <w:pPr>
        <w:pStyle w:val="Antrat3"/>
        <w:rPr>
          <w:szCs w:val="22"/>
        </w:rPr>
      </w:pPr>
      <w:r w:rsidRPr="001D5EBE">
        <w:rPr>
          <w:szCs w:val="22"/>
        </w:rPr>
        <w:t>6.5</w:t>
      </w:r>
      <w:r w:rsidRPr="001D5EBE">
        <w:rPr>
          <w:szCs w:val="22"/>
        </w:rPr>
        <w:tab/>
      </w:r>
      <w:proofErr w:type="spellStart"/>
      <w:r w:rsidRPr="001D5EBE">
        <w:rPr>
          <w:szCs w:val="22"/>
        </w:rPr>
        <w:t>Talpyklės</w:t>
      </w:r>
      <w:proofErr w:type="spellEnd"/>
      <w:r w:rsidRPr="001D5EBE">
        <w:rPr>
          <w:szCs w:val="22"/>
        </w:rPr>
        <w:t xml:space="preserve"> pobūdis ir jos turinys</w:t>
      </w:r>
    </w:p>
    <w:p w14:paraId="505C0A3F" w14:textId="77777777" w:rsidR="003F33B8" w:rsidRPr="001D5EBE" w:rsidRDefault="003F33B8" w:rsidP="003F33B8">
      <w:pPr>
        <w:pStyle w:val="Pagrindinistekstas"/>
        <w:spacing w:after="0"/>
        <w:rPr>
          <w:szCs w:val="22"/>
        </w:rPr>
      </w:pPr>
    </w:p>
    <w:p w14:paraId="7601EEBF" w14:textId="77777777" w:rsidR="003F33B8" w:rsidRPr="001D5EBE" w:rsidRDefault="003F33B8" w:rsidP="003F33B8">
      <w:pPr>
        <w:pStyle w:val="Pagrindinistekstas"/>
        <w:spacing w:after="0"/>
        <w:rPr>
          <w:szCs w:val="22"/>
        </w:rPr>
      </w:pPr>
      <w:r w:rsidRPr="001D5EBE">
        <w:rPr>
          <w:szCs w:val="22"/>
        </w:rPr>
        <w:t xml:space="preserve">Dėžutėje yra du neutralaus I tipo stiklo </w:t>
      </w:r>
      <w:r w:rsidR="00B25481" w:rsidRPr="001D5EBE">
        <w:rPr>
          <w:szCs w:val="22"/>
        </w:rPr>
        <w:t>flakonai</w:t>
      </w:r>
      <w:r w:rsidRPr="001D5EBE">
        <w:rPr>
          <w:szCs w:val="22"/>
        </w:rPr>
        <w:t>, užkimšti butilo gumos kamščiais.</w:t>
      </w:r>
    </w:p>
    <w:p w14:paraId="433109C0" w14:textId="77777777" w:rsidR="003F33B8" w:rsidRPr="001D5EBE" w:rsidRDefault="003F33B8" w:rsidP="003F33B8">
      <w:pPr>
        <w:pStyle w:val="Pagrindinistekstas"/>
        <w:spacing w:after="0"/>
        <w:rPr>
          <w:szCs w:val="22"/>
        </w:rPr>
      </w:pPr>
      <w:r w:rsidRPr="001D5EBE">
        <w:rPr>
          <w:szCs w:val="22"/>
        </w:rPr>
        <w:t xml:space="preserve">Viename jų yra sterilūs milteliai, kurių sudėtyje yra 500 mg </w:t>
      </w:r>
      <w:proofErr w:type="spellStart"/>
      <w:r w:rsidRPr="001D5EBE">
        <w:rPr>
          <w:szCs w:val="22"/>
        </w:rPr>
        <w:t>metilprednizolono</w:t>
      </w:r>
      <w:proofErr w:type="spellEnd"/>
      <w:r w:rsidRPr="001D5EBE">
        <w:rPr>
          <w:szCs w:val="22"/>
        </w:rPr>
        <w:t>, kitame – 7,8 ml tirpiklio.</w:t>
      </w:r>
    </w:p>
    <w:p w14:paraId="4B4FE809" w14:textId="77777777" w:rsidR="003F33B8" w:rsidRPr="001D5EBE" w:rsidRDefault="003F33B8" w:rsidP="003F33B8">
      <w:pPr>
        <w:pStyle w:val="Pagrindinistekstas"/>
        <w:spacing w:after="0"/>
        <w:rPr>
          <w:szCs w:val="22"/>
        </w:rPr>
      </w:pPr>
    </w:p>
    <w:p w14:paraId="53858094" w14:textId="77777777" w:rsidR="003F33B8" w:rsidRPr="001D5EBE" w:rsidRDefault="003F33B8" w:rsidP="003F33B8">
      <w:pPr>
        <w:pStyle w:val="Antrat3"/>
        <w:rPr>
          <w:szCs w:val="22"/>
        </w:rPr>
      </w:pPr>
      <w:r w:rsidRPr="001D5EBE">
        <w:rPr>
          <w:szCs w:val="22"/>
        </w:rPr>
        <w:t>6.6</w:t>
      </w:r>
      <w:r w:rsidRPr="001D5EBE">
        <w:rPr>
          <w:szCs w:val="22"/>
        </w:rPr>
        <w:tab/>
        <w:t>Specialūs reikalavimai atliekoms tvarkyti ir vaistiniam preparatui ruošti</w:t>
      </w:r>
    </w:p>
    <w:p w14:paraId="43A28967" w14:textId="77777777" w:rsidR="003F33B8" w:rsidRPr="001D5EBE" w:rsidRDefault="003F33B8" w:rsidP="003F33B8">
      <w:pPr>
        <w:pStyle w:val="Pagrindinistekstas"/>
        <w:spacing w:after="0"/>
        <w:rPr>
          <w:szCs w:val="22"/>
        </w:rPr>
      </w:pPr>
    </w:p>
    <w:p w14:paraId="4D7E13E0" w14:textId="77777777" w:rsidR="003F33B8" w:rsidRPr="001D5EBE" w:rsidRDefault="003F33B8" w:rsidP="003F33B8">
      <w:pPr>
        <w:pStyle w:val="Pagrindinistekstas"/>
        <w:spacing w:after="0"/>
        <w:rPr>
          <w:szCs w:val="22"/>
        </w:rPr>
      </w:pPr>
      <w:r w:rsidRPr="001D5EBE">
        <w:rPr>
          <w:szCs w:val="22"/>
        </w:rPr>
        <w:t xml:space="preserve">Norint paruošti tirpalą intraveninei infuzijai, reikia nuimti apsauginį dangtelį ir </w:t>
      </w:r>
      <w:r w:rsidR="00B25481" w:rsidRPr="001D5EBE">
        <w:rPr>
          <w:szCs w:val="22"/>
        </w:rPr>
        <w:t>flakone</w:t>
      </w:r>
      <w:r w:rsidRPr="001D5EBE">
        <w:rPr>
          <w:szCs w:val="22"/>
        </w:rPr>
        <w:t xml:space="preserve"> esančius sterilius SOLU-MEDROL miltelius ištirpinti įprastai.</w:t>
      </w:r>
    </w:p>
    <w:p w14:paraId="78CD61F2" w14:textId="4DE5D729" w:rsidR="003F33B8" w:rsidRPr="001D5EBE" w:rsidRDefault="003F33B8" w:rsidP="003F33B8">
      <w:pPr>
        <w:pStyle w:val="Pagrindinistekstas"/>
        <w:spacing w:after="0"/>
        <w:rPr>
          <w:szCs w:val="22"/>
        </w:rPr>
      </w:pPr>
      <w:r w:rsidRPr="001D5EBE">
        <w:rPr>
          <w:szCs w:val="22"/>
        </w:rPr>
        <w:t xml:space="preserve">Pirmąją intraveninę dozę galima suleisti ne greičiau kaip per 5 min. (jei ji mažesnė kaip  250 mg) ir ne greičiau kaip per 30 min. (jei ji lygi arba didesnė kaip 250 mg). Vėlesnės dozės ruošiamos ir vartojamos panašiai. Esant reikalui, galima vartoti atskiestus šio vaistinio preparato tirpalus. Tokiu atveju ištirpintas </w:t>
      </w:r>
      <w:r w:rsidR="0047243D">
        <w:rPr>
          <w:szCs w:val="22"/>
        </w:rPr>
        <w:t xml:space="preserve">vaistinis </w:t>
      </w:r>
      <w:r w:rsidRPr="001D5EBE">
        <w:rPr>
          <w:szCs w:val="22"/>
        </w:rPr>
        <w:t>preparatas sumaišomas su 5</w:t>
      </w:r>
      <w:r w:rsidRPr="001D5EBE">
        <w:rPr>
          <w:szCs w:val="22"/>
        </w:rPr>
        <w:sym w:font="Symbol" w:char="F025"/>
      </w:r>
      <w:r w:rsidRPr="001D5EBE">
        <w:rPr>
          <w:szCs w:val="22"/>
        </w:rPr>
        <w:t xml:space="preserve"> gliukozės tirpalu vandenyje, fiziologiniu natrio chlorido tirpalu arba 5</w:t>
      </w:r>
      <w:r w:rsidRPr="001D5EBE">
        <w:rPr>
          <w:szCs w:val="22"/>
        </w:rPr>
        <w:sym w:font="Symbol" w:char="F025"/>
      </w:r>
      <w:r w:rsidRPr="001D5EBE">
        <w:rPr>
          <w:szCs w:val="22"/>
        </w:rPr>
        <w:t xml:space="preserve"> gliukoze ir 0,45</w:t>
      </w:r>
      <w:r w:rsidRPr="001D5EBE">
        <w:rPr>
          <w:szCs w:val="22"/>
        </w:rPr>
        <w:sym w:font="Symbol" w:char="F025"/>
      </w:r>
      <w:r w:rsidRPr="001D5EBE">
        <w:rPr>
          <w:szCs w:val="22"/>
        </w:rPr>
        <w:t xml:space="preserve"> ar 0,9</w:t>
      </w:r>
      <w:r w:rsidRPr="001D5EBE">
        <w:rPr>
          <w:szCs w:val="22"/>
        </w:rPr>
        <w:sym w:font="Symbol" w:char="F025"/>
      </w:r>
      <w:r w:rsidRPr="001D5EBE">
        <w:rPr>
          <w:szCs w:val="22"/>
        </w:rPr>
        <w:t xml:space="preserve"> natrio chlorido tirpale. Gautų tirpalų fizinės ir cheminės savybės stabilios 48 valandas.</w:t>
      </w:r>
    </w:p>
    <w:p w14:paraId="7A337E7E" w14:textId="057C153E" w:rsidR="003F33B8" w:rsidRPr="001D5EBE" w:rsidRDefault="003F33B8" w:rsidP="003F33B8">
      <w:pPr>
        <w:pStyle w:val="Pagrindinistekstas"/>
        <w:spacing w:after="0"/>
        <w:rPr>
          <w:i/>
          <w:szCs w:val="22"/>
        </w:rPr>
      </w:pPr>
      <w:r w:rsidRPr="001D5EBE">
        <w:rPr>
          <w:szCs w:val="22"/>
        </w:rPr>
        <w:t xml:space="preserve">Paruoštas tirpalas yra skaidrus ir bespalvis. Prieš vartojant </w:t>
      </w:r>
      <w:r w:rsidR="0047243D">
        <w:rPr>
          <w:szCs w:val="22"/>
        </w:rPr>
        <w:t xml:space="preserve">vaistinį </w:t>
      </w:r>
      <w:r w:rsidRPr="001D5EBE">
        <w:rPr>
          <w:szCs w:val="22"/>
        </w:rPr>
        <w:t xml:space="preserve">preparatą </w:t>
      </w:r>
      <w:proofErr w:type="spellStart"/>
      <w:r w:rsidRPr="001D5EBE">
        <w:rPr>
          <w:szCs w:val="22"/>
        </w:rPr>
        <w:t>parenteraliai</w:t>
      </w:r>
      <w:proofErr w:type="spellEnd"/>
      <w:r w:rsidRPr="001D5EBE">
        <w:rPr>
          <w:szCs w:val="22"/>
        </w:rPr>
        <w:t>, reikia jį reikia apžiūrėti ir įsitikinti, ar nepakito spalva, ar nėra jame dalelių.</w:t>
      </w:r>
    </w:p>
    <w:p w14:paraId="24889219" w14:textId="77777777" w:rsidR="003F33B8" w:rsidRPr="001D5EBE" w:rsidRDefault="003F33B8" w:rsidP="003F33B8">
      <w:pPr>
        <w:pStyle w:val="Pagrindinistekstas"/>
        <w:spacing w:after="0"/>
        <w:rPr>
          <w:szCs w:val="22"/>
        </w:rPr>
      </w:pPr>
    </w:p>
    <w:p w14:paraId="26599955" w14:textId="77777777" w:rsidR="003F33B8" w:rsidRPr="001D5EBE" w:rsidRDefault="003F33B8" w:rsidP="003F33B8">
      <w:pPr>
        <w:pStyle w:val="Pagrindinistekstas"/>
        <w:spacing w:after="0"/>
        <w:rPr>
          <w:szCs w:val="22"/>
        </w:rPr>
      </w:pPr>
    </w:p>
    <w:p w14:paraId="565C19F5" w14:textId="77777777" w:rsidR="003F33B8" w:rsidRPr="001D5EBE" w:rsidRDefault="003F33B8" w:rsidP="003F33B8">
      <w:pPr>
        <w:pStyle w:val="Antrat2"/>
        <w:rPr>
          <w:szCs w:val="22"/>
        </w:rPr>
      </w:pPr>
      <w:r w:rsidRPr="001D5EBE">
        <w:rPr>
          <w:szCs w:val="22"/>
        </w:rPr>
        <w:t>7.</w:t>
      </w:r>
      <w:r w:rsidRPr="001D5EBE">
        <w:rPr>
          <w:szCs w:val="22"/>
        </w:rPr>
        <w:tab/>
      </w:r>
      <w:r w:rsidR="00582059" w:rsidRPr="007057DC">
        <w:rPr>
          <w:bCs/>
          <w:snapToGrid w:val="0"/>
          <w:szCs w:val="26"/>
        </w:rPr>
        <w:t>REGISTRUOTOJAS</w:t>
      </w:r>
    </w:p>
    <w:p w14:paraId="265CC22B" w14:textId="77777777" w:rsidR="003F33B8" w:rsidRPr="001D5EBE" w:rsidRDefault="003F33B8" w:rsidP="003F33B8">
      <w:pPr>
        <w:pStyle w:val="Pagrindinistekstas"/>
        <w:widowControl w:val="0"/>
        <w:spacing w:after="0"/>
        <w:rPr>
          <w:szCs w:val="22"/>
        </w:rPr>
      </w:pPr>
    </w:p>
    <w:p w14:paraId="4F91B041" w14:textId="77777777" w:rsidR="003F33B8" w:rsidRPr="001D5EBE" w:rsidRDefault="003F33B8" w:rsidP="003F33B8">
      <w:pPr>
        <w:pStyle w:val="Pagrindinistekstas"/>
        <w:widowControl w:val="0"/>
        <w:spacing w:after="0"/>
        <w:rPr>
          <w:szCs w:val="22"/>
        </w:rPr>
      </w:pPr>
      <w:proofErr w:type="spellStart"/>
      <w:r w:rsidRPr="001D5EBE">
        <w:rPr>
          <w:szCs w:val="22"/>
        </w:rPr>
        <w:t>Pfizer</w:t>
      </w:r>
      <w:proofErr w:type="spellEnd"/>
      <w:r w:rsidRPr="001D5EBE">
        <w:rPr>
          <w:szCs w:val="22"/>
        </w:rPr>
        <w:t xml:space="preserve"> </w:t>
      </w:r>
      <w:proofErr w:type="spellStart"/>
      <w:r w:rsidRPr="001D5EBE">
        <w:rPr>
          <w:szCs w:val="22"/>
        </w:rPr>
        <w:t>Europe</w:t>
      </w:r>
      <w:proofErr w:type="spellEnd"/>
      <w:r w:rsidRPr="001D5EBE">
        <w:rPr>
          <w:szCs w:val="22"/>
        </w:rPr>
        <w:t xml:space="preserve"> MA EEIG</w:t>
      </w:r>
    </w:p>
    <w:p w14:paraId="6E410B68" w14:textId="77777777"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 xml:space="preserve">Boulevard de la </w:t>
      </w:r>
      <w:proofErr w:type="spellStart"/>
      <w:r w:rsidRPr="00317399">
        <w:rPr>
          <w:rFonts w:eastAsia="MS Mincho"/>
          <w:szCs w:val="20"/>
          <w:lang w:val="de-DE"/>
        </w:rPr>
        <w:t>Plaine</w:t>
      </w:r>
      <w:proofErr w:type="spellEnd"/>
      <w:r w:rsidRPr="00317399">
        <w:rPr>
          <w:rFonts w:eastAsia="MS Mincho"/>
          <w:szCs w:val="20"/>
          <w:lang w:val="de-DE"/>
        </w:rPr>
        <w:t xml:space="preserve"> 17</w:t>
      </w:r>
    </w:p>
    <w:p w14:paraId="505F913D" w14:textId="77777777"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1050 Bruxelles</w:t>
      </w:r>
    </w:p>
    <w:p w14:paraId="62BAE89B" w14:textId="62B8ED0C" w:rsidR="003F33B8" w:rsidRPr="001D5EBE" w:rsidRDefault="00317399" w:rsidP="003F33B8">
      <w:pPr>
        <w:pStyle w:val="Pagrindinistekstas"/>
        <w:spacing w:after="0"/>
        <w:rPr>
          <w:szCs w:val="22"/>
        </w:rPr>
      </w:pPr>
      <w:proofErr w:type="spellStart"/>
      <w:r w:rsidRPr="00317399">
        <w:rPr>
          <w:rFonts w:eastAsia="MS Mincho"/>
          <w:lang w:val="de-DE" w:eastAsia="en-US"/>
        </w:rPr>
        <w:t>Belgija</w:t>
      </w:r>
      <w:proofErr w:type="spellEnd"/>
      <w:r w:rsidRPr="001D5EBE" w:rsidDel="00317399">
        <w:rPr>
          <w:szCs w:val="22"/>
        </w:rPr>
        <w:t xml:space="preserve"> </w:t>
      </w:r>
    </w:p>
    <w:p w14:paraId="377A74BA" w14:textId="77777777" w:rsidR="003F33B8" w:rsidRPr="001D5EBE" w:rsidRDefault="003F33B8" w:rsidP="003F33B8">
      <w:pPr>
        <w:pStyle w:val="Pagrindinistekstas"/>
        <w:spacing w:after="0"/>
        <w:rPr>
          <w:szCs w:val="22"/>
        </w:rPr>
      </w:pPr>
    </w:p>
    <w:p w14:paraId="6FDCC50E" w14:textId="77777777" w:rsidR="003F33B8" w:rsidRPr="001D5EBE" w:rsidRDefault="003F33B8" w:rsidP="003F33B8">
      <w:pPr>
        <w:pStyle w:val="Antrat2"/>
        <w:rPr>
          <w:szCs w:val="22"/>
        </w:rPr>
      </w:pPr>
      <w:r w:rsidRPr="001D5EBE">
        <w:rPr>
          <w:szCs w:val="22"/>
        </w:rPr>
        <w:t>8.</w:t>
      </w:r>
      <w:r w:rsidRPr="001D5EBE">
        <w:rPr>
          <w:szCs w:val="22"/>
        </w:rPr>
        <w:tab/>
      </w:r>
      <w:r w:rsidR="00582059" w:rsidRPr="007057DC">
        <w:rPr>
          <w:bCs/>
          <w:snapToGrid w:val="0"/>
          <w:szCs w:val="26"/>
        </w:rPr>
        <w:t>REGISTRACIJOS</w:t>
      </w:r>
      <w:r w:rsidRPr="001D5EBE">
        <w:rPr>
          <w:szCs w:val="22"/>
        </w:rPr>
        <w:t xml:space="preserve"> </w:t>
      </w:r>
      <w:r w:rsidRPr="001D5EBE">
        <w:rPr>
          <w:noProof/>
          <w:szCs w:val="22"/>
        </w:rPr>
        <w:t>PAŽYMĖJIMO</w:t>
      </w:r>
      <w:r w:rsidRPr="001D5EBE">
        <w:rPr>
          <w:szCs w:val="22"/>
        </w:rPr>
        <w:t xml:space="preserve"> NUMERIS</w:t>
      </w:r>
    </w:p>
    <w:p w14:paraId="0380A0DA" w14:textId="77777777" w:rsidR="003F33B8" w:rsidRPr="001D5EBE" w:rsidRDefault="003F33B8" w:rsidP="003F33B8">
      <w:pPr>
        <w:pStyle w:val="Pagrindinistekstas"/>
        <w:spacing w:after="0"/>
        <w:rPr>
          <w:szCs w:val="22"/>
        </w:rPr>
      </w:pPr>
    </w:p>
    <w:p w14:paraId="78A77AEC" w14:textId="77777777" w:rsidR="003F33B8" w:rsidRPr="001D5EBE" w:rsidRDefault="003F33B8" w:rsidP="003F33B8">
      <w:pPr>
        <w:spacing w:line="240" w:lineRule="auto"/>
        <w:rPr>
          <w:lang w:val="lt-LT"/>
        </w:rPr>
      </w:pPr>
      <w:r w:rsidRPr="001D5EBE">
        <w:rPr>
          <w:lang w:val="lt-LT"/>
        </w:rPr>
        <w:t>LT/1/94/1936/003</w:t>
      </w:r>
    </w:p>
    <w:p w14:paraId="4C23A49F" w14:textId="77777777" w:rsidR="003F33B8" w:rsidRPr="001D5EBE" w:rsidRDefault="003F33B8" w:rsidP="003F33B8">
      <w:pPr>
        <w:pStyle w:val="Pagrindinistekstas"/>
        <w:spacing w:after="0"/>
        <w:rPr>
          <w:szCs w:val="22"/>
        </w:rPr>
      </w:pPr>
    </w:p>
    <w:p w14:paraId="0E6F4F64" w14:textId="77777777" w:rsidR="003F33B8" w:rsidRPr="001D5EBE" w:rsidRDefault="003F33B8" w:rsidP="003F33B8">
      <w:pPr>
        <w:pStyle w:val="Pagrindinistekstas"/>
        <w:spacing w:after="0"/>
        <w:rPr>
          <w:szCs w:val="22"/>
        </w:rPr>
      </w:pPr>
    </w:p>
    <w:p w14:paraId="5F456AD2" w14:textId="77777777" w:rsidR="003F33B8" w:rsidRPr="001D5EBE" w:rsidRDefault="003F33B8" w:rsidP="003F33B8">
      <w:pPr>
        <w:pStyle w:val="Antrat2"/>
        <w:rPr>
          <w:szCs w:val="22"/>
        </w:rPr>
      </w:pPr>
      <w:r w:rsidRPr="001D5EBE">
        <w:rPr>
          <w:szCs w:val="22"/>
        </w:rPr>
        <w:t>9.</w:t>
      </w:r>
      <w:r w:rsidRPr="001D5EBE">
        <w:rPr>
          <w:szCs w:val="22"/>
        </w:rPr>
        <w:tab/>
      </w:r>
      <w:r w:rsidR="00582059" w:rsidRPr="007057DC">
        <w:rPr>
          <w:bCs/>
          <w:snapToGrid w:val="0"/>
          <w:szCs w:val="26"/>
        </w:rPr>
        <w:t xml:space="preserve">REGISTRAVIMO / PERREGISTRAVIMO </w:t>
      </w:r>
      <w:r w:rsidRPr="001D5EBE">
        <w:rPr>
          <w:szCs w:val="22"/>
        </w:rPr>
        <w:t>DATA</w:t>
      </w:r>
    </w:p>
    <w:p w14:paraId="051FDCAD" w14:textId="77777777" w:rsidR="003F33B8" w:rsidRPr="001D5EBE" w:rsidRDefault="003F33B8" w:rsidP="003F33B8">
      <w:pPr>
        <w:pStyle w:val="Pagrindinistekstas"/>
        <w:spacing w:after="0"/>
        <w:rPr>
          <w:szCs w:val="22"/>
        </w:rPr>
      </w:pPr>
    </w:p>
    <w:p w14:paraId="326178EB" w14:textId="77777777" w:rsidR="003F33B8" w:rsidRPr="001D5EBE" w:rsidRDefault="007A0845" w:rsidP="003F33B8">
      <w:pPr>
        <w:spacing w:line="240" w:lineRule="auto"/>
        <w:rPr>
          <w:lang w:val="lt-LT"/>
        </w:rPr>
      </w:pPr>
      <w:r w:rsidRPr="007057DC">
        <w:rPr>
          <w:noProof/>
          <w:lang w:val="lt-LT"/>
        </w:rPr>
        <w:t>Registravimo data</w:t>
      </w:r>
      <w:r>
        <w:rPr>
          <w:noProof/>
          <w:lang w:val="lt-LT"/>
        </w:rPr>
        <w:t xml:space="preserve"> </w:t>
      </w:r>
      <w:r w:rsidR="003F33B8" w:rsidRPr="001D5EBE">
        <w:rPr>
          <w:noProof/>
          <w:lang w:val="lt-LT"/>
        </w:rPr>
        <w:t xml:space="preserve">1994 m. birželio </w:t>
      </w:r>
      <w:r w:rsidR="003F33B8" w:rsidRPr="001D5EBE">
        <w:rPr>
          <w:lang w:val="lt-LT"/>
        </w:rPr>
        <w:t xml:space="preserve"> </w:t>
      </w:r>
      <w:r w:rsidR="003F33B8" w:rsidRPr="001D5EBE">
        <w:rPr>
          <w:noProof/>
          <w:lang w:val="lt-LT"/>
        </w:rPr>
        <w:t>22 d.</w:t>
      </w:r>
    </w:p>
    <w:p w14:paraId="60689F51" w14:textId="77777777" w:rsidR="003F33B8" w:rsidRPr="001D5EBE" w:rsidRDefault="007A0845" w:rsidP="003F33B8">
      <w:pPr>
        <w:spacing w:line="240" w:lineRule="auto"/>
        <w:rPr>
          <w:lang w:val="lt-LT"/>
        </w:rPr>
      </w:pPr>
      <w:r w:rsidRPr="007057DC">
        <w:rPr>
          <w:noProof/>
          <w:lang w:val="lt-LT"/>
        </w:rPr>
        <w:t xml:space="preserve">Paskutinio perregistravimo data </w:t>
      </w:r>
      <w:r w:rsidR="003F33B8" w:rsidRPr="001D5EBE">
        <w:rPr>
          <w:noProof/>
          <w:lang w:val="lt-LT"/>
        </w:rPr>
        <w:t xml:space="preserve">2010 m. kovo </w:t>
      </w:r>
      <w:r w:rsidR="003F33B8" w:rsidRPr="001D5EBE">
        <w:rPr>
          <w:lang w:val="lt-LT"/>
        </w:rPr>
        <w:t xml:space="preserve"> </w:t>
      </w:r>
      <w:r w:rsidR="003F33B8" w:rsidRPr="001D5EBE">
        <w:rPr>
          <w:noProof/>
          <w:lang w:val="lt-LT"/>
        </w:rPr>
        <w:t>19 d.</w:t>
      </w:r>
    </w:p>
    <w:p w14:paraId="28B4DF5D" w14:textId="77777777" w:rsidR="003F33B8" w:rsidRPr="001D5EBE" w:rsidRDefault="003F33B8" w:rsidP="003F33B8">
      <w:pPr>
        <w:pStyle w:val="Pagrindinistekstas"/>
        <w:spacing w:after="0"/>
        <w:rPr>
          <w:szCs w:val="22"/>
        </w:rPr>
      </w:pPr>
    </w:p>
    <w:p w14:paraId="3DE9ACB5" w14:textId="77777777" w:rsidR="003F33B8" w:rsidRPr="001D5EBE" w:rsidRDefault="003F33B8" w:rsidP="003F33B8">
      <w:pPr>
        <w:pStyle w:val="Pagrindinistekstas"/>
        <w:spacing w:after="0"/>
        <w:rPr>
          <w:szCs w:val="22"/>
        </w:rPr>
      </w:pPr>
    </w:p>
    <w:p w14:paraId="48935EE4" w14:textId="77777777" w:rsidR="003F33B8" w:rsidRPr="001D5EBE" w:rsidRDefault="003F33B8" w:rsidP="003F33B8">
      <w:pPr>
        <w:pStyle w:val="Antrat2"/>
        <w:rPr>
          <w:szCs w:val="22"/>
        </w:rPr>
      </w:pPr>
      <w:r w:rsidRPr="001D5EBE">
        <w:rPr>
          <w:szCs w:val="22"/>
        </w:rPr>
        <w:t>10.</w:t>
      </w:r>
      <w:r w:rsidRPr="001D5EBE">
        <w:rPr>
          <w:szCs w:val="22"/>
        </w:rPr>
        <w:tab/>
        <w:t>TEKSTO PERŽIŪROS DATA</w:t>
      </w:r>
    </w:p>
    <w:p w14:paraId="58AC2113" w14:textId="77777777" w:rsidR="003F33B8" w:rsidRPr="001D5EBE" w:rsidRDefault="003F33B8" w:rsidP="003F33B8">
      <w:pPr>
        <w:pStyle w:val="Pagrindinistekstas"/>
        <w:spacing w:after="0"/>
        <w:rPr>
          <w:szCs w:val="22"/>
        </w:rPr>
      </w:pPr>
    </w:p>
    <w:p w14:paraId="3F3226C9" w14:textId="225B4109" w:rsidR="00317399" w:rsidRPr="00317399" w:rsidRDefault="00317399" w:rsidP="00C8743D">
      <w:pPr>
        <w:spacing w:line="240" w:lineRule="auto"/>
        <w:rPr>
          <w:rFonts w:eastAsia="MS Mincho"/>
          <w:noProof/>
          <w:lang w:eastAsia="x-none"/>
        </w:rPr>
      </w:pPr>
      <w:r w:rsidRPr="00317399">
        <w:rPr>
          <w:rFonts w:eastAsia="MS Mincho"/>
          <w:noProof/>
          <w:lang w:eastAsia="x-none"/>
        </w:rPr>
        <w:t>2018 m. rugsėjo 11 d.</w:t>
      </w:r>
    </w:p>
    <w:p w14:paraId="308C03AC" w14:textId="77777777" w:rsidR="002D7694" w:rsidRPr="001D5EBE" w:rsidRDefault="002D7694" w:rsidP="003F33B8">
      <w:pPr>
        <w:pStyle w:val="Pagrindinistekstas"/>
        <w:spacing w:after="0"/>
        <w:rPr>
          <w:szCs w:val="22"/>
        </w:rPr>
      </w:pPr>
    </w:p>
    <w:p w14:paraId="1BA88EFD" w14:textId="77777777" w:rsidR="003F33B8" w:rsidRPr="001D5EBE" w:rsidRDefault="003F33B8" w:rsidP="003F33B8">
      <w:pPr>
        <w:pStyle w:val="Pagrindinistekstas"/>
        <w:spacing w:after="0"/>
        <w:rPr>
          <w:color w:val="0000FF"/>
          <w:szCs w:val="22"/>
        </w:rPr>
      </w:pPr>
      <w:r w:rsidRPr="001D5EBE">
        <w:rPr>
          <w:noProof/>
          <w:szCs w:val="22"/>
        </w:rPr>
        <w:t>Išsami informacija apie šį vaistinį preparatą</w:t>
      </w:r>
      <w:r w:rsidRPr="001D5EBE">
        <w:rPr>
          <w:szCs w:val="22"/>
        </w:rPr>
        <w:t xml:space="preserve"> pateikiama Valstybinės vaistų kontrolės tarnybos prie Lietuvos Respublikos sveikatos apsaugos ministerijos </w:t>
      </w:r>
      <w:r w:rsidRPr="001D5EBE">
        <w:rPr>
          <w:noProof/>
          <w:szCs w:val="22"/>
        </w:rPr>
        <w:t>tinklalapyje</w:t>
      </w:r>
      <w:r w:rsidRPr="001D5EBE">
        <w:rPr>
          <w:szCs w:val="22"/>
        </w:rPr>
        <w:t xml:space="preserve"> </w:t>
      </w:r>
      <w:hyperlink r:id="rId13" w:history="1">
        <w:r w:rsidRPr="001D5EBE">
          <w:rPr>
            <w:rStyle w:val="Hipersaitas"/>
            <w:szCs w:val="22"/>
          </w:rPr>
          <w:t>http://www.vvkt.lt/</w:t>
        </w:r>
      </w:hyperlink>
    </w:p>
    <w:p w14:paraId="2C824213" w14:textId="77777777" w:rsidR="003F33B8" w:rsidRPr="001D5EBE" w:rsidRDefault="003F33B8" w:rsidP="003F33B8">
      <w:pPr>
        <w:pStyle w:val="Antrat2"/>
        <w:rPr>
          <w:szCs w:val="22"/>
        </w:rPr>
      </w:pPr>
      <w:r w:rsidRPr="001D5EBE">
        <w:rPr>
          <w:szCs w:val="22"/>
        </w:rPr>
        <w:br w:type="page"/>
      </w:r>
    </w:p>
    <w:p w14:paraId="1C2D954B" w14:textId="77777777" w:rsidR="003F33B8" w:rsidRPr="001D5EBE" w:rsidRDefault="003F33B8" w:rsidP="003F33B8">
      <w:pPr>
        <w:pStyle w:val="Pagrindinistekstas"/>
        <w:spacing w:after="0"/>
        <w:rPr>
          <w:szCs w:val="22"/>
        </w:rPr>
      </w:pPr>
    </w:p>
    <w:p w14:paraId="1BC50F2D" w14:textId="77777777" w:rsidR="003F33B8" w:rsidRPr="001D5EBE" w:rsidRDefault="003F33B8" w:rsidP="003F33B8">
      <w:pPr>
        <w:pStyle w:val="Pagrindinistekstas"/>
        <w:spacing w:after="0"/>
        <w:rPr>
          <w:szCs w:val="22"/>
        </w:rPr>
      </w:pPr>
    </w:p>
    <w:p w14:paraId="71E3FC46" w14:textId="77777777" w:rsidR="003F33B8" w:rsidRPr="001D5EBE" w:rsidRDefault="003F33B8" w:rsidP="003F33B8">
      <w:pPr>
        <w:pStyle w:val="Pagrindinistekstas"/>
        <w:spacing w:after="0"/>
        <w:rPr>
          <w:szCs w:val="22"/>
        </w:rPr>
      </w:pPr>
    </w:p>
    <w:p w14:paraId="5251FBD8" w14:textId="77777777" w:rsidR="003F33B8" w:rsidRPr="001D5EBE" w:rsidRDefault="003F33B8" w:rsidP="003F33B8">
      <w:pPr>
        <w:pStyle w:val="Pagrindinistekstas"/>
        <w:spacing w:after="0"/>
        <w:rPr>
          <w:szCs w:val="22"/>
        </w:rPr>
      </w:pPr>
    </w:p>
    <w:p w14:paraId="2E377565" w14:textId="77777777" w:rsidR="003F33B8" w:rsidRPr="001D5EBE" w:rsidRDefault="003F33B8" w:rsidP="003F33B8">
      <w:pPr>
        <w:pStyle w:val="Pagrindinistekstas"/>
        <w:spacing w:after="0"/>
        <w:rPr>
          <w:szCs w:val="22"/>
        </w:rPr>
      </w:pPr>
    </w:p>
    <w:p w14:paraId="209F7B0F" w14:textId="77777777" w:rsidR="003F33B8" w:rsidRPr="001D5EBE" w:rsidRDefault="003F33B8" w:rsidP="003F33B8">
      <w:pPr>
        <w:pStyle w:val="Pagrindinistekstas"/>
        <w:spacing w:after="0"/>
        <w:rPr>
          <w:szCs w:val="22"/>
        </w:rPr>
      </w:pPr>
    </w:p>
    <w:p w14:paraId="2140C059" w14:textId="77777777" w:rsidR="003F33B8" w:rsidRPr="001D5EBE" w:rsidRDefault="003F33B8" w:rsidP="003F33B8">
      <w:pPr>
        <w:pStyle w:val="Pagrindinistekstas"/>
        <w:spacing w:after="0"/>
        <w:rPr>
          <w:szCs w:val="22"/>
        </w:rPr>
      </w:pPr>
    </w:p>
    <w:p w14:paraId="4C1FDE43" w14:textId="77777777" w:rsidR="003F33B8" w:rsidRPr="001D5EBE" w:rsidRDefault="003F33B8" w:rsidP="003F33B8">
      <w:pPr>
        <w:pStyle w:val="Pagrindinistekstas"/>
        <w:spacing w:after="0"/>
        <w:rPr>
          <w:szCs w:val="22"/>
        </w:rPr>
      </w:pPr>
    </w:p>
    <w:p w14:paraId="7D9E9890" w14:textId="77777777" w:rsidR="003F33B8" w:rsidRPr="001D5EBE" w:rsidRDefault="003F33B8" w:rsidP="003F33B8">
      <w:pPr>
        <w:pStyle w:val="Pagrindinistekstas"/>
        <w:spacing w:after="0"/>
        <w:rPr>
          <w:szCs w:val="22"/>
        </w:rPr>
      </w:pPr>
    </w:p>
    <w:p w14:paraId="484FBF8D" w14:textId="77777777" w:rsidR="003F33B8" w:rsidRPr="001D5EBE" w:rsidRDefault="003F33B8" w:rsidP="003F33B8">
      <w:pPr>
        <w:pStyle w:val="Pagrindinistekstas"/>
        <w:spacing w:after="0"/>
        <w:rPr>
          <w:szCs w:val="22"/>
        </w:rPr>
      </w:pPr>
    </w:p>
    <w:p w14:paraId="36746C26" w14:textId="77777777" w:rsidR="003F33B8" w:rsidRPr="001D5EBE" w:rsidRDefault="003F33B8" w:rsidP="003F33B8">
      <w:pPr>
        <w:pStyle w:val="Pagrindinistekstas"/>
        <w:spacing w:after="0"/>
        <w:rPr>
          <w:szCs w:val="22"/>
        </w:rPr>
      </w:pPr>
    </w:p>
    <w:p w14:paraId="2B65C52C" w14:textId="77777777" w:rsidR="003F33B8" w:rsidRPr="001D5EBE" w:rsidRDefault="003F33B8" w:rsidP="003F33B8">
      <w:pPr>
        <w:pStyle w:val="Pagrindinistekstas"/>
        <w:spacing w:after="0"/>
        <w:rPr>
          <w:szCs w:val="22"/>
        </w:rPr>
      </w:pPr>
    </w:p>
    <w:p w14:paraId="7A49FAE1" w14:textId="77777777" w:rsidR="003F33B8" w:rsidRPr="001D5EBE" w:rsidRDefault="003F33B8" w:rsidP="003F33B8">
      <w:pPr>
        <w:pStyle w:val="Pagrindinistekstas"/>
        <w:spacing w:after="0"/>
        <w:rPr>
          <w:szCs w:val="22"/>
        </w:rPr>
      </w:pPr>
    </w:p>
    <w:p w14:paraId="032A7809" w14:textId="77777777" w:rsidR="003F33B8" w:rsidRPr="001D5EBE" w:rsidRDefault="003F33B8" w:rsidP="003F33B8">
      <w:pPr>
        <w:pStyle w:val="Pagrindinistekstas"/>
        <w:spacing w:after="0"/>
        <w:rPr>
          <w:szCs w:val="22"/>
        </w:rPr>
      </w:pPr>
    </w:p>
    <w:p w14:paraId="0F4BB323" w14:textId="77777777" w:rsidR="003F33B8" w:rsidRPr="001D5EBE" w:rsidRDefault="003F33B8" w:rsidP="003F33B8">
      <w:pPr>
        <w:pStyle w:val="Pagrindinistekstas"/>
        <w:spacing w:after="0"/>
        <w:rPr>
          <w:szCs w:val="22"/>
        </w:rPr>
      </w:pPr>
    </w:p>
    <w:p w14:paraId="6623EC3A" w14:textId="77777777" w:rsidR="003F33B8" w:rsidRPr="001D5EBE" w:rsidRDefault="003F33B8" w:rsidP="003F33B8">
      <w:pPr>
        <w:pStyle w:val="Pagrindinistekstas"/>
        <w:spacing w:after="0"/>
        <w:rPr>
          <w:szCs w:val="22"/>
        </w:rPr>
      </w:pPr>
    </w:p>
    <w:p w14:paraId="0B2A6BDA" w14:textId="77777777" w:rsidR="003F33B8" w:rsidRPr="001D5EBE" w:rsidRDefault="003F33B8" w:rsidP="003F33B8">
      <w:pPr>
        <w:pStyle w:val="Pagrindinistekstas"/>
        <w:spacing w:after="0"/>
        <w:rPr>
          <w:szCs w:val="22"/>
        </w:rPr>
      </w:pPr>
    </w:p>
    <w:p w14:paraId="75784A8E" w14:textId="77777777" w:rsidR="003F33B8" w:rsidRPr="001D5EBE" w:rsidRDefault="003F33B8" w:rsidP="003F33B8">
      <w:pPr>
        <w:pStyle w:val="Pagrindinistekstas"/>
        <w:spacing w:after="0"/>
        <w:rPr>
          <w:szCs w:val="22"/>
        </w:rPr>
      </w:pPr>
    </w:p>
    <w:p w14:paraId="22D12AEA" w14:textId="77777777" w:rsidR="003F33B8" w:rsidRPr="001D5EBE" w:rsidRDefault="003F33B8" w:rsidP="003F33B8">
      <w:pPr>
        <w:pStyle w:val="Pagrindinistekstas"/>
        <w:spacing w:after="0"/>
        <w:rPr>
          <w:szCs w:val="22"/>
        </w:rPr>
      </w:pPr>
    </w:p>
    <w:p w14:paraId="4D681A44" w14:textId="77777777" w:rsidR="003F33B8" w:rsidRPr="001D5EBE" w:rsidRDefault="003F33B8" w:rsidP="003F33B8">
      <w:pPr>
        <w:pStyle w:val="Pagrindinistekstas"/>
        <w:spacing w:after="0"/>
        <w:rPr>
          <w:szCs w:val="22"/>
        </w:rPr>
      </w:pPr>
    </w:p>
    <w:p w14:paraId="2DC47294" w14:textId="77777777" w:rsidR="003F33B8" w:rsidRPr="001D5EBE" w:rsidRDefault="003F33B8" w:rsidP="003F33B8">
      <w:pPr>
        <w:pStyle w:val="Pagrindinistekstas"/>
        <w:spacing w:after="0"/>
        <w:rPr>
          <w:szCs w:val="22"/>
        </w:rPr>
      </w:pPr>
    </w:p>
    <w:p w14:paraId="646C635E" w14:textId="77777777" w:rsidR="003F33B8" w:rsidRPr="001D5EBE" w:rsidRDefault="003F33B8" w:rsidP="003F33B8">
      <w:pPr>
        <w:rPr>
          <w:lang w:val="lt-LT"/>
        </w:rPr>
      </w:pPr>
    </w:p>
    <w:p w14:paraId="2D2CF18E" w14:textId="77777777" w:rsidR="00134A72" w:rsidRPr="001D5EBE" w:rsidRDefault="00134A72" w:rsidP="003F33B8">
      <w:pPr>
        <w:jc w:val="center"/>
        <w:rPr>
          <w:b/>
          <w:lang w:val="lt-LT"/>
        </w:rPr>
      </w:pPr>
    </w:p>
    <w:p w14:paraId="303B9759" w14:textId="77777777" w:rsidR="003F33B8" w:rsidRPr="001D5EBE" w:rsidRDefault="003F33B8" w:rsidP="003F33B8">
      <w:pPr>
        <w:jc w:val="center"/>
        <w:rPr>
          <w:lang w:val="lt-LT"/>
        </w:rPr>
      </w:pPr>
      <w:r w:rsidRPr="001D5EBE">
        <w:rPr>
          <w:b/>
          <w:lang w:val="lt-LT"/>
        </w:rPr>
        <w:t>II PRIEDAS</w:t>
      </w:r>
    </w:p>
    <w:p w14:paraId="792A0519" w14:textId="77777777" w:rsidR="003F33B8" w:rsidRPr="001D5EBE" w:rsidRDefault="003F33B8" w:rsidP="003F33B8">
      <w:pPr>
        <w:ind w:right="1416"/>
        <w:rPr>
          <w:lang w:val="lt-LT"/>
        </w:rPr>
      </w:pPr>
    </w:p>
    <w:p w14:paraId="5C129321" w14:textId="77777777" w:rsidR="003F33B8" w:rsidRPr="001D5EBE" w:rsidRDefault="009E7972" w:rsidP="003F33B8">
      <w:pPr>
        <w:jc w:val="center"/>
        <w:rPr>
          <w:i/>
          <w:lang w:val="lt-LT"/>
        </w:rPr>
      </w:pPr>
      <w:r w:rsidRPr="007057DC">
        <w:rPr>
          <w:b/>
          <w:lang w:val="lt-LT"/>
        </w:rPr>
        <w:t>REGISTRACIJOS</w:t>
      </w:r>
      <w:r w:rsidR="003F33B8" w:rsidRPr="001D5EBE">
        <w:rPr>
          <w:b/>
          <w:lang w:val="lt-LT"/>
        </w:rPr>
        <w:t xml:space="preserve"> SĄLYGOS</w:t>
      </w:r>
    </w:p>
    <w:p w14:paraId="4FA34D5A" w14:textId="77777777" w:rsidR="003F33B8" w:rsidRPr="001D5EBE" w:rsidRDefault="003F33B8" w:rsidP="003F33B8">
      <w:pPr>
        <w:rPr>
          <w:lang w:val="lt-LT"/>
        </w:rPr>
      </w:pPr>
    </w:p>
    <w:p w14:paraId="46DB52E8" w14:textId="77777777" w:rsidR="003F33B8" w:rsidRPr="001D5EBE" w:rsidRDefault="003F33B8" w:rsidP="003F33B8">
      <w:pPr>
        <w:tabs>
          <w:tab w:val="left" w:pos="1701"/>
        </w:tabs>
        <w:ind w:left="1701" w:right="567" w:hanging="567"/>
        <w:rPr>
          <w:lang w:val="lt-LT"/>
        </w:rPr>
      </w:pPr>
      <w:r w:rsidRPr="001D5EBE">
        <w:rPr>
          <w:b/>
          <w:lang w:val="lt-LT"/>
        </w:rPr>
        <w:t>A.</w:t>
      </w:r>
      <w:r w:rsidRPr="001D5EBE">
        <w:rPr>
          <w:b/>
          <w:noProof/>
          <w:lang w:val="lt-LT"/>
        </w:rPr>
        <w:tab/>
        <w:t>GAMINTOJAS</w:t>
      </w:r>
      <w:r w:rsidRPr="001D5EBE">
        <w:rPr>
          <w:b/>
          <w:lang w:val="lt-LT"/>
        </w:rPr>
        <w:t>, ATSAKINGAS UŽ SERIJŲ IŠLEIDIMĄ</w:t>
      </w:r>
    </w:p>
    <w:p w14:paraId="6708669F" w14:textId="77777777" w:rsidR="003F33B8" w:rsidRPr="001D5EBE" w:rsidRDefault="003F33B8" w:rsidP="003F33B8">
      <w:pPr>
        <w:tabs>
          <w:tab w:val="left" w:pos="1701"/>
        </w:tabs>
        <w:ind w:left="567" w:right="567" w:hanging="567"/>
        <w:rPr>
          <w:lang w:val="lt-LT"/>
        </w:rPr>
      </w:pPr>
    </w:p>
    <w:p w14:paraId="4855C185" w14:textId="77777777" w:rsidR="003F33B8" w:rsidRPr="001D5EBE" w:rsidRDefault="003F33B8" w:rsidP="003F33B8">
      <w:pPr>
        <w:tabs>
          <w:tab w:val="left" w:pos="1701"/>
        </w:tabs>
        <w:ind w:left="1701" w:right="567" w:hanging="567"/>
        <w:rPr>
          <w:lang w:val="lt-LT"/>
        </w:rPr>
      </w:pPr>
      <w:r w:rsidRPr="001D5EBE">
        <w:rPr>
          <w:b/>
          <w:lang w:val="lt-LT"/>
        </w:rPr>
        <w:t>B.</w:t>
      </w:r>
      <w:r w:rsidRPr="001D5EBE">
        <w:rPr>
          <w:b/>
          <w:lang w:val="lt-LT"/>
        </w:rPr>
        <w:tab/>
        <w:t>TIEKIMO IR VARTOJIMO SĄLYGOS AR APRIBOJIMAI</w:t>
      </w:r>
    </w:p>
    <w:p w14:paraId="1CEDEA67" w14:textId="77777777" w:rsidR="003F33B8" w:rsidRPr="001D5EBE" w:rsidRDefault="003F33B8" w:rsidP="003F33B8">
      <w:pPr>
        <w:tabs>
          <w:tab w:val="left" w:pos="1701"/>
        </w:tabs>
        <w:ind w:left="567" w:right="567" w:hanging="567"/>
        <w:rPr>
          <w:lang w:val="lt-LT"/>
        </w:rPr>
      </w:pPr>
    </w:p>
    <w:p w14:paraId="6E463826" w14:textId="77777777" w:rsidR="003F33B8" w:rsidRPr="001D5EBE" w:rsidRDefault="003F33B8" w:rsidP="003F33B8">
      <w:pPr>
        <w:pStyle w:val="Pagrindinistekstas"/>
        <w:numPr>
          <w:ilvl w:val="0"/>
          <w:numId w:val="18"/>
        </w:numPr>
        <w:spacing w:after="0"/>
        <w:ind w:left="567" w:hanging="567"/>
        <w:rPr>
          <w:b/>
          <w:szCs w:val="22"/>
        </w:rPr>
      </w:pPr>
      <w:r w:rsidRPr="001D5EBE">
        <w:rPr>
          <w:szCs w:val="22"/>
        </w:rPr>
        <w:br w:type="page"/>
      </w:r>
      <w:r w:rsidRPr="001D5EBE">
        <w:rPr>
          <w:b/>
          <w:szCs w:val="22"/>
        </w:rPr>
        <w:t>GAMINTOJAS, ATSAKINGAS UŽ SERIJŲ IŠLEIDIMĄ</w:t>
      </w:r>
    </w:p>
    <w:p w14:paraId="16E4F5A1" w14:textId="77777777" w:rsidR="003F33B8" w:rsidRPr="001D5EBE" w:rsidRDefault="003F33B8" w:rsidP="003F33B8">
      <w:pPr>
        <w:pStyle w:val="Pagrindinistekstas"/>
        <w:spacing w:after="0"/>
        <w:rPr>
          <w:szCs w:val="22"/>
        </w:rPr>
      </w:pPr>
    </w:p>
    <w:p w14:paraId="68AFE3A6" w14:textId="77777777" w:rsidR="003F33B8" w:rsidRPr="001D5EBE" w:rsidRDefault="003F33B8" w:rsidP="003F33B8">
      <w:pPr>
        <w:pStyle w:val="Pagrindinistekstas"/>
        <w:spacing w:after="0"/>
        <w:rPr>
          <w:szCs w:val="22"/>
          <w:u w:val="single"/>
        </w:rPr>
      </w:pPr>
      <w:r w:rsidRPr="001D5EBE">
        <w:rPr>
          <w:szCs w:val="22"/>
          <w:u w:val="single"/>
        </w:rPr>
        <w:t>Gamintojo, atsakingo už serijų išleidimą, pavadinimas ir adresas</w:t>
      </w:r>
    </w:p>
    <w:p w14:paraId="3EBD400E" w14:textId="77777777" w:rsidR="003F33B8" w:rsidRPr="001D5EBE" w:rsidRDefault="003F33B8" w:rsidP="003F33B8">
      <w:pPr>
        <w:pStyle w:val="Pagrindinistekstas"/>
        <w:spacing w:after="0"/>
        <w:rPr>
          <w:szCs w:val="22"/>
        </w:rPr>
      </w:pPr>
    </w:p>
    <w:p w14:paraId="7D4F3060" w14:textId="77777777" w:rsidR="003F33B8" w:rsidRPr="001D5EBE" w:rsidRDefault="003F33B8" w:rsidP="003F33B8">
      <w:pPr>
        <w:pStyle w:val="Pagrindinistekstas3"/>
        <w:rPr>
          <w:rFonts w:ascii="Times New Roman" w:hAnsi="Times New Roman"/>
          <w:color w:val="auto"/>
          <w:szCs w:val="22"/>
          <w:lang w:eastAsia="fr-FR"/>
        </w:rPr>
      </w:pPr>
      <w:proofErr w:type="spellStart"/>
      <w:r w:rsidRPr="001D5EBE">
        <w:rPr>
          <w:rFonts w:ascii="Times New Roman" w:hAnsi="Times New Roman"/>
          <w:color w:val="auto"/>
          <w:szCs w:val="22"/>
        </w:rPr>
        <w:t>Pfizer</w:t>
      </w:r>
      <w:proofErr w:type="spellEnd"/>
      <w:r w:rsidRPr="001D5EBE">
        <w:rPr>
          <w:rFonts w:ascii="Times New Roman" w:hAnsi="Times New Roman"/>
          <w:color w:val="auto"/>
          <w:szCs w:val="22"/>
        </w:rPr>
        <w:t xml:space="preserve"> </w:t>
      </w:r>
      <w:proofErr w:type="spellStart"/>
      <w:r w:rsidRPr="001D5EBE">
        <w:rPr>
          <w:rFonts w:ascii="Times New Roman" w:hAnsi="Times New Roman"/>
          <w:color w:val="auto"/>
          <w:szCs w:val="22"/>
        </w:rPr>
        <w:t>Manufacturing</w:t>
      </w:r>
      <w:proofErr w:type="spellEnd"/>
      <w:r w:rsidRPr="001D5EBE">
        <w:rPr>
          <w:rFonts w:ascii="Times New Roman" w:hAnsi="Times New Roman"/>
          <w:color w:val="auto"/>
          <w:szCs w:val="22"/>
        </w:rPr>
        <w:t xml:space="preserve"> </w:t>
      </w:r>
      <w:proofErr w:type="spellStart"/>
      <w:r w:rsidRPr="001D5EBE">
        <w:rPr>
          <w:rFonts w:ascii="Times New Roman" w:hAnsi="Times New Roman"/>
          <w:color w:val="auto"/>
          <w:szCs w:val="22"/>
        </w:rPr>
        <w:t>Belgium</w:t>
      </w:r>
      <w:proofErr w:type="spellEnd"/>
      <w:r w:rsidRPr="001D5EBE">
        <w:rPr>
          <w:rFonts w:ascii="Times New Roman" w:hAnsi="Times New Roman"/>
          <w:color w:val="auto"/>
          <w:szCs w:val="22"/>
        </w:rPr>
        <w:t xml:space="preserve"> N.V.</w:t>
      </w:r>
    </w:p>
    <w:p w14:paraId="61FFC42A" w14:textId="77777777" w:rsidR="003F33B8" w:rsidRPr="001D5EBE" w:rsidRDefault="003F33B8" w:rsidP="003F33B8">
      <w:pPr>
        <w:pStyle w:val="Pagrindinistekstas3"/>
        <w:rPr>
          <w:rFonts w:ascii="Times New Roman" w:hAnsi="Times New Roman"/>
          <w:color w:val="auto"/>
          <w:szCs w:val="22"/>
          <w:lang w:eastAsia="fr-FR"/>
        </w:rPr>
      </w:pPr>
      <w:proofErr w:type="spellStart"/>
      <w:r w:rsidRPr="001D5EBE">
        <w:rPr>
          <w:rFonts w:ascii="Times New Roman" w:hAnsi="Times New Roman"/>
          <w:color w:val="auto"/>
          <w:szCs w:val="22"/>
        </w:rPr>
        <w:t>Rijksweg</w:t>
      </w:r>
      <w:proofErr w:type="spellEnd"/>
      <w:r w:rsidRPr="001D5EBE">
        <w:rPr>
          <w:rFonts w:ascii="Times New Roman" w:hAnsi="Times New Roman"/>
          <w:color w:val="auto"/>
          <w:szCs w:val="22"/>
        </w:rPr>
        <w:t xml:space="preserve"> 12, 2870 </w:t>
      </w:r>
      <w:proofErr w:type="spellStart"/>
      <w:r w:rsidRPr="001D5EBE">
        <w:rPr>
          <w:rFonts w:ascii="Times New Roman" w:hAnsi="Times New Roman"/>
          <w:color w:val="auto"/>
          <w:szCs w:val="22"/>
        </w:rPr>
        <w:t>Puurs</w:t>
      </w:r>
      <w:proofErr w:type="spellEnd"/>
    </w:p>
    <w:p w14:paraId="2C1571AD" w14:textId="77777777" w:rsidR="003F33B8" w:rsidRPr="001D5EBE" w:rsidRDefault="003F33B8" w:rsidP="003F33B8">
      <w:pPr>
        <w:pStyle w:val="Pagrindinistekstas3"/>
        <w:rPr>
          <w:rFonts w:ascii="Times New Roman" w:hAnsi="Times New Roman"/>
          <w:color w:val="auto"/>
          <w:szCs w:val="22"/>
          <w:lang w:eastAsia="fr-FR"/>
        </w:rPr>
      </w:pPr>
      <w:r w:rsidRPr="001D5EBE">
        <w:rPr>
          <w:rFonts w:ascii="Times New Roman" w:hAnsi="Times New Roman"/>
          <w:color w:val="auto"/>
          <w:szCs w:val="22"/>
        </w:rPr>
        <w:t>Belgija</w:t>
      </w:r>
    </w:p>
    <w:p w14:paraId="4DB6BB56" w14:textId="77777777" w:rsidR="003F33B8" w:rsidRPr="001D5EBE" w:rsidRDefault="003F33B8" w:rsidP="003F33B8">
      <w:pPr>
        <w:spacing w:line="240" w:lineRule="auto"/>
        <w:rPr>
          <w:lang w:val="lt-LT"/>
        </w:rPr>
      </w:pPr>
    </w:p>
    <w:p w14:paraId="763DA2A3" w14:textId="77777777" w:rsidR="003F33B8" w:rsidRPr="001D5EBE" w:rsidRDefault="003F33B8" w:rsidP="003F33B8">
      <w:pPr>
        <w:spacing w:line="240" w:lineRule="auto"/>
        <w:rPr>
          <w:lang w:val="lt-LT"/>
        </w:rPr>
      </w:pPr>
    </w:p>
    <w:p w14:paraId="35954399" w14:textId="77777777" w:rsidR="003F33B8" w:rsidRPr="001D5EBE" w:rsidRDefault="003F33B8" w:rsidP="003F33B8">
      <w:pPr>
        <w:spacing w:line="240" w:lineRule="auto"/>
        <w:ind w:left="567" w:hanging="567"/>
        <w:rPr>
          <w:lang w:val="lt-LT"/>
        </w:rPr>
      </w:pPr>
      <w:r w:rsidRPr="001D5EBE">
        <w:rPr>
          <w:b/>
          <w:lang w:val="lt-LT"/>
        </w:rPr>
        <w:t>B.</w:t>
      </w:r>
      <w:bookmarkStart w:id="0" w:name="_Toc129243130"/>
      <w:bookmarkStart w:id="1" w:name="_Toc129243255"/>
      <w:r w:rsidRPr="001D5EBE">
        <w:rPr>
          <w:b/>
          <w:lang w:val="lt-LT"/>
        </w:rPr>
        <w:tab/>
        <w:t>TIEKIMO IR VARTOJIMO SĄLYGOS AR APRIBOJIMAI</w:t>
      </w:r>
      <w:bookmarkEnd w:id="0"/>
      <w:bookmarkEnd w:id="1"/>
    </w:p>
    <w:p w14:paraId="3A4F0C24" w14:textId="77777777" w:rsidR="003F33B8" w:rsidRPr="001D5EBE" w:rsidRDefault="003F33B8" w:rsidP="003F33B8">
      <w:pPr>
        <w:pStyle w:val="Pagrindinistekstas"/>
        <w:spacing w:after="0"/>
        <w:rPr>
          <w:szCs w:val="22"/>
        </w:rPr>
      </w:pPr>
    </w:p>
    <w:p w14:paraId="05918677" w14:textId="77777777" w:rsidR="003F33B8" w:rsidRPr="001D5EBE" w:rsidRDefault="003F33B8" w:rsidP="003F33B8">
      <w:pPr>
        <w:pStyle w:val="Pagrindinistekstas"/>
        <w:spacing w:after="0"/>
        <w:rPr>
          <w:szCs w:val="22"/>
        </w:rPr>
      </w:pPr>
      <w:r w:rsidRPr="001D5EBE">
        <w:rPr>
          <w:szCs w:val="22"/>
        </w:rPr>
        <w:t>Receptinis vaistinis preparatas.</w:t>
      </w:r>
    </w:p>
    <w:p w14:paraId="3AE03E59" w14:textId="77777777" w:rsidR="003F33B8" w:rsidRPr="001D5EBE" w:rsidRDefault="003F33B8" w:rsidP="003F33B8">
      <w:pPr>
        <w:pStyle w:val="Pagrindinistekstas"/>
        <w:spacing w:after="0"/>
        <w:rPr>
          <w:szCs w:val="22"/>
        </w:rPr>
      </w:pPr>
    </w:p>
    <w:p w14:paraId="47C4C23C" w14:textId="77777777" w:rsidR="003F33B8" w:rsidRPr="001D5EBE" w:rsidRDefault="003F33B8" w:rsidP="003F33B8">
      <w:pPr>
        <w:pStyle w:val="Pagrindinistekstas"/>
        <w:spacing w:after="0"/>
        <w:rPr>
          <w:szCs w:val="22"/>
        </w:rPr>
      </w:pPr>
    </w:p>
    <w:p w14:paraId="625C52D5" w14:textId="77777777" w:rsidR="003F33B8" w:rsidRPr="001D5EBE" w:rsidRDefault="003F33B8" w:rsidP="003F33B8">
      <w:pPr>
        <w:pStyle w:val="Pagrindinistekstas"/>
        <w:spacing w:after="0"/>
        <w:rPr>
          <w:szCs w:val="22"/>
        </w:rPr>
      </w:pPr>
      <w:r w:rsidRPr="001D5EBE">
        <w:rPr>
          <w:szCs w:val="22"/>
        </w:rPr>
        <w:br w:type="page"/>
      </w:r>
    </w:p>
    <w:p w14:paraId="0AE2A9D2" w14:textId="77777777" w:rsidR="003F33B8" w:rsidRPr="001D5EBE" w:rsidRDefault="003F33B8" w:rsidP="003F33B8">
      <w:pPr>
        <w:pStyle w:val="Pagrindinistekstas"/>
        <w:spacing w:after="0"/>
        <w:rPr>
          <w:szCs w:val="22"/>
        </w:rPr>
      </w:pPr>
    </w:p>
    <w:p w14:paraId="34999B1B" w14:textId="77777777" w:rsidR="003F33B8" w:rsidRPr="001D5EBE" w:rsidRDefault="003F33B8" w:rsidP="003F33B8">
      <w:pPr>
        <w:pStyle w:val="Pagrindinistekstas"/>
        <w:spacing w:after="0"/>
        <w:rPr>
          <w:szCs w:val="22"/>
        </w:rPr>
      </w:pPr>
    </w:p>
    <w:p w14:paraId="03E02F08" w14:textId="77777777" w:rsidR="003F33B8" w:rsidRPr="001D5EBE" w:rsidRDefault="003F33B8" w:rsidP="003F33B8">
      <w:pPr>
        <w:pStyle w:val="Pagrindinistekstas"/>
        <w:spacing w:after="0"/>
        <w:rPr>
          <w:szCs w:val="22"/>
        </w:rPr>
      </w:pPr>
    </w:p>
    <w:p w14:paraId="4A78FFAD" w14:textId="77777777" w:rsidR="003F33B8" w:rsidRPr="001D5EBE" w:rsidRDefault="003F33B8" w:rsidP="003F33B8">
      <w:pPr>
        <w:pStyle w:val="Pagrindinistekstas"/>
        <w:spacing w:after="0"/>
        <w:rPr>
          <w:szCs w:val="22"/>
        </w:rPr>
      </w:pPr>
    </w:p>
    <w:p w14:paraId="1EF56B6A" w14:textId="77777777" w:rsidR="003F33B8" w:rsidRPr="001D5EBE" w:rsidRDefault="003F33B8" w:rsidP="003F33B8">
      <w:pPr>
        <w:pStyle w:val="Pagrindinistekstas"/>
        <w:spacing w:after="0"/>
        <w:rPr>
          <w:szCs w:val="22"/>
        </w:rPr>
      </w:pPr>
    </w:p>
    <w:p w14:paraId="482673A2" w14:textId="77777777" w:rsidR="003F33B8" w:rsidRPr="001D5EBE" w:rsidRDefault="003F33B8" w:rsidP="003F33B8">
      <w:pPr>
        <w:pStyle w:val="Pagrindinistekstas"/>
        <w:spacing w:after="0"/>
        <w:rPr>
          <w:szCs w:val="22"/>
        </w:rPr>
      </w:pPr>
    </w:p>
    <w:p w14:paraId="062EFB8D" w14:textId="77777777" w:rsidR="003F33B8" w:rsidRPr="001D5EBE" w:rsidRDefault="003F33B8" w:rsidP="003F33B8">
      <w:pPr>
        <w:pStyle w:val="Pagrindinistekstas"/>
        <w:spacing w:after="0"/>
        <w:rPr>
          <w:szCs w:val="22"/>
        </w:rPr>
      </w:pPr>
    </w:p>
    <w:p w14:paraId="537500B3" w14:textId="77777777" w:rsidR="003F33B8" w:rsidRPr="001D5EBE" w:rsidRDefault="003F33B8" w:rsidP="003F33B8">
      <w:pPr>
        <w:pStyle w:val="Pagrindinistekstas"/>
        <w:spacing w:after="0"/>
        <w:rPr>
          <w:szCs w:val="22"/>
        </w:rPr>
      </w:pPr>
    </w:p>
    <w:p w14:paraId="4AA8C0DF" w14:textId="77777777" w:rsidR="003F33B8" w:rsidRPr="001D5EBE" w:rsidRDefault="003F33B8" w:rsidP="003F33B8">
      <w:pPr>
        <w:pStyle w:val="Pagrindinistekstas"/>
        <w:spacing w:after="0"/>
        <w:rPr>
          <w:szCs w:val="22"/>
        </w:rPr>
      </w:pPr>
    </w:p>
    <w:p w14:paraId="46FC0FCA" w14:textId="77777777" w:rsidR="003F33B8" w:rsidRPr="001D5EBE" w:rsidRDefault="003F33B8" w:rsidP="003F33B8">
      <w:pPr>
        <w:pStyle w:val="Pagrindinistekstas"/>
        <w:spacing w:after="0"/>
        <w:rPr>
          <w:szCs w:val="22"/>
        </w:rPr>
      </w:pPr>
    </w:p>
    <w:p w14:paraId="4EF69DFC" w14:textId="77777777" w:rsidR="003F33B8" w:rsidRPr="001D5EBE" w:rsidRDefault="003F33B8" w:rsidP="003F33B8">
      <w:pPr>
        <w:pStyle w:val="Pagrindinistekstas"/>
        <w:spacing w:after="0"/>
        <w:rPr>
          <w:szCs w:val="22"/>
        </w:rPr>
      </w:pPr>
    </w:p>
    <w:p w14:paraId="6617B213" w14:textId="77777777" w:rsidR="003F33B8" w:rsidRPr="001D5EBE" w:rsidRDefault="003F33B8" w:rsidP="003F33B8">
      <w:pPr>
        <w:pStyle w:val="Pagrindinistekstas"/>
        <w:spacing w:after="0"/>
        <w:rPr>
          <w:szCs w:val="22"/>
        </w:rPr>
      </w:pPr>
    </w:p>
    <w:p w14:paraId="36176176" w14:textId="77777777" w:rsidR="003F33B8" w:rsidRPr="001D5EBE" w:rsidRDefault="003F33B8" w:rsidP="003F33B8">
      <w:pPr>
        <w:pStyle w:val="Pagrindinistekstas"/>
        <w:spacing w:after="0"/>
        <w:rPr>
          <w:szCs w:val="22"/>
        </w:rPr>
      </w:pPr>
    </w:p>
    <w:p w14:paraId="3A02CE8C" w14:textId="77777777" w:rsidR="003F33B8" w:rsidRPr="001D5EBE" w:rsidRDefault="003F33B8" w:rsidP="003F33B8">
      <w:pPr>
        <w:pStyle w:val="Pagrindinistekstas"/>
        <w:spacing w:after="0"/>
        <w:rPr>
          <w:szCs w:val="22"/>
        </w:rPr>
      </w:pPr>
    </w:p>
    <w:p w14:paraId="18BAB32B" w14:textId="77777777" w:rsidR="003F33B8" w:rsidRPr="001D5EBE" w:rsidRDefault="003F33B8" w:rsidP="003F33B8">
      <w:pPr>
        <w:pStyle w:val="Pagrindinistekstas"/>
        <w:spacing w:after="0"/>
        <w:rPr>
          <w:szCs w:val="22"/>
        </w:rPr>
      </w:pPr>
    </w:p>
    <w:p w14:paraId="4D783816" w14:textId="77777777" w:rsidR="003F33B8" w:rsidRPr="001D5EBE" w:rsidRDefault="003F33B8" w:rsidP="003F33B8">
      <w:pPr>
        <w:pStyle w:val="Pagrindinistekstas"/>
        <w:spacing w:after="0"/>
        <w:rPr>
          <w:szCs w:val="22"/>
        </w:rPr>
      </w:pPr>
    </w:p>
    <w:p w14:paraId="180C7811" w14:textId="77777777" w:rsidR="003F33B8" w:rsidRPr="001D5EBE" w:rsidRDefault="003F33B8" w:rsidP="003F33B8">
      <w:pPr>
        <w:pStyle w:val="Pagrindinistekstas"/>
        <w:spacing w:after="0"/>
        <w:rPr>
          <w:szCs w:val="22"/>
        </w:rPr>
      </w:pPr>
    </w:p>
    <w:p w14:paraId="3166D003" w14:textId="77777777" w:rsidR="003F33B8" w:rsidRPr="001D5EBE" w:rsidRDefault="003F33B8" w:rsidP="003F33B8">
      <w:pPr>
        <w:pStyle w:val="Pagrindinistekstas"/>
        <w:spacing w:after="0"/>
        <w:rPr>
          <w:szCs w:val="22"/>
        </w:rPr>
      </w:pPr>
    </w:p>
    <w:p w14:paraId="5046C088" w14:textId="77777777" w:rsidR="003F33B8" w:rsidRPr="001D5EBE" w:rsidRDefault="003F33B8" w:rsidP="003F33B8">
      <w:pPr>
        <w:pStyle w:val="Pagrindinistekstas"/>
        <w:spacing w:after="0"/>
        <w:rPr>
          <w:szCs w:val="22"/>
        </w:rPr>
      </w:pPr>
    </w:p>
    <w:p w14:paraId="4554F926" w14:textId="77777777" w:rsidR="003F33B8" w:rsidRPr="001D5EBE" w:rsidRDefault="003F33B8" w:rsidP="003F33B8">
      <w:pPr>
        <w:pStyle w:val="Pagrindinistekstas"/>
        <w:spacing w:after="0"/>
        <w:rPr>
          <w:szCs w:val="22"/>
        </w:rPr>
      </w:pPr>
    </w:p>
    <w:p w14:paraId="67E6F52D" w14:textId="77777777" w:rsidR="003F33B8" w:rsidRPr="001D5EBE" w:rsidRDefault="003F33B8" w:rsidP="003F33B8">
      <w:pPr>
        <w:pStyle w:val="Pagrindinistekstas"/>
        <w:spacing w:after="0"/>
        <w:rPr>
          <w:szCs w:val="22"/>
        </w:rPr>
      </w:pPr>
    </w:p>
    <w:p w14:paraId="2258BF67" w14:textId="77777777" w:rsidR="003F33B8" w:rsidRPr="001D5EBE" w:rsidRDefault="003F33B8" w:rsidP="003F33B8">
      <w:pPr>
        <w:pStyle w:val="Pagrindinistekstas"/>
        <w:spacing w:after="0"/>
        <w:rPr>
          <w:szCs w:val="22"/>
        </w:rPr>
      </w:pPr>
    </w:p>
    <w:p w14:paraId="41B39627" w14:textId="77777777" w:rsidR="00134A72" w:rsidRPr="001D5EBE" w:rsidRDefault="00134A72" w:rsidP="003F33B8">
      <w:pPr>
        <w:pStyle w:val="Pavadinimas"/>
      </w:pPr>
    </w:p>
    <w:p w14:paraId="219437CD" w14:textId="77777777" w:rsidR="003F33B8" w:rsidRPr="001D5EBE" w:rsidRDefault="003F33B8" w:rsidP="003F33B8">
      <w:pPr>
        <w:pStyle w:val="Pavadinimas"/>
      </w:pPr>
      <w:r w:rsidRPr="001D5EBE">
        <w:t>III PRIEDAS</w:t>
      </w:r>
    </w:p>
    <w:p w14:paraId="4E2D80F3" w14:textId="77777777" w:rsidR="003F33B8" w:rsidRPr="001D5EBE" w:rsidRDefault="003F33B8" w:rsidP="003F33B8">
      <w:pPr>
        <w:pStyle w:val="Pagrindinistekstas"/>
        <w:spacing w:after="0"/>
        <w:rPr>
          <w:szCs w:val="22"/>
        </w:rPr>
      </w:pPr>
    </w:p>
    <w:p w14:paraId="42B8BD13" w14:textId="77777777" w:rsidR="003F33B8" w:rsidRPr="001D5EBE" w:rsidRDefault="003F33B8" w:rsidP="003F33B8">
      <w:pPr>
        <w:pStyle w:val="Pagrindinistekstas"/>
        <w:spacing w:after="0"/>
        <w:jc w:val="center"/>
        <w:rPr>
          <w:b/>
          <w:szCs w:val="22"/>
        </w:rPr>
      </w:pPr>
      <w:r w:rsidRPr="001D5EBE">
        <w:rPr>
          <w:b/>
          <w:szCs w:val="22"/>
        </w:rPr>
        <w:t>ŽENKLINIMAS IR PAKUOTĖS LAPELIS</w:t>
      </w:r>
    </w:p>
    <w:p w14:paraId="443A50BA" w14:textId="77777777" w:rsidR="003F33B8" w:rsidRPr="001D5EBE" w:rsidRDefault="003F33B8" w:rsidP="003F33B8">
      <w:pPr>
        <w:pStyle w:val="Pagrindinistekstas"/>
        <w:spacing w:after="0"/>
        <w:rPr>
          <w:szCs w:val="22"/>
        </w:rPr>
      </w:pPr>
      <w:r w:rsidRPr="001D5EBE">
        <w:rPr>
          <w:szCs w:val="22"/>
        </w:rPr>
        <w:br w:type="page"/>
      </w:r>
    </w:p>
    <w:p w14:paraId="0C37CCB6" w14:textId="77777777" w:rsidR="003F33B8" w:rsidRPr="001D5EBE" w:rsidRDefault="003F33B8" w:rsidP="003F33B8">
      <w:pPr>
        <w:pStyle w:val="Pagrindinistekstas"/>
        <w:spacing w:after="0"/>
        <w:rPr>
          <w:szCs w:val="22"/>
        </w:rPr>
      </w:pPr>
    </w:p>
    <w:p w14:paraId="53B50D20" w14:textId="77777777" w:rsidR="003F33B8" w:rsidRPr="001D5EBE" w:rsidRDefault="003F33B8" w:rsidP="003F33B8">
      <w:pPr>
        <w:pStyle w:val="Pagrindinistekstas"/>
        <w:spacing w:after="0"/>
        <w:rPr>
          <w:szCs w:val="22"/>
        </w:rPr>
      </w:pPr>
    </w:p>
    <w:p w14:paraId="63C56881" w14:textId="77777777" w:rsidR="003F33B8" w:rsidRPr="001D5EBE" w:rsidRDefault="003F33B8" w:rsidP="003F33B8">
      <w:pPr>
        <w:pStyle w:val="Pagrindinistekstas"/>
        <w:spacing w:after="0"/>
        <w:rPr>
          <w:szCs w:val="22"/>
        </w:rPr>
      </w:pPr>
    </w:p>
    <w:p w14:paraId="2746FB93" w14:textId="77777777" w:rsidR="003F33B8" w:rsidRPr="001D5EBE" w:rsidRDefault="003F33B8" w:rsidP="003F33B8">
      <w:pPr>
        <w:pStyle w:val="Pagrindinistekstas"/>
        <w:spacing w:after="0"/>
        <w:rPr>
          <w:szCs w:val="22"/>
        </w:rPr>
      </w:pPr>
    </w:p>
    <w:p w14:paraId="692E00A7" w14:textId="77777777" w:rsidR="003F33B8" w:rsidRPr="001D5EBE" w:rsidRDefault="003F33B8" w:rsidP="003F33B8">
      <w:pPr>
        <w:pStyle w:val="Pagrindinistekstas"/>
        <w:spacing w:after="0"/>
        <w:rPr>
          <w:szCs w:val="22"/>
        </w:rPr>
      </w:pPr>
    </w:p>
    <w:p w14:paraId="24DC0719" w14:textId="77777777" w:rsidR="003F33B8" w:rsidRPr="001D5EBE" w:rsidRDefault="003F33B8" w:rsidP="003F33B8">
      <w:pPr>
        <w:pStyle w:val="Pagrindinistekstas"/>
        <w:spacing w:after="0"/>
        <w:rPr>
          <w:szCs w:val="22"/>
        </w:rPr>
      </w:pPr>
    </w:p>
    <w:p w14:paraId="28090A4C" w14:textId="77777777" w:rsidR="003F33B8" w:rsidRPr="001D5EBE" w:rsidRDefault="003F33B8" w:rsidP="003F33B8">
      <w:pPr>
        <w:pStyle w:val="Pagrindinistekstas"/>
        <w:spacing w:after="0"/>
        <w:rPr>
          <w:szCs w:val="22"/>
        </w:rPr>
      </w:pPr>
    </w:p>
    <w:p w14:paraId="7DDCD2A2" w14:textId="77777777" w:rsidR="003F33B8" w:rsidRPr="001D5EBE" w:rsidRDefault="003F33B8" w:rsidP="003F33B8">
      <w:pPr>
        <w:pStyle w:val="Pagrindinistekstas"/>
        <w:spacing w:after="0"/>
        <w:rPr>
          <w:szCs w:val="22"/>
        </w:rPr>
      </w:pPr>
    </w:p>
    <w:p w14:paraId="1B898691" w14:textId="77777777" w:rsidR="003F33B8" w:rsidRPr="001D5EBE" w:rsidRDefault="003F33B8" w:rsidP="003F33B8">
      <w:pPr>
        <w:pStyle w:val="Pagrindinistekstas"/>
        <w:spacing w:after="0"/>
        <w:rPr>
          <w:szCs w:val="22"/>
        </w:rPr>
      </w:pPr>
    </w:p>
    <w:p w14:paraId="05FC29F1" w14:textId="77777777" w:rsidR="003F33B8" w:rsidRPr="001D5EBE" w:rsidRDefault="003F33B8" w:rsidP="003F33B8">
      <w:pPr>
        <w:pStyle w:val="Pagrindinistekstas"/>
        <w:spacing w:after="0"/>
        <w:rPr>
          <w:szCs w:val="22"/>
        </w:rPr>
      </w:pPr>
    </w:p>
    <w:p w14:paraId="35E1BE0B" w14:textId="77777777" w:rsidR="003F33B8" w:rsidRPr="001D5EBE" w:rsidRDefault="003F33B8" w:rsidP="003F33B8">
      <w:pPr>
        <w:pStyle w:val="Pagrindinistekstas"/>
        <w:spacing w:after="0"/>
        <w:rPr>
          <w:szCs w:val="22"/>
        </w:rPr>
      </w:pPr>
    </w:p>
    <w:p w14:paraId="30448E61" w14:textId="77777777" w:rsidR="003F33B8" w:rsidRPr="001D5EBE" w:rsidRDefault="003F33B8" w:rsidP="003F33B8">
      <w:pPr>
        <w:pStyle w:val="Pagrindinistekstas"/>
        <w:spacing w:after="0"/>
        <w:rPr>
          <w:szCs w:val="22"/>
        </w:rPr>
      </w:pPr>
    </w:p>
    <w:p w14:paraId="5116E5AC" w14:textId="77777777" w:rsidR="003F33B8" w:rsidRPr="001D5EBE" w:rsidRDefault="003F33B8" w:rsidP="003F33B8">
      <w:pPr>
        <w:pStyle w:val="Pagrindinistekstas"/>
        <w:spacing w:after="0"/>
        <w:rPr>
          <w:szCs w:val="22"/>
        </w:rPr>
      </w:pPr>
    </w:p>
    <w:p w14:paraId="7675C76E" w14:textId="77777777" w:rsidR="003F33B8" w:rsidRPr="001D5EBE" w:rsidRDefault="003F33B8" w:rsidP="003F33B8">
      <w:pPr>
        <w:pStyle w:val="Pagrindinistekstas"/>
        <w:spacing w:after="0"/>
        <w:rPr>
          <w:szCs w:val="22"/>
        </w:rPr>
      </w:pPr>
    </w:p>
    <w:p w14:paraId="1F70BFE6" w14:textId="77777777" w:rsidR="003F33B8" w:rsidRPr="001D5EBE" w:rsidRDefault="003F33B8" w:rsidP="003F33B8">
      <w:pPr>
        <w:pStyle w:val="Pagrindinistekstas"/>
        <w:spacing w:after="0"/>
        <w:rPr>
          <w:szCs w:val="22"/>
        </w:rPr>
      </w:pPr>
    </w:p>
    <w:p w14:paraId="437E94A0" w14:textId="77777777" w:rsidR="003F33B8" w:rsidRPr="001D5EBE" w:rsidRDefault="003F33B8" w:rsidP="003F33B8">
      <w:pPr>
        <w:pStyle w:val="Pagrindinistekstas"/>
        <w:spacing w:after="0"/>
        <w:rPr>
          <w:szCs w:val="22"/>
        </w:rPr>
      </w:pPr>
    </w:p>
    <w:p w14:paraId="6A188F32" w14:textId="77777777" w:rsidR="003F33B8" w:rsidRPr="001D5EBE" w:rsidRDefault="003F33B8" w:rsidP="003F33B8">
      <w:pPr>
        <w:pStyle w:val="Pagrindinistekstas"/>
        <w:spacing w:after="0"/>
        <w:rPr>
          <w:szCs w:val="22"/>
        </w:rPr>
      </w:pPr>
    </w:p>
    <w:p w14:paraId="4B3A5F88" w14:textId="77777777" w:rsidR="003F33B8" w:rsidRPr="001D5EBE" w:rsidRDefault="003F33B8" w:rsidP="003F33B8">
      <w:pPr>
        <w:pStyle w:val="Pagrindinistekstas"/>
        <w:spacing w:after="0"/>
        <w:rPr>
          <w:szCs w:val="22"/>
        </w:rPr>
      </w:pPr>
    </w:p>
    <w:p w14:paraId="196FD39A" w14:textId="77777777" w:rsidR="003F33B8" w:rsidRPr="001D5EBE" w:rsidRDefault="003F33B8" w:rsidP="003F33B8">
      <w:pPr>
        <w:pStyle w:val="Pagrindinistekstas"/>
        <w:spacing w:after="0"/>
        <w:rPr>
          <w:szCs w:val="22"/>
        </w:rPr>
      </w:pPr>
    </w:p>
    <w:p w14:paraId="721583B3" w14:textId="77777777" w:rsidR="003F33B8" w:rsidRPr="001D5EBE" w:rsidRDefault="003F33B8" w:rsidP="003F33B8">
      <w:pPr>
        <w:pStyle w:val="Pagrindinistekstas"/>
        <w:spacing w:after="0"/>
        <w:rPr>
          <w:szCs w:val="22"/>
        </w:rPr>
      </w:pPr>
    </w:p>
    <w:p w14:paraId="3E6A522E" w14:textId="77777777" w:rsidR="003F33B8" w:rsidRPr="001D5EBE" w:rsidRDefault="003F33B8" w:rsidP="003F33B8">
      <w:pPr>
        <w:pStyle w:val="Pagrindinistekstas"/>
        <w:spacing w:after="0"/>
        <w:rPr>
          <w:szCs w:val="22"/>
        </w:rPr>
      </w:pPr>
    </w:p>
    <w:p w14:paraId="0FDF74C6" w14:textId="77777777" w:rsidR="003F33B8" w:rsidRPr="001D5EBE" w:rsidRDefault="003F33B8" w:rsidP="003F33B8">
      <w:pPr>
        <w:pStyle w:val="Pagrindinistekstas"/>
        <w:spacing w:after="0"/>
        <w:rPr>
          <w:szCs w:val="22"/>
        </w:rPr>
      </w:pPr>
    </w:p>
    <w:p w14:paraId="0A8F7D0A" w14:textId="77777777" w:rsidR="00134A72" w:rsidRPr="001D5EBE" w:rsidRDefault="00134A72" w:rsidP="003F33B8">
      <w:pPr>
        <w:pStyle w:val="Pavadinimas"/>
      </w:pPr>
    </w:p>
    <w:p w14:paraId="3DBCA972" w14:textId="77777777" w:rsidR="003F33B8" w:rsidRPr="001D5EBE" w:rsidRDefault="003F33B8" w:rsidP="003F33B8">
      <w:pPr>
        <w:pStyle w:val="Pavadinimas"/>
      </w:pPr>
      <w:r w:rsidRPr="001D5EBE">
        <w:t>A. ŽENKLINIMAS</w:t>
      </w:r>
    </w:p>
    <w:p w14:paraId="09BD58D4" w14:textId="77777777" w:rsidR="003F33B8" w:rsidRPr="001D5EBE" w:rsidRDefault="003F33B8" w:rsidP="003F33B8">
      <w:pPr>
        <w:pStyle w:val="Pagrindinistekstas"/>
        <w:spacing w:after="0"/>
        <w:rPr>
          <w:szCs w:val="22"/>
        </w:rPr>
      </w:pPr>
      <w:r w:rsidRPr="001D5EBE">
        <w:rPr>
          <w:szCs w:val="22"/>
        </w:rPr>
        <w:br w:type="page"/>
      </w:r>
    </w:p>
    <w:p w14:paraId="40056B66"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1D5EBE">
        <w:rPr>
          <w:b/>
          <w:caps/>
          <w:lang w:val="lt-LT"/>
        </w:rPr>
        <w:t xml:space="preserve">Informacija ant </w:t>
      </w:r>
      <w:r w:rsidRPr="001D5EBE">
        <w:rPr>
          <w:b/>
          <w:lang w:val="lt-LT"/>
        </w:rPr>
        <w:t>IŠORINĖS</w:t>
      </w:r>
      <w:r w:rsidRPr="001D5EBE">
        <w:rPr>
          <w:lang w:val="lt-LT"/>
        </w:rPr>
        <w:t xml:space="preserve"> </w:t>
      </w:r>
      <w:r w:rsidRPr="001D5EBE">
        <w:rPr>
          <w:b/>
          <w:caps/>
          <w:lang w:val="lt-LT"/>
        </w:rPr>
        <w:t xml:space="preserve">(JEI JOS NĖRA – </w:t>
      </w:r>
      <w:r w:rsidRPr="001D5EBE">
        <w:rPr>
          <w:b/>
          <w:lang w:val="lt-LT"/>
        </w:rPr>
        <w:t>VIDINĖS</w:t>
      </w:r>
      <w:r w:rsidRPr="001D5EBE">
        <w:rPr>
          <w:b/>
          <w:caps/>
          <w:lang w:val="lt-LT"/>
        </w:rPr>
        <w:t xml:space="preserve">) pakuotės </w:t>
      </w:r>
    </w:p>
    <w:p w14:paraId="2AF5EC3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3774C53D"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1D5EBE">
        <w:rPr>
          <w:b/>
          <w:caps/>
          <w:lang w:val="lt-LT"/>
        </w:rPr>
        <w:t>KARTONO DĖŽUTĖ</w:t>
      </w:r>
    </w:p>
    <w:p w14:paraId="15BF9047" w14:textId="77777777" w:rsidR="003F33B8" w:rsidRPr="001D5EBE" w:rsidRDefault="003F33B8" w:rsidP="003F33B8">
      <w:pPr>
        <w:spacing w:line="240" w:lineRule="auto"/>
        <w:ind w:left="567" w:hanging="567"/>
        <w:rPr>
          <w:lang w:val="lt-LT"/>
        </w:rPr>
      </w:pPr>
    </w:p>
    <w:p w14:paraId="710EA278" w14:textId="77777777" w:rsidR="003F33B8" w:rsidRPr="001D5EBE" w:rsidRDefault="003F33B8" w:rsidP="003F33B8">
      <w:pPr>
        <w:spacing w:line="240" w:lineRule="auto"/>
        <w:ind w:left="567" w:hanging="567"/>
        <w:rPr>
          <w:lang w:val="lt-LT"/>
        </w:rPr>
      </w:pPr>
    </w:p>
    <w:p w14:paraId="597BDC04" w14:textId="77777777" w:rsidR="003F33B8" w:rsidRPr="001D5EBE" w:rsidRDefault="003F33B8" w:rsidP="003F33B8">
      <w:pPr>
        <w:pBdr>
          <w:top w:val="single" w:sz="4" w:space="1" w:color="auto"/>
          <w:left w:val="single" w:sz="4" w:space="4" w:color="auto"/>
          <w:bottom w:val="single" w:sz="4" w:space="0" w:color="auto"/>
          <w:right w:val="single" w:sz="4" w:space="4" w:color="auto"/>
        </w:pBdr>
        <w:spacing w:line="240" w:lineRule="auto"/>
        <w:ind w:left="567" w:hanging="567"/>
        <w:outlineLvl w:val="0"/>
        <w:rPr>
          <w:b/>
          <w:caps/>
          <w:lang w:val="lt-LT"/>
        </w:rPr>
      </w:pPr>
      <w:r w:rsidRPr="001D5EBE">
        <w:rPr>
          <w:b/>
          <w:caps/>
          <w:lang w:val="lt-LT"/>
        </w:rPr>
        <w:t>1.</w:t>
      </w:r>
      <w:r w:rsidRPr="001D5EBE">
        <w:rPr>
          <w:b/>
          <w:caps/>
          <w:lang w:val="lt-LT"/>
        </w:rPr>
        <w:tab/>
        <w:t>vaistinio preparato pavadinimas</w:t>
      </w:r>
    </w:p>
    <w:p w14:paraId="7FB45A32" w14:textId="77777777" w:rsidR="003F33B8" w:rsidRPr="001D5EBE" w:rsidRDefault="003F33B8" w:rsidP="003F33B8">
      <w:pPr>
        <w:pStyle w:val="Pagrindinistekstas"/>
        <w:spacing w:after="0"/>
        <w:rPr>
          <w:b/>
          <w:szCs w:val="22"/>
        </w:rPr>
      </w:pPr>
    </w:p>
    <w:p w14:paraId="44F51AB6" w14:textId="77777777" w:rsidR="003F33B8" w:rsidRPr="001D5EBE" w:rsidRDefault="003F33B8" w:rsidP="003F33B8">
      <w:pPr>
        <w:autoSpaceDE w:val="0"/>
        <w:autoSpaceDN w:val="0"/>
        <w:adjustRightInd w:val="0"/>
        <w:spacing w:line="240" w:lineRule="auto"/>
        <w:jc w:val="both"/>
        <w:rPr>
          <w:lang w:val="lt-LT"/>
        </w:rPr>
      </w:pPr>
      <w:r w:rsidRPr="001D5EBE">
        <w:rPr>
          <w:lang w:val="lt-LT"/>
        </w:rPr>
        <w:t>SOLU-MEDROL 500 mg milteliai ir tirpiklis injekciniam tirpalui</w:t>
      </w:r>
    </w:p>
    <w:p w14:paraId="0A0E9D59" w14:textId="77777777" w:rsidR="003F33B8" w:rsidRPr="001D5EBE" w:rsidRDefault="003F33B8" w:rsidP="003F33B8">
      <w:pPr>
        <w:spacing w:line="240" w:lineRule="auto"/>
        <w:ind w:left="567" w:hanging="567"/>
        <w:rPr>
          <w:lang w:val="lt-LT"/>
        </w:rPr>
      </w:pPr>
      <w:proofErr w:type="spellStart"/>
      <w:r w:rsidRPr="001D5EBE">
        <w:rPr>
          <w:lang w:val="lt-LT"/>
        </w:rPr>
        <w:t>Metilprednizolonas</w:t>
      </w:r>
      <w:proofErr w:type="spellEnd"/>
    </w:p>
    <w:p w14:paraId="6DB72204" w14:textId="77777777" w:rsidR="003F33B8" w:rsidRPr="001D5EBE" w:rsidRDefault="003F33B8" w:rsidP="003F33B8">
      <w:pPr>
        <w:spacing w:line="240" w:lineRule="auto"/>
        <w:ind w:left="567" w:hanging="567"/>
        <w:rPr>
          <w:lang w:val="lt-LT"/>
        </w:rPr>
      </w:pPr>
    </w:p>
    <w:p w14:paraId="25A0E69F" w14:textId="77777777" w:rsidR="003F33B8" w:rsidRPr="001D5EBE" w:rsidRDefault="003F33B8" w:rsidP="003F33B8">
      <w:pPr>
        <w:spacing w:line="240" w:lineRule="auto"/>
        <w:ind w:left="567" w:hanging="567"/>
        <w:rPr>
          <w:lang w:val="lt-LT"/>
        </w:rPr>
      </w:pPr>
      <w:r w:rsidRPr="001D5EBE">
        <w:rPr>
          <w:lang w:val="lt-LT"/>
        </w:rPr>
        <w:t xml:space="preserve"> </w:t>
      </w:r>
    </w:p>
    <w:p w14:paraId="28BC1C48"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2.</w:t>
      </w:r>
      <w:r w:rsidRPr="001D5EBE">
        <w:rPr>
          <w:b/>
          <w:caps/>
          <w:lang w:val="lt-LT"/>
        </w:rPr>
        <w:tab/>
        <w:t xml:space="preserve">veikliOJI medžiagA ir JOS kiekis </w:t>
      </w:r>
    </w:p>
    <w:p w14:paraId="5395CAAD" w14:textId="77777777" w:rsidR="003F33B8" w:rsidRPr="001D5EBE" w:rsidRDefault="003F33B8" w:rsidP="003F33B8">
      <w:pPr>
        <w:pStyle w:val="Pagrindiniotekstotrauka"/>
        <w:spacing w:line="240" w:lineRule="auto"/>
        <w:ind w:left="0"/>
        <w:rPr>
          <w:sz w:val="22"/>
          <w:szCs w:val="22"/>
        </w:rPr>
      </w:pPr>
    </w:p>
    <w:p w14:paraId="348D247E" w14:textId="77777777" w:rsidR="003F33B8" w:rsidRPr="001D5EBE" w:rsidRDefault="003F33B8" w:rsidP="003F33B8">
      <w:pPr>
        <w:pStyle w:val="Pagrindinistekstas"/>
        <w:spacing w:after="0"/>
        <w:jc w:val="both"/>
        <w:rPr>
          <w:szCs w:val="22"/>
        </w:rPr>
      </w:pPr>
      <w:r w:rsidRPr="001D5EBE">
        <w:rPr>
          <w:szCs w:val="22"/>
        </w:rPr>
        <w:t xml:space="preserve">Viename </w:t>
      </w:r>
      <w:r w:rsidR="00B25481" w:rsidRPr="001D5EBE">
        <w:rPr>
          <w:szCs w:val="22"/>
        </w:rPr>
        <w:t>flakone</w:t>
      </w:r>
      <w:r w:rsidRPr="001D5EBE">
        <w:rPr>
          <w:szCs w:val="22"/>
        </w:rPr>
        <w:t xml:space="preserve"> yra 500 mg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pavidalu).</w:t>
      </w:r>
    </w:p>
    <w:p w14:paraId="25BDC0DB" w14:textId="77777777" w:rsidR="003F33B8" w:rsidRPr="001D5EBE" w:rsidRDefault="003F33B8" w:rsidP="003F33B8">
      <w:pPr>
        <w:pStyle w:val="Pagrindiniotekstotrauka"/>
        <w:spacing w:line="240" w:lineRule="auto"/>
        <w:ind w:left="0"/>
        <w:rPr>
          <w:sz w:val="22"/>
          <w:szCs w:val="22"/>
        </w:rPr>
      </w:pPr>
    </w:p>
    <w:p w14:paraId="7B9C452E" w14:textId="77777777" w:rsidR="003F33B8" w:rsidRPr="001D5EBE" w:rsidRDefault="003F33B8" w:rsidP="003F33B8">
      <w:pPr>
        <w:spacing w:line="240" w:lineRule="auto"/>
        <w:ind w:left="567" w:hanging="567"/>
        <w:rPr>
          <w:caps/>
          <w:lang w:val="lt-LT"/>
        </w:rPr>
      </w:pPr>
    </w:p>
    <w:p w14:paraId="3516FBAF"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3.</w:t>
      </w:r>
      <w:r w:rsidRPr="001D5EBE">
        <w:rPr>
          <w:b/>
          <w:caps/>
          <w:lang w:val="lt-LT"/>
        </w:rPr>
        <w:tab/>
        <w:t>pagalbinių medžiagų sąrašas</w:t>
      </w:r>
    </w:p>
    <w:p w14:paraId="4DC239B9" w14:textId="77777777" w:rsidR="003F33B8" w:rsidRPr="001D5EBE" w:rsidRDefault="003F33B8" w:rsidP="003F33B8">
      <w:pPr>
        <w:spacing w:line="240" w:lineRule="auto"/>
        <w:rPr>
          <w:lang w:val="lt-LT"/>
        </w:rPr>
      </w:pPr>
    </w:p>
    <w:p w14:paraId="2F2D3D2F" w14:textId="77777777" w:rsidR="003F33B8" w:rsidRPr="001D5EBE" w:rsidRDefault="003F33B8" w:rsidP="003F33B8">
      <w:pPr>
        <w:spacing w:line="240" w:lineRule="auto"/>
        <w:rPr>
          <w:lang w:val="lt-LT"/>
        </w:rPr>
      </w:pPr>
      <w:r w:rsidRPr="001D5EBE">
        <w:rPr>
          <w:lang w:val="lt-LT"/>
        </w:rPr>
        <w:t>Pagalbinės medžiagos: natrio-</w:t>
      </w:r>
      <w:proofErr w:type="spellStart"/>
      <w:r w:rsidRPr="001D5EBE">
        <w:rPr>
          <w:lang w:val="lt-LT"/>
        </w:rPr>
        <w:t>divandenilio</w:t>
      </w:r>
      <w:proofErr w:type="spellEnd"/>
      <w:r w:rsidRPr="001D5EBE">
        <w:rPr>
          <w:lang w:val="lt-LT"/>
        </w:rPr>
        <w:t xml:space="preserve"> fosfatas </w:t>
      </w:r>
      <w:proofErr w:type="spellStart"/>
      <w:r w:rsidRPr="001D5EBE">
        <w:rPr>
          <w:lang w:val="lt-LT"/>
        </w:rPr>
        <w:t>monohidratas</w:t>
      </w:r>
      <w:proofErr w:type="spellEnd"/>
      <w:r w:rsidRPr="001D5EBE">
        <w:rPr>
          <w:lang w:val="lt-LT"/>
        </w:rPr>
        <w:t xml:space="preserve">, bevandenis </w:t>
      </w:r>
      <w:proofErr w:type="spellStart"/>
      <w:r w:rsidRPr="001D5EBE">
        <w:rPr>
          <w:lang w:val="lt-LT"/>
        </w:rPr>
        <w:t>dinatrio</w:t>
      </w:r>
      <w:proofErr w:type="spellEnd"/>
      <w:r w:rsidRPr="001D5EBE">
        <w:rPr>
          <w:lang w:val="lt-LT"/>
        </w:rPr>
        <w:t xml:space="preserve"> fosfatas, natrio </w:t>
      </w:r>
      <w:proofErr w:type="spellStart"/>
      <w:r w:rsidRPr="001D5EBE">
        <w:rPr>
          <w:lang w:val="lt-LT"/>
        </w:rPr>
        <w:t>hidroksidas</w:t>
      </w:r>
      <w:proofErr w:type="spellEnd"/>
      <w:r w:rsidRPr="001D5EBE">
        <w:rPr>
          <w:lang w:val="lt-LT"/>
        </w:rPr>
        <w:t>.</w:t>
      </w:r>
    </w:p>
    <w:p w14:paraId="7590F8C8" w14:textId="77777777" w:rsidR="003F33B8" w:rsidRPr="001D5EBE" w:rsidRDefault="003F33B8" w:rsidP="003F33B8">
      <w:pPr>
        <w:spacing w:line="240" w:lineRule="auto"/>
        <w:rPr>
          <w:lang w:val="lt-LT"/>
        </w:rPr>
      </w:pPr>
      <w:r w:rsidRPr="001D5EBE">
        <w:rPr>
          <w:lang w:val="lt-LT"/>
        </w:rPr>
        <w:t xml:space="preserve">Tirpiklio </w:t>
      </w:r>
      <w:r w:rsidR="00B25481" w:rsidRPr="001D5EBE">
        <w:rPr>
          <w:lang w:val="lt-LT"/>
        </w:rPr>
        <w:t>flakone</w:t>
      </w:r>
      <w:r w:rsidRPr="001D5EBE">
        <w:rPr>
          <w:lang w:val="lt-LT"/>
        </w:rPr>
        <w:t xml:space="preserve"> (7,8 ml) yra </w:t>
      </w:r>
      <w:proofErr w:type="spellStart"/>
      <w:r w:rsidRPr="001D5EBE">
        <w:rPr>
          <w:lang w:val="lt-LT"/>
        </w:rPr>
        <w:t>benzilo</w:t>
      </w:r>
      <w:proofErr w:type="spellEnd"/>
      <w:r w:rsidRPr="001D5EBE">
        <w:rPr>
          <w:lang w:val="lt-LT"/>
        </w:rPr>
        <w:t xml:space="preserve"> alkoholis ir injekcinis vanduo.</w:t>
      </w:r>
    </w:p>
    <w:p w14:paraId="55A50026" w14:textId="77777777" w:rsidR="003F33B8" w:rsidRPr="001D5EBE" w:rsidRDefault="003F33B8" w:rsidP="003F33B8">
      <w:pPr>
        <w:spacing w:line="240" w:lineRule="auto"/>
        <w:rPr>
          <w:caps/>
          <w:lang w:val="lt-LT"/>
        </w:rPr>
      </w:pPr>
    </w:p>
    <w:p w14:paraId="3603966F" w14:textId="77777777" w:rsidR="003F33B8" w:rsidRPr="001D5EBE" w:rsidRDefault="003F33B8" w:rsidP="003F33B8">
      <w:pPr>
        <w:spacing w:line="240" w:lineRule="auto"/>
        <w:ind w:left="567" w:hanging="567"/>
        <w:rPr>
          <w:caps/>
          <w:lang w:val="lt-LT"/>
        </w:rPr>
      </w:pPr>
    </w:p>
    <w:p w14:paraId="42AEF7F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4.</w:t>
      </w:r>
      <w:r w:rsidRPr="001D5EBE">
        <w:rPr>
          <w:b/>
          <w:caps/>
          <w:lang w:val="lt-LT"/>
        </w:rPr>
        <w:tab/>
        <w:t>FARMACINĖ forma ir KIEKIS PAKUOTĖJE</w:t>
      </w:r>
    </w:p>
    <w:p w14:paraId="4D6C92AE" w14:textId="77777777" w:rsidR="003F33B8" w:rsidRPr="001D5EBE" w:rsidRDefault="003F33B8" w:rsidP="003F33B8">
      <w:pPr>
        <w:spacing w:line="240" w:lineRule="auto"/>
        <w:ind w:left="567" w:hanging="567"/>
        <w:rPr>
          <w:caps/>
          <w:lang w:val="lt-LT"/>
        </w:rPr>
      </w:pPr>
    </w:p>
    <w:p w14:paraId="5943FB05" w14:textId="77777777" w:rsidR="003F33B8" w:rsidRPr="001D5EBE" w:rsidRDefault="003F33B8" w:rsidP="003F33B8">
      <w:pPr>
        <w:spacing w:line="240" w:lineRule="auto"/>
        <w:ind w:left="567" w:hanging="567"/>
        <w:rPr>
          <w:lang w:val="lt-LT"/>
        </w:rPr>
      </w:pPr>
      <w:r w:rsidRPr="001D5EBE">
        <w:rPr>
          <w:lang w:val="lt-LT"/>
        </w:rPr>
        <w:t xml:space="preserve">1 miltelių </w:t>
      </w:r>
      <w:r w:rsidR="00B25481" w:rsidRPr="001D5EBE">
        <w:rPr>
          <w:lang w:val="lt-LT"/>
        </w:rPr>
        <w:t>flakonas</w:t>
      </w:r>
    </w:p>
    <w:p w14:paraId="2001D88B" w14:textId="77777777" w:rsidR="003F33B8" w:rsidRPr="001D5EBE" w:rsidRDefault="003F33B8" w:rsidP="003F33B8">
      <w:pPr>
        <w:spacing w:line="240" w:lineRule="auto"/>
        <w:ind w:left="567" w:hanging="567"/>
        <w:rPr>
          <w:lang w:val="lt-LT"/>
        </w:rPr>
      </w:pPr>
      <w:r w:rsidRPr="001D5EBE">
        <w:rPr>
          <w:lang w:val="lt-LT"/>
        </w:rPr>
        <w:t xml:space="preserve">1 tirpiklio </w:t>
      </w:r>
      <w:r w:rsidR="00B25481" w:rsidRPr="001D5EBE">
        <w:rPr>
          <w:lang w:val="lt-LT"/>
        </w:rPr>
        <w:t>flakonas</w:t>
      </w:r>
    </w:p>
    <w:p w14:paraId="01DD0B4A" w14:textId="77777777" w:rsidR="003F33B8" w:rsidRPr="001D5EBE" w:rsidRDefault="003F33B8" w:rsidP="003F33B8">
      <w:pPr>
        <w:spacing w:line="240" w:lineRule="auto"/>
        <w:ind w:left="567" w:hanging="567"/>
        <w:rPr>
          <w:caps/>
          <w:lang w:val="lt-LT"/>
        </w:rPr>
      </w:pPr>
    </w:p>
    <w:p w14:paraId="1806D19A" w14:textId="77777777" w:rsidR="003F33B8" w:rsidRPr="001D5EBE" w:rsidRDefault="003F33B8" w:rsidP="003F33B8">
      <w:pPr>
        <w:spacing w:line="240" w:lineRule="auto"/>
        <w:ind w:left="567" w:hanging="567"/>
        <w:rPr>
          <w:caps/>
          <w:lang w:val="lt-LT"/>
        </w:rPr>
      </w:pPr>
    </w:p>
    <w:p w14:paraId="58A3D1D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5.</w:t>
      </w:r>
      <w:r w:rsidRPr="001D5EBE">
        <w:rPr>
          <w:b/>
          <w:caps/>
          <w:lang w:val="lt-LT"/>
        </w:rPr>
        <w:tab/>
        <w:t>vartojimo METODAS IR būdas</w:t>
      </w:r>
    </w:p>
    <w:p w14:paraId="1FB72916" w14:textId="77777777" w:rsidR="003F33B8" w:rsidRPr="001D5EBE" w:rsidRDefault="003F33B8" w:rsidP="003F33B8">
      <w:pPr>
        <w:spacing w:line="240" w:lineRule="auto"/>
        <w:ind w:left="567" w:hanging="567"/>
        <w:rPr>
          <w:caps/>
          <w:lang w:val="lt-LT"/>
        </w:rPr>
      </w:pPr>
    </w:p>
    <w:p w14:paraId="50AFF8FF" w14:textId="77777777" w:rsidR="003F33B8" w:rsidRPr="001D5EBE" w:rsidRDefault="003F33B8" w:rsidP="003F33B8">
      <w:pPr>
        <w:spacing w:line="240" w:lineRule="auto"/>
        <w:ind w:left="567" w:hanging="567"/>
        <w:rPr>
          <w:lang w:val="lt-LT"/>
        </w:rPr>
      </w:pPr>
      <w:r w:rsidRPr="001D5EBE">
        <w:rPr>
          <w:lang w:val="lt-LT"/>
        </w:rPr>
        <w:t>Leisti į veną ar į raumenis.</w:t>
      </w:r>
    </w:p>
    <w:p w14:paraId="09F03DD5" w14:textId="77777777" w:rsidR="003F33B8" w:rsidRPr="001D5EBE" w:rsidRDefault="003F33B8" w:rsidP="003F33B8">
      <w:pPr>
        <w:pStyle w:val="Pagrindiniotekstotrauka"/>
        <w:spacing w:line="240" w:lineRule="auto"/>
        <w:ind w:left="0"/>
        <w:rPr>
          <w:sz w:val="22"/>
          <w:szCs w:val="22"/>
        </w:rPr>
      </w:pPr>
      <w:r w:rsidRPr="001D5EBE">
        <w:rPr>
          <w:sz w:val="22"/>
          <w:szCs w:val="22"/>
        </w:rPr>
        <w:t>Prieš vartojimą perskaitykite pakuotės lapelį.</w:t>
      </w:r>
    </w:p>
    <w:p w14:paraId="6080DD22" w14:textId="77777777" w:rsidR="003F33B8" w:rsidRPr="001D5EBE" w:rsidRDefault="003F33B8" w:rsidP="003F33B8">
      <w:pPr>
        <w:spacing w:line="240" w:lineRule="auto"/>
        <w:ind w:left="567" w:hanging="567"/>
        <w:rPr>
          <w:caps/>
          <w:lang w:val="lt-LT"/>
        </w:rPr>
      </w:pPr>
    </w:p>
    <w:p w14:paraId="4AB04980" w14:textId="77777777" w:rsidR="003F33B8" w:rsidRPr="001D5EBE" w:rsidRDefault="003F33B8" w:rsidP="003F33B8">
      <w:pPr>
        <w:spacing w:line="240" w:lineRule="auto"/>
        <w:ind w:left="567" w:hanging="567"/>
        <w:rPr>
          <w:caps/>
          <w:lang w:val="lt-LT"/>
        </w:rPr>
      </w:pPr>
    </w:p>
    <w:p w14:paraId="68009FC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1D5EBE">
        <w:rPr>
          <w:b/>
          <w:caps/>
          <w:lang w:val="lt-LT"/>
        </w:rPr>
        <w:t>6.</w:t>
      </w:r>
      <w:r w:rsidRPr="001D5EBE">
        <w:rPr>
          <w:b/>
          <w:caps/>
          <w:lang w:val="lt-LT"/>
        </w:rPr>
        <w:tab/>
        <w:t>SPECIALUS Įspėjimas</w:t>
      </w:r>
      <w:r w:rsidRPr="001D5EBE">
        <w:rPr>
          <w:lang w:val="lt-LT"/>
        </w:rPr>
        <w:t xml:space="preserve">, </w:t>
      </w:r>
      <w:r w:rsidRPr="001D5EBE">
        <w:rPr>
          <w:b/>
          <w:lang w:val="lt-LT"/>
        </w:rPr>
        <w:t xml:space="preserve">KAD VAISTINĮ PREPARATĄ BŪTINA LAIKYTI </w:t>
      </w:r>
      <w:r w:rsidRPr="001D5EBE">
        <w:rPr>
          <w:b/>
          <w:caps/>
          <w:lang w:val="lt-LT"/>
        </w:rPr>
        <w:t>vaikams nepastebimoje IR nepasiekiamoje vietoje</w:t>
      </w:r>
    </w:p>
    <w:p w14:paraId="7AFE3476" w14:textId="77777777" w:rsidR="003F33B8" w:rsidRPr="001D5EBE" w:rsidRDefault="003F33B8" w:rsidP="003F33B8">
      <w:pPr>
        <w:spacing w:line="240" w:lineRule="auto"/>
        <w:ind w:left="567" w:hanging="567"/>
        <w:rPr>
          <w:lang w:val="lt-LT"/>
        </w:rPr>
      </w:pPr>
    </w:p>
    <w:p w14:paraId="052F824A" w14:textId="77777777" w:rsidR="003F33B8" w:rsidRPr="001D5EBE" w:rsidRDefault="003F33B8" w:rsidP="003F33B8">
      <w:pPr>
        <w:spacing w:line="240" w:lineRule="auto"/>
        <w:ind w:left="567" w:hanging="567"/>
        <w:outlineLvl w:val="0"/>
        <w:rPr>
          <w:lang w:val="lt-LT"/>
        </w:rPr>
      </w:pPr>
      <w:r w:rsidRPr="001D5EBE">
        <w:rPr>
          <w:lang w:val="lt-LT"/>
        </w:rPr>
        <w:t>Laikyti vaikams nepastebimoje ir nepasiekiamoje vietoje.</w:t>
      </w:r>
    </w:p>
    <w:p w14:paraId="0AA60842" w14:textId="77777777" w:rsidR="003F33B8" w:rsidRPr="001D5EBE" w:rsidRDefault="003F33B8" w:rsidP="003F33B8">
      <w:pPr>
        <w:spacing w:line="240" w:lineRule="auto"/>
        <w:ind w:left="567" w:hanging="567"/>
        <w:rPr>
          <w:lang w:val="lt-LT"/>
        </w:rPr>
      </w:pPr>
    </w:p>
    <w:p w14:paraId="1E97885F" w14:textId="77777777" w:rsidR="003F33B8" w:rsidRPr="001D5EBE" w:rsidRDefault="003F33B8" w:rsidP="003F33B8">
      <w:pPr>
        <w:spacing w:line="240" w:lineRule="auto"/>
        <w:ind w:left="567" w:hanging="567"/>
        <w:rPr>
          <w:lang w:val="lt-LT"/>
        </w:rPr>
      </w:pPr>
    </w:p>
    <w:p w14:paraId="3657676C"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7.</w:t>
      </w:r>
      <w:r w:rsidRPr="001D5EBE">
        <w:rPr>
          <w:b/>
          <w:caps/>
          <w:lang w:val="lt-LT"/>
        </w:rPr>
        <w:tab/>
        <w:t>kitas specialus Įspėjimas (jei reikia)</w:t>
      </w:r>
    </w:p>
    <w:p w14:paraId="52277BF1" w14:textId="77777777" w:rsidR="003F33B8" w:rsidRPr="001D5EBE" w:rsidRDefault="003F33B8" w:rsidP="003F33B8">
      <w:pPr>
        <w:spacing w:line="240" w:lineRule="auto"/>
        <w:ind w:left="567" w:hanging="567"/>
        <w:rPr>
          <w:lang w:val="lt-LT"/>
        </w:rPr>
      </w:pPr>
    </w:p>
    <w:p w14:paraId="4FCAA0FF" w14:textId="77777777" w:rsidR="003F33B8" w:rsidRPr="001D5EBE" w:rsidRDefault="003F33B8" w:rsidP="003F33B8">
      <w:pPr>
        <w:spacing w:line="240" w:lineRule="auto"/>
        <w:ind w:left="567" w:hanging="567"/>
        <w:rPr>
          <w:caps/>
          <w:lang w:val="lt-LT"/>
        </w:rPr>
      </w:pPr>
    </w:p>
    <w:p w14:paraId="2B8F2550"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8.</w:t>
      </w:r>
      <w:r w:rsidRPr="001D5EBE">
        <w:rPr>
          <w:b/>
          <w:caps/>
          <w:lang w:val="lt-LT"/>
        </w:rPr>
        <w:tab/>
        <w:t>tinkamumo laikas</w:t>
      </w:r>
    </w:p>
    <w:p w14:paraId="2D973D43" w14:textId="77777777" w:rsidR="003F33B8" w:rsidRPr="001D5EBE" w:rsidRDefault="003F33B8" w:rsidP="003F33B8">
      <w:pPr>
        <w:spacing w:line="240" w:lineRule="auto"/>
        <w:ind w:left="567" w:hanging="567"/>
        <w:rPr>
          <w:lang w:val="lt-LT"/>
        </w:rPr>
      </w:pPr>
    </w:p>
    <w:p w14:paraId="1E160CF5" w14:textId="77777777" w:rsidR="003F33B8" w:rsidRPr="001D5EBE" w:rsidRDefault="003F33B8" w:rsidP="003F33B8">
      <w:pPr>
        <w:spacing w:line="240" w:lineRule="auto"/>
        <w:ind w:left="567" w:hanging="567"/>
        <w:outlineLvl w:val="0"/>
        <w:rPr>
          <w:lang w:val="lt-LT"/>
        </w:rPr>
      </w:pPr>
      <w:r w:rsidRPr="001D5EBE">
        <w:rPr>
          <w:lang w:val="lt-LT"/>
        </w:rPr>
        <w:t xml:space="preserve">Tinka iki {MMMM/mm} </w:t>
      </w:r>
      <w:r w:rsidRPr="001D5EBE">
        <w:rPr>
          <w:i/>
          <w:lang w:val="lt-LT"/>
        </w:rPr>
        <w:t>[metai, mėnuo]</w:t>
      </w:r>
    </w:p>
    <w:p w14:paraId="4EFBCFC5" w14:textId="77777777" w:rsidR="003F33B8" w:rsidRPr="001D5EBE" w:rsidRDefault="003F33B8" w:rsidP="003F33B8">
      <w:pPr>
        <w:pStyle w:val="Pagrindinistekstas"/>
        <w:spacing w:after="0"/>
        <w:rPr>
          <w:szCs w:val="22"/>
        </w:rPr>
      </w:pPr>
      <w:r w:rsidRPr="001D5EBE">
        <w:rPr>
          <w:szCs w:val="22"/>
        </w:rPr>
        <w:t xml:space="preserve">Paruošto arba praskiesto tirpalo tinkamumo laikas yra </w:t>
      </w:r>
      <w:r w:rsidR="00B04F60" w:rsidRPr="00034EC7">
        <w:rPr>
          <w:szCs w:val="22"/>
        </w:rPr>
        <w:t>12</w:t>
      </w:r>
      <w:r w:rsidR="00B04F60">
        <w:rPr>
          <w:szCs w:val="22"/>
        </w:rPr>
        <w:t xml:space="preserve"> </w:t>
      </w:r>
      <w:r w:rsidRPr="001D5EBE">
        <w:rPr>
          <w:szCs w:val="22"/>
        </w:rPr>
        <w:t>val., laikant ne aukštesnėje kaip 25 ºC temperatūroje.</w:t>
      </w:r>
    </w:p>
    <w:p w14:paraId="2D5E9E52" w14:textId="77777777" w:rsidR="003F33B8" w:rsidRPr="001D5EBE" w:rsidRDefault="003F33B8" w:rsidP="003F33B8">
      <w:pPr>
        <w:spacing w:line="240" w:lineRule="auto"/>
        <w:ind w:left="567" w:hanging="567"/>
        <w:rPr>
          <w:lang w:val="lt-LT"/>
        </w:rPr>
      </w:pPr>
    </w:p>
    <w:p w14:paraId="21EC7CE4" w14:textId="77777777" w:rsidR="003F33B8" w:rsidRPr="001D5EBE" w:rsidRDefault="003F33B8" w:rsidP="003F33B8">
      <w:pPr>
        <w:spacing w:line="240" w:lineRule="auto"/>
        <w:ind w:left="567" w:hanging="567"/>
        <w:rPr>
          <w:lang w:val="lt-LT"/>
        </w:rPr>
      </w:pPr>
    </w:p>
    <w:p w14:paraId="08800D26"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9.</w:t>
      </w:r>
      <w:r w:rsidRPr="001D5EBE">
        <w:rPr>
          <w:b/>
          <w:caps/>
          <w:lang w:val="lt-LT"/>
        </w:rPr>
        <w:tab/>
        <w:t>SPECIALIOS laikymo sąlygos</w:t>
      </w:r>
    </w:p>
    <w:p w14:paraId="338527DF" w14:textId="77777777" w:rsidR="003F33B8" w:rsidRPr="001D5EBE" w:rsidRDefault="003F33B8" w:rsidP="003F33B8">
      <w:pPr>
        <w:spacing w:line="240" w:lineRule="auto"/>
        <w:rPr>
          <w:lang w:val="lt-LT"/>
        </w:rPr>
      </w:pPr>
    </w:p>
    <w:p w14:paraId="16577147" w14:textId="77777777" w:rsidR="003F33B8" w:rsidRPr="001D5EBE" w:rsidRDefault="003F33B8" w:rsidP="003F33B8">
      <w:pPr>
        <w:pStyle w:val="Pagrindinistekstas"/>
        <w:spacing w:after="0"/>
        <w:jc w:val="both"/>
        <w:rPr>
          <w:szCs w:val="22"/>
        </w:rPr>
      </w:pPr>
      <w:r w:rsidRPr="001D5EBE">
        <w:rPr>
          <w:szCs w:val="22"/>
        </w:rPr>
        <w:t>Laikyti ne aukštesnėje kaip 25 ºC temperatūroje.</w:t>
      </w:r>
    </w:p>
    <w:p w14:paraId="33A16D69" w14:textId="77777777" w:rsidR="003F33B8" w:rsidRPr="001D5EBE" w:rsidRDefault="003F33B8" w:rsidP="003F33B8">
      <w:pPr>
        <w:spacing w:line="240" w:lineRule="auto"/>
        <w:rPr>
          <w:lang w:val="lt-LT"/>
        </w:rPr>
      </w:pPr>
    </w:p>
    <w:p w14:paraId="52EF2CF6" w14:textId="77777777" w:rsidR="003F33B8" w:rsidRPr="001D5EBE" w:rsidRDefault="003F33B8" w:rsidP="003F33B8">
      <w:pPr>
        <w:spacing w:line="240" w:lineRule="auto"/>
        <w:rPr>
          <w:lang w:val="lt-LT"/>
        </w:rPr>
      </w:pPr>
    </w:p>
    <w:p w14:paraId="3C9CAEB6"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10.</w:t>
      </w:r>
      <w:r w:rsidRPr="001D5EBE">
        <w:rPr>
          <w:b/>
          <w:caps/>
          <w:lang w:val="lt-LT"/>
        </w:rPr>
        <w:tab/>
        <w:t>specialios atsargumo priemonės</w:t>
      </w:r>
      <w:r w:rsidRPr="001D5EBE">
        <w:rPr>
          <w:b/>
          <w:lang w:val="lt-LT"/>
        </w:rPr>
        <w:t xml:space="preserve">, BŪTINOS </w:t>
      </w:r>
      <w:r w:rsidRPr="001D5EBE">
        <w:rPr>
          <w:b/>
          <w:caps/>
          <w:lang w:val="lt-LT"/>
        </w:rPr>
        <w:t>NAIKINANT VAISTINIO PREPARATO LIKUČIUS ARBA ATLIEKAS</w:t>
      </w:r>
      <w:r w:rsidRPr="001D5EBE">
        <w:rPr>
          <w:caps/>
          <w:lang w:val="lt-LT"/>
        </w:rPr>
        <w:t xml:space="preserve"> </w:t>
      </w:r>
      <w:r w:rsidRPr="001D5EBE">
        <w:rPr>
          <w:b/>
          <w:caps/>
          <w:lang w:val="lt-LT"/>
        </w:rPr>
        <w:t>(jei reikia)</w:t>
      </w:r>
    </w:p>
    <w:p w14:paraId="61E751AF" w14:textId="77777777" w:rsidR="003F33B8" w:rsidRPr="001D5EBE" w:rsidRDefault="003F33B8" w:rsidP="003F33B8">
      <w:pPr>
        <w:spacing w:line="240" w:lineRule="auto"/>
        <w:ind w:left="567" w:hanging="567"/>
        <w:rPr>
          <w:caps/>
          <w:lang w:val="lt-LT"/>
        </w:rPr>
      </w:pPr>
    </w:p>
    <w:p w14:paraId="0235910D" w14:textId="77777777" w:rsidR="003F33B8" w:rsidRPr="001D5EBE" w:rsidRDefault="003F33B8" w:rsidP="003F33B8">
      <w:pPr>
        <w:spacing w:line="240" w:lineRule="auto"/>
        <w:ind w:left="567" w:hanging="567"/>
        <w:rPr>
          <w:caps/>
          <w:lang w:val="lt-LT"/>
        </w:rPr>
      </w:pPr>
    </w:p>
    <w:p w14:paraId="5C0A5778"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11.</w:t>
      </w:r>
      <w:r w:rsidRPr="001D5EBE">
        <w:rPr>
          <w:b/>
          <w:caps/>
          <w:lang w:val="lt-LT"/>
        </w:rPr>
        <w:tab/>
      </w:r>
      <w:r w:rsidR="00231BF0" w:rsidRPr="007057DC">
        <w:rPr>
          <w:b/>
          <w:caps/>
          <w:noProof/>
          <w:snapToGrid w:val="0"/>
          <w:szCs w:val="24"/>
          <w:lang w:val="lt-LT"/>
        </w:rPr>
        <w:t>REGISTRUOTOJO</w:t>
      </w:r>
      <w:r w:rsidR="00231BF0" w:rsidRPr="001D5EBE">
        <w:rPr>
          <w:b/>
          <w:caps/>
          <w:lang w:val="lt-LT"/>
        </w:rPr>
        <w:t xml:space="preserve"> </w:t>
      </w:r>
      <w:r w:rsidRPr="001D5EBE">
        <w:rPr>
          <w:b/>
          <w:caps/>
          <w:lang w:val="lt-LT"/>
        </w:rPr>
        <w:t>pavadinimas ir adresas</w:t>
      </w:r>
    </w:p>
    <w:p w14:paraId="13CA75D5" w14:textId="77777777" w:rsidR="003F33B8" w:rsidRPr="001D5EBE" w:rsidRDefault="003F33B8" w:rsidP="003F33B8">
      <w:pPr>
        <w:spacing w:line="240" w:lineRule="auto"/>
        <w:ind w:left="567" w:hanging="567"/>
        <w:rPr>
          <w:caps/>
          <w:lang w:val="lt-LT"/>
        </w:rPr>
      </w:pPr>
    </w:p>
    <w:p w14:paraId="591731B0" w14:textId="77777777" w:rsidR="003F33B8" w:rsidRPr="001D5EBE" w:rsidRDefault="003F33B8" w:rsidP="003F33B8">
      <w:pPr>
        <w:spacing w:line="240" w:lineRule="auto"/>
        <w:ind w:left="567" w:hanging="567"/>
        <w:rPr>
          <w:lang w:val="lt-LT"/>
        </w:rPr>
      </w:pPr>
      <w:proofErr w:type="spellStart"/>
      <w:r w:rsidRPr="001D5EBE">
        <w:rPr>
          <w:lang w:val="lt-LT"/>
        </w:rPr>
        <w:t>Pfizer</w:t>
      </w:r>
      <w:proofErr w:type="spellEnd"/>
      <w:r w:rsidRPr="001D5EBE">
        <w:rPr>
          <w:lang w:val="lt-LT"/>
        </w:rPr>
        <w:t xml:space="preserve"> </w:t>
      </w:r>
      <w:proofErr w:type="spellStart"/>
      <w:r w:rsidRPr="001D5EBE">
        <w:rPr>
          <w:lang w:val="lt-LT"/>
        </w:rPr>
        <w:t>Europe</w:t>
      </w:r>
      <w:proofErr w:type="spellEnd"/>
      <w:r w:rsidRPr="001D5EBE">
        <w:rPr>
          <w:lang w:val="lt-LT"/>
        </w:rPr>
        <w:t xml:space="preserve"> MA EEIG,</w:t>
      </w:r>
    </w:p>
    <w:p w14:paraId="7FBF1E1B" w14:textId="77777777"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 xml:space="preserve">Boulevard de la </w:t>
      </w:r>
      <w:proofErr w:type="spellStart"/>
      <w:r w:rsidRPr="00317399">
        <w:rPr>
          <w:rFonts w:eastAsia="MS Mincho"/>
          <w:szCs w:val="20"/>
          <w:lang w:val="de-DE"/>
        </w:rPr>
        <w:t>Plaine</w:t>
      </w:r>
      <w:proofErr w:type="spellEnd"/>
      <w:r w:rsidRPr="00317399">
        <w:rPr>
          <w:rFonts w:eastAsia="MS Mincho"/>
          <w:szCs w:val="20"/>
          <w:lang w:val="de-DE"/>
        </w:rPr>
        <w:t xml:space="preserve"> 17</w:t>
      </w:r>
    </w:p>
    <w:p w14:paraId="61F2FCB9" w14:textId="77777777"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1050 Bruxelles</w:t>
      </w:r>
    </w:p>
    <w:p w14:paraId="3AF78323" w14:textId="6036240C" w:rsidR="003F33B8" w:rsidRPr="001D5EBE" w:rsidRDefault="00317399" w:rsidP="003F33B8">
      <w:pPr>
        <w:spacing w:line="240" w:lineRule="auto"/>
        <w:ind w:left="567" w:hanging="567"/>
        <w:rPr>
          <w:lang w:val="lt-LT"/>
        </w:rPr>
      </w:pPr>
      <w:proofErr w:type="spellStart"/>
      <w:r w:rsidRPr="00317399">
        <w:rPr>
          <w:rFonts w:eastAsia="MS Mincho"/>
          <w:szCs w:val="20"/>
          <w:lang w:val="de-DE"/>
        </w:rPr>
        <w:t>Belgija</w:t>
      </w:r>
      <w:proofErr w:type="spellEnd"/>
    </w:p>
    <w:p w14:paraId="446EA776" w14:textId="77777777" w:rsidR="003F33B8" w:rsidRPr="001D5EBE" w:rsidRDefault="003F33B8" w:rsidP="003F33B8">
      <w:pPr>
        <w:spacing w:line="240" w:lineRule="auto"/>
        <w:ind w:left="567" w:hanging="567"/>
        <w:rPr>
          <w:lang w:val="lt-LT"/>
        </w:rPr>
      </w:pPr>
    </w:p>
    <w:p w14:paraId="641B3A39" w14:textId="77777777" w:rsidR="003F33B8" w:rsidRPr="001D5EBE" w:rsidRDefault="003F33B8" w:rsidP="003F33B8">
      <w:pPr>
        <w:spacing w:line="240" w:lineRule="auto"/>
        <w:ind w:left="567" w:hanging="567"/>
        <w:rPr>
          <w:caps/>
          <w:lang w:val="lt-LT"/>
        </w:rPr>
      </w:pPr>
    </w:p>
    <w:p w14:paraId="03958D2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12.</w:t>
      </w:r>
      <w:r w:rsidRPr="001D5EBE">
        <w:rPr>
          <w:b/>
          <w:caps/>
          <w:lang w:val="lt-LT"/>
        </w:rPr>
        <w:tab/>
      </w:r>
      <w:r w:rsidR="00AD7FA7" w:rsidRPr="007057DC">
        <w:rPr>
          <w:b/>
          <w:noProof/>
          <w:snapToGrid w:val="0"/>
          <w:szCs w:val="24"/>
          <w:lang w:val="lt-LT"/>
        </w:rPr>
        <w:t>REGISTRACIJOS</w:t>
      </w:r>
      <w:r w:rsidRPr="001D5EBE">
        <w:rPr>
          <w:b/>
          <w:caps/>
          <w:lang w:val="lt-LT"/>
        </w:rPr>
        <w:t xml:space="preserve"> PAŽYMĖJIMO numeris</w:t>
      </w:r>
    </w:p>
    <w:p w14:paraId="1B55C37A" w14:textId="77777777" w:rsidR="003F33B8" w:rsidRPr="001D5EBE" w:rsidRDefault="003F33B8" w:rsidP="003F33B8">
      <w:pPr>
        <w:spacing w:line="240" w:lineRule="auto"/>
        <w:ind w:left="567" w:hanging="567"/>
        <w:rPr>
          <w:lang w:val="lt-LT"/>
        </w:rPr>
      </w:pPr>
    </w:p>
    <w:p w14:paraId="4438E7C7" w14:textId="77777777" w:rsidR="003F33B8" w:rsidRPr="001D5EBE" w:rsidRDefault="003F33B8" w:rsidP="003F33B8">
      <w:pPr>
        <w:spacing w:line="240" w:lineRule="auto"/>
        <w:rPr>
          <w:lang w:val="lt-LT"/>
        </w:rPr>
      </w:pPr>
      <w:r w:rsidRPr="001D5EBE">
        <w:rPr>
          <w:lang w:val="lt-LT"/>
        </w:rPr>
        <w:t>LT/1/94/1936/003</w:t>
      </w:r>
    </w:p>
    <w:p w14:paraId="56208992" w14:textId="77777777" w:rsidR="003F33B8" w:rsidRPr="001D5EBE" w:rsidRDefault="003F33B8" w:rsidP="003F33B8">
      <w:pPr>
        <w:spacing w:line="240" w:lineRule="auto"/>
        <w:ind w:left="567" w:hanging="567"/>
        <w:rPr>
          <w:lang w:val="lt-LT"/>
        </w:rPr>
      </w:pPr>
    </w:p>
    <w:p w14:paraId="394A7C6F" w14:textId="77777777" w:rsidR="003F33B8" w:rsidRPr="001D5EBE" w:rsidRDefault="003F33B8" w:rsidP="003F33B8">
      <w:pPr>
        <w:spacing w:line="240" w:lineRule="auto"/>
        <w:ind w:left="567" w:hanging="567"/>
        <w:rPr>
          <w:lang w:val="lt-LT"/>
        </w:rPr>
      </w:pPr>
    </w:p>
    <w:p w14:paraId="7994725B"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13.</w:t>
      </w:r>
      <w:r w:rsidRPr="001D5EBE">
        <w:rPr>
          <w:b/>
          <w:caps/>
          <w:lang w:val="lt-LT"/>
        </w:rPr>
        <w:tab/>
        <w:t>serijos numeris</w:t>
      </w:r>
    </w:p>
    <w:p w14:paraId="4EF40A90" w14:textId="77777777" w:rsidR="003F33B8" w:rsidRPr="001D5EBE" w:rsidRDefault="003F33B8" w:rsidP="003F33B8">
      <w:pPr>
        <w:spacing w:line="240" w:lineRule="auto"/>
        <w:ind w:left="567" w:hanging="567"/>
        <w:rPr>
          <w:lang w:val="lt-LT"/>
        </w:rPr>
      </w:pPr>
    </w:p>
    <w:p w14:paraId="034619BF" w14:textId="77777777" w:rsidR="003F33B8" w:rsidRPr="001D5EBE" w:rsidRDefault="003F33B8" w:rsidP="003F33B8">
      <w:pPr>
        <w:spacing w:line="240" w:lineRule="auto"/>
        <w:ind w:left="567" w:hanging="567"/>
        <w:rPr>
          <w:lang w:val="lt-LT"/>
        </w:rPr>
      </w:pPr>
      <w:r w:rsidRPr="001D5EBE">
        <w:rPr>
          <w:lang w:val="lt-LT"/>
        </w:rPr>
        <w:t>Serija</w:t>
      </w:r>
    </w:p>
    <w:p w14:paraId="3356694A" w14:textId="77777777" w:rsidR="003F33B8" w:rsidRPr="001D5EBE" w:rsidRDefault="003F33B8" w:rsidP="003F33B8">
      <w:pPr>
        <w:spacing w:line="240" w:lineRule="auto"/>
        <w:ind w:left="567" w:hanging="567"/>
        <w:rPr>
          <w:lang w:val="lt-LT"/>
        </w:rPr>
      </w:pPr>
    </w:p>
    <w:p w14:paraId="1511F881" w14:textId="77777777" w:rsidR="003F33B8" w:rsidRPr="001D5EBE" w:rsidRDefault="003F33B8" w:rsidP="003F33B8">
      <w:pPr>
        <w:spacing w:line="240" w:lineRule="auto"/>
        <w:ind w:left="567" w:hanging="567"/>
        <w:rPr>
          <w:lang w:val="lt-LT"/>
        </w:rPr>
      </w:pPr>
    </w:p>
    <w:p w14:paraId="6D773551"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14.</w:t>
      </w:r>
      <w:r w:rsidRPr="001D5EBE">
        <w:rPr>
          <w:b/>
          <w:caps/>
          <w:lang w:val="lt-LT"/>
        </w:rPr>
        <w:tab/>
      </w:r>
      <w:r w:rsidRPr="001D5EBE">
        <w:rPr>
          <w:b/>
          <w:lang w:val="lt-LT"/>
        </w:rPr>
        <w:t xml:space="preserve">PARDAVIMO (IŠDAVIMO) </w:t>
      </w:r>
      <w:r w:rsidRPr="001D5EBE">
        <w:rPr>
          <w:b/>
          <w:caps/>
          <w:lang w:val="lt-LT"/>
        </w:rPr>
        <w:t>tvarka</w:t>
      </w:r>
    </w:p>
    <w:p w14:paraId="11455712" w14:textId="77777777" w:rsidR="003F33B8" w:rsidRPr="001D5EBE" w:rsidRDefault="003F33B8" w:rsidP="003F33B8">
      <w:pPr>
        <w:spacing w:line="240" w:lineRule="auto"/>
        <w:ind w:left="567" w:hanging="567"/>
        <w:rPr>
          <w:lang w:val="lt-LT"/>
        </w:rPr>
      </w:pPr>
    </w:p>
    <w:p w14:paraId="2C29FDB8" w14:textId="34F4F07C" w:rsidR="003F33B8" w:rsidRPr="001D5EBE" w:rsidRDefault="003F33B8" w:rsidP="003F33B8">
      <w:pPr>
        <w:spacing w:line="240" w:lineRule="auto"/>
        <w:ind w:left="567" w:hanging="567"/>
        <w:rPr>
          <w:lang w:val="lt-LT"/>
        </w:rPr>
      </w:pPr>
      <w:r w:rsidRPr="001D5EBE">
        <w:rPr>
          <w:lang w:val="lt-LT"/>
        </w:rPr>
        <w:t xml:space="preserve">Receptinis </w:t>
      </w:r>
      <w:r w:rsidR="00C01333">
        <w:rPr>
          <w:lang w:val="lt-LT"/>
        </w:rPr>
        <w:t>vaistas</w:t>
      </w:r>
      <w:r w:rsidR="001068FF">
        <w:rPr>
          <w:lang w:val="lt-LT"/>
        </w:rPr>
        <w:t>.</w:t>
      </w:r>
    </w:p>
    <w:p w14:paraId="61F74DD0" w14:textId="77777777" w:rsidR="003F33B8" w:rsidRPr="001D5EBE" w:rsidRDefault="003F33B8" w:rsidP="003F33B8">
      <w:pPr>
        <w:spacing w:line="240" w:lineRule="auto"/>
        <w:ind w:left="567" w:hanging="567"/>
        <w:rPr>
          <w:lang w:val="lt-LT"/>
        </w:rPr>
      </w:pPr>
    </w:p>
    <w:p w14:paraId="677119D3" w14:textId="77777777" w:rsidR="003F33B8" w:rsidRPr="001D5EBE" w:rsidRDefault="003F33B8" w:rsidP="003F33B8">
      <w:pPr>
        <w:spacing w:line="240" w:lineRule="auto"/>
        <w:ind w:left="567" w:hanging="567"/>
        <w:rPr>
          <w:lang w:val="lt-LT"/>
        </w:rPr>
      </w:pPr>
    </w:p>
    <w:p w14:paraId="78F897C1"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15.</w:t>
      </w:r>
      <w:r w:rsidRPr="001D5EBE">
        <w:rPr>
          <w:b/>
          <w:caps/>
          <w:lang w:val="lt-LT"/>
        </w:rPr>
        <w:tab/>
        <w:t>vartojimo instrukcijA</w:t>
      </w:r>
    </w:p>
    <w:p w14:paraId="73E2BABA" w14:textId="77777777" w:rsidR="003F33B8" w:rsidRPr="001D5EBE" w:rsidRDefault="003F33B8" w:rsidP="003F33B8">
      <w:pPr>
        <w:pStyle w:val="BTEMEASMCA"/>
        <w:rPr>
          <w:noProof w:val="0"/>
        </w:rPr>
      </w:pPr>
    </w:p>
    <w:p w14:paraId="5C2255E6" w14:textId="77777777" w:rsidR="003F33B8" w:rsidRPr="001D5EBE" w:rsidRDefault="003F33B8" w:rsidP="003F33B8">
      <w:pPr>
        <w:pStyle w:val="BTEMEASMCA"/>
        <w:rPr>
          <w:noProof w:val="0"/>
        </w:rPr>
      </w:pPr>
    </w:p>
    <w:p w14:paraId="2C463ACA" w14:textId="77777777" w:rsidR="003F33B8" w:rsidRPr="001D5EBE" w:rsidRDefault="003F33B8" w:rsidP="003F33B8">
      <w:pPr>
        <w:pStyle w:val="PI-1labEMEASMCA"/>
      </w:pPr>
      <w:r w:rsidRPr="001D5EBE">
        <w:t>16.</w:t>
      </w:r>
      <w:r w:rsidRPr="001D5EBE">
        <w:tab/>
        <w:t>INFORMACIJA BRAILIO RAŠTU</w:t>
      </w:r>
    </w:p>
    <w:p w14:paraId="1D4A0FE2" w14:textId="77777777" w:rsidR="003F33B8" w:rsidRPr="001D5EBE" w:rsidRDefault="003F33B8" w:rsidP="003F33B8">
      <w:pPr>
        <w:pStyle w:val="BTEMEASMCA"/>
        <w:rPr>
          <w:noProof w:val="0"/>
        </w:rPr>
      </w:pPr>
    </w:p>
    <w:p w14:paraId="3D5002EE" w14:textId="77777777" w:rsidR="003F33B8" w:rsidRDefault="003F33B8" w:rsidP="003F33B8">
      <w:pPr>
        <w:pStyle w:val="BTEMEASMCA"/>
        <w:rPr>
          <w:noProof w:val="0"/>
        </w:rPr>
      </w:pPr>
      <w:proofErr w:type="spellStart"/>
      <w:r w:rsidRPr="001D5EBE">
        <w:rPr>
          <w:noProof w:val="0"/>
        </w:rPr>
        <w:t>solu</w:t>
      </w:r>
      <w:proofErr w:type="spellEnd"/>
      <w:r w:rsidRPr="001D5EBE">
        <w:rPr>
          <w:noProof w:val="0"/>
        </w:rPr>
        <w:t xml:space="preserve"> </w:t>
      </w:r>
      <w:proofErr w:type="spellStart"/>
      <w:r w:rsidRPr="001D5EBE">
        <w:rPr>
          <w:noProof w:val="0"/>
        </w:rPr>
        <w:t>medrol</w:t>
      </w:r>
      <w:proofErr w:type="spellEnd"/>
      <w:r w:rsidRPr="001D5EBE">
        <w:rPr>
          <w:noProof w:val="0"/>
        </w:rPr>
        <w:t xml:space="preserve"> 500 mg</w:t>
      </w:r>
    </w:p>
    <w:p w14:paraId="418D3648" w14:textId="77777777" w:rsidR="00D054D5" w:rsidRDefault="00D054D5" w:rsidP="003F33B8">
      <w:pPr>
        <w:pStyle w:val="BTEMEASMCA"/>
        <w:rPr>
          <w:noProof w:val="0"/>
        </w:rPr>
      </w:pPr>
    </w:p>
    <w:p w14:paraId="61684F7B" w14:textId="77777777" w:rsidR="0025749A" w:rsidRDefault="0025749A" w:rsidP="003F33B8">
      <w:pPr>
        <w:pStyle w:val="BTEMEASMCA"/>
        <w:rPr>
          <w:noProof w:val="0"/>
        </w:rPr>
      </w:pPr>
    </w:p>
    <w:p w14:paraId="79BE0E07" w14:textId="77777777" w:rsidR="00D054D5" w:rsidRPr="001D5EBE" w:rsidRDefault="00D054D5" w:rsidP="00D054D5">
      <w:pPr>
        <w:pStyle w:val="PI-1labEMEASMCA"/>
      </w:pPr>
      <w:r>
        <w:t>17</w:t>
      </w:r>
      <w:r w:rsidRPr="001D5EBE">
        <w:t>.</w:t>
      </w:r>
      <w:r w:rsidRPr="001D5EBE">
        <w:tab/>
      </w:r>
      <w:r w:rsidRPr="00BD6891">
        <w:rPr>
          <w:highlight w:val="lightGray"/>
        </w:rPr>
        <w:t>UNIKALUS IDENTIFIKATORIUS</w:t>
      </w:r>
      <w:r>
        <w:t xml:space="preserve"> - </w:t>
      </w:r>
      <w:r w:rsidRPr="00BD6891">
        <w:rPr>
          <w:highlight w:val="lightGray"/>
        </w:rPr>
        <w:t>2D BRŪKŠNINIS KODAS</w:t>
      </w:r>
    </w:p>
    <w:p w14:paraId="0B2D1569" w14:textId="77777777" w:rsidR="00D054D5" w:rsidRDefault="00D054D5" w:rsidP="003F33B8">
      <w:pPr>
        <w:pStyle w:val="BTEMEASMCA"/>
        <w:rPr>
          <w:noProof w:val="0"/>
        </w:rPr>
      </w:pPr>
    </w:p>
    <w:p w14:paraId="5B9B2227" w14:textId="77777777" w:rsidR="00D054D5" w:rsidRDefault="00D054D5" w:rsidP="003F33B8">
      <w:pPr>
        <w:pStyle w:val="BTEMEASMCA"/>
        <w:rPr>
          <w:noProof w:val="0"/>
        </w:rPr>
      </w:pPr>
      <w:r w:rsidRPr="00A91C9F">
        <w:rPr>
          <w:highlight w:val="lightGray"/>
        </w:rPr>
        <w:t>2D brūkšninis kodas su nurodytu unikaliu identifikatoriumi</w:t>
      </w:r>
    </w:p>
    <w:p w14:paraId="697A172B" w14:textId="77777777" w:rsidR="00D054D5" w:rsidRDefault="00D054D5" w:rsidP="003F33B8">
      <w:pPr>
        <w:pStyle w:val="BTEMEASMCA"/>
        <w:rPr>
          <w:noProof w:val="0"/>
        </w:rPr>
      </w:pPr>
    </w:p>
    <w:p w14:paraId="0BD7C722" w14:textId="77777777" w:rsidR="0025749A" w:rsidRDefault="0025749A" w:rsidP="003F33B8">
      <w:pPr>
        <w:pStyle w:val="BTEMEASMCA"/>
        <w:rPr>
          <w:noProof w:val="0"/>
        </w:rPr>
      </w:pPr>
    </w:p>
    <w:p w14:paraId="6FFF1626" w14:textId="77777777" w:rsidR="00D054D5" w:rsidRPr="001D5EBE" w:rsidRDefault="00D054D5" w:rsidP="00D054D5">
      <w:pPr>
        <w:pStyle w:val="PI-1labEMEASMCA"/>
      </w:pPr>
      <w:r>
        <w:t>18</w:t>
      </w:r>
      <w:r w:rsidRPr="001D5EBE">
        <w:t>.</w:t>
      </w:r>
      <w:r w:rsidRPr="001D5EBE">
        <w:tab/>
      </w:r>
      <w:r w:rsidRPr="00BD6891">
        <w:rPr>
          <w:highlight w:val="lightGray"/>
        </w:rPr>
        <w:t>UNIKALUS IDENTIFIKATORIUS</w:t>
      </w:r>
      <w:r>
        <w:t xml:space="preserve"> - </w:t>
      </w:r>
      <w:r w:rsidRPr="00BD6891">
        <w:rPr>
          <w:highlight w:val="lightGray"/>
        </w:rPr>
        <w:t>ŽMONĖMS SUPRANTAMI DUOMENYS</w:t>
      </w:r>
    </w:p>
    <w:p w14:paraId="2801B5DA" w14:textId="77777777" w:rsidR="00D054D5" w:rsidRDefault="00D054D5" w:rsidP="003F33B8">
      <w:pPr>
        <w:pStyle w:val="BTEMEASMCA"/>
        <w:rPr>
          <w:noProof w:val="0"/>
        </w:rPr>
      </w:pPr>
    </w:p>
    <w:p w14:paraId="64AA4462" w14:textId="77777777" w:rsidR="00D054D5" w:rsidRPr="000C101F" w:rsidRDefault="00D054D5" w:rsidP="00D054D5">
      <w:pPr>
        <w:spacing w:line="240" w:lineRule="auto"/>
        <w:rPr>
          <w:lang w:val="lt-LT"/>
        </w:rPr>
      </w:pPr>
      <w:r w:rsidRPr="000C101F">
        <w:rPr>
          <w:lang w:val="lt-LT"/>
        </w:rPr>
        <w:t>PC:</w:t>
      </w:r>
    </w:p>
    <w:p w14:paraId="730E5BC9" w14:textId="77777777" w:rsidR="00D054D5" w:rsidRPr="000C101F" w:rsidRDefault="00D054D5" w:rsidP="00D054D5">
      <w:pPr>
        <w:spacing w:line="240" w:lineRule="auto"/>
        <w:rPr>
          <w:lang w:val="lt-LT"/>
        </w:rPr>
      </w:pPr>
      <w:r w:rsidRPr="000C101F">
        <w:rPr>
          <w:lang w:val="lt-LT"/>
        </w:rPr>
        <w:t>SN:</w:t>
      </w:r>
    </w:p>
    <w:p w14:paraId="08E41559" w14:textId="77777777" w:rsidR="00D054D5" w:rsidRPr="00ED2AB3" w:rsidRDefault="00D054D5" w:rsidP="00D054D5">
      <w:pPr>
        <w:pStyle w:val="BTEMEASMCA"/>
        <w:rPr>
          <w:noProof w:val="0"/>
        </w:rPr>
      </w:pPr>
      <w:r w:rsidRPr="00BD6891">
        <w:rPr>
          <w:highlight w:val="lightGray"/>
        </w:rPr>
        <w:t>NN:</w:t>
      </w:r>
    </w:p>
    <w:p w14:paraId="3113BD64" w14:textId="77777777" w:rsidR="00D054D5" w:rsidRPr="001D5EBE" w:rsidRDefault="00D054D5" w:rsidP="003F33B8">
      <w:pPr>
        <w:pStyle w:val="BTEMEASMCA"/>
        <w:rPr>
          <w:noProof w:val="0"/>
        </w:rPr>
      </w:pPr>
    </w:p>
    <w:p w14:paraId="5D5578CC" w14:textId="77777777" w:rsidR="003F33B8" w:rsidRPr="001D5EBE" w:rsidRDefault="003F33B8" w:rsidP="003F33B8">
      <w:pPr>
        <w:spacing w:line="240" w:lineRule="auto"/>
        <w:ind w:left="567" w:hanging="567"/>
        <w:rPr>
          <w:lang w:val="lt-LT"/>
        </w:rPr>
      </w:pPr>
      <w:r w:rsidRPr="001D5EBE">
        <w:rPr>
          <w:lang w:val="lt-LT"/>
        </w:rPr>
        <w:br w:type="page"/>
      </w:r>
    </w:p>
    <w:p w14:paraId="33081149"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 xml:space="preserve">Minimali informacija ant mažų </w:t>
      </w:r>
      <w:r w:rsidRPr="001D5EBE">
        <w:rPr>
          <w:b/>
          <w:lang w:val="lt-LT"/>
        </w:rPr>
        <w:t>VIDINIŲ</w:t>
      </w:r>
      <w:r w:rsidRPr="001D5EBE">
        <w:rPr>
          <w:lang w:val="lt-LT"/>
        </w:rPr>
        <w:t xml:space="preserve"> </w:t>
      </w:r>
      <w:r w:rsidRPr="001D5EBE">
        <w:rPr>
          <w:b/>
          <w:caps/>
          <w:lang w:val="lt-LT"/>
        </w:rPr>
        <w:t>pakuočių</w:t>
      </w:r>
    </w:p>
    <w:p w14:paraId="578BFBE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304CAE3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1D5EBE">
        <w:rPr>
          <w:b/>
          <w:caps/>
          <w:lang w:val="lt-LT"/>
        </w:rPr>
        <w:t xml:space="preserve">MILTELIŲ </w:t>
      </w:r>
      <w:r w:rsidR="00B25481" w:rsidRPr="001D5EBE">
        <w:rPr>
          <w:b/>
          <w:caps/>
          <w:lang w:val="lt-LT"/>
        </w:rPr>
        <w:t>FLAKONAS</w:t>
      </w:r>
    </w:p>
    <w:p w14:paraId="08C3EB71" w14:textId="77777777" w:rsidR="003F33B8" w:rsidRPr="001D5EBE" w:rsidRDefault="003F33B8" w:rsidP="003F33B8">
      <w:pPr>
        <w:spacing w:line="240" w:lineRule="auto"/>
        <w:ind w:left="567" w:hanging="567"/>
        <w:rPr>
          <w:caps/>
          <w:lang w:val="lt-LT"/>
        </w:rPr>
      </w:pPr>
    </w:p>
    <w:p w14:paraId="5F2C0CC4" w14:textId="77777777" w:rsidR="003F33B8" w:rsidRPr="001D5EBE" w:rsidRDefault="003F33B8" w:rsidP="003F33B8">
      <w:pPr>
        <w:spacing w:line="240" w:lineRule="auto"/>
        <w:ind w:left="567" w:hanging="567"/>
        <w:rPr>
          <w:caps/>
          <w:lang w:val="lt-LT"/>
        </w:rPr>
      </w:pPr>
    </w:p>
    <w:p w14:paraId="37F29651"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w:t>
      </w:r>
      <w:r w:rsidRPr="001D5EBE">
        <w:rPr>
          <w:b/>
          <w:caps/>
          <w:lang w:val="lt-LT"/>
        </w:rPr>
        <w:tab/>
        <w:t>Vaistinio preparato pavadinimas ir vartojimo būdas</w:t>
      </w:r>
    </w:p>
    <w:p w14:paraId="707D7677" w14:textId="77777777" w:rsidR="003F33B8" w:rsidRPr="001D5EBE" w:rsidRDefault="003F33B8" w:rsidP="003F33B8">
      <w:pPr>
        <w:spacing w:line="240" w:lineRule="auto"/>
        <w:ind w:left="567" w:hanging="567"/>
        <w:rPr>
          <w:lang w:val="lt-LT"/>
        </w:rPr>
      </w:pPr>
    </w:p>
    <w:p w14:paraId="1836B9A8" w14:textId="77777777" w:rsidR="003F33B8" w:rsidRPr="001D5EBE" w:rsidRDefault="003F33B8" w:rsidP="003F33B8">
      <w:pPr>
        <w:autoSpaceDE w:val="0"/>
        <w:autoSpaceDN w:val="0"/>
        <w:adjustRightInd w:val="0"/>
        <w:spacing w:line="240" w:lineRule="auto"/>
        <w:jc w:val="both"/>
        <w:rPr>
          <w:lang w:val="lt-LT"/>
        </w:rPr>
      </w:pPr>
      <w:r w:rsidRPr="001D5EBE">
        <w:rPr>
          <w:lang w:val="lt-LT"/>
        </w:rPr>
        <w:t>SOLU-MEDROL 500 mg milteliai injekciniam tirpalui</w:t>
      </w:r>
    </w:p>
    <w:p w14:paraId="067D106A" w14:textId="77777777" w:rsidR="003F33B8" w:rsidRPr="001D5EBE" w:rsidRDefault="003F33B8" w:rsidP="003F33B8">
      <w:pPr>
        <w:spacing w:line="240" w:lineRule="auto"/>
        <w:ind w:left="567" w:hanging="567"/>
        <w:rPr>
          <w:lang w:val="lt-LT"/>
        </w:rPr>
      </w:pPr>
      <w:proofErr w:type="spellStart"/>
      <w:r w:rsidRPr="001D5EBE">
        <w:rPr>
          <w:lang w:val="lt-LT"/>
        </w:rPr>
        <w:t>Metilprednizolonas</w:t>
      </w:r>
      <w:proofErr w:type="spellEnd"/>
    </w:p>
    <w:p w14:paraId="06EB76B2" w14:textId="77777777" w:rsidR="003F33B8" w:rsidRPr="001D5EBE" w:rsidRDefault="003F33B8" w:rsidP="003F33B8">
      <w:pPr>
        <w:spacing w:line="240" w:lineRule="auto"/>
        <w:ind w:left="567" w:hanging="567"/>
        <w:rPr>
          <w:lang w:val="lt-LT"/>
        </w:rPr>
      </w:pPr>
      <w:r w:rsidRPr="001D5EBE">
        <w:rPr>
          <w:lang w:val="lt-LT"/>
        </w:rPr>
        <w:t>Leisti į veną ar į raumenis.</w:t>
      </w:r>
    </w:p>
    <w:p w14:paraId="12354962" w14:textId="77777777" w:rsidR="003F33B8" w:rsidRPr="001D5EBE" w:rsidRDefault="003F33B8" w:rsidP="003F33B8">
      <w:pPr>
        <w:spacing w:line="240" w:lineRule="auto"/>
        <w:ind w:left="567" w:hanging="567"/>
        <w:rPr>
          <w:lang w:val="lt-LT"/>
        </w:rPr>
      </w:pPr>
    </w:p>
    <w:p w14:paraId="214CE95A" w14:textId="77777777" w:rsidR="003F33B8" w:rsidRPr="001D5EBE" w:rsidRDefault="003F33B8" w:rsidP="003F33B8">
      <w:pPr>
        <w:spacing w:line="240" w:lineRule="auto"/>
        <w:ind w:left="567" w:hanging="567"/>
        <w:rPr>
          <w:lang w:val="lt-LT"/>
        </w:rPr>
      </w:pPr>
    </w:p>
    <w:p w14:paraId="1EA0F6BE"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lang w:val="lt-LT"/>
        </w:rPr>
        <w:t>2.</w:t>
      </w:r>
      <w:r w:rsidRPr="001D5EBE">
        <w:rPr>
          <w:b/>
          <w:lang w:val="lt-LT"/>
        </w:rPr>
        <w:tab/>
      </w:r>
      <w:r w:rsidRPr="001D5EBE">
        <w:rPr>
          <w:b/>
          <w:caps/>
          <w:lang w:val="lt-LT"/>
        </w:rPr>
        <w:t>vartojimo metodas</w:t>
      </w:r>
    </w:p>
    <w:p w14:paraId="202690B8" w14:textId="77777777" w:rsidR="003F33B8" w:rsidRPr="001D5EBE" w:rsidRDefault="003F33B8" w:rsidP="003F33B8">
      <w:pPr>
        <w:spacing w:line="240" w:lineRule="auto"/>
        <w:ind w:left="567" w:hanging="567"/>
        <w:rPr>
          <w:lang w:val="lt-LT"/>
        </w:rPr>
      </w:pPr>
    </w:p>
    <w:p w14:paraId="028AB771" w14:textId="77777777" w:rsidR="003F33B8" w:rsidRPr="001D5EBE" w:rsidRDefault="003F33B8" w:rsidP="003F33B8">
      <w:pPr>
        <w:spacing w:line="240" w:lineRule="auto"/>
        <w:ind w:left="567" w:hanging="567"/>
        <w:rPr>
          <w:lang w:val="lt-LT"/>
        </w:rPr>
      </w:pPr>
    </w:p>
    <w:p w14:paraId="1EAC204D"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lang w:val="lt-LT"/>
        </w:rPr>
        <w:t>3.</w:t>
      </w:r>
      <w:r w:rsidRPr="001D5EBE">
        <w:rPr>
          <w:b/>
          <w:lang w:val="lt-LT"/>
        </w:rPr>
        <w:tab/>
      </w:r>
      <w:r w:rsidRPr="001D5EBE">
        <w:rPr>
          <w:b/>
          <w:caps/>
          <w:lang w:val="lt-LT"/>
        </w:rPr>
        <w:t>tinkamumo laikas</w:t>
      </w:r>
    </w:p>
    <w:p w14:paraId="4C5FF0EF" w14:textId="77777777" w:rsidR="003F33B8" w:rsidRPr="001D5EBE" w:rsidRDefault="003F33B8" w:rsidP="003F33B8">
      <w:pPr>
        <w:spacing w:line="240" w:lineRule="auto"/>
        <w:ind w:left="567" w:hanging="567"/>
        <w:rPr>
          <w:lang w:val="lt-LT"/>
        </w:rPr>
      </w:pPr>
    </w:p>
    <w:p w14:paraId="17AACBD5" w14:textId="77777777" w:rsidR="003F33B8" w:rsidRPr="001D5EBE" w:rsidRDefault="003F33B8" w:rsidP="003F33B8">
      <w:pPr>
        <w:spacing w:line="240" w:lineRule="auto"/>
        <w:ind w:left="567" w:hanging="567"/>
        <w:outlineLvl w:val="0"/>
        <w:rPr>
          <w:lang w:val="lt-LT"/>
        </w:rPr>
      </w:pPr>
      <w:r w:rsidRPr="001D5EBE">
        <w:rPr>
          <w:lang w:val="lt-LT"/>
        </w:rPr>
        <w:t xml:space="preserve">Tinka iki {MMMM/mm} </w:t>
      </w:r>
      <w:r w:rsidRPr="001D5EBE">
        <w:rPr>
          <w:i/>
          <w:lang w:val="lt-LT"/>
        </w:rPr>
        <w:t>[metai, mėnuo]</w:t>
      </w:r>
    </w:p>
    <w:p w14:paraId="0E5A570A" w14:textId="77777777" w:rsidR="003F33B8" w:rsidRPr="001D5EBE" w:rsidRDefault="003F33B8" w:rsidP="003F33B8">
      <w:pPr>
        <w:spacing w:line="240" w:lineRule="auto"/>
        <w:ind w:left="567" w:hanging="567"/>
        <w:rPr>
          <w:lang w:val="lt-LT"/>
        </w:rPr>
      </w:pPr>
    </w:p>
    <w:p w14:paraId="3AC9D800" w14:textId="77777777" w:rsidR="003F33B8" w:rsidRPr="001D5EBE" w:rsidRDefault="003F33B8" w:rsidP="003F33B8">
      <w:pPr>
        <w:spacing w:line="240" w:lineRule="auto"/>
        <w:ind w:left="567" w:hanging="567"/>
        <w:rPr>
          <w:lang w:val="lt-LT"/>
        </w:rPr>
      </w:pPr>
    </w:p>
    <w:p w14:paraId="6C7048C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4.</w:t>
      </w:r>
      <w:r w:rsidRPr="001D5EBE">
        <w:rPr>
          <w:b/>
          <w:caps/>
          <w:lang w:val="lt-LT"/>
        </w:rPr>
        <w:tab/>
        <w:t>serijos numeris</w:t>
      </w:r>
    </w:p>
    <w:p w14:paraId="2AA4A66D" w14:textId="77777777" w:rsidR="003F33B8" w:rsidRPr="001D5EBE" w:rsidRDefault="003F33B8" w:rsidP="003F33B8">
      <w:pPr>
        <w:spacing w:line="240" w:lineRule="auto"/>
        <w:ind w:left="567" w:hanging="567"/>
        <w:rPr>
          <w:lang w:val="lt-LT"/>
        </w:rPr>
      </w:pPr>
    </w:p>
    <w:p w14:paraId="09917CFE" w14:textId="77777777" w:rsidR="003F33B8" w:rsidRPr="001D5EBE" w:rsidRDefault="003F33B8" w:rsidP="003F33B8">
      <w:pPr>
        <w:spacing w:line="240" w:lineRule="auto"/>
        <w:ind w:left="567" w:hanging="567"/>
        <w:rPr>
          <w:lang w:val="lt-LT"/>
        </w:rPr>
      </w:pPr>
      <w:r w:rsidRPr="001D5EBE">
        <w:rPr>
          <w:lang w:val="lt-LT"/>
        </w:rPr>
        <w:t>Serija</w:t>
      </w:r>
    </w:p>
    <w:p w14:paraId="2D74C423" w14:textId="77777777" w:rsidR="003F33B8" w:rsidRPr="001D5EBE" w:rsidRDefault="003F33B8" w:rsidP="003F33B8">
      <w:pPr>
        <w:spacing w:line="240" w:lineRule="auto"/>
        <w:ind w:left="567" w:hanging="567"/>
        <w:rPr>
          <w:lang w:val="lt-LT"/>
        </w:rPr>
      </w:pPr>
    </w:p>
    <w:p w14:paraId="73953E77" w14:textId="77777777" w:rsidR="003F33B8" w:rsidRPr="001D5EBE" w:rsidRDefault="003F33B8" w:rsidP="003F33B8">
      <w:pPr>
        <w:spacing w:line="240" w:lineRule="auto"/>
        <w:ind w:left="567" w:hanging="567"/>
        <w:rPr>
          <w:lang w:val="lt-LT"/>
        </w:rPr>
      </w:pPr>
    </w:p>
    <w:p w14:paraId="3F8A4D92"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D5EBE">
        <w:rPr>
          <w:b/>
          <w:caps/>
          <w:lang w:val="lt-LT"/>
        </w:rPr>
        <w:t>5.</w:t>
      </w:r>
      <w:r w:rsidRPr="001D5EBE">
        <w:rPr>
          <w:b/>
          <w:caps/>
          <w:lang w:val="lt-LT"/>
        </w:rPr>
        <w:tab/>
        <w:t>kiekis</w:t>
      </w:r>
      <w:r w:rsidRPr="001D5EBE">
        <w:rPr>
          <w:b/>
          <w:lang w:val="lt-LT"/>
        </w:rPr>
        <w:t xml:space="preserve"> (MASĖ, TŪRIS ARBA VIENETAI)</w:t>
      </w:r>
    </w:p>
    <w:p w14:paraId="37CEBB12" w14:textId="77777777" w:rsidR="003F33B8" w:rsidRPr="001D5EBE" w:rsidRDefault="003F33B8" w:rsidP="003F33B8">
      <w:pPr>
        <w:spacing w:line="240" w:lineRule="auto"/>
        <w:ind w:left="567" w:hanging="567"/>
        <w:rPr>
          <w:lang w:val="lt-LT"/>
        </w:rPr>
      </w:pPr>
    </w:p>
    <w:p w14:paraId="10EB83FF" w14:textId="77777777" w:rsidR="003F33B8" w:rsidRPr="001D5EBE" w:rsidRDefault="003F33B8" w:rsidP="003F33B8">
      <w:pPr>
        <w:spacing w:line="240" w:lineRule="auto"/>
        <w:ind w:left="567" w:hanging="567"/>
        <w:rPr>
          <w:lang w:val="lt-LT"/>
        </w:rPr>
      </w:pPr>
      <w:r w:rsidRPr="001D5EBE">
        <w:rPr>
          <w:lang w:val="lt-LT"/>
        </w:rPr>
        <w:t>500 mg</w:t>
      </w:r>
    </w:p>
    <w:p w14:paraId="36339B0A" w14:textId="77777777" w:rsidR="003F33B8" w:rsidRPr="001D5EBE" w:rsidRDefault="003F33B8" w:rsidP="003F33B8">
      <w:pPr>
        <w:spacing w:line="240" w:lineRule="auto"/>
        <w:rPr>
          <w:lang w:val="lt-LT"/>
        </w:rPr>
      </w:pPr>
      <w:r w:rsidRPr="001D5EBE">
        <w:rPr>
          <w:lang w:val="lt-LT"/>
        </w:rPr>
        <w:br w:type="page"/>
      </w:r>
    </w:p>
    <w:p w14:paraId="74CF9A7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 xml:space="preserve">Minimali informacija ant mažų </w:t>
      </w:r>
      <w:r w:rsidRPr="001D5EBE">
        <w:rPr>
          <w:b/>
          <w:lang w:val="lt-LT"/>
        </w:rPr>
        <w:t>VIDINIŲ</w:t>
      </w:r>
      <w:r w:rsidRPr="001D5EBE">
        <w:rPr>
          <w:lang w:val="lt-LT"/>
        </w:rPr>
        <w:t xml:space="preserve"> </w:t>
      </w:r>
      <w:r w:rsidRPr="001D5EBE">
        <w:rPr>
          <w:b/>
          <w:caps/>
          <w:lang w:val="lt-LT"/>
        </w:rPr>
        <w:t>pakuočių</w:t>
      </w:r>
    </w:p>
    <w:p w14:paraId="5B6573D0"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5E18CF66"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1D5EBE">
        <w:rPr>
          <w:b/>
          <w:caps/>
          <w:lang w:val="lt-LT"/>
        </w:rPr>
        <w:t xml:space="preserve">TIRPIKLIO </w:t>
      </w:r>
      <w:r w:rsidR="00B25481" w:rsidRPr="001D5EBE">
        <w:rPr>
          <w:b/>
          <w:caps/>
          <w:lang w:val="lt-LT"/>
        </w:rPr>
        <w:t>FLAKONAS</w:t>
      </w:r>
    </w:p>
    <w:p w14:paraId="78D957EA" w14:textId="77777777" w:rsidR="003F33B8" w:rsidRPr="001D5EBE" w:rsidRDefault="003F33B8" w:rsidP="003F33B8">
      <w:pPr>
        <w:spacing w:line="240" w:lineRule="auto"/>
        <w:ind w:left="567" w:hanging="567"/>
        <w:rPr>
          <w:caps/>
          <w:lang w:val="lt-LT"/>
        </w:rPr>
      </w:pPr>
    </w:p>
    <w:p w14:paraId="450EA05F" w14:textId="77777777" w:rsidR="003F33B8" w:rsidRPr="001D5EBE" w:rsidRDefault="003F33B8" w:rsidP="003F33B8">
      <w:pPr>
        <w:spacing w:line="240" w:lineRule="auto"/>
        <w:ind w:left="567" w:hanging="567"/>
        <w:rPr>
          <w:caps/>
          <w:lang w:val="lt-LT"/>
        </w:rPr>
      </w:pPr>
    </w:p>
    <w:p w14:paraId="5D2B39CC"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1.</w:t>
      </w:r>
      <w:r w:rsidRPr="001D5EBE">
        <w:rPr>
          <w:b/>
          <w:caps/>
          <w:lang w:val="lt-LT"/>
        </w:rPr>
        <w:tab/>
        <w:t>Vaistinio preparato pavadinimas ir vartojimo būdas</w:t>
      </w:r>
    </w:p>
    <w:p w14:paraId="5E55266B" w14:textId="77777777" w:rsidR="003F33B8" w:rsidRPr="001D5EBE" w:rsidRDefault="003F33B8" w:rsidP="003F33B8">
      <w:pPr>
        <w:spacing w:line="240" w:lineRule="auto"/>
        <w:ind w:left="567" w:hanging="567"/>
        <w:rPr>
          <w:lang w:val="lt-LT"/>
        </w:rPr>
      </w:pPr>
    </w:p>
    <w:p w14:paraId="03AFB283" w14:textId="77777777" w:rsidR="003F33B8" w:rsidRPr="001D5EBE" w:rsidRDefault="003F33B8" w:rsidP="003F33B8">
      <w:pPr>
        <w:autoSpaceDE w:val="0"/>
        <w:autoSpaceDN w:val="0"/>
        <w:adjustRightInd w:val="0"/>
        <w:spacing w:line="240" w:lineRule="auto"/>
        <w:jc w:val="both"/>
        <w:rPr>
          <w:lang w:val="lt-LT"/>
        </w:rPr>
      </w:pPr>
      <w:r w:rsidRPr="001D5EBE">
        <w:rPr>
          <w:lang w:val="lt-LT"/>
        </w:rPr>
        <w:t>SOLU-MEDROL tirpiklis injekciniam tirpalui</w:t>
      </w:r>
    </w:p>
    <w:p w14:paraId="066004B0" w14:textId="77777777" w:rsidR="003F33B8" w:rsidRPr="001D5EBE" w:rsidRDefault="003F33B8" w:rsidP="003F33B8">
      <w:pPr>
        <w:spacing w:line="240" w:lineRule="auto"/>
        <w:ind w:left="567" w:hanging="567"/>
        <w:rPr>
          <w:lang w:val="lt-LT"/>
        </w:rPr>
      </w:pPr>
    </w:p>
    <w:p w14:paraId="2CA09726" w14:textId="77777777" w:rsidR="003F33B8" w:rsidRPr="001D5EBE" w:rsidRDefault="003F33B8" w:rsidP="003F33B8">
      <w:pPr>
        <w:spacing w:line="240" w:lineRule="auto"/>
        <w:ind w:left="567" w:hanging="567"/>
        <w:rPr>
          <w:lang w:val="lt-LT"/>
        </w:rPr>
      </w:pPr>
    </w:p>
    <w:p w14:paraId="27D36406"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lang w:val="lt-LT"/>
        </w:rPr>
        <w:t>2.</w:t>
      </w:r>
      <w:r w:rsidRPr="001D5EBE">
        <w:rPr>
          <w:b/>
          <w:lang w:val="lt-LT"/>
        </w:rPr>
        <w:tab/>
      </w:r>
      <w:r w:rsidRPr="001D5EBE">
        <w:rPr>
          <w:b/>
          <w:caps/>
          <w:lang w:val="lt-LT"/>
        </w:rPr>
        <w:t>vartojimo metodas</w:t>
      </w:r>
    </w:p>
    <w:p w14:paraId="73B0FE23" w14:textId="77777777" w:rsidR="003F33B8" w:rsidRPr="001D5EBE" w:rsidRDefault="003F33B8" w:rsidP="003F33B8">
      <w:pPr>
        <w:spacing w:line="240" w:lineRule="auto"/>
        <w:ind w:left="567" w:hanging="567"/>
        <w:rPr>
          <w:lang w:val="lt-LT"/>
        </w:rPr>
      </w:pPr>
    </w:p>
    <w:p w14:paraId="68127B40" w14:textId="77777777" w:rsidR="003F33B8" w:rsidRPr="001D5EBE" w:rsidRDefault="003F33B8" w:rsidP="003F33B8">
      <w:pPr>
        <w:spacing w:line="240" w:lineRule="auto"/>
        <w:ind w:left="567" w:hanging="567"/>
        <w:rPr>
          <w:lang w:val="lt-LT"/>
        </w:rPr>
      </w:pPr>
    </w:p>
    <w:p w14:paraId="280F2DE1"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lang w:val="lt-LT"/>
        </w:rPr>
        <w:t>3.</w:t>
      </w:r>
      <w:r w:rsidRPr="001D5EBE">
        <w:rPr>
          <w:b/>
          <w:lang w:val="lt-LT"/>
        </w:rPr>
        <w:tab/>
      </w:r>
      <w:r w:rsidRPr="001D5EBE">
        <w:rPr>
          <w:b/>
          <w:caps/>
          <w:lang w:val="lt-LT"/>
        </w:rPr>
        <w:t>tinkamumo laikas</w:t>
      </w:r>
    </w:p>
    <w:p w14:paraId="695FCC3B" w14:textId="77777777" w:rsidR="003F33B8" w:rsidRPr="001D5EBE" w:rsidRDefault="003F33B8" w:rsidP="003F33B8">
      <w:pPr>
        <w:spacing w:line="240" w:lineRule="auto"/>
        <w:ind w:left="567" w:hanging="567"/>
        <w:rPr>
          <w:lang w:val="lt-LT"/>
        </w:rPr>
      </w:pPr>
    </w:p>
    <w:p w14:paraId="1B2AD5D1" w14:textId="77777777" w:rsidR="003F33B8" w:rsidRPr="001D5EBE" w:rsidRDefault="003F33B8" w:rsidP="003F33B8">
      <w:pPr>
        <w:spacing w:line="240" w:lineRule="auto"/>
        <w:ind w:left="567" w:hanging="567"/>
        <w:outlineLvl w:val="0"/>
        <w:rPr>
          <w:lang w:val="lt-LT"/>
        </w:rPr>
      </w:pPr>
      <w:r w:rsidRPr="001D5EBE">
        <w:rPr>
          <w:lang w:val="lt-LT"/>
        </w:rPr>
        <w:t xml:space="preserve">Tinka iki {MMMM/mm} </w:t>
      </w:r>
      <w:r w:rsidRPr="001D5EBE">
        <w:rPr>
          <w:i/>
          <w:lang w:val="lt-LT"/>
        </w:rPr>
        <w:t>[metai, mėnuo]</w:t>
      </w:r>
    </w:p>
    <w:p w14:paraId="5559795B" w14:textId="77777777" w:rsidR="003F33B8" w:rsidRPr="001D5EBE" w:rsidRDefault="003F33B8" w:rsidP="003F33B8">
      <w:pPr>
        <w:spacing w:line="240" w:lineRule="auto"/>
        <w:ind w:left="567" w:hanging="567"/>
        <w:rPr>
          <w:lang w:val="lt-LT"/>
        </w:rPr>
      </w:pPr>
    </w:p>
    <w:p w14:paraId="64918E5E" w14:textId="77777777" w:rsidR="003F33B8" w:rsidRPr="001D5EBE" w:rsidRDefault="003F33B8" w:rsidP="003F33B8">
      <w:pPr>
        <w:spacing w:line="240" w:lineRule="auto"/>
        <w:ind w:left="567" w:hanging="567"/>
        <w:rPr>
          <w:lang w:val="lt-LT"/>
        </w:rPr>
      </w:pPr>
    </w:p>
    <w:p w14:paraId="3F0FA51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1D5EBE">
        <w:rPr>
          <w:b/>
          <w:caps/>
          <w:lang w:val="lt-LT"/>
        </w:rPr>
        <w:t>4.</w:t>
      </w:r>
      <w:r w:rsidRPr="001D5EBE">
        <w:rPr>
          <w:b/>
          <w:caps/>
          <w:lang w:val="lt-LT"/>
        </w:rPr>
        <w:tab/>
        <w:t>serijos numeris</w:t>
      </w:r>
    </w:p>
    <w:p w14:paraId="563CF6E9" w14:textId="77777777" w:rsidR="003F33B8" w:rsidRPr="001D5EBE" w:rsidRDefault="003F33B8" w:rsidP="003F33B8">
      <w:pPr>
        <w:spacing w:line="240" w:lineRule="auto"/>
        <w:ind w:left="567" w:hanging="567"/>
        <w:rPr>
          <w:lang w:val="lt-LT"/>
        </w:rPr>
      </w:pPr>
    </w:p>
    <w:p w14:paraId="7BD93224" w14:textId="77777777" w:rsidR="003F33B8" w:rsidRPr="001D5EBE" w:rsidRDefault="003F33B8" w:rsidP="003F33B8">
      <w:pPr>
        <w:spacing w:line="240" w:lineRule="auto"/>
        <w:ind w:left="567" w:hanging="567"/>
        <w:rPr>
          <w:lang w:val="lt-LT"/>
        </w:rPr>
      </w:pPr>
      <w:r w:rsidRPr="001D5EBE">
        <w:rPr>
          <w:lang w:val="lt-LT"/>
        </w:rPr>
        <w:t>Serija</w:t>
      </w:r>
    </w:p>
    <w:p w14:paraId="566585B0" w14:textId="77777777" w:rsidR="003F33B8" w:rsidRPr="001D5EBE" w:rsidRDefault="003F33B8" w:rsidP="003F33B8">
      <w:pPr>
        <w:spacing w:line="240" w:lineRule="auto"/>
        <w:ind w:left="567" w:hanging="567"/>
        <w:rPr>
          <w:lang w:val="lt-LT"/>
        </w:rPr>
      </w:pPr>
    </w:p>
    <w:p w14:paraId="0FC69F76" w14:textId="77777777" w:rsidR="003F33B8" w:rsidRPr="001D5EBE" w:rsidRDefault="003F33B8" w:rsidP="003F33B8">
      <w:pPr>
        <w:spacing w:line="240" w:lineRule="auto"/>
        <w:ind w:left="567" w:hanging="567"/>
        <w:rPr>
          <w:lang w:val="lt-LT"/>
        </w:rPr>
      </w:pPr>
    </w:p>
    <w:p w14:paraId="51E02245" w14:textId="77777777" w:rsidR="003F33B8" w:rsidRPr="001D5EBE" w:rsidRDefault="003F33B8" w:rsidP="003F33B8">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D5EBE">
        <w:rPr>
          <w:b/>
          <w:caps/>
          <w:lang w:val="lt-LT"/>
        </w:rPr>
        <w:t>5.</w:t>
      </w:r>
      <w:r w:rsidRPr="001D5EBE">
        <w:rPr>
          <w:b/>
          <w:caps/>
          <w:lang w:val="lt-LT"/>
        </w:rPr>
        <w:tab/>
        <w:t>kiekis</w:t>
      </w:r>
      <w:r w:rsidRPr="001D5EBE">
        <w:rPr>
          <w:b/>
          <w:lang w:val="lt-LT"/>
        </w:rPr>
        <w:t xml:space="preserve"> (MASĖ, TŪRIS ARBA VIENETAI)</w:t>
      </w:r>
    </w:p>
    <w:p w14:paraId="1E8F97F2" w14:textId="77777777" w:rsidR="003F33B8" w:rsidRPr="001D5EBE" w:rsidRDefault="003F33B8" w:rsidP="003F33B8">
      <w:pPr>
        <w:spacing w:line="240" w:lineRule="auto"/>
        <w:ind w:left="567" w:hanging="567"/>
        <w:rPr>
          <w:lang w:val="lt-LT"/>
        </w:rPr>
      </w:pPr>
    </w:p>
    <w:p w14:paraId="05C4E174" w14:textId="77777777" w:rsidR="003F33B8" w:rsidRPr="001D5EBE" w:rsidRDefault="003F33B8" w:rsidP="003F33B8">
      <w:pPr>
        <w:spacing w:line="240" w:lineRule="auto"/>
        <w:ind w:left="567" w:hanging="567"/>
        <w:rPr>
          <w:lang w:val="lt-LT"/>
        </w:rPr>
      </w:pPr>
      <w:r w:rsidRPr="001D5EBE">
        <w:rPr>
          <w:lang w:val="lt-LT"/>
        </w:rPr>
        <w:t>7,8 ml</w:t>
      </w:r>
    </w:p>
    <w:p w14:paraId="6D09DE01" w14:textId="77777777" w:rsidR="003F33B8" w:rsidRPr="001D5EBE" w:rsidRDefault="003F33B8" w:rsidP="003F33B8">
      <w:pPr>
        <w:spacing w:line="240" w:lineRule="auto"/>
        <w:ind w:left="567" w:hanging="567"/>
        <w:rPr>
          <w:lang w:val="lt-LT"/>
        </w:rPr>
      </w:pPr>
      <w:r w:rsidRPr="001D5EBE">
        <w:rPr>
          <w:lang w:val="lt-LT"/>
        </w:rPr>
        <w:br w:type="page"/>
      </w:r>
    </w:p>
    <w:p w14:paraId="2E96B56A" w14:textId="77777777" w:rsidR="003F33B8" w:rsidRPr="001D5EBE" w:rsidRDefault="003F33B8" w:rsidP="003F33B8">
      <w:pPr>
        <w:spacing w:line="240" w:lineRule="auto"/>
        <w:ind w:left="567" w:hanging="567"/>
        <w:rPr>
          <w:lang w:val="lt-LT"/>
        </w:rPr>
      </w:pPr>
    </w:p>
    <w:p w14:paraId="66BA7075" w14:textId="77777777" w:rsidR="003F33B8" w:rsidRPr="001D5EBE" w:rsidRDefault="003F33B8" w:rsidP="003F33B8">
      <w:pPr>
        <w:spacing w:line="240" w:lineRule="auto"/>
        <w:rPr>
          <w:lang w:val="lt-LT"/>
        </w:rPr>
      </w:pPr>
    </w:p>
    <w:p w14:paraId="19792740" w14:textId="77777777" w:rsidR="003F33B8" w:rsidRPr="001D5EBE" w:rsidRDefault="003F33B8" w:rsidP="003F33B8">
      <w:pPr>
        <w:spacing w:line="240" w:lineRule="auto"/>
        <w:rPr>
          <w:lang w:val="lt-LT"/>
        </w:rPr>
      </w:pPr>
    </w:p>
    <w:p w14:paraId="57E3878F" w14:textId="77777777" w:rsidR="003F33B8" w:rsidRPr="001D5EBE" w:rsidRDefault="003F33B8" w:rsidP="003F33B8">
      <w:pPr>
        <w:spacing w:line="240" w:lineRule="auto"/>
        <w:rPr>
          <w:lang w:val="lt-LT"/>
        </w:rPr>
      </w:pPr>
    </w:p>
    <w:p w14:paraId="4ED45376" w14:textId="77777777" w:rsidR="003F33B8" w:rsidRPr="001D5EBE" w:rsidRDefault="003F33B8" w:rsidP="003F33B8">
      <w:pPr>
        <w:spacing w:line="240" w:lineRule="auto"/>
        <w:rPr>
          <w:lang w:val="lt-LT"/>
        </w:rPr>
      </w:pPr>
    </w:p>
    <w:p w14:paraId="4292BFE4" w14:textId="77777777" w:rsidR="003F33B8" w:rsidRPr="001D5EBE" w:rsidRDefault="003F33B8" w:rsidP="003F33B8">
      <w:pPr>
        <w:spacing w:line="240" w:lineRule="auto"/>
        <w:rPr>
          <w:lang w:val="lt-LT"/>
        </w:rPr>
      </w:pPr>
    </w:p>
    <w:p w14:paraId="12D8687F" w14:textId="77777777" w:rsidR="003F33B8" w:rsidRPr="001D5EBE" w:rsidRDefault="003F33B8" w:rsidP="003F33B8">
      <w:pPr>
        <w:spacing w:line="240" w:lineRule="auto"/>
        <w:rPr>
          <w:lang w:val="lt-LT"/>
        </w:rPr>
      </w:pPr>
    </w:p>
    <w:p w14:paraId="132D7B60" w14:textId="77777777" w:rsidR="003F33B8" w:rsidRPr="001D5EBE" w:rsidRDefault="003F33B8" w:rsidP="003F33B8">
      <w:pPr>
        <w:spacing w:line="240" w:lineRule="auto"/>
        <w:rPr>
          <w:lang w:val="lt-LT"/>
        </w:rPr>
      </w:pPr>
    </w:p>
    <w:p w14:paraId="52E2BDEF" w14:textId="77777777" w:rsidR="003F33B8" w:rsidRPr="001D5EBE" w:rsidRDefault="003F33B8" w:rsidP="003F33B8">
      <w:pPr>
        <w:spacing w:line="240" w:lineRule="auto"/>
        <w:rPr>
          <w:lang w:val="lt-LT"/>
        </w:rPr>
      </w:pPr>
    </w:p>
    <w:p w14:paraId="5F9D4C2B" w14:textId="77777777" w:rsidR="003F33B8" w:rsidRPr="001D5EBE" w:rsidRDefault="003F33B8" w:rsidP="003F33B8">
      <w:pPr>
        <w:spacing w:line="240" w:lineRule="auto"/>
        <w:rPr>
          <w:lang w:val="lt-LT"/>
        </w:rPr>
      </w:pPr>
    </w:p>
    <w:p w14:paraId="307FFF5D" w14:textId="77777777" w:rsidR="003F33B8" w:rsidRPr="001D5EBE" w:rsidRDefault="003F33B8" w:rsidP="003F33B8">
      <w:pPr>
        <w:spacing w:line="240" w:lineRule="auto"/>
        <w:rPr>
          <w:lang w:val="lt-LT"/>
        </w:rPr>
      </w:pPr>
    </w:p>
    <w:p w14:paraId="39746249" w14:textId="77777777" w:rsidR="003F33B8" w:rsidRPr="001D5EBE" w:rsidRDefault="003F33B8" w:rsidP="003F33B8">
      <w:pPr>
        <w:spacing w:line="240" w:lineRule="auto"/>
        <w:rPr>
          <w:lang w:val="lt-LT"/>
        </w:rPr>
      </w:pPr>
    </w:p>
    <w:p w14:paraId="40EB59A5" w14:textId="77777777" w:rsidR="003F33B8" w:rsidRPr="001D5EBE" w:rsidRDefault="003F33B8" w:rsidP="003F33B8">
      <w:pPr>
        <w:spacing w:line="240" w:lineRule="auto"/>
        <w:rPr>
          <w:lang w:val="lt-LT"/>
        </w:rPr>
      </w:pPr>
    </w:p>
    <w:p w14:paraId="1FDAE197" w14:textId="77777777" w:rsidR="003F33B8" w:rsidRPr="001D5EBE" w:rsidRDefault="003F33B8" w:rsidP="003F33B8">
      <w:pPr>
        <w:spacing w:line="240" w:lineRule="auto"/>
        <w:rPr>
          <w:lang w:val="lt-LT"/>
        </w:rPr>
      </w:pPr>
    </w:p>
    <w:p w14:paraId="2B0D1EBF" w14:textId="77777777" w:rsidR="003F33B8" w:rsidRPr="001D5EBE" w:rsidRDefault="003F33B8" w:rsidP="003F33B8">
      <w:pPr>
        <w:spacing w:line="240" w:lineRule="auto"/>
        <w:rPr>
          <w:lang w:val="lt-LT"/>
        </w:rPr>
      </w:pPr>
    </w:p>
    <w:p w14:paraId="31614467" w14:textId="77777777" w:rsidR="003F33B8" w:rsidRPr="001D5EBE" w:rsidRDefault="003F33B8" w:rsidP="003F33B8">
      <w:pPr>
        <w:spacing w:line="240" w:lineRule="auto"/>
        <w:rPr>
          <w:lang w:val="lt-LT"/>
        </w:rPr>
      </w:pPr>
    </w:p>
    <w:p w14:paraId="7B89F40A" w14:textId="77777777" w:rsidR="003F33B8" w:rsidRPr="001D5EBE" w:rsidRDefault="003F33B8" w:rsidP="003F33B8">
      <w:pPr>
        <w:spacing w:line="240" w:lineRule="auto"/>
        <w:rPr>
          <w:lang w:val="lt-LT"/>
        </w:rPr>
      </w:pPr>
    </w:p>
    <w:p w14:paraId="76640E8D" w14:textId="77777777" w:rsidR="003F33B8" w:rsidRPr="001D5EBE" w:rsidRDefault="003F33B8" w:rsidP="003F33B8">
      <w:pPr>
        <w:spacing w:line="240" w:lineRule="auto"/>
        <w:rPr>
          <w:lang w:val="lt-LT"/>
        </w:rPr>
      </w:pPr>
    </w:p>
    <w:p w14:paraId="778F3F37" w14:textId="77777777" w:rsidR="003F33B8" w:rsidRPr="001D5EBE" w:rsidRDefault="003F33B8" w:rsidP="003F33B8">
      <w:pPr>
        <w:spacing w:line="240" w:lineRule="auto"/>
        <w:rPr>
          <w:lang w:val="lt-LT"/>
        </w:rPr>
      </w:pPr>
    </w:p>
    <w:p w14:paraId="4D7914E5" w14:textId="77777777" w:rsidR="003F33B8" w:rsidRPr="001D5EBE" w:rsidRDefault="003F33B8" w:rsidP="003F33B8">
      <w:pPr>
        <w:spacing w:line="240" w:lineRule="auto"/>
        <w:rPr>
          <w:lang w:val="lt-LT"/>
        </w:rPr>
      </w:pPr>
    </w:p>
    <w:p w14:paraId="39236F08" w14:textId="77777777" w:rsidR="003F33B8" w:rsidRPr="001D5EBE" w:rsidRDefault="003F33B8" w:rsidP="003F33B8">
      <w:pPr>
        <w:spacing w:line="240" w:lineRule="auto"/>
        <w:rPr>
          <w:lang w:val="lt-LT"/>
        </w:rPr>
      </w:pPr>
    </w:p>
    <w:p w14:paraId="1F675795" w14:textId="77777777" w:rsidR="003F33B8" w:rsidRPr="001D5EBE" w:rsidRDefault="003F33B8" w:rsidP="003F33B8">
      <w:pPr>
        <w:pStyle w:val="Pavadinimas"/>
        <w:jc w:val="left"/>
      </w:pPr>
    </w:p>
    <w:p w14:paraId="5A97A227" w14:textId="77777777" w:rsidR="00134A72" w:rsidRPr="001D5EBE" w:rsidRDefault="00134A72" w:rsidP="003F33B8">
      <w:pPr>
        <w:pStyle w:val="Pavadinimas"/>
      </w:pPr>
    </w:p>
    <w:p w14:paraId="0634A6C3" w14:textId="77777777" w:rsidR="003F33B8" w:rsidRPr="001D5EBE" w:rsidRDefault="003F33B8" w:rsidP="003F33B8">
      <w:pPr>
        <w:pStyle w:val="Pavadinimas"/>
      </w:pPr>
      <w:r w:rsidRPr="001D5EBE">
        <w:t>B. PAKUOTĖS LAPELIS</w:t>
      </w:r>
    </w:p>
    <w:p w14:paraId="2CEE2C3B" w14:textId="77777777" w:rsidR="003F33B8" w:rsidRPr="001D5EBE" w:rsidRDefault="003F33B8" w:rsidP="003F33B8">
      <w:pPr>
        <w:pStyle w:val="Antrat1"/>
        <w:jc w:val="center"/>
        <w:rPr>
          <w:szCs w:val="22"/>
        </w:rPr>
      </w:pPr>
      <w:r w:rsidRPr="001D5EBE">
        <w:rPr>
          <w:szCs w:val="22"/>
        </w:rPr>
        <w:br w:type="page"/>
        <w:t>Pakuotės lapelis: informacija vartotojui</w:t>
      </w:r>
    </w:p>
    <w:p w14:paraId="48239F69" w14:textId="77777777" w:rsidR="003F33B8" w:rsidRPr="001D5EBE" w:rsidRDefault="003F33B8" w:rsidP="003F33B8">
      <w:pPr>
        <w:pStyle w:val="Pagrindinistekstas"/>
        <w:spacing w:after="0"/>
        <w:jc w:val="center"/>
        <w:rPr>
          <w:szCs w:val="22"/>
        </w:rPr>
      </w:pPr>
    </w:p>
    <w:p w14:paraId="19A76008" w14:textId="77777777" w:rsidR="003F33B8" w:rsidRPr="001D5EBE" w:rsidRDefault="003F33B8" w:rsidP="003F33B8">
      <w:pPr>
        <w:pStyle w:val="Pagrindinistekstas"/>
        <w:spacing w:after="0"/>
        <w:jc w:val="center"/>
        <w:rPr>
          <w:b/>
          <w:szCs w:val="22"/>
        </w:rPr>
      </w:pPr>
      <w:r w:rsidRPr="001D5EBE">
        <w:rPr>
          <w:b/>
          <w:caps/>
          <w:szCs w:val="22"/>
        </w:rPr>
        <w:t>S</w:t>
      </w:r>
      <w:r w:rsidRPr="001D5EBE">
        <w:rPr>
          <w:b/>
          <w:szCs w:val="22"/>
        </w:rPr>
        <w:t>OLU-MEDROL 500 mg milteliai ir tirpiklis injekciniam tirpalui</w:t>
      </w:r>
    </w:p>
    <w:p w14:paraId="451BC110" w14:textId="77777777" w:rsidR="003F33B8" w:rsidRPr="001D5EBE" w:rsidRDefault="003F33B8" w:rsidP="003F33B8">
      <w:pPr>
        <w:pStyle w:val="Pagrindinistekstas"/>
        <w:spacing w:after="0"/>
        <w:jc w:val="center"/>
        <w:rPr>
          <w:szCs w:val="22"/>
        </w:rPr>
      </w:pPr>
      <w:proofErr w:type="spellStart"/>
      <w:r w:rsidRPr="001D5EBE">
        <w:rPr>
          <w:szCs w:val="22"/>
        </w:rPr>
        <w:t>Metilprednizolonas</w:t>
      </w:r>
      <w:proofErr w:type="spellEnd"/>
    </w:p>
    <w:p w14:paraId="54CA5874" w14:textId="77777777" w:rsidR="003F33B8" w:rsidRPr="001D5EBE" w:rsidRDefault="003F33B8" w:rsidP="003F33B8">
      <w:pPr>
        <w:pStyle w:val="Pagrindinistekstas"/>
        <w:spacing w:after="0"/>
        <w:jc w:val="center"/>
        <w:rPr>
          <w:szCs w:val="22"/>
        </w:rPr>
      </w:pPr>
    </w:p>
    <w:p w14:paraId="71B04B94" w14:textId="77777777" w:rsidR="003F33B8" w:rsidRPr="001D5EBE" w:rsidRDefault="003F33B8" w:rsidP="003F33B8">
      <w:pPr>
        <w:suppressAutoHyphens/>
        <w:spacing w:line="240" w:lineRule="auto"/>
        <w:rPr>
          <w:lang w:val="lt-LT"/>
        </w:rPr>
      </w:pPr>
      <w:r w:rsidRPr="001D5EBE">
        <w:rPr>
          <w:b/>
          <w:lang w:val="lt-LT"/>
        </w:rPr>
        <w:t xml:space="preserve">Atidžiai perskaitykite visą šį lapelį, prieš pradėdami vartoti vaistą, </w:t>
      </w:r>
      <w:r w:rsidRPr="001D5EBE">
        <w:rPr>
          <w:b/>
          <w:noProof/>
          <w:lang w:val="lt-LT"/>
        </w:rPr>
        <w:t>nes jame pateikiama Jums svarbi informacija.</w:t>
      </w:r>
    </w:p>
    <w:p w14:paraId="13506D1F" w14:textId="77777777" w:rsidR="003F33B8" w:rsidRPr="001D5EBE" w:rsidRDefault="003F33B8" w:rsidP="003F33B8">
      <w:pPr>
        <w:pStyle w:val="Pagrindinistekstas"/>
        <w:tabs>
          <w:tab w:val="left" w:pos="567"/>
        </w:tabs>
        <w:spacing w:after="0"/>
        <w:ind w:left="567" w:hanging="567"/>
        <w:rPr>
          <w:szCs w:val="22"/>
        </w:rPr>
      </w:pPr>
      <w:r w:rsidRPr="001D5EBE">
        <w:rPr>
          <w:szCs w:val="22"/>
        </w:rPr>
        <w:t>-</w:t>
      </w:r>
      <w:r w:rsidRPr="001D5EBE">
        <w:rPr>
          <w:szCs w:val="22"/>
        </w:rPr>
        <w:tab/>
        <w:t>Neišmeskite šio lapelio, nes vėl gali prireikti jį perskaityti.</w:t>
      </w:r>
    </w:p>
    <w:p w14:paraId="0F76F796" w14:textId="77777777" w:rsidR="003F33B8" w:rsidRPr="001D5EBE" w:rsidRDefault="003F33B8" w:rsidP="003F33B8">
      <w:pPr>
        <w:pStyle w:val="Pagrindinistekstas"/>
        <w:tabs>
          <w:tab w:val="left" w:pos="567"/>
        </w:tabs>
        <w:spacing w:after="0"/>
        <w:ind w:left="567" w:hanging="567"/>
        <w:rPr>
          <w:szCs w:val="22"/>
        </w:rPr>
      </w:pPr>
      <w:r w:rsidRPr="001D5EBE">
        <w:rPr>
          <w:szCs w:val="22"/>
        </w:rPr>
        <w:t>-</w:t>
      </w:r>
      <w:r w:rsidRPr="001D5EBE">
        <w:rPr>
          <w:szCs w:val="22"/>
        </w:rPr>
        <w:tab/>
        <w:t>Jeigu kiltų daugiau klausimų, kreipkitės į gydytoją.</w:t>
      </w:r>
    </w:p>
    <w:p w14:paraId="6204E73E" w14:textId="77777777" w:rsidR="003F33B8" w:rsidRPr="001D5EBE" w:rsidRDefault="003F33B8" w:rsidP="003F33B8">
      <w:pPr>
        <w:pStyle w:val="Pagrindinistekstas"/>
        <w:tabs>
          <w:tab w:val="left" w:pos="567"/>
        </w:tabs>
        <w:spacing w:after="0"/>
        <w:ind w:left="567" w:hanging="567"/>
        <w:rPr>
          <w:szCs w:val="22"/>
        </w:rPr>
      </w:pPr>
      <w:r w:rsidRPr="001D5EBE">
        <w:rPr>
          <w:szCs w:val="22"/>
        </w:rPr>
        <w:t>-</w:t>
      </w:r>
      <w:r w:rsidRPr="001D5EBE">
        <w:rPr>
          <w:szCs w:val="22"/>
        </w:rPr>
        <w:tab/>
        <w:t xml:space="preserve">Šis vaistas skirtas tik Jums, todėl kitiems žmonėms jo duoti negalima. Vaistas gali jiems pakenkti (net tiems, kurių ligos </w:t>
      </w:r>
      <w:r w:rsidRPr="001D5EBE">
        <w:rPr>
          <w:noProof/>
          <w:szCs w:val="22"/>
        </w:rPr>
        <w:t>požymiai</w:t>
      </w:r>
      <w:r w:rsidRPr="001D5EBE">
        <w:rPr>
          <w:szCs w:val="22"/>
        </w:rPr>
        <w:t xml:space="preserve"> yra tokie patys kaip Jūsų).</w:t>
      </w:r>
    </w:p>
    <w:p w14:paraId="712826BD" w14:textId="77777777" w:rsidR="003F33B8" w:rsidRPr="001D5EBE" w:rsidRDefault="003F33B8" w:rsidP="003F33B8">
      <w:pPr>
        <w:numPr>
          <w:ilvl w:val="0"/>
          <w:numId w:val="19"/>
        </w:numPr>
        <w:tabs>
          <w:tab w:val="left" w:pos="567"/>
        </w:tabs>
        <w:spacing w:line="240" w:lineRule="auto"/>
        <w:ind w:left="567" w:hanging="567"/>
      </w:pPr>
      <w:r w:rsidRPr="001D5EBE">
        <w:rPr>
          <w:lang w:val="lt-LT"/>
        </w:rPr>
        <w:t xml:space="preserve">Jeigu pasireiškė šalutinis poveikis </w:t>
      </w:r>
      <w:r w:rsidRPr="001D5EBE">
        <w:rPr>
          <w:noProof/>
          <w:lang w:val="lt-LT"/>
        </w:rPr>
        <w:t>(net jeigu jis</w:t>
      </w:r>
      <w:r w:rsidRPr="001D5EBE">
        <w:rPr>
          <w:lang w:val="lt-LT"/>
        </w:rPr>
        <w:t xml:space="preserve"> šiame lapelyje </w:t>
      </w:r>
      <w:r w:rsidRPr="001D5EBE">
        <w:rPr>
          <w:noProof/>
          <w:lang w:val="lt-LT"/>
        </w:rPr>
        <w:t>nenurodytas), kreipkitės į gydytoją. Žr. 4 skyrių</w:t>
      </w:r>
      <w:r w:rsidRPr="001D5EBE">
        <w:rPr>
          <w:lang w:val="lt-LT"/>
        </w:rPr>
        <w:t>.</w:t>
      </w:r>
    </w:p>
    <w:p w14:paraId="2C630C1C" w14:textId="77777777" w:rsidR="003F33B8" w:rsidRPr="001D5EBE" w:rsidRDefault="003F33B8" w:rsidP="003F33B8">
      <w:pPr>
        <w:pStyle w:val="Pagrindinistekstas"/>
        <w:tabs>
          <w:tab w:val="left" w:pos="567"/>
        </w:tabs>
        <w:spacing w:after="0"/>
        <w:ind w:left="567" w:hanging="567"/>
        <w:rPr>
          <w:szCs w:val="22"/>
        </w:rPr>
      </w:pPr>
    </w:p>
    <w:p w14:paraId="6ED453ED" w14:textId="77777777" w:rsidR="003F33B8" w:rsidRPr="001D5EBE" w:rsidRDefault="003F33B8" w:rsidP="003F33B8">
      <w:pPr>
        <w:pStyle w:val="Pagrindinistekstas"/>
        <w:spacing w:after="0"/>
        <w:rPr>
          <w:szCs w:val="22"/>
        </w:rPr>
      </w:pPr>
    </w:p>
    <w:p w14:paraId="62A4AF6B" w14:textId="77777777" w:rsidR="003F33B8" w:rsidRDefault="003F33B8" w:rsidP="003F33B8">
      <w:pPr>
        <w:pStyle w:val="Pagrindinistekstas"/>
        <w:spacing w:after="0"/>
        <w:rPr>
          <w:b/>
          <w:szCs w:val="22"/>
        </w:rPr>
      </w:pPr>
      <w:r w:rsidRPr="001D5EBE">
        <w:rPr>
          <w:b/>
          <w:szCs w:val="22"/>
        </w:rPr>
        <w:t>Apie ką rašoma šiame lapelyje?</w:t>
      </w:r>
    </w:p>
    <w:p w14:paraId="62EA93AE" w14:textId="77777777" w:rsidR="00E85D4B" w:rsidRPr="001D5EBE" w:rsidRDefault="00E85D4B" w:rsidP="003F33B8">
      <w:pPr>
        <w:pStyle w:val="Pagrindinistekstas"/>
        <w:spacing w:after="0"/>
        <w:rPr>
          <w:b/>
          <w:szCs w:val="22"/>
        </w:rPr>
      </w:pPr>
    </w:p>
    <w:p w14:paraId="5C30650F" w14:textId="77777777" w:rsidR="003F33B8" w:rsidRPr="001D5EBE" w:rsidRDefault="003F33B8" w:rsidP="003F33B8">
      <w:pPr>
        <w:pStyle w:val="Pagrindinistekstas"/>
        <w:tabs>
          <w:tab w:val="left" w:pos="567"/>
        </w:tabs>
        <w:spacing w:after="0"/>
        <w:rPr>
          <w:szCs w:val="22"/>
        </w:rPr>
      </w:pPr>
      <w:r w:rsidRPr="001D5EBE">
        <w:rPr>
          <w:szCs w:val="22"/>
        </w:rPr>
        <w:t>1.</w:t>
      </w:r>
      <w:r w:rsidRPr="001D5EBE">
        <w:rPr>
          <w:szCs w:val="22"/>
        </w:rPr>
        <w:tab/>
        <w:t>Kas yra SOLU-MEDROL ir kam jis vartojamas</w:t>
      </w:r>
    </w:p>
    <w:p w14:paraId="47A1CB0A" w14:textId="77777777" w:rsidR="003F33B8" w:rsidRPr="001D5EBE" w:rsidRDefault="003F33B8" w:rsidP="003F33B8">
      <w:pPr>
        <w:pStyle w:val="Pagrindinistekstas"/>
        <w:tabs>
          <w:tab w:val="left" w:pos="567"/>
        </w:tabs>
        <w:spacing w:after="0"/>
        <w:rPr>
          <w:szCs w:val="22"/>
        </w:rPr>
      </w:pPr>
      <w:r w:rsidRPr="001D5EBE">
        <w:rPr>
          <w:szCs w:val="22"/>
        </w:rPr>
        <w:t>2.</w:t>
      </w:r>
      <w:r w:rsidRPr="001D5EBE">
        <w:rPr>
          <w:szCs w:val="22"/>
        </w:rPr>
        <w:tab/>
        <w:t>Kas žinotina prieš vartojant SOLU-MEDROL</w:t>
      </w:r>
    </w:p>
    <w:p w14:paraId="24F70943" w14:textId="77777777" w:rsidR="003F33B8" w:rsidRPr="001D5EBE" w:rsidRDefault="003F33B8" w:rsidP="003F33B8">
      <w:pPr>
        <w:pStyle w:val="Pagrindinistekstas"/>
        <w:tabs>
          <w:tab w:val="left" w:pos="567"/>
        </w:tabs>
        <w:spacing w:after="0"/>
        <w:rPr>
          <w:szCs w:val="22"/>
        </w:rPr>
      </w:pPr>
      <w:r w:rsidRPr="001D5EBE">
        <w:rPr>
          <w:szCs w:val="22"/>
        </w:rPr>
        <w:t>3.</w:t>
      </w:r>
      <w:r w:rsidRPr="001D5EBE">
        <w:rPr>
          <w:szCs w:val="22"/>
        </w:rPr>
        <w:tab/>
        <w:t>Kaip vartoti SOLU-MEDROL</w:t>
      </w:r>
    </w:p>
    <w:p w14:paraId="342B25E2" w14:textId="77777777" w:rsidR="003F33B8" w:rsidRPr="001D5EBE" w:rsidRDefault="003F33B8" w:rsidP="003F33B8">
      <w:pPr>
        <w:pStyle w:val="Pagrindinistekstas"/>
        <w:tabs>
          <w:tab w:val="left" w:pos="567"/>
        </w:tabs>
        <w:spacing w:after="0"/>
        <w:rPr>
          <w:szCs w:val="22"/>
        </w:rPr>
      </w:pPr>
      <w:r w:rsidRPr="001D5EBE">
        <w:rPr>
          <w:szCs w:val="22"/>
        </w:rPr>
        <w:t>4.</w:t>
      </w:r>
      <w:r w:rsidRPr="001D5EBE">
        <w:rPr>
          <w:szCs w:val="22"/>
        </w:rPr>
        <w:tab/>
        <w:t>Galimas šalutinis poveikis</w:t>
      </w:r>
    </w:p>
    <w:p w14:paraId="76592112" w14:textId="77777777" w:rsidR="003F33B8" w:rsidRPr="001D5EBE" w:rsidRDefault="003F33B8" w:rsidP="003F33B8">
      <w:pPr>
        <w:pStyle w:val="Pagrindinistekstas"/>
        <w:tabs>
          <w:tab w:val="left" w:pos="567"/>
        </w:tabs>
        <w:spacing w:after="0"/>
        <w:rPr>
          <w:szCs w:val="22"/>
        </w:rPr>
      </w:pPr>
      <w:r w:rsidRPr="001D5EBE">
        <w:rPr>
          <w:szCs w:val="22"/>
        </w:rPr>
        <w:t>5.</w:t>
      </w:r>
      <w:r w:rsidRPr="001D5EBE">
        <w:rPr>
          <w:szCs w:val="22"/>
        </w:rPr>
        <w:tab/>
        <w:t>Kaip laikyti SOLU-MEDROL</w:t>
      </w:r>
    </w:p>
    <w:p w14:paraId="5456A4CD" w14:textId="77777777" w:rsidR="003F33B8" w:rsidRPr="001D5EBE" w:rsidRDefault="003F33B8" w:rsidP="003F33B8">
      <w:pPr>
        <w:pStyle w:val="Pagrindinistekstas"/>
        <w:tabs>
          <w:tab w:val="left" w:pos="567"/>
        </w:tabs>
        <w:spacing w:after="0"/>
        <w:rPr>
          <w:szCs w:val="22"/>
        </w:rPr>
      </w:pPr>
      <w:r w:rsidRPr="001D5EBE">
        <w:rPr>
          <w:szCs w:val="22"/>
        </w:rPr>
        <w:t>6.</w:t>
      </w:r>
      <w:r w:rsidRPr="001D5EBE">
        <w:rPr>
          <w:szCs w:val="22"/>
        </w:rPr>
        <w:tab/>
        <w:t>Pakuotės turinys ir kita informacija</w:t>
      </w:r>
    </w:p>
    <w:p w14:paraId="1AFD30A8" w14:textId="77777777" w:rsidR="003F33B8" w:rsidRPr="001D5EBE" w:rsidRDefault="003F33B8" w:rsidP="003F33B8">
      <w:pPr>
        <w:pStyle w:val="Pagrindinistekstas"/>
        <w:spacing w:after="0"/>
        <w:rPr>
          <w:szCs w:val="22"/>
        </w:rPr>
      </w:pPr>
    </w:p>
    <w:p w14:paraId="7E404AE2" w14:textId="77777777" w:rsidR="003F33B8" w:rsidRPr="001D5EBE" w:rsidRDefault="003F33B8" w:rsidP="003F33B8">
      <w:pPr>
        <w:pStyle w:val="Pagrindinistekstas"/>
        <w:spacing w:after="0"/>
        <w:rPr>
          <w:szCs w:val="22"/>
        </w:rPr>
      </w:pPr>
    </w:p>
    <w:p w14:paraId="0385C69A" w14:textId="77777777" w:rsidR="003F33B8" w:rsidRPr="001D5EBE" w:rsidRDefault="003F33B8" w:rsidP="003F33B8">
      <w:pPr>
        <w:pStyle w:val="Antrat2"/>
        <w:rPr>
          <w:szCs w:val="22"/>
        </w:rPr>
      </w:pPr>
      <w:r w:rsidRPr="001D5EBE">
        <w:rPr>
          <w:szCs w:val="22"/>
        </w:rPr>
        <w:t>1.</w:t>
      </w:r>
      <w:r w:rsidRPr="001D5EBE">
        <w:rPr>
          <w:szCs w:val="22"/>
        </w:rPr>
        <w:tab/>
        <w:t>Kas yra SOLU-MEDROL ir kam jis vartojamas</w:t>
      </w:r>
    </w:p>
    <w:p w14:paraId="3E20B738" w14:textId="77777777" w:rsidR="003F33B8" w:rsidRPr="001D5EBE" w:rsidRDefault="003F33B8" w:rsidP="003F33B8">
      <w:pPr>
        <w:pStyle w:val="Pagrindinistekstas"/>
        <w:spacing w:after="0"/>
        <w:rPr>
          <w:szCs w:val="22"/>
        </w:rPr>
      </w:pPr>
    </w:p>
    <w:p w14:paraId="0821BECE" w14:textId="77777777" w:rsidR="003F33B8" w:rsidRPr="001D5EBE" w:rsidRDefault="003F33B8" w:rsidP="003F33B8">
      <w:pPr>
        <w:pStyle w:val="Pagrindinistekstas"/>
        <w:spacing w:after="0"/>
        <w:rPr>
          <w:szCs w:val="22"/>
        </w:rPr>
      </w:pPr>
      <w:r w:rsidRPr="001D5EBE">
        <w:rPr>
          <w:szCs w:val="22"/>
        </w:rPr>
        <w:t xml:space="preserve">SOLU-MEDROL - tai sintetinio </w:t>
      </w:r>
      <w:proofErr w:type="spellStart"/>
      <w:r w:rsidRPr="001D5EBE">
        <w:rPr>
          <w:szCs w:val="22"/>
        </w:rPr>
        <w:t>gliukokortikoido</w:t>
      </w:r>
      <w:proofErr w:type="spellEnd"/>
      <w:r w:rsidRPr="001D5EBE">
        <w:rPr>
          <w:szCs w:val="22"/>
        </w:rPr>
        <w:t xml:space="preserve"> </w:t>
      </w:r>
      <w:proofErr w:type="spellStart"/>
      <w:r w:rsidRPr="001D5EBE">
        <w:rPr>
          <w:szCs w:val="22"/>
        </w:rPr>
        <w:t>metilprednizolono</w:t>
      </w:r>
      <w:proofErr w:type="spellEnd"/>
      <w:r w:rsidRPr="001D5EBE">
        <w:rPr>
          <w:szCs w:val="22"/>
        </w:rPr>
        <w:t xml:space="preserve"> forma. Šis labai koncentruotas vandeninis tirpalas ypač tinka gydyti patologinėms būklėms, kai reikia efektyvaus ir greito hormonų poveikio. </w:t>
      </w:r>
      <w:proofErr w:type="spellStart"/>
      <w:r w:rsidRPr="001D5EBE">
        <w:rPr>
          <w:szCs w:val="22"/>
        </w:rPr>
        <w:t>Metilprednizolonas</w:t>
      </w:r>
      <w:proofErr w:type="spellEnd"/>
      <w:r w:rsidRPr="001D5EBE">
        <w:rPr>
          <w:szCs w:val="22"/>
        </w:rPr>
        <w:t xml:space="preserve"> pasižymi stipriu antiuždegiminiu, imunosupresiniu ir </w:t>
      </w:r>
      <w:proofErr w:type="spellStart"/>
      <w:r w:rsidRPr="001D5EBE">
        <w:rPr>
          <w:szCs w:val="22"/>
        </w:rPr>
        <w:t>antialergini</w:t>
      </w:r>
      <w:r w:rsidR="00F45685" w:rsidRPr="001D5EBE">
        <w:rPr>
          <w:szCs w:val="22"/>
        </w:rPr>
        <w:t>u</w:t>
      </w:r>
      <w:proofErr w:type="spellEnd"/>
      <w:r w:rsidRPr="001D5EBE">
        <w:rPr>
          <w:szCs w:val="22"/>
        </w:rPr>
        <w:t xml:space="preserve"> poveiki</w:t>
      </w:r>
      <w:r w:rsidR="00F45685" w:rsidRPr="001D5EBE">
        <w:rPr>
          <w:szCs w:val="22"/>
        </w:rPr>
        <w:t>u</w:t>
      </w:r>
      <w:r w:rsidRPr="001D5EBE">
        <w:rPr>
          <w:szCs w:val="22"/>
        </w:rPr>
        <w:t>. Jis vartojamas šiais atvejais:</w:t>
      </w:r>
    </w:p>
    <w:p w14:paraId="11A1A80D" w14:textId="77777777" w:rsidR="003F33B8" w:rsidRPr="001D5EBE" w:rsidRDefault="003F33B8" w:rsidP="003F33B8">
      <w:pPr>
        <w:pStyle w:val="Pagrindinistekstas"/>
        <w:numPr>
          <w:ilvl w:val="0"/>
          <w:numId w:val="6"/>
        </w:numPr>
        <w:spacing w:after="0"/>
        <w:ind w:left="567" w:hanging="567"/>
        <w:rPr>
          <w:szCs w:val="22"/>
        </w:rPr>
      </w:pPr>
      <w:r w:rsidRPr="001D5EBE">
        <w:rPr>
          <w:szCs w:val="22"/>
        </w:rPr>
        <w:t>Odos ligų, pvz., sunkios daugiaformės raudonės gydymui</w:t>
      </w:r>
      <w:r w:rsidR="00E85D4B">
        <w:rPr>
          <w:szCs w:val="22"/>
        </w:rPr>
        <w:t>;</w:t>
      </w:r>
    </w:p>
    <w:p w14:paraId="01B8AB94" w14:textId="77777777" w:rsidR="003F33B8" w:rsidRPr="001D5EBE" w:rsidRDefault="003F33B8" w:rsidP="003F33B8">
      <w:pPr>
        <w:pStyle w:val="Pagrindinistekstas"/>
        <w:numPr>
          <w:ilvl w:val="0"/>
          <w:numId w:val="6"/>
        </w:numPr>
        <w:spacing w:after="0"/>
        <w:ind w:left="567" w:hanging="567"/>
        <w:rPr>
          <w:szCs w:val="22"/>
        </w:rPr>
      </w:pPr>
      <w:r w:rsidRPr="001D5EBE">
        <w:rPr>
          <w:szCs w:val="22"/>
        </w:rPr>
        <w:t xml:space="preserve">Alerginių būklių, pvz., astmos, sunkios sezoninės arba nuolatinės alerginės slogos, </w:t>
      </w:r>
      <w:proofErr w:type="spellStart"/>
      <w:r w:rsidRPr="001D5EBE">
        <w:rPr>
          <w:szCs w:val="22"/>
        </w:rPr>
        <w:t>angioneurozinės</w:t>
      </w:r>
      <w:proofErr w:type="spellEnd"/>
      <w:r w:rsidRPr="001D5EBE">
        <w:rPr>
          <w:szCs w:val="22"/>
        </w:rPr>
        <w:t xml:space="preserve"> edemos, </w:t>
      </w:r>
      <w:proofErr w:type="spellStart"/>
      <w:r w:rsidRPr="001D5EBE">
        <w:rPr>
          <w:szCs w:val="22"/>
        </w:rPr>
        <w:t>anafilaksijos</w:t>
      </w:r>
      <w:proofErr w:type="spellEnd"/>
      <w:r w:rsidRPr="001D5EBE">
        <w:rPr>
          <w:szCs w:val="22"/>
        </w:rPr>
        <w:t xml:space="preserve"> gydymui</w:t>
      </w:r>
      <w:r w:rsidR="00E85D4B">
        <w:rPr>
          <w:szCs w:val="22"/>
        </w:rPr>
        <w:t>;</w:t>
      </w:r>
    </w:p>
    <w:p w14:paraId="249B10BA" w14:textId="77777777" w:rsidR="003F33B8" w:rsidRPr="001D5EBE" w:rsidRDefault="003F33B8" w:rsidP="003F33B8">
      <w:pPr>
        <w:pStyle w:val="Pagrindinistekstas"/>
        <w:numPr>
          <w:ilvl w:val="0"/>
          <w:numId w:val="6"/>
        </w:numPr>
        <w:spacing w:after="0"/>
        <w:ind w:left="567" w:hanging="567"/>
        <w:rPr>
          <w:szCs w:val="22"/>
        </w:rPr>
      </w:pPr>
      <w:r w:rsidRPr="001D5EBE">
        <w:rPr>
          <w:szCs w:val="22"/>
        </w:rPr>
        <w:t>Sisteminių uždegiminių ligų, pvz., sisteminės raudonosios vilkligės, reumato gydymui.</w:t>
      </w:r>
    </w:p>
    <w:p w14:paraId="6BDD7FBE" w14:textId="77777777" w:rsidR="003F33B8" w:rsidRPr="001D5EBE" w:rsidRDefault="003F33B8" w:rsidP="003F33B8">
      <w:pPr>
        <w:pStyle w:val="Pagrindinistekstas"/>
        <w:numPr>
          <w:ilvl w:val="0"/>
          <w:numId w:val="6"/>
        </w:numPr>
        <w:spacing w:after="0"/>
        <w:ind w:left="567" w:hanging="567"/>
        <w:rPr>
          <w:szCs w:val="22"/>
        </w:rPr>
      </w:pPr>
      <w:r w:rsidRPr="001D5EBE">
        <w:rPr>
          <w:szCs w:val="22"/>
        </w:rPr>
        <w:t>Virškinimo trakto ligų, pvz., opinio kolito, Krono ligos gydymui</w:t>
      </w:r>
      <w:r w:rsidR="00E85D4B">
        <w:rPr>
          <w:szCs w:val="22"/>
        </w:rPr>
        <w:t>;</w:t>
      </w:r>
    </w:p>
    <w:p w14:paraId="2B7A9A81" w14:textId="77777777" w:rsidR="003F33B8" w:rsidRPr="001D5EBE" w:rsidRDefault="003F33B8" w:rsidP="003F33B8">
      <w:pPr>
        <w:pStyle w:val="Pagrindinistekstas"/>
        <w:numPr>
          <w:ilvl w:val="0"/>
          <w:numId w:val="6"/>
        </w:numPr>
        <w:spacing w:after="0"/>
        <w:ind w:left="567" w:hanging="567"/>
        <w:rPr>
          <w:szCs w:val="22"/>
        </w:rPr>
      </w:pPr>
      <w:r w:rsidRPr="001D5EBE">
        <w:rPr>
          <w:szCs w:val="22"/>
        </w:rPr>
        <w:t>Kvėpavimo sistemos ligų, pvz., tam tikrų tuberkuliozės formų (kartu su atitinkamais vaistais nuo tuberkuliozės)</w:t>
      </w:r>
      <w:r w:rsidR="00E85D4B">
        <w:rPr>
          <w:szCs w:val="22"/>
        </w:rPr>
        <w:t>;</w:t>
      </w:r>
    </w:p>
    <w:p w14:paraId="198611B8" w14:textId="77777777" w:rsidR="003F33B8" w:rsidRPr="001D5EBE" w:rsidRDefault="003F33B8" w:rsidP="003F33B8">
      <w:pPr>
        <w:pStyle w:val="Pagrindinistekstas"/>
        <w:numPr>
          <w:ilvl w:val="0"/>
          <w:numId w:val="6"/>
        </w:numPr>
        <w:spacing w:after="0"/>
        <w:ind w:left="567" w:hanging="567"/>
        <w:rPr>
          <w:szCs w:val="22"/>
        </w:rPr>
      </w:pPr>
      <w:r w:rsidRPr="001D5EBE">
        <w:rPr>
          <w:szCs w:val="22"/>
        </w:rPr>
        <w:t>Nervų sistemos ligų: smegenų edemos, išsėtinės sklerozės</w:t>
      </w:r>
      <w:r w:rsidR="00E85D4B">
        <w:rPr>
          <w:szCs w:val="22"/>
        </w:rPr>
        <w:t>;</w:t>
      </w:r>
    </w:p>
    <w:p w14:paraId="476284ED" w14:textId="24141BA3" w:rsidR="003F33B8" w:rsidRPr="001D5EBE" w:rsidRDefault="009F55BB" w:rsidP="003F33B8">
      <w:pPr>
        <w:pStyle w:val="Pagrindinistekstas"/>
        <w:numPr>
          <w:ilvl w:val="0"/>
          <w:numId w:val="6"/>
        </w:numPr>
        <w:spacing w:after="0"/>
        <w:ind w:left="567" w:hanging="567"/>
        <w:rPr>
          <w:szCs w:val="22"/>
        </w:rPr>
      </w:pPr>
      <w:r>
        <w:rPr>
          <w:szCs w:val="22"/>
        </w:rPr>
        <w:t>K</w:t>
      </w:r>
      <w:r w:rsidR="003F33B8" w:rsidRPr="001D5EBE">
        <w:rPr>
          <w:szCs w:val="22"/>
        </w:rPr>
        <w:t>itų ligų pvz., persodinamo organo atmetimo reakcijos, tuberkuliozinio meningito gydymui.</w:t>
      </w:r>
    </w:p>
    <w:p w14:paraId="29926412" w14:textId="77777777" w:rsidR="003F33B8" w:rsidRPr="001D5EBE" w:rsidRDefault="003F33B8" w:rsidP="003F33B8">
      <w:pPr>
        <w:pStyle w:val="Pagrindinistekstas"/>
        <w:spacing w:after="0"/>
        <w:rPr>
          <w:szCs w:val="22"/>
        </w:rPr>
      </w:pPr>
    </w:p>
    <w:p w14:paraId="7015D68F" w14:textId="77777777" w:rsidR="003F33B8" w:rsidRPr="001D5EBE" w:rsidRDefault="003F33B8" w:rsidP="003F33B8">
      <w:pPr>
        <w:pStyle w:val="Pagrindinistekstas"/>
        <w:spacing w:after="0"/>
        <w:rPr>
          <w:szCs w:val="22"/>
        </w:rPr>
      </w:pPr>
    </w:p>
    <w:p w14:paraId="10D52BDB" w14:textId="77777777" w:rsidR="003F33B8" w:rsidRPr="001D5EBE" w:rsidRDefault="003F33B8" w:rsidP="003F33B8">
      <w:pPr>
        <w:pStyle w:val="Antrat2"/>
        <w:rPr>
          <w:szCs w:val="22"/>
        </w:rPr>
      </w:pPr>
      <w:r w:rsidRPr="001D5EBE">
        <w:rPr>
          <w:szCs w:val="22"/>
        </w:rPr>
        <w:t>2.</w:t>
      </w:r>
      <w:r w:rsidRPr="001D5EBE">
        <w:rPr>
          <w:szCs w:val="22"/>
        </w:rPr>
        <w:tab/>
        <w:t>Kas žinotina prieš vartojant SOLU-MEDROL</w:t>
      </w:r>
    </w:p>
    <w:p w14:paraId="5D00266E" w14:textId="77777777" w:rsidR="003F33B8" w:rsidRPr="001D5EBE" w:rsidRDefault="003F33B8" w:rsidP="003F33B8">
      <w:pPr>
        <w:pStyle w:val="Pagrindinistekstas"/>
        <w:spacing w:after="0"/>
        <w:rPr>
          <w:szCs w:val="22"/>
        </w:rPr>
      </w:pPr>
    </w:p>
    <w:p w14:paraId="69CF3ACD" w14:textId="77777777" w:rsidR="003F33B8" w:rsidRPr="001D5EBE" w:rsidRDefault="003F33B8" w:rsidP="003F33B8">
      <w:pPr>
        <w:pStyle w:val="Antrat3"/>
        <w:rPr>
          <w:szCs w:val="22"/>
        </w:rPr>
      </w:pPr>
      <w:r w:rsidRPr="001D5EBE">
        <w:rPr>
          <w:bCs w:val="0"/>
          <w:caps/>
          <w:szCs w:val="22"/>
        </w:rPr>
        <w:t>S</w:t>
      </w:r>
      <w:r w:rsidRPr="001D5EBE">
        <w:rPr>
          <w:bCs w:val="0"/>
          <w:szCs w:val="22"/>
        </w:rPr>
        <w:t>OLU-MEDROL</w:t>
      </w:r>
      <w:r w:rsidRPr="001D5EBE">
        <w:rPr>
          <w:szCs w:val="22"/>
        </w:rPr>
        <w:t xml:space="preserve"> vartoti negalima:</w:t>
      </w:r>
    </w:p>
    <w:p w14:paraId="4E0FB971" w14:textId="77777777" w:rsidR="003F33B8" w:rsidRPr="001D5EBE" w:rsidRDefault="003F33B8" w:rsidP="003F33B8">
      <w:pPr>
        <w:pStyle w:val="Pagrindinistekstas"/>
        <w:numPr>
          <w:ilvl w:val="0"/>
          <w:numId w:val="4"/>
        </w:numPr>
        <w:tabs>
          <w:tab w:val="clear" w:pos="360"/>
          <w:tab w:val="num" w:pos="567"/>
        </w:tabs>
        <w:spacing w:after="0"/>
        <w:ind w:left="567" w:hanging="567"/>
        <w:rPr>
          <w:szCs w:val="22"/>
        </w:rPr>
      </w:pPr>
      <w:r w:rsidRPr="001D5EBE">
        <w:rPr>
          <w:szCs w:val="22"/>
        </w:rPr>
        <w:t xml:space="preserve">jeigu yra alergija </w:t>
      </w:r>
      <w:proofErr w:type="spellStart"/>
      <w:r w:rsidRPr="001D5EBE">
        <w:rPr>
          <w:szCs w:val="22"/>
        </w:rPr>
        <w:t>metilprednizolonui</w:t>
      </w:r>
      <w:proofErr w:type="spellEnd"/>
      <w:r w:rsidRPr="001D5EBE">
        <w:rPr>
          <w:szCs w:val="22"/>
        </w:rPr>
        <w:t xml:space="preserve"> arba bet kuriai pagalbinei šio vaisto medžiagai (jos išvardytos 6 skyriuje);</w:t>
      </w:r>
    </w:p>
    <w:p w14:paraId="4C49FE44" w14:textId="77777777" w:rsidR="00584BB5" w:rsidRPr="001D5EBE" w:rsidRDefault="00584BB5" w:rsidP="003F33B8">
      <w:pPr>
        <w:pStyle w:val="Pagrindinistekstas"/>
        <w:numPr>
          <w:ilvl w:val="0"/>
          <w:numId w:val="4"/>
        </w:numPr>
        <w:tabs>
          <w:tab w:val="clear" w:pos="360"/>
          <w:tab w:val="num" w:pos="567"/>
        </w:tabs>
        <w:spacing w:after="0"/>
        <w:ind w:left="567" w:hanging="567"/>
        <w:rPr>
          <w:szCs w:val="22"/>
        </w:rPr>
      </w:pPr>
      <w:r w:rsidRPr="001D5EBE">
        <w:rPr>
          <w:szCs w:val="22"/>
        </w:rPr>
        <w:t xml:space="preserve">neišnešiotiems kūdikiams ir naujagimiams (vaisto sudėtyje esantis </w:t>
      </w:r>
      <w:proofErr w:type="spellStart"/>
      <w:r w:rsidRPr="001D5EBE">
        <w:rPr>
          <w:szCs w:val="22"/>
        </w:rPr>
        <w:t>benzilo</w:t>
      </w:r>
      <w:proofErr w:type="spellEnd"/>
      <w:r w:rsidRPr="001D5EBE">
        <w:rPr>
          <w:szCs w:val="22"/>
        </w:rPr>
        <w:t xml:space="preserve"> alkoholis gali sukelti „dusimo“ sindromą ir mirtį);</w:t>
      </w:r>
    </w:p>
    <w:p w14:paraId="4DAC44DA" w14:textId="77777777" w:rsidR="003F33B8" w:rsidRPr="001D5EBE" w:rsidRDefault="003F33B8" w:rsidP="003F33B8">
      <w:pPr>
        <w:pStyle w:val="Pagrindinistekstas"/>
        <w:numPr>
          <w:ilvl w:val="0"/>
          <w:numId w:val="4"/>
        </w:numPr>
        <w:tabs>
          <w:tab w:val="clear" w:pos="360"/>
          <w:tab w:val="num" w:pos="567"/>
        </w:tabs>
        <w:spacing w:after="0"/>
        <w:ind w:left="567" w:hanging="567"/>
        <w:rPr>
          <w:szCs w:val="22"/>
        </w:rPr>
      </w:pPr>
      <w:r w:rsidRPr="001D5EBE">
        <w:rPr>
          <w:szCs w:val="22"/>
        </w:rPr>
        <w:t>esant ūminėms arba lėtinėms virusinėms arba bakterinėms infekcinėms ligoms, taip pat sisteminėms grybelių sukeltoms ligoms;</w:t>
      </w:r>
    </w:p>
    <w:p w14:paraId="64DA4A57" w14:textId="77777777" w:rsidR="003F33B8" w:rsidRPr="001D5EBE" w:rsidRDefault="003F33B8" w:rsidP="003F33B8">
      <w:pPr>
        <w:pStyle w:val="Pagrindinistekstas"/>
        <w:tabs>
          <w:tab w:val="num" w:pos="567"/>
        </w:tabs>
        <w:spacing w:after="0"/>
        <w:ind w:left="567" w:hanging="567"/>
        <w:rPr>
          <w:szCs w:val="22"/>
        </w:rPr>
      </w:pPr>
      <w:r w:rsidRPr="001D5EBE">
        <w:rPr>
          <w:szCs w:val="22"/>
        </w:rPr>
        <w:t>-</w:t>
      </w:r>
      <w:r w:rsidRPr="001D5EBE">
        <w:rPr>
          <w:szCs w:val="22"/>
        </w:rPr>
        <w:tab/>
        <w:t>jeigu sergant maliarija, atsirado smegenų edema.</w:t>
      </w:r>
    </w:p>
    <w:p w14:paraId="2562E212" w14:textId="77777777" w:rsidR="003F33B8" w:rsidRPr="001D5EBE" w:rsidRDefault="003F33B8" w:rsidP="003F33B8">
      <w:pPr>
        <w:tabs>
          <w:tab w:val="num" w:pos="567"/>
        </w:tabs>
        <w:spacing w:line="240" w:lineRule="auto"/>
        <w:rPr>
          <w:lang w:val="lt-LT"/>
        </w:rPr>
      </w:pPr>
    </w:p>
    <w:p w14:paraId="5D8786AF" w14:textId="77777777" w:rsidR="003F33B8" w:rsidRPr="001D5EBE" w:rsidRDefault="003F33B8" w:rsidP="003F33B8">
      <w:pPr>
        <w:pStyle w:val="Pagrindinistekstas"/>
        <w:spacing w:after="0"/>
        <w:rPr>
          <w:szCs w:val="22"/>
        </w:rPr>
      </w:pPr>
    </w:p>
    <w:p w14:paraId="3346BF9E" w14:textId="77777777" w:rsidR="003F33B8" w:rsidRPr="001D5EBE" w:rsidRDefault="003F33B8" w:rsidP="003F33B8">
      <w:pPr>
        <w:pStyle w:val="Antrat3"/>
        <w:rPr>
          <w:szCs w:val="22"/>
        </w:rPr>
      </w:pPr>
      <w:r w:rsidRPr="001D5EBE">
        <w:rPr>
          <w:szCs w:val="22"/>
        </w:rPr>
        <w:t>Įspėjimai ir atsargumo priemonės</w:t>
      </w:r>
    </w:p>
    <w:p w14:paraId="3C31D449" w14:textId="77777777" w:rsidR="003F33B8" w:rsidRPr="001D5EBE" w:rsidRDefault="003F33B8" w:rsidP="003F33B8">
      <w:pPr>
        <w:numPr>
          <w:ilvl w:val="12"/>
          <w:numId w:val="0"/>
        </w:numPr>
        <w:spacing w:line="240" w:lineRule="auto"/>
        <w:ind w:right="-2"/>
        <w:rPr>
          <w:lang w:val="lt-LT"/>
        </w:rPr>
      </w:pPr>
      <w:r w:rsidRPr="001D5EBE">
        <w:rPr>
          <w:noProof/>
          <w:lang w:val="lt-LT"/>
        </w:rPr>
        <w:t>Pasitarkite su gydytoju arba vaistininku, prieš pradėdami vartoti SOLU-MEDROL.</w:t>
      </w:r>
    </w:p>
    <w:p w14:paraId="5EA9BDB9" w14:textId="77777777" w:rsidR="003F33B8" w:rsidRPr="001D5EBE" w:rsidRDefault="003F33B8" w:rsidP="003F33B8">
      <w:pPr>
        <w:pStyle w:val="Pagrindinistekstas"/>
        <w:tabs>
          <w:tab w:val="left" w:pos="567"/>
        </w:tabs>
        <w:spacing w:after="0"/>
        <w:ind w:left="567" w:hanging="567"/>
        <w:rPr>
          <w:szCs w:val="22"/>
        </w:rPr>
      </w:pPr>
      <w:r w:rsidRPr="001D5EBE">
        <w:rPr>
          <w:szCs w:val="22"/>
        </w:rPr>
        <w:t>-</w:t>
      </w:r>
      <w:r w:rsidRPr="001D5EBE">
        <w:rPr>
          <w:szCs w:val="22"/>
        </w:rPr>
        <w:tab/>
        <w:t xml:space="preserve">Jeigu </w:t>
      </w:r>
      <w:proofErr w:type="spellStart"/>
      <w:r w:rsidRPr="001D5EBE">
        <w:rPr>
          <w:szCs w:val="22"/>
        </w:rPr>
        <w:t>gliukokortikoidus</w:t>
      </w:r>
      <w:proofErr w:type="spellEnd"/>
      <w:r w:rsidRPr="001D5EBE">
        <w:rPr>
          <w:szCs w:val="22"/>
        </w:rPr>
        <w:t xml:space="preserve"> vartojate ilgą laiką, nes susilpnėja antinksčių funkcija. Gydym</w:t>
      </w:r>
      <w:r w:rsidR="00F45685" w:rsidRPr="001D5EBE">
        <w:rPr>
          <w:szCs w:val="22"/>
        </w:rPr>
        <w:t>o</w:t>
      </w:r>
      <w:r w:rsidRPr="001D5EBE">
        <w:rPr>
          <w:szCs w:val="22"/>
        </w:rPr>
        <w:t xml:space="preserve"> </w:t>
      </w:r>
      <w:proofErr w:type="spellStart"/>
      <w:r w:rsidRPr="001D5EBE">
        <w:rPr>
          <w:szCs w:val="22"/>
        </w:rPr>
        <w:t>gliukokortikoidais</w:t>
      </w:r>
      <w:proofErr w:type="spellEnd"/>
      <w:r w:rsidRPr="001D5EBE">
        <w:rPr>
          <w:szCs w:val="22"/>
        </w:rPr>
        <w:t xml:space="preserve"> negalima nutraukti staiga, o dozę reikia mažinti laipsniškai;</w:t>
      </w:r>
    </w:p>
    <w:p w14:paraId="30E04DCE" w14:textId="77777777" w:rsidR="003F33B8" w:rsidRPr="001D5EBE" w:rsidRDefault="003F33B8" w:rsidP="003F33B8">
      <w:pPr>
        <w:pStyle w:val="Pagrindinistekstas"/>
        <w:numPr>
          <w:ilvl w:val="0"/>
          <w:numId w:val="4"/>
        </w:numPr>
        <w:tabs>
          <w:tab w:val="clear" w:pos="360"/>
          <w:tab w:val="num" w:pos="567"/>
        </w:tabs>
        <w:spacing w:after="0"/>
        <w:ind w:left="567" w:hanging="567"/>
        <w:rPr>
          <w:szCs w:val="22"/>
        </w:rPr>
      </w:pPr>
      <w:r w:rsidRPr="001D5EBE">
        <w:rPr>
          <w:szCs w:val="22"/>
        </w:rPr>
        <w:t xml:space="preserve">leidžiant SOLU-MEDROL didesnės rizikos pacientams (su antrine infekcija, jei </w:t>
      </w:r>
      <w:proofErr w:type="spellStart"/>
      <w:r w:rsidRPr="001D5EBE">
        <w:rPr>
          <w:szCs w:val="22"/>
        </w:rPr>
        <w:t>kreatinino</w:t>
      </w:r>
      <w:proofErr w:type="spellEnd"/>
      <w:r w:rsidRPr="001D5EBE">
        <w:rPr>
          <w:szCs w:val="22"/>
        </w:rPr>
        <w:t xml:space="preserve"> kiekis yra didesnis negu 2,0 mg/100 ml);</w:t>
      </w:r>
    </w:p>
    <w:p w14:paraId="2815AB62"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w:t>
      </w:r>
      <w:proofErr w:type="spellStart"/>
      <w:r w:rsidRPr="001D5EBE">
        <w:rPr>
          <w:szCs w:val="22"/>
        </w:rPr>
        <w:t>gliukokortikoidus</w:t>
      </w:r>
      <w:proofErr w:type="spellEnd"/>
      <w:r w:rsidRPr="001D5EBE">
        <w:rPr>
          <w:szCs w:val="22"/>
        </w:rPr>
        <w:t xml:space="preserve"> vartojantis pacientas patiria neįprastinį stresą, tai prieš jį, jo metu ir jam praėjus, reikia skirti greitai veikiančių </w:t>
      </w:r>
      <w:proofErr w:type="spellStart"/>
      <w:r w:rsidRPr="001D5EBE">
        <w:rPr>
          <w:szCs w:val="22"/>
        </w:rPr>
        <w:t>gliukokortikoidų</w:t>
      </w:r>
      <w:proofErr w:type="spellEnd"/>
      <w:r w:rsidRPr="001D5EBE">
        <w:rPr>
          <w:szCs w:val="22"/>
        </w:rPr>
        <w:t xml:space="preserve"> padidintomis dozėmis;</w:t>
      </w:r>
    </w:p>
    <w:p w14:paraId="625C9662"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proofErr w:type="spellStart"/>
      <w:r w:rsidRPr="001D5EBE">
        <w:rPr>
          <w:szCs w:val="22"/>
        </w:rPr>
        <w:t>gliukokortikoidai</w:t>
      </w:r>
      <w:proofErr w:type="spellEnd"/>
      <w:r w:rsidRPr="001D5EBE">
        <w:rPr>
          <w:szCs w:val="22"/>
        </w:rPr>
        <w:t xml:space="preserve"> gali maskuoti kai kuriuos infekcijos požymius, jų vartojimo metu gali kilti nauja infekcija. Gali sumažėti organizmo atsparumas ir gebėjimas lokalizuoti infekciją;</w:t>
      </w:r>
    </w:p>
    <w:p w14:paraId="150207E5"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Jūs vartojate </w:t>
      </w:r>
      <w:proofErr w:type="spellStart"/>
      <w:r w:rsidRPr="001D5EBE">
        <w:rPr>
          <w:szCs w:val="22"/>
        </w:rPr>
        <w:t>gliukokortikoidų</w:t>
      </w:r>
      <w:proofErr w:type="spellEnd"/>
      <w:r w:rsidRPr="001D5EBE">
        <w:rPr>
          <w:szCs w:val="22"/>
        </w:rPr>
        <w:t xml:space="preserve"> didesnėmis dozėmis, Jums gali padidėti infekcinių komplikacijų pavojus, todėl gydytojas kartu gali paskirti veiksmingą infekciją veikiantį gydymą;</w:t>
      </w:r>
    </w:p>
    <w:p w14:paraId="09F58AF3"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jeigu nesate sirgęs (-</w:t>
      </w:r>
      <w:proofErr w:type="spellStart"/>
      <w:r w:rsidRPr="001D5EBE">
        <w:rPr>
          <w:szCs w:val="22"/>
        </w:rPr>
        <w:t>usi</w:t>
      </w:r>
      <w:proofErr w:type="spellEnd"/>
      <w:r w:rsidRPr="001D5EBE">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2BE04CF1"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gydymo </w:t>
      </w:r>
      <w:proofErr w:type="spellStart"/>
      <w:r w:rsidRPr="001D5EBE">
        <w:rPr>
          <w:szCs w:val="22"/>
        </w:rPr>
        <w:t>gliukokortikoidais</w:t>
      </w:r>
      <w:proofErr w:type="spellEnd"/>
      <w:r w:rsidRPr="001D5EBE">
        <w:rPr>
          <w:szCs w:val="22"/>
        </w:rPr>
        <w:t xml:space="preserve"> metu J</w:t>
      </w:r>
      <w:r w:rsidR="00AD78A8" w:rsidRPr="001D5EBE">
        <w:rPr>
          <w:szCs w:val="22"/>
        </w:rPr>
        <w:t>ūsų</w:t>
      </w:r>
      <w:r w:rsidRPr="001D5EBE">
        <w:rPr>
          <w:szCs w:val="22"/>
        </w:rPr>
        <w:t xml:space="preserve"> negalima vakcinuoti tam tikromis vakcinomis (gyvomis ir gyvomis </w:t>
      </w:r>
      <w:proofErr w:type="spellStart"/>
      <w:r w:rsidRPr="001D5EBE">
        <w:rPr>
          <w:szCs w:val="22"/>
        </w:rPr>
        <w:t>atenuotomis</w:t>
      </w:r>
      <w:proofErr w:type="spellEnd"/>
      <w:r w:rsidRPr="001D5EBE">
        <w:rPr>
          <w:szCs w:val="22"/>
        </w:rPr>
        <w:t>), nes padidėja komplikacijų pavojus;</w:t>
      </w:r>
    </w:p>
    <w:p w14:paraId="56F48A06"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vartojant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sukcinatą</w:t>
      </w:r>
      <w:proofErr w:type="spellEnd"/>
      <w:r w:rsidRPr="001D5EBE">
        <w:rPr>
          <w:szCs w:val="22"/>
        </w:rPr>
        <w:t xml:space="preserve"> didelėmis dozėmis greitai į veną (daugiau kaip 0,5 g greičiau kaip per 10 min.), gali pasireikšti širdies aritmijų, kraujotakos </w:t>
      </w:r>
      <w:proofErr w:type="spellStart"/>
      <w:r w:rsidRPr="001D5EBE">
        <w:rPr>
          <w:szCs w:val="22"/>
        </w:rPr>
        <w:t>kolapsas</w:t>
      </w:r>
      <w:proofErr w:type="spellEnd"/>
      <w:r w:rsidRPr="001D5EBE">
        <w:rPr>
          <w:szCs w:val="22"/>
        </w:rPr>
        <w:t xml:space="preserve"> ir (ar) sustoti širdis;</w:t>
      </w:r>
    </w:p>
    <w:p w14:paraId="7E5FE52A" w14:textId="77777777" w:rsidR="003F33B8"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sergant akių paprastąja pūsleline, nes gali perforuoti ragena;</w:t>
      </w:r>
    </w:p>
    <w:p w14:paraId="5A8CB760" w14:textId="177104BF" w:rsidR="004A5109" w:rsidRPr="002D7694" w:rsidRDefault="004A5109" w:rsidP="004A5109">
      <w:pPr>
        <w:numPr>
          <w:ilvl w:val="0"/>
          <w:numId w:val="4"/>
        </w:numPr>
        <w:tabs>
          <w:tab w:val="clear" w:pos="360"/>
          <w:tab w:val="left" w:pos="567"/>
          <w:tab w:val="num" w:pos="709"/>
        </w:tabs>
        <w:spacing w:line="240" w:lineRule="auto"/>
        <w:ind w:left="567" w:hanging="567"/>
        <w:rPr>
          <w:rFonts w:eastAsia="Calibri"/>
          <w:lang w:val="lt-LT" w:eastAsia="lt-LT"/>
        </w:rPr>
      </w:pPr>
      <w:r w:rsidRPr="002D7694">
        <w:rPr>
          <w:lang w:val="lt-LT"/>
        </w:rPr>
        <w:t xml:space="preserve">jeigu </w:t>
      </w:r>
      <w:r w:rsidRPr="002D7694">
        <w:rPr>
          <w:rFonts w:eastAsia="Calibri"/>
          <w:lang w:val="lt-LT" w:eastAsia="lt-LT"/>
        </w:rPr>
        <w:t xml:space="preserve">pradėtumėte </w:t>
      </w:r>
      <w:r w:rsidRPr="002D7694">
        <w:rPr>
          <w:lang w:val="lt-LT"/>
        </w:rPr>
        <w:t>matyti lyg per miglą arba jums pasireikštų kiti regėjimo sutrikimai, kreipkitės į savo gydytoją;</w:t>
      </w:r>
    </w:p>
    <w:p w14:paraId="3FE7660F"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yra </w:t>
      </w:r>
      <w:r w:rsidR="00440EEE" w:rsidRPr="001D5EBE">
        <w:rPr>
          <w:szCs w:val="22"/>
        </w:rPr>
        <w:t>trauminis smegenų pažeidimas</w:t>
      </w:r>
      <w:r w:rsidRPr="001D5EBE">
        <w:rPr>
          <w:szCs w:val="22"/>
        </w:rPr>
        <w:t>;</w:t>
      </w:r>
    </w:p>
    <w:p w14:paraId="2B431336" w14:textId="77777777" w:rsidR="00285A96" w:rsidRPr="001D5EBE" w:rsidRDefault="00285A96" w:rsidP="00285A96">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yra polinkis į </w:t>
      </w:r>
      <w:proofErr w:type="spellStart"/>
      <w:r w:rsidRPr="001D5EBE">
        <w:rPr>
          <w:szCs w:val="22"/>
        </w:rPr>
        <w:t>tromboembolines</w:t>
      </w:r>
      <w:proofErr w:type="spellEnd"/>
      <w:r w:rsidRPr="001D5EBE">
        <w:rPr>
          <w:szCs w:val="22"/>
        </w:rPr>
        <w:t xml:space="preserve"> ligas;</w:t>
      </w:r>
    </w:p>
    <w:p w14:paraId="4744B637"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sergate </w:t>
      </w:r>
      <w:proofErr w:type="spellStart"/>
      <w:r w:rsidRPr="001D5EBE">
        <w:rPr>
          <w:szCs w:val="22"/>
        </w:rPr>
        <w:t>Kušingo</w:t>
      </w:r>
      <w:proofErr w:type="spellEnd"/>
      <w:r w:rsidRPr="001D5EBE">
        <w:rPr>
          <w:szCs w:val="22"/>
        </w:rPr>
        <w:t xml:space="preserve"> liga (ja sergant antinksčiai išskiria per daug hormonų, galimi požymiai yra didelis kraujospūdis, padidėjęs cukraus kiekis kraujyje, odos sausuma</w:t>
      </w:r>
      <w:r w:rsidR="00F45685" w:rsidRPr="001D5EBE">
        <w:rPr>
          <w:szCs w:val="22"/>
        </w:rPr>
        <w:t>s</w:t>
      </w:r>
      <w:r w:rsidRPr="001D5EBE">
        <w:rPr>
          <w:szCs w:val="22"/>
        </w:rPr>
        <w:t xml:space="preserve"> ir suplonėjimas, kūno masės didėjimas);</w:t>
      </w:r>
    </w:p>
    <w:p w14:paraId="320F2D47"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jeigu sergate </w:t>
      </w:r>
      <w:proofErr w:type="spellStart"/>
      <w:r w:rsidRPr="001D5EBE">
        <w:rPr>
          <w:szCs w:val="22"/>
        </w:rPr>
        <w:t>feochromocitoma</w:t>
      </w:r>
      <w:proofErr w:type="spellEnd"/>
      <w:r w:rsidRPr="001D5EBE">
        <w:rPr>
          <w:szCs w:val="22"/>
        </w:rPr>
        <w:t xml:space="preserve"> (antinksčių naviku).</w:t>
      </w:r>
    </w:p>
    <w:p w14:paraId="0B48D9B5" w14:textId="77777777" w:rsidR="003F33B8" w:rsidRPr="001D5EBE" w:rsidRDefault="003F33B8" w:rsidP="003F33B8">
      <w:pPr>
        <w:pStyle w:val="Pagrindinistekstas"/>
        <w:tabs>
          <w:tab w:val="left" w:pos="567"/>
        </w:tabs>
        <w:spacing w:after="0"/>
        <w:ind w:left="567" w:hanging="567"/>
        <w:rPr>
          <w:szCs w:val="22"/>
        </w:rPr>
      </w:pPr>
    </w:p>
    <w:p w14:paraId="04D4B13A" w14:textId="77777777" w:rsidR="003F33B8" w:rsidRPr="001D5EBE" w:rsidRDefault="003F33B8" w:rsidP="003F33B8">
      <w:pPr>
        <w:pStyle w:val="Pagrindinistekstas"/>
        <w:tabs>
          <w:tab w:val="left" w:pos="0"/>
        </w:tabs>
        <w:spacing w:after="0"/>
        <w:rPr>
          <w:szCs w:val="22"/>
        </w:rPr>
      </w:pPr>
      <w:r w:rsidRPr="001D5EBE">
        <w:rPr>
          <w:szCs w:val="22"/>
        </w:rPr>
        <w:t>Taip pat specialių atsargumo priemonių ir nuolatinio stebėjimo reikia pacientams, sergantiems viena ar keliomis toliau išvardytomis ligomis:</w:t>
      </w:r>
    </w:p>
    <w:p w14:paraId="6E9FA195" w14:textId="77777777" w:rsidR="003F33B8" w:rsidRPr="001D5EBE" w:rsidRDefault="003F33B8" w:rsidP="003F33B8">
      <w:pPr>
        <w:pStyle w:val="Pagrindinistekstas"/>
        <w:numPr>
          <w:ilvl w:val="0"/>
          <w:numId w:val="4"/>
        </w:numPr>
        <w:tabs>
          <w:tab w:val="clear" w:pos="360"/>
          <w:tab w:val="left" w:pos="0"/>
          <w:tab w:val="num" w:pos="567"/>
        </w:tabs>
        <w:spacing w:after="0"/>
        <w:ind w:left="567" w:hanging="567"/>
        <w:rPr>
          <w:szCs w:val="22"/>
        </w:rPr>
      </w:pPr>
      <w:r w:rsidRPr="001D5EBE">
        <w:rPr>
          <w:szCs w:val="22"/>
        </w:rPr>
        <w:t>osteoporoze (ypač moterims po menopauzės),</w:t>
      </w:r>
    </w:p>
    <w:p w14:paraId="7D06D513" w14:textId="77777777" w:rsidR="003F33B8" w:rsidRPr="001D5EBE" w:rsidRDefault="003F33B8" w:rsidP="003F33B8">
      <w:pPr>
        <w:pStyle w:val="Pagrindinistekstas"/>
        <w:numPr>
          <w:ilvl w:val="0"/>
          <w:numId w:val="4"/>
        </w:numPr>
        <w:tabs>
          <w:tab w:val="clear" w:pos="360"/>
          <w:tab w:val="left" w:pos="0"/>
          <w:tab w:val="num" w:pos="567"/>
        </w:tabs>
        <w:spacing w:after="0"/>
        <w:ind w:left="567" w:hanging="567"/>
        <w:rPr>
          <w:szCs w:val="22"/>
        </w:rPr>
      </w:pPr>
      <w:r w:rsidRPr="001D5EBE">
        <w:rPr>
          <w:szCs w:val="22"/>
        </w:rPr>
        <w:t xml:space="preserve">aukšto kraujospūdžio liga, </w:t>
      </w:r>
      <w:proofErr w:type="spellStart"/>
      <w:r w:rsidRPr="001D5EBE">
        <w:rPr>
          <w:szCs w:val="22"/>
        </w:rPr>
        <w:t>staziniu</w:t>
      </w:r>
      <w:proofErr w:type="spellEnd"/>
      <w:r w:rsidRPr="001D5EBE">
        <w:rPr>
          <w:szCs w:val="22"/>
        </w:rPr>
        <w:t xml:space="preserve"> širdies nepakankamumu ar kita širdies liga,</w:t>
      </w:r>
    </w:p>
    <w:p w14:paraId="0A29352A" w14:textId="77777777" w:rsidR="003F33B8" w:rsidRPr="001D5EBE" w:rsidRDefault="003F33B8" w:rsidP="003F33B8">
      <w:pPr>
        <w:pStyle w:val="Pagrindinistekstas"/>
        <w:numPr>
          <w:ilvl w:val="0"/>
          <w:numId w:val="4"/>
        </w:numPr>
        <w:tabs>
          <w:tab w:val="clear" w:pos="360"/>
          <w:tab w:val="left" w:pos="0"/>
          <w:tab w:val="num" w:pos="567"/>
        </w:tabs>
        <w:spacing w:after="0"/>
        <w:ind w:left="567" w:hanging="567"/>
        <w:rPr>
          <w:szCs w:val="22"/>
        </w:rPr>
      </w:pPr>
      <w:r w:rsidRPr="001D5EBE">
        <w:rPr>
          <w:szCs w:val="22"/>
        </w:rPr>
        <w:t>psichikos sutrikimais,</w:t>
      </w:r>
    </w:p>
    <w:p w14:paraId="69E93817" w14:textId="77777777" w:rsidR="003F33B8" w:rsidRPr="001D5EBE" w:rsidRDefault="003F33B8" w:rsidP="003F33B8">
      <w:pPr>
        <w:pStyle w:val="Pagrindinistekstas"/>
        <w:numPr>
          <w:ilvl w:val="0"/>
          <w:numId w:val="4"/>
        </w:numPr>
        <w:tabs>
          <w:tab w:val="clear" w:pos="360"/>
          <w:tab w:val="left" w:pos="0"/>
          <w:tab w:val="num" w:pos="567"/>
        </w:tabs>
        <w:spacing w:after="0"/>
        <w:ind w:left="567" w:hanging="567"/>
        <w:rPr>
          <w:szCs w:val="22"/>
        </w:rPr>
      </w:pPr>
      <w:r w:rsidRPr="001D5EBE">
        <w:rPr>
          <w:szCs w:val="22"/>
        </w:rPr>
        <w:t>cukriniu diabetu (arba jeigu šeimos nariai serga šia liga),</w:t>
      </w:r>
    </w:p>
    <w:p w14:paraId="3319AE29" w14:textId="77777777" w:rsidR="003F33B8" w:rsidRPr="001D5EBE" w:rsidRDefault="003F33B8" w:rsidP="003F33B8">
      <w:pPr>
        <w:pStyle w:val="Pagrindinistekstas"/>
        <w:numPr>
          <w:ilvl w:val="0"/>
          <w:numId w:val="4"/>
        </w:numPr>
        <w:tabs>
          <w:tab w:val="clear" w:pos="360"/>
          <w:tab w:val="left" w:pos="0"/>
          <w:tab w:val="num" w:pos="567"/>
        </w:tabs>
        <w:spacing w:after="0"/>
        <w:ind w:left="567" w:hanging="567"/>
        <w:rPr>
          <w:szCs w:val="22"/>
        </w:rPr>
      </w:pPr>
      <w:r w:rsidRPr="001D5EBE">
        <w:rPr>
          <w:szCs w:val="22"/>
        </w:rPr>
        <w:t>neaktyvia tuberkulioze,</w:t>
      </w:r>
    </w:p>
    <w:p w14:paraId="7B3B32A2"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glaukoma (arba jei šia liga serga šeimos nariai) ar kita akių liga,</w:t>
      </w:r>
    </w:p>
    <w:p w14:paraId="29126597"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 xml:space="preserve">anksčiau vartoti kortikosteroidai buvo sukėlę </w:t>
      </w:r>
      <w:proofErr w:type="spellStart"/>
      <w:r w:rsidRPr="001D5EBE">
        <w:rPr>
          <w:lang w:val="lt-LT"/>
        </w:rPr>
        <w:t>miopatiją</w:t>
      </w:r>
      <w:proofErr w:type="spellEnd"/>
      <w:r w:rsidRPr="001D5EBE">
        <w:rPr>
          <w:lang w:val="lt-LT"/>
        </w:rPr>
        <w:t>,</w:t>
      </w:r>
    </w:p>
    <w:p w14:paraId="41D02BB2"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kepenų nepakankamumu arba kepenų ciroze,</w:t>
      </w:r>
    </w:p>
    <w:p w14:paraId="6A291D55"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inkstų nepakankamumu,</w:t>
      </w:r>
    </w:p>
    <w:p w14:paraId="465745A2"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epilepsija,</w:t>
      </w:r>
    </w:p>
    <w:p w14:paraId="1D172614"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 xml:space="preserve">virškinimo trakto sutrikimais, pvz. pepsine opa, sritiniu ileitu, opiniu kolitu ar </w:t>
      </w:r>
      <w:proofErr w:type="spellStart"/>
      <w:r w:rsidRPr="001D5EBE">
        <w:rPr>
          <w:lang w:val="lt-LT"/>
        </w:rPr>
        <w:t>divertikulitu</w:t>
      </w:r>
      <w:proofErr w:type="spellEnd"/>
      <w:r w:rsidRPr="001D5EBE">
        <w:rPr>
          <w:lang w:val="lt-LT"/>
        </w:rPr>
        <w:t>,</w:t>
      </w:r>
    </w:p>
    <w:p w14:paraId="1C1C9905" w14:textId="77777777" w:rsidR="003F33B8" w:rsidRDefault="003F33B8" w:rsidP="003F33B8">
      <w:pPr>
        <w:numPr>
          <w:ilvl w:val="0"/>
          <w:numId w:val="4"/>
        </w:numPr>
        <w:tabs>
          <w:tab w:val="clear" w:pos="360"/>
          <w:tab w:val="num" w:pos="567"/>
        </w:tabs>
        <w:spacing w:line="240" w:lineRule="auto"/>
        <w:ind w:left="567" w:hanging="567"/>
        <w:rPr>
          <w:lang w:val="lt-LT"/>
        </w:rPr>
      </w:pPr>
      <w:r w:rsidRPr="001D5EBE">
        <w:rPr>
          <w:lang w:val="lt-LT"/>
        </w:rPr>
        <w:t>turintiems trombozės riziką,</w:t>
      </w:r>
    </w:p>
    <w:p w14:paraId="102720CC" w14:textId="178E31BD" w:rsidR="00C01333" w:rsidRPr="001D5EBE" w:rsidRDefault="00C01333" w:rsidP="003F33B8">
      <w:pPr>
        <w:numPr>
          <w:ilvl w:val="0"/>
          <w:numId w:val="4"/>
        </w:numPr>
        <w:tabs>
          <w:tab w:val="clear" w:pos="360"/>
          <w:tab w:val="num" w:pos="567"/>
        </w:tabs>
        <w:spacing w:line="240" w:lineRule="auto"/>
        <w:ind w:left="567" w:hanging="567"/>
        <w:rPr>
          <w:lang w:val="lt-LT"/>
        </w:rPr>
      </w:pPr>
      <w:r>
        <w:rPr>
          <w:lang w:val="lt-LT"/>
        </w:rPr>
        <w:t xml:space="preserve">jeigu sergate </w:t>
      </w:r>
      <w:proofErr w:type="spellStart"/>
      <w:r>
        <w:rPr>
          <w:lang w:val="lt-LT"/>
        </w:rPr>
        <w:t>sklerodermija</w:t>
      </w:r>
      <w:proofErr w:type="spellEnd"/>
      <w:r>
        <w:rPr>
          <w:lang w:val="lt-LT"/>
        </w:rPr>
        <w:t xml:space="preserve"> (žinoma kaip sisteminė sklerozė, autoimuninis sutrikimas), nes gali padažnėti sunkios komplikacijos vadinamos </w:t>
      </w:r>
      <w:proofErr w:type="spellStart"/>
      <w:r>
        <w:rPr>
          <w:lang w:val="lt-LT"/>
        </w:rPr>
        <w:t>sklerodermos</w:t>
      </w:r>
      <w:proofErr w:type="spellEnd"/>
      <w:r>
        <w:rPr>
          <w:lang w:val="lt-LT"/>
        </w:rPr>
        <w:t xml:space="preserve"> sukelt</w:t>
      </w:r>
      <w:r w:rsidR="002969B9">
        <w:rPr>
          <w:lang w:val="lt-LT"/>
        </w:rPr>
        <w:t>o ūminio</w:t>
      </w:r>
      <w:r>
        <w:rPr>
          <w:lang w:val="lt-LT"/>
        </w:rPr>
        <w:t xml:space="preserve"> inkst</w:t>
      </w:r>
      <w:r w:rsidR="002969B9">
        <w:rPr>
          <w:lang w:val="lt-LT"/>
        </w:rPr>
        <w:t xml:space="preserve">ų </w:t>
      </w:r>
      <w:proofErr w:type="spellStart"/>
      <w:r w:rsidR="002969B9">
        <w:rPr>
          <w:lang w:val="lt-LT"/>
        </w:rPr>
        <w:t>nepakanakamumo</w:t>
      </w:r>
      <w:proofErr w:type="spellEnd"/>
      <w:r w:rsidR="002969B9">
        <w:rPr>
          <w:lang w:val="lt-LT"/>
        </w:rPr>
        <w:t xml:space="preserve"> rizika</w:t>
      </w:r>
      <w:r>
        <w:rPr>
          <w:lang w:val="lt-LT"/>
        </w:rPr>
        <w:t>,</w:t>
      </w:r>
    </w:p>
    <w:p w14:paraId="4821ECA1" w14:textId="77777777" w:rsidR="003F33B8" w:rsidRPr="001D5EBE" w:rsidRDefault="003F33B8" w:rsidP="003F33B8">
      <w:pPr>
        <w:numPr>
          <w:ilvl w:val="0"/>
          <w:numId w:val="4"/>
        </w:numPr>
        <w:tabs>
          <w:tab w:val="clear" w:pos="360"/>
          <w:tab w:val="num" w:pos="567"/>
        </w:tabs>
        <w:spacing w:line="240" w:lineRule="auto"/>
        <w:ind w:left="567" w:hanging="567"/>
        <w:rPr>
          <w:lang w:val="lt-LT"/>
        </w:rPr>
      </w:pPr>
      <w:proofErr w:type="spellStart"/>
      <w:r w:rsidRPr="001D5EBE">
        <w:rPr>
          <w:lang w:val="lt-LT"/>
        </w:rPr>
        <w:t>generalizuota</w:t>
      </w:r>
      <w:proofErr w:type="spellEnd"/>
      <w:r w:rsidRPr="001D5EBE">
        <w:rPr>
          <w:lang w:val="lt-LT"/>
        </w:rPr>
        <w:t xml:space="preserve"> </w:t>
      </w:r>
      <w:proofErr w:type="spellStart"/>
      <w:r w:rsidRPr="001D5EBE">
        <w:rPr>
          <w:lang w:val="lt-LT"/>
        </w:rPr>
        <w:t>miastenija</w:t>
      </w:r>
      <w:proofErr w:type="spellEnd"/>
      <w:r w:rsidRPr="001D5EBE">
        <w:rPr>
          <w:lang w:val="lt-LT"/>
        </w:rPr>
        <w:t>,</w:t>
      </w:r>
    </w:p>
    <w:p w14:paraId="587FB102" w14:textId="77777777" w:rsidR="003F33B8" w:rsidRPr="001D5EBE" w:rsidRDefault="003F33B8" w:rsidP="003F33B8">
      <w:pPr>
        <w:numPr>
          <w:ilvl w:val="0"/>
          <w:numId w:val="4"/>
        </w:numPr>
        <w:tabs>
          <w:tab w:val="clear" w:pos="360"/>
          <w:tab w:val="num" w:pos="567"/>
        </w:tabs>
        <w:spacing w:line="240" w:lineRule="auto"/>
        <w:ind w:left="567" w:hanging="567"/>
        <w:rPr>
          <w:lang w:val="lt-LT"/>
        </w:rPr>
      </w:pPr>
      <w:proofErr w:type="spellStart"/>
      <w:r w:rsidRPr="001D5EBE">
        <w:rPr>
          <w:lang w:val="lt-LT"/>
        </w:rPr>
        <w:t>hipotireoze</w:t>
      </w:r>
      <w:proofErr w:type="spellEnd"/>
      <w:r w:rsidRPr="001D5EBE">
        <w:rPr>
          <w:lang w:val="lt-LT"/>
        </w:rPr>
        <w:t>,</w:t>
      </w:r>
    </w:p>
    <w:p w14:paraId="35B66F5F"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neseniai įvykęs miokardo infarktas,</w:t>
      </w:r>
    </w:p>
    <w:p w14:paraId="32DB5A97"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traukuliais pasireiškiančia liga,</w:t>
      </w:r>
    </w:p>
    <w:p w14:paraId="242F2CD9" w14:textId="77777777" w:rsidR="003F33B8" w:rsidRPr="001D5EBE" w:rsidRDefault="003F33B8" w:rsidP="003F33B8">
      <w:pPr>
        <w:numPr>
          <w:ilvl w:val="0"/>
          <w:numId w:val="4"/>
        </w:numPr>
        <w:tabs>
          <w:tab w:val="clear" w:pos="360"/>
          <w:tab w:val="num" w:pos="567"/>
        </w:tabs>
        <w:spacing w:line="240" w:lineRule="auto"/>
        <w:ind w:left="567" w:hanging="567"/>
        <w:rPr>
          <w:lang w:val="lt-LT"/>
        </w:rPr>
      </w:pPr>
      <w:r w:rsidRPr="001D5EBE">
        <w:rPr>
          <w:lang w:val="lt-LT"/>
        </w:rPr>
        <w:t>kasos liga.</w:t>
      </w:r>
    </w:p>
    <w:p w14:paraId="40D83A14" w14:textId="77777777" w:rsidR="003F33B8" w:rsidRPr="001D5EBE" w:rsidRDefault="003F33B8" w:rsidP="003F33B8">
      <w:pPr>
        <w:spacing w:line="240" w:lineRule="auto"/>
        <w:rPr>
          <w:lang w:val="lt-LT"/>
        </w:rPr>
      </w:pPr>
    </w:p>
    <w:p w14:paraId="4238E26A" w14:textId="77777777" w:rsidR="003F33B8" w:rsidRPr="001D5EBE" w:rsidRDefault="003F33B8" w:rsidP="003F33B8">
      <w:pPr>
        <w:pStyle w:val="Paragraph"/>
        <w:spacing w:after="0"/>
        <w:rPr>
          <w:sz w:val="22"/>
          <w:szCs w:val="22"/>
        </w:rPr>
      </w:pPr>
      <w:r w:rsidRPr="001D5EBE">
        <w:rPr>
          <w:sz w:val="22"/>
          <w:szCs w:val="22"/>
        </w:rPr>
        <w:t>Vartojant SOLU-MEDROL, gali atsirasti psichikos sutrikimų, tokių kaip pakili nuotaika, nemiga, nuotaikos svyravimai, asmenybės pokyčiai, sunki depresija ir net akivaizdžių psichozės simptomų.</w:t>
      </w:r>
    </w:p>
    <w:p w14:paraId="1B52CB7C" w14:textId="77777777" w:rsidR="003F33B8" w:rsidRPr="001D5EBE" w:rsidRDefault="003F33B8" w:rsidP="003F33B8">
      <w:pPr>
        <w:pStyle w:val="Paragraph"/>
        <w:spacing w:after="0"/>
        <w:rPr>
          <w:sz w:val="22"/>
          <w:szCs w:val="22"/>
        </w:rPr>
      </w:pPr>
      <w:r w:rsidRPr="001D5EBE">
        <w:rPr>
          <w:sz w:val="22"/>
          <w:szCs w:val="22"/>
        </w:rPr>
        <w:t>Jei atsiranda psichikos sutrikimų simptomų, ypač minčių apie savižudybę, būtina nedelsiant kreiptis į gydytoją.</w:t>
      </w:r>
    </w:p>
    <w:p w14:paraId="525518C1" w14:textId="77777777" w:rsidR="003F33B8" w:rsidRPr="001D5EBE" w:rsidRDefault="003F33B8" w:rsidP="003F33B8">
      <w:pPr>
        <w:spacing w:line="240" w:lineRule="auto"/>
        <w:rPr>
          <w:lang w:val="lt-LT"/>
        </w:rPr>
      </w:pPr>
    </w:p>
    <w:p w14:paraId="25A3939C" w14:textId="77777777" w:rsidR="00D46893" w:rsidRDefault="00D46893" w:rsidP="00D46893">
      <w:pPr>
        <w:spacing w:line="240" w:lineRule="auto"/>
        <w:rPr>
          <w:lang w:val="lt-LT"/>
        </w:rPr>
      </w:pPr>
      <w:r w:rsidRPr="001D5EBE">
        <w:rPr>
          <w:lang w:val="lt-LT"/>
        </w:rPr>
        <w:t xml:space="preserve">Periodiškai leidžiant dideles SOLU-MEDROL dozes į veną gali atsirasti kepenų pažeidimų, todėl gydytojas Jūsų būklę stebės atidžiau. Įprastai pažeidimai išnyksta nutraukus </w:t>
      </w:r>
      <w:r w:rsidR="00F45685" w:rsidRPr="001D5EBE">
        <w:rPr>
          <w:lang w:val="lt-LT"/>
        </w:rPr>
        <w:t xml:space="preserve">vaisto </w:t>
      </w:r>
      <w:r w:rsidRPr="001D5EBE">
        <w:rPr>
          <w:lang w:val="lt-LT"/>
        </w:rPr>
        <w:t>vartojimą.</w:t>
      </w:r>
    </w:p>
    <w:p w14:paraId="0F6285F1" w14:textId="77777777" w:rsidR="00E85D4B" w:rsidRDefault="00E85D4B" w:rsidP="00D46893">
      <w:pPr>
        <w:spacing w:line="240" w:lineRule="auto"/>
        <w:rPr>
          <w:lang w:val="lt-LT"/>
        </w:rPr>
      </w:pPr>
    </w:p>
    <w:p w14:paraId="51B91FDA" w14:textId="77777777" w:rsidR="00E85D4B" w:rsidRPr="00ED2AB3" w:rsidRDefault="00E85D4B" w:rsidP="00E85D4B">
      <w:pPr>
        <w:pStyle w:val="Paragraph"/>
        <w:spacing w:after="0"/>
        <w:rPr>
          <w:sz w:val="22"/>
          <w:szCs w:val="22"/>
        </w:rPr>
      </w:pPr>
      <w:r w:rsidRPr="00CD713C">
        <w:rPr>
          <w:sz w:val="22"/>
          <w:szCs w:val="22"/>
        </w:rPr>
        <w:t xml:space="preserve">Didelės kortikosteroidų dozės gali sukelti </w:t>
      </w:r>
      <w:r>
        <w:rPr>
          <w:sz w:val="22"/>
          <w:szCs w:val="22"/>
        </w:rPr>
        <w:t>ūminį kasos uždegimą</w:t>
      </w:r>
      <w:r w:rsidRPr="00CD713C">
        <w:rPr>
          <w:sz w:val="22"/>
          <w:szCs w:val="22"/>
        </w:rPr>
        <w:t>.</w:t>
      </w:r>
    </w:p>
    <w:p w14:paraId="4607DBF7" w14:textId="77777777" w:rsidR="00E85D4B" w:rsidRPr="00ED2AB3" w:rsidRDefault="00E85D4B" w:rsidP="00E85D4B">
      <w:pPr>
        <w:pStyle w:val="Paragraph"/>
        <w:spacing w:after="0"/>
        <w:rPr>
          <w:i/>
          <w:sz w:val="22"/>
          <w:szCs w:val="22"/>
        </w:rPr>
      </w:pPr>
    </w:p>
    <w:p w14:paraId="368E708B" w14:textId="77777777" w:rsidR="00E85D4B" w:rsidRPr="001D5EBE" w:rsidRDefault="00E85D4B" w:rsidP="00E85D4B">
      <w:pPr>
        <w:spacing w:line="240" w:lineRule="auto"/>
        <w:rPr>
          <w:lang w:val="lt-LT"/>
        </w:rPr>
      </w:pPr>
      <w:r w:rsidRPr="008A5F2E">
        <w:rPr>
          <w:lang w:val="lt-LT"/>
        </w:rPr>
        <w:t xml:space="preserve">Gydymas </w:t>
      </w:r>
      <w:proofErr w:type="spellStart"/>
      <w:r w:rsidRPr="008A5F2E">
        <w:rPr>
          <w:lang w:val="lt-LT"/>
        </w:rPr>
        <w:t>gliukokortikoidais</w:t>
      </w:r>
      <w:proofErr w:type="spellEnd"/>
      <w:r w:rsidRPr="008A5F2E">
        <w:rPr>
          <w:lang w:val="lt-LT"/>
        </w:rPr>
        <w:t xml:space="preserve"> gali slopinti </w:t>
      </w:r>
      <w:proofErr w:type="spellStart"/>
      <w:r w:rsidRPr="008A5F2E">
        <w:rPr>
          <w:lang w:val="lt-LT"/>
        </w:rPr>
        <w:t>pepsinės</w:t>
      </w:r>
      <w:proofErr w:type="spellEnd"/>
      <w:r w:rsidRPr="008A5F2E">
        <w:rPr>
          <w:lang w:val="lt-LT"/>
        </w:rPr>
        <w:t xml:space="preserve"> opos simptomus ir prakiurimas ar kraujavimas gali atsirasti nepasireiškiant reikšmingam skausmui.</w:t>
      </w:r>
      <w:r w:rsidRPr="008A5F2E">
        <w:rPr>
          <w:iCs/>
          <w:lang w:val="lt-LT"/>
        </w:rPr>
        <w:t xml:space="preserve"> </w:t>
      </w:r>
      <w:r w:rsidRPr="008A5F2E">
        <w:rPr>
          <w:lang w:val="lt-LT"/>
        </w:rPr>
        <w:t xml:space="preserve">Gydymas </w:t>
      </w:r>
      <w:proofErr w:type="spellStart"/>
      <w:r w:rsidRPr="008A5F2E">
        <w:rPr>
          <w:lang w:val="lt-LT"/>
        </w:rPr>
        <w:t>gliukokortikoidais</w:t>
      </w:r>
      <w:proofErr w:type="spellEnd"/>
      <w:r w:rsidRPr="008A5F2E">
        <w:rPr>
          <w:lang w:val="lt-LT"/>
        </w:rPr>
        <w:t xml:space="preserve"> gali paslėpti peritonito (pilvo ertmės uždegimas) ar kitus požymius ar simptomus, susijusius su tokiais virškinimo trakto sutrikimais, kaip prakiurimas, obstrukcija ar kasos uždegimas.</w:t>
      </w:r>
    </w:p>
    <w:p w14:paraId="118047DC" w14:textId="77777777" w:rsidR="00D46893" w:rsidRPr="001D5EBE" w:rsidRDefault="00D46893" w:rsidP="003F33B8">
      <w:pPr>
        <w:spacing w:line="240" w:lineRule="auto"/>
        <w:rPr>
          <w:lang w:val="lt-LT"/>
        </w:rPr>
      </w:pPr>
    </w:p>
    <w:p w14:paraId="015181B7" w14:textId="77777777" w:rsidR="003F33B8" w:rsidRPr="00705660" w:rsidRDefault="00F278F6" w:rsidP="003F33B8">
      <w:pPr>
        <w:spacing w:line="240" w:lineRule="auto"/>
        <w:rPr>
          <w:b/>
          <w:lang w:val="lt-LT"/>
        </w:rPr>
      </w:pPr>
      <w:r w:rsidRPr="00705660">
        <w:rPr>
          <w:b/>
          <w:lang w:val="lt-LT"/>
        </w:rPr>
        <w:t>Vaikams ir paaugliams</w:t>
      </w:r>
    </w:p>
    <w:p w14:paraId="2EEA0533" w14:textId="77777777" w:rsidR="003F33B8" w:rsidRPr="001D5EBE" w:rsidRDefault="003F33B8" w:rsidP="003F33B8">
      <w:pPr>
        <w:spacing w:line="240" w:lineRule="auto"/>
        <w:rPr>
          <w:lang w:val="lt-LT"/>
        </w:rPr>
      </w:pPr>
      <w:proofErr w:type="spellStart"/>
      <w:r w:rsidRPr="001D5EBE">
        <w:rPr>
          <w:lang w:val="lt-LT"/>
        </w:rPr>
        <w:t>Gliukokortikoidai</w:t>
      </w:r>
      <w:proofErr w:type="spellEnd"/>
      <w:r w:rsidRPr="001D5EBE">
        <w:rPr>
          <w:lang w:val="lt-LT"/>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w:t>
      </w:r>
      <w:r w:rsidR="00E85D4B">
        <w:rPr>
          <w:lang w:val="lt-LT"/>
        </w:rPr>
        <w:t xml:space="preserve"> (kasos uždegimas)</w:t>
      </w:r>
      <w:r w:rsidRPr="001D5EBE">
        <w:rPr>
          <w:lang w:val="lt-LT"/>
        </w:rPr>
        <w:t>.</w:t>
      </w:r>
    </w:p>
    <w:p w14:paraId="62D64673" w14:textId="77777777" w:rsidR="003F33B8" w:rsidRPr="001D5EBE" w:rsidRDefault="003F33B8" w:rsidP="003F33B8">
      <w:pPr>
        <w:spacing w:line="240" w:lineRule="auto"/>
        <w:rPr>
          <w:i/>
          <w:lang w:val="lt-LT"/>
        </w:rPr>
      </w:pPr>
    </w:p>
    <w:p w14:paraId="515995B6" w14:textId="77777777" w:rsidR="003F33B8" w:rsidRPr="00FD3FE1" w:rsidRDefault="00F278F6" w:rsidP="003F33B8">
      <w:pPr>
        <w:spacing w:line="240" w:lineRule="auto"/>
        <w:rPr>
          <w:i/>
          <w:lang w:val="lt-LT"/>
        </w:rPr>
      </w:pPr>
      <w:r w:rsidRPr="00FD3FE1">
        <w:rPr>
          <w:i/>
          <w:lang w:val="lt-LT"/>
        </w:rPr>
        <w:t>Senyvi</w:t>
      </w:r>
      <w:r w:rsidR="00E85D4B" w:rsidRPr="00FD3FE1">
        <w:rPr>
          <w:i/>
          <w:lang w:val="lt-LT"/>
        </w:rPr>
        <w:t>ems</w:t>
      </w:r>
      <w:r w:rsidR="003D18B6" w:rsidRPr="00FD3FE1">
        <w:rPr>
          <w:i/>
          <w:lang w:val="lt-LT"/>
        </w:rPr>
        <w:t xml:space="preserve"> (&gt; 65 metų) </w:t>
      </w:r>
      <w:r w:rsidRPr="00FD3FE1">
        <w:rPr>
          <w:i/>
          <w:lang w:val="lt-LT"/>
        </w:rPr>
        <w:t xml:space="preserve"> pacienta</w:t>
      </w:r>
      <w:r w:rsidR="00E85D4B" w:rsidRPr="00FD3FE1">
        <w:rPr>
          <w:i/>
          <w:lang w:val="lt-LT"/>
        </w:rPr>
        <w:t>ms</w:t>
      </w:r>
    </w:p>
    <w:p w14:paraId="74D146DF" w14:textId="77777777" w:rsidR="003F33B8" w:rsidRPr="001D5EBE" w:rsidRDefault="003F33B8" w:rsidP="003F33B8">
      <w:pPr>
        <w:spacing w:line="240" w:lineRule="auto"/>
        <w:rPr>
          <w:lang w:val="lt-LT"/>
        </w:rPr>
      </w:pPr>
      <w:r w:rsidRPr="001D5EBE">
        <w:rPr>
          <w:lang w:val="lt-LT"/>
        </w:rPr>
        <w:t xml:space="preserve">Senyviems pacientams padidėja kai kurių nepageidaujamų reakcijų pavojus: </w:t>
      </w:r>
      <w:proofErr w:type="spellStart"/>
      <w:r w:rsidRPr="001D5EBE">
        <w:rPr>
          <w:lang w:val="lt-LT"/>
        </w:rPr>
        <w:t>pepsinės</w:t>
      </w:r>
      <w:proofErr w:type="spellEnd"/>
      <w:r w:rsidRPr="001D5EBE">
        <w:rPr>
          <w:lang w:val="lt-LT"/>
        </w:rPr>
        <w:t xml:space="preserve"> opos, aukšto kraujospūdžio, osteoporozės, sumažėjusio kalio kiekio kraujyje, cukrinio diabeto ir kt.</w:t>
      </w:r>
    </w:p>
    <w:p w14:paraId="1B98DE76" w14:textId="77777777" w:rsidR="003F33B8" w:rsidRPr="001D5EBE" w:rsidRDefault="003F33B8" w:rsidP="003F33B8">
      <w:pPr>
        <w:pStyle w:val="Pagrindinistekstas"/>
        <w:tabs>
          <w:tab w:val="left" w:pos="567"/>
        </w:tabs>
        <w:spacing w:after="0"/>
        <w:ind w:left="567" w:hanging="567"/>
        <w:rPr>
          <w:szCs w:val="22"/>
        </w:rPr>
      </w:pPr>
    </w:p>
    <w:p w14:paraId="529B1BAC" w14:textId="77777777" w:rsidR="003F33B8" w:rsidRPr="001D5EBE" w:rsidRDefault="003F33B8" w:rsidP="003F33B8">
      <w:pPr>
        <w:pStyle w:val="Antrat3"/>
        <w:rPr>
          <w:szCs w:val="22"/>
        </w:rPr>
      </w:pPr>
      <w:r w:rsidRPr="001D5EBE">
        <w:rPr>
          <w:szCs w:val="22"/>
        </w:rPr>
        <w:t>Kiti vaistai ir SOLU-MEDROL</w:t>
      </w:r>
    </w:p>
    <w:p w14:paraId="23818847" w14:textId="77777777" w:rsidR="003F33B8" w:rsidRPr="001D5EBE" w:rsidRDefault="003F33B8" w:rsidP="003F33B8">
      <w:pPr>
        <w:pStyle w:val="Pagrindinistekstas"/>
        <w:spacing w:after="0"/>
        <w:rPr>
          <w:szCs w:val="22"/>
        </w:rPr>
      </w:pPr>
      <w:r w:rsidRPr="001D5EBE">
        <w:rPr>
          <w:szCs w:val="22"/>
        </w:rPr>
        <w:t xml:space="preserve">Jeigu vartojate ar neseniai vartojote kitų vaistų </w:t>
      </w:r>
      <w:r w:rsidRPr="001D5EBE">
        <w:rPr>
          <w:noProof/>
          <w:szCs w:val="22"/>
        </w:rPr>
        <w:t>arba dėl to nesate tikri</w:t>
      </w:r>
      <w:r w:rsidRPr="001D5EBE">
        <w:rPr>
          <w:szCs w:val="22"/>
        </w:rPr>
        <w:t>, apie tai pasakykite gydytojui.</w:t>
      </w:r>
    </w:p>
    <w:p w14:paraId="3B55C9C2" w14:textId="77777777" w:rsidR="003F33B8" w:rsidRPr="001D5EBE" w:rsidRDefault="003F33B8" w:rsidP="003F33B8">
      <w:pPr>
        <w:pStyle w:val="Pagrindinistekstas"/>
        <w:spacing w:after="0"/>
        <w:rPr>
          <w:szCs w:val="22"/>
        </w:rPr>
      </w:pPr>
    </w:p>
    <w:p w14:paraId="6529F9A1" w14:textId="77777777" w:rsidR="003F33B8" w:rsidRPr="001D5EBE" w:rsidRDefault="003F33B8" w:rsidP="003F33B8">
      <w:pPr>
        <w:spacing w:line="240" w:lineRule="auto"/>
        <w:rPr>
          <w:lang w:val="lt-LT"/>
        </w:rPr>
      </w:pPr>
      <w:r w:rsidRPr="001D5EBE">
        <w:rPr>
          <w:lang w:val="lt-LT"/>
        </w:rPr>
        <w:t>Ypač svarbu pasakyti gydytojui, jei vartojate toliau išvardytų vaistų.</w:t>
      </w:r>
    </w:p>
    <w:p w14:paraId="165A93BF"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proofErr w:type="spellStart"/>
      <w:r w:rsidRPr="001D5EBE">
        <w:rPr>
          <w:szCs w:val="22"/>
        </w:rPr>
        <w:t>Izoniazido</w:t>
      </w:r>
      <w:proofErr w:type="spellEnd"/>
      <w:r w:rsidRPr="001D5EBE">
        <w:rPr>
          <w:szCs w:val="22"/>
        </w:rPr>
        <w:t xml:space="preserve">, </w:t>
      </w:r>
      <w:proofErr w:type="spellStart"/>
      <w:r w:rsidRPr="001D5EBE">
        <w:rPr>
          <w:szCs w:val="22"/>
        </w:rPr>
        <w:t>rifampino</w:t>
      </w:r>
      <w:proofErr w:type="spellEnd"/>
      <w:r w:rsidRPr="001D5EBE">
        <w:rPr>
          <w:szCs w:val="22"/>
        </w:rPr>
        <w:t xml:space="preserve"> (vaistų nuo tuberkuliozės).</w:t>
      </w:r>
    </w:p>
    <w:p w14:paraId="2BE2BC56"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Kraują skystinančių </w:t>
      </w:r>
      <w:r w:rsidR="006B51B5">
        <w:rPr>
          <w:szCs w:val="22"/>
        </w:rPr>
        <w:t>vaistų</w:t>
      </w:r>
      <w:r w:rsidRPr="001D5EBE">
        <w:rPr>
          <w:szCs w:val="22"/>
        </w:rPr>
        <w:t xml:space="preserve">, pavyzdžiui, </w:t>
      </w:r>
      <w:proofErr w:type="spellStart"/>
      <w:r w:rsidRPr="001D5EBE">
        <w:rPr>
          <w:szCs w:val="22"/>
        </w:rPr>
        <w:t>varfarino</w:t>
      </w:r>
      <w:proofErr w:type="spellEnd"/>
      <w:r w:rsidRPr="001D5EBE">
        <w:rPr>
          <w:szCs w:val="22"/>
        </w:rPr>
        <w:t>.</w:t>
      </w:r>
    </w:p>
    <w:p w14:paraId="346000B1" w14:textId="77777777" w:rsidR="003F33B8" w:rsidRPr="001D5EBE" w:rsidRDefault="006B51B5" w:rsidP="003F33B8">
      <w:pPr>
        <w:pStyle w:val="Pagrindinistekstas"/>
        <w:numPr>
          <w:ilvl w:val="0"/>
          <w:numId w:val="4"/>
        </w:numPr>
        <w:tabs>
          <w:tab w:val="clear" w:pos="360"/>
          <w:tab w:val="left" w:pos="567"/>
          <w:tab w:val="num" w:pos="709"/>
        </w:tabs>
        <w:spacing w:after="0"/>
        <w:ind w:left="567" w:hanging="567"/>
        <w:rPr>
          <w:szCs w:val="22"/>
        </w:rPr>
      </w:pPr>
      <w:r>
        <w:rPr>
          <w:szCs w:val="22"/>
        </w:rPr>
        <w:t>Vaistų</w:t>
      </w:r>
      <w:r w:rsidR="003F33B8" w:rsidRPr="001D5EBE">
        <w:rPr>
          <w:szCs w:val="22"/>
        </w:rPr>
        <w:t xml:space="preserve"> nuo traukulių (</w:t>
      </w:r>
      <w:proofErr w:type="spellStart"/>
      <w:r w:rsidR="003F33B8" w:rsidRPr="001D5EBE">
        <w:rPr>
          <w:szCs w:val="22"/>
        </w:rPr>
        <w:t>karbamazepino</w:t>
      </w:r>
      <w:proofErr w:type="spellEnd"/>
      <w:r w:rsidR="003F33B8" w:rsidRPr="001D5EBE">
        <w:rPr>
          <w:szCs w:val="22"/>
        </w:rPr>
        <w:t xml:space="preserve">, </w:t>
      </w:r>
      <w:proofErr w:type="spellStart"/>
      <w:r w:rsidR="003F33B8" w:rsidRPr="001D5EBE">
        <w:rPr>
          <w:szCs w:val="22"/>
        </w:rPr>
        <w:t>fenobarbitalio</w:t>
      </w:r>
      <w:proofErr w:type="spellEnd"/>
      <w:r w:rsidR="003F33B8" w:rsidRPr="001D5EBE">
        <w:rPr>
          <w:szCs w:val="22"/>
        </w:rPr>
        <w:t xml:space="preserve">, </w:t>
      </w:r>
      <w:proofErr w:type="spellStart"/>
      <w:r w:rsidR="003F33B8" w:rsidRPr="001D5EBE">
        <w:rPr>
          <w:szCs w:val="22"/>
        </w:rPr>
        <w:t>fenitoino</w:t>
      </w:r>
      <w:proofErr w:type="spellEnd"/>
      <w:r w:rsidR="003F33B8" w:rsidRPr="001D5EBE">
        <w:rPr>
          <w:szCs w:val="22"/>
        </w:rPr>
        <w:t>).</w:t>
      </w:r>
    </w:p>
    <w:p w14:paraId="62074AC9"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proofErr w:type="spellStart"/>
      <w:r w:rsidRPr="001D5EBE">
        <w:rPr>
          <w:szCs w:val="22"/>
        </w:rPr>
        <w:t>Anticholinerginių</w:t>
      </w:r>
      <w:proofErr w:type="spellEnd"/>
      <w:r w:rsidRPr="001D5EBE">
        <w:rPr>
          <w:szCs w:val="22"/>
        </w:rPr>
        <w:t xml:space="preserve"> </w:t>
      </w:r>
      <w:r w:rsidR="006B51B5">
        <w:rPr>
          <w:szCs w:val="22"/>
        </w:rPr>
        <w:t>vaistų</w:t>
      </w:r>
      <w:r w:rsidRPr="001D5EBE">
        <w:rPr>
          <w:szCs w:val="22"/>
        </w:rPr>
        <w:t xml:space="preserve"> (nervo ir raumens jungtį blokuojančių vaistų).</w:t>
      </w:r>
    </w:p>
    <w:p w14:paraId="4CCCDB9B" w14:textId="77777777" w:rsidR="003F33B8" w:rsidRPr="001D5EBE" w:rsidRDefault="003F33B8" w:rsidP="003F33B8">
      <w:pPr>
        <w:pStyle w:val="Pagrindinistekstas"/>
        <w:numPr>
          <w:ilvl w:val="0"/>
          <w:numId w:val="4"/>
        </w:numPr>
        <w:tabs>
          <w:tab w:val="clear" w:pos="360"/>
          <w:tab w:val="num" w:pos="567"/>
        </w:tabs>
        <w:spacing w:after="0"/>
        <w:ind w:left="567" w:hanging="567"/>
        <w:rPr>
          <w:szCs w:val="22"/>
        </w:rPr>
      </w:pPr>
      <w:proofErr w:type="spellStart"/>
      <w:r w:rsidRPr="001D5EBE">
        <w:rPr>
          <w:szCs w:val="22"/>
        </w:rPr>
        <w:t>Cholinesterazę</w:t>
      </w:r>
      <w:proofErr w:type="spellEnd"/>
      <w:r w:rsidRPr="001D5EBE">
        <w:rPr>
          <w:szCs w:val="22"/>
        </w:rPr>
        <w:t xml:space="preserve"> slopinančių vaistų (jais gydoma </w:t>
      </w:r>
      <w:proofErr w:type="spellStart"/>
      <w:r w:rsidRPr="001D5EBE">
        <w:rPr>
          <w:szCs w:val="22"/>
        </w:rPr>
        <w:t>generalizuota</w:t>
      </w:r>
      <w:proofErr w:type="spellEnd"/>
      <w:r w:rsidRPr="001D5EBE">
        <w:rPr>
          <w:szCs w:val="22"/>
        </w:rPr>
        <w:t xml:space="preserve"> </w:t>
      </w:r>
      <w:proofErr w:type="spellStart"/>
      <w:r w:rsidRPr="001D5EBE">
        <w:rPr>
          <w:szCs w:val="22"/>
        </w:rPr>
        <w:t>miastenija</w:t>
      </w:r>
      <w:proofErr w:type="spellEnd"/>
      <w:r w:rsidRPr="001D5EBE">
        <w:rPr>
          <w:szCs w:val="22"/>
        </w:rPr>
        <w:t>).</w:t>
      </w:r>
    </w:p>
    <w:p w14:paraId="6A11BA4C"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Vaistų nuo diabeto.</w:t>
      </w:r>
    </w:p>
    <w:p w14:paraId="4524F284"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Vėmimą slopinančių </w:t>
      </w:r>
      <w:r w:rsidR="006B51B5">
        <w:rPr>
          <w:szCs w:val="22"/>
        </w:rPr>
        <w:t>vaistų</w:t>
      </w:r>
      <w:r w:rsidRPr="001D5EBE">
        <w:rPr>
          <w:szCs w:val="22"/>
        </w:rPr>
        <w:t xml:space="preserve"> (</w:t>
      </w:r>
      <w:proofErr w:type="spellStart"/>
      <w:r w:rsidRPr="001D5EBE">
        <w:rPr>
          <w:szCs w:val="22"/>
        </w:rPr>
        <w:t>aprepitanto</w:t>
      </w:r>
      <w:proofErr w:type="spellEnd"/>
      <w:r w:rsidRPr="001D5EBE">
        <w:rPr>
          <w:szCs w:val="22"/>
        </w:rPr>
        <w:t xml:space="preserve"> ir </w:t>
      </w:r>
      <w:proofErr w:type="spellStart"/>
      <w:r w:rsidRPr="001D5EBE">
        <w:rPr>
          <w:szCs w:val="22"/>
        </w:rPr>
        <w:t>fosaprepitanto</w:t>
      </w:r>
      <w:proofErr w:type="spellEnd"/>
      <w:r w:rsidRPr="001D5EBE">
        <w:rPr>
          <w:szCs w:val="22"/>
        </w:rPr>
        <w:t>).</w:t>
      </w:r>
    </w:p>
    <w:p w14:paraId="357883ED"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Priešgrybelinių </w:t>
      </w:r>
      <w:r w:rsidR="006B51B5">
        <w:rPr>
          <w:szCs w:val="22"/>
        </w:rPr>
        <w:t>vaistų</w:t>
      </w:r>
      <w:r w:rsidRPr="001D5EBE">
        <w:rPr>
          <w:szCs w:val="22"/>
        </w:rPr>
        <w:t xml:space="preserve"> (</w:t>
      </w:r>
      <w:proofErr w:type="spellStart"/>
      <w:r w:rsidRPr="001D5EBE">
        <w:rPr>
          <w:szCs w:val="22"/>
        </w:rPr>
        <w:t>itrakonazolo</w:t>
      </w:r>
      <w:proofErr w:type="spellEnd"/>
      <w:r w:rsidRPr="001D5EBE">
        <w:rPr>
          <w:szCs w:val="22"/>
        </w:rPr>
        <w:t xml:space="preserve">, </w:t>
      </w:r>
      <w:proofErr w:type="spellStart"/>
      <w:r w:rsidRPr="001D5EBE">
        <w:rPr>
          <w:szCs w:val="22"/>
        </w:rPr>
        <w:t>ketokonazolo</w:t>
      </w:r>
      <w:proofErr w:type="spellEnd"/>
      <w:r w:rsidRPr="001D5EBE">
        <w:rPr>
          <w:szCs w:val="22"/>
        </w:rPr>
        <w:t>).</w:t>
      </w:r>
    </w:p>
    <w:p w14:paraId="6B69E9FF"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Antivirusinių </w:t>
      </w:r>
      <w:r w:rsidR="006B51B5">
        <w:rPr>
          <w:szCs w:val="22"/>
        </w:rPr>
        <w:t>vaistų</w:t>
      </w:r>
      <w:r w:rsidRPr="001D5EBE">
        <w:rPr>
          <w:szCs w:val="22"/>
        </w:rPr>
        <w:t xml:space="preserve"> </w:t>
      </w:r>
      <w:r w:rsidR="00705660" w:rsidRPr="00D73209">
        <w:rPr>
          <w:szCs w:val="22"/>
        </w:rPr>
        <w:t>(</w:t>
      </w:r>
      <w:proofErr w:type="spellStart"/>
      <w:r w:rsidR="00705660" w:rsidRPr="00D73209">
        <w:rPr>
          <w:szCs w:val="22"/>
        </w:rPr>
        <w:t>indinavir</w:t>
      </w:r>
      <w:r w:rsidR="00D054D5" w:rsidRPr="00D73209">
        <w:rPr>
          <w:szCs w:val="22"/>
        </w:rPr>
        <w:t>o</w:t>
      </w:r>
      <w:proofErr w:type="spellEnd"/>
      <w:r w:rsidR="00705660" w:rsidRPr="00D73209">
        <w:rPr>
          <w:szCs w:val="22"/>
        </w:rPr>
        <w:t xml:space="preserve">, </w:t>
      </w:r>
      <w:proofErr w:type="spellStart"/>
      <w:r w:rsidR="00705660" w:rsidRPr="00D73209">
        <w:rPr>
          <w:szCs w:val="22"/>
        </w:rPr>
        <w:t>ritonavir</w:t>
      </w:r>
      <w:r w:rsidR="00D054D5" w:rsidRPr="00D73209">
        <w:rPr>
          <w:szCs w:val="22"/>
        </w:rPr>
        <w:t>o</w:t>
      </w:r>
      <w:proofErr w:type="spellEnd"/>
      <w:r w:rsidR="00705660" w:rsidRPr="00D73209">
        <w:rPr>
          <w:szCs w:val="22"/>
        </w:rPr>
        <w:t xml:space="preserve">) ir </w:t>
      </w:r>
      <w:proofErr w:type="spellStart"/>
      <w:r w:rsidR="00705660" w:rsidRPr="00D73209">
        <w:rPr>
          <w:szCs w:val="22"/>
        </w:rPr>
        <w:t>farmakokinetikos</w:t>
      </w:r>
      <w:proofErr w:type="spellEnd"/>
      <w:r w:rsidR="00705660" w:rsidRPr="00D73209">
        <w:rPr>
          <w:szCs w:val="22"/>
        </w:rPr>
        <w:t xml:space="preserve"> </w:t>
      </w:r>
      <w:proofErr w:type="spellStart"/>
      <w:r w:rsidR="00705660" w:rsidRPr="00D73209">
        <w:rPr>
          <w:szCs w:val="22"/>
        </w:rPr>
        <w:t>stiprikli</w:t>
      </w:r>
      <w:r w:rsidR="00D054D5" w:rsidRPr="00D73209">
        <w:rPr>
          <w:szCs w:val="22"/>
        </w:rPr>
        <w:t>ų</w:t>
      </w:r>
      <w:proofErr w:type="spellEnd"/>
      <w:r w:rsidR="00705660" w:rsidRPr="00D73209">
        <w:rPr>
          <w:szCs w:val="22"/>
        </w:rPr>
        <w:t xml:space="preserve"> (</w:t>
      </w:r>
      <w:proofErr w:type="spellStart"/>
      <w:r w:rsidR="00705660" w:rsidRPr="00D73209">
        <w:rPr>
          <w:szCs w:val="22"/>
        </w:rPr>
        <w:t>kobicistat</w:t>
      </w:r>
      <w:r w:rsidR="00D054D5" w:rsidRPr="00D73209">
        <w:rPr>
          <w:szCs w:val="22"/>
        </w:rPr>
        <w:t>o</w:t>
      </w:r>
      <w:proofErr w:type="spellEnd"/>
      <w:r w:rsidR="00705660" w:rsidRPr="00D73209">
        <w:rPr>
          <w:szCs w:val="22"/>
        </w:rPr>
        <w:t>) ŽIV infekcijos</w:t>
      </w:r>
      <w:r w:rsidR="00D054D5" w:rsidRPr="00D73209">
        <w:rPr>
          <w:szCs w:val="22"/>
        </w:rPr>
        <w:t xml:space="preserve"> gydymui</w:t>
      </w:r>
      <w:r w:rsidRPr="001D5EBE">
        <w:rPr>
          <w:szCs w:val="22"/>
        </w:rPr>
        <w:t>.</w:t>
      </w:r>
    </w:p>
    <w:p w14:paraId="5942BFBD"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proofErr w:type="spellStart"/>
      <w:r w:rsidRPr="001D5EBE">
        <w:rPr>
          <w:szCs w:val="22"/>
        </w:rPr>
        <w:t>Aminogliutetimido</w:t>
      </w:r>
      <w:proofErr w:type="spellEnd"/>
      <w:r w:rsidRPr="001D5EBE">
        <w:rPr>
          <w:szCs w:val="22"/>
        </w:rPr>
        <w:t xml:space="preserve"> (vaisto nuo endokrininių sutrikimų).</w:t>
      </w:r>
    </w:p>
    <w:p w14:paraId="70C2A946"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proofErr w:type="spellStart"/>
      <w:r w:rsidRPr="001D5EBE">
        <w:rPr>
          <w:szCs w:val="22"/>
        </w:rPr>
        <w:t>Diltiazemo</w:t>
      </w:r>
      <w:proofErr w:type="spellEnd"/>
      <w:r w:rsidRPr="001D5EBE">
        <w:rPr>
          <w:szCs w:val="22"/>
        </w:rPr>
        <w:t xml:space="preserve"> (vaisto nuo širdies ligų).</w:t>
      </w:r>
    </w:p>
    <w:p w14:paraId="76E4C6AE"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Kontraceptikų.</w:t>
      </w:r>
    </w:p>
    <w:p w14:paraId="41A702E9"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Imuninę sistemą slopinančių </w:t>
      </w:r>
      <w:r w:rsidR="006B51B5">
        <w:rPr>
          <w:szCs w:val="22"/>
        </w:rPr>
        <w:t>vaistų</w:t>
      </w:r>
      <w:r w:rsidRPr="001D5EBE">
        <w:rPr>
          <w:szCs w:val="22"/>
        </w:rPr>
        <w:t xml:space="preserve"> (</w:t>
      </w:r>
      <w:proofErr w:type="spellStart"/>
      <w:r w:rsidRPr="001D5EBE">
        <w:rPr>
          <w:szCs w:val="22"/>
        </w:rPr>
        <w:t>ciklosporino</w:t>
      </w:r>
      <w:proofErr w:type="spellEnd"/>
      <w:r w:rsidRPr="001D5EBE">
        <w:rPr>
          <w:szCs w:val="22"/>
        </w:rPr>
        <w:t xml:space="preserve">, </w:t>
      </w:r>
      <w:proofErr w:type="spellStart"/>
      <w:r w:rsidRPr="001D5EBE">
        <w:rPr>
          <w:szCs w:val="22"/>
        </w:rPr>
        <w:t>ciklofosfamido</w:t>
      </w:r>
      <w:proofErr w:type="spellEnd"/>
      <w:r w:rsidRPr="001D5EBE">
        <w:rPr>
          <w:szCs w:val="22"/>
        </w:rPr>
        <w:t xml:space="preserve">, </w:t>
      </w:r>
      <w:proofErr w:type="spellStart"/>
      <w:r w:rsidRPr="001D5EBE">
        <w:rPr>
          <w:szCs w:val="22"/>
        </w:rPr>
        <w:t>takrolimuzo</w:t>
      </w:r>
      <w:proofErr w:type="spellEnd"/>
      <w:r w:rsidRPr="001D5EBE">
        <w:rPr>
          <w:szCs w:val="22"/>
        </w:rPr>
        <w:t>).</w:t>
      </w:r>
    </w:p>
    <w:p w14:paraId="3F278EAB"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Antibiotikų (</w:t>
      </w:r>
      <w:proofErr w:type="spellStart"/>
      <w:r w:rsidRPr="001D5EBE">
        <w:rPr>
          <w:szCs w:val="22"/>
        </w:rPr>
        <w:t>klaritromicino</w:t>
      </w:r>
      <w:proofErr w:type="spellEnd"/>
      <w:r w:rsidRPr="001D5EBE">
        <w:rPr>
          <w:szCs w:val="22"/>
        </w:rPr>
        <w:t xml:space="preserve">, </w:t>
      </w:r>
      <w:proofErr w:type="spellStart"/>
      <w:r w:rsidRPr="001D5EBE">
        <w:rPr>
          <w:szCs w:val="22"/>
        </w:rPr>
        <w:t>eritromicino</w:t>
      </w:r>
      <w:proofErr w:type="spellEnd"/>
      <w:r w:rsidRPr="001D5EBE">
        <w:rPr>
          <w:szCs w:val="22"/>
        </w:rPr>
        <w:t xml:space="preserve">, </w:t>
      </w:r>
      <w:proofErr w:type="spellStart"/>
      <w:r w:rsidRPr="001D5EBE">
        <w:rPr>
          <w:szCs w:val="22"/>
        </w:rPr>
        <w:t>troleandomicino</w:t>
      </w:r>
      <w:proofErr w:type="spellEnd"/>
      <w:r w:rsidRPr="001D5EBE">
        <w:rPr>
          <w:szCs w:val="22"/>
        </w:rPr>
        <w:t>).</w:t>
      </w:r>
    </w:p>
    <w:p w14:paraId="6B9910C8"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NVNU (nesteroidinių vaistų nuo uždegimo), pvz., </w:t>
      </w:r>
      <w:proofErr w:type="spellStart"/>
      <w:r w:rsidRPr="001D5EBE">
        <w:rPr>
          <w:szCs w:val="22"/>
        </w:rPr>
        <w:t>ibuprofeno</w:t>
      </w:r>
      <w:proofErr w:type="spellEnd"/>
      <w:r w:rsidRPr="001D5EBE">
        <w:rPr>
          <w:szCs w:val="22"/>
        </w:rPr>
        <w:t xml:space="preserve">, </w:t>
      </w:r>
      <w:proofErr w:type="spellStart"/>
      <w:r w:rsidRPr="001D5EBE">
        <w:rPr>
          <w:szCs w:val="22"/>
        </w:rPr>
        <w:t>indometacino</w:t>
      </w:r>
      <w:proofErr w:type="spellEnd"/>
      <w:r w:rsidRPr="001D5EBE">
        <w:rPr>
          <w:szCs w:val="22"/>
        </w:rPr>
        <w:t>.</w:t>
      </w:r>
    </w:p>
    <w:p w14:paraId="6A25C09D"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Aspirino.</w:t>
      </w:r>
    </w:p>
    <w:p w14:paraId="455B3FE5" w14:textId="77777777" w:rsidR="003F33B8" w:rsidRPr="001D5EBE" w:rsidRDefault="003F33B8" w:rsidP="003F33B8">
      <w:pPr>
        <w:pStyle w:val="Pagrindinistekstas"/>
        <w:numPr>
          <w:ilvl w:val="0"/>
          <w:numId w:val="4"/>
        </w:numPr>
        <w:tabs>
          <w:tab w:val="clear" w:pos="360"/>
          <w:tab w:val="left" w:pos="567"/>
          <w:tab w:val="num" w:pos="709"/>
        </w:tabs>
        <w:spacing w:after="0"/>
        <w:ind w:left="567" w:hanging="567"/>
        <w:rPr>
          <w:szCs w:val="22"/>
        </w:rPr>
      </w:pPr>
      <w:r w:rsidRPr="001D5EBE">
        <w:rPr>
          <w:szCs w:val="22"/>
        </w:rPr>
        <w:t xml:space="preserve">Kai kurių šlapimo išsiskyrimą skatinančių vaistų bei kitų </w:t>
      </w:r>
      <w:r w:rsidR="006B51B5">
        <w:rPr>
          <w:szCs w:val="22"/>
        </w:rPr>
        <w:t>vaistų</w:t>
      </w:r>
      <w:r w:rsidRPr="001D5EBE">
        <w:rPr>
          <w:szCs w:val="22"/>
        </w:rPr>
        <w:t>, skatinančių kalio išsiskyrimą iš organizmo.</w:t>
      </w:r>
    </w:p>
    <w:p w14:paraId="58AF0D81" w14:textId="77777777" w:rsidR="003F33B8" w:rsidRPr="001D5EBE" w:rsidRDefault="003F33B8" w:rsidP="003F33B8">
      <w:pPr>
        <w:spacing w:line="240" w:lineRule="auto"/>
        <w:rPr>
          <w:lang w:val="lt-LT"/>
        </w:rPr>
      </w:pPr>
    </w:p>
    <w:p w14:paraId="4EA5FB7C" w14:textId="77777777" w:rsidR="003F33B8" w:rsidRPr="001D5EBE" w:rsidRDefault="003F33B8" w:rsidP="003F33B8">
      <w:pPr>
        <w:spacing w:line="240" w:lineRule="auto"/>
        <w:rPr>
          <w:lang w:val="lt-LT"/>
        </w:rPr>
      </w:pPr>
      <w:r w:rsidRPr="001D5EBE">
        <w:rPr>
          <w:lang w:val="lt-LT"/>
        </w:rPr>
        <w:t xml:space="preserve">SOLU-MEDROL  negalima maišyti su kitais </w:t>
      </w:r>
      <w:r w:rsidR="006B51B5">
        <w:rPr>
          <w:lang w:val="lt-LT"/>
        </w:rPr>
        <w:t>vaistais</w:t>
      </w:r>
      <w:r w:rsidRPr="001D5EBE">
        <w:rPr>
          <w:lang w:val="lt-LT"/>
        </w:rPr>
        <w:t>, nes galimas nesuderinamumas.</w:t>
      </w:r>
    </w:p>
    <w:p w14:paraId="50AD93EB" w14:textId="77777777" w:rsidR="003F33B8" w:rsidRPr="001D5EBE" w:rsidRDefault="003F33B8" w:rsidP="003F33B8">
      <w:pPr>
        <w:spacing w:line="240" w:lineRule="auto"/>
        <w:rPr>
          <w:lang w:val="lt-LT"/>
        </w:rPr>
      </w:pPr>
    </w:p>
    <w:p w14:paraId="2E109057" w14:textId="77777777" w:rsidR="003F33B8" w:rsidRPr="001D5EBE" w:rsidRDefault="003F33B8" w:rsidP="003F33B8">
      <w:pPr>
        <w:pStyle w:val="PI-3EMEASMCA"/>
        <w:spacing w:line="240" w:lineRule="auto"/>
      </w:pPr>
      <w:r w:rsidRPr="001D5EBE">
        <w:t>SOLU-MEDROL vartojimas su maistu ir gėrimais</w:t>
      </w:r>
    </w:p>
    <w:p w14:paraId="4C7E17A5" w14:textId="77777777" w:rsidR="003F33B8" w:rsidRPr="001D5EBE" w:rsidRDefault="003F33B8" w:rsidP="003F33B8">
      <w:pPr>
        <w:pStyle w:val="BTEMEASMCA"/>
        <w:rPr>
          <w:noProof w:val="0"/>
        </w:rPr>
      </w:pPr>
      <w:r w:rsidRPr="001D5EBE">
        <w:t>SOLU-MEDROL vartojimo laikotarpiu negalima gerti greipfrutų sulčių.</w:t>
      </w:r>
    </w:p>
    <w:p w14:paraId="1C5DFE11" w14:textId="77777777" w:rsidR="003F33B8" w:rsidRPr="001D5EBE" w:rsidRDefault="003F33B8" w:rsidP="003F33B8">
      <w:pPr>
        <w:pStyle w:val="Pagrindinistekstas"/>
        <w:spacing w:after="0"/>
        <w:rPr>
          <w:szCs w:val="22"/>
        </w:rPr>
      </w:pPr>
    </w:p>
    <w:p w14:paraId="5CE8A5F2" w14:textId="77777777" w:rsidR="003F33B8" w:rsidRPr="001D5EBE" w:rsidRDefault="003F33B8" w:rsidP="003F33B8">
      <w:pPr>
        <w:pStyle w:val="Antrat3"/>
        <w:rPr>
          <w:szCs w:val="22"/>
        </w:rPr>
      </w:pPr>
      <w:r w:rsidRPr="001D5EBE">
        <w:rPr>
          <w:szCs w:val="22"/>
        </w:rPr>
        <w:t>Nėštumas</w:t>
      </w:r>
      <w:r w:rsidR="00440EEE" w:rsidRPr="001D5EBE">
        <w:rPr>
          <w:szCs w:val="22"/>
        </w:rPr>
        <w:t>,</w:t>
      </w:r>
      <w:r w:rsidRPr="001D5EBE">
        <w:rPr>
          <w:szCs w:val="22"/>
        </w:rPr>
        <w:t xml:space="preserve"> žindymo laikotarpis</w:t>
      </w:r>
      <w:r w:rsidR="00440EEE" w:rsidRPr="001D5EBE">
        <w:rPr>
          <w:szCs w:val="22"/>
        </w:rPr>
        <w:t xml:space="preserve"> ir vaisingumas</w:t>
      </w:r>
    </w:p>
    <w:p w14:paraId="64331199" w14:textId="77777777" w:rsidR="003F33B8" w:rsidRPr="001D5EBE" w:rsidRDefault="003F33B8" w:rsidP="003F33B8">
      <w:pPr>
        <w:spacing w:line="240" w:lineRule="auto"/>
        <w:rPr>
          <w:lang w:val="lt-LT"/>
        </w:rPr>
      </w:pPr>
      <w:r w:rsidRPr="001D5EBE">
        <w:rPr>
          <w:noProof/>
          <w:lang w:val="lt-LT"/>
        </w:rPr>
        <w:t>Jeigu esate nėščia, žindote kūdikį, manote, kad galbūt esate nėščia, arba planuojate pastoti, tai prieš vartodama šį</w:t>
      </w:r>
      <w:r w:rsidRPr="001D5EBE">
        <w:rPr>
          <w:lang w:val="lt-LT"/>
        </w:rPr>
        <w:t xml:space="preserve"> vaistą, </w:t>
      </w:r>
      <w:r w:rsidRPr="001D5EBE">
        <w:rPr>
          <w:noProof/>
          <w:lang w:val="lt-LT"/>
        </w:rPr>
        <w:t>pasitarkite</w:t>
      </w:r>
      <w:r w:rsidRPr="001D5EBE">
        <w:rPr>
          <w:lang w:val="lt-LT"/>
        </w:rPr>
        <w:t xml:space="preserve"> su gydytoju.</w:t>
      </w:r>
    </w:p>
    <w:p w14:paraId="16370EE0" w14:textId="77777777" w:rsidR="003F33B8" w:rsidRPr="001D5EBE" w:rsidRDefault="003F33B8" w:rsidP="003F33B8">
      <w:pPr>
        <w:spacing w:line="240" w:lineRule="auto"/>
        <w:rPr>
          <w:lang w:val="lt-LT"/>
        </w:rPr>
      </w:pPr>
    </w:p>
    <w:p w14:paraId="59425741" w14:textId="77777777" w:rsidR="003F33B8" w:rsidRPr="001D5EBE" w:rsidRDefault="003F33B8" w:rsidP="003F33B8">
      <w:pPr>
        <w:spacing w:line="240" w:lineRule="auto"/>
        <w:rPr>
          <w:lang w:val="lt-LT"/>
        </w:rPr>
      </w:pPr>
      <w:r w:rsidRPr="001D5EBE">
        <w:rPr>
          <w:lang w:val="lt-LT"/>
        </w:rPr>
        <w:t>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w:t>
      </w:r>
    </w:p>
    <w:p w14:paraId="611A3513" w14:textId="77777777" w:rsidR="003F33B8" w:rsidRPr="001D5EBE" w:rsidRDefault="003F33B8" w:rsidP="003F33B8">
      <w:pPr>
        <w:spacing w:line="240" w:lineRule="auto"/>
        <w:rPr>
          <w:lang w:val="lt-LT"/>
        </w:rPr>
      </w:pPr>
    </w:p>
    <w:p w14:paraId="4572F949" w14:textId="77777777" w:rsidR="003F33B8" w:rsidRPr="001D5EBE" w:rsidRDefault="003F33B8" w:rsidP="003F33B8">
      <w:pPr>
        <w:spacing w:line="240" w:lineRule="auto"/>
        <w:rPr>
          <w:lang w:val="lt-LT"/>
        </w:rPr>
      </w:pPr>
      <w:proofErr w:type="spellStart"/>
      <w:r w:rsidRPr="001D5EBE">
        <w:rPr>
          <w:lang w:val="lt-LT"/>
        </w:rPr>
        <w:t>Gliukokortikoidai</w:t>
      </w:r>
      <w:proofErr w:type="spellEnd"/>
      <w:r w:rsidRPr="001D5EBE">
        <w:rPr>
          <w:lang w:val="lt-LT"/>
        </w:rPr>
        <w:t xml:space="preserve"> greitai prasiskverbia pro placentą. Jei nėščia moteris vartojo </w:t>
      </w:r>
      <w:proofErr w:type="spellStart"/>
      <w:r w:rsidRPr="001D5EBE">
        <w:rPr>
          <w:lang w:val="lt-LT"/>
        </w:rPr>
        <w:t>gliukokortikoidus</w:t>
      </w:r>
      <w:proofErr w:type="spellEnd"/>
      <w:r w:rsidRPr="001D5EBE">
        <w:rPr>
          <w:lang w:val="lt-LT"/>
        </w:rPr>
        <w:t xml:space="preserve"> didelėmis dozėmis, naujagimį reikia atidžiai stebėti.</w:t>
      </w:r>
    </w:p>
    <w:p w14:paraId="66D24820" w14:textId="77777777" w:rsidR="00584BB5" w:rsidRPr="001D5EBE" w:rsidRDefault="00584BB5" w:rsidP="00584BB5">
      <w:pPr>
        <w:pStyle w:val="Pagrindinistekstas"/>
        <w:spacing w:after="0"/>
        <w:rPr>
          <w:szCs w:val="22"/>
        </w:rPr>
      </w:pPr>
      <w:r w:rsidRPr="001D5EBE">
        <w:rPr>
          <w:szCs w:val="22"/>
        </w:rPr>
        <w:t xml:space="preserve">Vaisto sudėtyje yra konservanto </w:t>
      </w:r>
      <w:proofErr w:type="spellStart"/>
      <w:r w:rsidRPr="001D5EBE">
        <w:rPr>
          <w:szCs w:val="22"/>
        </w:rPr>
        <w:t>benzilo</w:t>
      </w:r>
      <w:proofErr w:type="spellEnd"/>
      <w:r w:rsidRPr="001D5EBE">
        <w:rPr>
          <w:szCs w:val="22"/>
        </w:rPr>
        <w:t xml:space="preserve"> alkoholio. </w:t>
      </w:r>
      <w:proofErr w:type="spellStart"/>
      <w:r w:rsidRPr="001D5EBE">
        <w:rPr>
          <w:szCs w:val="22"/>
        </w:rPr>
        <w:t>Benzilo</w:t>
      </w:r>
      <w:proofErr w:type="spellEnd"/>
      <w:r w:rsidRPr="001D5EBE">
        <w:rPr>
          <w:szCs w:val="22"/>
        </w:rPr>
        <w:t xml:space="preserve"> alkoholis gali prasiskverbti per placentą.</w:t>
      </w:r>
    </w:p>
    <w:p w14:paraId="2C25CEF7" w14:textId="77777777" w:rsidR="003F33B8" w:rsidRPr="001D5EBE" w:rsidRDefault="003F33B8" w:rsidP="003F33B8">
      <w:pPr>
        <w:spacing w:line="240" w:lineRule="auto"/>
        <w:rPr>
          <w:lang w:val="lt-LT"/>
        </w:rPr>
      </w:pPr>
    </w:p>
    <w:p w14:paraId="41819D51" w14:textId="77777777" w:rsidR="003F33B8" w:rsidRPr="001D5EBE" w:rsidRDefault="003F33B8" w:rsidP="003F33B8">
      <w:pPr>
        <w:spacing w:line="240" w:lineRule="auto"/>
        <w:rPr>
          <w:lang w:val="lt-LT"/>
        </w:rPr>
      </w:pPr>
      <w:proofErr w:type="spellStart"/>
      <w:r w:rsidRPr="001D5EBE">
        <w:rPr>
          <w:lang w:val="lt-LT"/>
        </w:rPr>
        <w:t>Gliukokortikoidai</w:t>
      </w:r>
      <w:proofErr w:type="spellEnd"/>
      <w:r w:rsidRPr="001D5EBE">
        <w:rPr>
          <w:lang w:val="lt-LT"/>
        </w:rPr>
        <w:t xml:space="preserve"> išsiskiria su motinos pienu. </w:t>
      </w:r>
      <w:r w:rsidR="009B2A03" w:rsidRPr="009B2A03">
        <w:rPr>
          <w:lang w:val="lt-LT"/>
        </w:rPr>
        <w:t xml:space="preserve">Žindymo laikotarpiu gydyti </w:t>
      </w:r>
      <w:proofErr w:type="spellStart"/>
      <w:r w:rsidR="009B2A03" w:rsidRPr="009B2A03">
        <w:rPr>
          <w:lang w:val="lt-LT"/>
        </w:rPr>
        <w:t>metilprednizolonu</w:t>
      </w:r>
      <w:proofErr w:type="spellEnd"/>
      <w:r w:rsidR="009B2A03" w:rsidRPr="009B2A03">
        <w:rPr>
          <w:lang w:val="lt-LT"/>
        </w:rPr>
        <w:t xml:space="preserve"> galima tik gerai apsvarsčius, ar laukiama nauda bus didesnė už galimą pavojų motinai ir kūdikiui.</w:t>
      </w:r>
    </w:p>
    <w:p w14:paraId="247D001F" w14:textId="77777777" w:rsidR="003F33B8" w:rsidRPr="001D5EBE" w:rsidRDefault="003F33B8" w:rsidP="003F33B8">
      <w:pPr>
        <w:spacing w:line="240" w:lineRule="auto"/>
        <w:rPr>
          <w:lang w:val="lt-LT"/>
        </w:rPr>
      </w:pPr>
    </w:p>
    <w:p w14:paraId="6A7A7AFA" w14:textId="77777777" w:rsidR="00440EEE" w:rsidRPr="001D5EBE" w:rsidRDefault="00440EEE" w:rsidP="003F33B8">
      <w:pPr>
        <w:spacing w:line="240" w:lineRule="auto"/>
        <w:rPr>
          <w:lang w:val="lt-LT"/>
        </w:rPr>
      </w:pPr>
      <w:proofErr w:type="spellStart"/>
      <w:r w:rsidRPr="001D5EBE">
        <w:rPr>
          <w:lang w:val="lt-LT"/>
        </w:rPr>
        <w:t>Gliukokortikoidai</w:t>
      </w:r>
      <w:proofErr w:type="spellEnd"/>
      <w:r w:rsidRPr="001D5EBE">
        <w:rPr>
          <w:lang w:val="lt-LT"/>
        </w:rPr>
        <w:t xml:space="preserve"> nepalankiai veikia vaisingumą.</w:t>
      </w:r>
    </w:p>
    <w:p w14:paraId="77CCC13A" w14:textId="77777777" w:rsidR="00440EEE" w:rsidRPr="001D5EBE" w:rsidRDefault="00440EEE" w:rsidP="003F33B8">
      <w:pPr>
        <w:spacing w:line="240" w:lineRule="auto"/>
        <w:rPr>
          <w:lang w:val="lt-LT"/>
        </w:rPr>
      </w:pPr>
    </w:p>
    <w:p w14:paraId="051DCA4E" w14:textId="77777777" w:rsidR="003F33B8" w:rsidRPr="001D5EBE" w:rsidRDefault="003F33B8" w:rsidP="003F33B8">
      <w:pPr>
        <w:pStyle w:val="Antrat3"/>
        <w:rPr>
          <w:szCs w:val="22"/>
        </w:rPr>
      </w:pPr>
      <w:r w:rsidRPr="001D5EBE">
        <w:rPr>
          <w:szCs w:val="22"/>
        </w:rPr>
        <w:t>Vairavimas ir mechanizmų valdymas</w:t>
      </w:r>
    </w:p>
    <w:p w14:paraId="62E6CC1B" w14:textId="77777777" w:rsidR="003F33B8" w:rsidRPr="001D5EBE" w:rsidRDefault="003F33B8" w:rsidP="003F33B8">
      <w:pPr>
        <w:tabs>
          <w:tab w:val="left" w:pos="567"/>
        </w:tabs>
        <w:spacing w:line="240" w:lineRule="auto"/>
        <w:rPr>
          <w:lang w:val="lt-LT"/>
        </w:rPr>
      </w:pPr>
      <w:r w:rsidRPr="001D5EBE">
        <w:rPr>
          <w:lang w:val="lt-LT"/>
        </w:rPr>
        <w:t>Gydymo SOLU-MEDROL metu gali pasireikšti toks šalutinis poveikis kaip galvos svaigimas, galvos sukimasis, regos sutrikimas ar nuovargis. Tokiu atveju vairuoti ar valdyti mechanizmus negalima.</w:t>
      </w:r>
    </w:p>
    <w:p w14:paraId="4B31035F" w14:textId="77777777" w:rsidR="003F33B8" w:rsidRPr="001D5EBE" w:rsidRDefault="003F33B8" w:rsidP="003F33B8">
      <w:pPr>
        <w:pStyle w:val="Pagrindinistekstas"/>
        <w:spacing w:after="0"/>
        <w:rPr>
          <w:szCs w:val="22"/>
        </w:rPr>
      </w:pPr>
    </w:p>
    <w:p w14:paraId="325B2C01" w14:textId="77777777" w:rsidR="003F33B8" w:rsidRPr="001D5EBE" w:rsidRDefault="003F33B8" w:rsidP="003F33B8">
      <w:pPr>
        <w:pStyle w:val="PI-3EMEASMCA"/>
        <w:spacing w:line="240" w:lineRule="auto"/>
      </w:pPr>
      <w:r w:rsidRPr="001D5EBE">
        <w:t xml:space="preserve">SOLU-MEDROL sudėtyje yra </w:t>
      </w:r>
      <w:proofErr w:type="spellStart"/>
      <w:r w:rsidRPr="001D5EBE">
        <w:t>benzilo</w:t>
      </w:r>
      <w:proofErr w:type="spellEnd"/>
      <w:r w:rsidRPr="001D5EBE">
        <w:t xml:space="preserve"> alkoholio</w:t>
      </w:r>
    </w:p>
    <w:p w14:paraId="6EB3E9B1" w14:textId="77777777" w:rsidR="00584BB5" w:rsidRPr="001D5EBE" w:rsidRDefault="00584BB5" w:rsidP="003F33B8">
      <w:pPr>
        <w:pStyle w:val="PI-3EMEASMCA"/>
        <w:spacing w:line="240" w:lineRule="auto"/>
        <w:rPr>
          <w:b w:val="0"/>
        </w:rPr>
      </w:pPr>
      <w:r w:rsidRPr="001D5EBE">
        <w:rPr>
          <w:b w:val="0"/>
        </w:rPr>
        <w:t xml:space="preserve">Viename mililitre tirpiklio yra 9 mg </w:t>
      </w:r>
      <w:proofErr w:type="spellStart"/>
      <w:r w:rsidRPr="001D5EBE">
        <w:rPr>
          <w:b w:val="0"/>
        </w:rPr>
        <w:t>benzilo</w:t>
      </w:r>
      <w:proofErr w:type="spellEnd"/>
      <w:r w:rsidRPr="001D5EBE">
        <w:rPr>
          <w:b w:val="0"/>
        </w:rPr>
        <w:t xml:space="preserve"> alkoholio.</w:t>
      </w:r>
    </w:p>
    <w:p w14:paraId="07192882" w14:textId="77777777" w:rsidR="003F33B8" w:rsidRPr="001D5EBE" w:rsidRDefault="003F33B8" w:rsidP="003F33B8">
      <w:pPr>
        <w:pStyle w:val="PI-3EMEASMCA"/>
        <w:spacing w:line="240" w:lineRule="auto"/>
        <w:rPr>
          <w:b w:val="0"/>
        </w:rPr>
      </w:pPr>
      <w:r w:rsidRPr="001D5EBE">
        <w:rPr>
          <w:b w:val="0"/>
        </w:rPr>
        <w:t xml:space="preserve">Negalima </w:t>
      </w:r>
      <w:r w:rsidR="004B145A">
        <w:rPr>
          <w:b w:val="0"/>
        </w:rPr>
        <w:t>vartoti</w:t>
      </w:r>
      <w:r w:rsidR="004B145A" w:rsidRPr="001D5EBE">
        <w:rPr>
          <w:b w:val="0"/>
        </w:rPr>
        <w:t xml:space="preserve"> </w:t>
      </w:r>
      <w:r w:rsidRPr="001D5EBE">
        <w:rPr>
          <w:b w:val="0"/>
        </w:rPr>
        <w:t xml:space="preserve">neišnešiotiems kūdikiams ir naujagimiams. Kūdikiams ir vaikams iki 3 metų gali sukelti toksinių ir alerginių reakcijų. </w:t>
      </w:r>
    </w:p>
    <w:p w14:paraId="6B33CAC8" w14:textId="77777777" w:rsidR="00285A96" w:rsidRPr="001D5EBE" w:rsidRDefault="00285A96" w:rsidP="003F33B8">
      <w:pPr>
        <w:pStyle w:val="PI-3EMEASMCA"/>
        <w:spacing w:line="240" w:lineRule="auto"/>
        <w:rPr>
          <w:b w:val="0"/>
        </w:rPr>
      </w:pPr>
    </w:p>
    <w:p w14:paraId="3CF74667" w14:textId="77777777" w:rsidR="00285A96" w:rsidRPr="001D5EBE" w:rsidRDefault="00285A96" w:rsidP="00285A96">
      <w:pPr>
        <w:spacing w:line="240" w:lineRule="auto"/>
        <w:rPr>
          <w:b/>
          <w:lang w:val="lt-LT"/>
        </w:rPr>
      </w:pPr>
      <w:r w:rsidRPr="001D5EBE">
        <w:rPr>
          <w:b/>
        </w:rPr>
        <w:t xml:space="preserve">SOLU-MEDROL </w:t>
      </w:r>
      <w:proofErr w:type="spellStart"/>
      <w:r w:rsidRPr="001D5EBE">
        <w:rPr>
          <w:b/>
        </w:rPr>
        <w:t>sudėtyje</w:t>
      </w:r>
      <w:proofErr w:type="spellEnd"/>
      <w:r w:rsidRPr="001D5EBE">
        <w:rPr>
          <w:b/>
        </w:rPr>
        <w:t xml:space="preserve"> </w:t>
      </w:r>
      <w:proofErr w:type="spellStart"/>
      <w:r w:rsidRPr="001D5EBE">
        <w:rPr>
          <w:b/>
        </w:rPr>
        <w:t>yra</w:t>
      </w:r>
      <w:proofErr w:type="spellEnd"/>
      <w:r w:rsidRPr="001D5EBE">
        <w:rPr>
          <w:b/>
        </w:rPr>
        <w:t xml:space="preserve"> </w:t>
      </w:r>
      <w:proofErr w:type="spellStart"/>
      <w:r w:rsidRPr="001D5EBE">
        <w:rPr>
          <w:b/>
        </w:rPr>
        <w:t>natrio</w:t>
      </w:r>
      <w:proofErr w:type="spellEnd"/>
    </w:p>
    <w:p w14:paraId="7554BF0C" w14:textId="17445C2D" w:rsidR="00285A96" w:rsidRPr="00705660" w:rsidRDefault="00AB2904" w:rsidP="00285A96">
      <w:pPr>
        <w:spacing w:line="240" w:lineRule="auto"/>
        <w:rPr>
          <w:rStyle w:val="Instructions"/>
        </w:rPr>
      </w:pPr>
      <w:r>
        <w:rPr>
          <w:lang w:val="lt-LT"/>
        </w:rPr>
        <w:t>Viename flakone š</w:t>
      </w:r>
      <w:r w:rsidR="00285A96" w:rsidRPr="001D5EBE">
        <w:rPr>
          <w:lang w:val="lt-LT"/>
        </w:rPr>
        <w:t xml:space="preserve">io vaisto  </w:t>
      </w:r>
      <w:r w:rsidR="00285A96" w:rsidRPr="001D5EBE">
        <w:rPr>
          <w:rFonts w:eastAsiaTheme="minorEastAsia"/>
          <w:lang w:val="lt-LT" w:eastAsia="ja-JP"/>
        </w:rPr>
        <w:t xml:space="preserve">yra 2,55 </w:t>
      </w:r>
      <w:proofErr w:type="spellStart"/>
      <w:r w:rsidR="00285A96" w:rsidRPr="001D5EBE">
        <w:rPr>
          <w:rFonts w:eastAsiaTheme="minorEastAsia"/>
          <w:lang w:val="lt-LT" w:eastAsia="ja-JP"/>
        </w:rPr>
        <w:t>mmol</w:t>
      </w:r>
      <w:proofErr w:type="spellEnd"/>
      <w:r w:rsidR="00285A96" w:rsidRPr="001D5EBE">
        <w:rPr>
          <w:rFonts w:eastAsiaTheme="minorEastAsia"/>
          <w:lang w:val="lt-LT" w:eastAsia="ja-JP"/>
        </w:rPr>
        <w:t xml:space="preserve"> (arba  </w:t>
      </w:r>
      <w:r w:rsidR="00285A96" w:rsidRPr="001D5EBE">
        <w:rPr>
          <w:color w:val="000000"/>
          <w:lang w:val="lt-LT"/>
        </w:rPr>
        <w:t xml:space="preserve">58,56 </w:t>
      </w:r>
      <w:r w:rsidR="00285A96" w:rsidRPr="001D5EBE">
        <w:rPr>
          <w:rFonts w:eastAsiaTheme="minorEastAsia"/>
          <w:lang w:val="lt-LT" w:eastAsia="ja-JP"/>
        </w:rPr>
        <w:t>mg) natrio. Būtina atsižvelgti, jei kontroliuojamas natrio kiekis maiste.</w:t>
      </w:r>
    </w:p>
    <w:p w14:paraId="4F322333" w14:textId="77777777" w:rsidR="003F33B8" w:rsidRPr="001D5EBE" w:rsidRDefault="003F33B8" w:rsidP="003F33B8">
      <w:pPr>
        <w:spacing w:line="240" w:lineRule="auto"/>
        <w:rPr>
          <w:lang w:val="lt-LT"/>
        </w:rPr>
      </w:pPr>
    </w:p>
    <w:p w14:paraId="517D2E79" w14:textId="77777777" w:rsidR="003F33B8" w:rsidRPr="001D5EBE" w:rsidRDefault="003F33B8" w:rsidP="003F33B8">
      <w:pPr>
        <w:spacing w:line="240" w:lineRule="auto"/>
        <w:rPr>
          <w:lang w:val="lt-LT"/>
        </w:rPr>
      </w:pPr>
    </w:p>
    <w:p w14:paraId="4A6CB4B8" w14:textId="77777777" w:rsidR="003F33B8" w:rsidRPr="001D5EBE" w:rsidRDefault="003F33B8" w:rsidP="003F33B8">
      <w:pPr>
        <w:pStyle w:val="Antrat2"/>
        <w:rPr>
          <w:szCs w:val="22"/>
        </w:rPr>
      </w:pPr>
      <w:r w:rsidRPr="001D5EBE">
        <w:rPr>
          <w:szCs w:val="22"/>
        </w:rPr>
        <w:t>3.</w:t>
      </w:r>
      <w:r w:rsidRPr="001D5EBE">
        <w:rPr>
          <w:szCs w:val="22"/>
        </w:rPr>
        <w:tab/>
        <w:t xml:space="preserve">Kaip vartoti </w:t>
      </w:r>
      <w:r w:rsidRPr="001D5EBE">
        <w:rPr>
          <w:bCs/>
          <w:caps/>
          <w:szCs w:val="22"/>
        </w:rPr>
        <w:t>S</w:t>
      </w:r>
      <w:r w:rsidRPr="001D5EBE">
        <w:rPr>
          <w:bCs/>
          <w:szCs w:val="22"/>
        </w:rPr>
        <w:t>OLU-MEDROL</w:t>
      </w:r>
    </w:p>
    <w:p w14:paraId="475DCBBD" w14:textId="77777777" w:rsidR="003F33B8" w:rsidRPr="001D5EBE" w:rsidRDefault="003F33B8" w:rsidP="003F33B8">
      <w:pPr>
        <w:pStyle w:val="Pagrindinistekstas"/>
        <w:spacing w:after="0"/>
        <w:rPr>
          <w:szCs w:val="22"/>
        </w:rPr>
      </w:pPr>
    </w:p>
    <w:p w14:paraId="745DE3C7" w14:textId="77777777" w:rsidR="003F33B8" w:rsidRPr="001D5EBE" w:rsidRDefault="003F33B8" w:rsidP="003F33B8">
      <w:pPr>
        <w:pStyle w:val="Pagrindinistekstas"/>
        <w:spacing w:after="0"/>
        <w:rPr>
          <w:szCs w:val="22"/>
        </w:rPr>
      </w:pPr>
      <w:r w:rsidRPr="001D5EBE">
        <w:rPr>
          <w:szCs w:val="22"/>
        </w:rPr>
        <w:t>Visada vartokite šį vaistą tiksliai, kaip nurodė gydytojas. Jeigu abejojate, kreipkitės į gydytoją</w:t>
      </w:r>
      <w:r w:rsidR="00E85D4B">
        <w:rPr>
          <w:szCs w:val="22"/>
        </w:rPr>
        <w:t>.</w:t>
      </w:r>
    </w:p>
    <w:p w14:paraId="50F84C7E" w14:textId="77777777" w:rsidR="003F33B8" w:rsidRPr="001D5EBE" w:rsidRDefault="003F33B8" w:rsidP="003F33B8">
      <w:pPr>
        <w:pStyle w:val="Pagrindinistekstas"/>
        <w:spacing w:after="0"/>
        <w:rPr>
          <w:szCs w:val="22"/>
        </w:rPr>
      </w:pPr>
    </w:p>
    <w:p w14:paraId="609B59B5" w14:textId="77777777" w:rsidR="003F33B8" w:rsidRPr="001D5EBE" w:rsidRDefault="003F33B8" w:rsidP="003F33B8">
      <w:pPr>
        <w:pStyle w:val="Pagrindinistekstas"/>
        <w:spacing w:after="0"/>
        <w:rPr>
          <w:szCs w:val="22"/>
          <w:u w:val="single"/>
        </w:rPr>
      </w:pPr>
      <w:r w:rsidRPr="001D5EBE">
        <w:rPr>
          <w:szCs w:val="22"/>
          <w:u w:val="single"/>
        </w:rPr>
        <w:t xml:space="preserve">Rekomenduojamos </w:t>
      </w:r>
      <w:proofErr w:type="spellStart"/>
      <w:r w:rsidRPr="001D5EBE">
        <w:rPr>
          <w:szCs w:val="22"/>
          <w:u w:val="single"/>
        </w:rPr>
        <w:t>metilprednizolono</w:t>
      </w:r>
      <w:proofErr w:type="spellEnd"/>
      <w:r w:rsidRPr="001D5EBE">
        <w:rPr>
          <w:szCs w:val="22"/>
          <w:u w:val="single"/>
        </w:rPr>
        <w:t xml:space="preserve"> natrio </w:t>
      </w:r>
      <w:proofErr w:type="spellStart"/>
      <w:r w:rsidRPr="001D5EBE">
        <w:rPr>
          <w:szCs w:val="22"/>
          <w:u w:val="single"/>
        </w:rPr>
        <w:t>sukcinato</w:t>
      </w:r>
      <w:proofErr w:type="spellEnd"/>
      <w:r w:rsidRPr="001D5EBE">
        <w:rPr>
          <w:szCs w:val="22"/>
          <w:u w:val="single"/>
        </w:rPr>
        <w:t xml:space="preserve"> dozės</w:t>
      </w:r>
    </w:p>
    <w:p w14:paraId="42CD7016" w14:textId="77777777" w:rsidR="003F33B8" w:rsidRPr="001D5EBE" w:rsidRDefault="003F33B8" w:rsidP="003F33B8">
      <w:pPr>
        <w:pStyle w:val="Pagrindinistekstas"/>
        <w:spacing w:after="0"/>
        <w:rPr>
          <w:szCs w:val="22"/>
        </w:rPr>
      </w:pPr>
      <w:r w:rsidRPr="001D5EBE">
        <w:rPr>
          <w:i/>
          <w:szCs w:val="22"/>
        </w:rPr>
        <w:t xml:space="preserve">Sisteminės ligos, kai standartinis gydymas neveiksmingas ir ligos paūmėjimo metu. </w:t>
      </w:r>
      <w:r w:rsidRPr="001D5EBE">
        <w:rPr>
          <w:szCs w:val="22"/>
        </w:rPr>
        <w:t>Suleidžiama į veną ne greičiau kaip per 30 min. Gydymas gali būti pakartotas po savaitės, jeigu nėra pagerėjimo ar to reikalauja ligonio būklė. Dozė gali būti 1 g per parą nuo 1 iki 4 dienų arba 1 g per mėnesį, leidžiant 6 mėnesius.</w:t>
      </w:r>
    </w:p>
    <w:p w14:paraId="5E51D515" w14:textId="77777777" w:rsidR="003F33B8" w:rsidRPr="001D5EBE" w:rsidRDefault="003F33B8" w:rsidP="003F33B8">
      <w:pPr>
        <w:pStyle w:val="Pagrindinistekstas"/>
        <w:spacing w:after="0"/>
        <w:rPr>
          <w:szCs w:val="22"/>
        </w:rPr>
      </w:pPr>
      <w:r w:rsidRPr="001D5EBE">
        <w:rPr>
          <w:i/>
          <w:szCs w:val="22"/>
        </w:rPr>
        <w:t>Sisteminė raudonoji vilkligė, kai standartinis gydymas neveiksmingas ir ligos paūmėjimo metu</w:t>
      </w:r>
      <w:r w:rsidRPr="001D5EBE">
        <w:rPr>
          <w:szCs w:val="22"/>
        </w:rPr>
        <w:t>. Leidžiama į veną 1 g per parą 3 dienas iš eilės ne greičiau kaip per 30 min. Gydymas gali būti pakartotas po savaitės, jeigu nėra pagerėjimo ar to reikalauja ligonio būklė.</w:t>
      </w:r>
    </w:p>
    <w:p w14:paraId="04685F59" w14:textId="77777777" w:rsidR="003F33B8" w:rsidRPr="001D5EBE" w:rsidRDefault="003F33B8" w:rsidP="003F33B8">
      <w:pPr>
        <w:pStyle w:val="Pagrindinistekstas"/>
        <w:spacing w:after="0"/>
        <w:rPr>
          <w:szCs w:val="22"/>
        </w:rPr>
      </w:pPr>
      <w:r w:rsidRPr="001D5EBE">
        <w:rPr>
          <w:i/>
          <w:szCs w:val="22"/>
        </w:rPr>
        <w:t>Išsėtinė sklerozė, kai standartinis gydymas neveiksmingas ir ligos paūmėjimo metu</w:t>
      </w:r>
      <w:r w:rsidRPr="001D5EBE">
        <w:rPr>
          <w:szCs w:val="22"/>
        </w:rPr>
        <w:t>. Leidžiama į veną 1 g per parą 3 ar 5 dienas iš eilės ne greičiau kaip per 30 min. Gydymas gali būti pakartotas po savaitės, jeigu nėra pagerėjimo ar to reikalauja ligonio būklė.</w:t>
      </w:r>
    </w:p>
    <w:p w14:paraId="331E8F35" w14:textId="77777777" w:rsidR="003F33B8" w:rsidRPr="001D5EBE" w:rsidRDefault="003F33B8" w:rsidP="003F33B8">
      <w:pPr>
        <w:pStyle w:val="Pagrindinistekstas"/>
        <w:spacing w:after="0"/>
        <w:rPr>
          <w:szCs w:val="22"/>
        </w:rPr>
      </w:pPr>
      <w:r w:rsidRPr="001D5EBE">
        <w:rPr>
          <w:i/>
          <w:szCs w:val="22"/>
        </w:rPr>
        <w:t>Persodintų organų atmetimo profilaktika</w:t>
      </w:r>
      <w:r w:rsidRPr="001D5EBE">
        <w:rPr>
          <w:szCs w:val="22"/>
        </w:rPr>
        <w:t xml:space="preserve">. Slopinant imunitetą – persodintų organų atmetimo profilaktikai (ypač inkstų) – </w:t>
      </w:r>
      <w:proofErr w:type="spellStart"/>
      <w:r w:rsidRPr="001D5EBE">
        <w:rPr>
          <w:szCs w:val="22"/>
        </w:rPr>
        <w:t>metilprednizolono</w:t>
      </w:r>
      <w:proofErr w:type="spellEnd"/>
      <w:r w:rsidRPr="001D5EBE">
        <w:rPr>
          <w:szCs w:val="22"/>
        </w:rPr>
        <w:t xml:space="preserve"> </w:t>
      </w:r>
      <w:proofErr w:type="spellStart"/>
      <w:r w:rsidRPr="001D5EBE">
        <w:rPr>
          <w:szCs w:val="22"/>
        </w:rPr>
        <w:t>infuzuojama</w:t>
      </w:r>
      <w:proofErr w:type="spellEnd"/>
      <w:r w:rsidRPr="001D5EBE">
        <w:rPr>
          <w:szCs w:val="22"/>
        </w:rPr>
        <w:t xml:space="preserve"> į veną po 0,5–1 g kas 24–48 valandas, kol paciento būklė stabilizuojasi, tačiau tokiomis dozėmis gydymas turėtų būti tęsiamas ne ilgiau kaip 48</w:t>
      </w:r>
      <w:r w:rsidRPr="001D5EBE">
        <w:rPr>
          <w:szCs w:val="22"/>
        </w:rPr>
        <w:noBreakHyphen/>
        <w:t>72 valandas.</w:t>
      </w:r>
    </w:p>
    <w:p w14:paraId="3668AEBC" w14:textId="77777777" w:rsidR="003F33B8" w:rsidRPr="001D5EBE" w:rsidRDefault="003F33B8" w:rsidP="003F33B8">
      <w:pPr>
        <w:pStyle w:val="Pagrindinistekstas"/>
        <w:spacing w:after="0"/>
        <w:rPr>
          <w:szCs w:val="22"/>
        </w:rPr>
      </w:pPr>
      <w:r w:rsidRPr="001D5EBE">
        <w:rPr>
          <w:i/>
          <w:szCs w:val="22"/>
        </w:rPr>
        <w:t>Anafilaksinė reakcija</w:t>
      </w:r>
      <w:r w:rsidRPr="001D5EBE">
        <w:rPr>
          <w:szCs w:val="22"/>
        </w:rPr>
        <w:t xml:space="preserve">. Esant anafilaksinėms reakcijoms, pirmiausia turi būti švirkščiamas adrenalinas ar </w:t>
      </w:r>
      <w:proofErr w:type="spellStart"/>
      <w:r w:rsidRPr="001D5EBE">
        <w:rPr>
          <w:szCs w:val="22"/>
        </w:rPr>
        <w:t>noradrenalinas</w:t>
      </w:r>
      <w:proofErr w:type="spellEnd"/>
      <w:r w:rsidRPr="001D5EBE">
        <w:rPr>
          <w:szCs w:val="22"/>
        </w:rPr>
        <w:t xml:space="preserve">, po to </w:t>
      </w:r>
      <w:r w:rsidR="006B51B5">
        <w:rPr>
          <w:szCs w:val="22"/>
        </w:rPr>
        <w:t>leidžiamas</w:t>
      </w:r>
      <w:r w:rsidRPr="001D5EBE">
        <w:rPr>
          <w:szCs w:val="22"/>
        </w:rPr>
        <w:t xml:space="preserve"> </w:t>
      </w:r>
      <w:proofErr w:type="spellStart"/>
      <w:r w:rsidRPr="001D5EBE">
        <w:rPr>
          <w:szCs w:val="22"/>
        </w:rPr>
        <w:t>metilprednizolonas</w:t>
      </w:r>
      <w:proofErr w:type="spellEnd"/>
      <w:r w:rsidRPr="001D5EBE">
        <w:rPr>
          <w:szCs w:val="22"/>
        </w:rPr>
        <w:t>.</w:t>
      </w:r>
    </w:p>
    <w:p w14:paraId="69042AE6" w14:textId="77777777" w:rsidR="003F33B8" w:rsidRPr="001D5EBE" w:rsidRDefault="003F33B8" w:rsidP="003F33B8">
      <w:pPr>
        <w:pStyle w:val="Pagrindinistekstas"/>
        <w:spacing w:after="0"/>
        <w:rPr>
          <w:szCs w:val="22"/>
        </w:rPr>
      </w:pPr>
      <w:r w:rsidRPr="001D5EBE">
        <w:rPr>
          <w:i/>
          <w:szCs w:val="22"/>
        </w:rPr>
        <w:t>Kaip papildomas gydymas prie kitų indikacijų</w:t>
      </w:r>
      <w:r w:rsidRPr="001D5EBE">
        <w:rPr>
          <w:szCs w:val="22"/>
        </w:rPr>
        <w:t>. Pradinė dozė nuo 10 iki 500 mg, priklausomai nuo gydomos ligos ir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5FEEBA21" w14:textId="77777777" w:rsidR="003F33B8" w:rsidRPr="001D5EBE" w:rsidRDefault="003F33B8" w:rsidP="003F33B8">
      <w:pPr>
        <w:pStyle w:val="Pagrindinistekstas"/>
        <w:spacing w:after="0"/>
        <w:rPr>
          <w:szCs w:val="22"/>
        </w:rPr>
      </w:pPr>
    </w:p>
    <w:p w14:paraId="64677880" w14:textId="77777777" w:rsidR="003F33B8" w:rsidRPr="001D5EBE" w:rsidRDefault="003F33B8" w:rsidP="003F33B8">
      <w:pPr>
        <w:pStyle w:val="prastasiniatinklio"/>
        <w:spacing w:before="0" w:beforeAutospacing="0" w:after="0"/>
        <w:rPr>
          <w:sz w:val="22"/>
          <w:szCs w:val="22"/>
          <w:lang w:val="lt-LT"/>
        </w:rPr>
      </w:pPr>
      <w:r w:rsidRPr="001D5EBE">
        <w:rPr>
          <w:sz w:val="22"/>
          <w:szCs w:val="22"/>
          <w:lang w:val="lt-LT"/>
        </w:rPr>
        <w:t xml:space="preserve">Pacientams, sergantiems dėl naviko atsiradusia edema, </w:t>
      </w:r>
      <w:proofErr w:type="spellStart"/>
      <w:r w:rsidRPr="001D5EBE">
        <w:rPr>
          <w:sz w:val="22"/>
          <w:szCs w:val="22"/>
          <w:lang w:val="lt-LT"/>
        </w:rPr>
        <w:t>gliukokortikoidų</w:t>
      </w:r>
      <w:proofErr w:type="spellEnd"/>
      <w:r w:rsidRPr="001D5EBE">
        <w:rPr>
          <w:sz w:val="22"/>
          <w:szCs w:val="22"/>
          <w:lang w:val="lt-LT"/>
        </w:rPr>
        <w:t xml:space="preserve"> doz</w:t>
      </w:r>
      <w:r w:rsidR="00F45685" w:rsidRPr="001D5EBE">
        <w:rPr>
          <w:sz w:val="22"/>
          <w:szCs w:val="22"/>
          <w:lang w:val="lt-LT"/>
        </w:rPr>
        <w:t>ė</w:t>
      </w:r>
      <w:r w:rsidRPr="001D5EBE">
        <w:rPr>
          <w:sz w:val="22"/>
          <w:szCs w:val="22"/>
          <w:lang w:val="lt-LT"/>
        </w:rPr>
        <w:t xml:space="preserve"> bus mažinama laipsniškai, kad nepasireikštų nepageidaujamas poveikis. Jeigu sumažinus dozę pasireiškia smegenų patinimas (nesant kraujavimo į kaukolę), </w:t>
      </w:r>
      <w:proofErr w:type="spellStart"/>
      <w:r w:rsidRPr="001D5EBE">
        <w:rPr>
          <w:sz w:val="22"/>
          <w:szCs w:val="22"/>
          <w:lang w:val="lt-LT"/>
        </w:rPr>
        <w:t>parenteraliai</w:t>
      </w:r>
      <w:proofErr w:type="spellEnd"/>
      <w:r w:rsidRPr="001D5EBE">
        <w:rPr>
          <w:sz w:val="22"/>
          <w:szCs w:val="22"/>
          <w:lang w:val="lt-LT"/>
        </w:rPr>
        <w:t xml:space="preserve"> bus pradėtos skirti didesn</w:t>
      </w:r>
      <w:r w:rsidR="00F45685" w:rsidRPr="001D5EBE">
        <w:rPr>
          <w:sz w:val="22"/>
          <w:szCs w:val="22"/>
          <w:lang w:val="lt-LT"/>
        </w:rPr>
        <w:t>ė</w:t>
      </w:r>
      <w:r w:rsidRPr="001D5EBE">
        <w:rPr>
          <w:sz w:val="22"/>
          <w:szCs w:val="22"/>
          <w:lang w:val="lt-LT"/>
        </w:rPr>
        <w:t>s doz</w:t>
      </w:r>
      <w:r w:rsidR="00F45685" w:rsidRPr="001D5EBE">
        <w:rPr>
          <w:sz w:val="22"/>
          <w:szCs w:val="22"/>
          <w:lang w:val="lt-LT"/>
        </w:rPr>
        <w:t>ė</w:t>
      </w:r>
      <w:r w:rsidRPr="001D5EBE">
        <w:rPr>
          <w:sz w:val="22"/>
          <w:szCs w:val="22"/>
          <w:lang w:val="lt-LT"/>
        </w:rPr>
        <w:t xml:space="preserve">s ir dažniau. </w:t>
      </w:r>
    </w:p>
    <w:p w14:paraId="7086B1A5" w14:textId="77777777" w:rsidR="003F33B8" w:rsidRPr="001D5EBE" w:rsidRDefault="003F33B8" w:rsidP="003F33B8">
      <w:pPr>
        <w:pStyle w:val="Pagrindinistekstas"/>
        <w:spacing w:after="0"/>
        <w:rPr>
          <w:szCs w:val="22"/>
        </w:rPr>
      </w:pPr>
    </w:p>
    <w:p w14:paraId="7A59FD66" w14:textId="77777777" w:rsidR="003F33B8" w:rsidRPr="00705660" w:rsidRDefault="00F278F6" w:rsidP="003F33B8">
      <w:pPr>
        <w:spacing w:line="240" w:lineRule="auto"/>
        <w:rPr>
          <w:b/>
          <w:lang w:val="lt-LT"/>
        </w:rPr>
      </w:pPr>
      <w:r w:rsidRPr="00705660">
        <w:rPr>
          <w:b/>
          <w:lang w:val="lt-LT"/>
        </w:rPr>
        <w:t>Vartojimas vaikams ir paaugliams</w:t>
      </w:r>
    </w:p>
    <w:p w14:paraId="695B3900" w14:textId="77777777" w:rsidR="003F33B8" w:rsidRPr="001D5EBE" w:rsidRDefault="003F33B8" w:rsidP="003F33B8">
      <w:pPr>
        <w:spacing w:line="240" w:lineRule="auto"/>
        <w:rPr>
          <w:lang w:val="lt-LT"/>
        </w:rPr>
      </w:pPr>
      <w:r w:rsidRPr="001D5EBE">
        <w:rPr>
          <w:lang w:val="lt-LT"/>
        </w:rPr>
        <w:t xml:space="preserve">Gydytojas dozę parinks atsižvelgdamas į paciento būklės sunkumą, ji neturėtų būti mažesnė kaip 0,5 mg/kg per parą. Ji vartojama tol, kol paciento būklė stabilizuojasi. Esant didelių dozių poreikiui, vaikams rekomenduojama paros dozė 30 mg/kg per parą iki 1 g per parą. Ši dozė gali būti kartojama 3 kartus iš eilės arba kas antrą parą. Persodintų organų atmetimo reakcijų gydymui gali būti vartojamos ir didelės </w:t>
      </w:r>
      <w:proofErr w:type="spellStart"/>
      <w:r w:rsidRPr="001D5EBE">
        <w:rPr>
          <w:lang w:val="lt-LT"/>
        </w:rPr>
        <w:t>metilprednizolono</w:t>
      </w:r>
      <w:proofErr w:type="spellEnd"/>
      <w:r w:rsidRPr="001D5EBE">
        <w:rPr>
          <w:lang w:val="lt-LT"/>
        </w:rPr>
        <w:t xml:space="preserve"> dozės – 10–20 mg/kg per parą iki 1 g per parą. Toks gydymas neturėtų būti tęsiamas ilgiau kaip tris paras. Esant </w:t>
      </w:r>
      <w:proofErr w:type="spellStart"/>
      <w:r w:rsidR="00E85D4B">
        <w:rPr>
          <w:lang w:val="lt-LT"/>
        </w:rPr>
        <w:t>astminei</w:t>
      </w:r>
      <w:proofErr w:type="spellEnd"/>
      <w:r w:rsidR="00E85D4B">
        <w:rPr>
          <w:lang w:val="lt-LT"/>
        </w:rPr>
        <w:t xml:space="preserve"> </w:t>
      </w:r>
      <w:r w:rsidRPr="001D5EBE">
        <w:rPr>
          <w:lang w:val="lt-LT"/>
        </w:rPr>
        <w:t>būklei, rekomenduojama dozė 1</w:t>
      </w:r>
      <w:r w:rsidRPr="001D5EBE">
        <w:rPr>
          <w:lang w:val="lt-LT"/>
        </w:rPr>
        <w:noBreakHyphen/>
        <w:t>4 mg/kg per parą 1</w:t>
      </w:r>
      <w:r w:rsidRPr="001D5EBE">
        <w:rPr>
          <w:lang w:val="lt-LT"/>
        </w:rPr>
        <w:noBreakHyphen/>
        <w:t>3 paras.</w:t>
      </w:r>
    </w:p>
    <w:p w14:paraId="6BA69415" w14:textId="77777777" w:rsidR="00E91E9E" w:rsidRPr="001D5EBE" w:rsidRDefault="00E91E9E" w:rsidP="003F33B8">
      <w:pPr>
        <w:spacing w:line="240" w:lineRule="auto"/>
        <w:rPr>
          <w:lang w:val="lt-LT"/>
        </w:rPr>
      </w:pPr>
      <w:proofErr w:type="spellStart"/>
      <w:r w:rsidRPr="001D5EBE">
        <w:t>Šio</w:t>
      </w:r>
      <w:proofErr w:type="spellEnd"/>
      <w:r w:rsidRPr="001D5EBE">
        <w:t xml:space="preserve"> </w:t>
      </w:r>
      <w:proofErr w:type="spellStart"/>
      <w:r w:rsidRPr="001D5EBE">
        <w:t>vaisto</w:t>
      </w:r>
      <w:proofErr w:type="spellEnd"/>
      <w:r w:rsidRPr="001D5EBE">
        <w:t xml:space="preserve"> </w:t>
      </w:r>
      <w:proofErr w:type="spellStart"/>
      <w:r w:rsidRPr="001D5EBE">
        <w:t>negalima</w:t>
      </w:r>
      <w:proofErr w:type="spellEnd"/>
      <w:r w:rsidRPr="001D5EBE">
        <w:t xml:space="preserve"> </w:t>
      </w:r>
      <w:proofErr w:type="spellStart"/>
      <w:r w:rsidRPr="001D5EBE">
        <w:t>skirti</w:t>
      </w:r>
      <w:proofErr w:type="spellEnd"/>
      <w:r w:rsidRPr="001D5EBE">
        <w:t xml:space="preserve"> </w:t>
      </w:r>
      <w:proofErr w:type="spellStart"/>
      <w:r w:rsidRPr="001D5EBE">
        <w:t>neišnešiotiems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naujagimiams</w:t>
      </w:r>
      <w:proofErr w:type="spellEnd"/>
      <w:r w:rsidRPr="001D5EBE">
        <w:t xml:space="preserve"> (</w:t>
      </w:r>
      <w:proofErr w:type="spellStart"/>
      <w:r w:rsidRPr="001D5EBE">
        <w:t>žr</w:t>
      </w:r>
      <w:proofErr w:type="spellEnd"/>
      <w:r w:rsidRPr="001D5EBE">
        <w:t xml:space="preserve">. </w:t>
      </w:r>
      <w:proofErr w:type="spellStart"/>
      <w:r w:rsidRPr="001D5EBE">
        <w:t>skyrelį</w:t>
      </w:r>
      <w:proofErr w:type="spellEnd"/>
      <w:r w:rsidRPr="001D5EBE">
        <w:t xml:space="preserve"> </w:t>
      </w:r>
      <w:r w:rsidR="000B7891" w:rsidRPr="001D5EBE">
        <w:t>“</w:t>
      </w:r>
      <w:r w:rsidRPr="001D5EBE">
        <w:t>SOLU</w:t>
      </w:r>
      <w:r w:rsidR="000B7891" w:rsidRPr="001D5EBE">
        <w:t>-</w:t>
      </w:r>
      <w:r w:rsidRPr="001D5EBE">
        <w:t xml:space="preserve">MEDROL </w:t>
      </w:r>
      <w:proofErr w:type="spellStart"/>
      <w:r w:rsidRPr="001D5EBE">
        <w:t>vartoti</w:t>
      </w:r>
      <w:proofErr w:type="spellEnd"/>
      <w:r w:rsidRPr="001D5EBE">
        <w:t xml:space="preserve"> </w:t>
      </w:r>
      <w:proofErr w:type="spellStart"/>
      <w:r w:rsidRPr="001D5EBE">
        <w:t>negalima</w:t>
      </w:r>
      <w:proofErr w:type="spellEnd"/>
      <w:r w:rsidR="000B7891" w:rsidRPr="001D5EBE">
        <w:t>”</w:t>
      </w:r>
      <w:r w:rsidRPr="001D5EBE">
        <w:t>).</w:t>
      </w:r>
    </w:p>
    <w:p w14:paraId="708BD6B9" w14:textId="77777777" w:rsidR="003F33B8" w:rsidRPr="001D5EBE" w:rsidRDefault="003F33B8" w:rsidP="003F33B8">
      <w:pPr>
        <w:spacing w:line="240" w:lineRule="auto"/>
        <w:rPr>
          <w:lang w:val="lt-LT"/>
        </w:rPr>
      </w:pPr>
    </w:p>
    <w:p w14:paraId="3FB96307" w14:textId="77777777" w:rsidR="003F33B8" w:rsidRPr="00705660" w:rsidRDefault="00F278F6" w:rsidP="003F33B8">
      <w:pPr>
        <w:spacing w:line="240" w:lineRule="auto"/>
        <w:rPr>
          <w:i/>
          <w:lang w:val="lt-LT"/>
        </w:rPr>
      </w:pPr>
      <w:r w:rsidRPr="00705660">
        <w:rPr>
          <w:i/>
          <w:lang w:val="lt-LT"/>
        </w:rPr>
        <w:t>Senyviems &gt; 65 metų pacientams, taip pat pacientams, kurių inkstų funkcija sutrikusi</w:t>
      </w:r>
    </w:p>
    <w:p w14:paraId="4618EC11" w14:textId="77777777" w:rsidR="003F33B8" w:rsidRPr="001D5EBE" w:rsidRDefault="003F33B8" w:rsidP="003F33B8">
      <w:pPr>
        <w:spacing w:line="240" w:lineRule="auto"/>
        <w:rPr>
          <w:lang w:val="lt-LT"/>
        </w:rPr>
      </w:pPr>
      <w:r w:rsidRPr="001D5EBE">
        <w:rPr>
          <w:lang w:val="lt-LT"/>
        </w:rPr>
        <w:t xml:space="preserve">Gydant vyresnio amžiaus pacientus ir pacientus, kurių inkstų veikla sutrikusi, bus imtasi atsargumo priemonių. Ar šiems pacientams reikia mažinti </w:t>
      </w:r>
      <w:proofErr w:type="spellStart"/>
      <w:r w:rsidRPr="001D5EBE">
        <w:rPr>
          <w:lang w:val="lt-LT"/>
        </w:rPr>
        <w:t>metilprednizolono</w:t>
      </w:r>
      <w:proofErr w:type="spellEnd"/>
      <w:r w:rsidRPr="001D5EBE">
        <w:rPr>
          <w:lang w:val="lt-LT"/>
        </w:rPr>
        <w:t xml:space="preserve"> dozę, duomenų nėra.</w:t>
      </w:r>
    </w:p>
    <w:p w14:paraId="452530ED" w14:textId="77777777" w:rsidR="003F33B8" w:rsidRPr="001D5EBE" w:rsidRDefault="003F33B8" w:rsidP="003F33B8">
      <w:pPr>
        <w:spacing w:line="240" w:lineRule="auto"/>
        <w:rPr>
          <w:lang w:val="lt-LT"/>
        </w:rPr>
      </w:pPr>
    </w:p>
    <w:p w14:paraId="3ED2CB64" w14:textId="77777777" w:rsidR="003F33B8" w:rsidRPr="00705660" w:rsidRDefault="00F278F6" w:rsidP="003F33B8">
      <w:pPr>
        <w:spacing w:line="240" w:lineRule="auto"/>
        <w:rPr>
          <w:i/>
          <w:lang w:val="lt-LT"/>
        </w:rPr>
      </w:pPr>
      <w:r w:rsidRPr="00705660">
        <w:rPr>
          <w:i/>
          <w:lang w:val="lt-LT"/>
        </w:rPr>
        <w:t>Pacientams, kurių kepenų funkcija sutrikusi</w:t>
      </w:r>
    </w:p>
    <w:p w14:paraId="37D18642" w14:textId="77777777" w:rsidR="003F33B8" w:rsidRPr="001D5EBE" w:rsidRDefault="003F33B8" w:rsidP="003F33B8">
      <w:pPr>
        <w:spacing w:line="240" w:lineRule="auto"/>
        <w:rPr>
          <w:lang w:val="lt-LT"/>
        </w:rPr>
      </w:pPr>
      <w:r w:rsidRPr="001D5EBE">
        <w:rPr>
          <w:lang w:val="lt-LT"/>
        </w:rPr>
        <w:t>Pacientams, sergantiems kepenų ciroze arba k</w:t>
      </w:r>
      <w:r w:rsidR="00F45685" w:rsidRPr="001D5EBE">
        <w:rPr>
          <w:lang w:val="lt-LT"/>
        </w:rPr>
        <w:t>ita</w:t>
      </w:r>
      <w:r w:rsidRPr="001D5EBE">
        <w:rPr>
          <w:lang w:val="lt-LT"/>
        </w:rPr>
        <w:t xml:space="preserve"> sunkia kepenų liga, gydytojas gali sumažinti dozę, nes </w:t>
      </w:r>
      <w:proofErr w:type="spellStart"/>
      <w:r w:rsidRPr="001D5EBE">
        <w:rPr>
          <w:lang w:val="lt-LT"/>
        </w:rPr>
        <w:t>metilprednizolono</w:t>
      </w:r>
      <w:proofErr w:type="spellEnd"/>
      <w:r w:rsidRPr="001D5EBE">
        <w:rPr>
          <w:lang w:val="lt-LT"/>
        </w:rPr>
        <w:t xml:space="preserve"> poveikis gali sustiprėti.</w:t>
      </w:r>
    </w:p>
    <w:p w14:paraId="7C185E07" w14:textId="77777777" w:rsidR="003F33B8" w:rsidRPr="001D5EBE" w:rsidRDefault="003F33B8" w:rsidP="003F33B8">
      <w:pPr>
        <w:spacing w:line="240" w:lineRule="auto"/>
        <w:rPr>
          <w:lang w:val="lt-LT"/>
        </w:rPr>
      </w:pPr>
    </w:p>
    <w:p w14:paraId="4DDC1A65" w14:textId="77777777" w:rsidR="003F33B8" w:rsidRPr="001D5EBE" w:rsidRDefault="003F33B8" w:rsidP="003F33B8">
      <w:pPr>
        <w:pStyle w:val="Pagrindinistekstas"/>
        <w:spacing w:after="0"/>
        <w:rPr>
          <w:szCs w:val="22"/>
          <w:u w:val="single"/>
        </w:rPr>
      </w:pPr>
      <w:r w:rsidRPr="001D5EBE">
        <w:rPr>
          <w:szCs w:val="22"/>
          <w:u w:val="single"/>
        </w:rPr>
        <w:t>Vartojimo metodas</w:t>
      </w:r>
    </w:p>
    <w:p w14:paraId="0FED653E" w14:textId="77777777" w:rsidR="003F33B8" w:rsidRPr="001D5EBE" w:rsidRDefault="003F33B8" w:rsidP="003F33B8">
      <w:pPr>
        <w:pStyle w:val="Pagrindinistekstas"/>
        <w:spacing w:after="0"/>
        <w:rPr>
          <w:szCs w:val="22"/>
        </w:rPr>
      </w:pP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gali būti leidžiamas ir </w:t>
      </w:r>
      <w:proofErr w:type="spellStart"/>
      <w:r w:rsidRPr="001D5EBE">
        <w:rPr>
          <w:szCs w:val="22"/>
        </w:rPr>
        <w:t>infuzuojamas</w:t>
      </w:r>
      <w:proofErr w:type="spellEnd"/>
      <w:r w:rsidRPr="001D5EBE">
        <w:rPr>
          <w:szCs w:val="22"/>
        </w:rPr>
        <w:t xml:space="preserve"> į veną arba leidžiamas į raumenis. Vaisto dozės vaikams ir </w:t>
      </w:r>
      <w:r w:rsidR="00F45685" w:rsidRPr="001D5EBE">
        <w:rPr>
          <w:szCs w:val="22"/>
        </w:rPr>
        <w:t>kūdik</w:t>
      </w:r>
      <w:r w:rsidRPr="001D5EBE">
        <w:rPr>
          <w:szCs w:val="22"/>
        </w:rPr>
        <w:t>iams gali būti sumažinamos, bet jas parenkant yra labiau atsižvelgiama į ligos sunkumą ir organizmo atsaką į gydymą, nei į paciento amžių ir svorį. Vaisto paros dozė vaikams turi būti ne mažesnė negu 0,5 mg/kg.</w:t>
      </w:r>
    </w:p>
    <w:p w14:paraId="2151B91E" w14:textId="77777777" w:rsidR="003F33B8" w:rsidRPr="001D5EBE" w:rsidRDefault="003F33B8" w:rsidP="003F33B8">
      <w:pPr>
        <w:pStyle w:val="Pagrindinistekstas"/>
        <w:spacing w:after="0"/>
        <w:rPr>
          <w:szCs w:val="22"/>
        </w:rPr>
      </w:pPr>
    </w:p>
    <w:p w14:paraId="57377336" w14:textId="77777777" w:rsidR="003F33B8" w:rsidRPr="001D5EBE" w:rsidRDefault="003F33B8" w:rsidP="003F33B8">
      <w:pPr>
        <w:pStyle w:val="Pagrindinistekstas"/>
        <w:spacing w:after="0"/>
        <w:rPr>
          <w:szCs w:val="22"/>
        </w:rPr>
      </w:pPr>
      <w:r w:rsidRPr="001D5EBE">
        <w:rPr>
          <w:szCs w:val="22"/>
        </w:rPr>
        <w:t xml:space="preserve">Vengiant problemų, susijusių su stabilumu ir suderinamumu, kai tik įmanoma,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rekomenduojamas vartoti atskirai nuo kitų vaistų, išskyrus nurodytus šio pakuotės lapelio pabaigoje skyriuje „Vartojimo ir darbo su vaistiniu preparatu instrukcija</w:t>
      </w:r>
      <w:r w:rsidRPr="001D5EBE">
        <w:rPr>
          <w:b/>
          <w:szCs w:val="22"/>
        </w:rPr>
        <w:t>“</w:t>
      </w:r>
      <w:r w:rsidRPr="001D5EBE">
        <w:rPr>
          <w:szCs w:val="22"/>
        </w:rPr>
        <w:t>.</w:t>
      </w:r>
    </w:p>
    <w:p w14:paraId="054BCB1E" w14:textId="77777777" w:rsidR="003F33B8" w:rsidRPr="001D5EBE" w:rsidRDefault="003F33B8" w:rsidP="003F33B8">
      <w:pPr>
        <w:pStyle w:val="Pagrindinistekstas"/>
        <w:spacing w:after="0"/>
        <w:rPr>
          <w:szCs w:val="22"/>
        </w:rPr>
      </w:pPr>
    </w:p>
    <w:p w14:paraId="47BBF1F9" w14:textId="77777777" w:rsidR="003F33B8" w:rsidRPr="001D5EBE" w:rsidRDefault="003F33B8" w:rsidP="003F33B8">
      <w:pPr>
        <w:pStyle w:val="Antrat3"/>
        <w:rPr>
          <w:szCs w:val="22"/>
        </w:rPr>
      </w:pPr>
      <w:r w:rsidRPr="001D5EBE">
        <w:rPr>
          <w:szCs w:val="22"/>
        </w:rPr>
        <w:t xml:space="preserve">Ką daryti pavartojus per didelę </w:t>
      </w:r>
      <w:r w:rsidRPr="001D5EBE">
        <w:rPr>
          <w:bCs w:val="0"/>
          <w:caps/>
          <w:szCs w:val="22"/>
        </w:rPr>
        <w:t>S</w:t>
      </w:r>
      <w:r w:rsidRPr="001D5EBE">
        <w:rPr>
          <w:bCs w:val="0"/>
          <w:szCs w:val="22"/>
        </w:rPr>
        <w:t>OLU-MEDROL</w:t>
      </w:r>
      <w:r w:rsidRPr="001D5EBE">
        <w:rPr>
          <w:szCs w:val="22"/>
        </w:rPr>
        <w:t xml:space="preserve"> dozę?</w:t>
      </w:r>
    </w:p>
    <w:p w14:paraId="103EC084" w14:textId="77777777" w:rsidR="003F33B8" w:rsidRPr="001D5EBE" w:rsidRDefault="003F33B8" w:rsidP="003F33B8">
      <w:pPr>
        <w:pStyle w:val="Pagrindinistekstas"/>
        <w:spacing w:after="0"/>
        <w:rPr>
          <w:szCs w:val="22"/>
        </w:rPr>
      </w:pPr>
      <w:r w:rsidRPr="001D5EBE">
        <w:rPr>
          <w:szCs w:val="22"/>
        </w:rPr>
        <w:t xml:space="preserve">Klinikinio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ūminio perdozavimo sindromo nėra. Ilgai vartotas per dideles </w:t>
      </w:r>
      <w:r w:rsidR="003D18B6" w:rsidRPr="001D5EBE">
        <w:rPr>
          <w:szCs w:val="22"/>
        </w:rPr>
        <w:t>doz</w:t>
      </w:r>
      <w:r w:rsidR="003D18B6">
        <w:rPr>
          <w:szCs w:val="22"/>
        </w:rPr>
        <w:t>e</w:t>
      </w:r>
      <w:r w:rsidR="003D18B6" w:rsidRPr="001D5EBE">
        <w:rPr>
          <w:szCs w:val="22"/>
        </w:rPr>
        <w:t xml:space="preserve">s </w:t>
      </w:r>
      <w:r w:rsidRPr="001D5EBE">
        <w:rPr>
          <w:szCs w:val="22"/>
        </w:rPr>
        <w:t>reikia mažinti laipsniškai..</w:t>
      </w:r>
    </w:p>
    <w:p w14:paraId="526C4060" w14:textId="77777777" w:rsidR="003F33B8" w:rsidRPr="001D5EBE" w:rsidRDefault="003F33B8" w:rsidP="003F33B8">
      <w:pPr>
        <w:pStyle w:val="Pagrindinistekstas"/>
        <w:spacing w:after="0"/>
        <w:rPr>
          <w:szCs w:val="22"/>
        </w:rPr>
      </w:pPr>
    </w:p>
    <w:p w14:paraId="1DEE741A" w14:textId="77777777" w:rsidR="003F33B8" w:rsidRPr="001D5EBE" w:rsidRDefault="003F33B8" w:rsidP="003F33B8">
      <w:pPr>
        <w:pStyle w:val="Antrat3"/>
        <w:rPr>
          <w:szCs w:val="22"/>
        </w:rPr>
      </w:pPr>
      <w:r w:rsidRPr="001D5EBE">
        <w:rPr>
          <w:szCs w:val="22"/>
        </w:rPr>
        <w:t xml:space="preserve">Pamiršus pavartoti </w:t>
      </w:r>
      <w:r w:rsidRPr="001D5EBE">
        <w:rPr>
          <w:bCs w:val="0"/>
          <w:caps/>
          <w:szCs w:val="22"/>
        </w:rPr>
        <w:t>S</w:t>
      </w:r>
      <w:r w:rsidRPr="001D5EBE">
        <w:rPr>
          <w:bCs w:val="0"/>
          <w:szCs w:val="22"/>
        </w:rPr>
        <w:t>OLU-MEDROL</w:t>
      </w:r>
    </w:p>
    <w:p w14:paraId="5FE8B906" w14:textId="77777777" w:rsidR="003F33B8" w:rsidRPr="001D5EBE" w:rsidRDefault="00E85D4B" w:rsidP="003F33B8">
      <w:pPr>
        <w:pStyle w:val="Pagrindinistekstas"/>
        <w:spacing w:after="0"/>
        <w:rPr>
          <w:szCs w:val="22"/>
        </w:rPr>
      </w:pPr>
      <w:r w:rsidRPr="00B34FA1">
        <w:rPr>
          <w:noProof/>
          <w:szCs w:val="24"/>
        </w:rPr>
        <w:t>Negalima vartoti dvigubos dozės norint kompensuoti praleistą</w:t>
      </w:r>
      <w:r>
        <w:rPr>
          <w:noProof/>
          <w:szCs w:val="24"/>
        </w:rPr>
        <w:t xml:space="preserve"> dozę. </w:t>
      </w:r>
      <w:r w:rsidR="003F33B8" w:rsidRPr="001D5EBE">
        <w:rPr>
          <w:szCs w:val="22"/>
        </w:rPr>
        <w:t>.</w:t>
      </w:r>
    </w:p>
    <w:p w14:paraId="7E0F0221" w14:textId="77777777" w:rsidR="003F33B8" w:rsidRPr="001D5EBE" w:rsidRDefault="003F33B8" w:rsidP="003F33B8">
      <w:pPr>
        <w:pStyle w:val="Pagrindinistekstas"/>
        <w:spacing w:after="0"/>
        <w:rPr>
          <w:szCs w:val="22"/>
        </w:rPr>
      </w:pPr>
    </w:p>
    <w:p w14:paraId="20D19BDC" w14:textId="77777777" w:rsidR="003F33B8" w:rsidRPr="001D5EBE" w:rsidRDefault="003F33B8" w:rsidP="003F33B8">
      <w:pPr>
        <w:pStyle w:val="PI-3EMEASMCA"/>
        <w:spacing w:line="240" w:lineRule="auto"/>
      </w:pPr>
      <w:r w:rsidRPr="001D5EBE">
        <w:t xml:space="preserve">Nustojus vartoti </w:t>
      </w:r>
      <w:r w:rsidRPr="001D5EBE">
        <w:rPr>
          <w:bCs w:val="0"/>
          <w:caps/>
        </w:rPr>
        <w:t>S</w:t>
      </w:r>
      <w:r w:rsidRPr="001D5EBE">
        <w:rPr>
          <w:bCs w:val="0"/>
        </w:rPr>
        <w:t>OLU-MEDROL</w:t>
      </w:r>
    </w:p>
    <w:p w14:paraId="245501BE" w14:textId="77777777" w:rsidR="003F33B8" w:rsidRPr="001D5EBE" w:rsidRDefault="003F33B8" w:rsidP="003F33B8">
      <w:pPr>
        <w:pStyle w:val="Pagrindinistekstas"/>
        <w:spacing w:after="0"/>
        <w:rPr>
          <w:szCs w:val="22"/>
        </w:rPr>
      </w:pPr>
      <w:r w:rsidRPr="001D5EBE">
        <w:rPr>
          <w:szCs w:val="22"/>
        </w:rPr>
        <w:t>Staiga nutraukti SOLU-MEDROL vartojimo negalima, nes gali atsirasti nutraukimo požymių (žr. 4 skyrių „Galimas šalutinis poveikis“). Tiksliai vykdykite su gydymo nutraukimu susijusius gydytojo nurodymus.</w:t>
      </w:r>
    </w:p>
    <w:p w14:paraId="6C30A00D" w14:textId="77777777" w:rsidR="003F33B8" w:rsidRPr="001D5EBE" w:rsidRDefault="003F33B8" w:rsidP="003F33B8">
      <w:pPr>
        <w:pStyle w:val="Pagrindinistekstas"/>
        <w:spacing w:after="0"/>
        <w:rPr>
          <w:szCs w:val="22"/>
        </w:rPr>
      </w:pPr>
    </w:p>
    <w:p w14:paraId="2078FE3F" w14:textId="77777777" w:rsidR="003F33B8" w:rsidRPr="001D5EBE" w:rsidRDefault="003F33B8" w:rsidP="003F33B8">
      <w:pPr>
        <w:pStyle w:val="Pagrindinistekstas"/>
        <w:spacing w:after="0"/>
        <w:rPr>
          <w:szCs w:val="22"/>
        </w:rPr>
      </w:pPr>
      <w:r w:rsidRPr="001D5EBE">
        <w:rPr>
          <w:szCs w:val="22"/>
        </w:rPr>
        <w:t>Jeigu kiltų daugiau klausimų dėl šio vaisto vartojimo, kreipkitės į gydytoją.</w:t>
      </w:r>
    </w:p>
    <w:p w14:paraId="5CBE8389" w14:textId="77777777" w:rsidR="003F33B8" w:rsidRPr="001D5EBE" w:rsidRDefault="003F33B8" w:rsidP="003F33B8">
      <w:pPr>
        <w:pStyle w:val="Pagrindinistekstas"/>
        <w:spacing w:after="0"/>
        <w:rPr>
          <w:szCs w:val="22"/>
        </w:rPr>
      </w:pPr>
    </w:p>
    <w:p w14:paraId="13C91802" w14:textId="77777777" w:rsidR="003F33B8" w:rsidRPr="001D5EBE" w:rsidRDefault="003F33B8" w:rsidP="003F33B8">
      <w:pPr>
        <w:pStyle w:val="Antrat2"/>
        <w:rPr>
          <w:szCs w:val="22"/>
        </w:rPr>
      </w:pPr>
      <w:r w:rsidRPr="001D5EBE">
        <w:rPr>
          <w:szCs w:val="22"/>
        </w:rPr>
        <w:t>4.</w:t>
      </w:r>
      <w:r w:rsidRPr="001D5EBE">
        <w:rPr>
          <w:szCs w:val="22"/>
        </w:rPr>
        <w:tab/>
        <w:t>Galima</w:t>
      </w:r>
      <w:r w:rsidR="00042707">
        <w:rPr>
          <w:szCs w:val="22"/>
        </w:rPr>
        <w:t>s</w:t>
      </w:r>
      <w:r w:rsidRPr="001D5EBE">
        <w:rPr>
          <w:szCs w:val="22"/>
        </w:rPr>
        <w:t xml:space="preserve"> šalutinis poveikis</w:t>
      </w:r>
    </w:p>
    <w:p w14:paraId="24AAB428" w14:textId="77777777" w:rsidR="003F33B8" w:rsidRPr="001D5EBE" w:rsidRDefault="003F33B8" w:rsidP="003F33B8">
      <w:pPr>
        <w:pStyle w:val="Pagrindinistekstas"/>
        <w:spacing w:after="0"/>
        <w:rPr>
          <w:szCs w:val="22"/>
        </w:rPr>
      </w:pPr>
    </w:p>
    <w:p w14:paraId="43CE3B8C" w14:textId="77777777" w:rsidR="003F33B8" w:rsidRPr="001D5EBE" w:rsidRDefault="003F33B8" w:rsidP="003F33B8">
      <w:pPr>
        <w:pStyle w:val="Pagrindinistekstas"/>
        <w:spacing w:after="0"/>
        <w:rPr>
          <w:szCs w:val="22"/>
        </w:rPr>
      </w:pPr>
      <w:r w:rsidRPr="001D5EBE">
        <w:rPr>
          <w:szCs w:val="22"/>
        </w:rPr>
        <w:t>Šis vaistas, kaip ir visi kiti, gali sukelti šalutinį poveikį, nors jis pasireiškia ne visiems žmonėms.</w:t>
      </w:r>
    </w:p>
    <w:p w14:paraId="59CF3B9B" w14:textId="77777777" w:rsidR="003F33B8" w:rsidRPr="001D5EBE" w:rsidRDefault="003F33B8" w:rsidP="003F33B8">
      <w:pPr>
        <w:pStyle w:val="Pagrindinistekstas"/>
        <w:spacing w:after="0"/>
        <w:rPr>
          <w:szCs w:val="22"/>
        </w:rPr>
      </w:pPr>
    </w:p>
    <w:p w14:paraId="7E2E89AA" w14:textId="77777777" w:rsidR="00E85D4B" w:rsidRPr="001D5EBE" w:rsidRDefault="00E85D4B" w:rsidP="003F33B8">
      <w:pPr>
        <w:tabs>
          <w:tab w:val="left" w:pos="567"/>
        </w:tabs>
        <w:spacing w:line="240" w:lineRule="auto"/>
        <w:rPr>
          <w:i/>
          <w:lang w:val="lt-LT"/>
        </w:rPr>
      </w:pPr>
      <w:r>
        <w:rPr>
          <w:i/>
          <w:lang w:val="lt-LT"/>
        </w:rPr>
        <w:t>Nurodytų šalutinių poveikių dažnis nežinomas:</w:t>
      </w:r>
    </w:p>
    <w:p w14:paraId="5A642F39"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infekcija, paprastai pasireiškianti tik nusilpus imuninei sistemai (oportunistinė infekcija), infekcinės ligos, pilvaplėvės uždegimas (peritonitas)</w:t>
      </w:r>
      <w:r w:rsidR="00E85D4B">
        <w:rPr>
          <w:lang w:val="lt-LT"/>
        </w:rPr>
        <w:t>;</w:t>
      </w:r>
    </w:p>
    <w:p w14:paraId="50749046"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baltųjų kraujo ląstelių kiekio padidėjimas</w:t>
      </w:r>
      <w:r w:rsidR="00E85D4B">
        <w:rPr>
          <w:lang w:val="lt-LT"/>
        </w:rPr>
        <w:t>;</w:t>
      </w:r>
    </w:p>
    <w:p w14:paraId="22CF9CDB"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alerginė reakcija, anafilaksinė</w:t>
      </w:r>
      <w:r w:rsidRPr="00705660">
        <w:rPr>
          <w:lang w:val="lt-LT"/>
        </w:rPr>
        <w:t xml:space="preserve"> ir </w:t>
      </w:r>
      <w:proofErr w:type="spellStart"/>
      <w:r w:rsidRPr="00FE089E">
        <w:rPr>
          <w:lang w:val="lt-LT"/>
        </w:rPr>
        <w:t>anafilaktoidinė</w:t>
      </w:r>
      <w:proofErr w:type="spellEnd"/>
      <w:r w:rsidRPr="00FE089E">
        <w:rPr>
          <w:lang w:val="lt-LT"/>
        </w:rPr>
        <w:t xml:space="preserve"> reakcija (galimi požymiai yra išbėrimas, niežulys, kraujospūdžio sumažėjimas, kvėpavimo pasunkėjimas)</w:t>
      </w:r>
      <w:r w:rsidR="00E85D4B">
        <w:rPr>
          <w:lang w:val="lt-LT"/>
        </w:rPr>
        <w:t>;</w:t>
      </w:r>
    </w:p>
    <w:p w14:paraId="11C145B8" w14:textId="77777777" w:rsidR="009B2A03" w:rsidRPr="00FE089E" w:rsidRDefault="009B2A03" w:rsidP="009B2A03">
      <w:pPr>
        <w:numPr>
          <w:ilvl w:val="0"/>
          <w:numId w:val="5"/>
        </w:numPr>
        <w:tabs>
          <w:tab w:val="clear" w:pos="930"/>
          <w:tab w:val="num" w:pos="567"/>
        </w:tabs>
        <w:spacing w:line="240" w:lineRule="auto"/>
        <w:ind w:left="567" w:hanging="425"/>
        <w:rPr>
          <w:lang w:val="lt-LT"/>
        </w:rPr>
      </w:pPr>
      <w:proofErr w:type="spellStart"/>
      <w:r w:rsidRPr="00FE089E">
        <w:rPr>
          <w:lang w:val="lt-LT"/>
        </w:rPr>
        <w:t>Kušingo</w:t>
      </w:r>
      <w:proofErr w:type="spellEnd"/>
      <w:r w:rsidRPr="00FE089E">
        <w:rPr>
          <w:lang w:val="lt-LT"/>
        </w:rPr>
        <w:t xml:space="preserve"> sindromas (galimi požymiai yra odos sausumas, didelis kraujospūdis, veido apvalumas, riebalų kaupimasis ant pilvo ir šlaunų), </w:t>
      </w:r>
      <w:proofErr w:type="spellStart"/>
      <w:r w:rsidRPr="00FE089E">
        <w:rPr>
          <w:lang w:val="lt-LT"/>
        </w:rPr>
        <w:t>hipofizės</w:t>
      </w:r>
      <w:proofErr w:type="spellEnd"/>
      <w:r w:rsidRPr="00FE089E">
        <w:rPr>
          <w:lang w:val="lt-LT"/>
        </w:rPr>
        <w:t xml:space="preserve"> veiklos susilpnėjimas (galimi jo požymiai yra silpnumas, kraujospūdžio sumažėjimas, galvos skausmas, augimo sulėtėjimas, virškinimo trakto</w:t>
      </w:r>
      <w:r w:rsidRPr="00705660">
        <w:rPr>
          <w:lang w:val="lt-LT"/>
        </w:rPr>
        <w:t xml:space="preserve"> sutrikimai</w:t>
      </w:r>
      <w:r w:rsidRPr="00FE089E">
        <w:rPr>
          <w:lang w:val="lt-LT"/>
        </w:rPr>
        <w:t>), steroidų nutraukimo sindromas</w:t>
      </w:r>
      <w:r w:rsidR="00E85D4B">
        <w:rPr>
          <w:lang w:val="lt-LT"/>
        </w:rPr>
        <w:t>;</w:t>
      </w:r>
    </w:p>
    <w:p w14:paraId="3E9C543F" w14:textId="77777777" w:rsidR="009B2A03" w:rsidRPr="00FE089E" w:rsidRDefault="009B2A03" w:rsidP="009B2A03">
      <w:pPr>
        <w:numPr>
          <w:ilvl w:val="0"/>
          <w:numId w:val="5"/>
        </w:numPr>
        <w:tabs>
          <w:tab w:val="clear" w:pos="930"/>
          <w:tab w:val="num" w:pos="567"/>
        </w:tabs>
        <w:spacing w:line="240" w:lineRule="auto"/>
        <w:ind w:left="567" w:hanging="425"/>
        <w:rPr>
          <w:lang w:val="lt-LT"/>
        </w:rPr>
      </w:pPr>
      <w:proofErr w:type="spellStart"/>
      <w:r w:rsidRPr="00FE089E">
        <w:rPr>
          <w:lang w:val="lt-LT"/>
        </w:rPr>
        <w:t>metabolinė</w:t>
      </w:r>
      <w:proofErr w:type="spellEnd"/>
      <w:r w:rsidRPr="00FE089E">
        <w:rPr>
          <w:lang w:val="lt-LT"/>
        </w:rPr>
        <w:t xml:space="preserve"> </w:t>
      </w:r>
      <w:proofErr w:type="spellStart"/>
      <w:r w:rsidRPr="00FE089E">
        <w:rPr>
          <w:lang w:val="lt-LT"/>
        </w:rPr>
        <w:t>acidozė</w:t>
      </w:r>
      <w:proofErr w:type="spellEnd"/>
      <w:r w:rsidRPr="00FE089E">
        <w:rPr>
          <w:lang w:val="lt-LT"/>
        </w:rPr>
        <w:t xml:space="preserve"> (</w:t>
      </w:r>
      <w:r w:rsidR="003D18B6">
        <w:rPr>
          <w:lang w:val="lt-LT"/>
        </w:rPr>
        <w:t>kraujo</w:t>
      </w:r>
      <w:r w:rsidR="00E85D4B">
        <w:rPr>
          <w:lang w:val="lt-LT"/>
        </w:rPr>
        <w:t xml:space="preserve"> </w:t>
      </w:r>
      <w:r w:rsidRPr="00FE089E">
        <w:rPr>
          <w:lang w:val="lt-LT"/>
        </w:rPr>
        <w:t>parūgštėjimas</w:t>
      </w:r>
      <w:r w:rsidR="00E85D4B">
        <w:rPr>
          <w:lang w:val="lt-LT"/>
        </w:rPr>
        <w:t>, nustatomas kraujo tyrimu</w:t>
      </w:r>
      <w:r w:rsidRPr="00FE089E">
        <w:rPr>
          <w:lang w:val="lt-LT"/>
        </w:rPr>
        <w:t>), riebalų kaupimasis tam tikrose kūno vietose, natrio kaupimasis</w:t>
      </w:r>
      <w:r w:rsidR="00E85D4B">
        <w:rPr>
          <w:lang w:val="lt-LT"/>
        </w:rPr>
        <w:t xml:space="preserve"> kraujyje</w:t>
      </w:r>
      <w:r w:rsidRPr="00FE089E">
        <w:rPr>
          <w:lang w:val="lt-LT"/>
        </w:rPr>
        <w:t xml:space="preserve">, skysčių susilaikymas, </w:t>
      </w:r>
      <w:proofErr w:type="spellStart"/>
      <w:r w:rsidRPr="00FE089E">
        <w:rPr>
          <w:lang w:val="lt-LT"/>
        </w:rPr>
        <w:t>hipokaleminė</w:t>
      </w:r>
      <w:proofErr w:type="spellEnd"/>
      <w:r w:rsidRPr="00FE089E">
        <w:rPr>
          <w:lang w:val="lt-LT"/>
        </w:rPr>
        <w:t xml:space="preserve"> </w:t>
      </w:r>
      <w:proofErr w:type="spellStart"/>
      <w:r w:rsidRPr="00FE089E">
        <w:rPr>
          <w:lang w:val="lt-LT"/>
        </w:rPr>
        <w:t>alkalozė</w:t>
      </w:r>
      <w:proofErr w:type="spellEnd"/>
      <w:r w:rsidRPr="00FE089E">
        <w:rPr>
          <w:lang w:val="lt-LT"/>
        </w:rPr>
        <w:t xml:space="preserve"> (</w:t>
      </w:r>
      <w:r w:rsidR="00E85D4B">
        <w:rPr>
          <w:lang w:val="lt-LT"/>
        </w:rPr>
        <w:t xml:space="preserve">kraujo </w:t>
      </w:r>
      <w:proofErr w:type="spellStart"/>
      <w:r w:rsidRPr="00FE089E">
        <w:rPr>
          <w:lang w:val="lt-LT"/>
        </w:rPr>
        <w:t>pašarmėjimas</w:t>
      </w:r>
      <w:proofErr w:type="spellEnd"/>
      <w:r w:rsidR="00E85D4B">
        <w:rPr>
          <w:lang w:val="lt-LT"/>
        </w:rPr>
        <w:t xml:space="preserve"> kartu su kalio kiekio sumažėjimu kraujyje</w:t>
      </w:r>
      <w:r w:rsidRPr="00FE089E">
        <w:rPr>
          <w:lang w:val="lt-LT"/>
        </w:rPr>
        <w:t xml:space="preserve">), </w:t>
      </w:r>
      <w:proofErr w:type="spellStart"/>
      <w:r w:rsidRPr="00FE089E">
        <w:rPr>
          <w:lang w:val="lt-LT"/>
        </w:rPr>
        <w:t>dislipidemija</w:t>
      </w:r>
      <w:proofErr w:type="spellEnd"/>
      <w:r w:rsidRPr="00FE089E">
        <w:rPr>
          <w:lang w:val="lt-LT"/>
        </w:rPr>
        <w:t xml:space="preserve"> (kraujo riebalų disbalansas), gliukozės toleravimo pablogėjimas, didesnis insulino ar geriamųjų vaistų nuo diabeto poreikis, padidėjęs apetitas (gali padidėti kūno </w:t>
      </w:r>
      <w:r w:rsidR="00E85D4B">
        <w:rPr>
          <w:lang w:val="lt-LT"/>
        </w:rPr>
        <w:t>svoris</w:t>
      </w:r>
      <w:r w:rsidRPr="00FE089E">
        <w:rPr>
          <w:lang w:val="lt-LT"/>
        </w:rPr>
        <w:t>)</w:t>
      </w:r>
      <w:r w:rsidR="00E85D4B">
        <w:rPr>
          <w:lang w:val="lt-LT"/>
        </w:rPr>
        <w:t>;</w:t>
      </w:r>
    </w:p>
    <w:p w14:paraId="0E58DBC4"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nuotaikos sutrikimas (įskaitant depresinę ir pakilią nuotaiką, nuotaikos kaitą, priklausomybę nuo vaisto, mąstymą apie savižudybę), </w:t>
      </w:r>
      <w:proofErr w:type="spellStart"/>
      <w:r w:rsidRPr="00FE089E">
        <w:rPr>
          <w:lang w:val="lt-LT"/>
        </w:rPr>
        <w:t>psichozinis</w:t>
      </w:r>
      <w:proofErr w:type="spellEnd"/>
      <w:r w:rsidRPr="00FE089E">
        <w:rPr>
          <w:lang w:val="lt-LT"/>
        </w:rPr>
        <w:t xml:space="preserve"> sutrikimas (įskaitant maniją, kliedesį, haliucinacijas ir šizofreniją), psichinis sutrikimas, asmenybės pokyčiai, sumišimo būklė, nerimas, nuotaikos svyravimai, elgesio sutrikimai, nemiga, irzlumas</w:t>
      </w:r>
      <w:r w:rsidR="00E85D4B">
        <w:rPr>
          <w:lang w:val="lt-LT"/>
        </w:rPr>
        <w:t>;</w:t>
      </w:r>
    </w:p>
    <w:p w14:paraId="01F3B0BE"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padidėjęs spaudimas kaukolėje su regos nervo disko patinimu, traukuliai, </w:t>
      </w:r>
      <w:r w:rsidR="00E85D4B">
        <w:rPr>
          <w:lang w:val="lt-LT"/>
        </w:rPr>
        <w:t>atminties sutrikimas</w:t>
      </w:r>
      <w:r w:rsidRPr="00FE089E">
        <w:rPr>
          <w:lang w:val="lt-LT"/>
        </w:rPr>
        <w:t>, pažinimo sutrikimas, galvos svaigimas, galvos skausmas</w:t>
      </w:r>
      <w:r w:rsidR="00E85D4B">
        <w:rPr>
          <w:lang w:val="lt-LT"/>
        </w:rPr>
        <w:t>;</w:t>
      </w:r>
    </w:p>
    <w:p w14:paraId="7CD027E3" w14:textId="77777777" w:rsidR="009B2A03"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tinklainės ir </w:t>
      </w:r>
      <w:proofErr w:type="spellStart"/>
      <w:r w:rsidRPr="00FE089E">
        <w:rPr>
          <w:lang w:val="lt-LT"/>
        </w:rPr>
        <w:t>gyslainės</w:t>
      </w:r>
      <w:proofErr w:type="spellEnd"/>
      <w:r w:rsidRPr="00FE089E">
        <w:rPr>
          <w:lang w:val="lt-LT"/>
        </w:rPr>
        <w:t xml:space="preserve"> membranos ligos</w:t>
      </w:r>
      <w:r w:rsidRPr="00FE089E">
        <w:rPr>
          <w:iCs/>
          <w:lang w:val="lt-LT"/>
        </w:rPr>
        <w:t>,</w:t>
      </w:r>
      <w:r w:rsidRPr="00FE089E">
        <w:rPr>
          <w:lang w:val="lt-LT"/>
        </w:rPr>
        <w:t xml:space="preserve"> katarakta (lęšiuko padrumstėjimas), glaukoma (akių liga, kurios metu padidėja akispūdis), išverstakumas</w:t>
      </w:r>
      <w:r w:rsidR="00E85D4B">
        <w:rPr>
          <w:lang w:val="lt-LT"/>
        </w:rPr>
        <w:t>;</w:t>
      </w:r>
    </w:p>
    <w:p w14:paraId="65CFC6EF" w14:textId="6F0FBDD3" w:rsidR="004A5109" w:rsidRPr="00FE089E" w:rsidRDefault="004A5109" w:rsidP="009B2A03">
      <w:pPr>
        <w:numPr>
          <w:ilvl w:val="0"/>
          <w:numId w:val="5"/>
        </w:numPr>
        <w:tabs>
          <w:tab w:val="clear" w:pos="930"/>
          <w:tab w:val="num" w:pos="567"/>
        </w:tabs>
        <w:spacing w:line="240" w:lineRule="auto"/>
        <w:ind w:left="567" w:hanging="425"/>
        <w:rPr>
          <w:lang w:val="lt-LT"/>
        </w:rPr>
      </w:pPr>
      <w:r>
        <w:rPr>
          <w:lang w:val="lt-LT"/>
        </w:rPr>
        <w:t>miglotas matymas;</w:t>
      </w:r>
    </w:p>
    <w:p w14:paraId="58971884"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galvos sukimasis</w:t>
      </w:r>
      <w:r w:rsidR="00E85D4B">
        <w:rPr>
          <w:lang w:val="lt-LT"/>
        </w:rPr>
        <w:t>;</w:t>
      </w:r>
    </w:p>
    <w:p w14:paraId="379463D5"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širdies nepakankamumas šiam poveikiui jautriems asmenims,  širdies ritmo sutrikimas (aritmija)</w:t>
      </w:r>
      <w:r w:rsidR="00E85D4B">
        <w:rPr>
          <w:lang w:val="lt-LT"/>
        </w:rPr>
        <w:t>;</w:t>
      </w:r>
    </w:p>
    <w:p w14:paraId="52C6C116"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padidėjęs kraujo krešėjimas,  sumažėjęs ar padidėjęs kraujo spaudimas</w:t>
      </w:r>
      <w:r w:rsidR="00E85D4B">
        <w:rPr>
          <w:lang w:val="lt-LT"/>
        </w:rPr>
        <w:t>;</w:t>
      </w:r>
    </w:p>
    <w:p w14:paraId="2DEA599C"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kraujo krešulių patekimas į plaučių kraujagysles (plaučių embolija), žagsėjimas</w:t>
      </w:r>
      <w:r w:rsidR="00E85D4B">
        <w:rPr>
          <w:lang w:val="lt-LT"/>
        </w:rPr>
        <w:t>;</w:t>
      </w:r>
      <w:r w:rsidRPr="00FE089E">
        <w:rPr>
          <w:lang w:val="lt-LT"/>
        </w:rPr>
        <w:t xml:space="preserve"> </w:t>
      </w:r>
    </w:p>
    <w:p w14:paraId="127C8FBD" w14:textId="77777777" w:rsidR="009B2A03" w:rsidRPr="00FE089E" w:rsidRDefault="009B2A03" w:rsidP="009B2A03">
      <w:pPr>
        <w:numPr>
          <w:ilvl w:val="0"/>
          <w:numId w:val="5"/>
        </w:numPr>
        <w:tabs>
          <w:tab w:val="clear" w:pos="930"/>
          <w:tab w:val="num" w:pos="567"/>
        </w:tabs>
        <w:spacing w:line="240" w:lineRule="auto"/>
        <w:ind w:left="567" w:hanging="425"/>
        <w:rPr>
          <w:lang w:val="lt-LT"/>
        </w:rPr>
      </w:pPr>
      <w:proofErr w:type="spellStart"/>
      <w:r w:rsidRPr="00FE089E">
        <w:rPr>
          <w:lang w:val="lt-LT"/>
        </w:rPr>
        <w:t>pepsinė</w:t>
      </w:r>
      <w:proofErr w:type="spellEnd"/>
      <w:r w:rsidRPr="00FE089E">
        <w:rPr>
          <w:lang w:val="lt-LT"/>
        </w:rPr>
        <w:t xml:space="preserve"> opa (galimas jos prakiurimas ir kraujavimas), žarnų prakiurimas, kraujavimas iš skrandžio, kasos uždegimas, opinis stemplės uždegimas, stemplės uždegimas, pilvo skausmas, pilvo tempimas, viduriavimas, dispepsija (virškinimo sutrikimas), pykinimas</w:t>
      </w:r>
      <w:r w:rsidR="00E85D4B">
        <w:rPr>
          <w:lang w:val="lt-LT"/>
        </w:rPr>
        <w:t>;</w:t>
      </w:r>
    </w:p>
    <w:p w14:paraId="4FA305E0"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bCs/>
          <w:lang w:val="lt-LT"/>
        </w:rPr>
        <w:t>hepatit</w:t>
      </w:r>
      <w:r w:rsidR="00E85D4B">
        <w:rPr>
          <w:bCs/>
          <w:lang w:val="lt-LT"/>
        </w:rPr>
        <w:t>as (kepenų audinio uždegimas)</w:t>
      </w:r>
      <w:r w:rsidRPr="00FE089E">
        <w:rPr>
          <w:bCs/>
          <w:lang w:val="lt-LT"/>
        </w:rPr>
        <w:t xml:space="preserve"> ir padidėj</w:t>
      </w:r>
      <w:r w:rsidR="00E85D4B">
        <w:rPr>
          <w:bCs/>
          <w:lang w:val="lt-LT"/>
        </w:rPr>
        <w:t>ęs</w:t>
      </w:r>
      <w:r w:rsidRPr="00FE089E">
        <w:rPr>
          <w:bCs/>
          <w:lang w:val="lt-LT"/>
        </w:rPr>
        <w:t xml:space="preserve"> kepenų fermentų aktyvum</w:t>
      </w:r>
      <w:r w:rsidR="00E85D4B">
        <w:rPr>
          <w:bCs/>
          <w:lang w:val="lt-LT"/>
        </w:rPr>
        <w:t>as;</w:t>
      </w:r>
      <w:r w:rsidRPr="00FE089E">
        <w:rPr>
          <w:lang w:val="lt-LT"/>
        </w:rPr>
        <w:t>.</w:t>
      </w:r>
    </w:p>
    <w:p w14:paraId="3C252F67" w14:textId="77777777" w:rsidR="009B2A03" w:rsidRPr="00FE089E" w:rsidRDefault="009B2A03" w:rsidP="009B2A03">
      <w:pPr>
        <w:numPr>
          <w:ilvl w:val="0"/>
          <w:numId w:val="5"/>
        </w:numPr>
        <w:tabs>
          <w:tab w:val="clear" w:pos="930"/>
          <w:tab w:val="num" w:pos="567"/>
        </w:tabs>
        <w:spacing w:line="240" w:lineRule="auto"/>
        <w:ind w:left="567" w:hanging="425"/>
        <w:rPr>
          <w:lang w:val="lt-LT"/>
        </w:rPr>
      </w:pPr>
      <w:proofErr w:type="spellStart"/>
      <w:r w:rsidRPr="00FE089E">
        <w:rPr>
          <w:lang w:val="lt-LT"/>
        </w:rPr>
        <w:t>angioneurozinė</w:t>
      </w:r>
      <w:proofErr w:type="spellEnd"/>
      <w:r w:rsidRPr="00FE089E">
        <w:rPr>
          <w:lang w:val="lt-LT"/>
        </w:rPr>
        <w:t xml:space="preserve"> edema (</w:t>
      </w:r>
      <w:r w:rsidR="00AB679B">
        <w:rPr>
          <w:lang w:val="lt-LT"/>
        </w:rPr>
        <w:t xml:space="preserve">galimas </w:t>
      </w:r>
      <w:r w:rsidRPr="00FE089E">
        <w:rPr>
          <w:lang w:val="lt-LT"/>
        </w:rPr>
        <w:t>veido</w:t>
      </w:r>
      <w:r w:rsidR="00AB679B">
        <w:rPr>
          <w:lang w:val="lt-LT"/>
        </w:rPr>
        <w:t>, lūpų, liežuvio</w:t>
      </w:r>
      <w:r w:rsidRPr="00FE089E">
        <w:rPr>
          <w:lang w:val="lt-LT"/>
        </w:rPr>
        <w:t xml:space="preserve"> ir gerklės patinimas, galintis apsunkinti kvėpavimą ir rijimą), padidėjęs plaukuotumas, įvairaus dydžio kraujosruvos, odos atrofija, raudonė, smarkus prakaitavimas, </w:t>
      </w:r>
      <w:proofErr w:type="spellStart"/>
      <w:r w:rsidRPr="00FE089E">
        <w:rPr>
          <w:lang w:val="lt-LT"/>
        </w:rPr>
        <w:t>strijos</w:t>
      </w:r>
      <w:proofErr w:type="spellEnd"/>
      <w:r w:rsidRPr="00FE089E">
        <w:rPr>
          <w:lang w:val="lt-LT"/>
        </w:rPr>
        <w:t xml:space="preserve">, išbėrimas, niežulys, dilgėlinė, </w:t>
      </w:r>
      <w:proofErr w:type="spellStart"/>
      <w:r w:rsidRPr="00FE089E">
        <w:rPr>
          <w:lang w:val="lt-LT"/>
        </w:rPr>
        <w:t>aknė</w:t>
      </w:r>
      <w:proofErr w:type="spellEnd"/>
      <w:r w:rsidRPr="00FE089E">
        <w:rPr>
          <w:lang w:val="lt-LT"/>
        </w:rPr>
        <w:t>, odos pigmentacijos sumažėjimas</w:t>
      </w:r>
      <w:r w:rsidR="00AB679B">
        <w:rPr>
          <w:lang w:val="lt-LT"/>
        </w:rPr>
        <w:t>;</w:t>
      </w:r>
    </w:p>
    <w:p w14:paraId="799851C4"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raumenų silpnumas, </w:t>
      </w:r>
      <w:proofErr w:type="spellStart"/>
      <w:r w:rsidRPr="00FE089E">
        <w:rPr>
          <w:lang w:val="lt-LT"/>
        </w:rPr>
        <w:t>mialgija</w:t>
      </w:r>
      <w:proofErr w:type="spellEnd"/>
      <w:r w:rsidR="00AB679B">
        <w:rPr>
          <w:lang w:val="lt-LT"/>
        </w:rPr>
        <w:t xml:space="preserve"> (raumenų skausmas)</w:t>
      </w:r>
      <w:r w:rsidRPr="00FE089E">
        <w:rPr>
          <w:lang w:val="lt-LT"/>
        </w:rPr>
        <w:t xml:space="preserve">, </w:t>
      </w:r>
      <w:proofErr w:type="spellStart"/>
      <w:r w:rsidRPr="00FE089E">
        <w:rPr>
          <w:lang w:val="lt-LT"/>
        </w:rPr>
        <w:t>miopatija</w:t>
      </w:r>
      <w:proofErr w:type="spellEnd"/>
      <w:r w:rsidRPr="00FE089E">
        <w:rPr>
          <w:lang w:val="lt-LT"/>
        </w:rPr>
        <w:t xml:space="preserve"> (raumenų liga), raumenų nykimas (atrofija), kaulo išretėjimas (osteoporozė), kaulinio audinio irimas (</w:t>
      </w:r>
      <w:proofErr w:type="spellStart"/>
      <w:r w:rsidRPr="00FE089E">
        <w:rPr>
          <w:lang w:val="lt-LT"/>
        </w:rPr>
        <w:t>osteonekrozė</w:t>
      </w:r>
      <w:proofErr w:type="spellEnd"/>
      <w:r w:rsidRPr="00FE089E">
        <w:rPr>
          <w:lang w:val="lt-LT"/>
        </w:rPr>
        <w:t xml:space="preserve">), patologiniai kaulų lūžiai, </w:t>
      </w:r>
      <w:proofErr w:type="spellStart"/>
      <w:r w:rsidRPr="00FE089E">
        <w:rPr>
          <w:lang w:val="lt-LT"/>
        </w:rPr>
        <w:t>neuropatinė</w:t>
      </w:r>
      <w:proofErr w:type="spellEnd"/>
      <w:r w:rsidRPr="00FE089E">
        <w:rPr>
          <w:lang w:val="lt-LT"/>
        </w:rPr>
        <w:t xml:space="preserve"> </w:t>
      </w:r>
      <w:proofErr w:type="spellStart"/>
      <w:r w:rsidRPr="00FE089E">
        <w:rPr>
          <w:lang w:val="lt-LT"/>
        </w:rPr>
        <w:t>artropatija</w:t>
      </w:r>
      <w:proofErr w:type="spellEnd"/>
      <w:r w:rsidRPr="00FE089E">
        <w:rPr>
          <w:lang w:val="lt-LT"/>
        </w:rPr>
        <w:t xml:space="preserve"> (sąnarių sutrikimas), sąnarių skausmas, augimo sulėtėjimas</w:t>
      </w:r>
      <w:r w:rsidR="00AB679B">
        <w:rPr>
          <w:lang w:val="lt-LT"/>
        </w:rPr>
        <w:t xml:space="preserve"> vaikams;</w:t>
      </w:r>
    </w:p>
    <w:p w14:paraId="6385B3C1"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mėnesinių ciklo sutrikimas</w:t>
      </w:r>
      <w:r w:rsidR="00AB679B">
        <w:rPr>
          <w:lang w:val="lt-LT"/>
        </w:rPr>
        <w:t>;</w:t>
      </w:r>
    </w:p>
    <w:p w14:paraId="1B4DCE27"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blogas žaizdų gijimas, </w:t>
      </w:r>
      <w:r w:rsidR="00AB679B">
        <w:rPr>
          <w:lang w:val="lt-LT"/>
        </w:rPr>
        <w:t>audinių patinimas</w:t>
      </w:r>
      <w:r w:rsidRPr="00FE089E">
        <w:rPr>
          <w:lang w:val="lt-LT"/>
        </w:rPr>
        <w:t>, nuovargis, bendrasis negalavimas, injekcijos vietos reakcija</w:t>
      </w:r>
      <w:r w:rsidR="00AB679B">
        <w:rPr>
          <w:lang w:val="lt-LT"/>
        </w:rPr>
        <w:t>;</w:t>
      </w:r>
    </w:p>
    <w:p w14:paraId="12EA7C3F" w14:textId="77777777" w:rsidR="009B2A03" w:rsidRPr="00FE089E" w:rsidRDefault="009B2A03" w:rsidP="009B2A03">
      <w:pPr>
        <w:numPr>
          <w:ilvl w:val="0"/>
          <w:numId w:val="5"/>
        </w:numPr>
        <w:tabs>
          <w:tab w:val="clear" w:pos="930"/>
          <w:tab w:val="num" w:pos="567"/>
        </w:tabs>
        <w:spacing w:line="240" w:lineRule="auto"/>
        <w:ind w:left="567" w:hanging="425"/>
        <w:rPr>
          <w:lang w:val="lt-LT"/>
        </w:rPr>
      </w:pPr>
      <w:r w:rsidRPr="00FE089E">
        <w:rPr>
          <w:lang w:val="lt-LT"/>
        </w:rPr>
        <w:t xml:space="preserve">akispūdžio padidėjimas, angliavandenių toleravimo pablogėjimas, kalio koncentracijos kraujyje sumažėjimas, kalcio koncentracijos šlapime padidėjimas, </w:t>
      </w:r>
      <w:r w:rsidR="00AB679B">
        <w:rPr>
          <w:lang w:val="lt-LT"/>
        </w:rPr>
        <w:t>kepenų fermentų</w:t>
      </w:r>
      <w:r w:rsidRPr="00FE089E">
        <w:rPr>
          <w:lang w:val="lt-LT"/>
        </w:rPr>
        <w:t xml:space="preserve"> suaktyvėjimas, šarminės </w:t>
      </w:r>
      <w:proofErr w:type="spellStart"/>
      <w:r w:rsidRPr="00FE089E">
        <w:rPr>
          <w:lang w:val="lt-LT"/>
        </w:rPr>
        <w:t>fosfatazės</w:t>
      </w:r>
      <w:proofErr w:type="spellEnd"/>
      <w:r w:rsidRPr="00FE089E">
        <w:rPr>
          <w:lang w:val="lt-LT"/>
        </w:rPr>
        <w:t xml:space="preserve"> kiekio kraujyje padidėjimas, šlapalo kiekio kraujyje padidėjimas, silpnesnė reakcija į odos testus</w:t>
      </w:r>
      <w:r w:rsidR="00AB679B">
        <w:rPr>
          <w:lang w:val="lt-LT"/>
        </w:rPr>
        <w:t>;</w:t>
      </w:r>
    </w:p>
    <w:p w14:paraId="48AD3AB4" w14:textId="77777777" w:rsidR="009B2A03" w:rsidRPr="00FE089E" w:rsidRDefault="009B2A03" w:rsidP="009B2A03">
      <w:pPr>
        <w:numPr>
          <w:ilvl w:val="0"/>
          <w:numId w:val="5"/>
        </w:numPr>
        <w:tabs>
          <w:tab w:val="clear" w:pos="930"/>
          <w:tab w:val="num" w:pos="567"/>
        </w:tabs>
        <w:spacing w:line="240" w:lineRule="auto"/>
        <w:ind w:left="567" w:hanging="425"/>
        <w:rPr>
          <w:lang w:val="lt-LT"/>
        </w:rPr>
      </w:pPr>
      <w:proofErr w:type="spellStart"/>
      <w:r w:rsidRPr="00FE089E">
        <w:rPr>
          <w:lang w:val="lt-LT"/>
        </w:rPr>
        <w:t>kompresiniai</w:t>
      </w:r>
      <w:proofErr w:type="spellEnd"/>
      <w:r w:rsidRPr="00FE089E">
        <w:rPr>
          <w:lang w:val="lt-LT"/>
        </w:rPr>
        <w:t xml:space="preserve"> slankstelių lūžiai, sausgyslių plyšimai.</w:t>
      </w:r>
    </w:p>
    <w:p w14:paraId="38B1DF9C" w14:textId="77777777" w:rsidR="003F33B8" w:rsidRPr="001D5EBE" w:rsidRDefault="003F33B8" w:rsidP="003F33B8">
      <w:pPr>
        <w:pStyle w:val="Pagrindinistekstas"/>
        <w:spacing w:after="0"/>
        <w:rPr>
          <w:szCs w:val="22"/>
        </w:rPr>
      </w:pPr>
    </w:p>
    <w:p w14:paraId="1ADC43CF" w14:textId="77777777" w:rsidR="003F33B8" w:rsidRPr="001D5EBE" w:rsidRDefault="003F33B8" w:rsidP="003F33B8">
      <w:pPr>
        <w:pStyle w:val="Pagrindinistekstas"/>
        <w:spacing w:after="0"/>
        <w:rPr>
          <w:szCs w:val="22"/>
        </w:rPr>
      </w:pPr>
      <w:r w:rsidRPr="001D5EBE">
        <w:rPr>
          <w:szCs w:val="22"/>
        </w:rPr>
        <w:t xml:space="preserve">Nutraukimo požymiai: dėl per greito </w:t>
      </w:r>
      <w:proofErr w:type="spellStart"/>
      <w:r w:rsidRPr="001D5EBE">
        <w:rPr>
          <w:szCs w:val="22"/>
        </w:rPr>
        <w:t>gliukokortikoidų</w:t>
      </w:r>
      <w:proofErr w:type="spellEnd"/>
      <w:r w:rsidRPr="001D5EBE">
        <w:rPr>
          <w:szCs w:val="22"/>
        </w:rPr>
        <w:t xml:space="preserve"> dozės mažinimo po ilgalaikio gydymo gali išsivystyti ūmus antinksčių nepakankamumas, </w:t>
      </w:r>
      <w:proofErr w:type="spellStart"/>
      <w:r w:rsidRPr="001D5EBE">
        <w:rPr>
          <w:szCs w:val="22"/>
        </w:rPr>
        <w:t>hipotenzija</w:t>
      </w:r>
      <w:proofErr w:type="spellEnd"/>
      <w:r w:rsidRPr="001D5EBE">
        <w:rPr>
          <w:szCs w:val="22"/>
        </w:rPr>
        <w:t xml:space="preserve">, mirtis. Nutraukimo sindromas taip pat gali pasireikšti apetito netekimu, vėmimu, stipriu mieguistumu, galvos skausmu, karščiavimu, raumenų skausmu, sąnarių skausmu, odos pleiskanojimu, </w:t>
      </w:r>
      <w:r w:rsidR="00AB679B">
        <w:rPr>
          <w:szCs w:val="22"/>
        </w:rPr>
        <w:t>sloga</w:t>
      </w:r>
      <w:r w:rsidRPr="001D5EBE">
        <w:rPr>
          <w:szCs w:val="22"/>
        </w:rPr>
        <w:t xml:space="preserve">, </w:t>
      </w:r>
      <w:r w:rsidR="00AB679B">
        <w:rPr>
          <w:szCs w:val="22"/>
        </w:rPr>
        <w:t>akių uždegim</w:t>
      </w:r>
      <w:r w:rsidR="003D18B6">
        <w:rPr>
          <w:szCs w:val="22"/>
        </w:rPr>
        <w:t>u</w:t>
      </w:r>
      <w:r w:rsidRPr="001D5EBE">
        <w:rPr>
          <w:szCs w:val="22"/>
        </w:rPr>
        <w:t>, skausmingais niežtinčiais odos mazgais, svorio kritimu, kraujospūdžio sumažėjimu.</w:t>
      </w:r>
    </w:p>
    <w:p w14:paraId="0F221167" w14:textId="77777777" w:rsidR="003F33B8" w:rsidRPr="001D5EBE" w:rsidRDefault="003F33B8" w:rsidP="003F33B8">
      <w:pPr>
        <w:pStyle w:val="Pagrindinistekstas"/>
        <w:spacing w:after="0"/>
        <w:rPr>
          <w:szCs w:val="22"/>
        </w:rPr>
      </w:pPr>
    </w:p>
    <w:p w14:paraId="29024E8C" w14:textId="6044F5AC" w:rsidR="003F33B8" w:rsidRPr="001D5EBE" w:rsidRDefault="003F33B8" w:rsidP="003F33B8">
      <w:pPr>
        <w:spacing w:line="240" w:lineRule="auto"/>
        <w:rPr>
          <w:lang w:val="lt-LT"/>
        </w:rPr>
      </w:pPr>
      <w:r w:rsidRPr="001D5EBE">
        <w:rPr>
          <w:lang w:val="lt-LT"/>
        </w:rPr>
        <w:t xml:space="preserve">Apie toliau išvardytas šalutines reakcijas buvo pranešta, pavartojus vaistą toliau nurodytais būdais, kuriais vaisto vartoti negalima, t. y. suleidus į </w:t>
      </w:r>
      <w:proofErr w:type="spellStart"/>
      <w:r w:rsidRPr="001D5EBE">
        <w:rPr>
          <w:lang w:val="lt-LT"/>
        </w:rPr>
        <w:t>povoratinklinę</w:t>
      </w:r>
      <w:proofErr w:type="spellEnd"/>
      <w:r w:rsidRPr="001D5EBE">
        <w:rPr>
          <w:lang w:val="lt-LT"/>
        </w:rPr>
        <w:t xml:space="preserve"> ertmę arba </w:t>
      </w:r>
      <w:proofErr w:type="spellStart"/>
      <w:r w:rsidRPr="001D5EBE">
        <w:rPr>
          <w:lang w:val="lt-LT"/>
        </w:rPr>
        <w:t>epidurinę</w:t>
      </w:r>
      <w:proofErr w:type="spellEnd"/>
      <w:r w:rsidRPr="001D5EBE">
        <w:rPr>
          <w:lang w:val="lt-LT"/>
        </w:rPr>
        <w:t xml:space="preserve"> ertmę: </w:t>
      </w:r>
      <w:r w:rsidR="00AB679B">
        <w:rPr>
          <w:lang w:val="lt-LT"/>
        </w:rPr>
        <w:t>voratinklinio galvos smegenų dangalo uždegimas</w:t>
      </w:r>
      <w:r w:rsidRPr="001D5EBE">
        <w:rPr>
          <w:lang w:val="lt-LT"/>
        </w:rPr>
        <w:t>, virškinimo trakto veiklos sutrikimas ar šlapimo pūslės veiklos sutrikimas, galvos skausmas, meningitas</w:t>
      </w:r>
      <w:r w:rsidR="00AB679B">
        <w:rPr>
          <w:lang w:val="lt-LT"/>
        </w:rPr>
        <w:t xml:space="preserve"> (galvos smegenų dangalų uždegimas</w:t>
      </w:r>
      <w:r w:rsidR="009F55BB">
        <w:rPr>
          <w:lang w:val="lt-LT"/>
        </w:rPr>
        <w:t>)</w:t>
      </w:r>
      <w:r w:rsidRPr="001D5EBE">
        <w:rPr>
          <w:lang w:val="lt-LT"/>
        </w:rPr>
        <w:t xml:space="preserve">, </w:t>
      </w:r>
      <w:proofErr w:type="spellStart"/>
      <w:r w:rsidRPr="001D5EBE">
        <w:rPr>
          <w:lang w:val="lt-LT"/>
        </w:rPr>
        <w:t>pa</w:t>
      </w:r>
      <w:r w:rsidR="00F45685" w:rsidRPr="001D5EBE">
        <w:rPr>
          <w:lang w:val="lt-LT"/>
        </w:rPr>
        <w:t>r</w:t>
      </w:r>
      <w:r w:rsidRPr="001D5EBE">
        <w:rPr>
          <w:lang w:val="lt-LT"/>
        </w:rPr>
        <w:t>aparezė</w:t>
      </w:r>
      <w:proofErr w:type="spellEnd"/>
      <w:r w:rsidRPr="001D5EBE">
        <w:rPr>
          <w:lang w:val="lt-LT"/>
        </w:rPr>
        <w:t xml:space="preserve"> ar </w:t>
      </w:r>
      <w:proofErr w:type="spellStart"/>
      <w:r w:rsidRPr="001D5EBE">
        <w:rPr>
          <w:lang w:val="lt-LT"/>
        </w:rPr>
        <w:t>paraplegija</w:t>
      </w:r>
      <w:proofErr w:type="spellEnd"/>
      <w:r w:rsidR="00AB679B">
        <w:rPr>
          <w:lang w:val="lt-LT"/>
        </w:rPr>
        <w:t xml:space="preserve"> (dalinis arba visiškas galūnių paralyžius)</w:t>
      </w:r>
      <w:r w:rsidRPr="001D5EBE">
        <w:rPr>
          <w:lang w:val="lt-LT"/>
        </w:rPr>
        <w:t>, traukuliai, jutimų sutrikimai. Šių šalutinių reakcijų dažnis nežinomas.</w:t>
      </w:r>
    </w:p>
    <w:p w14:paraId="588C1831" w14:textId="77777777" w:rsidR="003F33B8" w:rsidRPr="001D5EBE" w:rsidRDefault="003F33B8" w:rsidP="003F33B8">
      <w:pPr>
        <w:pStyle w:val="Pagrindinistekstas"/>
        <w:spacing w:after="0"/>
        <w:rPr>
          <w:szCs w:val="22"/>
        </w:rPr>
      </w:pPr>
    </w:p>
    <w:p w14:paraId="1188E6A5" w14:textId="77777777" w:rsidR="003F33B8" w:rsidRPr="001D5EBE" w:rsidRDefault="003F33B8" w:rsidP="003F33B8">
      <w:pPr>
        <w:spacing w:line="240" w:lineRule="auto"/>
        <w:rPr>
          <w:b/>
          <w:lang w:val="lt-LT"/>
        </w:rPr>
      </w:pPr>
      <w:r w:rsidRPr="001D5EBE">
        <w:rPr>
          <w:b/>
          <w:noProof/>
          <w:lang w:val="lt-LT"/>
        </w:rPr>
        <w:t>Pranešimas apie šalutinį poveikį</w:t>
      </w:r>
    </w:p>
    <w:p w14:paraId="4C050F6C" w14:textId="77777777" w:rsidR="00AD7FA7" w:rsidRDefault="003F33B8" w:rsidP="00AD7FA7">
      <w:pPr>
        <w:spacing w:line="240" w:lineRule="auto"/>
        <w:ind w:right="-448"/>
        <w:rPr>
          <w:noProof/>
          <w:szCs w:val="24"/>
          <w:lang w:val="lt-LT"/>
        </w:rPr>
      </w:pPr>
      <w:r w:rsidRPr="001D5EBE">
        <w:rPr>
          <w:lang w:val="lt-LT"/>
        </w:rPr>
        <w:t>Jeigu pasireiškė šalutinis poveikis</w:t>
      </w:r>
      <w:r w:rsidRPr="001D5EBE">
        <w:rPr>
          <w:noProof/>
          <w:lang w:val="lt-LT"/>
        </w:rPr>
        <w:t>, įskaitant</w:t>
      </w:r>
      <w:r w:rsidRPr="001D5EBE">
        <w:rPr>
          <w:lang w:val="lt-LT"/>
        </w:rPr>
        <w:t xml:space="preserve"> šiame lapelyje nenurodytą, pasakykite gydytojui arba vaistininkui.</w:t>
      </w:r>
      <w:r w:rsidRPr="001D5EBE">
        <w:rPr>
          <w:noProof/>
          <w:lang w:val="lt-LT"/>
        </w:rPr>
        <w:t xml:space="preserve"> Apie šalutinį poveikį taip pat galite pranešti</w:t>
      </w:r>
      <w:r w:rsidR="00AD7FA7">
        <w:rPr>
          <w:noProof/>
          <w:lang w:val="lt-LT"/>
        </w:rPr>
        <w:t xml:space="preserve"> </w:t>
      </w:r>
      <w:r w:rsidR="00AD7FA7">
        <w:rPr>
          <w:lang w:val="lt-LT"/>
        </w:rPr>
        <w:t>Valstybinei vaistų kontrolės tarnybai prie Lietuvos Respublikos sveikatos apsaugos ministerijos nemokamu t</w:t>
      </w:r>
      <w:r w:rsidR="00AD7FA7">
        <w:rPr>
          <w:lang w:val="lt-LT" w:eastAsia="zh-CN"/>
        </w:rPr>
        <w:t>elefonu 8 800 73568</w:t>
      </w:r>
      <w:r w:rsidR="00AD7FA7">
        <w:rPr>
          <w:lang w:val="lt-LT"/>
        </w:rPr>
        <w:t xml:space="preserve"> arba užpildyti interneto svetainėje </w:t>
      </w:r>
      <w:hyperlink r:id="rId14" w:history="1">
        <w:r w:rsidR="00AD7FA7" w:rsidRPr="00DD1F76">
          <w:rPr>
            <w:rStyle w:val="Hipersaitas"/>
            <w:rFonts w:eastAsia="SimSun"/>
            <w:lang w:val="lt-LT"/>
          </w:rPr>
          <w:t>www.vvkt.lt</w:t>
        </w:r>
      </w:hyperlink>
      <w:r w:rsidR="00AD7FA7">
        <w:rPr>
          <w:lang w:val="lt-LT"/>
        </w:rPr>
        <w:t xml:space="preserve"> esančią formą ir pateikti ją Valstybinei vaistų kontrolės tarnybai prie Lietuvos Respublikos sveikatos apsaugos ministerijos vienu iš šių būdų: raštu (adresu Žirmūnų g. 139A, LT-09120 Vilnius), </w:t>
      </w:r>
      <w:r w:rsidR="00AD7FA7">
        <w:rPr>
          <w:lang w:val="lt-LT" w:eastAsia="zh-CN"/>
        </w:rPr>
        <w:t xml:space="preserve">nemokamu </w:t>
      </w:r>
      <w:r w:rsidR="00AD7FA7">
        <w:rPr>
          <w:lang w:val="lt-LT"/>
        </w:rPr>
        <w:t>fakso numeriu 8 800 20131</w:t>
      </w:r>
      <w:r w:rsidR="00AD7FA7">
        <w:rPr>
          <w:lang w:val="lt-LT" w:eastAsia="zh-CN"/>
        </w:rPr>
        <w:t xml:space="preserve">, </w:t>
      </w:r>
      <w:r w:rsidR="00AD7FA7">
        <w:rPr>
          <w:lang w:val="lt-LT"/>
        </w:rPr>
        <w:t xml:space="preserve">el. paštu </w:t>
      </w:r>
      <w:hyperlink r:id="rId15" w:history="1">
        <w:r w:rsidR="00AD7FA7" w:rsidRPr="00DD1F76">
          <w:rPr>
            <w:rStyle w:val="Hipersaitas"/>
            <w:rFonts w:eastAsia="SimSun"/>
            <w:lang w:val="lt-LT"/>
          </w:rPr>
          <w:t>NepageidaujamaR@vvkt.lt</w:t>
        </w:r>
      </w:hyperlink>
      <w:r w:rsidR="00AD7FA7">
        <w:rPr>
          <w:lang w:val="lt-LT"/>
        </w:rPr>
        <w:t xml:space="preserve">, taip pat per Valstybinės vaistų kontrolės tarnybos prie Lietuvos Respublikos sveikatos apsaugos ministerijos interneto svetainę (adresu </w:t>
      </w:r>
      <w:hyperlink r:id="rId16" w:history="1">
        <w:r w:rsidR="00AD7FA7" w:rsidRPr="00DD1F76">
          <w:rPr>
            <w:rStyle w:val="Hipersaitas"/>
            <w:rFonts w:eastAsia="SimSun"/>
            <w:lang w:val="lt-LT"/>
          </w:rPr>
          <w:t>http://www.vvkt.lt</w:t>
        </w:r>
      </w:hyperlink>
      <w:r w:rsidR="00AD7FA7">
        <w:rPr>
          <w:lang w:val="lt-LT"/>
        </w:rPr>
        <w:t>). Pranešdami apie šalutinį poveikį galite mums padėti gauti daugiau informacijos apie šio vaisto saugumą.</w:t>
      </w:r>
    </w:p>
    <w:p w14:paraId="792D8702" w14:textId="77777777" w:rsidR="003F33B8" w:rsidRPr="001D5EBE" w:rsidRDefault="003F33B8" w:rsidP="004C5AA5">
      <w:pPr>
        <w:spacing w:line="240" w:lineRule="auto"/>
        <w:ind w:right="-2"/>
      </w:pPr>
      <w:r w:rsidRPr="001D5EBE">
        <w:rPr>
          <w:noProof/>
          <w:lang w:val="lt-LT"/>
        </w:rPr>
        <w:t xml:space="preserve"> </w:t>
      </w:r>
    </w:p>
    <w:p w14:paraId="62A163B1" w14:textId="77777777" w:rsidR="003F33B8" w:rsidRPr="001D5EBE" w:rsidRDefault="003F33B8" w:rsidP="003F33B8">
      <w:pPr>
        <w:pStyle w:val="Pagrindinistekstas"/>
        <w:spacing w:after="0"/>
        <w:rPr>
          <w:szCs w:val="22"/>
        </w:rPr>
      </w:pPr>
    </w:p>
    <w:p w14:paraId="647A62D4" w14:textId="77777777" w:rsidR="003F33B8" w:rsidRPr="001D5EBE" w:rsidRDefault="003F33B8" w:rsidP="003F33B8">
      <w:pPr>
        <w:pStyle w:val="Antrat2"/>
        <w:rPr>
          <w:szCs w:val="22"/>
        </w:rPr>
      </w:pPr>
      <w:r w:rsidRPr="001D5EBE">
        <w:rPr>
          <w:szCs w:val="22"/>
        </w:rPr>
        <w:t>5.</w:t>
      </w:r>
      <w:r w:rsidRPr="001D5EBE">
        <w:rPr>
          <w:szCs w:val="22"/>
        </w:rPr>
        <w:tab/>
        <w:t xml:space="preserve">Kaip laikyti </w:t>
      </w:r>
      <w:r w:rsidRPr="001D5EBE">
        <w:rPr>
          <w:bCs/>
          <w:caps/>
          <w:szCs w:val="22"/>
        </w:rPr>
        <w:t>S</w:t>
      </w:r>
      <w:r w:rsidRPr="001D5EBE">
        <w:rPr>
          <w:bCs/>
          <w:szCs w:val="22"/>
        </w:rPr>
        <w:t>OLU-MEDROL</w:t>
      </w:r>
    </w:p>
    <w:p w14:paraId="462E3D93" w14:textId="77777777" w:rsidR="003F33B8" w:rsidRPr="001D5EBE" w:rsidRDefault="003F33B8" w:rsidP="003F33B8">
      <w:pPr>
        <w:pStyle w:val="Pagrindinistekstas"/>
        <w:spacing w:after="0"/>
        <w:rPr>
          <w:szCs w:val="22"/>
        </w:rPr>
      </w:pPr>
    </w:p>
    <w:p w14:paraId="76FD1314" w14:textId="77777777" w:rsidR="003F33B8" w:rsidRPr="001D5EBE" w:rsidRDefault="00014C11" w:rsidP="003F33B8">
      <w:pPr>
        <w:pStyle w:val="Pagrindinistekstas"/>
        <w:spacing w:after="0"/>
        <w:rPr>
          <w:szCs w:val="22"/>
        </w:rPr>
      </w:pPr>
      <w:r w:rsidRPr="001D5EBE">
        <w:rPr>
          <w:szCs w:val="22"/>
        </w:rPr>
        <w:t>Š</w:t>
      </w:r>
      <w:r>
        <w:rPr>
          <w:szCs w:val="22"/>
        </w:rPr>
        <w:t>į</w:t>
      </w:r>
      <w:r w:rsidRPr="001D5EBE">
        <w:rPr>
          <w:szCs w:val="22"/>
        </w:rPr>
        <w:t xml:space="preserve"> </w:t>
      </w:r>
      <w:r w:rsidR="003F33B8" w:rsidRPr="001D5EBE">
        <w:rPr>
          <w:szCs w:val="22"/>
        </w:rPr>
        <w:t>vaistą laikykite vaikams nepastebimoje ir nepasiekiamoje vietoje.</w:t>
      </w:r>
    </w:p>
    <w:p w14:paraId="65D1EEEF" w14:textId="77777777" w:rsidR="003F33B8" w:rsidRPr="001D5EBE" w:rsidRDefault="003F33B8" w:rsidP="003F33B8">
      <w:pPr>
        <w:pStyle w:val="Pagrindinistekstas"/>
        <w:spacing w:after="0"/>
        <w:rPr>
          <w:szCs w:val="22"/>
        </w:rPr>
      </w:pPr>
    </w:p>
    <w:p w14:paraId="41C82CA7" w14:textId="77777777" w:rsidR="003F33B8" w:rsidRPr="001D5EBE" w:rsidRDefault="003F33B8" w:rsidP="003F33B8">
      <w:pPr>
        <w:pStyle w:val="Pagrindinistekstas"/>
        <w:spacing w:after="0"/>
        <w:rPr>
          <w:szCs w:val="22"/>
        </w:rPr>
      </w:pPr>
      <w:r w:rsidRPr="001D5EBE">
        <w:rPr>
          <w:szCs w:val="22"/>
        </w:rPr>
        <w:t>Laikyti ne aukštesnėje kaip 25 </w:t>
      </w:r>
      <w:r w:rsidRPr="001D5EBE">
        <w:rPr>
          <w:szCs w:val="22"/>
        </w:rPr>
        <w:sym w:font="Symbol" w:char="F0B0"/>
      </w:r>
      <w:r w:rsidRPr="001D5EBE">
        <w:rPr>
          <w:szCs w:val="22"/>
        </w:rPr>
        <w:t>C temperatūroje.</w:t>
      </w:r>
    </w:p>
    <w:p w14:paraId="3765D6BD" w14:textId="77777777" w:rsidR="003F33B8" w:rsidRPr="001D5EBE" w:rsidRDefault="003F33B8" w:rsidP="003F33B8">
      <w:pPr>
        <w:pStyle w:val="Pagrindinistekstas"/>
        <w:spacing w:after="0"/>
        <w:rPr>
          <w:szCs w:val="22"/>
        </w:rPr>
      </w:pPr>
      <w:r w:rsidRPr="001D5EBE">
        <w:rPr>
          <w:szCs w:val="22"/>
        </w:rPr>
        <w:t xml:space="preserve">Paruošto arba praskiesto tirpalo tinkamumo laikas yra </w:t>
      </w:r>
      <w:r w:rsidR="004F1BB2">
        <w:rPr>
          <w:szCs w:val="22"/>
        </w:rPr>
        <w:t xml:space="preserve">12 </w:t>
      </w:r>
      <w:r w:rsidR="004F1BB2" w:rsidRPr="001D5EBE">
        <w:rPr>
          <w:szCs w:val="22"/>
        </w:rPr>
        <w:t> </w:t>
      </w:r>
      <w:r w:rsidRPr="001D5EBE">
        <w:rPr>
          <w:szCs w:val="22"/>
        </w:rPr>
        <w:t>val., laikant ne aukštesnėje kaip 25 ºC temperatūroje.</w:t>
      </w:r>
    </w:p>
    <w:p w14:paraId="58EBE2DB" w14:textId="77777777" w:rsidR="003F33B8" w:rsidRPr="001D5EBE" w:rsidRDefault="003F33B8" w:rsidP="003F33B8">
      <w:pPr>
        <w:pStyle w:val="Pagrindinistekstas"/>
        <w:spacing w:after="0"/>
        <w:jc w:val="both"/>
        <w:rPr>
          <w:szCs w:val="22"/>
        </w:rPr>
      </w:pPr>
    </w:p>
    <w:p w14:paraId="6C6ACF5C" w14:textId="77777777" w:rsidR="003F33B8" w:rsidRPr="001D5EBE" w:rsidRDefault="003F33B8" w:rsidP="003F33B8">
      <w:pPr>
        <w:pStyle w:val="Pagrindinistekstas"/>
        <w:spacing w:after="0"/>
        <w:jc w:val="both"/>
        <w:rPr>
          <w:i/>
          <w:szCs w:val="22"/>
        </w:rPr>
      </w:pPr>
      <w:r w:rsidRPr="001D5EBE">
        <w:rPr>
          <w:szCs w:val="22"/>
        </w:rPr>
        <w:t xml:space="preserve">Paruoštas tirpalas turi būti skaidrus ir bespalvis. Paruošus </w:t>
      </w:r>
      <w:r w:rsidR="00B25481" w:rsidRPr="001D5EBE">
        <w:rPr>
          <w:szCs w:val="22"/>
        </w:rPr>
        <w:t>vaistą</w:t>
      </w:r>
      <w:r w:rsidRPr="001D5EBE">
        <w:rPr>
          <w:szCs w:val="22"/>
        </w:rPr>
        <w:t xml:space="preserve"> vartojimui, tirpalą reikia apžiūrėti ir įsitikinti, ar nepakitusi spalva, ar nėra jame dalelių. Pastebėjus spalvos pakitimą ar daleles, SOLU-MEDROL vartoti negalima.</w:t>
      </w:r>
    </w:p>
    <w:p w14:paraId="58A1FA86" w14:textId="77777777" w:rsidR="003F33B8" w:rsidRPr="001D5EBE" w:rsidRDefault="003F33B8" w:rsidP="003F33B8">
      <w:pPr>
        <w:pStyle w:val="Pagrindinistekstas"/>
        <w:spacing w:after="0"/>
        <w:rPr>
          <w:szCs w:val="22"/>
        </w:rPr>
      </w:pPr>
    </w:p>
    <w:p w14:paraId="5914DB7E" w14:textId="77777777" w:rsidR="003F33B8" w:rsidRPr="001D5EBE" w:rsidRDefault="003F33B8" w:rsidP="003F33B8">
      <w:pPr>
        <w:pStyle w:val="Pagrindinistekstas"/>
        <w:spacing w:after="0"/>
        <w:rPr>
          <w:szCs w:val="22"/>
        </w:rPr>
      </w:pPr>
      <w:r w:rsidRPr="001D5EBE">
        <w:rPr>
          <w:szCs w:val="22"/>
        </w:rPr>
        <w:t xml:space="preserve">Ant dėžutės ar </w:t>
      </w:r>
      <w:r w:rsidR="00B25481" w:rsidRPr="001D5EBE">
        <w:rPr>
          <w:szCs w:val="22"/>
        </w:rPr>
        <w:t>flakono</w:t>
      </w:r>
      <w:r w:rsidRPr="001D5EBE">
        <w:rPr>
          <w:szCs w:val="22"/>
        </w:rPr>
        <w:t xml:space="preserve"> po „Tinka iki“ nurodytam tinkamumo laikui pasibaigus, šio vaisto vartoti negalima. Vaistas tinkamas vartoti iki paskutinės nurodyto mėnesio dienos.</w:t>
      </w:r>
    </w:p>
    <w:p w14:paraId="1035516F" w14:textId="77777777" w:rsidR="003F33B8" w:rsidRPr="001D5EBE" w:rsidRDefault="003F33B8" w:rsidP="003F33B8">
      <w:pPr>
        <w:pStyle w:val="Pagrindinistekstas"/>
        <w:spacing w:after="0"/>
        <w:rPr>
          <w:szCs w:val="22"/>
        </w:rPr>
      </w:pPr>
    </w:p>
    <w:p w14:paraId="6881CEF0" w14:textId="77777777" w:rsidR="003F33B8" w:rsidRPr="001D5EBE" w:rsidRDefault="003F33B8" w:rsidP="003F33B8">
      <w:pPr>
        <w:pStyle w:val="Pagrindinistekstas"/>
        <w:spacing w:after="0"/>
        <w:rPr>
          <w:szCs w:val="22"/>
        </w:rPr>
      </w:pPr>
      <w:r w:rsidRPr="001D5EBE">
        <w:rPr>
          <w:szCs w:val="22"/>
        </w:rPr>
        <w:t>Vaistų negalima išmesti į kanalizaciją arba su buitinėmis atliekomis. Kaip išmesti nereikalingus vaistus, klauskite vaistininko. Šios priemonės padės apsaugoti aplinką.</w:t>
      </w:r>
    </w:p>
    <w:p w14:paraId="56ECAF31" w14:textId="77777777" w:rsidR="003F33B8" w:rsidRPr="001D5EBE" w:rsidRDefault="003F33B8" w:rsidP="003F33B8">
      <w:pPr>
        <w:pStyle w:val="Pagrindinistekstas"/>
        <w:spacing w:after="0"/>
        <w:rPr>
          <w:szCs w:val="22"/>
        </w:rPr>
      </w:pPr>
    </w:p>
    <w:p w14:paraId="5109DB1E" w14:textId="77777777" w:rsidR="003F33B8" w:rsidRPr="001D5EBE" w:rsidRDefault="003F33B8" w:rsidP="003F33B8">
      <w:pPr>
        <w:pStyle w:val="Antrat2"/>
        <w:rPr>
          <w:szCs w:val="22"/>
        </w:rPr>
      </w:pPr>
      <w:r w:rsidRPr="001D5EBE">
        <w:rPr>
          <w:szCs w:val="22"/>
        </w:rPr>
        <w:t>6.</w:t>
      </w:r>
      <w:r w:rsidRPr="001D5EBE">
        <w:rPr>
          <w:szCs w:val="22"/>
        </w:rPr>
        <w:tab/>
        <w:t>Pakuotės turinys ir kita informacija</w:t>
      </w:r>
    </w:p>
    <w:p w14:paraId="0227F275" w14:textId="77777777" w:rsidR="003F33B8" w:rsidRPr="001D5EBE" w:rsidRDefault="003F33B8" w:rsidP="003F33B8">
      <w:pPr>
        <w:pStyle w:val="Pagrindinistekstas"/>
        <w:spacing w:after="0"/>
        <w:rPr>
          <w:szCs w:val="22"/>
        </w:rPr>
      </w:pPr>
    </w:p>
    <w:p w14:paraId="518D1CD6" w14:textId="77777777" w:rsidR="003F33B8" w:rsidRPr="001D5EBE" w:rsidRDefault="003F33B8" w:rsidP="003F33B8">
      <w:pPr>
        <w:pStyle w:val="PI-3EMEASMCA"/>
        <w:spacing w:line="240" w:lineRule="auto"/>
      </w:pPr>
      <w:r w:rsidRPr="001D5EBE">
        <w:t>SOLU-MEDROL sudėtis</w:t>
      </w:r>
    </w:p>
    <w:p w14:paraId="2D982FA3" w14:textId="77777777" w:rsidR="003F33B8" w:rsidRPr="001D5EBE" w:rsidRDefault="003F33B8" w:rsidP="003F33B8">
      <w:pPr>
        <w:pStyle w:val="Pagrindinistekstas"/>
        <w:tabs>
          <w:tab w:val="left" w:pos="567"/>
        </w:tabs>
        <w:spacing w:after="0"/>
        <w:ind w:left="567" w:hanging="567"/>
        <w:rPr>
          <w:szCs w:val="22"/>
        </w:rPr>
      </w:pPr>
      <w:r w:rsidRPr="001D5EBE">
        <w:rPr>
          <w:szCs w:val="22"/>
        </w:rPr>
        <w:t>-</w:t>
      </w:r>
      <w:r w:rsidRPr="001D5EBE">
        <w:rPr>
          <w:szCs w:val="22"/>
        </w:rPr>
        <w:tab/>
        <w:t xml:space="preserve">Veiklioji medžiaga yra </w:t>
      </w:r>
      <w:proofErr w:type="spellStart"/>
      <w:r w:rsidRPr="001D5EBE">
        <w:rPr>
          <w:szCs w:val="22"/>
        </w:rPr>
        <w:t>metilprednizolonas</w:t>
      </w:r>
      <w:proofErr w:type="spellEnd"/>
      <w:r w:rsidRPr="001D5EBE">
        <w:rPr>
          <w:szCs w:val="22"/>
        </w:rPr>
        <w:t xml:space="preserve"> (natrio </w:t>
      </w:r>
      <w:proofErr w:type="spellStart"/>
      <w:r w:rsidRPr="001D5EBE">
        <w:rPr>
          <w:szCs w:val="22"/>
        </w:rPr>
        <w:t>sukcinato</w:t>
      </w:r>
      <w:proofErr w:type="spellEnd"/>
      <w:r w:rsidRPr="001D5EBE">
        <w:rPr>
          <w:szCs w:val="22"/>
        </w:rPr>
        <w:t xml:space="preserve"> pavidalu). Viename </w:t>
      </w:r>
      <w:r w:rsidR="00B25481" w:rsidRPr="001D5EBE">
        <w:rPr>
          <w:szCs w:val="22"/>
        </w:rPr>
        <w:t>flakone</w:t>
      </w:r>
      <w:r w:rsidRPr="001D5EBE">
        <w:rPr>
          <w:szCs w:val="22"/>
        </w:rPr>
        <w:t xml:space="preserve"> yra 500 mg </w:t>
      </w:r>
      <w:proofErr w:type="spellStart"/>
      <w:r w:rsidRPr="001D5EBE">
        <w:rPr>
          <w:szCs w:val="22"/>
        </w:rPr>
        <w:t>metilprednizolono</w:t>
      </w:r>
      <w:proofErr w:type="spellEnd"/>
      <w:r w:rsidRPr="001D5EBE">
        <w:rPr>
          <w:szCs w:val="22"/>
        </w:rPr>
        <w:t>.</w:t>
      </w:r>
    </w:p>
    <w:p w14:paraId="42684E4A" w14:textId="77777777" w:rsidR="003F33B8" w:rsidRPr="001D5EBE" w:rsidRDefault="003F33B8" w:rsidP="003F33B8">
      <w:pPr>
        <w:pStyle w:val="Pagrindinistekstas"/>
        <w:tabs>
          <w:tab w:val="left" w:pos="567"/>
        </w:tabs>
        <w:spacing w:after="0"/>
        <w:ind w:left="567" w:hanging="567"/>
        <w:jc w:val="both"/>
        <w:rPr>
          <w:szCs w:val="22"/>
        </w:rPr>
      </w:pPr>
      <w:r w:rsidRPr="001D5EBE">
        <w:rPr>
          <w:szCs w:val="22"/>
        </w:rPr>
        <w:t>-</w:t>
      </w:r>
      <w:r w:rsidRPr="001D5EBE">
        <w:rPr>
          <w:szCs w:val="22"/>
        </w:rPr>
        <w:tab/>
        <w:t>Pagalbinės medžiagos yra: miltelių sudėtyje - natrio-</w:t>
      </w:r>
      <w:proofErr w:type="spellStart"/>
      <w:r w:rsidRPr="001D5EBE">
        <w:rPr>
          <w:szCs w:val="22"/>
        </w:rPr>
        <w:t>divandenilio</w:t>
      </w:r>
      <w:proofErr w:type="spellEnd"/>
      <w:r w:rsidRPr="001D5EBE">
        <w:rPr>
          <w:szCs w:val="22"/>
        </w:rPr>
        <w:t xml:space="preserve"> fosfatas </w:t>
      </w:r>
      <w:proofErr w:type="spellStart"/>
      <w:r w:rsidRPr="001D5EBE">
        <w:rPr>
          <w:szCs w:val="22"/>
        </w:rPr>
        <w:t>monohidratas</w:t>
      </w:r>
      <w:proofErr w:type="spellEnd"/>
      <w:r w:rsidRPr="001D5EBE">
        <w:rPr>
          <w:szCs w:val="22"/>
        </w:rPr>
        <w:t xml:space="preserve">, bevandenis </w:t>
      </w:r>
      <w:proofErr w:type="spellStart"/>
      <w:r w:rsidRPr="001D5EBE">
        <w:rPr>
          <w:szCs w:val="22"/>
        </w:rPr>
        <w:t>dinatrio</w:t>
      </w:r>
      <w:proofErr w:type="spellEnd"/>
      <w:r w:rsidRPr="001D5EBE">
        <w:rPr>
          <w:szCs w:val="22"/>
        </w:rPr>
        <w:t xml:space="preserve"> fosfatas ir natrio </w:t>
      </w:r>
      <w:proofErr w:type="spellStart"/>
      <w:r w:rsidRPr="001D5EBE">
        <w:rPr>
          <w:szCs w:val="22"/>
        </w:rPr>
        <w:t>hidroksidas</w:t>
      </w:r>
      <w:proofErr w:type="spellEnd"/>
      <w:r w:rsidRPr="001D5EBE">
        <w:rPr>
          <w:szCs w:val="22"/>
        </w:rPr>
        <w:t xml:space="preserve">; tirpiklio sudėtyje - </w:t>
      </w:r>
      <w:proofErr w:type="spellStart"/>
      <w:r w:rsidRPr="001D5EBE">
        <w:rPr>
          <w:szCs w:val="22"/>
        </w:rPr>
        <w:t>benzilo</w:t>
      </w:r>
      <w:proofErr w:type="spellEnd"/>
      <w:r w:rsidRPr="001D5EBE">
        <w:rPr>
          <w:szCs w:val="22"/>
        </w:rPr>
        <w:t xml:space="preserve"> alkoholis ir injekcinis vanduo.</w:t>
      </w:r>
    </w:p>
    <w:p w14:paraId="36905110" w14:textId="77777777" w:rsidR="003F33B8" w:rsidRPr="001D5EBE" w:rsidRDefault="003F33B8" w:rsidP="003F33B8">
      <w:pPr>
        <w:pStyle w:val="Pagrindinistekstas"/>
        <w:spacing w:after="0"/>
        <w:rPr>
          <w:szCs w:val="22"/>
        </w:rPr>
      </w:pPr>
    </w:p>
    <w:p w14:paraId="5982A708" w14:textId="77777777" w:rsidR="003F33B8" w:rsidRPr="001D5EBE" w:rsidRDefault="003F33B8" w:rsidP="0025749A">
      <w:pPr>
        <w:pStyle w:val="PI-3EMEASMCA"/>
        <w:spacing w:line="240" w:lineRule="auto"/>
      </w:pPr>
      <w:r w:rsidRPr="001D5EBE">
        <w:t>SOLU-MEDROL išvaizda ir kiekis pakuotėje</w:t>
      </w:r>
    </w:p>
    <w:p w14:paraId="044EBE0B" w14:textId="77777777" w:rsidR="003F33B8" w:rsidRPr="001D5EBE" w:rsidRDefault="003F33B8" w:rsidP="003F33B8">
      <w:pPr>
        <w:pStyle w:val="Pagrindinistekstas"/>
        <w:spacing w:after="0"/>
        <w:rPr>
          <w:szCs w:val="22"/>
        </w:rPr>
      </w:pPr>
      <w:r w:rsidRPr="001D5EBE">
        <w:rPr>
          <w:szCs w:val="22"/>
        </w:rPr>
        <w:t xml:space="preserve">SOLU-MEDROL yra balti arba beveik balti milteliai. Preparatas tiekiamas dviejuose stikliniuose </w:t>
      </w:r>
      <w:r w:rsidR="00B25481" w:rsidRPr="001D5EBE">
        <w:rPr>
          <w:szCs w:val="22"/>
        </w:rPr>
        <w:t>flakonuose</w:t>
      </w:r>
      <w:r w:rsidRPr="001D5EBE">
        <w:rPr>
          <w:szCs w:val="22"/>
        </w:rPr>
        <w:t xml:space="preserve">. Viename </w:t>
      </w:r>
      <w:r w:rsidR="00B25481" w:rsidRPr="001D5EBE">
        <w:rPr>
          <w:szCs w:val="22"/>
        </w:rPr>
        <w:t>flakone</w:t>
      </w:r>
      <w:r w:rsidRPr="001D5EBE">
        <w:rPr>
          <w:szCs w:val="22"/>
        </w:rPr>
        <w:t xml:space="preserve"> esančiuose milteliuose yra 500 mg </w:t>
      </w:r>
      <w:proofErr w:type="spellStart"/>
      <w:r w:rsidRPr="001D5EBE">
        <w:rPr>
          <w:szCs w:val="22"/>
        </w:rPr>
        <w:t>metilprednizolono</w:t>
      </w:r>
      <w:proofErr w:type="spellEnd"/>
      <w:r w:rsidRPr="001D5EBE">
        <w:rPr>
          <w:szCs w:val="22"/>
        </w:rPr>
        <w:t>, kitame – 7,8 ml skaidraus, bespalvio tirpiklio.</w:t>
      </w:r>
    </w:p>
    <w:p w14:paraId="5BDD6132" w14:textId="77777777" w:rsidR="003F33B8" w:rsidRPr="001D5EBE" w:rsidRDefault="003F33B8" w:rsidP="003F33B8">
      <w:pPr>
        <w:pStyle w:val="Pagrindinistekstas"/>
        <w:spacing w:after="0"/>
        <w:rPr>
          <w:szCs w:val="22"/>
        </w:rPr>
      </w:pPr>
    </w:p>
    <w:p w14:paraId="56E693A7" w14:textId="77777777" w:rsidR="003F33B8" w:rsidRPr="001D5EBE" w:rsidRDefault="00AD7FA7" w:rsidP="003F33B8">
      <w:pPr>
        <w:pStyle w:val="PI-3EMEASMCA"/>
        <w:spacing w:line="240" w:lineRule="auto"/>
      </w:pPr>
      <w:proofErr w:type="spellStart"/>
      <w:r w:rsidRPr="007057DC">
        <w:rPr>
          <w:lang w:val="en-US"/>
        </w:rPr>
        <w:t>Registruotojas</w:t>
      </w:r>
      <w:proofErr w:type="spellEnd"/>
      <w:r>
        <w:rPr>
          <w:lang w:val="en-US"/>
        </w:rPr>
        <w:t xml:space="preserve"> </w:t>
      </w:r>
    </w:p>
    <w:p w14:paraId="66BB5B5C" w14:textId="77777777" w:rsidR="003F33B8" w:rsidRPr="001D5EBE" w:rsidRDefault="003F33B8" w:rsidP="003F33B8">
      <w:pPr>
        <w:pStyle w:val="Pagrindinistekstas"/>
        <w:widowControl w:val="0"/>
        <w:spacing w:after="0"/>
        <w:rPr>
          <w:szCs w:val="22"/>
        </w:rPr>
      </w:pPr>
      <w:proofErr w:type="spellStart"/>
      <w:r w:rsidRPr="001D5EBE">
        <w:rPr>
          <w:szCs w:val="22"/>
        </w:rPr>
        <w:t>Pfizer</w:t>
      </w:r>
      <w:proofErr w:type="spellEnd"/>
      <w:r w:rsidRPr="001D5EBE">
        <w:rPr>
          <w:szCs w:val="22"/>
        </w:rPr>
        <w:t xml:space="preserve"> </w:t>
      </w:r>
      <w:proofErr w:type="spellStart"/>
      <w:r w:rsidRPr="001D5EBE">
        <w:rPr>
          <w:szCs w:val="22"/>
        </w:rPr>
        <w:t>Europe</w:t>
      </w:r>
      <w:proofErr w:type="spellEnd"/>
      <w:r w:rsidRPr="001D5EBE">
        <w:rPr>
          <w:szCs w:val="22"/>
        </w:rPr>
        <w:t xml:space="preserve"> MA EEIG</w:t>
      </w:r>
    </w:p>
    <w:p w14:paraId="64E124A7" w14:textId="74A6CC83"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 xml:space="preserve">Boulevard de la </w:t>
      </w:r>
      <w:proofErr w:type="spellStart"/>
      <w:r w:rsidRPr="00317399">
        <w:rPr>
          <w:rFonts w:eastAsia="MS Mincho"/>
          <w:szCs w:val="20"/>
          <w:lang w:val="de-DE"/>
        </w:rPr>
        <w:t>Plaine</w:t>
      </w:r>
      <w:proofErr w:type="spellEnd"/>
      <w:r w:rsidRPr="00317399">
        <w:rPr>
          <w:rFonts w:eastAsia="MS Mincho"/>
          <w:szCs w:val="20"/>
          <w:lang w:val="de-DE"/>
        </w:rPr>
        <w:t xml:space="preserve"> 17</w:t>
      </w:r>
    </w:p>
    <w:p w14:paraId="2C48001F" w14:textId="77777777" w:rsidR="00317399" w:rsidRPr="00317399" w:rsidRDefault="00317399" w:rsidP="00317399">
      <w:pPr>
        <w:tabs>
          <w:tab w:val="left" w:pos="567"/>
        </w:tabs>
        <w:spacing w:line="240" w:lineRule="auto"/>
        <w:outlineLvl w:val="0"/>
        <w:rPr>
          <w:rFonts w:eastAsia="MS Mincho"/>
          <w:szCs w:val="20"/>
          <w:lang w:val="de-DE"/>
        </w:rPr>
      </w:pPr>
      <w:r w:rsidRPr="00317399">
        <w:rPr>
          <w:rFonts w:eastAsia="MS Mincho"/>
          <w:szCs w:val="20"/>
          <w:lang w:val="de-DE"/>
        </w:rPr>
        <w:t>1050 Bruxelles</w:t>
      </w:r>
    </w:p>
    <w:p w14:paraId="75779DFE" w14:textId="77777777" w:rsidR="00317399" w:rsidRDefault="00317399" w:rsidP="00317399">
      <w:pPr>
        <w:pStyle w:val="Pagrindinistekstas"/>
        <w:widowControl w:val="0"/>
        <w:spacing w:after="0"/>
        <w:rPr>
          <w:rFonts w:eastAsia="MS Mincho"/>
          <w:lang w:val="de-DE" w:eastAsia="en-US"/>
        </w:rPr>
      </w:pPr>
      <w:proofErr w:type="spellStart"/>
      <w:r w:rsidRPr="00317399">
        <w:rPr>
          <w:rFonts w:eastAsia="MS Mincho"/>
          <w:lang w:val="de-DE" w:eastAsia="en-US"/>
        </w:rPr>
        <w:t>Belgija</w:t>
      </w:r>
      <w:proofErr w:type="spellEnd"/>
    </w:p>
    <w:p w14:paraId="19D836E0" w14:textId="5103FD32" w:rsidR="003F33B8" w:rsidRPr="001D5EBE" w:rsidRDefault="003F33B8" w:rsidP="003F33B8">
      <w:pPr>
        <w:pStyle w:val="Pagrindinistekstas"/>
        <w:widowControl w:val="0"/>
        <w:spacing w:after="0"/>
        <w:rPr>
          <w:szCs w:val="22"/>
        </w:rPr>
      </w:pPr>
    </w:p>
    <w:p w14:paraId="16BDEE9E" w14:textId="77777777" w:rsidR="003F33B8" w:rsidRPr="001D5EBE" w:rsidRDefault="003F33B8" w:rsidP="003F33B8">
      <w:pPr>
        <w:pStyle w:val="Pagrindinistekstas"/>
        <w:spacing w:after="0"/>
        <w:rPr>
          <w:szCs w:val="22"/>
        </w:rPr>
      </w:pPr>
    </w:p>
    <w:p w14:paraId="0F77E291" w14:textId="77777777" w:rsidR="003F33B8" w:rsidRPr="001D5EBE" w:rsidRDefault="003F33B8" w:rsidP="003F33B8">
      <w:pPr>
        <w:pStyle w:val="Pagrindinistekstas"/>
        <w:spacing w:after="0"/>
        <w:rPr>
          <w:b/>
          <w:szCs w:val="22"/>
        </w:rPr>
      </w:pPr>
      <w:r w:rsidRPr="001D5EBE">
        <w:rPr>
          <w:b/>
          <w:szCs w:val="22"/>
        </w:rPr>
        <w:t>Gamintojas</w:t>
      </w:r>
    </w:p>
    <w:p w14:paraId="053B8CE0" w14:textId="77777777" w:rsidR="003F33B8" w:rsidRPr="001D5EBE" w:rsidRDefault="003F33B8" w:rsidP="003F33B8">
      <w:pPr>
        <w:pStyle w:val="Pagrindinistekstas"/>
        <w:spacing w:after="0"/>
        <w:rPr>
          <w:szCs w:val="22"/>
        </w:rPr>
      </w:pPr>
      <w:proofErr w:type="spellStart"/>
      <w:r w:rsidRPr="001D5EBE">
        <w:rPr>
          <w:szCs w:val="22"/>
        </w:rPr>
        <w:t>Pfizer</w:t>
      </w:r>
      <w:proofErr w:type="spellEnd"/>
      <w:r w:rsidRPr="001D5EBE">
        <w:rPr>
          <w:szCs w:val="22"/>
        </w:rPr>
        <w:t xml:space="preserve"> </w:t>
      </w:r>
      <w:proofErr w:type="spellStart"/>
      <w:r w:rsidRPr="001D5EBE">
        <w:rPr>
          <w:szCs w:val="22"/>
        </w:rPr>
        <w:t>Manufacturing</w:t>
      </w:r>
      <w:proofErr w:type="spellEnd"/>
      <w:r w:rsidRPr="001D5EBE">
        <w:rPr>
          <w:szCs w:val="22"/>
        </w:rPr>
        <w:t xml:space="preserve"> </w:t>
      </w:r>
      <w:proofErr w:type="spellStart"/>
      <w:r w:rsidRPr="001D5EBE">
        <w:rPr>
          <w:szCs w:val="22"/>
        </w:rPr>
        <w:t>Belgium</w:t>
      </w:r>
      <w:proofErr w:type="spellEnd"/>
      <w:r w:rsidRPr="001D5EBE">
        <w:rPr>
          <w:szCs w:val="22"/>
        </w:rPr>
        <w:t xml:space="preserve"> N.V.</w:t>
      </w:r>
    </w:p>
    <w:p w14:paraId="589829B1" w14:textId="77777777" w:rsidR="003F33B8" w:rsidRPr="001D5EBE" w:rsidRDefault="003F33B8" w:rsidP="003F33B8">
      <w:pPr>
        <w:pStyle w:val="Pagrindinistekstas"/>
        <w:spacing w:after="0"/>
        <w:rPr>
          <w:szCs w:val="22"/>
        </w:rPr>
      </w:pPr>
      <w:proofErr w:type="spellStart"/>
      <w:r w:rsidRPr="001D5EBE">
        <w:rPr>
          <w:szCs w:val="22"/>
        </w:rPr>
        <w:t>Rijksweg</w:t>
      </w:r>
      <w:proofErr w:type="spellEnd"/>
      <w:r w:rsidRPr="001D5EBE">
        <w:rPr>
          <w:szCs w:val="22"/>
        </w:rPr>
        <w:t xml:space="preserve"> 12, 2870 </w:t>
      </w:r>
      <w:proofErr w:type="spellStart"/>
      <w:r w:rsidRPr="001D5EBE">
        <w:rPr>
          <w:szCs w:val="22"/>
        </w:rPr>
        <w:t>Puurs</w:t>
      </w:r>
      <w:proofErr w:type="spellEnd"/>
    </w:p>
    <w:p w14:paraId="60844D9B" w14:textId="77777777" w:rsidR="003F33B8" w:rsidRPr="001D5EBE" w:rsidRDefault="003F33B8" w:rsidP="003F33B8">
      <w:pPr>
        <w:pStyle w:val="Pagrindinistekstas"/>
        <w:spacing w:after="0"/>
        <w:rPr>
          <w:szCs w:val="22"/>
        </w:rPr>
      </w:pPr>
      <w:r w:rsidRPr="001D5EBE">
        <w:rPr>
          <w:szCs w:val="22"/>
        </w:rPr>
        <w:t>Belgija</w:t>
      </w:r>
    </w:p>
    <w:p w14:paraId="4EA21923" w14:textId="77777777" w:rsidR="003F33B8" w:rsidRPr="001D5EBE" w:rsidRDefault="003F33B8" w:rsidP="003F33B8">
      <w:pPr>
        <w:pStyle w:val="Pagrindinistekstas"/>
        <w:spacing w:after="0"/>
        <w:rPr>
          <w:szCs w:val="22"/>
        </w:rPr>
      </w:pPr>
    </w:p>
    <w:p w14:paraId="3BAB27C9" w14:textId="77777777" w:rsidR="003F33B8" w:rsidRPr="001D5EBE" w:rsidRDefault="003F33B8" w:rsidP="003F33B8">
      <w:pPr>
        <w:pStyle w:val="BTEMEASMCA"/>
      </w:pPr>
      <w:r w:rsidRPr="001D5EBE">
        <w:t xml:space="preserve">Jeigu apie šį vaistą norite sužinoti daugiau, kreipkitės į vietinį </w:t>
      </w:r>
      <w:r w:rsidR="00620513" w:rsidRPr="007057DC">
        <w:t>registruotojo</w:t>
      </w:r>
      <w:r w:rsidR="00620513" w:rsidRPr="001D5EBE">
        <w:t xml:space="preserve"> </w:t>
      </w:r>
      <w:r w:rsidRPr="001D5EBE">
        <w:t>atstovą.</w:t>
      </w:r>
    </w:p>
    <w:p w14:paraId="30221C38" w14:textId="77777777" w:rsidR="003F33B8" w:rsidRPr="001D5EBE" w:rsidRDefault="003F33B8" w:rsidP="003F33B8">
      <w:pPr>
        <w:spacing w:line="240" w:lineRule="auto"/>
        <w:rPr>
          <w:lang w:val="lt-LT"/>
        </w:rPr>
      </w:pPr>
    </w:p>
    <w:p w14:paraId="27A14DC9" w14:textId="77777777" w:rsidR="003F33B8" w:rsidRPr="001D5EBE" w:rsidRDefault="003F33B8" w:rsidP="003F33B8">
      <w:pPr>
        <w:spacing w:line="240" w:lineRule="auto"/>
        <w:rPr>
          <w:lang w:val="lt-LT"/>
        </w:rPr>
      </w:pPr>
      <w:r w:rsidRPr="001D5EBE">
        <w:rPr>
          <w:lang w:val="lt-LT"/>
        </w:rPr>
        <w:t>"</w:t>
      </w:r>
      <w:proofErr w:type="spellStart"/>
      <w:r w:rsidRPr="001D5EBE">
        <w:rPr>
          <w:lang w:val="lt-LT"/>
        </w:rPr>
        <w:t>Pfizer</w:t>
      </w:r>
      <w:proofErr w:type="spellEnd"/>
      <w:r w:rsidRPr="001D5EBE">
        <w:rPr>
          <w:lang w:val="lt-LT"/>
        </w:rPr>
        <w:t xml:space="preserve"> </w:t>
      </w:r>
      <w:proofErr w:type="spellStart"/>
      <w:r w:rsidRPr="001D5EBE">
        <w:rPr>
          <w:lang w:val="lt-LT"/>
        </w:rPr>
        <w:t>Luxembourg</w:t>
      </w:r>
      <w:proofErr w:type="spellEnd"/>
      <w:r w:rsidRPr="001D5EBE">
        <w:rPr>
          <w:lang w:val="lt-LT"/>
        </w:rPr>
        <w:t xml:space="preserve"> SARL" filialas Lietuvoje</w:t>
      </w:r>
    </w:p>
    <w:p w14:paraId="7231EFC2" w14:textId="77777777" w:rsidR="003F33B8" w:rsidRPr="001D5EBE" w:rsidRDefault="003F33B8" w:rsidP="003F33B8">
      <w:pPr>
        <w:spacing w:line="240" w:lineRule="auto"/>
        <w:rPr>
          <w:lang w:val="lt-LT"/>
        </w:rPr>
      </w:pPr>
      <w:r w:rsidRPr="001D5EBE">
        <w:rPr>
          <w:lang w:val="lt-LT"/>
        </w:rPr>
        <w:t>Goštauto 40a, LT</w:t>
      </w:r>
      <w:r w:rsidRPr="001D5EBE">
        <w:rPr>
          <w:lang w:val="lt-LT"/>
        </w:rPr>
        <w:noBreakHyphen/>
        <w:t>01112 Vilnius</w:t>
      </w:r>
    </w:p>
    <w:p w14:paraId="00C7DA38" w14:textId="77777777" w:rsidR="003F33B8" w:rsidRPr="001D5EBE" w:rsidRDefault="003F33B8" w:rsidP="003F33B8">
      <w:pPr>
        <w:spacing w:line="240" w:lineRule="auto"/>
        <w:rPr>
          <w:lang w:val="lt-LT"/>
        </w:rPr>
      </w:pPr>
      <w:r w:rsidRPr="001D5EBE">
        <w:rPr>
          <w:lang w:val="lt-LT"/>
        </w:rPr>
        <w:t>Tel. +370 5 2514000</w:t>
      </w:r>
    </w:p>
    <w:p w14:paraId="0E0B49D3" w14:textId="77777777" w:rsidR="003F33B8" w:rsidRPr="001D5EBE" w:rsidRDefault="003F33B8" w:rsidP="003F33B8">
      <w:pPr>
        <w:spacing w:line="240" w:lineRule="auto"/>
        <w:rPr>
          <w:lang w:val="lt-LT"/>
        </w:rPr>
      </w:pPr>
    </w:p>
    <w:p w14:paraId="621BCEF6" w14:textId="3E00BEC4" w:rsidR="003F33B8" w:rsidRPr="001D5EBE" w:rsidRDefault="003F33B8" w:rsidP="003F33B8">
      <w:pPr>
        <w:pStyle w:val="Pagrindinistekstas"/>
        <w:spacing w:after="0"/>
        <w:rPr>
          <w:b/>
          <w:szCs w:val="22"/>
        </w:rPr>
      </w:pPr>
      <w:r w:rsidRPr="001D5EBE">
        <w:rPr>
          <w:b/>
          <w:szCs w:val="22"/>
        </w:rPr>
        <w:t xml:space="preserve">Šis pakuotės lapelis paskutinį kartą peržiūrėtas </w:t>
      </w:r>
      <w:r w:rsidR="006D5592">
        <w:rPr>
          <w:b/>
          <w:szCs w:val="22"/>
        </w:rPr>
        <w:t>2018-</w:t>
      </w:r>
      <w:r w:rsidR="00317399">
        <w:rPr>
          <w:b/>
          <w:szCs w:val="22"/>
        </w:rPr>
        <w:t>09-11</w:t>
      </w:r>
      <w:r w:rsidR="006D5592">
        <w:rPr>
          <w:b/>
          <w:szCs w:val="22"/>
        </w:rPr>
        <w:t>.</w:t>
      </w:r>
    </w:p>
    <w:p w14:paraId="5FDF9842" w14:textId="77777777" w:rsidR="003F33B8" w:rsidRPr="001D5EBE" w:rsidRDefault="003F33B8" w:rsidP="003F33B8">
      <w:pPr>
        <w:pStyle w:val="Pagrindinistekstas"/>
        <w:spacing w:after="0"/>
        <w:rPr>
          <w:b/>
          <w:szCs w:val="22"/>
        </w:rPr>
      </w:pPr>
    </w:p>
    <w:p w14:paraId="1FE0F8E4" w14:textId="77777777" w:rsidR="003F33B8" w:rsidRPr="001D5EBE" w:rsidRDefault="003F33B8" w:rsidP="003F33B8">
      <w:pPr>
        <w:pStyle w:val="BTEMEASMCA"/>
        <w:rPr>
          <w:color w:val="0000FF"/>
        </w:rPr>
      </w:pPr>
      <w:r w:rsidRPr="001D5EBE">
        <w:t>Išsami informacija apie šį vaistą pateikiama Valstybinės vaistų kontrolės tarnybos prie Lietuvos Respublikos sveikatos apsaugos ministerijos tinklalapyje</w:t>
      </w:r>
      <w:r w:rsidRPr="001D5EBE">
        <w:rPr>
          <w:i/>
        </w:rPr>
        <w:t xml:space="preserve"> </w:t>
      </w:r>
      <w:hyperlink r:id="rId17" w:history="1">
        <w:r w:rsidRPr="001D5EBE">
          <w:rPr>
            <w:rStyle w:val="Hipersaitas"/>
          </w:rPr>
          <w:t>http://www.vvkt.lt/</w:t>
        </w:r>
      </w:hyperlink>
    </w:p>
    <w:p w14:paraId="14B8FF4C" w14:textId="77777777" w:rsidR="003F33B8" w:rsidRPr="001D5EBE" w:rsidRDefault="003F33B8" w:rsidP="003F33B8">
      <w:pPr>
        <w:pStyle w:val="BTEMEASMCA"/>
      </w:pPr>
    </w:p>
    <w:p w14:paraId="1826D07E" w14:textId="77777777" w:rsidR="003F33B8" w:rsidRPr="001D5EBE" w:rsidRDefault="003F33B8" w:rsidP="003F33B8">
      <w:pPr>
        <w:spacing w:line="240" w:lineRule="auto"/>
        <w:rPr>
          <w:lang w:val="lt-LT"/>
        </w:rPr>
      </w:pPr>
      <w:r w:rsidRPr="001D5EBE">
        <w:rPr>
          <w:lang w:val="lt-LT"/>
        </w:rPr>
        <w:t>---------------------------------------------------------------------------------------------------------------------------</w:t>
      </w:r>
    </w:p>
    <w:p w14:paraId="241928FF" w14:textId="77777777" w:rsidR="003F33B8" w:rsidRPr="001D5EBE" w:rsidRDefault="00714EAE" w:rsidP="003F33B8">
      <w:pPr>
        <w:pStyle w:val="BTEMEASMCA"/>
      </w:pPr>
      <w:r>
        <w:t>Toliau</w:t>
      </w:r>
      <w:r w:rsidR="003F33B8" w:rsidRPr="001D5EBE">
        <w:t xml:space="preserve"> pateikta informacija skirta tik sveikatos priežiūros specialistams:</w:t>
      </w:r>
    </w:p>
    <w:p w14:paraId="74469374" w14:textId="77777777" w:rsidR="003F33B8" w:rsidRPr="001D5EBE" w:rsidRDefault="003F33B8" w:rsidP="003F33B8">
      <w:pPr>
        <w:pStyle w:val="BTEMEASMCA"/>
      </w:pPr>
    </w:p>
    <w:p w14:paraId="5293BAA8" w14:textId="77777777" w:rsidR="003F33B8" w:rsidRPr="001D5EBE" w:rsidRDefault="003F33B8" w:rsidP="003F33B8">
      <w:pPr>
        <w:pStyle w:val="BTEMEASMCA"/>
        <w:rPr>
          <w:b/>
        </w:rPr>
      </w:pPr>
      <w:r w:rsidRPr="001D5EBE">
        <w:rPr>
          <w:b/>
        </w:rPr>
        <w:t>Vartojimo ir darbo su vaistiniu preparatu instrukcija</w:t>
      </w:r>
    </w:p>
    <w:p w14:paraId="086CA011" w14:textId="77777777" w:rsidR="003F33B8" w:rsidRPr="001D5EBE" w:rsidRDefault="003F33B8" w:rsidP="003F33B8">
      <w:pPr>
        <w:pStyle w:val="BTEMEASMCA"/>
      </w:pPr>
    </w:p>
    <w:p w14:paraId="4A456845" w14:textId="77777777" w:rsidR="003F33B8" w:rsidRPr="001D5EBE" w:rsidRDefault="003F33B8" w:rsidP="003F33B8">
      <w:pPr>
        <w:pStyle w:val="Pagrindinistekstas"/>
        <w:spacing w:after="0"/>
        <w:rPr>
          <w:szCs w:val="22"/>
        </w:rPr>
      </w:pPr>
      <w:r w:rsidRPr="001D5EBE">
        <w:rPr>
          <w:szCs w:val="22"/>
        </w:rPr>
        <w:t xml:space="preserve">Norint paruošti tirpalą intraveninei infuzijai, reikia nuimti apsauginį dangtelį ir </w:t>
      </w:r>
      <w:r w:rsidR="00B25481" w:rsidRPr="001D5EBE">
        <w:rPr>
          <w:szCs w:val="22"/>
        </w:rPr>
        <w:t>flakone</w:t>
      </w:r>
      <w:r w:rsidRPr="001D5EBE">
        <w:rPr>
          <w:szCs w:val="22"/>
        </w:rPr>
        <w:t xml:space="preserve"> esančius sterilius SOLU-MEDROL miltelius ištirpinti įprastai.</w:t>
      </w:r>
    </w:p>
    <w:p w14:paraId="63BDEC77" w14:textId="3274F90F" w:rsidR="003F33B8" w:rsidRPr="001D5EBE" w:rsidRDefault="003F33B8" w:rsidP="003F33B8">
      <w:pPr>
        <w:pStyle w:val="Pagrindinistekstas"/>
        <w:spacing w:after="0"/>
        <w:rPr>
          <w:szCs w:val="22"/>
        </w:rPr>
      </w:pPr>
      <w:r w:rsidRPr="001D5EBE">
        <w:rPr>
          <w:szCs w:val="22"/>
        </w:rPr>
        <w:t>Pirmąją intraveninę dozę galima suleisti ne greičiau kaip per 5 min. (jei ji mažesnė kaip  250 mg) ir ne greičiau kaip per 30 min. (jei ji lygi arba didesnė kaip 250 mg). Vėlesnės dozės ruošiamos ir vartojamos panašiai. Esant reikalui, galima vartoti atskiestus šio vaist</w:t>
      </w:r>
      <w:r w:rsidR="009F55BB">
        <w:rPr>
          <w:szCs w:val="22"/>
        </w:rPr>
        <w:t>inio preparato</w:t>
      </w:r>
      <w:r w:rsidRPr="001D5EBE">
        <w:rPr>
          <w:szCs w:val="22"/>
        </w:rPr>
        <w:t xml:space="preserve"> tirpalus. Tokiu atveju ištirpintas </w:t>
      </w:r>
      <w:r w:rsidR="00F50CCD">
        <w:rPr>
          <w:szCs w:val="22"/>
        </w:rPr>
        <w:t xml:space="preserve">vaistinis </w:t>
      </w:r>
      <w:r w:rsidRPr="001D5EBE">
        <w:rPr>
          <w:szCs w:val="22"/>
        </w:rPr>
        <w:t>preparatas sumaišomas su 5</w:t>
      </w:r>
      <w:r w:rsidR="00695654">
        <w:rPr>
          <w:szCs w:val="22"/>
        </w:rPr>
        <w:t xml:space="preserve"> proc.</w:t>
      </w:r>
      <w:r w:rsidRPr="001D5EBE">
        <w:rPr>
          <w:szCs w:val="22"/>
        </w:rPr>
        <w:t xml:space="preserve"> gliukozės tirpalu vandenyje, fiziologiniu natrio chlorido tirpalu arba 5</w:t>
      </w:r>
      <w:r w:rsidR="00695654">
        <w:rPr>
          <w:szCs w:val="22"/>
        </w:rPr>
        <w:t xml:space="preserve"> proc.</w:t>
      </w:r>
      <w:r w:rsidRPr="001D5EBE">
        <w:rPr>
          <w:szCs w:val="22"/>
        </w:rPr>
        <w:t xml:space="preserve"> gliukoze 0,45</w:t>
      </w:r>
      <w:r w:rsidR="00695654">
        <w:rPr>
          <w:szCs w:val="22"/>
        </w:rPr>
        <w:t xml:space="preserve"> proc.</w:t>
      </w:r>
      <w:r w:rsidRPr="001D5EBE">
        <w:rPr>
          <w:szCs w:val="22"/>
        </w:rPr>
        <w:t xml:space="preserve"> ar 0,9</w:t>
      </w:r>
      <w:r w:rsidR="00695654">
        <w:rPr>
          <w:szCs w:val="22"/>
        </w:rPr>
        <w:t xml:space="preserve"> proc.</w:t>
      </w:r>
      <w:r w:rsidRPr="001D5EBE">
        <w:rPr>
          <w:szCs w:val="22"/>
        </w:rPr>
        <w:t xml:space="preserve"> natrio chlorido tirpale. Gautų tirpalų fizinės ir cheminės savybės stabilios </w:t>
      </w:r>
      <w:r w:rsidR="00F50CCD">
        <w:rPr>
          <w:szCs w:val="22"/>
          <w:lang w:val="en-US"/>
        </w:rPr>
        <w:t>12</w:t>
      </w:r>
      <w:r w:rsidR="00F50CCD" w:rsidRPr="001D5EBE">
        <w:rPr>
          <w:szCs w:val="22"/>
        </w:rPr>
        <w:t> </w:t>
      </w:r>
      <w:r w:rsidRPr="001D5EBE">
        <w:rPr>
          <w:szCs w:val="22"/>
        </w:rPr>
        <w:t>valand</w:t>
      </w:r>
      <w:r w:rsidR="00F50CCD">
        <w:rPr>
          <w:szCs w:val="22"/>
        </w:rPr>
        <w:t>ų</w:t>
      </w:r>
      <w:r w:rsidRPr="001D5EBE">
        <w:rPr>
          <w:szCs w:val="22"/>
        </w:rPr>
        <w:t>.</w:t>
      </w:r>
    </w:p>
    <w:p w14:paraId="0825836D" w14:textId="77777777" w:rsidR="003F33B8" w:rsidRDefault="003F33B8" w:rsidP="003F33B8">
      <w:pPr>
        <w:spacing w:line="240" w:lineRule="auto"/>
        <w:rPr>
          <w:lang w:val="lt-LT"/>
        </w:rPr>
      </w:pPr>
    </w:p>
    <w:p w14:paraId="1714567A" w14:textId="77777777" w:rsidR="00833EB3" w:rsidRPr="001D5EBE" w:rsidRDefault="00833EB3">
      <w:pPr>
        <w:rPr>
          <w:lang w:val="lt-LT"/>
        </w:rPr>
      </w:pPr>
      <w:bookmarkStart w:id="2" w:name="_GoBack"/>
      <w:bookmarkEnd w:id="2"/>
    </w:p>
    <w:sectPr w:rsidR="00833EB3" w:rsidRPr="001D5EBE" w:rsidSect="00584BB5">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3BAEE" w14:textId="77777777" w:rsidR="009E62DC" w:rsidRDefault="009E62DC">
      <w:pPr>
        <w:spacing w:line="240" w:lineRule="auto"/>
      </w:pPr>
      <w:r>
        <w:separator/>
      </w:r>
    </w:p>
  </w:endnote>
  <w:endnote w:type="continuationSeparator" w:id="0">
    <w:p w14:paraId="79179DFB" w14:textId="77777777" w:rsidR="009E62DC" w:rsidRDefault="009E62DC">
      <w:pPr>
        <w:spacing w:line="240" w:lineRule="auto"/>
      </w:pPr>
      <w:r>
        <w:continuationSeparator/>
      </w:r>
    </w:p>
  </w:endnote>
  <w:endnote w:type="continuationNotice" w:id="1">
    <w:p w14:paraId="263FCA21" w14:textId="77777777" w:rsidR="009E62DC" w:rsidRDefault="009E62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EBB2E" w14:textId="77777777" w:rsidR="004A5109" w:rsidRPr="00705660" w:rsidRDefault="004A5109">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2BAF82C4" w14:textId="77777777" w:rsidR="004A5109" w:rsidRDefault="004A510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BA04" w14:textId="77777777" w:rsidR="004A5109" w:rsidRPr="00705660" w:rsidRDefault="004A5109">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sidR="00781F28">
      <w:rPr>
        <w:rStyle w:val="Puslapionumeris"/>
        <w:noProof/>
      </w:rPr>
      <w:t>34</w:t>
    </w:r>
    <w:r>
      <w:rPr>
        <w:rStyle w:val="Puslapionumeris"/>
      </w:rPr>
      <w:fldChar w:fldCharType="end"/>
    </w:r>
  </w:p>
  <w:p w14:paraId="3C31E393" w14:textId="77777777" w:rsidR="004A5109" w:rsidRDefault="004A510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0148A" w14:textId="77777777" w:rsidR="009E62DC" w:rsidRDefault="009E62DC">
      <w:pPr>
        <w:spacing w:line="240" w:lineRule="auto"/>
      </w:pPr>
      <w:r>
        <w:separator/>
      </w:r>
    </w:p>
  </w:footnote>
  <w:footnote w:type="continuationSeparator" w:id="0">
    <w:p w14:paraId="3882C312" w14:textId="77777777" w:rsidR="009E62DC" w:rsidRDefault="009E62DC">
      <w:pPr>
        <w:spacing w:line="240" w:lineRule="auto"/>
      </w:pPr>
      <w:r>
        <w:continuationSeparator/>
      </w:r>
    </w:p>
  </w:footnote>
  <w:footnote w:type="continuationNotice" w:id="1">
    <w:p w14:paraId="21DE0C6D" w14:textId="77777777" w:rsidR="009E62DC" w:rsidRDefault="009E62D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A670" w14:textId="77777777" w:rsidR="00C8743D" w:rsidRDefault="00C874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64F2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1D29D1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8077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DFCCD4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3802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C46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A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21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E4BE7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1B4B5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4446491"/>
    <w:multiLevelType w:val="singleLevel"/>
    <w:tmpl w:val="F22C2CD8"/>
    <w:lvl w:ilvl="0">
      <w:start w:val="6"/>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16" w15:restartNumberingAfterBreak="0">
    <w:nsid w:val="59F42385"/>
    <w:multiLevelType w:val="hybridMultilevel"/>
    <w:tmpl w:val="CFCECB12"/>
    <w:lvl w:ilvl="0" w:tplc="27CE767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18615B3"/>
    <w:multiLevelType w:val="singleLevel"/>
    <w:tmpl w:val="5B8EB27C"/>
    <w:lvl w:ilvl="0">
      <w:start w:val="4"/>
      <w:numFmt w:val="bullet"/>
      <w:lvlText w:val="-"/>
      <w:lvlJc w:val="left"/>
      <w:pPr>
        <w:tabs>
          <w:tab w:val="num" w:pos="360"/>
        </w:tabs>
        <w:ind w:left="360" w:hanging="360"/>
      </w:pPr>
      <w:rPr>
        <w:rFonts w:hint="default"/>
      </w:rPr>
    </w:lvl>
  </w:abstractNum>
  <w:abstractNum w:abstractNumId="18"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061139A"/>
    <w:multiLevelType w:val="hybridMultilevel"/>
    <w:tmpl w:val="AD623C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7"/>
  </w:num>
  <w:num w:numId="3">
    <w:abstractNumId w:val="14"/>
  </w:num>
  <w:num w:numId="4">
    <w:abstractNumId w:val="15"/>
  </w:num>
  <w:num w:numId="5">
    <w:abstractNumId w:val="12"/>
  </w:num>
  <w:num w:numId="6">
    <w:abstractNumId w:val="13"/>
  </w:num>
  <w:num w:numId="7">
    <w:abstractNumId w:val="11"/>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9"/>
  </w:num>
  <w:num w:numId="19">
    <w:abstractNumId w:val="10"/>
    <w:lvlOverride w:ilvl="0">
      <w:lvl w:ilvl="0">
        <w:start w:val="1"/>
        <w:numFmt w:val="bullet"/>
        <w:lvlText w:val="-"/>
        <w:lvlJc w:val="left"/>
        <w:pPr>
          <w:ind w:left="360" w:hanging="360"/>
        </w:pPr>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B8"/>
    <w:rsid w:val="00014C11"/>
    <w:rsid w:val="000248C7"/>
    <w:rsid w:val="00030D53"/>
    <w:rsid w:val="00034EC7"/>
    <w:rsid w:val="00042707"/>
    <w:rsid w:val="00060D66"/>
    <w:rsid w:val="000632E0"/>
    <w:rsid w:val="00067FB1"/>
    <w:rsid w:val="000A1ECA"/>
    <w:rsid w:val="000B7891"/>
    <w:rsid w:val="000C101F"/>
    <w:rsid w:val="000E137A"/>
    <w:rsid w:val="000E427E"/>
    <w:rsid w:val="000F062C"/>
    <w:rsid w:val="001068FF"/>
    <w:rsid w:val="00125C52"/>
    <w:rsid w:val="00134A72"/>
    <w:rsid w:val="0014202E"/>
    <w:rsid w:val="00144298"/>
    <w:rsid w:val="00167ABF"/>
    <w:rsid w:val="001761E2"/>
    <w:rsid w:val="00176F9A"/>
    <w:rsid w:val="00187232"/>
    <w:rsid w:val="001924AF"/>
    <w:rsid w:val="001974C8"/>
    <w:rsid w:val="001A36FC"/>
    <w:rsid w:val="001D5EBE"/>
    <w:rsid w:val="001E2958"/>
    <w:rsid w:val="00213E6A"/>
    <w:rsid w:val="0021644D"/>
    <w:rsid w:val="0022414C"/>
    <w:rsid w:val="00231BF0"/>
    <w:rsid w:val="0023624E"/>
    <w:rsid w:val="002423F2"/>
    <w:rsid w:val="0025749A"/>
    <w:rsid w:val="00272705"/>
    <w:rsid w:val="00285A96"/>
    <w:rsid w:val="00286911"/>
    <w:rsid w:val="00292309"/>
    <w:rsid w:val="002969B9"/>
    <w:rsid w:val="002B2512"/>
    <w:rsid w:val="002C66FA"/>
    <w:rsid w:val="002D12E7"/>
    <w:rsid w:val="002D4205"/>
    <w:rsid w:val="002D7694"/>
    <w:rsid w:val="002E36B7"/>
    <w:rsid w:val="002E4D71"/>
    <w:rsid w:val="00306905"/>
    <w:rsid w:val="00317399"/>
    <w:rsid w:val="0032627C"/>
    <w:rsid w:val="0033601A"/>
    <w:rsid w:val="00341AAE"/>
    <w:rsid w:val="003463EB"/>
    <w:rsid w:val="0035308E"/>
    <w:rsid w:val="003616F7"/>
    <w:rsid w:val="00380430"/>
    <w:rsid w:val="00387676"/>
    <w:rsid w:val="003C49A1"/>
    <w:rsid w:val="003D18B6"/>
    <w:rsid w:val="003D390C"/>
    <w:rsid w:val="003F33B8"/>
    <w:rsid w:val="003F73CE"/>
    <w:rsid w:val="00414355"/>
    <w:rsid w:val="004212D9"/>
    <w:rsid w:val="0042360F"/>
    <w:rsid w:val="00440EEE"/>
    <w:rsid w:val="0047243D"/>
    <w:rsid w:val="00477528"/>
    <w:rsid w:val="00486EBA"/>
    <w:rsid w:val="00491531"/>
    <w:rsid w:val="004A5109"/>
    <w:rsid w:val="004A7741"/>
    <w:rsid w:val="004B145A"/>
    <w:rsid w:val="004C190D"/>
    <w:rsid w:val="004C4145"/>
    <w:rsid w:val="004C4F36"/>
    <w:rsid w:val="004C5AA5"/>
    <w:rsid w:val="004D2F25"/>
    <w:rsid w:val="004E09F6"/>
    <w:rsid w:val="004E0C59"/>
    <w:rsid w:val="004E1426"/>
    <w:rsid w:val="004F1BB2"/>
    <w:rsid w:val="0050487E"/>
    <w:rsid w:val="00505219"/>
    <w:rsid w:val="00507271"/>
    <w:rsid w:val="005144E5"/>
    <w:rsid w:val="005420F0"/>
    <w:rsid w:val="005608D3"/>
    <w:rsid w:val="005724A1"/>
    <w:rsid w:val="00582059"/>
    <w:rsid w:val="00584BB5"/>
    <w:rsid w:val="00590379"/>
    <w:rsid w:val="00591D9C"/>
    <w:rsid w:val="005D5981"/>
    <w:rsid w:val="005D6271"/>
    <w:rsid w:val="005D73B4"/>
    <w:rsid w:val="005F0C5D"/>
    <w:rsid w:val="005F3F7E"/>
    <w:rsid w:val="00620513"/>
    <w:rsid w:val="00620546"/>
    <w:rsid w:val="00651237"/>
    <w:rsid w:val="00661172"/>
    <w:rsid w:val="0066766A"/>
    <w:rsid w:val="00667BA3"/>
    <w:rsid w:val="0069276E"/>
    <w:rsid w:val="00695654"/>
    <w:rsid w:val="00697C69"/>
    <w:rsid w:val="006B51B5"/>
    <w:rsid w:val="006C2077"/>
    <w:rsid w:val="006C677B"/>
    <w:rsid w:val="006D5592"/>
    <w:rsid w:val="006F1F88"/>
    <w:rsid w:val="006F626A"/>
    <w:rsid w:val="006F7EBE"/>
    <w:rsid w:val="007017A5"/>
    <w:rsid w:val="00705660"/>
    <w:rsid w:val="00714EAE"/>
    <w:rsid w:val="00755BCD"/>
    <w:rsid w:val="00760F19"/>
    <w:rsid w:val="00781F28"/>
    <w:rsid w:val="00791C70"/>
    <w:rsid w:val="007A0845"/>
    <w:rsid w:val="007C15F2"/>
    <w:rsid w:val="007F01A7"/>
    <w:rsid w:val="007F4ED2"/>
    <w:rsid w:val="00814874"/>
    <w:rsid w:val="00827458"/>
    <w:rsid w:val="00833EB3"/>
    <w:rsid w:val="0083777C"/>
    <w:rsid w:val="008427A4"/>
    <w:rsid w:val="00861EBA"/>
    <w:rsid w:val="0086735C"/>
    <w:rsid w:val="008700AA"/>
    <w:rsid w:val="008758D3"/>
    <w:rsid w:val="00883D9C"/>
    <w:rsid w:val="00892539"/>
    <w:rsid w:val="00893E17"/>
    <w:rsid w:val="008A5F2E"/>
    <w:rsid w:val="008B4F91"/>
    <w:rsid w:val="008B69E3"/>
    <w:rsid w:val="008C414A"/>
    <w:rsid w:val="008C4BE0"/>
    <w:rsid w:val="008D185B"/>
    <w:rsid w:val="008F6AE5"/>
    <w:rsid w:val="009112A3"/>
    <w:rsid w:val="009243E6"/>
    <w:rsid w:val="00924E5C"/>
    <w:rsid w:val="009367D1"/>
    <w:rsid w:val="00962A19"/>
    <w:rsid w:val="00963974"/>
    <w:rsid w:val="00963FC9"/>
    <w:rsid w:val="00981B94"/>
    <w:rsid w:val="00994B5F"/>
    <w:rsid w:val="009B2A03"/>
    <w:rsid w:val="009B74A6"/>
    <w:rsid w:val="009E62DC"/>
    <w:rsid w:val="009E7972"/>
    <w:rsid w:val="009F55BB"/>
    <w:rsid w:val="00A11A19"/>
    <w:rsid w:val="00A20683"/>
    <w:rsid w:val="00A24620"/>
    <w:rsid w:val="00A34697"/>
    <w:rsid w:val="00A501AF"/>
    <w:rsid w:val="00A5242A"/>
    <w:rsid w:val="00A85F16"/>
    <w:rsid w:val="00A92009"/>
    <w:rsid w:val="00A963C7"/>
    <w:rsid w:val="00A97685"/>
    <w:rsid w:val="00AA48ED"/>
    <w:rsid w:val="00AB2904"/>
    <w:rsid w:val="00AB679B"/>
    <w:rsid w:val="00AB6888"/>
    <w:rsid w:val="00AC71F3"/>
    <w:rsid w:val="00AD78A8"/>
    <w:rsid w:val="00AD7FA7"/>
    <w:rsid w:val="00AE3544"/>
    <w:rsid w:val="00AE3807"/>
    <w:rsid w:val="00AE4208"/>
    <w:rsid w:val="00AE67E8"/>
    <w:rsid w:val="00AE731C"/>
    <w:rsid w:val="00B04F60"/>
    <w:rsid w:val="00B16173"/>
    <w:rsid w:val="00B25481"/>
    <w:rsid w:val="00B3181B"/>
    <w:rsid w:val="00B43401"/>
    <w:rsid w:val="00B46A59"/>
    <w:rsid w:val="00B83EAF"/>
    <w:rsid w:val="00BE556E"/>
    <w:rsid w:val="00BF1D97"/>
    <w:rsid w:val="00C01333"/>
    <w:rsid w:val="00C03CBE"/>
    <w:rsid w:val="00C06AD1"/>
    <w:rsid w:val="00C225F1"/>
    <w:rsid w:val="00C44252"/>
    <w:rsid w:val="00C57C5B"/>
    <w:rsid w:val="00C81119"/>
    <w:rsid w:val="00C8743D"/>
    <w:rsid w:val="00C92D75"/>
    <w:rsid w:val="00CB6855"/>
    <w:rsid w:val="00D054D5"/>
    <w:rsid w:val="00D46893"/>
    <w:rsid w:val="00D62ED3"/>
    <w:rsid w:val="00D73209"/>
    <w:rsid w:val="00D732F7"/>
    <w:rsid w:val="00DA2604"/>
    <w:rsid w:val="00DA6338"/>
    <w:rsid w:val="00DB23DA"/>
    <w:rsid w:val="00DC1D65"/>
    <w:rsid w:val="00DC49E1"/>
    <w:rsid w:val="00DD50B6"/>
    <w:rsid w:val="00DD579D"/>
    <w:rsid w:val="00DE0C2D"/>
    <w:rsid w:val="00DE5D5B"/>
    <w:rsid w:val="00DF14C9"/>
    <w:rsid w:val="00DF2233"/>
    <w:rsid w:val="00DF483B"/>
    <w:rsid w:val="00E06355"/>
    <w:rsid w:val="00E07997"/>
    <w:rsid w:val="00E23965"/>
    <w:rsid w:val="00E3365B"/>
    <w:rsid w:val="00E82682"/>
    <w:rsid w:val="00E85D4B"/>
    <w:rsid w:val="00E91E9E"/>
    <w:rsid w:val="00EA263F"/>
    <w:rsid w:val="00EA3306"/>
    <w:rsid w:val="00EE0A1A"/>
    <w:rsid w:val="00EE6B4F"/>
    <w:rsid w:val="00EE7C23"/>
    <w:rsid w:val="00F00E81"/>
    <w:rsid w:val="00F16E0B"/>
    <w:rsid w:val="00F16EDF"/>
    <w:rsid w:val="00F20ABE"/>
    <w:rsid w:val="00F25E0C"/>
    <w:rsid w:val="00F278F6"/>
    <w:rsid w:val="00F4341A"/>
    <w:rsid w:val="00F44A36"/>
    <w:rsid w:val="00F45685"/>
    <w:rsid w:val="00F50CCD"/>
    <w:rsid w:val="00F721ED"/>
    <w:rsid w:val="00F9473F"/>
    <w:rsid w:val="00F971A9"/>
    <w:rsid w:val="00FC5940"/>
    <w:rsid w:val="00FD3FE1"/>
    <w:rsid w:val="00FE4492"/>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7139E2"/>
  <w15:docId w15:val="{B90C95DC-FD3F-42AB-8A8D-FA4F8A02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3B8"/>
    <w:pPr>
      <w:spacing w:line="276" w:lineRule="auto"/>
    </w:pPr>
    <w:rPr>
      <w:rFonts w:eastAsia="Times New Roman"/>
      <w:sz w:val="22"/>
      <w:szCs w:val="22"/>
      <w:lang w:val="en-US" w:eastAsia="en-US"/>
    </w:rPr>
  </w:style>
  <w:style w:type="paragraph" w:styleId="Antrat1">
    <w:name w:val="heading 1"/>
    <w:basedOn w:val="prastasis"/>
    <w:next w:val="prastasis"/>
    <w:link w:val="Antrat1Diagrama"/>
    <w:autoRedefine/>
    <w:qFormat/>
    <w:rsid w:val="003F33B8"/>
    <w:pPr>
      <w:keepNext/>
      <w:spacing w:line="240" w:lineRule="auto"/>
      <w:outlineLvl w:val="0"/>
    </w:pPr>
    <w:rPr>
      <w:rFonts w:eastAsia="Calibri"/>
      <w:b/>
      <w:szCs w:val="20"/>
      <w:lang w:val="lt-LT" w:eastAsia="lt-LT"/>
    </w:rPr>
  </w:style>
  <w:style w:type="paragraph" w:styleId="Antrat2">
    <w:name w:val="heading 2"/>
    <w:basedOn w:val="prastasis"/>
    <w:next w:val="prastasis"/>
    <w:link w:val="Antrat2Diagrama"/>
    <w:autoRedefine/>
    <w:qFormat/>
    <w:rsid w:val="003F33B8"/>
    <w:pPr>
      <w:keepNext/>
      <w:tabs>
        <w:tab w:val="left" w:pos="567"/>
      </w:tabs>
      <w:spacing w:line="240" w:lineRule="auto"/>
      <w:outlineLvl w:val="1"/>
    </w:pPr>
    <w:rPr>
      <w:rFonts w:eastAsia="Calibri"/>
      <w:b/>
      <w:szCs w:val="20"/>
      <w:lang w:val="lt-LT" w:eastAsia="lt-LT"/>
    </w:rPr>
  </w:style>
  <w:style w:type="paragraph" w:styleId="Antrat3">
    <w:name w:val="heading 3"/>
    <w:basedOn w:val="prastasis"/>
    <w:next w:val="prastasis"/>
    <w:link w:val="Antrat3Diagrama"/>
    <w:autoRedefine/>
    <w:qFormat/>
    <w:rsid w:val="003F33B8"/>
    <w:pPr>
      <w:keepNext/>
      <w:tabs>
        <w:tab w:val="left" w:pos="567"/>
      </w:tabs>
      <w:spacing w:line="240" w:lineRule="auto"/>
      <w:outlineLvl w:val="2"/>
    </w:pPr>
    <w:rPr>
      <w:rFonts w:eastAsia="Calibri"/>
      <w:b/>
      <w:bCs/>
      <w:szCs w:val="20"/>
      <w:lang w:val="lt-LT" w:eastAsia="lt-LT"/>
    </w:rPr>
  </w:style>
  <w:style w:type="paragraph" w:styleId="Antrat4">
    <w:name w:val="heading 4"/>
    <w:basedOn w:val="prastasis"/>
    <w:next w:val="prastasis"/>
    <w:link w:val="Antrat4Diagrama"/>
    <w:qFormat/>
    <w:rsid w:val="003F33B8"/>
    <w:pPr>
      <w:keepNext/>
      <w:spacing w:before="240" w:after="60"/>
      <w:outlineLvl w:val="3"/>
    </w:pPr>
    <w:rPr>
      <w:rFonts w:ascii="Calibri" w:eastAsia="Calibri" w:hAnsi="Calibri"/>
      <w:b/>
      <w:bCs/>
      <w:sz w:val="28"/>
      <w:szCs w:val="28"/>
      <w:lang w:val="lt-LT" w:eastAsia="lt-LT"/>
    </w:rPr>
  </w:style>
  <w:style w:type="paragraph" w:styleId="Antrat5">
    <w:name w:val="heading 5"/>
    <w:basedOn w:val="prastasis"/>
    <w:next w:val="prastasis"/>
    <w:link w:val="Antrat5Diagrama"/>
    <w:qFormat/>
    <w:rsid w:val="003F33B8"/>
    <w:pPr>
      <w:keepNext/>
      <w:spacing w:line="240" w:lineRule="auto"/>
      <w:outlineLvl w:val="4"/>
    </w:pPr>
    <w:rPr>
      <w:rFonts w:eastAsia="Calibri"/>
      <w:i/>
      <w:i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3F33B8"/>
    <w:rPr>
      <w:rFonts w:asciiTheme="majorHAnsi" w:eastAsiaTheme="majorEastAsia" w:hAnsiTheme="majorHAnsi" w:cstheme="majorBidi"/>
      <w:b/>
      <w:bCs/>
      <w:color w:val="345A8A" w:themeColor="accent1" w:themeShade="B5"/>
      <w:sz w:val="32"/>
      <w:szCs w:val="32"/>
      <w:lang w:val="en-US" w:eastAsia="en-US"/>
    </w:rPr>
  </w:style>
  <w:style w:type="character" w:customStyle="1" w:styleId="Antrat2Diagrama">
    <w:name w:val="Antraštė 2 Diagrama"/>
    <w:basedOn w:val="Numatytasispastraiposriftas"/>
    <w:link w:val="Antrat2"/>
    <w:rsid w:val="003F33B8"/>
    <w:rPr>
      <w:rFonts w:eastAsia="Calibri"/>
      <w:b/>
      <w:sz w:val="22"/>
      <w:lang w:val="lt-LT" w:eastAsia="lt-LT"/>
    </w:rPr>
  </w:style>
  <w:style w:type="character" w:customStyle="1" w:styleId="Antrat3Diagrama">
    <w:name w:val="Antraštė 3 Diagrama"/>
    <w:basedOn w:val="Numatytasispastraiposriftas"/>
    <w:link w:val="Antrat3"/>
    <w:rsid w:val="003F33B8"/>
    <w:rPr>
      <w:rFonts w:eastAsia="Calibri"/>
      <w:b/>
      <w:bCs/>
      <w:sz w:val="22"/>
      <w:lang w:val="lt-LT" w:eastAsia="lt-LT"/>
    </w:rPr>
  </w:style>
  <w:style w:type="character" w:customStyle="1" w:styleId="Antrat4Diagrama">
    <w:name w:val="Antraštė 4 Diagrama"/>
    <w:basedOn w:val="Numatytasispastraiposriftas"/>
    <w:link w:val="Antrat4"/>
    <w:rsid w:val="003F33B8"/>
    <w:rPr>
      <w:rFonts w:ascii="Calibri" w:eastAsia="Calibri" w:hAnsi="Calibri"/>
      <w:b/>
      <w:bCs/>
      <w:sz w:val="28"/>
      <w:szCs w:val="28"/>
      <w:lang w:val="lt-LT" w:eastAsia="lt-LT"/>
    </w:rPr>
  </w:style>
  <w:style w:type="character" w:customStyle="1" w:styleId="Antrat5Diagrama">
    <w:name w:val="Antraštė 5 Diagrama"/>
    <w:basedOn w:val="Numatytasispastraiposriftas"/>
    <w:link w:val="Antrat5"/>
    <w:rsid w:val="003F33B8"/>
    <w:rPr>
      <w:rFonts w:eastAsia="Calibri"/>
      <w:i/>
      <w:iCs/>
      <w:sz w:val="22"/>
      <w:lang w:val="lt-LT" w:eastAsia="lt-LT"/>
    </w:rPr>
  </w:style>
  <w:style w:type="paragraph" w:styleId="Pagrindinistekstas">
    <w:name w:val="Body Text"/>
    <w:basedOn w:val="prastasis"/>
    <w:link w:val="PagrindinistekstasDiagrama"/>
    <w:semiHidden/>
    <w:rsid w:val="003F33B8"/>
    <w:pPr>
      <w:spacing w:after="120" w:line="240" w:lineRule="auto"/>
    </w:pPr>
    <w:rPr>
      <w:rFonts w:eastAsia="Calibri"/>
      <w:szCs w:val="20"/>
      <w:lang w:val="lt-LT" w:eastAsia="lt-LT"/>
    </w:rPr>
  </w:style>
  <w:style w:type="character" w:customStyle="1" w:styleId="PagrindinistekstasDiagrama">
    <w:name w:val="Pagrindinis tekstas Diagrama"/>
    <w:basedOn w:val="Numatytasispastraiposriftas"/>
    <w:link w:val="Pagrindinistekstas"/>
    <w:semiHidden/>
    <w:rsid w:val="003F33B8"/>
    <w:rPr>
      <w:rFonts w:eastAsia="Calibri"/>
      <w:sz w:val="22"/>
      <w:lang w:val="lt-LT" w:eastAsia="lt-LT"/>
    </w:rPr>
  </w:style>
  <w:style w:type="paragraph" w:styleId="Porat">
    <w:name w:val="footer"/>
    <w:basedOn w:val="prastasis"/>
    <w:link w:val="PoratDiagrama"/>
    <w:semiHidden/>
    <w:rsid w:val="003F33B8"/>
    <w:pPr>
      <w:tabs>
        <w:tab w:val="center" w:pos="4153"/>
        <w:tab w:val="right" w:pos="8306"/>
      </w:tabs>
      <w:spacing w:line="240" w:lineRule="auto"/>
    </w:pPr>
    <w:rPr>
      <w:rFonts w:eastAsia="Calibri"/>
      <w:szCs w:val="20"/>
      <w:lang w:val="lt-LT" w:eastAsia="lt-LT"/>
    </w:rPr>
  </w:style>
  <w:style w:type="character" w:customStyle="1" w:styleId="PoratDiagrama">
    <w:name w:val="Poraštė Diagrama"/>
    <w:basedOn w:val="Numatytasispastraiposriftas"/>
    <w:link w:val="Porat"/>
    <w:semiHidden/>
    <w:rsid w:val="003F33B8"/>
    <w:rPr>
      <w:rFonts w:eastAsia="Calibri"/>
      <w:sz w:val="22"/>
      <w:lang w:val="lt-LT" w:eastAsia="lt-LT"/>
    </w:rPr>
  </w:style>
  <w:style w:type="character" w:styleId="Puslapionumeris">
    <w:name w:val="page number"/>
    <w:basedOn w:val="Numatytasispastraiposriftas"/>
    <w:semiHidden/>
    <w:rsid w:val="003F33B8"/>
    <w:rPr>
      <w:rFonts w:cs="Times New Roman"/>
    </w:rPr>
  </w:style>
  <w:style w:type="paragraph" w:styleId="Pavadinimas">
    <w:name w:val="Title"/>
    <w:basedOn w:val="prastasis"/>
    <w:link w:val="PavadinimasDiagrama"/>
    <w:autoRedefine/>
    <w:qFormat/>
    <w:rsid w:val="003F33B8"/>
    <w:pPr>
      <w:spacing w:line="240" w:lineRule="auto"/>
      <w:jc w:val="center"/>
      <w:outlineLvl w:val="0"/>
    </w:pPr>
    <w:rPr>
      <w:rFonts w:eastAsia="Calibri"/>
      <w:b/>
      <w:noProof/>
      <w:kern w:val="28"/>
      <w:lang w:val="lt-LT" w:eastAsia="lt-LT"/>
    </w:rPr>
  </w:style>
  <w:style w:type="character" w:customStyle="1" w:styleId="PavadinimasDiagrama">
    <w:name w:val="Pavadinimas Diagrama"/>
    <w:basedOn w:val="Numatytasispastraiposriftas"/>
    <w:link w:val="Pavadinimas"/>
    <w:rsid w:val="003F33B8"/>
    <w:rPr>
      <w:rFonts w:eastAsia="Calibri"/>
      <w:b/>
      <w:noProof/>
      <w:kern w:val="28"/>
      <w:sz w:val="22"/>
      <w:szCs w:val="22"/>
      <w:lang w:val="lt-LT" w:eastAsia="lt-LT"/>
    </w:rPr>
  </w:style>
  <w:style w:type="character" w:styleId="Hipersaitas">
    <w:name w:val="Hyperlink"/>
    <w:basedOn w:val="Numatytasispastraiposriftas"/>
    <w:semiHidden/>
    <w:rsid w:val="003F33B8"/>
    <w:rPr>
      <w:color w:val="0000FF"/>
      <w:u w:val="single"/>
    </w:rPr>
  </w:style>
  <w:style w:type="paragraph" w:styleId="Pagrindinistekstas2">
    <w:name w:val="Body Text 2"/>
    <w:basedOn w:val="prastasis"/>
    <w:link w:val="Pagrindinistekstas2Diagrama"/>
    <w:semiHidden/>
    <w:rsid w:val="003F33B8"/>
    <w:pPr>
      <w:spacing w:line="240" w:lineRule="auto"/>
      <w:jc w:val="both"/>
    </w:pPr>
    <w:rPr>
      <w:rFonts w:eastAsia="Calibri"/>
      <w:sz w:val="24"/>
      <w:szCs w:val="20"/>
      <w:lang w:val="lt-LT" w:eastAsia="lt-LT"/>
    </w:rPr>
  </w:style>
  <w:style w:type="character" w:customStyle="1" w:styleId="Pagrindinistekstas2Diagrama">
    <w:name w:val="Pagrindinis tekstas 2 Diagrama"/>
    <w:basedOn w:val="Numatytasispastraiposriftas"/>
    <w:link w:val="Pagrindinistekstas2"/>
    <w:semiHidden/>
    <w:rsid w:val="003F33B8"/>
    <w:rPr>
      <w:rFonts w:eastAsia="Calibri"/>
      <w:sz w:val="24"/>
      <w:lang w:val="lt-LT" w:eastAsia="lt-LT"/>
    </w:rPr>
  </w:style>
  <w:style w:type="paragraph" w:styleId="Pagrindinistekstas3">
    <w:name w:val="Body Text 3"/>
    <w:basedOn w:val="prastasis"/>
    <w:link w:val="Pagrindinistekstas3Diagrama"/>
    <w:semiHidden/>
    <w:rsid w:val="003F33B8"/>
    <w:pPr>
      <w:spacing w:line="240" w:lineRule="auto"/>
    </w:pPr>
    <w:rPr>
      <w:rFonts w:ascii="Adve06613w" w:eastAsia="Calibri" w:hAnsi="Adve06613w"/>
      <w:color w:val="00FF00"/>
      <w:szCs w:val="20"/>
      <w:lang w:val="lt-LT" w:eastAsia="lt-LT"/>
    </w:rPr>
  </w:style>
  <w:style w:type="character" w:customStyle="1" w:styleId="Pagrindinistekstas3Diagrama">
    <w:name w:val="Pagrindinis tekstas 3 Diagrama"/>
    <w:basedOn w:val="Numatytasispastraiposriftas"/>
    <w:link w:val="Pagrindinistekstas3"/>
    <w:semiHidden/>
    <w:rsid w:val="003F33B8"/>
    <w:rPr>
      <w:rFonts w:ascii="Adve06613w" w:eastAsia="Calibri" w:hAnsi="Adve06613w"/>
      <w:color w:val="00FF00"/>
      <w:sz w:val="22"/>
      <w:lang w:val="lt-LT" w:eastAsia="lt-LT"/>
    </w:rPr>
  </w:style>
  <w:style w:type="paragraph" w:styleId="Pagrindiniotekstotrauka">
    <w:name w:val="Body Text Indent"/>
    <w:basedOn w:val="prastasis"/>
    <w:link w:val="PagrindiniotekstotraukaDiagrama"/>
    <w:semiHidden/>
    <w:rsid w:val="003F33B8"/>
    <w:pPr>
      <w:spacing w:line="360" w:lineRule="auto"/>
      <w:ind w:left="360"/>
    </w:pPr>
    <w:rPr>
      <w:rFonts w:eastAsia="Calibri"/>
      <w:sz w:val="24"/>
      <w:szCs w:val="20"/>
      <w:lang w:val="lt-LT" w:eastAsia="lt-LT"/>
    </w:rPr>
  </w:style>
  <w:style w:type="character" w:customStyle="1" w:styleId="PagrindiniotekstotraukaDiagrama">
    <w:name w:val="Pagrindinio teksto įtrauka Diagrama"/>
    <w:basedOn w:val="Numatytasispastraiposriftas"/>
    <w:link w:val="Pagrindiniotekstotrauka"/>
    <w:semiHidden/>
    <w:rsid w:val="003F33B8"/>
    <w:rPr>
      <w:rFonts w:eastAsia="Calibri"/>
      <w:sz w:val="24"/>
      <w:lang w:val="lt-LT" w:eastAsia="lt-LT"/>
    </w:rPr>
  </w:style>
  <w:style w:type="paragraph" w:styleId="prastasiniatinklio">
    <w:name w:val="Normal (Web)"/>
    <w:basedOn w:val="prastasis"/>
    <w:semiHidden/>
    <w:rsid w:val="003F33B8"/>
    <w:pPr>
      <w:spacing w:before="100" w:beforeAutospacing="1" w:after="75" w:line="240" w:lineRule="auto"/>
    </w:pPr>
    <w:rPr>
      <w:rFonts w:eastAsia="Calibri"/>
      <w:color w:val="000000"/>
      <w:sz w:val="24"/>
      <w:szCs w:val="24"/>
      <w:lang w:val="en-GB"/>
    </w:rPr>
  </w:style>
  <w:style w:type="paragraph" w:customStyle="1" w:styleId="TTEMEASMCA">
    <w:name w:val="TT EMEA_SMCA"/>
    <w:basedOn w:val="prastasis"/>
    <w:autoRedefine/>
    <w:rsid w:val="003F33B8"/>
    <w:pPr>
      <w:tabs>
        <w:tab w:val="left" w:pos="567"/>
      </w:tabs>
      <w:ind w:left="567" w:hanging="567"/>
      <w:jc w:val="center"/>
    </w:pPr>
    <w:rPr>
      <w:caps/>
    </w:rPr>
  </w:style>
  <w:style w:type="paragraph" w:customStyle="1" w:styleId="PI-3EMEASMCA">
    <w:name w:val="PI-3 EMEA_SMCA"/>
    <w:basedOn w:val="prastasis"/>
    <w:autoRedefine/>
    <w:rsid w:val="003F33B8"/>
    <w:pPr>
      <w:spacing w:line="220" w:lineRule="exact"/>
    </w:pPr>
    <w:rPr>
      <w:rFonts w:eastAsia="Calibri"/>
      <w:b/>
      <w:bCs/>
      <w:lang w:val="lt-LT"/>
    </w:rPr>
  </w:style>
  <w:style w:type="paragraph" w:customStyle="1" w:styleId="BTEMEASMCA">
    <w:name w:val="BT EMEA_SMCA"/>
    <w:basedOn w:val="prastasis"/>
    <w:link w:val="BTEMEASMCAChar"/>
    <w:autoRedefine/>
    <w:rsid w:val="003F33B8"/>
    <w:pPr>
      <w:spacing w:line="240" w:lineRule="auto"/>
    </w:pPr>
    <w:rPr>
      <w:rFonts w:eastAsia="Calibri"/>
      <w:noProof/>
      <w:lang w:val="lt-LT" w:eastAsia="lt-LT"/>
    </w:rPr>
  </w:style>
  <w:style w:type="paragraph" w:customStyle="1" w:styleId="PI-2EMEASMCA">
    <w:name w:val="PI-2 EMEA_SMCA"/>
    <w:basedOn w:val="Antrat3"/>
    <w:autoRedefine/>
    <w:rsid w:val="003F33B8"/>
    <w:pPr>
      <w:keepLines/>
      <w:ind w:left="567" w:hanging="567"/>
    </w:pPr>
    <w:rPr>
      <w:bCs w:val="0"/>
      <w:kern w:val="28"/>
      <w:szCs w:val="22"/>
      <w:lang w:eastAsia="en-US"/>
    </w:rPr>
  </w:style>
  <w:style w:type="paragraph" w:customStyle="1" w:styleId="PI-1labEMEASMCA">
    <w:name w:val="PI-1_lab EMEA_SMCA"/>
    <w:basedOn w:val="prastasis"/>
    <w:autoRedefine/>
    <w:rsid w:val="003F33B8"/>
    <w:pPr>
      <w:pBdr>
        <w:top w:val="single" w:sz="4" w:space="1" w:color="auto"/>
        <w:left w:val="single" w:sz="4" w:space="4" w:color="auto"/>
        <w:bottom w:val="single" w:sz="4" w:space="1" w:color="auto"/>
        <w:right w:val="single" w:sz="4" w:space="4" w:color="auto"/>
      </w:pBdr>
      <w:tabs>
        <w:tab w:val="left" w:pos="540"/>
      </w:tabs>
      <w:spacing w:line="240" w:lineRule="auto"/>
    </w:pPr>
    <w:rPr>
      <w:rFonts w:eastAsia="Calibri"/>
      <w:b/>
      <w:noProof/>
      <w:lang w:val="lt-LT"/>
    </w:rPr>
  </w:style>
  <w:style w:type="paragraph" w:styleId="Debesliotekstas">
    <w:name w:val="Balloon Text"/>
    <w:basedOn w:val="prastasis"/>
    <w:link w:val="DebesliotekstasDiagrama"/>
    <w:semiHidden/>
    <w:rsid w:val="003F33B8"/>
    <w:pPr>
      <w:spacing w:line="240" w:lineRule="auto"/>
    </w:pPr>
    <w:rPr>
      <w:rFonts w:ascii="Tahoma" w:eastAsia="Calibri" w:hAnsi="Tahoma"/>
      <w:sz w:val="16"/>
      <w:szCs w:val="16"/>
      <w:lang w:val="lt-LT" w:eastAsia="lt-LT"/>
    </w:rPr>
  </w:style>
  <w:style w:type="character" w:customStyle="1" w:styleId="DebesliotekstasDiagrama">
    <w:name w:val="Debesėlio tekstas Diagrama"/>
    <w:basedOn w:val="Numatytasispastraiposriftas"/>
    <w:link w:val="Debesliotekstas"/>
    <w:semiHidden/>
    <w:rsid w:val="003F33B8"/>
    <w:rPr>
      <w:rFonts w:ascii="Tahoma" w:eastAsia="Calibri" w:hAnsi="Tahoma"/>
      <w:sz w:val="16"/>
      <w:szCs w:val="16"/>
      <w:lang w:val="lt-LT" w:eastAsia="lt-LT"/>
    </w:rPr>
  </w:style>
  <w:style w:type="paragraph" w:customStyle="1" w:styleId="Paragraph">
    <w:name w:val="Paragraph"/>
    <w:link w:val="ParagraphChar"/>
    <w:qFormat/>
    <w:rsid w:val="003F33B8"/>
    <w:pPr>
      <w:spacing w:after="240"/>
    </w:pPr>
    <w:rPr>
      <w:rFonts w:eastAsia="Calibri"/>
      <w:sz w:val="24"/>
      <w:szCs w:val="24"/>
      <w:lang w:val="lt-LT" w:eastAsia="lt-LT"/>
    </w:rPr>
  </w:style>
  <w:style w:type="character" w:customStyle="1" w:styleId="ParagraphChar">
    <w:name w:val="Paragraph Char"/>
    <w:link w:val="Paragraph"/>
    <w:locked/>
    <w:rsid w:val="003F33B8"/>
    <w:rPr>
      <w:rFonts w:eastAsia="Calibri"/>
      <w:sz w:val="24"/>
      <w:szCs w:val="24"/>
      <w:lang w:val="lt-LT" w:eastAsia="lt-LT"/>
    </w:rPr>
  </w:style>
  <w:style w:type="character" w:customStyle="1" w:styleId="Instructions">
    <w:name w:val="Instructions"/>
    <w:rsid w:val="003F33B8"/>
    <w:rPr>
      <w:i/>
      <w:color w:val="008000"/>
    </w:rPr>
  </w:style>
  <w:style w:type="character" w:customStyle="1" w:styleId="TableText9">
    <w:name w:val="TableText 9"/>
    <w:rsid w:val="003F33B8"/>
    <w:rPr>
      <w:rFonts w:ascii="Times New Roman" w:hAnsi="Times New Roman"/>
      <w:sz w:val="18"/>
    </w:rPr>
  </w:style>
  <w:style w:type="paragraph" w:styleId="Sraassunumeriais">
    <w:name w:val="List Number"/>
    <w:basedOn w:val="prastasis"/>
    <w:rsid w:val="003F33B8"/>
    <w:pPr>
      <w:numPr>
        <w:numId w:val="1"/>
      </w:numPr>
      <w:tabs>
        <w:tab w:val="clear" w:pos="360"/>
      </w:tabs>
      <w:spacing w:line="240" w:lineRule="auto"/>
      <w:ind w:left="0" w:firstLine="0"/>
    </w:pPr>
    <w:rPr>
      <w:rFonts w:eastAsia="Calibri"/>
      <w:sz w:val="24"/>
      <w:szCs w:val="20"/>
    </w:rPr>
  </w:style>
  <w:style w:type="paragraph" w:styleId="Antrat">
    <w:name w:val="caption"/>
    <w:basedOn w:val="Pagrindinistekstas"/>
    <w:next w:val="Pagrindinistekstas"/>
    <w:qFormat/>
    <w:rsid w:val="003F33B8"/>
    <w:pPr>
      <w:keepNext/>
      <w:spacing w:before="120"/>
      <w:jc w:val="center"/>
      <w:outlineLvl w:val="1"/>
    </w:pPr>
    <w:rPr>
      <w:rFonts w:ascii="Times New Roman Bold" w:hAnsi="Times New Roman Bold"/>
      <w:b/>
      <w:kern w:val="28"/>
      <w:sz w:val="24"/>
      <w:lang w:val="en-US" w:eastAsia="en-US"/>
    </w:rPr>
  </w:style>
  <w:style w:type="paragraph" w:customStyle="1" w:styleId="TableText">
    <w:name w:val="TableText"/>
    <w:basedOn w:val="prastasis"/>
    <w:link w:val="TableTextChar"/>
    <w:rsid w:val="003F33B8"/>
    <w:pPr>
      <w:spacing w:before="60" w:after="60" w:line="240" w:lineRule="auto"/>
    </w:pPr>
    <w:rPr>
      <w:rFonts w:ascii="Arial" w:eastAsia="Calibri" w:hAnsi="Arial"/>
      <w:sz w:val="24"/>
      <w:szCs w:val="20"/>
      <w:lang w:val="lt-LT" w:eastAsia="lt-LT"/>
    </w:rPr>
  </w:style>
  <w:style w:type="character" w:customStyle="1" w:styleId="TableTextChar">
    <w:name w:val="TableText Char"/>
    <w:link w:val="TableText"/>
    <w:locked/>
    <w:rsid w:val="003F33B8"/>
    <w:rPr>
      <w:rFonts w:ascii="Arial" w:eastAsia="Calibri" w:hAnsi="Arial"/>
      <w:sz w:val="24"/>
      <w:lang w:val="lt-LT" w:eastAsia="lt-LT"/>
    </w:rPr>
  </w:style>
  <w:style w:type="character" w:customStyle="1" w:styleId="BTEMEASMCAChar">
    <w:name w:val="BT EMEA_SMCA Char"/>
    <w:link w:val="BTEMEASMCA"/>
    <w:locked/>
    <w:rsid w:val="003F33B8"/>
    <w:rPr>
      <w:rFonts w:eastAsia="Calibri"/>
      <w:noProof/>
      <w:sz w:val="22"/>
      <w:szCs w:val="22"/>
      <w:lang w:val="lt-LT" w:eastAsia="lt-LT"/>
    </w:rPr>
  </w:style>
  <w:style w:type="paragraph" w:styleId="Komentarotekstas">
    <w:name w:val="annotation text"/>
    <w:basedOn w:val="prastasis"/>
    <w:link w:val="KomentarotekstasDiagrama"/>
    <w:semiHidden/>
    <w:rsid w:val="003F33B8"/>
    <w:pPr>
      <w:spacing w:after="200" w:line="240" w:lineRule="auto"/>
    </w:pPr>
    <w:rPr>
      <w:rFonts w:ascii="Calibri" w:eastAsia="SimSun" w:hAnsi="Calibri"/>
      <w:sz w:val="20"/>
      <w:szCs w:val="20"/>
      <w:lang w:val="lt-LT" w:eastAsia="lt-LT"/>
    </w:rPr>
  </w:style>
  <w:style w:type="character" w:customStyle="1" w:styleId="KomentarotekstasDiagrama">
    <w:name w:val="Komentaro tekstas Diagrama"/>
    <w:basedOn w:val="Numatytasispastraiposriftas"/>
    <w:link w:val="Komentarotekstas"/>
    <w:semiHidden/>
    <w:rsid w:val="003F33B8"/>
    <w:rPr>
      <w:rFonts w:ascii="Calibri" w:eastAsia="SimSun" w:hAnsi="Calibri"/>
      <w:lang w:val="lt-LT" w:eastAsia="lt-LT"/>
    </w:rPr>
  </w:style>
  <w:style w:type="character" w:styleId="Komentaronuoroda">
    <w:name w:val="annotation reference"/>
    <w:basedOn w:val="Numatytasispastraiposriftas"/>
    <w:semiHidden/>
    <w:rsid w:val="003F33B8"/>
    <w:rPr>
      <w:sz w:val="16"/>
    </w:rPr>
  </w:style>
  <w:style w:type="character" w:customStyle="1" w:styleId="Antrat1Diagrama">
    <w:name w:val="Antraštė 1 Diagrama"/>
    <w:basedOn w:val="Numatytasispastraiposriftas"/>
    <w:link w:val="Antrat1"/>
    <w:locked/>
    <w:rsid w:val="003F33B8"/>
    <w:rPr>
      <w:rFonts w:eastAsia="Calibri"/>
      <w:b/>
      <w:sz w:val="22"/>
      <w:lang w:val="lt-LT" w:eastAsia="lt-LT"/>
    </w:rPr>
  </w:style>
  <w:style w:type="paragraph" w:styleId="Antrats">
    <w:name w:val="header"/>
    <w:basedOn w:val="prastasis"/>
    <w:link w:val="AntratsDiagrama"/>
    <w:rsid w:val="003F33B8"/>
    <w:pPr>
      <w:tabs>
        <w:tab w:val="center" w:pos="4819"/>
        <w:tab w:val="right" w:pos="9638"/>
      </w:tabs>
      <w:spacing w:line="240" w:lineRule="auto"/>
    </w:pPr>
  </w:style>
  <w:style w:type="character" w:customStyle="1" w:styleId="AntratsDiagrama">
    <w:name w:val="Antraštės Diagrama"/>
    <w:basedOn w:val="Numatytasispastraiposriftas"/>
    <w:link w:val="Antrats"/>
    <w:rsid w:val="003F33B8"/>
    <w:rPr>
      <w:rFonts w:eastAsia="Times New Roman"/>
      <w:sz w:val="22"/>
      <w:szCs w:val="22"/>
      <w:lang w:val="en-US" w:eastAsia="en-US"/>
    </w:rPr>
  </w:style>
  <w:style w:type="paragraph" w:customStyle="1" w:styleId="Default">
    <w:name w:val="Default"/>
    <w:rsid w:val="003F33B8"/>
    <w:pPr>
      <w:autoSpaceDE w:val="0"/>
      <w:autoSpaceDN w:val="0"/>
      <w:adjustRightInd w:val="0"/>
    </w:pPr>
    <w:rPr>
      <w:rFonts w:eastAsia="Times New Roman"/>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23965"/>
    <w:pPr>
      <w:spacing w:after="0"/>
    </w:pPr>
    <w:rPr>
      <w:rFonts w:ascii="Times New Roman" w:eastAsia="Times New Roman" w:hAnsi="Times New Roman"/>
      <w:b/>
      <w:bCs/>
      <w:lang w:val="en-US" w:eastAsia="en-US"/>
    </w:rPr>
  </w:style>
  <w:style w:type="character" w:customStyle="1" w:styleId="KomentarotemaDiagrama">
    <w:name w:val="Komentaro tema Diagrama"/>
    <w:basedOn w:val="KomentarotekstasDiagrama"/>
    <w:link w:val="Komentarotema"/>
    <w:uiPriority w:val="99"/>
    <w:semiHidden/>
    <w:rsid w:val="00E23965"/>
    <w:rPr>
      <w:rFonts w:ascii="Calibri" w:eastAsia="Times New Roman" w:hAnsi="Calibri"/>
      <w:b/>
      <w:bCs/>
      <w:lang w:val="en-US" w:eastAsia="en-US"/>
    </w:rPr>
  </w:style>
  <w:style w:type="paragraph" w:customStyle="1" w:styleId="BTuEMEASMCA">
    <w:name w:val="BT(u) EMEA_SMCA"/>
    <w:basedOn w:val="BTEMEASMCA"/>
    <w:autoRedefine/>
    <w:rsid w:val="00705660"/>
    <w:pPr>
      <w:tabs>
        <w:tab w:val="left" w:pos="540"/>
      </w:tabs>
    </w:pPr>
    <w:rPr>
      <w:rFonts w:eastAsia="Times New Roman"/>
      <w:u w:val="single"/>
      <w:lang w:val="x-none" w:eastAsia="x-none"/>
    </w:rPr>
  </w:style>
  <w:style w:type="paragraph" w:styleId="Pagrindiniotekstotrauka2">
    <w:name w:val="Body Text Indent 2"/>
    <w:basedOn w:val="prastasis"/>
    <w:link w:val="Pagrindiniotekstotrauka2Diagrama"/>
    <w:uiPriority w:val="99"/>
    <w:semiHidden/>
    <w:unhideWhenUsed/>
    <w:rsid w:val="0031739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1739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A452C21-A6B2-47A2-80A9-0A7072D07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24ADB2-0F85-4061-8CB9-027568DE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F747B8-8C68-496C-9CF2-EBB251ECDA25}">
  <ds:schemaRefs>
    <ds:schemaRef ds:uri="http://schemas.microsoft.com/sharepoint/v3/contenttype/forms"/>
  </ds:schemaRefs>
</ds:datastoreItem>
</file>

<file path=customXml/itemProps4.xml><?xml version="1.0" encoding="utf-8"?>
<ds:datastoreItem xmlns:ds="http://schemas.openxmlformats.org/officeDocument/2006/customXml" ds:itemID="{08A17BC8-D2C0-4CED-8541-BF3CF0563359}">
  <ds:schemaRef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51014</Words>
  <Characters>29079</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79934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2018-10-11T13:20:00Z</dcterms:created>
  <dcterms:modified xsi:type="dcterms:W3CDTF">2018-10-11T13:22:00Z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