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E7" w:rsidRPr="00C62457" w:rsidRDefault="005913E7" w:rsidP="005913E7">
      <w:pPr>
        <w:keepNext/>
        <w:tabs>
          <w:tab w:val="left" w:pos="567"/>
        </w:tabs>
        <w:jc w:val="center"/>
        <w:outlineLvl w:val="1"/>
      </w:pPr>
      <w:bookmarkStart w:id="0" w:name="_Toc129243138"/>
      <w:bookmarkStart w:id="1" w:name="_Toc129243263"/>
      <w:r w:rsidRPr="00257556">
        <w:rPr>
          <w:b/>
          <w:sz w:val="22"/>
        </w:rPr>
        <w:t>P</w:t>
      </w:r>
      <w:bookmarkEnd w:id="0"/>
      <w:bookmarkEnd w:id="1"/>
      <w:r w:rsidRPr="00257556">
        <w:rPr>
          <w:b/>
          <w:sz w:val="22"/>
        </w:rPr>
        <w:t>akuotės lapelis: informacija vartotojui</w:t>
      </w:r>
    </w:p>
    <w:p w:rsidR="005913E7" w:rsidRPr="00257556" w:rsidRDefault="005913E7" w:rsidP="005913E7">
      <w:pPr>
        <w:numPr>
          <w:ilvl w:val="12"/>
          <w:numId w:val="0"/>
        </w:numPr>
        <w:shd w:val="clear" w:color="auto" w:fill="FFFFFF"/>
        <w:jc w:val="center"/>
      </w:pPr>
    </w:p>
    <w:p w:rsidR="005913E7" w:rsidRPr="005D554B" w:rsidRDefault="005913E7" w:rsidP="005913E7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4"/>
        </w:rPr>
      </w:pPr>
      <w:r w:rsidRPr="009E14CD">
        <w:rPr>
          <w:b/>
          <w:noProof/>
          <w:snapToGrid w:val="0"/>
          <w:sz w:val="22"/>
          <w:szCs w:val="24"/>
        </w:rPr>
        <w:t xml:space="preserve">Raphacholin dengtos </w:t>
      </w:r>
      <w:r>
        <w:rPr>
          <w:b/>
          <w:noProof/>
          <w:snapToGrid w:val="0"/>
          <w:sz w:val="22"/>
          <w:szCs w:val="24"/>
        </w:rPr>
        <w:t>tabletės</w:t>
      </w:r>
    </w:p>
    <w:p w:rsidR="005913E7" w:rsidRPr="005D554B" w:rsidRDefault="005913E7" w:rsidP="005913E7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j</w:t>
      </w:r>
      <w:r w:rsidRPr="009E14CD">
        <w:rPr>
          <w:snapToGrid w:val="0"/>
          <w:sz w:val="22"/>
          <w:szCs w:val="24"/>
        </w:rPr>
        <w:t xml:space="preserve">uodųjų ridikų sausasis ekstraktas, artišokų žolės tirštasis ekstraktas, </w:t>
      </w:r>
      <w:proofErr w:type="spellStart"/>
      <w:r w:rsidRPr="009E14CD">
        <w:rPr>
          <w:snapToGrid w:val="0"/>
          <w:sz w:val="22"/>
          <w:szCs w:val="24"/>
        </w:rPr>
        <w:t>dehidrocholio</w:t>
      </w:r>
      <w:proofErr w:type="spellEnd"/>
      <w:r w:rsidRPr="009E14CD">
        <w:rPr>
          <w:snapToGrid w:val="0"/>
          <w:sz w:val="22"/>
          <w:szCs w:val="24"/>
        </w:rPr>
        <w:t xml:space="preserve"> rūgštis, pipirmėčių eterinis al</w:t>
      </w:r>
      <w:r>
        <w:rPr>
          <w:snapToGrid w:val="0"/>
          <w:sz w:val="22"/>
          <w:szCs w:val="24"/>
        </w:rPr>
        <w:t>iejus</w:t>
      </w:r>
    </w:p>
    <w:p w:rsidR="005913E7" w:rsidRPr="00C44C7B" w:rsidRDefault="005913E7" w:rsidP="005913E7"/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b/>
          <w:sz w:val="22"/>
        </w:rPr>
        <w:t>Atidžiai perskaitykite visą šį lapelį, prieš pradėdami vartoti</w:t>
      </w:r>
      <w:r w:rsidRPr="005D554B">
        <w:rPr>
          <w:b/>
          <w:noProof/>
          <w:snapToGrid w:val="0"/>
          <w:sz w:val="22"/>
          <w:szCs w:val="24"/>
        </w:rPr>
        <w:t xml:space="preserve"> šį</w:t>
      </w:r>
      <w:r w:rsidRPr="00257556">
        <w:rPr>
          <w:b/>
          <w:sz w:val="22"/>
        </w:rPr>
        <w:t xml:space="preserve"> vaistą, nes jame pateikiama Jums svarbi informacija.</w:t>
      </w:r>
    </w:p>
    <w:p w:rsidR="005913E7" w:rsidRPr="005D554B" w:rsidRDefault="005913E7" w:rsidP="005913E7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Visada vartokite šį vaistą tiksliai kaip aprašyta šiame lapelyje arba kaip nurodė gydytojas</w:t>
      </w:r>
      <w:r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</w:t>
      </w:r>
      <w:r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vaistininkas.</w:t>
      </w:r>
    </w:p>
    <w:p w:rsidR="005913E7" w:rsidRPr="00C44C7B" w:rsidRDefault="005913E7" w:rsidP="005913E7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t>Neišmeskite šio lapelio, nes vėl gali prireikti jį perskaityti.</w:t>
      </w:r>
      <w:r w:rsidRPr="005D554B">
        <w:rPr>
          <w:snapToGrid w:val="0"/>
          <w:sz w:val="22"/>
          <w:szCs w:val="24"/>
        </w:rPr>
        <w:t xml:space="preserve"> </w:t>
      </w:r>
    </w:p>
    <w:p w:rsidR="005913E7" w:rsidRPr="00C44C7B" w:rsidRDefault="005913E7" w:rsidP="005913E7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t>Jeigu norite sužinoti daugiau arba pasitarti, kreipkitės į vaistininką.</w:t>
      </w:r>
    </w:p>
    <w:p w:rsidR="005913E7" w:rsidRPr="00C44C7B" w:rsidRDefault="005913E7" w:rsidP="005913E7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t>Jeigu pasireiškė šalutinis poveikis (net jeigu jis šiame lapelyje nenurodytas), kreipkitės į gydytoją arba vaistininką. Žr. 4 skyrių.</w:t>
      </w:r>
    </w:p>
    <w:p w:rsidR="005913E7" w:rsidRPr="00C44C7B" w:rsidRDefault="005913E7" w:rsidP="005913E7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t>Jeigu per 3 dienas Jūsų savijauta nepagerėjo arba net pablogėjo, kreipkitės į gydytoją.</w:t>
      </w:r>
    </w:p>
    <w:p w:rsidR="005913E7" w:rsidRPr="00257556" w:rsidRDefault="005913E7" w:rsidP="005913E7">
      <w:p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b/>
        </w:rPr>
      </w:pPr>
      <w:r w:rsidRPr="00257556">
        <w:rPr>
          <w:b/>
          <w:sz w:val="22"/>
        </w:rPr>
        <w:t>Apie ką rašoma šiame lapelyje?</w:t>
      </w:r>
    </w:p>
    <w:p w:rsidR="005913E7" w:rsidRPr="00C44C7B" w:rsidRDefault="005913E7" w:rsidP="005913E7">
      <w:pPr>
        <w:numPr>
          <w:ilvl w:val="12"/>
          <w:numId w:val="0"/>
        </w:numPr>
        <w:ind w:left="284" w:right="-2"/>
      </w:pPr>
    </w:p>
    <w:p w:rsidR="005913E7" w:rsidRPr="00C44C7B" w:rsidRDefault="005913E7" w:rsidP="005913E7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1.</w:t>
      </w:r>
      <w:r w:rsidRPr="00257556">
        <w:rPr>
          <w:sz w:val="22"/>
        </w:rPr>
        <w:tab/>
        <w:t xml:space="preserve">Kas yra </w:t>
      </w:r>
      <w:proofErr w:type="spellStart"/>
      <w:r w:rsidRPr="00257556">
        <w:rPr>
          <w:sz w:val="22"/>
        </w:rPr>
        <w:t>Raphacholin</w:t>
      </w:r>
      <w:proofErr w:type="spellEnd"/>
      <w:r w:rsidRPr="00257556">
        <w:rPr>
          <w:sz w:val="22"/>
        </w:rPr>
        <w:t xml:space="preserve"> ir kam jis vartojamas</w:t>
      </w:r>
      <w:r w:rsidRPr="005D554B">
        <w:rPr>
          <w:snapToGrid w:val="0"/>
          <w:sz w:val="22"/>
          <w:szCs w:val="24"/>
        </w:rPr>
        <w:t xml:space="preserve"> </w:t>
      </w:r>
    </w:p>
    <w:p w:rsidR="005913E7" w:rsidRPr="00C44C7B" w:rsidRDefault="005913E7" w:rsidP="005913E7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2.</w:t>
      </w:r>
      <w:r w:rsidRPr="00257556">
        <w:rPr>
          <w:sz w:val="22"/>
        </w:rPr>
        <w:tab/>
        <w:t xml:space="preserve">Kas žinotina prieš vartojant </w:t>
      </w:r>
      <w:proofErr w:type="spellStart"/>
      <w:r w:rsidRPr="00257556">
        <w:rPr>
          <w:sz w:val="22"/>
        </w:rPr>
        <w:t>Raphacholin</w:t>
      </w:r>
      <w:proofErr w:type="spellEnd"/>
      <w:r w:rsidRPr="005D554B">
        <w:rPr>
          <w:snapToGrid w:val="0"/>
          <w:sz w:val="22"/>
          <w:szCs w:val="24"/>
        </w:rPr>
        <w:t xml:space="preserve"> </w:t>
      </w:r>
    </w:p>
    <w:p w:rsidR="005913E7" w:rsidRPr="00C44C7B" w:rsidRDefault="005913E7" w:rsidP="005913E7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3.</w:t>
      </w:r>
      <w:r w:rsidRPr="00257556">
        <w:rPr>
          <w:sz w:val="22"/>
        </w:rPr>
        <w:tab/>
        <w:t xml:space="preserve">Kaip vartoti </w:t>
      </w:r>
      <w:proofErr w:type="spellStart"/>
      <w:r w:rsidRPr="00257556">
        <w:rPr>
          <w:sz w:val="22"/>
        </w:rPr>
        <w:t>Raphacholin</w:t>
      </w:r>
      <w:proofErr w:type="spellEnd"/>
      <w:r w:rsidRPr="005D554B">
        <w:rPr>
          <w:snapToGrid w:val="0"/>
          <w:sz w:val="22"/>
          <w:szCs w:val="24"/>
        </w:rPr>
        <w:t xml:space="preserve"> </w:t>
      </w:r>
    </w:p>
    <w:p w:rsidR="005913E7" w:rsidRPr="00C44C7B" w:rsidRDefault="005913E7" w:rsidP="005913E7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4.</w:t>
      </w:r>
      <w:r w:rsidRPr="00257556">
        <w:rPr>
          <w:sz w:val="22"/>
        </w:rPr>
        <w:tab/>
        <w:t>Galimas šalutinis poveikis</w:t>
      </w:r>
      <w:r w:rsidRPr="005D554B">
        <w:rPr>
          <w:snapToGrid w:val="0"/>
          <w:sz w:val="22"/>
          <w:szCs w:val="24"/>
        </w:rPr>
        <w:t xml:space="preserve"> </w:t>
      </w:r>
    </w:p>
    <w:p w:rsidR="005913E7" w:rsidRPr="00C44C7B" w:rsidRDefault="005913E7" w:rsidP="005913E7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5.</w:t>
      </w:r>
      <w:r w:rsidRPr="00257556">
        <w:rPr>
          <w:sz w:val="22"/>
        </w:rPr>
        <w:tab/>
        <w:t xml:space="preserve">Kaip laikyti </w:t>
      </w:r>
      <w:proofErr w:type="spellStart"/>
      <w:r w:rsidRPr="00257556">
        <w:rPr>
          <w:sz w:val="22"/>
        </w:rPr>
        <w:t>Raphacholin</w:t>
      </w:r>
      <w:proofErr w:type="spellEnd"/>
      <w:r w:rsidRPr="005D554B">
        <w:rPr>
          <w:snapToGrid w:val="0"/>
          <w:sz w:val="22"/>
          <w:szCs w:val="24"/>
        </w:rPr>
        <w:t xml:space="preserve"> </w:t>
      </w:r>
    </w:p>
    <w:p w:rsidR="005913E7" w:rsidRPr="00C44C7B" w:rsidRDefault="005913E7" w:rsidP="005913E7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6.</w:t>
      </w:r>
      <w:r w:rsidRPr="00257556">
        <w:rPr>
          <w:sz w:val="22"/>
        </w:rPr>
        <w:tab/>
        <w:t>Pakuotės turinys ir kita informacija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bookmarkStart w:id="2" w:name="_Toc129243139"/>
      <w:bookmarkStart w:id="3" w:name="_Toc129243264"/>
      <w:r w:rsidRPr="00257556">
        <w:rPr>
          <w:b/>
          <w:sz w:val="22"/>
        </w:rPr>
        <w:t>1.</w:t>
      </w:r>
      <w:r w:rsidRPr="00257556">
        <w:rPr>
          <w:b/>
          <w:sz w:val="22"/>
        </w:rPr>
        <w:tab/>
        <w:t xml:space="preserve">Kas yra </w:t>
      </w:r>
      <w:proofErr w:type="spellStart"/>
      <w:r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ir kam jis vartojamas</w:t>
      </w:r>
      <w:bookmarkEnd w:id="2"/>
      <w:bookmarkEnd w:id="3"/>
    </w:p>
    <w:p w:rsidR="005913E7" w:rsidRPr="005D554B" w:rsidRDefault="005913E7" w:rsidP="005913E7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5913E7" w:rsidRDefault="005913E7" w:rsidP="005913E7">
      <w:pPr>
        <w:numPr>
          <w:ilvl w:val="12"/>
          <w:numId w:val="0"/>
        </w:numPr>
        <w:ind w:right="-2"/>
        <w:rPr>
          <w:noProof/>
          <w:snapToGrid w:val="0"/>
          <w:sz w:val="22"/>
        </w:rPr>
      </w:pPr>
      <w:r w:rsidRPr="009E14CD">
        <w:rPr>
          <w:noProof/>
          <w:snapToGrid w:val="0"/>
          <w:sz w:val="22"/>
        </w:rPr>
        <w:t>Raphacholin yra vartojamas pablogėjus virškinimui ir esant virškinimo sutrikimams (pykinimui, skrandžio skausmams, raugėjimui, pilvo pūtimui, vidurių užkietėjimui) dėl lengvo kepenų funkcijos arba tulžies pūslės susitraukimų sutrikimo</w:t>
      </w:r>
      <w:r>
        <w:rPr>
          <w:noProof/>
          <w:snapToGrid w:val="0"/>
          <w:sz w:val="22"/>
        </w:rPr>
        <w:t>.</w:t>
      </w:r>
    </w:p>
    <w:p w:rsidR="005913E7" w:rsidRPr="005D554B" w:rsidRDefault="005913E7" w:rsidP="005913E7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9E14CD">
        <w:rPr>
          <w:noProof/>
          <w:snapToGrid w:val="0"/>
          <w:sz w:val="22"/>
        </w:rPr>
        <w:t>Jeigu per 3 dienas Jūsų savijauta nepagerėjo arba net pablogėjo, kreipkitės į gydytoją</w:t>
      </w:r>
      <w:r>
        <w:rPr>
          <w:noProof/>
          <w:snapToGrid w:val="0"/>
          <w:sz w:val="22"/>
        </w:rPr>
        <w:t>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bookmarkStart w:id="4" w:name="_Toc129243140"/>
      <w:bookmarkStart w:id="5" w:name="_Toc129243265"/>
      <w:r w:rsidRPr="00257556">
        <w:rPr>
          <w:b/>
          <w:sz w:val="22"/>
        </w:rPr>
        <w:t>2.</w:t>
      </w:r>
      <w:r w:rsidRPr="00257556">
        <w:rPr>
          <w:b/>
          <w:sz w:val="22"/>
        </w:rPr>
        <w:tab/>
        <w:t xml:space="preserve">Kas žinotina prieš vartojant </w:t>
      </w:r>
      <w:proofErr w:type="spellStart"/>
      <w:r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</w:t>
      </w:r>
      <w:bookmarkEnd w:id="4"/>
      <w:bookmarkEnd w:id="5"/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proofErr w:type="spellStart"/>
      <w:r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vartoti </w:t>
      </w:r>
      <w:r w:rsidRPr="005D554B">
        <w:rPr>
          <w:b/>
          <w:bCs/>
          <w:snapToGrid w:val="0"/>
          <w:sz w:val="22"/>
          <w:szCs w:val="22"/>
          <w:lang w:eastAsia="x-none"/>
        </w:rPr>
        <w:t>draudžiama</w:t>
      </w:r>
      <w:r w:rsidRPr="00257556">
        <w:rPr>
          <w:b/>
          <w:sz w:val="22"/>
        </w:rPr>
        <w:t>:</w:t>
      </w:r>
    </w:p>
    <w:p w:rsidR="005913E7" w:rsidRPr="00031F49" w:rsidRDefault="005913E7" w:rsidP="005913E7">
      <w:pPr>
        <w:pStyle w:val="BT-EMEASMCA"/>
        <w:rPr>
          <w:szCs w:val="22"/>
        </w:rPr>
      </w:pPr>
      <w:r w:rsidRPr="00031F49">
        <w:rPr>
          <w:szCs w:val="22"/>
        </w:rPr>
        <w:t>jeigu yra alergija veikliosioms medžiagoms arba bet kuriai pagalbinei šio vaisto medžiagai (jos išvardytos 6 skyriuje);</w:t>
      </w:r>
    </w:p>
    <w:p w:rsidR="005913E7" w:rsidRPr="00031F49" w:rsidRDefault="005913E7" w:rsidP="005913E7">
      <w:pPr>
        <w:pStyle w:val="BT-EMEASMCA"/>
        <w:rPr>
          <w:szCs w:val="22"/>
        </w:rPr>
      </w:pPr>
      <w:r w:rsidRPr="00031F49">
        <w:rPr>
          <w:szCs w:val="22"/>
        </w:rPr>
        <w:t>jeigu yra sunki kepenų liga, tulžies takų ir virškinamojo trakto nepraeinamumas;</w:t>
      </w:r>
    </w:p>
    <w:p w:rsidR="005913E7" w:rsidRPr="00031F49" w:rsidRDefault="005913E7" w:rsidP="005913E7">
      <w:pPr>
        <w:pStyle w:val="BT-EMEASMCA"/>
        <w:rPr>
          <w:szCs w:val="22"/>
        </w:rPr>
      </w:pPr>
      <w:r w:rsidRPr="00031F49">
        <w:rPr>
          <w:szCs w:val="22"/>
        </w:rPr>
        <w:t xml:space="preserve">jeigu yra </w:t>
      </w:r>
      <w:r>
        <w:rPr>
          <w:szCs w:val="22"/>
        </w:rPr>
        <w:t>ūmus</w:t>
      </w:r>
      <w:r w:rsidRPr="00031F49">
        <w:rPr>
          <w:szCs w:val="22"/>
        </w:rPr>
        <w:t xml:space="preserve"> ar lėtinis gastritas ir enteritas.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5D554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:rsidR="005913E7" w:rsidRDefault="005913E7" w:rsidP="005913E7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031F49">
        <w:rPr>
          <w:noProof/>
          <w:snapToGrid w:val="0"/>
          <w:sz w:val="22"/>
          <w:szCs w:val="24"/>
        </w:rPr>
        <w:t>Pasitarkite su gydytoju arba vaistininku</w:t>
      </w:r>
      <w:r>
        <w:rPr>
          <w:noProof/>
          <w:snapToGrid w:val="0"/>
          <w:sz w:val="22"/>
          <w:szCs w:val="24"/>
        </w:rPr>
        <w:t>,</w:t>
      </w:r>
      <w:r w:rsidRPr="00031F49">
        <w:rPr>
          <w:noProof/>
          <w:snapToGrid w:val="0"/>
          <w:sz w:val="22"/>
          <w:szCs w:val="24"/>
        </w:rPr>
        <w:t xml:space="preserve"> prieš pradėdami vartoti Raphacholin</w:t>
      </w:r>
      <w:r w:rsidRPr="005D554B">
        <w:rPr>
          <w:noProof/>
          <w:snapToGrid w:val="0"/>
          <w:sz w:val="22"/>
          <w:szCs w:val="24"/>
        </w:rPr>
        <w:t>.</w:t>
      </w:r>
    </w:p>
    <w:p w:rsidR="005913E7" w:rsidRDefault="005913E7" w:rsidP="005913E7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:rsidR="005913E7" w:rsidRPr="00031F49" w:rsidRDefault="005913E7" w:rsidP="005913E7">
      <w:pPr>
        <w:tabs>
          <w:tab w:val="left" w:pos="567"/>
        </w:tabs>
        <w:rPr>
          <w:sz w:val="22"/>
          <w:szCs w:val="22"/>
        </w:rPr>
      </w:pPr>
      <w:r w:rsidRPr="00031F49">
        <w:rPr>
          <w:sz w:val="22"/>
          <w:szCs w:val="22"/>
        </w:rPr>
        <w:t>Preparatas padidina tulžies sekreto išsiskyrimą, todėl gali pajudėti akmenys esant tulžies akmenims. Vaistas gali būti skiriamas pacientams sergantiems tulžies pūslės ligomis tik po individualaus ištyrimo.</w:t>
      </w:r>
    </w:p>
    <w:p w:rsidR="005913E7" w:rsidRPr="00031F49" w:rsidRDefault="005913E7" w:rsidP="005913E7">
      <w:pPr>
        <w:pStyle w:val="BTEMEASMCA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sz w:val="22"/>
        </w:rPr>
        <w:t>Jei vartojant vaistą simptomai pablogėja, reikia pasikonsultuoti su gydytoju arba kvalifikuotu sveikatos priežiūros specialistu.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b/>
        </w:rPr>
      </w:pPr>
      <w:r w:rsidRPr="00257556">
        <w:rPr>
          <w:b/>
          <w:sz w:val="22"/>
        </w:rPr>
        <w:lastRenderedPageBreak/>
        <w:t>Vaikams</w:t>
      </w: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sz w:val="22"/>
        </w:rPr>
        <w:t xml:space="preserve">Vaikams jaunesniems kaip 10 metų vaisto vartoti nerekomenduojama. Šioje amžiaus grupėje </w:t>
      </w:r>
      <w:proofErr w:type="spellStart"/>
      <w:r w:rsidRPr="00031F49">
        <w:rPr>
          <w:snapToGrid w:val="0"/>
          <w:sz w:val="22"/>
          <w:szCs w:val="28"/>
          <w:lang w:eastAsia="x-none"/>
        </w:rPr>
        <w:t>Raphacholin</w:t>
      </w:r>
      <w:proofErr w:type="spellEnd"/>
      <w:r w:rsidRPr="00031F49">
        <w:rPr>
          <w:snapToGrid w:val="0"/>
          <w:sz w:val="22"/>
          <w:szCs w:val="28"/>
          <w:lang w:eastAsia="x-none"/>
        </w:rPr>
        <w:t xml:space="preserve"> saugumas ir veiksmingumas neištirtas</w:t>
      </w:r>
      <w:r w:rsidRPr="00257556">
        <w:rPr>
          <w:sz w:val="22"/>
        </w:rPr>
        <w:t>.</w:t>
      </w:r>
    </w:p>
    <w:p w:rsidR="005913E7" w:rsidRPr="00C44C7B" w:rsidRDefault="005913E7" w:rsidP="005913E7">
      <w:pPr>
        <w:numPr>
          <w:ilvl w:val="12"/>
          <w:numId w:val="0"/>
        </w:numPr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 xml:space="preserve">Kiti vaistai ir </w:t>
      </w:r>
      <w:proofErr w:type="spellStart"/>
      <w:r w:rsidRPr="00257556">
        <w:rPr>
          <w:b/>
          <w:sz w:val="22"/>
        </w:rPr>
        <w:t>Raphacholin</w:t>
      </w:r>
      <w:proofErr w:type="spellEnd"/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sz w:val="22"/>
        </w:rPr>
        <w:t xml:space="preserve">Jeigu vartojate </w:t>
      </w:r>
      <w:r w:rsidRPr="005D554B">
        <w:rPr>
          <w:noProof/>
          <w:snapToGrid w:val="0"/>
          <w:sz w:val="22"/>
          <w:szCs w:val="24"/>
        </w:rPr>
        <w:t>ar</w:t>
      </w:r>
      <w:r w:rsidRPr="00257556">
        <w:rPr>
          <w:sz w:val="22"/>
        </w:rPr>
        <w:t xml:space="preserve"> neseniai vartojote kitų vaistų arba</w:t>
      </w:r>
      <w:r w:rsidRPr="005D554B">
        <w:rPr>
          <w:noProof/>
          <w:snapToGrid w:val="0"/>
          <w:sz w:val="22"/>
          <w:szCs w:val="24"/>
        </w:rPr>
        <w:t xml:space="preserve"> dėl to</w:t>
      </w:r>
      <w:r w:rsidRPr="00257556">
        <w:rPr>
          <w:sz w:val="22"/>
        </w:rPr>
        <w:t xml:space="preserve"> nesate tikri, apie tai pasakykite gydytojui arba vaistininkui.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Default="005913E7" w:rsidP="005913E7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031F49">
        <w:rPr>
          <w:snapToGrid w:val="0"/>
          <w:sz w:val="22"/>
          <w:szCs w:val="24"/>
        </w:rPr>
        <w:t xml:space="preserve">Vartojant didelėmis dozėmis su kraujospūdį mažinančias vaistais ir diuretikais, gali pasireikšti </w:t>
      </w:r>
      <w:proofErr w:type="spellStart"/>
      <w:r w:rsidRPr="00031F49">
        <w:rPr>
          <w:snapToGrid w:val="0"/>
          <w:sz w:val="22"/>
          <w:szCs w:val="24"/>
        </w:rPr>
        <w:t>hipokalemija</w:t>
      </w:r>
      <w:proofErr w:type="spellEnd"/>
      <w:r>
        <w:rPr>
          <w:snapToGrid w:val="0"/>
          <w:sz w:val="22"/>
          <w:szCs w:val="24"/>
        </w:rPr>
        <w:t>.</w:t>
      </w:r>
    </w:p>
    <w:p w:rsidR="005913E7" w:rsidRPr="005D554B" w:rsidRDefault="005913E7" w:rsidP="005913E7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5913E7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Raphacholin</w:t>
      </w:r>
      <w:proofErr w:type="spellEnd"/>
      <w:r w:rsidRPr="005D554B">
        <w:rPr>
          <w:b/>
          <w:bCs/>
          <w:snapToGrid w:val="0"/>
          <w:sz w:val="22"/>
          <w:szCs w:val="28"/>
          <w:lang w:eastAsia="x-none"/>
        </w:rPr>
        <w:t xml:space="preserve"> vartojimas su alkoholiu</w:t>
      </w:r>
    </w:p>
    <w:p w:rsidR="005913E7" w:rsidRPr="00031F49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  <w:r>
        <w:rPr>
          <w:snapToGrid w:val="0"/>
          <w:sz w:val="22"/>
          <w:szCs w:val="28"/>
          <w:lang w:eastAsia="x-none"/>
        </w:rPr>
        <w:t>Duomenų nėra.</w:t>
      </w:r>
    </w:p>
    <w:p w:rsidR="005913E7" w:rsidRPr="00C44C7B" w:rsidRDefault="005913E7" w:rsidP="005913E7">
      <w:pPr>
        <w:numPr>
          <w:ilvl w:val="12"/>
          <w:numId w:val="0"/>
        </w:numPr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Nėštumas ir žindymo laikotarpis</w:t>
      </w:r>
    </w:p>
    <w:p w:rsidR="005913E7" w:rsidRPr="00C44C7B" w:rsidRDefault="005913E7" w:rsidP="005913E7">
      <w:pPr>
        <w:numPr>
          <w:ilvl w:val="12"/>
          <w:numId w:val="0"/>
        </w:numPr>
      </w:pPr>
      <w:r w:rsidRPr="00257556">
        <w:rPr>
          <w:sz w:val="22"/>
        </w:rPr>
        <w:t>Jeigu esate nėščia, žindote kūdikį, manote, kad galbūt esate nėščia, arba planuojate pastoti, tai prieš vartodama šį vaistą pasitarkite su gydytoju arba vaistininku.</w:t>
      </w:r>
      <w:r w:rsidRPr="005D554B">
        <w:rPr>
          <w:snapToGrid w:val="0"/>
          <w:sz w:val="22"/>
          <w:szCs w:val="24"/>
        </w:rPr>
        <w:t xml:space="preserve"> </w:t>
      </w:r>
    </w:p>
    <w:p w:rsidR="005913E7" w:rsidRPr="00C44C7B" w:rsidRDefault="005913E7" w:rsidP="005913E7">
      <w:pPr>
        <w:numPr>
          <w:ilvl w:val="12"/>
          <w:numId w:val="0"/>
        </w:numPr>
      </w:pPr>
      <w:r w:rsidRPr="00257556">
        <w:rPr>
          <w:sz w:val="22"/>
        </w:rPr>
        <w:t>Saugumo tyrimai nėštumo ir žindymo laikotarpiu nebuvo atlikti. Be gydytojo konsultacijos nėštumo ir žindymo laikotarpiu vaistą vartoti nerekomenduojama.</w:t>
      </w:r>
    </w:p>
    <w:p w:rsidR="005913E7" w:rsidRPr="00C44C7B" w:rsidRDefault="005913E7" w:rsidP="005913E7">
      <w:pPr>
        <w:numPr>
          <w:ilvl w:val="12"/>
          <w:numId w:val="0"/>
        </w:numPr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Vairavimas ir mechanizmų valdymas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  <w:proofErr w:type="spellStart"/>
      <w:r w:rsidRPr="00257556">
        <w:rPr>
          <w:sz w:val="22"/>
        </w:rPr>
        <w:t>Raphacholin</w:t>
      </w:r>
      <w:proofErr w:type="spellEnd"/>
      <w:r w:rsidRPr="00257556">
        <w:rPr>
          <w:sz w:val="22"/>
        </w:rPr>
        <w:t xml:space="preserve"> gebėjimo vairuoti ir valdyti mechanizmus neveikia.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257556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color w:val="000000"/>
        </w:rPr>
      </w:pPr>
      <w:proofErr w:type="spellStart"/>
      <w:r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sudėtyje yra </w:t>
      </w:r>
      <w:r w:rsidRPr="00257556">
        <w:rPr>
          <w:b/>
          <w:color w:val="000000"/>
          <w:sz w:val="22"/>
        </w:rPr>
        <w:t>sacharozės</w:t>
      </w: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sz w:val="22"/>
        </w:rPr>
        <w:t>Jeigu gydytojas Jums yra sakęs, kad netoleruojate kokių nors angliavandenių, kreipkitės į jį prieš pradėdami vartoti šį vaistą.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keepLines/>
        <w:tabs>
          <w:tab w:val="left" w:pos="567"/>
        </w:tabs>
        <w:outlineLvl w:val="2"/>
      </w:pPr>
      <w:bookmarkStart w:id="6" w:name="_Toc129243141"/>
      <w:bookmarkStart w:id="7" w:name="_Toc129243266"/>
      <w:r w:rsidRPr="00257556">
        <w:rPr>
          <w:b/>
          <w:sz w:val="22"/>
        </w:rPr>
        <w:t>3.</w:t>
      </w:r>
      <w:r w:rsidRPr="00257556">
        <w:rPr>
          <w:b/>
          <w:sz w:val="22"/>
        </w:rPr>
        <w:tab/>
        <w:t xml:space="preserve">Kaip vartoti </w:t>
      </w:r>
      <w:proofErr w:type="spellStart"/>
      <w:r w:rsidRPr="00257556">
        <w:rPr>
          <w:b/>
          <w:sz w:val="22"/>
        </w:rPr>
        <w:t>Raphacholin</w:t>
      </w:r>
      <w:bookmarkEnd w:id="6"/>
      <w:bookmarkEnd w:id="7"/>
      <w:proofErr w:type="spellEnd"/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5D554B" w:rsidRDefault="005913E7" w:rsidP="005913E7">
      <w:pPr>
        <w:ind w:right="-2"/>
        <w:rPr>
          <w:snapToGrid w:val="0"/>
          <w:sz w:val="22"/>
        </w:rPr>
      </w:pPr>
      <w:r w:rsidRPr="005D554B">
        <w:rPr>
          <w:noProof/>
          <w:snapToGrid w:val="0"/>
          <w:sz w:val="22"/>
        </w:rPr>
        <w:t>Visada vartokite šį vaistą tiksliai, kaip nurodė gydytojas arba vaistininkas.</w:t>
      </w:r>
      <w:r w:rsidRPr="005D554B">
        <w:rPr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Jeigu abejojate, kreipkitės į gydytoją</w:t>
      </w:r>
      <w:r>
        <w:rPr>
          <w:noProof/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arba</w:t>
      </w:r>
      <w:r>
        <w:rPr>
          <w:noProof/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vaistininką</w:t>
      </w:r>
      <w:r>
        <w:rPr>
          <w:noProof/>
          <w:snapToGrid w:val="0"/>
          <w:sz w:val="22"/>
        </w:rPr>
        <w:t>.</w:t>
      </w:r>
    </w:p>
    <w:p w:rsidR="005913E7" w:rsidRPr="005D554B" w:rsidRDefault="005913E7" w:rsidP="005913E7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5913E7" w:rsidRPr="00C20BD8" w:rsidRDefault="005913E7" w:rsidP="005913E7">
      <w:pPr>
        <w:ind w:right="-2"/>
        <w:rPr>
          <w:noProof/>
          <w:snapToGrid w:val="0"/>
          <w:sz w:val="22"/>
          <w:szCs w:val="24"/>
        </w:rPr>
      </w:pPr>
      <w:r w:rsidRPr="00C20BD8">
        <w:rPr>
          <w:noProof/>
          <w:snapToGrid w:val="0"/>
          <w:sz w:val="22"/>
          <w:szCs w:val="24"/>
        </w:rPr>
        <w:t xml:space="preserve">Pasunkėjus virškinimui suaugusiesiems gerti po 1-3 dengtas tabletes kaip vienkartinę dozę. </w:t>
      </w:r>
    </w:p>
    <w:p w:rsidR="005913E7" w:rsidRPr="00C20BD8" w:rsidRDefault="005913E7" w:rsidP="005913E7">
      <w:pPr>
        <w:ind w:right="-2"/>
        <w:rPr>
          <w:noProof/>
          <w:snapToGrid w:val="0"/>
          <w:sz w:val="22"/>
          <w:szCs w:val="24"/>
        </w:rPr>
      </w:pPr>
      <w:r w:rsidRPr="00C20BD8">
        <w:rPr>
          <w:noProof/>
          <w:snapToGrid w:val="0"/>
          <w:sz w:val="22"/>
          <w:szCs w:val="24"/>
        </w:rPr>
        <w:t>Kitais virškinimo sutrikimo atvejais suaugusiesiems reikia gerti 1-2 dengtas tabletes 3 kartus per dieną 30 minučių po valgio.</w:t>
      </w:r>
    </w:p>
    <w:p w:rsidR="005913E7" w:rsidRPr="00C20BD8" w:rsidRDefault="005913E7" w:rsidP="005913E7">
      <w:pPr>
        <w:ind w:right="-2"/>
        <w:rPr>
          <w:snapToGrid w:val="0"/>
          <w:sz w:val="22"/>
        </w:rPr>
      </w:pPr>
      <w:r w:rsidRPr="00C20BD8">
        <w:rPr>
          <w:noProof/>
          <w:snapToGrid w:val="0"/>
          <w:sz w:val="22"/>
          <w:szCs w:val="24"/>
        </w:rPr>
        <w:t>Užkietėjus viduriams – rytą ir vakare po 2 dengtas tabletes 30 minučių prieš valgį</w:t>
      </w:r>
      <w:r>
        <w:rPr>
          <w:noProof/>
          <w:snapToGrid w:val="0"/>
          <w:sz w:val="22"/>
        </w:rPr>
        <w:t>.</w:t>
      </w:r>
    </w:p>
    <w:p w:rsidR="005913E7" w:rsidRPr="005D554B" w:rsidRDefault="005913E7" w:rsidP="005913E7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5913E7" w:rsidRPr="005D554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Vartojimas vaikams</w:t>
      </w:r>
    </w:p>
    <w:p w:rsidR="005913E7" w:rsidRDefault="005913E7" w:rsidP="005913E7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C20BD8">
        <w:rPr>
          <w:noProof/>
          <w:snapToGrid w:val="0"/>
          <w:sz w:val="22"/>
          <w:szCs w:val="24"/>
        </w:rPr>
        <w:t>Pasikonsultavus su gydytoju vaistą gali vartoti vyresni kaip 10 metų vaikai po 1 dengtą tabletę 3 kartus per dieną po valgio</w:t>
      </w:r>
      <w:r>
        <w:rPr>
          <w:noProof/>
          <w:snapToGrid w:val="0"/>
          <w:sz w:val="22"/>
          <w:szCs w:val="24"/>
        </w:rPr>
        <w:t>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 xml:space="preserve">Ką daryti pavartojus per didelę </w:t>
      </w:r>
      <w:proofErr w:type="spellStart"/>
      <w:r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dozę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sz w:val="22"/>
        </w:rPr>
        <w:t xml:space="preserve">Stipriai perdozavus, pavartojus daug kartų didesnę dozę nei rekomenduojama (suvartojus keletą dozių vienu kartu) vaistas gali sukelti vėmimą, </w:t>
      </w:r>
      <w:proofErr w:type="spellStart"/>
      <w:r w:rsidRPr="00257556">
        <w:rPr>
          <w:sz w:val="22"/>
        </w:rPr>
        <w:t>diarėją</w:t>
      </w:r>
      <w:proofErr w:type="spellEnd"/>
      <w:r w:rsidRPr="00257556">
        <w:rPr>
          <w:sz w:val="22"/>
        </w:rPr>
        <w:t xml:space="preserve">, elektrolitų netekimą, galvos skausmą, veido paraudimą, kvėpavimo sutrikimus, aritmiją, spazminius raumenų </w:t>
      </w:r>
      <w:proofErr w:type="spellStart"/>
      <w:r w:rsidRPr="00257556">
        <w:rPr>
          <w:sz w:val="22"/>
        </w:rPr>
        <w:t>susitraukimus</w:t>
      </w:r>
      <w:proofErr w:type="spellEnd"/>
      <w:r w:rsidRPr="00257556">
        <w:rPr>
          <w:sz w:val="22"/>
        </w:rPr>
        <w:t>, nuovargį, išsekimą, pykinimą.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sz w:val="22"/>
        </w:rPr>
        <w:t>Perdozavimo atveju nedelsiant kreipkitės į gydytoją.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 xml:space="preserve">Pamiršus pavartoti </w:t>
      </w:r>
      <w:proofErr w:type="spellStart"/>
      <w:r w:rsidRPr="00257556">
        <w:rPr>
          <w:b/>
          <w:sz w:val="22"/>
        </w:rPr>
        <w:t>Raphacholin</w:t>
      </w:r>
      <w:proofErr w:type="spellEnd"/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sz w:val="22"/>
        </w:rPr>
        <w:t>Negalima vartoti dvigubos dozės norint kompensuoti praleistą tabletę.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5D554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lastRenderedPageBreak/>
        <w:t xml:space="preserve">Nustojus vartoti </w:t>
      </w:r>
      <w:proofErr w:type="spellStart"/>
      <w:r>
        <w:rPr>
          <w:b/>
          <w:bCs/>
          <w:snapToGrid w:val="0"/>
          <w:sz w:val="22"/>
          <w:szCs w:val="28"/>
          <w:lang w:eastAsia="x-none"/>
        </w:rPr>
        <w:t>Raphacholin</w:t>
      </w:r>
      <w:proofErr w:type="spellEnd"/>
    </w:p>
    <w:p w:rsidR="005913E7" w:rsidRPr="00C44C7B" w:rsidRDefault="005913E7" w:rsidP="005913E7">
      <w:pPr>
        <w:numPr>
          <w:ilvl w:val="12"/>
          <w:numId w:val="0"/>
        </w:numPr>
        <w:ind w:right="-29"/>
      </w:pPr>
      <w:r w:rsidRPr="00257556">
        <w:rPr>
          <w:sz w:val="22"/>
        </w:rPr>
        <w:t>Jeigu kiltų daugiau klausimų dėl šio vaisto vartojimo, kreipkitės į gydytoją arba vaistininką.</w:t>
      </w:r>
    </w:p>
    <w:p w:rsidR="005913E7" w:rsidRPr="00C44C7B" w:rsidRDefault="005913E7" w:rsidP="005913E7">
      <w:pPr>
        <w:numPr>
          <w:ilvl w:val="12"/>
          <w:numId w:val="0"/>
        </w:numPr>
      </w:pPr>
    </w:p>
    <w:p w:rsidR="005913E7" w:rsidRPr="00C44C7B" w:rsidRDefault="005913E7" w:rsidP="005913E7">
      <w:pPr>
        <w:numPr>
          <w:ilvl w:val="12"/>
          <w:numId w:val="0"/>
        </w:numPr>
      </w:pPr>
    </w:p>
    <w:p w:rsidR="005913E7" w:rsidRPr="00C44C7B" w:rsidRDefault="005913E7" w:rsidP="005913E7">
      <w:pPr>
        <w:keepNext/>
        <w:keepLines/>
        <w:tabs>
          <w:tab w:val="left" w:pos="567"/>
        </w:tabs>
        <w:outlineLvl w:val="2"/>
      </w:pPr>
      <w:bookmarkStart w:id="8" w:name="_Toc129243142"/>
      <w:bookmarkStart w:id="9" w:name="_Toc129243267"/>
      <w:r w:rsidRPr="00257556">
        <w:rPr>
          <w:b/>
          <w:sz w:val="22"/>
        </w:rPr>
        <w:t>4.</w:t>
      </w:r>
      <w:r w:rsidRPr="00257556">
        <w:rPr>
          <w:b/>
          <w:sz w:val="22"/>
        </w:rPr>
        <w:tab/>
      </w:r>
      <w:bookmarkEnd w:id="8"/>
      <w:bookmarkEnd w:id="9"/>
      <w:r w:rsidRPr="00257556">
        <w:rPr>
          <w:b/>
          <w:sz w:val="22"/>
        </w:rPr>
        <w:t xml:space="preserve">Galimas </w:t>
      </w:r>
      <w:r w:rsidRPr="005D554B">
        <w:rPr>
          <w:b/>
          <w:bCs/>
          <w:snapToGrid w:val="0"/>
          <w:sz w:val="22"/>
          <w:szCs w:val="26"/>
          <w:lang w:eastAsia="x-none"/>
        </w:rPr>
        <w:t>šalutinis</w:t>
      </w:r>
      <w:r w:rsidRPr="00257556">
        <w:rPr>
          <w:b/>
          <w:sz w:val="22"/>
        </w:rPr>
        <w:t xml:space="preserve"> poveikis</w:t>
      </w:r>
    </w:p>
    <w:p w:rsidR="005913E7" w:rsidRPr="00C44C7B" w:rsidRDefault="005913E7" w:rsidP="005913E7">
      <w:pPr>
        <w:numPr>
          <w:ilvl w:val="12"/>
          <w:numId w:val="0"/>
        </w:numPr>
      </w:pPr>
    </w:p>
    <w:p w:rsidR="005913E7" w:rsidRPr="00C44C7B" w:rsidRDefault="005913E7" w:rsidP="005913E7">
      <w:pPr>
        <w:ind w:right="-29"/>
      </w:pPr>
      <w:r w:rsidRPr="00257556">
        <w:rPr>
          <w:sz w:val="22"/>
        </w:rPr>
        <w:t>Šis vaistas, kaip ir visi kiti, gali sukelti šalutinį poveikį, nors jis pasireiškia ne visiems žmonėms.</w:t>
      </w:r>
    </w:p>
    <w:p w:rsidR="005913E7" w:rsidRPr="005D554B" w:rsidRDefault="005913E7" w:rsidP="005913E7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:rsidR="005913E7" w:rsidRPr="00257556" w:rsidRDefault="005913E7" w:rsidP="005913E7">
      <w:pPr>
        <w:tabs>
          <w:tab w:val="left" w:pos="567"/>
        </w:tabs>
        <w:ind w:right="-29"/>
        <w:rPr>
          <w:b/>
          <w:sz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Šalutinio poveikio reiškiniai, kurių dažnis</w:t>
      </w:r>
      <w:r w:rsidRPr="00257556">
        <w:rPr>
          <w:b/>
          <w:sz w:val="22"/>
        </w:rPr>
        <w:t xml:space="preserve"> nežinomas (negali būti apskaičiuotas pagal turimus duomenis</w:t>
      </w:r>
      <w:r w:rsidRPr="005D554B">
        <w:rPr>
          <w:b/>
          <w:bCs/>
          <w:noProof/>
          <w:snapToGrid w:val="0"/>
          <w:sz w:val="22"/>
          <w:szCs w:val="22"/>
        </w:rPr>
        <w:t>):</w:t>
      </w:r>
    </w:p>
    <w:p w:rsidR="005913E7" w:rsidRPr="005D554B" w:rsidRDefault="005913E7" w:rsidP="005913E7">
      <w:pPr>
        <w:tabs>
          <w:tab w:val="left" w:pos="567"/>
        </w:tabs>
        <w:ind w:right="-29"/>
        <w:rPr>
          <w:noProof/>
          <w:snapToGrid w:val="0"/>
          <w:sz w:val="22"/>
        </w:rPr>
      </w:pPr>
      <w:r>
        <w:rPr>
          <w:noProof/>
          <w:snapToGrid w:val="0"/>
          <w:sz w:val="22"/>
        </w:rPr>
        <w:t>viduriavimas, tulžies latakų diegliai ir alerginės reakcijos į vaisto sudedamąsias dalis.</w:t>
      </w:r>
    </w:p>
    <w:p w:rsidR="005913E7" w:rsidRPr="00C44C7B" w:rsidRDefault="005913E7" w:rsidP="005913E7">
      <w:pPr>
        <w:numPr>
          <w:ilvl w:val="12"/>
          <w:numId w:val="0"/>
        </w:numPr>
        <w:ind w:right="-29"/>
      </w:pPr>
    </w:p>
    <w:p w:rsidR="005913E7" w:rsidRPr="005D554B" w:rsidRDefault="005913E7" w:rsidP="005913E7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Pranešimas apie šalutinį poveikį</w:t>
      </w:r>
    </w:p>
    <w:p w:rsidR="005913E7" w:rsidRPr="005D554B" w:rsidRDefault="005913E7" w:rsidP="005913E7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>arba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>vaistininku</w:t>
      </w:r>
      <w:r>
        <w:rPr>
          <w:snapToGrid w:val="0"/>
          <w:sz w:val="22"/>
        </w:rPr>
        <w:t>i</w:t>
      </w:r>
      <w:r w:rsidRPr="005D554B">
        <w:rPr>
          <w:snapToGrid w:val="0"/>
          <w:sz w:val="22"/>
        </w:rPr>
        <w:t xml:space="preserve">. Pranešimą apie šalutinį poveikį galite pateikti </w:t>
      </w:r>
      <w:r>
        <w:rPr>
          <w:snapToGrid w:val="0"/>
          <w:sz w:val="22"/>
        </w:rPr>
        <w:t xml:space="preserve">užpildyti ir pateikti </w:t>
      </w:r>
      <w:r w:rsidRPr="005821E8">
        <w:rPr>
          <w:snapToGrid w:val="0"/>
          <w:sz w:val="22"/>
        </w:rPr>
        <w:t xml:space="preserve">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</w:t>
      </w:r>
      <w:r w:rsidRPr="005821E8">
        <w:rPr>
          <w:snapToGrid w:val="0"/>
          <w:sz w:val="22"/>
        </w:rPr>
        <w:t>nurodytais būdais arba paskambinti nemokamu telefonu 8 800 73 568. Pranešdami apie šalutinį poveikį galite mums padėti gauti daugiau informacijos apie šio vaisto saugumą.</w:t>
      </w:r>
    </w:p>
    <w:p w:rsidR="005913E7" w:rsidRPr="005D554B" w:rsidRDefault="005913E7" w:rsidP="005913E7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:rsidR="005913E7" w:rsidRPr="00C44C7B" w:rsidRDefault="005913E7" w:rsidP="005913E7">
      <w:pPr>
        <w:tabs>
          <w:tab w:val="left" w:pos="567"/>
        </w:tabs>
        <w:spacing w:line="260" w:lineRule="exact"/>
        <w:ind w:right="-449"/>
      </w:pPr>
    </w:p>
    <w:p w:rsidR="005913E7" w:rsidRPr="00C44C7B" w:rsidRDefault="005913E7" w:rsidP="005913E7">
      <w:pPr>
        <w:keepNext/>
        <w:keepLines/>
        <w:tabs>
          <w:tab w:val="left" w:pos="567"/>
        </w:tabs>
        <w:outlineLvl w:val="2"/>
      </w:pPr>
      <w:bookmarkStart w:id="10" w:name="_Toc129243143"/>
      <w:bookmarkStart w:id="11" w:name="_Toc129243268"/>
      <w:r w:rsidRPr="00257556">
        <w:rPr>
          <w:b/>
          <w:sz w:val="22"/>
        </w:rPr>
        <w:t>5.</w:t>
      </w:r>
      <w:r w:rsidRPr="00257556">
        <w:rPr>
          <w:b/>
          <w:sz w:val="22"/>
        </w:rPr>
        <w:tab/>
        <w:t xml:space="preserve">Kaip laikyti </w:t>
      </w:r>
      <w:proofErr w:type="spellStart"/>
      <w:r w:rsidRPr="00257556">
        <w:rPr>
          <w:b/>
          <w:sz w:val="22"/>
        </w:rPr>
        <w:t>Raphacholin</w:t>
      </w:r>
      <w:bookmarkEnd w:id="10"/>
      <w:bookmarkEnd w:id="11"/>
      <w:proofErr w:type="spellEnd"/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sz w:val="22"/>
        </w:rPr>
        <w:t>Šį vaistą laikykite vaikams nepastebimoje ir nepasiekiamoje vietoje.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sz w:val="22"/>
        </w:rPr>
        <w:t>Laikyti žemesnėje kaip 25</w:t>
      </w:r>
      <w:r w:rsidRPr="00257556">
        <w:rPr>
          <w:sz w:val="22"/>
        </w:rPr>
        <w:sym w:font="Symbol" w:char="F0B0"/>
      </w:r>
      <w:r w:rsidRPr="00257556">
        <w:rPr>
          <w:sz w:val="22"/>
        </w:rPr>
        <w:t>C temperatūroje. Laikyti gamintojo pakuotėje, kad preparatas būtų apsaugotas nuo šviesos ir drėgmės.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sz w:val="22"/>
        </w:rPr>
        <w:t>Ant dėžutės po „Tinka iki“ ir lizdinės plokštelės po „</w:t>
      </w:r>
      <w:proofErr w:type="spellStart"/>
      <w:r w:rsidRPr="00257556">
        <w:rPr>
          <w:sz w:val="22"/>
        </w:rPr>
        <w:t>Exp</w:t>
      </w:r>
      <w:proofErr w:type="spellEnd"/>
      <w:r w:rsidRPr="00257556">
        <w:rPr>
          <w:sz w:val="22"/>
        </w:rPr>
        <w:t>“ nurodytam tinkamumo laikui pasibaigus, šio vaisto vartoti negalima. Vaistas tinkamas vartoti iki paskutinės nurodyto mėnesio dienos.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20BD8" w:rsidRDefault="005913E7" w:rsidP="005913E7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0BD8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</w:t>
      </w:r>
      <w:r>
        <w:rPr>
          <w:sz w:val="22"/>
          <w:szCs w:val="22"/>
        </w:rPr>
        <w:t>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keepLines/>
        <w:tabs>
          <w:tab w:val="left" w:pos="567"/>
        </w:tabs>
        <w:outlineLvl w:val="2"/>
      </w:pPr>
      <w:bookmarkStart w:id="12" w:name="_Toc129243144"/>
      <w:bookmarkStart w:id="13" w:name="_Toc129243269"/>
      <w:r w:rsidRPr="00257556">
        <w:rPr>
          <w:b/>
          <w:sz w:val="22"/>
        </w:rPr>
        <w:t>6.</w:t>
      </w:r>
      <w:r w:rsidRPr="00257556">
        <w:rPr>
          <w:sz w:val="22"/>
        </w:rPr>
        <w:tab/>
      </w:r>
      <w:r w:rsidRPr="00257556">
        <w:rPr>
          <w:b/>
          <w:sz w:val="22"/>
        </w:rPr>
        <w:t>Pakuotės turinys ir kita informacija</w:t>
      </w:r>
      <w:bookmarkEnd w:id="12"/>
      <w:bookmarkEnd w:id="13"/>
    </w:p>
    <w:p w:rsidR="005913E7" w:rsidRPr="00C44C7B" w:rsidRDefault="005913E7" w:rsidP="005913E7">
      <w:pPr>
        <w:numPr>
          <w:ilvl w:val="12"/>
          <w:numId w:val="0"/>
        </w:numPr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proofErr w:type="spellStart"/>
      <w:r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sudėtis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</w:t>
      </w:r>
    </w:p>
    <w:p w:rsidR="005913E7" w:rsidRPr="00C44C7B" w:rsidRDefault="005913E7" w:rsidP="005913E7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</w:pPr>
      <w:r w:rsidRPr="00257556">
        <w:rPr>
          <w:sz w:val="22"/>
        </w:rPr>
        <w:t xml:space="preserve">Veikliosios medžiagos yra juodųjų ridikų sausasis ekstraktas, artišokų žolės tirštasis ekstraktas, </w:t>
      </w:r>
      <w:proofErr w:type="spellStart"/>
      <w:r w:rsidRPr="00257556">
        <w:rPr>
          <w:sz w:val="22"/>
        </w:rPr>
        <w:t>dehidrocholio</w:t>
      </w:r>
      <w:proofErr w:type="spellEnd"/>
      <w:r w:rsidRPr="00257556">
        <w:rPr>
          <w:sz w:val="22"/>
        </w:rPr>
        <w:t xml:space="preserve"> rūgštis, pipirmėčių eterinis aliejus. Vienoje dengtoje tabletėje yra 150 mg juodųjų ridikų šakniavaisių sausojo ekstrakto ir aktyvintosios anglies (1:1) [</w:t>
      </w:r>
      <w:proofErr w:type="spellStart"/>
      <w:r w:rsidRPr="00257556">
        <w:rPr>
          <w:i/>
          <w:sz w:val="22"/>
        </w:rPr>
        <w:t>Raphanus</w:t>
      </w:r>
      <w:proofErr w:type="spellEnd"/>
      <w:r w:rsidRPr="00257556">
        <w:rPr>
          <w:i/>
          <w:sz w:val="22"/>
        </w:rPr>
        <w:t xml:space="preserve"> </w:t>
      </w:r>
      <w:proofErr w:type="spellStart"/>
      <w:r w:rsidRPr="00257556">
        <w:rPr>
          <w:i/>
          <w:sz w:val="22"/>
        </w:rPr>
        <w:t>sativus</w:t>
      </w:r>
      <w:proofErr w:type="spellEnd"/>
      <w:r w:rsidRPr="00257556">
        <w:rPr>
          <w:sz w:val="22"/>
        </w:rPr>
        <w:t xml:space="preserve"> L., </w:t>
      </w:r>
      <w:proofErr w:type="spellStart"/>
      <w:r w:rsidRPr="00257556">
        <w:rPr>
          <w:sz w:val="22"/>
        </w:rPr>
        <w:t>radix</w:t>
      </w:r>
      <w:proofErr w:type="spellEnd"/>
      <w:r w:rsidRPr="00257556">
        <w:rPr>
          <w:sz w:val="22"/>
        </w:rPr>
        <w:t xml:space="preserve"> (juodųjų ridikų šakniavaisių) sausojo ekstrakto (30-42:1) (ekstrakcijos tirpiklis: etanolis 85 % (V/V))], 47 mg </w:t>
      </w:r>
      <w:proofErr w:type="spellStart"/>
      <w:r w:rsidRPr="00257556">
        <w:rPr>
          <w:i/>
          <w:sz w:val="22"/>
        </w:rPr>
        <w:t>Cynarae</w:t>
      </w:r>
      <w:proofErr w:type="spellEnd"/>
      <w:r w:rsidRPr="00257556">
        <w:rPr>
          <w:i/>
          <w:sz w:val="22"/>
        </w:rPr>
        <w:t xml:space="preserve"> </w:t>
      </w:r>
      <w:proofErr w:type="spellStart"/>
      <w:r w:rsidRPr="00257556">
        <w:rPr>
          <w:i/>
          <w:sz w:val="22"/>
        </w:rPr>
        <w:t>scolymus</w:t>
      </w:r>
      <w:proofErr w:type="spellEnd"/>
      <w:r w:rsidRPr="00257556">
        <w:rPr>
          <w:i/>
          <w:sz w:val="22"/>
        </w:rPr>
        <w:t xml:space="preserve"> </w:t>
      </w:r>
      <w:r w:rsidRPr="00257556">
        <w:rPr>
          <w:sz w:val="22"/>
        </w:rPr>
        <w:t xml:space="preserve">L., </w:t>
      </w:r>
      <w:proofErr w:type="spellStart"/>
      <w:r w:rsidRPr="00257556">
        <w:rPr>
          <w:sz w:val="22"/>
        </w:rPr>
        <w:t>herba</w:t>
      </w:r>
      <w:proofErr w:type="spellEnd"/>
      <w:r w:rsidRPr="00257556">
        <w:rPr>
          <w:sz w:val="22"/>
        </w:rPr>
        <w:t xml:space="preserve"> (artišokų žolės) tirštojo ekstrakto 2-4:1 (ekstrakcijos tirpiklis: etanolis 50 % (V/V)), 40 mg </w:t>
      </w:r>
      <w:proofErr w:type="spellStart"/>
      <w:r w:rsidRPr="00257556">
        <w:rPr>
          <w:sz w:val="22"/>
        </w:rPr>
        <w:t>dehidrocholio</w:t>
      </w:r>
      <w:proofErr w:type="spellEnd"/>
      <w:r w:rsidRPr="00257556">
        <w:rPr>
          <w:sz w:val="22"/>
        </w:rPr>
        <w:t xml:space="preserve"> rūgšties, 15 mg pipirmėčių eterinio aliejaus.</w:t>
      </w:r>
    </w:p>
    <w:p w:rsidR="005913E7" w:rsidRPr="00C44C7B" w:rsidRDefault="005913E7" w:rsidP="005913E7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</w:pPr>
      <w:r w:rsidRPr="00257556">
        <w:rPr>
          <w:sz w:val="22"/>
        </w:rPr>
        <w:t>Pagalbinės medžiagos</w:t>
      </w:r>
      <w:r w:rsidRPr="00AD21A8">
        <w:rPr>
          <w:noProof/>
          <w:snapToGrid w:val="0"/>
          <w:sz w:val="22"/>
          <w:szCs w:val="24"/>
        </w:rPr>
        <w:t xml:space="preserve"> yra (tabletės šerdies)</w:t>
      </w:r>
      <w:r w:rsidRPr="00257556">
        <w:rPr>
          <w:sz w:val="22"/>
        </w:rPr>
        <w:t xml:space="preserve"> bulvių krakmolas, sacharozė, želatina, bevandenis koloidinis silicio dioksidas, talkas, magnio </w:t>
      </w:r>
      <w:proofErr w:type="spellStart"/>
      <w:r w:rsidRPr="00257556">
        <w:rPr>
          <w:sz w:val="22"/>
        </w:rPr>
        <w:t>stearatas</w:t>
      </w:r>
      <w:proofErr w:type="spellEnd"/>
      <w:r w:rsidRPr="00AD21A8">
        <w:rPr>
          <w:noProof/>
          <w:snapToGrid w:val="0"/>
          <w:sz w:val="22"/>
          <w:szCs w:val="24"/>
        </w:rPr>
        <w:t>; (tabletės dangalo)</w:t>
      </w:r>
      <w:r w:rsidRPr="00257556">
        <w:rPr>
          <w:sz w:val="22"/>
        </w:rPr>
        <w:t xml:space="preserve"> sacharozė, </w:t>
      </w:r>
      <w:proofErr w:type="spellStart"/>
      <w:r w:rsidRPr="00257556">
        <w:rPr>
          <w:sz w:val="22"/>
        </w:rPr>
        <w:t>gumiarabikas</w:t>
      </w:r>
      <w:proofErr w:type="spellEnd"/>
      <w:r w:rsidRPr="00257556">
        <w:rPr>
          <w:sz w:val="22"/>
        </w:rPr>
        <w:t>, talkas, kalcio-vandenilio fosfatas, aktyvintoji anglis.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proofErr w:type="spellStart"/>
      <w:r w:rsidRPr="00257556">
        <w:rPr>
          <w:b/>
          <w:sz w:val="22"/>
        </w:rPr>
        <w:lastRenderedPageBreak/>
        <w:t>Raphacholin</w:t>
      </w:r>
      <w:proofErr w:type="spellEnd"/>
      <w:r w:rsidRPr="00257556">
        <w:rPr>
          <w:b/>
          <w:sz w:val="22"/>
        </w:rPr>
        <w:t xml:space="preserve"> išvaizda ir kiekis pakuotėje</w:t>
      </w: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sz w:val="22"/>
        </w:rPr>
        <w:t>Apvalios abipusiai išgaubtos juodos spalvos dengtos tabletės.</w:t>
      </w:r>
    </w:p>
    <w:p w:rsidR="005913E7" w:rsidRPr="00AD21A8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  <w:r w:rsidRPr="00AD21A8">
        <w:rPr>
          <w:snapToGrid w:val="0"/>
          <w:sz w:val="22"/>
          <w:szCs w:val="28"/>
          <w:lang w:eastAsia="x-none"/>
        </w:rPr>
        <w:t>Lizdinė plokštelė pagaminta iš aliuminio folijos ir PVC, kurioje yra 30 dengtų tablečių, kartu su pakuotės lapeliu kartono dėžutėje</w:t>
      </w:r>
      <w:r>
        <w:rPr>
          <w:snapToGrid w:val="0"/>
          <w:sz w:val="22"/>
          <w:szCs w:val="28"/>
          <w:lang w:eastAsia="x-none"/>
        </w:rPr>
        <w:t>.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Registruotojas ir gamintojas</w:t>
      </w:r>
    </w:p>
    <w:p w:rsidR="005913E7" w:rsidRPr="00AD21A8" w:rsidRDefault="005913E7" w:rsidP="005913E7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D21A8">
        <w:rPr>
          <w:noProof/>
          <w:snapToGrid w:val="0"/>
          <w:sz w:val="22"/>
          <w:szCs w:val="24"/>
        </w:rPr>
        <w:t>Wroclawskie Zaklady Zielarskie „Herbapol” S. A.</w:t>
      </w:r>
    </w:p>
    <w:p w:rsidR="005913E7" w:rsidRPr="00AD21A8" w:rsidRDefault="005913E7" w:rsidP="005913E7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D21A8">
        <w:rPr>
          <w:noProof/>
          <w:snapToGrid w:val="0"/>
          <w:sz w:val="22"/>
          <w:szCs w:val="24"/>
        </w:rPr>
        <w:t>ul. Sw. Mikolaja 65/68</w:t>
      </w:r>
    </w:p>
    <w:p w:rsidR="005913E7" w:rsidRPr="00AD21A8" w:rsidRDefault="005913E7" w:rsidP="005913E7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D21A8">
        <w:rPr>
          <w:noProof/>
          <w:snapToGrid w:val="0"/>
          <w:sz w:val="22"/>
          <w:szCs w:val="24"/>
        </w:rPr>
        <w:t>50-951 Wrocław</w:t>
      </w:r>
    </w:p>
    <w:p w:rsidR="005913E7" w:rsidRDefault="005913E7" w:rsidP="005913E7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D21A8">
        <w:rPr>
          <w:noProof/>
          <w:snapToGrid w:val="0"/>
          <w:sz w:val="22"/>
          <w:szCs w:val="24"/>
        </w:rPr>
        <w:t>Lenkija</w:t>
      </w:r>
    </w:p>
    <w:p w:rsidR="005913E7" w:rsidRPr="00C44C7B" w:rsidRDefault="005913E7" w:rsidP="005913E7">
      <w:pPr>
        <w:numPr>
          <w:ilvl w:val="12"/>
          <w:numId w:val="0"/>
        </w:numPr>
        <w:ind w:right="-2"/>
      </w:pPr>
    </w:p>
    <w:p w:rsidR="005913E7" w:rsidRPr="00C44C7B" w:rsidRDefault="005913E7" w:rsidP="005913E7">
      <w:pPr>
        <w:numPr>
          <w:ilvl w:val="12"/>
          <w:numId w:val="0"/>
        </w:numPr>
        <w:ind w:right="-2"/>
      </w:pPr>
      <w:r w:rsidRPr="00257556">
        <w:rPr>
          <w:b/>
          <w:sz w:val="22"/>
        </w:rPr>
        <w:t xml:space="preserve">Šis pakuotės lapelis paskutinį kartą peržiūrėtas </w:t>
      </w:r>
      <w:r>
        <w:rPr>
          <w:b/>
          <w:sz w:val="22"/>
        </w:rPr>
        <w:t>2024-12-11.</w:t>
      </w:r>
    </w:p>
    <w:p w:rsidR="005913E7" w:rsidRPr="00257556" w:rsidRDefault="005913E7" w:rsidP="005913E7">
      <w:pPr>
        <w:numPr>
          <w:ilvl w:val="12"/>
          <w:numId w:val="0"/>
        </w:numPr>
        <w:ind w:right="-2"/>
        <w:rPr>
          <w:b/>
          <w:sz w:val="22"/>
        </w:rPr>
      </w:pPr>
    </w:p>
    <w:p w:rsidR="005913E7" w:rsidRPr="005D554B" w:rsidRDefault="005913E7" w:rsidP="005913E7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r w:rsidRPr="00B41309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B41309">
        <w:rPr>
          <w:sz w:val="22"/>
          <w:szCs w:val="22"/>
          <w:lang w:eastAsia="lt-LT"/>
        </w:rPr>
        <w:t>.</w:t>
      </w:r>
    </w:p>
    <w:p w:rsidR="00BA6577" w:rsidRDefault="00BA6577">
      <w:bookmarkStart w:id="14" w:name="_GoBack"/>
      <w:bookmarkEnd w:id="14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4976BC8"/>
    <w:multiLevelType w:val="hybridMultilevel"/>
    <w:tmpl w:val="C0728CA2"/>
    <w:lvl w:ilvl="0" w:tplc="B64ADD2C">
      <w:start w:val="6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E7"/>
    <w:rsid w:val="00072F85"/>
    <w:rsid w:val="000A5E72"/>
    <w:rsid w:val="000A7B60"/>
    <w:rsid w:val="00181364"/>
    <w:rsid w:val="002945D9"/>
    <w:rsid w:val="00305C48"/>
    <w:rsid w:val="003362C6"/>
    <w:rsid w:val="00497D4D"/>
    <w:rsid w:val="005913E7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BD5A9-3C05-49D5-9F2A-586C427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13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link w:val="BTEMEASMCAChar"/>
    <w:autoRedefine/>
    <w:rsid w:val="005913E7"/>
    <w:rPr>
      <w:rFonts w:eastAsia="SimSun"/>
      <w:noProof/>
      <w:sz w:val="22"/>
      <w:szCs w:val="22"/>
      <w:u w:val="single"/>
      <w:lang w:val="it-IT" w:eastAsia="x-none"/>
    </w:rPr>
  </w:style>
  <w:style w:type="character" w:customStyle="1" w:styleId="BTEMEASMCAChar">
    <w:name w:val="BT EMEA_SMCA Char"/>
    <w:link w:val="BTEMEASMCA"/>
    <w:locked/>
    <w:rsid w:val="005913E7"/>
    <w:rPr>
      <w:rFonts w:ascii="Times New Roman" w:eastAsia="SimSun" w:hAnsi="Times New Roman" w:cs="Times New Roman"/>
      <w:noProof/>
      <w:u w:val="single"/>
      <w:lang w:val="it-IT" w:eastAsia="x-none"/>
    </w:rPr>
  </w:style>
  <w:style w:type="paragraph" w:customStyle="1" w:styleId="BT-EMEASMCA">
    <w:name w:val="BT- EMEA_SMCA"/>
    <w:basedOn w:val="BTEMEASMCA"/>
    <w:autoRedefine/>
    <w:rsid w:val="005913E7"/>
    <w:pPr>
      <w:numPr>
        <w:numId w:val="2"/>
      </w:numPr>
      <w:tabs>
        <w:tab w:val="num" w:pos="360"/>
      </w:tabs>
      <w:ind w:left="567" w:hanging="207"/>
      <w:jc w:val="both"/>
    </w:pPr>
    <w:rPr>
      <w:rFonts w:eastAsia="Times New Roman"/>
      <w:snapToGrid w:val="0"/>
      <w:szCs w:val="24"/>
      <w:u w:val="none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4760</Words>
  <Characters>2714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Raphacholin</vt:lpstr>
      <vt:lpstr>        4.	Galimas šalutinis poveikis</vt:lpstr>
      <vt:lpstr>        5.	Kaip laikyti Raphacholin</vt:lpstr>
      <vt:lpstr>        6.	Pakuotės turinys ir kita informacija</vt:lpstr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2024-12-11T13:33:00Z</dcterms:created>
  <dcterms:modified xsi:type="dcterms:W3CDTF">2024-12-11T13:34:00Z</dcterms:modified>
</cp:coreProperties>
</file>