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3DD" w:rsidRPr="000276B6" w:rsidRDefault="00B203DD" w:rsidP="00B203DD">
      <w:pPr>
        <w:jc w:val="center"/>
        <w:rPr>
          <w:sz w:val="22"/>
          <w:szCs w:val="22"/>
        </w:rPr>
      </w:pPr>
      <w:bookmarkStart w:id="0" w:name="_Toc129243138"/>
      <w:bookmarkStart w:id="1" w:name="_Toc129243263"/>
      <w:r w:rsidRPr="000276B6">
        <w:rPr>
          <w:b/>
          <w:sz w:val="22"/>
          <w:szCs w:val="22"/>
        </w:rPr>
        <w:t>Pakuotės lapelis: informacija pacientui</w:t>
      </w:r>
      <w:bookmarkEnd w:id="0"/>
      <w:bookmarkEnd w:id="1"/>
    </w:p>
    <w:p w:rsidR="00B203DD" w:rsidRPr="000276B6" w:rsidRDefault="00B203DD" w:rsidP="00B203DD">
      <w:pPr>
        <w:rPr>
          <w:sz w:val="22"/>
          <w:szCs w:val="22"/>
        </w:rPr>
      </w:pPr>
    </w:p>
    <w:p w:rsidR="00B203DD" w:rsidRPr="000276B6" w:rsidRDefault="00B203DD" w:rsidP="00B203DD">
      <w:pPr>
        <w:pStyle w:val="BTEMEASMCA"/>
        <w:jc w:val="center"/>
      </w:pPr>
      <w:r w:rsidRPr="000276B6">
        <w:t>Tobrin 3 mg/ml akių lašai (tirpalas)</w:t>
      </w:r>
    </w:p>
    <w:p w:rsidR="00B203DD" w:rsidRPr="000276B6" w:rsidRDefault="00B203DD" w:rsidP="00B203DD">
      <w:pPr>
        <w:pStyle w:val="BTeEMEASMCA"/>
        <w:jc w:val="center"/>
      </w:pPr>
      <w:r w:rsidRPr="000276B6">
        <w:t>Tobramicinas</w:t>
      </w:r>
    </w:p>
    <w:p w:rsidR="00B203DD" w:rsidRPr="000276B6" w:rsidRDefault="00B203DD" w:rsidP="00B203DD">
      <w:pPr>
        <w:pStyle w:val="BTEMEASMCA"/>
      </w:pPr>
    </w:p>
    <w:p w:rsidR="00B203DD" w:rsidRPr="000276B6" w:rsidRDefault="00B203DD" w:rsidP="00B203DD">
      <w:pPr>
        <w:pStyle w:val="BTbEMEASMCA"/>
      </w:pPr>
      <w:r w:rsidRPr="000276B6">
        <w:t>Atidžiai perskaitykite visą šį lapelį, prieš pradėdami vartoti vaistą, nes jame pateikiama Jums svarbi informacija.</w:t>
      </w:r>
    </w:p>
    <w:p w:rsidR="00B203DD" w:rsidRPr="000276B6" w:rsidRDefault="00B203DD" w:rsidP="00B203DD">
      <w:pPr>
        <w:pStyle w:val="BT-EMEASMCA"/>
        <w:numPr>
          <w:ilvl w:val="0"/>
          <w:numId w:val="1"/>
        </w:numPr>
      </w:pPr>
      <w:r w:rsidRPr="000276B6">
        <w:t>Neišmeskite šio lapelio, nes vėl gali prireikti jį perskaityti.</w:t>
      </w:r>
    </w:p>
    <w:p w:rsidR="00B203DD" w:rsidRPr="000276B6" w:rsidRDefault="00B203DD" w:rsidP="00B203DD">
      <w:pPr>
        <w:pStyle w:val="BT-EMEASMCA"/>
        <w:numPr>
          <w:ilvl w:val="0"/>
          <w:numId w:val="1"/>
        </w:numPr>
      </w:pPr>
      <w:r w:rsidRPr="000276B6">
        <w:t>Jeigu kiltų daugiau klausimų, kreipkitės į gydytoją arba vaistininką.</w:t>
      </w:r>
    </w:p>
    <w:p w:rsidR="00B203DD" w:rsidRPr="000276B6" w:rsidRDefault="00B203DD" w:rsidP="00B203DD">
      <w:pPr>
        <w:pStyle w:val="BT-EMEASMCA"/>
        <w:numPr>
          <w:ilvl w:val="0"/>
          <w:numId w:val="1"/>
        </w:numPr>
      </w:pPr>
      <w:r w:rsidRPr="000276B6">
        <w:t>Šis vaistas skirtas tik Jums, todėl kitiems žmonėms jo duoti negalima. Vaistas gali jiems pakenkti (net tiems, kurių ligos požymiai yra tokie patys kaip Jūsų).</w:t>
      </w:r>
    </w:p>
    <w:p w:rsidR="00B203DD" w:rsidRPr="000276B6" w:rsidRDefault="00B203DD" w:rsidP="00B203DD">
      <w:pPr>
        <w:pStyle w:val="BT-EMEASMCA"/>
        <w:numPr>
          <w:ilvl w:val="0"/>
          <w:numId w:val="1"/>
        </w:numPr>
      </w:pPr>
      <w:r w:rsidRPr="000276B6">
        <w:t>Jeigu pasireiškė šalutinis poveikis (net jeigu jis šiame lapelyje nenurodytas), kreipkitės į gydytoją arba vaistininką. Žr. 4 skyrių.</w:t>
      </w:r>
    </w:p>
    <w:p w:rsidR="00B203DD" w:rsidRPr="000276B6" w:rsidRDefault="00B203DD" w:rsidP="00B203DD">
      <w:pPr>
        <w:pStyle w:val="BTEMEASMCA"/>
      </w:pPr>
    </w:p>
    <w:p w:rsidR="00B203DD" w:rsidRPr="000276B6" w:rsidRDefault="00B203DD" w:rsidP="00B203DD">
      <w:pPr>
        <w:pStyle w:val="BTbEMEASMCA"/>
      </w:pPr>
      <w:r w:rsidRPr="000276B6">
        <w:t>Apie ką rašoma šiame lapelyje?</w:t>
      </w:r>
    </w:p>
    <w:p w:rsidR="00B203DD" w:rsidRPr="000276B6" w:rsidRDefault="00B203DD" w:rsidP="00B203DD">
      <w:pPr>
        <w:pStyle w:val="BTEMEASMCA"/>
      </w:pPr>
      <w:r w:rsidRPr="000276B6">
        <w:t>1.</w:t>
      </w:r>
      <w:r w:rsidRPr="000276B6">
        <w:tab/>
        <w:t>Kas yra Tobrin ir kam jis vartojamas</w:t>
      </w:r>
    </w:p>
    <w:p w:rsidR="00B203DD" w:rsidRPr="000276B6" w:rsidRDefault="00B203DD" w:rsidP="00B203DD">
      <w:pPr>
        <w:pStyle w:val="BTEMEASMCA"/>
      </w:pPr>
      <w:r w:rsidRPr="000276B6">
        <w:t>2.</w:t>
      </w:r>
      <w:r w:rsidRPr="000276B6">
        <w:tab/>
        <w:t>Kas žinotina prieš vartojant Tobrin</w:t>
      </w:r>
    </w:p>
    <w:p w:rsidR="00B203DD" w:rsidRPr="000276B6" w:rsidRDefault="00B203DD" w:rsidP="00B203DD">
      <w:pPr>
        <w:pStyle w:val="BTEMEASMCA"/>
      </w:pPr>
      <w:r w:rsidRPr="000276B6">
        <w:t>3.</w:t>
      </w:r>
      <w:r w:rsidRPr="000276B6">
        <w:tab/>
        <w:t>Kaip vartoti Tobrin</w:t>
      </w:r>
    </w:p>
    <w:p w:rsidR="00B203DD" w:rsidRPr="000276B6" w:rsidRDefault="00B203DD" w:rsidP="00B203DD">
      <w:pPr>
        <w:pStyle w:val="BTEMEASMCA"/>
      </w:pPr>
      <w:r w:rsidRPr="000276B6">
        <w:t>4.</w:t>
      </w:r>
      <w:r w:rsidRPr="000276B6">
        <w:tab/>
        <w:t>Galimas šalutinis poveikis</w:t>
      </w:r>
    </w:p>
    <w:p w:rsidR="00B203DD" w:rsidRPr="000276B6" w:rsidRDefault="00B203DD" w:rsidP="00B203DD">
      <w:pPr>
        <w:pStyle w:val="BTEMEASMCA"/>
      </w:pPr>
      <w:r w:rsidRPr="000276B6">
        <w:t>5.</w:t>
      </w:r>
      <w:r w:rsidRPr="000276B6">
        <w:tab/>
        <w:t>Kaip laikyti Tobrin</w:t>
      </w:r>
    </w:p>
    <w:p w:rsidR="00B203DD" w:rsidRPr="000276B6" w:rsidRDefault="00B203DD" w:rsidP="00B203DD">
      <w:pPr>
        <w:pStyle w:val="BTEMEASMCA"/>
      </w:pPr>
      <w:r w:rsidRPr="000276B6">
        <w:t>6.</w:t>
      </w:r>
      <w:r w:rsidRPr="000276B6">
        <w:tab/>
        <w:t>Pakuotės turinys ir kita informacija</w:t>
      </w:r>
    </w:p>
    <w:p w:rsidR="00B203DD" w:rsidRPr="000276B6" w:rsidRDefault="00B203DD" w:rsidP="00B203DD">
      <w:pPr>
        <w:pStyle w:val="BTEMEASMCA"/>
      </w:pPr>
    </w:p>
    <w:p w:rsidR="00B203DD" w:rsidRPr="000276B6" w:rsidRDefault="00B203DD" w:rsidP="00B203DD">
      <w:pPr>
        <w:pStyle w:val="BTEMEASMCA"/>
      </w:pPr>
    </w:p>
    <w:p w:rsidR="00B203DD" w:rsidRPr="000276B6" w:rsidRDefault="00B203DD" w:rsidP="00B203DD">
      <w:pPr>
        <w:pStyle w:val="PI-1EMEASMCA"/>
      </w:pPr>
      <w:bookmarkStart w:id="2" w:name="_Toc129243139"/>
      <w:bookmarkStart w:id="3" w:name="_Toc129243264"/>
      <w:r w:rsidRPr="000276B6">
        <w:t>1.</w:t>
      </w:r>
      <w:r w:rsidRPr="000276B6">
        <w:tab/>
      </w:r>
      <w:bookmarkEnd w:id="2"/>
      <w:bookmarkEnd w:id="3"/>
      <w:r w:rsidRPr="000276B6">
        <w:t xml:space="preserve">Kas yra </w:t>
      </w:r>
      <w:proofErr w:type="spellStart"/>
      <w:r w:rsidRPr="000276B6">
        <w:t>Tobrin</w:t>
      </w:r>
      <w:proofErr w:type="spellEnd"/>
      <w:r w:rsidRPr="000276B6">
        <w:t xml:space="preserve"> ir kam jis vartojamas</w:t>
      </w:r>
    </w:p>
    <w:p w:rsidR="00B203DD" w:rsidRPr="000276B6" w:rsidRDefault="00B203DD" w:rsidP="00B203DD">
      <w:pPr>
        <w:pStyle w:val="BTEMEASMCA"/>
      </w:pPr>
    </w:p>
    <w:p w:rsidR="00B203DD" w:rsidRPr="000276B6" w:rsidRDefault="00B203DD" w:rsidP="00B203DD">
      <w:pPr>
        <w:rPr>
          <w:sz w:val="22"/>
          <w:szCs w:val="22"/>
        </w:rPr>
      </w:pPr>
      <w:proofErr w:type="spellStart"/>
      <w:r w:rsidRPr="000276B6">
        <w:rPr>
          <w:sz w:val="22"/>
          <w:szCs w:val="22"/>
        </w:rPr>
        <w:t>Tobrin</w:t>
      </w:r>
      <w:proofErr w:type="spellEnd"/>
      <w:r w:rsidRPr="000276B6">
        <w:rPr>
          <w:sz w:val="22"/>
          <w:szCs w:val="22"/>
        </w:rPr>
        <w:t xml:space="preserve"> yra plataus veikimo spektro vandenyje tirpus </w:t>
      </w:r>
      <w:proofErr w:type="spellStart"/>
      <w:r w:rsidRPr="000276B6">
        <w:rPr>
          <w:sz w:val="22"/>
          <w:szCs w:val="22"/>
        </w:rPr>
        <w:t>aminoglikozidų</w:t>
      </w:r>
      <w:proofErr w:type="spellEnd"/>
      <w:r w:rsidRPr="000276B6">
        <w:rPr>
          <w:sz w:val="22"/>
          <w:szCs w:val="22"/>
        </w:rPr>
        <w:t xml:space="preserve"> grupės antibiotikas. </w:t>
      </w:r>
    </w:p>
    <w:p w:rsidR="00B203DD" w:rsidRPr="000276B6" w:rsidRDefault="00B203DD" w:rsidP="00B203DD">
      <w:pPr>
        <w:rPr>
          <w:sz w:val="22"/>
          <w:szCs w:val="22"/>
        </w:rPr>
      </w:pPr>
      <w:proofErr w:type="spellStart"/>
      <w:r w:rsidRPr="000276B6">
        <w:rPr>
          <w:sz w:val="22"/>
          <w:szCs w:val="22"/>
        </w:rPr>
        <w:t>Tobrin</w:t>
      </w:r>
      <w:proofErr w:type="spellEnd"/>
      <w:r w:rsidRPr="000276B6">
        <w:rPr>
          <w:sz w:val="22"/>
          <w:szCs w:val="22"/>
        </w:rPr>
        <w:t xml:space="preserve"> vartojamas </w:t>
      </w:r>
      <w:proofErr w:type="spellStart"/>
      <w:r w:rsidRPr="000276B6">
        <w:rPr>
          <w:sz w:val="22"/>
          <w:szCs w:val="22"/>
        </w:rPr>
        <w:t>tobramicinui</w:t>
      </w:r>
      <w:proofErr w:type="spellEnd"/>
      <w:r w:rsidRPr="000276B6">
        <w:rPr>
          <w:sz w:val="22"/>
          <w:szCs w:val="22"/>
        </w:rPr>
        <w:t xml:space="preserve"> jautrių bakterijų sukeltų akies paviršinių bakterinių infekcinių ligų (pvz., junginės uždegimo) gydymui suaugusiesiems ir vyresniems kaip 1 metų vaikams.</w:t>
      </w:r>
    </w:p>
    <w:p w:rsidR="00B203DD" w:rsidRPr="000276B6" w:rsidRDefault="00B203DD" w:rsidP="00B203DD">
      <w:pPr>
        <w:pStyle w:val="BTEMEASMCA"/>
      </w:pPr>
    </w:p>
    <w:p w:rsidR="00B203DD" w:rsidRPr="000276B6" w:rsidRDefault="00B203DD" w:rsidP="00B203DD">
      <w:pPr>
        <w:pStyle w:val="PI-1EMEASMCA"/>
      </w:pPr>
      <w:bookmarkStart w:id="4" w:name="_Toc129243140"/>
      <w:bookmarkStart w:id="5" w:name="_Toc129243265"/>
      <w:r w:rsidRPr="000276B6">
        <w:t>2.</w:t>
      </w:r>
      <w:r w:rsidRPr="000276B6">
        <w:tab/>
      </w:r>
      <w:bookmarkEnd w:id="4"/>
      <w:bookmarkEnd w:id="5"/>
      <w:r w:rsidRPr="000276B6">
        <w:t xml:space="preserve">Kas žinotina prieš vartojant </w:t>
      </w:r>
      <w:proofErr w:type="spellStart"/>
      <w:r w:rsidRPr="000276B6">
        <w:t>Tobrin</w:t>
      </w:r>
      <w:proofErr w:type="spellEnd"/>
    </w:p>
    <w:p w:rsidR="00B203DD" w:rsidRPr="000276B6" w:rsidRDefault="00B203DD" w:rsidP="00B203DD">
      <w:pPr>
        <w:pStyle w:val="BTEMEASMCA"/>
      </w:pPr>
    </w:p>
    <w:p w:rsidR="00B203DD" w:rsidRPr="000276B6" w:rsidRDefault="00B203DD" w:rsidP="00B203DD">
      <w:pPr>
        <w:pStyle w:val="PI-3EMEASMCA"/>
      </w:pPr>
      <w:proofErr w:type="spellStart"/>
      <w:r w:rsidRPr="000276B6">
        <w:t>Tobrin</w:t>
      </w:r>
      <w:proofErr w:type="spellEnd"/>
      <w:r w:rsidRPr="000276B6">
        <w:t xml:space="preserve"> vartoti negalima:</w:t>
      </w:r>
    </w:p>
    <w:p w:rsidR="00B203DD" w:rsidRPr="000276B6" w:rsidRDefault="00B203DD" w:rsidP="00B203DD">
      <w:pPr>
        <w:pStyle w:val="BT-EMEASMCA"/>
        <w:tabs>
          <w:tab w:val="clear" w:pos="360"/>
          <w:tab w:val="num" w:pos="720"/>
        </w:tabs>
        <w:ind w:left="720" w:hanging="363"/>
      </w:pPr>
      <w:r w:rsidRPr="00DA6590">
        <w:t>jeigu yra alergija tobramicinui arba bet kuriai pagalbinei šio vaisto medžiagai (jos išvardytos 6 skyriuje);</w:t>
      </w:r>
    </w:p>
    <w:p w:rsidR="00B203DD" w:rsidRPr="00DA6590" w:rsidRDefault="00B203DD" w:rsidP="00B203DD">
      <w:pPr>
        <w:pStyle w:val="BT-EMEASMCA"/>
        <w:tabs>
          <w:tab w:val="clear" w:pos="360"/>
          <w:tab w:val="num" w:pos="720"/>
        </w:tabs>
        <w:ind w:left="720" w:hanging="363"/>
      </w:pPr>
      <w:r w:rsidRPr="00DA6590">
        <w:t>Jeigu yra padidėjęs jautrumas kitiems aminoglikozidams.</w:t>
      </w:r>
    </w:p>
    <w:p w:rsidR="00B203DD" w:rsidRPr="000276B6" w:rsidRDefault="00B203DD" w:rsidP="00B203DD">
      <w:pPr>
        <w:pStyle w:val="BTEMEASMCA"/>
      </w:pPr>
    </w:p>
    <w:p w:rsidR="00B203DD" w:rsidRPr="000276B6" w:rsidRDefault="00B203DD" w:rsidP="00B203DD">
      <w:pPr>
        <w:pStyle w:val="PI-3EMEASMCA"/>
      </w:pPr>
      <w:r w:rsidRPr="000276B6">
        <w:t>Įspėjimai ir atsargumo priemonės</w:t>
      </w:r>
    </w:p>
    <w:p w:rsidR="00B203DD" w:rsidRPr="000276B6" w:rsidRDefault="00B203DD" w:rsidP="00B203DD">
      <w:pPr>
        <w:rPr>
          <w:sz w:val="22"/>
          <w:szCs w:val="22"/>
        </w:rPr>
      </w:pPr>
      <w:r w:rsidRPr="000276B6">
        <w:rPr>
          <w:sz w:val="22"/>
          <w:szCs w:val="22"/>
        </w:rPr>
        <w:t xml:space="preserve">Pasitarkite su gydytoju ar vaistininku, prieš pradėdami vartoti </w:t>
      </w:r>
      <w:proofErr w:type="spellStart"/>
      <w:r w:rsidRPr="000276B6">
        <w:rPr>
          <w:sz w:val="22"/>
          <w:szCs w:val="22"/>
        </w:rPr>
        <w:t>Tobrin</w:t>
      </w:r>
      <w:proofErr w:type="spellEnd"/>
      <w:r w:rsidRPr="000276B6">
        <w:rPr>
          <w:sz w:val="22"/>
          <w:szCs w:val="22"/>
        </w:rPr>
        <w:t>:</w:t>
      </w:r>
    </w:p>
    <w:p w:rsidR="00B203DD" w:rsidRPr="000276B6" w:rsidRDefault="00B203DD" w:rsidP="00B203DD">
      <w:pPr>
        <w:pStyle w:val="BT-EMEASMCA"/>
        <w:numPr>
          <w:ilvl w:val="0"/>
          <w:numId w:val="3"/>
        </w:numPr>
      </w:pPr>
      <w:r w:rsidRPr="000276B6">
        <w:t>jeigu Jūs žindote kūdikį. Labai mažai Tobrin gali patekti į Jūsų pieną, todėl tikimybė, kad jo teks Jūsų kūdikiui, labai maža</w:t>
      </w:r>
      <w:r>
        <w:t>;</w:t>
      </w:r>
    </w:p>
    <w:p w:rsidR="00B203DD" w:rsidRPr="000276B6" w:rsidRDefault="00B203DD" w:rsidP="00B203DD">
      <w:pPr>
        <w:pStyle w:val="BT-EMEASMCA"/>
        <w:numPr>
          <w:ilvl w:val="0"/>
          <w:numId w:val="3"/>
        </w:numPr>
      </w:pPr>
      <w:r>
        <w:t>a</w:t>
      </w:r>
      <w:r w:rsidRPr="000276B6">
        <w:t>tsiradus sunkios reakcijos ar padidėjusio jautrumo požymių (pvz., akies paraudimas, ašarojimas, junginės ir/ar vokų paburkimas, akies ir/ar vokų niežėjimas, bėrimas), liaukitės gydytis šiuo vaistu</w:t>
      </w:r>
      <w:r>
        <w:t>;</w:t>
      </w:r>
    </w:p>
    <w:p w:rsidR="00B203DD" w:rsidRPr="000276B6" w:rsidRDefault="00B203DD" w:rsidP="00B203DD">
      <w:pPr>
        <w:pStyle w:val="BT-EMEASMCA"/>
        <w:numPr>
          <w:ilvl w:val="0"/>
          <w:numId w:val="3"/>
        </w:numPr>
      </w:pPr>
      <w:r w:rsidRPr="000276B6">
        <w:t>kaip ir nuo bet kurio antibiotiko, ilgai vartojant gali prisidauginti atsparių mikroorganizmų, įskaitant grybelius. Vartokite tiksliai kaip paskyrė Jūsų gydytojas</w:t>
      </w:r>
      <w:r>
        <w:t>;</w:t>
      </w:r>
    </w:p>
    <w:p w:rsidR="00B203DD" w:rsidRPr="000276B6" w:rsidRDefault="00B203DD" w:rsidP="00B203DD">
      <w:pPr>
        <w:pStyle w:val="BT-EMEASMCA"/>
        <w:numPr>
          <w:ilvl w:val="0"/>
          <w:numId w:val="3"/>
        </w:numPr>
      </w:pPr>
      <w:r>
        <w:t>j</w:t>
      </w:r>
      <w:r w:rsidRPr="000276B6">
        <w:t>eigu vartojate kitų antibiotikų, įskaitant ir geriamus pasakykite savo gydytojui</w:t>
      </w:r>
      <w:r>
        <w:t>;</w:t>
      </w:r>
    </w:p>
    <w:p w:rsidR="00B203DD" w:rsidRPr="000276B6" w:rsidRDefault="00B203DD" w:rsidP="00B203DD">
      <w:pPr>
        <w:pStyle w:val="BT-EMEASMCA"/>
        <w:numPr>
          <w:ilvl w:val="0"/>
          <w:numId w:val="3"/>
        </w:numPr>
      </w:pPr>
      <w:r w:rsidRPr="000276B6">
        <w:t>jeigu nešiojate kontaktinius lęšius. Prieš vartojimą kontaktinius lęšius reikia išimti (vėl juos galima įdėti ne anksčiau kaip po 15 min).</w:t>
      </w:r>
      <w:r>
        <w:t xml:space="preserve"> </w:t>
      </w:r>
      <w:r w:rsidRPr="000276B6">
        <w:t>Keičia minkštųjų kontaktinių lęšių spalvą</w:t>
      </w:r>
      <w:r>
        <w:t>;</w:t>
      </w:r>
    </w:p>
    <w:p w:rsidR="00B203DD" w:rsidRPr="000276B6" w:rsidRDefault="00B203DD" w:rsidP="00B203DD">
      <w:pPr>
        <w:pStyle w:val="BT-EMEASMCA"/>
        <w:numPr>
          <w:ilvl w:val="0"/>
          <w:numId w:val="3"/>
        </w:numPr>
      </w:pPr>
      <w:r w:rsidRPr="000276B6">
        <w:t>jeigu esate nėščia. Prieš vartodana Tobrin pasitarkite su gydytoju.</w:t>
      </w:r>
    </w:p>
    <w:p w:rsidR="00B203DD" w:rsidRPr="000276B6" w:rsidRDefault="00B203DD" w:rsidP="00B203DD">
      <w:pPr>
        <w:pStyle w:val="BTEMEASMCA"/>
      </w:pPr>
    </w:p>
    <w:p w:rsidR="00B203DD" w:rsidRPr="006C2BCD" w:rsidRDefault="00B203DD" w:rsidP="00B203DD">
      <w:pPr>
        <w:pStyle w:val="BTEMEASMCA"/>
        <w:rPr>
          <w:u w:color="000000" w:themeColor="text1"/>
        </w:rPr>
      </w:pPr>
      <w:r w:rsidRPr="006C2BCD">
        <w:rPr>
          <w:u w:color="000000" w:themeColor="text1"/>
        </w:rPr>
        <w:t>Vaikams ir paaugliams</w:t>
      </w:r>
    </w:p>
    <w:p w:rsidR="00B203DD" w:rsidRPr="00DA6590" w:rsidRDefault="00B203DD" w:rsidP="00B203DD">
      <w:pPr>
        <w:pStyle w:val="BTEMEASMCA"/>
        <w:rPr>
          <w:b/>
        </w:rPr>
      </w:pPr>
      <w:r w:rsidRPr="00DA6590">
        <w:t>Vyresniems kaip 1 metų vaikams Tobrin akių lašus galima vartoti tokiomis pačiomis dozėmis, kaip ir suaugusiesiems. Jaunesniems kaip 1 metų amžiaus vaikams Tobrin vartoti nerekomenduojama, nes duomenų apie saugumą ir veiksmingumą nepakanka.</w:t>
      </w:r>
    </w:p>
    <w:p w:rsidR="00B203DD" w:rsidRPr="000276B6" w:rsidRDefault="00B203DD" w:rsidP="00B203DD">
      <w:pPr>
        <w:pStyle w:val="BTEMEASMCA"/>
      </w:pPr>
    </w:p>
    <w:p w:rsidR="00B203DD" w:rsidRPr="000276B6" w:rsidRDefault="00B203DD" w:rsidP="00B203DD">
      <w:pPr>
        <w:pStyle w:val="PI-3EMEASMCA"/>
      </w:pPr>
      <w:r w:rsidRPr="000276B6">
        <w:t xml:space="preserve">Kiti vaistai ir </w:t>
      </w:r>
      <w:proofErr w:type="spellStart"/>
      <w:r w:rsidRPr="000276B6">
        <w:t>Tobrin</w:t>
      </w:r>
      <w:proofErr w:type="spellEnd"/>
    </w:p>
    <w:p w:rsidR="00B203DD" w:rsidRPr="000276B6" w:rsidRDefault="00B203DD" w:rsidP="00B203DD">
      <w:pPr>
        <w:pStyle w:val="BTEMEASMCA"/>
      </w:pPr>
      <w:r w:rsidRPr="000276B6">
        <w:lastRenderedPageBreak/>
        <w:t>Jeigu vartojate arba neseniai vartojote kitų vaistų, arba dėl to nesate tikri, apie tai pasakykite gydytojui arba vaistininkui.</w:t>
      </w:r>
    </w:p>
    <w:p w:rsidR="00B203DD" w:rsidRPr="000276B6" w:rsidRDefault="00B203DD" w:rsidP="00B203DD">
      <w:pPr>
        <w:pStyle w:val="BTEMEASMCA"/>
      </w:pPr>
    </w:p>
    <w:p w:rsidR="00B203DD" w:rsidRPr="000276B6" w:rsidRDefault="00B203DD" w:rsidP="00B203DD">
      <w:pPr>
        <w:pStyle w:val="BTEMEASMCA"/>
      </w:pPr>
      <w:r w:rsidRPr="000276B6">
        <w:t>Vartojant kartu su kortikosteroidais, gali būti maskuojami infekcinio susirgimo požymiai.</w:t>
      </w:r>
    </w:p>
    <w:p w:rsidR="00B203DD" w:rsidRPr="000276B6" w:rsidRDefault="00B203DD" w:rsidP="00B203DD">
      <w:pPr>
        <w:pStyle w:val="BTEMEASMCA"/>
      </w:pPr>
    </w:p>
    <w:p w:rsidR="00B203DD" w:rsidRPr="000276B6" w:rsidRDefault="00B203DD" w:rsidP="00B203DD">
      <w:pPr>
        <w:pStyle w:val="PI-3EMEASMCA"/>
      </w:pPr>
      <w:r w:rsidRPr="000276B6">
        <w:t>Nėštumas ir žindymo laikotarpis</w:t>
      </w:r>
    </w:p>
    <w:p w:rsidR="00B203DD" w:rsidRPr="000276B6" w:rsidRDefault="00B203DD" w:rsidP="00B203DD">
      <w:pPr>
        <w:rPr>
          <w:sz w:val="22"/>
          <w:szCs w:val="22"/>
        </w:rPr>
      </w:pPr>
      <w:r w:rsidRPr="000276B6">
        <w:rPr>
          <w:sz w:val="22"/>
          <w:szCs w:val="22"/>
        </w:rPr>
        <w:t>Jeigu esate nėščia, žindote kūdikį, manote, kad galbūt esate nėščia arba planuojate pastoti, tai prieš vartodama šį vaistą pasitarkite su gydytoju arba vaistininku.</w:t>
      </w:r>
      <w:r w:rsidRPr="000276B6" w:rsidDel="00670318">
        <w:rPr>
          <w:sz w:val="22"/>
          <w:szCs w:val="22"/>
        </w:rPr>
        <w:t xml:space="preserve"> </w:t>
      </w:r>
    </w:p>
    <w:p w:rsidR="00B203DD" w:rsidRPr="000276B6" w:rsidRDefault="00B203DD" w:rsidP="00B203DD">
      <w:pPr>
        <w:rPr>
          <w:sz w:val="22"/>
          <w:szCs w:val="22"/>
          <w:u w:val="single"/>
        </w:rPr>
      </w:pPr>
    </w:p>
    <w:p w:rsidR="00B203DD" w:rsidRPr="000276B6" w:rsidRDefault="00B203DD" w:rsidP="00B203DD">
      <w:pPr>
        <w:rPr>
          <w:i/>
          <w:iCs/>
          <w:sz w:val="22"/>
          <w:szCs w:val="22"/>
        </w:rPr>
      </w:pPr>
      <w:r w:rsidRPr="000276B6">
        <w:rPr>
          <w:i/>
          <w:iCs/>
          <w:sz w:val="22"/>
          <w:szCs w:val="22"/>
        </w:rPr>
        <w:t>Nėštumas</w:t>
      </w:r>
    </w:p>
    <w:p w:rsidR="00B203DD" w:rsidRPr="000276B6" w:rsidRDefault="00B203DD" w:rsidP="00B203DD">
      <w:pPr>
        <w:rPr>
          <w:sz w:val="22"/>
          <w:szCs w:val="22"/>
        </w:rPr>
      </w:pPr>
      <w:r w:rsidRPr="000276B6">
        <w:rPr>
          <w:sz w:val="22"/>
          <w:szCs w:val="22"/>
        </w:rPr>
        <w:t xml:space="preserve">Didelės bendrosios </w:t>
      </w:r>
      <w:proofErr w:type="spellStart"/>
      <w:r w:rsidRPr="000276B6">
        <w:rPr>
          <w:sz w:val="22"/>
          <w:szCs w:val="22"/>
        </w:rPr>
        <w:t>tobramicino</w:t>
      </w:r>
      <w:proofErr w:type="spellEnd"/>
      <w:r w:rsidRPr="000276B6">
        <w:rPr>
          <w:sz w:val="22"/>
          <w:szCs w:val="22"/>
        </w:rPr>
        <w:t xml:space="preserve"> dozės, daug didesnės už tas, kurios vartojamos akims, sukelia </w:t>
      </w:r>
      <w:proofErr w:type="spellStart"/>
      <w:r w:rsidRPr="000276B6">
        <w:rPr>
          <w:sz w:val="22"/>
          <w:szCs w:val="22"/>
        </w:rPr>
        <w:t>nefrotoksinį</w:t>
      </w:r>
      <w:proofErr w:type="spellEnd"/>
      <w:r w:rsidRPr="000276B6">
        <w:rPr>
          <w:sz w:val="22"/>
          <w:szCs w:val="22"/>
        </w:rPr>
        <w:t xml:space="preserve"> ir </w:t>
      </w:r>
      <w:proofErr w:type="spellStart"/>
      <w:r w:rsidRPr="000276B6">
        <w:rPr>
          <w:sz w:val="22"/>
          <w:szCs w:val="22"/>
        </w:rPr>
        <w:t>ototoksinį</w:t>
      </w:r>
      <w:proofErr w:type="spellEnd"/>
      <w:r w:rsidRPr="000276B6">
        <w:rPr>
          <w:sz w:val="22"/>
          <w:szCs w:val="22"/>
        </w:rPr>
        <w:t xml:space="preserve"> poveikį. Vartojant vaistą į akis, bendrasis jo poveikis turėtų būti mažas, todėl manoma kad pavojus skiriant </w:t>
      </w:r>
      <w:proofErr w:type="spellStart"/>
      <w:r w:rsidRPr="000276B6">
        <w:rPr>
          <w:sz w:val="22"/>
          <w:szCs w:val="22"/>
        </w:rPr>
        <w:t>Tobrin</w:t>
      </w:r>
      <w:proofErr w:type="spellEnd"/>
      <w:r w:rsidRPr="000276B6">
        <w:rPr>
          <w:sz w:val="22"/>
          <w:szCs w:val="22"/>
        </w:rPr>
        <w:t xml:space="preserve"> nėščiosioms irgi nedidelis. Vis dėlto, nėščios moterys turėtų vartoti </w:t>
      </w:r>
      <w:proofErr w:type="spellStart"/>
      <w:r w:rsidRPr="000276B6">
        <w:rPr>
          <w:sz w:val="22"/>
          <w:szCs w:val="22"/>
        </w:rPr>
        <w:t>Tobrin</w:t>
      </w:r>
      <w:proofErr w:type="spellEnd"/>
      <w:r w:rsidRPr="000276B6">
        <w:rPr>
          <w:sz w:val="22"/>
          <w:szCs w:val="22"/>
        </w:rPr>
        <w:t xml:space="preserve"> akių lašus tik jei gydymo svarba didesnė už galimą pavojų vaisiui. </w:t>
      </w:r>
    </w:p>
    <w:p w:rsidR="00B203DD" w:rsidRPr="000276B6" w:rsidRDefault="00B203DD" w:rsidP="00B203DD">
      <w:pPr>
        <w:rPr>
          <w:sz w:val="22"/>
          <w:szCs w:val="22"/>
          <w:u w:val="single"/>
        </w:rPr>
      </w:pPr>
    </w:p>
    <w:p w:rsidR="00B203DD" w:rsidRPr="000276B6" w:rsidRDefault="00B203DD" w:rsidP="00B203DD">
      <w:pPr>
        <w:rPr>
          <w:i/>
          <w:iCs/>
          <w:sz w:val="22"/>
          <w:szCs w:val="22"/>
        </w:rPr>
      </w:pPr>
      <w:r w:rsidRPr="000276B6">
        <w:rPr>
          <w:i/>
          <w:iCs/>
          <w:sz w:val="22"/>
          <w:szCs w:val="22"/>
        </w:rPr>
        <w:t>Žindymas</w:t>
      </w:r>
    </w:p>
    <w:p w:rsidR="00B203DD" w:rsidRPr="000276B6" w:rsidRDefault="00B203DD" w:rsidP="00B203DD">
      <w:pPr>
        <w:rPr>
          <w:sz w:val="22"/>
          <w:szCs w:val="22"/>
        </w:rPr>
      </w:pPr>
      <w:r w:rsidRPr="000276B6">
        <w:rPr>
          <w:sz w:val="22"/>
          <w:szCs w:val="22"/>
        </w:rPr>
        <w:t xml:space="preserve">Lokaliai vartojamo vaisto į organizmą patenka mažai, todėl manoma, kad </w:t>
      </w:r>
      <w:proofErr w:type="spellStart"/>
      <w:r w:rsidRPr="000276B6">
        <w:rPr>
          <w:sz w:val="22"/>
          <w:szCs w:val="22"/>
        </w:rPr>
        <w:t>Tobrin</w:t>
      </w:r>
      <w:proofErr w:type="spellEnd"/>
      <w:r w:rsidRPr="000276B6">
        <w:rPr>
          <w:sz w:val="22"/>
          <w:szCs w:val="22"/>
        </w:rPr>
        <w:t xml:space="preserve"> akių lašų keliamas pavojus yra mažas. Būtina apsvarstyti, ar moters gydymo svarba didesnė už galimą pavojų kūdikiui.</w:t>
      </w:r>
    </w:p>
    <w:p w:rsidR="00B203DD" w:rsidRPr="000276B6" w:rsidRDefault="00B203DD" w:rsidP="00B203DD">
      <w:pPr>
        <w:pStyle w:val="BTEMEASMCA"/>
      </w:pPr>
    </w:p>
    <w:p w:rsidR="00B203DD" w:rsidRPr="000276B6" w:rsidRDefault="00B203DD" w:rsidP="00B203DD">
      <w:pPr>
        <w:pStyle w:val="PI-3EMEASMCA"/>
      </w:pPr>
      <w:r w:rsidRPr="000276B6">
        <w:t>Vairavimas ir mechanizmų valdymas</w:t>
      </w:r>
    </w:p>
    <w:p w:rsidR="00B203DD" w:rsidRPr="000276B6" w:rsidRDefault="00B203DD" w:rsidP="00B203DD">
      <w:pPr>
        <w:rPr>
          <w:sz w:val="22"/>
          <w:szCs w:val="22"/>
        </w:rPr>
      </w:pPr>
      <w:r w:rsidRPr="000276B6">
        <w:rPr>
          <w:sz w:val="22"/>
          <w:szCs w:val="22"/>
        </w:rPr>
        <w:t>Kaip ir nuo bet kokių akių lašų, neryškus matymas arba kitoks regos sutrikimas gali veikti gebėjimą vairuoti ir valdyti mechanizmus. Jei įsilašinus vaisto blogai matote, prieš vairuodamas automobilį ar valdydamas mechanizmus palaukite, kol rega pagerės.</w:t>
      </w:r>
    </w:p>
    <w:p w:rsidR="00B203DD" w:rsidRPr="000276B6" w:rsidRDefault="00B203DD" w:rsidP="00B203DD">
      <w:pPr>
        <w:pStyle w:val="BTEMEASMCA"/>
      </w:pPr>
    </w:p>
    <w:p w:rsidR="00B203DD" w:rsidRPr="000276B6" w:rsidRDefault="00B203DD" w:rsidP="00B203DD">
      <w:pPr>
        <w:pStyle w:val="PI-3EMEASMCA"/>
      </w:pPr>
      <w:proofErr w:type="spellStart"/>
      <w:r w:rsidRPr="000276B6">
        <w:t>Tobrin</w:t>
      </w:r>
      <w:proofErr w:type="spellEnd"/>
      <w:r w:rsidRPr="000276B6">
        <w:t xml:space="preserve"> sudėtyje yra pagalbinės medžiagos </w:t>
      </w:r>
      <w:proofErr w:type="spellStart"/>
      <w:r w:rsidRPr="000276B6">
        <w:t>benzalkonio</w:t>
      </w:r>
      <w:proofErr w:type="spellEnd"/>
      <w:r w:rsidRPr="000276B6">
        <w:t xml:space="preserve"> chlorido</w:t>
      </w:r>
    </w:p>
    <w:p w:rsidR="00B203DD" w:rsidRPr="009C3BA2" w:rsidRDefault="00B203DD" w:rsidP="00B203DD">
      <w:pPr>
        <w:rPr>
          <w:sz w:val="22"/>
          <w:szCs w:val="22"/>
        </w:rPr>
      </w:pPr>
      <w:r>
        <w:rPr>
          <w:sz w:val="22"/>
          <w:szCs w:val="22"/>
        </w:rPr>
        <w:t>K</w:t>
      </w:r>
      <w:r w:rsidRPr="00544A40">
        <w:rPr>
          <w:sz w:val="22"/>
          <w:szCs w:val="22"/>
        </w:rPr>
        <w:t>iekviename šio vaisto akių lašų (tirpalo) ml</w:t>
      </w:r>
      <w:r>
        <w:rPr>
          <w:sz w:val="22"/>
          <w:szCs w:val="22"/>
        </w:rPr>
        <w:t xml:space="preserve"> yra 0,1 mg </w:t>
      </w:r>
      <w:proofErr w:type="spellStart"/>
      <w:r>
        <w:rPr>
          <w:sz w:val="22"/>
          <w:szCs w:val="22"/>
        </w:rPr>
        <w:t>benzalkonio</w:t>
      </w:r>
      <w:proofErr w:type="spellEnd"/>
      <w:r>
        <w:rPr>
          <w:sz w:val="22"/>
          <w:szCs w:val="22"/>
        </w:rPr>
        <w:t xml:space="preserve"> chlorido</w:t>
      </w:r>
      <w:r w:rsidRPr="00544A40">
        <w:rPr>
          <w:sz w:val="22"/>
          <w:szCs w:val="22"/>
        </w:rPr>
        <w:t>.</w:t>
      </w:r>
    </w:p>
    <w:p w:rsidR="00B203DD" w:rsidRPr="009C3BA2" w:rsidRDefault="00B203DD" w:rsidP="00B203DD">
      <w:pPr>
        <w:rPr>
          <w:sz w:val="22"/>
          <w:szCs w:val="22"/>
        </w:rPr>
      </w:pPr>
    </w:p>
    <w:p w:rsidR="00B203DD" w:rsidRDefault="00B203DD" w:rsidP="00B203DD">
      <w:pPr>
        <w:rPr>
          <w:sz w:val="22"/>
          <w:szCs w:val="22"/>
        </w:rPr>
      </w:pPr>
      <w:r w:rsidRPr="009C3BA2">
        <w:rPr>
          <w:sz w:val="22"/>
          <w:szCs w:val="22"/>
        </w:rPr>
        <w:t>Minkštieji kont</w:t>
      </w:r>
      <w:r>
        <w:rPr>
          <w:sz w:val="22"/>
          <w:szCs w:val="22"/>
        </w:rPr>
        <w:t xml:space="preserve">aktiniai lęšiai gali absorbuoti </w:t>
      </w:r>
      <w:proofErr w:type="spellStart"/>
      <w:r w:rsidRPr="009C3BA2">
        <w:rPr>
          <w:sz w:val="22"/>
          <w:szCs w:val="22"/>
        </w:rPr>
        <w:t>benzalkonio</w:t>
      </w:r>
      <w:proofErr w:type="spellEnd"/>
      <w:r w:rsidRPr="009C3BA2">
        <w:rPr>
          <w:sz w:val="22"/>
          <w:szCs w:val="22"/>
        </w:rPr>
        <w:t xml:space="preserve"> chloridą</w:t>
      </w:r>
      <w:r>
        <w:rPr>
          <w:sz w:val="22"/>
          <w:szCs w:val="22"/>
        </w:rPr>
        <w:t xml:space="preserve"> ir gali pasikeisti kontaktinių </w:t>
      </w:r>
      <w:r w:rsidRPr="009C3BA2">
        <w:rPr>
          <w:sz w:val="22"/>
          <w:szCs w:val="22"/>
        </w:rPr>
        <w:t>lęšių spalva. Prieš ši</w:t>
      </w:r>
      <w:r>
        <w:rPr>
          <w:sz w:val="22"/>
          <w:szCs w:val="22"/>
        </w:rPr>
        <w:t xml:space="preserve">o vaisto vartojimą kontaktinius </w:t>
      </w:r>
      <w:r w:rsidRPr="009C3BA2">
        <w:rPr>
          <w:sz w:val="22"/>
          <w:szCs w:val="22"/>
        </w:rPr>
        <w:t>lęšius reikia iši</w:t>
      </w:r>
      <w:r>
        <w:rPr>
          <w:sz w:val="22"/>
          <w:szCs w:val="22"/>
        </w:rPr>
        <w:t xml:space="preserve">mti ir vėl juos galima įdėti ne </w:t>
      </w:r>
      <w:r w:rsidRPr="009C3BA2">
        <w:rPr>
          <w:sz w:val="22"/>
          <w:szCs w:val="22"/>
        </w:rPr>
        <w:t>anksčiau kaip po 15 min.</w:t>
      </w:r>
    </w:p>
    <w:p w:rsidR="00B203DD" w:rsidRPr="009C3BA2" w:rsidRDefault="00B203DD" w:rsidP="00B203DD">
      <w:pPr>
        <w:rPr>
          <w:sz w:val="22"/>
          <w:szCs w:val="22"/>
        </w:rPr>
      </w:pPr>
    </w:p>
    <w:p w:rsidR="00B203DD" w:rsidRPr="000276B6" w:rsidRDefault="00B203DD" w:rsidP="00B203DD">
      <w:pPr>
        <w:rPr>
          <w:sz w:val="22"/>
          <w:szCs w:val="22"/>
        </w:rPr>
      </w:pPr>
      <w:proofErr w:type="spellStart"/>
      <w:r w:rsidRPr="009C3BA2">
        <w:rPr>
          <w:sz w:val="22"/>
          <w:szCs w:val="22"/>
        </w:rPr>
        <w:t>Benzalkonio</w:t>
      </w:r>
      <w:proofErr w:type="spellEnd"/>
      <w:r w:rsidRPr="009C3BA2">
        <w:rPr>
          <w:sz w:val="22"/>
          <w:szCs w:val="22"/>
        </w:rPr>
        <w:t xml:space="preserve"> chloridas</w:t>
      </w:r>
      <w:r>
        <w:rPr>
          <w:sz w:val="22"/>
          <w:szCs w:val="22"/>
        </w:rPr>
        <w:t xml:space="preserve"> gali sudirginti akis, ypač jei </w:t>
      </w:r>
      <w:r w:rsidRPr="009C3BA2">
        <w:rPr>
          <w:sz w:val="22"/>
          <w:szCs w:val="22"/>
        </w:rPr>
        <w:t>Jums yra akių sa</w:t>
      </w:r>
      <w:r>
        <w:rPr>
          <w:sz w:val="22"/>
          <w:szCs w:val="22"/>
        </w:rPr>
        <w:t xml:space="preserve">usmė ar ragenos (akies priekinę </w:t>
      </w:r>
      <w:r w:rsidRPr="009C3BA2">
        <w:rPr>
          <w:sz w:val="22"/>
          <w:szCs w:val="22"/>
        </w:rPr>
        <w:t xml:space="preserve">dalį gaubiančio </w:t>
      </w:r>
      <w:r>
        <w:rPr>
          <w:sz w:val="22"/>
          <w:szCs w:val="22"/>
        </w:rPr>
        <w:t xml:space="preserve">skaidraus sluoksnio) pažeidimų. </w:t>
      </w:r>
      <w:r w:rsidRPr="009C3BA2">
        <w:rPr>
          <w:sz w:val="22"/>
          <w:szCs w:val="22"/>
        </w:rPr>
        <w:t>Jeigu pavartoju</w:t>
      </w:r>
      <w:r>
        <w:rPr>
          <w:sz w:val="22"/>
          <w:szCs w:val="22"/>
        </w:rPr>
        <w:t xml:space="preserve">s šio vaisto jaučiate nenormalų </w:t>
      </w:r>
      <w:r w:rsidRPr="009C3BA2">
        <w:rPr>
          <w:sz w:val="22"/>
          <w:szCs w:val="22"/>
        </w:rPr>
        <w:t>pojūtį akyje, deginimą ar skausmą, pasita</w:t>
      </w:r>
      <w:r>
        <w:rPr>
          <w:sz w:val="22"/>
          <w:szCs w:val="22"/>
        </w:rPr>
        <w:t xml:space="preserve">rkite su </w:t>
      </w:r>
      <w:r w:rsidRPr="009C3BA2">
        <w:rPr>
          <w:sz w:val="22"/>
          <w:szCs w:val="22"/>
        </w:rPr>
        <w:t>gydytoju.</w:t>
      </w:r>
    </w:p>
    <w:p w:rsidR="00B203DD" w:rsidRPr="0046759F" w:rsidRDefault="00B203DD" w:rsidP="00B203DD">
      <w:pPr>
        <w:pStyle w:val="BTEMEASMCA"/>
      </w:pPr>
    </w:p>
    <w:p w:rsidR="00B203DD" w:rsidRPr="000276B6" w:rsidRDefault="00B203DD" w:rsidP="00B203DD">
      <w:pPr>
        <w:pStyle w:val="BTEMEASMCA"/>
      </w:pPr>
    </w:p>
    <w:p w:rsidR="00B203DD" w:rsidRPr="000276B6" w:rsidRDefault="00B203DD" w:rsidP="00B203DD">
      <w:pPr>
        <w:pStyle w:val="PI-1EMEASMCA"/>
      </w:pPr>
      <w:bookmarkStart w:id="6" w:name="_Toc129243141"/>
      <w:bookmarkStart w:id="7" w:name="_Toc129243266"/>
      <w:r w:rsidRPr="000276B6">
        <w:t>3.</w:t>
      </w:r>
      <w:r w:rsidRPr="000276B6">
        <w:tab/>
      </w:r>
      <w:bookmarkEnd w:id="6"/>
      <w:bookmarkEnd w:id="7"/>
      <w:r w:rsidRPr="000276B6">
        <w:t xml:space="preserve">Kaip vartoti </w:t>
      </w:r>
      <w:proofErr w:type="spellStart"/>
      <w:r w:rsidRPr="000276B6">
        <w:t>Tobrin</w:t>
      </w:r>
      <w:proofErr w:type="spellEnd"/>
    </w:p>
    <w:p w:rsidR="00B203DD" w:rsidRPr="000276B6" w:rsidRDefault="00B203DD" w:rsidP="00B203DD">
      <w:pPr>
        <w:pStyle w:val="BTEMEASMCA"/>
      </w:pPr>
    </w:p>
    <w:p w:rsidR="00B203DD" w:rsidRPr="00EA541E" w:rsidRDefault="00B203DD" w:rsidP="00B203DD">
      <w:pPr>
        <w:pStyle w:val="BTEMEASMCA"/>
      </w:pPr>
      <w:r w:rsidRPr="00EA541E">
        <w:t>Visada vartokite šį vaistą tiksliai, kaip nurodė gydytojas. Jeigu abejojate, kreipkitės į gydytoją arba vaistininką.</w:t>
      </w:r>
    </w:p>
    <w:p w:rsidR="00B203DD" w:rsidRPr="000276B6" w:rsidRDefault="00B203DD" w:rsidP="00B203DD">
      <w:pPr>
        <w:pStyle w:val="BTEMEASMCA"/>
      </w:pPr>
    </w:p>
    <w:p w:rsidR="00B203DD" w:rsidRPr="00EA541E" w:rsidRDefault="00B203DD" w:rsidP="00B203DD">
      <w:pPr>
        <w:pStyle w:val="BTEMEASMCA"/>
        <w:rPr>
          <w:u w:color="000000" w:themeColor="text1"/>
        </w:rPr>
      </w:pPr>
      <w:r w:rsidRPr="00EA541E">
        <w:rPr>
          <w:u w:color="000000" w:themeColor="text1"/>
        </w:rPr>
        <w:t>Suaugusieji</w:t>
      </w:r>
    </w:p>
    <w:p w:rsidR="00B203DD" w:rsidRPr="000276B6" w:rsidRDefault="00B203DD" w:rsidP="00B203DD">
      <w:pPr>
        <w:tabs>
          <w:tab w:val="left" w:pos="360"/>
        </w:tabs>
        <w:rPr>
          <w:sz w:val="22"/>
          <w:szCs w:val="22"/>
        </w:rPr>
      </w:pPr>
      <w:proofErr w:type="spellStart"/>
      <w:r w:rsidRPr="000276B6">
        <w:rPr>
          <w:sz w:val="22"/>
          <w:szCs w:val="22"/>
        </w:rPr>
        <w:t>Tobrin</w:t>
      </w:r>
      <w:proofErr w:type="spellEnd"/>
      <w:r w:rsidRPr="000276B6">
        <w:rPr>
          <w:sz w:val="22"/>
          <w:szCs w:val="22"/>
        </w:rPr>
        <w:t xml:space="preserve"> akių lašai dozuojami po vieną lašą du kartus per parą (rytais ir vakarais); Jei infekcijos sukelta liga sunki, pirmąją parą lašinama keturis kartus, kai </w:t>
      </w:r>
      <w:r>
        <w:rPr>
          <w:sz w:val="22"/>
          <w:szCs w:val="22"/>
        </w:rPr>
        <w:t>pacientas</w:t>
      </w:r>
      <w:r w:rsidRPr="000276B6">
        <w:rPr>
          <w:sz w:val="22"/>
          <w:szCs w:val="22"/>
        </w:rPr>
        <w:t xml:space="preserve"> nemiega, paskui – po vieną lašą į abi akis dukart per parą (</w:t>
      </w:r>
      <w:r>
        <w:rPr>
          <w:sz w:val="22"/>
          <w:szCs w:val="22"/>
        </w:rPr>
        <w:t>pacientui</w:t>
      </w:r>
      <w:r w:rsidRPr="000276B6">
        <w:rPr>
          <w:sz w:val="22"/>
          <w:szCs w:val="22"/>
        </w:rPr>
        <w:t xml:space="preserve"> nemiegant), kol bus baigtas visas 7±1 dienos gydymo kursas. Gydymą </w:t>
      </w:r>
      <w:proofErr w:type="spellStart"/>
      <w:r w:rsidRPr="000276B6">
        <w:rPr>
          <w:sz w:val="22"/>
          <w:szCs w:val="22"/>
        </w:rPr>
        <w:t>Tobrinu</w:t>
      </w:r>
      <w:proofErr w:type="spellEnd"/>
      <w:r w:rsidRPr="000276B6">
        <w:rPr>
          <w:sz w:val="22"/>
          <w:szCs w:val="22"/>
        </w:rPr>
        <w:t xml:space="preserve"> reikėtų tęsti dar 48-72 valandas po to kai išnyksta klinikiniai ligos požymiai. </w:t>
      </w:r>
    </w:p>
    <w:p w:rsidR="00B203DD" w:rsidRPr="000276B6" w:rsidRDefault="00B203DD" w:rsidP="00B203DD">
      <w:pPr>
        <w:tabs>
          <w:tab w:val="left" w:pos="360"/>
        </w:tabs>
        <w:rPr>
          <w:sz w:val="22"/>
          <w:szCs w:val="22"/>
        </w:rPr>
      </w:pPr>
      <w:r w:rsidRPr="000276B6">
        <w:rPr>
          <w:sz w:val="22"/>
          <w:szCs w:val="22"/>
        </w:rPr>
        <w:t>Maksimalią gydymo trukmę ir dozę nustato gydytojas.</w:t>
      </w:r>
    </w:p>
    <w:p w:rsidR="00B203DD" w:rsidRPr="000276B6" w:rsidRDefault="00B203DD" w:rsidP="00B203DD">
      <w:pPr>
        <w:rPr>
          <w:sz w:val="22"/>
          <w:szCs w:val="22"/>
        </w:rPr>
      </w:pPr>
    </w:p>
    <w:p w:rsidR="00B203DD" w:rsidRPr="000276B6" w:rsidRDefault="00B203DD" w:rsidP="00B203DD">
      <w:pPr>
        <w:rPr>
          <w:sz w:val="22"/>
          <w:szCs w:val="22"/>
        </w:rPr>
      </w:pPr>
      <w:r w:rsidRPr="000276B6">
        <w:rPr>
          <w:sz w:val="22"/>
          <w:szCs w:val="22"/>
        </w:rPr>
        <w:t xml:space="preserve">Kad lašintuvo galas ir tirpalas neužsiterštų, reikia stengtis lašintuvo viršūnėle neliesti vokų, aplinkinių ar kitų paviršių. Vaisto nevartojant </w:t>
      </w:r>
      <w:proofErr w:type="spellStart"/>
      <w:r w:rsidRPr="000276B6">
        <w:rPr>
          <w:sz w:val="22"/>
          <w:szCs w:val="22"/>
        </w:rPr>
        <w:t>talpyklę</w:t>
      </w:r>
      <w:proofErr w:type="spellEnd"/>
      <w:r w:rsidRPr="000276B6">
        <w:rPr>
          <w:sz w:val="22"/>
          <w:szCs w:val="22"/>
        </w:rPr>
        <w:t xml:space="preserve"> laikyti sandariai užsuktą.</w:t>
      </w:r>
    </w:p>
    <w:p w:rsidR="00B203DD" w:rsidRPr="000276B6" w:rsidRDefault="00B203DD" w:rsidP="00B203DD">
      <w:pPr>
        <w:rPr>
          <w:sz w:val="22"/>
          <w:szCs w:val="22"/>
        </w:rPr>
      </w:pPr>
    </w:p>
    <w:p w:rsidR="00B203DD" w:rsidRPr="000276B6" w:rsidRDefault="00B203DD" w:rsidP="00B203DD">
      <w:pPr>
        <w:rPr>
          <w:sz w:val="22"/>
          <w:szCs w:val="22"/>
        </w:rPr>
      </w:pPr>
      <w:r w:rsidRPr="000276B6">
        <w:rPr>
          <w:sz w:val="22"/>
          <w:szCs w:val="22"/>
        </w:rPr>
        <w:t>Jei kartu vartojami kiti lokaliai vartojami akių vaistai, tarp vienų ir kitų reikia daryti 5</w:t>
      </w:r>
      <w:r w:rsidRPr="000276B6">
        <w:rPr>
          <w:sz w:val="22"/>
          <w:szCs w:val="22"/>
        </w:rPr>
        <w:noBreakHyphen/>
        <w:t>10 minučių pertrauką.</w:t>
      </w:r>
    </w:p>
    <w:p w:rsidR="00B203DD" w:rsidRPr="000276B6" w:rsidRDefault="00B203DD" w:rsidP="00B203DD">
      <w:pPr>
        <w:rPr>
          <w:sz w:val="22"/>
          <w:szCs w:val="22"/>
        </w:rPr>
      </w:pPr>
    </w:p>
    <w:p w:rsidR="00B203DD" w:rsidRPr="000276B6" w:rsidRDefault="00B203DD" w:rsidP="00B203DD">
      <w:pPr>
        <w:rPr>
          <w:sz w:val="22"/>
          <w:szCs w:val="22"/>
        </w:rPr>
      </w:pPr>
      <w:r w:rsidRPr="000276B6">
        <w:rPr>
          <w:sz w:val="22"/>
          <w:szCs w:val="22"/>
          <w:u w:val="single"/>
        </w:rPr>
        <w:t>Senyvi pacientai</w:t>
      </w:r>
    </w:p>
    <w:p w:rsidR="00B203DD" w:rsidRPr="000276B6" w:rsidRDefault="00B203DD" w:rsidP="00B203DD">
      <w:pPr>
        <w:rPr>
          <w:sz w:val="22"/>
          <w:szCs w:val="22"/>
        </w:rPr>
      </w:pPr>
      <w:r w:rsidRPr="000276B6">
        <w:rPr>
          <w:sz w:val="22"/>
          <w:szCs w:val="22"/>
        </w:rPr>
        <w:t>Senyviems žmonėms dozės keisti nereikia.</w:t>
      </w:r>
    </w:p>
    <w:p w:rsidR="00B203DD" w:rsidRPr="000276B6" w:rsidRDefault="00B203DD" w:rsidP="00B203DD">
      <w:pPr>
        <w:rPr>
          <w:sz w:val="22"/>
          <w:szCs w:val="22"/>
        </w:rPr>
      </w:pPr>
    </w:p>
    <w:p w:rsidR="00B203DD" w:rsidRPr="000276B6" w:rsidRDefault="00B203DD" w:rsidP="00B203DD">
      <w:pPr>
        <w:rPr>
          <w:sz w:val="22"/>
          <w:szCs w:val="22"/>
        </w:rPr>
      </w:pPr>
      <w:r w:rsidRPr="000276B6">
        <w:rPr>
          <w:sz w:val="22"/>
          <w:szCs w:val="22"/>
          <w:u w:val="single"/>
        </w:rPr>
        <w:lastRenderedPageBreak/>
        <w:t>Vyresni kaip 1 metų vaikai ir paaugliai</w:t>
      </w:r>
    </w:p>
    <w:p w:rsidR="00B203DD" w:rsidRPr="000276B6" w:rsidRDefault="00B203DD" w:rsidP="00B203DD">
      <w:pPr>
        <w:rPr>
          <w:sz w:val="22"/>
          <w:szCs w:val="22"/>
        </w:rPr>
      </w:pPr>
      <w:r w:rsidRPr="000276B6">
        <w:rPr>
          <w:sz w:val="22"/>
          <w:szCs w:val="22"/>
        </w:rPr>
        <w:t xml:space="preserve">Vyresniems kaip 1 metų vaikams </w:t>
      </w:r>
      <w:proofErr w:type="spellStart"/>
      <w:r w:rsidRPr="000276B6">
        <w:rPr>
          <w:sz w:val="22"/>
          <w:szCs w:val="22"/>
        </w:rPr>
        <w:t>Tobrin</w:t>
      </w:r>
      <w:proofErr w:type="spellEnd"/>
      <w:r w:rsidRPr="000276B6">
        <w:rPr>
          <w:sz w:val="22"/>
          <w:szCs w:val="22"/>
        </w:rPr>
        <w:t xml:space="preserve"> akių lašus galima vartoti tokiomis pačiomis dozėmis, kaip ir suaugusiesiems.</w:t>
      </w:r>
    </w:p>
    <w:p w:rsidR="00B203DD" w:rsidRPr="000276B6" w:rsidRDefault="00B203DD" w:rsidP="00B203DD">
      <w:pPr>
        <w:rPr>
          <w:sz w:val="22"/>
          <w:szCs w:val="22"/>
        </w:rPr>
      </w:pPr>
    </w:p>
    <w:p w:rsidR="00B203DD" w:rsidRPr="000276B6" w:rsidRDefault="00B203DD" w:rsidP="00B203DD">
      <w:pPr>
        <w:rPr>
          <w:sz w:val="22"/>
          <w:szCs w:val="22"/>
        </w:rPr>
      </w:pPr>
      <w:r w:rsidRPr="000276B6">
        <w:rPr>
          <w:sz w:val="22"/>
          <w:szCs w:val="22"/>
          <w:u w:val="single"/>
        </w:rPr>
        <w:t>Kepenų ir inkstų nepakankamumas</w:t>
      </w:r>
    </w:p>
    <w:p w:rsidR="00B203DD" w:rsidRPr="000276B6" w:rsidRDefault="00B203DD" w:rsidP="00B203DD">
      <w:pPr>
        <w:pStyle w:val="BTEMEASMCA"/>
      </w:pPr>
      <w:r w:rsidRPr="000276B6">
        <w:t>Akims vartojamo tobramicino į visą organizmą patenka labai mažai. Jei tuo pačiu metu gydoma bendrojo poveikio aminoglikozidų grupės antibiotikais, reikėtų matuoti bendrąją jų koncentraciją serume, kad būtų galima palaikyti tinkamą gydomąją koncentraciją.</w:t>
      </w:r>
    </w:p>
    <w:p w:rsidR="00B203DD" w:rsidRPr="000276B6" w:rsidRDefault="00B203DD" w:rsidP="00B203DD">
      <w:pPr>
        <w:jc w:val="both"/>
        <w:rPr>
          <w:i/>
          <w:sz w:val="22"/>
          <w:szCs w:val="22"/>
        </w:rPr>
      </w:pPr>
    </w:p>
    <w:p w:rsidR="00B203DD" w:rsidRPr="000276B6" w:rsidRDefault="00B203DD" w:rsidP="00B203DD">
      <w:pPr>
        <w:jc w:val="both"/>
        <w:rPr>
          <w:sz w:val="22"/>
          <w:szCs w:val="22"/>
        </w:rPr>
      </w:pPr>
      <w:r w:rsidRPr="000276B6">
        <w:rPr>
          <w:i/>
          <w:sz w:val="22"/>
          <w:szCs w:val="22"/>
        </w:rPr>
        <w:t>Akių lašų vartojimo instrukcija</w:t>
      </w:r>
    </w:p>
    <w:p w:rsidR="00B203DD" w:rsidRPr="000276B6" w:rsidRDefault="00B203DD" w:rsidP="00B203DD">
      <w:pPr>
        <w:numPr>
          <w:ilvl w:val="0"/>
          <w:numId w:val="4"/>
        </w:numPr>
        <w:tabs>
          <w:tab w:val="left" w:pos="360"/>
        </w:tabs>
        <w:jc w:val="both"/>
        <w:rPr>
          <w:sz w:val="22"/>
          <w:szCs w:val="22"/>
        </w:rPr>
      </w:pPr>
      <w:r w:rsidRPr="000276B6">
        <w:rPr>
          <w:sz w:val="22"/>
          <w:szCs w:val="22"/>
        </w:rPr>
        <w:t>Atlošti galvą.</w:t>
      </w:r>
    </w:p>
    <w:p w:rsidR="00B203DD" w:rsidRPr="000276B6" w:rsidRDefault="00B203DD" w:rsidP="00B203DD">
      <w:pPr>
        <w:numPr>
          <w:ilvl w:val="0"/>
          <w:numId w:val="4"/>
        </w:numPr>
        <w:tabs>
          <w:tab w:val="left" w:pos="360"/>
        </w:tabs>
        <w:jc w:val="both"/>
        <w:rPr>
          <w:sz w:val="22"/>
          <w:szCs w:val="22"/>
        </w:rPr>
      </w:pPr>
      <w:r w:rsidRPr="000276B6">
        <w:rPr>
          <w:sz w:val="22"/>
          <w:szCs w:val="22"/>
        </w:rPr>
        <w:t>Pirštą dėti tiksliai po akimi ir atsargiai patraukti žemyn apatinį voką.</w:t>
      </w:r>
    </w:p>
    <w:p w:rsidR="00B203DD" w:rsidRPr="000276B6" w:rsidRDefault="00B203DD" w:rsidP="00B203DD">
      <w:pPr>
        <w:numPr>
          <w:ilvl w:val="0"/>
          <w:numId w:val="4"/>
        </w:numPr>
        <w:tabs>
          <w:tab w:val="left" w:pos="360"/>
        </w:tabs>
        <w:rPr>
          <w:sz w:val="22"/>
          <w:szCs w:val="22"/>
        </w:rPr>
      </w:pPr>
      <w:r w:rsidRPr="000276B6">
        <w:rPr>
          <w:sz w:val="22"/>
          <w:szCs w:val="22"/>
        </w:rPr>
        <w:t xml:space="preserve">Į atsiradusį maišelį lašinti </w:t>
      </w:r>
      <w:proofErr w:type="spellStart"/>
      <w:r w:rsidRPr="000276B6">
        <w:rPr>
          <w:sz w:val="22"/>
          <w:szCs w:val="22"/>
        </w:rPr>
        <w:t>Tobrin</w:t>
      </w:r>
      <w:proofErr w:type="spellEnd"/>
      <w:r w:rsidRPr="000276B6">
        <w:rPr>
          <w:sz w:val="22"/>
          <w:szCs w:val="22"/>
        </w:rPr>
        <w:t>. Akies flakono lašintuvo viršūne liesti negalima.</w:t>
      </w:r>
    </w:p>
    <w:p w:rsidR="00B203DD" w:rsidRPr="000276B6" w:rsidRDefault="00B203DD" w:rsidP="00B203DD">
      <w:pPr>
        <w:numPr>
          <w:ilvl w:val="0"/>
          <w:numId w:val="4"/>
        </w:numPr>
        <w:tabs>
          <w:tab w:val="left" w:pos="360"/>
        </w:tabs>
        <w:rPr>
          <w:sz w:val="22"/>
          <w:szCs w:val="22"/>
        </w:rPr>
      </w:pPr>
      <w:r w:rsidRPr="000276B6">
        <w:rPr>
          <w:sz w:val="22"/>
          <w:szCs w:val="22"/>
        </w:rPr>
        <w:t xml:space="preserve"> Žvilgsnį nukreipti žemyn, po to užmerkti akį. Apie 2 minutes pabūti užsimerkus, pirštais užspaudus ašarų kanalus.</w:t>
      </w:r>
    </w:p>
    <w:p w:rsidR="00B203DD" w:rsidRPr="000276B6" w:rsidRDefault="00B203DD" w:rsidP="00B203DD">
      <w:pPr>
        <w:tabs>
          <w:tab w:val="left" w:pos="360"/>
        </w:tabs>
        <w:jc w:val="both"/>
        <w:rPr>
          <w:sz w:val="22"/>
          <w:szCs w:val="22"/>
        </w:rPr>
      </w:pPr>
    </w:p>
    <w:p w:rsidR="00B203DD" w:rsidRPr="000276B6" w:rsidRDefault="00B203DD" w:rsidP="00B203DD">
      <w:pPr>
        <w:tabs>
          <w:tab w:val="left" w:pos="360"/>
        </w:tabs>
        <w:jc w:val="both"/>
        <w:rPr>
          <w:sz w:val="22"/>
          <w:szCs w:val="22"/>
        </w:rPr>
      </w:pPr>
      <w:r w:rsidRPr="000276B6">
        <w:rPr>
          <w:sz w:val="22"/>
          <w:szCs w:val="22"/>
        </w:rPr>
        <w:t>Nelieskite lašintuvo viršūnėlės.</w:t>
      </w:r>
    </w:p>
    <w:p w:rsidR="00B203DD" w:rsidRPr="000276B6" w:rsidRDefault="00B203DD" w:rsidP="00B203DD">
      <w:pPr>
        <w:pStyle w:val="BTEMEASMCA"/>
      </w:pPr>
    </w:p>
    <w:p w:rsidR="00B203DD" w:rsidRPr="000276B6" w:rsidRDefault="00B203DD" w:rsidP="00B203DD">
      <w:pPr>
        <w:pStyle w:val="PI-3EMEASMCA"/>
      </w:pPr>
      <w:r w:rsidRPr="000276B6">
        <w:t xml:space="preserve">Ką daryti pavartojus per didelę </w:t>
      </w:r>
      <w:proofErr w:type="spellStart"/>
      <w:r w:rsidRPr="000276B6">
        <w:t>Tobrin</w:t>
      </w:r>
      <w:proofErr w:type="spellEnd"/>
      <w:r w:rsidRPr="000276B6">
        <w:t xml:space="preserve"> dozę?</w:t>
      </w:r>
    </w:p>
    <w:p w:rsidR="00B203DD" w:rsidRPr="000276B6" w:rsidRDefault="00B203DD" w:rsidP="00B203DD">
      <w:pPr>
        <w:rPr>
          <w:sz w:val="22"/>
          <w:szCs w:val="22"/>
        </w:rPr>
      </w:pPr>
      <w:r w:rsidRPr="000276B6">
        <w:rPr>
          <w:sz w:val="22"/>
          <w:szCs w:val="22"/>
        </w:rPr>
        <w:t xml:space="preserve">Jei griežtai laikomasi vaistinio preparato vartojimo instrukcijų, perdozavimas neįmanomas. Išgertas </w:t>
      </w:r>
      <w:proofErr w:type="spellStart"/>
      <w:r w:rsidRPr="000276B6">
        <w:rPr>
          <w:sz w:val="22"/>
          <w:szCs w:val="22"/>
        </w:rPr>
        <w:t>tobramicinas</w:t>
      </w:r>
      <w:proofErr w:type="spellEnd"/>
      <w:r w:rsidRPr="000276B6">
        <w:rPr>
          <w:sz w:val="22"/>
          <w:szCs w:val="22"/>
        </w:rPr>
        <w:t xml:space="preserve"> beveik neabsorbuojamas.</w:t>
      </w:r>
    </w:p>
    <w:p w:rsidR="00B203DD" w:rsidRPr="000276B6" w:rsidRDefault="00B203DD" w:rsidP="00B203DD">
      <w:pPr>
        <w:pStyle w:val="BTEMEASMCA"/>
      </w:pPr>
    </w:p>
    <w:p w:rsidR="00B203DD" w:rsidRPr="000276B6" w:rsidRDefault="00B203DD" w:rsidP="00B203DD">
      <w:pPr>
        <w:pStyle w:val="BTEMEASMCA"/>
      </w:pPr>
      <w:r w:rsidRPr="000276B6">
        <w:t xml:space="preserve">Tobrin perdozavimo simptomai gali būti panašūs į </w:t>
      </w:r>
      <w:r>
        <w:t>šalutinį</w:t>
      </w:r>
      <w:r w:rsidRPr="000276B6">
        <w:t xml:space="preserve"> poveikį: atsiranda paraudimas, padidėja ašarojimas, patinsta ir niežti vokai, pasireiškia taškinis keratitas. Perdozavus vaisto perteklių kruopščiai nuskalaukite dideliu švaraus vandens kiekiu.</w:t>
      </w:r>
    </w:p>
    <w:p w:rsidR="00B203DD" w:rsidRPr="000276B6" w:rsidRDefault="00B203DD" w:rsidP="00B203DD">
      <w:pPr>
        <w:rPr>
          <w:sz w:val="22"/>
          <w:szCs w:val="22"/>
        </w:rPr>
      </w:pPr>
    </w:p>
    <w:p w:rsidR="00B203DD" w:rsidRPr="000276B6" w:rsidRDefault="00B203DD" w:rsidP="00B203DD">
      <w:pPr>
        <w:pStyle w:val="PI-3EMEASMCA"/>
      </w:pPr>
      <w:r w:rsidRPr="000276B6">
        <w:t xml:space="preserve">Pamiršus pavartoti </w:t>
      </w:r>
      <w:proofErr w:type="spellStart"/>
      <w:r w:rsidRPr="000276B6">
        <w:t>Tobrin</w:t>
      </w:r>
      <w:proofErr w:type="spellEnd"/>
    </w:p>
    <w:p w:rsidR="00B203DD" w:rsidRPr="000276B6" w:rsidRDefault="00B203DD" w:rsidP="00B203DD">
      <w:pPr>
        <w:pStyle w:val="BTEMEASMCA"/>
      </w:pPr>
      <w:r w:rsidRPr="000276B6">
        <w:t>Praleidus dozę, ją reikia įlašinti kiek galima greičiau ir toliau vaisto vartoti taip, kaip paskirta. Negalima vartoti dvigubos dozės norint kompensuoti praleistą dozę.</w:t>
      </w:r>
    </w:p>
    <w:p w:rsidR="00B203DD" w:rsidRPr="000276B6" w:rsidRDefault="00B203DD" w:rsidP="00B203DD">
      <w:pPr>
        <w:pStyle w:val="BTEMEASMCA"/>
      </w:pPr>
    </w:p>
    <w:p w:rsidR="00B203DD" w:rsidRPr="004015A9" w:rsidRDefault="00B203DD" w:rsidP="00B203DD">
      <w:pPr>
        <w:pStyle w:val="BTEMEASMCA"/>
      </w:pPr>
      <w:r w:rsidRPr="004015A9">
        <w:t>Nustojus vartoti Tobrin</w:t>
      </w:r>
    </w:p>
    <w:p w:rsidR="00B203DD" w:rsidRPr="000276B6" w:rsidRDefault="00B203DD" w:rsidP="00B203DD">
      <w:pPr>
        <w:pStyle w:val="BTEMEASMCA"/>
      </w:pPr>
      <w:r w:rsidRPr="000276B6">
        <w:t>Jeigu kiltų daugiau klausimų dėl šio vaisto vartojimo, kreipkitės į gydytoją arba vaistininką.</w:t>
      </w:r>
    </w:p>
    <w:p w:rsidR="00B203DD" w:rsidRPr="000276B6" w:rsidRDefault="00B203DD" w:rsidP="00B203DD">
      <w:pPr>
        <w:pStyle w:val="BTEMEASMCA"/>
      </w:pPr>
    </w:p>
    <w:p w:rsidR="00B203DD" w:rsidRPr="000276B6" w:rsidRDefault="00B203DD" w:rsidP="00B203DD">
      <w:pPr>
        <w:pStyle w:val="BTEMEASMCA"/>
      </w:pPr>
    </w:p>
    <w:p w:rsidR="00B203DD" w:rsidRPr="000276B6" w:rsidRDefault="00B203DD" w:rsidP="00B203DD">
      <w:pPr>
        <w:pStyle w:val="PI-1EMEASMCA"/>
      </w:pPr>
      <w:bookmarkStart w:id="8" w:name="_Toc129243142"/>
      <w:bookmarkStart w:id="9" w:name="_Toc129243267"/>
      <w:r w:rsidRPr="000276B6">
        <w:t>4.</w:t>
      </w:r>
      <w:r w:rsidRPr="000276B6">
        <w:tab/>
      </w:r>
      <w:bookmarkEnd w:id="8"/>
      <w:bookmarkEnd w:id="9"/>
      <w:r w:rsidRPr="000276B6">
        <w:t>Galimas šalutinis poveikis</w:t>
      </w:r>
    </w:p>
    <w:p w:rsidR="00B203DD" w:rsidRPr="000276B6" w:rsidRDefault="00B203DD" w:rsidP="00B203DD">
      <w:pPr>
        <w:pStyle w:val="BTEMEASMCA"/>
      </w:pPr>
    </w:p>
    <w:p w:rsidR="00B203DD" w:rsidRPr="000276B6" w:rsidRDefault="00B203DD" w:rsidP="00B203DD">
      <w:pPr>
        <w:pStyle w:val="BTEMEASMCA"/>
      </w:pPr>
      <w:r w:rsidRPr="000276B6">
        <w:t>Šis vaistas, kaip ir visi kiti vaistai, gali sukelti šalutinį poveikį, nors jis pasireiškia ne visiems žmonėms.</w:t>
      </w:r>
    </w:p>
    <w:p w:rsidR="00B203DD" w:rsidRPr="000276B6" w:rsidRDefault="00B203DD" w:rsidP="00B203DD">
      <w:pPr>
        <w:rPr>
          <w:sz w:val="22"/>
          <w:szCs w:val="22"/>
        </w:rPr>
      </w:pPr>
    </w:p>
    <w:p w:rsidR="00B203DD" w:rsidRPr="000276B6" w:rsidRDefault="00B203DD" w:rsidP="00B203DD">
      <w:pPr>
        <w:rPr>
          <w:sz w:val="22"/>
          <w:szCs w:val="22"/>
        </w:rPr>
      </w:pPr>
      <w:r>
        <w:rPr>
          <w:sz w:val="22"/>
          <w:szCs w:val="22"/>
        </w:rPr>
        <w:t>Šalutinių</w:t>
      </w:r>
      <w:r w:rsidRPr="000276B6">
        <w:rPr>
          <w:sz w:val="22"/>
          <w:szCs w:val="22"/>
        </w:rPr>
        <w:t xml:space="preserve"> poveikių dažnis klasifikuojamas taip: labai dažnas (≥1/10), dažnas (nuo ≥1/100 iki &lt;1/10), nedažnas (nuo ≥1/1 000 iki &lt;1/100), retas (nuo ≥1/10 000 iki &lt;1/1 000), labai retas (&lt;1/10 000) ir nežinomas (negali būti apskaičiuotas pagal turimus duomenis). Kiekvienoje grupėje </w:t>
      </w:r>
      <w:r>
        <w:rPr>
          <w:sz w:val="22"/>
          <w:szCs w:val="22"/>
        </w:rPr>
        <w:t>šalutiniai</w:t>
      </w:r>
      <w:r w:rsidRPr="000276B6">
        <w:rPr>
          <w:sz w:val="22"/>
          <w:szCs w:val="22"/>
        </w:rPr>
        <w:t xml:space="preserve"> poveikiai pateikti pagal jų sunkumo pobūdį.</w:t>
      </w:r>
    </w:p>
    <w:p w:rsidR="00B203DD" w:rsidRPr="000276B6" w:rsidRDefault="00B203DD" w:rsidP="00B203DD">
      <w:pPr>
        <w:pStyle w:val="BTEMEASMCA"/>
      </w:pPr>
    </w:p>
    <w:p w:rsidR="00B203DD" w:rsidRPr="000276B6" w:rsidRDefault="00B203DD" w:rsidP="00B203DD">
      <w:pPr>
        <w:rPr>
          <w:sz w:val="22"/>
          <w:szCs w:val="22"/>
          <w:u w:val="single"/>
        </w:rPr>
      </w:pPr>
      <w:r w:rsidRPr="000276B6">
        <w:rPr>
          <w:sz w:val="22"/>
          <w:szCs w:val="22"/>
          <w:u w:val="single"/>
        </w:rPr>
        <w:t>Akių sutrikimai</w:t>
      </w:r>
    </w:p>
    <w:p w:rsidR="00B203DD" w:rsidRPr="000276B6" w:rsidRDefault="00B203DD" w:rsidP="00B203DD">
      <w:pPr>
        <w:rPr>
          <w:sz w:val="22"/>
          <w:szCs w:val="22"/>
        </w:rPr>
      </w:pPr>
      <w:r w:rsidRPr="000276B6">
        <w:rPr>
          <w:i/>
          <w:sz w:val="22"/>
          <w:szCs w:val="22"/>
        </w:rPr>
        <w:t>Dažni</w:t>
      </w:r>
      <w:r w:rsidRPr="000276B6">
        <w:rPr>
          <w:sz w:val="22"/>
          <w:szCs w:val="22"/>
        </w:rPr>
        <w:t xml:space="preserve">: </w:t>
      </w:r>
      <w:r w:rsidRPr="000276B6">
        <w:rPr>
          <w:sz w:val="22"/>
          <w:szCs w:val="22"/>
        </w:rPr>
        <w:tab/>
        <w:t>akių niežėjimas, akių paraudimas, ašarojimas.</w:t>
      </w:r>
    </w:p>
    <w:p w:rsidR="00B203DD" w:rsidRPr="000276B6" w:rsidRDefault="00B203DD" w:rsidP="00B203DD">
      <w:pPr>
        <w:rPr>
          <w:sz w:val="22"/>
          <w:szCs w:val="22"/>
        </w:rPr>
      </w:pPr>
      <w:proofErr w:type="spellStart"/>
      <w:r w:rsidRPr="000276B6">
        <w:rPr>
          <w:i/>
          <w:sz w:val="22"/>
          <w:szCs w:val="22"/>
        </w:rPr>
        <w:t>Reti</w:t>
      </w:r>
      <w:r w:rsidRPr="000276B6">
        <w:rPr>
          <w:sz w:val="22"/>
          <w:szCs w:val="22"/>
        </w:rPr>
        <w:t>:akių</w:t>
      </w:r>
      <w:proofErr w:type="spellEnd"/>
      <w:r w:rsidRPr="000276B6">
        <w:rPr>
          <w:sz w:val="22"/>
          <w:szCs w:val="22"/>
        </w:rPr>
        <w:t xml:space="preserve"> alerginė reakcija, akių išskyros, akių diskomfortas, junginės paburkimas, akių vokų paburkimas, akių vokų pažeidimas, akių vokų paraudimas, ragenos </w:t>
      </w:r>
      <w:proofErr w:type="spellStart"/>
      <w:r w:rsidRPr="000276B6">
        <w:rPr>
          <w:sz w:val="22"/>
          <w:szCs w:val="22"/>
        </w:rPr>
        <w:t>epitelizacijos</w:t>
      </w:r>
      <w:proofErr w:type="spellEnd"/>
      <w:r w:rsidRPr="000276B6">
        <w:rPr>
          <w:sz w:val="22"/>
          <w:szCs w:val="22"/>
        </w:rPr>
        <w:t xml:space="preserve"> sulėtėjimas, taškinės ragenos opos, ragenos išopėjimas, junginės irimas.</w:t>
      </w:r>
    </w:p>
    <w:p w:rsidR="00B203DD" w:rsidRPr="000276B6" w:rsidRDefault="00B203DD" w:rsidP="00B203DD">
      <w:pPr>
        <w:pStyle w:val="BTEMEASMCA"/>
      </w:pPr>
    </w:p>
    <w:p w:rsidR="00B203DD" w:rsidRPr="000276B6" w:rsidRDefault="00B203DD" w:rsidP="00B203DD">
      <w:pPr>
        <w:pStyle w:val="BTEMEASMCA"/>
      </w:pPr>
      <w:r w:rsidRPr="000276B6">
        <w:t>Labai retais atvejais gydymo metu pacientams su pažeista skaidria akies priekį dengiančia plėvele (ragena), joje dėl kalcio sankaupų atsirado drumstos dėmės.</w:t>
      </w:r>
    </w:p>
    <w:p w:rsidR="00B203DD" w:rsidRPr="000276B6" w:rsidRDefault="00B203DD" w:rsidP="00B203DD">
      <w:pPr>
        <w:pStyle w:val="BTEMEASMCA"/>
      </w:pPr>
    </w:p>
    <w:p w:rsidR="00B203DD" w:rsidRPr="000276B6" w:rsidRDefault="00B203DD" w:rsidP="00B203DD">
      <w:pPr>
        <w:rPr>
          <w:b/>
          <w:sz w:val="22"/>
          <w:szCs w:val="22"/>
        </w:rPr>
      </w:pPr>
      <w:r w:rsidRPr="000276B6">
        <w:rPr>
          <w:b/>
          <w:noProof/>
          <w:sz w:val="22"/>
          <w:szCs w:val="22"/>
        </w:rPr>
        <w:t>Pranešimas apie šalutinį poveikį</w:t>
      </w:r>
    </w:p>
    <w:p w:rsidR="00B203DD" w:rsidRDefault="00B203DD" w:rsidP="00B203DD">
      <w:pPr>
        <w:pStyle w:val="BTEMEASMCA"/>
      </w:pPr>
      <w:r w:rsidRPr="00EA541E">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w:t>
      </w:r>
      <w:r w:rsidRPr="00EA541E">
        <w:lastRenderedPageBreak/>
        <w:t>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B203DD" w:rsidRPr="000276B6" w:rsidRDefault="00B203DD" w:rsidP="00B203DD">
      <w:pPr>
        <w:pStyle w:val="BTEMEASMCA"/>
      </w:pPr>
    </w:p>
    <w:p w:rsidR="00B203DD" w:rsidRPr="000276B6" w:rsidRDefault="00B203DD" w:rsidP="00B203DD">
      <w:pPr>
        <w:pStyle w:val="PI-1EMEASMCA"/>
      </w:pPr>
      <w:bookmarkStart w:id="10" w:name="_Toc129243143"/>
      <w:bookmarkStart w:id="11" w:name="_Toc129243268"/>
      <w:r w:rsidRPr="000276B6">
        <w:t>5.</w:t>
      </w:r>
      <w:r w:rsidRPr="000276B6">
        <w:tab/>
      </w:r>
      <w:bookmarkEnd w:id="10"/>
      <w:bookmarkEnd w:id="11"/>
      <w:r w:rsidRPr="000276B6">
        <w:t xml:space="preserve">Kaip laikyti </w:t>
      </w:r>
      <w:proofErr w:type="spellStart"/>
      <w:r w:rsidRPr="000276B6">
        <w:t>Tobrin</w:t>
      </w:r>
      <w:proofErr w:type="spellEnd"/>
    </w:p>
    <w:p w:rsidR="00B203DD" w:rsidRPr="000276B6" w:rsidRDefault="00B203DD" w:rsidP="00B203DD">
      <w:pPr>
        <w:pStyle w:val="BTEMEASMCA"/>
      </w:pPr>
    </w:p>
    <w:p w:rsidR="00B203DD" w:rsidRPr="000276B6" w:rsidRDefault="00B203DD" w:rsidP="00B203DD">
      <w:pPr>
        <w:pStyle w:val="BTEMEASMCA"/>
      </w:pPr>
      <w:r w:rsidRPr="000276B6">
        <w:t>Šį vaistą laikykite vaikams nepastebimoje ir nepasiekiamoje vietoje.</w:t>
      </w:r>
    </w:p>
    <w:p w:rsidR="00B203DD" w:rsidRPr="000276B6" w:rsidRDefault="00B203DD" w:rsidP="00B203DD">
      <w:pPr>
        <w:ind w:right="-57"/>
        <w:jc w:val="both"/>
        <w:rPr>
          <w:sz w:val="22"/>
          <w:szCs w:val="22"/>
        </w:rPr>
      </w:pPr>
    </w:p>
    <w:p w:rsidR="00B203DD" w:rsidRPr="000276B6" w:rsidRDefault="00B203DD" w:rsidP="00B203DD">
      <w:pPr>
        <w:ind w:right="-57"/>
        <w:jc w:val="both"/>
        <w:rPr>
          <w:sz w:val="22"/>
          <w:szCs w:val="22"/>
        </w:rPr>
      </w:pPr>
      <w:r w:rsidRPr="000276B6">
        <w:rPr>
          <w:sz w:val="22"/>
          <w:szCs w:val="22"/>
        </w:rPr>
        <w:t>Laikyti ne aukštesnėje kaip 25</w:t>
      </w:r>
      <w:r>
        <w:rPr>
          <w:sz w:val="22"/>
          <w:szCs w:val="22"/>
        </w:rPr>
        <w:t> </w:t>
      </w:r>
      <w:proofErr w:type="spellStart"/>
      <w:r w:rsidRPr="000276B6">
        <w:rPr>
          <w:sz w:val="22"/>
          <w:szCs w:val="22"/>
          <w:vertAlign w:val="superscript"/>
        </w:rPr>
        <w:t>o</w:t>
      </w:r>
      <w:r w:rsidRPr="000276B6">
        <w:rPr>
          <w:sz w:val="22"/>
          <w:szCs w:val="22"/>
        </w:rPr>
        <w:t>C</w:t>
      </w:r>
      <w:proofErr w:type="spellEnd"/>
      <w:r w:rsidRPr="000276B6">
        <w:rPr>
          <w:sz w:val="22"/>
          <w:szCs w:val="22"/>
        </w:rPr>
        <w:t xml:space="preserve"> temperatūroje.</w:t>
      </w:r>
    </w:p>
    <w:p w:rsidR="00B203DD" w:rsidRPr="000276B6" w:rsidRDefault="00B203DD" w:rsidP="00B203DD">
      <w:pPr>
        <w:rPr>
          <w:sz w:val="22"/>
          <w:szCs w:val="22"/>
        </w:rPr>
      </w:pPr>
      <w:r w:rsidRPr="000276B6">
        <w:rPr>
          <w:sz w:val="22"/>
          <w:szCs w:val="22"/>
        </w:rPr>
        <w:t>Negalima užšaldyti.</w:t>
      </w:r>
    </w:p>
    <w:p w:rsidR="00B203DD" w:rsidRPr="000276B6" w:rsidRDefault="00B203DD" w:rsidP="00B203DD">
      <w:pPr>
        <w:rPr>
          <w:sz w:val="22"/>
          <w:szCs w:val="22"/>
        </w:rPr>
      </w:pPr>
      <w:r w:rsidRPr="000276B6">
        <w:rPr>
          <w:sz w:val="22"/>
          <w:szCs w:val="22"/>
        </w:rPr>
        <w:t xml:space="preserve">Laikyti gamintojo pakuotėje, kad </w:t>
      </w:r>
      <w:r>
        <w:rPr>
          <w:sz w:val="22"/>
          <w:szCs w:val="22"/>
        </w:rPr>
        <w:t>vaistas</w:t>
      </w:r>
      <w:r w:rsidRPr="000276B6">
        <w:rPr>
          <w:sz w:val="22"/>
          <w:szCs w:val="22"/>
        </w:rPr>
        <w:t xml:space="preserve"> būtų apsaugotas nuo šviesos ir drėgmės.</w:t>
      </w:r>
    </w:p>
    <w:p w:rsidR="00B203DD" w:rsidRPr="000276B6" w:rsidRDefault="00B203DD" w:rsidP="00B203DD">
      <w:pPr>
        <w:rPr>
          <w:sz w:val="22"/>
          <w:szCs w:val="22"/>
        </w:rPr>
      </w:pPr>
    </w:p>
    <w:p w:rsidR="00B203DD" w:rsidRPr="000276B6" w:rsidRDefault="00B203DD" w:rsidP="00B203DD">
      <w:pPr>
        <w:rPr>
          <w:sz w:val="22"/>
          <w:szCs w:val="22"/>
        </w:rPr>
      </w:pPr>
      <w:r w:rsidRPr="000276B6">
        <w:rPr>
          <w:sz w:val="22"/>
          <w:szCs w:val="22"/>
        </w:rPr>
        <w:t xml:space="preserve">Pirmą kartą atidarius </w:t>
      </w:r>
      <w:proofErr w:type="spellStart"/>
      <w:r w:rsidRPr="000276B6">
        <w:rPr>
          <w:sz w:val="22"/>
          <w:szCs w:val="22"/>
        </w:rPr>
        <w:t>talpyklę</w:t>
      </w:r>
      <w:proofErr w:type="spellEnd"/>
      <w:r w:rsidRPr="000276B6">
        <w:rPr>
          <w:sz w:val="22"/>
          <w:szCs w:val="22"/>
        </w:rPr>
        <w:t>, tirpalo tinkamumo laikas 30 dienų.</w:t>
      </w:r>
    </w:p>
    <w:p w:rsidR="00B203DD" w:rsidRPr="000276B6" w:rsidRDefault="00B203DD" w:rsidP="00B203DD">
      <w:pPr>
        <w:pStyle w:val="BTEMEASMCA"/>
      </w:pPr>
    </w:p>
    <w:p w:rsidR="00B203DD" w:rsidRPr="000276B6" w:rsidRDefault="00B203DD" w:rsidP="00B203DD">
      <w:pPr>
        <w:pStyle w:val="BTEMEASMCA"/>
      </w:pPr>
      <w:r w:rsidRPr="000276B6">
        <w:t xml:space="preserve">Ant </w:t>
      </w:r>
      <w:r>
        <w:t>kartono</w:t>
      </w:r>
      <w:r w:rsidRPr="000276B6">
        <w:t xml:space="preserve"> dėžutės po „</w:t>
      </w:r>
      <w:r>
        <w:t>EXP</w:t>
      </w:r>
      <w:r w:rsidRPr="001B5A48">
        <w:rPr>
          <w:highlight w:val="lightGray"/>
        </w:rPr>
        <w:t>/</w:t>
      </w:r>
      <w:r w:rsidRPr="004015A9">
        <w:rPr>
          <w:highlight w:val="lightGray"/>
        </w:rPr>
        <w:t>Tinka iki</w:t>
      </w:r>
      <w:r w:rsidRPr="000276B6">
        <w:t xml:space="preserve">“ </w:t>
      </w:r>
      <w:r>
        <w:t xml:space="preserve">ir ant etiketės </w:t>
      </w:r>
      <w:r w:rsidRPr="000276B6">
        <w:t>nurodytam tinkamumo laikui pasibaigus, šio vaisto vartoti negalima. Vaistas tinkamas vartoti iki paskutinės nurodyto mėnesio dienos.</w:t>
      </w:r>
    </w:p>
    <w:p w:rsidR="00B203DD" w:rsidRPr="000276B6" w:rsidRDefault="00B203DD" w:rsidP="00B203DD">
      <w:pPr>
        <w:pStyle w:val="BTEMEASMCA"/>
      </w:pPr>
    </w:p>
    <w:p w:rsidR="00B203DD" w:rsidRPr="000276B6" w:rsidRDefault="00B203DD" w:rsidP="00B203DD">
      <w:pPr>
        <w:pStyle w:val="BTEMEASMCA"/>
      </w:pPr>
      <w:r w:rsidRPr="000276B6">
        <w:t>Vaistų negalima išmesti į kanalizaciją arba su buitinėmis atliekomis. Kaip išmesti nereikalingus vaistus, klauskite vaistininko. Šios priemonės padės apsaugoti aplinką.</w:t>
      </w:r>
    </w:p>
    <w:p w:rsidR="00B203DD" w:rsidRPr="000276B6" w:rsidRDefault="00B203DD" w:rsidP="00B203DD">
      <w:pPr>
        <w:pStyle w:val="BTEMEASMCA"/>
      </w:pPr>
    </w:p>
    <w:p w:rsidR="00B203DD" w:rsidRPr="000276B6" w:rsidRDefault="00B203DD" w:rsidP="00B203DD">
      <w:pPr>
        <w:pStyle w:val="BTEMEASMCA"/>
      </w:pPr>
    </w:p>
    <w:p w:rsidR="00B203DD" w:rsidRPr="000276B6" w:rsidRDefault="00B203DD" w:rsidP="00B203DD">
      <w:pPr>
        <w:pStyle w:val="PI-1EMEASMCA"/>
      </w:pPr>
      <w:bookmarkStart w:id="12" w:name="_Toc129243144"/>
      <w:bookmarkStart w:id="13" w:name="_Toc129243269"/>
      <w:r w:rsidRPr="000276B6">
        <w:t>6.</w:t>
      </w:r>
      <w:r w:rsidRPr="000276B6">
        <w:tab/>
      </w:r>
      <w:bookmarkEnd w:id="12"/>
      <w:bookmarkEnd w:id="13"/>
      <w:r w:rsidRPr="000276B6">
        <w:t>Pakuotės turinys ir kita informacija</w:t>
      </w:r>
    </w:p>
    <w:p w:rsidR="00B203DD" w:rsidRPr="000276B6" w:rsidRDefault="00B203DD" w:rsidP="00B203DD">
      <w:pPr>
        <w:pStyle w:val="BTEMEASMCA"/>
      </w:pPr>
    </w:p>
    <w:p w:rsidR="00B203DD" w:rsidRPr="000276B6" w:rsidRDefault="00B203DD" w:rsidP="00B203DD">
      <w:pPr>
        <w:pStyle w:val="PI-3EMEASMCA"/>
      </w:pPr>
      <w:proofErr w:type="spellStart"/>
      <w:r w:rsidRPr="000276B6">
        <w:t>Tobrin</w:t>
      </w:r>
      <w:proofErr w:type="spellEnd"/>
      <w:r w:rsidRPr="000276B6">
        <w:t xml:space="preserve"> sudėtis</w:t>
      </w:r>
    </w:p>
    <w:p w:rsidR="00B203DD" w:rsidRPr="000276B6" w:rsidRDefault="00B203DD" w:rsidP="00B203DD">
      <w:pPr>
        <w:pStyle w:val="BT-EMEASMCA"/>
        <w:tabs>
          <w:tab w:val="clear" w:pos="360"/>
          <w:tab w:val="num" w:pos="720"/>
        </w:tabs>
        <w:ind w:left="720" w:hanging="363"/>
      </w:pPr>
      <w:r w:rsidRPr="000276B6">
        <w:t>Veiklioji medžiagara yra tobramicinas. 1 ml akių lašų yra 3 mg tobramicino (atitinka 4, 58 mg tobramicino sulfato)</w:t>
      </w:r>
    </w:p>
    <w:p w:rsidR="00B203DD" w:rsidRPr="000276B6" w:rsidRDefault="00B203DD" w:rsidP="00B203DD">
      <w:pPr>
        <w:pStyle w:val="BT-EMEASMCA"/>
        <w:tabs>
          <w:tab w:val="clear" w:pos="360"/>
          <w:tab w:val="num" w:pos="720"/>
        </w:tabs>
        <w:ind w:left="720" w:hanging="363"/>
      </w:pPr>
      <w:r w:rsidRPr="000276B6">
        <w:t>Pagalbinės medžiagos yra: benzalkonio chloridas, dinatrio fosfatas dihidratas, kalio divandenilio fosfatas, natrio chloridas, hidroksietilceliuliozė, išgrynintas vanduo.</w:t>
      </w:r>
    </w:p>
    <w:p w:rsidR="00B203DD" w:rsidRPr="000276B6" w:rsidRDefault="00B203DD" w:rsidP="00B203DD">
      <w:pPr>
        <w:pStyle w:val="BT-EMEASMCA"/>
        <w:tabs>
          <w:tab w:val="clear" w:pos="360"/>
          <w:tab w:val="num" w:pos="720"/>
        </w:tabs>
        <w:ind w:left="720" w:hanging="363"/>
      </w:pPr>
    </w:p>
    <w:p w:rsidR="00B203DD" w:rsidRPr="000276B6" w:rsidRDefault="00B203DD" w:rsidP="00B203DD">
      <w:pPr>
        <w:pStyle w:val="BTEMEASMCA"/>
      </w:pPr>
    </w:p>
    <w:p w:rsidR="00B203DD" w:rsidRPr="000276B6" w:rsidRDefault="00B203DD" w:rsidP="00B203DD">
      <w:pPr>
        <w:pStyle w:val="PI-3EMEASMCA"/>
      </w:pPr>
      <w:proofErr w:type="spellStart"/>
      <w:r w:rsidRPr="000276B6">
        <w:t>Tobrin</w:t>
      </w:r>
      <w:proofErr w:type="spellEnd"/>
      <w:r w:rsidRPr="000276B6">
        <w:t xml:space="preserve"> išvaizda ir kiekis pakuotėje</w:t>
      </w:r>
    </w:p>
    <w:p w:rsidR="00B203DD" w:rsidRPr="000276B6" w:rsidRDefault="00B203DD" w:rsidP="00B203DD">
      <w:pPr>
        <w:pStyle w:val="BTEMEASMCA"/>
      </w:pPr>
    </w:p>
    <w:p w:rsidR="00B203DD" w:rsidRPr="000276B6" w:rsidRDefault="00B203DD" w:rsidP="00B203DD">
      <w:pPr>
        <w:pStyle w:val="BTEMEASMCA"/>
      </w:pPr>
      <w:r w:rsidRPr="000276B6">
        <w:t>Skaidus bespalvis tirpalas.</w:t>
      </w:r>
    </w:p>
    <w:p w:rsidR="00B203DD" w:rsidRPr="000276B6" w:rsidRDefault="00B203DD" w:rsidP="00B203DD">
      <w:pPr>
        <w:pStyle w:val="BTEMEASMCA"/>
      </w:pPr>
    </w:p>
    <w:p w:rsidR="00B203DD" w:rsidRPr="000276B6" w:rsidRDefault="00B203DD" w:rsidP="00B203DD">
      <w:pPr>
        <w:rPr>
          <w:sz w:val="22"/>
          <w:szCs w:val="22"/>
        </w:rPr>
      </w:pPr>
      <w:proofErr w:type="spellStart"/>
      <w:r w:rsidRPr="000276B6">
        <w:rPr>
          <w:sz w:val="22"/>
          <w:szCs w:val="22"/>
        </w:rPr>
        <w:t>Tobrin</w:t>
      </w:r>
      <w:proofErr w:type="spellEnd"/>
      <w:r w:rsidRPr="000276B6">
        <w:rPr>
          <w:sz w:val="22"/>
          <w:szCs w:val="22"/>
        </w:rPr>
        <w:t xml:space="preserve"> akių lašai yra baltos spalvos 5 ml mažo tankio polietileno </w:t>
      </w:r>
      <w:proofErr w:type="spellStart"/>
      <w:r w:rsidRPr="000276B6">
        <w:rPr>
          <w:sz w:val="22"/>
          <w:szCs w:val="22"/>
        </w:rPr>
        <w:t>talpyklėse</w:t>
      </w:r>
      <w:proofErr w:type="spellEnd"/>
      <w:r w:rsidRPr="000276B6">
        <w:rPr>
          <w:sz w:val="22"/>
          <w:szCs w:val="22"/>
        </w:rPr>
        <w:t xml:space="preserve"> su lašintuvais ir užsukamaisiais didelio tankio polipropileno dangteliais.</w:t>
      </w:r>
    </w:p>
    <w:p w:rsidR="00B203DD" w:rsidRPr="000276B6" w:rsidRDefault="00B203DD" w:rsidP="00B203DD">
      <w:pPr>
        <w:rPr>
          <w:sz w:val="22"/>
          <w:szCs w:val="22"/>
        </w:rPr>
      </w:pPr>
    </w:p>
    <w:p w:rsidR="00B203DD" w:rsidRPr="000276B6" w:rsidRDefault="00B203DD" w:rsidP="00B203DD">
      <w:pPr>
        <w:rPr>
          <w:sz w:val="22"/>
          <w:szCs w:val="22"/>
        </w:rPr>
      </w:pPr>
      <w:r w:rsidRPr="000276B6">
        <w:rPr>
          <w:sz w:val="22"/>
          <w:szCs w:val="22"/>
        </w:rPr>
        <w:t xml:space="preserve">Kartono dėžutėje yra viena </w:t>
      </w:r>
      <w:proofErr w:type="spellStart"/>
      <w:r w:rsidRPr="000276B6">
        <w:rPr>
          <w:sz w:val="22"/>
          <w:szCs w:val="22"/>
        </w:rPr>
        <w:t>talpyklė</w:t>
      </w:r>
      <w:proofErr w:type="spellEnd"/>
      <w:r w:rsidRPr="000276B6">
        <w:rPr>
          <w:sz w:val="22"/>
          <w:szCs w:val="22"/>
        </w:rPr>
        <w:t>.</w:t>
      </w:r>
    </w:p>
    <w:p w:rsidR="00B203DD" w:rsidRPr="000276B6" w:rsidRDefault="00B203DD" w:rsidP="00B203DD">
      <w:pPr>
        <w:pStyle w:val="BTEMEASMCA"/>
      </w:pPr>
    </w:p>
    <w:p w:rsidR="00B203DD" w:rsidRPr="000276B6" w:rsidRDefault="00B203DD" w:rsidP="00B203DD">
      <w:pPr>
        <w:pStyle w:val="PI-3EMEASMCA"/>
      </w:pPr>
      <w:r w:rsidRPr="00EA541E">
        <w:t>Registruotojas</w:t>
      </w:r>
      <w:r w:rsidRPr="000276B6">
        <w:t xml:space="preserve"> ir gamintojas</w:t>
      </w:r>
    </w:p>
    <w:p w:rsidR="00B203DD" w:rsidRPr="000276B6" w:rsidRDefault="00B203DD" w:rsidP="00B203DD">
      <w:pPr>
        <w:pStyle w:val="BTEMEASMCA"/>
      </w:pPr>
    </w:p>
    <w:p w:rsidR="00B203DD" w:rsidRDefault="00B203DD" w:rsidP="00B203DD">
      <w:pPr>
        <w:pStyle w:val="BTEMEASMCA"/>
        <w:rPr>
          <w:rStyle w:val="Grietas"/>
          <w:b w:val="0"/>
          <w:i/>
        </w:rPr>
      </w:pPr>
      <w:r w:rsidRPr="00EA541E">
        <w:rPr>
          <w:rStyle w:val="Grietas"/>
          <w:i/>
        </w:rPr>
        <w:t>Registruotojas</w:t>
      </w:r>
    </w:p>
    <w:p w:rsidR="00B203DD" w:rsidRDefault="00B203DD" w:rsidP="00B203DD">
      <w:pPr>
        <w:pStyle w:val="BTEMEASMCA"/>
      </w:pPr>
      <w:r w:rsidRPr="002A68B1">
        <w:t xml:space="preserve">Teva B.V. </w:t>
      </w:r>
    </w:p>
    <w:p w:rsidR="00B203DD" w:rsidRDefault="00B203DD" w:rsidP="00B203DD">
      <w:pPr>
        <w:pStyle w:val="BTEMEASMCA"/>
      </w:pPr>
      <w:r w:rsidRPr="002A68B1">
        <w:t xml:space="preserve">Swensweg 5 </w:t>
      </w:r>
    </w:p>
    <w:p w:rsidR="00B203DD" w:rsidRDefault="00B203DD" w:rsidP="00B203DD">
      <w:pPr>
        <w:pStyle w:val="BTEMEASMCA"/>
      </w:pPr>
      <w:r w:rsidRPr="002A68B1">
        <w:t xml:space="preserve">2031GA Haarlem </w:t>
      </w:r>
    </w:p>
    <w:p w:rsidR="00B203DD" w:rsidRPr="002A68B1" w:rsidRDefault="00B203DD" w:rsidP="00B203DD">
      <w:pPr>
        <w:pStyle w:val="BTEMEASMCA"/>
      </w:pPr>
      <w:r w:rsidRPr="002A68B1">
        <w:t>Nyderlandai</w:t>
      </w:r>
    </w:p>
    <w:p w:rsidR="00B203DD" w:rsidRPr="000276B6" w:rsidRDefault="00B203DD" w:rsidP="00B203DD">
      <w:pPr>
        <w:pStyle w:val="BTEMEASMCA"/>
      </w:pPr>
    </w:p>
    <w:p w:rsidR="00B203DD" w:rsidRPr="000276B6" w:rsidRDefault="00B203DD" w:rsidP="00B203DD">
      <w:pPr>
        <w:pStyle w:val="BTEMEASMCA"/>
      </w:pPr>
      <w:r w:rsidRPr="004015A9">
        <w:t>Gamintojas</w:t>
      </w:r>
    </w:p>
    <w:p w:rsidR="00B203DD" w:rsidRPr="002A68B1" w:rsidRDefault="00B203DD" w:rsidP="00B203DD">
      <w:pPr>
        <w:rPr>
          <w:sz w:val="22"/>
          <w:szCs w:val="22"/>
        </w:rPr>
      </w:pPr>
      <w:proofErr w:type="spellStart"/>
      <w:r w:rsidRPr="002A68B1">
        <w:rPr>
          <w:sz w:val="22"/>
          <w:szCs w:val="22"/>
        </w:rPr>
        <w:t>Balkanpharma-Razgrad</w:t>
      </w:r>
      <w:proofErr w:type="spellEnd"/>
      <w:r w:rsidRPr="002A68B1">
        <w:rPr>
          <w:sz w:val="22"/>
          <w:szCs w:val="22"/>
        </w:rPr>
        <w:t xml:space="preserve"> AD</w:t>
      </w:r>
    </w:p>
    <w:p w:rsidR="00B203DD" w:rsidRPr="002A68B1" w:rsidRDefault="00B203DD" w:rsidP="00B203DD">
      <w:pPr>
        <w:rPr>
          <w:sz w:val="22"/>
          <w:szCs w:val="22"/>
        </w:rPr>
      </w:pPr>
      <w:r w:rsidRPr="002A68B1">
        <w:rPr>
          <w:sz w:val="22"/>
          <w:szCs w:val="22"/>
        </w:rPr>
        <w:t xml:space="preserve">68, </w:t>
      </w:r>
      <w:proofErr w:type="spellStart"/>
      <w:r w:rsidRPr="002A68B1">
        <w:rPr>
          <w:sz w:val="22"/>
          <w:szCs w:val="22"/>
        </w:rPr>
        <w:t>Aprilsko</w:t>
      </w:r>
      <w:proofErr w:type="spellEnd"/>
      <w:r w:rsidRPr="002A68B1">
        <w:rPr>
          <w:sz w:val="22"/>
          <w:szCs w:val="22"/>
        </w:rPr>
        <w:t xml:space="preserve"> </w:t>
      </w:r>
      <w:proofErr w:type="spellStart"/>
      <w:r w:rsidRPr="002A68B1">
        <w:rPr>
          <w:sz w:val="22"/>
          <w:szCs w:val="22"/>
        </w:rPr>
        <w:t>vastanie</w:t>
      </w:r>
      <w:proofErr w:type="spellEnd"/>
      <w:r w:rsidRPr="002A68B1">
        <w:rPr>
          <w:sz w:val="22"/>
          <w:szCs w:val="22"/>
        </w:rPr>
        <w:t xml:space="preserve"> </w:t>
      </w:r>
      <w:proofErr w:type="spellStart"/>
      <w:r w:rsidRPr="002A68B1">
        <w:rPr>
          <w:sz w:val="22"/>
          <w:szCs w:val="22"/>
        </w:rPr>
        <w:t>blvd</w:t>
      </w:r>
      <w:proofErr w:type="spellEnd"/>
      <w:r w:rsidRPr="002A68B1">
        <w:rPr>
          <w:sz w:val="22"/>
          <w:szCs w:val="22"/>
        </w:rPr>
        <w:t>.</w:t>
      </w:r>
    </w:p>
    <w:p w:rsidR="00B203DD" w:rsidRPr="002A68B1" w:rsidRDefault="00B203DD" w:rsidP="00B203DD">
      <w:pPr>
        <w:rPr>
          <w:sz w:val="22"/>
          <w:szCs w:val="22"/>
        </w:rPr>
      </w:pPr>
      <w:r w:rsidRPr="002A68B1">
        <w:rPr>
          <w:sz w:val="22"/>
          <w:szCs w:val="22"/>
        </w:rPr>
        <w:t xml:space="preserve">7200 </w:t>
      </w:r>
      <w:proofErr w:type="spellStart"/>
      <w:r w:rsidRPr="002A68B1">
        <w:rPr>
          <w:sz w:val="22"/>
          <w:szCs w:val="22"/>
        </w:rPr>
        <w:t>Razgrad</w:t>
      </w:r>
      <w:proofErr w:type="spellEnd"/>
    </w:p>
    <w:p w:rsidR="00B203DD" w:rsidRPr="002A68B1" w:rsidRDefault="00B203DD" w:rsidP="00B203DD">
      <w:pPr>
        <w:rPr>
          <w:sz w:val="22"/>
          <w:szCs w:val="22"/>
        </w:rPr>
      </w:pPr>
      <w:r w:rsidRPr="002A68B1">
        <w:rPr>
          <w:sz w:val="22"/>
          <w:szCs w:val="22"/>
        </w:rPr>
        <w:t>Bulgarija</w:t>
      </w:r>
    </w:p>
    <w:p w:rsidR="00B203DD" w:rsidRPr="000276B6" w:rsidRDefault="00B203DD" w:rsidP="00B203DD">
      <w:pPr>
        <w:pStyle w:val="BTEMEASMCA"/>
      </w:pPr>
    </w:p>
    <w:p w:rsidR="00B203DD" w:rsidRPr="000276B6" w:rsidRDefault="00B203DD" w:rsidP="00B203DD">
      <w:pPr>
        <w:pStyle w:val="BTEMEASMCA"/>
      </w:pPr>
      <w:r w:rsidRPr="000276B6">
        <w:lastRenderedPageBreak/>
        <w:t xml:space="preserve">Jeigu apie šį vaistą norite sužinoti daugiau, kreipkitės į vietinį </w:t>
      </w:r>
      <w:r w:rsidRPr="00EA541E">
        <w:t>registruotojo</w:t>
      </w:r>
      <w:r w:rsidRPr="000276B6">
        <w:t xml:space="preserve"> atstovą.</w:t>
      </w:r>
    </w:p>
    <w:p w:rsidR="00B203DD" w:rsidRPr="00EA541E" w:rsidRDefault="00B203DD" w:rsidP="00B203DD">
      <w:pPr>
        <w:ind w:left="567" w:hanging="567"/>
        <w:rPr>
          <w:rFonts w:eastAsia="Times New Roman"/>
          <w:sz w:val="22"/>
          <w:szCs w:val="22"/>
          <w:lang w:eastAsia="lt-LT"/>
        </w:rPr>
      </w:pPr>
      <w:r w:rsidRPr="00EA541E">
        <w:rPr>
          <w:rFonts w:eastAsia="Times New Roman"/>
          <w:sz w:val="22"/>
          <w:szCs w:val="22"/>
          <w:lang w:eastAsia="lt-LT"/>
        </w:rPr>
        <w:t xml:space="preserve">UAB </w:t>
      </w:r>
      <w:proofErr w:type="spellStart"/>
      <w:r>
        <w:rPr>
          <w:rFonts w:eastAsia="Times New Roman"/>
          <w:sz w:val="22"/>
          <w:szCs w:val="22"/>
          <w:lang w:eastAsia="lt-LT"/>
        </w:rPr>
        <w:t>Teva</w:t>
      </w:r>
      <w:proofErr w:type="spellEnd"/>
      <w:r>
        <w:rPr>
          <w:rFonts w:eastAsia="Times New Roman"/>
          <w:sz w:val="22"/>
          <w:szCs w:val="22"/>
          <w:lang w:eastAsia="lt-LT"/>
        </w:rPr>
        <w:t xml:space="preserve"> </w:t>
      </w:r>
      <w:proofErr w:type="spellStart"/>
      <w:r>
        <w:rPr>
          <w:rFonts w:eastAsia="Times New Roman"/>
          <w:sz w:val="22"/>
          <w:szCs w:val="22"/>
          <w:lang w:eastAsia="lt-LT"/>
        </w:rPr>
        <w:t>Baltics</w:t>
      </w:r>
      <w:proofErr w:type="spellEnd"/>
    </w:p>
    <w:p w:rsidR="00B203DD" w:rsidRPr="00EA541E" w:rsidRDefault="00B203DD" w:rsidP="00B203DD">
      <w:pPr>
        <w:ind w:left="567" w:hanging="567"/>
        <w:rPr>
          <w:rFonts w:eastAsia="Times New Roman"/>
          <w:sz w:val="22"/>
          <w:szCs w:val="22"/>
          <w:lang w:eastAsia="lt-LT"/>
        </w:rPr>
      </w:pPr>
      <w:r w:rsidRPr="00EA541E">
        <w:rPr>
          <w:rFonts w:eastAsia="Times New Roman"/>
          <w:sz w:val="22"/>
          <w:szCs w:val="22"/>
          <w:lang w:eastAsia="lt-LT"/>
        </w:rPr>
        <w:t>Molėtų pl. 5</w:t>
      </w:r>
    </w:p>
    <w:p w:rsidR="00B203DD" w:rsidRPr="00EA541E" w:rsidRDefault="00B203DD" w:rsidP="00B203DD">
      <w:pPr>
        <w:ind w:left="567" w:hanging="567"/>
        <w:rPr>
          <w:rFonts w:eastAsia="Times New Roman"/>
          <w:sz w:val="22"/>
          <w:szCs w:val="22"/>
          <w:lang w:eastAsia="lt-LT"/>
        </w:rPr>
      </w:pPr>
      <w:r w:rsidRPr="00EA541E">
        <w:rPr>
          <w:rFonts w:eastAsia="Times New Roman"/>
          <w:sz w:val="22"/>
          <w:szCs w:val="22"/>
          <w:lang w:eastAsia="lt-LT"/>
        </w:rPr>
        <w:t>LT-08409 Vilnius</w:t>
      </w:r>
    </w:p>
    <w:p w:rsidR="00B203DD" w:rsidRPr="00EA541E" w:rsidRDefault="00B203DD" w:rsidP="00B203DD">
      <w:pPr>
        <w:ind w:left="567" w:hanging="567"/>
        <w:rPr>
          <w:rFonts w:eastAsia="Times New Roman"/>
          <w:sz w:val="22"/>
          <w:szCs w:val="22"/>
          <w:lang w:eastAsia="lt-LT"/>
        </w:rPr>
      </w:pPr>
      <w:r w:rsidRPr="00EA541E">
        <w:rPr>
          <w:rFonts w:eastAsia="Times New Roman"/>
          <w:sz w:val="22"/>
          <w:szCs w:val="22"/>
          <w:lang w:eastAsia="lt-LT"/>
        </w:rPr>
        <w:t>Tel.: +370 5 266 02 03</w:t>
      </w:r>
    </w:p>
    <w:p w:rsidR="00B203DD" w:rsidRDefault="00B203DD" w:rsidP="00B203DD">
      <w:pPr>
        <w:pStyle w:val="BTbEMEASMCA"/>
      </w:pPr>
    </w:p>
    <w:p w:rsidR="00B203DD" w:rsidRPr="000276B6" w:rsidRDefault="00B203DD" w:rsidP="00B203DD">
      <w:pPr>
        <w:pStyle w:val="BTbEMEASMCA"/>
      </w:pPr>
      <w:r w:rsidRPr="000276B6">
        <w:t>Šis pakuotės lapelis paskutinį kartą peržiūrėtas</w:t>
      </w:r>
      <w:r>
        <w:t xml:space="preserve"> 2023-04-04.</w:t>
      </w:r>
    </w:p>
    <w:p w:rsidR="00B203DD" w:rsidRPr="000276B6" w:rsidRDefault="00B203DD" w:rsidP="00B203DD">
      <w:pPr>
        <w:rPr>
          <w:sz w:val="22"/>
          <w:szCs w:val="22"/>
        </w:rPr>
      </w:pPr>
    </w:p>
    <w:p w:rsidR="00B203DD" w:rsidRDefault="00B203DD" w:rsidP="00B203DD">
      <w:pPr>
        <w:numPr>
          <w:ilvl w:val="12"/>
          <w:numId w:val="0"/>
        </w:numPr>
        <w:ind w:right="-2"/>
        <w:rPr>
          <w:sz w:val="22"/>
          <w:szCs w:val="22"/>
        </w:rPr>
      </w:pPr>
      <w:r w:rsidRPr="000276B6">
        <w:rPr>
          <w:sz w:val="22"/>
          <w:szCs w:val="22"/>
        </w:rPr>
        <w:t>Išsami informacija apie šį vaistą pateikiama Valstybinės vaistų kontrolės tarnybos prie Lietuvos Respublikos sveikatos apsaugos ministerijos tinklalapyje</w:t>
      </w:r>
      <w:r w:rsidRPr="000276B6">
        <w:rPr>
          <w:i/>
          <w:sz w:val="22"/>
          <w:szCs w:val="22"/>
        </w:rPr>
        <w:t xml:space="preserve"> </w:t>
      </w:r>
      <w:hyperlink r:id="rId5" w:history="1">
        <w:r w:rsidRPr="000276B6">
          <w:rPr>
            <w:rStyle w:val="Hipersaitas"/>
            <w:rFonts w:eastAsia="SimSun"/>
            <w:sz w:val="22"/>
            <w:szCs w:val="22"/>
          </w:rPr>
          <w:t>http://www.vvkt.lt/</w:t>
        </w:r>
      </w:hyperlink>
      <w:r w:rsidRPr="000276B6">
        <w:rPr>
          <w:sz w:val="22"/>
          <w:szCs w:val="22"/>
        </w:rPr>
        <w:t>.</w:t>
      </w:r>
    </w:p>
    <w:p w:rsidR="00B203DD" w:rsidRDefault="00B203DD" w:rsidP="00B203DD">
      <w:pPr>
        <w:numPr>
          <w:ilvl w:val="12"/>
          <w:numId w:val="0"/>
        </w:numPr>
        <w:ind w:right="-2"/>
        <w:rPr>
          <w:sz w:val="22"/>
          <w:szCs w:val="22"/>
        </w:rPr>
      </w:pPr>
    </w:p>
    <w:p w:rsidR="009041DB" w:rsidRDefault="009041DB">
      <w:bookmarkStart w:id="14" w:name="_GoBack"/>
      <w:bookmarkEnd w:id="14"/>
    </w:p>
    <w:sectPr w:rsidR="009041DB" w:rsidSect="007003F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D0950"/>
    <w:multiLevelType w:val="hybridMultilevel"/>
    <w:tmpl w:val="C8E8F81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C351AE8"/>
    <w:multiLevelType w:val="hybridMultilevel"/>
    <w:tmpl w:val="D76615CE"/>
    <w:lvl w:ilvl="0" w:tplc="1924C7B2">
      <w:start w:val="3"/>
      <w:numFmt w:val="bullet"/>
      <w:lvlText w:val="-"/>
      <w:lvlJc w:val="left"/>
      <w:pPr>
        <w:tabs>
          <w:tab w:val="num" w:pos="720"/>
        </w:tabs>
        <w:ind w:left="720" w:hanging="363"/>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E215B4"/>
    <w:multiLevelType w:val="hybridMultilevel"/>
    <w:tmpl w:val="85C8D06C"/>
    <w:lvl w:ilvl="0" w:tplc="437C44EA">
      <w:start w:val="3"/>
      <w:numFmt w:val="bullet"/>
      <w:pStyle w:val="BT-EMEASMCA"/>
      <w:lvlText w:val="-"/>
      <w:lvlJc w:val="left"/>
      <w:pPr>
        <w:tabs>
          <w:tab w:val="num" w:pos="720"/>
        </w:tabs>
        <w:ind w:left="720" w:hanging="363"/>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BB06D42"/>
    <w:multiLevelType w:val="hybridMultilevel"/>
    <w:tmpl w:val="AA14577A"/>
    <w:lvl w:ilvl="0" w:tplc="1924C7B2">
      <w:start w:val="3"/>
      <w:numFmt w:val="bullet"/>
      <w:lvlText w:val="-"/>
      <w:lvlJc w:val="left"/>
      <w:pPr>
        <w:tabs>
          <w:tab w:val="num" w:pos="720"/>
        </w:tabs>
        <w:ind w:left="720" w:hanging="363"/>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3DD"/>
    <w:rsid w:val="00004415"/>
    <w:rsid w:val="00234094"/>
    <w:rsid w:val="002A211A"/>
    <w:rsid w:val="00344695"/>
    <w:rsid w:val="00356AB3"/>
    <w:rsid w:val="004216A4"/>
    <w:rsid w:val="005311B8"/>
    <w:rsid w:val="006860E9"/>
    <w:rsid w:val="007003F6"/>
    <w:rsid w:val="009041DB"/>
    <w:rsid w:val="00975D35"/>
    <w:rsid w:val="00B203DD"/>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964266-E194-4560-880A-283857C6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203DD"/>
    <w:pPr>
      <w:spacing w:after="0" w:line="240" w:lineRule="auto"/>
    </w:pPr>
    <w:rPr>
      <w:rFonts w:ascii="Times New Roman" w:eastAsia="Calibri" w:hAnsi="Times New Roman" w:cs="Times New Roman"/>
      <w:sz w:val="24"/>
      <w:szCs w:val="24"/>
    </w:rPr>
  </w:style>
  <w:style w:type="paragraph" w:styleId="Antrat2">
    <w:name w:val="heading 2"/>
    <w:basedOn w:val="prastasis"/>
    <w:next w:val="prastasis"/>
    <w:link w:val="Antrat2Diagrama"/>
    <w:uiPriority w:val="9"/>
    <w:semiHidden/>
    <w:unhideWhenUsed/>
    <w:qFormat/>
    <w:rsid w:val="00B203D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B203DD"/>
    <w:rPr>
      <w:rFonts w:cs="Times New Roman"/>
      <w:color w:val="0000FF"/>
      <w:u w:val="single"/>
    </w:rPr>
  </w:style>
  <w:style w:type="paragraph" w:customStyle="1" w:styleId="PI-1EMEASMCA">
    <w:name w:val="PI-1 EMEA_SMCA"/>
    <w:basedOn w:val="Antrat2"/>
    <w:autoRedefine/>
    <w:rsid w:val="00B203DD"/>
    <w:pPr>
      <w:keepLines w:val="0"/>
      <w:tabs>
        <w:tab w:val="left" w:pos="567"/>
      </w:tabs>
      <w:spacing w:before="0"/>
      <w:ind w:left="567" w:hanging="567"/>
    </w:pPr>
    <w:rPr>
      <w:rFonts w:ascii="Times New Roman" w:eastAsia="Calibri" w:hAnsi="Times New Roman" w:cs="Times New Roman"/>
      <w:b/>
      <w:color w:val="auto"/>
      <w:sz w:val="22"/>
      <w:szCs w:val="22"/>
    </w:rPr>
  </w:style>
  <w:style w:type="paragraph" w:customStyle="1" w:styleId="BTEMEASMCA">
    <w:name w:val="BT EMEA_SMCA"/>
    <w:basedOn w:val="prastasis"/>
    <w:link w:val="BTEMEASMCAChar"/>
    <w:autoRedefine/>
    <w:rsid w:val="00B203DD"/>
    <w:rPr>
      <w:bCs/>
      <w:iCs/>
      <w:noProof/>
      <w:sz w:val="22"/>
      <w:szCs w:val="22"/>
    </w:rPr>
  </w:style>
  <w:style w:type="paragraph" w:customStyle="1" w:styleId="BT-EMEASMCA">
    <w:name w:val="BT- EMEA_SMCA"/>
    <w:basedOn w:val="BTEMEASMCA"/>
    <w:autoRedefine/>
    <w:rsid w:val="00B203DD"/>
    <w:pPr>
      <w:numPr>
        <w:numId w:val="2"/>
      </w:numPr>
      <w:tabs>
        <w:tab w:val="clear" w:pos="720"/>
        <w:tab w:val="num" w:pos="360"/>
      </w:tabs>
      <w:ind w:left="0" w:firstLine="0"/>
    </w:pPr>
  </w:style>
  <w:style w:type="paragraph" w:customStyle="1" w:styleId="PI-3EMEASMCA">
    <w:name w:val="PI-3 EMEA_SMCA"/>
    <w:basedOn w:val="prastasis"/>
    <w:autoRedefine/>
    <w:rsid w:val="00B203DD"/>
    <w:pPr>
      <w:spacing w:line="220" w:lineRule="exact"/>
    </w:pPr>
    <w:rPr>
      <w:b/>
      <w:bCs/>
      <w:sz w:val="22"/>
      <w:szCs w:val="22"/>
    </w:rPr>
  </w:style>
  <w:style w:type="paragraph" w:customStyle="1" w:styleId="BTbEMEASMCA">
    <w:name w:val="BT(b) EMEA_SMCA"/>
    <w:basedOn w:val="BTEMEASMCA"/>
    <w:autoRedefine/>
    <w:rsid w:val="00B203DD"/>
    <w:rPr>
      <w:b/>
    </w:rPr>
  </w:style>
  <w:style w:type="paragraph" w:customStyle="1" w:styleId="BTeEMEASMCA">
    <w:name w:val="BT(e) EMEA_SMCA"/>
    <w:basedOn w:val="BTEMEASMCA"/>
    <w:autoRedefine/>
    <w:rsid w:val="00B203DD"/>
    <w:rPr>
      <w:b/>
    </w:rPr>
  </w:style>
  <w:style w:type="character" w:customStyle="1" w:styleId="BTEMEASMCAChar">
    <w:name w:val="BT EMEA_SMCA Char"/>
    <w:basedOn w:val="Numatytasispastraiposriftas"/>
    <w:link w:val="BTEMEASMCA"/>
    <w:locked/>
    <w:rsid w:val="00B203DD"/>
    <w:rPr>
      <w:rFonts w:ascii="Times New Roman" w:eastAsia="Calibri" w:hAnsi="Times New Roman" w:cs="Times New Roman"/>
      <w:bCs/>
      <w:iCs/>
      <w:noProof/>
    </w:rPr>
  </w:style>
  <w:style w:type="character" w:styleId="Grietas">
    <w:name w:val="Strong"/>
    <w:basedOn w:val="Numatytasispastraiposriftas"/>
    <w:qFormat/>
    <w:rsid w:val="00B203DD"/>
    <w:rPr>
      <w:rFonts w:cs="Times New Roman"/>
      <w:b/>
      <w:bCs/>
    </w:rPr>
  </w:style>
  <w:style w:type="character" w:customStyle="1" w:styleId="Antrat2Diagrama">
    <w:name w:val="Antraštė 2 Diagrama"/>
    <w:basedOn w:val="Numatytasispastraiposriftas"/>
    <w:link w:val="Antrat2"/>
    <w:uiPriority w:val="9"/>
    <w:semiHidden/>
    <w:rsid w:val="00B203D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6893</Words>
  <Characters>3930</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2023-04-03T08:06:00Z</dcterms:created>
  <dcterms:modified xsi:type="dcterms:W3CDTF">2023-04-03T08:06:00Z</dcterms:modified>
</cp:coreProperties>
</file>