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B0B" w:rsidRPr="001B0AB9" w:rsidRDefault="00973B0B" w:rsidP="008F211F">
      <w:pPr>
        <w:rPr>
          <w:sz w:val="22"/>
          <w:szCs w:val="22"/>
        </w:rPr>
      </w:pPr>
      <w:bookmarkStart w:id="0" w:name="_GoBack"/>
      <w:bookmarkEnd w:id="0"/>
    </w:p>
    <w:p w:rsidR="00973B0B" w:rsidRPr="001B0AB9" w:rsidRDefault="00973B0B" w:rsidP="008F211F">
      <w:pPr>
        <w:rPr>
          <w:sz w:val="22"/>
          <w:szCs w:val="22"/>
        </w:rPr>
      </w:pPr>
    </w:p>
    <w:p w:rsidR="00973B0B" w:rsidRPr="001B0AB9" w:rsidRDefault="00973B0B" w:rsidP="008F211F">
      <w:pPr>
        <w:rPr>
          <w:sz w:val="22"/>
          <w:szCs w:val="22"/>
        </w:rPr>
      </w:pPr>
    </w:p>
    <w:p w:rsidR="00973B0B" w:rsidRPr="001B0AB9" w:rsidRDefault="00973B0B" w:rsidP="008F211F">
      <w:pPr>
        <w:rPr>
          <w:sz w:val="22"/>
          <w:szCs w:val="22"/>
        </w:rPr>
      </w:pPr>
    </w:p>
    <w:p w:rsidR="00973B0B" w:rsidRPr="001B0AB9" w:rsidRDefault="00973B0B" w:rsidP="008F211F">
      <w:pPr>
        <w:rPr>
          <w:sz w:val="22"/>
          <w:szCs w:val="22"/>
        </w:rPr>
      </w:pPr>
    </w:p>
    <w:p w:rsidR="00973B0B" w:rsidRPr="001B0AB9" w:rsidRDefault="00973B0B" w:rsidP="008F211F">
      <w:pPr>
        <w:rPr>
          <w:sz w:val="22"/>
          <w:szCs w:val="22"/>
        </w:rPr>
      </w:pPr>
    </w:p>
    <w:p w:rsidR="00973B0B" w:rsidRPr="001B0AB9" w:rsidRDefault="00973B0B" w:rsidP="008F211F">
      <w:pPr>
        <w:rPr>
          <w:sz w:val="22"/>
          <w:szCs w:val="22"/>
        </w:rPr>
      </w:pPr>
    </w:p>
    <w:p w:rsidR="00973B0B" w:rsidRPr="001B0AB9" w:rsidRDefault="00973B0B" w:rsidP="008F211F">
      <w:pPr>
        <w:rPr>
          <w:sz w:val="22"/>
          <w:szCs w:val="22"/>
        </w:rPr>
      </w:pPr>
    </w:p>
    <w:p w:rsidR="00973B0B" w:rsidRPr="001B0AB9" w:rsidRDefault="00973B0B" w:rsidP="008F211F">
      <w:pPr>
        <w:rPr>
          <w:sz w:val="22"/>
          <w:szCs w:val="22"/>
        </w:rPr>
      </w:pPr>
    </w:p>
    <w:p w:rsidR="00973B0B" w:rsidRPr="00EA7F30" w:rsidRDefault="00973B0B" w:rsidP="007F7D76">
      <w:pPr>
        <w:pStyle w:val="BTEMEASMCA"/>
      </w:pPr>
    </w:p>
    <w:p w:rsidR="00973B0B" w:rsidRPr="00EA7F30" w:rsidRDefault="00973B0B" w:rsidP="007F7D76">
      <w:pPr>
        <w:pStyle w:val="BTEMEASMCA"/>
      </w:pPr>
    </w:p>
    <w:p w:rsidR="00973B0B" w:rsidRPr="00EA7F30" w:rsidRDefault="00973B0B" w:rsidP="007F7D76">
      <w:pPr>
        <w:pStyle w:val="BTEMEASMCA"/>
      </w:pPr>
    </w:p>
    <w:p w:rsidR="00973B0B" w:rsidRPr="00EA7F30" w:rsidRDefault="00973B0B" w:rsidP="007F7D76">
      <w:pPr>
        <w:pStyle w:val="BTEMEASMCA"/>
      </w:pPr>
    </w:p>
    <w:p w:rsidR="00973B0B" w:rsidRPr="00EA7F30" w:rsidRDefault="00973B0B" w:rsidP="007F7D76">
      <w:pPr>
        <w:pStyle w:val="BTEMEASMCA"/>
      </w:pPr>
    </w:p>
    <w:p w:rsidR="00973B0B" w:rsidRPr="00EA7F30" w:rsidRDefault="00973B0B" w:rsidP="007F7D76">
      <w:pPr>
        <w:pStyle w:val="BTEMEASMCA"/>
      </w:pPr>
    </w:p>
    <w:p w:rsidR="00973B0B" w:rsidRPr="00EA7F30" w:rsidRDefault="00973B0B" w:rsidP="007F7D76">
      <w:pPr>
        <w:pStyle w:val="BTEMEASMCA"/>
      </w:pPr>
    </w:p>
    <w:p w:rsidR="00973B0B" w:rsidRPr="00EA7F30" w:rsidRDefault="00973B0B" w:rsidP="007F7D76">
      <w:pPr>
        <w:pStyle w:val="BTEMEASMCA"/>
      </w:pPr>
    </w:p>
    <w:p w:rsidR="00973B0B" w:rsidRPr="00EA7F30" w:rsidRDefault="00973B0B" w:rsidP="007F7D76">
      <w:pPr>
        <w:pStyle w:val="BTEMEASMCA"/>
      </w:pPr>
    </w:p>
    <w:p w:rsidR="00973B0B" w:rsidRPr="00EA7F30" w:rsidRDefault="00973B0B" w:rsidP="007F7D76">
      <w:pPr>
        <w:pStyle w:val="BTEMEASMCA"/>
      </w:pPr>
    </w:p>
    <w:p w:rsidR="00973B0B" w:rsidRPr="00EA7F30" w:rsidRDefault="00973B0B" w:rsidP="007F7D76">
      <w:pPr>
        <w:pStyle w:val="BTEMEASMCA"/>
      </w:pPr>
    </w:p>
    <w:p w:rsidR="00973B0B" w:rsidRPr="00EA7F30" w:rsidRDefault="00973B0B" w:rsidP="007F7D76">
      <w:pPr>
        <w:pStyle w:val="BTEMEASMCA"/>
      </w:pPr>
    </w:p>
    <w:p w:rsidR="00973B0B" w:rsidRPr="00EA7F30" w:rsidRDefault="00973B0B" w:rsidP="007F7D76">
      <w:pPr>
        <w:pStyle w:val="BTEMEASMCA"/>
      </w:pPr>
    </w:p>
    <w:p w:rsidR="00973B0B" w:rsidRPr="00EA7F30" w:rsidRDefault="00973B0B" w:rsidP="008F211F">
      <w:pPr>
        <w:pStyle w:val="TTEMEASMCA"/>
      </w:pPr>
      <w:bookmarkStart w:id="1" w:name="_Toc129243096"/>
      <w:bookmarkStart w:id="2" w:name="_Toc129243221"/>
    </w:p>
    <w:p w:rsidR="00973B0B" w:rsidRPr="00EA7F30" w:rsidRDefault="00973B0B" w:rsidP="008F211F">
      <w:pPr>
        <w:pStyle w:val="TTEMEASMCA"/>
      </w:pPr>
      <w:r>
        <w:t>I PRIEDAS</w:t>
      </w:r>
      <w:bookmarkEnd w:id="1"/>
      <w:bookmarkEnd w:id="2"/>
    </w:p>
    <w:p w:rsidR="00973B0B" w:rsidRPr="00EA7F30" w:rsidRDefault="00973B0B" w:rsidP="007F7D76">
      <w:pPr>
        <w:pStyle w:val="BTEMEASMCA"/>
      </w:pPr>
    </w:p>
    <w:p w:rsidR="00973B0B" w:rsidRPr="00EA7F30" w:rsidRDefault="00973B0B" w:rsidP="008F211F">
      <w:pPr>
        <w:pStyle w:val="TTEMEASMCA"/>
      </w:pPr>
      <w:bookmarkStart w:id="3" w:name="_Toc129243097"/>
      <w:bookmarkStart w:id="4" w:name="_Toc129243222"/>
      <w:r>
        <w:t>PREPARATO CHARAKTERISTIKŲ SANTRAUKA</w:t>
      </w:r>
      <w:bookmarkEnd w:id="3"/>
      <w:bookmarkEnd w:id="4"/>
    </w:p>
    <w:p w:rsidR="00973B0B" w:rsidRPr="00EA7F30" w:rsidRDefault="00973B0B" w:rsidP="008F211F">
      <w:pPr>
        <w:pStyle w:val="PI-1EMEASMCA"/>
      </w:pPr>
      <w:r>
        <w:rPr>
          <w:bCs/>
          <w:iCs/>
        </w:rPr>
        <w:br w:type="page"/>
      </w:r>
      <w:bookmarkStart w:id="5" w:name="_Toc129243098"/>
      <w:bookmarkStart w:id="6" w:name="_Toc129243223"/>
      <w:r>
        <w:lastRenderedPageBreak/>
        <w:t>1.</w:t>
      </w:r>
      <w:r>
        <w:tab/>
        <w:t>VAISTINIO PREPARATO PAVADINIMAS</w:t>
      </w:r>
      <w:bookmarkEnd w:id="5"/>
      <w:bookmarkEnd w:id="6"/>
    </w:p>
    <w:p w:rsidR="00973B0B" w:rsidRPr="00EA7F30" w:rsidRDefault="00973B0B" w:rsidP="007F7D76">
      <w:pPr>
        <w:pStyle w:val="BTEMEASMCA"/>
      </w:pPr>
    </w:p>
    <w:p w:rsidR="00973B0B" w:rsidRPr="002273C5" w:rsidRDefault="00973B0B" w:rsidP="007F7D76">
      <w:pPr>
        <w:pStyle w:val="BTEMEASMCA"/>
      </w:pPr>
      <w:r w:rsidRPr="002273C5">
        <w:t>Finlepsin 200 mg tabletės</w:t>
      </w:r>
    </w:p>
    <w:p w:rsidR="00973B0B" w:rsidRPr="00EA7F30" w:rsidRDefault="00973B0B" w:rsidP="007F7D76">
      <w:pPr>
        <w:pStyle w:val="BTEMEASMCA"/>
      </w:pPr>
    </w:p>
    <w:p w:rsidR="00973B0B" w:rsidRPr="00EA7F30" w:rsidRDefault="00973B0B" w:rsidP="007F7D76">
      <w:pPr>
        <w:pStyle w:val="BTEMEASMCA"/>
      </w:pPr>
    </w:p>
    <w:p w:rsidR="00973B0B" w:rsidRPr="00EA7F30" w:rsidRDefault="00973B0B" w:rsidP="008F211F">
      <w:pPr>
        <w:pStyle w:val="PI-1EMEASMCA"/>
      </w:pPr>
      <w:bookmarkStart w:id="7" w:name="_Toc129243099"/>
      <w:bookmarkStart w:id="8" w:name="_Toc129243224"/>
      <w:r>
        <w:t>2.</w:t>
      </w:r>
      <w:r>
        <w:tab/>
        <w:t>KOKYBINĖ IR KIEKYBINĖ SUDĖTIS</w:t>
      </w:r>
      <w:bookmarkEnd w:id="7"/>
      <w:bookmarkEnd w:id="8"/>
    </w:p>
    <w:p w:rsidR="00973B0B" w:rsidRPr="00EA7F30" w:rsidRDefault="00973B0B" w:rsidP="007F7D76">
      <w:pPr>
        <w:pStyle w:val="BTEMEASMCA"/>
      </w:pP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Vienoje tabletėje yra 200 mg karbamazepino.</w:t>
      </w:r>
    </w:p>
    <w:p w:rsidR="00973B0B" w:rsidRPr="00EA7F30" w:rsidRDefault="00973B0B" w:rsidP="007F7D76">
      <w:pPr>
        <w:pStyle w:val="BTEMEASMCA"/>
      </w:pPr>
    </w:p>
    <w:p w:rsidR="00973B0B" w:rsidRPr="002273C5" w:rsidRDefault="00973B0B" w:rsidP="007F7D76">
      <w:pPr>
        <w:pStyle w:val="BTEMEASMCA"/>
      </w:pPr>
      <w:r w:rsidRPr="002273C5">
        <w:t>Visos pagalbinės medžiagos išvardytos 6.1 skyriuje.</w:t>
      </w:r>
    </w:p>
    <w:p w:rsidR="00973B0B" w:rsidRPr="00EA7F30" w:rsidRDefault="00973B0B" w:rsidP="007F7D76">
      <w:pPr>
        <w:pStyle w:val="BTEMEASMCA"/>
      </w:pPr>
    </w:p>
    <w:p w:rsidR="00973B0B" w:rsidRPr="00EA7F30" w:rsidRDefault="00973B0B" w:rsidP="007F7D76">
      <w:pPr>
        <w:pStyle w:val="BTEMEASMCA"/>
      </w:pPr>
    </w:p>
    <w:p w:rsidR="00973B0B" w:rsidRPr="00EA7F30" w:rsidRDefault="00973B0B" w:rsidP="008F211F">
      <w:pPr>
        <w:pStyle w:val="PI-1EMEASMCA"/>
      </w:pPr>
      <w:bookmarkStart w:id="9" w:name="_Toc129243100"/>
      <w:bookmarkStart w:id="10" w:name="_Toc129243225"/>
      <w:r>
        <w:t>3.</w:t>
      </w:r>
      <w:r>
        <w:tab/>
        <w:t>FARMACINĖ FORMA</w:t>
      </w:r>
      <w:bookmarkEnd w:id="9"/>
      <w:bookmarkEnd w:id="10"/>
    </w:p>
    <w:p w:rsidR="00973B0B" w:rsidRPr="00EA7F30" w:rsidRDefault="00973B0B" w:rsidP="007F7D76">
      <w:pPr>
        <w:pStyle w:val="BTEMEASMCA"/>
      </w:pPr>
    </w:p>
    <w:p w:rsidR="00973B0B" w:rsidRPr="00522B87" w:rsidRDefault="00973B0B" w:rsidP="007F7D76">
      <w:pPr>
        <w:pStyle w:val="BTEMEASMCA"/>
      </w:pPr>
      <w:r w:rsidRPr="00522B87">
        <w:t>Tabletė</w:t>
      </w:r>
    </w:p>
    <w:p w:rsidR="00973B0B" w:rsidRPr="00EA7F30" w:rsidRDefault="00973B0B" w:rsidP="007F7D76">
      <w:pPr>
        <w:pStyle w:val="BTEMEASMCA"/>
      </w:pPr>
    </w:p>
    <w:p w:rsidR="00973B0B" w:rsidRPr="001B0AB9" w:rsidRDefault="00973B0B" w:rsidP="000720DD">
      <w:pPr>
        <w:autoSpaceDE w:val="0"/>
        <w:autoSpaceDN w:val="0"/>
        <w:adjustRightInd w:val="0"/>
        <w:rPr>
          <w:sz w:val="22"/>
          <w:szCs w:val="22"/>
        </w:rPr>
      </w:pPr>
      <w:r>
        <w:rPr>
          <w:sz w:val="22"/>
          <w:szCs w:val="22"/>
          <w:lang w:eastAsia="lt-LT"/>
        </w:rPr>
        <w:t xml:space="preserve">Balta, apvali abipus išgaubta tabletė nuožulniais kraštais ir gilia įranta vienoje pusėje. </w:t>
      </w:r>
    </w:p>
    <w:p w:rsidR="00973B0B" w:rsidRPr="00EA7F30" w:rsidRDefault="00973B0B" w:rsidP="007F7D76">
      <w:pPr>
        <w:pStyle w:val="BTEMEASMCA"/>
      </w:pPr>
    </w:p>
    <w:p w:rsidR="00973B0B" w:rsidRPr="002273C5" w:rsidRDefault="00973B0B" w:rsidP="007F7D76">
      <w:pPr>
        <w:pStyle w:val="BTEMEASMCA"/>
      </w:pPr>
      <w:r w:rsidRPr="002273C5">
        <w:t>Tabletę galima padalyti į lygias dozes.</w:t>
      </w:r>
    </w:p>
    <w:p w:rsidR="00973B0B" w:rsidRPr="00EA7F30" w:rsidRDefault="00973B0B" w:rsidP="007F7D76">
      <w:pPr>
        <w:pStyle w:val="BTEMEASMCA"/>
      </w:pPr>
    </w:p>
    <w:p w:rsidR="00973B0B" w:rsidRPr="00EA7F30" w:rsidRDefault="00973B0B" w:rsidP="007F7D76">
      <w:pPr>
        <w:pStyle w:val="BTEMEASMCA"/>
      </w:pPr>
    </w:p>
    <w:p w:rsidR="00973B0B" w:rsidRPr="00EA7F30" w:rsidRDefault="00973B0B" w:rsidP="008F211F">
      <w:pPr>
        <w:pStyle w:val="PI-1EMEASMCA"/>
      </w:pPr>
      <w:bookmarkStart w:id="11" w:name="_Toc129243101"/>
      <w:bookmarkStart w:id="12" w:name="_Toc129243226"/>
      <w:r>
        <w:t>4.</w:t>
      </w:r>
      <w:r>
        <w:tab/>
        <w:t>KLINIKINĖ INFORMACIJA</w:t>
      </w:r>
      <w:bookmarkEnd w:id="11"/>
      <w:bookmarkEnd w:id="12"/>
    </w:p>
    <w:p w:rsidR="00973B0B" w:rsidRPr="00EA7F30" w:rsidRDefault="00973B0B" w:rsidP="007F7D76">
      <w:pPr>
        <w:pStyle w:val="BTEMEASMCA"/>
      </w:pPr>
    </w:p>
    <w:p w:rsidR="00973B0B" w:rsidRPr="00EA7F30" w:rsidRDefault="00973B0B" w:rsidP="008F211F">
      <w:pPr>
        <w:pStyle w:val="PI-2EMEASMCA"/>
      </w:pPr>
      <w:bookmarkStart w:id="13" w:name="_Toc129243102"/>
      <w:bookmarkStart w:id="14" w:name="_Toc129243227"/>
      <w:r>
        <w:t>4.1</w:t>
      </w:r>
      <w:r>
        <w:tab/>
        <w:t>Terapinės indikacijos</w:t>
      </w:r>
      <w:bookmarkEnd w:id="13"/>
      <w:bookmarkEnd w:id="14"/>
    </w:p>
    <w:p w:rsidR="00973B0B" w:rsidRPr="00EA7F30" w:rsidRDefault="00973B0B" w:rsidP="007F7D76">
      <w:pPr>
        <w:pStyle w:val="BTEMEASMCA"/>
      </w:pPr>
    </w:p>
    <w:p w:rsidR="00973B0B" w:rsidRPr="00EA7F30" w:rsidRDefault="00973B0B" w:rsidP="00F06DC2">
      <w:pPr>
        <w:numPr>
          <w:ilvl w:val="0"/>
          <w:numId w:val="8"/>
        </w:numPr>
        <w:autoSpaceDE w:val="0"/>
        <w:autoSpaceDN w:val="0"/>
        <w:adjustRightInd w:val="0"/>
        <w:rPr>
          <w:sz w:val="22"/>
          <w:szCs w:val="22"/>
        </w:rPr>
      </w:pPr>
      <w:r>
        <w:rPr>
          <w:sz w:val="22"/>
          <w:szCs w:val="22"/>
        </w:rPr>
        <w:t>Epilepsijos, pasireiškiančios paprastais ar sudėtiniais (kompleksiniai</w:t>
      </w:r>
      <w:r w:rsidR="009E2E90">
        <w:rPr>
          <w:sz w:val="22"/>
          <w:szCs w:val="22"/>
        </w:rPr>
        <w:t>s</w:t>
      </w:r>
      <w:r>
        <w:rPr>
          <w:sz w:val="22"/>
          <w:szCs w:val="22"/>
        </w:rPr>
        <w:t>) židininiais priepuoliai</w:t>
      </w:r>
      <w:r w:rsidR="009E2E90">
        <w:rPr>
          <w:sz w:val="22"/>
          <w:szCs w:val="22"/>
        </w:rPr>
        <w:t>s</w:t>
      </w:r>
      <w:r>
        <w:rPr>
          <w:sz w:val="22"/>
          <w:szCs w:val="22"/>
        </w:rPr>
        <w:t>,</w:t>
      </w:r>
      <w:r w:rsidR="009E2E90">
        <w:rPr>
          <w:sz w:val="22"/>
          <w:szCs w:val="22"/>
        </w:rPr>
        <w:t xml:space="preserve"> </w:t>
      </w:r>
      <w:r>
        <w:rPr>
          <w:sz w:val="22"/>
          <w:szCs w:val="22"/>
        </w:rPr>
        <w:t>kurių metu gali pasireikšti antrinė generalizacija ir kurių metu ligonis praranda sąmonę arba lieka sąmoningas, gydymas.</w:t>
      </w:r>
    </w:p>
    <w:p w:rsidR="00973B0B" w:rsidRPr="00EA7F30" w:rsidRDefault="00973B0B" w:rsidP="00F06DC2">
      <w:pPr>
        <w:numPr>
          <w:ilvl w:val="0"/>
          <w:numId w:val="8"/>
        </w:numPr>
        <w:autoSpaceDE w:val="0"/>
        <w:autoSpaceDN w:val="0"/>
        <w:adjustRightInd w:val="0"/>
        <w:rPr>
          <w:sz w:val="22"/>
          <w:szCs w:val="22"/>
        </w:rPr>
      </w:pPr>
      <w:r>
        <w:rPr>
          <w:sz w:val="22"/>
          <w:szCs w:val="22"/>
        </w:rPr>
        <w:t>Epilepsijos, pasireiškiančios generalizuotais toniniais-kloniniais traukuliais ar mišrių formų priepuoliais gydymas.</w:t>
      </w:r>
    </w:p>
    <w:p w:rsidR="00973B0B" w:rsidRPr="00EA7F30" w:rsidRDefault="00973B0B" w:rsidP="00F06DC2">
      <w:pPr>
        <w:tabs>
          <w:tab w:val="num" w:pos="567"/>
        </w:tabs>
        <w:ind w:left="567" w:hanging="567"/>
        <w:rPr>
          <w:sz w:val="22"/>
          <w:szCs w:val="22"/>
        </w:rPr>
      </w:pPr>
      <w:r>
        <w:rPr>
          <w:sz w:val="22"/>
          <w:szCs w:val="22"/>
        </w:rPr>
        <w:t xml:space="preserve">Galima vartoti vien Finlepsin arba jo ir kitokių vaistinių preparatų nuo epilepsijos. </w:t>
      </w:r>
    </w:p>
    <w:p w:rsidR="00973B0B" w:rsidRPr="00EA7F30" w:rsidRDefault="00973B0B" w:rsidP="00F06DC2">
      <w:pPr>
        <w:rPr>
          <w:sz w:val="22"/>
          <w:szCs w:val="22"/>
        </w:rPr>
      </w:pPr>
      <w:r>
        <w:rPr>
          <w:sz w:val="22"/>
          <w:szCs w:val="22"/>
        </w:rPr>
        <w:t>Finlepsin paprastai neveiksminga gydyti absansus (</w:t>
      </w:r>
      <w:r>
        <w:rPr>
          <w:i/>
          <w:sz w:val="22"/>
          <w:szCs w:val="22"/>
        </w:rPr>
        <w:t>petit mal</w:t>
      </w:r>
      <w:r>
        <w:rPr>
          <w:sz w:val="22"/>
          <w:szCs w:val="22"/>
        </w:rPr>
        <w:t>) ir miokloninius traukulius (žr. 4.4 skyrių).</w:t>
      </w:r>
    </w:p>
    <w:p w:rsidR="00973B0B" w:rsidRPr="00EA7F30" w:rsidRDefault="00973B0B" w:rsidP="00F06DC2">
      <w:pPr>
        <w:numPr>
          <w:ilvl w:val="0"/>
          <w:numId w:val="8"/>
        </w:numPr>
        <w:rPr>
          <w:sz w:val="22"/>
          <w:szCs w:val="22"/>
        </w:rPr>
      </w:pPr>
      <w:r>
        <w:rPr>
          <w:sz w:val="22"/>
          <w:szCs w:val="22"/>
        </w:rPr>
        <w:t>Idiopatinės ar dėl išsėtinės sklerozės atsiradusios trišakio nervo neuralgijos (tipinės ar atipinės) gydymas.</w:t>
      </w:r>
    </w:p>
    <w:p w:rsidR="00973B0B" w:rsidRPr="00EA7F30" w:rsidRDefault="00973B0B" w:rsidP="00F06DC2">
      <w:pPr>
        <w:numPr>
          <w:ilvl w:val="0"/>
          <w:numId w:val="8"/>
        </w:numPr>
        <w:autoSpaceDE w:val="0"/>
        <w:autoSpaceDN w:val="0"/>
        <w:adjustRightInd w:val="0"/>
        <w:rPr>
          <w:sz w:val="22"/>
          <w:szCs w:val="22"/>
        </w:rPr>
      </w:pPr>
      <w:r>
        <w:rPr>
          <w:sz w:val="22"/>
          <w:szCs w:val="22"/>
        </w:rPr>
        <w:t xml:space="preserve">Alkoholio nutraukimo sindromo gydymas. </w:t>
      </w:r>
    </w:p>
    <w:p w:rsidR="00973B0B" w:rsidRPr="00EA7F30" w:rsidRDefault="00973B0B" w:rsidP="007F7D76">
      <w:pPr>
        <w:pStyle w:val="BTEMEASMCA"/>
      </w:pPr>
    </w:p>
    <w:p w:rsidR="00973B0B" w:rsidRPr="00EA7F30" w:rsidRDefault="00973B0B" w:rsidP="008F211F">
      <w:pPr>
        <w:pStyle w:val="PI-2EMEASMCA"/>
      </w:pPr>
      <w:bookmarkStart w:id="15" w:name="_Toc129243103"/>
      <w:bookmarkStart w:id="16" w:name="_Toc129243228"/>
      <w:r>
        <w:t>4.2</w:t>
      </w:r>
      <w:r>
        <w:tab/>
        <w:t>Dozavimas ir vartojimo metodas</w:t>
      </w:r>
      <w:bookmarkEnd w:id="15"/>
      <w:bookmarkEnd w:id="16"/>
    </w:p>
    <w:p w:rsidR="00973B0B" w:rsidRPr="00EA7F30" w:rsidRDefault="00973B0B" w:rsidP="007F7D76">
      <w:pPr>
        <w:pStyle w:val="BTEMEASMCA"/>
      </w:pP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Gydyti pradedama maža doze. Kiekvienam pacientui ji nustatoma, atsižvelgus į ligos pobūdį, jos sunkumą. Vėliau ji laipsniškai didinama, kol pasiekiama optimali palaikomoji dozė.</w:t>
      </w: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Gydomąją dozę pacientui reikia nustatyti, ypač jei vartojama kelių vaistinių preparatų nuo epilepsijos, tiriant jų koncentraciją kraujo plazmoje. Gydomasis poveikis pasireiškia, jei karbamazepino koncentracija plazmoje būna 4-12 μg/ml.</w:t>
      </w: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Įprasta karbamazepino paros dozė yra 400-1200 mg. Ji geriama per 3-4 kartus. Per parą patariama gerti ne daugiau kaip 1200 mg karbamazepino. Didžiausia paros dozė neturi viršyti 1600 mg, kadangi vartojant didesnes dozes dažniau pasireiškia nepageidaujamas poveikis.</w:t>
      </w: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Pacientui reikiama dozė gali labai skirtis nuo nurodytos pradinės ir palaikomosios dozės (pavyzdžiui, pagreitėjus vaistinio preparato metabolizmui dėl fermentų indukcijos arba dėl galimos vaistinių preparatų sąveikos, kai gydoma keliais vaistiniais preparatais nuo epilepsijos).</w:t>
      </w: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Karbamazepino pradedant vartoti vietoj kitokio vaistinio preparato nuo epilepsijos, pastarojo vaistinio preparato dozę reikia mažinti palaipsniui. Jei įmanoma, geriausiai vartoti vieno vaistinio preparato nuo epilepsijos. Gydymą turi prižiūrėti gydytojas, turintis epilepsijos gydymo patirtį. Jeigu nepaskirta kitaip, patariama laikytis toliau pateiktų dozavimo rekomendacijų.</w:t>
      </w:r>
    </w:p>
    <w:p w:rsidR="00973B0B" w:rsidRPr="00EA7F30" w:rsidRDefault="00973B0B" w:rsidP="008F211F">
      <w:pPr>
        <w:pStyle w:val="Style"/>
        <w:rPr>
          <w:rFonts w:ascii="Times New Roman" w:hAnsi="Times New Roman" w:cs="Times New Roman"/>
          <w:sz w:val="22"/>
          <w:szCs w:val="22"/>
        </w:rPr>
      </w:pPr>
    </w:p>
    <w:p w:rsidR="00973B0B" w:rsidRPr="00EA7F30" w:rsidRDefault="00973B0B" w:rsidP="008F211F">
      <w:pPr>
        <w:pStyle w:val="Style"/>
        <w:rPr>
          <w:rFonts w:ascii="Times New Roman" w:hAnsi="Times New Roman" w:cs="Times New Roman"/>
          <w:i/>
          <w:iCs/>
          <w:sz w:val="22"/>
          <w:szCs w:val="22"/>
        </w:rPr>
      </w:pPr>
      <w:r>
        <w:rPr>
          <w:rFonts w:ascii="Times New Roman" w:hAnsi="Times New Roman" w:cs="Times New Roman"/>
          <w:i/>
          <w:iCs/>
          <w:sz w:val="22"/>
          <w:szCs w:val="22"/>
        </w:rPr>
        <w:t xml:space="preserve">Epilepsijos gydymas </w:t>
      </w: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 xml:space="preserve">Įprastai suaugusiems žmonėms pradinė Finlepsin paros dozė yra 200-400 mg (1-2 tabletės). Ji lėtai </w:t>
      </w:r>
      <w:r>
        <w:rPr>
          <w:rFonts w:ascii="Times New Roman" w:hAnsi="Times New Roman" w:cs="Times New Roman"/>
          <w:sz w:val="22"/>
          <w:szCs w:val="22"/>
        </w:rPr>
        <w:lastRenderedPageBreak/>
        <w:t>didinama iki palaikomosios, t.y. 800-1200 mg paros dozės. Vaikams palaikomoji paros dozė paprastai yra 10-20 mg/kg kūno svorio.</w:t>
      </w:r>
    </w:p>
    <w:p w:rsidR="00973B0B" w:rsidRPr="00EA7F30" w:rsidRDefault="00973B0B" w:rsidP="008F211F">
      <w:pPr>
        <w:pStyle w:val="Style"/>
        <w:rPr>
          <w:rFonts w:ascii="Times New Roman" w:hAnsi="Times New Roman" w:cs="Times New Roman"/>
          <w:sz w:val="22"/>
          <w:szCs w:val="22"/>
        </w:rPr>
      </w:pP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 xml:space="preserve">Rekomenduojama dozuoti taip, kaip nurodyta lentelėje. </w:t>
      </w:r>
    </w:p>
    <w:p w:rsidR="00973B0B" w:rsidRPr="00EA7F30" w:rsidRDefault="00973B0B" w:rsidP="008F211F">
      <w:pPr>
        <w:pStyle w:val="Style"/>
        <w:rPr>
          <w:rFonts w:ascii="Times New Roman" w:hAnsi="Times New Roman" w:cs="Times New Roman"/>
          <w:sz w:val="22"/>
          <w:szCs w:val="22"/>
        </w:rPr>
      </w:pPr>
    </w:p>
    <w:tbl>
      <w:tblPr>
        <w:tblW w:w="0" w:type="auto"/>
        <w:tblInd w:w="33" w:type="dxa"/>
        <w:tblLayout w:type="fixed"/>
        <w:tblCellMar>
          <w:left w:w="0" w:type="dxa"/>
          <w:right w:w="0" w:type="dxa"/>
        </w:tblCellMar>
        <w:tblLook w:val="0000" w:firstRow="0" w:lastRow="0" w:firstColumn="0" w:lastColumn="0" w:noHBand="0" w:noVBand="0"/>
      </w:tblPr>
      <w:tblGrid>
        <w:gridCol w:w="2021"/>
        <w:gridCol w:w="3221"/>
        <w:gridCol w:w="2822"/>
      </w:tblGrid>
      <w:tr w:rsidR="00973B0B" w:rsidRPr="00656518" w:rsidTr="004427E6">
        <w:trPr>
          <w:trHeight w:hRule="exact" w:val="388"/>
        </w:trPr>
        <w:tc>
          <w:tcPr>
            <w:tcW w:w="2021" w:type="dxa"/>
            <w:tcBorders>
              <w:top w:val="single" w:sz="4" w:space="0" w:color="auto"/>
              <w:left w:val="single" w:sz="4" w:space="0" w:color="auto"/>
              <w:bottom w:val="single" w:sz="4" w:space="0" w:color="auto"/>
              <w:right w:val="single" w:sz="4" w:space="0" w:color="auto"/>
            </w:tcBorders>
            <w:vAlign w:val="center"/>
          </w:tcPr>
          <w:p w:rsidR="00973B0B" w:rsidRPr="00EA7F30" w:rsidRDefault="00973B0B" w:rsidP="004427E6">
            <w:pPr>
              <w:pStyle w:val="Style"/>
              <w:rPr>
                <w:rFonts w:ascii="Times New Roman" w:hAnsi="Times New Roman" w:cs="Times New Roman"/>
                <w:sz w:val="22"/>
                <w:szCs w:val="22"/>
              </w:rPr>
            </w:pPr>
          </w:p>
        </w:tc>
        <w:tc>
          <w:tcPr>
            <w:tcW w:w="3221" w:type="dxa"/>
            <w:tcBorders>
              <w:top w:val="single" w:sz="4" w:space="0" w:color="auto"/>
              <w:left w:val="single" w:sz="4" w:space="0" w:color="auto"/>
              <w:bottom w:val="single" w:sz="4" w:space="0" w:color="auto"/>
              <w:right w:val="single" w:sz="4" w:space="0" w:color="auto"/>
            </w:tcBorders>
            <w:vAlign w:val="center"/>
          </w:tcPr>
          <w:p w:rsidR="00973B0B" w:rsidRPr="00EA7F30" w:rsidRDefault="00973B0B" w:rsidP="004427E6">
            <w:pPr>
              <w:pStyle w:val="Style"/>
              <w:jc w:val="center"/>
              <w:rPr>
                <w:rFonts w:ascii="Times New Roman" w:hAnsi="Times New Roman" w:cs="Times New Roman"/>
                <w:sz w:val="22"/>
                <w:szCs w:val="22"/>
              </w:rPr>
            </w:pPr>
            <w:r>
              <w:rPr>
                <w:rFonts w:ascii="Times New Roman" w:hAnsi="Times New Roman" w:cs="Times New Roman"/>
                <w:sz w:val="22"/>
                <w:szCs w:val="22"/>
              </w:rPr>
              <w:t>Pradinė paros dozė</w:t>
            </w:r>
          </w:p>
        </w:tc>
        <w:tc>
          <w:tcPr>
            <w:tcW w:w="2822" w:type="dxa"/>
            <w:tcBorders>
              <w:top w:val="single" w:sz="4" w:space="0" w:color="auto"/>
              <w:left w:val="single" w:sz="4" w:space="0" w:color="auto"/>
              <w:bottom w:val="single" w:sz="4" w:space="0" w:color="auto"/>
              <w:right w:val="single" w:sz="4" w:space="0" w:color="auto"/>
            </w:tcBorders>
            <w:vAlign w:val="center"/>
          </w:tcPr>
          <w:p w:rsidR="00973B0B" w:rsidRPr="00EA7F30" w:rsidRDefault="00973B0B" w:rsidP="004427E6">
            <w:pPr>
              <w:pStyle w:val="Style"/>
              <w:jc w:val="center"/>
              <w:rPr>
                <w:rFonts w:ascii="Times New Roman" w:hAnsi="Times New Roman" w:cs="Times New Roman"/>
                <w:sz w:val="22"/>
                <w:szCs w:val="22"/>
              </w:rPr>
            </w:pPr>
            <w:r>
              <w:rPr>
                <w:rFonts w:ascii="Times New Roman" w:hAnsi="Times New Roman" w:cs="Times New Roman"/>
                <w:sz w:val="22"/>
                <w:szCs w:val="22"/>
              </w:rPr>
              <w:t>Palaikomoji paros dozė</w:t>
            </w:r>
          </w:p>
        </w:tc>
      </w:tr>
      <w:tr w:rsidR="00973B0B" w:rsidRPr="00656518" w:rsidTr="005D1B6D">
        <w:tblPrEx>
          <w:tblCellMar>
            <w:left w:w="108" w:type="dxa"/>
            <w:right w:w="108" w:type="dxa"/>
          </w:tblCellMar>
        </w:tblPrEx>
        <w:trPr>
          <w:trHeight w:hRule="exact" w:val="1241"/>
        </w:trPr>
        <w:tc>
          <w:tcPr>
            <w:tcW w:w="2021" w:type="dxa"/>
          </w:tcPr>
          <w:p w:rsidR="00973B0B" w:rsidRPr="00EA7F30" w:rsidRDefault="00973B0B" w:rsidP="004427E6">
            <w:pPr>
              <w:pStyle w:val="Style"/>
              <w:keepNext/>
              <w:spacing w:before="240" w:after="60"/>
              <w:outlineLvl w:val="2"/>
              <w:rPr>
                <w:rFonts w:ascii="Times New Roman" w:hAnsi="Times New Roman" w:cs="Times New Roman"/>
                <w:b/>
                <w:i/>
                <w:sz w:val="22"/>
                <w:szCs w:val="22"/>
              </w:rPr>
            </w:pPr>
            <w:r w:rsidRPr="00EA7F30">
              <w:rPr>
                <w:rFonts w:ascii="Times New Roman" w:hAnsi="Times New Roman" w:cs="Times New Roman"/>
                <w:i/>
                <w:sz w:val="22"/>
                <w:szCs w:val="22"/>
              </w:rPr>
              <w:t>Suaugę žmonės ir vyresni nei 15 metų vaikai</w:t>
            </w:r>
          </w:p>
        </w:tc>
        <w:tc>
          <w:tcPr>
            <w:tcW w:w="3221" w:type="dxa"/>
          </w:tcPr>
          <w:p w:rsidR="00973B0B" w:rsidRPr="00EA7F30" w:rsidRDefault="00973B0B" w:rsidP="004427E6">
            <w:pPr>
              <w:pStyle w:val="Style"/>
              <w:jc w:val="center"/>
              <w:rPr>
                <w:rFonts w:ascii="Times New Roman" w:hAnsi="Times New Roman" w:cs="Times New Roman"/>
                <w:sz w:val="22"/>
                <w:szCs w:val="22"/>
              </w:rPr>
            </w:pPr>
            <w:r>
              <w:rPr>
                <w:rFonts w:ascii="Times New Roman" w:hAnsi="Times New Roman" w:cs="Times New Roman"/>
                <w:sz w:val="22"/>
                <w:szCs w:val="22"/>
              </w:rPr>
              <w:t>200 mg (išgeriama iš karto)</w:t>
            </w:r>
          </w:p>
        </w:tc>
        <w:tc>
          <w:tcPr>
            <w:tcW w:w="2822" w:type="dxa"/>
          </w:tcPr>
          <w:p w:rsidR="00973B0B" w:rsidRPr="00EA7F30" w:rsidRDefault="00973B0B" w:rsidP="004427E6">
            <w:pPr>
              <w:pStyle w:val="Style"/>
              <w:jc w:val="center"/>
              <w:rPr>
                <w:rFonts w:ascii="Times New Roman" w:hAnsi="Times New Roman" w:cs="Times New Roman"/>
                <w:sz w:val="22"/>
                <w:szCs w:val="22"/>
              </w:rPr>
            </w:pPr>
            <w:r>
              <w:rPr>
                <w:rFonts w:ascii="Times New Roman" w:hAnsi="Times New Roman" w:cs="Times New Roman"/>
                <w:sz w:val="22"/>
                <w:szCs w:val="22"/>
              </w:rPr>
              <w:t>3 kartus po 200-400 mg</w:t>
            </w:r>
          </w:p>
        </w:tc>
      </w:tr>
      <w:tr w:rsidR="00973B0B" w:rsidRPr="00656518" w:rsidTr="004427E6">
        <w:trPr>
          <w:trHeight w:hRule="exact" w:val="432"/>
        </w:trPr>
        <w:tc>
          <w:tcPr>
            <w:tcW w:w="2021" w:type="dxa"/>
            <w:tcBorders>
              <w:top w:val="single" w:sz="4" w:space="0" w:color="auto"/>
              <w:left w:val="single" w:sz="4" w:space="0" w:color="auto"/>
              <w:bottom w:val="single" w:sz="4" w:space="0" w:color="auto"/>
              <w:right w:val="single" w:sz="4" w:space="0" w:color="auto"/>
            </w:tcBorders>
            <w:vAlign w:val="center"/>
          </w:tcPr>
          <w:p w:rsidR="00973B0B" w:rsidRPr="00EA7F30" w:rsidRDefault="00973B0B" w:rsidP="004427E6">
            <w:pPr>
              <w:pStyle w:val="Style"/>
              <w:rPr>
                <w:rFonts w:ascii="Times New Roman" w:hAnsi="Times New Roman" w:cs="Times New Roman"/>
                <w:i/>
                <w:iCs/>
                <w:sz w:val="22"/>
                <w:szCs w:val="22"/>
              </w:rPr>
            </w:pPr>
            <w:r w:rsidRPr="00EA7F30">
              <w:rPr>
                <w:rFonts w:ascii="Times New Roman" w:hAnsi="Times New Roman" w:cs="Times New Roman"/>
                <w:i/>
                <w:iCs/>
                <w:sz w:val="22"/>
                <w:szCs w:val="22"/>
              </w:rPr>
              <w:t xml:space="preserve">Vaikai* </w:t>
            </w:r>
          </w:p>
        </w:tc>
        <w:tc>
          <w:tcPr>
            <w:tcW w:w="3221" w:type="dxa"/>
            <w:tcBorders>
              <w:top w:val="single" w:sz="4" w:space="0" w:color="auto"/>
              <w:left w:val="single" w:sz="4" w:space="0" w:color="auto"/>
              <w:bottom w:val="single" w:sz="4" w:space="0" w:color="auto"/>
              <w:right w:val="single" w:sz="4" w:space="0" w:color="auto"/>
            </w:tcBorders>
            <w:vAlign w:val="center"/>
          </w:tcPr>
          <w:p w:rsidR="00973B0B" w:rsidRPr="00EA7F30" w:rsidRDefault="00973B0B" w:rsidP="004427E6">
            <w:pPr>
              <w:pStyle w:val="Style"/>
              <w:jc w:val="center"/>
              <w:rPr>
                <w:rFonts w:ascii="Times New Roman" w:hAnsi="Times New Roman" w:cs="Times New Roman"/>
                <w:sz w:val="22"/>
                <w:szCs w:val="22"/>
              </w:rPr>
            </w:pPr>
            <w:r>
              <w:rPr>
                <w:rFonts w:ascii="Times New Roman" w:hAnsi="Times New Roman" w:cs="Times New Roman"/>
                <w:sz w:val="22"/>
                <w:szCs w:val="22"/>
              </w:rPr>
              <w:t>Žr. "Pastaba"</w:t>
            </w:r>
          </w:p>
        </w:tc>
        <w:tc>
          <w:tcPr>
            <w:tcW w:w="2822" w:type="dxa"/>
            <w:tcBorders>
              <w:top w:val="single" w:sz="4" w:space="0" w:color="auto"/>
              <w:left w:val="single" w:sz="4" w:space="0" w:color="auto"/>
              <w:bottom w:val="single" w:sz="4" w:space="0" w:color="auto"/>
              <w:right w:val="single" w:sz="4" w:space="0" w:color="auto"/>
            </w:tcBorders>
            <w:vAlign w:val="center"/>
          </w:tcPr>
          <w:p w:rsidR="00973B0B" w:rsidRPr="00EA7F30" w:rsidRDefault="00973B0B" w:rsidP="004427E6">
            <w:pPr>
              <w:pStyle w:val="Style"/>
              <w:jc w:val="center"/>
              <w:rPr>
                <w:rFonts w:ascii="Times New Roman" w:hAnsi="Times New Roman" w:cs="Times New Roman"/>
                <w:sz w:val="22"/>
                <w:szCs w:val="22"/>
              </w:rPr>
            </w:pPr>
          </w:p>
        </w:tc>
      </w:tr>
      <w:tr w:rsidR="00973B0B" w:rsidRPr="00656518" w:rsidTr="005D1B6D">
        <w:tblPrEx>
          <w:tblCellMar>
            <w:left w:w="108" w:type="dxa"/>
            <w:right w:w="108" w:type="dxa"/>
          </w:tblCellMar>
        </w:tblPrEx>
        <w:trPr>
          <w:trHeight w:hRule="exact" w:val="699"/>
        </w:trPr>
        <w:tc>
          <w:tcPr>
            <w:tcW w:w="2021" w:type="dxa"/>
          </w:tcPr>
          <w:p w:rsidR="00973B0B" w:rsidRPr="00EA7F30" w:rsidRDefault="00973B0B" w:rsidP="005D1B6D">
            <w:pPr>
              <w:pStyle w:val="Style"/>
              <w:keepNext/>
              <w:spacing w:before="240" w:after="60"/>
              <w:jc w:val="center"/>
              <w:outlineLvl w:val="2"/>
              <w:rPr>
                <w:rFonts w:ascii="Times New Roman" w:hAnsi="Times New Roman" w:cs="Times New Roman"/>
                <w:b/>
                <w:iCs/>
                <w:sz w:val="22"/>
                <w:szCs w:val="22"/>
              </w:rPr>
            </w:pPr>
            <w:r w:rsidRPr="00EA7F30">
              <w:rPr>
                <w:rFonts w:ascii="Times New Roman" w:hAnsi="Times New Roman" w:cs="Times New Roman"/>
                <w:iCs/>
                <w:sz w:val="22"/>
                <w:szCs w:val="22"/>
              </w:rPr>
              <w:t>1-5 metų</w:t>
            </w:r>
          </w:p>
        </w:tc>
        <w:tc>
          <w:tcPr>
            <w:tcW w:w="3221" w:type="dxa"/>
          </w:tcPr>
          <w:p w:rsidR="00973B0B" w:rsidRPr="00EA7F30" w:rsidRDefault="00973B0B" w:rsidP="004427E6">
            <w:pPr>
              <w:pStyle w:val="Style"/>
              <w:jc w:val="center"/>
              <w:rPr>
                <w:rFonts w:ascii="Times New Roman" w:hAnsi="Times New Roman" w:cs="Times New Roman"/>
                <w:sz w:val="22"/>
                <w:szCs w:val="22"/>
              </w:rPr>
            </w:pPr>
            <w:r>
              <w:rPr>
                <w:rFonts w:ascii="Times New Roman" w:hAnsi="Times New Roman" w:cs="Times New Roman"/>
                <w:sz w:val="22"/>
                <w:szCs w:val="22"/>
              </w:rPr>
              <w:t>1-2 kartus po 100 mg</w:t>
            </w:r>
          </w:p>
        </w:tc>
        <w:tc>
          <w:tcPr>
            <w:tcW w:w="2822" w:type="dxa"/>
          </w:tcPr>
          <w:p w:rsidR="00973B0B" w:rsidRPr="00EA7F30" w:rsidRDefault="00973B0B" w:rsidP="004427E6">
            <w:pPr>
              <w:pStyle w:val="Style"/>
              <w:jc w:val="center"/>
              <w:rPr>
                <w:rFonts w:ascii="Times New Roman" w:hAnsi="Times New Roman" w:cs="Times New Roman"/>
                <w:sz w:val="22"/>
                <w:szCs w:val="22"/>
              </w:rPr>
            </w:pPr>
            <w:r>
              <w:rPr>
                <w:rFonts w:ascii="Times New Roman" w:hAnsi="Times New Roman" w:cs="Times New Roman"/>
                <w:sz w:val="22"/>
                <w:szCs w:val="22"/>
              </w:rPr>
              <w:t>1-2 kartus po 200 mg</w:t>
            </w:r>
          </w:p>
        </w:tc>
      </w:tr>
      <w:tr w:rsidR="00973B0B" w:rsidRPr="00656518" w:rsidTr="005D1B6D">
        <w:tblPrEx>
          <w:tblCellMar>
            <w:left w:w="108" w:type="dxa"/>
            <w:right w:w="108" w:type="dxa"/>
          </w:tblCellMar>
        </w:tblPrEx>
        <w:trPr>
          <w:trHeight w:hRule="exact" w:val="567"/>
        </w:trPr>
        <w:tc>
          <w:tcPr>
            <w:tcW w:w="2021" w:type="dxa"/>
          </w:tcPr>
          <w:p w:rsidR="00973B0B" w:rsidRPr="00EA7F30" w:rsidRDefault="00973B0B" w:rsidP="005D1B6D">
            <w:pPr>
              <w:pStyle w:val="Style"/>
              <w:keepNext/>
              <w:spacing w:before="240" w:after="60"/>
              <w:jc w:val="center"/>
              <w:outlineLvl w:val="2"/>
              <w:rPr>
                <w:rFonts w:ascii="Times New Roman" w:hAnsi="Times New Roman" w:cs="Times New Roman"/>
                <w:b/>
                <w:iCs/>
                <w:sz w:val="22"/>
                <w:szCs w:val="22"/>
              </w:rPr>
            </w:pPr>
            <w:r w:rsidRPr="00EA7F30">
              <w:rPr>
                <w:rFonts w:ascii="Times New Roman" w:hAnsi="Times New Roman" w:cs="Times New Roman"/>
                <w:iCs/>
                <w:sz w:val="22"/>
                <w:szCs w:val="22"/>
              </w:rPr>
              <w:t>6-10 metų</w:t>
            </w:r>
          </w:p>
        </w:tc>
        <w:tc>
          <w:tcPr>
            <w:tcW w:w="3221" w:type="dxa"/>
          </w:tcPr>
          <w:p w:rsidR="00973B0B" w:rsidRPr="00EA7F30" w:rsidRDefault="00973B0B" w:rsidP="004427E6">
            <w:pPr>
              <w:pStyle w:val="Style"/>
              <w:jc w:val="center"/>
              <w:rPr>
                <w:rFonts w:ascii="Times New Roman" w:hAnsi="Times New Roman" w:cs="Times New Roman"/>
                <w:sz w:val="22"/>
                <w:szCs w:val="22"/>
              </w:rPr>
            </w:pPr>
            <w:r>
              <w:rPr>
                <w:rFonts w:ascii="Times New Roman" w:hAnsi="Times New Roman" w:cs="Times New Roman"/>
                <w:sz w:val="22"/>
                <w:szCs w:val="22"/>
              </w:rPr>
              <w:t>2 kartus po 100 mg</w:t>
            </w:r>
          </w:p>
        </w:tc>
        <w:tc>
          <w:tcPr>
            <w:tcW w:w="2822" w:type="dxa"/>
          </w:tcPr>
          <w:p w:rsidR="00973B0B" w:rsidRPr="00EA7F30" w:rsidRDefault="00973B0B" w:rsidP="004427E6">
            <w:pPr>
              <w:pStyle w:val="Style"/>
              <w:jc w:val="center"/>
              <w:rPr>
                <w:rFonts w:ascii="Times New Roman" w:hAnsi="Times New Roman" w:cs="Times New Roman"/>
                <w:sz w:val="22"/>
                <w:szCs w:val="22"/>
              </w:rPr>
            </w:pPr>
            <w:r>
              <w:rPr>
                <w:rFonts w:ascii="Times New Roman" w:hAnsi="Times New Roman" w:cs="Times New Roman"/>
                <w:sz w:val="22"/>
                <w:szCs w:val="22"/>
              </w:rPr>
              <w:t>3 kartus po 200 mg</w:t>
            </w:r>
          </w:p>
        </w:tc>
      </w:tr>
      <w:tr w:rsidR="00973B0B" w:rsidRPr="00656518" w:rsidTr="005D1B6D">
        <w:tblPrEx>
          <w:tblCellMar>
            <w:left w:w="108" w:type="dxa"/>
            <w:right w:w="108" w:type="dxa"/>
          </w:tblCellMar>
        </w:tblPrEx>
        <w:trPr>
          <w:trHeight w:hRule="exact" w:val="561"/>
        </w:trPr>
        <w:tc>
          <w:tcPr>
            <w:tcW w:w="2021" w:type="dxa"/>
          </w:tcPr>
          <w:p w:rsidR="00973B0B" w:rsidRPr="00EA7F30" w:rsidRDefault="00973B0B" w:rsidP="005D1B6D">
            <w:pPr>
              <w:pStyle w:val="Style"/>
              <w:keepNext/>
              <w:spacing w:before="240" w:after="60"/>
              <w:jc w:val="center"/>
              <w:outlineLvl w:val="2"/>
              <w:rPr>
                <w:rFonts w:ascii="Times New Roman" w:hAnsi="Times New Roman" w:cs="Times New Roman"/>
                <w:b/>
                <w:iCs/>
                <w:sz w:val="22"/>
                <w:szCs w:val="22"/>
              </w:rPr>
            </w:pPr>
            <w:r w:rsidRPr="00EA7F30">
              <w:rPr>
                <w:rFonts w:ascii="Times New Roman" w:hAnsi="Times New Roman" w:cs="Times New Roman"/>
                <w:iCs/>
                <w:sz w:val="22"/>
                <w:szCs w:val="22"/>
              </w:rPr>
              <w:t>11-15 metų</w:t>
            </w:r>
          </w:p>
        </w:tc>
        <w:tc>
          <w:tcPr>
            <w:tcW w:w="3221" w:type="dxa"/>
          </w:tcPr>
          <w:p w:rsidR="00973B0B" w:rsidRPr="00EA7F30" w:rsidRDefault="00973B0B" w:rsidP="004427E6">
            <w:pPr>
              <w:pStyle w:val="Style"/>
              <w:jc w:val="center"/>
              <w:rPr>
                <w:rFonts w:ascii="Times New Roman" w:hAnsi="Times New Roman" w:cs="Times New Roman"/>
                <w:sz w:val="22"/>
                <w:szCs w:val="22"/>
              </w:rPr>
            </w:pPr>
            <w:r>
              <w:rPr>
                <w:rFonts w:ascii="Times New Roman" w:hAnsi="Times New Roman" w:cs="Times New Roman"/>
                <w:sz w:val="22"/>
                <w:szCs w:val="22"/>
              </w:rPr>
              <w:t>2-3 kartus po 100 mg</w:t>
            </w:r>
          </w:p>
        </w:tc>
        <w:tc>
          <w:tcPr>
            <w:tcW w:w="2822" w:type="dxa"/>
          </w:tcPr>
          <w:p w:rsidR="00973B0B" w:rsidRPr="00EA7F30" w:rsidRDefault="00973B0B" w:rsidP="004427E6">
            <w:pPr>
              <w:pStyle w:val="Style"/>
              <w:jc w:val="center"/>
              <w:rPr>
                <w:rFonts w:ascii="Times New Roman" w:hAnsi="Times New Roman" w:cs="Times New Roman"/>
                <w:sz w:val="22"/>
                <w:szCs w:val="22"/>
              </w:rPr>
            </w:pPr>
            <w:r>
              <w:rPr>
                <w:rFonts w:ascii="Times New Roman" w:hAnsi="Times New Roman" w:cs="Times New Roman"/>
                <w:sz w:val="22"/>
                <w:szCs w:val="22"/>
              </w:rPr>
              <w:t>3-5 kartus po 200 mg</w:t>
            </w:r>
          </w:p>
        </w:tc>
      </w:tr>
    </w:tbl>
    <w:p w:rsidR="00973B0B" w:rsidRPr="00EA7F30" w:rsidRDefault="00973B0B" w:rsidP="008F211F">
      <w:pPr>
        <w:pStyle w:val="Style"/>
        <w:rPr>
          <w:rFonts w:ascii="Times New Roman" w:hAnsi="Times New Roman" w:cs="Times New Roman"/>
          <w:i/>
          <w:iCs/>
          <w:sz w:val="22"/>
          <w:szCs w:val="22"/>
        </w:rPr>
      </w:pPr>
      <w:r w:rsidRPr="00EA7F30">
        <w:rPr>
          <w:rFonts w:ascii="Times New Roman" w:hAnsi="Times New Roman" w:cs="Times New Roman"/>
          <w:i/>
          <w:iCs/>
          <w:sz w:val="22"/>
          <w:szCs w:val="22"/>
        </w:rPr>
        <w:t>*Pastaba</w:t>
      </w:r>
    </w:p>
    <w:p w:rsidR="00973B0B" w:rsidRPr="00EA7F30" w:rsidRDefault="00973B0B" w:rsidP="00A57836">
      <w:pPr>
        <w:jc w:val="both"/>
        <w:rPr>
          <w:sz w:val="22"/>
          <w:szCs w:val="22"/>
        </w:rPr>
      </w:pPr>
      <w:r>
        <w:rPr>
          <w:sz w:val="22"/>
          <w:szCs w:val="22"/>
        </w:rPr>
        <w:t>Jaunesniems negu 3 metų vaikams didžiausia paros dozė yra 200 mg.</w:t>
      </w:r>
    </w:p>
    <w:p w:rsidR="00973B0B" w:rsidRPr="00EA7F30" w:rsidRDefault="00973B0B" w:rsidP="00EE5BDA">
      <w:pPr>
        <w:rPr>
          <w:sz w:val="22"/>
          <w:szCs w:val="22"/>
        </w:rPr>
      </w:pPr>
    </w:p>
    <w:p w:rsidR="00973B0B" w:rsidRPr="00EA7F30" w:rsidRDefault="00973B0B" w:rsidP="00EE5BDA">
      <w:pPr>
        <w:rPr>
          <w:bCs/>
          <w:iCs/>
          <w:sz w:val="22"/>
          <w:szCs w:val="22"/>
        </w:rPr>
      </w:pPr>
      <w:r>
        <w:rPr>
          <w:sz w:val="22"/>
          <w:szCs w:val="22"/>
        </w:rPr>
        <w:t xml:space="preserve">Jaunesniems negu 4 metų vaikams, iš pradžių geriau vartoti 20-60 mg paros dozę. Iki tol, kol dozė taps pakankama pageidaujamam poveikiui sukelti, karbamazepino paros dozę kas 2 dienas galima didinti 20-60 mg, reikėtų neviršyti minėtos didžiausios palaikomosios paros dozės. </w:t>
      </w:r>
      <w:r>
        <w:rPr>
          <w:bCs/>
          <w:iCs/>
          <w:sz w:val="22"/>
          <w:szCs w:val="22"/>
        </w:rPr>
        <w:t xml:space="preserve">Kadangi vartojant Finlepsin 200 mg tablečių 20-60 mg dozės užtikrinti negalima, pradiniam jaunesnių negu 4 metai vaikų gydymui reikia vartoti kitų karbamazepino farmacinių formų. </w:t>
      </w: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Vyresniems negu 4 metų vaikams pradinė karbamazepino paros dozė gali būti 100 mg. Paros dozę kas 2 dienas arba kas savaitę galima didinti 100 mg tol, kol dozė taps optimali, tačiau reikėtų neviršyti minėtos didžiausios palaikomosios paros dozės.</w:t>
      </w:r>
    </w:p>
    <w:p w:rsidR="00973B0B" w:rsidRPr="00EA7F30" w:rsidRDefault="00973B0B" w:rsidP="008F211F">
      <w:pPr>
        <w:pStyle w:val="Style"/>
        <w:rPr>
          <w:rFonts w:ascii="Times New Roman" w:hAnsi="Times New Roman" w:cs="Times New Roman"/>
          <w:sz w:val="22"/>
          <w:szCs w:val="22"/>
        </w:rPr>
      </w:pPr>
    </w:p>
    <w:p w:rsidR="00973B0B" w:rsidRPr="00EA7F30" w:rsidRDefault="00973B0B" w:rsidP="003C313C">
      <w:pPr>
        <w:rPr>
          <w:i/>
          <w:sz w:val="22"/>
          <w:szCs w:val="22"/>
        </w:rPr>
      </w:pPr>
      <w:r>
        <w:rPr>
          <w:i/>
          <w:sz w:val="22"/>
          <w:szCs w:val="22"/>
        </w:rPr>
        <w:t>Idiopatinės ar dėl išsėtinės sklerozės atsiradusios trišakio nervo neuralgijos (tipinės ar atipinės) gydymas</w:t>
      </w: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Pradinė paros dozė yra 1-2 tabletės (t.y. 200-400 mg karbamazepino). Ji išgeriama per 1-2 kartus. Dozę galima didinti tol, kol išnyks skausmas. Tokiu atveju gali reikėti 400-800 mg dozės. Ją reikia gerti per 2-4 kartus. Kai kuriuos pacientus galima gydyti mažesne palaikomąja paros doze, t.y. 400 mg. Ją reikia gerti per du kartus.</w:t>
      </w: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Pagyvenusiems ir vaistiniam preparatui jautriems pacientams iš pradžių reikia gerti 2 kartus per parą po 100 mg (po pusę tabletės).</w:t>
      </w:r>
    </w:p>
    <w:p w:rsidR="00973B0B" w:rsidRPr="00EA7F30" w:rsidRDefault="00973B0B" w:rsidP="008F211F">
      <w:pPr>
        <w:pStyle w:val="Style"/>
        <w:rPr>
          <w:rFonts w:ascii="Times New Roman" w:hAnsi="Times New Roman" w:cs="Times New Roman"/>
          <w:sz w:val="22"/>
          <w:szCs w:val="22"/>
        </w:rPr>
      </w:pPr>
    </w:p>
    <w:p w:rsidR="00973B0B" w:rsidRPr="00EA7F30" w:rsidRDefault="00973B0B" w:rsidP="00F06DC2">
      <w:pPr>
        <w:pStyle w:val="Style"/>
        <w:rPr>
          <w:rFonts w:ascii="Times New Roman" w:hAnsi="Times New Roman" w:cs="Times New Roman"/>
          <w:i/>
          <w:iCs/>
          <w:sz w:val="22"/>
          <w:szCs w:val="22"/>
        </w:rPr>
      </w:pPr>
      <w:r>
        <w:rPr>
          <w:rFonts w:ascii="Times New Roman" w:hAnsi="Times New Roman" w:cs="Times New Roman"/>
          <w:i/>
          <w:iCs/>
          <w:sz w:val="22"/>
          <w:szCs w:val="22"/>
        </w:rPr>
        <w:t>Alkoholio nutraukimo sindromo gydymas</w:t>
      </w: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Vidutinė paros dozė yra 600 mg karbamazepino. Šią dozę reikia išgerti per 3 kartus. Sunkiais atvejais·pirmosiomis gydymo dienomis paros dozę galima padidinti ir gerti 1200 mg, t.y. 3 kartus per parą po 2 tabletes.</w:t>
      </w: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Karbamazepino vartoti kartu su raminamaisiais bei migdomaisiais vaistiniais preparatais nerekomenduojama. Jeigu būtina, jo galima vartoti kartu su kitais preparatais, vartojamais alkoholio nutraukimo sindromui gydyti.</w:t>
      </w: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Būtina reguliariai stebėti karbamazepino koncentraciją kraujo plazmoje.</w:t>
      </w: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Kadangi gali pasireikšti nepageidaujamas poveikis centrinei ir vegetacinei nervų sistemai, rekomenduojama atidi klinikinė pacientų priežiūra.</w:t>
      </w:r>
    </w:p>
    <w:p w:rsidR="00973B0B" w:rsidRPr="00EA7F30" w:rsidRDefault="00973B0B" w:rsidP="008F211F">
      <w:pPr>
        <w:pStyle w:val="Style"/>
        <w:rPr>
          <w:rFonts w:ascii="Times New Roman" w:hAnsi="Times New Roman" w:cs="Times New Roman"/>
          <w:sz w:val="22"/>
          <w:szCs w:val="22"/>
        </w:rPr>
      </w:pPr>
    </w:p>
    <w:p w:rsidR="00973B0B" w:rsidRPr="00EA7F30" w:rsidRDefault="00973B0B" w:rsidP="008F211F">
      <w:pPr>
        <w:pStyle w:val="Style"/>
        <w:rPr>
          <w:rFonts w:ascii="Times New Roman" w:hAnsi="Times New Roman" w:cs="Times New Roman"/>
          <w:i/>
          <w:iCs/>
          <w:sz w:val="22"/>
          <w:szCs w:val="22"/>
        </w:rPr>
      </w:pPr>
      <w:r>
        <w:rPr>
          <w:rFonts w:ascii="Times New Roman" w:hAnsi="Times New Roman" w:cs="Times New Roman"/>
          <w:i/>
          <w:iCs/>
          <w:sz w:val="22"/>
          <w:szCs w:val="22"/>
        </w:rPr>
        <w:t>Įspėjimas</w:t>
      </w: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Pacientams, sergantiems sunkiomis širdies ir kraujagyslių sistemos, kepenų ir inkstų ligomis, bei pagyvenusiems žmonėms reikia vartoti mažesnes dozes.</w:t>
      </w:r>
    </w:p>
    <w:p w:rsidR="00973B0B" w:rsidRPr="00EA7F30" w:rsidRDefault="00973B0B" w:rsidP="008F211F">
      <w:pPr>
        <w:pStyle w:val="Style"/>
        <w:rPr>
          <w:rFonts w:ascii="Times New Roman" w:hAnsi="Times New Roman" w:cs="Times New Roman"/>
          <w:sz w:val="22"/>
          <w:szCs w:val="22"/>
        </w:rPr>
      </w:pP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lastRenderedPageBreak/>
        <w:t>Tabletės yra dalomos. Jas reikia gerti valgio metu arba po jo, užsigeriant pakankamu skysčio kiekiu (pavyzdžiui, stikline vandens).</w:t>
      </w:r>
    </w:p>
    <w:p w:rsidR="00973B0B" w:rsidRPr="00EA7F30" w:rsidRDefault="00973B0B" w:rsidP="008F211F">
      <w:pPr>
        <w:pStyle w:val="Style"/>
        <w:rPr>
          <w:rFonts w:ascii="Times New Roman" w:hAnsi="Times New Roman" w:cs="Times New Roman"/>
          <w:sz w:val="22"/>
          <w:szCs w:val="22"/>
        </w:rPr>
      </w:pP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Daugeliu atvejų poveikis būna labai geras, jei paros dozė išdalijama į 4-5 vienkartines dozes.</w:t>
      </w:r>
    </w:p>
    <w:p w:rsidR="00973B0B" w:rsidRPr="00EA7F30" w:rsidRDefault="00973B0B" w:rsidP="008F211F">
      <w:pPr>
        <w:pStyle w:val="Style"/>
        <w:rPr>
          <w:rFonts w:ascii="Times New Roman" w:hAnsi="Times New Roman" w:cs="Times New Roman"/>
          <w:sz w:val="22"/>
          <w:szCs w:val="22"/>
        </w:rPr>
      </w:pP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Vartojimo trukmė priklauso nuo indikacijos ir paciento reakcijos į vaistinį preparatą. Be leidimo nutraukti vaistinio preparato vartojimą griežtai draudžiama.</w:t>
      </w: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Dažniausiai epilepsija gydoma ilgai. Kiekvienu atveju karbamazepino skirti, nustatyti vartojimo trukmę ir nutraukti gydymą turi šios srities specialistas. Paprastai galimybę sumažinti vaistinio preparato dozę arba nutraukti gydymą galima svarstyti ne anksčiau, kaip praėjus 2-3 metams po paskutinių priepuolių.</w:t>
      </w: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Nutraukiant gydymą, būtina per 1-2 metus palaipsniui mažinti vaistinio preparato dozę.</w:t>
      </w:r>
    </w:p>
    <w:p w:rsidR="00973B0B" w:rsidRPr="00EA7F30" w:rsidRDefault="00973B0B" w:rsidP="008F211F">
      <w:pPr>
        <w:pStyle w:val="Style"/>
        <w:rPr>
          <w:rFonts w:ascii="Times New Roman" w:hAnsi="Times New Roman" w:cs="Times New Roman"/>
          <w:sz w:val="22"/>
          <w:szCs w:val="22"/>
        </w:rPr>
      </w:pP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Dėl to, kad didėja vaikų kūno svoris, reikia stebėti, kad gydymo metu nepablogėtų elektroencefalogramos rodmenys.</w:t>
      </w:r>
    </w:p>
    <w:p w:rsidR="00973B0B" w:rsidRPr="00EA7F30" w:rsidRDefault="00973B0B" w:rsidP="008F211F">
      <w:pPr>
        <w:pStyle w:val="Style"/>
        <w:rPr>
          <w:rFonts w:ascii="Times New Roman" w:hAnsi="Times New Roman" w:cs="Times New Roman"/>
          <w:sz w:val="22"/>
          <w:szCs w:val="22"/>
        </w:rPr>
      </w:pP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Gydant neuralgiją, nuo skausmų apsaugančią palaikomąją dozę naudinga vartoti kelias savaites. Atsargiai mažinant vaistinio preparato dozę, reikia nustatyti, ar simptomai vėl staiga neatkrinta. Jeigu skausmo priepuoliai pasikartoja, gydyti reikia anksčiau vartota palaikomąja doze.</w:t>
      </w:r>
    </w:p>
    <w:p w:rsidR="00973B0B" w:rsidRPr="00EA7F30" w:rsidRDefault="00973B0B" w:rsidP="008F211F">
      <w:pPr>
        <w:pStyle w:val="Style"/>
        <w:rPr>
          <w:rFonts w:ascii="Times New Roman" w:hAnsi="Times New Roman" w:cs="Times New Roman"/>
          <w:sz w:val="22"/>
          <w:szCs w:val="22"/>
        </w:rPr>
      </w:pP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Gydant diabetinės neuropatijos sukeltą skausmą bei neepilepsinius priepuolius sergant išsėtine skleroze, tinka tokie patys nurodymai, kaip ir neuralgijos atveju.</w:t>
      </w:r>
    </w:p>
    <w:p w:rsidR="00973B0B" w:rsidRPr="00EA7F30" w:rsidRDefault="00973B0B" w:rsidP="008F211F">
      <w:pPr>
        <w:pStyle w:val="Style"/>
        <w:rPr>
          <w:rFonts w:ascii="Times New Roman" w:hAnsi="Times New Roman" w:cs="Times New Roman"/>
          <w:sz w:val="22"/>
          <w:szCs w:val="22"/>
        </w:rPr>
      </w:pPr>
    </w:p>
    <w:p w:rsidR="00973B0B" w:rsidRPr="00EA7F30" w:rsidRDefault="00973B0B" w:rsidP="008F211F">
      <w:pPr>
        <w:pStyle w:val="Style"/>
        <w:rPr>
          <w:rFonts w:ascii="Times New Roman" w:hAnsi="Times New Roman" w:cs="Times New Roman"/>
          <w:sz w:val="22"/>
          <w:szCs w:val="22"/>
        </w:rPr>
      </w:pPr>
      <w:r>
        <w:rPr>
          <w:rFonts w:ascii="Times New Roman" w:hAnsi="Times New Roman" w:cs="Times New Roman"/>
          <w:sz w:val="22"/>
          <w:szCs w:val="22"/>
        </w:rPr>
        <w:t>Gydant alkoholio nutraukimo sindromą, karbamazepino vartojimą (palaipsniui mažinant dozę) reikia nutraukti per 7-10 dienų.</w:t>
      </w:r>
    </w:p>
    <w:p w:rsidR="00973B0B" w:rsidRPr="00EA7F30" w:rsidRDefault="00973B0B" w:rsidP="007F7D76">
      <w:pPr>
        <w:pStyle w:val="BTEMEASMCA"/>
      </w:pPr>
    </w:p>
    <w:p w:rsidR="00973B0B" w:rsidRPr="00EA7F30" w:rsidRDefault="00973B0B" w:rsidP="008F211F">
      <w:pPr>
        <w:rPr>
          <w:sz w:val="22"/>
          <w:szCs w:val="22"/>
        </w:rPr>
      </w:pPr>
      <w:r>
        <w:rPr>
          <w:sz w:val="22"/>
          <w:szCs w:val="22"/>
        </w:rPr>
        <w:t xml:space="preserve">Kinų ir tailandiečių kilmės pacientus prieš pradedant gydymą, jei įmanoma, reikia patikrinti dėl HLA-B*1502 nes šis alelis gali išprovokuoti karbamazepino sukeltą </w:t>
      </w:r>
      <w:r>
        <w:rPr>
          <w:i/>
          <w:sz w:val="22"/>
          <w:szCs w:val="22"/>
        </w:rPr>
        <w:t xml:space="preserve">Stevens-Johnson </w:t>
      </w:r>
      <w:r>
        <w:rPr>
          <w:sz w:val="22"/>
          <w:szCs w:val="22"/>
        </w:rPr>
        <w:t xml:space="preserve">sindromą </w:t>
      </w:r>
      <w:r w:rsidRPr="00EA7F30">
        <w:rPr>
          <w:sz w:val="22"/>
          <w:szCs w:val="22"/>
        </w:rPr>
        <w:t xml:space="preserve">(žr. informaciją apie genetinius tyrimus ir odos reakcijas skyriuje „Specialūs įspėjimai ir atsargumo priemonės). </w:t>
      </w:r>
    </w:p>
    <w:p w:rsidR="00973B0B" w:rsidRPr="00EA7F30" w:rsidRDefault="00973B0B" w:rsidP="007F7D76">
      <w:pPr>
        <w:pStyle w:val="BTEMEASMCA"/>
      </w:pPr>
    </w:p>
    <w:p w:rsidR="00973B0B" w:rsidRPr="00EA7F30" w:rsidRDefault="00973B0B" w:rsidP="008F211F">
      <w:pPr>
        <w:pStyle w:val="PI-2EMEASMCA"/>
      </w:pPr>
      <w:bookmarkStart w:id="17" w:name="_Toc129243104"/>
      <w:bookmarkStart w:id="18" w:name="_Toc129243229"/>
      <w:r>
        <w:t>4.3</w:t>
      </w:r>
      <w:r>
        <w:tab/>
        <w:t>Kontraindikacijos</w:t>
      </w:r>
      <w:bookmarkEnd w:id="17"/>
      <w:bookmarkEnd w:id="18"/>
    </w:p>
    <w:p w:rsidR="00973B0B" w:rsidRPr="00EA7F30" w:rsidRDefault="00973B0B" w:rsidP="007F7D76">
      <w:pPr>
        <w:pStyle w:val="BTEMEASMCA"/>
      </w:pPr>
    </w:p>
    <w:p w:rsidR="00973B0B" w:rsidRPr="00EA7F30" w:rsidRDefault="00973B0B" w:rsidP="007F7D76">
      <w:pPr>
        <w:pStyle w:val="BTEMEASMCA"/>
      </w:pPr>
      <w:r>
        <w:t>-</w:t>
      </w:r>
      <w:r>
        <w:tab/>
        <w:t>Padidėjęs jautrumas veikliajai arba bet kuriai 6.1 skyriuje nurodytai pagalbinei medžiagai.</w:t>
      </w:r>
    </w:p>
    <w:p w:rsidR="00973B0B" w:rsidRDefault="00973B0B" w:rsidP="001B0AB9">
      <w:pPr>
        <w:numPr>
          <w:ilvl w:val="0"/>
          <w:numId w:val="12"/>
        </w:numPr>
        <w:tabs>
          <w:tab w:val="clear" w:pos="420"/>
          <w:tab w:val="num" w:pos="360"/>
        </w:tabs>
        <w:ind w:left="357" w:hanging="357"/>
        <w:jc w:val="both"/>
        <w:rPr>
          <w:sz w:val="22"/>
          <w:szCs w:val="22"/>
        </w:rPr>
      </w:pPr>
      <w:r>
        <w:rPr>
          <w:sz w:val="22"/>
          <w:szCs w:val="22"/>
        </w:rPr>
        <w:t>Atrioventrikulinė blokada.</w:t>
      </w:r>
    </w:p>
    <w:p w:rsidR="00973B0B" w:rsidRDefault="00973B0B" w:rsidP="001B0AB9">
      <w:pPr>
        <w:numPr>
          <w:ilvl w:val="0"/>
          <w:numId w:val="12"/>
        </w:numPr>
        <w:tabs>
          <w:tab w:val="clear" w:pos="420"/>
          <w:tab w:val="num" w:pos="360"/>
        </w:tabs>
        <w:ind w:left="357" w:hanging="357"/>
        <w:jc w:val="both"/>
        <w:rPr>
          <w:sz w:val="22"/>
          <w:szCs w:val="22"/>
        </w:rPr>
      </w:pPr>
      <w:r>
        <w:rPr>
          <w:sz w:val="22"/>
          <w:szCs w:val="22"/>
        </w:rPr>
        <w:t>Yra buvusi susilpnėjusi kaulų čiulpų veikla.</w:t>
      </w:r>
    </w:p>
    <w:p w:rsidR="00973B0B" w:rsidRDefault="00973B0B" w:rsidP="001B0AB9">
      <w:pPr>
        <w:numPr>
          <w:ilvl w:val="0"/>
          <w:numId w:val="12"/>
        </w:numPr>
        <w:tabs>
          <w:tab w:val="clear" w:pos="420"/>
          <w:tab w:val="num" w:pos="360"/>
          <w:tab w:val="left" w:pos="567"/>
        </w:tabs>
        <w:ind w:left="357" w:hanging="357"/>
        <w:rPr>
          <w:sz w:val="22"/>
          <w:szCs w:val="22"/>
        </w:rPr>
      </w:pPr>
      <w:r>
        <w:rPr>
          <w:sz w:val="22"/>
          <w:szCs w:val="22"/>
        </w:rPr>
        <w:t xml:space="preserve">Pacientui buvo atsiradusios hepatinės porfirijos (pvz., ūminė protarpinė porfirija, įvairiaspalvė porfirija, lėtinė odos porfirija). </w:t>
      </w:r>
    </w:p>
    <w:p w:rsidR="00973B0B" w:rsidRDefault="00973B0B" w:rsidP="001B0AB9">
      <w:pPr>
        <w:numPr>
          <w:ilvl w:val="0"/>
          <w:numId w:val="12"/>
        </w:numPr>
        <w:tabs>
          <w:tab w:val="clear" w:pos="420"/>
          <w:tab w:val="num" w:pos="360"/>
          <w:tab w:val="left" w:pos="567"/>
        </w:tabs>
        <w:ind w:left="357" w:hanging="357"/>
        <w:rPr>
          <w:b/>
          <w:sz w:val="22"/>
          <w:szCs w:val="22"/>
        </w:rPr>
      </w:pPr>
      <w:r>
        <w:rPr>
          <w:sz w:val="22"/>
          <w:szCs w:val="22"/>
        </w:rPr>
        <w:t xml:space="preserve">Karbamazepino draudžiama vartoti kartu su monoaminooksidazės inhibitoriais (MAOI). Prieš pradedant gydyti karbamazepinu, MAOI vartojimas turi būti nutrauktas ne mažiau kaip prieš 2 savaites, arba dar anksčiau, jeigu klinikinė situacija tam palanki (žr. 4.5 skyrių). </w:t>
      </w:r>
    </w:p>
    <w:p w:rsidR="00973B0B" w:rsidRPr="00EA7F30" w:rsidRDefault="00973B0B" w:rsidP="007F7D76">
      <w:pPr>
        <w:pStyle w:val="BTEMEASMCA"/>
      </w:pPr>
    </w:p>
    <w:p w:rsidR="00973B0B" w:rsidRPr="00EA7F30" w:rsidRDefault="00973B0B" w:rsidP="008F211F">
      <w:pPr>
        <w:pStyle w:val="PI-2EMEASMCA"/>
      </w:pPr>
      <w:bookmarkStart w:id="19" w:name="_Toc129243105"/>
      <w:bookmarkStart w:id="20" w:name="_Toc129243230"/>
      <w:r>
        <w:t>4.4</w:t>
      </w:r>
      <w:r>
        <w:tab/>
        <w:t>Specialūs įspėjimai ir atsargumo priemonės</w:t>
      </w:r>
      <w:bookmarkEnd w:id="19"/>
      <w:bookmarkEnd w:id="20"/>
    </w:p>
    <w:p w:rsidR="00973B0B" w:rsidRPr="00EA7F30" w:rsidRDefault="00973B0B" w:rsidP="007F7D76">
      <w:pPr>
        <w:pStyle w:val="BTEMEASMCA"/>
      </w:pPr>
    </w:p>
    <w:p w:rsidR="00973B0B" w:rsidRPr="00EA7F30" w:rsidRDefault="00973B0B" w:rsidP="007546D4">
      <w:pPr>
        <w:tabs>
          <w:tab w:val="left" w:pos="567"/>
        </w:tabs>
        <w:rPr>
          <w:sz w:val="22"/>
          <w:szCs w:val="22"/>
        </w:rPr>
      </w:pPr>
      <w:r>
        <w:rPr>
          <w:sz w:val="22"/>
          <w:szCs w:val="22"/>
        </w:rPr>
        <w:t xml:space="preserve">Karbamazepino galima vartoti tik prižiūrint gydytojui. Karbamazepino galima skirti tik kritiškai įvertinus gydymo naudos ir galimo žalingo vaistinio preparato poveikio santykį. Būtina atidžiai stebėti pacientus, sergančius širdies, kepenų arba inkstų funkcijos sutrikimu, taip pat tuos žmones, kuriems kitokie vaistiniai preparatai buvo sukėlę nepageidaujamą poveikį kraujodarai arba kurie anksčiau nebaigė gydymo karbamazepinu kurso. </w:t>
      </w:r>
    </w:p>
    <w:p w:rsidR="00973B0B" w:rsidRPr="00EA7F30" w:rsidRDefault="00973B0B" w:rsidP="007546D4">
      <w:pPr>
        <w:tabs>
          <w:tab w:val="left" w:pos="567"/>
        </w:tabs>
        <w:rPr>
          <w:sz w:val="22"/>
          <w:szCs w:val="22"/>
        </w:rPr>
      </w:pPr>
    </w:p>
    <w:p w:rsidR="00973B0B" w:rsidRPr="00EA7F30" w:rsidRDefault="00973B0B" w:rsidP="007546D4">
      <w:pPr>
        <w:tabs>
          <w:tab w:val="left" w:pos="567"/>
        </w:tabs>
        <w:rPr>
          <w:sz w:val="22"/>
          <w:szCs w:val="22"/>
        </w:rPr>
      </w:pPr>
      <w:r>
        <w:rPr>
          <w:sz w:val="22"/>
          <w:szCs w:val="22"/>
        </w:rPr>
        <w:t xml:space="preserve">Pacientams, vartojantiems karbamazepino, gali atsirasti agranulocitozė ir aplazinė anemija. Kadangi šis nepageidaujamas poveikis pasireiškia labai retai, sunku nustatyti karbamazepino sukeliamo pavojaus mastą. Agranulocitozė pasireiškia maždaug 4,7, aplazinė anemija – 2 pacientams iš milijono per metus. </w:t>
      </w:r>
    </w:p>
    <w:p w:rsidR="00973B0B" w:rsidRPr="00EA7F30" w:rsidRDefault="00973B0B" w:rsidP="007546D4">
      <w:pPr>
        <w:tabs>
          <w:tab w:val="left" w:pos="567"/>
        </w:tabs>
        <w:rPr>
          <w:sz w:val="22"/>
          <w:szCs w:val="22"/>
        </w:rPr>
      </w:pPr>
    </w:p>
    <w:p w:rsidR="00973B0B" w:rsidRPr="00EA7F30" w:rsidRDefault="00973B0B" w:rsidP="007546D4">
      <w:pPr>
        <w:tabs>
          <w:tab w:val="left" w:pos="567"/>
        </w:tabs>
        <w:rPr>
          <w:sz w:val="22"/>
          <w:szCs w:val="22"/>
        </w:rPr>
      </w:pPr>
      <w:r>
        <w:rPr>
          <w:sz w:val="22"/>
          <w:szCs w:val="22"/>
        </w:rPr>
        <w:lastRenderedPageBreak/>
        <w:t xml:space="preserve">Žmonėms, vartojantiems karbamazepino, dažnai trumpam ar ilgam sumažėja trombocitų ar leukocitų kiekis. Prieš pradedant vartoti karbamazepino, reikia atlikti išsamų kraujo tyrimą, nustatyti trombocitų, retikulocitų ir geležies kiekį plazmoje, ir gydymo metu minėtus tyrimus reguliariai kartoti. </w:t>
      </w:r>
    </w:p>
    <w:p w:rsidR="00973B0B" w:rsidRPr="00EA7F30" w:rsidRDefault="00973B0B" w:rsidP="007546D4">
      <w:pPr>
        <w:tabs>
          <w:tab w:val="left" w:pos="567"/>
        </w:tabs>
        <w:rPr>
          <w:sz w:val="22"/>
          <w:szCs w:val="22"/>
        </w:rPr>
      </w:pPr>
    </w:p>
    <w:p w:rsidR="00973B0B" w:rsidRPr="00EA7F30" w:rsidRDefault="00973B0B" w:rsidP="007546D4">
      <w:pPr>
        <w:tabs>
          <w:tab w:val="left" w:pos="567"/>
        </w:tabs>
        <w:rPr>
          <w:sz w:val="22"/>
          <w:szCs w:val="22"/>
        </w:rPr>
      </w:pPr>
      <w:r>
        <w:rPr>
          <w:sz w:val="22"/>
          <w:szCs w:val="22"/>
        </w:rPr>
        <w:t>Jeigu leukocitų ar trombocitų yra mažai arba jų kiekis sumažėjo gydymo metu, reikia nuolat atidžiai stebėti ligonio būklę ir kiekybinę kraujo ląstelių sudėtį (žr. skyrių „Nepagaidaujamas poveikis“). Vis dėlto, jei pasireiškia sunki, progresuojanti arba lydima klinikinių reiškinių (pvz., karščiavimas arba gerklės skausmas) leukopenija, gydymą karbamazepinu reikia nutraukti. Gydymą karbamazepinu reikia nutraukti, jei pasireiškia bet kokie reikšmingo kaulų čiulpų slopinimo požymiai.</w:t>
      </w:r>
    </w:p>
    <w:p w:rsidR="00973B0B" w:rsidRPr="00EA7F30" w:rsidRDefault="00973B0B" w:rsidP="007546D4">
      <w:pPr>
        <w:tabs>
          <w:tab w:val="left" w:pos="567"/>
        </w:tabs>
        <w:rPr>
          <w:sz w:val="22"/>
          <w:szCs w:val="22"/>
        </w:rPr>
      </w:pPr>
    </w:p>
    <w:p w:rsidR="00973B0B" w:rsidRPr="00EA7F30" w:rsidRDefault="00973B0B" w:rsidP="007546D4">
      <w:pPr>
        <w:tabs>
          <w:tab w:val="left" w:pos="567"/>
        </w:tabs>
        <w:rPr>
          <w:sz w:val="22"/>
          <w:szCs w:val="22"/>
        </w:rPr>
      </w:pPr>
      <w:r>
        <w:rPr>
          <w:sz w:val="22"/>
          <w:szCs w:val="22"/>
        </w:rPr>
        <w:t xml:space="preserve">Pacientus arba jų artimuosius reikia informuoti apie galimus ankstyvuosius toksinio poveikio kraujodarai požymius ir simptomus, taip pat apie odos arba kepenų pažeidimo reakcijas. Jeigu prasideda karščiavimas, atsiranda gerklės skausmas, bėrimas, opos burnoje, lengvai sukeliamos mėlynės, petechijos arba hemoraginė purpura, ligonis privalo nedelsdamas kreiptis į gydytoją. </w:t>
      </w:r>
    </w:p>
    <w:p w:rsidR="00973B0B" w:rsidRPr="00EA7F30" w:rsidRDefault="00973B0B" w:rsidP="007546D4">
      <w:pPr>
        <w:pStyle w:val="N"/>
        <w:rPr>
          <w:szCs w:val="22"/>
          <w:lang w:val="lt-LT"/>
        </w:rPr>
      </w:pPr>
    </w:p>
    <w:p w:rsidR="00973B0B" w:rsidRPr="00EA7F30" w:rsidRDefault="00973B0B" w:rsidP="007F7D76">
      <w:pPr>
        <w:pStyle w:val="BTEMEASMCA"/>
      </w:pPr>
      <w:r w:rsidRPr="00EA7F30">
        <w:t>Odos reakcijos</w:t>
      </w:r>
    </w:p>
    <w:p w:rsidR="00973B0B" w:rsidRPr="00EA7F30" w:rsidRDefault="00973B0B" w:rsidP="007546D4">
      <w:pPr>
        <w:tabs>
          <w:tab w:val="left" w:pos="567"/>
        </w:tabs>
        <w:spacing w:line="260" w:lineRule="exact"/>
        <w:rPr>
          <w:sz w:val="22"/>
          <w:szCs w:val="22"/>
        </w:rPr>
      </w:pPr>
      <w:r>
        <w:rPr>
          <w:sz w:val="22"/>
          <w:szCs w:val="22"/>
        </w:rPr>
        <w:t xml:space="preserve">Gauta pranešimų apie sunkias su gydymu karbamazepinu susijusias, kartais mirtį sukeliančias, odos reakcijas, įskaitant toksinę epidermio nekrolizę (TEN) ir Stevens-Johnson sindromą (SJS). Apskaičiuotas tokių reakcijų pasireiškimo dažnis populiacijose, kuriose vyrauja kaukaziečių rasė, yra 1-6 iš 10000 naujų vartotojų, bet kai kuriose Azijos šalyse nustatyta rizika yra 10 kartų didesnė.  </w:t>
      </w:r>
    </w:p>
    <w:p w:rsidR="00973B0B" w:rsidRPr="00EA7F30" w:rsidRDefault="00973B0B" w:rsidP="007546D4">
      <w:pPr>
        <w:tabs>
          <w:tab w:val="left" w:pos="567"/>
        </w:tabs>
        <w:spacing w:line="260" w:lineRule="exact"/>
        <w:rPr>
          <w:sz w:val="22"/>
          <w:szCs w:val="22"/>
        </w:rPr>
      </w:pPr>
      <w:r>
        <w:rPr>
          <w:sz w:val="22"/>
          <w:szCs w:val="22"/>
        </w:rPr>
        <w:t xml:space="preserve">Daugėja įrodymų apie įvairių HLA alelių reikšmę pacientų polinkiui nepageidaujamoms reakcijoms, kurioms svarbus imunitetas (žr. skyrių „Dozavimas ir vartojimo metodas“).  </w:t>
      </w:r>
    </w:p>
    <w:p w:rsidR="00973B0B" w:rsidRPr="00EA7F30" w:rsidRDefault="00973B0B" w:rsidP="007546D4">
      <w:pPr>
        <w:rPr>
          <w:sz w:val="22"/>
          <w:szCs w:val="22"/>
          <w:lang w:bidi="he-IL"/>
        </w:rPr>
      </w:pPr>
    </w:p>
    <w:p w:rsidR="00973B0B" w:rsidRPr="00522B87" w:rsidRDefault="00973B0B" w:rsidP="007F7D76">
      <w:pPr>
        <w:pStyle w:val="BTEMEASMCA"/>
      </w:pPr>
      <w:r w:rsidRPr="00522B87">
        <w:t>Pacientus reikia įspėti apie galimus požymius bei simptomus ir atidžiai sekti dėl odos reakcijų atsiradimo. Didžiausia SJS ir TEN atsiradimo rizika yra pirmaisiais gydymo mėnesiais.</w:t>
      </w:r>
    </w:p>
    <w:p w:rsidR="00973B0B" w:rsidRPr="00EA7F30" w:rsidRDefault="00973B0B" w:rsidP="007F7D76">
      <w:pPr>
        <w:pStyle w:val="BTEMEASMCA"/>
      </w:pPr>
      <w:r w:rsidRPr="00522B87">
        <w:t>Jei atsiranda SJS arba TEN simptomai arba požymiai (pvz., progresuojantis odos bėrimas, dažnai su pūslėmis arba gleivinės pažeidimais), gydymą karbamazepinu reikia nutraukti. Pacientus, kuriems pasireiškė sunkios dermatologinės reakcijos, gali prireikti hospitalizuoti, kadangi šios reakcijos gali būti pavojingos gyvybei ir gali būti mirtinos. Geriausi rezultatai, gydant SJS ir TEN, pasiekiami anksti diagnozavus bei nedelsiant nutraukus įtariamo vaistinio preparato vartojimą. Ankstyvas vartojimo nutraukimas yra susijęs su geresnėmis prognozėmis. Jeigu pacientui vartojant karbamazepino atsirado SJS arba TEN, gydymo karbamazepinu šiam pacientui atnaujinti negalima niekada</w:t>
      </w:r>
      <w:r>
        <w:t xml:space="preserve">. </w:t>
      </w:r>
    </w:p>
    <w:p w:rsidR="00973B0B" w:rsidRPr="00EA7F30" w:rsidRDefault="00973B0B" w:rsidP="007546D4">
      <w:pPr>
        <w:rPr>
          <w:sz w:val="22"/>
          <w:szCs w:val="22"/>
        </w:rPr>
      </w:pPr>
    </w:p>
    <w:p w:rsidR="00973B0B" w:rsidRPr="00EA7F30" w:rsidRDefault="00973B0B" w:rsidP="007546D4">
      <w:pPr>
        <w:rPr>
          <w:i/>
          <w:sz w:val="22"/>
          <w:szCs w:val="22"/>
        </w:rPr>
      </w:pPr>
      <w:r>
        <w:rPr>
          <w:i/>
          <w:sz w:val="22"/>
          <w:szCs w:val="22"/>
        </w:rPr>
        <w:t>HLA-B*1502 alelis kinų Han, tailandiečių ir kitose Azijos populiacijose</w:t>
      </w:r>
    </w:p>
    <w:p w:rsidR="00973B0B" w:rsidRPr="00EA7F30" w:rsidRDefault="00973B0B" w:rsidP="007546D4">
      <w:pPr>
        <w:rPr>
          <w:sz w:val="22"/>
          <w:szCs w:val="22"/>
        </w:rPr>
      </w:pPr>
      <w:r>
        <w:rPr>
          <w:sz w:val="22"/>
          <w:szCs w:val="22"/>
        </w:rPr>
        <w:t xml:space="preserve">Yra įrodyta, kad HLA-B*1502, esantis kinų ir tailandiečių kilmės asmenų organizme, kuomet jie vartoja karbamazepiną, yra stipriai susijęs su sunkių odos reakcijų atsiradimo rizika, vadinamu </w:t>
      </w:r>
      <w:r>
        <w:rPr>
          <w:i/>
          <w:sz w:val="22"/>
          <w:szCs w:val="22"/>
        </w:rPr>
        <w:t xml:space="preserve">Stevens-Johnson </w:t>
      </w:r>
      <w:r>
        <w:rPr>
          <w:sz w:val="22"/>
          <w:szCs w:val="22"/>
        </w:rPr>
        <w:t>sindromu (SJS). HLA-B*1502 alelio nešiotojų dažnis kinų Han ir tailandiečių populiacijose yra apie 10%</w:t>
      </w:r>
      <w:r>
        <w:rPr>
          <w:bCs/>
          <w:sz w:val="22"/>
          <w:szCs w:val="22"/>
        </w:rPr>
        <w:t xml:space="preserve">. </w:t>
      </w:r>
      <w:r>
        <w:rPr>
          <w:sz w:val="22"/>
          <w:szCs w:val="22"/>
        </w:rPr>
        <w:t xml:space="preserve">Todėl šie asmenys prieš pradedant gydymą karbamazepinu, jei įmanoma, turi būti patikrinti, ar neturi šio alelinio geno (žr. skyrių „Dozavimas ir vartojimo metodas“). Jei testas yra teigiamas, karbamazepino vartoti negalima, nebent nėra kito terapinio pasirinkimo. Pacientams, neturintiems HLA-B*1502, rizika SJS išsivystymui yra maža, nors retais atvejais reakcijos gali pasireikšti. </w:t>
      </w:r>
    </w:p>
    <w:p w:rsidR="00973B0B" w:rsidRPr="00EA7F30" w:rsidRDefault="00973B0B" w:rsidP="007546D4">
      <w:pPr>
        <w:rPr>
          <w:sz w:val="22"/>
          <w:szCs w:val="22"/>
        </w:rPr>
      </w:pPr>
    </w:p>
    <w:p w:rsidR="00973B0B" w:rsidRPr="00EA7F30" w:rsidRDefault="00973B0B" w:rsidP="007546D4">
      <w:pPr>
        <w:rPr>
          <w:sz w:val="22"/>
          <w:szCs w:val="22"/>
          <w:lang w:bidi="he-IL"/>
        </w:rPr>
      </w:pPr>
      <w:r>
        <w:rPr>
          <w:sz w:val="22"/>
          <w:szCs w:val="22"/>
        </w:rPr>
        <w:t xml:space="preserve">Kai kurie duomenys rodo, kad </w:t>
      </w:r>
      <w:r>
        <w:rPr>
          <w:sz w:val="22"/>
          <w:szCs w:val="22"/>
          <w:lang w:bidi="he-IL"/>
        </w:rPr>
        <w:t xml:space="preserve">kitose Azijos populiacijose yra padidėjusi su karbamazepinu susijusi toksinės epidermio nekrolizės (TEN) ir </w:t>
      </w:r>
      <w:r>
        <w:rPr>
          <w:i/>
          <w:sz w:val="22"/>
          <w:szCs w:val="22"/>
        </w:rPr>
        <w:t>Stevens-Johnson</w:t>
      </w:r>
      <w:r>
        <w:rPr>
          <w:sz w:val="22"/>
          <w:szCs w:val="22"/>
        </w:rPr>
        <w:t xml:space="preserve"> sindromo (</w:t>
      </w:r>
      <w:r>
        <w:rPr>
          <w:sz w:val="22"/>
          <w:szCs w:val="22"/>
          <w:lang w:bidi="he-IL"/>
        </w:rPr>
        <w:t>SJS) rizika. Dėl šio alelio nešėjų dažnio kitose Azijos gyventojų populiacijose (pvz., daugiau kaip 15% Filipinų ir Malaizijos gyventojų) gali būti sprendžiama dėl HLA-B*1502 alelio nešiojimo rizikingose populiacijose</w:t>
      </w:r>
      <w:r w:rsidRPr="00EA7F30">
        <w:rPr>
          <w:sz w:val="22"/>
          <w:szCs w:val="22"/>
          <w:lang w:bidi="he-IL"/>
        </w:rPr>
        <w:t xml:space="preserve"> nustatymo. </w:t>
      </w:r>
    </w:p>
    <w:p w:rsidR="00973B0B" w:rsidRPr="00EA7F30" w:rsidRDefault="00973B0B" w:rsidP="007546D4">
      <w:pPr>
        <w:rPr>
          <w:sz w:val="22"/>
          <w:szCs w:val="22"/>
          <w:lang w:bidi="he-IL"/>
        </w:rPr>
      </w:pPr>
    </w:p>
    <w:p w:rsidR="00973B0B" w:rsidRPr="00EA7F30" w:rsidRDefault="00973B0B" w:rsidP="007546D4">
      <w:pPr>
        <w:rPr>
          <w:sz w:val="22"/>
          <w:szCs w:val="22"/>
          <w:lang w:bidi="he-IL"/>
        </w:rPr>
      </w:pPr>
      <w:r>
        <w:rPr>
          <w:sz w:val="22"/>
          <w:szCs w:val="22"/>
          <w:lang w:bidi="he-IL"/>
        </w:rPr>
        <w:t>HLA-B*1502 alelio dažnis nereikšmingas europiečių, afrikiečių, ispanų kilmės populiacijose, taip pat japonams ir korėjiečiams (&lt;1%).</w:t>
      </w:r>
    </w:p>
    <w:p w:rsidR="00973B0B" w:rsidRPr="00EA7F30" w:rsidRDefault="00973B0B" w:rsidP="007546D4">
      <w:pPr>
        <w:rPr>
          <w:i/>
          <w:sz w:val="22"/>
          <w:szCs w:val="22"/>
          <w:lang w:bidi="he-IL"/>
        </w:rPr>
      </w:pPr>
    </w:p>
    <w:p w:rsidR="00973B0B" w:rsidRPr="00EA7F30" w:rsidRDefault="00973B0B" w:rsidP="007546D4">
      <w:pPr>
        <w:rPr>
          <w:i/>
          <w:sz w:val="22"/>
          <w:szCs w:val="22"/>
          <w:lang w:bidi="he-IL"/>
        </w:rPr>
      </w:pPr>
      <w:r>
        <w:rPr>
          <w:i/>
          <w:sz w:val="22"/>
          <w:szCs w:val="22"/>
          <w:lang w:bidi="he-IL"/>
        </w:rPr>
        <w:t>HLA-A*3101 alelis europiečių kilmės ir japonų populiacijose</w:t>
      </w:r>
    </w:p>
    <w:p w:rsidR="00973B0B" w:rsidRPr="00EA7F30" w:rsidRDefault="00973B0B" w:rsidP="007546D4">
      <w:pPr>
        <w:rPr>
          <w:sz w:val="22"/>
          <w:szCs w:val="22"/>
          <w:lang w:bidi="he-IL"/>
        </w:rPr>
      </w:pPr>
      <w:r>
        <w:rPr>
          <w:sz w:val="22"/>
          <w:szCs w:val="22"/>
        </w:rPr>
        <w:t xml:space="preserve">Kai kurie duomenys rodo, kad </w:t>
      </w:r>
      <w:r>
        <w:rPr>
          <w:sz w:val="22"/>
          <w:szCs w:val="22"/>
          <w:lang w:bidi="he-IL"/>
        </w:rPr>
        <w:t>europiečių kilmės asmenims ir japonams HLA-A*3101 alelis susijęs su karbamazepino sukeltomis nepageidaujamomis odos reakcijomis, įskaitant SJS, TEN, odos išbėrimą kartu su eozinofilija dėl vaistų (</w:t>
      </w:r>
      <w:r>
        <w:rPr>
          <w:i/>
          <w:sz w:val="22"/>
          <w:szCs w:val="22"/>
          <w:lang w:bidi="he-IL"/>
        </w:rPr>
        <w:t>DRESS</w:t>
      </w:r>
      <w:r>
        <w:rPr>
          <w:sz w:val="22"/>
          <w:szCs w:val="22"/>
          <w:lang w:bidi="he-IL"/>
        </w:rPr>
        <w:t xml:space="preserve"> sindromas) arba lengvesnę ligą ūminę išplitusią egzanteminę pustuliozę ir makulopapulinį išbėrimą (žr. skyrių „Nepageidaujamas poveikis“).</w:t>
      </w:r>
    </w:p>
    <w:p w:rsidR="00973B0B" w:rsidRPr="00EA7F30" w:rsidRDefault="00973B0B" w:rsidP="007546D4">
      <w:pPr>
        <w:jc w:val="both"/>
        <w:rPr>
          <w:sz w:val="22"/>
          <w:szCs w:val="22"/>
        </w:rPr>
      </w:pPr>
    </w:p>
    <w:p w:rsidR="00973B0B" w:rsidRPr="00EA7F30" w:rsidRDefault="00973B0B" w:rsidP="007546D4">
      <w:pPr>
        <w:rPr>
          <w:sz w:val="22"/>
          <w:szCs w:val="22"/>
          <w:lang w:bidi="he-IL"/>
        </w:rPr>
      </w:pPr>
      <w:r>
        <w:rPr>
          <w:sz w:val="22"/>
          <w:szCs w:val="22"/>
          <w:lang w:bidi="he-IL"/>
        </w:rPr>
        <w:t>HLA-A*3101 alelio dažnis įvairiose populiacijose labai skiriasi. Jo dažnis Europos populiacijose yra  2-5%, japonų populiacijoje apie 10%.</w:t>
      </w:r>
    </w:p>
    <w:p w:rsidR="00973B0B" w:rsidRPr="00EA7F30" w:rsidRDefault="00973B0B" w:rsidP="007546D4">
      <w:pPr>
        <w:rPr>
          <w:sz w:val="22"/>
          <w:szCs w:val="22"/>
          <w:lang w:bidi="he-IL"/>
        </w:rPr>
      </w:pPr>
    </w:p>
    <w:p w:rsidR="00973B0B" w:rsidRPr="00EA7F30" w:rsidRDefault="00973B0B" w:rsidP="007546D4">
      <w:pPr>
        <w:rPr>
          <w:sz w:val="22"/>
          <w:szCs w:val="22"/>
          <w:lang w:bidi="he-IL"/>
        </w:rPr>
      </w:pPr>
      <w:r>
        <w:rPr>
          <w:sz w:val="22"/>
          <w:szCs w:val="22"/>
          <w:lang w:bidi="he-IL"/>
        </w:rPr>
        <w:t xml:space="preserve">HLA-A*3101 alelio nešiojimas gali padidinti karbamazepino sukeliamų odos reakcijų (dažniausiai nestiprių) rizikos dažnį nuo 5% bendroje populiacijoje iki 26% europiečių kilmės asmenims; jo nebuvimas riziką gali sumažinti 5-3,8%. </w:t>
      </w:r>
    </w:p>
    <w:p w:rsidR="00973B0B" w:rsidRPr="00EA7F30" w:rsidRDefault="00973B0B" w:rsidP="007546D4">
      <w:pPr>
        <w:rPr>
          <w:sz w:val="22"/>
          <w:szCs w:val="22"/>
          <w:lang w:bidi="he-IL"/>
        </w:rPr>
      </w:pPr>
    </w:p>
    <w:p w:rsidR="00973B0B" w:rsidRPr="00EA7F30" w:rsidRDefault="00973B0B" w:rsidP="007546D4">
      <w:pPr>
        <w:rPr>
          <w:sz w:val="22"/>
          <w:szCs w:val="22"/>
          <w:lang w:bidi="he-IL"/>
        </w:rPr>
      </w:pPr>
      <w:r>
        <w:rPr>
          <w:sz w:val="22"/>
          <w:szCs w:val="22"/>
        </w:rPr>
        <w:t xml:space="preserve">Duomenų, palaikančių rekomendaciją nustatyti </w:t>
      </w:r>
      <w:r>
        <w:rPr>
          <w:sz w:val="22"/>
          <w:szCs w:val="22"/>
          <w:lang w:bidi="he-IL"/>
        </w:rPr>
        <w:t>HLA-A*3101 alelio nešiojimą pacientams prieš pradedant juos gydyti karbamazepinu, nepakanka.</w:t>
      </w:r>
    </w:p>
    <w:p w:rsidR="00973B0B" w:rsidRPr="00EA7F30" w:rsidRDefault="00973B0B" w:rsidP="007546D4">
      <w:pPr>
        <w:rPr>
          <w:sz w:val="22"/>
          <w:szCs w:val="22"/>
          <w:lang w:bidi="he-IL"/>
        </w:rPr>
      </w:pPr>
      <w:r>
        <w:rPr>
          <w:sz w:val="22"/>
          <w:szCs w:val="22"/>
          <w:lang w:bidi="he-IL"/>
        </w:rPr>
        <w:t xml:space="preserve"> </w:t>
      </w:r>
    </w:p>
    <w:p w:rsidR="00973B0B" w:rsidRPr="00EA7F30" w:rsidRDefault="00973B0B" w:rsidP="007546D4">
      <w:pPr>
        <w:rPr>
          <w:sz w:val="22"/>
          <w:szCs w:val="22"/>
          <w:lang w:bidi="he-IL"/>
        </w:rPr>
      </w:pPr>
      <w:r>
        <w:rPr>
          <w:sz w:val="22"/>
          <w:szCs w:val="22"/>
          <w:lang w:bidi="he-IL"/>
        </w:rPr>
        <w:t>Europiečių, japonų kilmės asmenis, kurie yra nustatyti HLA-A*3101</w:t>
      </w:r>
      <w:r w:rsidR="00B43284">
        <w:rPr>
          <w:sz w:val="22"/>
          <w:szCs w:val="22"/>
          <w:lang w:bidi="he-IL"/>
        </w:rPr>
        <w:t xml:space="preserve"> </w:t>
      </w:r>
      <w:r>
        <w:rPr>
          <w:sz w:val="22"/>
          <w:szCs w:val="22"/>
          <w:lang w:bidi="he-IL"/>
        </w:rPr>
        <w:t>alelio nešėjai, karbamazepinu galima gydyti tuomet, jeigu manoma, kad tokio gydymo nauda viršija galimą riziką.</w:t>
      </w:r>
    </w:p>
    <w:p w:rsidR="00973B0B" w:rsidRPr="00EA7F30" w:rsidRDefault="00973B0B" w:rsidP="007546D4">
      <w:pPr>
        <w:pStyle w:val="N"/>
        <w:rPr>
          <w:szCs w:val="22"/>
          <w:lang w:val="lt-LT"/>
        </w:rPr>
      </w:pPr>
    </w:p>
    <w:p w:rsidR="00973B0B" w:rsidRPr="00EA7F30" w:rsidRDefault="00973B0B" w:rsidP="007546D4">
      <w:pPr>
        <w:pStyle w:val="N"/>
        <w:rPr>
          <w:szCs w:val="22"/>
          <w:lang w:val="lt-LT"/>
        </w:rPr>
      </w:pPr>
      <w:r w:rsidRPr="00EA7F30">
        <w:rPr>
          <w:szCs w:val="22"/>
          <w:lang w:val="lt-LT"/>
        </w:rPr>
        <w:t>Taip pat gali pasireikšti nesunki odos reakcija, pvz., izoliuota makulinė arba makulopapulinė egzantema, kuri dažniausiai būna laikina ir žalos nesukelia. Ji paprastai praeina per kelias dienas ar savaites vartojant tokią pačią dozę arba ją sumažinus. Pradinius daug sunkesnio odos pažeidimo simptomus gali būti sunku atskirti nuo lengvo laikino pažeidimo, todėl ligonį reikia atidžiai stebėti ir, jeigu tęsiant gydymą pažeidimas sunkėja, nedelsiant nutraukti vaistinio preparato vartojimą</w:t>
      </w:r>
    </w:p>
    <w:p w:rsidR="00973B0B" w:rsidRPr="00EA7F30" w:rsidRDefault="00973B0B" w:rsidP="007546D4">
      <w:pPr>
        <w:pStyle w:val="N"/>
        <w:rPr>
          <w:szCs w:val="22"/>
          <w:lang w:val="lt-LT"/>
        </w:rPr>
      </w:pPr>
    </w:p>
    <w:p w:rsidR="00973B0B" w:rsidRPr="00EA7F30" w:rsidRDefault="00973B0B" w:rsidP="007546D4">
      <w:pPr>
        <w:tabs>
          <w:tab w:val="left" w:pos="567"/>
        </w:tabs>
        <w:rPr>
          <w:sz w:val="22"/>
          <w:szCs w:val="22"/>
        </w:rPr>
      </w:pPr>
      <w:r>
        <w:rPr>
          <w:sz w:val="22"/>
          <w:szCs w:val="22"/>
        </w:rPr>
        <w:t>Karbamazepinas gali sukelti padidėjusio jautrumo reakcijas, tame tarpe daugelio organų padidėjusio jautrumo reakcijas, kurios gali pažeisti odą, kepenis, kraujodaros organus ir limfinę sistemą arba kitus organus. Jos gali būti pavienės arba pasireikšti kaip sisteminė reakcija (žr. 4.8 skyrių).</w:t>
      </w:r>
    </w:p>
    <w:p w:rsidR="00973B0B" w:rsidRPr="00EA7F30" w:rsidRDefault="00973B0B" w:rsidP="007546D4">
      <w:pPr>
        <w:tabs>
          <w:tab w:val="left" w:pos="567"/>
        </w:tabs>
        <w:rPr>
          <w:sz w:val="22"/>
          <w:szCs w:val="22"/>
        </w:rPr>
      </w:pPr>
    </w:p>
    <w:p w:rsidR="00973B0B" w:rsidRPr="00EA7F30" w:rsidRDefault="00973B0B" w:rsidP="007546D4">
      <w:pPr>
        <w:tabs>
          <w:tab w:val="left" w:pos="567"/>
        </w:tabs>
        <w:rPr>
          <w:sz w:val="22"/>
          <w:szCs w:val="22"/>
        </w:rPr>
      </w:pPr>
      <w:r>
        <w:rPr>
          <w:sz w:val="22"/>
          <w:szCs w:val="22"/>
        </w:rPr>
        <w:t xml:space="preserve">Pacientus, kurie turi išreikštas padidėjusio jautrumo reakcijas karbamazepinui, reikia įspėti, kad 25-30% tokių pacientų gali pasireikšti padidėjusio jautrumo reakcijos okskarbazepinui. </w:t>
      </w:r>
    </w:p>
    <w:p w:rsidR="00973B0B" w:rsidRPr="00EA7F30" w:rsidRDefault="00973B0B" w:rsidP="007546D4">
      <w:pPr>
        <w:tabs>
          <w:tab w:val="left" w:pos="567"/>
        </w:tabs>
        <w:rPr>
          <w:sz w:val="22"/>
          <w:szCs w:val="22"/>
        </w:rPr>
      </w:pPr>
      <w:r>
        <w:rPr>
          <w:sz w:val="22"/>
          <w:szCs w:val="22"/>
        </w:rPr>
        <w:t xml:space="preserve">Gali būti kryžminis jautrumas tarp karbamazepino ir </w:t>
      </w:r>
      <w:r w:rsidR="00302A14">
        <w:rPr>
          <w:sz w:val="22"/>
          <w:szCs w:val="22"/>
        </w:rPr>
        <w:t xml:space="preserve">kitų antiepilepsinių vaistinių preparatų (pvz., </w:t>
      </w:r>
      <w:r>
        <w:rPr>
          <w:sz w:val="22"/>
          <w:szCs w:val="22"/>
        </w:rPr>
        <w:t>fenitoino</w:t>
      </w:r>
      <w:r w:rsidR="00302A14">
        <w:rPr>
          <w:sz w:val="22"/>
          <w:szCs w:val="22"/>
        </w:rPr>
        <w:t>, primidono ir fenobarbitalio)</w:t>
      </w:r>
      <w:r>
        <w:rPr>
          <w:sz w:val="22"/>
          <w:szCs w:val="22"/>
        </w:rPr>
        <w:t>.</w:t>
      </w:r>
    </w:p>
    <w:p w:rsidR="00973B0B" w:rsidRPr="00EA7F30" w:rsidRDefault="00973B0B" w:rsidP="007546D4">
      <w:pPr>
        <w:tabs>
          <w:tab w:val="left" w:pos="567"/>
        </w:tabs>
        <w:rPr>
          <w:sz w:val="22"/>
          <w:szCs w:val="22"/>
        </w:rPr>
      </w:pPr>
    </w:p>
    <w:p w:rsidR="00973B0B" w:rsidRPr="00EA7F30" w:rsidRDefault="00973B0B" w:rsidP="007546D4">
      <w:pPr>
        <w:tabs>
          <w:tab w:val="left" w:pos="567"/>
        </w:tabs>
        <w:rPr>
          <w:sz w:val="22"/>
          <w:szCs w:val="22"/>
        </w:rPr>
      </w:pPr>
      <w:r>
        <w:rPr>
          <w:sz w:val="22"/>
          <w:szCs w:val="22"/>
        </w:rPr>
        <w:t>Jeigu pasireiškia simptomai, susiję su padidėjusio jautrumo reakcijomis, karbamazepino vartojimą reikia nedelsiant nutraukti.</w:t>
      </w:r>
    </w:p>
    <w:p w:rsidR="00973B0B" w:rsidRPr="00EA7F30" w:rsidRDefault="00973B0B" w:rsidP="007546D4">
      <w:pPr>
        <w:pStyle w:val="N"/>
        <w:rPr>
          <w:szCs w:val="22"/>
          <w:highlight w:val="yellow"/>
          <w:lang w:val="lt-LT"/>
        </w:rPr>
      </w:pPr>
    </w:p>
    <w:p w:rsidR="00973B0B" w:rsidRPr="00EA7F30" w:rsidRDefault="00973B0B" w:rsidP="007546D4">
      <w:pPr>
        <w:tabs>
          <w:tab w:val="left" w:pos="567"/>
        </w:tabs>
        <w:rPr>
          <w:sz w:val="22"/>
          <w:szCs w:val="22"/>
        </w:rPr>
      </w:pPr>
      <w:r>
        <w:rPr>
          <w:sz w:val="22"/>
          <w:szCs w:val="22"/>
        </w:rPr>
        <w:t xml:space="preserve">Jeigu ligoniui pasireiškia mišrūs priepuoliai, kurių metu būna ir tipinių, ir netipinių absansų, karbamazepino reikia vartoti labai atsargiai, kadangi priepuoliai gali paūmėti. Ligai paūmėjus, karbamazepino vartojimą reikia nutraukti. </w:t>
      </w:r>
    </w:p>
    <w:p w:rsidR="00973B0B" w:rsidRPr="00EA7F30" w:rsidRDefault="00973B0B" w:rsidP="007546D4">
      <w:pPr>
        <w:tabs>
          <w:tab w:val="left" w:pos="567"/>
        </w:tabs>
        <w:rPr>
          <w:sz w:val="22"/>
          <w:szCs w:val="22"/>
        </w:rPr>
      </w:pPr>
    </w:p>
    <w:p w:rsidR="00973B0B" w:rsidRPr="00EA7F30" w:rsidRDefault="00973B0B" w:rsidP="007546D4">
      <w:pPr>
        <w:tabs>
          <w:tab w:val="left" w:pos="567"/>
        </w:tabs>
        <w:rPr>
          <w:sz w:val="22"/>
          <w:szCs w:val="22"/>
        </w:rPr>
      </w:pPr>
      <w:r>
        <w:rPr>
          <w:sz w:val="22"/>
          <w:szCs w:val="22"/>
        </w:rPr>
        <w:t>Traukuliai gali padažnėti pereinant nuo geriamosios vaistinio preparato formos prie žvakučių.</w:t>
      </w:r>
    </w:p>
    <w:p w:rsidR="00973B0B" w:rsidRPr="00EA7F30" w:rsidRDefault="00973B0B" w:rsidP="007546D4">
      <w:pPr>
        <w:tabs>
          <w:tab w:val="left" w:pos="567"/>
        </w:tabs>
        <w:rPr>
          <w:sz w:val="22"/>
          <w:szCs w:val="22"/>
        </w:rPr>
      </w:pPr>
    </w:p>
    <w:p w:rsidR="00973B0B" w:rsidRPr="00EA7F30" w:rsidRDefault="00973B0B" w:rsidP="007546D4">
      <w:pPr>
        <w:tabs>
          <w:tab w:val="left" w:pos="567"/>
        </w:tabs>
        <w:rPr>
          <w:sz w:val="22"/>
          <w:szCs w:val="22"/>
        </w:rPr>
      </w:pPr>
      <w:r>
        <w:rPr>
          <w:sz w:val="22"/>
          <w:szCs w:val="22"/>
        </w:rPr>
        <w:t xml:space="preserve">Pacientams, ypač pagyvenusiems ir sirgusiems kepenų ligomis, prieš pradedant vartoti karbamazepino reikia atlikti kepenų veiklos tyrimus ir reguliariai juos kartoti gydymo metu. Jeigu kepenų funkcija dar labiau sutrinka arba paūmėja kepenų liga, karbamazepino vartojimą reikia nedelsiant nutraukti. </w:t>
      </w:r>
    </w:p>
    <w:p w:rsidR="00973B0B" w:rsidRPr="00EA7F30" w:rsidRDefault="00973B0B" w:rsidP="007546D4">
      <w:pPr>
        <w:tabs>
          <w:tab w:val="left" w:pos="567"/>
        </w:tabs>
        <w:rPr>
          <w:sz w:val="22"/>
          <w:szCs w:val="22"/>
        </w:rPr>
      </w:pPr>
    </w:p>
    <w:p w:rsidR="00973B0B" w:rsidRPr="00EA7F30" w:rsidRDefault="00973B0B" w:rsidP="007546D4">
      <w:pPr>
        <w:tabs>
          <w:tab w:val="left" w:pos="567"/>
        </w:tabs>
        <w:rPr>
          <w:sz w:val="22"/>
          <w:szCs w:val="22"/>
        </w:rPr>
      </w:pPr>
      <w:r>
        <w:rPr>
          <w:sz w:val="22"/>
          <w:szCs w:val="22"/>
        </w:rPr>
        <w:t xml:space="preserve">Prieš pradedant vartoti karbamazepino ir gydymo metu rekomenduojama periodiškai atlikti klinikinį šlapimo tyrimą bei nustatyti šlapalo azoto koncentraciją kraujyje. </w:t>
      </w:r>
    </w:p>
    <w:p w:rsidR="00973B0B" w:rsidRPr="00EA7F30" w:rsidRDefault="00973B0B" w:rsidP="007546D4">
      <w:pPr>
        <w:tabs>
          <w:tab w:val="left" w:pos="567"/>
        </w:tabs>
        <w:rPr>
          <w:sz w:val="22"/>
          <w:szCs w:val="22"/>
        </w:rPr>
      </w:pPr>
    </w:p>
    <w:p w:rsidR="00973B0B" w:rsidRPr="00EA7F30" w:rsidRDefault="00973B0B" w:rsidP="007546D4">
      <w:pPr>
        <w:tabs>
          <w:tab w:val="left" w:pos="567"/>
        </w:tabs>
        <w:rPr>
          <w:sz w:val="22"/>
          <w:szCs w:val="22"/>
        </w:rPr>
      </w:pPr>
      <w:r>
        <w:rPr>
          <w:sz w:val="22"/>
          <w:szCs w:val="22"/>
        </w:rPr>
        <w:t xml:space="preserve">Karbamazepinas pasižymi nežymiu anticholinerginiu poveikiu. Dėl šios priežasties, pacientus, kurių akispūdis yra padidėjęs, gydymo metu būtina atidžiai stebėti (žr. 4.8 skyrių). </w:t>
      </w:r>
    </w:p>
    <w:p w:rsidR="00973B0B" w:rsidRPr="00EA7F30" w:rsidRDefault="00973B0B" w:rsidP="007546D4">
      <w:pPr>
        <w:pStyle w:val="N"/>
        <w:rPr>
          <w:szCs w:val="22"/>
          <w:highlight w:val="yellow"/>
          <w:lang w:val="lt-LT"/>
        </w:rPr>
      </w:pPr>
    </w:p>
    <w:p w:rsidR="00973B0B" w:rsidRPr="00EA7F30" w:rsidRDefault="00973B0B" w:rsidP="007546D4">
      <w:pPr>
        <w:rPr>
          <w:sz w:val="22"/>
          <w:szCs w:val="22"/>
        </w:rPr>
      </w:pPr>
      <w:r>
        <w:rPr>
          <w:sz w:val="22"/>
          <w:szCs w:val="22"/>
        </w:rPr>
        <w:t>Minčių apie savižudybę ir bandymų nusižudyti buvo užregistruota ligoniams, kurie buvo gydomi vaistiniais preparatais nuo epilepsijos esant įvairioms indikacijoms. Atsitiktinių imčių placebu kontroliuojamų klinikinių tyrimų metaanalizės duomenys taip pat parodė šiek tiek padidėjusią minčių apie savižudybę ir bandymo nusižudyti riziką. Šios rizikos mechanizmas nėra aiškus, ir turimi duomenys neatmeta padidėjusios rizikos galimybės vartojant karbamazepiną.</w:t>
      </w:r>
    </w:p>
    <w:p w:rsidR="00973B0B" w:rsidRPr="00EA7F30" w:rsidRDefault="00973B0B" w:rsidP="007546D4">
      <w:pPr>
        <w:rPr>
          <w:sz w:val="22"/>
          <w:szCs w:val="22"/>
        </w:rPr>
      </w:pPr>
      <w:r>
        <w:rPr>
          <w:sz w:val="22"/>
          <w:szCs w:val="22"/>
        </w:rPr>
        <w:t>Taigi, pacientai turi būti stebimi dėl minčių apie savižudybę bei bandymo nusižudyti požymių ir turi būti apsvarstytas atitinkamas gydymas. Ligonius (ir jų globėjus) reikia įspėti, kad kreiptųsi į gydytoją, jei pasireiškia minčių apie savižudybę bei bandymo nusižudyti požymių.</w:t>
      </w:r>
    </w:p>
    <w:p w:rsidR="00973B0B" w:rsidRPr="00EA7F30" w:rsidRDefault="00973B0B" w:rsidP="007546D4">
      <w:pPr>
        <w:rPr>
          <w:sz w:val="22"/>
          <w:szCs w:val="22"/>
        </w:rPr>
      </w:pPr>
    </w:p>
    <w:p w:rsidR="00973B0B" w:rsidRPr="001B0AB9" w:rsidRDefault="00973B0B" w:rsidP="007546D4">
      <w:pPr>
        <w:pStyle w:val="Pagrindinistekstas"/>
        <w:tabs>
          <w:tab w:val="left" w:pos="567"/>
        </w:tabs>
        <w:spacing w:after="0"/>
        <w:rPr>
          <w:sz w:val="22"/>
          <w:szCs w:val="22"/>
        </w:rPr>
      </w:pPr>
      <w:r w:rsidRPr="001B0AB9">
        <w:rPr>
          <w:sz w:val="22"/>
          <w:szCs w:val="22"/>
        </w:rPr>
        <w:lastRenderedPageBreak/>
        <w:t xml:space="preserve">Reikia nepamiršti, kad karbamazepinas gali suaktyvinti latentinę psichozę, senyviems žmonėms </w:t>
      </w:r>
      <w:r>
        <w:rPr>
          <w:sz w:val="22"/>
          <w:szCs w:val="22"/>
        </w:rPr>
        <w:t>–</w:t>
      </w:r>
      <w:r w:rsidRPr="001B0AB9">
        <w:rPr>
          <w:sz w:val="22"/>
          <w:szCs w:val="22"/>
        </w:rPr>
        <w:t xml:space="preserve"> lengvą minčių susipainiojimą ar sujaudinimą. </w:t>
      </w:r>
    </w:p>
    <w:p w:rsidR="00973B0B" w:rsidRPr="00EA7F30" w:rsidRDefault="00973B0B" w:rsidP="007546D4">
      <w:pPr>
        <w:rPr>
          <w:sz w:val="22"/>
          <w:szCs w:val="22"/>
        </w:rPr>
      </w:pPr>
    </w:p>
    <w:p w:rsidR="007A0FD8" w:rsidRDefault="007A0FD8" w:rsidP="007546D4">
      <w:pPr>
        <w:tabs>
          <w:tab w:val="left" w:pos="567"/>
        </w:tabs>
      </w:pPr>
      <w:r>
        <w:t>Hormoniniai kontraceptikai</w:t>
      </w:r>
    </w:p>
    <w:p w:rsidR="00973B0B" w:rsidRPr="00EA7F30" w:rsidRDefault="007A0FD8" w:rsidP="007546D4">
      <w:pPr>
        <w:tabs>
          <w:tab w:val="left" w:pos="567"/>
        </w:tabs>
        <w:rPr>
          <w:sz w:val="22"/>
          <w:szCs w:val="22"/>
        </w:rPr>
      </w:pPr>
      <w:r>
        <w:t>Kartu vartojant hormoninių kontraceptikų ir karbamazepino, moterims pastebėtas kraujavimas tarp mėnesinių..</w:t>
      </w:r>
      <w:r w:rsidR="00973B0B">
        <w:rPr>
          <w:sz w:val="22"/>
          <w:szCs w:val="22"/>
        </w:rPr>
        <w:t xml:space="preserve"> </w:t>
      </w:r>
    </w:p>
    <w:p w:rsidR="00973B0B" w:rsidRPr="007F7D76" w:rsidRDefault="007A0FD8" w:rsidP="007F7D76">
      <w:pPr>
        <w:pStyle w:val="BTbEMEASMCA"/>
      </w:pPr>
      <w:r w:rsidRPr="007F7D76">
        <w:t xml:space="preserve">Nėščiosios vartojamas karbamazepinas gali pakenkti vaisiui. Karbamazepiną vartojant prenataliniu laikotarpiu, gali padidėti sunkių </w:t>
      </w:r>
      <w:r w:rsidR="00667400">
        <w:t>įgimtų formavimosi ydų</w:t>
      </w:r>
      <w:r w:rsidRPr="007F7D76">
        <w:t xml:space="preserve"> ir kitų nepageidaujamų reiškinių rizika (žr. 4.6 skyrių). Karbamazepino negalima vartoti vaisingoms moterims, nebent, atidžiai apsvarsčius kitas tinkamas gydymo galimybes, vaistinio preparato nauda būtų didesnė už jo keliamą riziką. Vaisingos moterys, vartojančios karbamazepino nėštumo metu, turi būti išsamiai informuotos apie galimą riziką vaisiui. Prieš pradedant vaisingą moterį gydyti karbamazepinu turi būti įvertinta galimybė atlikti tyrimą dėl nėštumo. Gydymo laikotarpiu ir dvi savaites po jo pabaigos vaisingos moterys turi naudoti veiksmingas kontracepcijos priemones. Dėl fermentų indukcijos karbamazepinas gali sukelti hormoninių kontraceptikų poveikio nepakankamumą, todėl vaisinga moteris turi būti informuota apie kitų veiksmingų kontracepcijos metodų taikymą (žr. 4.5 ir 4.6 skyrius). Planuojančioms pastoti vaisingoms moterims turi būti patarta nedelsiant pasikonsultuoti su savo gydytoju ir aptarti galimybę prieš pastojant ir nutraukiant kontraceptinių priemonių vartojimą pereiti prie gydymo kitais vaistiniais preparatais (žr. 4.6 skyrių). Vaisingoms moterims turi būti patarta nedelsiant pasikonsultuoti su savo gydytoju, jei jos karbamazepino vartojimo metu pastojo arba mano, kad galėjo pastoti.</w:t>
      </w:r>
    </w:p>
    <w:p w:rsidR="007A0FD8" w:rsidRPr="00EA7F30" w:rsidRDefault="007A0FD8" w:rsidP="007546D4">
      <w:pPr>
        <w:tabs>
          <w:tab w:val="left" w:pos="567"/>
        </w:tabs>
        <w:rPr>
          <w:sz w:val="22"/>
          <w:szCs w:val="22"/>
        </w:rPr>
      </w:pPr>
    </w:p>
    <w:p w:rsidR="00973B0B" w:rsidRPr="00EA7F30" w:rsidRDefault="00973B0B" w:rsidP="007546D4">
      <w:pPr>
        <w:tabs>
          <w:tab w:val="left" w:pos="567"/>
        </w:tabs>
        <w:rPr>
          <w:sz w:val="22"/>
          <w:szCs w:val="22"/>
        </w:rPr>
      </w:pPr>
      <w:r>
        <w:rPr>
          <w:sz w:val="22"/>
          <w:szCs w:val="22"/>
        </w:rPr>
        <w:t xml:space="preserve">Nors priklausomumas tarp dozės ir karbamazepino koncentracijos kraujo plazmoje, taip pat tarp preparato koncentracijos plazmoje ir klinikinio efektyvumo arba toleravimo yra pakankamai mažas, tikrinti karbamazepino koncentraciją kraujo plazmoje gali būti naudinga sekančiais atvejais: jei labai padažnėja priepuoliai arba norima patikrinti, ar pacientas laikosi nustatyto gydymosi režimo, jei moteris yra nėščia, jei vaistinį preparatą vartoja vaikas ar paauglys, jei įtariama, kad vaistinio preparato pasisavinimas iš virškinimo trakto yra sutrikęs, jei vartojant kelis vaistinius preparatus, atsirado toksinis poveikis (žr. 4.5 skyrių). </w:t>
      </w:r>
    </w:p>
    <w:p w:rsidR="00973B0B" w:rsidRDefault="00973B0B" w:rsidP="007546D4">
      <w:pPr>
        <w:tabs>
          <w:tab w:val="left" w:pos="567"/>
        </w:tabs>
        <w:rPr>
          <w:sz w:val="22"/>
          <w:szCs w:val="22"/>
          <w:u w:val="single"/>
        </w:rPr>
      </w:pPr>
    </w:p>
    <w:p w:rsidR="00302A14" w:rsidRPr="00302A14" w:rsidRDefault="00302A14" w:rsidP="00302A14">
      <w:pPr>
        <w:tabs>
          <w:tab w:val="left" w:pos="567"/>
        </w:tabs>
        <w:rPr>
          <w:rFonts w:eastAsia="Times New Roman"/>
          <w:sz w:val="22"/>
          <w:szCs w:val="22"/>
          <w:u w:val="single"/>
        </w:rPr>
      </w:pPr>
      <w:r w:rsidRPr="00302A14">
        <w:rPr>
          <w:rFonts w:eastAsia="Times New Roman"/>
          <w:sz w:val="22"/>
          <w:szCs w:val="22"/>
          <w:u w:val="single"/>
        </w:rPr>
        <w:t>Kritimai</w:t>
      </w:r>
    </w:p>
    <w:p w:rsidR="00302A14" w:rsidRPr="00302A14" w:rsidRDefault="00302A14" w:rsidP="00302A14">
      <w:pPr>
        <w:tabs>
          <w:tab w:val="left" w:pos="567"/>
        </w:tabs>
        <w:rPr>
          <w:sz w:val="22"/>
          <w:szCs w:val="22"/>
          <w:u w:val="single"/>
        </w:rPr>
      </w:pPr>
      <w:r w:rsidRPr="00302A14">
        <w:rPr>
          <w:rFonts w:eastAsia="Times New Roman"/>
          <w:sz w:val="22"/>
          <w:szCs w:val="22"/>
        </w:rPr>
        <w:t>Gydymas karbamazepinu buvo susijęs su ataksija, galvos svaigimu, somnolencija, hipotenzija, sumišimu, sedacija, todėl didėja kritimų, kurių metu galimi lūžiai ar kiti sužalojimai, rizika. Gretutinės ligos, sąlygos ar kiti kartu vartojami vaistiniai preparatai gali sustiprinti šį poveikį, todėl pacientams, kuriems yra taikomas ilgalaikis gydymas karbamazepinu, kritimo rizika turi būti įvertinta pakartotinai.</w:t>
      </w:r>
    </w:p>
    <w:p w:rsidR="00302A14" w:rsidRPr="00EA7F30" w:rsidRDefault="00302A14" w:rsidP="007546D4">
      <w:pPr>
        <w:tabs>
          <w:tab w:val="left" w:pos="567"/>
        </w:tabs>
        <w:rPr>
          <w:sz w:val="22"/>
          <w:szCs w:val="22"/>
          <w:u w:val="single"/>
        </w:rPr>
      </w:pPr>
    </w:p>
    <w:p w:rsidR="00973B0B" w:rsidRPr="00EA7F30" w:rsidRDefault="00973B0B" w:rsidP="007546D4">
      <w:pPr>
        <w:tabs>
          <w:tab w:val="left" w:pos="567"/>
        </w:tabs>
        <w:rPr>
          <w:sz w:val="22"/>
          <w:szCs w:val="22"/>
          <w:u w:val="single"/>
        </w:rPr>
      </w:pPr>
      <w:r>
        <w:rPr>
          <w:sz w:val="22"/>
          <w:szCs w:val="22"/>
          <w:u w:val="single"/>
        </w:rPr>
        <w:t>Dozės mažinimas ir nutraukimas</w:t>
      </w:r>
    </w:p>
    <w:p w:rsidR="006355D0" w:rsidRDefault="00973B0B" w:rsidP="007546D4">
      <w:pPr>
        <w:tabs>
          <w:tab w:val="left" w:pos="567"/>
        </w:tabs>
        <w:rPr>
          <w:sz w:val="22"/>
          <w:szCs w:val="22"/>
        </w:rPr>
      </w:pPr>
      <w:r>
        <w:rPr>
          <w:sz w:val="22"/>
          <w:szCs w:val="22"/>
        </w:rPr>
        <w:t>Staigus karbamazepino vartojimo nutraukimas gali sukelti priepuolius. Jeigu epilepsija sergančiam pacientui staiga reikia nutraukti karbamazepino vartojimą, būtina skirti kitokį tinkamą vaistinį preparatą nuo epilepsijos (pvz., leisti diazepamo arba fenitoino į veną arba skirti diazepamo rektaliai).</w:t>
      </w:r>
    </w:p>
    <w:p w:rsidR="006355D0" w:rsidRDefault="006355D0" w:rsidP="007546D4">
      <w:pPr>
        <w:tabs>
          <w:tab w:val="left" w:pos="567"/>
        </w:tabs>
        <w:rPr>
          <w:sz w:val="22"/>
          <w:szCs w:val="22"/>
        </w:rPr>
      </w:pPr>
    </w:p>
    <w:p w:rsidR="006355D0" w:rsidRPr="006355D0" w:rsidRDefault="006355D0" w:rsidP="007546D4">
      <w:pPr>
        <w:tabs>
          <w:tab w:val="left" w:pos="567"/>
        </w:tabs>
        <w:rPr>
          <w:sz w:val="22"/>
          <w:szCs w:val="22"/>
          <w:u w:val="single"/>
        </w:rPr>
      </w:pPr>
      <w:r w:rsidRPr="006355D0">
        <w:rPr>
          <w:sz w:val="22"/>
          <w:szCs w:val="22"/>
          <w:u w:val="single"/>
        </w:rPr>
        <w:t>Pagalbinės medžiagos</w:t>
      </w:r>
    </w:p>
    <w:p w:rsidR="00973B0B" w:rsidRPr="006355D0" w:rsidRDefault="006355D0" w:rsidP="007546D4">
      <w:pPr>
        <w:tabs>
          <w:tab w:val="left" w:pos="567"/>
        </w:tabs>
        <w:rPr>
          <w:i/>
          <w:iCs/>
          <w:sz w:val="22"/>
          <w:szCs w:val="22"/>
        </w:rPr>
      </w:pPr>
      <w:r w:rsidRPr="006355D0">
        <w:rPr>
          <w:i/>
          <w:iCs/>
          <w:sz w:val="22"/>
          <w:szCs w:val="22"/>
        </w:rPr>
        <w:t>Natris</w:t>
      </w:r>
      <w:r w:rsidR="00973B0B" w:rsidRPr="006355D0">
        <w:rPr>
          <w:i/>
          <w:iCs/>
          <w:sz w:val="22"/>
          <w:szCs w:val="22"/>
        </w:rPr>
        <w:t xml:space="preserve"> </w:t>
      </w:r>
    </w:p>
    <w:p w:rsidR="00980614" w:rsidRPr="00980614" w:rsidRDefault="00980614" w:rsidP="00980614">
      <w:pPr>
        <w:rPr>
          <w:rFonts w:eastAsia="SimSun"/>
          <w:sz w:val="22"/>
          <w:szCs w:val="22"/>
          <w:lang w:eastAsia="zh-CN"/>
        </w:rPr>
      </w:pPr>
      <w:bookmarkStart w:id="21" w:name="_Toc129243106"/>
      <w:bookmarkStart w:id="22" w:name="_Toc129243231"/>
      <w:r w:rsidRPr="00980614">
        <w:rPr>
          <w:rFonts w:eastAsia="SimSun"/>
          <w:sz w:val="22"/>
          <w:szCs w:val="22"/>
          <w:lang w:eastAsia="zh-CN"/>
        </w:rPr>
        <w:t>Šio vaisto tabletėje yra mažiau kaip 1 mmol (23 mg) natrio, t.y. jis beveik neturi reikšmės.</w:t>
      </w:r>
    </w:p>
    <w:p w:rsidR="00973B0B" w:rsidRDefault="00973B0B" w:rsidP="007F7D76">
      <w:pPr>
        <w:pStyle w:val="BTEMEASMCA"/>
      </w:pPr>
    </w:p>
    <w:p w:rsidR="00973B0B" w:rsidRPr="001B0AB9" w:rsidRDefault="00973B0B" w:rsidP="007F7D76">
      <w:pPr>
        <w:pStyle w:val="BTEMEASMCA"/>
      </w:pPr>
      <w:r w:rsidRPr="001B0AB9">
        <w:t>4.5</w:t>
      </w:r>
      <w:r>
        <w:tab/>
      </w:r>
      <w:r w:rsidRPr="001B0AB9">
        <w:t xml:space="preserve">Sąveika su kitais </w:t>
      </w:r>
      <w:bookmarkStart w:id="23" w:name="OLE_LINK3"/>
      <w:r w:rsidRPr="001B0AB9">
        <w:t>vaistiniais preparatais</w:t>
      </w:r>
      <w:bookmarkEnd w:id="23"/>
      <w:r w:rsidRPr="001B0AB9">
        <w:t xml:space="preserve"> ir kitokia sąveika</w:t>
      </w:r>
      <w:bookmarkEnd w:id="21"/>
      <w:bookmarkEnd w:id="22"/>
    </w:p>
    <w:p w:rsidR="00973B0B" w:rsidRPr="00EA7F30" w:rsidRDefault="00973B0B" w:rsidP="007F7D76">
      <w:pPr>
        <w:pStyle w:val="BTEMEASMCA"/>
      </w:pPr>
    </w:p>
    <w:p w:rsidR="00973B0B" w:rsidRPr="00EA7F30" w:rsidRDefault="00973B0B" w:rsidP="007546D4">
      <w:pPr>
        <w:tabs>
          <w:tab w:val="left" w:pos="567"/>
        </w:tabs>
        <w:rPr>
          <w:sz w:val="22"/>
          <w:szCs w:val="22"/>
        </w:rPr>
      </w:pPr>
      <w:r>
        <w:rPr>
          <w:sz w:val="22"/>
          <w:szCs w:val="22"/>
        </w:rPr>
        <w:t>Citochromas P4503A4 (CYP 3A4) yra pagrindinis fermentas, katalizuojantys aktyvaus metabolito karbamazepin-10,11-epoksido sintezę. Kartu vartojant CYP 3A4 inhibitorius ir karbamazepiną, kraujo plazmoje gali padidėti karbamazepino koncentracija, galinti paskatinti nepageidaujamo poveikio pasireiškimą. Kartu vartojant preparatus, indukuojančius CYP 3A4, gali padidėti karbamazepino metabolizmas, plazmoje sumažėti karbamazepino koncentracija bei jo gydomasis poveikis.</w:t>
      </w:r>
    </w:p>
    <w:p w:rsidR="00973B0B" w:rsidRPr="00EA7F30" w:rsidRDefault="00973B0B" w:rsidP="007546D4">
      <w:pPr>
        <w:tabs>
          <w:tab w:val="left" w:pos="567"/>
        </w:tabs>
        <w:rPr>
          <w:sz w:val="22"/>
          <w:szCs w:val="22"/>
        </w:rPr>
      </w:pPr>
    </w:p>
    <w:p w:rsidR="00973B0B" w:rsidRPr="00EA7F30" w:rsidRDefault="00973B0B" w:rsidP="007546D4">
      <w:pPr>
        <w:tabs>
          <w:tab w:val="left" w:pos="567"/>
        </w:tabs>
        <w:rPr>
          <w:sz w:val="22"/>
          <w:szCs w:val="22"/>
        </w:rPr>
      </w:pPr>
      <w:r>
        <w:rPr>
          <w:sz w:val="22"/>
          <w:szCs w:val="22"/>
        </w:rPr>
        <w:t>Ir atvirkščiai, nutraukus indukuojančių CYP 3A4 preparatų vartojimą, gali sumažėti karbamazepino skaidymo greitis, todėl plazmoje gali padidėti jo kiekis.</w:t>
      </w:r>
    </w:p>
    <w:p w:rsidR="00973B0B" w:rsidRPr="00EA7F30" w:rsidRDefault="00973B0B" w:rsidP="007546D4">
      <w:pPr>
        <w:pStyle w:val="Antrat1"/>
        <w:tabs>
          <w:tab w:val="left" w:pos="567"/>
        </w:tabs>
        <w:spacing w:before="0" w:after="0"/>
        <w:rPr>
          <w:rFonts w:ascii="Times New Roman" w:hAnsi="Times New Roman"/>
          <w:b w:val="0"/>
          <w:sz w:val="22"/>
          <w:szCs w:val="22"/>
        </w:rPr>
      </w:pPr>
    </w:p>
    <w:p w:rsidR="00973B0B" w:rsidRPr="00EA7F30" w:rsidRDefault="00973B0B" w:rsidP="007546D4">
      <w:pPr>
        <w:pStyle w:val="Antrat1"/>
        <w:tabs>
          <w:tab w:val="left" w:pos="567"/>
        </w:tabs>
        <w:spacing w:before="0" w:after="0"/>
        <w:rPr>
          <w:rFonts w:ascii="Times New Roman" w:hAnsi="Times New Roman"/>
          <w:b w:val="0"/>
          <w:sz w:val="22"/>
          <w:szCs w:val="22"/>
        </w:rPr>
      </w:pPr>
      <w:r>
        <w:rPr>
          <w:rFonts w:ascii="Times New Roman" w:hAnsi="Times New Roman"/>
          <w:b w:val="0"/>
          <w:sz w:val="22"/>
          <w:szCs w:val="22"/>
        </w:rPr>
        <w:t>Karbamazepinas gali indukuoti CYP3A4 ir kitas I ir II fazės fermentų sistemas kepenyse, todėl, indukuojant jų metabolizmą, gali sumažėti kartu vartojamų preparatų, daugiausia metabolizuojamų CYP3A4, koncentracija kraujo plazmoje.</w:t>
      </w:r>
    </w:p>
    <w:p w:rsidR="00973B0B" w:rsidRPr="00EA7F30" w:rsidRDefault="00973B0B" w:rsidP="007546D4">
      <w:pPr>
        <w:tabs>
          <w:tab w:val="left" w:pos="567"/>
        </w:tabs>
        <w:rPr>
          <w:sz w:val="22"/>
          <w:szCs w:val="22"/>
        </w:rPr>
      </w:pPr>
    </w:p>
    <w:p w:rsidR="00973B0B" w:rsidRPr="00EA7F30" w:rsidRDefault="00973B0B" w:rsidP="007546D4">
      <w:pPr>
        <w:pStyle w:val="Antrat1"/>
        <w:tabs>
          <w:tab w:val="left" w:pos="567"/>
        </w:tabs>
        <w:spacing w:before="0" w:after="0"/>
        <w:rPr>
          <w:rFonts w:ascii="Times New Roman" w:hAnsi="Times New Roman"/>
          <w:b w:val="0"/>
          <w:sz w:val="22"/>
          <w:szCs w:val="22"/>
          <w:u w:val="single"/>
        </w:rPr>
      </w:pPr>
      <w:r>
        <w:rPr>
          <w:rFonts w:ascii="Times New Roman" w:hAnsi="Times New Roman"/>
          <w:b w:val="0"/>
          <w:sz w:val="22"/>
          <w:szCs w:val="22"/>
          <w:u w:val="single"/>
        </w:rPr>
        <w:t>Vaistiniai preparatai, kurie gali didinti karbamazepino koncentraciją kraujo plazmoje:</w:t>
      </w:r>
    </w:p>
    <w:p w:rsidR="00973B0B" w:rsidRPr="00EA7F30" w:rsidRDefault="00973B0B" w:rsidP="007546D4">
      <w:pPr>
        <w:tabs>
          <w:tab w:val="left" w:pos="567"/>
        </w:tabs>
        <w:rPr>
          <w:sz w:val="22"/>
          <w:szCs w:val="22"/>
        </w:rPr>
      </w:pPr>
      <w:r>
        <w:rPr>
          <w:sz w:val="22"/>
          <w:szCs w:val="22"/>
        </w:rPr>
        <w:t>Kadangi padidėjus karbamazepino koncentracijai kraujo plazmoje, gali atsirasti nepageidaujamas poveikis (pvz., galvos svaigimas, mieguistumas, ataksija, diplopija), reikia atitinkamai koreguoti karbamazepino dozę ir (arba) stebėti jo koncentraciją kraujo plazmoje, kai kartu vartojama medžiagų, aprašytų žemiau:</w:t>
      </w:r>
    </w:p>
    <w:p w:rsidR="00973B0B" w:rsidRPr="00EA7F30" w:rsidRDefault="00973B0B" w:rsidP="007546D4">
      <w:pPr>
        <w:tabs>
          <w:tab w:val="left" w:pos="567"/>
        </w:tabs>
        <w:rPr>
          <w:sz w:val="22"/>
          <w:szCs w:val="22"/>
        </w:rPr>
      </w:pPr>
    </w:p>
    <w:p w:rsidR="00973B0B" w:rsidRPr="00EA7F30" w:rsidRDefault="00973B0B" w:rsidP="007546D4">
      <w:pPr>
        <w:tabs>
          <w:tab w:val="left" w:pos="567"/>
        </w:tabs>
        <w:rPr>
          <w:sz w:val="22"/>
          <w:szCs w:val="22"/>
        </w:rPr>
      </w:pPr>
      <w:r>
        <w:rPr>
          <w:i/>
          <w:sz w:val="22"/>
          <w:szCs w:val="22"/>
        </w:rPr>
        <w:t>Analgetikai, priešuždegiminiai vaistiniai preparatai:</w:t>
      </w:r>
      <w:r>
        <w:rPr>
          <w:sz w:val="22"/>
          <w:szCs w:val="22"/>
        </w:rPr>
        <w:t xml:space="preserve"> dekstropropoksifenas, ibuprofenas</w:t>
      </w:r>
    </w:p>
    <w:p w:rsidR="00973B0B" w:rsidRPr="00EA7F30" w:rsidRDefault="00973B0B" w:rsidP="007546D4">
      <w:pPr>
        <w:tabs>
          <w:tab w:val="left" w:pos="567"/>
        </w:tabs>
        <w:rPr>
          <w:sz w:val="22"/>
          <w:szCs w:val="22"/>
        </w:rPr>
      </w:pPr>
      <w:r>
        <w:rPr>
          <w:i/>
          <w:sz w:val="22"/>
          <w:szCs w:val="22"/>
        </w:rPr>
        <w:t>Androgenai:</w:t>
      </w:r>
      <w:r>
        <w:rPr>
          <w:sz w:val="22"/>
          <w:szCs w:val="22"/>
        </w:rPr>
        <w:t xml:space="preserve"> danazolas.</w:t>
      </w:r>
    </w:p>
    <w:p w:rsidR="00973B0B" w:rsidRPr="00EA7F30" w:rsidRDefault="00973B0B" w:rsidP="007546D4">
      <w:pPr>
        <w:tabs>
          <w:tab w:val="left" w:pos="567"/>
        </w:tabs>
        <w:rPr>
          <w:sz w:val="22"/>
          <w:szCs w:val="22"/>
        </w:rPr>
      </w:pPr>
      <w:r>
        <w:rPr>
          <w:i/>
          <w:sz w:val="22"/>
          <w:szCs w:val="22"/>
        </w:rPr>
        <w:t>Antibiotikai:</w:t>
      </w:r>
      <w:r>
        <w:rPr>
          <w:sz w:val="22"/>
          <w:szCs w:val="22"/>
        </w:rPr>
        <w:t xml:space="preserve"> makrolidų grupės antibiotikai, pvz., eritromicinas, troleandomicinas, josamicinas, klaritromicinas.</w:t>
      </w:r>
    </w:p>
    <w:p w:rsidR="00973B0B" w:rsidRPr="00EA7F30" w:rsidRDefault="00973B0B" w:rsidP="007546D4">
      <w:pPr>
        <w:tabs>
          <w:tab w:val="left" w:pos="567"/>
        </w:tabs>
        <w:rPr>
          <w:sz w:val="22"/>
          <w:szCs w:val="22"/>
        </w:rPr>
      </w:pPr>
      <w:r>
        <w:rPr>
          <w:i/>
          <w:sz w:val="22"/>
          <w:szCs w:val="22"/>
        </w:rPr>
        <w:t>Antidepresantai:</w:t>
      </w:r>
      <w:r>
        <w:rPr>
          <w:sz w:val="22"/>
          <w:szCs w:val="22"/>
        </w:rPr>
        <w:t xml:space="preserve"> galbūt - dezipraminas, fluoksetinas, fluvoksaminas, nefazodonas,</w:t>
      </w:r>
      <w:r w:rsidR="002766D5">
        <w:rPr>
          <w:sz w:val="22"/>
          <w:szCs w:val="22"/>
        </w:rPr>
        <w:t xml:space="preserve"> </w:t>
      </w:r>
      <w:r>
        <w:rPr>
          <w:sz w:val="22"/>
          <w:szCs w:val="22"/>
        </w:rPr>
        <w:t>paroksetinas, trazodonas, viloksazinas.</w:t>
      </w:r>
    </w:p>
    <w:p w:rsidR="00973B0B" w:rsidRPr="00EA7F30" w:rsidRDefault="00973B0B" w:rsidP="007546D4">
      <w:pPr>
        <w:tabs>
          <w:tab w:val="left" w:pos="567"/>
        </w:tabs>
        <w:rPr>
          <w:sz w:val="22"/>
          <w:szCs w:val="22"/>
        </w:rPr>
      </w:pPr>
      <w:r>
        <w:rPr>
          <w:i/>
          <w:sz w:val="22"/>
          <w:szCs w:val="22"/>
        </w:rPr>
        <w:t>Vaistiniai preparatai nuo epilepsijos:</w:t>
      </w:r>
      <w:r>
        <w:rPr>
          <w:sz w:val="22"/>
          <w:szCs w:val="22"/>
        </w:rPr>
        <w:t xml:space="preserve"> stiripentolis, vigabatrinas.</w:t>
      </w:r>
    </w:p>
    <w:p w:rsidR="00973B0B" w:rsidRPr="00EA7F30" w:rsidRDefault="00973B0B" w:rsidP="007546D4">
      <w:pPr>
        <w:tabs>
          <w:tab w:val="left" w:pos="567"/>
        </w:tabs>
        <w:rPr>
          <w:sz w:val="22"/>
          <w:szCs w:val="22"/>
        </w:rPr>
      </w:pPr>
      <w:r>
        <w:rPr>
          <w:i/>
          <w:sz w:val="22"/>
          <w:szCs w:val="22"/>
        </w:rPr>
        <w:t>Priešgrybeliniai vaistiniai preparatai:</w:t>
      </w:r>
      <w:r>
        <w:rPr>
          <w:sz w:val="22"/>
          <w:szCs w:val="22"/>
        </w:rPr>
        <w:t xml:space="preserve"> azolų grupės preparatai, pvz., itrakonazolas, ketokonazolas, flukonazolas, vorikonazolas.</w:t>
      </w:r>
    </w:p>
    <w:p w:rsidR="00973B0B" w:rsidRPr="00EA7F30" w:rsidRDefault="00973B0B" w:rsidP="007546D4">
      <w:pPr>
        <w:tabs>
          <w:tab w:val="left" w:pos="567"/>
        </w:tabs>
        <w:rPr>
          <w:sz w:val="22"/>
          <w:szCs w:val="22"/>
        </w:rPr>
      </w:pPr>
      <w:r>
        <w:rPr>
          <w:i/>
          <w:sz w:val="22"/>
          <w:szCs w:val="22"/>
        </w:rPr>
        <w:t>Antihistamininiai vaistiniai preparatai:</w:t>
      </w:r>
      <w:r>
        <w:rPr>
          <w:sz w:val="22"/>
          <w:szCs w:val="22"/>
        </w:rPr>
        <w:t xml:space="preserve"> loratadinas, terfenadinas.</w:t>
      </w:r>
    </w:p>
    <w:p w:rsidR="00973B0B" w:rsidRPr="00EA7F30" w:rsidRDefault="00973B0B" w:rsidP="007546D4">
      <w:pPr>
        <w:tabs>
          <w:tab w:val="left" w:pos="567"/>
        </w:tabs>
        <w:rPr>
          <w:sz w:val="22"/>
          <w:szCs w:val="22"/>
        </w:rPr>
      </w:pPr>
      <w:r>
        <w:rPr>
          <w:i/>
          <w:sz w:val="22"/>
          <w:szCs w:val="22"/>
        </w:rPr>
        <w:t>Antipsichoziniai vaistiniai preparatai:</w:t>
      </w:r>
      <w:r>
        <w:rPr>
          <w:sz w:val="22"/>
          <w:szCs w:val="22"/>
        </w:rPr>
        <w:t xml:space="preserve"> olanzapinas.</w:t>
      </w:r>
    </w:p>
    <w:p w:rsidR="00973B0B" w:rsidRPr="00EA7F30" w:rsidRDefault="00973B0B" w:rsidP="007546D4">
      <w:pPr>
        <w:tabs>
          <w:tab w:val="left" w:pos="567"/>
        </w:tabs>
        <w:rPr>
          <w:sz w:val="22"/>
          <w:szCs w:val="22"/>
        </w:rPr>
      </w:pPr>
      <w:r>
        <w:rPr>
          <w:i/>
          <w:sz w:val="22"/>
          <w:szCs w:val="22"/>
        </w:rPr>
        <w:t>Antituberkulioziniai vaistiniai preparatai:</w:t>
      </w:r>
      <w:r>
        <w:rPr>
          <w:sz w:val="22"/>
          <w:szCs w:val="22"/>
        </w:rPr>
        <w:t xml:space="preserve"> izoniazidas.</w:t>
      </w:r>
    </w:p>
    <w:p w:rsidR="00973B0B" w:rsidRPr="00EA7F30" w:rsidRDefault="00973B0B" w:rsidP="007546D4">
      <w:pPr>
        <w:tabs>
          <w:tab w:val="left" w:pos="567"/>
        </w:tabs>
        <w:rPr>
          <w:sz w:val="22"/>
          <w:szCs w:val="22"/>
        </w:rPr>
      </w:pPr>
      <w:r>
        <w:rPr>
          <w:i/>
          <w:sz w:val="22"/>
          <w:szCs w:val="22"/>
        </w:rPr>
        <w:t>Antivirusiniai vaistiniai preparatai:</w:t>
      </w:r>
      <w:r>
        <w:rPr>
          <w:sz w:val="22"/>
          <w:szCs w:val="22"/>
        </w:rPr>
        <w:t xml:space="preserve"> ŽIV gydymui vartojami proteazės inhibitoriai, pvz. ritonaviras</w:t>
      </w:r>
    </w:p>
    <w:p w:rsidR="00973B0B" w:rsidRPr="00EA7F30" w:rsidRDefault="00973B0B" w:rsidP="007546D4">
      <w:pPr>
        <w:tabs>
          <w:tab w:val="left" w:pos="567"/>
        </w:tabs>
        <w:rPr>
          <w:sz w:val="22"/>
          <w:szCs w:val="22"/>
        </w:rPr>
      </w:pPr>
      <w:r>
        <w:rPr>
          <w:i/>
          <w:sz w:val="22"/>
          <w:szCs w:val="22"/>
        </w:rPr>
        <w:t>Karboanhidrazės inhibitoriai:</w:t>
      </w:r>
      <w:r>
        <w:rPr>
          <w:sz w:val="22"/>
          <w:szCs w:val="22"/>
        </w:rPr>
        <w:t xml:space="preserve"> acetazolamidas.</w:t>
      </w:r>
    </w:p>
    <w:p w:rsidR="00973B0B" w:rsidRPr="00EA7F30" w:rsidRDefault="00973B0B" w:rsidP="007546D4">
      <w:pPr>
        <w:tabs>
          <w:tab w:val="left" w:pos="567"/>
        </w:tabs>
        <w:rPr>
          <w:sz w:val="22"/>
          <w:szCs w:val="22"/>
        </w:rPr>
      </w:pPr>
      <w:r>
        <w:rPr>
          <w:i/>
          <w:sz w:val="22"/>
          <w:szCs w:val="22"/>
        </w:rPr>
        <w:t>Širdies ir kraujagyslių sistemą veikiantys vaistiniai preparatai:</w:t>
      </w:r>
      <w:r>
        <w:rPr>
          <w:sz w:val="22"/>
          <w:szCs w:val="22"/>
        </w:rPr>
        <w:t xml:space="preserve"> diltiazemas, verapamilis.</w:t>
      </w:r>
    </w:p>
    <w:p w:rsidR="00973B0B" w:rsidRPr="00EA7F30" w:rsidRDefault="00973B0B" w:rsidP="007546D4">
      <w:pPr>
        <w:tabs>
          <w:tab w:val="left" w:pos="567"/>
        </w:tabs>
        <w:rPr>
          <w:sz w:val="22"/>
          <w:szCs w:val="22"/>
        </w:rPr>
      </w:pPr>
      <w:r>
        <w:rPr>
          <w:i/>
          <w:sz w:val="22"/>
          <w:szCs w:val="22"/>
        </w:rPr>
        <w:t>Virškinimo traktą veikiantys vaistiniai preparatai:</w:t>
      </w:r>
      <w:r>
        <w:rPr>
          <w:sz w:val="22"/>
          <w:szCs w:val="22"/>
        </w:rPr>
        <w:t xml:space="preserve"> galbūt - cimetidinas, omeprazolas.</w:t>
      </w:r>
    </w:p>
    <w:p w:rsidR="00973B0B" w:rsidRPr="00EA7F30" w:rsidRDefault="00973B0B" w:rsidP="007546D4">
      <w:pPr>
        <w:tabs>
          <w:tab w:val="left" w:pos="567"/>
        </w:tabs>
        <w:rPr>
          <w:sz w:val="22"/>
          <w:szCs w:val="22"/>
        </w:rPr>
      </w:pPr>
      <w:r>
        <w:rPr>
          <w:i/>
          <w:sz w:val="22"/>
          <w:szCs w:val="22"/>
        </w:rPr>
        <w:t>Raumenų relaksantai:</w:t>
      </w:r>
      <w:r>
        <w:rPr>
          <w:sz w:val="22"/>
          <w:szCs w:val="22"/>
        </w:rPr>
        <w:t xml:space="preserve"> oksibutininas, dantrolenas.</w:t>
      </w:r>
    </w:p>
    <w:p w:rsidR="00973B0B" w:rsidRPr="00EA7F30" w:rsidRDefault="00973B0B" w:rsidP="007546D4">
      <w:pPr>
        <w:tabs>
          <w:tab w:val="left" w:pos="567"/>
        </w:tabs>
        <w:rPr>
          <w:sz w:val="22"/>
          <w:szCs w:val="22"/>
        </w:rPr>
      </w:pPr>
      <w:r>
        <w:rPr>
          <w:i/>
          <w:sz w:val="22"/>
          <w:szCs w:val="22"/>
        </w:rPr>
        <w:t>Trombocitų agregaciją slopinantys vaistiniai preparatai:</w:t>
      </w:r>
      <w:r>
        <w:rPr>
          <w:sz w:val="22"/>
          <w:szCs w:val="22"/>
        </w:rPr>
        <w:t xml:space="preserve"> tiklopidinas.</w:t>
      </w:r>
    </w:p>
    <w:p w:rsidR="00973B0B" w:rsidRPr="00EA7F30" w:rsidRDefault="00973B0B" w:rsidP="007546D4">
      <w:pPr>
        <w:tabs>
          <w:tab w:val="left" w:pos="567"/>
        </w:tabs>
        <w:rPr>
          <w:sz w:val="22"/>
          <w:szCs w:val="22"/>
        </w:rPr>
      </w:pPr>
      <w:r>
        <w:rPr>
          <w:i/>
          <w:sz w:val="22"/>
          <w:szCs w:val="22"/>
        </w:rPr>
        <w:t>Kitos sąveikos:</w:t>
      </w:r>
      <w:r>
        <w:rPr>
          <w:sz w:val="22"/>
          <w:szCs w:val="22"/>
        </w:rPr>
        <w:t xml:space="preserve"> greipfrutų sultys, nikotinamidas (suaugusiems žmonėms ir tik vartojant didelę dozę).</w:t>
      </w:r>
    </w:p>
    <w:p w:rsidR="00973B0B" w:rsidRPr="00EA7F30" w:rsidRDefault="00973B0B" w:rsidP="007546D4">
      <w:pPr>
        <w:tabs>
          <w:tab w:val="left" w:pos="567"/>
        </w:tabs>
        <w:rPr>
          <w:sz w:val="22"/>
          <w:szCs w:val="22"/>
        </w:rPr>
      </w:pPr>
    </w:p>
    <w:p w:rsidR="00973B0B" w:rsidRPr="00EA7F30" w:rsidRDefault="00973B0B" w:rsidP="007546D4">
      <w:pPr>
        <w:pStyle w:val="Antrat1"/>
        <w:tabs>
          <w:tab w:val="left" w:pos="567"/>
        </w:tabs>
        <w:spacing w:before="0" w:after="0"/>
        <w:rPr>
          <w:rFonts w:ascii="Times New Roman" w:hAnsi="Times New Roman"/>
          <w:b w:val="0"/>
          <w:sz w:val="22"/>
          <w:szCs w:val="22"/>
          <w:u w:val="single"/>
        </w:rPr>
      </w:pPr>
      <w:r>
        <w:rPr>
          <w:rFonts w:ascii="Times New Roman" w:hAnsi="Times New Roman"/>
          <w:b w:val="0"/>
          <w:sz w:val="22"/>
          <w:szCs w:val="22"/>
          <w:u w:val="single"/>
        </w:rPr>
        <w:t>Vaistiniai preparatai, kurie gali didinti karbamazepin-10,11-epoksido koncentraciją kraujo plazmoje</w:t>
      </w:r>
    </w:p>
    <w:p w:rsidR="00973B0B" w:rsidRPr="00EA7F30" w:rsidRDefault="00973B0B" w:rsidP="007546D4">
      <w:pPr>
        <w:tabs>
          <w:tab w:val="left" w:pos="567"/>
        </w:tabs>
        <w:rPr>
          <w:sz w:val="22"/>
          <w:szCs w:val="22"/>
        </w:rPr>
      </w:pPr>
      <w:r>
        <w:rPr>
          <w:sz w:val="22"/>
          <w:szCs w:val="22"/>
        </w:rPr>
        <w:t>Padaugėjus karbamazepin-10,11-epoksido kraujo plazmoje gali atsirasti nepageidaujamas poveikis (pvz., galvos sukimasis, apsnūdimas, ataksija, diplopija), todėl, vartojant su toliau išvardytais preparatais, gali tekti atitinkamai pakoreguoti karbamazepino dozę ir (arba) stebėti vaistinio preparato koncentraciją kraujo plazmoje: loksapinu, kvetiapinu, primidonu, progabidu, valpro rūgštimi, valnoktamidu</w:t>
      </w:r>
      <w:r w:rsidR="007A0FD8">
        <w:rPr>
          <w:sz w:val="22"/>
          <w:szCs w:val="22"/>
        </w:rPr>
        <w:t>, brivaracetamu</w:t>
      </w:r>
      <w:r>
        <w:rPr>
          <w:sz w:val="22"/>
          <w:szCs w:val="22"/>
        </w:rPr>
        <w:t xml:space="preserve"> ir valpromidu.</w:t>
      </w:r>
    </w:p>
    <w:p w:rsidR="00973B0B" w:rsidRPr="00EA7F30" w:rsidRDefault="00973B0B" w:rsidP="007546D4">
      <w:pPr>
        <w:tabs>
          <w:tab w:val="left" w:pos="567"/>
        </w:tabs>
        <w:rPr>
          <w:sz w:val="22"/>
          <w:szCs w:val="22"/>
        </w:rPr>
      </w:pPr>
    </w:p>
    <w:p w:rsidR="00973B0B" w:rsidRPr="00EA7F30" w:rsidRDefault="00973B0B" w:rsidP="007546D4">
      <w:pPr>
        <w:pStyle w:val="Antrat1"/>
        <w:tabs>
          <w:tab w:val="left" w:pos="567"/>
        </w:tabs>
        <w:spacing w:before="0" w:after="0"/>
        <w:rPr>
          <w:rFonts w:ascii="Times New Roman" w:hAnsi="Times New Roman"/>
          <w:b w:val="0"/>
          <w:sz w:val="22"/>
          <w:szCs w:val="22"/>
          <w:u w:val="single"/>
        </w:rPr>
      </w:pPr>
      <w:r>
        <w:rPr>
          <w:rFonts w:ascii="Times New Roman" w:hAnsi="Times New Roman"/>
          <w:b w:val="0"/>
          <w:sz w:val="22"/>
          <w:szCs w:val="22"/>
          <w:u w:val="single"/>
        </w:rPr>
        <w:t>Vaistiniai preparatai, kurie gali mažinti karbamazepino koncentraciją kraujo plazmoje:</w:t>
      </w:r>
    </w:p>
    <w:p w:rsidR="00973B0B" w:rsidRPr="00EA7F30" w:rsidRDefault="00973B0B" w:rsidP="007546D4">
      <w:pPr>
        <w:tabs>
          <w:tab w:val="left" w:pos="567"/>
        </w:tabs>
        <w:rPr>
          <w:sz w:val="22"/>
          <w:szCs w:val="22"/>
        </w:rPr>
      </w:pPr>
      <w:r>
        <w:rPr>
          <w:sz w:val="22"/>
          <w:szCs w:val="22"/>
        </w:rPr>
        <w:t xml:space="preserve">Gali tekti koreguoti karbamazepino dozę, jei kartu vartojama medžiagų, išvardintų žemiau. </w:t>
      </w:r>
    </w:p>
    <w:p w:rsidR="00973B0B" w:rsidRPr="00EA7F30" w:rsidRDefault="00973B0B" w:rsidP="007546D4">
      <w:pPr>
        <w:pStyle w:val="Antrat1"/>
        <w:tabs>
          <w:tab w:val="left" w:pos="567"/>
        </w:tabs>
        <w:spacing w:before="0" w:after="0"/>
        <w:rPr>
          <w:rFonts w:ascii="Times New Roman" w:hAnsi="Times New Roman"/>
          <w:b w:val="0"/>
          <w:i/>
          <w:sz w:val="22"/>
          <w:szCs w:val="22"/>
        </w:rPr>
      </w:pPr>
      <w:r>
        <w:rPr>
          <w:rFonts w:ascii="Times New Roman" w:hAnsi="Times New Roman"/>
          <w:b w:val="0"/>
          <w:i/>
          <w:sz w:val="22"/>
          <w:szCs w:val="22"/>
        </w:rPr>
        <w:t xml:space="preserve">Vaistiniai preparatai nuo epilepsijos: </w:t>
      </w:r>
      <w:r>
        <w:rPr>
          <w:rFonts w:ascii="Times New Roman" w:hAnsi="Times New Roman"/>
          <w:b w:val="0"/>
          <w:sz w:val="22"/>
          <w:szCs w:val="22"/>
        </w:rPr>
        <w:t>felbamatas, metsuksimidas, okskarbazepinas, fenobarbitalis, fensuksimidas, fenitoinas ir fosfenitoinas, primidonas ir, nors duomenys iš dalies prieštaringi, galbūt klonazepamas.</w:t>
      </w:r>
    </w:p>
    <w:p w:rsidR="00973B0B" w:rsidRPr="00EA7F30" w:rsidRDefault="00973B0B" w:rsidP="007546D4">
      <w:pPr>
        <w:tabs>
          <w:tab w:val="left" w:pos="567"/>
        </w:tabs>
        <w:rPr>
          <w:sz w:val="22"/>
          <w:szCs w:val="22"/>
        </w:rPr>
      </w:pPr>
      <w:r>
        <w:rPr>
          <w:i/>
          <w:sz w:val="22"/>
          <w:szCs w:val="22"/>
        </w:rPr>
        <w:t>Antineoplaziniai vaistiniai preparatai:</w:t>
      </w:r>
      <w:r>
        <w:rPr>
          <w:sz w:val="22"/>
          <w:szCs w:val="22"/>
        </w:rPr>
        <w:t xml:space="preserve"> cisplatina ir doksorubicinas.</w:t>
      </w:r>
    </w:p>
    <w:p w:rsidR="00973B0B" w:rsidRPr="00EA7F30" w:rsidRDefault="00973B0B" w:rsidP="007546D4">
      <w:pPr>
        <w:tabs>
          <w:tab w:val="left" w:pos="567"/>
        </w:tabs>
        <w:rPr>
          <w:sz w:val="22"/>
          <w:szCs w:val="22"/>
        </w:rPr>
      </w:pPr>
      <w:r>
        <w:rPr>
          <w:i/>
          <w:sz w:val="22"/>
          <w:szCs w:val="22"/>
        </w:rPr>
        <w:t xml:space="preserve">Antituberkulioziniai vaistiniai preparatai: </w:t>
      </w:r>
      <w:r>
        <w:rPr>
          <w:sz w:val="22"/>
          <w:szCs w:val="22"/>
        </w:rPr>
        <w:t>rifampicinas.</w:t>
      </w:r>
    </w:p>
    <w:p w:rsidR="00973B0B" w:rsidRPr="00EA7F30" w:rsidRDefault="00973B0B" w:rsidP="007546D4">
      <w:pPr>
        <w:tabs>
          <w:tab w:val="left" w:pos="567"/>
        </w:tabs>
        <w:rPr>
          <w:sz w:val="22"/>
          <w:szCs w:val="22"/>
        </w:rPr>
      </w:pPr>
      <w:r>
        <w:rPr>
          <w:i/>
          <w:sz w:val="22"/>
          <w:szCs w:val="22"/>
        </w:rPr>
        <w:t>Bronchus plečiantys arba priešastminiai vaistiniai preparatai:</w:t>
      </w:r>
      <w:r>
        <w:rPr>
          <w:sz w:val="22"/>
          <w:szCs w:val="22"/>
        </w:rPr>
        <w:t xml:space="preserve"> teofilinas, aminofilinas.</w:t>
      </w:r>
    </w:p>
    <w:p w:rsidR="00973B0B" w:rsidRPr="00EA7F30" w:rsidRDefault="00973B0B" w:rsidP="007546D4">
      <w:pPr>
        <w:tabs>
          <w:tab w:val="left" w:pos="567"/>
        </w:tabs>
        <w:rPr>
          <w:sz w:val="22"/>
          <w:szCs w:val="22"/>
        </w:rPr>
      </w:pPr>
      <w:r>
        <w:rPr>
          <w:i/>
          <w:sz w:val="22"/>
          <w:szCs w:val="22"/>
        </w:rPr>
        <w:t>Dermatologiniai vaistiniai preparatai:</w:t>
      </w:r>
      <w:r>
        <w:rPr>
          <w:sz w:val="22"/>
          <w:szCs w:val="22"/>
        </w:rPr>
        <w:t xml:space="preserve"> izotretinoinas.</w:t>
      </w:r>
    </w:p>
    <w:p w:rsidR="00973B0B" w:rsidRPr="00EA7F30" w:rsidRDefault="00973B0B" w:rsidP="007546D4">
      <w:pPr>
        <w:tabs>
          <w:tab w:val="left" w:pos="567"/>
        </w:tabs>
        <w:rPr>
          <w:sz w:val="22"/>
          <w:szCs w:val="22"/>
        </w:rPr>
      </w:pPr>
      <w:r>
        <w:rPr>
          <w:i/>
          <w:sz w:val="22"/>
          <w:szCs w:val="22"/>
        </w:rPr>
        <w:t>Kitos sąveikos:</w:t>
      </w:r>
      <w:r>
        <w:rPr>
          <w:sz w:val="22"/>
          <w:szCs w:val="22"/>
        </w:rPr>
        <w:t xml:space="preserve"> augaliniai preparatai, kurių sudėtyje yra jonažolių (</w:t>
      </w:r>
      <w:r>
        <w:rPr>
          <w:i/>
          <w:sz w:val="22"/>
          <w:szCs w:val="22"/>
        </w:rPr>
        <w:t>Hypericum perforatum</w:t>
      </w:r>
      <w:r>
        <w:rPr>
          <w:sz w:val="22"/>
          <w:szCs w:val="22"/>
        </w:rPr>
        <w:t>).</w:t>
      </w:r>
    </w:p>
    <w:p w:rsidR="00973B0B" w:rsidRPr="00EA7F30" w:rsidRDefault="00973B0B" w:rsidP="007546D4">
      <w:pPr>
        <w:pStyle w:val="Antrat1"/>
        <w:tabs>
          <w:tab w:val="left" w:pos="567"/>
        </w:tabs>
        <w:spacing w:before="0" w:after="0"/>
        <w:rPr>
          <w:rFonts w:ascii="Times New Roman" w:hAnsi="Times New Roman"/>
          <w:b w:val="0"/>
          <w:sz w:val="22"/>
          <w:szCs w:val="22"/>
          <w:u w:val="single"/>
        </w:rPr>
      </w:pPr>
    </w:p>
    <w:p w:rsidR="00973B0B" w:rsidRPr="00EA7F30" w:rsidRDefault="00973B0B" w:rsidP="007546D4">
      <w:pPr>
        <w:pStyle w:val="Antrat1"/>
        <w:tabs>
          <w:tab w:val="left" w:pos="567"/>
        </w:tabs>
        <w:spacing w:before="0" w:after="0"/>
        <w:rPr>
          <w:rFonts w:ascii="Times New Roman" w:hAnsi="Times New Roman"/>
          <w:b w:val="0"/>
          <w:sz w:val="22"/>
          <w:szCs w:val="22"/>
          <w:u w:val="single"/>
        </w:rPr>
      </w:pPr>
      <w:r>
        <w:rPr>
          <w:rFonts w:ascii="Times New Roman" w:hAnsi="Times New Roman"/>
          <w:b w:val="0"/>
          <w:sz w:val="22"/>
          <w:szCs w:val="22"/>
          <w:u w:val="single"/>
        </w:rPr>
        <w:t>Karbamazepino poveikis kartu vartojamų vaistinių preparatų koncentracijai plazmoje:</w:t>
      </w:r>
    </w:p>
    <w:p w:rsidR="00973B0B" w:rsidRPr="00EA7F30" w:rsidRDefault="00973B0B" w:rsidP="007546D4">
      <w:pPr>
        <w:tabs>
          <w:tab w:val="left" w:pos="567"/>
        </w:tabs>
        <w:rPr>
          <w:sz w:val="22"/>
          <w:szCs w:val="22"/>
        </w:rPr>
      </w:pPr>
      <w:r>
        <w:rPr>
          <w:sz w:val="22"/>
          <w:szCs w:val="22"/>
        </w:rPr>
        <w:t xml:space="preserve">Karbamazepinas gali mažinti kai kurių preparatų koncentraciją plazmoje, gali sumažėti arba net išnykti jų poveikis. Toliau išvardintų vaistinių preparatų dozavimas turi būti reguliuojamas, remiantis klinikiniais reikalavimais. </w:t>
      </w:r>
    </w:p>
    <w:p w:rsidR="00973B0B" w:rsidRPr="00EA7F30" w:rsidRDefault="00973B0B" w:rsidP="007546D4">
      <w:pPr>
        <w:tabs>
          <w:tab w:val="left" w:pos="567"/>
        </w:tabs>
        <w:rPr>
          <w:sz w:val="22"/>
          <w:szCs w:val="22"/>
        </w:rPr>
      </w:pPr>
      <w:r>
        <w:rPr>
          <w:i/>
          <w:sz w:val="22"/>
          <w:szCs w:val="22"/>
        </w:rPr>
        <w:t>Analgetikai, priešuždegiminiai vaistai:</w:t>
      </w:r>
      <w:r>
        <w:rPr>
          <w:sz w:val="22"/>
          <w:szCs w:val="22"/>
        </w:rPr>
        <w:t xml:space="preserve"> metadonas, paracetamolis, fenazonas (antipirinas), tramadolis</w:t>
      </w:r>
    </w:p>
    <w:p w:rsidR="00973B0B" w:rsidRPr="00EA7F30" w:rsidRDefault="00973B0B" w:rsidP="007546D4">
      <w:pPr>
        <w:tabs>
          <w:tab w:val="left" w:pos="567"/>
        </w:tabs>
        <w:rPr>
          <w:sz w:val="22"/>
          <w:szCs w:val="22"/>
        </w:rPr>
      </w:pPr>
      <w:r>
        <w:rPr>
          <w:i/>
          <w:sz w:val="22"/>
          <w:szCs w:val="22"/>
        </w:rPr>
        <w:t>Antibiotikai:</w:t>
      </w:r>
      <w:r>
        <w:rPr>
          <w:sz w:val="22"/>
          <w:szCs w:val="22"/>
        </w:rPr>
        <w:t xml:space="preserve"> doksiciklinas.</w:t>
      </w:r>
    </w:p>
    <w:p w:rsidR="00973B0B" w:rsidRPr="00EA7F30" w:rsidRDefault="00973B0B" w:rsidP="007546D4">
      <w:pPr>
        <w:tabs>
          <w:tab w:val="left" w:pos="567"/>
        </w:tabs>
        <w:rPr>
          <w:sz w:val="22"/>
          <w:szCs w:val="22"/>
        </w:rPr>
      </w:pPr>
      <w:r>
        <w:rPr>
          <w:i/>
          <w:sz w:val="22"/>
          <w:szCs w:val="22"/>
        </w:rPr>
        <w:t>Antikoaguliantai:</w:t>
      </w:r>
      <w:r>
        <w:rPr>
          <w:sz w:val="22"/>
          <w:szCs w:val="22"/>
        </w:rPr>
        <w:t xml:space="preserve"> geriamieji antikoaguliantai, pvz. varfarinas, fenprokomonas, dikumarolis ir acenokuimarolis.</w:t>
      </w:r>
    </w:p>
    <w:p w:rsidR="00973B0B" w:rsidRPr="00EA7F30" w:rsidRDefault="00973B0B" w:rsidP="007546D4">
      <w:pPr>
        <w:tabs>
          <w:tab w:val="left" w:pos="567"/>
        </w:tabs>
        <w:rPr>
          <w:sz w:val="22"/>
          <w:szCs w:val="22"/>
        </w:rPr>
      </w:pPr>
      <w:r>
        <w:rPr>
          <w:i/>
          <w:sz w:val="22"/>
          <w:szCs w:val="22"/>
        </w:rPr>
        <w:lastRenderedPageBreak/>
        <w:t>Antidepresantai:</w:t>
      </w:r>
      <w:r>
        <w:rPr>
          <w:sz w:val="22"/>
          <w:szCs w:val="22"/>
        </w:rPr>
        <w:t xml:space="preserve"> bupropionas, citalopramas, nefazodonas, trazodonas, tricikliai antidepresantai, pvz. imipraminas, amitriptilinas, nortriptilinas, klomipraminas.</w:t>
      </w:r>
    </w:p>
    <w:p w:rsidR="00973B0B" w:rsidRPr="00EA7F30" w:rsidRDefault="00973B0B" w:rsidP="007546D4">
      <w:pPr>
        <w:tabs>
          <w:tab w:val="left" w:pos="567"/>
        </w:tabs>
        <w:rPr>
          <w:sz w:val="22"/>
          <w:szCs w:val="22"/>
        </w:rPr>
      </w:pPr>
      <w:r>
        <w:rPr>
          <w:sz w:val="22"/>
          <w:szCs w:val="22"/>
        </w:rPr>
        <w:t>Karbamazepino nerekomenduojama vartoti kartu su monoaminoksidazės inhibitoriais (MAOI). Prieš pradedant gydyti karbamazepinu, MAOI vartojimas turi būti nutrauktas ne mažiau kaip prieš 2 savaites, arba dar anksčiau, jeigu klinikinė situacija tam palanki (žr. 4.3 skyrių).</w:t>
      </w:r>
    </w:p>
    <w:p w:rsidR="00973B0B" w:rsidRPr="00EA7F30" w:rsidRDefault="00973B0B" w:rsidP="007546D4">
      <w:pPr>
        <w:tabs>
          <w:tab w:val="left" w:pos="567"/>
        </w:tabs>
        <w:rPr>
          <w:sz w:val="22"/>
          <w:szCs w:val="22"/>
        </w:rPr>
      </w:pPr>
      <w:r>
        <w:rPr>
          <w:i/>
          <w:sz w:val="22"/>
          <w:szCs w:val="22"/>
        </w:rPr>
        <w:t>Vaistiniai preparatai nuo epilepsijos:</w:t>
      </w:r>
      <w:r>
        <w:rPr>
          <w:sz w:val="22"/>
          <w:szCs w:val="22"/>
        </w:rPr>
        <w:t xml:space="preserve"> klobazamas, klonazepamas, etosuksimidas, felbamatas, lamotriginas, </w:t>
      </w:r>
      <w:r w:rsidR="00302A14" w:rsidRPr="00302A14">
        <w:rPr>
          <w:sz w:val="22"/>
          <w:szCs w:val="22"/>
        </w:rPr>
        <w:t>eslikarbazepinas,</w:t>
      </w:r>
      <w:r w:rsidR="00302A14">
        <w:t xml:space="preserve"> </w:t>
      </w:r>
      <w:r>
        <w:rPr>
          <w:sz w:val="22"/>
          <w:szCs w:val="22"/>
        </w:rPr>
        <w:t>okskarbazepinas, primidonas, tiagabinas, topiramatas, valpro rūgštis, zonisamidas. Karbamazepinas gali didinti arba mažinti fenitoino koncentraciją kraujo plazmoje, taip pat gali didinti mefenitoino koncentraciją kraujo plazmoje.</w:t>
      </w:r>
    </w:p>
    <w:p w:rsidR="00973B0B" w:rsidRPr="00EA7F30" w:rsidRDefault="00973B0B" w:rsidP="007546D4">
      <w:pPr>
        <w:tabs>
          <w:tab w:val="left" w:pos="567"/>
        </w:tabs>
        <w:rPr>
          <w:sz w:val="22"/>
          <w:szCs w:val="22"/>
        </w:rPr>
      </w:pPr>
      <w:r>
        <w:rPr>
          <w:i/>
          <w:sz w:val="22"/>
          <w:szCs w:val="22"/>
        </w:rPr>
        <w:t>Priešgrybeliniai vaistiniai preparatai:</w:t>
      </w:r>
      <w:r>
        <w:rPr>
          <w:sz w:val="22"/>
          <w:szCs w:val="22"/>
        </w:rPr>
        <w:t xml:space="preserve"> itrakonazolas.</w:t>
      </w:r>
    </w:p>
    <w:p w:rsidR="00973B0B" w:rsidRPr="00EA7F30" w:rsidRDefault="00973B0B" w:rsidP="007546D4">
      <w:pPr>
        <w:tabs>
          <w:tab w:val="left" w:pos="567"/>
        </w:tabs>
        <w:rPr>
          <w:sz w:val="22"/>
          <w:szCs w:val="22"/>
        </w:rPr>
      </w:pPr>
      <w:r>
        <w:rPr>
          <w:i/>
          <w:sz w:val="22"/>
          <w:szCs w:val="22"/>
        </w:rPr>
        <w:t>Antihelmintiniai vaistiniai preparatai:</w:t>
      </w:r>
      <w:r>
        <w:rPr>
          <w:sz w:val="22"/>
          <w:szCs w:val="22"/>
        </w:rPr>
        <w:t xml:space="preserve"> prazikvantelis.</w:t>
      </w:r>
    </w:p>
    <w:p w:rsidR="00973B0B" w:rsidRPr="00EA7F30" w:rsidRDefault="00973B0B" w:rsidP="007546D4">
      <w:pPr>
        <w:tabs>
          <w:tab w:val="left" w:pos="567"/>
        </w:tabs>
        <w:rPr>
          <w:sz w:val="22"/>
          <w:szCs w:val="22"/>
        </w:rPr>
      </w:pPr>
      <w:r>
        <w:rPr>
          <w:i/>
          <w:sz w:val="22"/>
          <w:szCs w:val="22"/>
        </w:rPr>
        <w:t>Antineoplaziniai vaistiniai preparatai:</w:t>
      </w:r>
      <w:r>
        <w:rPr>
          <w:sz w:val="22"/>
          <w:szCs w:val="22"/>
        </w:rPr>
        <w:t xml:space="preserve"> imatinibas.</w:t>
      </w:r>
    </w:p>
    <w:p w:rsidR="00973B0B" w:rsidRPr="00EA7F30" w:rsidRDefault="00973B0B" w:rsidP="007546D4">
      <w:pPr>
        <w:tabs>
          <w:tab w:val="left" w:pos="567"/>
        </w:tabs>
        <w:rPr>
          <w:sz w:val="22"/>
          <w:szCs w:val="22"/>
        </w:rPr>
      </w:pPr>
      <w:r>
        <w:rPr>
          <w:i/>
          <w:sz w:val="22"/>
          <w:szCs w:val="22"/>
        </w:rPr>
        <w:t>Antipsichotiniai vaistiniai preparatai:</w:t>
      </w:r>
      <w:r>
        <w:rPr>
          <w:sz w:val="22"/>
          <w:szCs w:val="22"/>
        </w:rPr>
        <w:t xml:space="preserve"> klozapinas, haloperidolis, bromperidolis, olanzapinas, kvetiapinas, risperidonas, ziprasidonas.</w:t>
      </w:r>
    </w:p>
    <w:p w:rsidR="00973B0B" w:rsidRPr="00EA7F30" w:rsidRDefault="00973B0B" w:rsidP="007546D4">
      <w:pPr>
        <w:tabs>
          <w:tab w:val="left" w:pos="567"/>
        </w:tabs>
        <w:rPr>
          <w:sz w:val="22"/>
          <w:szCs w:val="22"/>
        </w:rPr>
      </w:pPr>
      <w:r>
        <w:rPr>
          <w:i/>
          <w:sz w:val="22"/>
          <w:szCs w:val="22"/>
        </w:rPr>
        <w:t xml:space="preserve">Antivirusiniai vaistiniai preparatai: </w:t>
      </w:r>
      <w:r>
        <w:rPr>
          <w:sz w:val="22"/>
          <w:szCs w:val="22"/>
        </w:rPr>
        <w:t>ŽIV gydymui vartojami proteazės inhibitoriai, pvz. indinaviras, ritonaviras, sakvinaviras.</w:t>
      </w:r>
    </w:p>
    <w:p w:rsidR="00973B0B" w:rsidRPr="00EA7F30" w:rsidRDefault="00973B0B" w:rsidP="007546D4">
      <w:pPr>
        <w:tabs>
          <w:tab w:val="left" w:pos="567"/>
        </w:tabs>
        <w:rPr>
          <w:sz w:val="22"/>
          <w:szCs w:val="22"/>
        </w:rPr>
      </w:pPr>
      <w:r>
        <w:rPr>
          <w:i/>
          <w:sz w:val="22"/>
          <w:szCs w:val="22"/>
        </w:rPr>
        <w:t>Anksiolitikai:</w:t>
      </w:r>
      <w:r>
        <w:rPr>
          <w:sz w:val="22"/>
          <w:szCs w:val="22"/>
        </w:rPr>
        <w:t xml:space="preserve"> alprazolamas, midazolamas.</w:t>
      </w:r>
    </w:p>
    <w:p w:rsidR="00973B0B" w:rsidRPr="00EA7F30" w:rsidRDefault="00973B0B" w:rsidP="007546D4">
      <w:pPr>
        <w:tabs>
          <w:tab w:val="left" w:pos="567"/>
        </w:tabs>
        <w:rPr>
          <w:sz w:val="22"/>
          <w:szCs w:val="22"/>
        </w:rPr>
      </w:pPr>
      <w:r>
        <w:rPr>
          <w:i/>
          <w:sz w:val="22"/>
          <w:szCs w:val="22"/>
        </w:rPr>
        <w:t xml:space="preserve">Bronchus plečiantys arba priešastminiai vaistiniai preparatai: </w:t>
      </w:r>
      <w:r>
        <w:rPr>
          <w:sz w:val="22"/>
          <w:szCs w:val="22"/>
        </w:rPr>
        <w:t>teofilinas.</w:t>
      </w:r>
    </w:p>
    <w:p w:rsidR="00973B0B" w:rsidRPr="00EA7F30" w:rsidRDefault="00973B0B" w:rsidP="007546D4">
      <w:pPr>
        <w:tabs>
          <w:tab w:val="left" w:pos="567"/>
        </w:tabs>
        <w:rPr>
          <w:sz w:val="22"/>
          <w:szCs w:val="22"/>
        </w:rPr>
      </w:pPr>
      <w:r>
        <w:rPr>
          <w:i/>
          <w:sz w:val="22"/>
          <w:szCs w:val="22"/>
        </w:rPr>
        <w:t>Kontraceptiniai vaistiniai preparatai:</w:t>
      </w:r>
      <w:r>
        <w:rPr>
          <w:sz w:val="22"/>
          <w:szCs w:val="22"/>
        </w:rPr>
        <w:t xml:space="preserve"> estrogenų ir (arba) progesterono sudėtyje turintys hormoniniai kontraceptikai (turi būti svarstomi alternatyvūs kontracepcijos būdai).</w:t>
      </w:r>
    </w:p>
    <w:p w:rsidR="00973B0B" w:rsidRPr="00EA7F30" w:rsidRDefault="00973B0B" w:rsidP="007546D4">
      <w:pPr>
        <w:tabs>
          <w:tab w:val="left" w:pos="567"/>
        </w:tabs>
        <w:rPr>
          <w:sz w:val="22"/>
          <w:szCs w:val="22"/>
        </w:rPr>
      </w:pPr>
      <w:r>
        <w:rPr>
          <w:i/>
          <w:sz w:val="22"/>
          <w:szCs w:val="22"/>
        </w:rPr>
        <w:t>Širdies ir kraujagyslių sistemą veikiantys vaistiniai preparatai:</w:t>
      </w:r>
      <w:r>
        <w:rPr>
          <w:sz w:val="22"/>
          <w:szCs w:val="22"/>
        </w:rPr>
        <w:t xml:space="preserve"> dihidropiridino grupės kalcio kanalų blokatoriai, pvz., felodipinas, digoksinas.</w:t>
      </w:r>
    </w:p>
    <w:p w:rsidR="00973B0B" w:rsidRPr="00EA7F30" w:rsidRDefault="00973B0B" w:rsidP="007546D4">
      <w:pPr>
        <w:tabs>
          <w:tab w:val="left" w:pos="567"/>
        </w:tabs>
        <w:rPr>
          <w:sz w:val="22"/>
          <w:szCs w:val="22"/>
        </w:rPr>
      </w:pPr>
      <w:r>
        <w:rPr>
          <w:i/>
          <w:sz w:val="22"/>
          <w:szCs w:val="22"/>
        </w:rPr>
        <w:t>Kortikosteroidai:</w:t>
      </w:r>
      <w:r>
        <w:rPr>
          <w:sz w:val="22"/>
          <w:szCs w:val="22"/>
        </w:rPr>
        <w:t xml:space="preserve"> prednizolonas, deksametazonas.</w:t>
      </w:r>
    </w:p>
    <w:p w:rsidR="00973B0B" w:rsidRPr="00EA7F30" w:rsidRDefault="00973B0B" w:rsidP="007546D4">
      <w:pPr>
        <w:tabs>
          <w:tab w:val="left" w:pos="567"/>
        </w:tabs>
        <w:rPr>
          <w:i/>
          <w:sz w:val="22"/>
          <w:szCs w:val="22"/>
        </w:rPr>
      </w:pPr>
      <w:r>
        <w:rPr>
          <w:i/>
          <w:sz w:val="22"/>
          <w:szCs w:val="22"/>
        </w:rPr>
        <w:t xml:space="preserve">Vaistiniai preparatai nuo erekcijos sutrikimo: </w:t>
      </w:r>
      <w:r>
        <w:rPr>
          <w:sz w:val="22"/>
          <w:szCs w:val="22"/>
        </w:rPr>
        <w:t>tadalafilis</w:t>
      </w:r>
      <w:r>
        <w:rPr>
          <w:i/>
          <w:sz w:val="22"/>
          <w:szCs w:val="22"/>
        </w:rPr>
        <w:t>.</w:t>
      </w:r>
    </w:p>
    <w:p w:rsidR="00973B0B" w:rsidRPr="00EA7F30" w:rsidRDefault="00973B0B" w:rsidP="007546D4">
      <w:pPr>
        <w:tabs>
          <w:tab w:val="left" w:pos="567"/>
        </w:tabs>
        <w:rPr>
          <w:sz w:val="22"/>
          <w:szCs w:val="22"/>
        </w:rPr>
      </w:pPr>
      <w:r>
        <w:rPr>
          <w:i/>
          <w:sz w:val="22"/>
          <w:szCs w:val="22"/>
        </w:rPr>
        <w:t>Imunosupresantai:</w:t>
      </w:r>
      <w:r>
        <w:rPr>
          <w:sz w:val="22"/>
          <w:szCs w:val="22"/>
        </w:rPr>
        <w:t xml:space="preserve"> ciklosporinas, everolimuzas.</w:t>
      </w:r>
    </w:p>
    <w:p w:rsidR="00973B0B" w:rsidRPr="00EA7F30" w:rsidRDefault="00973B0B" w:rsidP="007546D4">
      <w:pPr>
        <w:tabs>
          <w:tab w:val="left" w:pos="567"/>
        </w:tabs>
        <w:rPr>
          <w:sz w:val="22"/>
          <w:szCs w:val="22"/>
        </w:rPr>
      </w:pPr>
      <w:r>
        <w:rPr>
          <w:i/>
          <w:sz w:val="22"/>
          <w:szCs w:val="22"/>
        </w:rPr>
        <w:t>Skydliaukės hormonų preparatai:</w:t>
      </w:r>
      <w:r>
        <w:rPr>
          <w:sz w:val="22"/>
          <w:szCs w:val="22"/>
        </w:rPr>
        <w:t xml:space="preserve"> levotiroksinas.</w:t>
      </w:r>
    </w:p>
    <w:p w:rsidR="00973B0B" w:rsidRPr="00EA7F30" w:rsidRDefault="00973B0B" w:rsidP="007546D4">
      <w:pPr>
        <w:tabs>
          <w:tab w:val="left" w:pos="567"/>
        </w:tabs>
        <w:rPr>
          <w:i/>
          <w:sz w:val="22"/>
          <w:szCs w:val="22"/>
        </w:rPr>
      </w:pPr>
    </w:p>
    <w:p w:rsidR="00973B0B" w:rsidRPr="00EA7F30" w:rsidRDefault="00973B0B" w:rsidP="007546D4">
      <w:pPr>
        <w:tabs>
          <w:tab w:val="left" w:pos="567"/>
        </w:tabs>
        <w:rPr>
          <w:sz w:val="22"/>
          <w:szCs w:val="22"/>
          <w:u w:val="single"/>
        </w:rPr>
      </w:pPr>
      <w:r>
        <w:rPr>
          <w:sz w:val="22"/>
          <w:szCs w:val="22"/>
          <w:u w:val="single"/>
        </w:rPr>
        <w:t>Sąveika, į kurią reikia atsižvelgti</w:t>
      </w:r>
    </w:p>
    <w:p w:rsidR="00973B0B" w:rsidRPr="00EA7F30" w:rsidRDefault="00973B0B" w:rsidP="007546D4">
      <w:pPr>
        <w:tabs>
          <w:tab w:val="left" w:pos="567"/>
        </w:tabs>
        <w:rPr>
          <w:sz w:val="22"/>
          <w:szCs w:val="22"/>
        </w:rPr>
      </w:pPr>
      <w:r>
        <w:rPr>
          <w:sz w:val="22"/>
          <w:szCs w:val="22"/>
        </w:rPr>
        <w:t>Kartu vartojant karbamazepino ir levetiracetamo pranešta apie padidėjusį karbamazepino sukeltą toksiškumą.</w:t>
      </w:r>
    </w:p>
    <w:p w:rsidR="00973B0B" w:rsidRPr="00EA7F30" w:rsidRDefault="00973B0B" w:rsidP="007546D4">
      <w:pPr>
        <w:tabs>
          <w:tab w:val="left" w:pos="567"/>
        </w:tabs>
        <w:rPr>
          <w:sz w:val="22"/>
          <w:szCs w:val="22"/>
        </w:rPr>
      </w:pPr>
      <w:r>
        <w:rPr>
          <w:sz w:val="22"/>
          <w:szCs w:val="22"/>
        </w:rPr>
        <w:t>Kartu vartojant karbamazepino ir izoniazido, gali padidėti hepatotoksinis izoniazido poveikis.</w:t>
      </w:r>
    </w:p>
    <w:p w:rsidR="00973B0B" w:rsidRPr="00EA7F30" w:rsidRDefault="00973B0B" w:rsidP="007546D4">
      <w:pPr>
        <w:tabs>
          <w:tab w:val="left" w:pos="567"/>
        </w:tabs>
        <w:rPr>
          <w:sz w:val="22"/>
          <w:szCs w:val="22"/>
        </w:rPr>
      </w:pPr>
      <w:r>
        <w:rPr>
          <w:sz w:val="22"/>
          <w:szCs w:val="22"/>
        </w:rPr>
        <w:t>Kartu vartojant karbamazepiną ir ličio preparatus ar metoklopramidą arba karbamazepiną ir neuroleptikus (haloperidolį, tioridaziną), gali padaugėti neurologinių nepageidaujamų reiškinių (esant pastarajai vaistinių preparatų kombinacijai, net jei koncentracija plazmoje gydomoji).</w:t>
      </w:r>
    </w:p>
    <w:p w:rsidR="00973B0B" w:rsidRPr="00EA7F30" w:rsidRDefault="00973B0B" w:rsidP="007546D4">
      <w:pPr>
        <w:tabs>
          <w:tab w:val="left" w:pos="567"/>
        </w:tabs>
        <w:rPr>
          <w:sz w:val="22"/>
          <w:szCs w:val="22"/>
        </w:rPr>
      </w:pPr>
      <w:r>
        <w:rPr>
          <w:sz w:val="22"/>
          <w:szCs w:val="22"/>
        </w:rPr>
        <w:t xml:space="preserve">Kartu vartojant karbamazepiną ir kai kuriuos diuretikus (hidrochlorotiazidą, furozemidą), gali pasireikšti simptominė hiponatriemija. </w:t>
      </w:r>
    </w:p>
    <w:p w:rsidR="00973B0B" w:rsidRPr="00EA7F30" w:rsidRDefault="00973B0B" w:rsidP="007546D4">
      <w:pPr>
        <w:tabs>
          <w:tab w:val="left" w:pos="567"/>
        </w:tabs>
        <w:rPr>
          <w:sz w:val="22"/>
          <w:szCs w:val="22"/>
        </w:rPr>
      </w:pPr>
      <w:r>
        <w:rPr>
          <w:sz w:val="22"/>
          <w:szCs w:val="22"/>
        </w:rPr>
        <w:t>Karbamazepinas gali sukelti antagonistinį poveikį nedepoliarizuojantiems raumenų relaksantams (pvz., pankuroniui). Gali tekti didinti pastarųjų preparatų dozę, todėl pacientą reikia nuolat stebėti, nes gali greičiau nei paprastai nustoti veikusi neuroraumeninė blokada.</w:t>
      </w:r>
    </w:p>
    <w:p w:rsidR="00973B0B" w:rsidRPr="00EA7F30" w:rsidRDefault="00973B0B" w:rsidP="007546D4">
      <w:pPr>
        <w:tabs>
          <w:tab w:val="left" w:pos="567"/>
        </w:tabs>
        <w:rPr>
          <w:sz w:val="22"/>
          <w:szCs w:val="22"/>
        </w:rPr>
      </w:pPr>
      <w:r>
        <w:rPr>
          <w:sz w:val="22"/>
          <w:szCs w:val="22"/>
        </w:rPr>
        <w:t>Karbamazepinas, kaip ir kiti psichiką veikiantys vaistiniai preparatai, gali mažinti organizmo toleranciją alkoholiui, todėl vaistinio preparato vartojančiam pacientui nerekomenduojama gerti svaigalų.</w:t>
      </w:r>
    </w:p>
    <w:p w:rsidR="00973B0B" w:rsidRDefault="00973B0B" w:rsidP="007F7D76">
      <w:pPr>
        <w:pStyle w:val="BTEMEASMCA"/>
      </w:pPr>
    </w:p>
    <w:p w:rsidR="00302A14" w:rsidRPr="006045BE" w:rsidRDefault="00302A14" w:rsidP="007F7D76">
      <w:pPr>
        <w:pStyle w:val="BTEMEASMCA"/>
      </w:pPr>
      <w:r w:rsidRPr="006045BE">
        <w:t>Kartu vartojant karbamazepino ir tiesioginio veikimo geriamuosius antikoaguliantus (rivaroksabaną, dabigatraną, apiksabaną ir edoksabaną), gali sumažėti tiesioginio veikimo geriamųjų antikoaguliantų koncentracija kraujo plazmoje, dėl kurios kyla trombozės pavojus. Todėl, jei būtina šiuos vaistinius preparatus vartoti kartu, rekomenduojama atidžiai stebėti dėl trombozės požymių ir simptomų.</w:t>
      </w:r>
    </w:p>
    <w:p w:rsidR="00302A14" w:rsidRPr="00EA7F30" w:rsidRDefault="00302A14" w:rsidP="007F7D76">
      <w:pPr>
        <w:pStyle w:val="BTEMEASMCA"/>
      </w:pPr>
    </w:p>
    <w:p w:rsidR="00973B0B" w:rsidRPr="00EA7F30" w:rsidRDefault="00973B0B" w:rsidP="008F211F">
      <w:pPr>
        <w:pStyle w:val="PI-2EMEASMCA"/>
        <w:ind w:left="0" w:firstLine="0"/>
      </w:pPr>
      <w:bookmarkStart w:id="24" w:name="_Toc129243107"/>
      <w:bookmarkStart w:id="25" w:name="_Toc129243232"/>
      <w:r>
        <w:t>4.6</w:t>
      </w:r>
      <w:r>
        <w:tab/>
        <w:t>Vaisingumas, nėštumo ir žindymo laikotarpis</w:t>
      </w:r>
      <w:bookmarkEnd w:id="24"/>
      <w:bookmarkEnd w:id="25"/>
    </w:p>
    <w:p w:rsidR="00973B0B" w:rsidRPr="00EA7F30" w:rsidRDefault="00973B0B" w:rsidP="007F7D76">
      <w:pPr>
        <w:pStyle w:val="BTEMEASMCA"/>
      </w:pPr>
    </w:p>
    <w:p w:rsidR="007A0FD8" w:rsidRPr="008D6F80" w:rsidRDefault="007A0FD8" w:rsidP="007F7D76">
      <w:pPr>
        <w:pStyle w:val="BTEMEASMCA"/>
      </w:pPr>
      <w:r w:rsidRPr="008D6F80">
        <w:t xml:space="preserve">Vaisingos moterys </w:t>
      </w:r>
    </w:p>
    <w:p w:rsidR="008D6F80" w:rsidRDefault="007A0FD8" w:rsidP="007F7D76">
      <w:pPr>
        <w:pStyle w:val="BTEMEASMCA"/>
        <w:rPr>
          <w:b/>
        </w:rPr>
      </w:pPr>
      <w:r w:rsidRPr="007F7D76">
        <w:t xml:space="preserve">Karbamazepino negalima vartoti vaisingoms moterims, nebent, atidžiai apsvarsčius kitas tinkamas gydymo galimybes, galima vaistinio preparato nauda būtų didesnė už jo keliamą riziką. Moteris turi būti visapusiškai informuota apie vartojant karbamazepino nėštumo laikotarpiu kylančią riziką pakenkti vaisiui, suprasti šią riziką ir, atitinkamai, nėštumo planavimo svarbą. Prieš pradedant gydymą karbamazepinu, turi būti įvertinta galimybė atlikti tyrimą dėl nėštumo. </w:t>
      </w:r>
    </w:p>
    <w:p w:rsidR="008D6F80" w:rsidRDefault="008D6F80" w:rsidP="007F7D76">
      <w:pPr>
        <w:pStyle w:val="BTEMEASMCA"/>
      </w:pPr>
    </w:p>
    <w:p w:rsidR="007A0FD8" w:rsidRPr="007F7D76" w:rsidRDefault="007A0FD8" w:rsidP="007F7D76">
      <w:pPr>
        <w:pStyle w:val="BTEMEASMCA"/>
        <w:rPr>
          <w:lang w:val="en-US"/>
        </w:rPr>
      </w:pPr>
      <w:r w:rsidRPr="007F7D76">
        <w:lastRenderedPageBreak/>
        <w:t>Gydymo laikotarpiu ir dvi savaites po jo pabaigos vaisingos moterys turi naudoti veiksmingas kontracepcijos priemones. Dėl fermentų indukcijos karbamazepinas gali sukelti hormoninių kontraceptikų poveikio nepakankamumą (žr. 4.5 skyrių), todėl vaisingoms moterims turi būti patarta dėl kitų veiksmingų kontracepcijos metodų taikymo. Turi būti taikomas bent vienas veiksmingas kontracepcijos metodas (pvz., gimdos spiralė) arba dvi viena kitą papildančios kontracepcijos formos, įskaitant barjerinį metodą. Kiekvienu atveju reikia įvertinti konkrečias aplinkybes ir parenkant kontracepcijos metodą į diskusiją reikia įtraukti pacientę.</w:t>
      </w:r>
    </w:p>
    <w:p w:rsidR="007A0FD8" w:rsidRDefault="007A0FD8" w:rsidP="007F7D76">
      <w:pPr>
        <w:pStyle w:val="BTEMEASMCA"/>
      </w:pPr>
    </w:p>
    <w:p w:rsidR="00973B0B" w:rsidRPr="00EA7F30" w:rsidRDefault="00973B0B" w:rsidP="007F7D76">
      <w:pPr>
        <w:pStyle w:val="BTEMEASMCA"/>
      </w:pPr>
      <w:r>
        <w:t>Nėštumas</w:t>
      </w:r>
    </w:p>
    <w:p w:rsidR="00973B0B" w:rsidRPr="001B0AB9" w:rsidRDefault="00973B0B" w:rsidP="007546D4">
      <w:pPr>
        <w:pStyle w:val="Pagrindinistekstas"/>
        <w:spacing w:after="0"/>
        <w:rPr>
          <w:sz w:val="22"/>
          <w:szCs w:val="22"/>
        </w:rPr>
      </w:pPr>
      <w:r w:rsidRPr="001B0AB9">
        <w:rPr>
          <w:sz w:val="22"/>
          <w:szCs w:val="22"/>
        </w:rPr>
        <w:t>Nėštumo metu vartojant karbamazepino, gyvūnams  buvo vaisiaus žuvimo, augimo sutrikimo ir defektų atvejų (žr. 5.3 skyrių).</w:t>
      </w:r>
    </w:p>
    <w:p w:rsidR="00973B0B" w:rsidRDefault="00973B0B" w:rsidP="007546D4">
      <w:pPr>
        <w:tabs>
          <w:tab w:val="left" w:pos="567"/>
        </w:tabs>
        <w:rPr>
          <w:sz w:val="22"/>
          <w:szCs w:val="22"/>
        </w:rPr>
      </w:pPr>
    </w:p>
    <w:p w:rsidR="008D6F80" w:rsidRDefault="008D6F80" w:rsidP="007F7D76">
      <w:pPr>
        <w:pStyle w:val="BTbEMEASMCA"/>
      </w:pPr>
      <w:r w:rsidRPr="007F7D76">
        <w:t xml:space="preserve">Rizika, apskritai susijusi su antiepilepsiniais vaistiniais preparatais Visoms vaisingoms moterims, kurios gydomos nuo epilepsijos, ypač moterims, kurios planuoja pastoti, ir nėščiosioms, turi būti suteikta gydytojo specialisto konsultacija dėl galimos rizikos vaisiui, kuria gali sukelti ir traukuliai, ir gydymas nuo epilepsijos. </w:t>
      </w:r>
    </w:p>
    <w:p w:rsidR="008D6F80" w:rsidRDefault="008D6F80" w:rsidP="007F7D76">
      <w:pPr>
        <w:pStyle w:val="BTbEMEASMCA"/>
      </w:pPr>
    </w:p>
    <w:p w:rsidR="008D6F80" w:rsidRDefault="008D6F80" w:rsidP="007F7D76">
      <w:pPr>
        <w:pStyle w:val="BTbEMEASMCA"/>
      </w:pPr>
      <w:r w:rsidRPr="007F7D76">
        <w:t xml:space="preserve">Reikia vengti staigiai nutraukti gydymą antiepilepsiniais vaistiniais preparatais (AEV), nes tai gali sukelti traukulius, kurie gali turėti sunkių pasekmių moteriai ir dar negimusiam vaikui. Esant galimybei, gydyti nuo epilepsijos nėštumo metu pirmenybė teikiama monoterapijai, nes gydymas keliais AEV gali būti susijęs su didesne </w:t>
      </w:r>
      <w:r w:rsidR="009F0539">
        <w:t>formavimosi ydų</w:t>
      </w:r>
      <w:r w:rsidRPr="007F7D76">
        <w:t xml:space="preserve"> rizika nei monoterapija, atsižvelgiant į tai, kokie AEV skiriami. </w:t>
      </w:r>
    </w:p>
    <w:p w:rsidR="008D6F80" w:rsidRDefault="008D6F80" w:rsidP="007F7D76">
      <w:pPr>
        <w:pStyle w:val="BTbEMEASMCA"/>
      </w:pPr>
    </w:p>
    <w:p w:rsidR="008D6F80" w:rsidRDefault="008D6F80" w:rsidP="007F7D76">
      <w:pPr>
        <w:pStyle w:val="BTbEMEASMCA"/>
      </w:pPr>
      <w:r w:rsidRPr="007F7D76">
        <w:t xml:space="preserve">Su karbamazepinu susijusi rizika </w:t>
      </w:r>
    </w:p>
    <w:p w:rsidR="008D6F80" w:rsidRDefault="008D6F80" w:rsidP="007F7D76">
      <w:pPr>
        <w:pStyle w:val="BTbEMEASMCA"/>
      </w:pPr>
      <w:r>
        <w:t>Karbamazepinas</w:t>
      </w:r>
      <w:r w:rsidRPr="007F7D76">
        <w:t xml:space="preserve"> prasiskverbia pro žmogaus placentą. Karbamazepino vartojant prenataliniu laikotarpiu, gali padidėti</w:t>
      </w:r>
      <w:r w:rsidR="00184DD4">
        <w:t>įgimtų formavimosi ydų</w:t>
      </w:r>
      <w:r w:rsidRPr="007F7D76">
        <w:t xml:space="preserve"> ir kitų nepageidaujamų reiškinių vystymosi metu rizika. Žmonėms karbamazepino ekspozicija nėštumo metu yra susijusi su 2–3 kartus didesniu sunkių </w:t>
      </w:r>
      <w:r w:rsidR="00184DD4">
        <w:t>formavimosi ydų</w:t>
      </w:r>
      <w:r w:rsidRPr="007F7D76">
        <w:t xml:space="preserve"> dažniu, negu bendrojoje populiacijoje, t. y. 2–3 proc. Gauta pranešimų apie moterų, kurios nėštumo laikotarpiu vartojo karbamazepino, vaisiaus formavimosi ydas, pvz., nervinio vamzdelio defektus (spina bifida), galvos ir veido defektus, pvz., lūpos ir (arba) gomurio nesuaugimą, širdies ir kraujagyslių sistemos formavimosi ydas, hipospadiją, pirštų hipoplaziją ir kitas įvairių kūno sistemų anomalijas. Dėl šių </w:t>
      </w:r>
      <w:r w:rsidR="003D5E2C">
        <w:t>formavimosi ydų</w:t>
      </w:r>
      <w:r w:rsidRPr="007F7D76">
        <w:t xml:space="preserve"> rekomenduojama vykdyti specializuotą prenatalinę priežiūrą. Pranešta, kad nėštumo metu karbamazepino (vieną arba kartu su kitais AEV) vartojusių epilepsija sergančių moterų pagimdytiems vaikams nustatytas neurologinis vystymosi sutrikimas. Tyrimai, susiję su vaikų, kurie motinos nėštumo laikotarpiu buvo veikiamos karbamazepino, neurologinių ir vystymosi sutrikimų rizika yra prieštaringi, todėl ši rizika negali būti paneigta. Karbamazepino negalima vartoti nėštumo metu, nebent, atidžiai apsvarsčius kitas tinkamas gydymo galimybes, vaistinio preparato nauda būtų didesnė už jo keliamą riziką. Moteris turi būti išsamiai informuota apie riziką, susijusią su karbamazepino vartojimu nėštumo metu, ir ją suprasti. </w:t>
      </w:r>
    </w:p>
    <w:p w:rsidR="008D6F80" w:rsidRDefault="008D6F80" w:rsidP="007F7D76">
      <w:pPr>
        <w:pStyle w:val="BTbEMEASMCA"/>
      </w:pPr>
    </w:p>
    <w:p w:rsidR="008D6F80" w:rsidRDefault="008D6F80" w:rsidP="007F7D76">
      <w:pPr>
        <w:pStyle w:val="BTbEMEASMCA"/>
      </w:pPr>
      <w:r w:rsidRPr="007F7D76">
        <w:t xml:space="preserve">Iš įrodymų matyti, kad </w:t>
      </w:r>
      <w:r w:rsidR="003D5E2C">
        <w:t>formavimosi ydų</w:t>
      </w:r>
      <w:r w:rsidRPr="007F7D76">
        <w:t xml:space="preserve"> rizika vartojant karbamazepino gali priklausyti nuo vaistinio preparato dozės. Jei nuodugniai įvertinus riziką ir naudą paaiškėja, kad nėra kitų tinkamų vaistinių preparatų, ir gydymas karbamazepinu tęsiamas, reikia taikyti monoterapiją, skirti mažiausią veiksmingą karbamazepino dozę ir stebėti jo koncentraciją plazmoje. Jei išlaikoma priepuolių kontrolė, vaistini preparato koncentraciją plazmoje gali būti palaikoma mažesnėje gydomojo diapazono (4–12 mikrogramų/ml) pusėje. </w:t>
      </w:r>
    </w:p>
    <w:p w:rsidR="008D6F80" w:rsidRDefault="008D6F80" w:rsidP="007F7D76">
      <w:pPr>
        <w:pStyle w:val="BTbEMEASMCA"/>
      </w:pPr>
    </w:p>
    <w:p w:rsidR="008D6F80" w:rsidRDefault="008D6F80" w:rsidP="007F7D76">
      <w:pPr>
        <w:pStyle w:val="BTbEMEASMCA"/>
      </w:pPr>
      <w:r w:rsidRPr="007F7D76">
        <w:t xml:space="preserve">Nustatyta, kad kai kurie antiepilepsiniai vaistiniai preparatai, pvz., karbamazepinas, mažina folatų kiekį kraujo serume. Jų trūkumas gali prisidėti prie dažnesnių nuo epilepsijos gydomų moterų vaisiaus apsigimimų. Prieš nėštumą ir nėštumo metu rekomenduojama papildomai vartoti folio rūgšties. Be to, siekiant išvengti vaisiaus kraujavimo sutrikimų, rekomenduota paskutinėmis nėštumo savaitėmis motinai, o taip pat ir naujagimiui skirti vitamino K1. </w:t>
      </w:r>
    </w:p>
    <w:p w:rsidR="008D6F80" w:rsidRDefault="008D6F80" w:rsidP="007F7D76">
      <w:pPr>
        <w:pStyle w:val="BTbEMEASMCA"/>
      </w:pPr>
    </w:p>
    <w:p w:rsidR="008D6F80" w:rsidRPr="007F7D76" w:rsidRDefault="008D6F80" w:rsidP="007F7D76">
      <w:pPr>
        <w:pStyle w:val="BTbEMEASMCA"/>
      </w:pPr>
      <w:r w:rsidRPr="007F7D76">
        <w:t xml:space="preserve">Jeigu moteris planuoja pastoti, turi būti dedamos visos pastangos, kad prieš pastojant ir nutraukiant kontracepcijos priemonių naudojimą ji pereitų prie gydymo kitu tinkamu vaistiniu preparatu. Jeigu moteris pastoja karbamazepino vartojimo metu, ji turi būti nukreipta pas </w:t>
      </w:r>
      <w:r w:rsidRPr="007F7D76">
        <w:lastRenderedPageBreak/>
        <w:t>specialistą, kad šis iš naujo įvertintų būtinumą gydyti karbamazepinu ir apsvarstytų kitas gydymo galimybes.</w:t>
      </w:r>
    </w:p>
    <w:p w:rsidR="008D6F80" w:rsidRPr="00EA7F30" w:rsidRDefault="008D6F80" w:rsidP="007546D4">
      <w:pPr>
        <w:tabs>
          <w:tab w:val="left" w:pos="567"/>
        </w:tabs>
        <w:rPr>
          <w:sz w:val="22"/>
          <w:szCs w:val="22"/>
        </w:rPr>
      </w:pPr>
    </w:p>
    <w:p w:rsidR="00973B0B" w:rsidRPr="00EA7F30" w:rsidRDefault="00973B0B" w:rsidP="007546D4">
      <w:pPr>
        <w:tabs>
          <w:tab w:val="left" w:pos="567"/>
        </w:tabs>
        <w:rPr>
          <w:sz w:val="22"/>
          <w:szCs w:val="22"/>
        </w:rPr>
      </w:pPr>
    </w:p>
    <w:p w:rsidR="00973B0B" w:rsidRPr="00EA7F30" w:rsidRDefault="00973B0B" w:rsidP="007546D4">
      <w:pPr>
        <w:tabs>
          <w:tab w:val="left" w:pos="567"/>
        </w:tabs>
        <w:rPr>
          <w:i/>
          <w:sz w:val="22"/>
          <w:szCs w:val="22"/>
        </w:rPr>
      </w:pPr>
      <w:r>
        <w:rPr>
          <w:i/>
          <w:sz w:val="22"/>
          <w:szCs w:val="22"/>
        </w:rPr>
        <w:t>Naujagimiai</w:t>
      </w:r>
    </w:p>
    <w:p w:rsidR="00973B0B" w:rsidRPr="00EA7F30" w:rsidRDefault="00973B0B" w:rsidP="007546D4">
      <w:pPr>
        <w:pStyle w:val="Antrat1"/>
        <w:tabs>
          <w:tab w:val="left" w:pos="567"/>
        </w:tabs>
        <w:spacing w:before="0" w:after="0"/>
        <w:rPr>
          <w:rFonts w:ascii="Times New Roman" w:hAnsi="Times New Roman"/>
          <w:b w:val="0"/>
          <w:sz w:val="22"/>
          <w:szCs w:val="22"/>
        </w:rPr>
      </w:pPr>
      <w:r>
        <w:rPr>
          <w:rFonts w:ascii="Times New Roman" w:hAnsi="Times New Roman"/>
          <w:b w:val="0"/>
          <w:sz w:val="22"/>
          <w:szCs w:val="22"/>
        </w:rPr>
        <w:t>Užregistruoti keli naujagimių traukulių ir (arba) kvėpavimo funkcijos slopinimo atvejai, susiję su motinos karbamazepino vartojimu kartu su kitu vaistiniu preparatu nuo epilepsijos. Taip pat registruoti keli naujagimių vėmimo, viduriavimo ir (arba) nepakankamos mitybos atvejai, susiję su motinos karbamazepino vartojimu. Šiais reiškiniais naujagimiams gali pasireikšti nutraukimo sindromas.</w:t>
      </w:r>
    </w:p>
    <w:p w:rsidR="00973B0B" w:rsidRPr="00EA7F30" w:rsidRDefault="00973B0B" w:rsidP="007546D4">
      <w:pPr>
        <w:pStyle w:val="Antrat1"/>
        <w:tabs>
          <w:tab w:val="left" w:pos="567"/>
        </w:tabs>
        <w:spacing w:before="0" w:after="0"/>
        <w:rPr>
          <w:rFonts w:ascii="Times New Roman" w:hAnsi="Times New Roman"/>
          <w:b w:val="0"/>
          <w:sz w:val="22"/>
          <w:szCs w:val="22"/>
          <w:u w:val="single"/>
        </w:rPr>
      </w:pPr>
    </w:p>
    <w:p w:rsidR="00973B0B" w:rsidRPr="00EA7F30" w:rsidRDefault="00973B0B" w:rsidP="007546D4">
      <w:pPr>
        <w:pStyle w:val="Antrat1"/>
        <w:tabs>
          <w:tab w:val="left" w:pos="567"/>
        </w:tabs>
        <w:spacing w:before="0" w:after="0"/>
        <w:rPr>
          <w:rFonts w:ascii="Times New Roman" w:hAnsi="Times New Roman"/>
          <w:b w:val="0"/>
          <w:sz w:val="22"/>
          <w:szCs w:val="22"/>
          <w:u w:val="single"/>
        </w:rPr>
      </w:pPr>
      <w:r>
        <w:rPr>
          <w:rFonts w:ascii="Times New Roman" w:hAnsi="Times New Roman"/>
          <w:b w:val="0"/>
          <w:sz w:val="22"/>
          <w:szCs w:val="22"/>
          <w:u w:val="single"/>
        </w:rPr>
        <w:t>Žindymas</w:t>
      </w:r>
    </w:p>
    <w:p w:rsidR="00973B0B" w:rsidRPr="00EA7F30" w:rsidRDefault="00973B0B" w:rsidP="007546D4">
      <w:pPr>
        <w:tabs>
          <w:tab w:val="left" w:pos="567"/>
        </w:tabs>
        <w:rPr>
          <w:sz w:val="22"/>
          <w:szCs w:val="22"/>
        </w:rPr>
      </w:pPr>
      <w:r>
        <w:rPr>
          <w:sz w:val="22"/>
          <w:szCs w:val="22"/>
        </w:rPr>
        <w:t xml:space="preserve">Karbamazepinas patenka į motinos pieną, kuriame jo koncentracija būna 25–60% karbamazepino koncentracijos kraujo plazmoje. Reikia apsvarstyti maitinimo krūtimi naudą ir galimą nepageidaujamą poveikį vaikui. Karbamazepino vartojančios motinos žindyti krūtimi gali tik tokiu atveju, jeigu kūdikis atidžiai stebimas dėl galimo nepageidaujamo poveikio (pvz., padidėjusio mieguistumo, alerginės odos reakcijos). </w:t>
      </w:r>
    </w:p>
    <w:p w:rsidR="00973B0B" w:rsidRPr="00EA7F30" w:rsidRDefault="00973B0B" w:rsidP="007546D4">
      <w:pPr>
        <w:tabs>
          <w:tab w:val="left" w:pos="567"/>
        </w:tabs>
        <w:jc w:val="both"/>
        <w:rPr>
          <w:b/>
          <w:sz w:val="22"/>
          <w:szCs w:val="22"/>
        </w:rPr>
      </w:pPr>
    </w:p>
    <w:p w:rsidR="00973B0B" w:rsidRPr="00EA7F30" w:rsidRDefault="00973B0B" w:rsidP="007546D4">
      <w:pPr>
        <w:tabs>
          <w:tab w:val="left" w:pos="567"/>
        </w:tabs>
        <w:jc w:val="both"/>
        <w:rPr>
          <w:sz w:val="22"/>
          <w:szCs w:val="22"/>
          <w:u w:val="single"/>
        </w:rPr>
      </w:pPr>
      <w:r>
        <w:rPr>
          <w:sz w:val="22"/>
          <w:szCs w:val="22"/>
          <w:u w:val="single"/>
        </w:rPr>
        <w:t>Vaisingumas</w:t>
      </w:r>
    </w:p>
    <w:p w:rsidR="00973B0B" w:rsidRPr="001B0AB9" w:rsidRDefault="00973B0B" w:rsidP="007546D4">
      <w:pPr>
        <w:pStyle w:val="Pagrindinistekstas"/>
        <w:spacing w:after="0"/>
        <w:rPr>
          <w:sz w:val="22"/>
          <w:szCs w:val="22"/>
        </w:rPr>
      </w:pPr>
      <w:r w:rsidRPr="001B0AB9">
        <w:rPr>
          <w:sz w:val="22"/>
          <w:szCs w:val="22"/>
        </w:rPr>
        <w:t>Užregistruoti keli labai reti vyrų sutrikusio vaisingumo ir</w:t>
      </w:r>
      <w:r>
        <w:rPr>
          <w:sz w:val="22"/>
          <w:szCs w:val="22"/>
        </w:rPr>
        <w:t xml:space="preserve"> (</w:t>
      </w:r>
      <w:r w:rsidRPr="001B0AB9">
        <w:rPr>
          <w:sz w:val="22"/>
          <w:szCs w:val="22"/>
        </w:rPr>
        <w:t>arba</w:t>
      </w:r>
      <w:r>
        <w:rPr>
          <w:sz w:val="22"/>
          <w:szCs w:val="22"/>
        </w:rPr>
        <w:t>)</w:t>
      </w:r>
      <w:r w:rsidRPr="001B0AB9">
        <w:rPr>
          <w:sz w:val="22"/>
          <w:szCs w:val="22"/>
        </w:rPr>
        <w:t xml:space="preserve"> nenormalios spermatogenezės atvejai.</w:t>
      </w:r>
    </w:p>
    <w:p w:rsidR="00973B0B" w:rsidRPr="00EA7F30" w:rsidRDefault="00973B0B" w:rsidP="007F7D76">
      <w:pPr>
        <w:pStyle w:val="BTEMEASMCA"/>
      </w:pPr>
    </w:p>
    <w:p w:rsidR="00973B0B" w:rsidRPr="00EA7F30" w:rsidRDefault="00973B0B" w:rsidP="008F211F">
      <w:pPr>
        <w:pStyle w:val="PI-2EMEASMCA"/>
      </w:pPr>
      <w:bookmarkStart w:id="26" w:name="_Toc129243108"/>
      <w:bookmarkStart w:id="27" w:name="_Toc129243233"/>
      <w:r>
        <w:t>4.7</w:t>
      </w:r>
      <w:r>
        <w:tab/>
        <w:t>Poveikis gebėjimui vairuoti ir valdyti mechanizmus</w:t>
      </w:r>
      <w:bookmarkEnd w:id="26"/>
      <w:bookmarkEnd w:id="27"/>
    </w:p>
    <w:p w:rsidR="00973B0B" w:rsidRPr="00EA7F30" w:rsidRDefault="00973B0B" w:rsidP="007F7D76">
      <w:pPr>
        <w:pStyle w:val="BTEMEASMCA"/>
      </w:pPr>
    </w:p>
    <w:p w:rsidR="00973B0B" w:rsidRPr="001B0AB9" w:rsidRDefault="00973B0B" w:rsidP="007546D4">
      <w:pPr>
        <w:pStyle w:val="Pagrindinistekstas"/>
        <w:spacing w:after="0"/>
        <w:rPr>
          <w:sz w:val="22"/>
          <w:szCs w:val="22"/>
        </w:rPr>
      </w:pPr>
      <w:r w:rsidRPr="001B0AB9">
        <w:rPr>
          <w:sz w:val="22"/>
          <w:szCs w:val="22"/>
        </w:rPr>
        <w:t>Karbamazepinas daro ženklią įtaką paciento reakcijai, ypač gydymo pradžioje. Paciento reakcija gali dar labiau silpnėti karbamazepino vartojant didesnėmis dozėmis ir (arba) vartojant kartu su kitais vaistiniais preparatais, darančiais poveikį nervų sistemai, arba alkoholiniais gėrimais. Pacientus reikia įspėti apie potencialų pavojų vairuojant arba valdant mechanizmus.</w:t>
      </w:r>
    </w:p>
    <w:p w:rsidR="00973B0B" w:rsidRPr="00EA7F30" w:rsidRDefault="00973B0B" w:rsidP="007F7D76">
      <w:pPr>
        <w:pStyle w:val="BTEMEASMCA"/>
      </w:pPr>
    </w:p>
    <w:p w:rsidR="00973B0B" w:rsidRPr="00EA7F30" w:rsidRDefault="00973B0B" w:rsidP="008F211F">
      <w:pPr>
        <w:pStyle w:val="PI-2EMEASMCA"/>
      </w:pPr>
      <w:bookmarkStart w:id="28" w:name="_Toc129243109"/>
      <w:bookmarkStart w:id="29" w:name="_Toc129243234"/>
      <w:r>
        <w:t>4.8</w:t>
      </w:r>
      <w:r>
        <w:tab/>
        <w:t>Nepageidaujamas poveikis</w:t>
      </w:r>
      <w:bookmarkEnd w:id="28"/>
      <w:bookmarkEnd w:id="29"/>
    </w:p>
    <w:p w:rsidR="00973B0B" w:rsidRPr="00EA7F30" w:rsidRDefault="00973B0B" w:rsidP="007F7D76">
      <w:pPr>
        <w:pStyle w:val="BTEMEASMCA"/>
      </w:pPr>
    </w:p>
    <w:p w:rsidR="00973B0B" w:rsidRPr="00EA7F30" w:rsidRDefault="00973B0B" w:rsidP="007546D4">
      <w:pPr>
        <w:pStyle w:val="Antrat1"/>
        <w:tabs>
          <w:tab w:val="left" w:pos="567"/>
        </w:tabs>
        <w:spacing w:before="0" w:after="0"/>
        <w:rPr>
          <w:rFonts w:ascii="Times New Roman" w:hAnsi="Times New Roman"/>
          <w:b w:val="0"/>
          <w:sz w:val="22"/>
          <w:szCs w:val="22"/>
        </w:rPr>
      </w:pPr>
      <w:r>
        <w:rPr>
          <w:rFonts w:ascii="Times New Roman" w:hAnsi="Times New Roman"/>
          <w:b w:val="0"/>
          <w:sz w:val="22"/>
          <w:szCs w:val="22"/>
        </w:rPr>
        <w:t>Nepageidaujamo poveikio dažnis apibūdinamas taip: labai dažnas (≥ 1/10), dažnas (nuo ≥ 1/100 iki &lt; 1/10), nedažnas ( nuo ≥ 1/1 000 iki &lt; 1/100), retas (nuo ≥ 1/10</w:t>
      </w:r>
      <w:r w:rsidR="000609E1">
        <w:rPr>
          <w:rFonts w:ascii="Times New Roman" w:hAnsi="Times New Roman"/>
          <w:b w:val="0"/>
          <w:sz w:val="22"/>
          <w:szCs w:val="22"/>
        </w:rPr>
        <w:t> </w:t>
      </w:r>
      <w:r>
        <w:rPr>
          <w:rFonts w:ascii="Times New Roman" w:hAnsi="Times New Roman"/>
          <w:b w:val="0"/>
          <w:sz w:val="22"/>
          <w:szCs w:val="22"/>
        </w:rPr>
        <w:t>000 iki &lt; 1/1</w:t>
      </w:r>
      <w:r w:rsidR="000609E1">
        <w:rPr>
          <w:rFonts w:ascii="Times New Roman" w:hAnsi="Times New Roman"/>
          <w:b w:val="0"/>
          <w:sz w:val="22"/>
          <w:szCs w:val="22"/>
        </w:rPr>
        <w:t> </w:t>
      </w:r>
      <w:r>
        <w:rPr>
          <w:rFonts w:ascii="Times New Roman" w:hAnsi="Times New Roman"/>
          <w:b w:val="0"/>
          <w:sz w:val="22"/>
          <w:szCs w:val="22"/>
        </w:rPr>
        <w:t>000), labai retas (&lt; 1/10</w:t>
      </w:r>
      <w:r w:rsidR="000609E1">
        <w:rPr>
          <w:rFonts w:ascii="Times New Roman" w:hAnsi="Times New Roman"/>
          <w:b w:val="0"/>
          <w:sz w:val="22"/>
          <w:szCs w:val="22"/>
        </w:rPr>
        <w:t> </w:t>
      </w:r>
      <w:r>
        <w:rPr>
          <w:rFonts w:ascii="Times New Roman" w:hAnsi="Times New Roman"/>
          <w:b w:val="0"/>
          <w:sz w:val="22"/>
          <w:szCs w:val="22"/>
        </w:rPr>
        <w:t xml:space="preserve">000) ir nežinomas (negali būti apskaičiuotas pagal turimus duomenis). </w:t>
      </w:r>
    </w:p>
    <w:p w:rsidR="00973B0B" w:rsidRPr="00EA7F30" w:rsidRDefault="00973B0B" w:rsidP="007546D4">
      <w:pPr>
        <w:pStyle w:val="Antrat1"/>
        <w:tabs>
          <w:tab w:val="left" w:pos="567"/>
        </w:tabs>
        <w:spacing w:before="0" w:after="0"/>
        <w:rPr>
          <w:rFonts w:ascii="Times New Roman" w:hAnsi="Times New Roman"/>
          <w:b w:val="0"/>
          <w:sz w:val="22"/>
          <w:szCs w:val="22"/>
        </w:rPr>
      </w:pPr>
    </w:p>
    <w:p w:rsidR="00973B0B" w:rsidRPr="00EA7F30" w:rsidRDefault="00973B0B" w:rsidP="007546D4">
      <w:pPr>
        <w:pStyle w:val="Antrat1"/>
        <w:tabs>
          <w:tab w:val="left" w:pos="567"/>
        </w:tabs>
        <w:spacing w:before="0" w:after="0"/>
        <w:rPr>
          <w:rFonts w:ascii="Times New Roman" w:hAnsi="Times New Roman"/>
          <w:b w:val="0"/>
          <w:sz w:val="22"/>
          <w:szCs w:val="22"/>
          <w:u w:val="single"/>
        </w:rPr>
      </w:pPr>
      <w:r>
        <w:rPr>
          <w:rFonts w:ascii="Times New Roman" w:hAnsi="Times New Roman"/>
          <w:b w:val="0"/>
          <w:sz w:val="22"/>
          <w:szCs w:val="22"/>
          <w:u w:val="single"/>
        </w:rPr>
        <w:t>Kraujo ir limfinės sistemos sutrikimai</w:t>
      </w:r>
    </w:p>
    <w:p w:rsidR="00973B0B" w:rsidRPr="00EA7F30" w:rsidRDefault="00973B0B" w:rsidP="007546D4">
      <w:pPr>
        <w:tabs>
          <w:tab w:val="left" w:pos="567"/>
        </w:tabs>
        <w:rPr>
          <w:sz w:val="22"/>
          <w:szCs w:val="22"/>
        </w:rPr>
      </w:pPr>
      <w:r>
        <w:rPr>
          <w:i/>
          <w:sz w:val="22"/>
          <w:szCs w:val="22"/>
        </w:rPr>
        <w:t>Labai dažni:</w:t>
      </w:r>
      <w:r>
        <w:rPr>
          <w:i/>
          <w:sz w:val="22"/>
          <w:szCs w:val="22"/>
        </w:rPr>
        <w:tab/>
      </w:r>
      <w:r>
        <w:rPr>
          <w:sz w:val="22"/>
          <w:szCs w:val="22"/>
        </w:rPr>
        <w:t>leukopenija.</w:t>
      </w:r>
    </w:p>
    <w:p w:rsidR="00973B0B" w:rsidRPr="00EA7F30" w:rsidRDefault="00973B0B" w:rsidP="007546D4">
      <w:pPr>
        <w:tabs>
          <w:tab w:val="left" w:pos="567"/>
        </w:tabs>
        <w:rPr>
          <w:sz w:val="22"/>
          <w:szCs w:val="22"/>
        </w:rPr>
      </w:pPr>
      <w:r>
        <w:rPr>
          <w:i/>
          <w:sz w:val="22"/>
          <w:szCs w:val="22"/>
        </w:rPr>
        <w:t>Dažni:</w:t>
      </w:r>
      <w:r>
        <w:rPr>
          <w:i/>
          <w:sz w:val="22"/>
          <w:szCs w:val="22"/>
        </w:rPr>
        <w:tab/>
      </w:r>
      <w:r>
        <w:rPr>
          <w:i/>
          <w:sz w:val="22"/>
          <w:szCs w:val="22"/>
        </w:rPr>
        <w:tab/>
      </w:r>
      <w:r>
        <w:rPr>
          <w:sz w:val="22"/>
          <w:szCs w:val="22"/>
        </w:rPr>
        <w:t>trombocitopenija ir eozinofilija.</w:t>
      </w:r>
    </w:p>
    <w:p w:rsidR="00973B0B" w:rsidRPr="00EA7F30" w:rsidRDefault="00973B0B" w:rsidP="007546D4">
      <w:pPr>
        <w:tabs>
          <w:tab w:val="left" w:pos="567"/>
        </w:tabs>
        <w:rPr>
          <w:sz w:val="22"/>
          <w:szCs w:val="22"/>
        </w:rPr>
      </w:pPr>
      <w:r>
        <w:rPr>
          <w:i/>
          <w:sz w:val="22"/>
          <w:szCs w:val="22"/>
        </w:rPr>
        <w:t>Reti:</w:t>
      </w:r>
      <w:r>
        <w:rPr>
          <w:sz w:val="22"/>
          <w:szCs w:val="22"/>
        </w:rPr>
        <w:tab/>
      </w:r>
      <w:r>
        <w:rPr>
          <w:sz w:val="22"/>
          <w:szCs w:val="22"/>
        </w:rPr>
        <w:tab/>
      </w:r>
      <w:r>
        <w:rPr>
          <w:sz w:val="22"/>
          <w:szCs w:val="22"/>
        </w:rPr>
        <w:tab/>
        <w:t>leukocitozė, limfadenopatija ir folio rūgšties trūkumas.</w:t>
      </w:r>
    </w:p>
    <w:p w:rsidR="00973B0B" w:rsidRPr="00EA7F30" w:rsidRDefault="00973B0B" w:rsidP="007546D4">
      <w:pPr>
        <w:tabs>
          <w:tab w:val="left" w:pos="567"/>
        </w:tabs>
        <w:ind w:left="1440" w:hanging="1440"/>
        <w:rPr>
          <w:sz w:val="22"/>
          <w:szCs w:val="22"/>
        </w:rPr>
      </w:pPr>
      <w:r>
        <w:rPr>
          <w:i/>
          <w:sz w:val="22"/>
          <w:szCs w:val="22"/>
        </w:rPr>
        <w:t>Labai reti:</w:t>
      </w:r>
      <w:r>
        <w:rPr>
          <w:sz w:val="22"/>
          <w:szCs w:val="22"/>
        </w:rPr>
        <w:tab/>
        <w:t xml:space="preserve">agranulocitozė, aplazinė anemija, pancitopenija, eritrocitų aplazija, anemija, megaloblastinė anemija, ūminė protarpinė porfirija, įvairiaspalvė porfirija, lėtinė odos porfirija, retikulocitozė, gali atsirasti hemolizinė anemija. </w:t>
      </w:r>
    </w:p>
    <w:p w:rsidR="00973B0B" w:rsidRPr="00EA7F30" w:rsidRDefault="00973B0B" w:rsidP="007546D4">
      <w:pPr>
        <w:pStyle w:val="Antrat1"/>
        <w:tabs>
          <w:tab w:val="left" w:pos="567"/>
        </w:tabs>
        <w:spacing w:before="0" w:after="0"/>
        <w:rPr>
          <w:rFonts w:ascii="Times New Roman" w:hAnsi="Times New Roman"/>
          <w:sz w:val="22"/>
          <w:szCs w:val="22"/>
        </w:rPr>
      </w:pPr>
    </w:p>
    <w:p w:rsidR="00973B0B" w:rsidRPr="00EA7F30" w:rsidRDefault="00973B0B" w:rsidP="007546D4">
      <w:pPr>
        <w:pStyle w:val="Antrat1"/>
        <w:tabs>
          <w:tab w:val="left" w:pos="567"/>
        </w:tabs>
        <w:spacing w:before="0" w:after="0"/>
        <w:rPr>
          <w:rFonts w:ascii="Times New Roman" w:hAnsi="Times New Roman"/>
          <w:b w:val="0"/>
          <w:sz w:val="22"/>
          <w:szCs w:val="22"/>
          <w:u w:val="single"/>
        </w:rPr>
      </w:pPr>
      <w:r>
        <w:rPr>
          <w:rFonts w:ascii="Times New Roman" w:hAnsi="Times New Roman"/>
          <w:b w:val="0"/>
          <w:sz w:val="22"/>
          <w:szCs w:val="22"/>
          <w:u w:val="single"/>
        </w:rPr>
        <w:t>Imuninės sistemos sutrikimai</w:t>
      </w:r>
    </w:p>
    <w:p w:rsidR="00973B0B" w:rsidRPr="00EA7F30" w:rsidRDefault="00973B0B" w:rsidP="007546D4">
      <w:pPr>
        <w:tabs>
          <w:tab w:val="left" w:pos="567"/>
        </w:tabs>
        <w:ind w:left="1440" w:hanging="1440"/>
        <w:rPr>
          <w:sz w:val="22"/>
          <w:szCs w:val="22"/>
        </w:rPr>
      </w:pPr>
      <w:r>
        <w:rPr>
          <w:i/>
          <w:sz w:val="22"/>
          <w:szCs w:val="22"/>
        </w:rPr>
        <w:t>Reti:</w:t>
      </w:r>
      <w:r>
        <w:rPr>
          <w:sz w:val="22"/>
          <w:szCs w:val="22"/>
        </w:rPr>
        <w:tab/>
      </w:r>
      <w:r>
        <w:rPr>
          <w:sz w:val="22"/>
          <w:szCs w:val="22"/>
        </w:rPr>
        <w:tab/>
        <w:t>lėtojo tipo alerginė reakcija, apimanti daugelį organų ir galinti pasireikšti įvairiais simptomais: karščiavimu, išbėrimu, vaskulitu, limfadenopatija, į limfomą panašiu sutrikimu, sąnarių skausmu, leukopenija, eozinofilija, hepatomegalija, splenomegalija, kepenų veiklos tyrimų rodmenų pokyčiais. Gali atsirasti ir kitų organų (plaučių, inkstų, kasos, miokardo, storosios žarnos) pažeidimas.</w:t>
      </w:r>
    </w:p>
    <w:p w:rsidR="00973B0B" w:rsidRPr="00EA7F30" w:rsidRDefault="00973B0B" w:rsidP="007546D4">
      <w:pPr>
        <w:tabs>
          <w:tab w:val="left" w:pos="567"/>
        </w:tabs>
        <w:ind w:left="1440" w:hanging="1440"/>
        <w:rPr>
          <w:sz w:val="22"/>
          <w:szCs w:val="22"/>
        </w:rPr>
      </w:pPr>
      <w:r>
        <w:rPr>
          <w:i/>
          <w:sz w:val="22"/>
          <w:szCs w:val="22"/>
        </w:rPr>
        <w:t>Labai reti:</w:t>
      </w:r>
      <w:r>
        <w:rPr>
          <w:i/>
          <w:sz w:val="22"/>
          <w:szCs w:val="22"/>
        </w:rPr>
        <w:tab/>
      </w:r>
      <w:r>
        <w:rPr>
          <w:sz w:val="22"/>
          <w:szCs w:val="22"/>
        </w:rPr>
        <w:t xml:space="preserve">aseptinis meningitas, kurio metu kartais galima mioklonija ir periferinė eozinofilija, anafilaksinė reakcija, angioneurozinė edema. </w:t>
      </w:r>
    </w:p>
    <w:p w:rsidR="00973B0B" w:rsidRPr="00EA7F30" w:rsidRDefault="00973B0B" w:rsidP="007546D4">
      <w:pPr>
        <w:pStyle w:val="Antrat1"/>
        <w:tabs>
          <w:tab w:val="left" w:pos="567"/>
        </w:tabs>
        <w:spacing w:before="0" w:after="0"/>
        <w:rPr>
          <w:rFonts w:ascii="Times New Roman" w:hAnsi="Times New Roman"/>
          <w:sz w:val="22"/>
          <w:szCs w:val="22"/>
        </w:rPr>
      </w:pPr>
    </w:p>
    <w:p w:rsidR="00973B0B" w:rsidRPr="00EA7F30" w:rsidRDefault="00973B0B" w:rsidP="007546D4">
      <w:pPr>
        <w:pStyle w:val="Antrat1"/>
        <w:tabs>
          <w:tab w:val="left" w:pos="567"/>
        </w:tabs>
        <w:spacing w:before="0" w:after="0"/>
        <w:rPr>
          <w:rFonts w:ascii="Times New Roman" w:hAnsi="Times New Roman"/>
          <w:b w:val="0"/>
          <w:sz w:val="22"/>
          <w:szCs w:val="22"/>
          <w:u w:val="single"/>
        </w:rPr>
      </w:pPr>
      <w:r>
        <w:rPr>
          <w:rFonts w:ascii="Times New Roman" w:hAnsi="Times New Roman"/>
          <w:b w:val="0"/>
          <w:sz w:val="22"/>
          <w:szCs w:val="22"/>
          <w:u w:val="single"/>
        </w:rPr>
        <w:t>Endokrininiai sutrikimai</w:t>
      </w:r>
    </w:p>
    <w:p w:rsidR="00973B0B" w:rsidRPr="00EA7F30" w:rsidRDefault="00973B0B" w:rsidP="007546D4">
      <w:pPr>
        <w:tabs>
          <w:tab w:val="left" w:pos="567"/>
        </w:tabs>
        <w:ind w:left="1440" w:hanging="1440"/>
        <w:rPr>
          <w:sz w:val="22"/>
          <w:szCs w:val="22"/>
          <w:u w:val="single"/>
        </w:rPr>
      </w:pPr>
      <w:r>
        <w:rPr>
          <w:i/>
          <w:sz w:val="22"/>
          <w:szCs w:val="22"/>
        </w:rPr>
        <w:t>Dažni:</w:t>
      </w:r>
      <w:r>
        <w:rPr>
          <w:sz w:val="22"/>
          <w:szCs w:val="22"/>
        </w:rPr>
        <w:tab/>
        <w:t>edema, skysčių susilaikymas, kūno svorio padidėjimas, hiponatremija, dėl poveikio, panašaus į antidiurezinio hormono (ADH) poveikį, sumažėja plazmos osmosinis slėgis, dėl to retais atvejais atsiranda intoksikacija vandeniu: jos metu atsiranda letargija, vėmimas, galvos skausmas, dezorientacija, neurologinis sutrikimas.</w:t>
      </w:r>
    </w:p>
    <w:p w:rsidR="00973B0B" w:rsidRPr="00EA7F30" w:rsidRDefault="00973B0B" w:rsidP="007546D4">
      <w:pPr>
        <w:tabs>
          <w:tab w:val="left" w:pos="567"/>
        </w:tabs>
        <w:ind w:left="1440" w:hanging="1440"/>
        <w:rPr>
          <w:sz w:val="22"/>
          <w:szCs w:val="22"/>
        </w:rPr>
      </w:pPr>
      <w:r>
        <w:rPr>
          <w:i/>
          <w:sz w:val="22"/>
          <w:szCs w:val="22"/>
        </w:rPr>
        <w:t>Labai reti</w:t>
      </w:r>
      <w:r>
        <w:rPr>
          <w:sz w:val="22"/>
          <w:szCs w:val="22"/>
        </w:rPr>
        <w:t>:</w:t>
      </w:r>
      <w:r>
        <w:rPr>
          <w:sz w:val="22"/>
          <w:szCs w:val="22"/>
        </w:rPr>
        <w:tab/>
        <w:t xml:space="preserve">organizme padaugėja prolaktino, dėl to gali (tačiau nebūtinai) atsirasti galaktorėja, ginekomastija, pakinta skydliaukės funkcijos tyrimų rezultatai: sumažėja L - tiroksino </w:t>
      </w:r>
      <w:r>
        <w:rPr>
          <w:sz w:val="22"/>
          <w:szCs w:val="22"/>
        </w:rPr>
        <w:lastRenderedPageBreak/>
        <w:t xml:space="preserve">(laisvo tiroksino, tiroksino, trijodotironino) ir padaugėja tirotropino (paprastai klinikinių simptomų neatsiranda); sutrinka kaulų metabolizmas (plazmoje sumažėja kalcio ir 25-OH-cholekalciferolio), dėl ko išsivysto osteomaliacija arba osteoporozė; padidėja cholesterolio, įskaitant ir didelio tankio lipoproteinų cholesterolį, bei trigliceridų koncentracija. </w:t>
      </w:r>
    </w:p>
    <w:p w:rsidR="00973B0B" w:rsidRDefault="00973B0B" w:rsidP="007546D4">
      <w:pPr>
        <w:tabs>
          <w:tab w:val="left" w:pos="567"/>
        </w:tabs>
        <w:rPr>
          <w:i/>
          <w:sz w:val="22"/>
          <w:szCs w:val="22"/>
        </w:rPr>
      </w:pPr>
    </w:p>
    <w:p w:rsidR="008D6F80" w:rsidRPr="008D6F80" w:rsidRDefault="008D6F80" w:rsidP="007F7D76">
      <w:pPr>
        <w:pStyle w:val="Antrat5"/>
      </w:pPr>
      <w:r w:rsidRPr="008D6F80">
        <w:t>Metabolizmo ir mitybos sutrikimai</w:t>
      </w:r>
    </w:p>
    <w:p w:rsidR="008D6F80" w:rsidRDefault="008D6F80" w:rsidP="007546D4">
      <w:pPr>
        <w:tabs>
          <w:tab w:val="left" w:pos="567"/>
        </w:tabs>
        <w:rPr>
          <w:i/>
          <w:sz w:val="22"/>
          <w:szCs w:val="22"/>
        </w:rPr>
      </w:pPr>
      <w:r>
        <w:rPr>
          <w:i/>
          <w:sz w:val="22"/>
          <w:szCs w:val="22"/>
        </w:rPr>
        <w:t xml:space="preserve">Dažnis nežinomas: </w:t>
      </w:r>
      <w:r>
        <w:rPr>
          <w:sz w:val="22"/>
          <w:szCs w:val="22"/>
        </w:rPr>
        <w:t>h</w:t>
      </w:r>
      <w:r w:rsidRPr="007F7D76">
        <w:rPr>
          <w:sz w:val="22"/>
          <w:szCs w:val="22"/>
        </w:rPr>
        <w:t>iperamonemija</w:t>
      </w:r>
    </w:p>
    <w:p w:rsidR="008D6F80" w:rsidRPr="00EA7F30" w:rsidRDefault="008D6F80" w:rsidP="007546D4">
      <w:pPr>
        <w:tabs>
          <w:tab w:val="left" w:pos="567"/>
        </w:tabs>
        <w:rPr>
          <w:i/>
          <w:sz w:val="22"/>
          <w:szCs w:val="22"/>
        </w:rPr>
      </w:pPr>
    </w:p>
    <w:p w:rsidR="00973B0B" w:rsidRPr="00EA7F30" w:rsidRDefault="00973B0B" w:rsidP="007546D4">
      <w:pPr>
        <w:tabs>
          <w:tab w:val="left" w:pos="567"/>
        </w:tabs>
        <w:rPr>
          <w:sz w:val="22"/>
          <w:szCs w:val="22"/>
          <w:u w:val="single"/>
        </w:rPr>
      </w:pPr>
      <w:r>
        <w:rPr>
          <w:sz w:val="22"/>
          <w:szCs w:val="22"/>
          <w:u w:val="single"/>
        </w:rPr>
        <w:t>Psichikos sutrikimai</w:t>
      </w:r>
    </w:p>
    <w:p w:rsidR="00973B0B" w:rsidRPr="00EA7F30" w:rsidRDefault="00973B0B" w:rsidP="007546D4">
      <w:pPr>
        <w:tabs>
          <w:tab w:val="left" w:pos="567"/>
        </w:tabs>
        <w:ind w:left="1440" w:hanging="1440"/>
        <w:rPr>
          <w:sz w:val="22"/>
          <w:szCs w:val="22"/>
        </w:rPr>
      </w:pPr>
      <w:r>
        <w:rPr>
          <w:i/>
          <w:sz w:val="22"/>
          <w:szCs w:val="22"/>
        </w:rPr>
        <w:t>Reti:</w:t>
      </w:r>
      <w:r>
        <w:rPr>
          <w:sz w:val="22"/>
          <w:szCs w:val="22"/>
        </w:rPr>
        <w:tab/>
      </w:r>
      <w:r>
        <w:rPr>
          <w:sz w:val="22"/>
          <w:szCs w:val="22"/>
        </w:rPr>
        <w:tab/>
        <w:t>vaizdo ir garso haliucinacijos, depresija, anoreksija, nerimas, agresyvus elgesys, sujaudinimas, minčių susipainiojimas.</w:t>
      </w:r>
    </w:p>
    <w:p w:rsidR="00973B0B" w:rsidRPr="00EA7F30" w:rsidRDefault="00973B0B" w:rsidP="007546D4">
      <w:pPr>
        <w:tabs>
          <w:tab w:val="left" w:pos="567"/>
        </w:tabs>
        <w:rPr>
          <w:sz w:val="22"/>
          <w:szCs w:val="22"/>
        </w:rPr>
      </w:pPr>
      <w:r>
        <w:rPr>
          <w:i/>
          <w:sz w:val="22"/>
          <w:szCs w:val="22"/>
        </w:rPr>
        <w:t>Labai reti:</w:t>
      </w:r>
      <w:r>
        <w:rPr>
          <w:sz w:val="22"/>
          <w:szCs w:val="22"/>
        </w:rPr>
        <w:tab/>
        <w:t xml:space="preserve">suaktyvėjusi psichozė. </w:t>
      </w:r>
    </w:p>
    <w:p w:rsidR="00973B0B" w:rsidRPr="00EA7F30" w:rsidRDefault="00973B0B" w:rsidP="007546D4">
      <w:pPr>
        <w:pStyle w:val="Antrat1"/>
        <w:tabs>
          <w:tab w:val="left" w:pos="567"/>
        </w:tabs>
        <w:spacing w:before="0" w:after="0"/>
        <w:rPr>
          <w:rFonts w:ascii="Times New Roman" w:hAnsi="Times New Roman"/>
          <w:sz w:val="22"/>
          <w:szCs w:val="22"/>
        </w:rPr>
      </w:pPr>
    </w:p>
    <w:p w:rsidR="00973B0B" w:rsidRPr="00EA7F30" w:rsidRDefault="00973B0B" w:rsidP="007546D4">
      <w:pPr>
        <w:pStyle w:val="Antrat1"/>
        <w:tabs>
          <w:tab w:val="left" w:pos="567"/>
        </w:tabs>
        <w:spacing w:before="0" w:after="0"/>
        <w:rPr>
          <w:rFonts w:ascii="Times New Roman" w:hAnsi="Times New Roman"/>
          <w:b w:val="0"/>
          <w:sz w:val="22"/>
          <w:szCs w:val="22"/>
          <w:u w:val="single"/>
        </w:rPr>
      </w:pPr>
      <w:r>
        <w:rPr>
          <w:rFonts w:ascii="Times New Roman" w:hAnsi="Times New Roman"/>
          <w:b w:val="0"/>
          <w:sz w:val="22"/>
          <w:szCs w:val="22"/>
          <w:u w:val="single"/>
        </w:rPr>
        <w:t>Nervų sistemos sutrikimai</w:t>
      </w:r>
    </w:p>
    <w:p w:rsidR="00973B0B" w:rsidRPr="00EA7F30" w:rsidRDefault="00973B0B" w:rsidP="007546D4">
      <w:pPr>
        <w:tabs>
          <w:tab w:val="left" w:pos="567"/>
        </w:tabs>
        <w:rPr>
          <w:sz w:val="22"/>
          <w:szCs w:val="22"/>
        </w:rPr>
      </w:pPr>
      <w:r>
        <w:rPr>
          <w:i/>
          <w:sz w:val="22"/>
          <w:szCs w:val="22"/>
        </w:rPr>
        <w:t>Labai dažni:</w:t>
      </w:r>
      <w:r>
        <w:rPr>
          <w:sz w:val="22"/>
          <w:szCs w:val="22"/>
        </w:rPr>
        <w:tab/>
        <w:t>galvos svaigimas, ataksija, mieguistumas, nuovargis.</w:t>
      </w:r>
    </w:p>
    <w:p w:rsidR="00973B0B" w:rsidRPr="00EA7F30" w:rsidRDefault="00973B0B" w:rsidP="007546D4">
      <w:pPr>
        <w:tabs>
          <w:tab w:val="left" w:pos="567"/>
        </w:tabs>
        <w:rPr>
          <w:sz w:val="22"/>
          <w:szCs w:val="22"/>
        </w:rPr>
      </w:pPr>
      <w:r>
        <w:rPr>
          <w:i/>
          <w:sz w:val="22"/>
          <w:szCs w:val="22"/>
        </w:rPr>
        <w:t>Dažni</w:t>
      </w:r>
      <w:r>
        <w:rPr>
          <w:sz w:val="22"/>
          <w:szCs w:val="22"/>
        </w:rPr>
        <w:t>:</w:t>
      </w:r>
      <w:r>
        <w:rPr>
          <w:sz w:val="22"/>
          <w:szCs w:val="22"/>
        </w:rPr>
        <w:tab/>
      </w:r>
      <w:r>
        <w:rPr>
          <w:sz w:val="22"/>
          <w:szCs w:val="22"/>
        </w:rPr>
        <w:tab/>
        <w:t>galvos skausmas.</w:t>
      </w:r>
    </w:p>
    <w:p w:rsidR="00973B0B" w:rsidRPr="00EA7F30" w:rsidRDefault="00973B0B" w:rsidP="007546D4">
      <w:pPr>
        <w:tabs>
          <w:tab w:val="left" w:pos="567"/>
        </w:tabs>
        <w:rPr>
          <w:sz w:val="22"/>
          <w:szCs w:val="22"/>
        </w:rPr>
      </w:pPr>
      <w:r>
        <w:rPr>
          <w:i/>
          <w:sz w:val="22"/>
          <w:szCs w:val="22"/>
        </w:rPr>
        <w:t>Nedažni</w:t>
      </w:r>
      <w:r>
        <w:rPr>
          <w:sz w:val="22"/>
          <w:szCs w:val="22"/>
        </w:rPr>
        <w:t>:</w:t>
      </w:r>
      <w:r>
        <w:rPr>
          <w:sz w:val="22"/>
          <w:szCs w:val="22"/>
        </w:rPr>
        <w:tab/>
        <w:t xml:space="preserve">patologiški nevalingi judesiai (tremoras, </w:t>
      </w:r>
      <w:r>
        <w:rPr>
          <w:i/>
          <w:sz w:val="22"/>
          <w:szCs w:val="22"/>
        </w:rPr>
        <w:t>asterixis</w:t>
      </w:r>
      <w:r>
        <w:rPr>
          <w:sz w:val="22"/>
          <w:szCs w:val="22"/>
        </w:rPr>
        <w:t>, distonija, tikas), nistagmas</w:t>
      </w:r>
      <w:r w:rsidR="0049770E">
        <w:rPr>
          <w:sz w:val="22"/>
          <w:szCs w:val="22"/>
        </w:rPr>
        <w:t>.</w:t>
      </w:r>
    </w:p>
    <w:p w:rsidR="00973B0B" w:rsidRPr="00EA7F30" w:rsidRDefault="00973B0B" w:rsidP="007546D4">
      <w:pPr>
        <w:tabs>
          <w:tab w:val="left" w:pos="567"/>
        </w:tabs>
        <w:ind w:left="1440" w:hanging="1440"/>
        <w:rPr>
          <w:sz w:val="22"/>
          <w:szCs w:val="22"/>
        </w:rPr>
      </w:pPr>
      <w:r>
        <w:rPr>
          <w:i/>
          <w:sz w:val="22"/>
          <w:szCs w:val="22"/>
        </w:rPr>
        <w:t>Reti:</w:t>
      </w:r>
      <w:r>
        <w:rPr>
          <w:sz w:val="22"/>
          <w:szCs w:val="22"/>
        </w:rPr>
        <w:tab/>
      </w:r>
      <w:r>
        <w:rPr>
          <w:sz w:val="22"/>
          <w:szCs w:val="22"/>
        </w:rPr>
        <w:tab/>
        <w:t xml:space="preserve">burnos ir veido diskinezija, mąstymo sutrikimai, kalbos sutrikimai (dizartrija, neaiški kalba), choreoatetoninis sutrikimas, periferinis neuritas, parestezija, parezės simptomai. </w:t>
      </w:r>
    </w:p>
    <w:p w:rsidR="00973B0B" w:rsidRPr="00EA7F30" w:rsidRDefault="00973B0B" w:rsidP="007546D4">
      <w:pPr>
        <w:tabs>
          <w:tab w:val="left" w:pos="567"/>
        </w:tabs>
        <w:rPr>
          <w:sz w:val="22"/>
          <w:szCs w:val="22"/>
          <w:u w:val="single"/>
        </w:rPr>
      </w:pPr>
      <w:r>
        <w:rPr>
          <w:i/>
          <w:sz w:val="22"/>
          <w:szCs w:val="22"/>
        </w:rPr>
        <w:t>Labai reti:</w:t>
      </w:r>
      <w:r>
        <w:rPr>
          <w:i/>
          <w:sz w:val="22"/>
          <w:szCs w:val="22"/>
        </w:rPr>
        <w:tab/>
      </w:r>
      <w:r>
        <w:rPr>
          <w:sz w:val="22"/>
          <w:szCs w:val="22"/>
        </w:rPr>
        <w:t>skonio pokyčiai, piktybinis neuroleptinis sindromas.</w:t>
      </w:r>
    </w:p>
    <w:p w:rsidR="00973B0B" w:rsidRPr="00EA7F30" w:rsidRDefault="00973B0B" w:rsidP="007546D4">
      <w:pPr>
        <w:tabs>
          <w:tab w:val="left" w:pos="567"/>
        </w:tabs>
        <w:rPr>
          <w:sz w:val="22"/>
          <w:szCs w:val="22"/>
          <w:u w:val="single"/>
        </w:rPr>
      </w:pPr>
    </w:p>
    <w:p w:rsidR="00973B0B" w:rsidRPr="00EA7F30" w:rsidRDefault="00973B0B" w:rsidP="007546D4">
      <w:pPr>
        <w:tabs>
          <w:tab w:val="left" w:pos="567"/>
        </w:tabs>
        <w:rPr>
          <w:sz w:val="22"/>
          <w:szCs w:val="22"/>
          <w:u w:val="single"/>
        </w:rPr>
      </w:pPr>
      <w:r>
        <w:rPr>
          <w:sz w:val="22"/>
          <w:szCs w:val="22"/>
          <w:u w:val="single"/>
        </w:rPr>
        <w:t>Akies sutrikimai</w:t>
      </w:r>
    </w:p>
    <w:p w:rsidR="00973B0B" w:rsidRPr="00EA7F30" w:rsidRDefault="00973B0B" w:rsidP="007546D4">
      <w:pPr>
        <w:tabs>
          <w:tab w:val="left" w:pos="567"/>
        </w:tabs>
        <w:rPr>
          <w:sz w:val="22"/>
          <w:szCs w:val="22"/>
        </w:rPr>
      </w:pPr>
      <w:r>
        <w:rPr>
          <w:i/>
          <w:sz w:val="22"/>
          <w:szCs w:val="22"/>
        </w:rPr>
        <w:t>Dažni:</w:t>
      </w:r>
      <w:r>
        <w:rPr>
          <w:sz w:val="22"/>
          <w:szCs w:val="22"/>
        </w:rPr>
        <w:tab/>
      </w:r>
      <w:r>
        <w:rPr>
          <w:sz w:val="22"/>
          <w:szCs w:val="22"/>
        </w:rPr>
        <w:tab/>
        <w:t>diplopija, akomodacijos sutrikimas (pvz., neryškus matymas)</w:t>
      </w:r>
      <w:r w:rsidR="0049770E">
        <w:rPr>
          <w:sz w:val="22"/>
          <w:szCs w:val="22"/>
        </w:rPr>
        <w:t>.</w:t>
      </w:r>
    </w:p>
    <w:p w:rsidR="00973B0B" w:rsidRPr="00EA7F30" w:rsidRDefault="00973B0B" w:rsidP="007546D4">
      <w:pPr>
        <w:tabs>
          <w:tab w:val="left" w:pos="567"/>
        </w:tabs>
        <w:rPr>
          <w:sz w:val="22"/>
          <w:szCs w:val="22"/>
        </w:rPr>
      </w:pPr>
      <w:r>
        <w:rPr>
          <w:i/>
          <w:sz w:val="22"/>
          <w:szCs w:val="22"/>
        </w:rPr>
        <w:t>Reti</w:t>
      </w:r>
      <w:r>
        <w:rPr>
          <w:sz w:val="22"/>
          <w:szCs w:val="22"/>
        </w:rPr>
        <w:t>:</w:t>
      </w:r>
      <w:r>
        <w:rPr>
          <w:sz w:val="22"/>
          <w:szCs w:val="22"/>
        </w:rPr>
        <w:tab/>
      </w:r>
      <w:r>
        <w:rPr>
          <w:sz w:val="22"/>
          <w:szCs w:val="22"/>
        </w:rPr>
        <w:tab/>
      </w:r>
      <w:r>
        <w:rPr>
          <w:sz w:val="22"/>
          <w:szCs w:val="22"/>
        </w:rPr>
        <w:tab/>
        <w:t>okulomotoriniai sutrikimai.</w:t>
      </w:r>
    </w:p>
    <w:p w:rsidR="00973B0B" w:rsidRPr="00EA7F30" w:rsidRDefault="00973B0B" w:rsidP="007546D4">
      <w:pPr>
        <w:tabs>
          <w:tab w:val="left" w:pos="567"/>
        </w:tabs>
        <w:rPr>
          <w:sz w:val="22"/>
          <w:szCs w:val="22"/>
        </w:rPr>
      </w:pPr>
      <w:r>
        <w:rPr>
          <w:i/>
          <w:sz w:val="22"/>
          <w:szCs w:val="22"/>
        </w:rPr>
        <w:t>Labai reti</w:t>
      </w:r>
      <w:r>
        <w:rPr>
          <w:sz w:val="22"/>
          <w:szCs w:val="22"/>
        </w:rPr>
        <w:t>:</w:t>
      </w:r>
      <w:r>
        <w:rPr>
          <w:sz w:val="22"/>
          <w:szCs w:val="22"/>
        </w:rPr>
        <w:tab/>
        <w:t>regėjimo sutrikimai (lęšiuko drumstis), konjunktyvitas, akispūdžio padidėjimas.</w:t>
      </w:r>
    </w:p>
    <w:p w:rsidR="00973B0B" w:rsidRPr="00EA7F30" w:rsidRDefault="00973B0B" w:rsidP="007546D4">
      <w:pPr>
        <w:pStyle w:val="Antrat1"/>
        <w:tabs>
          <w:tab w:val="left" w:pos="567"/>
        </w:tabs>
        <w:spacing w:before="0" w:after="0"/>
        <w:rPr>
          <w:rFonts w:ascii="Times New Roman" w:hAnsi="Times New Roman"/>
          <w:sz w:val="22"/>
          <w:szCs w:val="22"/>
        </w:rPr>
      </w:pPr>
    </w:p>
    <w:p w:rsidR="00973B0B" w:rsidRPr="00EA7F30" w:rsidRDefault="00973B0B" w:rsidP="007546D4">
      <w:pPr>
        <w:tabs>
          <w:tab w:val="left" w:pos="567"/>
        </w:tabs>
        <w:rPr>
          <w:sz w:val="22"/>
          <w:szCs w:val="22"/>
          <w:u w:val="single"/>
        </w:rPr>
      </w:pPr>
      <w:r>
        <w:rPr>
          <w:sz w:val="22"/>
          <w:szCs w:val="22"/>
          <w:u w:val="single"/>
        </w:rPr>
        <w:t>Ausies ir labirinto sutrikimai</w:t>
      </w:r>
    </w:p>
    <w:p w:rsidR="00973B0B" w:rsidRPr="00EA7F30" w:rsidRDefault="00973B0B" w:rsidP="007546D4">
      <w:pPr>
        <w:pStyle w:val="Antrat1"/>
        <w:tabs>
          <w:tab w:val="left" w:pos="567"/>
        </w:tabs>
        <w:spacing w:before="0" w:after="0"/>
        <w:ind w:left="1440" w:hanging="1440"/>
        <w:rPr>
          <w:rFonts w:ascii="Times New Roman" w:hAnsi="Times New Roman"/>
          <w:b w:val="0"/>
          <w:sz w:val="22"/>
          <w:szCs w:val="22"/>
        </w:rPr>
      </w:pPr>
      <w:r>
        <w:rPr>
          <w:rFonts w:ascii="Times New Roman" w:hAnsi="Times New Roman"/>
          <w:b w:val="0"/>
          <w:i/>
          <w:sz w:val="22"/>
          <w:szCs w:val="22"/>
        </w:rPr>
        <w:t>Labai reti:</w:t>
      </w:r>
      <w:r>
        <w:rPr>
          <w:rFonts w:ascii="Times New Roman" w:hAnsi="Times New Roman"/>
          <w:sz w:val="22"/>
          <w:szCs w:val="22"/>
        </w:rPr>
        <w:tab/>
      </w:r>
      <w:r>
        <w:rPr>
          <w:rFonts w:ascii="Times New Roman" w:hAnsi="Times New Roman"/>
          <w:b w:val="0"/>
          <w:sz w:val="22"/>
          <w:szCs w:val="22"/>
        </w:rPr>
        <w:t>sutrinka klausa (spengia ausyse, padidėja arba sumažėja klausos aštrumas, pakinta garso tonų suvokimas).</w:t>
      </w:r>
    </w:p>
    <w:p w:rsidR="00973B0B" w:rsidRPr="00EA7F30" w:rsidRDefault="00973B0B" w:rsidP="007546D4">
      <w:pPr>
        <w:pStyle w:val="Antrat1"/>
        <w:tabs>
          <w:tab w:val="left" w:pos="567"/>
        </w:tabs>
        <w:spacing w:before="0" w:after="0"/>
        <w:rPr>
          <w:rFonts w:ascii="Times New Roman" w:hAnsi="Times New Roman"/>
          <w:b w:val="0"/>
          <w:sz w:val="22"/>
          <w:szCs w:val="22"/>
          <w:u w:val="single"/>
        </w:rPr>
      </w:pPr>
    </w:p>
    <w:p w:rsidR="00973B0B" w:rsidRPr="00EA7F30" w:rsidRDefault="00973B0B" w:rsidP="007546D4">
      <w:pPr>
        <w:pStyle w:val="Antrat1"/>
        <w:tabs>
          <w:tab w:val="left" w:pos="567"/>
        </w:tabs>
        <w:spacing w:before="0" w:after="0"/>
        <w:rPr>
          <w:rFonts w:ascii="Times New Roman" w:hAnsi="Times New Roman"/>
          <w:b w:val="0"/>
          <w:sz w:val="22"/>
          <w:szCs w:val="22"/>
          <w:u w:val="single"/>
        </w:rPr>
      </w:pPr>
      <w:r>
        <w:rPr>
          <w:rFonts w:ascii="Times New Roman" w:hAnsi="Times New Roman"/>
          <w:b w:val="0"/>
          <w:sz w:val="22"/>
          <w:szCs w:val="22"/>
          <w:u w:val="single"/>
        </w:rPr>
        <w:t xml:space="preserve">Širdies sutrikimai </w:t>
      </w:r>
    </w:p>
    <w:p w:rsidR="00973B0B" w:rsidRPr="00EA7F30" w:rsidRDefault="00973B0B" w:rsidP="007546D4">
      <w:pPr>
        <w:tabs>
          <w:tab w:val="left" w:pos="567"/>
        </w:tabs>
        <w:rPr>
          <w:sz w:val="22"/>
          <w:szCs w:val="22"/>
        </w:rPr>
      </w:pPr>
      <w:r>
        <w:rPr>
          <w:i/>
          <w:sz w:val="22"/>
          <w:szCs w:val="22"/>
        </w:rPr>
        <w:t>Reti:</w:t>
      </w:r>
      <w:r>
        <w:rPr>
          <w:sz w:val="22"/>
          <w:szCs w:val="22"/>
        </w:rPr>
        <w:tab/>
      </w:r>
      <w:r>
        <w:rPr>
          <w:sz w:val="22"/>
          <w:szCs w:val="22"/>
        </w:rPr>
        <w:tab/>
      </w:r>
      <w:r>
        <w:rPr>
          <w:sz w:val="22"/>
          <w:szCs w:val="22"/>
        </w:rPr>
        <w:tab/>
        <w:t>širdies laidumo sutrikimas, padidėja arba sumažėja kraujospūdis.</w:t>
      </w:r>
    </w:p>
    <w:p w:rsidR="00973B0B" w:rsidRPr="00EA7F30" w:rsidRDefault="00973B0B" w:rsidP="007546D4">
      <w:pPr>
        <w:tabs>
          <w:tab w:val="left" w:pos="567"/>
        </w:tabs>
        <w:ind w:left="1440" w:hanging="1440"/>
        <w:rPr>
          <w:sz w:val="22"/>
          <w:szCs w:val="22"/>
        </w:rPr>
      </w:pPr>
      <w:r>
        <w:rPr>
          <w:i/>
          <w:sz w:val="22"/>
          <w:szCs w:val="22"/>
        </w:rPr>
        <w:t>Labai reti:</w:t>
      </w:r>
      <w:r>
        <w:rPr>
          <w:sz w:val="22"/>
          <w:szCs w:val="22"/>
        </w:rPr>
        <w:tab/>
        <w:t>bradikardija, širdies aritmija, AV blokada ir sinkopė, kolapsas, širdies nepakankamumas, pasunkėja išeminė širdies liga, tromboflebitas, tromboembolija (pvz., plaučių).</w:t>
      </w:r>
    </w:p>
    <w:p w:rsidR="00973B0B" w:rsidRPr="00EA7F30" w:rsidRDefault="00973B0B" w:rsidP="007546D4">
      <w:pPr>
        <w:pStyle w:val="Antrat1"/>
        <w:tabs>
          <w:tab w:val="left" w:pos="567"/>
        </w:tabs>
        <w:spacing w:before="0" w:after="0"/>
        <w:rPr>
          <w:rFonts w:ascii="Times New Roman" w:hAnsi="Times New Roman"/>
          <w:sz w:val="22"/>
          <w:szCs w:val="22"/>
        </w:rPr>
      </w:pPr>
    </w:p>
    <w:p w:rsidR="00973B0B" w:rsidRPr="00EA7F30" w:rsidRDefault="00973B0B" w:rsidP="007546D4">
      <w:pPr>
        <w:pStyle w:val="Antrat1"/>
        <w:tabs>
          <w:tab w:val="left" w:pos="567"/>
        </w:tabs>
        <w:spacing w:before="0" w:after="0"/>
        <w:rPr>
          <w:rFonts w:ascii="Times New Roman" w:hAnsi="Times New Roman"/>
          <w:b w:val="0"/>
          <w:sz w:val="22"/>
          <w:szCs w:val="22"/>
          <w:u w:val="single"/>
        </w:rPr>
      </w:pPr>
      <w:r>
        <w:rPr>
          <w:rFonts w:ascii="Times New Roman" w:hAnsi="Times New Roman"/>
          <w:b w:val="0"/>
          <w:sz w:val="22"/>
          <w:szCs w:val="22"/>
          <w:u w:val="single"/>
        </w:rPr>
        <w:t>Kvėpavimo sistemos, krūtinės ląstos ir tarpusienio sutrikimai</w:t>
      </w:r>
    </w:p>
    <w:p w:rsidR="00973B0B" w:rsidRPr="00EA7F30" w:rsidRDefault="00973B0B" w:rsidP="007546D4">
      <w:pPr>
        <w:tabs>
          <w:tab w:val="left" w:pos="567"/>
        </w:tabs>
        <w:ind w:left="1440" w:hanging="1440"/>
        <w:rPr>
          <w:sz w:val="22"/>
          <w:szCs w:val="22"/>
        </w:rPr>
      </w:pPr>
      <w:r>
        <w:rPr>
          <w:i/>
          <w:sz w:val="22"/>
          <w:szCs w:val="22"/>
        </w:rPr>
        <w:t>Labai reti:</w:t>
      </w:r>
      <w:r>
        <w:rPr>
          <w:sz w:val="22"/>
          <w:szCs w:val="22"/>
        </w:rPr>
        <w:tab/>
        <w:t>alerginė plaučių reakcija, pasireiškianti karščiavimu, dusuliu, pneumonitu ar plaučių uždegimu. Jei pasireiškia ši reakcija, gydymas karbamazepinu turi būti nedelsiant nutrauktas.</w:t>
      </w:r>
    </w:p>
    <w:p w:rsidR="00973B0B" w:rsidRPr="00EA7F30" w:rsidRDefault="00973B0B" w:rsidP="007546D4">
      <w:pPr>
        <w:tabs>
          <w:tab w:val="left" w:pos="567"/>
        </w:tabs>
        <w:rPr>
          <w:sz w:val="22"/>
          <w:szCs w:val="22"/>
        </w:rPr>
      </w:pPr>
    </w:p>
    <w:p w:rsidR="00973B0B" w:rsidRPr="00EA7F30" w:rsidRDefault="00973B0B" w:rsidP="007546D4">
      <w:pPr>
        <w:pStyle w:val="Antrat1"/>
        <w:tabs>
          <w:tab w:val="left" w:pos="567"/>
        </w:tabs>
        <w:spacing w:before="0" w:after="0"/>
        <w:rPr>
          <w:rFonts w:ascii="Times New Roman" w:hAnsi="Times New Roman"/>
          <w:b w:val="0"/>
          <w:sz w:val="22"/>
          <w:szCs w:val="22"/>
          <w:u w:val="single"/>
        </w:rPr>
      </w:pPr>
      <w:r>
        <w:rPr>
          <w:rFonts w:ascii="Times New Roman" w:hAnsi="Times New Roman"/>
          <w:b w:val="0"/>
          <w:sz w:val="22"/>
          <w:szCs w:val="22"/>
          <w:u w:val="single"/>
        </w:rPr>
        <w:t>Virškinimo trakto sutrikimai</w:t>
      </w:r>
    </w:p>
    <w:p w:rsidR="00973B0B" w:rsidRPr="00EA7F30" w:rsidRDefault="00973B0B" w:rsidP="007546D4">
      <w:pPr>
        <w:tabs>
          <w:tab w:val="left" w:pos="567"/>
        </w:tabs>
        <w:rPr>
          <w:sz w:val="22"/>
          <w:szCs w:val="22"/>
        </w:rPr>
      </w:pPr>
      <w:r>
        <w:rPr>
          <w:i/>
          <w:sz w:val="22"/>
          <w:szCs w:val="22"/>
        </w:rPr>
        <w:t>Labai dažni:</w:t>
      </w:r>
      <w:r>
        <w:rPr>
          <w:sz w:val="22"/>
          <w:szCs w:val="22"/>
        </w:rPr>
        <w:tab/>
        <w:t>pykinimas, vėmimas.</w:t>
      </w:r>
    </w:p>
    <w:p w:rsidR="00973B0B" w:rsidRPr="00EA7F30" w:rsidRDefault="00973B0B" w:rsidP="007546D4">
      <w:pPr>
        <w:tabs>
          <w:tab w:val="left" w:pos="567"/>
        </w:tabs>
        <w:rPr>
          <w:sz w:val="22"/>
          <w:szCs w:val="22"/>
        </w:rPr>
      </w:pPr>
      <w:r>
        <w:rPr>
          <w:i/>
          <w:sz w:val="22"/>
          <w:szCs w:val="22"/>
        </w:rPr>
        <w:t>Dažni:</w:t>
      </w:r>
      <w:r>
        <w:rPr>
          <w:sz w:val="22"/>
          <w:szCs w:val="22"/>
        </w:rPr>
        <w:tab/>
      </w:r>
      <w:r>
        <w:rPr>
          <w:sz w:val="22"/>
          <w:szCs w:val="22"/>
        </w:rPr>
        <w:tab/>
        <w:t>burnos sausmė, sumažėjęs apetitas.</w:t>
      </w:r>
    </w:p>
    <w:p w:rsidR="00973B0B" w:rsidRPr="00EA7F30" w:rsidRDefault="00973B0B" w:rsidP="007546D4">
      <w:pPr>
        <w:tabs>
          <w:tab w:val="left" w:pos="567"/>
        </w:tabs>
        <w:rPr>
          <w:sz w:val="22"/>
          <w:szCs w:val="22"/>
        </w:rPr>
      </w:pPr>
      <w:r>
        <w:rPr>
          <w:i/>
          <w:sz w:val="22"/>
          <w:szCs w:val="22"/>
        </w:rPr>
        <w:t>Nedažni:</w:t>
      </w:r>
      <w:r>
        <w:rPr>
          <w:sz w:val="22"/>
          <w:szCs w:val="22"/>
        </w:rPr>
        <w:tab/>
        <w:t>viduriavimas arba vidurių užkietėjimas.</w:t>
      </w:r>
    </w:p>
    <w:p w:rsidR="00973B0B" w:rsidRPr="00EA7F30" w:rsidRDefault="00973B0B" w:rsidP="007546D4">
      <w:pPr>
        <w:tabs>
          <w:tab w:val="left" w:pos="567"/>
        </w:tabs>
        <w:rPr>
          <w:sz w:val="22"/>
          <w:szCs w:val="22"/>
        </w:rPr>
      </w:pPr>
      <w:r>
        <w:rPr>
          <w:i/>
          <w:sz w:val="22"/>
          <w:szCs w:val="22"/>
        </w:rPr>
        <w:t>Reti:</w:t>
      </w:r>
      <w:r>
        <w:rPr>
          <w:sz w:val="22"/>
          <w:szCs w:val="22"/>
        </w:rPr>
        <w:tab/>
      </w:r>
      <w:r>
        <w:rPr>
          <w:sz w:val="22"/>
          <w:szCs w:val="22"/>
        </w:rPr>
        <w:tab/>
      </w:r>
      <w:r>
        <w:rPr>
          <w:sz w:val="22"/>
          <w:szCs w:val="22"/>
        </w:rPr>
        <w:tab/>
        <w:t>pilvo skausmas.</w:t>
      </w:r>
    </w:p>
    <w:p w:rsidR="00973B0B" w:rsidRPr="00EA7F30" w:rsidRDefault="00973B0B" w:rsidP="007546D4">
      <w:pPr>
        <w:tabs>
          <w:tab w:val="left" w:pos="567"/>
        </w:tabs>
        <w:rPr>
          <w:sz w:val="22"/>
          <w:szCs w:val="22"/>
        </w:rPr>
      </w:pPr>
      <w:r>
        <w:rPr>
          <w:i/>
          <w:sz w:val="22"/>
          <w:szCs w:val="22"/>
        </w:rPr>
        <w:t>Labai reti:</w:t>
      </w:r>
      <w:r>
        <w:rPr>
          <w:sz w:val="22"/>
          <w:szCs w:val="22"/>
        </w:rPr>
        <w:tab/>
        <w:t xml:space="preserve">glositas, stomatitas ir pankreatitas. </w:t>
      </w:r>
    </w:p>
    <w:p w:rsidR="00973B0B" w:rsidRPr="00EA7F30" w:rsidRDefault="00973B0B" w:rsidP="007546D4">
      <w:pPr>
        <w:pStyle w:val="Antrat1"/>
        <w:tabs>
          <w:tab w:val="left" w:pos="567"/>
        </w:tabs>
        <w:spacing w:before="0" w:after="0"/>
        <w:rPr>
          <w:rFonts w:ascii="Times New Roman" w:hAnsi="Times New Roman"/>
          <w:b w:val="0"/>
          <w:sz w:val="22"/>
          <w:szCs w:val="22"/>
          <w:u w:val="single"/>
        </w:rPr>
      </w:pPr>
    </w:p>
    <w:p w:rsidR="00973B0B" w:rsidRPr="00EA7F30" w:rsidRDefault="00973B0B" w:rsidP="007546D4">
      <w:pPr>
        <w:pStyle w:val="Antrat1"/>
        <w:tabs>
          <w:tab w:val="left" w:pos="567"/>
        </w:tabs>
        <w:spacing w:before="0" w:after="0"/>
        <w:rPr>
          <w:rFonts w:ascii="Times New Roman" w:hAnsi="Times New Roman"/>
          <w:b w:val="0"/>
          <w:sz w:val="22"/>
          <w:szCs w:val="22"/>
          <w:u w:val="single"/>
        </w:rPr>
      </w:pPr>
      <w:r>
        <w:rPr>
          <w:rFonts w:ascii="Times New Roman" w:hAnsi="Times New Roman"/>
          <w:b w:val="0"/>
          <w:sz w:val="22"/>
          <w:szCs w:val="22"/>
          <w:u w:val="single"/>
        </w:rPr>
        <w:t>Kepenų ir tulžies sistemos sutrikimai</w:t>
      </w:r>
    </w:p>
    <w:p w:rsidR="00973B0B" w:rsidRPr="00EA7F30" w:rsidRDefault="00973B0B" w:rsidP="007546D4">
      <w:pPr>
        <w:tabs>
          <w:tab w:val="left" w:pos="567"/>
        </w:tabs>
        <w:ind w:left="1440" w:hanging="1440"/>
        <w:rPr>
          <w:sz w:val="22"/>
          <w:szCs w:val="22"/>
        </w:rPr>
      </w:pPr>
      <w:r>
        <w:rPr>
          <w:i/>
          <w:sz w:val="22"/>
          <w:szCs w:val="22"/>
        </w:rPr>
        <w:t>Labai dažni:</w:t>
      </w:r>
      <w:r>
        <w:rPr>
          <w:sz w:val="22"/>
          <w:szCs w:val="22"/>
        </w:rPr>
        <w:tab/>
        <w:t>dėl kepenų fermentų suaktyvėjimo padidėja gama-GT, tačiau toks pokytis klinikai yra nereikšmingas.</w:t>
      </w:r>
    </w:p>
    <w:p w:rsidR="00973B0B" w:rsidRPr="00EA7F30" w:rsidRDefault="00973B0B" w:rsidP="007546D4">
      <w:pPr>
        <w:tabs>
          <w:tab w:val="left" w:pos="567"/>
        </w:tabs>
        <w:rPr>
          <w:sz w:val="22"/>
          <w:szCs w:val="22"/>
        </w:rPr>
      </w:pPr>
      <w:r>
        <w:rPr>
          <w:i/>
          <w:sz w:val="22"/>
          <w:szCs w:val="22"/>
        </w:rPr>
        <w:t>Dažni:</w:t>
      </w:r>
      <w:r>
        <w:rPr>
          <w:sz w:val="22"/>
          <w:szCs w:val="22"/>
        </w:rPr>
        <w:tab/>
      </w:r>
      <w:r>
        <w:rPr>
          <w:sz w:val="22"/>
          <w:szCs w:val="22"/>
        </w:rPr>
        <w:tab/>
        <w:t>padaugėja šarminės fosfatazės.</w:t>
      </w:r>
    </w:p>
    <w:p w:rsidR="00973B0B" w:rsidRPr="00EA7F30" w:rsidRDefault="00973B0B" w:rsidP="007546D4">
      <w:pPr>
        <w:tabs>
          <w:tab w:val="left" w:pos="567"/>
        </w:tabs>
        <w:rPr>
          <w:sz w:val="22"/>
          <w:szCs w:val="22"/>
        </w:rPr>
      </w:pPr>
      <w:r>
        <w:rPr>
          <w:i/>
          <w:sz w:val="22"/>
          <w:szCs w:val="22"/>
        </w:rPr>
        <w:t>Nedažni:</w:t>
      </w:r>
      <w:r>
        <w:rPr>
          <w:sz w:val="22"/>
          <w:szCs w:val="22"/>
        </w:rPr>
        <w:tab/>
        <w:t>padaugėja transaminazių.</w:t>
      </w:r>
    </w:p>
    <w:p w:rsidR="00973B0B" w:rsidRPr="00EA7F30" w:rsidRDefault="00973B0B" w:rsidP="007546D4">
      <w:pPr>
        <w:tabs>
          <w:tab w:val="left" w:pos="567"/>
        </w:tabs>
        <w:ind w:left="1440" w:hanging="1440"/>
        <w:rPr>
          <w:sz w:val="22"/>
          <w:szCs w:val="22"/>
        </w:rPr>
      </w:pPr>
      <w:r>
        <w:rPr>
          <w:i/>
          <w:sz w:val="22"/>
          <w:szCs w:val="22"/>
        </w:rPr>
        <w:t>Reti:</w:t>
      </w:r>
      <w:r>
        <w:rPr>
          <w:sz w:val="22"/>
          <w:szCs w:val="22"/>
        </w:rPr>
        <w:tab/>
      </w:r>
      <w:r>
        <w:rPr>
          <w:sz w:val="22"/>
          <w:szCs w:val="22"/>
        </w:rPr>
        <w:tab/>
        <w:t>cholestazinis, parenchiminis (hepatoceliulinis) arba mišraus tipo hepatitas, gelta</w:t>
      </w:r>
      <w:r w:rsidR="00C52322">
        <w:rPr>
          <w:sz w:val="22"/>
          <w:szCs w:val="22"/>
        </w:rPr>
        <w:t>.</w:t>
      </w:r>
    </w:p>
    <w:p w:rsidR="00973B0B" w:rsidRPr="00EA7F30" w:rsidRDefault="00973B0B" w:rsidP="007546D4">
      <w:pPr>
        <w:tabs>
          <w:tab w:val="left" w:pos="567"/>
        </w:tabs>
        <w:rPr>
          <w:sz w:val="22"/>
          <w:szCs w:val="22"/>
        </w:rPr>
      </w:pPr>
      <w:r>
        <w:rPr>
          <w:i/>
          <w:sz w:val="22"/>
          <w:szCs w:val="22"/>
        </w:rPr>
        <w:t>Labai reti:</w:t>
      </w:r>
      <w:r>
        <w:rPr>
          <w:sz w:val="22"/>
          <w:szCs w:val="22"/>
        </w:rPr>
        <w:tab/>
        <w:t xml:space="preserve">granulomatozinis hepatitas, kepenų nepakankamumas. </w:t>
      </w:r>
    </w:p>
    <w:p w:rsidR="00973B0B" w:rsidRPr="00EA7F30" w:rsidRDefault="00973B0B" w:rsidP="007546D4">
      <w:pPr>
        <w:pStyle w:val="Antrat1"/>
        <w:tabs>
          <w:tab w:val="left" w:pos="567"/>
        </w:tabs>
        <w:spacing w:before="0" w:after="0"/>
        <w:rPr>
          <w:rFonts w:ascii="Times New Roman" w:hAnsi="Times New Roman"/>
          <w:sz w:val="22"/>
          <w:szCs w:val="22"/>
        </w:rPr>
      </w:pPr>
    </w:p>
    <w:p w:rsidR="00973B0B" w:rsidRPr="00EA7F30" w:rsidRDefault="00973B0B" w:rsidP="007546D4">
      <w:pPr>
        <w:pStyle w:val="Antrat1"/>
        <w:tabs>
          <w:tab w:val="left" w:pos="567"/>
        </w:tabs>
        <w:spacing w:before="0" w:after="0"/>
        <w:rPr>
          <w:rFonts w:ascii="Times New Roman" w:hAnsi="Times New Roman"/>
          <w:b w:val="0"/>
          <w:sz w:val="22"/>
          <w:szCs w:val="22"/>
          <w:u w:val="single"/>
        </w:rPr>
      </w:pPr>
      <w:r>
        <w:rPr>
          <w:rFonts w:ascii="Times New Roman" w:hAnsi="Times New Roman"/>
          <w:b w:val="0"/>
          <w:sz w:val="22"/>
          <w:szCs w:val="22"/>
          <w:u w:val="single"/>
        </w:rPr>
        <w:t>Odos ir poodinio audinio sutrikimai</w:t>
      </w:r>
    </w:p>
    <w:p w:rsidR="00973B0B" w:rsidRPr="00EA7F30" w:rsidRDefault="00973B0B" w:rsidP="007546D4">
      <w:pPr>
        <w:tabs>
          <w:tab w:val="left" w:pos="567"/>
        </w:tabs>
        <w:rPr>
          <w:sz w:val="22"/>
          <w:szCs w:val="22"/>
        </w:rPr>
      </w:pPr>
      <w:r>
        <w:rPr>
          <w:i/>
          <w:sz w:val="22"/>
          <w:szCs w:val="22"/>
        </w:rPr>
        <w:t>Labai dažni:</w:t>
      </w:r>
      <w:r>
        <w:rPr>
          <w:sz w:val="22"/>
          <w:szCs w:val="22"/>
        </w:rPr>
        <w:tab/>
        <w:t>alerginis dermatitas, dilgėlinis išbėrimas (gali būti sunkus).</w:t>
      </w:r>
    </w:p>
    <w:p w:rsidR="00973B0B" w:rsidRPr="00EA7F30" w:rsidRDefault="00973B0B" w:rsidP="007546D4">
      <w:pPr>
        <w:tabs>
          <w:tab w:val="left" w:pos="567"/>
        </w:tabs>
        <w:rPr>
          <w:sz w:val="22"/>
          <w:szCs w:val="22"/>
        </w:rPr>
      </w:pPr>
      <w:r>
        <w:rPr>
          <w:i/>
          <w:sz w:val="22"/>
          <w:szCs w:val="22"/>
        </w:rPr>
        <w:t>Nedažni:</w:t>
      </w:r>
      <w:r>
        <w:rPr>
          <w:sz w:val="22"/>
          <w:szCs w:val="22"/>
        </w:rPr>
        <w:tab/>
        <w:t>eksfoliacinis dermatitas ir eritroderma.</w:t>
      </w:r>
    </w:p>
    <w:p w:rsidR="00973B0B" w:rsidRPr="00EA7F30" w:rsidRDefault="00973B0B" w:rsidP="007546D4">
      <w:pPr>
        <w:tabs>
          <w:tab w:val="left" w:pos="567"/>
        </w:tabs>
        <w:rPr>
          <w:sz w:val="22"/>
          <w:szCs w:val="22"/>
        </w:rPr>
      </w:pPr>
      <w:r>
        <w:rPr>
          <w:i/>
          <w:sz w:val="22"/>
          <w:szCs w:val="22"/>
        </w:rPr>
        <w:t>Reti:</w:t>
      </w:r>
      <w:r>
        <w:rPr>
          <w:sz w:val="22"/>
          <w:szCs w:val="22"/>
        </w:rPr>
        <w:tab/>
      </w:r>
      <w:r>
        <w:rPr>
          <w:sz w:val="22"/>
          <w:szCs w:val="22"/>
        </w:rPr>
        <w:tab/>
      </w:r>
      <w:r>
        <w:rPr>
          <w:sz w:val="22"/>
          <w:szCs w:val="22"/>
        </w:rPr>
        <w:tab/>
        <w:t>į raudonąją vilkligę panašus sindromas, niežulys.</w:t>
      </w:r>
    </w:p>
    <w:p w:rsidR="00973B0B" w:rsidRPr="00EA7F30" w:rsidRDefault="00973B0B" w:rsidP="007546D4">
      <w:pPr>
        <w:tabs>
          <w:tab w:val="left" w:pos="567"/>
        </w:tabs>
        <w:ind w:left="1440" w:hanging="1440"/>
        <w:rPr>
          <w:sz w:val="22"/>
          <w:szCs w:val="22"/>
        </w:rPr>
      </w:pPr>
      <w:r>
        <w:rPr>
          <w:i/>
          <w:sz w:val="22"/>
          <w:szCs w:val="22"/>
        </w:rPr>
        <w:t>Labai reti:</w:t>
      </w:r>
      <w:r>
        <w:rPr>
          <w:sz w:val="22"/>
          <w:szCs w:val="22"/>
        </w:rPr>
        <w:tab/>
        <w:t xml:space="preserve">sunkios odos nepageidaujamos reakcijos: </w:t>
      </w:r>
      <w:r>
        <w:rPr>
          <w:i/>
          <w:sz w:val="22"/>
          <w:szCs w:val="22"/>
        </w:rPr>
        <w:t>Stevens-Johnson</w:t>
      </w:r>
      <w:r>
        <w:rPr>
          <w:sz w:val="22"/>
          <w:szCs w:val="22"/>
        </w:rPr>
        <w:t xml:space="preserve"> (SJS) sindromas, toksinė epidermio nekrolizė (TEN) (žr. 4.4 skyrių); padidėjęs jautrumas šviesai, daugiaformė arba mazginė eritema, odos pigmentacijos sutrikimas, purpura, spuogai, prakaitavimas, plaukų slinkimas, hirsutizmas. </w:t>
      </w:r>
    </w:p>
    <w:p w:rsidR="00973B0B" w:rsidRPr="00EA7F30" w:rsidRDefault="00973B0B" w:rsidP="007546D4">
      <w:pPr>
        <w:pStyle w:val="Antrat1"/>
        <w:tabs>
          <w:tab w:val="left" w:pos="567"/>
        </w:tabs>
        <w:spacing w:before="0" w:after="0"/>
        <w:rPr>
          <w:rFonts w:ascii="Times New Roman" w:hAnsi="Times New Roman"/>
          <w:sz w:val="22"/>
          <w:szCs w:val="22"/>
        </w:rPr>
      </w:pPr>
    </w:p>
    <w:p w:rsidR="00973B0B" w:rsidRPr="00EA7F30" w:rsidRDefault="00973B0B" w:rsidP="007546D4">
      <w:pPr>
        <w:tabs>
          <w:tab w:val="left" w:pos="567"/>
        </w:tabs>
        <w:rPr>
          <w:sz w:val="22"/>
          <w:szCs w:val="22"/>
        </w:rPr>
      </w:pPr>
      <w:r>
        <w:rPr>
          <w:sz w:val="22"/>
          <w:szCs w:val="22"/>
        </w:rPr>
        <w:t xml:space="preserve">Gaunama vis daugiau duomenų apie skirtingų HLA alelių svarbą su imunine sistema susijusių nepageidaujamų reakcijų tokių kaip SJS, TEN, </w:t>
      </w:r>
      <w:r>
        <w:rPr>
          <w:i/>
          <w:iCs/>
          <w:sz w:val="22"/>
          <w:szCs w:val="22"/>
        </w:rPr>
        <w:t>DRESS,</w:t>
      </w:r>
      <w:r>
        <w:rPr>
          <w:sz w:val="22"/>
          <w:szCs w:val="22"/>
        </w:rPr>
        <w:t xml:space="preserve"> ūminė išplitusi egzanteminė pustuliozė ir makulopapulinis išbėrimas rizikos padidėjimui. HLA-A*3101 alelio paplitimas gali būti priežastis su karbamazepino vartojimu pasireiškusių nepageidaujamų reakcijų Japonijos ir Europos šalių populiacijose. Kito HLA-B*1502 alelio paplitimas kinų, tailandiečių ir kitų Azijos šalių populiacijose gali būti susijęs su SJS ir TEN pasireiškimu (žr. 4.4 skyrių).</w:t>
      </w:r>
    </w:p>
    <w:p w:rsidR="00973B0B" w:rsidRPr="001B0AB9" w:rsidRDefault="00973B0B" w:rsidP="007546D4">
      <w:pPr>
        <w:rPr>
          <w:sz w:val="22"/>
          <w:szCs w:val="22"/>
        </w:rPr>
      </w:pPr>
    </w:p>
    <w:p w:rsidR="00973B0B" w:rsidRPr="00EA7F30" w:rsidRDefault="00973B0B" w:rsidP="007546D4">
      <w:pPr>
        <w:pStyle w:val="Antrat1"/>
        <w:tabs>
          <w:tab w:val="left" w:pos="567"/>
        </w:tabs>
        <w:spacing w:before="0" w:after="0"/>
        <w:rPr>
          <w:rFonts w:ascii="Times New Roman" w:hAnsi="Times New Roman"/>
          <w:b w:val="0"/>
          <w:sz w:val="22"/>
          <w:szCs w:val="22"/>
          <w:u w:val="single"/>
        </w:rPr>
      </w:pPr>
      <w:r w:rsidRPr="00EA7F30">
        <w:rPr>
          <w:rFonts w:ascii="Times New Roman" w:hAnsi="Times New Roman"/>
          <w:b w:val="0"/>
          <w:sz w:val="22"/>
          <w:szCs w:val="22"/>
          <w:u w:val="single"/>
        </w:rPr>
        <w:t>Raumenų, kaulų ir jungiamojo audinio sutrikimai</w:t>
      </w:r>
    </w:p>
    <w:p w:rsidR="00973B0B" w:rsidRPr="00EA7F30" w:rsidRDefault="00973B0B" w:rsidP="007546D4">
      <w:pPr>
        <w:tabs>
          <w:tab w:val="left" w:pos="567"/>
        </w:tabs>
        <w:rPr>
          <w:i/>
          <w:sz w:val="22"/>
          <w:szCs w:val="22"/>
        </w:rPr>
      </w:pPr>
      <w:r>
        <w:rPr>
          <w:i/>
          <w:sz w:val="22"/>
          <w:szCs w:val="22"/>
        </w:rPr>
        <w:t>Reti:</w:t>
      </w:r>
      <w:r>
        <w:rPr>
          <w:i/>
          <w:sz w:val="22"/>
          <w:szCs w:val="22"/>
        </w:rPr>
        <w:tab/>
      </w:r>
      <w:r>
        <w:rPr>
          <w:i/>
          <w:sz w:val="22"/>
          <w:szCs w:val="22"/>
        </w:rPr>
        <w:tab/>
      </w:r>
      <w:r>
        <w:rPr>
          <w:i/>
          <w:sz w:val="22"/>
          <w:szCs w:val="22"/>
        </w:rPr>
        <w:tab/>
      </w:r>
      <w:r>
        <w:rPr>
          <w:sz w:val="22"/>
          <w:szCs w:val="22"/>
        </w:rPr>
        <w:t>raumenų silpnumas.</w:t>
      </w:r>
    </w:p>
    <w:p w:rsidR="00973B0B" w:rsidRPr="00EA7F30" w:rsidRDefault="00973B0B" w:rsidP="007546D4">
      <w:pPr>
        <w:tabs>
          <w:tab w:val="left" w:pos="567"/>
        </w:tabs>
        <w:rPr>
          <w:sz w:val="22"/>
          <w:szCs w:val="22"/>
        </w:rPr>
      </w:pPr>
      <w:r>
        <w:rPr>
          <w:i/>
          <w:sz w:val="22"/>
          <w:szCs w:val="22"/>
        </w:rPr>
        <w:t>Labai reti:</w:t>
      </w:r>
      <w:r>
        <w:rPr>
          <w:i/>
          <w:sz w:val="22"/>
          <w:szCs w:val="22"/>
        </w:rPr>
        <w:tab/>
      </w:r>
      <w:r>
        <w:rPr>
          <w:sz w:val="22"/>
          <w:szCs w:val="22"/>
        </w:rPr>
        <w:t>sąnarių ir raumenų skausmas, mėšlungis.</w:t>
      </w:r>
    </w:p>
    <w:p w:rsidR="00973B0B" w:rsidRPr="00EA7F30" w:rsidRDefault="00973B0B" w:rsidP="007546D4">
      <w:pPr>
        <w:pStyle w:val="Antrat1"/>
        <w:tabs>
          <w:tab w:val="left" w:pos="567"/>
        </w:tabs>
        <w:spacing w:before="0" w:after="0"/>
        <w:rPr>
          <w:rFonts w:ascii="Times New Roman" w:hAnsi="Times New Roman"/>
          <w:sz w:val="22"/>
          <w:szCs w:val="22"/>
        </w:rPr>
      </w:pPr>
    </w:p>
    <w:p w:rsidR="00973B0B" w:rsidRPr="00EA7F30" w:rsidRDefault="00973B0B" w:rsidP="007546D4">
      <w:pPr>
        <w:rPr>
          <w:sz w:val="22"/>
          <w:szCs w:val="22"/>
        </w:rPr>
      </w:pPr>
      <w:r>
        <w:rPr>
          <w:sz w:val="22"/>
          <w:szCs w:val="22"/>
        </w:rPr>
        <w:t>Buvo pranešimų apie sumažėjusį kaulų tankį, osteopeniją, osteoporozę ir lūžius pacientams, ilga laiką gydytiems karbamazepinu. Mechanizmas, kaip karbamazepinas veikia kaulų metabolizmą, nėra aiškus.</w:t>
      </w:r>
    </w:p>
    <w:p w:rsidR="00973B0B" w:rsidRPr="00EA7F30" w:rsidRDefault="00973B0B" w:rsidP="007546D4">
      <w:pPr>
        <w:rPr>
          <w:sz w:val="22"/>
          <w:szCs w:val="22"/>
        </w:rPr>
      </w:pPr>
    </w:p>
    <w:p w:rsidR="00973B0B" w:rsidRPr="00EA7F30" w:rsidRDefault="00973B0B" w:rsidP="007546D4">
      <w:pPr>
        <w:pStyle w:val="Antrat1"/>
        <w:tabs>
          <w:tab w:val="left" w:pos="567"/>
        </w:tabs>
        <w:spacing w:before="0" w:after="0"/>
        <w:rPr>
          <w:rFonts w:ascii="Times New Roman" w:hAnsi="Times New Roman"/>
          <w:b w:val="0"/>
          <w:sz w:val="22"/>
          <w:szCs w:val="22"/>
          <w:u w:val="single"/>
        </w:rPr>
      </w:pPr>
      <w:r>
        <w:rPr>
          <w:rFonts w:ascii="Times New Roman" w:hAnsi="Times New Roman"/>
          <w:b w:val="0"/>
          <w:sz w:val="22"/>
          <w:szCs w:val="22"/>
          <w:u w:val="single"/>
        </w:rPr>
        <w:t>Inkstų ir šlapimo takų sutrikimai</w:t>
      </w:r>
    </w:p>
    <w:p w:rsidR="00973B0B" w:rsidRPr="00EA7F30" w:rsidRDefault="00973B0B" w:rsidP="007546D4">
      <w:pPr>
        <w:tabs>
          <w:tab w:val="left" w:pos="567"/>
        </w:tabs>
        <w:ind w:left="1440" w:hanging="1440"/>
        <w:rPr>
          <w:sz w:val="22"/>
          <w:szCs w:val="22"/>
        </w:rPr>
      </w:pPr>
      <w:r>
        <w:rPr>
          <w:i/>
          <w:sz w:val="22"/>
          <w:szCs w:val="22"/>
        </w:rPr>
        <w:t>Labai reti:</w:t>
      </w:r>
      <w:r>
        <w:rPr>
          <w:sz w:val="22"/>
          <w:szCs w:val="22"/>
        </w:rPr>
        <w:tab/>
        <w:t xml:space="preserve">intersticinis nefritas, inkstų veiklos nepakankamumas (pvz., albuminurija, hematurija, oligurija, padidėja šlapalo azoto kiekis kraujyje/azotemija), padažnėja šlapinimasis, susilaiko šlapimas. </w:t>
      </w:r>
    </w:p>
    <w:p w:rsidR="00973B0B" w:rsidRPr="00EA7F30" w:rsidRDefault="00973B0B" w:rsidP="007546D4">
      <w:pPr>
        <w:pStyle w:val="Antrat1"/>
        <w:tabs>
          <w:tab w:val="left" w:pos="567"/>
        </w:tabs>
        <w:spacing w:before="0" w:after="0"/>
        <w:rPr>
          <w:rFonts w:ascii="Times New Roman" w:hAnsi="Times New Roman"/>
          <w:sz w:val="22"/>
          <w:szCs w:val="22"/>
        </w:rPr>
      </w:pPr>
    </w:p>
    <w:p w:rsidR="00973B0B" w:rsidRPr="00EA7F30" w:rsidRDefault="00973B0B" w:rsidP="007546D4">
      <w:pPr>
        <w:tabs>
          <w:tab w:val="left" w:pos="567"/>
        </w:tabs>
        <w:rPr>
          <w:sz w:val="22"/>
          <w:szCs w:val="22"/>
          <w:u w:val="single"/>
        </w:rPr>
      </w:pPr>
      <w:r>
        <w:rPr>
          <w:sz w:val="22"/>
          <w:szCs w:val="22"/>
          <w:u w:val="single"/>
        </w:rPr>
        <w:t>Lytinės sistemos ir krūties sutrikimai</w:t>
      </w:r>
    </w:p>
    <w:p w:rsidR="00973B0B" w:rsidRPr="00EA7F30" w:rsidRDefault="00973B0B" w:rsidP="007546D4">
      <w:pPr>
        <w:tabs>
          <w:tab w:val="left" w:pos="567"/>
        </w:tabs>
        <w:ind w:left="1440" w:hanging="1440"/>
        <w:rPr>
          <w:sz w:val="22"/>
          <w:szCs w:val="22"/>
        </w:rPr>
      </w:pPr>
      <w:r>
        <w:rPr>
          <w:i/>
          <w:sz w:val="22"/>
          <w:szCs w:val="22"/>
        </w:rPr>
        <w:t>Labai reti:</w:t>
      </w:r>
      <w:r>
        <w:rPr>
          <w:sz w:val="22"/>
          <w:szCs w:val="22"/>
        </w:rPr>
        <w:tab/>
        <w:t>sutrinka lytinė funkcija, pasireiškia impotencija, nenormali spermatogenezė (su sumažėjusiu spermatozoidų kiekiu ir/arba judrumu).</w:t>
      </w:r>
    </w:p>
    <w:p w:rsidR="00973B0B" w:rsidRDefault="00973B0B" w:rsidP="007546D4">
      <w:pPr>
        <w:autoSpaceDE w:val="0"/>
        <w:autoSpaceDN w:val="0"/>
        <w:adjustRightInd w:val="0"/>
        <w:jc w:val="both"/>
        <w:rPr>
          <w:noProof/>
          <w:sz w:val="22"/>
          <w:szCs w:val="22"/>
          <w:u w:val="single"/>
        </w:rPr>
      </w:pPr>
    </w:p>
    <w:p w:rsidR="005F69BD" w:rsidRPr="0067622C" w:rsidRDefault="005F69BD" w:rsidP="007546D4">
      <w:pPr>
        <w:autoSpaceDE w:val="0"/>
        <w:autoSpaceDN w:val="0"/>
        <w:adjustRightInd w:val="0"/>
        <w:jc w:val="both"/>
        <w:rPr>
          <w:noProof/>
          <w:sz w:val="22"/>
          <w:szCs w:val="22"/>
          <w:u w:val="single"/>
        </w:rPr>
      </w:pPr>
      <w:r w:rsidRPr="0067622C">
        <w:rPr>
          <w:rFonts w:eastAsia="Times New Roman"/>
          <w:sz w:val="22"/>
          <w:szCs w:val="22"/>
          <w:u w:val="single"/>
        </w:rPr>
        <w:t>Sužalojimai, apsinuodijimai ir procedūrų komplikacijos</w:t>
      </w:r>
    </w:p>
    <w:p w:rsidR="005F69BD" w:rsidRPr="005F69BD" w:rsidRDefault="005F69BD" w:rsidP="005F69BD">
      <w:pPr>
        <w:autoSpaceDE w:val="0"/>
        <w:autoSpaceDN w:val="0"/>
        <w:adjustRightInd w:val="0"/>
        <w:jc w:val="both"/>
        <w:rPr>
          <w:noProof/>
          <w:sz w:val="22"/>
          <w:szCs w:val="22"/>
          <w:u w:val="single"/>
        </w:rPr>
      </w:pPr>
      <w:r w:rsidRPr="0067622C">
        <w:rPr>
          <w:i/>
          <w:noProof/>
          <w:sz w:val="22"/>
          <w:szCs w:val="22"/>
        </w:rPr>
        <w:t>Nežinomas:</w:t>
      </w:r>
      <w:r w:rsidRPr="0067622C">
        <w:rPr>
          <w:noProof/>
          <w:sz w:val="22"/>
          <w:szCs w:val="22"/>
        </w:rPr>
        <w:t xml:space="preserve"> </w:t>
      </w:r>
      <w:r w:rsidRPr="005F69BD">
        <w:rPr>
          <w:rFonts w:eastAsia="Times New Roman"/>
          <w:sz w:val="22"/>
          <w:szCs w:val="22"/>
        </w:rPr>
        <w:t xml:space="preserve">Kritimas (susijęs su gydymo </w:t>
      </w:r>
      <w:r>
        <w:rPr>
          <w:rFonts w:eastAsia="Times New Roman"/>
          <w:sz w:val="22"/>
          <w:szCs w:val="22"/>
        </w:rPr>
        <w:t>karbamazepinu</w:t>
      </w:r>
      <w:r w:rsidRPr="005F69BD">
        <w:rPr>
          <w:rFonts w:eastAsia="Times New Roman"/>
          <w:sz w:val="22"/>
          <w:szCs w:val="22"/>
        </w:rPr>
        <w:t xml:space="preserve"> sukelta ataksija, galvos svaigimu, mieguistumu, hipotenzija, sumišimu, sedacija)</w:t>
      </w:r>
      <w:r>
        <w:rPr>
          <w:rFonts w:eastAsia="Times New Roman"/>
          <w:sz w:val="22"/>
          <w:szCs w:val="22"/>
        </w:rPr>
        <w:t>.</w:t>
      </w:r>
    </w:p>
    <w:p w:rsidR="005F69BD" w:rsidRPr="005F69BD" w:rsidRDefault="005F69BD" w:rsidP="007546D4">
      <w:pPr>
        <w:autoSpaceDE w:val="0"/>
        <w:autoSpaceDN w:val="0"/>
        <w:adjustRightInd w:val="0"/>
        <w:jc w:val="both"/>
        <w:rPr>
          <w:noProof/>
          <w:sz w:val="22"/>
          <w:szCs w:val="22"/>
          <w:u w:val="single"/>
        </w:rPr>
      </w:pPr>
    </w:p>
    <w:p w:rsidR="00973B0B" w:rsidRPr="00EA7F30" w:rsidRDefault="00973B0B" w:rsidP="007546D4">
      <w:pPr>
        <w:autoSpaceDE w:val="0"/>
        <w:autoSpaceDN w:val="0"/>
        <w:adjustRightInd w:val="0"/>
        <w:jc w:val="both"/>
        <w:rPr>
          <w:sz w:val="22"/>
          <w:szCs w:val="22"/>
          <w:u w:val="single"/>
        </w:rPr>
      </w:pPr>
      <w:r w:rsidRPr="00EA7F30">
        <w:rPr>
          <w:noProof/>
          <w:sz w:val="22"/>
          <w:szCs w:val="22"/>
          <w:u w:val="single"/>
        </w:rPr>
        <w:t>Pranešimas apie įtariamas nepageidaujamas reakcijas</w:t>
      </w:r>
    </w:p>
    <w:p w:rsidR="00C52322" w:rsidRPr="008754CE" w:rsidRDefault="00C52322" w:rsidP="007F7D76">
      <w:pPr>
        <w:pStyle w:val="BTEMEASMCA"/>
      </w:pPr>
      <w:r w:rsidRPr="008754CE">
        <w:t xml:space="preserve">Svarbu pranešti apie įtariamas nepageidaujamas reakcijas, pastebėtas po vaistinio preparato </w:t>
      </w:r>
      <w:r w:rsidRPr="008754CE">
        <w:rPr>
          <w:noProof/>
          <w:szCs w:val="22"/>
        </w:rPr>
        <w:t>registracijos</w:t>
      </w:r>
      <w:r w:rsidRPr="008754CE">
        <w:t xml:space="preserve">, nes tai leidžia nuolat stebėti vaistinio preparato naudos ir rizikos santykį. </w:t>
      </w:r>
      <w:r w:rsidR="003068E9" w:rsidRPr="007F7D76">
        <w:rPr>
          <w:szCs w:val="24"/>
        </w:rPr>
        <w:t xml:space="preserve">Sveikatos priežiūros ar farmacijos specialistai turi pranešti apie bet kokias įtariamas nepageidaujamas reakcijas, tiesiogiai užpildę pranešimo formą internetu Tarnybos Vaistinių preparatų informacinėje sistemoje </w:t>
      </w:r>
      <w:r w:rsidR="003068E9" w:rsidRPr="007F7D76">
        <w:rPr>
          <w:color w:val="0000FF"/>
          <w:szCs w:val="24"/>
          <w:u w:val="single"/>
        </w:rPr>
        <w:t>https://vapris.vvkt.lt/vvkt-web/public/nrvSpecialist</w:t>
      </w:r>
      <w:r w:rsidR="003068E9" w:rsidRPr="007F7D76">
        <w:rPr>
          <w:szCs w:val="24"/>
        </w:rPr>
        <w:t xml:space="preserve"> arba užpildę Sveikatos priežiūros ar farmacijos specialisto pranešimo apie įtariamą nepageidaujamą reakciją (ĮNR) formą, kuri skelbiama </w:t>
      </w:r>
      <w:r w:rsidR="003068E9" w:rsidRPr="007F7D76">
        <w:rPr>
          <w:color w:val="0000FF"/>
          <w:szCs w:val="24"/>
          <w:u w:val="single"/>
        </w:rPr>
        <w:t>https://www.vvkt.lt/index.php?1399030386</w:t>
      </w:r>
      <w:r w:rsidR="003068E9" w:rsidRPr="007F7D76">
        <w:rPr>
          <w:szCs w:val="24"/>
        </w:rPr>
        <w:t>, ir atsiųsti elektroniniu paštu (adresu NepageidaujamaR@vvkt.lt)</w:t>
      </w:r>
      <w:r w:rsidR="003068E9">
        <w:rPr>
          <w:szCs w:val="24"/>
        </w:rPr>
        <w:t>.</w:t>
      </w:r>
    </w:p>
    <w:p w:rsidR="00973B0B" w:rsidRPr="00EA7F30" w:rsidRDefault="00973B0B" w:rsidP="007F7D76">
      <w:pPr>
        <w:pStyle w:val="BTEMEASMCA"/>
      </w:pPr>
    </w:p>
    <w:p w:rsidR="00973B0B" w:rsidRPr="00EA7F30" w:rsidRDefault="00973B0B" w:rsidP="008F211F">
      <w:pPr>
        <w:pStyle w:val="PI-2EMEASMCA"/>
      </w:pPr>
      <w:bookmarkStart w:id="30" w:name="_Toc129243110"/>
      <w:bookmarkStart w:id="31" w:name="_Toc129243235"/>
      <w:r w:rsidRPr="001B0AB9">
        <w:t>4.9</w:t>
      </w:r>
      <w:r w:rsidRPr="0040296C">
        <w:tab/>
      </w:r>
      <w:r w:rsidRPr="001B0AB9">
        <w:t>Perdozavimas</w:t>
      </w:r>
      <w:bookmarkEnd w:id="30"/>
      <w:bookmarkEnd w:id="31"/>
    </w:p>
    <w:p w:rsidR="00973B0B" w:rsidRPr="00EA7F30" w:rsidRDefault="00973B0B" w:rsidP="007F7D76">
      <w:pPr>
        <w:pStyle w:val="BTEMEASMCA"/>
      </w:pPr>
    </w:p>
    <w:p w:rsidR="00973B0B" w:rsidRPr="00EA7F30" w:rsidRDefault="00973B0B" w:rsidP="007546D4">
      <w:pPr>
        <w:pStyle w:val="Antrat1"/>
        <w:tabs>
          <w:tab w:val="left" w:pos="567"/>
        </w:tabs>
        <w:spacing w:before="0" w:after="0"/>
        <w:rPr>
          <w:rFonts w:ascii="Times New Roman" w:hAnsi="Times New Roman"/>
          <w:b w:val="0"/>
          <w:sz w:val="22"/>
          <w:szCs w:val="22"/>
          <w:u w:val="single"/>
        </w:rPr>
      </w:pPr>
      <w:r w:rsidRPr="001B0AB9">
        <w:rPr>
          <w:rFonts w:ascii="Times New Roman" w:hAnsi="Times New Roman"/>
          <w:b w:val="0"/>
          <w:sz w:val="22"/>
          <w:szCs w:val="22"/>
          <w:u w:val="single"/>
        </w:rPr>
        <w:t>Požymiai ir simptomai</w:t>
      </w:r>
    </w:p>
    <w:p w:rsidR="00973B0B" w:rsidRPr="00EA7F30" w:rsidRDefault="00973B0B" w:rsidP="007546D4">
      <w:pPr>
        <w:tabs>
          <w:tab w:val="left" w:pos="567"/>
        </w:tabs>
        <w:rPr>
          <w:sz w:val="22"/>
          <w:szCs w:val="22"/>
        </w:rPr>
      </w:pPr>
      <w:r w:rsidRPr="001B0AB9">
        <w:rPr>
          <w:sz w:val="22"/>
          <w:szCs w:val="22"/>
        </w:rPr>
        <w:t>Perdozavus karbamazepino paprastai atsiranda centrinės nervų, širdies ir kraujagyslių bei kvėpavimo sistemos pažeidimo požymių ir simptomų.</w:t>
      </w:r>
    </w:p>
    <w:p w:rsidR="00973B0B" w:rsidRPr="00EA7F30" w:rsidRDefault="00973B0B" w:rsidP="007546D4">
      <w:pPr>
        <w:pStyle w:val="Antrat2"/>
        <w:tabs>
          <w:tab w:val="left" w:pos="567"/>
        </w:tabs>
        <w:rPr>
          <w:rFonts w:ascii="Times New Roman" w:hAnsi="Times New Roman"/>
          <w:b w:val="0"/>
          <w:iCs/>
          <w:sz w:val="22"/>
          <w:szCs w:val="22"/>
        </w:rPr>
      </w:pPr>
      <w:r w:rsidRPr="001B0AB9">
        <w:rPr>
          <w:rFonts w:ascii="Times New Roman" w:hAnsi="Times New Roman"/>
          <w:b w:val="0"/>
          <w:sz w:val="22"/>
          <w:szCs w:val="22"/>
        </w:rPr>
        <w:t>Centrinė nervų sistema</w:t>
      </w:r>
    </w:p>
    <w:p w:rsidR="00973B0B" w:rsidRPr="00EA7F30" w:rsidRDefault="00973B0B" w:rsidP="007546D4">
      <w:pPr>
        <w:tabs>
          <w:tab w:val="left" w:pos="567"/>
        </w:tabs>
        <w:rPr>
          <w:sz w:val="22"/>
          <w:szCs w:val="22"/>
        </w:rPr>
      </w:pPr>
      <w:r w:rsidRPr="001B0AB9">
        <w:rPr>
          <w:sz w:val="22"/>
          <w:szCs w:val="22"/>
        </w:rPr>
        <w:t xml:space="preserve">Centrinės nervų sistemos slopinimas, dezorientacija, patologinis mieguistumas, sujaudinimas, haliucinacijos, koma, matomas vaizdas būna neaiškus, neaiški kalba, dizartrija, nistagmas, ataksija, </w:t>
      </w:r>
      <w:r w:rsidRPr="001B0AB9">
        <w:rPr>
          <w:sz w:val="22"/>
          <w:szCs w:val="22"/>
        </w:rPr>
        <w:lastRenderedPageBreak/>
        <w:t xml:space="preserve">diskinezija, iš pradžių hiperrefleksija, vėliau hiporefleksija, traukuliai, psichomotorinis sutrikimas, mioklonija, hipotermija, midriazė. </w:t>
      </w:r>
    </w:p>
    <w:p w:rsidR="00973B0B" w:rsidRPr="00EA7F30" w:rsidRDefault="00973B0B" w:rsidP="007546D4">
      <w:pPr>
        <w:tabs>
          <w:tab w:val="left" w:pos="567"/>
        </w:tabs>
        <w:rPr>
          <w:i/>
          <w:sz w:val="22"/>
          <w:szCs w:val="22"/>
        </w:rPr>
      </w:pPr>
    </w:p>
    <w:p w:rsidR="00973B0B" w:rsidRPr="00EA7F30" w:rsidRDefault="00973B0B" w:rsidP="007546D4">
      <w:pPr>
        <w:tabs>
          <w:tab w:val="left" w:pos="567"/>
        </w:tabs>
        <w:rPr>
          <w:i/>
          <w:sz w:val="22"/>
          <w:szCs w:val="22"/>
        </w:rPr>
      </w:pPr>
      <w:r w:rsidRPr="001B0AB9">
        <w:rPr>
          <w:i/>
          <w:sz w:val="22"/>
          <w:szCs w:val="22"/>
        </w:rPr>
        <w:t>Kvėpavimo sistema</w:t>
      </w:r>
    </w:p>
    <w:p w:rsidR="00973B0B" w:rsidRPr="00EA7F30" w:rsidRDefault="00973B0B" w:rsidP="007546D4">
      <w:pPr>
        <w:tabs>
          <w:tab w:val="left" w:pos="567"/>
        </w:tabs>
        <w:rPr>
          <w:sz w:val="22"/>
          <w:szCs w:val="22"/>
        </w:rPr>
      </w:pPr>
      <w:r w:rsidRPr="001B0AB9">
        <w:rPr>
          <w:sz w:val="22"/>
          <w:szCs w:val="22"/>
        </w:rPr>
        <w:t>Kvėpavimo slopinimas, plaučių edema.</w:t>
      </w:r>
    </w:p>
    <w:p w:rsidR="00973B0B" w:rsidRPr="00EA7F30" w:rsidRDefault="00973B0B" w:rsidP="007546D4">
      <w:pPr>
        <w:tabs>
          <w:tab w:val="left" w:pos="567"/>
        </w:tabs>
        <w:rPr>
          <w:i/>
          <w:sz w:val="22"/>
          <w:szCs w:val="22"/>
        </w:rPr>
      </w:pPr>
    </w:p>
    <w:p w:rsidR="00973B0B" w:rsidRPr="00EA7F30" w:rsidRDefault="00973B0B" w:rsidP="007546D4">
      <w:pPr>
        <w:tabs>
          <w:tab w:val="left" w:pos="567"/>
        </w:tabs>
        <w:rPr>
          <w:i/>
          <w:sz w:val="22"/>
          <w:szCs w:val="22"/>
        </w:rPr>
      </w:pPr>
      <w:r w:rsidRPr="001B0AB9">
        <w:rPr>
          <w:i/>
          <w:sz w:val="22"/>
          <w:szCs w:val="22"/>
        </w:rPr>
        <w:t>Širdies ir kraujagyslių sistema</w:t>
      </w:r>
    </w:p>
    <w:p w:rsidR="00973B0B" w:rsidRPr="00EA7F30" w:rsidRDefault="00973B0B" w:rsidP="007546D4">
      <w:pPr>
        <w:tabs>
          <w:tab w:val="left" w:pos="567"/>
        </w:tabs>
        <w:rPr>
          <w:sz w:val="22"/>
          <w:szCs w:val="22"/>
        </w:rPr>
      </w:pPr>
      <w:r w:rsidRPr="001B0AB9">
        <w:rPr>
          <w:sz w:val="22"/>
          <w:szCs w:val="22"/>
        </w:rPr>
        <w:t xml:space="preserve">Tachikardija, hipotenzija, kartais hipertenzija, širdies laidumo sutrikimas ir kartu QRS komplekso išsiplėtimas, dėl širdies sustojimo staigus sąmonės praradimas. </w:t>
      </w:r>
    </w:p>
    <w:p w:rsidR="00973B0B" w:rsidRPr="00EA7F30" w:rsidRDefault="00973B0B" w:rsidP="007546D4">
      <w:pPr>
        <w:tabs>
          <w:tab w:val="left" w:pos="567"/>
        </w:tabs>
        <w:rPr>
          <w:i/>
          <w:sz w:val="22"/>
          <w:szCs w:val="22"/>
        </w:rPr>
      </w:pPr>
    </w:p>
    <w:p w:rsidR="00973B0B" w:rsidRPr="00EA7F30" w:rsidRDefault="00973B0B" w:rsidP="007546D4">
      <w:pPr>
        <w:tabs>
          <w:tab w:val="left" w:pos="567"/>
        </w:tabs>
        <w:rPr>
          <w:i/>
          <w:sz w:val="22"/>
          <w:szCs w:val="22"/>
        </w:rPr>
      </w:pPr>
      <w:r w:rsidRPr="001B0AB9">
        <w:rPr>
          <w:i/>
          <w:sz w:val="22"/>
          <w:szCs w:val="22"/>
        </w:rPr>
        <w:t>Virškinimo sistema</w:t>
      </w:r>
    </w:p>
    <w:p w:rsidR="00973B0B" w:rsidRPr="00EA7F30" w:rsidRDefault="00973B0B" w:rsidP="007546D4">
      <w:pPr>
        <w:tabs>
          <w:tab w:val="left" w:pos="567"/>
        </w:tabs>
        <w:rPr>
          <w:sz w:val="22"/>
          <w:szCs w:val="22"/>
        </w:rPr>
      </w:pPr>
      <w:r w:rsidRPr="001B0AB9">
        <w:rPr>
          <w:sz w:val="22"/>
          <w:szCs w:val="22"/>
        </w:rPr>
        <w:t xml:space="preserve">Vėmimas, sulėtėjęs skrandžio išsituštinimas, sulėtėjusi žarnų peristaltika. </w:t>
      </w:r>
    </w:p>
    <w:p w:rsidR="00973B0B" w:rsidRPr="00EA7F30" w:rsidRDefault="00973B0B" w:rsidP="007546D4">
      <w:pPr>
        <w:tabs>
          <w:tab w:val="left" w:pos="567"/>
        </w:tabs>
        <w:rPr>
          <w:i/>
          <w:sz w:val="22"/>
          <w:szCs w:val="22"/>
        </w:rPr>
      </w:pPr>
    </w:p>
    <w:p w:rsidR="00973B0B" w:rsidRPr="00EA7F30" w:rsidRDefault="00973B0B" w:rsidP="007546D4">
      <w:pPr>
        <w:tabs>
          <w:tab w:val="left" w:pos="567"/>
        </w:tabs>
        <w:rPr>
          <w:i/>
          <w:sz w:val="22"/>
          <w:szCs w:val="22"/>
        </w:rPr>
      </w:pPr>
      <w:r w:rsidRPr="001B0AB9">
        <w:rPr>
          <w:i/>
          <w:sz w:val="22"/>
          <w:szCs w:val="22"/>
        </w:rPr>
        <w:t>Inkstų veikla</w:t>
      </w:r>
    </w:p>
    <w:p w:rsidR="00973B0B" w:rsidRPr="00EA7F30" w:rsidRDefault="00973B0B" w:rsidP="007546D4">
      <w:pPr>
        <w:tabs>
          <w:tab w:val="left" w:pos="567"/>
        </w:tabs>
        <w:rPr>
          <w:sz w:val="22"/>
          <w:szCs w:val="22"/>
        </w:rPr>
      </w:pPr>
      <w:r w:rsidRPr="001B0AB9">
        <w:rPr>
          <w:sz w:val="22"/>
          <w:szCs w:val="22"/>
        </w:rPr>
        <w:t xml:space="preserve">Šlapimo ir skysčių susilaikymas, oligurija ar anurija, intoksikacija vandeniu dėl karbamazepino poveikio, panašaus į ADH poveikį. </w:t>
      </w:r>
    </w:p>
    <w:p w:rsidR="00973B0B" w:rsidRPr="00EA7F30" w:rsidRDefault="00973B0B" w:rsidP="007546D4">
      <w:pPr>
        <w:tabs>
          <w:tab w:val="left" w:pos="567"/>
        </w:tabs>
        <w:rPr>
          <w:i/>
          <w:sz w:val="22"/>
          <w:szCs w:val="22"/>
        </w:rPr>
      </w:pPr>
    </w:p>
    <w:p w:rsidR="00973B0B" w:rsidRPr="00EA7F30" w:rsidRDefault="00973B0B" w:rsidP="007546D4">
      <w:pPr>
        <w:tabs>
          <w:tab w:val="left" w:pos="567"/>
        </w:tabs>
        <w:rPr>
          <w:i/>
          <w:sz w:val="22"/>
          <w:szCs w:val="22"/>
        </w:rPr>
      </w:pPr>
      <w:r w:rsidRPr="001B0AB9">
        <w:rPr>
          <w:i/>
          <w:sz w:val="22"/>
          <w:szCs w:val="22"/>
        </w:rPr>
        <w:t>Laboratorinių tyrimų rodmenys</w:t>
      </w:r>
    </w:p>
    <w:p w:rsidR="00973B0B" w:rsidRPr="00EA7F30" w:rsidRDefault="00973B0B" w:rsidP="007546D4">
      <w:pPr>
        <w:tabs>
          <w:tab w:val="left" w:pos="567"/>
        </w:tabs>
        <w:rPr>
          <w:sz w:val="22"/>
          <w:szCs w:val="22"/>
        </w:rPr>
      </w:pPr>
      <w:r w:rsidRPr="001B0AB9">
        <w:rPr>
          <w:sz w:val="22"/>
          <w:szCs w:val="22"/>
        </w:rPr>
        <w:t>Hiponatremija, galima metabolinė acidozė, galima hiperglikemija, raumenų kreatinfosfokinazės aktyvumo padidėjimas.</w:t>
      </w:r>
    </w:p>
    <w:p w:rsidR="00973B0B" w:rsidRPr="00EA7F30" w:rsidRDefault="00973B0B" w:rsidP="007546D4">
      <w:pPr>
        <w:pStyle w:val="Antrat1"/>
        <w:tabs>
          <w:tab w:val="left" w:pos="567"/>
        </w:tabs>
        <w:spacing w:before="0" w:after="0"/>
        <w:rPr>
          <w:rFonts w:ascii="Times New Roman" w:hAnsi="Times New Roman"/>
          <w:sz w:val="22"/>
          <w:szCs w:val="22"/>
        </w:rPr>
      </w:pPr>
    </w:p>
    <w:p w:rsidR="00973B0B" w:rsidRPr="00EA7F30" w:rsidRDefault="00973B0B" w:rsidP="007546D4">
      <w:pPr>
        <w:pStyle w:val="Antrat1"/>
        <w:tabs>
          <w:tab w:val="left" w:pos="567"/>
        </w:tabs>
        <w:spacing w:before="0" w:after="0"/>
        <w:rPr>
          <w:rFonts w:ascii="Times New Roman" w:hAnsi="Times New Roman"/>
          <w:b w:val="0"/>
          <w:sz w:val="22"/>
          <w:szCs w:val="22"/>
          <w:u w:val="single"/>
        </w:rPr>
      </w:pPr>
      <w:r w:rsidRPr="001B0AB9">
        <w:rPr>
          <w:rFonts w:ascii="Times New Roman" w:hAnsi="Times New Roman"/>
          <w:b w:val="0"/>
          <w:sz w:val="22"/>
          <w:szCs w:val="22"/>
          <w:u w:val="single"/>
        </w:rPr>
        <w:t>Pagalba</w:t>
      </w:r>
    </w:p>
    <w:p w:rsidR="00973B0B" w:rsidRPr="00EA7F30" w:rsidRDefault="00973B0B" w:rsidP="007546D4">
      <w:pPr>
        <w:tabs>
          <w:tab w:val="left" w:pos="567"/>
        </w:tabs>
        <w:rPr>
          <w:sz w:val="22"/>
          <w:szCs w:val="22"/>
        </w:rPr>
      </w:pPr>
      <w:r w:rsidRPr="001B0AB9">
        <w:rPr>
          <w:sz w:val="22"/>
          <w:szCs w:val="22"/>
        </w:rPr>
        <w:t>Specifinio priešnuodžio nėra.</w:t>
      </w:r>
    </w:p>
    <w:p w:rsidR="00973B0B" w:rsidRPr="001B0AB9" w:rsidRDefault="00973B0B" w:rsidP="007546D4">
      <w:pPr>
        <w:pStyle w:val="Pagrindinistekstas"/>
        <w:tabs>
          <w:tab w:val="left" w:pos="567"/>
        </w:tabs>
        <w:spacing w:after="0"/>
        <w:rPr>
          <w:sz w:val="22"/>
          <w:szCs w:val="22"/>
        </w:rPr>
      </w:pPr>
    </w:p>
    <w:p w:rsidR="00973B0B" w:rsidRPr="001B0AB9" w:rsidRDefault="00973B0B" w:rsidP="007546D4">
      <w:pPr>
        <w:pStyle w:val="Pagrindinistekstas"/>
        <w:tabs>
          <w:tab w:val="left" w:pos="567"/>
        </w:tabs>
        <w:spacing w:after="0"/>
        <w:rPr>
          <w:sz w:val="22"/>
          <w:szCs w:val="22"/>
        </w:rPr>
      </w:pPr>
      <w:r w:rsidRPr="001B0AB9">
        <w:rPr>
          <w:sz w:val="22"/>
          <w:szCs w:val="22"/>
        </w:rPr>
        <w:t xml:space="preserve">Pagalba pirmiausiai priklauso nuo klinikinės hospitalizuoto ligonio būklės. Reikia nustatyti vaistinio preparato koncentraciją kraujo plazmoje, t. y. įsitikinti, kad pacientas apsinuodijo karbamazepinu ir įvertinti apsinuodijimo sunkumą. </w:t>
      </w:r>
    </w:p>
    <w:p w:rsidR="00973B0B" w:rsidRPr="00EA7F30" w:rsidRDefault="00973B0B" w:rsidP="007546D4">
      <w:pPr>
        <w:tabs>
          <w:tab w:val="left" w:pos="567"/>
        </w:tabs>
        <w:rPr>
          <w:sz w:val="22"/>
          <w:szCs w:val="22"/>
        </w:rPr>
      </w:pPr>
    </w:p>
    <w:p w:rsidR="00973B0B" w:rsidRPr="00EA7F30" w:rsidRDefault="00973B0B" w:rsidP="007546D4">
      <w:pPr>
        <w:tabs>
          <w:tab w:val="left" w:pos="567"/>
        </w:tabs>
        <w:rPr>
          <w:sz w:val="22"/>
          <w:szCs w:val="22"/>
        </w:rPr>
      </w:pPr>
      <w:r w:rsidRPr="001B0AB9">
        <w:rPr>
          <w:sz w:val="22"/>
          <w:szCs w:val="22"/>
        </w:rPr>
        <w:t xml:space="preserve">Reikia sukelti vėmimą arba išplauti skrandį, duoti gerti aktyvuotos anglies. Dėl lėtesnio skrandžio išsituštinimo gali būti silpnesnė rezorbcija, o ligoniui sveikstant ji gali sustiprėti, todėl gali sunkėti apsinuodijimo simptomai. Pacientą reikia gydyti intensyviosios terapijos skyriuje, suteikti tinkamą medicinos pagalbą, nuolat stebėti širdies veiklą ir atidžiai sunormalinti elektrolitų kiekį. </w:t>
      </w:r>
    </w:p>
    <w:p w:rsidR="00973B0B" w:rsidRPr="00EA7F30" w:rsidRDefault="00973B0B" w:rsidP="007546D4">
      <w:pPr>
        <w:tabs>
          <w:tab w:val="left" w:pos="567"/>
        </w:tabs>
        <w:jc w:val="both"/>
        <w:rPr>
          <w:b/>
          <w:i/>
          <w:sz w:val="22"/>
          <w:szCs w:val="22"/>
        </w:rPr>
      </w:pPr>
    </w:p>
    <w:p w:rsidR="00973B0B" w:rsidRPr="00EA7F30" w:rsidRDefault="00973B0B" w:rsidP="007546D4">
      <w:pPr>
        <w:tabs>
          <w:tab w:val="left" w:pos="567"/>
        </w:tabs>
        <w:jc w:val="both"/>
        <w:rPr>
          <w:sz w:val="22"/>
          <w:szCs w:val="22"/>
          <w:u w:val="single"/>
        </w:rPr>
      </w:pPr>
      <w:r w:rsidRPr="001B0AB9">
        <w:rPr>
          <w:sz w:val="22"/>
          <w:szCs w:val="22"/>
          <w:u w:val="single"/>
        </w:rPr>
        <w:t xml:space="preserve">Specifinės rekomendacijos </w:t>
      </w:r>
    </w:p>
    <w:p w:rsidR="00973B0B" w:rsidRPr="00EA7F30" w:rsidRDefault="00973B0B" w:rsidP="007546D4">
      <w:pPr>
        <w:tabs>
          <w:tab w:val="left" w:pos="567"/>
        </w:tabs>
        <w:rPr>
          <w:sz w:val="22"/>
          <w:szCs w:val="22"/>
        </w:rPr>
      </w:pPr>
      <w:r w:rsidRPr="001B0AB9">
        <w:rPr>
          <w:sz w:val="22"/>
          <w:szCs w:val="22"/>
        </w:rPr>
        <w:t>Jeigu atsirado hipotenzija, į veną reikia injekuoti dopamino arba dobutamino.</w:t>
      </w:r>
    </w:p>
    <w:p w:rsidR="00973B0B" w:rsidRPr="00EA7F30" w:rsidRDefault="00973B0B" w:rsidP="007546D4">
      <w:pPr>
        <w:tabs>
          <w:tab w:val="left" w:pos="567"/>
        </w:tabs>
        <w:rPr>
          <w:sz w:val="22"/>
          <w:szCs w:val="22"/>
        </w:rPr>
      </w:pPr>
      <w:r w:rsidRPr="001B0AB9">
        <w:rPr>
          <w:sz w:val="22"/>
          <w:szCs w:val="22"/>
        </w:rPr>
        <w:t>Sutrikus širdies ritmui, gydymas individualus.</w:t>
      </w:r>
    </w:p>
    <w:p w:rsidR="00973B0B" w:rsidRPr="00EA7F30" w:rsidRDefault="00973B0B" w:rsidP="007546D4">
      <w:pPr>
        <w:tabs>
          <w:tab w:val="left" w:pos="567"/>
        </w:tabs>
        <w:rPr>
          <w:sz w:val="22"/>
          <w:szCs w:val="22"/>
        </w:rPr>
      </w:pPr>
      <w:r w:rsidRPr="001B0AB9">
        <w:rPr>
          <w:sz w:val="22"/>
          <w:szCs w:val="22"/>
        </w:rPr>
        <w:t xml:space="preserve">Traukulius reikia slopinti benzodiazepinų grupės vaistiniais preparatais, pvz., diazepamu, arba kitokiais vaistiniais preparatais nuo epilepsijos, pvz., fenobarbitonu (reikia nepamiršti, kad jie didina kvėpavimo slopinimą) ar paraldehidu. </w:t>
      </w:r>
    </w:p>
    <w:p w:rsidR="00973B0B" w:rsidRPr="00EA7F30" w:rsidRDefault="00973B0B" w:rsidP="007546D4">
      <w:pPr>
        <w:tabs>
          <w:tab w:val="left" w:pos="567"/>
        </w:tabs>
        <w:rPr>
          <w:sz w:val="22"/>
          <w:szCs w:val="22"/>
        </w:rPr>
      </w:pPr>
      <w:r w:rsidRPr="001B0AB9">
        <w:rPr>
          <w:sz w:val="22"/>
          <w:szCs w:val="22"/>
        </w:rPr>
        <w:t xml:space="preserve">Jei atsirado hiponatremija (intoksikacija vandeniu), reikia mažinti vartojamų skysčių kiekį, į veną lėtai ir atsargiai lašinti 0,9% natrio chlorido tirpalo. Tokios priemonės padeda apsaugoti nuo pažeidimo smegenis. </w:t>
      </w:r>
    </w:p>
    <w:p w:rsidR="00973B0B" w:rsidRPr="00EA7F30" w:rsidRDefault="00973B0B" w:rsidP="007546D4">
      <w:pPr>
        <w:tabs>
          <w:tab w:val="left" w:pos="567"/>
        </w:tabs>
        <w:rPr>
          <w:sz w:val="22"/>
          <w:szCs w:val="22"/>
        </w:rPr>
      </w:pPr>
      <w:r w:rsidRPr="001B0AB9">
        <w:rPr>
          <w:sz w:val="22"/>
          <w:szCs w:val="22"/>
        </w:rPr>
        <w:t xml:space="preserve">Rekomenduojama atlikti kraujo perpylimą vartojant aktyvuotos anglies. Pastebėta, kad intensyvi diurezė, kraujo dializė ir peritoninė dializė yra neveiksmingos. </w:t>
      </w:r>
    </w:p>
    <w:p w:rsidR="00973B0B" w:rsidRPr="00EA7F30" w:rsidRDefault="00973B0B" w:rsidP="007546D4">
      <w:pPr>
        <w:tabs>
          <w:tab w:val="left" w:pos="567"/>
        </w:tabs>
        <w:rPr>
          <w:sz w:val="22"/>
          <w:szCs w:val="22"/>
        </w:rPr>
      </w:pPr>
      <w:r w:rsidRPr="001B0AB9">
        <w:rPr>
          <w:sz w:val="22"/>
          <w:szCs w:val="22"/>
        </w:rPr>
        <w:t xml:space="preserve">Dėl sulėtėjusios rezorbcijos antrą ir trečią dieną po apsinuodijimo gali sustiprėti simptomai ir pablogėti klinikinė ligonio būklė. </w:t>
      </w:r>
    </w:p>
    <w:p w:rsidR="00CE1136" w:rsidRDefault="00CE1136" w:rsidP="007F7D76">
      <w:pPr>
        <w:pStyle w:val="BTEMEASMCA"/>
      </w:pPr>
    </w:p>
    <w:p w:rsidR="00CE1136" w:rsidRPr="00EA7F30" w:rsidRDefault="00CE1136" w:rsidP="007F7D76">
      <w:pPr>
        <w:pStyle w:val="BTEMEASMCA"/>
      </w:pPr>
    </w:p>
    <w:p w:rsidR="00973B0B" w:rsidRPr="00EA7F30" w:rsidRDefault="00973B0B" w:rsidP="008F211F">
      <w:pPr>
        <w:pStyle w:val="PI-1EMEASMCA"/>
      </w:pPr>
      <w:bookmarkStart w:id="32" w:name="_Toc129243111"/>
      <w:bookmarkStart w:id="33" w:name="_Toc129243236"/>
      <w:r w:rsidRPr="001B0AB9">
        <w:t>5.</w:t>
      </w:r>
      <w:r w:rsidRPr="0040296C">
        <w:tab/>
      </w:r>
      <w:r w:rsidRPr="001B0AB9">
        <w:t>FARMAKOLOGINĖS SAVYBĖS</w:t>
      </w:r>
      <w:bookmarkEnd w:id="32"/>
      <w:bookmarkEnd w:id="33"/>
    </w:p>
    <w:p w:rsidR="00973B0B" w:rsidRPr="00EA7F30" w:rsidRDefault="00973B0B" w:rsidP="007F7D76">
      <w:pPr>
        <w:pStyle w:val="BTEMEASMCA"/>
      </w:pPr>
    </w:p>
    <w:p w:rsidR="00973B0B" w:rsidRPr="00EA7F30" w:rsidRDefault="00973B0B" w:rsidP="008F211F">
      <w:pPr>
        <w:pStyle w:val="PI-2EMEASMCA"/>
      </w:pPr>
      <w:bookmarkStart w:id="34" w:name="_Toc129243112"/>
      <w:bookmarkStart w:id="35" w:name="_Toc129243237"/>
      <w:r w:rsidRPr="001B0AB9">
        <w:t>5.1</w:t>
      </w:r>
      <w:r w:rsidRPr="0040296C">
        <w:tab/>
      </w:r>
      <w:r w:rsidRPr="001B0AB9">
        <w:t>Farmakodinaminės savybės</w:t>
      </w:r>
      <w:bookmarkEnd w:id="34"/>
      <w:bookmarkEnd w:id="35"/>
    </w:p>
    <w:p w:rsidR="00973B0B" w:rsidRPr="00EA7F30" w:rsidRDefault="00973B0B" w:rsidP="007F7D76">
      <w:pPr>
        <w:pStyle w:val="BTEMEASMCA"/>
      </w:pPr>
    </w:p>
    <w:p w:rsidR="00973B0B" w:rsidRPr="00EA7F30" w:rsidRDefault="00973B0B" w:rsidP="007F7D76">
      <w:pPr>
        <w:pStyle w:val="BTEMEASMCA"/>
      </w:pPr>
      <w:r w:rsidRPr="001B0AB9">
        <w:t xml:space="preserve">Farmakoterapinė grupė </w:t>
      </w:r>
      <w:r w:rsidRPr="0040296C">
        <w:t>–</w:t>
      </w:r>
      <w:r w:rsidRPr="001B0AB9">
        <w:t xml:space="preserve">vaistiniai preparatai nuo epilepsijos, ATC kodas </w:t>
      </w:r>
      <w:r w:rsidRPr="0040296C">
        <w:t>–</w:t>
      </w:r>
      <w:r w:rsidRPr="001B0AB9">
        <w:t xml:space="preserve"> N03AF01.</w:t>
      </w:r>
    </w:p>
    <w:p w:rsidR="00973B0B" w:rsidRPr="00EA7F30" w:rsidRDefault="00973B0B" w:rsidP="007F7D76">
      <w:pPr>
        <w:pStyle w:val="BTEMEASMCA"/>
      </w:pPr>
    </w:p>
    <w:p w:rsidR="00973B0B" w:rsidRPr="001B0AB9" w:rsidRDefault="00973B0B" w:rsidP="00CA7C6B">
      <w:pPr>
        <w:pStyle w:val="Pagrindinistekstas"/>
        <w:spacing w:after="0"/>
        <w:rPr>
          <w:sz w:val="22"/>
          <w:szCs w:val="22"/>
        </w:rPr>
      </w:pPr>
      <w:r w:rsidRPr="001B0AB9">
        <w:rPr>
          <w:sz w:val="22"/>
          <w:szCs w:val="22"/>
        </w:rPr>
        <w:t xml:space="preserve">Karbamazepinas - tai dibenzoazepino darinys, turintis antiepilepsinių, neurotropinių ir psichotropinių savybių. Medžiaga chemiškai panaši į triciklius antidepresantus, o farmakologiškai - į fenitoiną. Karbamazepino veikimo mechanizmas ištirtas tik iš dalies. Panašiai kaip fenitoinas jis slopina impulsų </w:t>
      </w:r>
      <w:r w:rsidRPr="001B0AB9">
        <w:rPr>
          <w:sz w:val="22"/>
          <w:szCs w:val="22"/>
        </w:rPr>
        <w:lastRenderedPageBreak/>
        <w:t>perdavimą sinapsėse ir dėl to mažina traukulių iškrovų plitimą. Didesnė karbamazepino koncentracija silpnina potetaninį potencijavimą. Gydant trišakio nervo neuralgiją skausmas rimsta tikriausiai dėl to, kad trišakio nervo nugaros smegenų branduoliuose slopinamas impulso perdavimas.</w:t>
      </w:r>
    </w:p>
    <w:p w:rsidR="00973B0B" w:rsidRPr="00EA7F30" w:rsidRDefault="00973B0B" w:rsidP="007F7D76">
      <w:pPr>
        <w:pStyle w:val="BTEMEASMCA"/>
      </w:pPr>
    </w:p>
    <w:p w:rsidR="00973B0B" w:rsidRPr="00EA7F30" w:rsidRDefault="00973B0B" w:rsidP="008F211F">
      <w:pPr>
        <w:pStyle w:val="PI-2EMEASMCA"/>
      </w:pPr>
      <w:bookmarkStart w:id="36" w:name="_Toc129243113"/>
      <w:bookmarkStart w:id="37" w:name="_Toc129243238"/>
      <w:r w:rsidRPr="001B0AB9">
        <w:t>5.2</w:t>
      </w:r>
      <w:r w:rsidRPr="0040296C">
        <w:tab/>
      </w:r>
      <w:r w:rsidRPr="001B0AB9">
        <w:t>Farmakokinetinės savybės</w:t>
      </w:r>
      <w:bookmarkEnd w:id="36"/>
      <w:bookmarkEnd w:id="37"/>
    </w:p>
    <w:p w:rsidR="00973B0B" w:rsidRPr="00EA7F30" w:rsidRDefault="00973B0B" w:rsidP="007F7D76">
      <w:pPr>
        <w:pStyle w:val="BTEMEASMCA"/>
      </w:pPr>
    </w:p>
    <w:p w:rsidR="00973B0B" w:rsidRPr="00EA7F30" w:rsidRDefault="00973B0B" w:rsidP="008F211F">
      <w:pPr>
        <w:pStyle w:val="Style"/>
        <w:rPr>
          <w:rFonts w:ascii="Times New Roman" w:hAnsi="Times New Roman" w:cs="Times New Roman"/>
          <w:iCs/>
          <w:sz w:val="22"/>
          <w:szCs w:val="22"/>
          <w:u w:val="single"/>
        </w:rPr>
      </w:pPr>
      <w:r w:rsidRPr="001B0AB9">
        <w:rPr>
          <w:rFonts w:ascii="Times New Roman" w:hAnsi="Times New Roman" w:cs="Times New Roman"/>
          <w:iCs/>
          <w:sz w:val="22"/>
          <w:szCs w:val="22"/>
          <w:u w:val="single"/>
        </w:rPr>
        <w:t>Absorbcija</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Organizmas iš lėto (pasisavinimo greitis priklauso nuo vaisto formos) pasisavina beveik visą karbamazepiną. Pusinės rezorbcijos periodas trunka vidutiniškai 8,5</w:t>
      </w:r>
      <w:r w:rsidRPr="0040296C">
        <w:rPr>
          <w:rFonts w:ascii="Times New Roman" w:hAnsi="Times New Roman" w:cs="Times New Roman"/>
          <w:sz w:val="22"/>
          <w:szCs w:val="22"/>
        </w:rPr>
        <w:t> </w:t>
      </w:r>
      <w:r w:rsidRPr="001B0AB9">
        <w:rPr>
          <w:rFonts w:ascii="Times New Roman" w:hAnsi="Times New Roman" w:cs="Times New Roman"/>
          <w:sz w:val="22"/>
          <w:szCs w:val="22"/>
        </w:rPr>
        <w:t>val., tačiau tam pačiam žmogui bei įvairiems žmonėms jo trukmė (1,72-12</w:t>
      </w:r>
      <w:r w:rsidRPr="0040296C">
        <w:rPr>
          <w:rFonts w:ascii="Times New Roman" w:hAnsi="Times New Roman" w:cs="Times New Roman"/>
          <w:sz w:val="22"/>
          <w:szCs w:val="22"/>
        </w:rPr>
        <w:t> </w:t>
      </w:r>
      <w:r w:rsidRPr="001B0AB9">
        <w:rPr>
          <w:rFonts w:ascii="Times New Roman" w:hAnsi="Times New Roman" w:cs="Times New Roman"/>
          <w:sz w:val="22"/>
          <w:szCs w:val="22"/>
        </w:rPr>
        <w:t>val.) gali būti labai skirtinga.</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Išgėrus vienkartinę dozę, didžiausia koncentracija plazmoje suaugusiems žmonėms atsiranda per 4-16</w:t>
      </w:r>
      <w:r w:rsidRPr="0040296C">
        <w:rPr>
          <w:rFonts w:ascii="Times New Roman" w:hAnsi="Times New Roman" w:cs="Times New Roman"/>
          <w:sz w:val="22"/>
          <w:szCs w:val="22"/>
        </w:rPr>
        <w:t> </w:t>
      </w:r>
      <w:r w:rsidRPr="001B0AB9">
        <w:rPr>
          <w:rFonts w:ascii="Times New Roman" w:hAnsi="Times New Roman" w:cs="Times New Roman"/>
          <w:sz w:val="22"/>
          <w:szCs w:val="22"/>
        </w:rPr>
        <w:t>val. (labai retai per 35</w:t>
      </w:r>
      <w:r w:rsidRPr="0040296C">
        <w:rPr>
          <w:rFonts w:ascii="Times New Roman" w:hAnsi="Times New Roman" w:cs="Times New Roman"/>
          <w:sz w:val="22"/>
          <w:szCs w:val="22"/>
        </w:rPr>
        <w:t> </w:t>
      </w:r>
      <w:r w:rsidRPr="001B0AB9">
        <w:rPr>
          <w:rFonts w:ascii="Times New Roman" w:hAnsi="Times New Roman" w:cs="Times New Roman"/>
          <w:sz w:val="22"/>
          <w:szCs w:val="22"/>
        </w:rPr>
        <w:t>val.), vaikams - per 4-6</w:t>
      </w:r>
      <w:r w:rsidRPr="0040296C">
        <w:rPr>
          <w:rFonts w:ascii="Times New Roman" w:hAnsi="Times New Roman" w:cs="Times New Roman"/>
          <w:sz w:val="22"/>
          <w:szCs w:val="22"/>
        </w:rPr>
        <w:t> </w:t>
      </w:r>
      <w:r w:rsidRPr="001B0AB9">
        <w:rPr>
          <w:rFonts w:ascii="Times New Roman" w:hAnsi="Times New Roman" w:cs="Times New Roman"/>
          <w:sz w:val="22"/>
          <w:szCs w:val="22"/>
        </w:rPr>
        <w:t>val. Tarp vaisto koncentracijos plazmoje bei dozės yra linijinis priklausomumas. Didesnių dozių ir vaistinio preparato koncentracijos plazmoje priklausomumo grafikas yra plokščios kreivės formos. Geriant suspensijos, didžiausia vaistinio preparato koncentracija plazmoje atsiranda greičiau, negu geriant paprastų arba lėčiau veikliąją medžiagą atpalaiduojančių tablečių.</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Geriant lėčiau veikliąją medžiagą atpalaiduojančių tablečių, didžiausia vaistinio preparato koncentracija plazmoje būna mažesnė, negu geriant paprastų tablečių.</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Pastovi vaistinio preparato koncentracija plazmoje nusistovi per 2-8 dienas. Griežto priklausomumo tarp karbamazepino dozės bei jo pastovios koncentracijos plazmoje nėra. Kai plazmoje nusistovi pastovi koncentracija, vaistinio preparato pradėjus vartoti ne kas 8 valandas, bet kas 12 valandų, dėl lėto veikliosios medžiagos atsipalaidavimo atsirado tik šiokių tokių karbamazepino ir karbamazepin-10,11-epoksido koncentracijos pokyčių.</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Remiantis nustatytais gydomosios ir toksinės plazmos koncentracijų duomenimis, priepuolių nebūna, jei vaistinio preparato koncentracija plazmoje yra 4-12</w:t>
      </w:r>
      <w:r w:rsidRPr="0040296C">
        <w:rPr>
          <w:rFonts w:ascii="Times New Roman" w:hAnsi="Times New Roman" w:cs="Times New Roman"/>
          <w:sz w:val="22"/>
          <w:szCs w:val="22"/>
        </w:rPr>
        <w:t> </w:t>
      </w:r>
      <w:r w:rsidRPr="001B0AB9">
        <w:rPr>
          <w:rFonts w:ascii="Times New Roman" w:hAnsi="Times New Roman" w:cs="Times New Roman"/>
          <w:sz w:val="22"/>
          <w:szCs w:val="22"/>
        </w:rPr>
        <w:t>μg/ml. Nuo didesnės negu 20</w:t>
      </w:r>
      <w:r w:rsidRPr="0040296C">
        <w:rPr>
          <w:rFonts w:ascii="Times New Roman" w:hAnsi="Times New Roman" w:cs="Times New Roman"/>
          <w:sz w:val="22"/>
          <w:szCs w:val="22"/>
        </w:rPr>
        <w:t> </w:t>
      </w:r>
      <w:r w:rsidRPr="001B0AB9">
        <w:rPr>
          <w:rFonts w:ascii="Times New Roman" w:hAnsi="Times New Roman" w:cs="Times New Roman"/>
          <w:sz w:val="22"/>
          <w:szCs w:val="22"/>
        </w:rPr>
        <w:t xml:space="preserve">μg/ml vaistinio preparato koncentracijos plazmoje pradeda blogėti ligonio būklė. </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Trišakio nervo neuralgijos sukeltą skausmą karbamazepinas malšina tokiu atveju, jei jo koncentracija plazmoje yra 5-18</w:t>
      </w:r>
      <w:r w:rsidRPr="0040296C">
        <w:rPr>
          <w:rFonts w:ascii="Times New Roman" w:hAnsi="Times New Roman" w:cs="Times New Roman"/>
          <w:sz w:val="22"/>
          <w:szCs w:val="22"/>
        </w:rPr>
        <w:t> </w:t>
      </w:r>
      <w:r w:rsidRPr="001B0AB9">
        <w:rPr>
          <w:rFonts w:ascii="Times New Roman" w:hAnsi="Times New Roman" w:cs="Times New Roman"/>
          <w:sz w:val="22"/>
          <w:szCs w:val="22"/>
        </w:rPr>
        <w:t xml:space="preserve">μg/ml. </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Slenkstinė koncentracija nepageidaujamam poveikiui atsirasti yra maždaug 8-9</w:t>
      </w:r>
      <w:r w:rsidRPr="0040296C">
        <w:rPr>
          <w:rFonts w:ascii="Times New Roman" w:hAnsi="Times New Roman" w:cs="Times New Roman"/>
          <w:sz w:val="22"/>
          <w:szCs w:val="22"/>
        </w:rPr>
        <w:t> </w:t>
      </w:r>
      <w:r w:rsidRPr="001B0AB9">
        <w:rPr>
          <w:rFonts w:ascii="Times New Roman" w:hAnsi="Times New Roman" w:cs="Times New Roman"/>
          <w:sz w:val="22"/>
          <w:szCs w:val="22"/>
        </w:rPr>
        <w:t>μg/ml.</w:t>
      </w:r>
    </w:p>
    <w:p w:rsidR="00973B0B" w:rsidRPr="00EA7F30" w:rsidRDefault="00973B0B" w:rsidP="008F211F">
      <w:pPr>
        <w:pStyle w:val="Style"/>
        <w:rPr>
          <w:rFonts w:ascii="Times New Roman" w:hAnsi="Times New Roman" w:cs="Times New Roman"/>
          <w:i/>
          <w:iCs/>
          <w:sz w:val="22"/>
          <w:szCs w:val="22"/>
        </w:rPr>
      </w:pPr>
    </w:p>
    <w:p w:rsidR="00973B0B" w:rsidRPr="00EA7F30" w:rsidRDefault="00973B0B" w:rsidP="008F211F">
      <w:pPr>
        <w:pStyle w:val="Style"/>
        <w:rPr>
          <w:rFonts w:ascii="Times New Roman" w:hAnsi="Times New Roman" w:cs="Times New Roman"/>
          <w:iCs/>
          <w:sz w:val="22"/>
          <w:szCs w:val="22"/>
          <w:u w:val="single"/>
        </w:rPr>
      </w:pPr>
      <w:r w:rsidRPr="001B0AB9">
        <w:rPr>
          <w:rFonts w:ascii="Times New Roman" w:hAnsi="Times New Roman" w:cs="Times New Roman"/>
          <w:iCs/>
          <w:sz w:val="22"/>
          <w:szCs w:val="22"/>
          <w:u w:val="single"/>
        </w:rPr>
        <w:t xml:space="preserve">Pasiskirstymas </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Prie plazmos baltymų prisijungia 70-80% karbamazepino. Jei jo koncentracija ne didesnė kaip 50</w:t>
      </w:r>
      <w:r w:rsidRPr="0040296C">
        <w:rPr>
          <w:rFonts w:ascii="Times New Roman" w:hAnsi="Times New Roman" w:cs="Times New Roman"/>
          <w:sz w:val="22"/>
          <w:szCs w:val="22"/>
        </w:rPr>
        <w:t> </w:t>
      </w:r>
      <w:r w:rsidRPr="001B0AB9">
        <w:rPr>
          <w:rFonts w:ascii="Times New Roman" w:hAnsi="Times New Roman" w:cs="Times New Roman"/>
          <w:sz w:val="22"/>
          <w:szCs w:val="22"/>
        </w:rPr>
        <w:t>μg/ml, laisvo vaistinio preparato kiekis procentais būna pastovus. Be to, prie plazmos baltymų prisijungia 48-53% veiklaus metabolito karbamazepin-10,11-epoksido.</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Farmakokinetinė sąveika, į kurią reikia atsižvelgti, pateikta 4.5 skyriuje "Sąveika su kitais vaistiniais preparatais ir kitokia sąveika".</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Vaisto tariamasis pasiskirstymo tūris yra 0,8-1,9</w:t>
      </w:r>
      <w:r w:rsidRPr="0040296C">
        <w:rPr>
          <w:rFonts w:ascii="Times New Roman" w:hAnsi="Times New Roman" w:cs="Times New Roman"/>
          <w:sz w:val="22"/>
          <w:szCs w:val="22"/>
        </w:rPr>
        <w:t> </w:t>
      </w:r>
      <w:r w:rsidRPr="001B0AB9">
        <w:rPr>
          <w:rFonts w:ascii="Times New Roman" w:hAnsi="Times New Roman" w:cs="Times New Roman"/>
          <w:sz w:val="22"/>
          <w:szCs w:val="22"/>
        </w:rPr>
        <w:t>l/kg. Karbamazepino koncentracija smegenų skystyje atitinka 33% vaistinio preparato koncentracijos plazmoje. Vaistinio preparato koncentracija seilėse atitinka laisvo karbamazepino kiekį ir yra labai priklausomas nuo vaisto koncentracijos plazmoje (maždaug 20-30%). Šį rodmenį, padaugintą iš 4, galima vartoti gydymo metu medikamento lygiui plazmoje nustatyti.</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Karbamazepinas prasiskverbia per placentą, patenka į vaisių bei išsiskiria su motinos pienu (jo koncentracija piene būna maždaug 58% plazmos koncentracijos). Žindomiems kūdikiams vaisto koncentracija serume gali būti tokia pati, kaip motinos piene.</w:t>
      </w:r>
    </w:p>
    <w:p w:rsidR="00973B0B" w:rsidRPr="00EA7F30" w:rsidRDefault="00973B0B" w:rsidP="008F211F">
      <w:pPr>
        <w:pStyle w:val="Style"/>
        <w:rPr>
          <w:rFonts w:ascii="Times New Roman" w:hAnsi="Times New Roman" w:cs="Times New Roman"/>
          <w:i/>
          <w:iCs/>
          <w:sz w:val="22"/>
          <w:szCs w:val="22"/>
        </w:rPr>
      </w:pPr>
    </w:p>
    <w:p w:rsidR="00973B0B" w:rsidRPr="001B0AB9" w:rsidRDefault="00973B0B" w:rsidP="00CA7C6B">
      <w:pPr>
        <w:pStyle w:val="Pagrindinistekstas"/>
        <w:spacing w:after="0"/>
        <w:outlineLvl w:val="0"/>
        <w:rPr>
          <w:sz w:val="22"/>
          <w:szCs w:val="22"/>
          <w:u w:val="single"/>
        </w:rPr>
      </w:pPr>
      <w:r w:rsidRPr="001B0AB9">
        <w:rPr>
          <w:sz w:val="22"/>
          <w:szCs w:val="22"/>
          <w:u w:val="single"/>
        </w:rPr>
        <w:t>Biotransformacija</w:t>
      </w:r>
    </w:p>
    <w:p w:rsidR="00973B0B" w:rsidRPr="00EA7F30" w:rsidRDefault="00973B0B" w:rsidP="008F211F">
      <w:pPr>
        <w:pStyle w:val="Style"/>
        <w:rPr>
          <w:rFonts w:ascii="Times New Roman" w:hAnsi="Times New Roman" w:cs="Times New Roman"/>
          <w:sz w:val="22"/>
          <w:szCs w:val="22"/>
        </w:rPr>
      </w:pPr>
      <w:r w:rsidRPr="00EA7F30">
        <w:rPr>
          <w:rFonts w:ascii="Times New Roman" w:hAnsi="Times New Roman" w:cs="Times New Roman"/>
          <w:sz w:val="22"/>
          <w:szCs w:val="22"/>
        </w:rPr>
        <w:t xml:space="preserve">Kepenys karbamazepiną oksiduoja, deaminina, hidroksilina ir po to esterine jungtimi prijungia prie gliukurono rūgšties. Žmogaus šlapime nustatyti 7 metabolitai. Iš jų daugiausiai būna </w:t>
      </w:r>
      <w:r w:rsidRPr="001B0AB9">
        <w:rPr>
          <w:rFonts w:ascii="Times New Roman" w:hAnsi="Times New Roman" w:cs="Times New Roman"/>
          <w:sz w:val="22"/>
          <w:szCs w:val="22"/>
        </w:rPr>
        <w:t>farmakologiškai neaktyvaus metabolito trans-10,11-dihidroksi-10,11-dihidrokarbamazepino,</w:t>
      </w:r>
      <w:r w:rsidR="00A9336B">
        <w:rPr>
          <w:rFonts w:ascii="Times New Roman" w:hAnsi="Times New Roman" w:cs="Times New Roman"/>
          <w:sz w:val="22"/>
          <w:szCs w:val="22"/>
        </w:rPr>
        <w:t xml:space="preserve"> </w:t>
      </w:r>
      <w:r w:rsidRPr="001B0AB9">
        <w:rPr>
          <w:rFonts w:ascii="Times New Roman" w:hAnsi="Times New Roman" w:cs="Times New Roman"/>
          <w:sz w:val="22"/>
          <w:szCs w:val="22"/>
        </w:rPr>
        <w:t>o metabolito, slopinančio traukulių atsiradimą, t.y. karbamazepin-10,11-epoksido, būna tik 0,1-2%.</w:t>
      </w:r>
    </w:p>
    <w:p w:rsidR="00973B0B" w:rsidRPr="00EA7F30" w:rsidRDefault="00973B0B" w:rsidP="008F211F">
      <w:pPr>
        <w:pStyle w:val="Style"/>
        <w:rPr>
          <w:rFonts w:ascii="Times New Roman" w:hAnsi="Times New Roman" w:cs="Times New Roman"/>
          <w:i/>
          <w:iCs/>
          <w:sz w:val="22"/>
          <w:szCs w:val="22"/>
        </w:rPr>
      </w:pPr>
    </w:p>
    <w:p w:rsidR="00973B0B" w:rsidRPr="00EA7F30" w:rsidRDefault="00973B0B" w:rsidP="008F211F">
      <w:pPr>
        <w:pStyle w:val="Style"/>
        <w:rPr>
          <w:rFonts w:ascii="Times New Roman" w:hAnsi="Times New Roman" w:cs="Times New Roman"/>
          <w:iCs/>
          <w:sz w:val="22"/>
          <w:szCs w:val="22"/>
          <w:u w:val="single"/>
        </w:rPr>
      </w:pPr>
      <w:r w:rsidRPr="001B0AB9">
        <w:rPr>
          <w:rFonts w:ascii="Times New Roman" w:hAnsi="Times New Roman" w:cs="Times New Roman"/>
          <w:iCs/>
          <w:sz w:val="22"/>
          <w:szCs w:val="22"/>
          <w:u w:val="single"/>
        </w:rPr>
        <w:t>Eliminacija</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Suvartojus vienkartinę dozę, karbamazepino pusinės eliminacijos iš plazmos periodas trunka vidutiniškai 36</w:t>
      </w:r>
      <w:r w:rsidRPr="0040296C">
        <w:rPr>
          <w:rFonts w:ascii="Times New Roman" w:hAnsi="Times New Roman" w:cs="Times New Roman"/>
          <w:sz w:val="22"/>
          <w:szCs w:val="22"/>
        </w:rPr>
        <w:t> </w:t>
      </w:r>
      <w:r w:rsidRPr="001B0AB9">
        <w:rPr>
          <w:rFonts w:ascii="Times New Roman" w:hAnsi="Times New Roman" w:cs="Times New Roman"/>
          <w:sz w:val="22"/>
          <w:szCs w:val="22"/>
        </w:rPr>
        <w:t>val. (diapazonas 18-65</w:t>
      </w:r>
      <w:r w:rsidRPr="0040296C">
        <w:rPr>
          <w:rFonts w:ascii="Times New Roman" w:hAnsi="Times New Roman" w:cs="Times New Roman"/>
          <w:sz w:val="22"/>
          <w:szCs w:val="22"/>
        </w:rPr>
        <w:t> </w:t>
      </w:r>
      <w:r w:rsidRPr="001B0AB9">
        <w:rPr>
          <w:rFonts w:ascii="Times New Roman" w:hAnsi="Times New Roman" w:cs="Times New Roman"/>
          <w:sz w:val="22"/>
          <w:szCs w:val="22"/>
        </w:rPr>
        <w:t xml:space="preserve">val.). Ilgalaikio vartojimo metu dėl kepenų fermentų indukcijos pusinės eliminacijos periodo trukmė sutrumpėja 50%. Karbamazepino, vartojamo kartu su kitais vaistiniais preparatais nuo epilepsijos, pusinės eliminacijos periodas (6-10 valandų) būna trumpesnis už karbamazepino, vartojamo vieno, pusinės eliminacijos periodą (11-13 valandų). Vaikams jis būna </w:t>
      </w:r>
      <w:r w:rsidRPr="001B0AB9">
        <w:rPr>
          <w:rFonts w:ascii="Times New Roman" w:hAnsi="Times New Roman" w:cs="Times New Roman"/>
          <w:sz w:val="22"/>
          <w:szCs w:val="22"/>
        </w:rPr>
        <w:lastRenderedPageBreak/>
        <w:t>trumpesnis negu suaugusiems žmonėms, naujagimiams ilgesnis negu kūdikiams.</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Karbamazepino plazmos klirensas sveikiems žmonėms yra maždaug 19,8</w:t>
      </w:r>
      <w:r w:rsidRPr="001B0AB9">
        <w:rPr>
          <w:rFonts w:ascii="Times New Roman" w:hAnsi="Times New Roman" w:cs="Times New Roman"/>
          <w:w w:val="87"/>
          <w:sz w:val="22"/>
          <w:szCs w:val="22"/>
        </w:rPr>
        <w:t>±</w:t>
      </w:r>
      <w:r w:rsidRPr="001B0AB9">
        <w:rPr>
          <w:rFonts w:ascii="Times New Roman" w:hAnsi="Times New Roman" w:cs="Times New Roman"/>
          <w:sz w:val="22"/>
          <w:szCs w:val="22"/>
        </w:rPr>
        <w:t>2,7</w:t>
      </w:r>
      <w:r w:rsidRPr="0040296C">
        <w:rPr>
          <w:rFonts w:ascii="Times New Roman" w:hAnsi="Times New Roman" w:cs="Times New Roman"/>
          <w:sz w:val="22"/>
          <w:szCs w:val="22"/>
        </w:rPr>
        <w:t> </w:t>
      </w:r>
      <w:r w:rsidRPr="001B0AB9">
        <w:rPr>
          <w:rFonts w:ascii="Times New Roman" w:hAnsi="Times New Roman" w:cs="Times New Roman"/>
          <w:sz w:val="22"/>
          <w:szCs w:val="22"/>
        </w:rPr>
        <w:t>ml/val./kg, pacientams, vartojantiems vien karbamazepino, - 54,6±6,7</w:t>
      </w:r>
      <w:r w:rsidRPr="0040296C">
        <w:rPr>
          <w:rFonts w:ascii="Times New Roman" w:hAnsi="Times New Roman" w:cs="Times New Roman"/>
          <w:sz w:val="22"/>
          <w:szCs w:val="22"/>
        </w:rPr>
        <w:t> </w:t>
      </w:r>
      <w:r w:rsidRPr="001B0AB9">
        <w:rPr>
          <w:rFonts w:ascii="Times New Roman" w:hAnsi="Times New Roman" w:cs="Times New Roman"/>
          <w:sz w:val="22"/>
          <w:szCs w:val="22"/>
        </w:rPr>
        <w:t>ml/val./kg, pacientams, vartojantiems karbamazepino kartu su kitokiais vaistiniais preparatais nuo epilepsijos, - 113,3±33,4</w:t>
      </w:r>
      <w:r w:rsidRPr="0040296C">
        <w:rPr>
          <w:rFonts w:ascii="Times New Roman" w:hAnsi="Times New Roman" w:cs="Times New Roman"/>
          <w:sz w:val="22"/>
          <w:szCs w:val="22"/>
        </w:rPr>
        <w:t> </w:t>
      </w:r>
      <w:r w:rsidRPr="001B0AB9">
        <w:rPr>
          <w:rFonts w:ascii="Times New Roman" w:hAnsi="Times New Roman" w:cs="Times New Roman"/>
          <w:sz w:val="22"/>
          <w:szCs w:val="22"/>
        </w:rPr>
        <w:t>ml/val./kg.</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Išgėrus vienkartinę dozę, 72</w:t>
      </w:r>
      <w:r w:rsidRPr="001B0AB9">
        <w:rPr>
          <w:rFonts w:ascii="Times New Roman" w:hAnsi="Times New Roman" w:cs="Times New Roman"/>
          <w:w w:val="106"/>
          <w:sz w:val="22"/>
          <w:szCs w:val="22"/>
        </w:rPr>
        <w:t xml:space="preserve">% </w:t>
      </w:r>
      <w:r w:rsidRPr="001B0AB9">
        <w:rPr>
          <w:rFonts w:ascii="Times New Roman" w:hAnsi="Times New Roman" w:cs="Times New Roman"/>
          <w:sz w:val="22"/>
          <w:szCs w:val="22"/>
        </w:rPr>
        <w:t>vaisto šalinama per inkstus metabolitų forma, likusi dalis (28%) - su išmatomis iš dalies nepakitusia forma. Visame vaisto kiekyje, kuris šalinamas per inkstus, nepakitusio karbamazepino būna tik 2-3%.</w:t>
      </w:r>
    </w:p>
    <w:p w:rsidR="00973B0B" w:rsidRPr="00EA7F30" w:rsidRDefault="00973B0B" w:rsidP="008F211F">
      <w:pPr>
        <w:pStyle w:val="Style"/>
        <w:rPr>
          <w:rFonts w:ascii="Times New Roman" w:hAnsi="Times New Roman" w:cs="Times New Roman"/>
          <w:i/>
          <w:iCs/>
          <w:sz w:val="22"/>
          <w:szCs w:val="22"/>
        </w:rPr>
      </w:pPr>
    </w:p>
    <w:p w:rsidR="00973B0B" w:rsidRPr="00EA7F30" w:rsidRDefault="00973B0B" w:rsidP="008F211F">
      <w:pPr>
        <w:pStyle w:val="Style"/>
        <w:rPr>
          <w:rFonts w:ascii="Times New Roman" w:hAnsi="Times New Roman" w:cs="Times New Roman"/>
          <w:i/>
          <w:iCs/>
          <w:sz w:val="22"/>
          <w:szCs w:val="22"/>
        </w:rPr>
      </w:pPr>
      <w:r w:rsidRPr="001B0AB9">
        <w:rPr>
          <w:rFonts w:ascii="Times New Roman" w:hAnsi="Times New Roman" w:cs="Times New Roman"/>
          <w:i/>
          <w:iCs/>
          <w:sz w:val="22"/>
          <w:szCs w:val="22"/>
        </w:rPr>
        <w:t xml:space="preserve">Biologinis ekvivalentiškumas </w:t>
      </w:r>
    </w:p>
    <w:p w:rsidR="00973B0B" w:rsidRPr="00EA7F30" w:rsidRDefault="00973B0B" w:rsidP="003C313C">
      <w:pPr>
        <w:pStyle w:val="Style"/>
        <w:rPr>
          <w:rFonts w:ascii="Times New Roman" w:hAnsi="Times New Roman" w:cs="Times New Roman"/>
          <w:sz w:val="22"/>
          <w:szCs w:val="22"/>
        </w:rPr>
      </w:pPr>
      <w:r w:rsidRPr="001B0AB9">
        <w:rPr>
          <w:rFonts w:ascii="Times New Roman" w:hAnsi="Times New Roman" w:cs="Times New Roman"/>
          <w:sz w:val="22"/>
          <w:szCs w:val="22"/>
        </w:rPr>
        <w:t>Tyrimo, kuriame dalyvavo dvidešimt du 20-35 metų sveiki savanoriai, metu nustatytas 200</w:t>
      </w:r>
      <w:r w:rsidRPr="0040296C">
        <w:rPr>
          <w:rFonts w:ascii="Times New Roman" w:hAnsi="Times New Roman" w:cs="Times New Roman"/>
          <w:sz w:val="22"/>
          <w:szCs w:val="22"/>
        </w:rPr>
        <w:t> </w:t>
      </w:r>
      <w:r w:rsidRPr="001B0AB9">
        <w:rPr>
          <w:rFonts w:ascii="Times New Roman" w:hAnsi="Times New Roman" w:cs="Times New Roman"/>
          <w:sz w:val="22"/>
          <w:szCs w:val="22"/>
        </w:rPr>
        <w:t>mg Finlepsin ir lyginamojo vaistinio preparato biologinis ekvivalentiškumas. Tyrimo duomenys pateikti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6"/>
        <w:gridCol w:w="3015"/>
        <w:gridCol w:w="3019"/>
      </w:tblGrid>
      <w:tr w:rsidR="00973B0B" w:rsidRPr="00656518" w:rsidTr="004427E6">
        <w:tc>
          <w:tcPr>
            <w:tcW w:w="3095" w:type="dxa"/>
          </w:tcPr>
          <w:p w:rsidR="00973B0B" w:rsidRPr="00EA7F30" w:rsidRDefault="00973B0B" w:rsidP="004427E6">
            <w:pPr>
              <w:pStyle w:val="Style"/>
              <w:tabs>
                <w:tab w:val="left" w:pos="3379"/>
                <w:tab w:val="left" w:pos="5914"/>
              </w:tabs>
              <w:rPr>
                <w:rFonts w:ascii="Times New Roman" w:hAnsi="Times New Roman" w:cs="Times New Roman"/>
                <w:sz w:val="22"/>
                <w:szCs w:val="22"/>
              </w:rPr>
            </w:pPr>
          </w:p>
        </w:tc>
        <w:tc>
          <w:tcPr>
            <w:tcW w:w="3096" w:type="dxa"/>
          </w:tcPr>
          <w:p w:rsidR="00973B0B" w:rsidRPr="00EA7F30" w:rsidRDefault="00973B0B" w:rsidP="004427E6">
            <w:pPr>
              <w:pStyle w:val="Style"/>
              <w:tabs>
                <w:tab w:val="left" w:pos="3379"/>
                <w:tab w:val="left" w:pos="5914"/>
              </w:tabs>
              <w:rPr>
                <w:rFonts w:ascii="Times New Roman" w:hAnsi="Times New Roman" w:cs="Times New Roman"/>
                <w:sz w:val="22"/>
                <w:szCs w:val="22"/>
              </w:rPr>
            </w:pPr>
            <w:r w:rsidRPr="001B0AB9">
              <w:rPr>
                <w:rFonts w:ascii="Times New Roman" w:hAnsi="Times New Roman" w:cs="Times New Roman"/>
                <w:i/>
                <w:iCs/>
                <w:sz w:val="22"/>
                <w:szCs w:val="22"/>
              </w:rPr>
              <w:t>Tiriamasis preparatas</w:t>
            </w:r>
          </w:p>
        </w:tc>
        <w:tc>
          <w:tcPr>
            <w:tcW w:w="3096" w:type="dxa"/>
          </w:tcPr>
          <w:p w:rsidR="00973B0B" w:rsidRPr="00EA7F30" w:rsidRDefault="00973B0B" w:rsidP="004427E6">
            <w:pPr>
              <w:pStyle w:val="Style"/>
              <w:tabs>
                <w:tab w:val="left" w:pos="3379"/>
                <w:tab w:val="left" w:pos="5914"/>
              </w:tabs>
              <w:rPr>
                <w:rFonts w:ascii="Times New Roman" w:hAnsi="Times New Roman" w:cs="Times New Roman"/>
                <w:sz w:val="22"/>
                <w:szCs w:val="22"/>
              </w:rPr>
            </w:pPr>
            <w:r w:rsidRPr="001B0AB9">
              <w:rPr>
                <w:rFonts w:ascii="Times New Roman" w:hAnsi="Times New Roman" w:cs="Times New Roman"/>
                <w:i/>
                <w:iCs/>
                <w:sz w:val="22"/>
                <w:szCs w:val="22"/>
              </w:rPr>
              <w:t>Lyginamasis vaistinis preparatas</w:t>
            </w:r>
          </w:p>
        </w:tc>
      </w:tr>
      <w:tr w:rsidR="00973B0B" w:rsidRPr="00656518" w:rsidTr="004427E6">
        <w:tc>
          <w:tcPr>
            <w:tcW w:w="3095" w:type="dxa"/>
          </w:tcPr>
          <w:p w:rsidR="00973B0B" w:rsidRPr="00EA7F30" w:rsidRDefault="00973B0B" w:rsidP="004427E6">
            <w:pPr>
              <w:pStyle w:val="Style"/>
              <w:rPr>
                <w:rFonts w:ascii="Times New Roman" w:hAnsi="Times New Roman" w:cs="Times New Roman"/>
                <w:sz w:val="22"/>
                <w:szCs w:val="22"/>
              </w:rPr>
            </w:pPr>
            <w:r w:rsidRPr="00EA7F30">
              <w:rPr>
                <w:rFonts w:ascii="Times New Roman" w:hAnsi="Times New Roman" w:cs="Times New Roman"/>
                <w:sz w:val="22"/>
                <w:szCs w:val="22"/>
              </w:rPr>
              <w:t>Didžiausia koncentracija plazmoje</w:t>
            </w:r>
          </w:p>
          <w:p w:rsidR="00973B0B" w:rsidRPr="00EA7F30" w:rsidRDefault="00973B0B" w:rsidP="004427E6">
            <w:pPr>
              <w:pStyle w:val="Style"/>
              <w:rPr>
                <w:rFonts w:ascii="Times New Roman" w:hAnsi="Times New Roman" w:cs="Times New Roman"/>
                <w:w w:val="83"/>
                <w:sz w:val="22"/>
                <w:szCs w:val="22"/>
              </w:rPr>
            </w:pPr>
            <w:r w:rsidRPr="001B0AB9">
              <w:rPr>
                <w:rFonts w:ascii="Times New Roman" w:hAnsi="Times New Roman" w:cs="Times New Roman"/>
                <w:w w:val="107"/>
                <w:sz w:val="22"/>
                <w:szCs w:val="22"/>
              </w:rPr>
              <w:t>c</w:t>
            </w:r>
            <w:r w:rsidRPr="001B0AB9">
              <w:rPr>
                <w:rFonts w:ascii="Times New Roman" w:hAnsi="Times New Roman" w:cs="Times New Roman"/>
                <w:w w:val="107"/>
                <w:sz w:val="22"/>
                <w:szCs w:val="22"/>
                <w:vertAlign w:val="subscript"/>
              </w:rPr>
              <w:t>max</w:t>
            </w:r>
            <w:r w:rsidRPr="001B0AB9">
              <w:rPr>
                <w:rFonts w:ascii="Times New Roman" w:hAnsi="Times New Roman" w:cs="Times New Roman"/>
                <w:w w:val="107"/>
                <w:sz w:val="22"/>
                <w:szCs w:val="22"/>
              </w:rPr>
              <w:t xml:space="preserve"> </w:t>
            </w:r>
            <w:r w:rsidRPr="001B0AB9">
              <w:rPr>
                <w:rFonts w:ascii="Times New Roman" w:hAnsi="Times New Roman" w:cs="Times New Roman"/>
                <w:w w:val="83"/>
                <w:sz w:val="22"/>
                <w:szCs w:val="22"/>
              </w:rPr>
              <w:t>(</w:t>
            </w:r>
            <w:r w:rsidRPr="001B0AB9">
              <w:rPr>
                <w:rFonts w:ascii="Times New Roman" w:hAnsi="Times New Roman" w:cs="Times New Roman"/>
                <w:sz w:val="22"/>
                <w:szCs w:val="22"/>
              </w:rPr>
              <w:t>μg/ml)</w:t>
            </w:r>
            <w:r w:rsidRPr="001B0AB9">
              <w:rPr>
                <w:rFonts w:ascii="Times New Roman" w:hAnsi="Times New Roman" w:cs="Times New Roman"/>
                <w:w w:val="83"/>
                <w:sz w:val="22"/>
                <w:szCs w:val="22"/>
              </w:rPr>
              <w:t xml:space="preserve"> </w:t>
            </w:r>
          </w:p>
        </w:tc>
        <w:tc>
          <w:tcPr>
            <w:tcW w:w="3096" w:type="dxa"/>
          </w:tcPr>
          <w:p w:rsidR="00973B0B" w:rsidRPr="00EA7F30" w:rsidRDefault="00973B0B" w:rsidP="004427E6">
            <w:pPr>
              <w:pStyle w:val="Style"/>
              <w:tabs>
                <w:tab w:val="left" w:pos="3379"/>
                <w:tab w:val="left" w:pos="5914"/>
              </w:tabs>
              <w:rPr>
                <w:rFonts w:ascii="Times New Roman" w:hAnsi="Times New Roman" w:cs="Times New Roman"/>
                <w:w w:val="105"/>
                <w:sz w:val="22"/>
                <w:szCs w:val="22"/>
              </w:rPr>
            </w:pPr>
          </w:p>
          <w:p w:rsidR="00973B0B" w:rsidRPr="00EA7F30" w:rsidRDefault="00973B0B" w:rsidP="004427E6">
            <w:pPr>
              <w:pStyle w:val="Style"/>
              <w:tabs>
                <w:tab w:val="left" w:pos="3379"/>
                <w:tab w:val="left" w:pos="5914"/>
              </w:tabs>
              <w:rPr>
                <w:rFonts w:ascii="Times New Roman" w:hAnsi="Times New Roman" w:cs="Times New Roman"/>
                <w:w w:val="105"/>
                <w:sz w:val="22"/>
                <w:szCs w:val="22"/>
              </w:rPr>
            </w:pPr>
          </w:p>
          <w:p w:rsidR="00973B0B" w:rsidRPr="00EA7F30" w:rsidRDefault="00973B0B" w:rsidP="004427E6">
            <w:pPr>
              <w:pStyle w:val="Style"/>
              <w:tabs>
                <w:tab w:val="left" w:pos="3379"/>
                <w:tab w:val="left" w:pos="5914"/>
              </w:tabs>
              <w:rPr>
                <w:rFonts w:ascii="Times New Roman" w:hAnsi="Times New Roman" w:cs="Times New Roman"/>
                <w:sz w:val="22"/>
                <w:szCs w:val="22"/>
              </w:rPr>
            </w:pPr>
            <w:r w:rsidRPr="001B0AB9">
              <w:rPr>
                <w:rFonts w:ascii="Times New Roman" w:hAnsi="Times New Roman" w:cs="Times New Roman"/>
                <w:w w:val="105"/>
                <w:sz w:val="22"/>
                <w:szCs w:val="22"/>
              </w:rPr>
              <w:t>2,6±0,4</w:t>
            </w:r>
          </w:p>
        </w:tc>
        <w:tc>
          <w:tcPr>
            <w:tcW w:w="3096" w:type="dxa"/>
          </w:tcPr>
          <w:p w:rsidR="00973B0B" w:rsidRPr="00EA7F30" w:rsidRDefault="00973B0B" w:rsidP="004427E6">
            <w:pPr>
              <w:pStyle w:val="Style"/>
              <w:tabs>
                <w:tab w:val="left" w:pos="3379"/>
                <w:tab w:val="left" w:pos="5914"/>
              </w:tabs>
              <w:rPr>
                <w:rFonts w:ascii="Times New Roman" w:hAnsi="Times New Roman" w:cs="Times New Roman"/>
                <w:w w:val="105"/>
                <w:sz w:val="22"/>
                <w:szCs w:val="22"/>
              </w:rPr>
            </w:pPr>
          </w:p>
          <w:p w:rsidR="00973B0B" w:rsidRPr="00EA7F30" w:rsidRDefault="00973B0B" w:rsidP="004427E6">
            <w:pPr>
              <w:pStyle w:val="Style"/>
              <w:tabs>
                <w:tab w:val="left" w:pos="3379"/>
                <w:tab w:val="left" w:pos="5914"/>
              </w:tabs>
              <w:rPr>
                <w:rFonts w:ascii="Times New Roman" w:hAnsi="Times New Roman" w:cs="Times New Roman"/>
                <w:w w:val="105"/>
                <w:sz w:val="22"/>
                <w:szCs w:val="22"/>
              </w:rPr>
            </w:pPr>
          </w:p>
          <w:p w:rsidR="00973B0B" w:rsidRPr="00EA7F30" w:rsidRDefault="00973B0B" w:rsidP="004427E6">
            <w:pPr>
              <w:pStyle w:val="Style"/>
              <w:tabs>
                <w:tab w:val="left" w:pos="3379"/>
                <w:tab w:val="left" w:pos="5914"/>
              </w:tabs>
              <w:rPr>
                <w:rFonts w:ascii="Times New Roman" w:hAnsi="Times New Roman" w:cs="Times New Roman"/>
                <w:sz w:val="22"/>
                <w:szCs w:val="22"/>
              </w:rPr>
            </w:pPr>
            <w:r w:rsidRPr="001B0AB9">
              <w:rPr>
                <w:rFonts w:ascii="Times New Roman" w:hAnsi="Times New Roman" w:cs="Times New Roman"/>
                <w:w w:val="105"/>
                <w:sz w:val="22"/>
                <w:szCs w:val="22"/>
              </w:rPr>
              <w:t>2,3±0,3</w:t>
            </w:r>
          </w:p>
        </w:tc>
      </w:tr>
      <w:tr w:rsidR="00973B0B" w:rsidRPr="00656518" w:rsidTr="004427E6">
        <w:tc>
          <w:tcPr>
            <w:tcW w:w="3095" w:type="dxa"/>
          </w:tcPr>
          <w:p w:rsidR="00973B0B" w:rsidRPr="00EA7F30" w:rsidRDefault="00973B0B" w:rsidP="004427E6">
            <w:pPr>
              <w:pStyle w:val="Style"/>
              <w:tabs>
                <w:tab w:val="left" w:pos="3379"/>
                <w:tab w:val="left" w:pos="5914"/>
              </w:tabs>
              <w:rPr>
                <w:rFonts w:ascii="Times New Roman" w:hAnsi="Times New Roman" w:cs="Times New Roman"/>
                <w:sz w:val="22"/>
                <w:szCs w:val="22"/>
              </w:rPr>
            </w:pPr>
            <w:r w:rsidRPr="00EA7F30">
              <w:rPr>
                <w:rFonts w:ascii="Times New Roman" w:hAnsi="Times New Roman" w:cs="Times New Roman"/>
                <w:sz w:val="22"/>
                <w:szCs w:val="22"/>
              </w:rPr>
              <w:t>Laikas, per kur</w:t>
            </w:r>
            <w:r w:rsidR="00810B35">
              <w:rPr>
                <w:rFonts w:ascii="Times New Roman" w:hAnsi="Times New Roman" w:cs="Times New Roman"/>
                <w:sz w:val="22"/>
                <w:szCs w:val="22"/>
              </w:rPr>
              <w:t>į</w:t>
            </w:r>
            <w:r w:rsidRPr="00EA7F30">
              <w:rPr>
                <w:rFonts w:ascii="Times New Roman" w:hAnsi="Times New Roman" w:cs="Times New Roman"/>
                <w:sz w:val="22"/>
                <w:szCs w:val="22"/>
              </w:rPr>
              <w:t xml:space="preserve"> plazmoje atsiranda didžiausia preparato koncentracija</w:t>
            </w:r>
          </w:p>
          <w:p w:rsidR="00973B0B" w:rsidRPr="00EA7F30" w:rsidRDefault="00973B0B" w:rsidP="004427E6">
            <w:pPr>
              <w:pStyle w:val="Style"/>
              <w:tabs>
                <w:tab w:val="left" w:pos="3379"/>
                <w:tab w:val="left" w:pos="5914"/>
              </w:tabs>
              <w:rPr>
                <w:rFonts w:ascii="Times New Roman" w:hAnsi="Times New Roman" w:cs="Times New Roman"/>
                <w:sz w:val="22"/>
                <w:szCs w:val="22"/>
              </w:rPr>
            </w:pPr>
            <w:r w:rsidRPr="001B0AB9">
              <w:rPr>
                <w:rFonts w:ascii="Times New Roman" w:hAnsi="Times New Roman" w:cs="Times New Roman"/>
                <w:sz w:val="22"/>
                <w:szCs w:val="22"/>
              </w:rPr>
              <w:t>t</w:t>
            </w:r>
            <w:r w:rsidRPr="001B0AB9">
              <w:rPr>
                <w:rFonts w:ascii="Times New Roman" w:hAnsi="Times New Roman" w:cs="Times New Roman"/>
                <w:sz w:val="22"/>
                <w:szCs w:val="22"/>
                <w:vertAlign w:val="subscript"/>
              </w:rPr>
              <w:t>max</w:t>
            </w:r>
            <w:r w:rsidRPr="001B0AB9">
              <w:rPr>
                <w:rFonts w:ascii="Times New Roman" w:hAnsi="Times New Roman" w:cs="Times New Roman"/>
                <w:sz w:val="22"/>
                <w:szCs w:val="22"/>
              </w:rPr>
              <w:t>(val.)</w:t>
            </w:r>
          </w:p>
        </w:tc>
        <w:tc>
          <w:tcPr>
            <w:tcW w:w="3096" w:type="dxa"/>
          </w:tcPr>
          <w:p w:rsidR="00973B0B" w:rsidRPr="00EA7F30" w:rsidRDefault="00973B0B" w:rsidP="004427E6">
            <w:pPr>
              <w:pStyle w:val="Style"/>
              <w:tabs>
                <w:tab w:val="left" w:pos="3379"/>
                <w:tab w:val="left" w:pos="5914"/>
              </w:tabs>
              <w:rPr>
                <w:rFonts w:ascii="Times New Roman" w:hAnsi="Times New Roman" w:cs="Times New Roman"/>
                <w:w w:val="105"/>
                <w:sz w:val="22"/>
                <w:szCs w:val="22"/>
              </w:rPr>
            </w:pPr>
          </w:p>
          <w:p w:rsidR="00973B0B" w:rsidRPr="00EA7F30" w:rsidRDefault="00973B0B" w:rsidP="004427E6">
            <w:pPr>
              <w:pStyle w:val="Style"/>
              <w:tabs>
                <w:tab w:val="left" w:pos="3379"/>
                <w:tab w:val="left" w:pos="5914"/>
              </w:tabs>
              <w:rPr>
                <w:rFonts w:ascii="Times New Roman" w:hAnsi="Times New Roman" w:cs="Times New Roman"/>
                <w:w w:val="105"/>
                <w:sz w:val="22"/>
                <w:szCs w:val="22"/>
              </w:rPr>
            </w:pPr>
          </w:p>
          <w:p w:rsidR="00973B0B" w:rsidRPr="00EA7F30" w:rsidRDefault="00973B0B" w:rsidP="004427E6">
            <w:pPr>
              <w:pStyle w:val="Style"/>
              <w:tabs>
                <w:tab w:val="left" w:pos="3379"/>
                <w:tab w:val="left" w:pos="5914"/>
              </w:tabs>
              <w:rPr>
                <w:rFonts w:ascii="Times New Roman" w:hAnsi="Times New Roman" w:cs="Times New Roman"/>
                <w:w w:val="105"/>
                <w:sz w:val="22"/>
                <w:szCs w:val="22"/>
              </w:rPr>
            </w:pPr>
          </w:p>
          <w:p w:rsidR="00973B0B" w:rsidRPr="00EA7F30" w:rsidRDefault="00973B0B" w:rsidP="004427E6">
            <w:pPr>
              <w:pStyle w:val="Style"/>
              <w:tabs>
                <w:tab w:val="left" w:pos="3379"/>
                <w:tab w:val="left" w:pos="5914"/>
              </w:tabs>
              <w:rPr>
                <w:rFonts w:ascii="Times New Roman" w:hAnsi="Times New Roman" w:cs="Times New Roman"/>
                <w:sz w:val="22"/>
                <w:szCs w:val="22"/>
              </w:rPr>
            </w:pPr>
            <w:r w:rsidRPr="001B0AB9">
              <w:rPr>
                <w:rFonts w:ascii="Times New Roman" w:hAnsi="Times New Roman" w:cs="Times New Roman"/>
                <w:w w:val="105"/>
                <w:sz w:val="22"/>
                <w:szCs w:val="22"/>
              </w:rPr>
              <w:t>10,4±5,9</w:t>
            </w:r>
          </w:p>
        </w:tc>
        <w:tc>
          <w:tcPr>
            <w:tcW w:w="3096" w:type="dxa"/>
          </w:tcPr>
          <w:p w:rsidR="00973B0B" w:rsidRPr="00EA7F30" w:rsidRDefault="00973B0B" w:rsidP="004427E6">
            <w:pPr>
              <w:pStyle w:val="Style"/>
              <w:tabs>
                <w:tab w:val="left" w:pos="3379"/>
                <w:tab w:val="left" w:pos="5914"/>
              </w:tabs>
              <w:rPr>
                <w:rFonts w:ascii="Times New Roman" w:hAnsi="Times New Roman" w:cs="Times New Roman"/>
                <w:w w:val="105"/>
                <w:sz w:val="22"/>
                <w:szCs w:val="22"/>
              </w:rPr>
            </w:pPr>
          </w:p>
          <w:p w:rsidR="00973B0B" w:rsidRPr="00EA7F30" w:rsidRDefault="00973B0B" w:rsidP="004427E6">
            <w:pPr>
              <w:pStyle w:val="Style"/>
              <w:tabs>
                <w:tab w:val="left" w:pos="3379"/>
                <w:tab w:val="left" w:pos="5914"/>
              </w:tabs>
              <w:rPr>
                <w:rFonts w:ascii="Times New Roman" w:hAnsi="Times New Roman" w:cs="Times New Roman"/>
                <w:w w:val="105"/>
                <w:sz w:val="22"/>
                <w:szCs w:val="22"/>
              </w:rPr>
            </w:pPr>
          </w:p>
          <w:p w:rsidR="00973B0B" w:rsidRPr="00EA7F30" w:rsidRDefault="00973B0B" w:rsidP="004427E6">
            <w:pPr>
              <w:pStyle w:val="Style"/>
              <w:tabs>
                <w:tab w:val="left" w:pos="3379"/>
                <w:tab w:val="left" w:pos="5914"/>
              </w:tabs>
              <w:rPr>
                <w:rFonts w:ascii="Times New Roman" w:hAnsi="Times New Roman" w:cs="Times New Roman"/>
                <w:w w:val="105"/>
                <w:sz w:val="22"/>
                <w:szCs w:val="22"/>
              </w:rPr>
            </w:pPr>
          </w:p>
          <w:p w:rsidR="00973B0B" w:rsidRPr="00EA7F30" w:rsidRDefault="00973B0B" w:rsidP="004427E6">
            <w:pPr>
              <w:pStyle w:val="Style"/>
              <w:tabs>
                <w:tab w:val="left" w:pos="3379"/>
                <w:tab w:val="left" w:pos="5914"/>
              </w:tabs>
              <w:rPr>
                <w:rFonts w:ascii="Times New Roman" w:hAnsi="Times New Roman" w:cs="Times New Roman"/>
                <w:sz w:val="22"/>
                <w:szCs w:val="22"/>
              </w:rPr>
            </w:pPr>
            <w:r w:rsidRPr="001B0AB9">
              <w:rPr>
                <w:rFonts w:ascii="Times New Roman" w:hAnsi="Times New Roman" w:cs="Times New Roman"/>
                <w:w w:val="105"/>
                <w:sz w:val="22"/>
                <w:szCs w:val="22"/>
              </w:rPr>
              <w:t>8,53±5,7</w:t>
            </w:r>
          </w:p>
        </w:tc>
      </w:tr>
      <w:tr w:rsidR="00973B0B" w:rsidRPr="00656518" w:rsidTr="004427E6">
        <w:tc>
          <w:tcPr>
            <w:tcW w:w="3095" w:type="dxa"/>
          </w:tcPr>
          <w:p w:rsidR="00973B0B" w:rsidRPr="00EA7F30" w:rsidRDefault="00973B0B" w:rsidP="004427E6">
            <w:pPr>
              <w:pStyle w:val="Style"/>
              <w:tabs>
                <w:tab w:val="left" w:pos="3379"/>
                <w:tab w:val="left" w:pos="5914"/>
              </w:tabs>
              <w:rPr>
                <w:rFonts w:ascii="Times New Roman" w:hAnsi="Times New Roman" w:cs="Times New Roman"/>
                <w:sz w:val="22"/>
                <w:szCs w:val="22"/>
              </w:rPr>
            </w:pPr>
            <w:r w:rsidRPr="00EA7F30">
              <w:rPr>
                <w:rFonts w:ascii="Times New Roman" w:hAnsi="Times New Roman" w:cs="Times New Roman"/>
                <w:sz w:val="22"/>
                <w:szCs w:val="22"/>
              </w:rPr>
              <w:t>Plotas, kur</w:t>
            </w:r>
            <w:r w:rsidR="00810B35">
              <w:rPr>
                <w:rFonts w:ascii="Times New Roman" w:hAnsi="Times New Roman" w:cs="Times New Roman"/>
                <w:sz w:val="22"/>
                <w:szCs w:val="22"/>
              </w:rPr>
              <w:t>į</w:t>
            </w:r>
            <w:r w:rsidRPr="00EA7F30">
              <w:rPr>
                <w:rFonts w:ascii="Times New Roman" w:hAnsi="Times New Roman" w:cs="Times New Roman"/>
                <w:sz w:val="22"/>
                <w:szCs w:val="22"/>
              </w:rPr>
              <w:t xml:space="preserve"> koordinačių sistemoje riboja koncentracijos ir laiko kreivė</w:t>
            </w:r>
          </w:p>
          <w:p w:rsidR="00973B0B" w:rsidRPr="00EA7F30" w:rsidRDefault="00973B0B" w:rsidP="004427E6">
            <w:pPr>
              <w:pStyle w:val="Style"/>
              <w:tabs>
                <w:tab w:val="left" w:pos="3379"/>
                <w:tab w:val="left" w:pos="5914"/>
              </w:tabs>
              <w:rPr>
                <w:rFonts w:ascii="Times New Roman" w:hAnsi="Times New Roman" w:cs="Times New Roman"/>
                <w:sz w:val="22"/>
                <w:szCs w:val="22"/>
              </w:rPr>
            </w:pPr>
            <w:r w:rsidRPr="001B0AB9">
              <w:rPr>
                <w:rFonts w:ascii="Times New Roman" w:hAnsi="Times New Roman" w:cs="Times New Roman"/>
                <w:sz w:val="22"/>
                <w:szCs w:val="22"/>
              </w:rPr>
              <w:t>AUC</w:t>
            </w:r>
            <w:r w:rsidRPr="001B0AB9">
              <w:rPr>
                <w:rFonts w:ascii="Times New Roman" w:hAnsi="Times New Roman" w:cs="Times New Roman"/>
                <w:sz w:val="22"/>
                <w:szCs w:val="22"/>
                <w:vertAlign w:val="subscript"/>
              </w:rPr>
              <w:t>o-t</w:t>
            </w:r>
            <w:r w:rsidRPr="001B0AB9">
              <w:rPr>
                <w:rFonts w:ascii="Times New Roman" w:hAnsi="Times New Roman" w:cs="Times New Roman"/>
                <w:sz w:val="22"/>
                <w:szCs w:val="22"/>
              </w:rPr>
              <w:t>(μg/ml/val.)</w:t>
            </w:r>
          </w:p>
        </w:tc>
        <w:tc>
          <w:tcPr>
            <w:tcW w:w="3096" w:type="dxa"/>
          </w:tcPr>
          <w:p w:rsidR="00973B0B" w:rsidRPr="00EA7F30" w:rsidRDefault="00973B0B" w:rsidP="004427E6">
            <w:pPr>
              <w:pStyle w:val="Style"/>
              <w:tabs>
                <w:tab w:val="left" w:pos="3379"/>
                <w:tab w:val="left" w:pos="5914"/>
              </w:tabs>
              <w:rPr>
                <w:rFonts w:ascii="Times New Roman" w:hAnsi="Times New Roman" w:cs="Times New Roman"/>
                <w:sz w:val="22"/>
                <w:szCs w:val="22"/>
              </w:rPr>
            </w:pPr>
          </w:p>
          <w:p w:rsidR="00973B0B" w:rsidRPr="00EA7F30" w:rsidRDefault="00973B0B" w:rsidP="004427E6">
            <w:pPr>
              <w:pStyle w:val="Style"/>
              <w:tabs>
                <w:tab w:val="left" w:pos="3379"/>
                <w:tab w:val="left" w:pos="5914"/>
              </w:tabs>
              <w:rPr>
                <w:rFonts w:ascii="Times New Roman" w:hAnsi="Times New Roman" w:cs="Times New Roman"/>
                <w:sz w:val="22"/>
                <w:szCs w:val="22"/>
              </w:rPr>
            </w:pPr>
          </w:p>
          <w:p w:rsidR="00973B0B" w:rsidRPr="00EA7F30" w:rsidRDefault="00973B0B" w:rsidP="004427E6">
            <w:pPr>
              <w:pStyle w:val="Style"/>
              <w:tabs>
                <w:tab w:val="left" w:pos="3379"/>
                <w:tab w:val="left" w:pos="5914"/>
              </w:tabs>
              <w:rPr>
                <w:rFonts w:ascii="Times New Roman" w:hAnsi="Times New Roman" w:cs="Times New Roman"/>
                <w:sz w:val="22"/>
                <w:szCs w:val="22"/>
              </w:rPr>
            </w:pPr>
          </w:p>
          <w:p w:rsidR="00973B0B" w:rsidRPr="00EA7F30" w:rsidRDefault="00973B0B" w:rsidP="004427E6">
            <w:pPr>
              <w:pStyle w:val="Style"/>
              <w:tabs>
                <w:tab w:val="left" w:pos="3379"/>
                <w:tab w:val="left" w:pos="5914"/>
              </w:tabs>
              <w:rPr>
                <w:rFonts w:ascii="Times New Roman" w:hAnsi="Times New Roman" w:cs="Times New Roman"/>
                <w:sz w:val="22"/>
                <w:szCs w:val="22"/>
              </w:rPr>
            </w:pPr>
            <w:r w:rsidRPr="001B0AB9">
              <w:rPr>
                <w:rFonts w:ascii="Times New Roman" w:hAnsi="Times New Roman" w:cs="Times New Roman"/>
                <w:sz w:val="22"/>
                <w:szCs w:val="22"/>
              </w:rPr>
              <w:t>156,7</w:t>
            </w:r>
            <w:r w:rsidRPr="001B0AB9">
              <w:rPr>
                <w:rFonts w:ascii="Times New Roman" w:hAnsi="Times New Roman" w:cs="Times New Roman"/>
                <w:w w:val="105"/>
                <w:sz w:val="22"/>
                <w:szCs w:val="22"/>
              </w:rPr>
              <w:t>±34,4</w:t>
            </w:r>
          </w:p>
        </w:tc>
        <w:tc>
          <w:tcPr>
            <w:tcW w:w="3096" w:type="dxa"/>
          </w:tcPr>
          <w:p w:rsidR="00973B0B" w:rsidRPr="00EA7F30" w:rsidRDefault="00973B0B" w:rsidP="004427E6">
            <w:pPr>
              <w:pStyle w:val="Style"/>
              <w:tabs>
                <w:tab w:val="left" w:pos="3379"/>
                <w:tab w:val="left" w:pos="5914"/>
              </w:tabs>
              <w:rPr>
                <w:rFonts w:ascii="Times New Roman" w:hAnsi="Times New Roman" w:cs="Times New Roman"/>
                <w:sz w:val="22"/>
                <w:szCs w:val="22"/>
              </w:rPr>
            </w:pPr>
          </w:p>
          <w:p w:rsidR="00973B0B" w:rsidRPr="00EA7F30" w:rsidRDefault="00973B0B" w:rsidP="004427E6">
            <w:pPr>
              <w:pStyle w:val="Style"/>
              <w:tabs>
                <w:tab w:val="left" w:pos="3379"/>
                <w:tab w:val="left" w:pos="5914"/>
              </w:tabs>
              <w:rPr>
                <w:rFonts w:ascii="Times New Roman" w:hAnsi="Times New Roman" w:cs="Times New Roman"/>
                <w:sz w:val="22"/>
                <w:szCs w:val="22"/>
              </w:rPr>
            </w:pPr>
          </w:p>
          <w:p w:rsidR="00973B0B" w:rsidRPr="00EA7F30" w:rsidRDefault="00973B0B" w:rsidP="004427E6">
            <w:pPr>
              <w:pStyle w:val="Style"/>
              <w:tabs>
                <w:tab w:val="left" w:pos="3379"/>
                <w:tab w:val="left" w:pos="5914"/>
              </w:tabs>
              <w:rPr>
                <w:rFonts w:ascii="Times New Roman" w:hAnsi="Times New Roman" w:cs="Times New Roman"/>
                <w:sz w:val="22"/>
                <w:szCs w:val="22"/>
              </w:rPr>
            </w:pPr>
          </w:p>
          <w:p w:rsidR="00973B0B" w:rsidRPr="00EA7F30" w:rsidRDefault="00973B0B" w:rsidP="004427E6">
            <w:pPr>
              <w:pStyle w:val="Style"/>
              <w:tabs>
                <w:tab w:val="left" w:pos="3379"/>
                <w:tab w:val="left" w:pos="5914"/>
              </w:tabs>
              <w:rPr>
                <w:rFonts w:ascii="Times New Roman" w:hAnsi="Times New Roman" w:cs="Times New Roman"/>
                <w:sz w:val="22"/>
                <w:szCs w:val="22"/>
              </w:rPr>
            </w:pPr>
            <w:r w:rsidRPr="001B0AB9">
              <w:rPr>
                <w:rFonts w:ascii="Times New Roman" w:hAnsi="Times New Roman" w:cs="Times New Roman"/>
                <w:sz w:val="22"/>
                <w:szCs w:val="22"/>
              </w:rPr>
              <w:t>148,8</w:t>
            </w:r>
            <w:r w:rsidRPr="001B0AB9">
              <w:rPr>
                <w:rFonts w:ascii="Times New Roman" w:hAnsi="Times New Roman" w:cs="Times New Roman"/>
                <w:w w:val="105"/>
                <w:sz w:val="22"/>
                <w:szCs w:val="22"/>
              </w:rPr>
              <w:t>±30,3</w:t>
            </w:r>
          </w:p>
        </w:tc>
      </w:tr>
    </w:tbl>
    <w:p w:rsidR="00973B0B" w:rsidRPr="00EA7F30" w:rsidRDefault="00973B0B" w:rsidP="008F211F">
      <w:pPr>
        <w:pStyle w:val="Style"/>
        <w:tabs>
          <w:tab w:val="left" w:pos="3379"/>
          <w:tab w:val="left" w:pos="5914"/>
        </w:tabs>
        <w:rPr>
          <w:rFonts w:ascii="Times New Roman" w:hAnsi="Times New Roman" w:cs="Times New Roman"/>
          <w:i/>
          <w:iCs/>
          <w:sz w:val="22"/>
          <w:szCs w:val="22"/>
        </w:rPr>
      </w:pPr>
      <w:r w:rsidRPr="00EA7F30">
        <w:rPr>
          <w:rFonts w:ascii="Times New Roman" w:hAnsi="Times New Roman" w:cs="Times New Roman"/>
          <w:i/>
          <w:iCs/>
          <w:sz w:val="22"/>
          <w:szCs w:val="22"/>
        </w:rPr>
        <w:t>Nurodyti rodmenų vidurkiai ir jų standartinis nuokrypis.</w:t>
      </w:r>
    </w:p>
    <w:p w:rsidR="00973B0B" w:rsidRPr="00EA7F30" w:rsidRDefault="00973B0B" w:rsidP="007F7D76">
      <w:pPr>
        <w:pStyle w:val="BTEMEASMCA"/>
      </w:pPr>
    </w:p>
    <w:p w:rsidR="00973B0B" w:rsidRPr="00EA7F30" w:rsidRDefault="00973B0B" w:rsidP="00A3196F">
      <w:pPr>
        <w:tabs>
          <w:tab w:val="left" w:pos="567"/>
        </w:tabs>
        <w:rPr>
          <w:sz w:val="22"/>
          <w:szCs w:val="22"/>
          <w:u w:val="single"/>
        </w:rPr>
      </w:pPr>
      <w:r w:rsidRPr="001B0AB9">
        <w:rPr>
          <w:sz w:val="22"/>
          <w:szCs w:val="22"/>
          <w:u w:val="single"/>
        </w:rPr>
        <w:t>Ypatingos populiacijos</w:t>
      </w:r>
    </w:p>
    <w:p w:rsidR="00973B0B" w:rsidRPr="00EA7F30" w:rsidRDefault="00973B0B" w:rsidP="00A3196F">
      <w:pPr>
        <w:tabs>
          <w:tab w:val="left" w:pos="567"/>
        </w:tabs>
        <w:rPr>
          <w:i/>
          <w:sz w:val="22"/>
          <w:szCs w:val="22"/>
        </w:rPr>
      </w:pPr>
      <w:r w:rsidRPr="001B0AB9">
        <w:rPr>
          <w:i/>
          <w:sz w:val="22"/>
          <w:szCs w:val="22"/>
        </w:rPr>
        <w:t>Vaikų populiacija</w:t>
      </w:r>
    </w:p>
    <w:p w:rsidR="00973B0B" w:rsidRPr="00EA7F30" w:rsidRDefault="00973B0B" w:rsidP="00A3196F">
      <w:pPr>
        <w:tabs>
          <w:tab w:val="left" w:pos="567"/>
        </w:tabs>
        <w:rPr>
          <w:sz w:val="22"/>
          <w:szCs w:val="22"/>
        </w:rPr>
      </w:pPr>
      <w:r w:rsidRPr="001B0AB9">
        <w:rPr>
          <w:sz w:val="22"/>
          <w:szCs w:val="22"/>
        </w:rPr>
        <w:t>Dėl intensyvesnės eliminacijos vaikams gali tekti skirti didesnę karbamazepino dozę (mg/kg kūno svorio) nei suaugusiems žmonėms.</w:t>
      </w:r>
    </w:p>
    <w:p w:rsidR="00973B0B" w:rsidRPr="00EA7F30" w:rsidRDefault="00973B0B" w:rsidP="00A3196F">
      <w:pPr>
        <w:tabs>
          <w:tab w:val="left" w:pos="567"/>
        </w:tabs>
        <w:rPr>
          <w:sz w:val="22"/>
          <w:szCs w:val="22"/>
        </w:rPr>
      </w:pPr>
    </w:p>
    <w:p w:rsidR="00973B0B" w:rsidRPr="00EA7F30" w:rsidRDefault="00973B0B" w:rsidP="00A3196F">
      <w:pPr>
        <w:tabs>
          <w:tab w:val="left" w:pos="567"/>
        </w:tabs>
        <w:rPr>
          <w:sz w:val="22"/>
          <w:szCs w:val="22"/>
          <w:u w:val="single"/>
        </w:rPr>
      </w:pPr>
      <w:r w:rsidRPr="001B0AB9">
        <w:rPr>
          <w:sz w:val="22"/>
          <w:szCs w:val="22"/>
          <w:u w:val="single"/>
        </w:rPr>
        <w:t>Senyviems pacientams</w:t>
      </w:r>
    </w:p>
    <w:p w:rsidR="00973B0B" w:rsidRPr="00EA7F30" w:rsidRDefault="00973B0B" w:rsidP="00A3196F">
      <w:pPr>
        <w:tabs>
          <w:tab w:val="left" w:pos="567"/>
        </w:tabs>
        <w:rPr>
          <w:sz w:val="22"/>
          <w:szCs w:val="22"/>
        </w:rPr>
      </w:pPr>
      <w:r w:rsidRPr="001B0AB9">
        <w:rPr>
          <w:sz w:val="22"/>
          <w:szCs w:val="22"/>
        </w:rPr>
        <w:t xml:space="preserve">Senyvų žmonių organizme karbamazepino farmakokinetika yra tokia pat kaip ir jaunesnių suaugusių žmonių. </w:t>
      </w:r>
    </w:p>
    <w:p w:rsidR="00973B0B" w:rsidRPr="00EA7F30" w:rsidRDefault="00973B0B" w:rsidP="00A3196F">
      <w:pPr>
        <w:tabs>
          <w:tab w:val="left" w:pos="567"/>
        </w:tabs>
        <w:rPr>
          <w:sz w:val="22"/>
          <w:szCs w:val="22"/>
        </w:rPr>
      </w:pPr>
    </w:p>
    <w:p w:rsidR="00973B0B" w:rsidRPr="00EA7F30" w:rsidRDefault="00973B0B" w:rsidP="00A3196F">
      <w:pPr>
        <w:tabs>
          <w:tab w:val="left" w:pos="567"/>
        </w:tabs>
        <w:rPr>
          <w:i/>
          <w:sz w:val="22"/>
          <w:szCs w:val="22"/>
        </w:rPr>
      </w:pPr>
      <w:r w:rsidRPr="001B0AB9">
        <w:rPr>
          <w:sz w:val="22"/>
          <w:szCs w:val="22"/>
          <w:u w:val="single"/>
        </w:rPr>
        <w:t>Sutrikusi kepenų ar inkstų veikla</w:t>
      </w:r>
    </w:p>
    <w:p w:rsidR="00973B0B" w:rsidRPr="00EA7F30" w:rsidRDefault="00973B0B" w:rsidP="00A3196F">
      <w:pPr>
        <w:tabs>
          <w:tab w:val="left" w:pos="567"/>
        </w:tabs>
        <w:rPr>
          <w:sz w:val="22"/>
          <w:szCs w:val="22"/>
        </w:rPr>
      </w:pPr>
      <w:r w:rsidRPr="001B0AB9">
        <w:rPr>
          <w:sz w:val="22"/>
          <w:szCs w:val="22"/>
        </w:rPr>
        <w:t xml:space="preserve">Pacientų, sergančių kepenų arba inkstų veiklos sutrikimu, organizme karbamazepino farmakokinetika neištirta. </w:t>
      </w:r>
    </w:p>
    <w:p w:rsidR="00973B0B" w:rsidRPr="00EA7F30" w:rsidRDefault="00973B0B" w:rsidP="007F7D76">
      <w:pPr>
        <w:pStyle w:val="BTEMEASMCA"/>
      </w:pPr>
    </w:p>
    <w:p w:rsidR="00973B0B" w:rsidRPr="00EA7F30" w:rsidRDefault="00973B0B" w:rsidP="008F211F">
      <w:pPr>
        <w:pStyle w:val="PI-2EMEASMCA"/>
      </w:pPr>
      <w:bookmarkStart w:id="38" w:name="_Toc129243114"/>
      <w:bookmarkStart w:id="39" w:name="_Toc129243239"/>
      <w:r w:rsidRPr="001B0AB9">
        <w:t>5.3</w:t>
      </w:r>
      <w:r w:rsidRPr="0040296C">
        <w:tab/>
      </w:r>
      <w:r w:rsidRPr="001B0AB9">
        <w:t>Ikiklinikinių saugumo tyrimų duomenys</w:t>
      </w:r>
      <w:bookmarkEnd w:id="38"/>
      <w:bookmarkEnd w:id="39"/>
    </w:p>
    <w:p w:rsidR="00973B0B" w:rsidRPr="00EA7F30" w:rsidRDefault="00973B0B" w:rsidP="007F7D76">
      <w:pPr>
        <w:pStyle w:val="BTEMEASMCA"/>
      </w:pPr>
    </w:p>
    <w:p w:rsidR="00973B0B" w:rsidRPr="00EA7F30" w:rsidRDefault="00973B0B" w:rsidP="008F211F">
      <w:pPr>
        <w:pStyle w:val="Style"/>
        <w:tabs>
          <w:tab w:val="left" w:pos="3379"/>
          <w:tab w:val="left" w:pos="5914"/>
        </w:tabs>
        <w:rPr>
          <w:rFonts w:ascii="Times New Roman" w:hAnsi="Times New Roman" w:cs="Times New Roman"/>
          <w:i/>
          <w:iCs/>
          <w:sz w:val="22"/>
          <w:szCs w:val="22"/>
        </w:rPr>
      </w:pPr>
      <w:r w:rsidRPr="001B0AB9">
        <w:rPr>
          <w:rFonts w:ascii="Times New Roman" w:hAnsi="Times New Roman" w:cs="Times New Roman"/>
          <w:i/>
          <w:iCs/>
          <w:sz w:val="22"/>
          <w:szCs w:val="22"/>
        </w:rPr>
        <w:t xml:space="preserve">Ūminis toksinis poveikis </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Apsinuodijimo simptomai, priešnuodžiai ir pagalbos priemonės nurodytos 4.9 skyriuje "Perdozavimas".</w:t>
      </w:r>
    </w:p>
    <w:p w:rsidR="00973B0B" w:rsidRPr="00EA7F30" w:rsidRDefault="00973B0B" w:rsidP="008F211F">
      <w:pPr>
        <w:pStyle w:val="Style"/>
        <w:rPr>
          <w:rFonts w:ascii="Times New Roman" w:hAnsi="Times New Roman" w:cs="Times New Roman"/>
          <w:i/>
          <w:iCs/>
          <w:sz w:val="22"/>
          <w:szCs w:val="22"/>
          <w:u w:val="single"/>
        </w:rPr>
      </w:pPr>
    </w:p>
    <w:p w:rsidR="00973B0B" w:rsidRPr="00EA7F30" w:rsidRDefault="00973B0B" w:rsidP="008F211F">
      <w:pPr>
        <w:pStyle w:val="Style"/>
        <w:rPr>
          <w:rFonts w:ascii="Times New Roman" w:hAnsi="Times New Roman" w:cs="Times New Roman"/>
          <w:i/>
          <w:iCs/>
          <w:sz w:val="22"/>
          <w:szCs w:val="22"/>
        </w:rPr>
      </w:pPr>
      <w:r w:rsidRPr="001B0AB9">
        <w:rPr>
          <w:rFonts w:ascii="Times New Roman" w:hAnsi="Times New Roman" w:cs="Times New Roman"/>
          <w:i/>
          <w:iCs/>
          <w:sz w:val="22"/>
          <w:szCs w:val="22"/>
        </w:rPr>
        <w:t>Lėtinis toksinis poveikis</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Tyrimo su žiurkėmis, kurioms 24 savaites kasdien buvo sugirdoma 50</w:t>
      </w:r>
      <w:r w:rsidRPr="0040296C">
        <w:rPr>
          <w:rFonts w:ascii="Times New Roman" w:hAnsi="Times New Roman" w:cs="Times New Roman"/>
          <w:sz w:val="22"/>
          <w:szCs w:val="22"/>
        </w:rPr>
        <w:t> </w:t>
      </w:r>
      <w:r w:rsidRPr="001B0AB9">
        <w:rPr>
          <w:rFonts w:ascii="Times New Roman" w:hAnsi="Times New Roman" w:cs="Times New Roman"/>
          <w:sz w:val="22"/>
          <w:szCs w:val="22"/>
        </w:rPr>
        <w:t>mg/kg kūno svorio, 100</w:t>
      </w:r>
      <w:r w:rsidRPr="0040296C">
        <w:rPr>
          <w:rFonts w:ascii="Times New Roman" w:hAnsi="Times New Roman" w:cs="Times New Roman"/>
          <w:sz w:val="22"/>
          <w:szCs w:val="22"/>
        </w:rPr>
        <w:t> </w:t>
      </w:r>
      <w:r w:rsidRPr="001B0AB9">
        <w:rPr>
          <w:rFonts w:ascii="Times New Roman" w:hAnsi="Times New Roman" w:cs="Times New Roman"/>
          <w:sz w:val="22"/>
          <w:szCs w:val="22"/>
        </w:rPr>
        <w:t>mg/kg kūno svorio arba 200</w:t>
      </w:r>
      <w:r w:rsidRPr="0040296C">
        <w:rPr>
          <w:rFonts w:ascii="Times New Roman" w:hAnsi="Times New Roman" w:cs="Times New Roman"/>
          <w:sz w:val="22"/>
          <w:szCs w:val="22"/>
        </w:rPr>
        <w:t> </w:t>
      </w:r>
      <w:r w:rsidRPr="001B0AB9">
        <w:rPr>
          <w:rFonts w:ascii="Times New Roman" w:hAnsi="Times New Roman" w:cs="Times New Roman"/>
          <w:sz w:val="22"/>
          <w:szCs w:val="22"/>
        </w:rPr>
        <w:t>mg/kg kūno svorio dozė, metu karbamazepino sukelto organų pažeidimo nepastebėta. Tyrimo su šunimis, kuriems 52 savaites kasdien buvo sugirdoma 100</w:t>
      </w:r>
      <w:r w:rsidRPr="0040296C">
        <w:rPr>
          <w:rFonts w:ascii="Times New Roman" w:hAnsi="Times New Roman" w:cs="Times New Roman"/>
          <w:sz w:val="22"/>
          <w:szCs w:val="22"/>
        </w:rPr>
        <w:t> </w:t>
      </w:r>
      <w:r w:rsidRPr="001B0AB9">
        <w:rPr>
          <w:rFonts w:ascii="Times New Roman" w:hAnsi="Times New Roman" w:cs="Times New Roman"/>
          <w:sz w:val="22"/>
          <w:szCs w:val="22"/>
        </w:rPr>
        <w:t>mg/kg kūno svorio dozė, metu toksinis poveikis nepasireiškė.</w:t>
      </w:r>
    </w:p>
    <w:p w:rsidR="00973B0B" w:rsidRPr="00EA7F30" w:rsidRDefault="00973B0B" w:rsidP="008F211F">
      <w:pPr>
        <w:pStyle w:val="Style"/>
        <w:rPr>
          <w:rFonts w:ascii="Times New Roman" w:hAnsi="Times New Roman" w:cs="Times New Roman"/>
          <w:i/>
          <w:iCs/>
          <w:sz w:val="22"/>
          <w:szCs w:val="22"/>
        </w:rPr>
      </w:pPr>
    </w:p>
    <w:p w:rsidR="00973B0B" w:rsidRPr="00EA7F30" w:rsidRDefault="00973B0B" w:rsidP="008F211F">
      <w:pPr>
        <w:pStyle w:val="Style"/>
        <w:rPr>
          <w:rFonts w:ascii="Times New Roman" w:hAnsi="Times New Roman" w:cs="Times New Roman"/>
          <w:i/>
          <w:iCs/>
          <w:sz w:val="22"/>
          <w:szCs w:val="22"/>
        </w:rPr>
      </w:pPr>
      <w:r w:rsidRPr="001B0AB9">
        <w:rPr>
          <w:rFonts w:ascii="Times New Roman" w:hAnsi="Times New Roman" w:cs="Times New Roman"/>
          <w:i/>
          <w:iCs/>
          <w:sz w:val="22"/>
          <w:szCs w:val="22"/>
        </w:rPr>
        <w:t>Toksinis poveikis dauginimuisi</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 xml:space="preserve">Išanalizavus nuo 1963 metų sukauptus karbamazepino teratogeninio poveikio tyrimų duomenis, daryti išvadą, kad gyvūnams vaistas sukelia teratogeninį poveikį, negalima. Naujų tyrimų duomenimis, karbamazepinas, skirtingai nuo įvairių kitų vaistinių preparatų nuo epilepsijos, pelėms (šie gyvūnai yra ypač jautrūs karbamazepinui) teratogeninio poveikio nesukelia. Tik patelei ir vaisiui toksinė dozė šiek </w:t>
      </w:r>
      <w:r w:rsidRPr="001B0AB9">
        <w:rPr>
          <w:rFonts w:ascii="Times New Roman" w:hAnsi="Times New Roman" w:cs="Times New Roman"/>
          <w:sz w:val="22"/>
          <w:szCs w:val="22"/>
        </w:rPr>
        <w:lastRenderedPageBreak/>
        <w:t>tiek padidina apsigimimų (pvz., gomurio plyšio) kiekį.</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Dauginimosi tyrimų su žiurkėmis duomenimis, labai didelė karbamazepino dozė gyvūnų vaisingumo, embriono implantacijos bei rezorbcijos indeksams įtakos nedaro bei nemažina atsivestų gyvų jauniklių kiekio.</w:t>
      </w:r>
    </w:p>
    <w:p w:rsidR="00973B0B" w:rsidRPr="00EA7F30" w:rsidRDefault="00973B0B" w:rsidP="008F211F">
      <w:pPr>
        <w:pStyle w:val="Style"/>
        <w:rPr>
          <w:rFonts w:ascii="Times New Roman" w:hAnsi="Times New Roman" w:cs="Times New Roman"/>
          <w:i/>
          <w:iCs/>
          <w:sz w:val="22"/>
          <w:szCs w:val="22"/>
        </w:rPr>
      </w:pPr>
      <w:r w:rsidRPr="001B0AB9">
        <w:rPr>
          <w:rFonts w:ascii="Times New Roman" w:hAnsi="Times New Roman" w:cs="Times New Roman"/>
          <w:sz w:val="22"/>
          <w:szCs w:val="22"/>
        </w:rPr>
        <w:t>Patirtis žmonėms sukaupta stebint pirmuosius tris nėštumo mėnesius daugiau negu 500 moterų. Vartojant karbamazepino, kaip ir kitokių vaistinių preparatų nuo traukulių, pastebėta įvairių apsigimimų. Priklausomumo laipsnis tarp karbamazepino ir apsigimimų nenustatytas. Apsigimimas gali priklausyti ir nuo pagrindinės ligos bei genetinių faktorių. Įvairių epidemiologinių tyrimų duomenimis, maždaug 1</w:t>
      </w:r>
      <w:r w:rsidRPr="001B0AB9">
        <w:rPr>
          <w:rFonts w:ascii="Times New Roman" w:hAnsi="Times New Roman" w:cs="Times New Roman"/>
          <w:w w:val="109"/>
          <w:sz w:val="22"/>
          <w:szCs w:val="22"/>
        </w:rPr>
        <w:t xml:space="preserve">% </w:t>
      </w:r>
      <w:r w:rsidRPr="001B0AB9">
        <w:rPr>
          <w:rFonts w:ascii="Times New Roman" w:hAnsi="Times New Roman" w:cs="Times New Roman"/>
          <w:sz w:val="22"/>
          <w:szCs w:val="22"/>
        </w:rPr>
        <w:t xml:space="preserve">naujagimių gali būti įskilas stuburas </w:t>
      </w:r>
      <w:r w:rsidRPr="001B0AB9">
        <w:rPr>
          <w:rFonts w:ascii="Times New Roman" w:hAnsi="Times New Roman" w:cs="Times New Roman"/>
          <w:i/>
          <w:iCs/>
          <w:sz w:val="22"/>
          <w:szCs w:val="22"/>
        </w:rPr>
        <w:t>(spina bifida).</w:t>
      </w:r>
    </w:p>
    <w:p w:rsidR="00973B0B" w:rsidRPr="00EA7F30" w:rsidRDefault="00973B0B" w:rsidP="008F211F">
      <w:pPr>
        <w:pStyle w:val="Style"/>
        <w:rPr>
          <w:rFonts w:ascii="Times New Roman" w:hAnsi="Times New Roman" w:cs="Times New Roman"/>
          <w:i/>
          <w:iCs/>
          <w:sz w:val="22"/>
          <w:szCs w:val="22"/>
        </w:rPr>
      </w:pPr>
    </w:p>
    <w:p w:rsidR="00973B0B" w:rsidRPr="00EA7F30" w:rsidRDefault="00973B0B" w:rsidP="008F211F">
      <w:pPr>
        <w:pStyle w:val="Style"/>
        <w:rPr>
          <w:rFonts w:ascii="Times New Roman" w:hAnsi="Times New Roman" w:cs="Times New Roman"/>
          <w:i/>
          <w:iCs/>
          <w:sz w:val="22"/>
          <w:szCs w:val="22"/>
        </w:rPr>
      </w:pPr>
      <w:r w:rsidRPr="001B0AB9">
        <w:rPr>
          <w:rFonts w:ascii="Times New Roman" w:hAnsi="Times New Roman" w:cs="Times New Roman"/>
          <w:i/>
          <w:iCs/>
          <w:sz w:val="22"/>
          <w:szCs w:val="22"/>
        </w:rPr>
        <w:t>Kancerogeninis poveikis</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Žiurkėms, kurios du metus vartojo karbamazepino, natūralaus gyvenimo pabaigoje padaugėjo hepatomų. Duomenų, kad šis pokytis galėtų būti reikšmingas žmogui, nėra.</w:t>
      </w:r>
    </w:p>
    <w:p w:rsidR="00973B0B" w:rsidRPr="00EA7F30" w:rsidRDefault="00973B0B" w:rsidP="008F211F">
      <w:pPr>
        <w:pStyle w:val="Style"/>
        <w:rPr>
          <w:rFonts w:ascii="Times New Roman" w:hAnsi="Times New Roman" w:cs="Times New Roman"/>
          <w:i/>
          <w:iCs/>
          <w:sz w:val="22"/>
          <w:szCs w:val="22"/>
        </w:rPr>
      </w:pPr>
    </w:p>
    <w:p w:rsidR="00973B0B" w:rsidRPr="00EA7F30" w:rsidRDefault="00973B0B" w:rsidP="008F211F">
      <w:pPr>
        <w:pStyle w:val="Style"/>
        <w:rPr>
          <w:rFonts w:ascii="Times New Roman" w:hAnsi="Times New Roman" w:cs="Times New Roman"/>
          <w:i/>
          <w:iCs/>
          <w:sz w:val="22"/>
          <w:szCs w:val="22"/>
        </w:rPr>
      </w:pPr>
      <w:r w:rsidRPr="001B0AB9">
        <w:rPr>
          <w:rFonts w:ascii="Times New Roman" w:hAnsi="Times New Roman" w:cs="Times New Roman"/>
          <w:i/>
          <w:iCs/>
          <w:sz w:val="22"/>
          <w:szCs w:val="22"/>
        </w:rPr>
        <w:t>Mutageninis poveikis</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 xml:space="preserve">Tyrimų </w:t>
      </w:r>
      <w:r w:rsidRPr="001B0AB9">
        <w:rPr>
          <w:rFonts w:ascii="Times New Roman" w:hAnsi="Times New Roman" w:cs="Times New Roman"/>
          <w:i/>
          <w:iCs/>
          <w:sz w:val="22"/>
          <w:szCs w:val="22"/>
        </w:rPr>
        <w:t xml:space="preserve">in vitro </w:t>
      </w:r>
      <w:r w:rsidRPr="001B0AB9">
        <w:rPr>
          <w:rFonts w:ascii="Times New Roman" w:hAnsi="Times New Roman" w:cs="Times New Roman"/>
          <w:sz w:val="22"/>
          <w:szCs w:val="22"/>
        </w:rPr>
        <w:t>ir su gyvūnais metu karbamazepino gebėjimo skatinti mutacijų atsiradimą nepastebėta.</w:t>
      </w:r>
    </w:p>
    <w:p w:rsidR="00973B0B" w:rsidRPr="00EA7F30" w:rsidRDefault="00973B0B" w:rsidP="008F211F">
      <w:pPr>
        <w:pStyle w:val="PI-1EMEASMCA"/>
      </w:pPr>
      <w:bookmarkStart w:id="40" w:name="_Toc129243115"/>
      <w:bookmarkStart w:id="41" w:name="_Toc129243240"/>
    </w:p>
    <w:p w:rsidR="00973B0B" w:rsidRPr="00EA7F30" w:rsidRDefault="00973B0B" w:rsidP="008F211F">
      <w:pPr>
        <w:pStyle w:val="PI-1EMEASMCA"/>
      </w:pPr>
    </w:p>
    <w:p w:rsidR="00973B0B" w:rsidRPr="00EA7F30" w:rsidRDefault="00973B0B" w:rsidP="008F211F">
      <w:pPr>
        <w:pStyle w:val="PI-1EMEASMCA"/>
      </w:pPr>
      <w:r w:rsidRPr="001B0AB9">
        <w:t>6.</w:t>
      </w:r>
      <w:r w:rsidRPr="0040296C">
        <w:tab/>
      </w:r>
      <w:r w:rsidRPr="001B0AB9">
        <w:t>FARMACINĖ INFORMACIJA</w:t>
      </w:r>
      <w:bookmarkEnd w:id="40"/>
      <w:bookmarkEnd w:id="41"/>
    </w:p>
    <w:p w:rsidR="00973B0B" w:rsidRPr="00EA7F30" w:rsidRDefault="00973B0B" w:rsidP="007F7D76">
      <w:pPr>
        <w:pStyle w:val="BTEMEASMCA"/>
      </w:pPr>
    </w:p>
    <w:p w:rsidR="00973B0B" w:rsidRPr="00EA7F30" w:rsidRDefault="00973B0B" w:rsidP="008F211F">
      <w:pPr>
        <w:pStyle w:val="PI-2EMEASMCA"/>
      </w:pPr>
      <w:bookmarkStart w:id="42" w:name="_Toc129243116"/>
      <w:bookmarkStart w:id="43" w:name="_Toc129243241"/>
      <w:r w:rsidRPr="001B0AB9">
        <w:t>6.1</w:t>
      </w:r>
      <w:r w:rsidRPr="0040296C">
        <w:tab/>
      </w:r>
      <w:r w:rsidRPr="001B0AB9">
        <w:t>Pagalbinių medžiagų sąrašas</w:t>
      </w:r>
      <w:bookmarkEnd w:id="42"/>
      <w:bookmarkEnd w:id="43"/>
    </w:p>
    <w:p w:rsidR="00973B0B" w:rsidRPr="00EA7F30" w:rsidRDefault="00973B0B" w:rsidP="007F7D76">
      <w:pPr>
        <w:pStyle w:val="BTEMEASMCA"/>
      </w:pP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Želatina</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Magnio stearatas (E572)</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Kroskarmeliozės natrio druska</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Mikrokristalinė celiuliozė (E460)</w:t>
      </w:r>
    </w:p>
    <w:p w:rsidR="00973B0B" w:rsidRPr="00EA7F30" w:rsidRDefault="00973B0B" w:rsidP="007F7D76">
      <w:pPr>
        <w:pStyle w:val="BTEMEASMCA"/>
      </w:pPr>
    </w:p>
    <w:p w:rsidR="00973B0B" w:rsidRPr="00EA7F30" w:rsidRDefault="00973B0B" w:rsidP="008F211F">
      <w:pPr>
        <w:pStyle w:val="PI-2EMEASMCA"/>
      </w:pPr>
      <w:bookmarkStart w:id="44" w:name="_Toc129243117"/>
      <w:bookmarkStart w:id="45" w:name="_Toc129243242"/>
      <w:r w:rsidRPr="001B0AB9">
        <w:t>6.2</w:t>
      </w:r>
      <w:r w:rsidRPr="0040296C">
        <w:tab/>
      </w:r>
      <w:r w:rsidRPr="001B0AB9">
        <w:t>Nesuderinamumas</w:t>
      </w:r>
      <w:bookmarkEnd w:id="44"/>
      <w:bookmarkEnd w:id="45"/>
    </w:p>
    <w:p w:rsidR="00973B0B" w:rsidRPr="00EA7F30" w:rsidRDefault="00973B0B" w:rsidP="007F7D76">
      <w:pPr>
        <w:pStyle w:val="BTEMEASMCA"/>
      </w:pPr>
    </w:p>
    <w:p w:rsidR="00973B0B" w:rsidRPr="00EA7F30" w:rsidRDefault="00973B0B" w:rsidP="007F7D76">
      <w:pPr>
        <w:pStyle w:val="BTEMEASMCA"/>
      </w:pPr>
      <w:r w:rsidRPr="001B0AB9">
        <w:t>Duomenys nebūtini.</w:t>
      </w:r>
    </w:p>
    <w:p w:rsidR="00973B0B" w:rsidRPr="00EA7F30" w:rsidRDefault="00973B0B" w:rsidP="007F7D76">
      <w:pPr>
        <w:pStyle w:val="BTEMEASMCA"/>
      </w:pPr>
    </w:p>
    <w:p w:rsidR="00973B0B" w:rsidRPr="00EA7F30" w:rsidRDefault="00973B0B" w:rsidP="008F211F">
      <w:pPr>
        <w:pStyle w:val="PI-2EMEASMCA"/>
      </w:pPr>
      <w:bookmarkStart w:id="46" w:name="_Toc129243118"/>
      <w:bookmarkStart w:id="47" w:name="_Toc129243243"/>
      <w:r w:rsidRPr="001B0AB9">
        <w:t>6.3</w:t>
      </w:r>
      <w:r w:rsidRPr="0040296C">
        <w:tab/>
      </w:r>
      <w:r w:rsidRPr="001B0AB9">
        <w:t>Tinkamumo laikas</w:t>
      </w:r>
      <w:bookmarkEnd w:id="46"/>
      <w:bookmarkEnd w:id="47"/>
    </w:p>
    <w:p w:rsidR="00973B0B" w:rsidRPr="00EA7F30" w:rsidRDefault="00973B0B" w:rsidP="007F7D76">
      <w:pPr>
        <w:pStyle w:val="BTEMEASMCA"/>
      </w:pPr>
    </w:p>
    <w:p w:rsidR="00973B0B" w:rsidRPr="00EA7F30" w:rsidRDefault="00973B0B" w:rsidP="007F7D76">
      <w:pPr>
        <w:pStyle w:val="BTEMEASMCA"/>
      </w:pPr>
      <w:r w:rsidRPr="001B0AB9">
        <w:t>3 metai</w:t>
      </w:r>
    </w:p>
    <w:p w:rsidR="00973B0B" w:rsidRPr="00EA7F30" w:rsidRDefault="00973B0B" w:rsidP="007F7D76">
      <w:pPr>
        <w:pStyle w:val="BTEMEASMCA"/>
      </w:pPr>
    </w:p>
    <w:p w:rsidR="00973B0B" w:rsidRPr="00EA7F30" w:rsidRDefault="00973B0B" w:rsidP="008F211F">
      <w:pPr>
        <w:pStyle w:val="PI-2EMEASMCA"/>
      </w:pPr>
      <w:bookmarkStart w:id="48" w:name="_Toc129243119"/>
      <w:bookmarkStart w:id="49" w:name="_Toc129243244"/>
      <w:r w:rsidRPr="001B0AB9">
        <w:t>6.4</w:t>
      </w:r>
      <w:r w:rsidRPr="0040296C">
        <w:tab/>
      </w:r>
      <w:r w:rsidRPr="001B0AB9">
        <w:t>Specialios laikymo sąlygos</w:t>
      </w:r>
      <w:bookmarkEnd w:id="48"/>
      <w:bookmarkEnd w:id="49"/>
    </w:p>
    <w:p w:rsidR="00973B0B" w:rsidRPr="00EA7F30" w:rsidRDefault="00973B0B" w:rsidP="007F7D76">
      <w:pPr>
        <w:pStyle w:val="BTEMEASMCA"/>
      </w:pPr>
    </w:p>
    <w:p w:rsidR="00973B0B" w:rsidRPr="006045BE" w:rsidRDefault="00973B0B" w:rsidP="007F7D76">
      <w:pPr>
        <w:pStyle w:val="BTEMEASMCA"/>
      </w:pPr>
      <w:r w:rsidRPr="006045BE">
        <w:t>Šiam vaistiniam preparatui specialių laikymo sąlygų nereikia.</w:t>
      </w:r>
    </w:p>
    <w:p w:rsidR="00973B0B" w:rsidRPr="00EA7F30" w:rsidRDefault="00973B0B" w:rsidP="007F7D76">
      <w:pPr>
        <w:pStyle w:val="BTEMEASMCA"/>
      </w:pPr>
    </w:p>
    <w:p w:rsidR="00973B0B" w:rsidRPr="00EA7F30" w:rsidRDefault="00973B0B" w:rsidP="008F211F">
      <w:pPr>
        <w:pStyle w:val="PI-2EMEASMCA"/>
      </w:pPr>
      <w:bookmarkStart w:id="50" w:name="_Toc129243120"/>
      <w:bookmarkStart w:id="51" w:name="_Toc129243245"/>
      <w:r w:rsidRPr="001B0AB9">
        <w:t>6.5</w:t>
      </w:r>
      <w:r w:rsidRPr="0040296C">
        <w:tab/>
      </w:r>
      <w:r w:rsidRPr="001B0AB9">
        <w:t>Talpyklės pobūdis ir jos turinys</w:t>
      </w:r>
      <w:bookmarkEnd w:id="50"/>
      <w:bookmarkEnd w:id="51"/>
    </w:p>
    <w:p w:rsidR="00973B0B" w:rsidRPr="00EA7F30" w:rsidRDefault="00973B0B" w:rsidP="007F7D76">
      <w:pPr>
        <w:pStyle w:val="BTEMEASMCA"/>
      </w:pP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PVC/PVDC ir aliuminio bei pergamino folijos lizdinė plokštelė</w:t>
      </w:r>
      <w:r w:rsidR="00660B6F">
        <w:rPr>
          <w:rFonts w:ascii="Times New Roman" w:hAnsi="Times New Roman" w:cs="Times New Roman"/>
          <w:sz w:val="22"/>
          <w:szCs w:val="22"/>
        </w:rPr>
        <w:t xml:space="preserve"> </w:t>
      </w:r>
      <w:r w:rsidR="00660B6F" w:rsidRPr="00660B6F">
        <w:rPr>
          <w:rFonts w:ascii="Times New Roman" w:hAnsi="Times New Roman" w:cs="Times New Roman"/>
          <w:sz w:val="22"/>
          <w:szCs w:val="22"/>
        </w:rPr>
        <w:t xml:space="preserve">arba PVC/PVDC ir aliuminio (20 </w:t>
      </w:r>
      <w:r w:rsidR="00660B6F" w:rsidRPr="00660B6F">
        <w:rPr>
          <w:rFonts w:ascii="Times New Roman" w:hAnsi="Times New Roman" w:cs="Times New Roman"/>
          <w:sz w:val="22"/>
          <w:szCs w:val="22"/>
          <w:lang w:val="en-US"/>
        </w:rPr>
        <w:t>μm svorio) folijos lizdinė plokštelė</w:t>
      </w:r>
      <w:r w:rsidRPr="001B0AB9">
        <w:rPr>
          <w:rFonts w:ascii="Times New Roman" w:hAnsi="Times New Roman" w:cs="Times New Roman"/>
          <w:sz w:val="22"/>
          <w:szCs w:val="22"/>
        </w:rPr>
        <w:t>, kurioje yra 10 tablečių.</w:t>
      </w:r>
    </w:p>
    <w:p w:rsidR="00973B0B" w:rsidRPr="00EA7F30" w:rsidRDefault="00973B0B" w:rsidP="008F211F">
      <w:pPr>
        <w:pStyle w:val="Style"/>
        <w:rPr>
          <w:rFonts w:ascii="Times New Roman" w:hAnsi="Times New Roman" w:cs="Times New Roman"/>
          <w:sz w:val="22"/>
          <w:szCs w:val="22"/>
        </w:rPr>
      </w:pPr>
      <w:r w:rsidRPr="001B0AB9">
        <w:rPr>
          <w:rFonts w:ascii="Times New Roman" w:hAnsi="Times New Roman" w:cs="Times New Roman"/>
          <w:sz w:val="22"/>
          <w:szCs w:val="22"/>
        </w:rPr>
        <w:t>Pakuotėje yra 50 tablečių.</w:t>
      </w:r>
    </w:p>
    <w:p w:rsidR="00973B0B" w:rsidRPr="00EA7F30" w:rsidRDefault="00973B0B" w:rsidP="007F7D76">
      <w:pPr>
        <w:pStyle w:val="BTEMEASMCA"/>
      </w:pPr>
    </w:p>
    <w:p w:rsidR="00973B0B" w:rsidRPr="00EA7F30" w:rsidRDefault="00973B0B" w:rsidP="008F211F">
      <w:pPr>
        <w:pStyle w:val="PI-2EMEASMCA"/>
      </w:pPr>
      <w:bookmarkStart w:id="52" w:name="_Toc129243121"/>
      <w:bookmarkStart w:id="53" w:name="_Toc129243246"/>
      <w:r w:rsidRPr="001B0AB9">
        <w:t>6.6</w:t>
      </w:r>
      <w:r w:rsidRPr="0040296C">
        <w:tab/>
      </w:r>
      <w:r w:rsidRPr="001B0AB9">
        <w:t xml:space="preserve">Specialūs reikalavimai atliekoms tvarkyti </w:t>
      </w:r>
      <w:bookmarkEnd w:id="52"/>
      <w:bookmarkEnd w:id="53"/>
    </w:p>
    <w:p w:rsidR="00973B0B" w:rsidRPr="00EA7F30" w:rsidRDefault="00973B0B" w:rsidP="007F7D76">
      <w:pPr>
        <w:pStyle w:val="BTEMEASMCA"/>
      </w:pPr>
    </w:p>
    <w:p w:rsidR="00973B0B" w:rsidRPr="006045BE" w:rsidRDefault="00973B0B" w:rsidP="007F7D76">
      <w:pPr>
        <w:pStyle w:val="BTEMEASMCA"/>
      </w:pPr>
      <w:r w:rsidRPr="006045BE">
        <w:t>Specialių reikalavimų nėra.</w:t>
      </w:r>
    </w:p>
    <w:p w:rsidR="00973B0B" w:rsidRPr="006045BE" w:rsidRDefault="00973B0B" w:rsidP="007F7D76">
      <w:pPr>
        <w:pStyle w:val="BTEMEASMCA"/>
      </w:pPr>
      <w:r w:rsidRPr="006045BE">
        <w:t>Nesuvartotą preparatą ar atliekas reikia tvarkyti laikantis vietinių reikalavimų.</w:t>
      </w:r>
    </w:p>
    <w:p w:rsidR="00973B0B" w:rsidRPr="00EA7F30" w:rsidRDefault="00973B0B" w:rsidP="007F7D76">
      <w:pPr>
        <w:pStyle w:val="BTEMEASMCA"/>
      </w:pPr>
    </w:p>
    <w:p w:rsidR="00973B0B" w:rsidRPr="00EA7F30" w:rsidRDefault="00973B0B" w:rsidP="007F7D76">
      <w:pPr>
        <w:pStyle w:val="BTEMEASMCA"/>
      </w:pPr>
    </w:p>
    <w:p w:rsidR="00973B0B" w:rsidRPr="00EA7F30" w:rsidRDefault="00973B0B" w:rsidP="008F211F">
      <w:pPr>
        <w:pStyle w:val="PI-1EMEASMCA"/>
      </w:pPr>
      <w:bookmarkStart w:id="54" w:name="_Toc129243122"/>
      <w:bookmarkStart w:id="55" w:name="_Toc129243247"/>
      <w:r w:rsidRPr="001B0AB9">
        <w:t>7.</w:t>
      </w:r>
      <w:r w:rsidRPr="0040296C">
        <w:tab/>
      </w:r>
      <w:r w:rsidR="006964CC" w:rsidRPr="006964CC">
        <w:t>REGISTRUOTOJAS</w:t>
      </w:r>
      <w:bookmarkEnd w:id="54"/>
      <w:bookmarkEnd w:id="55"/>
    </w:p>
    <w:p w:rsidR="00973B0B" w:rsidRPr="00EA7F30" w:rsidRDefault="00973B0B" w:rsidP="007F7D76">
      <w:pPr>
        <w:pStyle w:val="BTEMEASMCA"/>
      </w:pPr>
    </w:p>
    <w:p w:rsidR="00973B0B" w:rsidRPr="006045BE" w:rsidRDefault="00973B0B" w:rsidP="007F7D76">
      <w:pPr>
        <w:pStyle w:val="BTEMEASMCA"/>
      </w:pPr>
      <w:r w:rsidRPr="006045BE">
        <w:t xml:space="preserve">Teva Pharma B.V. </w:t>
      </w:r>
    </w:p>
    <w:p w:rsidR="00973B0B" w:rsidRPr="006045BE" w:rsidRDefault="006964CC" w:rsidP="007F7D76">
      <w:pPr>
        <w:pStyle w:val="BTEMEASMCA"/>
      </w:pPr>
      <w:r w:rsidRPr="006045BE">
        <w:t>Swensweg 5</w:t>
      </w:r>
    </w:p>
    <w:p w:rsidR="006964CC" w:rsidRPr="006045BE" w:rsidRDefault="006964CC" w:rsidP="007F7D76">
      <w:pPr>
        <w:pStyle w:val="BTEMEASMCA"/>
      </w:pPr>
      <w:r w:rsidRPr="006045BE">
        <w:t>2031 GA Haarlem</w:t>
      </w:r>
    </w:p>
    <w:p w:rsidR="00973B0B" w:rsidRPr="006045BE" w:rsidRDefault="00973B0B" w:rsidP="007F7D76">
      <w:pPr>
        <w:pStyle w:val="BTEMEASMCA"/>
      </w:pPr>
      <w:r w:rsidRPr="006045BE">
        <w:t>Nyderlandai</w:t>
      </w:r>
    </w:p>
    <w:p w:rsidR="00973B0B" w:rsidRPr="00EA7F30" w:rsidRDefault="00973B0B" w:rsidP="007F7D76">
      <w:pPr>
        <w:pStyle w:val="BTEMEASMCA"/>
      </w:pPr>
    </w:p>
    <w:p w:rsidR="00973B0B" w:rsidRPr="00EA7F30" w:rsidRDefault="00973B0B" w:rsidP="007F7D76">
      <w:pPr>
        <w:pStyle w:val="BTEMEASMCA"/>
      </w:pPr>
    </w:p>
    <w:p w:rsidR="00973B0B" w:rsidRPr="00EA7F30" w:rsidRDefault="00973B0B" w:rsidP="008F211F">
      <w:pPr>
        <w:pStyle w:val="PI-1EMEASMCA"/>
      </w:pPr>
      <w:bookmarkStart w:id="56" w:name="_Toc129243123"/>
      <w:bookmarkStart w:id="57" w:name="_Toc129243248"/>
      <w:r w:rsidRPr="001B0AB9">
        <w:t>8.</w:t>
      </w:r>
      <w:r w:rsidRPr="0040296C">
        <w:tab/>
      </w:r>
      <w:r w:rsidR="006964CC" w:rsidRPr="006964CC">
        <w:t>REGISTRACIJOS</w:t>
      </w:r>
      <w:r w:rsidRPr="001B0AB9">
        <w:t xml:space="preserve"> PAŽYMĖJIMO NUMERIS</w:t>
      </w:r>
      <w:bookmarkEnd w:id="56"/>
      <w:bookmarkEnd w:id="57"/>
      <w:r w:rsidRPr="001B0AB9">
        <w:t xml:space="preserve"> (-IAI)</w:t>
      </w:r>
    </w:p>
    <w:p w:rsidR="00973B0B" w:rsidRPr="00EA7F30" w:rsidRDefault="00973B0B" w:rsidP="007F7D76">
      <w:pPr>
        <w:pStyle w:val="BTEMEASMCA"/>
      </w:pPr>
    </w:p>
    <w:p w:rsidR="00973B0B" w:rsidRPr="006045BE" w:rsidRDefault="00973B0B" w:rsidP="007F7D76">
      <w:pPr>
        <w:pStyle w:val="BTEMEASMCA"/>
      </w:pPr>
      <w:r w:rsidRPr="006045BE">
        <w:t>LT/1/</w:t>
      </w:r>
      <w:r w:rsidR="00CE1136" w:rsidRPr="006045BE">
        <w:t>98/0320/007</w:t>
      </w:r>
    </w:p>
    <w:p w:rsidR="00973B0B" w:rsidRPr="00EA7F30" w:rsidRDefault="00973B0B" w:rsidP="007F7D76">
      <w:pPr>
        <w:pStyle w:val="BTEMEASMCA"/>
      </w:pPr>
    </w:p>
    <w:p w:rsidR="00973B0B" w:rsidRPr="00EA7F30" w:rsidRDefault="00973B0B" w:rsidP="007F7D76">
      <w:pPr>
        <w:pStyle w:val="BTEMEASMCA"/>
      </w:pPr>
    </w:p>
    <w:p w:rsidR="00973B0B" w:rsidRPr="00EA7F30" w:rsidRDefault="00973B0B" w:rsidP="008F211F">
      <w:pPr>
        <w:pStyle w:val="PI-1EMEASMCA"/>
      </w:pPr>
      <w:bookmarkStart w:id="58" w:name="_Toc129243124"/>
      <w:bookmarkStart w:id="59" w:name="_Toc129243249"/>
      <w:r w:rsidRPr="001B0AB9">
        <w:t>9.</w:t>
      </w:r>
      <w:r w:rsidRPr="0040296C">
        <w:tab/>
      </w:r>
      <w:r w:rsidR="006964CC" w:rsidRPr="006964CC">
        <w:t>REGISTRAVIMO / PERREGISTRAVIMO</w:t>
      </w:r>
      <w:r w:rsidRPr="001B0AB9">
        <w:t xml:space="preserve"> DATA</w:t>
      </w:r>
      <w:bookmarkEnd w:id="58"/>
      <w:bookmarkEnd w:id="59"/>
    </w:p>
    <w:p w:rsidR="00973B0B" w:rsidRPr="00EA7F30" w:rsidRDefault="00973B0B" w:rsidP="007F7D76">
      <w:pPr>
        <w:pStyle w:val="BTEMEASMCA"/>
      </w:pPr>
    </w:p>
    <w:p w:rsidR="00973B0B" w:rsidRPr="006045BE" w:rsidRDefault="006964CC" w:rsidP="007F7D76">
      <w:pPr>
        <w:pStyle w:val="BTEMEASMCA"/>
      </w:pPr>
      <w:r w:rsidRPr="006045BE">
        <w:t>Registravimo data</w:t>
      </w:r>
      <w:r w:rsidR="00973B0B" w:rsidRPr="006045BE">
        <w:t xml:space="preserve"> 1996 m. liepos mėn. 2 d.</w:t>
      </w:r>
    </w:p>
    <w:p w:rsidR="00CE1136" w:rsidRPr="00CE1136" w:rsidRDefault="006964CC" w:rsidP="00CE1136">
      <w:pPr>
        <w:rPr>
          <w:sz w:val="22"/>
          <w:szCs w:val="22"/>
        </w:rPr>
      </w:pPr>
      <w:r w:rsidRPr="006964CC">
        <w:rPr>
          <w:sz w:val="22"/>
          <w:szCs w:val="22"/>
        </w:rPr>
        <w:t>Paskutinio perregistravimo data</w:t>
      </w:r>
      <w:r w:rsidR="00973B0B" w:rsidRPr="00CE1136">
        <w:rPr>
          <w:sz w:val="22"/>
          <w:szCs w:val="22"/>
        </w:rPr>
        <w:t xml:space="preserve"> </w:t>
      </w:r>
      <w:r w:rsidR="00CE1136" w:rsidRPr="00CE1136">
        <w:rPr>
          <w:sz w:val="22"/>
          <w:szCs w:val="22"/>
        </w:rPr>
        <w:t>2013 m. liepos mėn. 31 d.</w:t>
      </w:r>
    </w:p>
    <w:p w:rsidR="00CE1136" w:rsidRDefault="00CE1136" w:rsidP="007F7D76">
      <w:pPr>
        <w:pStyle w:val="BTEMEASMCA"/>
      </w:pPr>
    </w:p>
    <w:p w:rsidR="00CE1136" w:rsidRPr="00EA7F30" w:rsidRDefault="00CE1136" w:rsidP="007F7D76">
      <w:pPr>
        <w:pStyle w:val="BTEMEASMCA"/>
      </w:pPr>
    </w:p>
    <w:p w:rsidR="00973B0B" w:rsidRPr="00EA7F30" w:rsidRDefault="00973B0B" w:rsidP="008F211F">
      <w:pPr>
        <w:pStyle w:val="PI-1EMEASMCA"/>
      </w:pPr>
      <w:bookmarkStart w:id="60" w:name="_Toc129243125"/>
      <w:bookmarkStart w:id="61" w:name="_Toc129243250"/>
      <w:r w:rsidRPr="001B0AB9">
        <w:t>10.</w:t>
      </w:r>
      <w:r w:rsidRPr="0040296C">
        <w:tab/>
      </w:r>
      <w:r w:rsidRPr="001B0AB9">
        <w:t>TEKSTO PERŽIŪROS DATA</w:t>
      </w:r>
      <w:bookmarkEnd w:id="60"/>
      <w:bookmarkEnd w:id="61"/>
    </w:p>
    <w:p w:rsidR="00973B0B" w:rsidRPr="00EA7F30" w:rsidRDefault="00973B0B" w:rsidP="007F7D76">
      <w:pPr>
        <w:pStyle w:val="BTEMEASMCA"/>
      </w:pPr>
    </w:p>
    <w:p w:rsidR="00973B0B" w:rsidRPr="007F7D76" w:rsidRDefault="005E5F2A" w:rsidP="007F7D76">
      <w:pPr>
        <w:pStyle w:val="BTEMEASMCA"/>
      </w:pPr>
      <w:r>
        <w:t>2022 m. liepos 22 d.</w:t>
      </w:r>
    </w:p>
    <w:p w:rsidR="00973B0B" w:rsidRPr="00EA7F30" w:rsidRDefault="00973B0B" w:rsidP="007F7D76">
      <w:pPr>
        <w:pStyle w:val="BTEMEASMCA"/>
      </w:pPr>
    </w:p>
    <w:p w:rsidR="00973B0B" w:rsidRPr="00EA7F30" w:rsidRDefault="00973B0B" w:rsidP="00FF6940">
      <w:pPr>
        <w:pStyle w:val="Paprastasistekstas"/>
        <w:tabs>
          <w:tab w:val="left" w:pos="5954"/>
          <w:tab w:val="left" w:pos="6237"/>
          <w:tab w:val="left" w:pos="6663"/>
          <w:tab w:val="left" w:pos="6946"/>
        </w:tabs>
        <w:rPr>
          <w:rFonts w:ascii="Times New Roman" w:hAnsi="Times New Roman"/>
          <w:sz w:val="22"/>
          <w:szCs w:val="22"/>
          <w:lang w:val="lt-LT"/>
        </w:rPr>
      </w:pPr>
      <w:bookmarkStart w:id="62" w:name="OLE_LINK14"/>
      <w:r w:rsidRPr="001B0AB9">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1B0AB9">
        <w:rPr>
          <w:rFonts w:ascii="Times New Roman" w:hAnsi="Times New Roman"/>
          <w:i/>
          <w:noProof/>
          <w:sz w:val="22"/>
          <w:szCs w:val="22"/>
          <w:lang w:val="lt-LT"/>
        </w:rPr>
        <w:t xml:space="preserve"> </w:t>
      </w:r>
      <w:hyperlink r:id="rId8" w:history="1">
        <w:r>
          <w:rPr>
            <w:rStyle w:val="Hipersaitas"/>
            <w:rFonts w:ascii="Times New Roman" w:hAnsi="Times New Roman"/>
            <w:noProof/>
            <w:sz w:val="22"/>
            <w:szCs w:val="22"/>
            <w:lang w:val="lt-LT"/>
          </w:rPr>
          <w:t>http://www.</w:t>
        </w:r>
        <w:r>
          <w:rPr>
            <w:rStyle w:val="Hipersaitas"/>
            <w:rFonts w:ascii="Times New Roman" w:hAnsi="Times New Roman"/>
            <w:sz w:val="22"/>
            <w:szCs w:val="22"/>
            <w:lang w:val="lt-LT"/>
          </w:rPr>
          <w:t>vvkt.lt</w:t>
        </w:r>
      </w:hyperlink>
    </w:p>
    <w:bookmarkEnd w:id="62"/>
    <w:p w:rsidR="00973B0B" w:rsidRPr="00CE1136" w:rsidRDefault="00973B0B" w:rsidP="00CE1136">
      <w:pPr>
        <w:rPr>
          <w:sz w:val="22"/>
          <w:szCs w:val="22"/>
        </w:rPr>
      </w:pPr>
      <w:r w:rsidRPr="0040296C">
        <w:br w:type="page"/>
      </w:r>
    </w:p>
    <w:p w:rsidR="00973B0B" w:rsidRPr="00CE1136" w:rsidRDefault="00973B0B" w:rsidP="00CE1136">
      <w:pPr>
        <w:rPr>
          <w:sz w:val="22"/>
          <w:szCs w:val="22"/>
        </w:rPr>
      </w:pPr>
    </w:p>
    <w:p w:rsidR="00973B0B" w:rsidRPr="00CE1136" w:rsidRDefault="00973B0B" w:rsidP="00CE1136">
      <w:pPr>
        <w:rPr>
          <w:sz w:val="22"/>
          <w:szCs w:val="22"/>
        </w:rPr>
      </w:pPr>
    </w:p>
    <w:p w:rsidR="00973B0B" w:rsidRPr="001B0AB9" w:rsidRDefault="00973B0B" w:rsidP="00630D82">
      <w:pPr>
        <w:pStyle w:val="Pagrindinistekstas"/>
        <w:spacing w:after="0"/>
        <w:rPr>
          <w:sz w:val="22"/>
          <w:szCs w:val="22"/>
        </w:rPr>
      </w:pPr>
    </w:p>
    <w:p w:rsidR="00973B0B" w:rsidRPr="001B0AB9" w:rsidRDefault="00973B0B" w:rsidP="00630D82">
      <w:pPr>
        <w:pStyle w:val="Pagrindinistekstas"/>
        <w:spacing w:after="0"/>
        <w:rPr>
          <w:sz w:val="22"/>
          <w:szCs w:val="22"/>
        </w:rPr>
      </w:pPr>
    </w:p>
    <w:p w:rsidR="00973B0B" w:rsidRPr="001B0AB9" w:rsidRDefault="00973B0B" w:rsidP="00630D82">
      <w:pPr>
        <w:pStyle w:val="Pagrindinistekstas"/>
        <w:spacing w:after="0"/>
        <w:rPr>
          <w:sz w:val="22"/>
          <w:szCs w:val="22"/>
        </w:rPr>
      </w:pPr>
    </w:p>
    <w:p w:rsidR="00973B0B" w:rsidRPr="001B0AB9" w:rsidRDefault="00973B0B" w:rsidP="00630D82">
      <w:pPr>
        <w:pStyle w:val="Pagrindinistekstas"/>
        <w:spacing w:after="0"/>
        <w:rPr>
          <w:sz w:val="22"/>
          <w:szCs w:val="22"/>
        </w:rPr>
      </w:pPr>
    </w:p>
    <w:p w:rsidR="00973B0B" w:rsidRPr="001B0AB9" w:rsidRDefault="00973B0B" w:rsidP="00630D82">
      <w:pPr>
        <w:pStyle w:val="Pagrindinistekstas"/>
        <w:spacing w:after="0"/>
        <w:rPr>
          <w:sz w:val="22"/>
          <w:szCs w:val="22"/>
        </w:rPr>
      </w:pPr>
    </w:p>
    <w:p w:rsidR="00973B0B" w:rsidRPr="001B0AB9" w:rsidRDefault="00973B0B" w:rsidP="00630D82">
      <w:pPr>
        <w:pStyle w:val="Pagrindinistekstas"/>
        <w:spacing w:after="0"/>
        <w:rPr>
          <w:sz w:val="22"/>
          <w:szCs w:val="22"/>
        </w:rPr>
      </w:pPr>
    </w:p>
    <w:p w:rsidR="00973B0B" w:rsidRPr="001B0AB9" w:rsidRDefault="00973B0B" w:rsidP="00630D82">
      <w:pPr>
        <w:pStyle w:val="Pagrindinistekstas"/>
        <w:spacing w:after="0"/>
        <w:rPr>
          <w:sz w:val="22"/>
          <w:szCs w:val="22"/>
        </w:rPr>
      </w:pPr>
    </w:p>
    <w:p w:rsidR="00973B0B" w:rsidRPr="001B0AB9" w:rsidRDefault="00973B0B" w:rsidP="00630D82">
      <w:pPr>
        <w:pStyle w:val="Pagrindinistekstas"/>
        <w:spacing w:after="0"/>
        <w:rPr>
          <w:sz w:val="22"/>
          <w:szCs w:val="22"/>
        </w:rPr>
      </w:pPr>
    </w:p>
    <w:p w:rsidR="00973B0B" w:rsidRPr="001B0AB9" w:rsidRDefault="00973B0B" w:rsidP="00630D82">
      <w:pPr>
        <w:pStyle w:val="Pagrindinistekstas"/>
        <w:spacing w:after="0"/>
        <w:rPr>
          <w:sz w:val="22"/>
          <w:szCs w:val="22"/>
        </w:rPr>
      </w:pPr>
    </w:p>
    <w:p w:rsidR="00973B0B" w:rsidRPr="001B0AB9" w:rsidRDefault="00973B0B" w:rsidP="00630D82">
      <w:pPr>
        <w:pStyle w:val="Pagrindinistekstas"/>
        <w:spacing w:after="0"/>
        <w:rPr>
          <w:sz w:val="22"/>
          <w:szCs w:val="22"/>
        </w:rPr>
      </w:pPr>
    </w:p>
    <w:p w:rsidR="00973B0B" w:rsidRPr="001B0AB9" w:rsidRDefault="00973B0B" w:rsidP="00630D82">
      <w:pPr>
        <w:pStyle w:val="Pagrindinistekstas"/>
        <w:spacing w:after="0"/>
        <w:rPr>
          <w:sz w:val="22"/>
          <w:szCs w:val="22"/>
        </w:rPr>
      </w:pPr>
    </w:p>
    <w:p w:rsidR="00973B0B" w:rsidRPr="001B0AB9" w:rsidRDefault="00973B0B" w:rsidP="00630D82">
      <w:pPr>
        <w:pStyle w:val="Pagrindinistekstas"/>
        <w:spacing w:after="0"/>
        <w:rPr>
          <w:sz w:val="22"/>
          <w:szCs w:val="22"/>
        </w:rPr>
      </w:pPr>
    </w:p>
    <w:p w:rsidR="00973B0B" w:rsidRPr="001B0AB9" w:rsidRDefault="00973B0B" w:rsidP="00630D82">
      <w:pPr>
        <w:pStyle w:val="Pagrindinistekstas"/>
        <w:spacing w:after="0"/>
        <w:rPr>
          <w:sz w:val="22"/>
          <w:szCs w:val="22"/>
        </w:rPr>
      </w:pPr>
    </w:p>
    <w:p w:rsidR="00973B0B" w:rsidRPr="001B0AB9" w:rsidRDefault="00973B0B" w:rsidP="00630D82">
      <w:pPr>
        <w:pStyle w:val="Pagrindinistekstas"/>
        <w:spacing w:after="0"/>
        <w:rPr>
          <w:sz w:val="22"/>
          <w:szCs w:val="22"/>
        </w:rPr>
      </w:pPr>
    </w:p>
    <w:p w:rsidR="00973B0B" w:rsidRPr="001B0AB9" w:rsidRDefault="00973B0B" w:rsidP="00630D82">
      <w:pPr>
        <w:pStyle w:val="Pagrindinistekstas"/>
        <w:spacing w:after="0"/>
        <w:rPr>
          <w:sz w:val="22"/>
          <w:szCs w:val="22"/>
        </w:rPr>
      </w:pPr>
    </w:p>
    <w:p w:rsidR="00973B0B" w:rsidRPr="00EA7F30" w:rsidRDefault="00973B0B" w:rsidP="007F7D76">
      <w:pPr>
        <w:pStyle w:val="BTEMEASMCA"/>
      </w:pPr>
    </w:p>
    <w:p w:rsidR="00973B0B" w:rsidRPr="00EA7F30" w:rsidRDefault="00973B0B" w:rsidP="007F7D76">
      <w:pPr>
        <w:pStyle w:val="BTEMEASMCA"/>
      </w:pPr>
    </w:p>
    <w:p w:rsidR="00973B0B" w:rsidRPr="00EA7F30" w:rsidRDefault="00973B0B" w:rsidP="007F7D76">
      <w:pPr>
        <w:pStyle w:val="BTEMEASMCA"/>
      </w:pPr>
    </w:p>
    <w:p w:rsidR="00973B0B" w:rsidRPr="00EA7F30" w:rsidRDefault="00973B0B" w:rsidP="007F7D76">
      <w:pPr>
        <w:pStyle w:val="BTEMEASMCA"/>
      </w:pPr>
    </w:p>
    <w:p w:rsidR="00973B0B" w:rsidRPr="00EA7F30" w:rsidRDefault="00973B0B" w:rsidP="007F7D76">
      <w:pPr>
        <w:pStyle w:val="BTEMEASMCA"/>
      </w:pPr>
    </w:p>
    <w:p w:rsidR="00973B0B" w:rsidRPr="00EA7F30" w:rsidRDefault="00973B0B" w:rsidP="006A5D63">
      <w:pPr>
        <w:pStyle w:val="TTEMEASMCA"/>
      </w:pPr>
      <w:bookmarkStart w:id="63" w:name="_Toc129243128"/>
      <w:bookmarkStart w:id="64" w:name="_Toc129243253"/>
      <w:r w:rsidRPr="001B0AB9">
        <w:t>II PRIEDAS</w:t>
      </w:r>
    </w:p>
    <w:p w:rsidR="00973B0B" w:rsidRPr="00EA7F30" w:rsidRDefault="00973B0B" w:rsidP="006A5D63">
      <w:pPr>
        <w:pStyle w:val="TTEMEASMCA"/>
      </w:pPr>
    </w:p>
    <w:p w:rsidR="00973B0B" w:rsidRPr="00EA7F30" w:rsidRDefault="00640BEF" w:rsidP="006A5D63">
      <w:pPr>
        <w:pStyle w:val="TTEMEASMCA"/>
      </w:pPr>
      <w:r w:rsidRPr="00640BEF">
        <w:t>REGISTRACIJOS</w:t>
      </w:r>
      <w:r w:rsidR="00973B0B" w:rsidRPr="001B0AB9">
        <w:t xml:space="preserve"> SĄLYGOS</w:t>
      </w:r>
    </w:p>
    <w:p w:rsidR="00973B0B" w:rsidRPr="00EA7F30" w:rsidRDefault="00973B0B" w:rsidP="007F7D76">
      <w:pPr>
        <w:pStyle w:val="BTEMEASMCA"/>
      </w:pPr>
    </w:p>
    <w:p w:rsidR="00973B0B" w:rsidRPr="00EA7F30" w:rsidRDefault="00973B0B" w:rsidP="006A5D63">
      <w:pPr>
        <w:pStyle w:val="BTAnIIEMEASMCA"/>
        <w:numPr>
          <w:ilvl w:val="0"/>
          <w:numId w:val="11"/>
        </w:numPr>
      </w:pPr>
      <w:r w:rsidRPr="001B0AB9">
        <w:t>GAMINTOJAS</w:t>
      </w:r>
      <w:r w:rsidR="00640BEF">
        <w:t xml:space="preserve"> (-AI)</w:t>
      </w:r>
      <w:r w:rsidRPr="001B0AB9">
        <w:t xml:space="preserve">, ATSAKINGAS </w:t>
      </w:r>
      <w:r w:rsidR="00640BEF">
        <w:t xml:space="preserve">(-I) </w:t>
      </w:r>
      <w:r w:rsidRPr="001B0AB9">
        <w:t xml:space="preserve">UŽ SERIJŲ </w:t>
      </w:r>
    </w:p>
    <w:p w:rsidR="00973B0B" w:rsidRPr="00EA7F30" w:rsidRDefault="00973B0B" w:rsidP="006A5D63">
      <w:pPr>
        <w:pStyle w:val="BTAnIIEMEASMCA"/>
        <w:ind w:left="2877" w:firstLine="0"/>
        <w:rPr>
          <w:highlight w:val="yellow"/>
        </w:rPr>
      </w:pPr>
      <w:r w:rsidRPr="001B0AB9">
        <w:t xml:space="preserve"> IŠLEIDIMĄ</w:t>
      </w:r>
    </w:p>
    <w:p w:rsidR="00973B0B" w:rsidRPr="00EA7F30" w:rsidRDefault="00973B0B" w:rsidP="007F7D76">
      <w:pPr>
        <w:pStyle w:val="BTEMEASMCA"/>
        <w:rPr>
          <w:highlight w:val="yellow"/>
        </w:rPr>
      </w:pPr>
    </w:p>
    <w:p w:rsidR="00973B0B" w:rsidRPr="00EA7F30" w:rsidRDefault="00973B0B" w:rsidP="006A5D63">
      <w:pPr>
        <w:pStyle w:val="BTAnIIEMEASMCA"/>
        <w:rPr>
          <w:lang w:val="lt-LT"/>
        </w:rPr>
      </w:pPr>
      <w:r w:rsidRPr="001B0AB9">
        <w:rPr>
          <w:lang w:val="lt-LT"/>
        </w:rPr>
        <w:t>B.</w:t>
      </w:r>
      <w:r w:rsidRPr="0040296C">
        <w:rPr>
          <w:lang w:val="lt-LT"/>
        </w:rPr>
        <w:tab/>
      </w:r>
      <w:r w:rsidRPr="001B0AB9">
        <w:rPr>
          <w:lang w:val="lt-LT"/>
        </w:rPr>
        <w:t>TIEKIMO IR VARTOJIMO SĄLYGOS AR APRIBOJIMAI</w:t>
      </w:r>
      <w:bookmarkEnd w:id="63"/>
      <w:bookmarkEnd w:id="64"/>
    </w:p>
    <w:p w:rsidR="00973B0B" w:rsidRPr="00EA7F30" w:rsidRDefault="00973B0B" w:rsidP="007F7D76">
      <w:pPr>
        <w:pStyle w:val="BTEMEASMCA"/>
        <w:rPr>
          <w:highlight w:val="yellow"/>
        </w:rPr>
      </w:pPr>
    </w:p>
    <w:p w:rsidR="00973B0B" w:rsidRPr="001B0AB9" w:rsidRDefault="00973B0B" w:rsidP="006A5D63">
      <w:pPr>
        <w:pStyle w:val="Pavadinimas"/>
        <w:numPr>
          <w:ilvl w:val="0"/>
          <w:numId w:val="10"/>
        </w:numPr>
        <w:tabs>
          <w:tab w:val="left" w:pos="567"/>
        </w:tabs>
        <w:ind w:left="0" w:firstLine="0"/>
        <w:rPr>
          <w:sz w:val="22"/>
          <w:szCs w:val="22"/>
        </w:rPr>
      </w:pPr>
      <w:r w:rsidRPr="0040296C">
        <w:rPr>
          <w:sz w:val="22"/>
          <w:szCs w:val="22"/>
        </w:rPr>
        <w:br w:type="page"/>
      </w:r>
      <w:r w:rsidRPr="001B0AB9">
        <w:rPr>
          <w:sz w:val="22"/>
          <w:szCs w:val="22"/>
        </w:rPr>
        <w:lastRenderedPageBreak/>
        <w:t xml:space="preserve"> GAMINTOJAS (-AI), ATSAKINGAS (-I) UŽ SERIJŲ IŠLEIDIMĄ</w:t>
      </w:r>
    </w:p>
    <w:p w:rsidR="00973B0B" w:rsidRPr="001B0AB9" w:rsidRDefault="00973B0B" w:rsidP="00630D82">
      <w:pPr>
        <w:pStyle w:val="Pavadinimas"/>
        <w:rPr>
          <w:sz w:val="22"/>
          <w:szCs w:val="22"/>
        </w:rPr>
      </w:pPr>
    </w:p>
    <w:p w:rsidR="00973B0B" w:rsidRPr="00EA7F30" w:rsidRDefault="00973B0B" w:rsidP="002B5F18">
      <w:pPr>
        <w:jc w:val="both"/>
        <w:rPr>
          <w:sz w:val="22"/>
          <w:szCs w:val="22"/>
        </w:rPr>
      </w:pPr>
      <w:r w:rsidRPr="00EA7F30">
        <w:rPr>
          <w:sz w:val="22"/>
          <w:szCs w:val="22"/>
          <w:u w:val="single"/>
        </w:rPr>
        <w:t>Gamintojo</w:t>
      </w:r>
      <w:r w:rsidR="00640BEF">
        <w:rPr>
          <w:sz w:val="22"/>
          <w:szCs w:val="22"/>
          <w:u w:val="single"/>
        </w:rPr>
        <w:t xml:space="preserve"> (-ų)</w:t>
      </w:r>
      <w:r w:rsidRPr="00EA7F30">
        <w:rPr>
          <w:sz w:val="22"/>
          <w:szCs w:val="22"/>
          <w:u w:val="single"/>
        </w:rPr>
        <w:t xml:space="preserve">, atsakingo </w:t>
      </w:r>
      <w:r w:rsidR="00640BEF">
        <w:rPr>
          <w:sz w:val="22"/>
          <w:szCs w:val="22"/>
          <w:u w:val="single"/>
        </w:rPr>
        <w:t xml:space="preserve">(-ų) </w:t>
      </w:r>
      <w:r w:rsidRPr="00EA7F30">
        <w:rPr>
          <w:sz w:val="22"/>
          <w:szCs w:val="22"/>
          <w:u w:val="single"/>
        </w:rPr>
        <w:t xml:space="preserve">už serijų išleidimą, pavadinimas </w:t>
      </w:r>
      <w:r w:rsidR="00640BEF">
        <w:rPr>
          <w:sz w:val="22"/>
          <w:szCs w:val="22"/>
          <w:u w:val="single"/>
        </w:rPr>
        <w:t xml:space="preserve">(-ai) </w:t>
      </w:r>
      <w:r w:rsidRPr="00EA7F30">
        <w:rPr>
          <w:sz w:val="22"/>
          <w:szCs w:val="22"/>
          <w:u w:val="single"/>
        </w:rPr>
        <w:t>ir adresas</w:t>
      </w:r>
      <w:r w:rsidR="00640BEF">
        <w:rPr>
          <w:sz w:val="22"/>
          <w:szCs w:val="22"/>
          <w:u w:val="single"/>
        </w:rPr>
        <w:t xml:space="preserve"> (-ai)</w:t>
      </w:r>
    </w:p>
    <w:p w:rsidR="00973B0B" w:rsidRPr="001B0AB9" w:rsidRDefault="00973B0B" w:rsidP="00630D82">
      <w:pPr>
        <w:pStyle w:val="Pavadinimas"/>
        <w:rPr>
          <w:sz w:val="22"/>
          <w:szCs w:val="22"/>
        </w:rPr>
      </w:pPr>
    </w:p>
    <w:p w:rsidR="00973B0B" w:rsidRPr="00EA7F30" w:rsidRDefault="00973B0B" w:rsidP="00630D82">
      <w:pPr>
        <w:rPr>
          <w:sz w:val="22"/>
          <w:szCs w:val="22"/>
        </w:rPr>
      </w:pPr>
      <w:r w:rsidRPr="00EA7F30">
        <w:rPr>
          <w:sz w:val="22"/>
          <w:szCs w:val="22"/>
        </w:rPr>
        <w:t>Teva Operations Poland Sp. z o.o.</w:t>
      </w:r>
    </w:p>
    <w:p w:rsidR="00973B0B" w:rsidRPr="00EA7F30" w:rsidRDefault="00973B0B" w:rsidP="00630D82">
      <w:pPr>
        <w:rPr>
          <w:sz w:val="22"/>
          <w:szCs w:val="22"/>
        </w:rPr>
      </w:pPr>
      <w:r w:rsidRPr="001B0AB9">
        <w:rPr>
          <w:sz w:val="22"/>
          <w:szCs w:val="22"/>
        </w:rPr>
        <w:t xml:space="preserve">ul. Mogilska 80  </w:t>
      </w:r>
    </w:p>
    <w:p w:rsidR="00973B0B" w:rsidRPr="00EA7F30" w:rsidRDefault="00973B0B" w:rsidP="00630D82">
      <w:pPr>
        <w:rPr>
          <w:sz w:val="22"/>
          <w:szCs w:val="22"/>
        </w:rPr>
      </w:pPr>
      <w:r w:rsidRPr="001B0AB9">
        <w:rPr>
          <w:sz w:val="22"/>
          <w:szCs w:val="22"/>
        </w:rPr>
        <w:t xml:space="preserve">31-546 Kraków </w:t>
      </w:r>
    </w:p>
    <w:p w:rsidR="00973B0B" w:rsidRPr="00EA7F30" w:rsidRDefault="00973B0B" w:rsidP="00630D82">
      <w:pPr>
        <w:rPr>
          <w:sz w:val="22"/>
          <w:szCs w:val="22"/>
        </w:rPr>
      </w:pPr>
      <w:r w:rsidRPr="001B0AB9">
        <w:rPr>
          <w:sz w:val="22"/>
          <w:szCs w:val="22"/>
        </w:rPr>
        <w:t>Lenkija</w:t>
      </w:r>
    </w:p>
    <w:p w:rsidR="00973B0B" w:rsidRPr="001B0AB9" w:rsidRDefault="00973B0B" w:rsidP="00630D82">
      <w:pPr>
        <w:pStyle w:val="Pavadinimas"/>
        <w:rPr>
          <w:sz w:val="22"/>
          <w:szCs w:val="22"/>
        </w:rPr>
      </w:pPr>
    </w:p>
    <w:p w:rsidR="00973B0B" w:rsidRPr="001B0AB9" w:rsidRDefault="00973B0B" w:rsidP="00630D82">
      <w:pPr>
        <w:pStyle w:val="Pavadinimas"/>
        <w:rPr>
          <w:sz w:val="22"/>
          <w:szCs w:val="22"/>
        </w:rPr>
      </w:pPr>
    </w:p>
    <w:p w:rsidR="00973B0B" w:rsidRPr="00EA7F30" w:rsidRDefault="00973B0B" w:rsidP="002B5F18">
      <w:pPr>
        <w:suppressLineNumbers/>
        <w:ind w:left="567" w:hanging="567"/>
        <w:rPr>
          <w:sz w:val="22"/>
          <w:szCs w:val="22"/>
        </w:rPr>
      </w:pPr>
      <w:r w:rsidRPr="00EA7F30">
        <w:rPr>
          <w:b/>
          <w:sz w:val="22"/>
          <w:szCs w:val="22"/>
        </w:rPr>
        <w:t>B.</w:t>
      </w:r>
      <w:r w:rsidRPr="00EA7F30">
        <w:rPr>
          <w:b/>
          <w:sz w:val="22"/>
          <w:szCs w:val="22"/>
        </w:rPr>
        <w:tab/>
        <w:t xml:space="preserve">TIEKIMO IR VARTOJIMO SĄLYGOS AR APRIBOJIMAI </w:t>
      </w:r>
    </w:p>
    <w:p w:rsidR="00973B0B" w:rsidRPr="001B0AB9" w:rsidRDefault="00973B0B" w:rsidP="00630D82">
      <w:pPr>
        <w:pStyle w:val="Pavadinimas"/>
        <w:rPr>
          <w:sz w:val="22"/>
          <w:szCs w:val="22"/>
        </w:rPr>
      </w:pPr>
    </w:p>
    <w:p w:rsidR="00973B0B" w:rsidRPr="001B0AB9" w:rsidRDefault="00973B0B" w:rsidP="00630D82">
      <w:pPr>
        <w:pStyle w:val="Pavadinimas"/>
        <w:rPr>
          <w:b w:val="0"/>
          <w:sz w:val="22"/>
          <w:szCs w:val="22"/>
        </w:rPr>
      </w:pPr>
      <w:r w:rsidRPr="001B0AB9">
        <w:rPr>
          <w:b w:val="0"/>
          <w:sz w:val="22"/>
          <w:szCs w:val="22"/>
        </w:rPr>
        <w:t>Receptinis vaistinis preparatas.</w:t>
      </w:r>
    </w:p>
    <w:p w:rsidR="00973B0B" w:rsidRPr="001B0AB9" w:rsidRDefault="00973B0B" w:rsidP="00630D82">
      <w:pPr>
        <w:pStyle w:val="Pavadinimas"/>
        <w:rPr>
          <w:b w:val="0"/>
          <w:sz w:val="22"/>
          <w:szCs w:val="22"/>
        </w:rPr>
      </w:pPr>
    </w:p>
    <w:p w:rsidR="00973B0B" w:rsidRPr="00EA7F30" w:rsidRDefault="00973B0B">
      <w:pPr>
        <w:spacing w:after="200" w:line="276" w:lineRule="auto"/>
        <w:rPr>
          <w:b/>
          <w:sz w:val="22"/>
          <w:szCs w:val="22"/>
        </w:rPr>
      </w:pPr>
      <w:r w:rsidRPr="0040296C">
        <w:rPr>
          <w:sz w:val="22"/>
          <w:szCs w:val="22"/>
        </w:rPr>
        <w:br w:type="page"/>
      </w:r>
    </w:p>
    <w:p w:rsidR="00973B0B" w:rsidRPr="00EA7F30" w:rsidRDefault="00973B0B" w:rsidP="00630D82">
      <w:pPr>
        <w:pStyle w:val="TTEMEASMCA"/>
      </w:pPr>
    </w:p>
    <w:p w:rsidR="00973B0B" w:rsidRPr="00EA7F30" w:rsidRDefault="00973B0B" w:rsidP="00630D82">
      <w:pPr>
        <w:pStyle w:val="TTEMEASMCA"/>
      </w:pPr>
    </w:p>
    <w:p w:rsidR="00973B0B" w:rsidRPr="00EA7F30" w:rsidRDefault="00973B0B" w:rsidP="00630D82">
      <w:pPr>
        <w:pStyle w:val="TTEMEASMCA"/>
      </w:pPr>
    </w:p>
    <w:p w:rsidR="00973B0B" w:rsidRPr="00EA7F30" w:rsidRDefault="00973B0B" w:rsidP="00630D82">
      <w:pPr>
        <w:pStyle w:val="TTEMEASMCA"/>
      </w:pPr>
    </w:p>
    <w:p w:rsidR="00973B0B" w:rsidRPr="00EA7F30" w:rsidRDefault="00973B0B" w:rsidP="00630D82">
      <w:pPr>
        <w:pStyle w:val="TTEMEASMCA"/>
      </w:pPr>
    </w:p>
    <w:p w:rsidR="00973B0B" w:rsidRPr="00EA7F30" w:rsidRDefault="00973B0B" w:rsidP="00630D82">
      <w:pPr>
        <w:pStyle w:val="TTEMEASMCA"/>
      </w:pPr>
    </w:p>
    <w:p w:rsidR="00973B0B" w:rsidRPr="00EA7F30" w:rsidRDefault="00973B0B" w:rsidP="00630D82">
      <w:pPr>
        <w:pStyle w:val="TTEMEASMCA"/>
      </w:pPr>
    </w:p>
    <w:p w:rsidR="00973B0B" w:rsidRPr="00EA7F30" w:rsidRDefault="00973B0B" w:rsidP="00630D82">
      <w:pPr>
        <w:pStyle w:val="TTEMEASMCA"/>
      </w:pPr>
    </w:p>
    <w:p w:rsidR="00973B0B" w:rsidRPr="00EA7F30" w:rsidRDefault="00973B0B" w:rsidP="00630D82">
      <w:pPr>
        <w:pStyle w:val="TTEMEASMCA"/>
      </w:pPr>
    </w:p>
    <w:p w:rsidR="00973B0B" w:rsidRPr="00EA7F30" w:rsidRDefault="00973B0B" w:rsidP="00630D82">
      <w:pPr>
        <w:pStyle w:val="TTEMEASMCA"/>
      </w:pPr>
    </w:p>
    <w:p w:rsidR="00973B0B" w:rsidRPr="00EA7F30" w:rsidRDefault="00973B0B" w:rsidP="00630D82">
      <w:pPr>
        <w:pStyle w:val="TTEMEASMCA"/>
      </w:pPr>
    </w:p>
    <w:p w:rsidR="00973B0B" w:rsidRPr="00EA7F30" w:rsidRDefault="00973B0B" w:rsidP="00630D82">
      <w:pPr>
        <w:pStyle w:val="TTEMEASMCA"/>
      </w:pPr>
    </w:p>
    <w:p w:rsidR="00973B0B" w:rsidRPr="00EA7F30" w:rsidRDefault="00973B0B" w:rsidP="00630D82">
      <w:pPr>
        <w:pStyle w:val="TTEMEASMCA"/>
      </w:pPr>
    </w:p>
    <w:p w:rsidR="00973B0B" w:rsidRPr="00EA7F30" w:rsidRDefault="00973B0B" w:rsidP="00630D82">
      <w:pPr>
        <w:pStyle w:val="TTEMEASMCA"/>
      </w:pPr>
    </w:p>
    <w:p w:rsidR="00973B0B" w:rsidRPr="00EA7F30" w:rsidRDefault="00973B0B" w:rsidP="00630D82">
      <w:pPr>
        <w:pStyle w:val="TTEMEASMCA"/>
      </w:pPr>
    </w:p>
    <w:p w:rsidR="00973B0B" w:rsidRPr="00EA7F30" w:rsidRDefault="00973B0B" w:rsidP="00630D82">
      <w:pPr>
        <w:pStyle w:val="TTEMEASMCA"/>
      </w:pPr>
    </w:p>
    <w:p w:rsidR="00973B0B" w:rsidRPr="00EA7F30" w:rsidRDefault="00973B0B" w:rsidP="00630D82">
      <w:pPr>
        <w:pStyle w:val="TTEMEASMCA"/>
      </w:pPr>
    </w:p>
    <w:p w:rsidR="00973B0B" w:rsidRPr="00EA7F30" w:rsidRDefault="00973B0B" w:rsidP="00630D82">
      <w:pPr>
        <w:pStyle w:val="TTEMEASMCA"/>
      </w:pPr>
    </w:p>
    <w:p w:rsidR="00973B0B" w:rsidRPr="00EA7F30" w:rsidRDefault="00973B0B" w:rsidP="00630D82">
      <w:pPr>
        <w:pStyle w:val="TTEMEASMCA"/>
      </w:pPr>
    </w:p>
    <w:p w:rsidR="00973B0B" w:rsidRPr="00EA7F30" w:rsidRDefault="00973B0B" w:rsidP="00630D82">
      <w:pPr>
        <w:pStyle w:val="TTEMEASMCA"/>
      </w:pPr>
    </w:p>
    <w:p w:rsidR="00973B0B" w:rsidRDefault="00973B0B" w:rsidP="00630D82">
      <w:pPr>
        <w:pStyle w:val="TTEMEASMCA"/>
      </w:pPr>
    </w:p>
    <w:p w:rsidR="00CE1136" w:rsidRPr="00EA7F30" w:rsidRDefault="00CE1136" w:rsidP="00630D82">
      <w:pPr>
        <w:pStyle w:val="TTEMEASMCA"/>
      </w:pPr>
    </w:p>
    <w:p w:rsidR="00973B0B" w:rsidRPr="00EA7F30" w:rsidRDefault="00973B0B" w:rsidP="00630D82">
      <w:pPr>
        <w:pStyle w:val="TTEMEASMCA"/>
      </w:pPr>
      <w:r w:rsidRPr="001B0AB9">
        <w:t>III PRIEDAS</w:t>
      </w:r>
    </w:p>
    <w:p w:rsidR="00973B0B" w:rsidRPr="00EA7F30" w:rsidRDefault="00973B0B" w:rsidP="007F7D76">
      <w:pPr>
        <w:pStyle w:val="BTEMEASMCA"/>
      </w:pPr>
    </w:p>
    <w:p w:rsidR="00973B0B" w:rsidRPr="00EA7F30" w:rsidRDefault="00973B0B" w:rsidP="00630D82">
      <w:pPr>
        <w:pStyle w:val="TTEMEASMCA"/>
      </w:pPr>
      <w:r w:rsidRPr="001B0AB9">
        <w:t>ŽENKLINIMAS IR PAKUOTĖS LAPELIS</w:t>
      </w:r>
    </w:p>
    <w:p w:rsidR="00973B0B" w:rsidRPr="00EA7F30" w:rsidRDefault="00973B0B" w:rsidP="00630D82">
      <w:pPr>
        <w:outlineLvl w:val="0"/>
        <w:rPr>
          <w:b/>
          <w:caps/>
          <w:sz w:val="22"/>
          <w:szCs w:val="22"/>
        </w:rPr>
      </w:pPr>
      <w:r w:rsidRPr="0040296C">
        <w:rPr>
          <w:sz w:val="22"/>
          <w:szCs w:val="22"/>
        </w:rPr>
        <w:br w:type="page"/>
      </w:r>
    </w:p>
    <w:p w:rsidR="00973B0B" w:rsidRPr="00EA7F30" w:rsidRDefault="00973B0B" w:rsidP="00630D82">
      <w:pPr>
        <w:outlineLvl w:val="0"/>
        <w:rPr>
          <w:b/>
          <w:caps/>
          <w:sz w:val="22"/>
          <w:szCs w:val="22"/>
        </w:rPr>
      </w:pPr>
    </w:p>
    <w:p w:rsidR="00973B0B" w:rsidRPr="00EA7F30" w:rsidRDefault="00973B0B" w:rsidP="00630D82">
      <w:pPr>
        <w:outlineLvl w:val="0"/>
        <w:rPr>
          <w:b/>
          <w:caps/>
          <w:sz w:val="22"/>
          <w:szCs w:val="22"/>
        </w:rPr>
      </w:pPr>
    </w:p>
    <w:p w:rsidR="00973B0B" w:rsidRPr="00EA7F30" w:rsidRDefault="00973B0B" w:rsidP="00630D82">
      <w:pPr>
        <w:outlineLvl w:val="0"/>
        <w:rPr>
          <w:b/>
          <w:caps/>
          <w:sz w:val="22"/>
          <w:szCs w:val="22"/>
        </w:rPr>
      </w:pPr>
    </w:p>
    <w:p w:rsidR="00973B0B" w:rsidRPr="00EA7F30" w:rsidRDefault="00973B0B" w:rsidP="00630D82">
      <w:pPr>
        <w:outlineLvl w:val="0"/>
        <w:rPr>
          <w:b/>
          <w:caps/>
          <w:sz w:val="22"/>
          <w:szCs w:val="22"/>
        </w:rPr>
      </w:pPr>
    </w:p>
    <w:p w:rsidR="00973B0B" w:rsidRPr="00EA7F30" w:rsidRDefault="00973B0B" w:rsidP="00630D82">
      <w:pPr>
        <w:outlineLvl w:val="0"/>
        <w:rPr>
          <w:b/>
          <w:caps/>
          <w:sz w:val="22"/>
          <w:szCs w:val="22"/>
        </w:rPr>
      </w:pPr>
    </w:p>
    <w:p w:rsidR="00973B0B" w:rsidRPr="00EA7F30" w:rsidRDefault="00973B0B" w:rsidP="00630D82">
      <w:pPr>
        <w:outlineLvl w:val="0"/>
        <w:rPr>
          <w:b/>
          <w:caps/>
          <w:sz w:val="22"/>
          <w:szCs w:val="22"/>
        </w:rPr>
      </w:pPr>
    </w:p>
    <w:p w:rsidR="00973B0B" w:rsidRPr="00EA7F30" w:rsidRDefault="00973B0B" w:rsidP="00630D82">
      <w:pPr>
        <w:outlineLvl w:val="0"/>
        <w:rPr>
          <w:b/>
          <w:caps/>
          <w:sz w:val="22"/>
          <w:szCs w:val="22"/>
        </w:rPr>
      </w:pPr>
    </w:p>
    <w:p w:rsidR="00973B0B" w:rsidRPr="00EA7F30" w:rsidRDefault="00973B0B" w:rsidP="00630D82">
      <w:pPr>
        <w:outlineLvl w:val="0"/>
        <w:rPr>
          <w:b/>
          <w:caps/>
          <w:sz w:val="22"/>
          <w:szCs w:val="22"/>
        </w:rPr>
      </w:pPr>
    </w:p>
    <w:p w:rsidR="00973B0B" w:rsidRPr="00EA7F30" w:rsidRDefault="00973B0B" w:rsidP="00630D82">
      <w:pPr>
        <w:outlineLvl w:val="0"/>
        <w:rPr>
          <w:b/>
          <w:caps/>
          <w:sz w:val="22"/>
          <w:szCs w:val="22"/>
        </w:rPr>
      </w:pPr>
    </w:p>
    <w:p w:rsidR="00973B0B" w:rsidRPr="00EA7F30" w:rsidRDefault="00973B0B" w:rsidP="00630D82">
      <w:pPr>
        <w:outlineLvl w:val="0"/>
        <w:rPr>
          <w:b/>
          <w:caps/>
          <w:sz w:val="22"/>
          <w:szCs w:val="22"/>
        </w:rPr>
      </w:pPr>
    </w:p>
    <w:p w:rsidR="00973B0B" w:rsidRPr="00EA7F30" w:rsidRDefault="00973B0B" w:rsidP="00630D82">
      <w:pPr>
        <w:outlineLvl w:val="0"/>
        <w:rPr>
          <w:b/>
          <w:caps/>
          <w:sz w:val="22"/>
          <w:szCs w:val="22"/>
        </w:rPr>
      </w:pPr>
    </w:p>
    <w:p w:rsidR="00973B0B" w:rsidRPr="00EA7F30" w:rsidRDefault="00973B0B" w:rsidP="00630D82">
      <w:pPr>
        <w:outlineLvl w:val="0"/>
        <w:rPr>
          <w:b/>
          <w:caps/>
          <w:sz w:val="22"/>
          <w:szCs w:val="22"/>
        </w:rPr>
      </w:pPr>
    </w:p>
    <w:p w:rsidR="00973B0B" w:rsidRPr="00EA7F30" w:rsidRDefault="00973B0B" w:rsidP="00630D82">
      <w:pPr>
        <w:outlineLvl w:val="0"/>
        <w:rPr>
          <w:b/>
          <w:caps/>
          <w:sz w:val="22"/>
          <w:szCs w:val="22"/>
        </w:rPr>
      </w:pPr>
    </w:p>
    <w:p w:rsidR="00973B0B" w:rsidRPr="00EA7F30" w:rsidRDefault="00973B0B" w:rsidP="00630D82">
      <w:pPr>
        <w:outlineLvl w:val="0"/>
        <w:rPr>
          <w:b/>
          <w:caps/>
          <w:sz w:val="22"/>
          <w:szCs w:val="22"/>
        </w:rPr>
      </w:pPr>
    </w:p>
    <w:p w:rsidR="00973B0B" w:rsidRPr="00EA7F30" w:rsidRDefault="00973B0B" w:rsidP="00630D82">
      <w:pPr>
        <w:outlineLvl w:val="0"/>
        <w:rPr>
          <w:b/>
          <w:caps/>
          <w:sz w:val="22"/>
          <w:szCs w:val="22"/>
        </w:rPr>
      </w:pPr>
    </w:p>
    <w:p w:rsidR="00973B0B" w:rsidRPr="00EA7F30" w:rsidRDefault="00973B0B" w:rsidP="00630D82">
      <w:pPr>
        <w:outlineLvl w:val="0"/>
        <w:rPr>
          <w:b/>
          <w:caps/>
          <w:sz w:val="22"/>
          <w:szCs w:val="22"/>
        </w:rPr>
      </w:pPr>
    </w:p>
    <w:p w:rsidR="00973B0B" w:rsidRPr="00EA7F30" w:rsidRDefault="00973B0B" w:rsidP="00630D82">
      <w:pPr>
        <w:outlineLvl w:val="0"/>
        <w:rPr>
          <w:b/>
          <w:caps/>
          <w:sz w:val="22"/>
          <w:szCs w:val="22"/>
        </w:rPr>
      </w:pPr>
    </w:p>
    <w:p w:rsidR="00973B0B" w:rsidRPr="00EA7F30" w:rsidRDefault="00973B0B" w:rsidP="00630D82">
      <w:pPr>
        <w:outlineLvl w:val="0"/>
        <w:rPr>
          <w:b/>
          <w:caps/>
          <w:sz w:val="22"/>
          <w:szCs w:val="22"/>
        </w:rPr>
      </w:pPr>
    </w:p>
    <w:p w:rsidR="00973B0B" w:rsidRPr="00EA7F30" w:rsidRDefault="00973B0B" w:rsidP="00630D82">
      <w:pPr>
        <w:outlineLvl w:val="0"/>
        <w:rPr>
          <w:b/>
          <w:caps/>
          <w:sz w:val="22"/>
          <w:szCs w:val="22"/>
        </w:rPr>
      </w:pPr>
    </w:p>
    <w:p w:rsidR="00973B0B" w:rsidRPr="00EA7F30" w:rsidRDefault="00973B0B" w:rsidP="00630D82">
      <w:pPr>
        <w:outlineLvl w:val="0"/>
        <w:rPr>
          <w:b/>
          <w:caps/>
          <w:sz w:val="22"/>
          <w:szCs w:val="22"/>
        </w:rPr>
      </w:pPr>
    </w:p>
    <w:p w:rsidR="00973B0B" w:rsidRPr="00EA7F30" w:rsidRDefault="00973B0B" w:rsidP="00630D82">
      <w:pPr>
        <w:outlineLvl w:val="0"/>
        <w:rPr>
          <w:b/>
          <w:caps/>
          <w:sz w:val="22"/>
          <w:szCs w:val="22"/>
        </w:rPr>
      </w:pPr>
    </w:p>
    <w:p w:rsidR="00973B0B" w:rsidRPr="00EA7F30" w:rsidRDefault="00973B0B" w:rsidP="00630D82">
      <w:pPr>
        <w:outlineLvl w:val="0"/>
        <w:rPr>
          <w:b/>
          <w:caps/>
          <w:sz w:val="22"/>
          <w:szCs w:val="22"/>
        </w:rPr>
      </w:pPr>
    </w:p>
    <w:p w:rsidR="00973B0B" w:rsidRPr="00EA7F30" w:rsidRDefault="00973B0B" w:rsidP="00630D82">
      <w:pPr>
        <w:jc w:val="center"/>
        <w:outlineLvl w:val="0"/>
        <w:rPr>
          <w:b/>
          <w:caps/>
          <w:sz w:val="22"/>
          <w:szCs w:val="22"/>
        </w:rPr>
      </w:pPr>
      <w:r w:rsidRPr="001B0AB9">
        <w:rPr>
          <w:b/>
          <w:caps/>
          <w:sz w:val="22"/>
          <w:szCs w:val="22"/>
        </w:rPr>
        <w:t>A. ŽENKLINIMAS</w:t>
      </w:r>
    </w:p>
    <w:p w:rsidR="00472498" w:rsidRPr="00EA7F30" w:rsidRDefault="00973B0B" w:rsidP="00472498">
      <w:pPr>
        <w:pBdr>
          <w:top w:val="single" w:sz="4" w:space="1" w:color="auto"/>
          <w:left w:val="single" w:sz="4" w:space="4" w:color="auto"/>
          <w:bottom w:val="single" w:sz="4" w:space="1" w:color="auto"/>
          <w:right w:val="single" w:sz="4" w:space="4" w:color="auto"/>
        </w:pBdr>
        <w:outlineLvl w:val="0"/>
        <w:rPr>
          <w:b/>
          <w:caps/>
          <w:sz w:val="22"/>
          <w:szCs w:val="22"/>
        </w:rPr>
      </w:pPr>
      <w:r w:rsidRPr="0040296C">
        <w:rPr>
          <w:b/>
          <w:caps/>
          <w:sz w:val="22"/>
          <w:szCs w:val="22"/>
        </w:rPr>
        <w:br w:type="page"/>
      </w:r>
      <w:bookmarkStart w:id="65" w:name="OLE_LINK8"/>
      <w:bookmarkStart w:id="66" w:name="OLE_LINK9"/>
      <w:r w:rsidR="00472498" w:rsidRPr="001B0AB9">
        <w:rPr>
          <w:b/>
          <w:caps/>
          <w:sz w:val="22"/>
          <w:szCs w:val="22"/>
        </w:rPr>
        <w:lastRenderedPageBreak/>
        <w:t xml:space="preserve">Informacija ant </w:t>
      </w:r>
      <w:r w:rsidR="00472498" w:rsidRPr="001B0AB9">
        <w:rPr>
          <w:b/>
          <w:sz w:val="22"/>
          <w:szCs w:val="22"/>
        </w:rPr>
        <w:t>IŠORINĖS</w:t>
      </w:r>
      <w:r w:rsidR="00472498" w:rsidRPr="001B0AB9">
        <w:rPr>
          <w:b/>
          <w:caps/>
          <w:sz w:val="22"/>
          <w:szCs w:val="22"/>
        </w:rPr>
        <w:t xml:space="preserve"> pakuotės </w:t>
      </w:r>
    </w:p>
    <w:p w:rsidR="00472498" w:rsidRPr="00EA7F30" w:rsidRDefault="00472498" w:rsidP="00472498">
      <w:pPr>
        <w:pBdr>
          <w:top w:val="single" w:sz="4" w:space="1" w:color="auto"/>
          <w:left w:val="single" w:sz="4" w:space="4" w:color="auto"/>
          <w:bottom w:val="single" w:sz="4" w:space="1" w:color="auto"/>
          <w:right w:val="single" w:sz="4" w:space="4" w:color="auto"/>
        </w:pBdr>
        <w:ind w:left="567" w:hanging="567"/>
        <w:rPr>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ind w:left="567" w:hanging="567"/>
        <w:rPr>
          <w:b/>
          <w:caps/>
          <w:sz w:val="22"/>
          <w:szCs w:val="22"/>
        </w:rPr>
      </w:pPr>
      <w:r w:rsidRPr="001B0AB9">
        <w:rPr>
          <w:b/>
          <w:caps/>
          <w:sz w:val="22"/>
          <w:szCs w:val="22"/>
        </w:rPr>
        <w:t>KARTONO DĖŽUTĖ</w:t>
      </w:r>
    </w:p>
    <w:p w:rsidR="00472498" w:rsidRPr="00EA7F30" w:rsidRDefault="00472498" w:rsidP="00472498">
      <w:pPr>
        <w:ind w:left="567" w:hanging="567"/>
        <w:rPr>
          <w:sz w:val="22"/>
          <w:szCs w:val="22"/>
        </w:rPr>
      </w:pPr>
    </w:p>
    <w:p w:rsidR="00472498" w:rsidRPr="00EA7F30" w:rsidRDefault="00472498" w:rsidP="00472498">
      <w:pPr>
        <w:ind w:left="567" w:hanging="567"/>
        <w:rPr>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1.</w:t>
      </w:r>
      <w:r w:rsidRPr="0040296C">
        <w:rPr>
          <w:b/>
          <w:caps/>
          <w:sz w:val="22"/>
          <w:szCs w:val="22"/>
        </w:rPr>
        <w:tab/>
      </w:r>
      <w:r w:rsidRPr="001B0AB9">
        <w:rPr>
          <w:b/>
          <w:caps/>
          <w:sz w:val="22"/>
          <w:szCs w:val="22"/>
        </w:rPr>
        <w:t>vaistinio preparato pavadinimas</w:t>
      </w:r>
    </w:p>
    <w:p w:rsidR="00472498" w:rsidRPr="00EA7F30" w:rsidRDefault="00472498" w:rsidP="00472498">
      <w:pPr>
        <w:ind w:left="567" w:hanging="567"/>
        <w:rPr>
          <w:sz w:val="22"/>
          <w:szCs w:val="22"/>
        </w:rPr>
      </w:pPr>
    </w:p>
    <w:p w:rsidR="00472498" w:rsidRPr="00EA7F30" w:rsidRDefault="00472498" w:rsidP="00472498">
      <w:pPr>
        <w:ind w:left="567" w:hanging="567"/>
        <w:rPr>
          <w:sz w:val="22"/>
          <w:szCs w:val="22"/>
        </w:rPr>
      </w:pPr>
      <w:r w:rsidRPr="001B0AB9">
        <w:rPr>
          <w:sz w:val="22"/>
          <w:szCs w:val="22"/>
        </w:rPr>
        <w:t>Finlepsin 200</w:t>
      </w:r>
      <w:r w:rsidRPr="0040296C">
        <w:rPr>
          <w:sz w:val="22"/>
          <w:szCs w:val="22"/>
        </w:rPr>
        <w:t> </w:t>
      </w:r>
      <w:r w:rsidRPr="001B0AB9">
        <w:rPr>
          <w:sz w:val="22"/>
          <w:szCs w:val="22"/>
        </w:rPr>
        <w:t>mg tabletės</w:t>
      </w:r>
    </w:p>
    <w:p w:rsidR="00472498" w:rsidRPr="00EA7F30" w:rsidRDefault="003D5E2C" w:rsidP="00472498">
      <w:pPr>
        <w:ind w:left="567" w:hanging="567"/>
        <w:rPr>
          <w:sz w:val="22"/>
          <w:szCs w:val="22"/>
        </w:rPr>
      </w:pPr>
      <w:r>
        <w:rPr>
          <w:sz w:val="22"/>
          <w:szCs w:val="22"/>
        </w:rPr>
        <w:t>c</w:t>
      </w:r>
      <w:r w:rsidR="00472498" w:rsidRPr="001B0AB9">
        <w:rPr>
          <w:sz w:val="22"/>
          <w:szCs w:val="22"/>
        </w:rPr>
        <w:t>arbamazepinum</w:t>
      </w:r>
    </w:p>
    <w:p w:rsidR="00472498" w:rsidRPr="00EA7F30" w:rsidRDefault="00472498" w:rsidP="00472498">
      <w:pPr>
        <w:ind w:left="567" w:hanging="567"/>
        <w:rPr>
          <w:sz w:val="22"/>
          <w:szCs w:val="22"/>
        </w:rPr>
      </w:pPr>
    </w:p>
    <w:p w:rsidR="00472498" w:rsidRPr="00EA7F30" w:rsidRDefault="00472498" w:rsidP="00472498">
      <w:pPr>
        <w:rPr>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2.</w:t>
      </w:r>
      <w:r w:rsidRPr="0040296C">
        <w:rPr>
          <w:b/>
          <w:caps/>
          <w:sz w:val="22"/>
          <w:szCs w:val="22"/>
        </w:rPr>
        <w:tab/>
      </w:r>
      <w:r w:rsidRPr="001B0AB9">
        <w:rPr>
          <w:b/>
          <w:caps/>
          <w:sz w:val="22"/>
          <w:szCs w:val="22"/>
        </w:rPr>
        <w:t xml:space="preserve">veikliOJI medžiagA ir JOS kiekis </w:t>
      </w:r>
    </w:p>
    <w:p w:rsidR="00472498" w:rsidRPr="00EA7F30" w:rsidRDefault="00472498" w:rsidP="00472498">
      <w:pPr>
        <w:ind w:left="567" w:hanging="567"/>
        <w:rPr>
          <w:caps/>
          <w:sz w:val="22"/>
          <w:szCs w:val="22"/>
        </w:rPr>
      </w:pPr>
    </w:p>
    <w:p w:rsidR="00472498" w:rsidRPr="00EA7F30" w:rsidRDefault="00472498" w:rsidP="00472498">
      <w:pPr>
        <w:ind w:left="567" w:hanging="567"/>
        <w:rPr>
          <w:sz w:val="22"/>
          <w:szCs w:val="22"/>
        </w:rPr>
      </w:pPr>
      <w:r w:rsidRPr="001B0AB9">
        <w:rPr>
          <w:sz w:val="22"/>
          <w:szCs w:val="22"/>
        </w:rPr>
        <w:t>Vienoje tabletėje yra 200</w:t>
      </w:r>
      <w:r w:rsidRPr="0040296C">
        <w:rPr>
          <w:sz w:val="22"/>
          <w:szCs w:val="22"/>
        </w:rPr>
        <w:t> </w:t>
      </w:r>
      <w:r w:rsidRPr="001B0AB9">
        <w:rPr>
          <w:sz w:val="22"/>
          <w:szCs w:val="22"/>
        </w:rPr>
        <w:t>mg karbamazepino.</w:t>
      </w:r>
    </w:p>
    <w:p w:rsidR="00472498" w:rsidRPr="00EA7F30" w:rsidRDefault="00472498" w:rsidP="00472498">
      <w:pPr>
        <w:ind w:left="567" w:hanging="567"/>
        <w:rPr>
          <w:caps/>
          <w:sz w:val="22"/>
          <w:szCs w:val="22"/>
        </w:rPr>
      </w:pPr>
    </w:p>
    <w:p w:rsidR="00472498" w:rsidRPr="00EA7F30" w:rsidRDefault="00472498" w:rsidP="00472498">
      <w:pPr>
        <w:ind w:left="567" w:hanging="567"/>
        <w:rPr>
          <w:caps/>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3.</w:t>
      </w:r>
      <w:r w:rsidRPr="0040296C">
        <w:rPr>
          <w:b/>
          <w:caps/>
          <w:sz w:val="22"/>
          <w:szCs w:val="22"/>
        </w:rPr>
        <w:tab/>
      </w:r>
      <w:r w:rsidRPr="001B0AB9">
        <w:rPr>
          <w:b/>
          <w:caps/>
          <w:sz w:val="22"/>
          <w:szCs w:val="22"/>
        </w:rPr>
        <w:t>pagalbinių medžiagų sąrašas</w:t>
      </w:r>
    </w:p>
    <w:p w:rsidR="00472498" w:rsidRPr="00EA7F30" w:rsidRDefault="00472498" w:rsidP="00472498">
      <w:pPr>
        <w:rPr>
          <w:caps/>
          <w:sz w:val="22"/>
          <w:szCs w:val="22"/>
        </w:rPr>
      </w:pPr>
    </w:p>
    <w:p w:rsidR="00472498" w:rsidRPr="00EA7F30" w:rsidRDefault="00472498" w:rsidP="00472498">
      <w:pPr>
        <w:rPr>
          <w:caps/>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4.</w:t>
      </w:r>
      <w:r w:rsidRPr="0040296C">
        <w:rPr>
          <w:b/>
          <w:caps/>
          <w:sz w:val="22"/>
          <w:szCs w:val="22"/>
        </w:rPr>
        <w:tab/>
      </w:r>
      <w:r w:rsidRPr="001B0AB9">
        <w:rPr>
          <w:b/>
          <w:caps/>
          <w:sz w:val="22"/>
          <w:szCs w:val="22"/>
        </w:rPr>
        <w:t>FARMACINĖ forma ir KIEKIS PAKUOTĖJE</w:t>
      </w:r>
    </w:p>
    <w:p w:rsidR="00472498" w:rsidRPr="00EA7F30" w:rsidRDefault="00472498" w:rsidP="00472498">
      <w:pPr>
        <w:ind w:left="567" w:hanging="567"/>
        <w:rPr>
          <w:caps/>
          <w:sz w:val="22"/>
          <w:szCs w:val="22"/>
        </w:rPr>
      </w:pPr>
    </w:p>
    <w:p w:rsidR="00472498" w:rsidRPr="00EA7F30" w:rsidRDefault="00472498" w:rsidP="00472498">
      <w:pPr>
        <w:ind w:left="567" w:hanging="567"/>
        <w:rPr>
          <w:sz w:val="22"/>
          <w:szCs w:val="22"/>
        </w:rPr>
      </w:pPr>
      <w:r w:rsidRPr="001B0AB9">
        <w:rPr>
          <w:sz w:val="22"/>
          <w:szCs w:val="22"/>
        </w:rPr>
        <w:t>50 tablečių</w:t>
      </w:r>
    </w:p>
    <w:p w:rsidR="00472498" w:rsidRPr="00EA7F30" w:rsidRDefault="00472498" w:rsidP="00472498">
      <w:pPr>
        <w:ind w:left="567" w:hanging="567"/>
        <w:rPr>
          <w:sz w:val="22"/>
          <w:szCs w:val="22"/>
        </w:rPr>
      </w:pPr>
    </w:p>
    <w:p w:rsidR="00472498" w:rsidRPr="00EA7F30" w:rsidRDefault="00472498" w:rsidP="00472498">
      <w:pPr>
        <w:ind w:left="567" w:hanging="567"/>
        <w:rPr>
          <w:caps/>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5.</w:t>
      </w:r>
      <w:r w:rsidRPr="0040296C">
        <w:rPr>
          <w:b/>
          <w:caps/>
          <w:sz w:val="22"/>
          <w:szCs w:val="22"/>
        </w:rPr>
        <w:tab/>
      </w:r>
      <w:r w:rsidRPr="001B0AB9">
        <w:rPr>
          <w:b/>
          <w:caps/>
          <w:sz w:val="22"/>
          <w:szCs w:val="22"/>
        </w:rPr>
        <w:t>vartojimo METODAS IR būdas</w:t>
      </w:r>
    </w:p>
    <w:p w:rsidR="00472498" w:rsidRPr="00EA7F30" w:rsidRDefault="00472498" w:rsidP="00472498">
      <w:pPr>
        <w:ind w:left="567" w:hanging="567"/>
        <w:rPr>
          <w:caps/>
          <w:sz w:val="22"/>
          <w:szCs w:val="22"/>
        </w:rPr>
      </w:pPr>
    </w:p>
    <w:p w:rsidR="00472498" w:rsidRPr="00EA7F30" w:rsidRDefault="00472498" w:rsidP="00472498">
      <w:pPr>
        <w:ind w:left="567" w:hanging="567"/>
        <w:rPr>
          <w:sz w:val="22"/>
          <w:szCs w:val="22"/>
        </w:rPr>
      </w:pPr>
      <w:r w:rsidRPr="001B0AB9">
        <w:rPr>
          <w:sz w:val="22"/>
          <w:szCs w:val="22"/>
        </w:rPr>
        <w:t>Vartoti per burną.</w:t>
      </w:r>
    </w:p>
    <w:p w:rsidR="00472498" w:rsidRPr="00EA7F30" w:rsidRDefault="00472498" w:rsidP="00472498">
      <w:pPr>
        <w:ind w:left="567" w:hanging="567"/>
        <w:rPr>
          <w:sz w:val="22"/>
          <w:szCs w:val="22"/>
        </w:rPr>
      </w:pPr>
      <w:r w:rsidRPr="001B0AB9">
        <w:rPr>
          <w:sz w:val="22"/>
          <w:szCs w:val="22"/>
        </w:rPr>
        <w:t>Prieš vartojimą perskaitykite pakuotės lapelį.</w:t>
      </w:r>
    </w:p>
    <w:p w:rsidR="00472498" w:rsidRPr="00EA7F30" w:rsidRDefault="00472498" w:rsidP="00472498">
      <w:pPr>
        <w:ind w:left="567" w:hanging="567"/>
        <w:rPr>
          <w:caps/>
          <w:sz w:val="22"/>
          <w:szCs w:val="22"/>
        </w:rPr>
      </w:pPr>
    </w:p>
    <w:p w:rsidR="00472498" w:rsidRPr="00EA7F30" w:rsidRDefault="00472498" w:rsidP="00472498">
      <w:pPr>
        <w:ind w:left="567" w:hanging="567"/>
        <w:rPr>
          <w:caps/>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ind w:left="720" w:hanging="720"/>
        <w:outlineLvl w:val="0"/>
        <w:rPr>
          <w:b/>
          <w:caps/>
          <w:sz w:val="22"/>
          <w:szCs w:val="22"/>
        </w:rPr>
      </w:pPr>
      <w:r w:rsidRPr="001B0AB9">
        <w:rPr>
          <w:b/>
          <w:caps/>
          <w:sz w:val="22"/>
          <w:szCs w:val="22"/>
        </w:rPr>
        <w:t>6.</w:t>
      </w:r>
      <w:r w:rsidRPr="0040296C">
        <w:rPr>
          <w:b/>
          <w:caps/>
          <w:sz w:val="22"/>
          <w:szCs w:val="22"/>
        </w:rPr>
        <w:tab/>
      </w:r>
      <w:r w:rsidRPr="001B0AB9">
        <w:rPr>
          <w:b/>
          <w:caps/>
          <w:sz w:val="22"/>
          <w:szCs w:val="22"/>
        </w:rPr>
        <w:t>SPECIALUS Įspėjimas</w:t>
      </w:r>
      <w:r w:rsidRPr="001B0AB9">
        <w:rPr>
          <w:b/>
          <w:sz w:val="22"/>
          <w:szCs w:val="22"/>
        </w:rPr>
        <w:t xml:space="preserve">, KAD VAISTINĮ PREPARATĄ BŪTINA LAIKYTI </w:t>
      </w:r>
      <w:r w:rsidRPr="001B0AB9">
        <w:rPr>
          <w:b/>
          <w:caps/>
          <w:sz w:val="22"/>
          <w:szCs w:val="22"/>
        </w:rPr>
        <w:t>vaikams nepastebimoje IR nepasiekiamoje vietoje</w:t>
      </w:r>
    </w:p>
    <w:p w:rsidR="00472498" w:rsidRPr="00EA7F30" w:rsidRDefault="00472498" w:rsidP="00472498">
      <w:pPr>
        <w:ind w:left="567" w:hanging="567"/>
        <w:rPr>
          <w:sz w:val="22"/>
          <w:szCs w:val="22"/>
        </w:rPr>
      </w:pPr>
    </w:p>
    <w:p w:rsidR="00472498" w:rsidRPr="00EA7F30" w:rsidRDefault="00472498" w:rsidP="00472498">
      <w:pPr>
        <w:ind w:left="567" w:hanging="567"/>
        <w:outlineLvl w:val="0"/>
        <w:rPr>
          <w:sz w:val="22"/>
          <w:szCs w:val="22"/>
        </w:rPr>
      </w:pPr>
      <w:r w:rsidRPr="001B0AB9">
        <w:rPr>
          <w:sz w:val="22"/>
          <w:szCs w:val="22"/>
        </w:rPr>
        <w:t>Laikyti vaikams nepastebimoje ir nepasiekiamoje vietoje.</w:t>
      </w:r>
    </w:p>
    <w:p w:rsidR="00472498" w:rsidRPr="00EA7F30" w:rsidRDefault="00472498" w:rsidP="00472498">
      <w:pPr>
        <w:rPr>
          <w:sz w:val="22"/>
          <w:szCs w:val="22"/>
        </w:rPr>
      </w:pPr>
    </w:p>
    <w:p w:rsidR="00472498" w:rsidRPr="00EA7F30" w:rsidRDefault="00472498" w:rsidP="00472498">
      <w:pPr>
        <w:rPr>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7.</w:t>
      </w:r>
      <w:r w:rsidRPr="0040296C">
        <w:rPr>
          <w:b/>
          <w:caps/>
          <w:sz w:val="22"/>
          <w:szCs w:val="22"/>
        </w:rPr>
        <w:tab/>
      </w:r>
      <w:r w:rsidRPr="001B0AB9">
        <w:rPr>
          <w:b/>
          <w:caps/>
          <w:sz w:val="22"/>
          <w:szCs w:val="22"/>
        </w:rPr>
        <w:t>kitas specialus Įspėjimas (jei reikia)</w:t>
      </w:r>
    </w:p>
    <w:p w:rsidR="00472498" w:rsidRPr="00EA7F30" w:rsidRDefault="00472498" w:rsidP="00472498">
      <w:pPr>
        <w:ind w:left="567" w:hanging="567"/>
        <w:rPr>
          <w:caps/>
          <w:sz w:val="22"/>
          <w:szCs w:val="22"/>
        </w:rPr>
      </w:pPr>
    </w:p>
    <w:p w:rsidR="00472498" w:rsidRPr="00EA7F30" w:rsidRDefault="00472498" w:rsidP="00472498">
      <w:pPr>
        <w:ind w:left="567" w:hanging="567"/>
        <w:rPr>
          <w:caps/>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8.</w:t>
      </w:r>
      <w:r w:rsidRPr="0040296C">
        <w:rPr>
          <w:b/>
          <w:caps/>
          <w:sz w:val="22"/>
          <w:szCs w:val="22"/>
        </w:rPr>
        <w:tab/>
      </w:r>
      <w:r w:rsidRPr="001B0AB9">
        <w:rPr>
          <w:b/>
          <w:caps/>
          <w:sz w:val="22"/>
          <w:szCs w:val="22"/>
        </w:rPr>
        <w:t>tinkamumo laikas</w:t>
      </w:r>
    </w:p>
    <w:p w:rsidR="00472498" w:rsidRPr="00EA7F30" w:rsidRDefault="00472498" w:rsidP="00472498">
      <w:pPr>
        <w:ind w:left="567" w:hanging="567"/>
        <w:rPr>
          <w:sz w:val="22"/>
          <w:szCs w:val="22"/>
        </w:rPr>
      </w:pPr>
    </w:p>
    <w:p w:rsidR="00472498" w:rsidRDefault="00472498" w:rsidP="00472498">
      <w:pPr>
        <w:ind w:left="567" w:hanging="567"/>
        <w:outlineLvl w:val="0"/>
        <w:rPr>
          <w:sz w:val="22"/>
          <w:szCs w:val="22"/>
        </w:rPr>
      </w:pPr>
      <w:r>
        <w:rPr>
          <w:sz w:val="22"/>
          <w:szCs w:val="22"/>
        </w:rPr>
        <w:t>EXP</w:t>
      </w:r>
    </w:p>
    <w:p w:rsidR="00472498" w:rsidRPr="00EA7F30" w:rsidRDefault="00472498" w:rsidP="00472498">
      <w:pPr>
        <w:ind w:left="567" w:hanging="567"/>
        <w:outlineLvl w:val="0"/>
        <w:rPr>
          <w:sz w:val="22"/>
          <w:szCs w:val="22"/>
        </w:rPr>
      </w:pPr>
      <w:r w:rsidRPr="00D50F1C">
        <w:rPr>
          <w:sz w:val="22"/>
          <w:szCs w:val="22"/>
          <w:highlight w:val="lightGray"/>
        </w:rPr>
        <w:t>Tinka iki</w:t>
      </w:r>
      <w:r w:rsidRPr="001B0AB9">
        <w:rPr>
          <w:sz w:val="22"/>
          <w:szCs w:val="22"/>
        </w:rPr>
        <w:t xml:space="preserve"> </w:t>
      </w:r>
      <w:r w:rsidRPr="0040296C">
        <w:rPr>
          <w:sz w:val="22"/>
          <w:szCs w:val="22"/>
        </w:rPr>
        <w:t>{</w:t>
      </w:r>
      <w:r w:rsidRPr="001B0AB9">
        <w:rPr>
          <w:sz w:val="22"/>
          <w:szCs w:val="22"/>
        </w:rPr>
        <w:t>mm MMMM</w:t>
      </w:r>
      <w:r w:rsidRPr="0040296C">
        <w:rPr>
          <w:sz w:val="22"/>
          <w:szCs w:val="22"/>
        </w:rPr>
        <w:t>}</w:t>
      </w:r>
    </w:p>
    <w:p w:rsidR="00472498" w:rsidRPr="00EA7F30" w:rsidRDefault="00472498" w:rsidP="00472498">
      <w:pPr>
        <w:ind w:left="567" w:hanging="567"/>
        <w:rPr>
          <w:sz w:val="22"/>
          <w:szCs w:val="22"/>
        </w:rPr>
      </w:pPr>
    </w:p>
    <w:p w:rsidR="00472498" w:rsidRPr="00EA7F30" w:rsidRDefault="00472498" w:rsidP="00472498">
      <w:pPr>
        <w:ind w:left="567" w:hanging="567"/>
        <w:rPr>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9.</w:t>
      </w:r>
      <w:r w:rsidRPr="0040296C">
        <w:rPr>
          <w:b/>
          <w:caps/>
          <w:sz w:val="22"/>
          <w:szCs w:val="22"/>
        </w:rPr>
        <w:tab/>
      </w:r>
      <w:r w:rsidRPr="001B0AB9">
        <w:rPr>
          <w:b/>
          <w:caps/>
          <w:sz w:val="22"/>
          <w:szCs w:val="22"/>
        </w:rPr>
        <w:t>SPECIALIOS laikymo sąlygos</w:t>
      </w:r>
    </w:p>
    <w:p w:rsidR="00472498" w:rsidRPr="00EA7F30" w:rsidRDefault="00472498" w:rsidP="00472498">
      <w:pPr>
        <w:rPr>
          <w:sz w:val="22"/>
          <w:szCs w:val="22"/>
        </w:rPr>
      </w:pPr>
    </w:p>
    <w:p w:rsidR="00472498" w:rsidRPr="00EA7F30" w:rsidRDefault="00472498" w:rsidP="00472498">
      <w:pPr>
        <w:ind w:left="567" w:hanging="567"/>
        <w:rPr>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10.</w:t>
      </w:r>
      <w:r w:rsidRPr="0040296C">
        <w:rPr>
          <w:b/>
          <w:caps/>
          <w:sz w:val="22"/>
          <w:szCs w:val="22"/>
        </w:rPr>
        <w:tab/>
      </w:r>
      <w:r w:rsidRPr="001B0AB9">
        <w:rPr>
          <w:b/>
          <w:caps/>
          <w:sz w:val="22"/>
          <w:szCs w:val="22"/>
        </w:rPr>
        <w:t>specialios atsargumo priemonės</w:t>
      </w:r>
      <w:r w:rsidRPr="001B0AB9">
        <w:rPr>
          <w:b/>
          <w:sz w:val="22"/>
          <w:szCs w:val="22"/>
        </w:rPr>
        <w:t xml:space="preserve"> DĖL NESUVARTOTO VAISTINIO PREPARATO AR JO ATLIEKŲ TVARKYMO</w:t>
      </w:r>
      <w:r w:rsidRPr="001B0AB9">
        <w:rPr>
          <w:caps/>
          <w:sz w:val="22"/>
          <w:szCs w:val="22"/>
        </w:rPr>
        <w:t xml:space="preserve"> </w:t>
      </w:r>
      <w:r w:rsidRPr="001B0AB9">
        <w:rPr>
          <w:b/>
          <w:caps/>
          <w:sz w:val="22"/>
          <w:szCs w:val="22"/>
        </w:rPr>
        <w:t>(jei reikia)</w:t>
      </w:r>
    </w:p>
    <w:p w:rsidR="00472498" w:rsidRPr="00EA7F30" w:rsidRDefault="00472498" w:rsidP="00472498">
      <w:pPr>
        <w:ind w:left="567" w:hanging="567"/>
        <w:rPr>
          <w:caps/>
          <w:sz w:val="22"/>
          <w:szCs w:val="22"/>
        </w:rPr>
      </w:pPr>
    </w:p>
    <w:p w:rsidR="00472498" w:rsidRPr="00EA7F30" w:rsidRDefault="00472498" w:rsidP="00472498">
      <w:pPr>
        <w:ind w:left="567" w:hanging="567"/>
        <w:rPr>
          <w:caps/>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11.</w:t>
      </w:r>
      <w:r w:rsidRPr="0040296C">
        <w:rPr>
          <w:b/>
          <w:caps/>
          <w:sz w:val="22"/>
          <w:szCs w:val="22"/>
        </w:rPr>
        <w:tab/>
      </w:r>
      <w:r w:rsidRPr="00C7145C">
        <w:rPr>
          <w:b/>
          <w:caps/>
          <w:sz w:val="22"/>
          <w:szCs w:val="22"/>
        </w:rPr>
        <w:t>REGISTRUOTOJO</w:t>
      </w:r>
      <w:r w:rsidRPr="001B0AB9">
        <w:rPr>
          <w:b/>
          <w:caps/>
          <w:sz w:val="22"/>
          <w:szCs w:val="22"/>
        </w:rPr>
        <w:t xml:space="preserve"> pavadinimas ir adresas</w:t>
      </w:r>
    </w:p>
    <w:p w:rsidR="00472498" w:rsidRPr="00EA7F30" w:rsidRDefault="00472498" w:rsidP="00472498">
      <w:pPr>
        <w:ind w:left="567" w:hanging="567"/>
        <w:rPr>
          <w:caps/>
          <w:sz w:val="22"/>
          <w:szCs w:val="22"/>
        </w:rPr>
      </w:pPr>
    </w:p>
    <w:p w:rsidR="00472498" w:rsidRPr="006045BE" w:rsidRDefault="00472498" w:rsidP="007F7D76">
      <w:pPr>
        <w:pStyle w:val="BTEMEASMCA"/>
      </w:pPr>
      <w:r w:rsidRPr="006045BE">
        <w:lastRenderedPageBreak/>
        <w:t xml:space="preserve">Teva Pharma B.V. </w:t>
      </w:r>
    </w:p>
    <w:p w:rsidR="00472498" w:rsidRPr="006045BE" w:rsidRDefault="00472498" w:rsidP="007F7D76">
      <w:pPr>
        <w:pStyle w:val="BTEMEASMCA"/>
      </w:pPr>
      <w:r w:rsidRPr="006045BE">
        <w:t>Swensweg 5</w:t>
      </w:r>
    </w:p>
    <w:p w:rsidR="00472498" w:rsidRPr="006045BE" w:rsidRDefault="00472498" w:rsidP="007F7D76">
      <w:pPr>
        <w:pStyle w:val="BTEMEASMCA"/>
      </w:pPr>
      <w:r w:rsidRPr="006045BE">
        <w:t xml:space="preserve">2031 GA Haarlem </w:t>
      </w:r>
    </w:p>
    <w:p w:rsidR="00472498" w:rsidRPr="00EA7F30" w:rsidRDefault="00472498" w:rsidP="007F7D76">
      <w:pPr>
        <w:pStyle w:val="BTEMEASMCA"/>
      </w:pPr>
      <w:r w:rsidRPr="006045BE">
        <w:t>Nyderlandai</w:t>
      </w:r>
    </w:p>
    <w:p w:rsidR="00472498" w:rsidRPr="00EA7F30" w:rsidRDefault="00472498" w:rsidP="00472498">
      <w:pPr>
        <w:rPr>
          <w:caps/>
          <w:sz w:val="22"/>
          <w:szCs w:val="22"/>
        </w:rPr>
      </w:pPr>
    </w:p>
    <w:p w:rsidR="00472498" w:rsidRPr="00EA7F30" w:rsidRDefault="00472498" w:rsidP="00472498">
      <w:pPr>
        <w:rPr>
          <w:caps/>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12.</w:t>
      </w:r>
      <w:r w:rsidRPr="0040296C">
        <w:rPr>
          <w:b/>
          <w:caps/>
          <w:sz w:val="22"/>
          <w:szCs w:val="22"/>
        </w:rPr>
        <w:tab/>
      </w:r>
      <w:r w:rsidRPr="00C7145C">
        <w:rPr>
          <w:b/>
          <w:caps/>
          <w:sz w:val="22"/>
          <w:szCs w:val="22"/>
        </w:rPr>
        <w:t>REGISTRACIJOS PAŽYMĖJIMO</w:t>
      </w:r>
      <w:r w:rsidRPr="001B0AB9">
        <w:rPr>
          <w:b/>
          <w:caps/>
          <w:sz w:val="22"/>
          <w:szCs w:val="22"/>
        </w:rPr>
        <w:t xml:space="preserve"> numeris</w:t>
      </w:r>
      <w:r>
        <w:rPr>
          <w:b/>
          <w:caps/>
          <w:sz w:val="22"/>
          <w:szCs w:val="22"/>
        </w:rPr>
        <w:t xml:space="preserve"> (-iai)</w:t>
      </w:r>
    </w:p>
    <w:p w:rsidR="00472498" w:rsidRPr="00EA7F30" w:rsidRDefault="00472498" w:rsidP="00472498">
      <w:pPr>
        <w:ind w:left="567" w:hanging="567"/>
        <w:rPr>
          <w:sz w:val="22"/>
          <w:szCs w:val="22"/>
        </w:rPr>
      </w:pPr>
    </w:p>
    <w:p w:rsidR="00472498" w:rsidRPr="006045BE" w:rsidRDefault="00472498" w:rsidP="007F7D76">
      <w:pPr>
        <w:pStyle w:val="BTEMEASMCA"/>
      </w:pPr>
      <w:r w:rsidRPr="006045BE">
        <w:t>LT/1/98/0320/007</w:t>
      </w:r>
    </w:p>
    <w:p w:rsidR="00472498" w:rsidRPr="00EA7F30" w:rsidRDefault="00472498" w:rsidP="00472498">
      <w:pPr>
        <w:ind w:left="567" w:hanging="567"/>
        <w:rPr>
          <w:sz w:val="22"/>
          <w:szCs w:val="22"/>
        </w:rPr>
      </w:pPr>
    </w:p>
    <w:p w:rsidR="00472498" w:rsidRPr="00EA7F30" w:rsidRDefault="00472498" w:rsidP="00472498">
      <w:pPr>
        <w:ind w:left="567" w:hanging="567"/>
        <w:rPr>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13.</w:t>
      </w:r>
      <w:r w:rsidRPr="0040296C">
        <w:rPr>
          <w:b/>
          <w:caps/>
          <w:sz w:val="22"/>
          <w:szCs w:val="22"/>
        </w:rPr>
        <w:tab/>
      </w:r>
      <w:r w:rsidRPr="001B0AB9">
        <w:rPr>
          <w:b/>
          <w:caps/>
          <w:sz w:val="22"/>
          <w:szCs w:val="22"/>
        </w:rPr>
        <w:t>serijos numeris</w:t>
      </w:r>
    </w:p>
    <w:p w:rsidR="00472498" w:rsidRPr="00EA7F30" w:rsidRDefault="00472498" w:rsidP="00472498">
      <w:pPr>
        <w:ind w:left="567" w:hanging="567"/>
        <w:rPr>
          <w:sz w:val="22"/>
          <w:szCs w:val="22"/>
        </w:rPr>
      </w:pPr>
    </w:p>
    <w:p w:rsidR="00472498" w:rsidRDefault="00472498" w:rsidP="00472498">
      <w:pPr>
        <w:ind w:left="567" w:hanging="567"/>
        <w:rPr>
          <w:sz w:val="22"/>
          <w:szCs w:val="22"/>
        </w:rPr>
      </w:pPr>
      <w:r>
        <w:rPr>
          <w:sz w:val="22"/>
          <w:szCs w:val="22"/>
        </w:rPr>
        <w:t>Lot</w:t>
      </w:r>
    </w:p>
    <w:p w:rsidR="00472498" w:rsidRPr="00EA7F30" w:rsidRDefault="00472498" w:rsidP="00472498">
      <w:pPr>
        <w:ind w:left="567" w:hanging="567"/>
        <w:rPr>
          <w:sz w:val="22"/>
          <w:szCs w:val="22"/>
        </w:rPr>
      </w:pPr>
      <w:r w:rsidRPr="00D50F1C">
        <w:rPr>
          <w:sz w:val="22"/>
          <w:szCs w:val="22"/>
          <w:highlight w:val="lightGray"/>
        </w:rPr>
        <w:t>Serija</w:t>
      </w:r>
      <w:r w:rsidRPr="001B0AB9">
        <w:rPr>
          <w:sz w:val="22"/>
          <w:szCs w:val="22"/>
        </w:rPr>
        <w:t xml:space="preserve"> </w:t>
      </w:r>
      <w:r w:rsidRPr="0040296C">
        <w:rPr>
          <w:sz w:val="22"/>
          <w:szCs w:val="22"/>
        </w:rPr>
        <w:t>{</w:t>
      </w:r>
      <w:r w:rsidRPr="001B0AB9">
        <w:rPr>
          <w:sz w:val="22"/>
          <w:szCs w:val="22"/>
        </w:rPr>
        <w:t>numeris</w:t>
      </w:r>
      <w:r w:rsidRPr="0040296C">
        <w:rPr>
          <w:sz w:val="22"/>
          <w:szCs w:val="22"/>
        </w:rPr>
        <w:t>}</w:t>
      </w:r>
    </w:p>
    <w:p w:rsidR="00472498" w:rsidRPr="00EA7F30" w:rsidRDefault="00472498" w:rsidP="00472498">
      <w:pPr>
        <w:ind w:left="567" w:hanging="567"/>
        <w:rPr>
          <w:sz w:val="22"/>
          <w:szCs w:val="22"/>
        </w:rPr>
      </w:pPr>
    </w:p>
    <w:p w:rsidR="00472498" w:rsidRPr="00EA7F30" w:rsidRDefault="00472498" w:rsidP="00472498">
      <w:pPr>
        <w:ind w:left="567" w:hanging="567"/>
        <w:rPr>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14.</w:t>
      </w:r>
      <w:r w:rsidRPr="0040296C">
        <w:rPr>
          <w:b/>
          <w:caps/>
          <w:sz w:val="22"/>
          <w:szCs w:val="22"/>
        </w:rPr>
        <w:tab/>
      </w:r>
      <w:r w:rsidRPr="001B0AB9">
        <w:rPr>
          <w:b/>
          <w:caps/>
          <w:sz w:val="22"/>
          <w:szCs w:val="22"/>
        </w:rPr>
        <w:t>PARDAVIMO (IŠDAVIMO) tvarka</w:t>
      </w:r>
    </w:p>
    <w:p w:rsidR="00472498" w:rsidRPr="00EA7F30" w:rsidRDefault="00472498" w:rsidP="00472498">
      <w:pPr>
        <w:ind w:left="567" w:hanging="567"/>
        <w:rPr>
          <w:sz w:val="22"/>
          <w:szCs w:val="22"/>
        </w:rPr>
      </w:pPr>
    </w:p>
    <w:p w:rsidR="00472498" w:rsidRPr="00EA7F30" w:rsidRDefault="00472498" w:rsidP="00472498">
      <w:pPr>
        <w:ind w:left="567" w:hanging="567"/>
        <w:rPr>
          <w:sz w:val="22"/>
          <w:szCs w:val="22"/>
        </w:rPr>
      </w:pPr>
      <w:r w:rsidRPr="001B0AB9">
        <w:rPr>
          <w:sz w:val="22"/>
          <w:szCs w:val="22"/>
        </w:rPr>
        <w:t>Receptinis vaistas.</w:t>
      </w:r>
    </w:p>
    <w:p w:rsidR="00472498" w:rsidRPr="00EA7F30" w:rsidRDefault="00472498" w:rsidP="00472498">
      <w:pPr>
        <w:ind w:left="567" w:hanging="567"/>
        <w:rPr>
          <w:sz w:val="22"/>
          <w:szCs w:val="22"/>
        </w:rPr>
      </w:pPr>
    </w:p>
    <w:p w:rsidR="00472498" w:rsidRPr="00EA7F30" w:rsidRDefault="00472498" w:rsidP="00472498">
      <w:pPr>
        <w:ind w:left="567" w:hanging="567"/>
        <w:rPr>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15.</w:t>
      </w:r>
      <w:r w:rsidRPr="0040296C">
        <w:rPr>
          <w:b/>
          <w:caps/>
          <w:sz w:val="22"/>
          <w:szCs w:val="22"/>
        </w:rPr>
        <w:tab/>
      </w:r>
      <w:r w:rsidRPr="001B0AB9">
        <w:rPr>
          <w:b/>
          <w:caps/>
          <w:sz w:val="22"/>
          <w:szCs w:val="22"/>
        </w:rPr>
        <w:t>vartojimo instrukcijA</w:t>
      </w:r>
    </w:p>
    <w:p w:rsidR="00472498" w:rsidRPr="00EA7F30" w:rsidRDefault="00472498" w:rsidP="00472498">
      <w:pPr>
        <w:ind w:left="567" w:hanging="567"/>
        <w:rPr>
          <w:sz w:val="22"/>
          <w:szCs w:val="22"/>
        </w:rPr>
      </w:pPr>
    </w:p>
    <w:p w:rsidR="00472498" w:rsidRPr="00EA7F30" w:rsidRDefault="00472498" w:rsidP="00472498">
      <w:pPr>
        <w:ind w:left="567" w:hanging="567"/>
        <w:rPr>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16.</w:t>
      </w:r>
      <w:r w:rsidRPr="0040296C">
        <w:rPr>
          <w:b/>
          <w:caps/>
          <w:sz w:val="22"/>
          <w:szCs w:val="22"/>
        </w:rPr>
        <w:tab/>
      </w:r>
      <w:r w:rsidRPr="001B0AB9">
        <w:rPr>
          <w:b/>
          <w:caps/>
          <w:sz w:val="22"/>
          <w:szCs w:val="22"/>
        </w:rPr>
        <w:t>INFORMACIJA BRAILIO RAŠTU</w:t>
      </w:r>
    </w:p>
    <w:p w:rsidR="00472498" w:rsidRPr="00EA7F30" w:rsidRDefault="00472498" w:rsidP="00472498">
      <w:pPr>
        <w:ind w:left="567" w:hanging="567"/>
        <w:rPr>
          <w:sz w:val="22"/>
          <w:szCs w:val="22"/>
        </w:rPr>
      </w:pPr>
    </w:p>
    <w:p w:rsidR="00472498" w:rsidRPr="00EA7F30" w:rsidRDefault="00472498" w:rsidP="00472498">
      <w:pPr>
        <w:ind w:left="567" w:hanging="567"/>
        <w:rPr>
          <w:sz w:val="22"/>
          <w:szCs w:val="22"/>
        </w:rPr>
      </w:pPr>
      <w:r w:rsidRPr="001B0AB9">
        <w:rPr>
          <w:sz w:val="22"/>
          <w:szCs w:val="22"/>
        </w:rPr>
        <w:t>finlepsin 200</w:t>
      </w:r>
      <w:r w:rsidRPr="0040296C">
        <w:rPr>
          <w:sz w:val="22"/>
          <w:szCs w:val="22"/>
        </w:rPr>
        <w:t> </w:t>
      </w:r>
      <w:r w:rsidRPr="001B0AB9">
        <w:rPr>
          <w:sz w:val="22"/>
          <w:szCs w:val="22"/>
        </w:rPr>
        <w:t>mg tabletės</w:t>
      </w:r>
    </w:p>
    <w:p w:rsidR="00472498" w:rsidRPr="00EA7F30" w:rsidRDefault="00472498" w:rsidP="00472498">
      <w:pPr>
        <w:ind w:left="567" w:hanging="567"/>
        <w:rPr>
          <w:sz w:val="22"/>
          <w:szCs w:val="22"/>
        </w:rPr>
      </w:pPr>
    </w:p>
    <w:p w:rsidR="00472498" w:rsidRPr="002C539D" w:rsidRDefault="00472498" w:rsidP="00472498">
      <w:pPr>
        <w:tabs>
          <w:tab w:val="left" w:pos="567"/>
        </w:tabs>
        <w:spacing w:line="260" w:lineRule="exact"/>
        <w:rPr>
          <w:rFonts w:eastAsia="Times New Roman"/>
          <w:noProof/>
          <w:sz w:val="22"/>
          <w:szCs w:val="22"/>
          <w:shd w:val="clear" w:color="auto" w:fill="CCCCCC"/>
        </w:rPr>
      </w:pPr>
    </w:p>
    <w:p w:rsidR="00472498" w:rsidRPr="002C539D" w:rsidRDefault="00472498" w:rsidP="0047249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lang w:val="en-GB"/>
        </w:rPr>
      </w:pPr>
      <w:r w:rsidRPr="002C539D">
        <w:rPr>
          <w:rFonts w:eastAsia="Times New Roman"/>
          <w:b/>
          <w:noProof/>
          <w:snapToGrid w:val="0"/>
          <w:sz w:val="22"/>
          <w:szCs w:val="20"/>
          <w:lang w:val="en-GB"/>
        </w:rPr>
        <w:t>17.</w:t>
      </w:r>
      <w:r w:rsidRPr="002C539D">
        <w:rPr>
          <w:rFonts w:eastAsia="Times New Roman"/>
          <w:b/>
          <w:noProof/>
          <w:snapToGrid w:val="0"/>
          <w:sz w:val="22"/>
          <w:szCs w:val="20"/>
          <w:lang w:val="en-GB"/>
        </w:rPr>
        <w:tab/>
        <w:t>UNIKALUS IDENTIFIKATORIUS – 2D BRŪKŠNINIS KODAS</w:t>
      </w:r>
    </w:p>
    <w:p w:rsidR="00472498" w:rsidRPr="002C539D" w:rsidRDefault="00472498" w:rsidP="00472498">
      <w:pPr>
        <w:tabs>
          <w:tab w:val="left" w:pos="567"/>
        </w:tabs>
        <w:spacing w:line="260" w:lineRule="exact"/>
        <w:rPr>
          <w:rFonts w:eastAsia="Times New Roman"/>
          <w:noProof/>
          <w:snapToGrid w:val="0"/>
          <w:sz w:val="22"/>
          <w:szCs w:val="20"/>
          <w:lang w:val="en-GB"/>
        </w:rPr>
      </w:pPr>
    </w:p>
    <w:p w:rsidR="00472498" w:rsidRPr="002C539D" w:rsidRDefault="00472498" w:rsidP="00472498">
      <w:pPr>
        <w:tabs>
          <w:tab w:val="left" w:pos="567"/>
        </w:tabs>
        <w:spacing w:line="260" w:lineRule="exact"/>
        <w:rPr>
          <w:rFonts w:eastAsia="Times New Roman"/>
          <w:noProof/>
          <w:snapToGrid w:val="0"/>
          <w:sz w:val="22"/>
          <w:szCs w:val="22"/>
          <w:shd w:val="clear" w:color="auto" w:fill="CCCCCC"/>
          <w:lang w:val="en-GB"/>
        </w:rPr>
      </w:pPr>
      <w:r w:rsidRPr="00D50F1C">
        <w:rPr>
          <w:rFonts w:eastAsia="Times New Roman"/>
          <w:noProof/>
          <w:snapToGrid w:val="0"/>
          <w:sz w:val="22"/>
          <w:szCs w:val="20"/>
          <w:highlight w:val="lightGray"/>
          <w:lang w:val="en-GB"/>
        </w:rPr>
        <w:t>2D brūkšninis kodas su nurodytu unikaliu identifikatoriumi.</w:t>
      </w:r>
    </w:p>
    <w:p w:rsidR="00472498" w:rsidRPr="002C539D" w:rsidRDefault="00472498" w:rsidP="00472498">
      <w:pPr>
        <w:tabs>
          <w:tab w:val="left" w:pos="567"/>
        </w:tabs>
        <w:spacing w:line="260" w:lineRule="exact"/>
        <w:rPr>
          <w:rFonts w:eastAsia="Times New Roman"/>
          <w:noProof/>
          <w:snapToGrid w:val="0"/>
          <w:sz w:val="22"/>
          <w:szCs w:val="20"/>
          <w:lang w:val="en-GB"/>
        </w:rPr>
      </w:pPr>
    </w:p>
    <w:p w:rsidR="00472498" w:rsidRPr="002C539D" w:rsidRDefault="00472498" w:rsidP="00472498">
      <w:pPr>
        <w:tabs>
          <w:tab w:val="left" w:pos="567"/>
        </w:tabs>
        <w:spacing w:line="260" w:lineRule="exact"/>
        <w:rPr>
          <w:rFonts w:eastAsia="Times New Roman"/>
          <w:noProof/>
          <w:snapToGrid w:val="0"/>
          <w:sz w:val="22"/>
          <w:szCs w:val="20"/>
          <w:lang w:val="en-GB"/>
        </w:rPr>
      </w:pPr>
    </w:p>
    <w:p w:rsidR="00472498" w:rsidRPr="002C539D" w:rsidRDefault="00472498" w:rsidP="0047249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szCs w:val="20"/>
          <w:lang w:val="en-GB"/>
        </w:rPr>
      </w:pPr>
      <w:r w:rsidRPr="002C539D">
        <w:rPr>
          <w:rFonts w:eastAsia="Times New Roman"/>
          <w:b/>
          <w:noProof/>
          <w:snapToGrid w:val="0"/>
          <w:sz w:val="22"/>
          <w:szCs w:val="20"/>
          <w:lang w:val="en-GB"/>
        </w:rPr>
        <w:t>18.</w:t>
      </w:r>
      <w:r w:rsidRPr="002C539D">
        <w:rPr>
          <w:rFonts w:eastAsia="Times New Roman"/>
          <w:b/>
          <w:noProof/>
          <w:snapToGrid w:val="0"/>
          <w:sz w:val="22"/>
          <w:szCs w:val="20"/>
          <w:lang w:val="en-GB"/>
        </w:rPr>
        <w:tab/>
        <w:t>UNIKALUS IDENTIFIKATORIUS – ŽMONĖMS SUPRANTAMI DUOMENYS</w:t>
      </w:r>
    </w:p>
    <w:p w:rsidR="00472498" w:rsidRPr="002C539D" w:rsidRDefault="00472498" w:rsidP="00472498">
      <w:pPr>
        <w:tabs>
          <w:tab w:val="left" w:pos="567"/>
        </w:tabs>
        <w:spacing w:line="260" w:lineRule="exact"/>
        <w:rPr>
          <w:rFonts w:eastAsia="Times New Roman"/>
          <w:noProof/>
          <w:snapToGrid w:val="0"/>
          <w:sz w:val="22"/>
          <w:szCs w:val="20"/>
          <w:lang w:val="en-GB"/>
        </w:rPr>
      </w:pPr>
    </w:p>
    <w:p w:rsidR="00472498" w:rsidRPr="002C539D" w:rsidRDefault="00472498" w:rsidP="00472498">
      <w:pPr>
        <w:tabs>
          <w:tab w:val="left" w:pos="567"/>
        </w:tabs>
        <w:spacing w:line="260" w:lineRule="exact"/>
        <w:rPr>
          <w:rFonts w:eastAsia="Times New Roman"/>
          <w:snapToGrid w:val="0"/>
          <w:color w:val="008000"/>
          <w:sz w:val="22"/>
          <w:szCs w:val="22"/>
          <w:lang w:val="en-GB"/>
        </w:rPr>
      </w:pPr>
      <w:r>
        <w:rPr>
          <w:rFonts w:eastAsia="Times New Roman"/>
          <w:snapToGrid w:val="0"/>
          <w:sz w:val="22"/>
          <w:szCs w:val="20"/>
          <w:lang w:val="en-GB"/>
        </w:rPr>
        <w:t>PC:</w:t>
      </w:r>
    </w:p>
    <w:p w:rsidR="00472498" w:rsidRPr="002C539D" w:rsidRDefault="00472498" w:rsidP="00472498">
      <w:pPr>
        <w:tabs>
          <w:tab w:val="left" w:pos="567"/>
        </w:tabs>
        <w:spacing w:line="260" w:lineRule="exact"/>
        <w:rPr>
          <w:rFonts w:eastAsia="Times New Roman"/>
          <w:snapToGrid w:val="0"/>
          <w:sz w:val="22"/>
          <w:szCs w:val="22"/>
          <w:lang w:val="en-GB"/>
        </w:rPr>
      </w:pPr>
      <w:r>
        <w:rPr>
          <w:rFonts w:eastAsia="Times New Roman"/>
          <w:snapToGrid w:val="0"/>
          <w:sz w:val="22"/>
          <w:szCs w:val="20"/>
          <w:lang w:val="en-GB"/>
        </w:rPr>
        <w:t>SN:</w:t>
      </w:r>
    </w:p>
    <w:p w:rsidR="00472498" w:rsidRPr="002C539D" w:rsidRDefault="00472498" w:rsidP="00472498">
      <w:pPr>
        <w:tabs>
          <w:tab w:val="left" w:pos="567"/>
        </w:tabs>
        <w:spacing w:line="260" w:lineRule="exact"/>
        <w:rPr>
          <w:rFonts w:eastAsia="Times New Roman"/>
          <w:noProof/>
          <w:snapToGrid w:val="0"/>
          <w:vanish/>
          <w:sz w:val="22"/>
          <w:szCs w:val="22"/>
          <w:lang w:val="en-GB"/>
        </w:rPr>
      </w:pPr>
      <w:r w:rsidRPr="00D50F1C">
        <w:rPr>
          <w:rFonts w:eastAsia="Times New Roman"/>
          <w:snapToGrid w:val="0"/>
          <w:sz w:val="22"/>
          <w:szCs w:val="20"/>
          <w:highlight w:val="lightGray"/>
          <w:lang w:val="en-GB"/>
        </w:rPr>
        <w:t>NN:</w:t>
      </w:r>
    </w:p>
    <w:p w:rsidR="00472498" w:rsidRPr="002C539D" w:rsidRDefault="00472498" w:rsidP="00472498">
      <w:pPr>
        <w:tabs>
          <w:tab w:val="left" w:pos="567"/>
        </w:tabs>
        <w:spacing w:line="260" w:lineRule="exact"/>
        <w:rPr>
          <w:rFonts w:eastAsia="Times New Roman"/>
          <w:noProof/>
          <w:snapToGrid w:val="0"/>
          <w:vanish/>
          <w:sz w:val="22"/>
          <w:szCs w:val="22"/>
          <w:lang w:val="en-GB"/>
        </w:rPr>
      </w:pPr>
    </w:p>
    <w:p w:rsidR="00472498" w:rsidRPr="002C539D" w:rsidRDefault="00472498" w:rsidP="00472498">
      <w:pPr>
        <w:tabs>
          <w:tab w:val="left" w:pos="567"/>
        </w:tabs>
        <w:spacing w:line="260" w:lineRule="exact"/>
        <w:rPr>
          <w:rFonts w:eastAsia="Times New Roman"/>
          <w:snapToGrid w:val="0"/>
          <w:sz w:val="22"/>
        </w:rPr>
      </w:pPr>
    </w:p>
    <w:p w:rsidR="00472498" w:rsidRPr="00EA7F30" w:rsidRDefault="00472498" w:rsidP="00472498">
      <w:pPr>
        <w:ind w:left="567" w:hanging="567"/>
        <w:rPr>
          <w:sz w:val="22"/>
          <w:szCs w:val="22"/>
        </w:rPr>
      </w:pPr>
    </w:p>
    <w:p w:rsidR="00472498" w:rsidRPr="00EA7F30" w:rsidRDefault="00472498" w:rsidP="00472498">
      <w:pPr>
        <w:ind w:left="567" w:hanging="567"/>
        <w:rPr>
          <w:sz w:val="22"/>
          <w:szCs w:val="22"/>
        </w:rPr>
      </w:pPr>
    </w:p>
    <w:p w:rsidR="00472498" w:rsidRPr="00EA7F30" w:rsidRDefault="00472498" w:rsidP="00472498">
      <w:pPr>
        <w:ind w:left="567" w:hanging="567"/>
        <w:rPr>
          <w:sz w:val="22"/>
          <w:szCs w:val="22"/>
        </w:rPr>
      </w:pPr>
    </w:p>
    <w:p w:rsidR="00472498" w:rsidRPr="00EA7F30" w:rsidRDefault="00472498" w:rsidP="00472498">
      <w:pPr>
        <w:ind w:left="567" w:hanging="567"/>
        <w:rPr>
          <w:sz w:val="22"/>
          <w:szCs w:val="22"/>
        </w:rPr>
      </w:pPr>
    </w:p>
    <w:p w:rsidR="00472498" w:rsidRPr="00EA7F30" w:rsidRDefault="00472498" w:rsidP="00472498">
      <w:pPr>
        <w:ind w:left="567" w:hanging="567"/>
        <w:rPr>
          <w:sz w:val="22"/>
          <w:szCs w:val="22"/>
        </w:rPr>
      </w:pPr>
    </w:p>
    <w:p w:rsidR="00472498" w:rsidRPr="00EA7F30" w:rsidRDefault="00472498" w:rsidP="00472498">
      <w:pPr>
        <w:ind w:left="567" w:hanging="567"/>
        <w:rPr>
          <w:sz w:val="22"/>
          <w:szCs w:val="22"/>
        </w:rPr>
      </w:pPr>
    </w:p>
    <w:p w:rsidR="00472498" w:rsidRPr="00EA7F30" w:rsidRDefault="00472498" w:rsidP="00472498">
      <w:pPr>
        <w:ind w:left="567" w:hanging="567"/>
        <w:rPr>
          <w:sz w:val="22"/>
          <w:szCs w:val="22"/>
        </w:rPr>
      </w:pPr>
    </w:p>
    <w:p w:rsidR="00472498" w:rsidRPr="00EA7F30" w:rsidRDefault="00472498" w:rsidP="00472498">
      <w:pPr>
        <w:ind w:left="567" w:hanging="567"/>
        <w:rPr>
          <w:sz w:val="22"/>
          <w:szCs w:val="22"/>
        </w:rPr>
      </w:pPr>
    </w:p>
    <w:p w:rsidR="00472498" w:rsidRPr="00EA7F30" w:rsidRDefault="00472498" w:rsidP="00472498">
      <w:pPr>
        <w:ind w:left="567" w:hanging="567"/>
        <w:rPr>
          <w:sz w:val="22"/>
          <w:szCs w:val="22"/>
        </w:rPr>
      </w:pPr>
      <w:r w:rsidRPr="0040296C">
        <w:rPr>
          <w:sz w:val="22"/>
          <w:szCs w:val="22"/>
        </w:rPr>
        <w:br w:type="page"/>
      </w:r>
    </w:p>
    <w:p w:rsidR="00472498" w:rsidRPr="00EA7F30" w:rsidRDefault="00472498" w:rsidP="00472498">
      <w:pPr>
        <w:pBdr>
          <w:top w:val="single" w:sz="4" w:space="1" w:color="auto"/>
          <w:left w:val="single" w:sz="4" w:space="4" w:color="auto"/>
          <w:bottom w:val="single" w:sz="4" w:space="1" w:color="auto"/>
          <w:right w:val="single" w:sz="4" w:space="4" w:color="auto"/>
        </w:pBdr>
        <w:outlineLvl w:val="0"/>
        <w:rPr>
          <w:b/>
          <w:sz w:val="22"/>
          <w:szCs w:val="22"/>
        </w:rPr>
      </w:pPr>
      <w:r w:rsidRPr="001B0AB9">
        <w:rPr>
          <w:b/>
          <w:sz w:val="22"/>
          <w:szCs w:val="22"/>
        </w:rPr>
        <w:t xml:space="preserve">MINIMALI </w:t>
      </w:r>
      <w:r w:rsidRPr="001B0AB9">
        <w:rPr>
          <w:b/>
          <w:caps/>
          <w:sz w:val="22"/>
          <w:szCs w:val="22"/>
        </w:rPr>
        <w:t xml:space="preserve">informacija ant </w:t>
      </w:r>
      <w:r w:rsidRPr="001B0AB9">
        <w:rPr>
          <w:b/>
          <w:sz w:val="22"/>
          <w:szCs w:val="22"/>
        </w:rPr>
        <w:t xml:space="preserve">LIZDINIŲ PLOKŠTELIŲ ARBA DVISLUOKSNIŲ JUOSTELIŲ </w:t>
      </w:r>
    </w:p>
    <w:p w:rsidR="00472498" w:rsidRPr="00EA7F30" w:rsidRDefault="00472498" w:rsidP="00472498">
      <w:pPr>
        <w:pBdr>
          <w:top w:val="single" w:sz="4" w:space="1" w:color="auto"/>
          <w:left w:val="single" w:sz="4" w:space="4" w:color="auto"/>
          <w:bottom w:val="single" w:sz="4" w:space="1" w:color="auto"/>
          <w:right w:val="single" w:sz="4" w:space="4" w:color="auto"/>
        </w:pBdr>
        <w:outlineLvl w:val="0"/>
        <w:rPr>
          <w:b/>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outlineLvl w:val="0"/>
        <w:rPr>
          <w:b/>
          <w:caps/>
          <w:sz w:val="22"/>
          <w:szCs w:val="22"/>
        </w:rPr>
      </w:pPr>
      <w:r w:rsidRPr="001B0AB9">
        <w:rPr>
          <w:b/>
          <w:sz w:val="22"/>
          <w:szCs w:val="22"/>
        </w:rPr>
        <w:t>LIZDINĖ PLOKŠTELĖ</w:t>
      </w:r>
    </w:p>
    <w:p w:rsidR="00472498" w:rsidRPr="00EA7F30" w:rsidRDefault="00472498" w:rsidP="00472498">
      <w:pPr>
        <w:ind w:left="567" w:hanging="567"/>
        <w:rPr>
          <w:caps/>
          <w:sz w:val="22"/>
          <w:szCs w:val="22"/>
        </w:rPr>
      </w:pPr>
    </w:p>
    <w:p w:rsidR="00472498" w:rsidRPr="00EA7F30" w:rsidRDefault="00472498" w:rsidP="00472498">
      <w:pPr>
        <w:ind w:left="567" w:hanging="567"/>
        <w:rPr>
          <w:caps/>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1.</w:t>
      </w:r>
      <w:r w:rsidRPr="0040296C">
        <w:rPr>
          <w:b/>
          <w:caps/>
          <w:sz w:val="22"/>
          <w:szCs w:val="22"/>
        </w:rPr>
        <w:tab/>
      </w:r>
      <w:r w:rsidRPr="001B0AB9">
        <w:rPr>
          <w:b/>
          <w:caps/>
          <w:sz w:val="22"/>
          <w:szCs w:val="22"/>
        </w:rPr>
        <w:t>Vaistinio preparato pavadinimas</w:t>
      </w:r>
    </w:p>
    <w:p w:rsidR="00472498" w:rsidRPr="00EA7F30" w:rsidRDefault="00472498" w:rsidP="00472498">
      <w:pPr>
        <w:ind w:left="567" w:hanging="567"/>
        <w:rPr>
          <w:sz w:val="22"/>
          <w:szCs w:val="22"/>
        </w:rPr>
      </w:pPr>
    </w:p>
    <w:p w:rsidR="00472498" w:rsidRPr="00EA7F30" w:rsidRDefault="00472498" w:rsidP="00472498">
      <w:pPr>
        <w:ind w:left="567" w:hanging="567"/>
        <w:rPr>
          <w:sz w:val="22"/>
          <w:szCs w:val="22"/>
        </w:rPr>
      </w:pPr>
      <w:r w:rsidRPr="001B0AB9">
        <w:rPr>
          <w:sz w:val="22"/>
          <w:szCs w:val="22"/>
        </w:rPr>
        <w:t>Finlepsin 200</w:t>
      </w:r>
      <w:r w:rsidRPr="0040296C">
        <w:rPr>
          <w:sz w:val="22"/>
          <w:szCs w:val="22"/>
        </w:rPr>
        <w:t> </w:t>
      </w:r>
      <w:r w:rsidRPr="001B0AB9">
        <w:rPr>
          <w:sz w:val="22"/>
          <w:szCs w:val="22"/>
        </w:rPr>
        <w:t>mg tabletės</w:t>
      </w:r>
    </w:p>
    <w:p w:rsidR="00472498" w:rsidRPr="00EA7F30" w:rsidRDefault="003D5E2C" w:rsidP="00472498">
      <w:pPr>
        <w:ind w:left="567" w:hanging="567"/>
        <w:rPr>
          <w:sz w:val="22"/>
          <w:szCs w:val="22"/>
        </w:rPr>
      </w:pPr>
      <w:r>
        <w:rPr>
          <w:sz w:val="22"/>
          <w:szCs w:val="22"/>
        </w:rPr>
        <w:t>c</w:t>
      </w:r>
      <w:r w:rsidR="00472498" w:rsidRPr="001B0AB9">
        <w:rPr>
          <w:sz w:val="22"/>
          <w:szCs w:val="22"/>
        </w:rPr>
        <w:t>arbamazepinum</w:t>
      </w:r>
    </w:p>
    <w:p w:rsidR="00472498" w:rsidRPr="00EA7F30" w:rsidRDefault="00472498" w:rsidP="00472498">
      <w:pPr>
        <w:ind w:left="567" w:hanging="567"/>
        <w:rPr>
          <w:sz w:val="22"/>
          <w:szCs w:val="22"/>
        </w:rPr>
      </w:pPr>
    </w:p>
    <w:p w:rsidR="00472498" w:rsidRPr="00EA7F30" w:rsidRDefault="00472498" w:rsidP="00472498">
      <w:pPr>
        <w:ind w:left="567" w:hanging="567"/>
        <w:rPr>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sz w:val="22"/>
          <w:szCs w:val="22"/>
        </w:rPr>
        <w:t>2.</w:t>
      </w:r>
      <w:r w:rsidRPr="0040296C">
        <w:rPr>
          <w:b/>
          <w:sz w:val="22"/>
          <w:szCs w:val="22"/>
        </w:rPr>
        <w:tab/>
      </w:r>
      <w:r w:rsidRPr="00B51DE5">
        <w:rPr>
          <w:b/>
          <w:caps/>
          <w:sz w:val="22"/>
          <w:szCs w:val="22"/>
        </w:rPr>
        <w:t>REGISTRUOTOJO</w:t>
      </w:r>
      <w:r w:rsidRPr="001B0AB9">
        <w:rPr>
          <w:b/>
          <w:caps/>
          <w:sz w:val="22"/>
          <w:szCs w:val="22"/>
        </w:rPr>
        <w:t xml:space="preserve"> pavadinimas </w:t>
      </w:r>
    </w:p>
    <w:p w:rsidR="00472498" w:rsidRPr="00EA7F30" w:rsidRDefault="00472498" w:rsidP="00472498">
      <w:pPr>
        <w:ind w:left="567" w:hanging="567"/>
        <w:rPr>
          <w:sz w:val="22"/>
          <w:szCs w:val="22"/>
        </w:rPr>
      </w:pPr>
    </w:p>
    <w:p w:rsidR="00472498" w:rsidRPr="006045BE" w:rsidRDefault="00472498" w:rsidP="007F7D76">
      <w:pPr>
        <w:pStyle w:val="BTEMEASMCA"/>
      </w:pPr>
      <w:r w:rsidRPr="006045BE">
        <w:t xml:space="preserve">Teva Pharma B.V. </w:t>
      </w:r>
    </w:p>
    <w:p w:rsidR="00472498" w:rsidRPr="00EA7F30" w:rsidRDefault="00472498" w:rsidP="00472498">
      <w:pPr>
        <w:rPr>
          <w:sz w:val="22"/>
          <w:szCs w:val="22"/>
        </w:rPr>
      </w:pPr>
    </w:p>
    <w:p w:rsidR="00472498" w:rsidRPr="00EA7F30" w:rsidRDefault="00472498" w:rsidP="00472498">
      <w:pPr>
        <w:rPr>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sz w:val="22"/>
          <w:szCs w:val="22"/>
        </w:rPr>
        <w:t>3.</w:t>
      </w:r>
      <w:r w:rsidRPr="0040296C">
        <w:rPr>
          <w:b/>
          <w:sz w:val="22"/>
          <w:szCs w:val="22"/>
        </w:rPr>
        <w:tab/>
      </w:r>
      <w:r w:rsidRPr="001B0AB9">
        <w:rPr>
          <w:b/>
          <w:caps/>
          <w:sz w:val="22"/>
          <w:szCs w:val="22"/>
        </w:rPr>
        <w:t>tinkamumo laikas</w:t>
      </w:r>
    </w:p>
    <w:p w:rsidR="00472498" w:rsidRPr="00EA7F30" w:rsidRDefault="00472498" w:rsidP="00472498">
      <w:pPr>
        <w:ind w:left="567" w:hanging="567"/>
        <w:rPr>
          <w:sz w:val="22"/>
          <w:szCs w:val="22"/>
        </w:rPr>
      </w:pPr>
    </w:p>
    <w:p w:rsidR="00472498" w:rsidRPr="00EA7F30" w:rsidRDefault="00472498" w:rsidP="00472498">
      <w:pPr>
        <w:ind w:left="567" w:hanging="567"/>
        <w:outlineLvl w:val="0"/>
        <w:rPr>
          <w:sz w:val="22"/>
          <w:szCs w:val="22"/>
        </w:rPr>
      </w:pPr>
      <w:r w:rsidRPr="00D50F1C">
        <w:rPr>
          <w:sz w:val="22"/>
          <w:szCs w:val="22"/>
          <w:highlight w:val="lightGray"/>
        </w:rPr>
        <w:t>EXP</w:t>
      </w:r>
      <w:r w:rsidRPr="001B0AB9">
        <w:rPr>
          <w:sz w:val="22"/>
          <w:szCs w:val="22"/>
        </w:rPr>
        <w:t xml:space="preserve"> </w:t>
      </w:r>
      <w:r w:rsidRPr="0040296C">
        <w:rPr>
          <w:sz w:val="22"/>
          <w:szCs w:val="22"/>
        </w:rPr>
        <w:t>{</w:t>
      </w:r>
      <w:r w:rsidRPr="001B0AB9">
        <w:rPr>
          <w:sz w:val="22"/>
          <w:szCs w:val="22"/>
        </w:rPr>
        <w:t>mm MMMM</w:t>
      </w:r>
      <w:r w:rsidRPr="0040296C">
        <w:rPr>
          <w:sz w:val="22"/>
          <w:szCs w:val="22"/>
        </w:rPr>
        <w:t>}</w:t>
      </w:r>
    </w:p>
    <w:p w:rsidR="00472498" w:rsidRPr="00EA7F30" w:rsidRDefault="00472498" w:rsidP="00472498">
      <w:pPr>
        <w:ind w:left="567" w:hanging="567"/>
        <w:rPr>
          <w:sz w:val="22"/>
          <w:szCs w:val="22"/>
        </w:rPr>
      </w:pPr>
    </w:p>
    <w:p w:rsidR="00472498" w:rsidRPr="00EA7F30" w:rsidRDefault="00472498" w:rsidP="00472498">
      <w:pPr>
        <w:ind w:left="567" w:hanging="567"/>
        <w:rPr>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4.</w:t>
      </w:r>
      <w:r w:rsidRPr="0040296C">
        <w:rPr>
          <w:b/>
          <w:caps/>
          <w:sz w:val="22"/>
          <w:szCs w:val="22"/>
        </w:rPr>
        <w:tab/>
      </w:r>
      <w:r w:rsidRPr="001B0AB9">
        <w:rPr>
          <w:b/>
          <w:caps/>
          <w:sz w:val="22"/>
          <w:szCs w:val="22"/>
        </w:rPr>
        <w:t xml:space="preserve">serijos numeris </w:t>
      </w:r>
    </w:p>
    <w:p w:rsidR="00472498" w:rsidRPr="00EA7F30" w:rsidRDefault="00472498" w:rsidP="00472498">
      <w:pPr>
        <w:ind w:left="567" w:hanging="567"/>
        <w:rPr>
          <w:sz w:val="22"/>
          <w:szCs w:val="22"/>
        </w:rPr>
      </w:pPr>
    </w:p>
    <w:p w:rsidR="00472498" w:rsidRPr="00EA7F30" w:rsidRDefault="00472498" w:rsidP="00472498">
      <w:pPr>
        <w:ind w:left="567" w:hanging="567"/>
        <w:rPr>
          <w:sz w:val="22"/>
          <w:szCs w:val="22"/>
        </w:rPr>
      </w:pPr>
      <w:r w:rsidRPr="00D50F1C">
        <w:rPr>
          <w:sz w:val="22"/>
          <w:szCs w:val="22"/>
          <w:highlight w:val="lightGray"/>
        </w:rPr>
        <w:t>Lot</w:t>
      </w:r>
      <w:r w:rsidRPr="001B0AB9">
        <w:rPr>
          <w:sz w:val="22"/>
          <w:szCs w:val="22"/>
        </w:rPr>
        <w:t xml:space="preserve"> </w:t>
      </w:r>
      <w:r w:rsidRPr="0040296C">
        <w:rPr>
          <w:sz w:val="22"/>
          <w:szCs w:val="22"/>
        </w:rPr>
        <w:t>{</w:t>
      </w:r>
      <w:r w:rsidRPr="001B0AB9">
        <w:rPr>
          <w:sz w:val="22"/>
          <w:szCs w:val="22"/>
        </w:rPr>
        <w:t>numeris</w:t>
      </w:r>
      <w:r w:rsidRPr="0040296C">
        <w:rPr>
          <w:sz w:val="22"/>
          <w:szCs w:val="22"/>
        </w:rPr>
        <w:t>}</w:t>
      </w:r>
    </w:p>
    <w:p w:rsidR="00472498" w:rsidRPr="00EA7F30" w:rsidRDefault="00472498" w:rsidP="00472498">
      <w:pPr>
        <w:rPr>
          <w:sz w:val="22"/>
          <w:szCs w:val="22"/>
        </w:rPr>
      </w:pPr>
    </w:p>
    <w:p w:rsidR="00472498" w:rsidRPr="00EA7F30" w:rsidRDefault="00472498" w:rsidP="00472498">
      <w:pPr>
        <w:rPr>
          <w:sz w:val="22"/>
          <w:szCs w:val="22"/>
        </w:rPr>
      </w:pPr>
    </w:p>
    <w:p w:rsidR="00472498" w:rsidRPr="00EA7F30" w:rsidRDefault="00472498" w:rsidP="00472498">
      <w:pPr>
        <w:pBdr>
          <w:top w:val="single" w:sz="4" w:space="1" w:color="auto"/>
          <w:left w:val="single" w:sz="4" w:space="4" w:color="auto"/>
          <w:bottom w:val="single" w:sz="4" w:space="1" w:color="auto"/>
          <w:right w:val="single" w:sz="4" w:space="4" w:color="auto"/>
        </w:pBdr>
        <w:ind w:left="567" w:hanging="567"/>
        <w:outlineLvl w:val="0"/>
        <w:rPr>
          <w:b/>
          <w:caps/>
          <w:sz w:val="22"/>
          <w:szCs w:val="22"/>
        </w:rPr>
      </w:pPr>
      <w:r w:rsidRPr="001B0AB9">
        <w:rPr>
          <w:b/>
          <w:caps/>
          <w:sz w:val="22"/>
          <w:szCs w:val="22"/>
        </w:rPr>
        <w:t>5.</w:t>
      </w:r>
      <w:r w:rsidRPr="0040296C">
        <w:rPr>
          <w:b/>
          <w:caps/>
          <w:sz w:val="22"/>
          <w:szCs w:val="22"/>
        </w:rPr>
        <w:tab/>
      </w:r>
      <w:r w:rsidRPr="001B0AB9">
        <w:rPr>
          <w:b/>
          <w:caps/>
          <w:sz w:val="22"/>
          <w:szCs w:val="22"/>
        </w:rPr>
        <w:t>kita</w:t>
      </w:r>
    </w:p>
    <w:p w:rsidR="00472498" w:rsidRPr="00EA7F30" w:rsidRDefault="00472498" w:rsidP="00472498">
      <w:pPr>
        <w:ind w:left="567" w:hanging="567"/>
        <w:rPr>
          <w:sz w:val="22"/>
          <w:szCs w:val="22"/>
        </w:rPr>
      </w:pPr>
    </w:p>
    <w:p w:rsidR="00472498" w:rsidRPr="00EA7F30" w:rsidRDefault="00472498" w:rsidP="00472498">
      <w:pPr>
        <w:spacing w:after="200" w:line="276" w:lineRule="auto"/>
        <w:rPr>
          <w:sz w:val="22"/>
          <w:szCs w:val="22"/>
        </w:rPr>
      </w:pPr>
      <w:r w:rsidRPr="0040296C">
        <w:rPr>
          <w:sz w:val="22"/>
          <w:szCs w:val="22"/>
        </w:rPr>
        <w:br w:type="page"/>
      </w:r>
    </w:p>
    <w:p w:rsidR="00472498" w:rsidRPr="00EA7F30" w:rsidRDefault="00472498" w:rsidP="00472498">
      <w:pPr>
        <w:pStyle w:val="TTEMEASMCA"/>
      </w:pPr>
      <w:bookmarkStart w:id="67" w:name="_Toc129243137"/>
      <w:bookmarkStart w:id="68" w:name="_Toc129243262"/>
    </w:p>
    <w:p w:rsidR="00472498" w:rsidRPr="00EA7F30" w:rsidRDefault="00472498" w:rsidP="00472498">
      <w:pPr>
        <w:pStyle w:val="TTEMEASMCA"/>
      </w:pPr>
    </w:p>
    <w:p w:rsidR="00472498" w:rsidRPr="00EA7F30" w:rsidRDefault="00472498" w:rsidP="00472498">
      <w:pPr>
        <w:pStyle w:val="TTEMEASMCA"/>
      </w:pPr>
    </w:p>
    <w:p w:rsidR="00472498" w:rsidRPr="00EA7F30" w:rsidRDefault="00472498" w:rsidP="00472498">
      <w:pPr>
        <w:pStyle w:val="TTEMEASMCA"/>
      </w:pPr>
    </w:p>
    <w:p w:rsidR="00472498" w:rsidRPr="00EA7F30" w:rsidRDefault="00472498" w:rsidP="00472498">
      <w:pPr>
        <w:pStyle w:val="TTEMEASMCA"/>
      </w:pPr>
    </w:p>
    <w:p w:rsidR="00472498" w:rsidRPr="00EA7F30" w:rsidRDefault="00472498" w:rsidP="00472498">
      <w:pPr>
        <w:pStyle w:val="TTEMEASMCA"/>
      </w:pPr>
    </w:p>
    <w:p w:rsidR="00472498" w:rsidRPr="00EA7F30" w:rsidRDefault="00472498" w:rsidP="00472498">
      <w:pPr>
        <w:pStyle w:val="TTEMEASMCA"/>
      </w:pPr>
    </w:p>
    <w:p w:rsidR="00472498" w:rsidRPr="00EA7F30" w:rsidRDefault="00472498" w:rsidP="00472498">
      <w:pPr>
        <w:pStyle w:val="TTEMEASMCA"/>
      </w:pPr>
    </w:p>
    <w:p w:rsidR="00472498" w:rsidRPr="00EA7F30" w:rsidRDefault="00472498" w:rsidP="00472498">
      <w:pPr>
        <w:pStyle w:val="TTEMEASMCA"/>
      </w:pPr>
    </w:p>
    <w:p w:rsidR="00472498" w:rsidRPr="00EA7F30" w:rsidRDefault="00472498" w:rsidP="00472498">
      <w:pPr>
        <w:pStyle w:val="TTEMEASMCA"/>
      </w:pPr>
    </w:p>
    <w:p w:rsidR="00472498" w:rsidRPr="00EA7F30" w:rsidRDefault="00472498" w:rsidP="00472498">
      <w:pPr>
        <w:pStyle w:val="TTEMEASMCA"/>
      </w:pPr>
    </w:p>
    <w:p w:rsidR="00472498" w:rsidRPr="00EA7F30" w:rsidRDefault="00472498" w:rsidP="00472498">
      <w:pPr>
        <w:pStyle w:val="TTEMEASMCA"/>
      </w:pPr>
    </w:p>
    <w:p w:rsidR="00472498" w:rsidRPr="00EA7F30" w:rsidRDefault="00472498" w:rsidP="00472498">
      <w:pPr>
        <w:pStyle w:val="TTEMEASMCA"/>
      </w:pPr>
    </w:p>
    <w:p w:rsidR="00472498" w:rsidRPr="00EA7F30" w:rsidRDefault="00472498" w:rsidP="00472498">
      <w:pPr>
        <w:pStyle w:val="TTEMEASMCA"/>
      </w:pPr>
    </w:p>
    <w:p w:rsidR="00472498" w:rsidRPr="00EA7F30" w:rsidRDefault="00472498" w:rsidP="00472498">
      <w:pPr>
        <w:pStyle w:val="TTEMEASMCA"/>
      </w:pPr>
    </w:p>
    <w:p w:rsidR="00472498" w:rsidRPr="00EA7F30" w:rsidRDefault="00472498" w:rsidP="00472498">
      <w:pPr>
        <w:pStyle w:val="TTEMEASMCA"/>
      </w:pPr>
    </w:p>
    <w:p w:rsidR="00472498" w:rsidRPr="00EA7F30" w:rsidRDefault="00472498" w:rsidP="00472498">
      <w:pPr>
        <w:pStyle w:val="TTEMEASMCA"/>
      </w:pPr>
    </w:p>
    <w:p w:rsidR="00472498" w:rsidRPr="00EA7F30" w:rsidRDefault="00472498" w:rsidP="00472498">
      <w:pPr>
        <w:pStyle w:val="TTEMEASMCA"/>
      </w:pPr>
    </w:p>
    <w:p w:rsidR="00472498" w:rsidRPr="00EA7F30" w:rsidRDefault="00472498" w:rsidP="00472498">
      <w:pPr>
        <w:pStyle w:val="TTEMEASMCA"/>
      </w:pPr>
    </w:p>
    <w:p w:rsidR="00472498" w:rsidRPr="00EA7F30" w:rsidRDefault="00472498" w:rsidP="00472498">
      <w:pPr>
        <w:pStyle w:val="TTEMEASMCA"/>
      </w:pPr>
    </w:p>
    <w:p w:rsidR="00472498" w:rsidRPr="00EA7F30" w:rsidRDefault="00472498" w:rsidP="00472498">
      <w:pPr>
        <w:pStyle w:val="TTEMEASMCA"/>
      </w:pPr>
    </w:p>
    <w:p w:rsidR="00472498" w:rsidRPr="00EA7F30" w:rsidRDefault="00472498" w:rsidP="00472498">
      <w:pPr>
        <w:pStyle w:val="TTEMEASMCA"/>
      </w:pPr>
    </w:p>
    <w:p w:rsidR="00472498" w:rsidRPr="00EA7F30" w:rsidRDefault="00472498" w:rsidP="00472498">
      <w:pPr>
        <w:pStyle w:val="TTEMEASMCA"/>
      </w:pPr>
      <w:r w:rsidRPr="001B0AB9">
        <w:t>B. PAKUOTĖS LAPELIS</w:t>
      </w:r>
      <w:bookmarkEnd w:id="67"/>
      <w:bookmarkEnd w:id="68"/>
    </w:p>
    <w:p w:rsidR="00472498" w:rsidRDefault="00472498" w:rsidP="00472498">
      <w:pPr>
        <w:pStyle w:val="TTEMEASMCA"/>
      </w:pPr>
      <w:r w:rsidRPr="0040296C">
        <w:br w:type="page"/>
      </w:r>
      <w:bookmarkStart w:id="69" w:name="OLE_LINK12"/>
      <w:bookmarkStart w:id="70" w:name="OLE_LINK13"/>
    </w:p>
    <w:p w:rsidR="00472498" w:rsidRPr="00EA7F30" w:rsidRDefault="00472498" w:rsidP="00472498">
      <w:pPr>
        <w:pStyle w:val="TTEMEASMCA"/>
      </w:pPr>
      <w:r w:rsidRPr="001B0AB9">
        <w:rPr>
          <w:iCs/>
          <w:caps w:val="0"/>
        </w:rPr>
        <w:t>Pakuotės lapelis: informacija vartotojui</w:t>
      </w:r>
    </w:p>
    <w:p w:rsidR="00472498" w:rsidRPr="00D1723B" w:rsidRDefault="00472498" w:rsidP="00472498">
      <w:pPr>
        <w:pStyle w:val="TTEMEASMCA"/>
        <w:rPr>
          <w:iCs/>
        </w:rPr>
      </w:pPr>
    </w:p>
    <w:p w:rsidR="00472498" w:rsidRPr="00D1723B" w:rsidRDefault="00472498" w:rsidP="00472498">
      <w:pPr>
        <w:pStyle w:val="TTEMEASMCA"/>
        <w:rPr>
          <w:iCs/>
        </w:rPr>
      </w:pPr>
      <w:r w:rsidRPr="00D1723B">
        <w:rPr>
          <w:iCs/>
          <w:caps w:val="0"/>
        </w:rPr>
        <w:t>Finlepsin 200 mg tabletės</w:t>
      </w:r>
    </w:p>
    <w:p w:rsidR="00472498" w:rsidRPr="00D1723B" w:rsidRDefault="003D5E2C" w:rsidP="00472498">
      <w:pPr>
        <w:pStyle w:val="TTEMEASMCA"/>
        <w:rPr>
          <w:iCs/>
        </w:rPr>
      </w:pPr>
      <w:r>
        <w:rPr>
          <w:b w:val="0"/>
          <w:iCs/>
          <w:caps w:val="0"/>
          <w:lang w:val="lt-LT"/>
        </w:rPr>
        <w:t>k</w:t>
      </w:r>
      <w:r w:rsidR="00472498" w:rsidRPr="00D1723B">
        <w:rPr>
          <w:b w:val="0"/>
          <w:iCs/>
          <w:caps w:val="0"/>
        </w:rPr>
        <w:t>arbamazepinas</w:t>
      </w:r>
    </w:p>
    <w:p w:rsidR="00472498" w:rsidRPr="00EA7F30" w:rsidRDefault="00472498" w:rsidP="007F7D76">
      <w:pPr>
        <w:pStyle w:val="BTbeEMEASMCA"/>
      </w:pPr>
    </w:p>
    <w:p w:rsidR="00472498" w:rsidRPr="007F7D76" w:rsidRDefault="00472498" w:rsidP="007F7D76">
      <w:pPr>
        <w:pStyle w:val="BTbEMEASMCA"/>
      </w:pPr>
      <w:r w:rsidRPr="007F7D76">
        <w:t>Atidžiai perskaitykite visą šį lapelį, prieš pradėdami vartoti vaistą, nes jame pateikiama Jums svarbi informacija.</w:t>
      </w:r>
    </w:p>
    <w:p w:rsidR="00472498" w:rsidRPr="006045BE" w:rsidRDefault="00472498" w:rsidP="007F7D76">
      <w:pPr>
        <w:pStyle w:val="BT-EMEASMCA"/>
      </w:pPr>
      <w:r w:rsidRPr="006045BE">
        <w:t>Neišmeskite šio lapelio, nes vėl gali prireikti jį perskaityti.</w:t>
      </w:r>
    </w:p>
    <w:p w:rsidR="00472498" w:rsidRPr="006045BE" w:rsidRDefault="00472498" w:rsidP="007F7D76">
      <w:pPr>
        <w:pStyle w:val="BT-EMEASMCA"/>
      </w:pPr>
      <w:r w:rsidRPr="006045BE">
        <w:t>Jeigu kiltų daugiau klausimų, kreipkitės į gydytoją, vaistininką arba slaugytoją.</w:t>
      </w:r>
    </w:p>
    <w:p w:rsidR="00472498" w:rsidRPr="006045BE" w:rsidRDefault="00472498" w:rsidP="007F7D76">
      <w:pPr>
        <w:pStyle w:val="BT-EMEASMCA"/>
      </w:pPr>
      <w:r w:rsidRPr="006045BE">
        <w:t>Šis vaistas skirtas tik Jums, todėl kitiems žmonėms jo duoti negalima. Vaistas gali jiems pakenkti (net tiems, kurių ligos požymiai yra tokie patys kaip Jūsų).</w:t>
      </w:r>
    </w:p>
    <w:p w:rsidR="00472498" w:rsidRPr="006045BE" w:rsidRDefault="00472498" w:rsidP="007F7D76">
      <w:pPr>
        <w:pStyle w:val="BT-EMEASMCA"/>
      </w:pPr>
      <w:r w:rsidRPr="006045BE">
        <w:t>Jeigu pasireiškė šalutinis poveikis (net jeigu jis šiame lapelyje nenurodytas), kreipkitės į gydytoją, vaistininką arba slaugytoją. Žr. 4 skyrių.</w:t>
      </w:r>
    </w:p>
    <w:bookmarkEnd w:id="69"/>
    <w:bookmarkEnd w:id="70"/>
    <w:p w:rsidR="00472498" w:rsidRPr="00EA7F30" w:rsidRDefault="00472498" w:rsidP="007F7D76">
      <w:pPr>
        <w:pStyle w:val="BTEMEASMCA"/>
      </w:pPr>
    </w:p>
    <w:p w:rsidR="00472498" w:rsidRPr="00C05777" w:rsidRDefault="00472498" w:rsidP="007F7D76">
      <w:pPr>
        <w:pStyle w:val="BTEMEASMCA"/>
      </w:pPr>
      <w:r w:rsidRPr="00C05777">
        <w:t>Apie ką rašoma šiame lapelyje?</w:t>
      </w:r>
    </w:p>
    <w:p w:rsidR="00472498" w:rsidRPr="006045BE" w:rsidRDefault="00472498" w:rsidP="007F7D76">
      <w:pPr>
        <w:pStyle w:val="BTEMEASMCA"/>
      </w:pPr>
    </w:p>
    <w:p w:rsidR="00472498" w:rsidRPr="006045BE" w:rsidRDefault="00472498" w:rsidP="007F7D76">
      <w:pPr>
        <w:pStyle w:val="BTEMEASMCA"/>
      </w:pPr>
      <w:r w:rsidRPr="006045BE">
        <w:t>1.</w:t>
      </w:r>
      <w:r w:rsidRPr="006045BE">
        <w:tab/>
        <w:t>Kas yra Finlepsin ir kam jis vartojamas</w:t>
      </w:r>
    </w:p>
    <w:p w:rsidR="00472498" w:rsidRPr="006045BE" w:rsidRDefault="00472498" w:rsidP="007F7D76">
      <w:pPr>
        <w:pStyle w:val="BTEMEASMCA"/>
      </w:pPr>
      <w:r w:rsidRPr="006045BE">
        <w:t>2.</w:t>
      </w:r>
      <w:r w:rsidRPr="006045BE">
        <w:tab/>
        <w:t>Kas žinotina prieš vartojant Finlepsin</w:t>
      </w:r>
    </w:p>
    <w:p w:rsidR="00472498" w:rsidRPr="006045BE" w:rsidRDefault="00472498" w:rsidP="007F7D76">
      <w:pPr>
        <w:pStyle w:val="BTEMEASMCA"/>
      </w:pPr>
      <w:r w:rsidRPr="006045BE">
        <w:t>3.</w:t>
      </w:r>
      <w:r w:rsidRPr="006045BE">
        <w:tab/>
        <w:t>Kaip vartoti Finlepsin</w:t>
      </w:r>
    </w:p>
    <w:p w:rsidR="00472498" w:rsidRPr="006045BE" w:rsidRDefault="00472498" w:rsidP="007F7D76">
      <w:pPr>
        <w:pStyle w:val="BTEMEASMCA"/>
      </w:pPr>
      <w:r w:rsidRPr="006045BE">
        <w:t>4.</w:t>
      </w:r>
      <w:r w:rsidRPr="006045BE">
        <w:tab/>
        <w:t>Galimas šalutinis poveikis</w:t>
      </w:r>
    </w:p>
    <w:p w:rsidR="00472498" w:rsidRPr="006045BE" w:rsidRDefault="00472498" w:rsidP="007F7D76">
      <w:pPr>
        <w:pStyle w:val="BTEMEASMCA"/>
      </w:pPr>
      <w:r w:rsidRPr="006045BE">
        <w:t>5.</w:t>
      </w:r>
      <w:r w:rsidRPr="006045BE">
        <w:tab/>
        <w:t>Kaip laikyti Finlepsin</w:t>
      </w:r>
    </w:p>
    <w:p w:rsidR="00472498" w:rsidRPr="006045BE" w:rsidRDefault="00472498" w:rsidP="007F7D76">
      <w:pPr>
        <w:pStyle w:val="BTEMEASMCA"/>
      </w:pPr>
      <w:r w:rsidRPr="006045BE">
        <w:t>6.</w:t>
      </w:r>
      <w:r w:rsidRPr="006045BE">
        <w:tab/>
        <w:t>Pakuotės turinys ir kita informacija</w:t>
      </w:r>
    </w:p>
    <w:p w:rsidR="00472498" w:rsidRPr="00EA7F30" w:rsidRDefault="00472498" w:rsidP="007F7D76">
      <w:pPr>
        <w:pStyle w:val="BTEMEASMCA"/>
      </w:pPr>
    </w:p>
    <w:p w:rsidR="00472498" w:rsidRPr="00EA7F30" w:rsidRDefault="00472498" w:rsidP="007F7D76">
      <w:pPr>
        <w:pStyle w:val="BTEMEASMCA"/>
      </w:pPr>
    </w:p>
    <w:p w:rsidR="00472498" w:rsidRPr="00EA7F30" w:rsidRDefault="00472498" w:rsidP="00472498">
      <w:pPr>
        <w:pStyle w:val="PI-1EMEASMCA"/>
      </w:pPr>
      <w:bookmarkStart w:id="71" w:name="_Toc129243139"/>
      <w:bookmarkStart w:id="72" w:name="_Toc129243264"/>
      <w:r w:rsidRPr="001B0AB9">
        <w:t>1.</w:t>
      </w:r>
      <w:r w:rsidRPr="0040296C">
        <w:tab/>
      </w:r>
      <w:r w:rsidRPr="001B0AB9">
        <w:t>Kas yra Finlepsin ir kam jis vartojamas</w:t>
      </w:r>
      <w:bookmarkEnd w:id="71"/>
      <w:bookmarkEnd w:id="72"/>
    </w:p>
    <w:p w:rsidR="00472498" w:rsidRPr="00EA7F30" w:rsidRDefault="00472498" w:rsidP="007F7D76">
      <w:pPr>
        <w:pStyle w:val="BTEMEASMCA"/>
      </w:pPr>
    </w:p>
    <w:p w:rsidR="00472498" w:rsidRPr="001B0AB9" w:rsidRDefault="00472498" w:rsidP="00472498">
      <w:pPr>
        <w:pStyle w:val="Pagrindinistekstas"/>
        <w:spacing w:after="0"/>
        <w:rPr>
          <w:sz w:val="22"/>
          <w:szCs w:val="22"/>
        </w:rPr>
      </w:pPr>
      <w:r w:rsidRPr="001B0AB9">
        <w:rPr>
          <w:sz w:val="22"/>
          <w:szCs w:val="22"/>
        </w:rPr>
        <w:t xml:space="preserve">Finlepsin tablečių veiklioji medžiaga </w:t>
      </w:r>
      <w:r w:rsidRPr="0040296C">
        <w:rPr>
          <w:sz w:val="22"/>
          <w:szCs w:val="22"/>
        </w:rPr>
        <w:t>–</w:t>
      </w:r>
      <w:r w:rsidRPr="001B0AB9">
        <w:rPr>
          <w:sz w:val="22"/>
          <w:szCs w:val="22"/>
        </w:rPr>
        <w:t xml:space="preserve"> karbamazepinas. Karbamazepinas - tai dibenzoazepino darinys, priešepilepsinis vaistas, turintis poveikį nervų sistemai ir psichikai. </w:t>
      </w:r>
    </w:p>
    <w:p w:rsidR="00472498" w:rsidRPr="00EA7F30" w:rsidRDefault="00472498" w:rsidP="007F7D76">
      <w:pPr>
        <w:pStyle w:val="BTEMEASMCA"/>
      </w:pPr>
    </w:p>
    <w:p w:rsidR="00472498" w:rsidRPr="00EA7F30" w:rsidRDefault="00472498" w:rsidP="007F7D76">
      <w:pPr>
        <w:pStyle w:val="BTEMEASMCA"/>
      </w:pPr>
      <w:r w:rsidRPr="001B0AB9">
        <w:t>Finlepsin vartojamas:</w:t>
      </w:r>
    </w:p>
    <w:p w:rsidR="00472498" w:rsidRPr="00EA7F30" w:rsidRDefault="00472498" w:rsidP="00472498">
      <w:pPr>
        <w:numPr>
          <w:ilvl w:val="0"/>
          <w:numId w:val="8"/>
        </w:numPr>
        <w:autoSpaceDE w:val="0"/>
        <w:autoSpaceDN w:val="0"/>
        <w:adjustRightInd w:val="0"/>
        <w:rPr>
          <w:sz w:val="22"/>
          <w:szCs w:val="22"/>
        </w:rPr>
      </w:pPr>
      <w:r w:rsidRPr="001B0AB9">
        <w:rPr>
          <w:sz w:val="22"/>
          <w:szCs w:val="22"/>
        </w:rPr>
        <w:t>epilepsijos, pasireiškiančios paprastais ar sudėtiniais (kompleksiniai</w:t>
      </w:r>
      <w:r>
        <w:rPr>
          <w:sz w:val="22"/>
          <w:szCs w:val="22"/>
        </w:rPr>
        <w:t>s</w:t>
      </w:r>
      <w:r w:rsidRPr="001B0AB9">
        <w:rPr>
          <w:sz w:val="22"/>
          <w:szCs w:val="22"/>
        </w:rPr>
        <w:t>) židininiais priepuoliai</w:t>
      </w:r>
      <w:r>
        <w:rPr>
          <w:sz w:val="22"/>
          <w:szCs w:val="22"/>
        </w:rPr>
        <w:t>s</w:t>
      </w:r>
      <w:r w:rsidRPr="001B0AB9">
        <w:rPr>
          <w:sz w:val="22"/>
          <w:szCs w:val="22"/>
        </w:rPr>
        <w:t>,</w:t>
      </w:r>
      <w:r>
        <w:rPr>
          <w:sz w:val="22"/>
          <w:szCs w:val="22"/>
        </w:rPr>
        <w:t xml:space="preserve"> </w:t>
      </w:r>
      <w:r w:rsidRPr="001B0AB9">
        <w:rPr>
          <w:sz w:val="22"/>
          <w:szCs w:val="22"/>
        </w:rPr>
        <w:t>kurių metu gali pasireikšti antrinė generalizacija ir kurių metu ligonis praranda sąmonę arba lieka sąmoningas, gydymui;</w:t>
      </w:r>
    </w:p>
    <w:p w:rsidR="00472498" w:rsidRPr="00EA7F30" w:rsidRDefault="00472498" w:rsidP="00472498">
      <w:pPr>
        <w:numPr>
          <w:ilvl w:val="0"/>
          <w:numId w:val="8"/>
        </w:numPr>
        <w:autoSpaceDE w:val="0"/>
        <w:autoSpaceDN w:val="0"/>
        <w:adjustRightInd w:val="0"/>
        <w:rPr>
          <w:sz w:val="22"/>
          <w:szCs w:val="22"/>
        </w:rPr>
      </w:pPr>
      <w:r w:rsidRPr="001B0AB9">
        <w:rPr>
          <w:sz w:val="22"/>
          <w:szCs w:val="22"/>
        </w:rPr>
        <w:t>epilepsijos, pasireiškiančios generalizuotais toniniais-kloniniais traukuliais ar mišrių formų priepuoliais gydymui.</w:t>
      </w:r>
    </w:p>
    <w:p w:rsidR="00472498" w:rsidRPr="00EA7F30" w:rsidRDefault="00472498" w:rsidP="00472498">
      <w:pPr>
        <w:tabs>
          <w:tab w:val="num" w:pos="567"/>
        </w:tabs>
        <w:ind w:left="567" w:hanging="567"/>
        <w:rPr>
          <w:sz w:val="22"/>
          <w:szCs w:val="22"/>
        </w:rPr>
      </w:pPr>
      <w:r w:rsidRPr="001B0AB9">
        <w:rPr>
          <w:sz w:val="22"/>
          <w:szCs w:val="22"/>
        </w:rPr>
        <w:t xml:space="preserve">Galima vartoti vien Finlepsin arba jo ir kitokių vaistinių preparatų nuo epilepsijos. </w:t>
      </w:r>
    </w:p>
    <w:p w:rsidR="00472498" w:rsidRPr="00EA7F30" w:rsidRDefault="00472498" w:rsidP="00472498">
      <w:pPr>
        <w:autoSpaceDE w:val="0"/>
        <w:autoSpaceDN w:val="0"/>
        <w:adjustRightInd w:val="0"/>
        <w:rPr>
          <w:sz w:val="22"/>
          <w:szCs w:val="22"/>
        </w:rPr>
      </w:pPr>
    </w:p>
    <w:p w:rsidR="00472498" w:rsidRPr="00EA7F30" w:rsidRDefault="00472498" w:rsidP="00472498">
      <w:pPr>
        <w:autoSpaceDE w:val="0"/>
        <w:autoSpaceDN w:val="0"/>
        <w:adjustRightInd w:val="0"/>
        <w:rPr>
          <w:sz w:val="22"/>
          <w:szCs w:val="22"/>
        </w:rPr>
      </w:pPr>
      <w:r w:rsidRPr="001B0AB9">
        <w:rPr>
          <w:sz w:val="22"/>
          <w:szCs w:val="22"/>
        </w:rPr>
        <w:t>Vaisto taip pat vartojama žemiau išvardytais atvejais.</w:t>
      </w:r>
    </w:p>
    <w:p w:rsidR="00472498" w:rsidRPr="00EA7F30" w:rsidRDefault="00472498" w:rsidP="00472498">
      <w:pPr>
        <w:numPr>
          <w:ilvl w:val="0"/>
          <w:numId w:val="8"/>
        </w:numPr>
        <w:rPr>
          <w:sz w:val="22"/>
          <w:szCs w:val="22"/>
        </w:rPr>
      </w:pPr>
      <w:r w:rsidRPr="001B0AB9">
        <w:rPr>
          <w:sz w:val="22"/>
          <w:szCs w:val="22"/>
        </w:rPr>
        <w:t>Idiopatinės ar dėl išsėtinės sklerozės atsiradusios trišakio nervo neuralgijos (tipinės ar atipinės) gydymui.</w:t>
      </w:r>
    </w:p>
    <w:p w:rsidR="00472498" w:rsidRPr="00EA7F30" w:rsidRDefault="00472498" w:rsidP="00472498">
      <w:pPr>
        <w:numPr>
          <w:ilvl w:val="0"/>
          <w:numId w:val="8"/>
        </w:numPr>
        <w:rPr>
          <w:sz w:val="22"/>
          <w:szCs w:val="22"/>
        </w:rPr>
      </w:pPr>
      <w:r w:rsidRPr="001B0AB9">
        <w:rPr>
          <w:sz w:val="22"/>
          <w:szCs w:val="22"/>
        </w:rPr>
        <w:t>Alkoholio nutraukimo sindromo gydymui.</w:t>
      </w:r>
    </w:p>
    <w:p w:rsidR="00472498" w:rsidRDefault="00472498" w:rsidP="007F7D76">
      <w:pPr>
        <w:pStyle w:val="BTEMEASMCA"/>
      </w:pPr>
    </w:p>
    <w:p w:rsidR="00472498" w:rsidRPr="00EA7F30" w:rsidRDefault="00472498" w:rsidP="007F7D76">
      <w:pPr>
        <w:pStyle w:val="BTEMEASMCA"/>
      </w:pPr>
    </w:p>
    <w:p w:rsidR="00472498" w:rsidRPr="00EA7F30" w:rsidRDefault="00472498" w:rsidP="00472498">
      <w:pPr>
        <w:pStyle w:val="PI-1EMEASMCA"/>
      </w:pPr>
      <w:bookmarkStart w:id="73" w:name="_Toc129243140"/>
      <w:bookmarkStart w:id="74" w:name="_Toc129243265"/>
      <w:r w:rsidRPr="001B0AB9">
        <w:t>2.</w:t>
      </w:r>
      <w:r w:rsidRPr="0040296C">
        <w:tab/>
      </w:r>
      <w:r w:rsidRPr="001B0AB9">
        <w:t xml:space="preserve">Kas žinotina prieš vartojant </w:t>
      </w:r>
      <w:bookmarkEnd w:id="73"/>
      <w:bookmarkEnd w:id="74"/>
      <w:r w:rsidRPr="001B0AB9">
        <w:t>Finlepsin</w:t>
      </w:r>
    </w:p>
    <w:p w:rsidR="00472498" w:rsidRPr="00EA7F30" w:rsidRDefault="00472498" w:rsidP="007F7D76">
      <w:pPr>
        <w:pStyle w:val="BTEMEASMCA"/>
      </w:pPr>
    </w:p>
    <w:p w:rsidR="00472498" w:rsidRPr="00EA7F30" w:rsidRDefault="00472498" w:rsidP="00472498">
      <w:pPr>
        <w:pStyle w:val="PI-3EMEASMCA"/>
      </w:pPr>
      <w:r w:rsidRPr="001B0AB9">
        <w:t xml:space="preserve">Finlepsin vartoti </w:t>
      </w:r>
      <w:r w:rsidR="00D811C2">
        <w:t>draudžiama</w:t>
      </w:r>
      <w:r w:rsidRPr="001B0AB9">
        <w:t>:</w:t>
      </w:r>
    </w:p>
    <w:p w:rsidR="00472498" w:rsidRPr="00EA7F30" w:rsidRDefault="00472498" w:rsidP="00472498">
      <w:pPr>
        <w:tabs>
          <w:tab w:val="left" w:pos="567"/>
        </w:tabs>
        <w:ind w:left="567" w:hanging="567"/>
        <w:rPr>
          <w:sz w:val="22"/>
          <w:szCs w:val="22"/>
        </w:rPr>
      </w:pPr>
      <w:r w:rsidRPr="001B0AB9">
        <w:rPr>
          <w:sz w:val="22"/>
          <w:szCs w:val="22"/>
        </w:rPr>
        <w:t>-</w:t>
      </w:r>
      <w:r w:rsidRPr="0040296C">
        <w:rPr>
          <w:sz w:val="22"/>
          <w:szCs w:val="22"/>
        </w:rPr>
        <w:tab/>
      </w:r>
      <w:r w:rsidRPr="001B0AB9">
        <w:rPr>
          <w:sz w:val="22"/>
          <w:szCs w:val="22"/>
        </w:rPr>
        <w:t xml:space="preserve">jeigu yra alergija karbamazepinui arba bet kuriai pagalbinei šio vaisto medžiagai (jos išvardytos 6 skyriuje); </w:t>
      </w:r>
    </w:p>
    <w:p w:rsidR="00472498" w:rsidRPr="00EA7F30" w:rsidRDefault="00472498" w:rsidP="00472498">
      <w:pPr>
        <w:tabs>
          <w:tab w:val="left" w:pos="567"/>
        </w:tabs>
        <w:ind w:left="567" w:hanging="567"/>
        <w:rPr>
          <w:sz w:val="22"/>
          <w:szCs w:val="22"/>
        </w:rPr>
      </w:pPr>
      <w:r w:rsidRPr="001B0AB9">
        <w:rPr>
          <w:sz w:val="22"/>
          <w:szCs w:val="22"/>
        </w:rPr>
        <w:t>-</w:t>
      </w:r>
      <w:r w:rsidRPr="0040296C">
        <w:rPr>
          <w:sz w:val="22"/>
          <w:szCs w:val="22"/>
        </w:rPr>
        <w:tab/>
      </w:r>
      <w:r w:rsidRPr="001B0AB9">
        <w:rPr>
          <w:sz w:val="22"/>
          <w:szCs w:val="22"/>
        </w:rPr>
        <w:t>jeigu sergama sunkia širdies liga;</w:t>
      </w:r>
    </w:p>
    <w:p w:rsidR="00472498" w:rsidRPr="00EA7F30" w:rsidRDefault="00472498" w:rsidP="00472498">
      <w:pPr>
        <w:tabs>
          <w:tab w:val="left" w:pos="567"/>
        </w:tabs>
        <w:ind w:left="567" w:hanging="567"/>
        <w:rPr>
          <w:sz w:val="22"/>
          <w:szCs w:val="22"/>
        </w:rPr>
      </w:pPr>
      <w:r w:rsidRPr="001B0AB9">
        <w:rPr>
          <w:sz w:val="22"/>
          <w:szCs w:val="22"/>
        </w:rPr>
        <w:t>-</w:t>
      </w:r>
      <w:r w:rsidRPr="0040296C">
        <w:rPr>
          <w:sz w:val="22"/>
          <w:szCs w:val="22"/>
        </w:rPr>
        <w:tab/>
      </w:r>
      <w:r w:rsidRPr="001B0AB9">
        <w:rPr>
          <w:sz w:val="22"/>
          <w:szCs w:val="22"/>
        </w:rPr>
        <w:t>jeigu yra buvusi susilpnėjusi kaulų čiulpų veikla;</w:t>
      </w:r>
    </w:p>
    <w:p w:rsidR="00472498" w:rsidRPr="00EA7F30" w:rsidRDefault="00472498" w:rsidP="00472498">
      <w:pPr>
        <w:tabs>
          <w:tab w:val="left" w:pos="567"/>
        </w:tabs>
        <w:ind w:left="567" w:hanging="567"/>
        <w:rPr>
          <w:sz w:val="22"/>
          <w:szCs w:val="22"/>
        </w:rPr>
      </w:pPr>
      <w:r w:rsidRPr="001B0AB9">
        <w:rPr>
          <w:sz w:val="22"/>
          <w:szCs w:val="22"/>
        </w:rPr>
        <w:t>-</w:t>
      </w:r>
      <w:r w:rsidRPr="0040296C">
        <w:rPr>
          <w:sz w:val="22"/>
          <w:szCs w:val="22"/>
        </w:rPr>
        <w:tab/>
      </w:r>
      <w:r w:rsidRPr="001B0AB9">
        <w:rPr>
          <w:sz w:val="22"/>
          <w:szCs w:val="22"/>
        </w:rPr>
        <w:t>jeigu sutrikusi porfirino, t. y. pigmento, kuris yra svarbus kepenų veiklai ir kraujo gamybai, sintezė (taip vadinama hepatinė porfirija);</w:t>
      </w:r>
    </w:p>
    <w:p w:rsidR="00472498" w:rsidRPr="00EA7F30" w:rsidRDefault="00472498" w:rsidP="00472498">
      <w:pPr>
        <w:tabs>
          <w:tab w:val="left" w:pos="567"/>
        </w:tabs>
        <w:ind w:left="567" w:hanging="567"/>
        <w:rPr>
          <w:sz w:val="22"/>
          <w:szCs w:val="22"/>
        </w:rPr>
      </w:pPr>
      <w:r w:rsidRPr="001B0AB9">
        <w:rPr>
          <w:sz w:val="22"/>
          <w:szCs w:val="22"/>
        </w:rPr>
        <w:t>-</w:t>
      </w:r>
      <w:r w:rsidRPr="0040296C">
        <w:rPr>
          <w:sz w:val="22"/>
          <w:szCs w:val="22"/>
        </w:rPr>
        <w:tab/>
      </w:r>
      <w:r w:rsidRPr="001B0AB9">
        <w:rPr>
          <w:sz w:val="22"/>
          <w:szCs w:val="22"/>
        </w:rPr>
        <w:t>jeigu vartojama ar pastarąsias dvi savaites vartota antidepresantų, vadinamųjų monoaminooksidazės inhibitorių (MAOI).</w:t>
      </w:r>
    </w:p>
    <w:p w:rsidR="00472498" w:rsidRPr="00EA7F30" w:rsidRDefault="00472498" w:rsidP="00472498">
      <w:pPr>
        <w:tabs>
          <w:tab w:val="left" w:pos="567"/>
        </w:tabs>
        <w:rPr>
          <w:sz w:val="22"/>
          <w:szCs w:val="22"/>
        </w:rPr>
      </w:pPr>
    </w:p>
    <w:p w:rsidR="00472498" w:rsidRPr="00EA7F30" w:rsidRDefault="00472498" w:rsidP="00472498">
      <w:pPr>
        <w:tabs>
          <w:tab w:val="left" w:pos="567"/>
        </w:tabs>
        <w:rPr>
          <w:sz w:val="22"/>
          <w:szCs w:val="22"/>
        </w:rPr>
      </w:pPr>
      <w:r w:rsidRPr="001B0AB9">
        <w:rPr>
          <w:sz w:val="22"/>
          <w:szCs w:val="22"/>
        </w:rPr>
        <w:t xml:space="preserve">Jeigu bet kuris iš šių teiginių Jums tinka, prieš vartodami Finlepsin, pasakykite gydytojui. </w:t>
      </w:r>
    </w:p>
    <w:p w:rsidR="00472498" w:rsidRPr="00EA7F30" w:rsidRDefault="00472498" w:rsidP="007F7D76">
      <w:pPr>
        <w:pStyle w:val="BTEMEASMCA"/>
      </w:pPr>
    </w:p>
    <w:p w:rsidR="00472498" w:rsidRPr="00EA7F30" w:rsidRDefault="00472498" w:rsidP="00472498">
      <w:pPr>
        <w:pStyle w:val="PI-3EMEASMCA"/>
      </w:pPr>
      <w:r w:rsidRPr="001B0AB9">
        <w:t>Įspėjimai ir atsargumo priemonės</w:t>
      </w:r>
    </w:p>
    <w:p w:rsidR="00472498" w:rsidRPr="00802879" w:rsidRDefault="00472498" w:rsidP="00472498">
      <w:pPr>
        <w:pStyle w:val="Pagrindinistekstas"/>
        <w:tabs>
          <w:tab w:val="left" w:pos="567"/>
        </w:tabs>
        <w:spacing w:after="0"/>
        <w:rPr>
          <w:sz w:val="22"/>
          <w:szCs w:val="22"/>
        </w:rPr>
      </w:pPr>
      <w:r w:rsidRPr="006045BE">
        <w:rPr>
          <w:sz w:val="22"/>
          <w:szCs w:val="22"/>
        </w:rPr>
        <w:t>Pasitarkite su gydytoju prieš pradėdami vartoti Finlepsin:</w:t>
      </w:r>
    </w:p>
    <w:p w:rsidR="00472498" w:rsidRPr="006045BE" w:rsidRDefault="00472498" w:rsidP="007F7D76">
      <w:pPr>
        <w:pStyle w:val="BT-EMEASMCA"/>
      </w:pPr>
      <w:r w:rsidRPr="006045BE">
        <w:t>jeigu sergate kraujo liga, įskaitant ir sukelta kitų vaistų;</w:t>
      </w:r>
    </w:p>
    <w:p w:rsidR="00472498" w:rsidRPr="006045BE" w:rsidRDefault="00472498" w:rsidP="007F7D76">
      <w:pPr>
        <w:pStyle w:val="BT-EMEASMCA"/>
      </w:pPr>
      <w:r w:rsidRPr="006045BE">
        <w:t>jeigu Jums kada nors buvo pasireiškęs neįprastas jautrumas (bėrimas arba kiti alergijos požymiai) okskarbazepinui arba bet kokiems kitiems vaistams. Svarbu žinoti, kad jei Jūs esate alergiškas karbamazepinui, tai tikimybė, kad esate alergiški ir okskarbazepinui , yra (25%);</w:t>
      </w:r>
    </w:p>
    <w:p w:rsidR="00472498" w:rsidRPr="006045BE" w:rsidRDefault="00472498" w:rsidP="007F7D76">
      <w:pPr>
        <w:pStyle w:val="BT-EMEASMCA"/>
      </w:pPr>
      <w:r w:rsidRPr="006045BE">
        <w:t>jeigu Jūs sirgote širdies, kepenų arba inkstų ligomis;</w:t>
      </w:r>
    </w:p>
    <w:p w:rsidR="00472498" w:rsidRPr="006045BE" w:rsidRDefault="00472498" w:rsidP="007F7D76">
      <w:pPr>
        <w:pStyle w:val="BT-EMEASMCA"/>
      </w:pPr>
      <w:r w:rsidRPr="006045BE">
        <w:t>jeigu sergate akispūdžio padidėjimu (glaukoma);</w:t>
      </w:r>
    </w:p>
    <w:p w:rsidR="00472498" w:rsidRPr="008D6F80" w:rsidRDefault="00472498" w:rsidP="007F7D76">
      <w:pPr>
        <w:pStyle w:val="BT-EMEASMCA"/>
      </w:pPr>
      <w:r w:rsidRPr="006045BE">
        <w:t xml:space="preserve">jeigu vartojate hormoninių kontraceptikų (vaistų, reguliuojančių pastojimą), Finlepsin gali sumažinti jų veiksmingumą. Todėl, vartojant Finlepsin, gali reikėti naudoti kitokių nehormoninių kontraceptinių priemonių. </w:t>
      </w:r>
    </w:p>
    <w:p w:rsidR="00472498" w:rsidRPr="006045BE" w:rsidRDefault="00472498" w:rsidP="007F7D76">
      <w:pPr>
        <w:pStyle w:val="BT-EMEASMCA"/>
      </w:pPr>
      <w:r w:rsidRPr="006045BE">
        <w:t xml:space="preserve">Nedaugelis žmonių, kurie buvo gydomi vaistais nuo epilepsijos, tokiais kaip karbamazepinas, turėjo minčių apie savęs žalojimą arba savižudybę. Jeigu bet kuriuo metu turite tokių minčių, nedelsdami kreipkitės į gydytoją. </w:t>
      </w:r>
    </w:p>
    <w:p w:rsidR="008D6F80" w:rsidRDefault="008D6F80" w:rsidP="00472498">
      <w:pPr>
        <w:tabs>
          <w:tab w:val="num" w:pos="567"/>
        </w:tabs>
      </w:pPr>
    </w:p>
    <w:p w:rsidR="00472498" w:rsidRPr="003A0C13" w:rsidRDefault="003F07A6" w:rsidP="00036393">
      <w:pPr>
        <w:tabs>
          <w:tab w:val="num" w:pos="567"/>
        </w:tabs>
        <w:rPr>
          <w:sz w:val="22"/>
          <w:szCs w:val="22"/>
        </w:rPr>
      </w:pPr>
      <w:r w:rsidRPr="007F7D76">
        <w:rPr>
          <w:sz w:val="22"/>
          <w:szCs w:val="22"/>
        </w:rPr>
        <w:t>Finlepsin</w:t>
      </w:r>
      <w:r w:rsidR="008D6F80" w:rsidRPr="007F7D76">
        <w:rPr>
          <w:sz w:val="22"/>
          <w:szCs w:val="22"/>
        </w:rPr>
        <w:t xml:space="preserve"> vartojant nėštumo metu, kyla rizika pakenkti negimusiam vaikui. Gydymo </w:t>
      </w:r>
      <w:r w:rsidRPr="007F7D76">
        <w:rPr>
          <w:sz w:val="22"/>
          <w:szCs w:val="22"/>
        </w:rPr>
        <w:t>Finlepsin</w:t>
      </w:r>
      <w:r w:rsidR="008D6F80" w:rsidRPr="007F7D76">
        <w:rPr>
          <w:sz w:val="22"/>
          <w:szCs w:val="22"/>
        </w:rPr>
        <w:t xml:space="preserve"> laikotarpiu ir dvi savaites po paskutinės dozės suvartojimo vaisingos moterys turi taikyti veiksmingą kontracepciją (žr. skyrių „Nėštumas ir žindymo laikotarpis“).</w:t>
      </w:r>
    </w:p>
    <w:p w:rsidR="008D6F80" w:rsidRDefault="008D6F80" w:rsidP="00472498">
      <w:pPr>
        <w:tabs>
          <w:tab w:val="num" w:pos="567"/>
        </w:tabs>
        <w:rPr>
          <w:sz w:val="22"/>
          <w:szCs w:val="22"/>
        </w:rPr>
      </w:pPr>
    </w:p>
    <w:p w:rsidR="00472498" w:rsidRPr="00EA7F30" w:rsidRDefault="00472498" w:rsidP="00472498">
      <w:pPr>
        <w:tabs>
          <w:tab w:val="num" w:pos="567"/>
        </w:tabs>
        <w:rPr>
          <w:sz w:val="22"/>
          <w:szCs w:val="22"/>
        </w:rPr>
      </w:pPr>
      <w:r w:rsidRPr="001B0AB9">
        <w:rPr>
          <w:sz w:val="22"/>
          <w:szCs w:val="22"/>
        </w:rPr>
        <w:t>Pasakykite gydytojui, jei Jums pasireiškia nereguliarus kraujavimas arba tepimas iš makšties. Jeigu Jums kyla klausimų, paklauskite gydytojo arba sveikatos priežiūros specialisto.</w:t>
      </w:r>
    </w:p>
    <w:p w:rsidR="00472498" w:rsidRPr="00EA7F30" w:rsidRDefault="00472498" w:rsidP="00472498">
      <w:pPr>
        <w:tabs>
          <w:tab w:val="left" w:pos="567"/>
        </w:tabs>
        <w:rPr>
          <w:sz w:val="22"/>
          <w:szCs w:val="22"/>
        </w:rPr>
      </w:pPr>
    </w:p>
    <w:p w:rsidR="00472498" w:rsidRPr="00EA7F30" w:rsidRDefault="00472498" w:rsidP="00472498">
      <w:pPr>
        <w:tabs>
          <w:tab w:val="left" w:pos="567"/>
        </w:tabs>
        <w:rPr>
          <w:sz w:val="22"/>
          <w:szCs w:val="22"/>
        </w:rPr>
      </w:pPr>
      <w:r w:rsidRPr="001B0AB9">
        <w:rPr>
          <w:sz w:val="22"/>
          <w:szCs w:val="22"/>
        </w:rPr>
        <w:t>Jeigu bet kuris šių teiginių Jums tinka, pasakykite gydytojui:</w:t>
      </w:r>
    </w:p>
    <w:p w:rsidR="00472498" w:rsidRPr="00802879" w:rsidRDefault="00472498" w:rsidP="007F7D76">
      <w:pPr>
        <w:pStyle w:val="BT-EMEASMCA"/>
      </w:pPr>
      <w:r w:rsidRPr="00802879">
        <w:t>Jeigu pasireiškia alerginė reakcija su karščiavimu, limfinių mazgų padidėjimu, bėrimu arba odos pūslėmis, nedelsiant kreipkitės į gydytoją arba artimiausią greitosios pagalbos skyrių.</w:t>
      </w:r>
    </w:p>
    <w:p w:rsidR="00472498" w:rsidRPr="00802879" w:rsidRDefault="00472498" w:rsidP="007F7D76">
      <w:pPr>
        <w:pStyle w:val="BT-EMEASMCA"/>
      </w:pPr>
      <w:r w:rsidRPr="00802879">
        <w:t>Jeigu padažnėjo traukuliai, nedelsiant pasakykite gydytojui.</w:t>
      </w:r>
    </w:p>
    <w:p w:rsidR="00B91FC3" w:rsidRPr="00802879" w:rsidRDefault="00472498" w:rsidP="007F7D76">
      <w:pPr>
        <w:pStyle w:val="BT-EMEASMCA"/>
      </w:pPr>
      <w:r w:rsidRPr="00802879">
        <w:t>Jeigu pastebėjote panašius į kepenų uždegimą (hepatitą) simptomus, pvz., geltą (odos ir akių pageltimą), nedelsiant pasakykite gydytojui.</w:t>
      </w:r>
      <w:r w:rsidR="00B91FC3" w:rsidRPr="00802879">
        <w:rPr>
          <w:rFonts w:eastAsia="Times New Roman"/>
        </w:rPr>
        <w:t xml:space="preserve"> </w:t>
      </w:r>
    </w:p>
    <w:p w:rsidR="00472498" w:rsidRDefault="00B91FC3" w:rsidP="007F7D76">
      <w:pPr>
        <w:pStyle w:val="BT-EMEASMCA"/>
      </w:pPr>
      <w:r w:rsidRPr="00802879">
        <w:t>Jeigu Finlepsin gydymo metu Jums pasireiškė pusiausvyros sutrikimas, galvos svaigimas, mieguistumas, sumažėjęs kraujospūdis, sumišimas, slopinimas, didėja kritimų, kurių metu gali atsirasti įvairių sužalojimų, rizika.</w:t>
      </w:r>
    </w:p>
    <w:p w:rsidR="00472498" w:rsidRPr="00EA7F30" w:rsidRDefault="00472498" w:rsidP="00472498">
      <w:pPr>
        <w:tabs>
          <w:tab w:val="left" w:pos="567"/>
        </w:tabs>
        <w:rPr>
          <w:sz w:val="22"/>
          <w:szCs w:val="22"/>
        </w:rPr>
      </w:pPr>
    </w:p>
    <w:p w:rsidR="00472498" w:rsidRPr="00EA7F30" w:rsidRDefault="00472498" w:rsidP="00472498">
      <w:pPr>
        <w:tabs>
          <w:tab w:val="left" w:pos="567"/>
        </w:tabs>
        <w:rPr>
          <w:sz w:val="22"/>
          <w:szCs w:val="22"/>
        </w:rPr>
      </w:pPr>
      <w:r w:rsidRPr="001B0AB9">
        <w:rPr>
          <w:sz w:val="22"/>
          <w:szCs w:val="22"/>
        </w:rPr>
        <w:t>Nenutraukite gydymo Finlepsin nepasitarę su gydytoju, nenutraukite vaisto vartojimo staiga.</w:t>
      </w:r>
    </w:p>
    <w:p w:rsidR="00472498" w:rsidRPr="00EA7F30" w:rsidRDefault="00472498" w:rsidP="00472498">
      <w:pPr>
        <w:tabs>
          <w:tab w:val="left" w:pos="567"/>
        </w:tabs>
        <w:rPr>
          <w:sz w:val="22"/>
          <w:szCs w:val="22"/>
        </w:rPr>
      </w:pPr>
    </w:p>
    <w:p w:rsidR="00472498" w:rsidRPr="00EA7F30" w:rsidRDefault="00472498" w:rsidP="00472498">
      <w:pPr>
        <w:rPr>
          <w:sz w:val="22"/>
          <w:szCs w:val="22"/>
        </w:rPr>
      </w:pPr>
      <w:r w:rsidRPr="001B0AB9">
        <w:rPr>
          <w:sz w:val="22"/>
          <w:szCs w:val="22"/>
          <w:lang w:bidi="th-TH"/>
        </w:rPr>
        <w:t>Vartojant Finlepsin, retai gali pasireikšti sunkių šalutinių odos reiškinių</w:t>
      </w:r>
      <w:r w:rsidRPr="001B0AB9">
        <w:rPr>
          <w:sz w:val="22"/>
          <w:szCs w:val="22"/>
        </w:rPr>
        <w:t>. Vartojant karbamazepiną pranešta apie galimai gyvybei pavojingą odos bėrimą (</w:t>
      </w:r>
      <w:r w:rsidRPr="001B0AB9">
        <w:rPr>
          <w:i/>
          <w:sz w:val="22"/>
          <w:szCs w:val="22"/>
        </w:rPr>
        <w:t xml:space="preserve">Stevens </w:t>
      </w:r>
      <w:r w:rsidRPr="00344C34">
        <w:rPr>
          <w:i/>
          <w:sz w:val="22"/>
          <w:szCs w:val="22"/>
        </w:rPr>
        <w:sym w:font="Symbol" w:char="F02D"/>
      </w:r>
      <w:r w:rsidRPr="001B0AB9">
        <w:rPr>
          <w:i/>
          <w:sz w:val="22"/>
          <w:szCs w:val="22"/>
        </w:rPr>
        <w:t xml:space="preserve"> Johnson</w:t>
      </w:r>
      <w:r w:rsidRPr="001B0AB9">
        <w:rPr>
          <w:sz w:val="22"/>
          <w:szCs w:val="22"/>
        </w:rPr>
        <w:t xml:space="preserve"> sindromas (SJS) ir toksinę epidermio nekrolizę (TEN)), pradžioje prasidedančią rausvomis taikinio pavidalo ar žiedinėmis dėmėmis dažnai su pūslėmis centre juosmens srityje. </w:t>
      </w:r>
    </w:p>
    <w:p w:rsidR="00472498" w:rsidRPr="00EA7F30" w:rsidRDefault="00472498" w:rsidP="00472498">
      <w:pPr>
        <w:rPr>
          <w:sz w:val="22"/>
          <w:szCs w:val="22"/>
        </w:rPr>
      </w:pPr>
      <w:r w:rsidRPr="001B0AB9">
        <w:rPr>
          <w:sz w:val="22"/>
          <w:szCs w:val="22"/>
        </w:rPr>
        <w:t xml:space="preserve">Papildomi požymiai yra opos burnoje, gerklėje, nosyje, lyties organuose ir konjunktyvitas (raudonos ir patinusios akys). </w:t>
      </w:r>
    </w:p>
    <w:p w:rsidR="00472498" w:rsidRPr="00EA7F30" w:rsidRDefault="00472498" w:rsidP="00472498">
      <w:pPr>
        <w:rPr>
          <w:sz w:val="22"/>
          <w:szCs w:val="22"/>
        </w:rPr>
      </w:pPr>
      <w:r w:rsidRPr="001B0AB9">
        <w:rPr>
          <w:sz w:val="22"/>
          <w:szCs w:val="22"/>
        </w:rPr>
        <w:t xml:space="preserve">Šie galimai gyvybei pavojingo odos bėrimo požymiai dažnai būna panašūs į gripo simptomus. Bėrimas gali plėstis ir pereiti į išplitusį odos pūslėtumą ar odos lupimąsi. </w:t>
      </w:r>
    </w:p>
    <w:p w:rsidR="00472498" w:rsidRPr="00EA7F30" w:rsidRDefault="00472498" w:rsidP="00472498">
      <w:pPr>
        <w:rPr>
          <w:sz w:val="22"/>
          <w:szCs w:val="22"/>
        </w:rPr>
      </w:pPr>
    </w:p>
    <w:p w:rsidR="00472498" w:rsidRPr="00EA7F30" w:rsidRDefault="00472498" w:rsidP="00472498">
      <w:pPr>
        <w:rPr>
          <w:sz w:val="22"/>
          <w:szCs w:val="22"/>
        </w:rPr>
      </w:pPr>
      <w:r w:rsidRPr="001B0AB9">
        <w:rPr>
          <w:sz w:val="22"/>
          <w:szCs w:val="22"/>
        </w:rPr>
        <w:t>Didžiausia sunkių šalutinių odos reiškinių atsiradimo rizika yra pirmomis gydymo savaitėmis.</w:t>
      </w:r>
    </w:p>
    <w:p w:rsidR="00472498" w:rsidRPr="00EA7F30" w:rsidRDefault="00472498" w:rsidP="00472498">
      <w:pPr>
        <w:spacing w:before="17" w:line="260" w:lineRule="exact"/>
        <w:rPr>
          <w:sz w:val="22"/>
          <w:szCs w:val="22"/>
        </w:rPr>
      </w:pPr>
      <w:r w:rsidRPr="001B0AB9">
        <w:rPr>
          <w:sz w:val="22"/>
          <w:szCs w:val="22"/>
        </w:rPr>
        <w:t>Šių sunkių odos reakcijų pasireiškimo didžiausia tikimybė yra žmonėms iš Azijos šalių. Kinų Han arba tailandiečių kilmės žmonėms šių reakcijų pasireiškimo rizika gali būti numatyta atlikus šių žmonių kraujo tyrimą. Jūsų gydytojas turi nuspręsti, ar prieš skiriant karbamazepiną reikia atlikti kraujo tyrimą.</w:t>
      </w:r>
    </w:p>
    <w:p w:rsidR="00472498" w:rsidRPr="00EA7F30" w:rsidRDefault="00472498" w:rsidP="00472498">
      <w:pPr>
        <w:rPr>
          <w:sz w:val="22"/>
          <w:szCs w:val="22"/>
        </w:rPr>
      </w:pPr>
    </w:p>
    <w:p w:rsidR="00472498" w:rsidRPr="00EA7F30" w:rsidRDefault="00472498" w:rsidP="00472498">
      <w:pPr>
        <w:rPr>
          <w:sz w:val="22"/>
          <w:szCs w:val="22"/>
        </w:rPr>
      </w:pPr>
      <w:r w:rsidRPr="001B0AB9">
        <w:rPr>
          <w:sz w:val="22"/>
          <w:szCs w:val="22"/>
        </w:rPr>
        <w:t xml:space="preserve">Jeigu vartojant karbamazepino pasireiškė </w:t>
      </w:r>
      <w:r w:rsidRPr="001B0AB9">
        <w:rPr>
          <w:i/>
          <w:iCs/>
          <w:sz w:val="22"/>
          <w:szCs w:val="22"/>
        </w:rPr>
        <w:t xml:space="preserve">Stevens </w:t>
      </w:r>
      <w:r w:rsidRPr="00344C34">
        <w:rPr>
          <w:i/>
          <w:iCs/>
          <w:sz w:val="22"/>
          <w:szCs w:val="22"/>
        </w:rPr>
        <w:sym w:font="Symbol" w:char="F02D"/>
      </w:r>
      <w:r w:rsidRPr="001B0AB9">
        <w:rPr>
          <w:i/>
          <w:iCs/>
          <w:sz w:val="22"/>
          <w:szCs w:val="22"/>
        </w:rPr>
        <w:t xml:space="preserve"> Johnson</w:t>
      </w:r>
      <w:r w:rsidRPr="001B0AB9">
        <w:rPr>
          <w:sz w:val="22"/>
          <w:szCs w:val="22"/>
        </w:rPr>
        <w:t xml:space="preserve"> sindromas ar toksinė epidermio nekrolizė, Jums daugiau niekada negalima vartoti karbamazepino. </w:t>
      </w:r>
    </w:p>
    <w:p w:rsidR="00472498" w:rsidRPr="00EA7F30" w:rsidRDefault="00472498" w:rsidP="00472498">
      <w:pPr>
        <w:rPr>
          <w:sz w:val="22"/>
          <w:szCs w:val="22"/>
        </w:rPr>
      </w:pPr>
    </w:p>
    <w:p w:rsidR="00472498" w:rsidRPr="00EA7F30" w:rsidRDefault="00472498" w:rsidP="00472498">
      <w:pPr>
        <w:rPr>
          <w:sz w:val="22"/>
          <w:szCs w:val="22"/>
        </w:rPr>
      </w:pPr>
      <w:r w:rsidRPr="001B0AB9">
        <w:rPr>
          <w:sz w:val="22"/>
          <w:szCs w:val="22"/>
        </w:rPr>
        <w:t>Jeigu Jums pasireiškė bėrimas ar aukščiau išvardinti simptomai, nedelsiant kreipkitės patarimo į gydytoją ir pasakykite, kad vartojate šio vaisto.</w:t>
      </w:r>
    </w:p>
    <w:p w:rsidR="00472498" w:rsidRPr="00EA7F30" w:rsidRDefault="00472498" w:rsidP="00472498">
      <w:pPr>
        <w:pStyle w:val="Style"/>
        <w:ind w:right="57"/>
        <w:rPr>
          <w:rFonts w:ascii="Times New Roman" w:hAnsi="Times New Roman" w:cs="Times New Roman"/>
          <w:sz w:val="22"/>
          <w:szCs w:val="22"/>
        </w:rPr>
      </w:pPr>
    </w:p>
    <w:p w:rsidR="00472498" w:rsidRPr="00EA7F30" w:rsidRDefault="00472498" w:rsidP="00472498">
      <w:pPr>
        <w:pStyle w:val="PI-3EMEASMCA"/>
      </w:pPr>
      <w:r w:rsidRPr="001B0AB9">
        <w:t>Kiti vaistai ir Finlepsin</w:t>
      </w:r>
    </w:p>
    <w:p w:rsidR="00472498" w:rsidRPr="00802879" w:rsidRDefault="00472498" w:rsidP="007F7D76">
      <w:pPr>
        <w:pStyle w:val="BTEMEASMCA"/>
      </w:pPr>
      <w:r w:rsidRPr="00802879">
        <w:lastRenderedPageBreak/>
        <w:t>Jeigu vartojate arba neseniai vartojote kitų vaistų arba dėl to nesate tikri, apie tai pasakykite gydytojui arba vaistininkui.</w:t>
      </w:r>
    </w:p>
    <w:p w:rsidR="00472498" w:rsidRPr="00EA7F30" w:rsidRDefault="00472498" w:rsidP="007F7D76">
      <w:pPr>
        <w:pStyle w:val="BTEMEASMCA"/>
      </w:pPr>
    </w:p>
    <w:p w:rsidR="00472498" w:rsidRPr="00EA7F30" w:rsidRDefault="00472498" w:rsidP="00472498">
      <w:pPr>
        <w:tabs>
          <w:tab w:val="left" w:pos="567"/>
        </w:tabs>
        <w:rPr>
          <w:sz w:val="22"/>
          <w:szCs w:val="22"/>
        </w:rPr>
      </w:pPr>
      <w:r w:rsidRPr="001B0AB9">
        <w:rPr>
          <w:sz w:val="22"/>
          <w:szCs w:val="22"/>
        </w:rPr>
        <w:t>Tai ypač svarbu, nes daugelis kartu vartojamų vaistų sąveikauja su Finlepsin.</w:t>
      </w:r>
    </w:p>
    <w:p w:rsidR="00472498" w:rsidRDefault="00472498" w:rsidP="00472498">
      <w:pPr>
        <w:tabs>
          <w:tab w:val="left" w:pos="567"/>
        </w:tabs>
        <w:rPr>
          <w:sz w:val="22"/>
          <w:szCs w:val="22"/>
        </w:rPr>
      </w:pPr>
      <w:r w:rsidRPr="001B0AB9">
        <w:rPr>
          <w:sz w:val="22"/>
          <w:szCs w:val="22"/>
        </w:rPr>
        <w:t xml:space="preserve">Norint kartu su Finlepsin vartoti ir kitus vaistus, reikia kreiptis į gydytoją arba vaistininką, kadangi gali reikėti keisti dozę, kartais </w:t>
      </w:r>
      <w:r w:rsidRPr="00344C34">
        <w:rPr>
          <w:sz w:val="22"/>
          <w:szCs w:val="22"/>
        </w:rPr>
        <w:sym w:font="Symbol" w:char="F02D"/>
      </w:r>
      <w:r w:rsidRPr="001B0AB9">
        <w:rPr>
          <w:sz w:val="22"/>
          <w:szCs w:val="22"/>
        </w:rPr>
        <w:t xml:space="preserve"> nutraukti kurio nors vaisto vartojimą. </w:t>
      </w:r>
    </w:p>
    <w:p w:rsidR="00B91FC3" w:rsidRDefault="00B91FC3" w:rsidP="00472498">
      <w:pPr>
        <w:tabs>
          <w:tab w:val="left" w:pos="567"/>
        </w:tabs>
        <w:rPr>
          <w:sz w:val="22"/>
          <w:szCs w:val="22"/>
        </w:rPr>
      </w:pPr>
    </w:p>
    <w:p w:rsidR="00B91FC3" w:rsidRPr="00B91FC3" w:rsidRDefault="00B91FC3" w:rsidP="00B91FC3">
      <w:pPr>
        <w:tabs>
          <w:tab w:val="left" w:pos="567"/>
        </w:tabs>
        <w:rPr>
          <w:rFonts w:eastAsia="Times New Roman"/>
          <w:sz w:val="22"/>
          <w:szCs w:val="22"/>
        </w:rPr>
      </w:pPr>
      <w:r w:rsidRPr="00B91FC3">
        <w:rPr>
          <w:rFonts w:eastAsia="Times New Roman"/>
          <w:sz w:val="22"/>
          <w:szCs w:val="22"/>
        </w:rPr>
        <w:t>Kartu vartojant Finlepsin ir tiesioginio veikimo geriamuosius antikoaguliantus (rivaroksabaną, dabigatraną, apiksabaną ir edoksabaną), gali sumažėti pastarųjų vaistų veiksmingumas, dėl kurios kyla trombozės (kraujo krešulių susidarymo) pavojus.</w:t>
      </w:r>
    </w:p>
    <w:p w:rsidR="00B91FC3" w:rsidRPr="00EA7F30" w:rsidRDefault="00B91FC3" w:rsidP="00472498">
      <w:pPr>
        <w:tabs>
          <w:tab w:val="left" w:pos="567"/>
        </w:tabs>
        <w:rPr>
          <w:sz w:val="22"/>
          <w:szCs w:val="22"/>
        </w:rPr>
      </w:pPr>
    </w:p>
    <w:p w:rsidR="00472498" w:rsidRPr="00EA7F30" w:rsidRDefault="003F07A6" w:rsidP="00472498">
      <w:pPr>
        <w:tabs>
          <w:tab w:val="left" w:pos="567"/>
        </w:tabs>
        <w:rPr>
          <w:sz w:val="22"/>
          <w:szCs w:val="22"/>
        </w:rPr>
      </w:pPr>
      <w:r w:rsidRPr="007F7D76">
        <w:rPr>
          <w:sz w:val="22"/>
          <w:szCs w:val="22"/>
        </w:rPr>
        <w:t>Finlepsin gali pakenkti hormoninių kontraceptikų veikimui ir sumažinti jų veiksmingumą apsaugant nuo nėštumo. Pasitarkite su savo gydytoju, kuris su Jumis aptars Finlepsin vartojimo metu tinkamiausią kontracepcijos metodą.</w:t>
      </w:r>
    </w:p>
    <w:p w:rsidR="00472498" w:rsidRDefault="00472498" w:rsidP="007F7D76">
      <w:pPr>
        <w:pStyle w:val="BTEMEASMCA"/>
      </w:pPr>
    </w:p>
    <w:p w:rsidR="00F663B3" w:rsidRPr="007F7D76" w:rsidRDefault="00F663B3" w:rsidP="007F7D76">
      <w:pPr>
        <w:pStyle w:val="BTEMEASMCA"/>
      </w:pPr>
      <w:r w:rsidRPr="007F7D76">
        <w:t>Pasakykite, gydytojui, jeigu vartojate vaistą brivaracetamą.</w:t>
      </w:r>
    </w:p>
    <w:p w:rsidR="00F663B3" w:rsidRPr="00EA7F30" w:rsidRDefault="00F663B3" w:rsidP="007F7D76">
      <w:pPr>
        <w:pStyle w:val="BTEMEASMCA"/>
      </w:pPr>
    </w:p>
    <w:p w:rsidR="00472498" w:rsidRPr="00EA7F30" w:rsidRDefault="00472498" w:rsidP="00472498">
      <w:pPr>
        <w:pStyle w:val="PI-3EMEASMCA"/>
      </w:pPr>
      <w:r w:rsidRPr="001B0AB9">
        <w:t>Finlepsin vartojimas su maistu, gėrimais ir alkoholiu</w:t>
      </w: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Vartojant Finlepsin, reikia negerti alkoholio, kadangi jis vaisto poveikį gali nenuspėjamai keisti ir stiprinti.</w:t>
      </w:r>
    </w:p>
    <w:p w:rsidR="00472498" w:rsidRPr="00EA7F30" w:rsidRDefault="00472498" w:rsidP="007F7D76">
      <w:pPr>
        <w:pStyle w:val="BTEMEASMCA"/>
      </w:pPr>
    </w:p>
    <w:p w:rsidR="00472498" w:rsidRPr="00EA7F30" w:rsidRDefault="00472498" w:rsidP="00472498">
      <w:pPr>
        <w:pStyle w:val="PI-3EMEASMCA"/>
      </w:pPr>
      <w:r w:rsidRPr="001B0AB9">
        <w:t xml:space="preserve">Vaisingumas, nėštumas ir </w:t>
      </w:r>
      <w:r w:rsidR="003F07A6">
        <w:t xml:space="preserve"> </w:t>
      </w:r>
      <w:r w:rsidRPr="001B0AB9">
        <w:t>žindymo laikotarpis</w:t>
      </w:r>
    </w:p>
    <w:p w:rsidR="00472498" w:rsidRPr="00802879" w:rsidRDefault="00472498" w:rsidP="007F7D76">
      <w:pPr>
        <w:pStyle w:val="BTEMEASMCA"/>
      </w:pPr>
      <w:r w:rsidRPr="00802879">
        <w:t>Jeigu esate nėščia, žindote kūdikį, manote, kad galbūt esate nėščia arba planuojate pastoti, tai prieš vartodama šį vaistą pasitarkite su gydytoju arba vaistininku.</w:t>
      </w:r>
    </w:p>
    <w:p w:rsidR="00472498" w:rsidRPr="00EA7F30" w:rsidRDefault="00472498" w:rsidP="007F7D76">
      <w:pPr>
        <w:pStyle w:val="BTEMEASMCA"/>
      </w:pPr>
    </w:p>
    <w:p w:rsidR="0060750C" w:rsidRDefault="0060750C" w:rsidP="00472498">
      <w:pPr>
        <w:tabs>
          <w:tab w:val="left" w:pos="567"/>
        </w:tabs>
        <w:rPr>
          <w:sz w:val="22"/>
          <w:szCs w:val="22"/>
        </w:rPr>
      </w:pPr>
      <w:r>
        <w:rPr>
          <w:sz w:val="22"/>
          <w:szCs w:val="22"/>
        </w:rPr>
        <w:t>Finlepsin</w:t>
      </w:r>
      <w:r w:rsidRPr="007F7D76">
        <w:rPr>
          <w:sz w:val="22"/>
          <w:szCs w:val="22"/>
        </w:rPr>
        <w:t xml:space="preserve"> gali sukelti sunkių </w:t>
      </w:r>
      <w:r w:rsidR="00A94F6B">
        <w:rPr>
          <w:sz w:val="22"/>
          <w:szCs w:val="22"/>
        </w:rPr>
        <w:t>formavimosi ydų</w:t>
      </w:r>
      <w:r w:rsidRPr="007F7D76">
        <w:rPr>
          <w:sz w:val="22"/>
          <w:szCs w:val="22"/>
        </w:rPr>
        <w:t xml:space="preserve">. Jei </w:t>
      </w:r>
      <w:r>
        <w:rPr>
          <w:sz w:val="22"/>
          <w:szCs w:val="22"/>
        </w:rPr>
        <w:t>Finlepsin</w:t>
      </w:r>
      <w:r w:rsidRPr="00871A20">
        <w:rPr>
          <w:sz w:val="22"/>
          <w:szCs w:val="22"/>
        </w:rPr>
        <w:t xml:space="preserve"> </w:t>
      </w:r>
      <w:r w:rsidRPr="007F7D76">
        <w:rPr>
          <w:sz w:val="22"/>
          <w:szCs w:val="22"/>
        </w:rPr>
        <w:t xml:space="preserve">vartojate nėštumo laikotarpiu, jūsų kūdikiui gali kilti iki 3 kartų didesnė </w:t>
      </w:r>
      <w:r w:rsidR="00A94F6B">
        <w:rPr>
          <w:sz w:val="22"/>
          <w:szCs w:val="22"/>
        </w:rPr>
        <w:t>formavimosi ydų</w:t>
      </w:r>
      <w:r w:rsidRPr="007F7D76">
        <w:rPr>
          <w:sz w:val="22"/>
          <w:szCs w:val="22"/>
        </w:rPr>
        <w:t xml:space="preserve"> rizika nei vaistų nuo epilepsijos nevartojančioms moterims. Buvo pranešta apie sunki</w:t>
      </w:r>
      <w:r w:rsidR="00A94F6B">
        <w:rPr>
          <w:sz w:val="22"/>
          <w:szCs w:val="22"/>
        </w:rPr>
        <w:t>as formavimosi ydas</w:t>
      </w:r>
      <w:r w:rsidRPr="007F7D76">
        <w:rPr>
          <w:sz w:val="22"/>
          <w:szCs w:val="22"/>
        </w:rPr>
        <w:t xml:space="preserve">, įskaitant nervinio vamzdelio defektus (įskiląjį stuburą), įgimtas veido ydas, pvz., viršutinės lūpos ir gomurio nesuaugimą, galvos, širdies  ydas, įgimtas varpos ydas, susijusias su šlaplės atsivėrimu neįprastoje vietoje (hipospadiją) ir pirštų ydas. </w:t>
      </w:r>
    </w:p>
    <w:p w:rsidR="0060750C" w:rsidRDefault="0060750C" w:rsidP="00472498">
      <w:pPr>
        <w:tabs>
          <w:tab w:val="left" w:pos="567"/>
        </w:tabs>
        <w:rPr>
          <w:sz w:val="22"/>
          <w:szCs w:val="22"/>
        </w:rPr>
      </w:pPr>
    </w:p>
    <w:p w:rsidR="0060750C" w:rsidRDefault="0060750C" w:rsidP="00472498">
      <w:pPr>
        <w:tabs>
          <w:tab w:val="left" w:pos="567"/>
        </w:tabs>
        <w:rPr>
          <w:sz w:val="22"/>
          <w:szCs w:val="22"/>
        </w:rPr>
      </w:pPr>
      <w:r w:rsidRPr="007F7D76">
        <w:rPr>
          <w:sz w:val="22"/>
          <w:szCs w:val="22"/>
        </w:rPr>
        <w:t xml:space="preserve">Jeigu nėštumo metu vartojote </w:t>
      </w:r>
      <w:r>
        <w:rPr>
          <w:sz w:val="22"/>
          <w:szCs w:val="22"/>
        </w:rPr>
        <w:t>Finlepsin</w:t>
      </w:r>
      <w:r w:rsidRPr="007F7D76">
        <w:rPr>
          <w:sz w:val="22"/>
          <w:szCs w:val="22"/>
        </w:rPr>
        <w:t xml:space="preserve">, Jūsų negimęs kūdikis turi būti atidžiai stebimas. Gauta pranešimų apie naujagimiams, kurių motinos nėštumo laikotarpiu vartojo </w:t>
      </w:r>
      <w:r>
        <w:rPr>
          <w:sz w:val="22"/>
          <w:szCs w:val="22"/>
        </w:rPr>
        <w:t>karbamazepino</w:t>
      </w:r>
      <w:r w:rsidRPr="007F7D76">
        <w:rPr>
          <w:sz w:val="22"/>
          <w:szCs w:val="22"/>
        </w:rPr>
        <w:t xml:space="preserve">, nustatytus nervų sistemos (smegenų vystymosi) sutrikimus. Tam tikri tyrimai parodė, kad karbamazepinas neigiamai veikia vaikų, kurie dar būdami gimdoje patyrė karbamazepino poveikį, nervų sistemos vystymąsi, tačiau kituose tyrimuose tokio poveikio nenustatyta. Poveikio nervų sistemos vystymuisi galimybės paneigti negalima. </w:t>
      </w:r>
    </w:p>
    <w:p w:rsidR="0060750C" w:rsidRDefault="0060750C" w:rsidP="00472498">
      <w:pPr>
        <w:tabs>
          <w:tab w:val="left" w:pos="567"/>
        </w:tabs>
        <w:rPr>
          <w:sz w:val="22"/>
          <w:szCs w:val="22"/>
        </w:rPr>
      </w:pPr>
    </w:p>
    <w:p w:rsidR="0060750C" w:rsidRDefault="0060750C" w:rsidP="00472498">
      <w:pPr>
        <w:tabs>
          <w:tab w:val="left" w:pos="567"/>
        </w:tabs>
        <w:rPr>
          <w:sz w:val="22"/>
          <w:szCs w:val="22"/>
        </w:rPr>
      </w:pPr>
      <w:r w:rsidRPr="007F7D76">
        <w:rPr>
          <w:sz w:val="22"/>
          <w:szCs w:val="22"/>
        </w:rPr>
        <w:t xml:space="preserve">Jeigu esate vaisinga moteris ir neplanuojate pastoti, gydymo </w:t>
      </w:r>
      <w:r>
        <w:rPr>
          <w:sz w:val="22"/>
          <w:szCs w:val="22"/>
        </w:rPr>
        <w:t>Finlepsin</w:t>
      </w:r>
      <w:r w:rsidRPr="007F7D76">
        <w:rPr>
          <w:sz w:val="22"/>
          <w:szCs w:val="22"/>
        </w:rPr>
        <w:t xml:space="preserve"> metu turite naudoti veiksmingą kontracepciją. </w:t>
      </w:r>
      <w:r>
        <w:rPr>
          <w:sz w:val="22"/>
          <w:szCs w:val="22"/>
        </w:rPr>
        <w:t>Finlepsin</w:t>
      </w:r>
      <w:r w:rsidRPr="007F7D76">
        <w:rPr>
          <w:sz w:val="22"/>
          <w:szCs w:val="22"/>
        </w:rPr>
        <w:t xml:space="preserve"> gali daryti įtaką hormoninių kontraceptinių (gimstamumo kontrolės) tablečių veikimui ir sumažinti jų veiksmingumą apsaugant nuo nėštumo. Pasitarkite su savo gydytoju, kuris aptars su jumis </w:t>
      </w:r>
      <w:r>
        <w:rPr>
          <w:sz w:val="22"/>
          <w:szCs w:val="22"/>
        </w:rPr>
        <w:t>Finlepsin</w:t>
      </w:r>
      <w:r w:rsidRPr="007F7D76">
        <w:rPr>
          <w:sz w:val="22"/>
          <w:szCs w:val="22"/>
        </w:rPr>
        <w:t xml:space="preserve"> vartojimo metu tinkamiausią kontracepcijos tipą. Nutraukus gydymą </w:t>
      </w:r>
      <w:r>
        <w:rPr>
          <w:sz w:val="22"/>
          <w:szCs w:val="22"/>
        </w:rPr>
        <w:t>Finlepsin</w:t>
      </w:r>
      <w:r w:rsidRPr="007F7D76">
        <w:rPr>
          <w:sz w:val="22"/>
          <w:szCs w:val="22"/>
        </w:rPr>
        <w:t xml:space="preserve">, dar dvi savaites po gydymo nutraukimo turi būti taikoma veiksminga kontracepcija. </w:t>
      </w:r>
    </w:p>
    <w:p w:rsidR="0060750C" w:rsidRDefault="0060750C" w:rsidP="00472498">
      <w:pPr>
        <w:tabs>
          <w:tab w:val="left" w:pos="567"/>
        </w:tabs>
        <w:rPr>
          <w:sz w:val="22"/>
          <w:szCs w:val="22"/>
        </w:rPr>
      </w:pPr>
      <w:r w:rsidRPr="007F7D76">
        <w:rPr>
          <w:sz w:val="22"/>
          <w:szCs w:val="22"/>
        </w:rPr>
        <w:t xml:space="preserve">Jeigu esate vaisinga moteris ir planuojate pastoti, prieš nutraukiant kontracepciją ir prieš pastojant pasitarkite su savo gydytoju dėl kito tinkamo gydymo, kad apsaugoti negimusį kūdikį nuo veikimo karbamazepinu. </w:t>
      </w:r>
    </w:p>
    <w:p w:rsidR="0060750C" w:rsidRDefault="0060750C" w:rsidP="00472498">
      <w:pPr>
        <w:tabs>
          <w:tab w:val="left" w:pos="567"/>
        </w:tabs>
        <w:rPr>
          <w:sz w:val="22"/>
          <w:szCs w:val="22"/>
        </w:rPr>
      </w:pPr>
    </w:p>
    <w:p w:rsidR="0060750C" w:rsidRDefault="0060750C" w:rsidP="00472498">
      <w:pPr>
        <w:tabs>
          <w:tab w:val="left" w:pos="567"/>
        </w:tabs>
        <w:rPr>
          <w:sz w:val="22"/>
          <w:szCs w:val="22"/>
        </w:rPr>
      </w:pPr>
      <w:r w:rsidRPr="007F7D76">
        <w:rPr>
          <w:sz w:val="22"/>
          <w:szCs w:val="22"/>
        </w:rPr>
        <w:t xml:space="preserve">Jeigu esate arba manote, kad galite būti nėščia, nedelsdama apie tai pasakykite savo gydytojui. Nenustokite vartoti vaisto nepasitarusi su gydytoju. Nutraukus vaisto vartojimą nepasitarus su gydytoju, gali pasireikšti priepuoliai, kurie gali būti pavojingi Jums ir Jūsų negimusiam vaikui. </w:t>
      </w:r>
    </w:p>
    <w:p w:rsidR="0060750C" w:rsidRDefault="0060750C" w:rsidP="00472498">
      <w:pPr>
        <w:tabs>
          <w:tab w:val="left" w:pos="567"/>
        </w:tabs>
        <w:rPr>
          <w:sz w:val="22"/>
          <w:szCs w:val="22"/>
        </w:rPr>
      </w:pPr>
    </w:p>
    <w:p w:rsidR="00472498" w:rsidRPr="00EA7F30" w:rsidRDefault="0060750C" w:rsidP="00472498">
      <w:pPr>
        <w:tabs>
          <w:tab w:val="left" w:pos="567"/>
        </w:tabs>
        <w:rPr>
          <w:sz w:val="22"/>
          <w:szCs w:val="22"/>
        </w:rPr>
      </w:pPr>
      <w:r w:rsidRPr="007F7D76">
        <w:rPr>
          <w:sz w:val="22"/>
          <w:szCs w:val="22"/>
        </w:rPr>
        <w:t xml:space="preserve">Gydytojas gali nuspręsti pakeisti Jums taikomą gydymą. Be to, jei </w:t>
      </w:r>
      <w:r>
        <w:rPr>
          <w:sz w:val="22"/>
          <w:szCs w:val="22"/>
        </w:rPr>
        <w:t>Finlepsin</w:t>
      </w:r>
      <w:r w:rsidRPr="007F7D76">
        <w:rPr>
          <w:sz w:val="22"/>
          <w:szCs w:val="22"/>
        </w:rPr>
        <w:t xml:space="preserve"> vartojate nėštumo laikotarpiu, kyla rizika, kad vos gimęs kūdikis patirs su kraujavimu susijusių problemų. Gydytojas Jums ir Jūsų kūdikiui gali skirti nuo to apsaugantį vaistą.</w:t>
      </w:r>
    </w:p>
    <w:p w:rsidR="00472498" w:rsidRPr="00EA7F30" w:rsidRDefault="00472498" w:rsidP="00472498">
      <w:pPr>
        <w:tabs>
          <w:tab w:val="left" w:pos="567"/>
        </w:tabs>
        <w:rPr>
          <w:sz w:val="22"/>
          <w:szCs w:val="22"/>
        </w:rPr>
      </w:pPr>
    </w:p>
    <w:p w:rsidR="00472498" w:rsidRPr="00EA7F30" w:rsidRDefault="00472498" w:rsidP="00472498">
      <w:pPr>
        <w:tabs>
          <w:tab w:val="left" w:pos="567"/>
        </w:tabs>
        <w:rPr>
          <w:sz w:val="22"/>
          <w:szCs w:val="22"/>
        </w:rPr>
      </w:pPr>
      <w:r w:rsidRPr="001B0AB9">
        <w:rPr>
          <w:sz w:val="22"/>
          <w:szCs w:val="22"/>
        </w:rPr>
        <w:t>Pasakykite gydytojui, jei žindote kūdikį.</w:t>
      </w:r>
    </w:p>
    <w:p w:rsidR="00472498" w:rsidRPr="007F7D76" w:rsidRDefault="00472498" w:rsidP="007F7D76">
      <w:pPr>
        <w:pStyle w:val="BTbEMEASMCA"/>
      </w:pPr>
      <w:r w:rsidRPr="007F7D76">
        <w:lastRenderedPageBreak/>
        <w:t xml:space="preserve">Veikliosios vaisto medžiagos patenka į motinos pieną. Finlepsin vartojančiai moteriai kūdikį galima žindyti tik gydytojo leidimu ir atidžiai stebint, ar kūdikiui nepasireiškė nepageidaujamas poveikis. Jeigu simptomų atsiranda, pvz., kūdikis tampa labai mieguistas, nustoja žįsti, žindymą reikia nutraukti ir kreiptis į gydytoją. </w:t>
      </w:r>
    </w:p>
    <w:p w:rsidR="00472498" w:rsidRPr="00EA7F30" w:rsidRDefault="00472498" w:rsidP="007F7D76">
      <w:pPr>
        <w:pStyle w:val="BTEMEASMCA"/>
      </w:pPr>
    </w:p>
    <w:p w:rsidR="00472498" w:rsidRPr="00EA7F30" w:rsidRDefault="00472498" w:rsidP="00472498">
      <w:pPr>
        <w:pStyle w:val="PI-3EMEASMCA"/>
      </w:pPr>
      <w:r w:rsidRPr="001B0AB9">
        <w:t>Vairavimas ir mechanizmų valdymas</w:t>
      </w:r>
    </w:p>
    <w:p w:rsidR="00472498" w:rsidRPr="00EA7F30" w:rsidRDefault="00472498" w:rsidP="00472498">
      <w:pPr>
        <w:tabs>
          <w:tab w:val="left" w:pos="567"/>
        </w:tabs>
        <w:rPr>
          <w:sz w:val="22"/>
          <w:szCs w:val="22"/>
        </w:rPr>
      </w:pPr>
      <w:r w:rsidRPr="001B0AB9">
        <w:rPr>
          <w:sz w:val="22"/>
          <w:szCs w:val="22"/>
        </w:rPr>
        <w:t>Finlepsin vartojančiam žmogui gali susilpnėti reakcija, ypač gydymo pradžioje arba didinant dozę. Dėl šio priežasties vairuoti, prižiūrėti veikiančius įrenginius arba dirbti kitokį darbą, reikalaujantį susikaupimo, reikia atsargiai.</w:t>
      </w:r>
    </w:p>
    <w:p w:rsidR="00472498" w:rsidRDefault="00472498" w:rsidP="007F7D76">
      <w:pPr>
        <w:pStyle w:val="BTEMEASMCA"/>
      </w:pPr>
    </w:p>
    <w:p w:rsidR="00980614" w:rsidRPr="00376A64" w:rsidRDefault="00980614" w:rsidP="007F7D76">
      <w:pPr>
        <w:pStyle w:val="BTEMEASMCA"/>
      </w:pPr>
      <w:r w:rsidRPr="00980614">
        <w:t>Finlepsin sudėty</w:t>
      </w:r>
      <w:r w:rsidRPr="00376A64">
        <w:t>je yra natrio</w:t>
      </w:r>
    </w:p>
    <w:p w:rsidR="00980614" w:rsidRPr="00980614" w:rsidRDefault="00980614" w:rsidP="00980614">
      <w:pPr>
        <w:rPr>
          <w:rFonts w:eastAsia="SimSun"/>
          <w:sz w:val="22"/>
          <w:szCs w:val="22"/>
          <w:lang w:eastAsia="zh-CN"/>
        </w:rPr>
      </w:pPr>
      <w:r w:rsidRPr="005005C6">
        <w:rPr>
          <w:rFonts w:eastAsia="SimSun"/>
          <w:sz w:val="22"/>
          <w:szCs w:val="22"/>
          <w:lang w:eastAsia="zh-CN"/>
        </w:rPr>
        <w:t>Šio vaisto tabletėje yra mažiau kaip 1 mmol (23 mg) natrio, t.y. jis beveik neturi reikšmės.</w:t>
      </w:r>
    </w:p>
    <w:p w:rsidR="00472498" w:rsidRDefault="00472498" w:rsidP="007F7D76">
      <w:pPr>
        <w:pStyle w:val="BTEMEASMCA"/>
      </w:pPr>
    </w:p>
    <w:p w:rsidR="0067622C" w:rsidRPr="00EA7F30" w:rsidRDefault="0067622C" w:rsidP="007F7D76">
      <w:pPr>
        <w:pStyle w:val="BTEMEASMCA"/>
      </w:pPr>
    </w:p>
    <w:p w:rsidR="00472498" w:rsidRPr="00EA7F30" w:rsidRDefault="00472498" w:rsidP="00472498">
      <w:pPr>
        <w:pStyle w:val="PI-1EMEASMCA"/>
      </w:pPr>
      <w:bookmarkStart w:id="75" w:name="_Toc129243141"/>
      <w:bookmarkStart w:id="76" w:name="_Toc129243266"/>
      <w:r w:rsidRPr="001B0AB9">
        <w:t>3.</w:t>
      </w:r>
      <w:r w:rsidRPr="0040296C">
        <w:tab/>
      </w:r>
      <w:r w:rsidRPr="001B0AB9">
        <w:t xml:space="preserve">Kaip vartoti </w:t>
      </w:r>
      <w:bookmarkEnd w:id="75"/>
      <w:bookmarkEnd w:id="76"/>
      <w:r w:rsidRPr="001B0AB9">
        <w:t>Finlepsin</w:t>
      </w:r>
    </w:p>
    <w:p w:rsidR="00472498" w:rsidRPr="00EA7F30" w:rsidRDefault="00472498" w:rsidP="007F7D76">
      <w:pPr>
        <w:pStyle w:val="BTEMEASMCA"/>
      </w:pPr>
    </w:p>
    <w:p w:rsidR="00472498" w:rsidRPr="00802879" w:rsidRDefault="00472498" w:rsidP="007F7D76">
      <w:pPr>
        <w:pStyle w:val="BTEMEASMCA"/>
      </w:pPr>
      <w:r w:rsidRPr="00802879">
        <w:t>Visada vartokite šį vaistą tiksliai kaip nurodė gydytojas. Jeigu abejojate, kreipkitės į gydytoją arba vaistininką.</w:t>
      </w:r>
    </w:p>
    <w:p w:rsidR="00472498" w:rsidRPr="00EA7F30" w:rsidRDefault="00472498" w:rsidP="007F7D76">
      <w:pPr>
        <w:pStyle w:val="BTEMEASMCA"/>
      </w:pP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Gydyti pradedama maža doze. Kiekvienam pacientui ji nustatoma, atsižvelgus </w:t>
      </w:r>
      <w:r w:rsidRPr="001B0AB9">
        <w:rPr>
          <w:rFonts w:ascii="Times New Roman" w:hAnsi="Times New Roman" w:cs="Times New Roman"/>
          <w:w w:val="119"/>
          <w:sz w:val="22"/>
          <w:szCs w:val="22"/>
        </w:rPr>
        <w:t xml:space="preserve">į </w:t>
      </w:r>
      <w:r w:rsidRPr="001B0AB9">
        <w:rPr>
          <w:rFonts w:ascii="Times New Roman" w:hAnsi="Times New Roman" w:cs="Times New Roman"/>
          <w:sz w:val="22"/>
          <w:szCs w:val="22"/>
        </w:rPr>
        <w:t>ligos pobūdį jos sunkumą. Vėliau ji laipsniškai didinama, kol pasiekiama geriausiai veikianti palaikomoji dozė.</w:t>
      </w: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Paprastai karbamazepino paros dozė geriama per kelis kartus.</w:t>
      </w: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Įprastai karbamazepino paros dozė yra 400-1200</w:t>
      </w:r>
      <w:r w:rsidRPr="0040296C">
        <w:rPr>
          <w:rFonts w:ascii="Times New Roman" w:hAnsi="Times New Roman" w:cs="Times New Roman"/>
          <w:sz w:val="22"/>
          <w:szCs w:val="22"/>
        </w:rPr>
        <w:t> </w:t>
      </w:r>
      <w:r w:rsidRPr="001B0AB9">
        <w:rPr>
          <w:rFonts w:ascii="Times New Roman" w:hAnsi="Times New Roman" w:cs="Times New Roman"/>
          <w:sz w:val="22"/>
          <w:szCs w:val="22"/>
        </w:rPr>
        <w:t>mg. Didžiausia paros dozė neturi viršyti 1600</w:t>
      </w:r>
      <w:r w:rsidRPr="0040296C">
        <w:rPr>
          <w:rFonts w:ascii="Times New Roman" w:hAnsi="Times New Roman" w:cs="Times New Roman"/>
          <w:sz w:val="22"/>
          <w:szCs w:val="22"/>
        </w:rPr>
        <w:t> </w:t>
      </w:r>
      <w:r w:rsidRPr="001B0AB9">
        <w:rPr>
          <w:rFonts w:ascii="Times New Roman" w:hAnsi="Times New Roman" w:cs="Times New Roman"/>
          <w:sz w:val="22"/>
          <w:szCs w:val="22"/>
        </w:rPr>
        <w:t>mg, kadangi vartojant didesnes dozes, dažniau gali pasireikšti nepageidaujamas poveikis.</w:t>
      </w: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Gydomąją dozę pacientui reikia nustatyti, ypač jei vartojama kelių vaistų nuo epilepsijos, tiriant jų koncentraciją kraujo plazmoje. Patirtis rodo, kad gydomasis poveikis pasireiškia, jei karbamazepino koncentracija plazmoje būna 4-12</w:t>
      </w:r>
      <w:r w:rsidRPr="0040296C">
        <w:rPr>
          <w:rFonts w:ascii="Times New Roman" w:hAnsi="Times New Roman" w:cs="Times New Roman"/>
          <w:sz w:val="22"/>
          <w:szCs w:val="22"/>
        </w:rPr>
        <w:t> </w:t>
      </w:r>
      <w:r w:rsidRPr="001B0AB9">
        <w:rPr>
          <w:rFonts w:ascii="Times New Roman" w:hAnsi="Times New Roman" w:cs="Times New Roman"/>
          <w:sz w:val="22"/>
          <w:szCs w:val="22"/>
        </w:rPr>
        <w:t>μg/ml.</w:t>
      </w: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Pavieniais atvejais reikiama dozė gali labai skirtis nuo nurodytos pradinės ir palaikomosios dozės (pavyzdžiui, pagreitėjus vaisto metabolizmui dėl fermentų indukcijos arba dėl galimos vaistų sąveikos, kai gydoma keliais vaistais nuo epilepsijos).</w:t>
      </w: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Jei epilepsija gydoma Finlepsin, jo geriausia vartoti vieno. Gydymą turi prižiūrėti gydytojas, turintis epilepsijos gydymo patirtį.</w:t>
      </w:r>
    </w:p>
    <w:p w:rsidR="00472498" w:rsidRPr="00EA7F30" w:rsidRDefault="00472498" w:rsidP="00472498">
      <w:pPr>
        <w:pStyle w:val="Style"/>
        <w:ind w:right="57"/>
        <w:rPr>
          <w:rFonts w:ascii="Times New Roman" w:hAnsi="Times New Roman" w:cs="Times New Roman"/>
          <w:w w:val="108"/>
          <w:sz w:val="22"/>
          <w:szCs w:val="22"/>
        </w:rPr>
      </w:pPr>
      <w:r w:rsidRPr="001B0AB9">
        <w:rPr>
          <w:rFonts w:ascii="Times New Roman" w:hAnsi="Times New Roman" w:cs="Times New Roman"/>
          <w:sz w:val="22"/>
          <w:szCs w:val="22"/>
        </w:rPr>
        <w:t>Finlepsin pradedant vartoti vietoj kitokio vaisto nuo epilepsijos, pastarojo vaisto dozę reikia mažinti palaipsniui.</w:t>
      </w:r>
    </w:p>
    <w:p w:rsidR="00472498" w:rsidRPr="00EA7F30" w:rsidRDefault="00472498" w:rsidP="00472498">
      <w:pPr>
        <w:pStyle w:val="Style"/>
        <w:ind w:left="57" w:right="57"/>
        <w:rPr>
          <w:rFonts w:ascii="Times New Roman" w:hAnsi="Times New Roman" w:cs="Times New Roman"/>
          <w:i/>
          <w:iCs/>
          <w:sz w:val="22"/>
          <w:szCs w:val="22"/>
        </w:rPr>
      </w:pPr>
    </w:p>
    <w:p w:rsidR="00472498" w:rsidRPr="00EA7F30" w:rsidRDefault="00472498" w:rsidP="00472498">
      <w:pPr>
        <w:pStyle w:val="Style"/>
        <w:ind w:right="57"/>
        <w:rPr>
          <w:rFonts w:ascii="Times New Roman" w:hAnsi="Times New Roman" w:cs="Times New Roman"/>
          <w:i/>
          <w:iCs/>
          <w:sz w:val="22"/>
          <w:szCs w:val="22"/>
          <w:u w:val="single"/>
        </w:rPr>
      </w:pPr>
      <w:r w:rsidRPr="001B0AB9">
        <w:rPr>
          <w:rFonts w:ascii="Times New Roman" w:hAnsi="Times New Roman" w:cs="Times New Roman"/>
          <w:i/>
          <w:iCs/>
          <w:sz w:val="22"/>
          <w:szCs w:val="22"/>
          <w:u w:val="single"/>
        </w:rPr>
        <w:t>Epilepsijos gydymas</w:t>
      </w: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Paprastai suaugusiems žmonėms pradinė Finlepsin paros dozė yra 1-2 tabletės (200-400</w:t>
      </w:r>
      <w:r w:rsidRPr="0040296C">
        <w:rPr>
          <w:rFonts w:ascii="Times New Roman" w:hAnsi="Times New Roman" w:cs="Times New Roman"/>
          <w:sz w:val="22"/>
          <w:szCs w:val="22"/>
        </w:rPr>
        <w:t> </w:t>
      </w:r>
      <w:r w:rsidRPr="001B0AB9">
        <w:rPr>
          <w:rFonts w:ascii="Times New Roman" w:hAnsi="Times New Roman" w:cs="Times New Roman"/>
          <w:sz w:val="22"/>
          <w:szCs w:val="22"/>
        </w:rPr>
        <w:t>mg karbamazepino). Ji lėtai didinama iki palaikomosios, t.y. 4-6 Finlepsin tablečių (800-1200</w:t>
      </w:r>
      <w:r w:rsidRPr="0040296C">
        <w:rPr>
          <w:rFonts w:ascii="Times New Roman" w:hAnsi="Times New Roman" w:cs="Times New Roman"/>
          <w:sz w:val="22"/>
          <w:szCs w:val="22"/>
        </w:rPr>
        <w:t> </w:t>
      </w:r>
      <w:r w:rsidRPr="001B0AB9">
        <w:rPr>
          <w:rFonts w:ascii="Times New Roman" w:hAnsi="Times New Roman" w:cs="Times New Roman"/>
          <w:sz w:val="22"/>
          <w:szCs w:val="22"/>
        </w:rPr>
        <w:t>mg karbamazepino).</w:t>
      </w: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Vaikams palaikomoji karbamazepino paros dozė paprastai yra 10-20</w:t>
      </w:r>
      <w:r w:rsidRPr="0040296C">
        <w:rPr>
          <w:rFonts w:ascii="Times New Roman" w:hAnsi="Times New Roman" w:cs="Times New Roman"/>
          <w:sz w:val="22"/>
          <w:szCs w:val="22"/>
        </w:rPr>
        <w:t> </w:t>
      </w:r>
      <w:r w:rsidRPr="001B0AB9">
        <w:rPr>
          <w:rFonts w:ascii="Times New Roman" w:hAnsi="Times New Roman" w:cs="Times New Roman"/>
          <w:sz w:val="22"/>
          <w:szCs w:val="22"/>
        </w:rPr>
        <w:t>mg/kg kūno svorio.</w:t>
      </w: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Rekomenduojama dozuoti taip, kaip nurodyta lentelėje.</w:t>
      </w:r>
    </w:p>
    <w:p w:rsidR="00472498" w:rsidRPr="00EA7F30" w:rsidRDefault="00472498" w:rsidP="00472498">
      <w:pPr>
        <w:pStyle w:val="Style"/>
        <w:ind w:left="57" w:right="57"/>
        <w:rPr>
          <w:rFonts w:ascii="Times New Roman" w:hAnsi="Times New Roman" w:cs="Times New Roman"/>
          <w:sz w:val="22"/>
          <w:szCs w:val="22"/>
        </w:rPr>
      </w:pPr>
    </w:p>
    <w:p w:rsidR="00472498" w:rsidRPr="00EA7F30" w:rsidRDefault="00472498" w:rsidP="00472498">
      <w:pPr>
        <w:pStyle w:val="Style"/>
        <w:ind w:left="57" w:right="57"/>
        <w:rPr>
          <w:rFonts w:ascii="Times New Roman" w:hAnsi="Times New Roman" w:cs="Times New Roman"/>
          <w:sz w:val="22"/>
          <w:szCs w:val="22"/>
        </w:rPr>
      </w:pPr>
    </w:p>
    <w:tbl>
      <w:tblPr>
        <w:tblW w:w="0" w:type="auto"/>
        <w:tblInd w:w="77" w:type="dxa"/>
        <w:tblLayout w:type="fixed"/>
        <w:tblCellMar>
          <w:left w:w="0" w:type="dxa"/>
          <w:right w:w="0" w:type="dxa"/>
        </w:tblCellMar>
        <w:tblLook w:val="0000" w:firstRow="0" w:lastRow="0" w:firstColumn="0" w:lastColumn="0" w:noHBand="0" w:noVBand="0"/>
      </w:tblPr>
      <w:tblGrid>
        <w:gridCol w:w="1996"/>
        <w:gridCol w:w="3216"/>
        <w:gridCol w:w="2828"/>
      </w:tblGrid>
      <w:tr w:rsidR="00472498" w:rsidRPr="00656518" w:rsidTr="00BA77F0">
        <w:trPr>
          <w:trHeight w:hRule="exact" w:val="388"/>
        </w:trPr>
        <w:tc>
          <w:tcPr>
            <w:tcW w:w="1996" w:type="dxa"/>
            <w:tcBorders>
              <w:top w:val="single" w:sz="4" w:space="0" w:color="auto"/>
              <w:left w:val="single" w:sz="4" w:space="0" w:color="auto"/>
              <w:bottom w:val="single" w:sz="4" w:space="0" w:color="auto"/>
              <w:right w:val="single" w:sz="4" w:space="0" w:color="auto"/>
            </w:tcBorders>
            <w:vAlign w:val="center"/>
          </w:tcPr>
          <w:p w:rsidR="00472498" w:rsidRPr="00EA7F30" w:rsidRDefault="00472498" w:rsidP="00BA77F0">
            <w:pPr>
              <w:pStyle w:val="Style"/>
              <w:ind w:left="57" w:right="57"/>
              <w:rPr>
                <w:rFonts w:ascii="Times New Roman" w:hAnsi="Times New Roman" w:cs="Times New Roman"/>
                <w:sz w:val="22"/>
                <w:szCs w:val="22"/>
              </w:rPr>
            </w:pPr>
          </w:p>
        </w:tc>
        <w:tc>
          <w:tcPr>
            <w:tcW w:w="3216" w:type="dxa"/>
            <w:tcBorders>
              <w:top w:val="single" w:sz="4" w:space="0" w:color="auto"/>
              <w:left w:val="single" w:sz="4" w:space="0" w:color="auto"/>
              <w:bottom w:val="single" w:sz="4" w:space="0" w:color="auto"/>
              <w:right w:val="single" w:sz="4" w:space="0" w:color="auto"/>
            </w:tcBorders>
            <w:vAlign w:val="center"/>
          </w:tcPr>
          <w:p w:rsidR="00472498" w:rsidRPr="00EA7F30" w:rsidRDefault="00472498" w:rsidP="00BA77F0">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Pradinė paros dozė</w:t>
            </w:r>
          </w:p>
        </w:tc>
        <w:tc>
          <w:tcPr>
            <w:tcW w:w="2828" w:type="dxa"/>
            <w:tcBorders>
              <w:top w:val="single" w:sz="4" w:space="0" w:color="auto"/>
              <w:left w:val="single" w:sz="4" w:space="0" w:color="auto"/>
              <w:bottom w:val="single" w:sz="4" w:space="0" w:color="auto"/>
              <w:right w:val="single" w:sz="4" w:space="0" w:color="auto"/>
            </w:tcBorders>
            <w:vAlign w:val="center"/>
          </w:tcPr>
          <w:p w:rsidR="00472498" w:rsidRPr="00EA7F30" w:rsidRDefault="00472498" w:rsidP="00BA77F0">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Palaikomoji paros dozė</w:t>
            </w:r>
          </w:p>
        </w:tc>
      </w:tr>
      <w:tr w:rsidR="00472498" w:rsidRPr="00656518" w:rsidTr="00BA77F0">
        <w:tblPrEx>
          <w:tblCellMar>
            <w:left w:w="108" w:type="dxa"/>
            <w:right w:w="108" w:type="dxa"/>
          </w:tblCellMar>
        </w:tblPrEx>
        <w:trPr>
          <w:trHeight w:hRule="exact" w:val="893"/>
        </w:trPr>
        <w:tc>
          <w:tcPr>
            <w:tcW w:w="1996" w:type="dxa"/>
          </w:tcPr>
          <w:p w:rsidR="00472498" w:rsidRPr="00EA7F30" w:rsidRDefault="00472498" w:rsidP="00BA77F0">
            <w:pPr>
              <w:pStyle w:val="Style"/>
              <w:ind w:left="57" w:right="57"/>
              <w:rPr>
                <w:rFonts w:ascii="Times New Roman" w:hAnsi="Times New Roman" w:cs="Times New Roman"/>
                <w:i/>
                <w:iCs/>
                <w:sz w:val="22"/>
                <w:szCs w:val="22"/>
              </w:rPr>
            </w:pPr>
            <w:r w:rsidRPr="00EA7F30">
              <w:rPr>
                <w:rFonts w:ascii="Times New Roman" w:hAnsi="Times New Roman" w:cs="Times New Roman"/>
                <w:i/>
                <w:iCs/>
                <w:sz w:val="22"/>
                <w:szCs w:val="22"/>
              </w:rPr>
              <w:t>Suaugę žmonės ir vyresni kaip 15 metų vaikai</w:t>
            </w:r>
          </w:p>
        </w:tc>
        <w:tc>
          <w:tcPr>
            <w:tcW w:w="3216" w:type="dxa"/>
          </w:tcPr>
          <w:p w:rsidR="00472498" w:rsidRPr="00EA7F30" w:rsidRDefault="00472498" w:rsidP="00BA77F0">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200</w:t>
            </w:r>
            <w:r w:rsidRPr="0040296C">
              <w:rPr>
                <w:rFonts w:ascii="Times New Roman" w:hAnsi="Times New Roman" w:cs="Times New Roman"/>
                <w:sz w:val="22"/>
                <w:szCs w:val="22"/>
              </w:rPr>
              <w:t> </w:t>
            </w:r>
            <w:r w:rsidRPr="001B0AB9">
              <w:rPr>
                <w:rFonts w:ascii="Times New Roman" w:hAnsi="Times New Roman" w:cs="Times New Roman"/>
                <w:sz w:val="22"/>
                <w:szCs w:val="22"/>
              </w:rPr>
              <w:t>mg (išgeriama iškarto )</w:t>
            </w:r>
          </w:p>
        </w:tc>
        <w:tc>
          <w:tcPr>
            <w:tcW w:w="2828" w:type="dxa"/>
          </w:tcPr>
          <w:p w:rsidR="00472498" w:rsidRPr="00EA7F30" w:rsidRDefault="00472498" w:rsidP="00BA77F0">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3 kartus po 200-400</w:t>
            </w:r>
            <w:r w:rsidRPr="0040296C">
              <w:rPr>
                <w:rFonts w:ascii="Times New Roman" w:hAnsi="Times New Roman" w:cs="Times New Roman"/>
                <w:sz w:val="22"/>
                <w:szCs w:val="22"/>
              </w:rPr>
              <w:t> </w:t>
            </w:r>
            <w:r w:rsidRPr="001B0AB9">
              <w:rPr>
                <w:rFonts w:ascii="Times New Roman" w:hAnsi="Times New Roman" w:cs="Times New Roman"/>
                <w:sz w:val="22"/>
                <w:szCs w:val="22"/>
              </w:rPr>
              <w:t>mg</w:t>
            </w:r>
          </w:p>
        </w:tc>
      </w:tr>
      <w:tr w:rsidR="00472498" w:rsidRPr="00656518" w:rsidTr="00BA77F0">
        <w:trPr>
          <w:trHeight w:hRule="exact" w:val="388"/>
        </w:trPr>
        <w:tc>
          <w:tcPr>
            <w:tcW w:w="1996" w:type="dxa"/>
            <w:tcBorders>
              <w:top w:val="single" w:sz="4" w:space="0" w:color="auto"/>
              <w:left w:val="single" w:sz="4" w:space="0" w:color="auto"/>
              <w:bottom w:val="single" w:sz="4" w:space="0" w:color="auto"/>
              <w:right w:val="single" w:sz="4" w:space="0" w:color="auto"/>
            </w:tcBorders>
            <w:vAlign w:val="center"/>
          </w:tcPr>
          <w:p w:rsidR="00472498" w:rsidRPr="00EA7F30" w:rsidRDefault="00472498" w:rsidP="00BA77F0">
            <w:pPr>
              <w:pStyle w:val="Style"/>
              <w:ind w:left="57" w:right="57"/>
              <w:rPr>
                <w:rFonts w:ascii="Times New Roman" w:hAnsi="Times New Roman" w:cs="Times New Roman"/>
                <w:i/>
                <w:iCs/>
                <w:sz w:val="22"/>
                <w:szCs w:val="22"/>
              </w:rPr>
            </w:pPr>
            <w:r w:rsidRPr="00EA7F30">
              <w:rPr>
                <w:rFonts w:ascii="Times New Roman" w:hAnsi="Times New Roman" w:cs="Times New Roman"/>
                <w:i/>
                <w:iCs/>
                <w:sz w:val="22"/>
                <w:szCs w:val="22"/>
              </w:rPr>
              <w:t>Vaikai*</w:t>
            </w:r>
          </w:p>
        </w:tc>
        <w:tc>
          <w:tcPr>
            <w:tcW w:w="3216" w:type="dxa"/>
            <w:tcBorders>
              <w:top w:val="single" w:sz="4" w:space="0" w:color="auto"/>
              <w:left w:val="single" w:sz="4" w:space="0" w:color="auto"/>
              <w:bottom w:val="single" w:sz="4" w:space="0" w:color="auto"/>
              <w:right w:val="single" w:sz="4" w:space="0" w:color="auto"/>
            </w:tcBorders>
            <w:vAlign w:val="center"/>
          </w:tcPr>
          <w:p w:rsidR="00472498" w:rsidRPr="00EA7F30" w:rsidRDefault="00472498" w:rsidP="00BA77F0">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Žr. "Nurodymai"</w:t>
            </w:r>
          </w:p>
        </w:tc>
        <w:tc>
          <w:tcPr>
            <w:tcW w:w="2828" w:type="dxa"/>
            <w:tcBorders>
              <w:top w:val="single" w:sz="4" w:space="0" w:color="auto"/>
              <w:left w:val="single" w:sz="4" w:space="0" w:color="auto"/>
              <w:bottom w:val="single" w:sz="4" w:space="0" w:color="auto"/>
              <w:right w:val="single" w:sz="4" w:space="0" w:color="auto"/>
            </w:tcBorders>
            <w:vAlign w:val="center"/>
          </w:tcPr>
          <w:p w:rsidR="00472498" w:rsidRPr="00EA7F30" w:rsidRDefault="00472498" w:rsidP="00BA77F0">
            <w:pPr>
              <w:pStyle w:val="Style"/>
              <w:ind w:left="57" w:right="57"/>
              <w:jc w:val="center"/>
              <w:rPr>
                <w:rFonts w:ascii="Times New Roman" w:hAnsi="Times New Roman" w:cs="Times New Roman"/>
                <w:sz w:val="22"/>
                <w:szCs w:val="22"/>
              </w:rPr>
            </w:pPr>
          </w:p>
        </w:tc>
      </w:tr>
      <w:tr w:rsidR="00472498" w:rsidRPr="00656518" w:rsidTr="00BA77F0">
        <w:trPr>
          <w:trHeight w:hRule="exact" w:val="388"/>
        </w:trPr>
        <w:tc>
          <w:tcPr>
            <w:tcW w:w="1996" w:type="dxa"/>
            <w:tcBorders>
              <w:top w:val="single" w:sz="4" w:space="0" w:color="auto"/>
              <w:left w:val="single" w:sz="4" w:space="0" w:color="auto"/>
              <w:bottom w:val="single" w:sz="4" w:space="0" w:color="auto"/>
              <w:right w:val="single" w:sz="4" w:space="0" w:color="auto"/>
            </w:tcBorders>
            <w:vAlign w:val="center"/>
          </w:tcPr>
          <w:p w:rsidR="00472498" w:rsidRPr="00EA7F30" w:rsidRDefault="00472498" w:rsidP="00BA77F0">
            <w:pPr>
              <w:pStyle w:val="Style"/>
              <w:ind w:left="57" w:right="57"/>
              <w:jc w:val="center"/>
              <w:rPr>
                <w:rFonts w:ascii="Times New Roman" w:hAnsi="Times New Roman" w:cs="Times New Roman"/>
                <w:i/>
                <w:iCs/>
                <w:sz w:val="22"/>
                <w:szCs w:val="22"/>
              </w:rPr>
            </w:pPr>
            <w:r w:rsidRPr="00EA7F30">
              <w:rPr>
                <w:rFonts w:ascii="Times New Roman" w:hAnsi="Times New Roman" w:cs="Times New Roman"/>
                <w:i/>
                <w:iCs/>
                <w:sz w:val="22"/>
                <w:szCs w:val="22"/>
              </w:rPr>
              <w:t>1-5 metų</w:t>
            </w:r>
          </w:p>
        </w:tc>
        <w:tc>
          <w:tcPr>
            <w:tcW w:w="3216" w:type="dxa"/>
            <w:tcBorders>
              <w:top w:val="single" w:sz="4" w:space="0" w:color="auto"/>
              <w:left w:val="single" w:sz="4" w:space="0" w:color="auto"/>
              <w:bottom w:val="single" w:sz="4" w:space="0" w:color="auto"/>
              <w:right w:val="single" w:sz="4" w:space="0" w:color="auto"/>
            </w:tcBorders>
            <w:vAlign w:val="center"/>
          </w:tcPr>
          <w:p w:rsidR="00472498" w:rsidRPr="00EA7F30" w:rsidRDefault="00472498" w:rsidP="00BA77F0">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1-2 kartus po 100</w:t>
            </w:r>
            <w:r w:rsidRPr="0040296C">
              <w:rPr>
                <w:rFonts w:ascii="Times New Roman" w:hAnsi="Times New Roman" w:cs="Times New Roman"/>
                <w:sz w:val="22"/>
                <w:szCs w:val="22"/>
              </w:rPr>
              <w:t> </w:t>
            </w:r>
            <w:r w:rsidRPr="001B0AB9">
              <w:rPr>
                <w:rFonts w:ascii="Times New Roman" w:hAnsi="Times New Roman" w:cs="Times New Roman"/>
                <w:sz w:val="22"/>
                <w:szCs w:val="22"/>
              </w:rPr>
              <w:t>mg</w:t>
            </w:r>
          </w:p>
        </w:tc>
        <w:tc>
          <w:tcPr>
            <w:tcW w:w="2828" w:type="dxa"/>
            <w:tcBorders>
              <w:top w:val="single" w:sz="4" w:space="0" w:color="auto"/>
              <w:left w:val="single" w:sz="4" w:space="0" w:color="auto"/>
              <w:bottom w:val="single" w:sz="4" w:space="0" w:color="auto"/>
              <w:right w:val="single" w:sz="4" w:space="0" w:color="auto"/>
            </w:tcBorders>
            <w:vAlign w:val="center"/>
          </w:tcPr>
          <w:p w:rsidR="00472498" w:rsidRPr="00EA7F30" w:rsidRDefault="00472498" w:rsidP="00BA77F0">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1-2 kartus po 200</w:t>
            </w:r>
            <w:r w:rsidRPr="0040296C">
              <w:rPr>
                <w:rFonts w:ascii="Times New Roman" w:hAnsi="Times New Roman" w:cs="Times New Roman"/>
                <w:sz w:val="22"/>
                <w:szCs w:val="22"/>
              </w:rPr>
              <w:t> </w:t>
            </w:r>
            <w:r w:rsidRPr="001B0AB9">
              <w:rPr>
                <w:rFonts w:ascii="Times New Roman" w:hAnsi="Times New Roman" w:cs="Times New Roman"/>
                <w:sz w:val="22"/>
                <w:szCs w:val="22"/>
              </w:rPr>
              <w:t>mg</w:t>
            </w:r>
          </w:p>
        </w:tc>
      </w:tr>
      <w:tr w:rsidR="00472498" w:rsidRPr="00656518" w:rsidTr="00BA77F0">
        <w:trPr>
          <w:trHeight w:hRule="exact" w:val="388"/>
        </w:trPr>
        <w:tc>
          <w:tcPr>
            <w:tcW w:w="1996" w:type="dxa"/>
            <w:tcBorders>
              <w:top w:val="single" w:sz="4" w:space="0" w:color="auto"/>
              <w:left w:val="single" w:sz="4" w:space="0" w:color="auto"/>
              <w:bottom w:val="single" w:sz="4" w:space="0" w:color="auto"/>
              <w:right w:val="single" w:sz="4" w:space="0" w:color="auto"/>
            </w:tcBorders>
            <w:vAlign w:val="center"/>
          </w:tcPr>
          <w:p w:rsidR="00472498" w:rsidRPr="00EA7F30" w:rsidRDefault="00472498" w:rsidP="00BA77F0">
            <w:pPr>
              <w:pStyle w:val="Style"/>
              <w:ind w:left="57" w:right="57"/>
              <w:jc w:val="center"/>
              <w:rPr>
                <w:rFonts w:ascii="Times New Roman" w:hAnsi="Times New Roman" w:cs="Times New Roman"/>
                <w:i/>
                <w:iCs/>
                <w:sz w:val="22"/>
                <w:szCs w:val="22"/>
              </w:rPr>
            </w:pPr>
            <w:r w:rsidRPr="00EA7F30">
              <w:rPr>
                <w:rFonts w:ascii="Times New Roman" w:hAnsi="Times New Roman" w:cs="Times New Roman"/>
                <w:i/>
                <w:iCs/>
                <w:sz w:val="22"/>
                <w:szCs w:val="22"/>
              </w:rPr>
              <w:t>6-10 metų</w:t>
            </w:r>
          </w:p>
        </w:tc>
        <w:tc>
          <w:tcPr>
            <w:tcW w:w="3216" w:type="dxa"/>
            <w:tcBorders>
              <w:top w:val="single" w:sz="4" w:space="0" w:color="auto"/>
              <w:left w:val="single" w:sz="4" w:space="0" w:color="auto"/>
              <w:bottom w:val="single" w:sz="4" w:space="0" w:color="auto"/>
              <w:right w:val="single" w:sz="4" w:space="0" w:color="auto"/>
            </w:tcBorders>
            <w:vAlign w:val="center"/>
          </w:tcPr>
          <w:p w:rsidR="00472498" w:rsidRPr="00EA7F30" w:rsidRDefault="00472498" w:rsidP="00BA77F0">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2 kartus po 100</w:t>
            </w:r>
            <w:r w:rsidRPr="0040296C">
              <w:rPr>
                <w:rFonts w:ascii="Times New Roman" w:hAnsi="Times New Roman" w:cs="Times New Roman"/>
                <w:sz w:val="22"/>
                <w:szCs w:val="22"/>
              </w:rPr>
              <w:t> </w:t>
            </w:r>
            <w:r w:rsidRPr="001B0AB9">
              <w:rPr>
                <w:rFonts w:ascii="Times New Roman" w:hAnsi="Times New Roman" w:cs="Times New Roman"/>
                <w:sz w:val="22"/>
                <w:szCs w:val="22"/>
              </w:rPr>
              <w:t>mg</w:t>
            </w:r>
          </w:p>
        </w:tc>
        <w:tc>
          <w:tcPr>
            <w:tcW w:w="2828" w:type="dxa"/>
            <w:tcBorders>
              <w:top w:val="single" w:sz="4" w:space="0" w:color="auto"/>
              <w:left w:val="single" w:sz="4" w:space="0" w:color="auto"/>
              <w:bottom w:val="single" w:sz="4" w:space="0" w:color="auto"/>
              <w:right w:val="single" w:sz="4" w:space="0" w:color="auto"/>
            </w:tcBorders>
            <w:vAlign w:val="center"/>
          </w:tcPr>
          <w:p w:rsidR="00472498" w:rsidRPr="00EA7F30" w:rsidRDefault="00472498" w:rsidP="00BA77F0">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3 kartus po 200</w:t>
            </w:r>
            <w:r w:rsidRPr="0040296C">
              <w:rPr>
                <w:rFonts w:ascii="Times New Roman" w:hAnsi="Times New Roman" w:cs="Times New Roman"/>
                <w:sz w:val="22"/>
                <w:szCs w:val="22"/>
              </w:rPr>
              <w:t> </w:t>
            </w:r>
            <w:r w:rsidRPr="001B0AB9">
              <w:rPr>
                <w:rFonts w:ascii="Times New Roman" w:hAnsi="Times New Roman" w:cs="Times New Roman"/>
                <w:sz w:val="22"/>
                <w:szCs w:val="22"/>
              </w:rPr>
              <w:t>mg</w:t>
            </w:r>
          </w:p>
        </w:tc>
      </w:tr>
      <w:tr w:rsidR="00472498" w:rsidRPr="00656518" w:rsidTr="00BA77F0">
        <w:trPr>
          <w:trHeight w:hRule="exact" w:val="388"/>
        </w:trPr>
        <w:tc>
          <w:tcPr>
            <w:tcW w:w="1996" w:type="dxa"/>
            <w:tcBorders>
              <w:top w:val="single" w:sz="4" w:space="0" w:color="auto"/>
              <w:left w:val="single" w:sz="4" w:space="0" w:color="auto"/>
              <w:bottom w:val="single" w:sz="4" w:space="0" w:color="auto"/>
              <w:right w:val="single" w:sz="4" w:space="0" w:color="auto"/>
            </w:tcBorders>
            <w:vAlign w:val="center"/>
          </w:tcPr>
          <w:p w:rsidR="00472498" w:rsidRPr="00EA7F30" w:rsidRDefault="00472498" w:rsidP="00BA77F0">
            <w:pPr>
              <w:pStyle w:val="Style"/>
              <w:ind w:left="57" w:right="57"/>
              <w:jc w:val="center"/>
              <w:rPr>
                <w:rFonts w:ascii="Times New Roman" w:hAnsi="Times New Roman" w:cs="Times New Roman"/>
                <w:i/>
                <w:iCs/>
                <w:sz w:val="22"/>
                <w:szCs w:val="22"/>
              </w:rPr>
            </w:pPr>
            <w:r w:rsidRPr="00EA7F30">
              <w:rPr>
                <w:rFonts w:ascii="Times New Roman" w:hAnsi="Times New Roman" w:cs="Times New Roman"/>
                <w:i/>
                <w:iCs/>
                <w:sz w:val="22"/>
                <w:szCs w:val="22"/>
              </w:rPr>
              <w:t>11-15 metų</w:t>
            </w:r>
          </w:p>
        </w:tc>
        <w:tc>
          <w:tcPr>
            <w:tcW w:w="3216" w:type="dxa"/>
            <w:tcBorders>
              <w:top w:val="single" w:sz="4" w:space="0" w:color="auto"/>
              <w:left w:val="single" w:sz="4" w:space="0" w:color="auto"/>
              <w:bottom w:val="single" w:sz="4" w:space="0" w:color="auto"/>
              <w:right w:val="single" w:sz="4" w:space="0" w:color="auto"/>
            </w:tcBorders>
            <w:vAlign w:val="center"/>
          </w:tcPr>
          <w:p w:rsidR="00472498" w:rsidRPr="00EA7F30" w:rsidRDefault="00472498" w:rsidP="00BA77F0">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2-3 kartus po 100</w:t>
            </w:r>
            <w:r w:rsidRPr="0040296C">
              <w:rPr>
                <w:rFonts w:ascii="Times New Roman" w:hAnsi="Times New Roman" w:cs="Times New Roman"/>
                <w:sz w:val="22"/>
                <w:szCs w:val="22"/>
              </w:rPr>
              <w:t> </w:t>
            </w:r>
            <w:r w:rsidRPr="001B0AB9">
              <w:rPr>
                <w:rFonts w:ascii="Times New Roman" w:hAnsi="Times New Roman" w:cs="Times New Roman"/>
                <w:sz w:val="22"/>
                <w:szCs w:val="22"/>
              </w:rPr>
              <w:t>mg</w:t>
            </w:r>
          </w:p>
        </w:tc>
        <w:tc>
          <w:tcPr>
            <w:tcW w:w="2828" w:type="dxa"/>
            <w:tcBorders>
              <w:top w:val="single" w:sz="4" w:space="0" w:color="auto"/>
              <w:left w:val="single" w:sz="4" w:space="0" w:color="auto"/>
              <w:bottom w:val="single" w:sz="4" w:space="0" w:color="auto"/>
              <w:right w:val="single" w:sz="4" w:space="0" w:color="auto"/>
            </w:tcBorders>
            <w:vAlign w:val="center"/>
          </w:tcPr>
          <w:p w:rsidR="00472498" w:rsidRPr="00EA7F30" w:rsidRDefault="00472498" w:rsidP="00BA77F0">
            <w:pPr>
              <w:pStyle w:val="Style"/>
              <w:ind w:left="57" w:right="57"/>
              <w:jc w:val="center"/>
              <w:rPr>
                <w:rFonts w:ascii="Times New Roman" w:hAnsi="Times New Roman" w:cs="Times New Roman"/>
                <w:sz w:val="22"/>
                <w:szCs w:val="22"/>
              </w:rPr>
            </w:pPr>
            <w:r w:rsidRPr="001B0AB9">
              <w:rPr>
                <w:rFonts w:ascii="Times New Roman" w:hAnsi="Times New Roman" w:cs="Times New Roman"/>
                <w:sz w:val="22"/>
                <w:szCs w:val="22"/>
              </w:rPr>
              <w:t>3-5 kartus po 200</w:t>
            </w:r>
            <w:r w:rsidRPr="0040296C">
              <w:rPr>
                <w:rFonts w:ascii="Times New Roman" w:hAnsi="Times New Roman" w:cs="Times New Roman"/>
                <w:sz w:val="22"/>
                <w:szCs w:val="22"/>
              </w:rPr>
              <w:t> </w:t>
            </w:r>
            <w:r w:rsidRPr="001B0AB9">
              <w:rPr>
                <w:rFonts w:ascii="Times New Roman" w:hAnsi="Times New Roman" w:cs="Times New Roman"/>
                <w:sz w:val="22"/>
                <w:szCs w:val="22"/>
              </w:rPr>
              <w:t>mg</w:t>
            </w:r>
          </w:p>
        </w:tc>
      </w:tr>
    </w:tbl>
    <w:p w:rsidR="00472498" w:rsidRPr="00EA7F30" w:rsidRDefault="00472498" w:rsidP="00472498">
      <w:pPr>
        <w:pStyle w:val="Style"/>
        <w:ind w:left="57" w:right="57"/>
        <w:rPr>
          <w:rFonts w:ascii="Times New Roman" w:hAnsi="Times New Roman" w:cs="Times New Roman"/>
          <w:i/>
          <w:iCs/>
          <w:sz w:val="22"/>
          <w:szCs w:val="22"/>
        </w:rPr>
      </w:pPr>
      <w:r w:rsidRPr="00EA7F30">
        <w:rPr>
          <w:rFonts w:ascii="Times New Roman" w:hAnsi="Times New Roman" w:cs="Times New Roman"/>
          <w:i/>
          <w:iCs/>
          <w:sz w:val="22"/>
          <w:szCs w:val="22"/>
        </w:rPr>
        <w:t>*Nurodymai</w:t>
      </w:r>
    </w:p>
    <w:p w:rsidR="00472498" w:rsidRPr="00EA7F30" w:rsidRDefault="00472498" w:rsidP="00472498">
      <w:pPr>
        <w:jc w:val="both"/>
        <w:rPr>
          <w:sz w:val="22"/>
          <w:szCs w:val="22"/>
        </w:rPr>
      </w:pPr>
      <w:r w:rsidRPr="001B0AB9">
        <w:rPr>
          <w:sz w:val="22"/>
          <w:szCs w:val="22"/>
        </w:rPr>
        <w:t>Jaunesniems negu 3 metų vaikams didžiausia paros dozė yra 200</w:t>
      </w:r>
      <w:r w:rsidRPr="0040296C">
        <w:rPr>
          <w:sz w:val="22"/>
          <w:szCs w:val="22"/>
        </w:rPr>
        <w:t> </w:t>
      </w:r>
      <w:r w:rsidRPr="001B0AB9">
        <w:rPr>
          <w:sz w:val="22"/>
          <w:szCs w:val="22"/>
        </w:rPr>
        <w:t>mg.</w:t>
      </w:r>
    </w:p>
    <w:p w:rsidR="00472498" w:rsidRPr="00EA7F30" w:rsidRDefault="00472498" w:rsidP="00472498">
      <w:pPr>
        <w:rPr>
          <w:bCs/>
          <w:iCs/>
          <w:sz w:val="22"/>
          <w:szCs w:val="22"/>
        </w:rPr>
      </w:pPr>
      <w:r w:rsidRPr="001B0AB9">
        <w:rPr>
          <w:sz w:val="22"/>
          <w:szCs w:val="22"/>
        </w:rPr>
        <w:lastRenderedPageBreak/>
        <w:t>Remiantis klinikine patirtimi, vaikams, jaunesniems kaip 4 metų, rekomenduojama geriau pradėti nuo 20-60</w:t>
      </w:r>
      <w:r w:rsidRPr="0040296C">
        <w:rPr>
          <w:sz w:val="22"/>
          <w:szCs w:val="22"/>
        </w:rPr>
        <w:t> </w:t>
      </w:r>
      <w:r w:rsidRPr="001B0AB9">
        <w:rPr>
          <w:sz w:val="22"/>
          <w:szCs w:val="22"/>
        </w:rPr>
        <w:t>mg paros dozės. Iki tol, kol dozė taps pakankama pageidaujamam poveikiui sukelti, karbamazepino paros dozę kas 2 dienas galima didinti 20-60</w:t>
      </w:r>
      <w:r w:rsidRPr="0040296C">
        <w:rPr>
          <w:sz w:val="22"/>
          <w:szCs w:val="22"/>
        </w:rPr>
        <w:t> </w:t>
      </w:r>
      <w:r w:rsidRPr="001B0AB9">
        <w:rPr>
          <w:sz w:val="22"/>
          <w:szCs w:val="22"/>
        </w:rPr>
        <w:t>mg, tačiau negalima viršyti aukščiau nurodytų dozių.</w:t>
      </w:r>
      <w:r w:rsidRPr="001B0AB9">
        <w:rPr>
          <w:bCs/>
          <w:iCs/>
          <w:sz w:val="22"/>
          <w:szCs w:val="22"/>
        </w:rPr>
        <w:t xml:space="preserve"> Kadangi vartojant Finlepsin 200 mg tablečių 20-60</w:t>
      </w:r>
      <w:r w:rsidRPr="0040296C">
        <w:rPr>
          <w:bCs/>
          <w:iCs/>
          <w:sz w:val="22"/>
          <w:szCs w:val="22"/>
        </w:rPr>
        <w:t> </w:t>
      </w:r>
      <w:r w:rsidRPr="001B0AB9">
        <w:rPr>
          <w:bCs/>
          <w:iCs/>
          <w:sz w:val="22"/>
          <w:szCs w:val="22"/>
        </w:rPr>
        <w:t xml:space="preserve">mg dozės užtikrinti negalima, pradiniam jaunesnių negu 4 metai vaikų gydymui reikia vartoti kitų vaistų, kurių veiklioji medžiaga yra karbamazepinas. </w:t>
      </w: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Klinikinė patirtis rodo, kad vyresniems kaip 4 metų vaikams pradinė karbamazepino dozė gali būti 100</w:t>
      </w:r>
      <w:r w:rsidRPr="0040296C">
        <w:rPr>
          <w:rFonts w:ascii="Times New Roman" w:hAnsi="Times New Roman" w:cs="Times New Roman"/>
          <w:sz w:val="22"/>
          <w:szCs w:val="22"/>
        </w:rPr>
        <w:t> </w:t>
      </w:r>
      <w:r w:rsidRPr="001B0AB9">
        <w:rPr>
          <w:rFonts w:ascii="Times New Roman" w:hAnsi="Times New Roman" w:cs="Times New Roman"/>
          <w:sz w:val="22"/>
          <w:szCs w:val="22"/>
        </w:rPr>
        <w:t>mg. Paros dozę kas 2 dienas arba kas savaitę galima didinti 100</w:t>
      </w:r>
      <w:r w:rsidRPr="0040296C">
        <w:rPr>
          <w:rFonts w:ascii="Times New Roman" w:hAnsi="Times New Roman" w:cs="Times New Roman"/>
          <w:sz w:val="22"/>
          <w:szCs w:val="22"/>
        </w:rPr>
        <w:t> </w:t>
      </w:r>
      <w:r w:rsidRPr="001B0AB9">
        <w:rPr>
          <w:rFonts w:ascii="Times New Roman" w:hAnsi="Times New Roman" w:cs="Times New Roman"/>
          <w:sz w:val="22"/>
          <w:szCs w:val="22"/>
        </w:rPr>
        <w:t>mg tol, kol dozė taps reikiama, tačiau minėtų karbamazepino dozių viršyti negalima.</w:t>
      </w:r>
    </w:p>
    <w:p w:rsidR="00472498" w:rsidRPr="00EA7F30" w:rsidRDefault="00472498" w:rsidP="00472498">
      <w:pPr>
        <w:pStyle w:val="Style"/>
        <w:ind w:right="57"/>
        <w:rPr>
          <w:rFonts w:ascii="Times New Roman" w:hAnsi="Times New Roman" w:cs="Times New Roman"/>
          <w:i/>
          <w:iCs/>
          <w:sz w:val="22"/>
          <w:szCs w:val="22"/>
        </w:rPr>
      </w:pPr>
    </w:p>
    <w:p w:rsidR="00472498" w:rsidRPr="00EA7F30" w:rsidRDefault="00472498" w:rsidP="00472498">
      <w:pPr>
        <w:rPr>
          <w:i/>
          <w:sz w:val="22"/>
          <w:szCs w:val="22"/>
        </w:rPr>
      </w:pPr>
      <w:r w:rsidRPr="001B0AB9">
        <w:rPr>
          <w:i/>
          <w:sz w:val="22"/>
          <w:szCs w:val="22"/>
        </w:rPr>
        <w:t>Idiopatinės ar dėl išsėtinės sklerozės atsiradusios trišakio nervo neuralgijos (tipinės ar atipinės) gydymas</w:t>
      </w: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Pradinė Finlepsin paros dozė yra 1-2 tabletės (t. y. 200-400</w:t>
      </w:r>
      <w:r w:rsidRPr="0040296C">
        <w:rPr>
          <w:rFonts w:ascii="Times New Roman" w:hAnsi="Times New Roman" w:cs="Times New Roman"/>
          <w:sz w:val="22"/>
          <w:szCs w:val="22"/>
        </w:rPr>
        <w:t> </w:t>
      </w:r>
      <w:r w:rsidRPr="001B0AB9">
        <w:rPr>
          <w:rFonts w:ascii="Times New Roman" w:hAnsi="Times New Roman" w:cs="Times New Roman"/>
          <w:sz w:val="22"/>
          <w:szCs w:val="22"/>
        </w:rPr>
        <w:t>mg karbamazepino). Ji išgeriama per 1-2 kartus. Dozę galima didinti tol, kol išnyks skausmas, ir gerti vidutiniškai po 1 Finlepsin tabletę 2-4 kartus per parą (t.y. iš viso 400-800</w:t>
      </w:r>
      <w:r w:rsidRPr="0040296C">
        <w:rPr>
          <w:rFonts w:ascii="Times New Roman" w:hAnsi="Times New Roman" w:cs="Times New Roman"/>
          <w:sz w:val="22"/>
          <w:szCs w:val="22"/>
        </w:rPr>
        <w:t> </w:t>
      </w:r>
      <w:r w:rsidRPr="001B0AB9">
        <w:rPr>
          <w:rFonts w:ascii="Times New Roman" w:hAnsi="Times New Roman" w:cs="Times New Roman"/>
          <w:sz w:val="22"/>
          <w:szCs w:val="22"/>
        </w:rPr>
        <w:t>mg karbamazepino). Tuoj po to kai kuriuos pacientus galima gydyti mažesne palaikomąja paros doze, t.y. reikia gerti po 1 Finlepsin tabletę 2 kartus per parą (atitinkamai 400</w:t>
      </w:r>
      <w:r w:rsidRPr="0040296C">
        <w:rPr>
          <w:rFonts w:ascii="Times New Roman" w:hAnsi="Times New Roman" w:cs="Times New Roman"/>
          <w:sz w:val="22"/>
          <w:szCs w:val="22"/>
        </w:rPr>
        <w:t> </w:t>
      </w:r>
      <w:r w:rsidRPr="001B0AB9">
        <w:rPr>
          <w:rFonts w:ascii="Times New Roman" w:hAnsi="Times New Roman" w:cs="Times New Roman"/>
          <w:sz w:val="22"/>
          <w:szCs w:val="22"/>
        </w:rPr>
        <w:t>mg karbamazepino).</w:t>
      </w: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Senyviems ir vaistui jautriems pacientams iš pradžių rekomenduojama gerti 2 kartus per parą po pusę Finlepsin tabletės (t. y. 200</w:t>
      </w:r>
      <w:r w:rsidRPr="0040296C">
        <w:rPr>
          <w:rFonts w:ascii="Times New Roman" w:hAnsi="Times New Roman" w:cs="Times New Roman"/>
          <w:sz w:val="22"/>
          <w:szCs w:val="22"/>
        </w:rPr>
        <w:t> </w:t>
      </w:r>
      <w:r w:rsidRPr="001B0AB9">
        <w:rPr>
          <w:rFonts w:ascii="Times New Roman" w:hAnsi="Times New Roman" w:cs="Times New Roman"/>
          <w:sz w:val="22"/>
          <w:szCs w:val="22"/>
        </w:rPr>
        <w:t>mg karbamazepino per parą).</w:t>
      </w:r>
    </w:p>
    <w:p w:rsidR="00472498" w:rsidRPr="00EA7F30" w:rsidRDefault="00472498" w:rsidP="00472498">
      <w:pPr>
        <w:pStyle w:val="Style"/>
        <w:ind w:right="57"/>
        <w:rPr>
          <w:rFonts w:ascii="Times New Roman" w:hAnsi="Times New Roman" w:cs="Times New Roman"/>
          <w:i/>
          <w:iCs/>
          <w:sz w:val="22"/>
          <w:szCs w:val="22"/>
        </w:rPr>
      </w:pPr>
    </w:p>
    <w:p w:rsidR="00472498" w:rsidRPr="00EA7F30" w:rsidRDefault="00472498" w:rsidP="00472498">
      <w:pPr>
        <w:pStyle w:val="Style"/>
        <w:ind w:right="57"/>
        <w:rPr>
          <w:rFonts w:ascii="Times New Roman" w:hAnsi="Times New Roman" w:cs="Times New Roman"/>
          <w:i/>
          <w:iCs/>
          <w:sz w:val="22"/>
          <w:szCs w:val="22"/>
        </w:rPr>
      </w:pPr>
      <w:r w:rsidRPr="001B0AB9">
        <w:rPr>
          <w:rFonts w:ascii="Times New Roman" w:hAnsi="Times New Roman" w:cs="Times New Roman"/>
          <w:i/>
          <w:iCs/>
          <w:sz w:val="22"/>
          <w:szCs w:val="22"/>
        </w:rPr>
        <w:t>Alkoholio nutraukimo sindromo gydymas</w:t>
      </w: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Vidutinė paros dozė yra 3 Finlepsin tabletės (t.y. 600</w:t>
      </w:r>
      <w:r w:rsidRPr="0040296C">
        <w:rPr>
          <w:rFonts w:ascii="Times New Roman" w:hAnsi="Times New Roman" w:cs="Times New Roman"/>
          <w:sz w:val="22"/>
          <w:szCs w:val="22"/>
        </w:rPr>
        <w:t> </w:t>
      </w:r>
      <w:r w:rsidRPr="001B0AB9">
        <w:rPr>
          <w:rFonts w:ascii="Times New Roman" w:hAnsi="Times New Roman" w:cs="Times New Roman"/>
          <w:sz w:val="22"/>
          <w:szCs w:val="22"/>
        </w:rPr>
        <w:t>mg karbamazepino). Šią dozę reikia išgerti per 3 kartus. Sunkiais atvejais pirmomis gydymo dienomis dozę galima padidinti ir gerti ne daugiau kaip po 2 tabletes 3 kartus per parą (t.y. 1200</w:t>
      </w:r>
      <w:r w:rsidRPr="0040296C">
        <w:rPr>
          <w:rFonts w:ascii="Times New Roman" w:hAnsi="Times New Roman" w:cs="Times New Roman"/>
          <w:sz w:val="22"/>
          <w:szCs w:val="22"/>
        </w:rPr>
        <w:t> </w:t>
      </w:r>
      <w:r w:rsidRPr="001B0AB9">
        <w:rPr>
          <w:rFonts w:ascii="Times New Roman" w:hAnsi="Times New Roman" w:cs="Times New Roman"/>
          <w:sz w:val="22"/>
          <w:szCs w:val="22"/>
        </w:rPr>
        <w:t>mg karbamazepino ).</w:t>
      </w: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Finlepsin tablečių vartoti kartu su raminamaisiais bei migdomaisiais vaistais nerekomenduojama. Jeigu būtina, jo galima vartoti kartu su kitais vaistais, vartojamais alkoholio nutraukimo sindromui gydyti.</w:t>
      </w: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Reikia reguliariai stebėti karbamazepino koncentraciją kraujo plazmoje.</w:t>
      </w: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Kadangi gali pasireikšti nepageidaujamas poveikis centrinei ir vegetacinei nervų sistemai (žr. nutraukimo simptomus skyriuje ''Galimas šalutinis poveikis"), rekomenduojama atidi klinikinė pacientų priežiūra.</w:t>
      </w:r>
    </w:p>
    <w:p w:rsidR="00472498" w:rsidRPr="00EA7F30" w:rsidRDefault="00472498" w:rsidP="00472498">
      <w:pPr>
        <w:pStyle w:val="Style"/>
        <w:ind w:right="57"/>
        <w:rPr>
          <w:rFonts w:ascii="Times New Roman" w:hAnsi="Times New Roman" w:cs="Times New Roman"/>
          <w:i/>
          <w:iCs/>
          <w:sz w:val="22"/>
          <w:szCs w:val="22"/>
        </w:rPr>
      </w:pPr>
    </w:p>
    <w:p w:rsidR="00472498" w:rsidRPr="00EA7F30" w:rsidRDefault="00472498" w:rsidP="00472498">
      <w:pPr>
        <w:pStyle w:val="Style"/>
        <w:ind w:right="57"/>
        <w:rPr>
          <w:rFonts w:ascii="Times New Roman" w:hAnsi="Times New Roman" w:cs="Times New Roman"/>
          <w:i/>
          <w:iCs/>
          <w:sz w:val="22"/>
          <w:szCs w:val="22"/>
        </w:rPr>
      </w:pPr>
      <w:r w:rsidRPr="001B0AB9">
        <w:rPr>
          <w:rFonts w:ascii="Times New Roman" w:hAnsi="Times New Roman" w:cs="Times New Roman"/>
          <w:i/>
          <w:iCs/>
          <w:sz w:val="22"/>
          <w:szCs w:val="22"/>
        </w:rPr>
        <w:t>Nurodymas</w:t>
      </w: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Pacientams, sergantiems sunkiomis širdies ir kraujagyslių sistemos, kepenų ir inkstų ligomis, bei pagyvenusiems žmonėms reikia vartoti mažesnes dozes.</w:t>
      </w:r>
    </w:p>
    <w:p w:rsidR="00472498" w:rsidRPr="00EA7F30" w:rsidRDefault="00472498" w:rsidP="00472498">
      <w:pPr>
        <w:pStyle w:val="Style"/>
        <w:ind w:left="57" w:right="57"/>
        <w:rPr>
          <w:rFonts w:ascii="Times New Roman" w:hAnsi="Times New Roman" w:cs="Times New Roman"/>
          <w:sz w:val="22"/>
          <w:szCs w:val="22"/>
        </w:rPr>
      </w:pP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Tabletės yra dalomos. Jas reikia gerti valgio metu arba po jo, užsigeriant pakankamu skysčio kiekiu (pavyzdžiui, stikline vandens).</w:t>
      </w:r>
    </w:p>
    <w:p w:rsidR="00472498" w:rsidRPr="00EA7F30" w:rsidRDefault="00472498" w:rsidP="00472498">
      <w:pPr>
        <w:pStyle w:val="Style"/>
        <w:ind w:right="57"/>
        <w:rPr>
          <w:rFonts w:ascii="Times New Roman" w:hAnsi="Times New Roman" w:cs="Times New Roman"/>
          <w:sz w:val="22"/>
          <w:szCs w:val="22"/>
        </w:rPr>
      </w:pP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Daugeliu atvejų poveikis būna labai geras, jei paros dozė išdalijama </w:t>
      </w:r>
      <w:r w:rsidRPr="001B0AB9">
        <w:rPr>
          <w:rFonts w:ascii="Times New Roman" w:hAnsi="Times New Roman" w:cs="Times New Roman"/>
          <w:w w:val="121"/>
          <w:sz w:val="22"/>
          <w:szCs w:val="22"/>
        </w:rPr>
        <w:t xml:space="preserve">į </w:t>
      </w:r>
      <w:r w:rsidRPr="001B0AB9">
        <w:rPr>
          <w:rFonts w:ascii="Times New Roman" w:hAnsi="Times New Roman" w:cs="Times New Roman"/>
          <w:sz w:val="22"/>
          <w:szCs w:val="22"/>
        </w:rPr>
        <w:t>4-5 vienkartines dozes.</w:t>
      </w:r>
    </w:p>
    <w:p w:rsidR="00472498" w:rsidRPr="00EA7F30" w:rsidRDefault="00472498" w:rsidP="00472498">
      <w:pPr>
        <w:pStyle w:val="Style"/>
        <w:ind w:right="57"/>
        <w:rPr>
          <w:rFonts w:ascii="Times New Roman" w:hAnsi="Times New Roman" w:cs="Times New Roman"/>
          <w:b/>
          <w:i/>
          <w:iCs/>
          <w:sz w:val="22"/>
          <w:szCs w:val="22"/>
        </w:rPr>
      </w:pP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Vartojimo trukmė priklauso nuo indikacijos ir paciento reakcijos </w:t>
      </w:r>
      <w:r w:rsidRPr="001B0AB9">
        <w:rPr>
          <w:rFonts w:ascii="Times New Roman" w:hAnsi="Times New Roman" w:cs="Times New Roman"/>
          <w:w w:val="121"/>
          <w:sz w:val="22"/>
          <w:szCs w:val="22"/>
        </w:rPr>
        <w:t xml:space="preserve">į </w:t>
      </w:r>
      <w:r w:rsidRPr="001B0AB9">
        <w:rPr>
          <w:rFonts w:ascii="Times New Roman" w:hAnsi="Times New Roman" w:cs="Times New Roman"/>
          <w:sz w:val="22"/>
          <w:szCs w:val="22"/>
        </w:rPr>
        <w:t>vaistą. Vaisto vartojimo trukmę nustato gydytojas.</w:t>
      </w:r>
    </w:p>
    <w:p w:rsidR="00472498" w:rsidRPr="00EA7F30" w:rsidRDefault="00472498" w:rsidP="00472498">
      <w:pPr>
        <w:pStyle w:val="Style"/>
        <w:ind w:right="57"/>
        <w:rPr>
          <w:rFonts w:ascii="Times New Roman" w:hAnsi="Times New Roman" w:cs="Times New Roman"/>
          <w:sz w:val="22"/>
          <w:szCs w:val="22"/>
          <w:u w:val="single"/>
        </w:rPr>
      </w:pP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u w:val="single"/>
        </w:rPr>
        <w:t>Epilepsija</w:t>
      </w:r>
      <w:r w:rsidRPr="001B0AB9">
        <w:rPr>
          <w:rFonts w:ascii="Times New Roman" w:hAnsi="Times New Roman" w:cs="Times New Roman"/>
          <w:sz w:val="22"/>
          <w:szCs w:val="22"/>
        </w:rPr>
        <w:t xml:space="preserve"> gydoma ilgai. Kiekvienu atveju Finlepsin skirti, nustatyti gydymo trukmę ir nutraukti gydymą turi šios srities specialistas. Paprastai galimybę sumažinti preparato dozę arba nutraukti gydymą galima svarstyti ne anksčiau, kaip praėjus 2-3 metams po paskutinių priepuolių.</w:t>
      </w: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Nutraukiant gydymą, būtina per 1-2 metus palaipsniui mažinti vaisto dozę.</w:t>
      </w:r>
    </w:p>
    <w:p w:rsidR="00472498" w:rsidRPr="00EA7F30" w:rsidRDefault="00472498" w:rsidP="00472498">
      <w:pPr>
        <w:pStyle w:val="Style"/>
        <w:ind w:right="57"/>
        <w:rPr>
          <w:rFonts w:ascii="Times New Roman" w:hAnsi="Times New Roman" w:cs="Times New Roman"/>
          <w:sz w:val="22"/>
          <w:szCs w:val="22"/>
        </w:rPr>
      </w:pP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Vaikų kūno svoris auga, todėl dozė kilogramui kūno svorio gali netikti, lyginant su dozavimu pagal amžių (reikia stebėti, kad nepablogėtų elektroencefalogramos rodmenys).</w:t>
      </w:r>
    </w:p>
    <w:p w:rsidR="00472498" w:rsidRPr="00EA7F30" w:rsidRDefault="00472498" w:rsidP="00472498">
      <w:pPr>
        <w:pStyle w:val="Style"/>
        <w:ind w:right="57"/>
        <w:rPr>
          <w:rFonts w:ascii="Times New Roman" w:hAnsi="Times New Roman" w:cs="Times New Roman"/>
          <w:sz w:val="22"/>
          <w:szCs w:val="22"/>
        </w:rPr>
      </w:pP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Gydant </w:t>
      </w:r>
      <w:r w:rsidRPr="001B0AB9">
        <w:rPr>
          <w:rFonts w:ascii="Times New Roman" w:hAnsi="Times New Roman" w:cs="Times New Roman"/>
          <w:sz w:val="22"/>
          <w:szCs w:val="22"/>
          <w:u w:val="single"/>
        </w:rPr>
        <w:t>neuralgiją</w:t>
      </w:r>
      <w:r w:rsidRPr="001B0AB9">
        <w:rPr>
          <w:rFonts w:ascii="Times New Roman" w:hAnsi="Times New Roman" w:cs="Times New Roman"/>
          <w:sz w:val="22"/>
          <w:szCs w:val="22"/>
        </w:rPr>
        <w:t>, nuo skausmų apsaugančią palaikomąją dozę naudinga vartoti kelias savaites. Atsargiai mažinant vaisto dozę, reikia nustatyti, ar simptomai vėl staiga neatkrinta. Jeigu skausmo priepuoliai pasikartoja, gydyti reikia anksčiau vartota palaikomąja doze.</w:t>
      </w:r>
    </w:p>
    <w:p w:rsidR="00472498" w:rsidRPr="00EA7F30" w:rsidRDefault="00472498" w:rsidP="00472498">
      <w:pPr>
        <w:pStyle w:val="Style"/>
        <w:ind w:right="57"/>
        <w:rPr>
          <w:rFonts w:ascii="Times New Roman" w:hAnsi="Times New Roman" w:cs="Times New Roman"/>
          <w:sz w:val="22"/>
          <w:szCs w:val="22"/>
          <w:u w:val="single"/>
        </w:rPr>
      </w:pP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u w:val="single"/>
        </w:rPr>
        <w:t>Gydant alkoholio nutraukimo sindromą</w:t>
      </w:r>
      <w:r w:rsidRPr="001B0AB9">
        <w:rPr>
          <w:rFonts w:ascii="Times New Roman" w:hAnsi="Times New Roman" w:cs="Times New Roman"/>
          <w:sz w:val="22"/>
          <w:szCs w:val="22"/>
        </w:rPr>
        <w:t xml:space="preserve">, Finlepsin vartojimą (palaipsniui mažinant dozę) reikia </w:t>
      </w:r>
      <w:r w:rsidRPr="001B0AB9">
        <w:rPr>
          <w:rFonts w:ascii="Times New Roman" w:hAnsi="Times New Roman" w:cs="Times New Roman"/>
          <w:sz w:val="22"/>
          <w:szCs w:val="22"/>
        </w:rPr>
        <w:lastRenderedPageBreak/>
        <w:t>nutraukti per 7-10 dienų.</w:t>
      </w:r>
    </w:p>
    <w:p w:rsidR="00472498" w:rsidRPr="00EA7F30" w:rsidRDefault="00472498" w:rsidP="007F7D76">
      <w:pPr>
        <w:pStyle w:val="BTEMEASMCA"/>
      </w:pPr>
    </w:p>
    <w:p w:rsidR="00472498" w:rsidRPr="00EA7F30" w:rsidRDefault="00472498" w:rsidP="00472498">
      <w:pPr>
        <w:pStyle w:val="PI-3EMEASMCA"/>
      </w:pPr>
      <w:r w:rsidRPr="001B0AB9">
        <w:t>Ką daryti pavartojus per didelę Finlepsin dozę?</w:t>
      </w:r>
    </w:p>
    <w:p w:rsidR="00472498" w:rsidRPr="001B0AB9" w:rsidRDefault="00472498" w:rsidP="00472498">
      <w:pPr>
        <w:pStyle w:val="Pagrindinistekstas"/>
        <w:spacing w:after="0"/>
        <w:rPr>
          <w:sz w:val="22"/>
          <w:szCs w:val="22"/>
        </w:rPr>
      </w:pPr>
      <w:r w:rsidRPr="001B0AB9">
        <w:rPr>
          <w:sz w:val="22"/>
          <w:szCs w:val="22"/>
        </w:rPr>
        <w:t>Atsitiktinai arba tyčia išgėrus per didelę dozę kreipkitės į gydytoją.</w:t>
      </w:r>
    </w:p>
    <w:p w:rsidR="00472498" w:rsidRPr="00EA7F30" w:rsidRDefault="00472498" w:rsidP="00472498">
      <w:pPr>
        <w:pStyle w:val="PI-3EMEASMCA"/>
      </w:pPr>
    </w:p>
    <w:p w:rsidR="00472498" w:rsidRPr="00EA7F30" w:rsidRDefault="00472498" w:rsidP="00472498">
      <w:pPr>
        <w:pStyle w:val="PI-3EMEASMCA"/>
      </w:pPr>
      <w:r w:rsidRPr="001B0AB9">
        <w:t>Pamiršus pavartoti Finlepsin</w:t>
      </w: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Vaisto išgėrus per mažai, jo ir toliau reikia vartoti taip, kaip nurodyta.</w:t>
      </w:r>
    </w:p>
    <w:p w:rsidR="00472498" w:rsidRPr="00802879" w:rsidRDefault="00472498" w:rsidP="007F7D76">
      <w:pPr>
        <w:pStyle w:val="BTEMEASMCA"/>
      </w:pPr>
      <w:r w:rsidRPr="00802879">
        <w:t>Negalima vartoti dvigubos dozės norint kompensuoti praleistą dozę.</w:t>
      </w:r>
    </w:p>
    <w:p w:rsidR="00472498" w:rsidRPr="00EA7F30" w:rsidRDefault="00472498" w:rsidP="00472498">
      <w:pPr>
        <w:pStyle w:val="PI-3EMEASMCA"/>
      </w:pPr>
    </w:p>
    <w:p w:rsidR="00472498" w:rsidRPr="00EA7F30" w:rsidRDefault="00472498" w:rsidP="00472498">
      <w:pPr>
        <w:pStyle w:val="PI-3EMEASMCA"/>
      </w:pPr>
      <w:r w:rsidRPr="001B0AB9">
        <w:t>Nustojus vartoti Finlepsin</w:t>
      </w: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Jei pasireiškė vaisto netoleravimas arba atsirado ligos pokyčių, reikia informuoti gydytoją. Jokiu būdu negalima savo nuožiūra nutraukti vaisto vartojimo, kadangi tokiu atveju gali būti pakenkta gydymo sėkmei.</w:t>
      </w:r>
    </w:p>
    <w:p w:rsidR="00472498" w:rsidRPr="00EA7F30" w:rsidRDefault="00472498" w:rsidP="007F7D76">
      <w:pPr>
        <w:pStyle w:val="BTEMEASMCA"/>
      </w:pPr>
    </w:p>
    <w:p w:rsidR="00472498" w:rsidRPr="00376A64" w:rsidRDefault="00472498" w:rsidP="007F7D76">
      <w:pPr>
        <w:pStyle w:val="BTEMEASMCA"/>
      </w:pPr>
      <w:r w:rsidRPr="00376A64">
        <w:t>Jeigu kiltų daugiau klausimų dėl šio vaisto vartojimo, kreipkitės į gydytoją arba vaistininką.</w:t>
      </w:r>
    </w:p>
    <w:p w:rsidR="00472498" w:rsidRPr="00EA7F30" w:rsidRDefault="00472498" w:rsidP="007F7D76">
      <w:pPr>
        <w:pStyle w:val="BTEMEASMCA"/>
      </w:pPr>
    </w:p>
    <w:p w:rsidR="00472498" w:rsidRPr="00EA7F30" w:rsidRDefault="00472498" w:rsidP="007F7D76">
      <w:pPr>
        <w:pStyle w:val="BTEMEASMCA"/>
      </w:pPr>
    </w:p>
    <w:p w:rsidR="00472498" w:rsidRPr="00EA7F30" w:rsidRDefault="00472498" w:rsidP="00472498">
      <w:pPr>
        <w:pStyle w:val="PI-1EMEASMCA"/>
      </w:pPr>
      <w:bookmarkStart w:id="77" w:name="_Toc129243142"/>
      <w:bookmarkStart w:id="78" w:name="_Toc129243267"/>
      <w:r w:rsidRPr="001B0AB9">
        <w:t>4.</w:t>
      </w:r>
      <w:r w:rsidRPr="0040296C">
        <w:tab/>
      </w:r>
      <w:r w:rsidRPr="001B0AB9">
        <w:t>Galimas šalutinis poveikis</w:t>
      </w:r>
      <w:bookmarkEnd w:id="77"/>
      <w:bookmarkEnd w:id="78"/>
    </w:p>
    <w:p w:rsidR="00472498" w:rsidRPr="00EA7F30" w:rsidRDefault="00472498" w:rsidP="007F7D76">
      <w:pPr>
        <w:pStyle w:val="BTEMEASMCA"/>
      </w:pPr>
    </w:p>
    <w:p w:rsidR="00472498" w:rsidRPr="007F7D76" w:rsidRDefault="00472498" w:rsidP="007F7D76">
      <w:pPr>
        <w:pStyle w:val="BTEMEASMCA"/>
      </w:pPr>
      <w:r w:rsidRPr="007F7D76">
        <w:t>Šis vaistas, kaip ir visi kiti, gali sukelti šalutinį poveikį, nors jis pasireiškia ne visiems žmonėms.</w:t>
      </w:r>
    </w:p>
    <w:p w:rsidR="00472498" w:rsidRPr="00EA7F30" w:rsidRDefault="00472498" w:rsidP="007F7D76">
      <w:pPr>
        <w:pStyle w:val="BTEMEASMCA"/>
      </w:pPr>
    </w:p>
    <w:p w:rsidR="00472498" w:rsidRPr="00EA7F30" w:rsidRDefault="00472498" w:rsidP="00472498">
      <w:pPr>
        <w:pStyle w:val="Style"/>
        <w:ind w:right="57"/>
        <w:rPr>
          <w:rFonts w:ascii="Times New Roman" w:hAnsi="Times New Roman" w:cs="Times New Roman"/>
          <w:sz w:val="22"/>
          <w:szCs w:val="22"/>
        </w:rPr>
      </w:pPr>
      <w:r w:rsidRPr="001B0AB9">
        <w:rPr>
          <w:rFonts w:ascii="Times New Roman" w:hAnsi="Times New Roman" w:cs="Times New Roman"/>
          <w:sz w:val="22"/>
          <w:szCs w:val="22"/>
        </w:rPr>
        <w:t xml:space="preserve">Vartojant vien Finlepsin, nepageidaujamas poveikis atsiranda rečiau, negu kartu vartojant ir kitų preparatų nuo epilepsijos. </w:t>
      </w:r>
    </w:p>
    <w:p w:rsidR="00472498" w:rsidRPr="00EA7F30" w:rsidRDefault="003068E9" w:rsidP="00472498">
      <w:pPr>
        <w:pStyle w:val="Antrat1"/>
        <w:tabs>
          <w:tab w:val="left" w:pos="567"/>
        </w:tabs>
        <w:spacing w:before="0" w:after="0"/>
        <w:rPr>
          <w:rFonts w:ascii="Times New Roman" w:hAnsi="Times New Roman"/>
          <w:b w:val="0"/>
          <w:sz w:val="22"/>
          <w:szCs w:val="22"/>
        </w:rPr>
      </w:pPr>
      <w:r>
        <w:rPr>
          <w:rFonts w:ascii="Times New Roman" w:hAnsi="Times New Roman"/>
          <w:b w:val="0"/>
          <w:sz w:val="22"/>
          <w:szCs w:val="22"/>
        </w:rPr>
        <w:t>Šalutinio</w:t>
      </w:r>
      <w:r w:rsidRPr="001B0AB9">
        <w:rPr>
          <w:rFonts w:ascii="Times New Roman" w:hAnsi="Times New Roman"/>
          <w:b w:val="0"/>
          <w:sz w:val="22"/>
          <w:szCs w:val="22"/>
        </w:rPr>
        <w:t xml:space="preserve"> </w:t>
      </w:r>
      <w:r w:rsidR="00472498" w:rsidRPr="001B0AB9">
        <w:rPr>
          <w:rFonts w:ascii="Times New Roman" w:hAnsi="Times New Roman"/>
          <w:b w:val="0"/>
          <w:sz w:val="22"/>
          <w:szCs w:val="22"/>
        </w:rPr>
        <w:t xml:space="preserve">poveikio dažnis apibūdinamas taip: labai dažnas (gali pasireikšti </w:t>
      </w:r>
      <w:r>
        <w:rPr>
          <w:rFonts w:ascii="Times New Roman" w:hAnsi="Times New Roman"/>
          <w:b w:val="0"/>
          <w:sz w:val="22"/>
          <w:szCs w:val="22"/>
        </w:rPr>
        <w:t>ne rečiau</w:t>
      </w:r>
      <w:r w:rsidRPr="001B0AB9">
        <w:rPr>
          <w:rFonts w:ascii="Times New Roman" w:hAnsi="Times New Roman"/>
          <w:b w:val="0"/>
          <w:sz w:val="22"/>
          <w:szCs w:val="22"/>
        </w:rPr>
        <w:t xml:space="preserve"> </w:t>
      </w:r>
      <w:r>
        <w:rPr>
          <w:rFonts w:ascii="Times New Roman" w:hAnsi="Times New Roman"/>
          <w:b w:val="0"/>
          <w:sz w:val="22"/>
          <w:szCs w:val="22"/>
        </w:rPr>
        <w:t>kaip</w:t>
      </w:r>
      <w:r w:rsidRPr="001B0AB9">
        <w:rPr>
          <w:rFonts w:ascii="Times New Roman" w:hAnsi="Times New Roman"/>
          <w:b w:val="0"/>
          <w:sz w:val="22"/>
          <w:szCs w:val="22"/>
        </w:rPr>
        <w:t xml:space="preserve"> </w:t>
      </w:r>
      <w:r w:rsidR="00472498" w:rsidRPr="001B0AB9">
        <w:rPr>
          <w:rFonts w:ascii="Times New Roman" w:hAnsi="Times New Roman"/>
          <w:b w:val="0"/>
          <w:sz w:val="22"/>
          <w:szCs w:val="22"/>
        </w:rPr>
        <w:t>1 iš 10</w:t>
      </w:r>
      <w:r>
        <w:rPr>
          <w:rFonts w:ascii="Times New Roman" w:hAnsi="Times New Roman"/>
          <w:b w:val="0"/>
          <w:sz w:val="22"/>
          <w:szCs w:val="22"/>
        </w:rPr>
        <w:t xml:space="preserve"> asmenų</w:t>
      </w:r>
      <w:r w:rsidR="00472498" w:rsidRPr="001B0AB9">
        <w:rPr>
          <w:rFonts w:ascii="Times New Roman" w:hAnsi="Times New Roman"/>
          <w:b w:val="0"/>
          <w:sz w:val="22"/>
          <w:szCs w:val="22"/>
        </w:rPr>
        <w:t xml:space="preserve">), dažnas (gali pasireikšti </w:t>
      </w:r>
      <w:r>
        <w:rPr>
          <w:rFonts w:ascii="Times New Roman" w:hAnsi="Times New Roman"/>
          <w:b w:val="0"/>
          <w:sz w:val="22"/>
          <w:szCs w:val="22"/>
        </w:rPr>
        <w:t>rečiau</w:t>
      </w:r>
      <w:r w:rsidRPr="001B0AB9">
        <w:rPr>
          <w:rFonts w:ascii="Times New Roman" w:hAnsi="Times New Roman"/>
          <w:b w:val="0"/>
          <w:sz w:val="22"/>
          <w:szCs w:val="22"/>
        </w:rPr>
        <w:t xml:space="preserve"> </w:t>
      </w:r>
      <w:r>
        <w:rPr>
          <w:rFonts w:ascii="Times New Roman" w:hAnsi="Times New Roman"/>
          <w:b w:val="0"/>
          <w:sz w:val="22"/>
          <w:szCs w:val="22"/>
        </w:rPr>
        <w:t>kaip</w:t>
      </w:r>
      <w:r w:rsidRPr="001B0AB9">
        <w:rPr>
          <w:rFonts w:ascii="Times New Roman" w:hAnsi="Times New Roman"/>
          <w:b w:val="0"/>
          <w:sz w:val="22"/>
          <w:szCs w:val="22"/>
        </w:rPr>
        <w:t xml:space="preserve"> </w:t>
      </w:r>
      <w:r w:rsidR="00472498" w:rsidRPr="001B0AB9">
        <w:rPr>
          <w:rFonts w:ascii="Times New Roman" w:hAnsi="Times New Roman"/>
          <w:b w:val="0"/>
          <w:sz w:val="22"/>
          <w:szCs w:val="22"/>
        </w:rPr>
        <w:t>1 iš 10</w:t>
      </w:r>
      <w:r>
        <w:rPr>
          <w:rFonts w:ascii="Times New Roman" w:hAnsi="Times New Roman"/>
          <w:b w:val="0"/>
          <w:sz w:val="22"/>
          <w:szCs w:val="22"/>
        </w:rPr>
        <w:t xml:space="preserve"> asmenų</w:t>
      </w:r>
      <w:r w:rsidR="00472498" w:rsidRPr="001B0AB9">
        <w:rPr>
          <w:rFonts w:ascii="Times New Roman" w:hAnsi="Times New Roman"/>
          <w:b w:val="0"/>
          <w:sz w:val="22"/>
          <w:szCs w:val="22"/>
        </w:rPr>
        <w:t>)</w:t>
      </w:r>
      <w:r w:rsidR="00472498">
        <w:rPr>
          <w:rFonts w:ascii="Times New Roman" w:hAnsi="Times New Roman"/>
          <w:b w:val="0"/>
          <w:sz w:val="22"/>
          <w:szCs w:val="22"/>
        </w:rPr>
        <w:t>,</w:t>
      </w:r>
    </w:p>
    <w:p w:rsidR="00472498" w:rsidRPr="00EA7F30" w:rsidRDefault="00472498" w:rsidP="00472498">
      <w:pPr>
        <w:pStyle w:val="Antrat1"/>
        <w:tabs>
          <w:tab w:val="left" w:pos="567"/>
        </w:tabs>
        <w:spacing w:before="0" w:after="0"/>
        <w:rPr>
          <w:rFonts w:ascii="Times New Roman" w:hAnsi="Times New Roman"/>
          <w:b w:val="0"/>
          <w:sz w:val="22"/>
          <w:szCs w:val="22"/>
        </w:rPr>
      </w:pPr>
      <w:r w:rsidRPr="001B0AB9">
        <w:rPr>
          <w:rFonts w:ascii="Times New Roman" w:hAnsi="Times New Roman"/>
          <w:b w:val="0"/>
          <w:sz w:val="22"/>
          <w:szCs w:val="22"/>
        </w:rPr>
        <w:t xml:space="preserve">nedažnas (gali pasireikšti </w:t>
      </w:r>
      <w:r w:rsidR="003068E9">
        <w:rPr>
          <w:rFonts w:ascii="Times New Roman" w:hAnsi="Times New Roman"/>
          <w:b w:val="0"/>
          <w:sz w:val="22"/>
          <w:szCs w:val="22"/>
        </w:rPr>
        <w:t>rečiau kaip</w:t>
      </w:r>
      <w:r w:rsidRPr="001B0AB9">
        <w:rPr>
          <w:rFonts w:ascii="Times New Roman" w:hAnsi="Times New Roman"/>
          <w:b w:val="0"/>
          <w:sz w:val="22"/>
          <w:szCs w:val="22"/>
        </w:rPr>
        <w:t xml:space="preserve"> 1 iš 100</w:t>
      </w:r>
      <w:r w:rsidR="003068E9">
        <w:rPr>
          <w:rFonts w:ascii="Times New Roman" w:hAnsi="Times New Roman"/>
          <w:b w:val="0"/>
          <w:sz w:val="22"/>
          <w:szCs w:val="22"/>
        </w:rPr>
        <w:t xml:space="preserve"> asmenų</w:t>
      </w:r>
      <w:r w:rsidRPr="001B0AB9">
        <w:rPr>
          <w:rFonts w:ascii="Times New Roman" w:hAnsi="Times New Roman"/>
          <w:b w:val="0"/>
          <w:sz w:val="22"/>
          <w:szCs w:val="22"/>
        </w:rPr>
        <w:t>)</w:t>
      </w:r>
      <w:r>
        <w:rPr>
          <w:rFonts w:ascii="Times New Roman" w:hAnsi="Times New Roman"/>
          <w:b w:val="0"/>
          <w:sz w:val="22"/>
          <w:szCs w:val="22"/>
        </w:rPr>
        <w:t xml:space="preserve">, </w:t>
      </w:r>
      <w:r w:rsidRPr="001B0AB9">
        <w:rPr>
          <w:rFonts w:ascii="Times New Roman" w:hAnsi="Times New Roman"/>
          <w:b w:val="0"/>
          <w:sz w:val="22"/>
          <w:szCs w:val="22"/>
        </w:rPr>
        <w:t xml:space="preserve">retas (gali pasireikšti </w:t>
      </w:r>
      <w:r w:rsidR="003068E9">
        <w:rPr>
          <w:rFonts w:ascii="Times New Roman" w:hAnsi="Times New Roman"/>
          <w:b w:val="0"/>
          <w:sz w:val="22"/>
          <w:szCs w:val="22"/>
        </w:rPr>
        <w:t>rečiau kaip</w:t>
      </w:r>
      <w:r w:rsidRPr="001B0AB9">
        <w:rPr>
          <w:rFonts w:ascii="Times New Roman" w:hAnsi="Times New Roman"/>
          <w:b w:val="0"/>
          <w:sz w:val="22"/>
          <w:szCs w:val="22"/>
        </w:rPr>
        <w:t xml:space="preserve"> 1 iš 1000</w:t>
      </w:r>
      <w:r w:rsidR="003068E9">
        <w:rPr>
          <w:rFonts w:ascii="Times New Roman" w:hAnsi="Times New Roman"/>
          <w:b w:val="0"/>
          <w:sz w:val="22"/>
          <w:szCs w:val="22"/>
        </w:rPr>
        <w:t>asmenų</w:t>
      </w:r>
      <w:r w:rsidRPr="001B0AB9">
        <w:rPr>
          <w:rFonts w:ascii="Times New Roman" w:hAnsi="Times New Roman"/>
          <w:b w:val="0"/>
          <w:sz w:val="22"/>
          <w:szCs w:val="22"/>
        </w:rPr>
        <w:t>)</w:t>
      </w:r>
      <w:r>
        <w:rPr>
          <w:rFonts w:ascii="Times New Roman" w:hAnsi="Times New Roman"/>
          <w:b w:val="0"/>
          <w:sz w:val="22"/>
          <w:szCs w:val="22"/>
        </w:rPr>
        <w:t xml:space="preserve">, </w:t>
      </w:r>
      <w:r w:rsidRPr="001B0AB9">
        <w:rPr>
          <w:rFonts w:ascii="Times New Roman" w:hAnsi="Times New Roman"/>
          <w:b w:val="0"/>
          <w:sz w:val="22"/>
          <w:szCs w:val="22"/>
        </w:rPr>
        <w:t xml:space="preserve">labai retas (gali pasireikšti </w:t>
      </w:r>
      <w:r w:rsidR="003068E9">
        <w:rPr>
          <w:rFonts w:ascii="Times New Roman" w:hAnsi="Times New Roman"/>
          <w:b w:val="0"/>
          <w:sz w:val="22"/>
          <w:szCs w:val="22"/>
        </w:rPr>
        <w:t>rečiau kaip</w:t>
      </w:r>
      <w:r w:rsidRPr="001B0AB9">
        <w:rPr>
          <w:rFonts w:ascii="Times New Roman" w:hAnsi="Times New Roman"/>
          <w:b w:val="0"/>
          <w:sz w:val="22"/>
          <w:szCs w:val="22"/>
        </w:rPr>
        <w:t xml:space="preserve"> 1 iš 10</w:t>
      </w:r>
      <w:r w:rsidR="003068E9">
        <w:rPr>
          <w:rFonts w:ascii="Times New Roman" w:hAnsi="Times New Roman"/>
          <w:b w:val="0"/>
          <w:sz w:val="22"/>
          <w:szCs w:val="22"/>
        </w:rPr>
        <w:t xml:space="preserve"> </w:t>
      </w:r>
      <w:r w:rsidRPr="001B0AB9">
        <w:rPr>
          <w:rFonts w:ascii="Times New Roman" w:hAnsi="Times New Roman"/>
          <w:b w:val="0"/>
          <w:sz w:val="22"/>
          <w:szCs w:val="22"/>
        </w:rPr>
        <w:t>000</w:t>
      </w:r>
      <w:r w:rsidR="003068E9">
        <w:rPr>
          <w:rFonts w:ascii="Times New Roman" w:hAnsi="Times New Roman"/>
          <w:b w:val="0"/>
          <w:sz w:val="22"/>
          <w:szCs w:val="22"/>
        </w:rPr>
        <w:t xml:space="preserve"> asmenų</w:t>
      </w:r>
      <w:r w:rsidRPr="001B0AB9">
        <w:rPr>
          <w:rFonts w:ascii="Times New Roman" w:hAnsi="Times New Roman"/>
          <w:b w:val="0"/>
          <w:sz w:val="22"/>
          <w:szCs w:val="22"/>
        </w:rPr>
        <w:t>)</w:t>
      </w:r>
      <w:r>
        <w:rPr>
          <w:rFonts w:ascii="Times New Roman" w:hAnsi="Times New Roman"/>
          <w:b w:val="0"/>
          <w:sz w:val="22"/>
          <w:szCs w:val="22"/>
        </w:rPr>
        <w:t xml:space="preserve"> ir </w:t>
      </w:r>
      <w:r w:rsidR="003068E9">
        <w:rPr>
          <w:rFonts w:ascii="Times New Roman" w:hAnsi="Times New Roman"/>
          <w:b w:val="0"/>
          <w:sz w:val="22"/>
          <w:szCs w:val="22"/>
        </w:rPr>
        <w:t xml:space="preserve">šalutinio poveikio reiškiniai, kurių dažnis </w:t>
      </w:r>
      <w:r w:rsidRPr="001B0AB9">
        <w:rPr>
          <w:rFonts w:ascii="Times New Roman" w:hAnsi="Times New Roman"/>
          <w:b w:val="0"/>
          <w:sz w:val="22"/>
          <w:szCs w:val="22"/>
        </w:rPr>
        <w:t xml:space="preserve">nežinomas (negali būti apskaičiuotas pagal turimus duomenis). </w:t>
      </w:r>
    </w:p>
    <w:p w:rsidR="00472498" w:rsidRPr="00EA7F30" w:rsidRDefault="00472498" w:rsidP="007F7D76">
      <w:pPr>
        <w:pStyle w:val="BTEMEASMCA"/>
      </w:pPr>
    </w:p>
    <w:p w:rsidR="00472498" w:rsidRPr="00802879" w:rsidRDefault="00472498" w:rsidP="007F7D76">
      <w:pPr>
        <w:pStyle w:val="BTEMEASMCA"/>
      </w:pPr>
      <w:r w:rsidRPr="00802879">
        <w:t>Toliau pagal apytikrį dažnį išvardytas pastebėtas šalutinis poveikis. Kiekvienoje dažnio grupėje šalutinis poveikis pateikiamas mažėjančio sunkumo tvarka.</w:t>
      </w:r>
    </w:p>
    <w:p w:rsidR="00472498" w:rsidRPr="00EA7F30" w:rsidRDefault="00472498" w:rsidP="00472498">
      <w:pPr>
        <w:pStyle w:val="Antrat1"/>
        <w:tabs>
          <w:tab w:val="left" w:pos="567"/>
        </w:tabs>
        <w:spacing w:before="0" w:after="0"/>
        <w:rPr>
          <w:rFonts w:ascii="Times New Roman" w:hAnsi="Times New Roman"/>
          <w:b w:val="0"/>
          <w:sz w:val="22"/>
          <w:szCs w:val="22"/>
        </w:rPr>
      </w:pPr>
    </w:p>
    <w:p w:rsidR="00472498" w:rsidRPr="00EA7F30" w:rsidRDefault="00472498" w:rsidP="00472498">
      <w:pPr>
        <w:pStyle w:val="Antrat1"/>
        <w:tabs>
          <w:tab w:val="left" w:pos="567"/>
        </w:tabs>
        <w:spacing w:before="0" w:after="0"/>
        <w:rPr>
          <w:rFonts w:ascii="Times New Roman" w:hAnsi="Times New Roman"/>
          <w:b w:val="0"/>
          <w:sz w:val="22"/>
          <w:szCs w:val="22"/>
          <w:u w:val="single"/>
        </w:rPr>
      </w:pPr>
    </w:p>
    <w:p w:rsidR="00472498" w:rsidRPr="006355D0" w:rsidRDefault="00472498" w:rsidP="000B0308">
      <w:pPr>
        <w:tabs>
          <w:tab w:val="left" w:pos="567"/>
        </w:tabs>
        <w:rPr>
          <w:sz w:val="22"/>
          <w:szCs w:val="22"/>
        </w:rPr>
      </w:pPr>
      <w:r w:rsidRPr="007D5E5C">
        <w:rPr>
          <w:i/>
          <w:sz w:val="22"/>
          <w:szCs w:val="22"/>
        </w:rPr>
        <w:t xml:space="preserve">Labai </w:t>
      </w:r>
      <w:r w:rsidR="003068E9" w:rsidRPr="006355D0">
        <w:rPr>
          <w:i/>
          <w:sz w:val="22"/>
          <w:szCs w:val="22"/>
        </w:rPr>
        <w:t>dažn</w:t>
      </w:r>
      <w:r w:rsidR="003068E9">
        <w:rPr>
          <w:i/>
          <w:sz w:val="22"/>
          <w:szCs w:val="22"/>
        </w:rPr>
        <w:t>i šalutinio poveikio reiškiniai</w:t>
      </w:r>
      <w:r w:rsidR="005908D6">
        <w:rPr>
          <w:i/>
          <w:sz w:val="22"/>
          <w:szCs w:val="22"/>
        </w:rPr>
        <w:t xml:space="preserve"> </w:t>
      </w:r>
      <w:r w:rsidR="005908D6" w:rsidRPr="005908D6">
        <w:rPr>
          <w:b/>
          <w:bCs/>
          <w:sz w:val="22"/>
          <w:szCs w:val="22"/>
        </w:rPr>
        <w:t xml:space="preserve"> </w:t>
      </w:r>
      <w:r w:rsidR="005908D6" w:rsidRPr="007F7D76">
        <w:rPr>
          <w:bCs/>
          <w:i/>
          <w:sz w:val="22"/>
          <w:szCs w:val="22"/>
        </w:rPr>
        <w:t>(gali pasireikšti ne rečiau kaip 1 iš 10 asmenų):</w:t>
      </w:r>
      <w:r w:rsidRPr="00980614">
        <w:rPr>
          <w:i/>
          <w:sz w:val="22"/>
          <w:szCs w:val="22"/>
        </w:rPr>
        <w:tab/>
      </w:r>
      <w:r w:rsidRPr="00980614">
        <w:rPr>
          <w:sz w:val="22"/>
          <w:szCs w:val="22"/>
        </w:rPr>
        <w:t>baltųjų kraujo ląstelių kiekio sumažėjimas kraujyje (leukopenija)</w:t>
      </w:r>
      <w:r w:rsidR="000B0308" w:rsidRPr="00980614">
        <w:rPr>
          <w:sz w:val="22"/>
          <w:szCs w:val="22"/>
        </w:rPr>
        <w:t xml:space="preserve">, </w:t>
      </w:r>
      <w:r w:rsidR="000B0308" w:rsidRPr="007D5E5C">
        <w:rPr>
          <w:sz w:val="22"/>
          <w:szCs w:val="22"/>
        </w:rPr>
        <w:t>galvos svaigimas, judesių koordinacijos sutrikimas (ataksija), mieguistumas, nuovargis</w:t>
      </w:r>
      <w:r w:rsidR="007D5E5C" w:rsidRPr="007D5E5C">
        <w:rPr>
          <w:sz w:val="22"/>
          <w:szCs w:val="22"/>
        </w:rPr>
        <w:t>, pykinimas, vėmimas, tam tikro kepenų funkcijos rodiklio (gama-GT) padidėjimas, alerginis odos uždegimas, dilgėlinis išbėrimas (gali būti sunkus)</w:t>
      </w:r>
      <w:r w:rsidRPr="007D5E5C">
        <w:rPr>
          <w:sz w:val="22"/>
          <w:szCs w:val="22"/>
        </w:rPr>
        <w:t>.</w:t>
      </w:r>
    </w:p>
    <w:p w:rsidR="000B0308" w:rsidRPr="00980614" w:rsidRDefault="000B0308" w:rsidP="000B0308">
      <w:pPr>
        <w:tabs>
          <w:tab w:val="left" w:pos="567"/>
        </w:tabs>
        <w:rPr>
          <w:sz w:val="22"/>
          <w:szCs w:val="22"/>
        </w:rPr>
      </w:pPr>
    </w:p>
    <w:p w:rsidR="00472498" w:rsidRPr="006355D0" w:rsidRDefault="005908D6" w:rsidP="000B0308">
      <w:pPr>
        <w:tabs>
          <w:tab w:val="left" w:pos="567"/>
        </w:tabs>
        <w:ind w:left="1440" w:hanging="1440"/>
        <w:rPr>
          <w:sz w:val="22"/>
          <w:szCs w:val="22"/>
        </w:rPr>
      </w:pPr>
      <w:r w:rsidRPr="007F7D76">
        <w:rPr>
          <w:bCs/>
          <w:i/>
          <w:sz w:val="22"/>
          <w:szCs w:val="22"/>
        </w:rPr>
        <w:t>Dažni šalutinio poveikio reiškiniai (gali pasireikšti rečiau kaip 1 iš 10 asmenų):</w:t>
      </w:r>
      <w:r w:rsidR="00472498" w:rsidRPr="00376A64">
        <w:rPr>
          <w:i/>
          <w:sz w:val="22"/>
          <w:szCs w:val="22"/>
        </w:rPr>
        <w:tab/>
      </w:r>
      <w:r w:rsidR="00472498" w:rsidRPr="00376A64">
        <w:rPr>
          <w:sz w:val="22"/>
          <w:szCs w:val="22"/>
        </w:rPr>
        <w:t>kraujo plokštelių (trombocitų) kiekio sumažėjimas kraujyje (trombocitopenija) ir padidėjęs eozinofilų kiekis kraujyje (eozinofilija)</w:t>
      </w:r>
      <w:r w:rsidR="000B0308" w:rsidRPr="006045BE">
        <w:rPr>
          <w:sz w:val="22"/>
          <w:szCs w:val="22"/>
        </w:rPr>
        <w:t xml:space="preserve">, </w:t>
      </w:r>
      <w:r w:rsidR="000B0308" w:rsidRPr="007D5E5C">
        <w:rPr>
          <w:sz w:val="22"/>
          <w:szCs w:val="22"/>
        </w:rPr>
        <w:t xml:space="preserve">patinimas, skysčių susilaikymas, kūno svorio padidėjimas, natrio kiekio sumažėjimas kraujyje, retais atvejais apsinuodijimas vandeniu (jo metu atsiranda liguistas miegas (letargija), vėmimas, galvos skausmas, dezorientacija, neurologinis sutrikimas, galvos skausmas, </w:t>
      </w:r>
      <w:r w:rsidR="007D5E5C" w:rsidRPr="007D5E5C">
        <w:rPr>
          <w:sz w:val="22"/>
          <w:szCs w:val="22"/>
        </w:rPr>
        <w:t>dvigubas matymas, akomodacijos sutrikimas (pvz., neryškus matymas), burnos sausmė, sumažėjęs apetitas, kepenų fermento šarminės fosfatazės kiekio padidėjimas</w:t>
      </w:r>
      <w:r w:rsidR="00472498" w:rsidRPr="007D5E5C">
        <w:rPr>
          <w:sz w:val="22"/>
          <w:szCs w:val="22"/>
        </w:rPr>
        <w:t>.</w:t>
      </w:r>
    </w:p>
    <w:p w:rsidR="000B0308" w:rsidRPr="00980614" w:rsidRDefault="000B0308" w:rsidP="00472498">
      <w:pPr>
        <w:tabs>
          <w:tab w:val="left" w:pos="567"/>
        </w:tabs>
        <w:ind w:left="1440" w:hanging="1440"/>
        <w:rPr>
          <w:i/>
          <w:sz w:val="22"/>
          <w:szCs w:val="22"/>
        </w:rPr>
      </w:pPr>
    </w:p>
    <w:p w:rsidR="000B0308" w:rsidRPr="007D5E5C" w:rsidRDefault="005908D6" w:rsidP="00472498">
      <w:pPr>
        <w:tabs>
          <w:tab w:val="left" w:pos="567"/>
        </w:tabs>
        <w:ind w:left="1440" w:hanging="1440"/>
        <w:rPr>
          <w:sz w:val="22"/>
          <w:szCs w:val="22"/>
        </w:rPr>
      </w:pPr>
      <w:r w:rsidRPr="00360D5F">
        <w:rPr>
          <w:i/>
          <w:sz w:val="22"/>
          <w:szCs w:val="22"/>
        </w:rPr>
        <w:t>Nedažn</w:t>
      </w:r>
      <w:r>
        <w:rPr>
          <w:i/>
          <w:sz w:val="22"/>
          <w:szCs w:val="22"/>
        </w:rPr>
        <w:t xml:space="preserve">i šalutinio poveikio reiškiniai </w:t>
      </w:r>
      <w:r w:rsidRPr="00442112">
        <w:rPr>
          <w:bCs/>
          <w:i/>
          <w:sz w:val="22"/>
          <w:szCs w:val="22"/>
        </w:rPr>
        <w:t>(gali pasireikšt</w:t>
      </w:r>
      <w:r>
        <w:rPr>
          <w:bCs/>
          <w:i/>
          <w:sz w:val="22"/>
          <w:szCs w:val="22"/>
        </w:rPr>
        <w:t>i rečiau kaip 1 iš 100 asmenų):</w:t>
      </w:r>
      <w:r w:rsidR="000B0308" w:rsidRPr="00376A64">
        <w:rPr>
          <w:i/>
          <w:sz w:val="22"/>
          <w:szCs w:val="22"/>
        </w:rPr>
        <w:tab/>
      </w:r>
      <w:r w:rsidR="000B0308" w:rsidRPr="007D5E5C">
        <w:rPr>
          <w:sz w:val="22"/>
          <w:szCs w:val="22"/>
        </w:rPr>
        <w:t>patologiški nevalingi judesiai, nevalingi akių judesiai (nistagmas)</w:t>
      </w:r>
      <w:r w:rsidR="007D5E5C" w:rsidRPr="007D5E5C">
        <w:rPr>
          <w:sz w:val="22"/>
          <w:szCs w:val="22"/>
        </w:rPr>
        <w:t>, viduriavimas arba vidurių užkietėjimas, kepenų fermentų transaminazių kiekio padidėjimas, tam tikri odos sutrikimai, vadinami eksfoliaciniu dermatitu ir eritroderma</w:t>
      </w:r>
      <w:r w:rsidR="00376A64">
        <w:rPr>
          <w:sz w:val="22"/>
          <w:szCs w:val="22"/>
        </w:rPr>
        <w:t>.</w:t>
      </w:r>
    </w:p>
    <w:p w:rsidR="000B0308" w:rsidRPr="007D5E5C" w:rsidRDefault="000B0308" w:rsidP="00472498">
      <w:pPr>
        <w:tabs>
          <w:tab w:val="left" w:pos="567"/>
        </w:tabs>
        <w:ind w:left="1440" w:hanging="1440"/>
        <w:rPr>
          <w:i/>
          <w:sz w:val="22"/>
          <w:szCs w:val="22"/>
        </w:rPr>
      </w:pPr>
    </w:p>
    <w:p w:rsidR="00472498" w:rsidRPr="006355D0" w:rsidRDefault="003068E9" w:rsidP="000B0308">
      <w:pPr>
        <w:tabs>
          <w:tab w:val="left" w:pos="567"/>
        </w:tabs>
        <w:ind w:left="1440" w:hanging="1440"/>
        <w:rPr>
          <w:sz w:val="22"/>
          <w:szCs w:val="22"/>
        </w:rPr>
      </w:pPr>
      <w:r w:rsidRPr="006355D0">
        <w:rPr>
          <w:i/>
          <w:sz w:val="22"/>
          <w:szCs w:val="22"/>
        </w:rPr>
        <w:t>Ret</w:t>
      </w:r>
      <w:r>
        <w:rPr>
          <w:i/>
          <w:sz w:val="22"/>
          <w:szCs w:val="22"/>
        </w:rPr>
        <w:t>i šalutinio poveikio reiškiniai</w:t>
      </w:r>
      <w:r w:rsidR="005908D6">
        <w:rPr>
          <w:i/>
          <w:sz w:val="22"/>
          <w:szCs w:val="22"/>
        </w:rPr>
        <w:t xml:space="preserve"> </w:t>
      </w:r>
      <w:r w:rsidR="005908D6" w:rsidRPr="007F7D76">
        <w:rPr>
          <w:bCs/>
          <w:i/>
          <w:sz w:val="22"/>
          <w:szCs w:val="22"/>
        </w:rPr>
        <w:t>(gali pasireikšti rečiau kaip 1 iš 1 000 asmenų):</w:t>
      </w:r>
      <w:r w:rsidR="00472498" w:rsidRPr="00980614">
        <w:rPr>
          <w:sz w:val="22"/>
          <w:szCs w:val="22"/>
        </w:rPr>
        <w:t>padidėjęs baltųjų kraujo ląstelių kiekis kraujyje (leukocitozė), limfmazgių padidėjimas (limfadenopatija) ir folio rūgšties trūkumas</w:t>
      </w:r>
      <w:r w:rsidR="000B0308" w:rsidRPr="00980614">
        <w:rPr>
          <w:sz w:val="22"/>
          <w:szCs w:val="22"/>
        </w:rPr>
        <w:t xml:space="preserve">, </w:t>
      </w:r>
      <w:r w:rsidR="000B0308" w:rsidRPr="007D5E5C">
        <w:rPr>
          <w:sz w:val="22"/>
          <w:szCs w:val="22"/>
        </w:rPr>
        <w:t xml:space="preserve">lėtojo tipo alerginė reakcija, apimanti daugelį organų ir galinti pasireikšti įvairiais simptomais: karščiavimu, išbėrimu, kraujagyslių uždegimu, padidėjusiais limfmazgiais, į piktybinę kraujo ligą panašiu </w:t>
      </w:r>
      <w:r w:rsidR="000B0308" w:rsidRPr="007D5E5C">
        <w:rPr>
          <w:sz w:val="22"/>
          <w:szCs w:val="22"/>
        </w:rPr>
        <w:lastRenderedPageBreak/>
        <w:t>sutrikimu, sąnarių skausmu, baltųjų kraujo ląstelių kiekio sumažėjimu kraujyje (leukopenija), padidėjusiu eozinofilų kiekiu kraujyje (eozinofilija), kepenų padidėjimu (hepatomegalija), blužnies padidėjimu (splenomegalija), kepenų veiklos tyrimų rodmenų pokyčiais. Gali atsirasti ir kitų organų (plaučių, inkstų, kasos, miokardo, storosios žarnos) pažeidimas, vaizdo ir garso haliucinacijos, depresija, mitybos sutrikimas (anoreksija), nerimas, agresyvus elgesys, sujaudinimas, minčių susipainiojimas, burnos ir veido judesių sutrikimai, mąstymo sutrikimai, kalbos sutrikimai, tam tikras sutrikimas, vadinamas choreoatetoniniu, uždegiminė nervų liga, judesių koordinacijos ar regėjimo sutrikimas (parestezė), kojų dalinio paralyžiaus simptomai</w:t>
      </w:r>
      <w:r w:rsidR="007D5E5C" w:rsidRPr="007D5E5C">
        <w:rPr>
          <w:sz w:val="22"/>
          <w:szCs w:val="22"/>
        </w:rPr>
        <w:t>, akių judesių sutrikimai, širdies laidumo sutrikimas, padidėjęs arba sumažėjęs kraujospūdis, pilvo skausmas, kepenų uždegimas, gelta, į raudonąją vilkligę panašus sindromas, niežulys, raumenų silpnumas</w:t>
      </w:r>
      <w:r w:rsidR="00472498" w:rsidRPr="007D5E5C">
        <w:rPr>
          <w:sz w:val="22"/>
          <w:szCs w:val="22"/>
        </w:rPr>
        <w:t>.</w:t>
      </w:r>
    </w:p>
    <w:p w:rsidR="000B0308" w:rsidRPr="00980614" w:rsidRDefault="000B0308" w:rsidP="000B0308">
      <w:pPr>
        <w:tabs>
          <w:tab w:val="left" w:pos="567"/>
        </w:tabs>
        <w:ind w:left="1440" w:hanging="1440"/>
        <w:rPr>
          <w:sz w:val="22"/>
          <w:szCs w:val="22"/>
        </w:rPr>
      </w:pPr>
    </w:p>
    <w:p w:rsidR="000B0308" w:rsidRPr="007F7D76" w:rsidRDefault="000B0308" w:rsidP="000B0308">
      <w:pPr>
        <w:tabs>
          <w:tab w:val="left" w:pos="567"/>
        </w:tabs>
        <w:ind w:left="1440" w:hanging="1440"/>
        <w:rPr>
          <w:i/>
          <w:sz w:val="22"/>
          <w:szCs w:val="22"/>
        </w:rPr>
      </w:pPr>
    </w:p>
    <w:p w:rsidR="00CD11BB" w:rsidRDefault="00472498" w:rsidP="007D5E5C">
      <w:pPr>
        <w:tabs>
          <w:tab w:val="left" w:pos="567"/>
        </w:tabs>
        <w:ind w:left="1440" w:hanging="1440"/>
        <w:rPr>
          <w:sz w:val="22"/>
          <w:szCs w:val="22"/>
        </w:rPr>
      </w:pPr>
      <w:r w:rsidRPr="00A62664">
        <w:rPr>
          <w:i/>
          <w:sz w:val="22"/>
          <w:szCs w:val="22"/>
        </w:rPr>
        <w:t xml:space="preserve">Labai </w:t>
      </w:r>
      <w:r w:rsidR="003068E9" w:rsidRPr="00A62664">
        <w:rPr>
          <w:i/>
          <w:sz w:val="22"/>
          <w:szCs w:val="22"/>
        </w:rPr>
        <w:t>ret</w:t>
      </w:r>
      <w:r w:rsidR="003068E9" w:rsidRPr="002B3DCE">
        <w:rPr>
          <w:i/>
          <w:sz w:val="22"/>
          <w:szCs w:val="22"/>
        </w:rPr>
        <w:t>i šalutinio poveikio reiškiniai</w:t>
      </w:r>
      <w:r w:rsidR="00A62664" w:rsidRPr="002B3DCE">
        <w:rPr>
          <w:i/>
          <w:sz w:val="22"/>
          <w:szCs w:val="22"/>
        </w:rPr>
        <w:t xml:space="preserve"> </w:t>
      </w:r>
      <w:r w:rsidR="00A62664" w:rsidRPr="007F7D76">
        <w:rPr>
          <w:bCs/>
          <w:i/>
          <w:sz w:val="22"/>
          <w:szCs w:val="22"/>
        </w:rPr>
        <w:t>(gali pasireikšti rečiau kaip 1 iš 10 000 asmenų)</w:t>
      </w:r>
      <w:r w:rsidRPr="006045BE">
        <w:rPr>
          <w:sz w:val="22"/>
          <w:szCs w:val="22"/>
        </w:rPr>
        <w:tab/>
        <w:t>tam tikri kraujo sutrikimai (agranulocitozė, aplazinė anemija, pancitopenija, eritrocitų aplazija, anemija, megaloblastinė anemija, ūminė protarpinė porfirija, įvairiaspalvė porfirija, lėtinė odos porfirija, retikulocitozė, gali atsirasti hemolizinė anemija)</w:t>
      </w:r>
      <w:r w:rsidR="000B0308" w:rsidRPr="006045BE">
        <w:rPr>
          <w:sz w:val="22"/>
          <w:szCs w:val="22"/>
        </w:rPr>
        <w:t xml:space="preserve">, </w:t>
      </w:r>
      <w:r w:rsidR="000B0308" w:rsidRPr="007D5E5C">
        <w:rPr>
          <w:sz w:val="22"/>
          <w:szCs w:val="22"/>
        </w:rPr>
        <w:t>a</w:t>
      </w:r>
      <w:r w:rsidR="000B0308" w:rsidRPr="007D5E5C">
        <w:rPr>
          <w:color w:val="222222"/>
          <w:sz w:val="22"/>
          <w:szCs w:val="22"/>
        </w:rPr>
        <w:t>psauginių smegenų dangalų uždegimas (</w:t>
      </w:r>
      <w:r w:rsidR="000B0308" w:rsidRPr="007D5E5C">
        <w:rPr>
          <w:sz w:val="22"/>
          <w:szCs w:val="22"/>
        </w:rPr>
        <w:t>aseptinis meningitas), kurio metu kartais galimas viso kūno ar</w:t>
      </w:r>
      <w:r w:rsidR="00CD11BB" w:rsidRPr="00CD11BB">
        <w:rPr>
          <w:sz w:val="22"/>
          <w:szCs w:val="22"/>
        </w:rPr>
        <w:t xml:space="preserve"> tam tikrų raumenų trūkčiojimas</w:t>
      </w:r>
      <w:r w:rsidR="00CD11BB">
        <w:rPr>
          <w:sz w:val="22"/>
          <w:szCs w:val="22"/>
        </w:rPr>
        <w:t>;</w:t>
      </w:r>
      <w:r w:rsidR="000B0308" w:rsidRPr="007D5E5C">
        <w:rPr>
          <w:sz w:val="22"/>
          <w:szCs w:val="22"/>
        </w:rPr>
        <w:t xml:space="preserve"> padidėjusio jautrumo reakcija, greitas giluminių odos sluoksnių patinimas (angioneurozinė edema), pieno išsiskyrimas (galaktorėja), krūtų padidėjimas vyrams (ginekomastija), pakinta skydliaukės funkcijos tyrimų rezultatai; sutrinka apykaita kauluose (kaulų metabolizmas), suaktyvėjusi psichozė</w:t>
      </w:r>
      <w:r w:rsidR="007D5E5C" w:rsidRPr="007D5E5C">
        <w:rPr>
          <w:sz w:val="22"/>
          <w:szCs w:val="22"/>
        </w:rPr>
        <w:t xml:space="preserve">, skonio pokyčiai, gyvybei pavojinga būklė, vadinama piktybiniu neurolepsiniu sindromu, regėjimo sutrikimai, akių junginės uždegimas, akispūdžio padidėjimas, </w:t>
      </w:r>
      <w:r w:rsidR="007D5E5C" w:rsidRPr="007D5E5C">
        <w:rPr>
          <w:kern w:val="32"/>
          <w:sz w:val="22"/>
          <w:szCs w:val="22"/>
          <w:lang w:eastAsia="lt-LT"/>
        </w:rPr>
        <w:t xml:space="preserve">klausos sutrikimai (spengia ausyse, padidėja arba sumažėja klausos aštrumas, pakinta garso tonų suvokimas), </w:t>
      </w:r>
      <w:r w:rsidR="007D5E5C" w:rsidRPr="007D5E5C">
        <w:rPr>
          <w:sz w:val="22"/>
          <w:szCs w:val="22"/>
        </w:rPr>
        <w:t>sulėtėjęs širdies ritmas (bradikardija), širdies ritmo sutrikimas, širdies laidumo sutrikimas, kraujagyslių funkcijos nepakankamumas, širdies nepakankamumas, pasunkėjusi išeminė širdies liga, giliųjų venų uždegimas, trombų susidarymas (pvz., plaučiuose), alerginė plaučių reakcija, pasireiškianti karščiavimu, dusuliu ar plaučių uždegimu. Jei pasireiškia ši reakcija, gydymas karbamazepinu turi būti nedelsiant nutrauktas</w:t>
      </w:r>
      <w:r w:rsidRPr="007D5E5C">
        <w:rPr>
          <w:sz w:val="22"/>
          <w:szCs w:val="22"/>
        </w:rPr>
        <w:t xml:space="preserve">. </w:t>
      </w:r>
    </w:p>
    <w:p w:rsidR="007D5E5C" w:rsidRPr="007D5E5C" w:rsidRDefault="00CD11BB" w:rsidP="008E0C32">
      <w:pPr>
        <w:tabs>
          <w:tab w:val="left" w:pos="567"/>
        </w:tabs>
        <w:ind w:left="1440" w:hanging="1440"/>
        <w:rPr>
          <w:sz w:val="22"/>
          <w:szCs w:val="22"/>
        </w:rPr>
      </w:pPr>
      <w:r>
        <w:rPr>
          <w:i/>
          <w:sz w:val="22"/>
          <w:szCs w:val="22"/>
        </w:rPr>
        <w:tab/>
      </w:r>
      <w:r>
        <w:rPr>
          <w:i/>
          <w:sz w:val="22"/>
          <w:szCs w:val="22"/>
        </w:rPr>
        <w:tab/>
      </w:r>
      <w:r w:rsidR="007D5E5C" w:rsidRPr="007D5E5C">
        <w:rPr>
          <w:sz w:val="22"/>
          <w:szCs w:val="22"/>
        </w:rPr>
        <w:t xml:space="preserve">Liežuvio uždegimas, dantenų uždegimas ir kasos uždegimas, tam tikras kepenų uždegimas, vadinamas granulomatoziniu hepatitu, kepenų nepakankamumas, sunkios odos nepageidaujamos reakcijos: </w:t>
      </w:r>
      <w:r w:rsidR="007D5E5C" w:rsidRPr="007D5E5C">
        <w:rPr>
          <w:i/>
          <w:sz w:val="22"/>
          <w:szCs w:val="22"/>
        </w:rPr>
        <w:t>Stevens-Johnson</w:t>
      </w:r>
      <w:r w:rsidR="007D5E5C" w:rsidRPr="007D5E5C">
        <w:rPr>
          <w:sz w:val="22"/>
          <w:szCs w:val="22"/>
        </w:rPr>
        <w:t xml:space="preserve"> (SJS) sindromas, toksinė epidermio nekrolizė (TEN); padidėjęs jautrumas šviesai, daugiaformė arba mazginė eritema, odos pigmentacijos sutrikimas, smulkių kraujagyslių uždegimas (purpura), spuogai, prakaitavimas, plaukų slinkimas, padidėjęs plaukuotumas moterims, sąnarių ir raumenų skausmas, mėšlungis. Buvo pranešimų apie sumažėjusį kaulų tankį, kaulų susilpnėjimą, kaulų tankio sumažėjimą ir lūžius pacientams, ilga laiką gydytiems karbamazepinu.</w:t>
      </w:r>
      <w:r w:rsidR="008E0C32">
        <w:rPr>
          <w:sz w:val="22"/>
          <w:szCs w:val="22"/>
        </w:rPr>
        <w:t xml:space="preserve"> I</w:t>
      </w:r>
      <w:r w:rsidR="007D5E5C" w:rsidRPr="007D5E5C">
        <w:rPr>
          <w:sz w:val="22"/>
          <w:szCs w:val="22"/>
        </w:rPr>
        <w:t>nkstų kanalėlių ir audinių tarp kanalėlių uždegimas (intersticinis nefritas), inkstų veiklos nepakankamumas, padažnėjęs šlapinimasis, susilaikęs šlapimas, sutrikusi lytinė funkcija, impotencija, nenormali spermos gamyba.</w:t>
      </w:r>
    </w:p>
    <w:p w:rsidR="00472498" w:rsidRPr="006355D0" w:rsidRDefault="00472498" w:rsidP="00472498">
      <w:pPr>
        <w:pStyle w:val="Antrat1"/>
        <w:tabs>
          <w:tab w:val="left" w:pos="567"/>
        </w:tabs>
        <w:spacing w:before="0" w:after="0"/>
        <w:rPr>
          <w:rFonts w:ascii="Times New Roman" w:hAnsi="Times New Roman"/>
          <w:sz w:val="22"/>
          <w:szCs w:val="22"/>
        </w:rPr>
      </w:pPr>
    </w:p>
    <w:p w:rsidR="00A62664" w:rsidRPr="007F7D76" w:rsidRDefault="00A62664" w:rsidP="00A62664">
      <w:pPr>
        <w:tabs>
          <w:tab w:val="left" w:pos="567"/>
        </w:tabs>
        <w:suppressAutoHyphens/>
        <w:autoSpaceDN w:val="0"/>
        <w:ind w:right="-29"/>
        <w:textAlignment w:val="baseline"/>
        <w:rPr>
          <w:rFonts w:eastAsia="Times New Roman"/>
          <w:bCs/>
          <w:i/>
          <w:sz w:val="22"/>
          <w:szCs w:val="22"/>
        </w:rPr>
      </w:pPr>
      <w:r w:rsidRPr="007F7D76">
        <w:rPr>
          <w:rFonts w:eastAsia="Times New Roman"/>
          <w:bCs/>
          <w:i/>
          <w:sz w:val="22"/>
          <w:szCs w:val="22"/>
        </w:rPr>
        <w:t xml:space="preserve">Šalutinio poveikio reiškiniai, kurių dažnis nežinomas (negali būti apskaičiuotas pagal turimus duomenis): </w:t>
      </w:r>
      <w:r w:rsidR="002B3DCE">
        <w:rPr>
          <w:rFonts w:eastAsia="Times New Roman"/>
          <w:sz w:val="22"/>
          <w:szCs w:val="22"/>
        </w:rPr>
        <w:t>k</w:t>
      </w:r>
      <w:r w:rsidR="002B3DCE" w:rsidRPr="00980614">
        <w:rPr>
          <w:rFonts w:eastAsia="Times New Roman"/>
          <w:sz w:val="22"/>
          <w:szCs w:val="22"/>
        </w:rPr>
        <w:t xml:space="preserve">ritimas (susijęs su gydymo </w:t>
      </w:r>
      <w:r w:rsidR="002B3DCE" w:rsidRPr="00376A64">
        <w:rPr>
          <w:rFonts w:eastAsia="Times New Roman"/>
          <w:sz w:val="22"/>
          <w:szCs w:val="22"/>
        </w:rPr>
        <w:t>karbamazepinu sukelta ataksija, galvos svaigimu, mieguistumu, hipotenzija, sumišimu, sedacija)</w:t>
      </w:r>
      <w:r w:rsidR="002B3DCE">
        <w:rPr>
          <w:rFonts w:eastAsia="Times New Roman"/>
          <w:sz w:val="22"/>
          <w:szCs w:val="22"/>
        </w:rPr>
        <w:t>.</w:t>
      </w:r>
    </w:p>
    <w:p w:rsidR="00F663B3" w:rsidRDefault="00F663B3" w:rsidP="007D5E5C">
      <w:pPr>
        <w:rPr>
          <w:rFonts w:eastAsia="Times New Roman"/>
          <w:sz w:val="22"/>
          <w:szCs w:val="22"/>
        </w:rPr>
      </w:pPr>
    </w:p>
    <w:p w:rsidR="000B0308" w:rsidRPr="00376A64" w:rsidRDefault="00F663B3" w:rsidP="007D5E5C">
      <w:pPr>
        <w:rPr>
          <w:i/>
          <w:iCs/>
          <w:sz w:val="22"/>
          <w:szCs w:val="22"/>
          <w:lang w:eastAsia="lt-LT"/>
        </w:rPr>
      </w:pPr>
      <w:r>
        <w:t>Didelė amoniako koncentracija kraujyje (hiperamonemija). Hiperamonemijos simptomai gali būti dirglumas, sumišimas, vėmimas, sumažėjęs apetitas ir mieguistumas.</w:t>
      </w:r>
    </w:p>
    <w:p w:rsidR="00EC275C" w:rsidRPr="001B0AB9" w:rsidRDefault="00EC275C" w:rsidP="00472498">
      <w:pPr>
        <w:pStyle w:val="Pagrindinistekstas"/>
        <w:spacing w:after="0"/>
        <w:outlineLvl w:val="0"/>
        <w:rPr>
          <w:sz w:val="22"/>
          <w:szCs w:val="22"/>
        </w:rPr>
      </w:pPr>
    </w:p>
    <w:p w:rsidR="00472498" w:rsidRPr="00EA7F30" w:rsidRDefault="00472498" w:rsidP="00472498">
      <w:pPr>
        <w:rPr>
          <w:b/>
          <w:sz w:val="22"/>
          <w:szCs w:val="22"/>
        </w:rPr>
      </w:pPr>
      <w:r w:rsidRPr="00EA7F30">
        <w:rPr>
          <w:b/>
          <w:noProof/>
          <w:sz w:val="22"/>
          <w:szCs w:val="22"/>
        </w:rPr>
        <w:t>Pranešimas apie šalutinį poveikį</w:t>
      </w:r>
    </w:p>
    <w:p w:rsidR="00472498" w:rsidRPr="00C05777" w:rsidRDefault="00472498" w:rsidP="00472498">
      <w:pPr>
        <w:ind w:right="-449"/>
      </w:pPr>
      <w:r w:rsidRPr="00EA7F30">
        <w:rPr>
          <w:noProof/>
          <w:sz w:val="22"/>
          <w:szCs w:val="22"/>
        </w:rPr>
        <w:t>Jeigu pasireiškė šalutin</w:t>
      </w:r>
      <w:r>
        <w:rPr>
          <w:noProof/>
          <w:sz w:val="22"/>
          <w:szCs w:val="22"/>
        </w:rPr>
        <w:t xml:space="preserve">is poveikis, įskaitant šiame lapelyje nenurodytą, pasakykite gydytojui, vaistininkui arba </w:t>
      </w:r>
      <w:r>
        <w:rPr>
          <w:sz w:val="22"/>
          <w:szCs w:val="22"/>
        </w:rPr>
        <w:t>slaugytojui.</w:t>
      </w:r>
      <w:r>
        <w:rPr>
          <w:noProof/>
          <w:sz w:val="22"/>
          <w:szCs w:val="22"/>
        </w:rPr>
        <w:t xml:space="preserve"> </w:t>
      </w:r>
      <w:r w:rsidR="003068E9">
        <w:rPr>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3068E9">
        <w:rPr>
          <w:color w:val="0000FF"/>
          <w:sz w:val="22"/>
          <w:u w:val="single"/>
        </w:rPr>
        <w:t>https://vapris.vvkt.lt/vvkt-web/public/nrv</w:t>
      </w:r>
      <w:r w:rsidR="003068E9">
        <w:rPr>
          <w:sz w:val="22"/>
        </w:rPr>
        <w:t xml:space="preserve"> arba užpildant Paciento pranešimo apie įtariamą nepageidaujamą reakciją (ĮNR) formą, kuri skelbiama </w:t>
      </w:r>
      <w:r w:rsidR="003068E9">
        <w:rPr>
          <w:color w:val="0000FF"/>
          <w:sz w:val="22"/>
          <w:u w:val="single"/>
        </w:rPr>
        <w:lastRenderedPageBreak/>
        <w:t>https://www.vvkt.lt/index.php?4004286486</w:t>
      </w:r>
      <w:r w:rsidR="003068E9">
        <w:rPr>
          <w:sz w:val="22"/>
        </w:rPr>
        <w:t xml:space="preserve">, ir atsiunčiant elektroniniu paštu (adresu </w:t>
      </w:r>
      <w:r w:rsidR="003068E9">
        <w:rPr>
          <w:color w:val="0000FF"/>
          <w:sz w:val="22"/>
          <w:u w:val="single"/>
        </w:rPr>
        <w:t>NepageidaujamaR@vvkt.lt</w:t>
      </w:r>
      <w:r w:rsidR="003068E9">
        <w:rPr>
          <w:sz w:val="22"/>
        </w:rPr>
        <w:t>) arba nemokamu telefonu 8 800 73 568. Pranešdami apie šalutinį poveikį galite mums padėti gauti daugiau informacijos apie šio vaisto saugumą</w:t>
      </w:r>
      <w:r w:rsidRPr="00F834AC">
        <w:rPr>
          <w:noProof/>
          <w:sz w:val="22"/>
          <w:szCs w:val="22"/>
        </w:rPr>
        <w:t>.</w:t>
      </w:r>
    </w:p>
    <w:p w:rsidR="00472498" w:rsidRDefault="00472498" w:rsidP="007F7D76">
      <w:pPr>
        <w:pStyle w:val="BTEMEASMCA"/>
      </w:pPr>
    </w:p>
    <w:p w:rsidR="00472498" w:rsidRPr="00EA7F30" w:rsidRDefault="00472498" w:rsidP="007F7D76">
      <w:pPr>
        <w:pStyle w:val="BTEMEASMCA"/>
      </w:pPr>
    </w:p>
    <w:p w:rsidR="00472498" w:rsidRPr="00EA7F30" w:rsidRDefault="00472498" w:rsidP="00472498">
      <w:pPr>
        <w:pStyle w:val="PI-1EMEASMCA"/>
      </w:pPr>
      <w:bookmarkStart w:id="79" w:name="_Toc129243143"/>
      <w:bookmarkStart w:id="80" w:name="_Toc129243268"/>
      <w:r w:rsidRPr="001B0AB9">
        <w:t>5.</w:t>
      </w:r>
      <w:r w:rsidRPr="0040296C">
        <w:tab/>
      </w:r>
      <w:r w:rsidRPr="001B0AB9">
        <w:t xml:space="preserve">Kaip laikyti </w:t>
      </w:r>
      <w:bookmarkEnd w:id="79"/>
      <w:bookmarkEnd w:id="80"/>
      <w:r w:rsidRPr="001B0AB9">
        <w:t>Finlepsin</w:t>
      </w:r>
    </w:p>
    <w:p w:rsidR="00472498" w:rsidRPr="00EA7F30" w:rsidRDefault="00472498" w:rsidP="007F7D76">
      <w:pPr>
        <w:pStyle w:val="BTEMEASMCA"/>
      </w:pPr>
    </w:p>
    <w:p w:rsidR="00472498" w:rsidRPr="00EA7F30" w:rsidRDefault="00472498" w:rsidP="00472498">
      <w:pPr>
        <w:numPr>
          <w:ilvl w:val="12"/>
          <w:numId w:val="0"/>
        </w:numPr>
        <w:ind w:right="-2"/>
        <w:rPr>
          <w:sz w:val="22"/>
          <w:szCs w:val="22"/>
        </w:rPr>
      </w:pPr>
      <w:r w:rsidRPr="001B0AB9">
        <w:rPr>
          <w:sz w:val="22"/>
          <w:szCs w:val="22"/>
        </w:rPr>
        <w:t>Šį vaistą laikykite vaikams nepastebimoje ir nepasiekiamoje vietoje.</w:t>
      </w:r>
    </w:p>
    <w:p w:rsidR="00472498" w:rsidRPr="00EA7F30" w:rsidRDefault="00472498" w:rsidP="007F7D76">
      <w:pPr>
        <w:pStyle w:val="BTEMEASMCA"/>
      </w:pPr>
    </w:p>
    <w:p w:rsidR="00472498" w:rsidRPr="00376A64" w:rsidRDefault="00472498" w:rsidP="007F7D76">
      <w:pPr>
        <w:pStyle w:val="BTEMEASMCA"/>
      </w:pPr>
      <w:r w:rsidRPr="00376A64">
        <w:t>Šiam vaistiniam preparatui specialių laikymo sąlygų nereikia</w:t>
      </w:r>
    </w:p>
    <w:p w:rsidR="00472498" w:rsidRPr="00376A64" w:rsidRDefault="00472498" w:rsidP="007F7D76">
      <w:pPr>
        <w:pStyle w:val="BTEMEASMCA"/>
      </w:pPr>
    </w:p>
    <w:p w:rsidR="00472498" w:rsidRPr="00376A64" w:rsidRDefault="00472498" w:rsidP="007F7D76">
      <w:pPr>
        <w:pStyle w:val="BTEMEASMCA"/>
      </w:pPr>
      <w:r w:rsidRPr="00376A64">
        <w:t>Ant dėžutės po „EXP</w:t>
      </w:r>
      <w:r w:rsidRPr="00D50F1C">
        <w:rPr>
          <w:highlight w:val="lightGray"/>
        </w:rPr>
        <w:t>/Tinka iki“</w:t>
      </w:r>
      <w:r w:rsidRPr="00376A64">
        <w:t xml:space="preserve"> ir ant lizdinės plokštelės nurodytam tinkamumo laikui pasibaigus, šio vaisto vartoti negalima. Vaistas tinkamas vartoti iki paskutinės nurodyto mėnesio dienos.</w:t>
      </w:r>
    </w:p>
    <w:p w:rsidR="00472498" w:rsidRPr="00376A64" w:rsidRDefault="00472498" w:rsidP="007F7D76">
      <w:pPr>
        <w:pStyle w:val="BTEMEASMCA"/>
      </w:pPr>
    </w:p>
    <w:p w:rsidR="00472498" w:rsidRPr="00376A64" w:rsidRDefault="00472498" w:rsidP="007F7D76">
      <w:pPr>
        <w:pStyle w:val="BTEMEASMCA"/>
      </w:pPr>
      <w:bookmarkStart w:id="81" w:name="OLE_LINK10"/>
      <w:bookmarkStart w:id="82" w:name="OLE_LINK11"/>
      <w:r w:rsidRPr="00376A64">
        <w:t>Vaistų negalima išmesti į kanalizaciją arba su buitinėmis atliekomis. Kaip išmesti nereikalingus vaistus, klauskite vaistininko. Šios priemonės padės apsaugoti aplinką.</w:t>
      </w:r>
    </w:p>
    <w:bookmarkEnd w:id="81"/>
    <w:bookmarkEnd w:id="82"/>
    <w:p w:rsidR="00472498" w:rsidRPr="00376A64" w:rsidRDefault="00472498" w:rsidP="007F7D76">
      <w:pPr>
        <w:pStyle w:val="BTEMEASMCA"/>
      </w:pPr>
    </w:p>
    <w:p w:rsidR="00472498" w:rsidRPr="00EA7F30" w:rsidRDefault="00472498" w:rsidP="007F7D76">
      <w:pPr>
        <w:pStyle w:val="BTEMEASMCA"/>
      </w:pPr>
    </w:p>
    <w:p w:rsidR="00472498" w:rsidRPr="00EA7F30" w:rsidRDefault="00472498" w:rsidP="00472498">
      <w:pPr>
        <w:pStyle w:val="PI-1EMEASMCA"/>
      </w:pPr>
      <w:bookmarkStart w:id="83" w:name="_Toc129243144"/>
      <w:bookmarkStart w:id="84" w:name="_Toc129243269"/>
      <w:r w:rsidRPr="001B0AB9">
        <w:t>6.</w:t>
      </w:r>
      <w:r w:rsidRPr="0040296C">
        <w:tab/>
      </w:r>
      <w:r w:rsidRPr="001B0AB9">
        <w:t>Pakuotės turinys ir kita informacija</w:t>
      </w:r>
      <w:bookmarkEnd w:id="83"/>
      <w:bookmarkEnd w:id="84"/>
    </w:p>
    <w:p w:rsidR="00472498" w:rsidRPr="00EA7F30" w:rsidRDefault="00472498" w:rsidP="007F7D76">
      <w:pPr>
        <w:pStyle w:val="BTEMEASMCA"/>
      </w:pPr>
    </w:p>
    <w:p w:rsidR="00472498" w:rsidRPr="00EA7F30" w:rsidRDefault="00472498" w:rsidP="00472498">
      <w:pPr>
        <w:pStyle w:val="PI-3EMEASMCA"/>
      </w:pPr>
      <w:r w:rsidRPr="001B0AB9">
        <w:t>Finlepsin sudėtis</w:t>
      </w:r>
    </w:p>
    <w:p w:rsidR="00472498" w:rsidRPr="00376A64" w:rsidRDefault="00472498" w:rsidP="007F7D76">
      <w:pPr>
        <w:pStyle w:val="BT-EMEASMCA"/>
      </w:pPr>
      <w:r w:rsidRPr="00376A64">
        <w:t>Veiklioji medžiaga yra karbamazepinas. Vienoje tabletėje yra 200 mg karbamazepino.</w:t>
      </w:r>
    </w:p>
    <w:p w:rsidR="00472498" w:rsidRPr="00376A64" w:rsidRDefault="00472498" w:rsidP="007F7D76">
      <w:pPr>
        <w:pStyle w:val="BT-EMEASMCA"/>
      </w:pPr>
      <w:r w:rsidRPr="00376A64">
        <w:t>Pagalbinės medžiagos yra želatina, magnio stearatas (E572), kroskarmeliozės natrio druska, mikrokristalinė celiuliozė (E460).</w:t>
      </w:r>
    </w:p>
    <w:p w:rsidR="00472498" w:rsidRPr="00EA7F30" w:rsidRDefault="00472498" w:rsidP="007F7D76">
      <w:pPr>
        <w:pStyle w:val="BTEMEASMCA"/>
      </w:pPr>
    </w:p>
    <w:p w:rsidR="00472498" w:rsidRPr="00EA7F30" w:rsidRDefault="00472498" w:rsidP="00472498">
      <w:pPr>
        <w:pStyle w:val="PI-3EMEASMCA"/>
      </w:pPr>
      <w:r w:rsidRPr="001B0AB9">
        <w:t>Finlepsin išvaizda ir kiekis pakuotėje</w:t>
      </w:r>
    </w:p>
    <w:p w:rsidR="00472498" w:rsidRPr="001B0AB9" w:rsidRDefault="00472498" w:rsidP="00472498">
      <w:pPr>
        <w:autoSpaceDE w:val="0"/>
        <w:autoSpaceDN w:val="0"/>
        <w:adjustRightInd w:val="0"/>
        <w:rPr>
          <w:sz w:val="22"/>
          <w:szCs w:val="22"/>
        </w:rPr>
      </w:pPr>
      <w:r w:rsidRPr="001B0AB9">
        <w:rPr>
          <w:sz w:val="22"/>
          <w:szCs w:val="22"/>
          <w:lang w:eastAsia="lt-LT"/>
        </w:rPr>
        <w:t xml:space="preserve">Balta, apvali abipus išgaubta tabletė nuožulniais kraštais ir gilia įranta vienoje pusėje. </w:t>
      </w:r>
    </w:p>
    <w:p w:rsidR="00472498" w:rsidRPr="00376A64" w:rsidRDefault="00472498" w:rsidP="007F7D76">
      <w:pPr>
        <w:pStyle w:val="BTEMEASMCA"/>
      </w:pPr>
      <w:r w:rsidRPr="00376A64">
        <w:t>Tabletę galima padalyti į lygias dozes.</w:t>
      </w:r>
    </w:p>
    <w:p w:rsidR="00472498" w:rsidRPr="00EA7F30" w:rsidRDefault="00472498" w:rsidP="007F7D76">
      <w:pPr>
        <w:pStyle w:val="BTEMEASMCA"/>
      </w:pPr>
    </w:p>
    <w:p w:rsidR="00472498" w:rsidRPr="00EA7F30" w:rsidRDefault="00472498" w:rsidP="00472498">
      <w:pPr>
        <w:pStyle w:val="Style"/>
        <w:rPr>
          <w:rFonts w:ascii="Times New Roman" w:hAnsi="Times New Roman" w:cs="Times New Roman"/>
          <w:sz w:val="22"/>
          <w:szCs w:val="22"/>
        </w:rPr>
      </w:pPr>
      <w:r w:rsidRPr="001B0AB9">
        <w:rPr>
          <w:rFonts w:ascii="Times New Roman" w:hAnsi="Times New Roman" w:cs="Times New Roman"/>
          <w:sz w:val="22"/>
          <w:szCs w:val="22"/>
        </w:rPr>
        <w:t>PVC/PVDC ir aliuminio bei pergamino folijos lizdinė plokštelė</w:t>
      </w:r>
      <w:r w:rsidR="00660B6F">
        <w:rPr>
          <w:rFonts w:ascii="Times New Roman" w:hAnsi="Times New Roman" w:cs="Times New Roman"/>
          <w:sz w:val="22"/>
          <w:szCs w:val="22"/>
        </w:rPr>
        <w:t xml:space="preserve"> </w:t>
      </w:r>
      <w:r w:rsidR="00660B6F" w:rsidRPr="00660B6F">
        <w:rPr>
          <w:rFonts w:ascii="Times New Roman" w:hAnsi="Times New Roman" w:cs="Times New Roman"/>
          <w:sz w:val="22"/>
          <w:szCs w:val="22"/>
        </w:rPr>
        <w:t xml:space="preserve">arba PVC/PVDC ir aliuminio (20 </w:t>
      </w:r>
      <w:r w:rsidR="00660B6F" w:rsidRPr="00660B6F">
        <w:rPr>
          <w:rFonts w:ascii="Times New Roman" w:hAnsi="Times New Roman" w:cs="Times New Roman"/>
          <w:sz w:val="22"/>
          <w:szCs w:val="22"/>
          <w:lang w:val="en-US"/>
        </w:rPr>
        <w:t>μm svorio) folijos lizdinė plokštelė</w:t>
      </w:r>
      <w:r w:rsidRPr="001B0AB9">
        <w:rPr>
          <w:rFonts w:ascii="Times New Roman" w:hAnsi="Times New Roman" w:cs="Times New Roman"/>
          <w:sz w:val="22"/>
          <w:szCs w:val="22"/>
        </w:rPr>
        <w:t>, kurioje yra 10 tablečių.</w:t>
      </w:r>
    </w:p>
    <w:p w:rsidR="00472498" w:rsidRPr="00EA7F30" w:rsidRDefault="00472498" w:rsidP="00472498">
      <w:pPr>
        <w:pStyle w:val="Style"/>
        <w:rPr>
          <w:rFonts w:ascii="Times New Roman" w:hAnsi="Times New Roman" w:cs="Times New Roman"/>
          <w:sz w:val="22"/>
          <w:szCs w:val="22"/>
        </w:rPr>
      </w:pPr>
      <w:r w:rsidRPr="001B0AB9">
        <w:rPr>
          <w:rFonts w:ascii="Times New Roman" w:hAnsi="Times New Roman" w:cs="Times New Roman"/>
          <w:sz w:val="22"/>
          <w:szCs w:val="22"/>
        </w:rPr>
        <w:t>Pakuotėje yra 50 tablečių.</w:t>
      </w:r>
    </w:p>
    <w:p w:rsidR="00472498" w:rsidRPr="00EA7F30" w:rsidRDefault="00472498" w:rsidP="007F7D76">
      <w:pPr>
        <w:pStyle w:val="BTEMEASMCA"/>
      </w:pPr>
    </w:p>
    <w:p w:rsidR="00472498" w:rsidRPr="00EA7F30" w:rsidRDefault="00472498" w:rsidP="00472498">
      <w:pPr>
        <w:pStyle w:val="PI-3EMEASMCA"/>
      </w:pPr>
      <w:bookmarkStart w:id="85" w:name="OLE_LINK6"/>
      <w:bookmarkStart w:id="86" w:name="OLE_LINK7"/>
      <w:r w:rsidRPr="00FF4F56">
        <w:t>Registruotojas</w:t>
      </w:r>
      <w:r w:rsidRPr="001B0AB9">
        <w:t xml:space="preserve"> </w:t>
      </w:r>
    </w:p>
    <w:bookmarkEnd w:id="85"/>
    <w:bookmarkEnd w:id="86"/>
    <w:p w:rsidR="00472498" w:rsidRPr="00376A64" w:rsidRDefault="00472498" w:rsidP="007F7D76">
      <w:pPr>
        <w:pStyle w:val="BTEMEASMCA"/>
      </w:pPr>
      <w:r w:rsidRPr="00376A64">
        <w:t xml:space="preserve">Teva Pharma B.V. </w:t>
      </w:r>
    </w:p>
    <w:p w:rsidR="00472498" w:rsidRPr="00376A64" w:rsidRDefault="00472498" w:rsidP="007F7D76">
      <w:pPr>
        <w:pStyle w:val="BTEMEASMCA"/>
      </w:pPr>
      <w:r w:rsidRPr="00376A64">
        <w:t>Swensweg 5</w:t>
      </w:r>
    </w:p>
    <w:p w:rsidR="00472498" w:rsidRPr="00376A64" w:rsidRDefault="00472498" w:rsidP="007F7D76">
      <w:pPr>
        <w:pStyle w:val="BTEMEASMCA"/>
      </w:pPr>
      <w:r w:rsidRPr="00376A64">
        <w:t>2031 GA Haarlem</w:t>
      </w:r>
    </w:p>
    <w:p w:rsidR="00472498" w:rsidRPr="00376A64" w:rsidRDefault="00472498" w:rsidP="007F7D76">
      <w:pPr>
        <w:pStyle w:val="BTEMEASMCA"/>
      </w:pPr>
      <w:r w:rsidRPr="00376A64">
        <w:t>Nyderlandai</w:t>
      </w:r>
      <w:r w:rsidR="001367F7">
        <w:tab/>
      </w:r>
    </w:p>
    <w:p w:rsidR="00472498" w:rsidRPr="00EA7F30" w:rsidRDefault="00472498" w:rsidP="007F7D76">
      <w:pPr>
        <w:pStyle w:val="BTEMEASMCA"/>
      </w:pPr>
    </w:p>
    <w:p w:rsidR="00472498" w:rsidRPr="00EA7F30" w:rsidRDefault="00472498" w:rsidP="00472498">
      <w:pPr>
        <w:rPr>
          <w:b/>
          <w:sz w:val="22"/>
          <w:szCs w:val="22"/>
        </w:rPr>
      </w:pPr>
      <w:r w:rsidRPr="001B0AB9">
        <w:rPr>
          <w:b/>
          <w:sz w:val="22"/>
          <w:szCs w:val="22"/>
        </w:rPr>
        <w:t>Gamintojas</w:t>
      </w:r>
    </w:p>
    <w:p w:rsidR="00472498" w:rsidRPr="00EA7F30" w:rsidRDefault="00472498" w:rsidP="00472498">
      <w:pPr>
        <w:rPr>
          <w:sz w:val="22"/>
          <w:szCs w:val="22"/>
        </w:rPr>
      </w:pPr>
      <w:r w:rsidRPr="001B0AB9">
        <w:rPr>
          <w:sz w:val="22"/>
          <w:szCs w:val="22"/>
        </w:rPr>
        <w:t xml:space="preserve">Teva Operations Poland Sp. z o.o. </w:t>
      </w:r>
    </w:p>
    <w:p w:rsidR="00472498" w:rsidRPr="00EA7F30" w:rsidRDefault="00472498" w:rsidP="00472498">
      <w:pPr>
        <w:rPr>
          <w:sz w:val="22"/>
          <w:szCs w:val="22"/>
        </w:rPr>
      </w:pPr>
      <w:r w:rsidRPr="001B0AB9">
        <w:rPr>
          <w:sz w:val="22"/>
          <w:szCs w:val="22"/>
        </w:rPr>
        <w:t xml:space="preserve">ul. Mogilska 80 </w:t>
      </w:r>
    </w:p>
    <w:p w:rsidR="00472498" w:rsidRPr="00EA7F30" w:rsidRDefault="00472498" w:rsidP="00472498">
      <w:pPr>
        <w:rPr>
          <w:sz w:val="22"/>
          <w:szCs w:val="22"/>
        </w:rPr>
      </w:pPr>
      <w:r w:rsidRPr="001B0AB9">
        <w:rPr>
          <w:sz w:val="22"/>
          <w:szCs w:val="22"/>
        </w:rPr>
        <w:t xml:space="preserve">31-546 Kraków </w:t>
      </w:r>
    </w:p>
    <w:p w:rsidR="00472498" w:rsidRPr="00EA7F30" w:rsidRDefault="00472498" w:rsidP="00472498">
      <w:pPr>
        <w:rPr>
          <w:sz w:val="22"/>
          <w:szCs w:val="22"/>
        </w:rPr>
      </w:pPr>
      <w:r w:rsidRPr="001B0AB9">
        <w:rPr>
          <w:sz w:val="22"/>
          <w:szCs w:val="22"/>
        </w:rPr>
        <w:t>Lenkija</w:t>
      </w:r>
    </w:p>
    <w:p w:rsidR="00472498" w:rsidRPr="00EA7F30" w:rsidRDefault="00472498" w:rsidP="007F7D76">
      <w:pPr>
        <w:pStyle w:val="BTEMEASMCA"/>
      </w:pPr>
    </w:p>
    <w:p w:rsidR="00472498" w:rsidRPr="00EA7F30" w:rsidRDefault="00472498" w:rsidP="007F7D76">
      <w:pPr>
        <w:pStyle w:val="BTEMEASMCA"/>
      </w:pPr>
      <w:r w:rsidRPr="001B0AB9">
        <w:t xml:space="preserve">Jeigu apie šį vaistą norite sužinoti daugiau, kreipkitės į vietinį </w:t>
      </w:r>
      <w:r w:rsidRPr="00AB5052">
        <w:t>registruotojo</w:t>
      </w:r>
      <w:r w:rsidRPr="001B0AB9">
        <w:t xml:space="preserve"> atstovą.</w:t>
      </w:r>
    </w:p>
    <w:p w:rsidR="00472498" w:rsidRPr="001B0AB9" w:rsidRDefault="00472498" w:rsidP="00472498">
      <w:pPr>
        <w:rPr>
          <w:sz w:val="22"/>
          <w:szCs w:val="22"/>
        </w:rPr>
      </w:pPr>
    </w:p>
    <w:tbl>
      <w:tblPr>
        <w:tblW w:w="4678" w:type="dxa"/>
        <w:tblInd w:w="-34" w:type="dxa"/>
        <w:tblLayout w:type="fixed"/>
        <w:tblLook w:val="0000" w:firstRow="0" w:lastRow="0" w:firstColumn="0" w:lastColumn="0" w:noHBand="0" w:noVBand="0"/>
      </w:tblPr>
      <w:tblGrid>
        <w:gridCol w:w="4678"/>
      </w:tblGrid>
      <w:tr w:rsidR="00472498" w:rsidRPr="00656518" w:rsidTr="00BA77F0">
        <w:tc>
          <w:tcPr>
            <w:tcW w:w="4678" w:type="dxa"/>
          </w:tcPr>
          <w:p w:rsidR="00472498" w:rsidRPr="00376A64" w:rsidRDefault="00472498" w:rsidP="007F7D76">
            <w:pPr>
              <w:pStyle w:val="BTEMEASMCA"/>
            </w:pPr>
            <w:r w:rsidRPr="00376A64">
              <w:t xml:space="preserve">UAB </w:t>
            </w:r>
            <w:r w:rsidR="006355D0" w:rsidRPr="00376A64">
              <w:t>Teva Baltics</w:t>
            </w:r>
          </w:p>
          <w:p w:rsidR="00472498" w:rsidRPr="00376A64" w:rsidRDefault="00472498" w:rsidP="007F7D76">
            <w:pPr>
              <w:pStyle w:val="BTEMEASMCA"/>
            </w:pPr>
            <w:r w:rsidRPr="00376A64">
              <w:t>Molėtų pl. 5,</w:t>
            </w:r>
          </w:p>
          <w:p w:rsidR="00472498" w:rsidRPr="00376A64" w:rsidRDefault="00472498" w:rsidP="007F7D76">
            <w:pPr>
              <w:pStyle w:val="BTEMEASMCA"/>
            </w:pPr>
            <w:r w:rsidRPr="00376A64">
              <w:t>LT-08409 Vilnius</w:t>
            </w:r>
          </w:p>
          <w:p w:rsidR="00472498" w:rsidRPr="00376A64" w:rsidRDefault="00472498" w:rsidP="007F7D76">
            <w:pPr>
              <w:pStyle w:val="BTEMEASMCA"/>
            </w:pPr>
            <w:r w:rsidRPr="00376A64">
              <w:t>Tel. +370 5 266 02 03</w:t>
            </w:r>
          </w:p>
          <w:p w:rsidR="00472498" w:rsidRPr="00376A64" w:rsidRDefault="00472498" w:rsidP="007F7D76">
            <w:pPr>
              <w:pStyle w:val="BTEMEASMCA"/>
            </w:pPr>
          </w:p>
        </w:tc>
      </w:tr>
    </w:tbl>
    <w:p w:rsidR="00472498" w:rsidRPr="00376A64" w:rsidRDefault="00472498" w:rsidP="007F7D76">
      <w:pPr>
        <w:pStyle w:val="BTbEMEASMCA"/>
      </w:pPr>
      <w:r w:rsidRPr="00376A64">
        <w:t>Šis pakuotės lapelis paskutinį kartą peržiūrėtas</w:t>
      </w:r>
      <w:r w:rsidR="005E5F2A">
        <w:t xml:space="preserve"> 2022-07-22</w:t>
      </w:r>
      <w:r w:rsidRPr="00376A64">
        <w:t>.</w:t>
      </w:r>
    </w:p>
    <w:p w:rsidR="00472498" w:rsidRDefault="00472498" w:rsidP="00472498">
      <w:pPr>
        <w:rPr>
          <w:sz w:val="22"/>
          <w:szCs w:val="22"/>
        </w:rPr>
      </w:pPr>
    </w:p>
    <w:p w:rsidR="00472498" w:rsidRDefault="00472498" w:rsidP="00472498">
      <w:pPr>
        <w:numPr>
          <w:ilvl w:val="12"/>
          <w:numId w:val="0"/>
        </w:numPr>
        <w:tabs>
          <w:tab w:val="left" w:pos="567"/>
        </w:tabs>
        <w:ind w:right="-2"/>
        <w:rPr>
          <w:snapToGrid w:val="0"/>
          <w:sz w:val="22"/>
          <w:szCs w:val="22"/>
        </w:rPr>
      </w:pPr>
      <w:r w:rsidRPr="001B0AB9">
        <w:rPr>
          <w:snapToGrid w:val="0"/>
          <w:sz w:val="22"/>
          <w:szCs w:val="22"/>
        </w:rPr>
        <w:t>Išsami informacija apie šį vaistą pateikiama Valstybinės vaistų kontrolės tarnybos prie Lietuvos Respublikos sveikatos apsaugos ministerijos tinklalapyje</w:t>
      </w:r>
      <w:r w:rsidRPr="001B0AB9">
        <w:rPr>
          <w:i/>
          <w:snapToGrid w:val="0"/>
          <w:sz w:val="22"/>
          <w:szCs w:val="22"/>
        </w:rPr>
        <w:t xml:space="preserve"> </w:t>
      </w:r>
      <w:hyperlink r:id="rId9" w:history="1">
        <w:r>
          <w:rPr>
            <w:rFonts w:eastAsia="SimSun"/>
            <w:snapToGrid w:val="0"/>
            <w:color w:val="0000FF"/>
            <w:sz w:val="22"/>
            <w:szCs w:val="22"/>
            <w:u w:val="single"/>
          </w:rPr>
          <w:t>http://www.vvkt.lt/</w:t>
        </w:r>
      </w:hyperlink>
      <w:r w:rsidRPr="001B0AB9">
        <w:rPr>
          <w:snapToGrid w:val="0"/>
          <w:sz w:val="22"/>
          <w:szCs w:val="22"/>
        </w:rPr>
        <w:t>.</w:t>
      </w:r>
    </w:p>
    <w:bookmarkEnd w:id="65"/>
    <w:bookmarkEnd w:id="66"/>
    <w:p w:rsidR="00472498" w:rsidRDefault="00472498" w:rsidP="00472498">
      <w:pPr>
        <w:numPr>
          <w:ilvl w:val="12"/>
          <w:numId w:val="0"/>
        </w:numPr>
        <w:tabs>
          <w:tab w:val="left" w:pos="567"/>
        </w:tabs>
        <w:ind w:right="-2"/>
        <w:rPr>
          <w:snapToGrid w:val="0"/>
          <w:sz w:val="22"/>
          <w:szCs w:val="22"/>
        </w:rPr>
      </w:pPr>
    </w:p>
    <w:sectPr w:rsidR="00472498" w:rsidSect="00702770">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F09" w:rsidRDefault="00CA7F09" w:rsidP="000E1B79">
      <w:r>
        <w:separator/>
      </w:r>
    </w:p>
  </w:endnote>
  <w:endnote w:type="continuationSeparator" w:id="0">
    <w:p w:rsidR="00CA7F09" w:rsidRDefault="00CA7F09" w:rsidP="000E1B79">
      <w:r>
        <w:continuationSeparator/>
      </w:r>
    </w:p>
  </w:endnote>
  <w:endnote w:type="continuationNotice" w:id="1">
    <w:p w:rsidR="00CA7F09" w:rsidRDefault="00CA7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B0B" w:rsidRDefault="002149FE">
    <w:pPr>
      <w:pStyle w:val="Porat"/>
      <w:jc w:val="right"/>
    </w:pPr>
    <w:r>
      <w:fldChar w:fldCharType="begin"/>
    </w:r>
    <w:r>
      <w:instrText xml:space="preserve"> PAGE   \* MERGEFORMAT </w:instrText>
    </w:r>
    <w:r>
      <w:fldChar w:fldCharType="separate"/>
    </w:r>
    <w:r w:rsidR="00266195">
      <w:rPr>
        <w:noProof/>
      </w:rPr>
      <w:t>18</w:t>
    </w:r>
    <w:r>
      <w:rPr>
        <w:noProof/>
      </w:rPr>
      <w:fldChar w:fldCharType="end"/>
    </w:r>
  </w:p>
  <w:p w:rsidR="00973B0B" w:rsidRDefault="00973B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F09" w:rsidRDefault="00CA7F09" w:rsidP="000E1B79">
      <w:r>
        <w:separator/>
      </w:r>
    </w:p>
  </w:footnote>
  <w:footnote w:type="continuationSeparator" w:id="0">
    <w:p w:rsidR="00CA7F09" w:rsidRDefault="00CA7F09" w:rsidP="000E1B79">
      <w:r>
        <w:continuationSeparator/>
      </w:r>
    </w:p>
  </w:footnote>
  <w:footnote w:type="continuationNotice" w:id="1">
    <w:p w:rsidR="00CA7F09" w:rsidRDefault="00CA7F0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79CCC18"/>
    <w:lvl w:ilvl="0">
      <w:numFmt w:val="bullet"/>
      <w:lvlText w:val="*"/>
      <w:lvlJc w:val="left"/>
    </w:lvl>
  </w:abstractNum>
  <w:abstractNum w:abstractNumId="1" w15:restartNumberingAfterBreak="0">
    <w:nsid w:val="0CD3342E"/>
    <w:multiLevelType w:val="hybridMultilevel"/>
    <w:tmpl w:val="1A080D4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12351D25"/>
    <w:multiLevelType w:val="hybridMultilevel"/>
    <w:tmpl w:val="93A0F47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5272C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B14E90"/>
    <w:multiLevelType w:val="hybridMultilevel"/>
    <w:tmpl w:val="6456CD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221E6E"/>
    <w:multiLevelType w:val="hybridMultilevel"/>
    <w:tmpl w:val="56EC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F39A0"/>
    <w:multiLevelType w:val="hybridMultilevel"/>
    <w:tmpl w:val="6A802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4C0792"/>
    <w:multiLevelType w:val="singleLevel"/>
    <w:tmpl w:val="FA6457E8"/>
    <w:lvl w:ilvl="0">
      <w:start w:val="4"/>
      <w:numFmt w:val="bullet"/>
      <w:lvlText w:val="-"/>
      <w:lvlJc w:val="left"/>
      <w:pPr>
        <w:tabs>
          <w:tab w:val="num" w:pos="420"/>
        </w:tabs>
        <w:ind w:left="420" w:hanging="360"/>
      </w:pPr>
      <w:rPr>
        <w:rFonts w:hint="default"/>
      </w:rPr>
    </w:lvl>
  </w:abstractNum>
  <w:abstractNum w:abstractNumId="8"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B53106"/>
    <w:multiLevelType w:val="hybridMultilevel"/>
    <w:tmpl w:val="C8DC583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0E50B5"/>
    <w:multiLevelType w:val="hybridMultilevel"/>
    <w:tmpl w:val="05DA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160CFC"/>
    <w:multiLevelType w:val="hybridMultilevel"/>
    <w:tmpl w:val="4F8E4B5C"/>
    <w:lvl w:ilvl="0" w:tplc="04270001">
      <w:start w:val="1"/>
      <w:numFmt w:val="bullet"/>
      <w:lvlText w:val=""/>
      <w:lvlJc w:val="left"/>
      <w:pPr>
        <w:tabs>
          <w:tab w:val="num" w:pos="4437"/>
        </w:tabs>
        <w:ind w:left="4437" w:hanging="360"/>
      </w:pPr>
      <w:rPr>
        <w:rFonts w:ascii="Symbol" w:hAnsi="Symbol" w:hint="default"/>
      </w:rPr>
    </w:lvl>
    <w:lvl w:ilvl="1" w:tplc="04270003" w:tentative="1">
      <w:start w:val="1"/>
      <w:numFmt w:val="bullet"/>
      <w:lvlText w:val="o"/>
      <w:lvlJc w:val="left"/>
      <w:pPr>
        <w:tabs>
          <w:tab w:val="num" w:pos="5157"/>
        </w:tabs>
        <w:ind w:left="5157" w:hanging="360"/>
      </w:pPr>
      <w:rPr>
        <w:rFonts w:ascii="Courier New" w:hAnsi="Courier New" w:hint="default"/>
      </w:rPr>
    </w:lvl>
    <w:lvl w:ilvl="2" w:tplc="04270005" w:tentative="1">
      <w:start w:val="1"/>
      <w:numFmt w:val="bullet"/>
      <w:lvlText w:val=""/>
      <w:lvlJc w:val="left"/>
      <w:pPr>
        <w:tabs>
          <w:tab w:val="num" w:pos="5877"/>
        </w:tabs>
        <w:ind w:left="5877" w:hanging="360"/>
      </w:pPr>
      <w:rPr>
        <w:rFonts w:ascii="Wingdings" w:hAnsi="Wingdings" w:hint="default"/>
      </w:rPr>
    </w:lvl>
    <w:lvl w:ilvl="3" w:tplc="04270001" w:tentative="1">
      <w:start w:val="1"/>
      <w:numFmt w:val="bullet"/>
      <w:lvlText w:val=""/>
      <w:lvlJc w:val="left"/>
      <w:pPr>
        <w:tabs>
          <w:tab w:val="num" w:pos="6597"/>
        </w:tabs>
        <w:ind w:left="6597" w:hanging="360"/>
      </w:pPr>
      <w:rPr>
        <w:rFonts w:ascii="Symbol" w:hAnsi="Symbol" w:hint="default"/>
      </w:rPr>
    </w:lvl>
    <w:lvl w:ilvl="4" w:tplc="04270003" w:tentative="1">
      <w:start w:val="1"/>
      <w:numFmt w:val="bullet"/>
      <w:lvlText w:val="o"/>
      <w:lvlJc w:val="left"/>
      <w:pPr>
        <w:tabs>
          <w:tab w:val="num" w:pos="7317"/>
        </w:tabs>
        <w:ind w:left="7317" w:hanging="360"/>
      </w:pPr>
      <w:rPr>
        <w:rFonts w:ascii="Courier New" w:hAnsi="Courier New" w:hint="default"/>
      </w:rPr>
    </w:lvl>
    <w:lvl w:ilvl="5" w:tplc="04270005" w:tentative="1">
      <w:start w:val="1"/>
      <w:numFmt w:val="bullet"/>
      <w:lvlText w:val=""/>
      <w:lvlJc w:val="left"/>
      <w:pPr>
        <w:tabs>
          <w:tab w:val="num" w:pos="8037"/>
        </w:tabs>
        <w:ind w:left="8037" w:hanging="360"/>
      </w:pPr>
      <w:rPr>
        <w:rFonts w:ascii="Wingdings" w:hAnsi="Wingdings" w:hint="default"/>
      </w:rPr>
    </w:lvl>
    <w:lvl w:ilvl="6" w:tplc="04270001" w:tentative="1">
      <w:start w:val="1"/>
      <w:numFmt w:val="bullet"/>
      <w:lvlText w:val=""/>
      <w:lvlJc w:val="left"/>
      <w:pPr>
        <w:tabs>
          <w:tab w:val="num" w:pos="8757"/>
        </w:tabs>
        <w:ind w:left="8757" w:hanging="360"/>
      </w:pPr>
      <w:rPr>
        <w:rFonts w:ascii="Symbol" w:hAnsi="Symbol" w:hint="default"/>
      </w:rPr>
    </w:lvl>
    <w:lvl w:ilvl="7" w:tplc="04270003" w:tentative="1">
      <w:start w:val="1"/>
      <w:numFmt w:val="bullet"/>
      <w:lvlText w:val="o"/>
      <w:lvlJc w:val="left"/>
      <w:pPr>
        <w:tabs>
          <w:tab w:val="num" w:pos="9477"/>
        </w:tabs>
        <w:ind w:left="9477" w:hanging="360"/>
      </w:pPr>
      <w:rPr>
        <w:rFonts w:ascii="Courier New" w:hAnsi="Courier New" w:hint="default"/>
      </w:rPr>
    </w:lvl>
    <w:lvl w:ilvl="8" w:tplc="04270005" w:tentative="1">
      <w:start w:val="1"/>
      <w:numFmt w:val="bullet"/>
      <w:lvlText w:val=""/>
      <w:lvlJc w:val="left"/>
      <w:pPr>
        <w:tabs>
          <w:tab w:val="num" w:pos="10197"/>
        </w:tabs>
        <w:ind w:left="10197" w:hanging="360"/>
      </w:pPr>
      <w:rPr>
        <w:rFonts w:ascii="Wingdings" w:hAnsi="Wingdings" w:hint="default"/>
      </w:rPr>
    </w:lvl>
  </w:abstractNum>
  <w:abstractNum w:abstractNumId="12" w15:restartNumberingAfterBreak="0">
    <w:nsid w:val="56BF378E"/>
    <w:multiLevelType w:val="hybridMultilevel"/>
    <w:tmpl w:val="35E86B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2686F0A"/>
    <w:multiLevelType w:val="hybridMultilevel"/>
    <w:tmpl w:val="BD2CBE1A"/>
    <w:lvl w:ilvl="0" w:tplc="D56E6C0E">
      <w:start w:val="1"/>
      <w:numFmt w:val="upperLetter"/>
      <w:lvlText w:val="%1."/>
      <w:lvlJc w:val="left"/>
      <w:pPr>
        <w:ind w:left="2877" w:hanging="750"/>
      </w:pPr>
      <w:rPr>
        <w:rFonts w:cs="Times New Roman" w:hint="default"/>
      </w:rPr>
    </w:lvl>
    <w:lvl w:ilvl="1" w:tplc="04270019" w:tentative="1">
      <w:start w:val="1"/>
      <w:numFmt w:val="lowerLetter"/>
      <w:lvlText w:val="%2."/>
      <w:lvlJc w:val="left"/>
      <w:pPr>
        <w:ind w:left="3207" w:hanging="360"/>
      </w:pPr>
      <w:rPr>
        <w:rFonts w:cs="Times New Roman"/>
      </w:rPr>
    </w:lvl>
    <w:lvl w:ilvl="2" w:tplc="0427001B" w:tentative="1">
      <w:start w:val="1"/>
      <w:numFmt w:val="lowerRoman"/>
      <w:lvlText w:val="%3."/>
      <w:lvlJc w:val="right"/>
      <w:pPr>
        <w:ind w:left="3927" w:hanging="180"/>
      </w:pPr>
      <w:rPr>
        <w:rFonts w:cs="Times New Roman"/>
      </w:rPr>
    </w:lvl>
    <w:lvl w:ilvl="3" w:tplc="0427000F" w:tentative="1">
      <w:start w:val="1"/>
      <w:numFmt w:val="decimal"/>
      <w:lvlText w:val="%4."/>
      <w:lvlJc w:val="left"/>
      <w:pPr>
        <w:ind w:left="4647" w:hanging="360"/>
      </w:pPr>
      <w:rPr>
        <w:rFonts w:cs="Times New Roman"/>
      </w:rPr>
    </w:lvl>
    <w:lvl w:ilvl="4" w:tplc="04270019" w:tentative="1">
      <w:start w:val="1"/>
      <w:numFmt w:val="lowerLetter"/>
      <w:lvlText w:val="%5."/>
      <w:lvlJc w:val="left"/>
      <w:pPr>
        <w:ind w:left="5367" w:hanging="360"/>
      </w:pPr>
      <w:rPr>
        <w:rFonts w:cs="Times New Roman"/>
      </w:rPr>
    </w:lvl>
    <w:lvl w:ilvl="5" w:tplc="0427001B" w:tentative="1">
      <w:start w:val="1"/>
      <w:numFmt w:val="lowerRoman"/>
      <w:lvlText w:val="%6."/>
      <w:lvlJc w:val="right"/>
      <w:pPr>
        <w:ind w:left="6087" w:hanging="180"/>
      </w:pPr>
      <w:rPr>
        <w:rFonts w:cs="Times New Roman"/>
      </w:rPr>
    </w:lvl>
    <w:lvl w:ilvl="6" w:tplc="0427000F" w:tentative="1">
      <w:start w:val="1"/>
      <w:numFmt w:val="decimal"/>
      <w:lvlText w:val="%7."/>
      <w:lvlJc w:val="left"/>
      <w:pPr>
        <w:ind w:left="6807" w:hanging="360"/>
      </w:pPr>
      <w:rPr>
        <w:rFonts w:cs="Times New Roman"/>
      </w:rPr>
    </w:lvl>
    <w:lvl w:ilvl="7" w:tplc="04270019" w:tentative="1">
      <w:start w:val="1"/>
      <w:numFmt w:val="lowerLetter"/>
      <w:lvlText w:val="%8."/>
      <w:lvlJc w:val="left"/>
      <w:pPr>
        <w:ind w:left="7527" w:hanging="360"/>
      </w:pPr>
      <w:rPr>
        <w:rFonts w:cs="Times New Roman"/>
      </w:rPr>
    </w:lvl>
    <w:lvl w:ilvl="8" w:tplc="0427001B" w:tentative="1">
      <w:start w:val="1"/>
      <w:numFmt w:val="lowerRoman"/>
      <w:lvlText w:val="%9."/>
      <w:lvlJc w:val="right"/>
      <w:pPr>
        <w:ind w:left="8247" w:hanging="180"/>
      </w:pPr>
      <w:rPr>
        <w:rFonts w:cs="Times New Roman"/>
      </w:rPr>
    </w:lvl>
  </w:abstractNum>
  <w:abstractNum w:abstractNumId="14" w15:restartNumberingAfterBreak="0">
    <w:nsid w:val="74827444"/>
    <w:multiLevelType w:val="hybridMultilevel"/>
    <w:tmpl w:val="00561D20"/>
    <w:lvl w:ilvl="0" w:tplc="6670461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545B8B"/>
    <w:multiLevelType w:val="hybridMultilevel"/>
    <w:tmpl w:val="5D8A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lvl w:ilvl="0">
        <w:numFmt w:val="bullet"/>
        <w:lvlText w:val=""/>
        <w:legacy w:legacy="1" w:legacySpace="0" w:legacyIndent="0"/>
        <w:lvlJc w:val="left"/>
        <w:rPr>
          <w:rFonts w:ascii="Symbol" w:hAnsi="Symbol" w:hint="default"/>
        </w:rPr>
      </w:lvl>
    </w:lvlOverride>
  </w:num>
  <w:num w:numId="3">
    <w:abstractNumId w:val="4"/>
  </w:num>
  <w:num w:numId="4">
    <w:abstractNumId w:val="11"/>
  </w:num>
  <w:num w:numId="5">
    <w:abstractNumId w:val="9"/>
  </w:num>
  <w:num w:numId="6">
    <w:abstractNumId w:val="1"/>
  </w:num>
  <w:num w:numId="7">
    <w:abstractNumId w:val="6"/>
  </w:num>
  <w:num w:numId="8">
    <w:abstractNumId w:val="3"/>
  </w:num>
  <w:num w:numId="9">
    <w:abstractNumId w:val="12"/>
  </w:num>
  <w:num w:numId="10">
    <w:abstractNumId w:val="2"/>
  </w:num>
  <w:num w:numId="11">
    <w:abstractNumId w:val="13"/>
  </w:num>
  <w:num w:numId="12">
    <w:abstractNumId w:val="7"/>
  </w:num>
  <w:num w:numId="13">
    <w:abstractNumId w:val="14"/>
  </w:num>
  <w:num w:numId="14">
    <w:abstractNumId w:val="10"/>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1F"/>
    <w:rsid w:val="00004C45"/>
    <w:rsid w:val="00036393"/>
    <w:rsid w:val="00037FFB"/>
    <w:rsid w:val="0004082D"/>
    <w:rsid w:val="00053CDF"/>
    <w:rsid w:val="0005416C"/>
    <w:rsid w:val="000609E1"/>
    <w:rsid w:val="000623BD"/>
    <w:rsid w:val="00065BC3"/>
    <w:rsid w:val="000720DD"/>
    <w:rsid w:val="000808E3"/>
    <w:rsid w:val="0008761E"/>
    <w:rsid w:val="00090B3D"/>
    <w:rsid w:val="000A459C"/>
    <w:rsid w:val="000B0308"/>
    <w:rsid w:val="000B0BB3"/>
    <w:rsid w:val="000B341A"/>
    <w:rsid w:val="000B64B6"/>
    <w:rsid w:val="000C3585"/>
    <w:rsid w:val="000D5468"/>
    <w:rsid w:val="000E1B79"/>
    <w:rsid w:val="000E3B48"/>
    <w:rsid w:val="001073CD"/>
    <w:rsid w:val="0011312F"/>
    <w:rsid w:val="00126948"/>
    <w:rsid w:val="00130426"/>
    <w:rsid w:val="001367F7"/>
    <w:rsid w:val="001518F3"/>
    <w:rsid w:val="00153901"/>
    <w:rsid w:val="00156A03"/>
    <w:rsid w:val="00156A53"/>
    <w:rsid w:val="00171060"/>
    <w:rsid w:val="00176BFF"/>
    <w:rsid w:val="00184DD4"/>
    <w:rsid w:val="0019296E"/>
    <w:rsid w:val="001A3315"/>
    <w:rsid w:val="001A3399"/>
    <w:rsid w:val="001B0AB9"/>
    <w:rsid w:val="001C6F74"/>
    <w:rsid w:val="001D0F67"/>
    <w:rsid w:val="001D1B8F"/>
    <w:rsid w:val="001D717D"/>
    <w:rsid w:val="001D7BCF"/>
    <w:rsid w:val="001E5B7F"/>
    <w:rsid w:val="002063F6"/>
    <w:rsid w:val="00207202"/>
    <w:rsid w:val="00212145"/>
    <w:rsid w:val="002149FE"/>
    <w:rsid w:val="00221E5F"/>
    <w:rsid w:val="00221F7F"/>
    <w:rsid w:val="002273C5"/>
    <w:rsid w:val="00252B0F"/>
    <w:rsid w:val="00253541"/>
    <w:rsid w:val="00264A26"/>
    <w:rsid w:val="00266195"/>
    <w:rsid w:val="002766D5"/>
    <w:rsid w:val="002820D4"/>
    <w:rsid w:val="00285996"/>
    <w:rsid w:val="00292B72"/>
    <w:rsid w:val="00295E8A"/>
    <w:rsid w:val="002A725C"/>
    <w:rsid w:val="002B0E33"/>
    <w:rsid w:val="002B3DCE"/>
    <w:rsid w:val="002B5F18"/>
    <w:rsid w:val="002C01C2"/>
    <w:rsid w:val="002C53D2"/>
    <w:rsid w:val="002E0466"/>
    <w:rsid w:val="002F5200"/>
    <w:rsid w:val="00302A14"/>
    <w:rsid w:val="003068E9"/>
    <w:rsid w:val="00314781"/>
    <w:rsid w:val="00315552"/>
    <w:rsid w:val="003155A1"/>
    <w:rsid w:val="00322D9F"/>
    <w:rsid w:val="003438CC"/>
    <w:rsid w:val="00344C34"/>
    <w:rsid w:val="003545FE"/>
    <w:rsid w:val="003672D3"/>
    <w:rsid w:val="003722E9"/>
    <w:rsid w:val="00376A64"/>
    <w:rsid w:val="00376F23"/>
    <w:rsid w:val="003857DD"/>
    <w:rsid w:val="003A0C13"/>
    <w:rsid w:val="003A651A"/>
    <w:rsid w:val="003B2D34"/>
    <w:rsid w:val="003B5A64"/>
    <w:rsid w:val="003C154B"/>
    <w:rsid w:val="003C206B"/>
    <w:rsid w:val="003C313C"/>
    <w:rsid w:val="003D5E2C"/>
    <w:rsid w:val="003F07A6"/>
    <w:rsid w:val="0040296C"/>
    <w:rsid w:val="004172B6"/>
    <w:rsid w:val="00426B72"/>
    <w:rsid w:val="00430188"/>
    <w:rsid w:val="00441837"/>
    <w:rsid w:val="004427E6"/>
    <w:rsid w:val="00472498"/>
    <w:rsid w:val="00475776"/>
    <w:rsid w:val="0047720E"/>
    <w:rsid w:val="00484F62"/>
    <w:rsid w:val="0049120B"/>
    <w:rsid w:val="0049770E"/>
    <w:rsid w:val="004A42AD"/>
    <w:rsid w:val="004A46B8"/>
    <w:rsid w:val="004A5070"/>
    <w:rsid w:val="004A5598"/>
    <w:rsid w:val="004A5633"/>
    <w:rsid w:val="004A61F9"/>
    <w:rsid w:val="004A67F2"/>
    <w:rsid w:val="004C5FBC"/>
    <w:rsid w:val="004E35AB"/>
    <w:rsid w:val="004E7169"/>
    <w:rsid w:val="004F0045"/>
    <w:rsid w:val="004F652D"/>
    <w:rsid w:val="00512A3D"/>
    <w:rsid w:val="00512F2B"/>
    <w:rsid w:val="00522B87"/>
    <w:rsid w:val="00531C93"/>
    <w:rsid w:val="0055335D"/>
    <w:rsid w:val="00553BE0"/>
    <w:rsid w:val="005646AF"/>
    <w:rsid w:val="00565B27"/>
    <w:rsid w:val="005908D6"/>
    <w:rsid w:val="005942C2"/>
    <w:rsid w:val="005A318B"/>
    <w:rsid w:val="005B2688"/>
    <w:rsid w:val="005D1B6D"/>
    <w:rsid w:val="005E2073"/>
    <w:rsid w:val="005E4D4B"/>
    <w:rsid w:val="005E5F2A"/>
    <w:rsid w:val="005F21D5"/>
    <w:rsid w:val="005F69BD"/>
    <w:rsid w:val="006045BE"/>
    <w:rsid w:val="0060750C"/>
    <w:rsid w:val="00610D57"/>
    <w:rsid w:val="00626136"/>
    <w:rsid w:val="0062794F"/>
    <w:rsid w:val="00630929"/>
    <w:rsid w:val="00630D82"/>
    <w:rsid w:val="00634645"/>
    <w:rsid w:val="006355D0"/>
    <w:rsid w:val="00640BEF"/>
    <w:rsid w:val="00642496"/>
    <w:rsid w:val="00642E27"/>
    <w:rsid w:val="006477EC"/>
    <w:rsid w:val="00652DE3"/>
    <w:rsid w:val="0065380A"/>
    <w:rsid w:val="00656518"/>
    <w:rsid w:val="00660B6F"/>
    <w:rsid w:val="00667400"/>
    <w:rsid w:val="00672565"/>
    <w:rsid w:val="006751AE"/>
    <w:rsid w:val="0067622C"/>
    <w:rsid w:val="00682345"/>
    <w:rsid w:val="00683AFB"/>
    <w:rsid w:val="006964CC"/>
    <w:rsid w:val="0069668E"/>
    <w:rsid w:val="006A2CA8"/>
    <w:rsid w:val="006A5D63"/>
    <w:rsid w:val="006A6D95"/>
    <w:rsid w:val="006B53CF"/>
    <w:rsid w:val="006C0913"/>
    <w:rsid w:val="006C1DAD"/>
    <w:rsid w:val="006C2878"/>
    <w:rsid w:val="006C6454"/>
    <w:rsid w:val="006D20E0"/>
    <w:rsid w:val="006D573F"/>
    <w:rsid w:val="006D64BB"/>
    <w:rsid w:val="006D7B85"/>
    <w:rsid w:val="006E1D4C"/>
    <w:rsid w:val="006F305A"/>
    <w:rsid w:val="00700C52"/>
    <w:rsid w:val="00702770"/>
    <w:rsid w:val="0070339D"/>
    <w:rsid w:val="00705B83"/>
    <w:rsid w:val="0070769C"/>
    <w:rsid w:val="00707786"/>
    <w:rsid w:val="007108A5"/>
    <w:rsid w:val="00711C3B"/>
    <w:rsid w:val="007204D8"/>
    <w:rsid w:val="00733BF2"/>
    <w:rsid w:val="00735790"/>
    <w:rsid w:val="00752BF8"/>
    <w:rsid w:val="007546D4"/>
    <w:rsid w:val="00765CEE"/>
    <w:rsid w:val="0077003B"/>
    <w:rsid w:val="00770DFB"/>
    <w:rsid w:val="007800BD"/>
    <w:rsid w:val="007A0FD8"/>
    <w:rsid w:val="007A2B75"/>
    <w:rsid w:val="007B498C"/>
    <w:rsid w:val="007B68D2"/>
    <w:rsid w:val="007D5E5C"/>
    <w:rsid w:val="007E24E4"/>
    <w:rsid w:val="007F7D76"/>
    <w:rsid w:val="00802879"/>
    <w:rsid w:val="00810B35"/>
    <w:rsid w:val="00813BB2"/>
    <w:rsid w:val="00822957"/>
    <w:rsid w:val="0083227C"/>
    <w:rsid w:val="0084041E"/>
    <w:rsid w:val="00874B9B"/>
    <w:rsid w:val="008754CE"/>
    <w:rsid w:val="00885145"/>
    <w:rsid w:val="00891898"/>
    <w:rsid w:val="008A04F0"/>
    <w:rsid w:val="008A6F24"/>
    <w:rsid w:val="008A70BF"/>
    <w:rsid w:val="008B0240"/>
    <w:rsid w:val="008B12FF"/>
    <w:rsid w:val="008B240B"/>
    <w:rsid w:val="008C5C9D"/>
    <w:rsid w:val="008C6FD0"/>
    <w:rsid w:val="008D6F80"/>
    <w:rsid w:val="008E0C32"/>
    <w:rsid w:val="008F211F"/>
    <w:rsid w:val="00901DD0"/>
    <w:rsid w:val="0091173A"/>
    <w:rsid w:val="00916E20"/>
    <w:rsid w:val="00935082"/>
    <w:rsid w:val="0095408C"/>
    <w:rsid w:val="00954B32"/>
    <w:rsid w:val="00957758"/>
    <w:rsid w:val="00957B69"/>
    <w:rsid w:val="00960FFD"/>
    <w:rsid w:val="0097281C"/>
    <w:rsid w:val="00973B0B"/>
    <w:rsid w:val="00980614"/>
    <w:rsid w:val="00980BCE"/>
    <w:rsid w:val="009933B2"/>
    <w:rsid w:val="009952E8"/>
    <w:rsid w:val="009965DD"/>
    <w:rsid w:val="009970F1"/>
    <w:rsid w:val="009A6B54"/>
    <w:rsid w:val="009A6C55"/>
    <w:rsid w:val="009B661B"/>
    <w:rsid w:val="009B7129"/>
    <w:rsid w:val="009D08B6"/>
    <w:rsid w:val="009D5B5C"/>
    <w:rsid w:val="009E2E90"/>
    <w:rsid w:val="009E2F4A"/>
    <w:rsid w:val="009E4D87"/>
    <w:rsid w:val="009F0539"/>
    <w:rsid w:val="00A023C6"/>
    <w:rsid w:val="00A04372"/>
    <w:rsid w:val="00A10C9B"/>
    <w:rsid w:val="00A24A6F"/>
    <w:rsid w:val="00A3196F"/>
    <w:rsid w:val="00A32D12"/>
    <w:rsid w:val="00A40373"/>
    <w:rsid w:val="00A44EE4"/>
    <w:rsid w:val="00A45DC5"/>
    <w:rsid w:val="00A51F88"/>
    <w:rsid w:val="00A57481"/>
    <w:rsid w:val="00A57836"/>
    <w:rsid w:val="00A60485"/>
    <w:rsid w:val="00A62664"/>
    <w:rsid w:val="00A678F0"/>
    <w:rsid w:val="00A70272"/>
    <w:rsid w:val="00A72134"/>
    <w:rsid w:val="00A74E65"/>
    <w:rsid w:val="00A85156"/>
    <w:rsid w:val="00A9336B"/>
    <w:rsid w:val="00A94AA1"/>
    <w:rsid w:val="00A94F6B"/>
    <w:rsid w:val="00AA25EC"/>
    <w:rsid w:val="00AA7D85"/>
    <w:rsid w:val="00AB097B"/>
    <w:rsid w:val="00AB4CFC"/>
    <w:rsid w:val="00AB5052"/>
    <w:rsid w:val="00AC1654"/>
    <w:rsid w:val="00AC222E"/>
    <w:rsid w:val="00AC5D13"/>
    <w:rsid w:val="00AD14CB"/>
    <w:rsid w:val="00AF22E7"/>
    <w:rsid w:val="00B02543"/>
    <w:rsid w:val="00B117DD"/>
    <w:rsid w:val="00B4147B"/>
    <w:rsid w:val="00B43284"/>
    <w:rsid w:val="00B43B89"/>
    <w:rsid w:val="00B46651"/>
    <w:rsid w:val="00B51DE5"/>
    <w:rsid w:val="00B52DB6"/>
    <w:rsid w:val="00B572B5"/>
    <w:rsid w:val="00B75A94"/>
    <w:rsid w:val="00B8068E"/>
    <w:rsid w:val="00B91580"/>
    <w:rsid w:val="00B91FC3"/>
    <w:rsid w:val="00B93C1F"/>
    <w:rsid w:val="00BA4A7F"/>
    <w:rsid w:val="00BA77F0"/>
    <w:rsid w:val="00BB110A"/>
    <w:rsid w:val="00BC088B"/>
    <w:rsid w:val="00BC64C2"/>
    <w:rsid w:val="00BD32D0"/>
    <w:rsid w:val="00BE20CF"/>
    <w:rsid w:val="00BF281D"/>
    <w:rsid w:val="00BF7EA6"/>
    <w:rsid w:val="00C05777"/>
    <w:rsid w:val="00C07918"/>
    <w:rsid w:val="00C11970"/>
    <w:rsid w:val="00C223E8"/>
    <w:rsid w:val="00C23C21"/>
    <w:rsid w:val="00C360E0"/>
    <w:rsid w:val="00C42283"/>
    <w:rsid w:val="00C52322"/>
    <w:rsid w:val="00C627F3"/>
    <w:rsid w:val="00C640DC"/>
    <w:rsid w:val="00C64C87"/>
    <w:rsid w:val="00C70FCC"/>
    <w:rsid w:val="00C7145C"/>
    <w:rsid w:val="00C719BF"/>
    <w:rsid w:val="00C808A5"/>
    <w:rsid w:val="00C83352"/>
    <w:rsid w:val="00C932C5"/>
    <w:rsid w:val="00C95031"/>
    <w:rsid w:val="00C957CA"/>
    <w:rsid w:val="00CA633A"/>
    <w:rsid w:val="00CA7C6B"/>
    <w:rsid w:val="00CA7F09"/>
    <w:rsid w:val="00CB6904"/>
    <w:rsid w:val="00CB6E17"/>
    <w:rsid w:val="00CC2526"/>
    <w:rsid w:val="00CD11BB"/>
    <w:rsid w:val="00CD410C"/>
    <w:rsid w:val="00CD6E23"/>
    <w:rsid w:val="00CE1136"/>
    <w:rsid w:val="00CE2728"/>
    <w:rsid w:val="00CE7AF1"/>
    <w:rsid w:val="00CF0616"/>
    <w:rsid w:val="00CF079F"/>
    <w:rsid w:val="00CF2E3C"/>
    <w:rsid w:val="00D279CD"/>
    <w:rsid w:val="00D30BA4"/>
    <w:rsid w:val="00D42757"/>
    <w:rsid w:val="00D455E5"/>
    <w:rsid w:val="00D50F1C"/>
    <w:rsid w:val="00D5240C"/>
    <w:rsid w:val="00D615D1"/>
    <w:rsid w:val="00D70451"/>
    <w:rsid w:val="00D75035"/>
    <w:rsid w:val="00D811C2"/>
    <w:rsid w:val="00D813D9"/>
    <w:rsid w:val="00DA5344"/>
    <w:rsid w:val="00DD1B1F"/>
    <w:rsid w:val="00DE2F85"/>
    <w:rsid w:val="00DF4173"/>
    <w:rsid w:val="00DF5A83"/>
    <w:rsid w:val="00E02BCA"/>
    <w:rsid w:val="00E129E2"/>
    <w:rsid w:val="00E144C1"/>
    <w:rsid w:val="00E25E08"/>
    <w:rsid w:val="00E36466"/>
    <w:rsid w:val="00E42C94"/>
    <w:rsid w:val="00E53515"/>
    <w:rsid w:val="00E55B79"/>
    <w:rsid w:val="00E56AF5"/>
    <w:rsid w:val="00E623BE"/>
    <w:rsid w:val="00E65478"/>
    <w:rsid w:val="00E872C5"/>
    <w:rsid w:val="00E9071A"/>
    <w:rsid w:val="00E93232"/>
    <w:rsid w:val="00EA6279"/>
    <w:rsid w:val="00EA6D77"/>
    <w:rsid w:val="00EA7F30"/>
    <w:rsid w:val="00EB4737"/>
    <w:rsid w:val="00EB7306"/>
    <w:rsid w:val="00EC275C"/>
    <w:rsid w:val="00EE5BDA"/>
    <w:rsid w:val="00EF3869"/>
    <w:rsid w:val="00EF4F5E"/>
    <w:rsid w:val="00F06DC2"/>
    <w:rsid w:val="00F10BAE"/>
    <w:rsid w:val="00F16CC5"/>
    <w:rsid w:val="00F31FE8"/>
    <w:rsid w:val="00F32E7A"/>
    <w:rsid w:val="00F444D8"/>
    <w:rsid w:val="00F663B3"/>
    <w:rsid w:val="00F834AC"/>
    <w:rsid w:val="00F87308"/>
    <w:rsid w:val="00F930F1"/>
    <w:rsid w:val="00FA7DF2"/>
    <w:rsid w:val="00FB6900"/>
    <w:rsid w:val="00FC2F21"/>
    <w:rsid w:val="00FD62E7"/>
    <w:rsid w:val="00FE5BCC"/>
    <w:rsid w:val="00FF3E16"/>
    <w:rsid w:val="00FF4F56"/>
    <w:rsid w:val="00FF6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C30EEEC5-41D4-436A-9547-7E2B6209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211F"/>
    <w:rPr>
      <w:sz w:val="24"/>
      <w:szCs w:val="24"/>
      <w:lang w:eastAsia="en-US"/>
    </w:rPr>
  </w:style>
  <w:style w:type="paragraph" w:styleId="Antrat1">
    <w:name w:val="heading 1"/>
    <w:basedOn w:val="prastasis"/>
    <w:next w:val="prastasis"/>
    <w:link w:val="Antrat1Diagrama"/>
    <w:uiPriority w:val="99"/>
    <w:qFormat/>
    <w:rsid w:val="008F211F"/>
    <w:pPr>
      <w:keepNext/>
      <w:spacing w:before="240" w:after="60"/>
      <w:outlineLvl w:val="0"/>
    </w:pPr>
    <w:rPr>
      <w:rFonts w:ascii="Arial" w:hAnsi="Arial"/>
      <w:b/>
      <w:kern w:val="32"/>
      <w:sz w:val="32"/>
      <w:szCs w:val="20"/>
      <w:lang w:eastAsia="x-none"/>
    </w:rPr>
  </w:style>
  <w:style w:type="paragraph" w:styleId="Antrat2">
    <w:name w:val="heading 2"/>
    <w:basedOn w:val="prastasis"/>
    <w:next w:val="prastasis"/>
    <w:link w:val="Antrat2Diagrama"/>
    <w:uiPriority w:val="99"/>
    <w:qFormat/>
    <w:rsid w:val="008F211F"/>
    <w:pPr>
      <w:keepNext/>
      <w:spacing w:before="240" w:after="60"/>
      <w:outlineLvl w:val="1"/>
    </w:pPr>
    <w:rPr>
      <w:rFonts w:ascii="Arial" w:hAnsi="Arial"/>
      <w:b/>
      <w:i/>
      <w:sz w:val="28"/>
      <w:szCs w:val="20"/>
      <w:lang w:eastAsia="x-none"/>
    </w:rPr>
  </w:style>
  <w:style w:type="paragraph" w:styleId="Antrat3">
    <w:name w:val="heading 3"/>
    <w:basedOn w:val="prastasis"/>
    <w:next w:val="prastasis"/>
    <w:link w:val="Antrat3Diagrama"/>
    <w:uiPriority w:val="99"/>
    <w:qFormat/>
    <w:rsid w:val="008F211F"/>
    <w:pPr>
      <w:keepNext/>
      <w:spacing w:before="240" w:after="60"/>
      <w:outlineLvl w:val="2"/>
    </w:pPr>
    <w:rPr>
      <w:rFonts w:ascii="Arial" w:hAnsi="Arial"/>
      <w:b/>
      <w:sz w:val="26"/>
      <w:szCs w:val="20"/>
      <w:lang w:eastAsia="x-none"/>
    </w:rPr>
  </w:style>
  <w:style w:type="paragraph" w:styleId="Antrat4">
    <w:name w:val="heading 4"/>
    <w:basedOn w:val="prastasis"/>
    <w:next w:val="prastasis"/>
    <w:link w:val="Antrat4Diagrama"/>
    <w:uiPriority w:val="99"/>
    <w:qFormat/>
    <w:rsid w:val="001D0F67"/>
    <w:pPr>
      <w:keepNext/>
      <w:spacing w:before="240" w:after="60"/>
      <w:outlineLvl w:val="3"/>
    </w:pPr>
    <w:rPr>
      <w:rFonts w:ascii="Calibri" w:hAnsi="Calibri"/>
      <w:b/>
      <w:sz w:val="28"/>
      <w:szCs w:val="20"/>
      <w:lang w:val="x-none"/>
    </w:rPr>
  </w:style>
  <w:style w:type="paragraph" w:styleId="Antrat5">
    <w:name w:val="heading 5"/>
    <w:basedOn w:val="prastasis"/>
    <w:next w:val="prastasis"/>
    <w:link w:val="Antrat5Diagrama"/>
    <w:uiPriority w:val="9"/>
    <w:unhideWhenUsed/>
    <w:qFormat/>
    <w:locked/>
    <w:rsid w:val="008D6F80"/>
    <w:pPr>
      <w:keepNext/>
      <w:tabs>
        <w:tab w:val="left" w:pos="567"/>
      </w:tabs>
      <w:outlineLvl w:val="4"/>
    </w:pPr>
    <w:rPr>
      <w:i/>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8F211F"/>
    <w:rPr>
      <w:rFonts w:ascii="Arial" w:hAnsi="Arial"/>
      <w:b/>
      <w:kern w:val="32"/>
      <w:sz w:val="32"/>
      <w:lang w:val="lt-LT"/>
    </w:rPr>
  </w:style>
  <w:style w:type="character" w:customStyle="1" w:styleId="Antrat2Diagrama">
    <w:name w:val="Antraštė 2 Diagrama"/>
    <w:link w:val="Antrat2"/>
    <w:uiPriority w:val="99"/>
    <w:locked/>
    <w:rsid w:val="008F211F"/>
    <w:rPr>
      <w:rFonts w:ascii="Arial" w:hAnsi="Arial"/>
      <w:b/>
      <w:i/>
      <w:sz w:val="28"/>
      <w:lang w:val="lt-LT"/>
    </w:rPr>
  </w:style>
  <w:style w:type="character" w:customStyle="1" w:styleId="Antrat3Diagrama">
    <w:name w:val="Antraštė 3 Diagrama"/>
    <w:link w:val="Antrat3"/>
    <w:uiPriority w:val="99"/>
    <w:locked/>
    <w:rsid w:val="008F211F"/>
    <w:rPr>
      <w:rFonts w:ascii="Arial" w:hAnsi="Arial"/>
      <w:b/>
      <w:sz w:val="26"/>
      <w:lang w:val="lt-LT"/>
    </w:rPr>
  </w:style>
  <w:style w:type="character" w:customStyle="1" w:styleId="Antrat4Diagrama">
    <w:name w:val="Antraštė 4 Diagrama"/>
    <w:link w:val="Antrat4"/>
    <w:uiPriority w:val="99"/>
    <w:semiHidden/>
    <w:locked/>
    <w:rsid w:val="00376F23"/>
    <w:rPr>
      <w:rFonts w:ascii="Calibri" w:hAnsi="Calibri"/>
      <w:b/>
      <w:sz w:val="28"/>
      <w:lang w:eastAsia="en-US"/>
    </w:rPr>
  </w:style>
  <w:style w:type="character" w:styleId="Hipersaitas">
    <w:name w:val="Hyperlink"/>
    <w:uiPriority w:val="99"/>
    <w:rsid w:val="008F211F"/>
    <w:rPr>
      <w:rFonts w:cs="Times New Roman"/>
      <w:color w:val="0000FF"/>
      <w:u w:val="single"/>
    </w:rPr>
  </w:style>
  <w:style w:type="paragraph" w:customStyle="1" w:styleId="PI-1EMEASMCA">
    <w:name w:val="PI-1 EMEA_SMCA"/>
    <w:basedOn w:val="Antrat2"/>
    <w:autoRedefine/>
    <w:uiPriority w:val="99"/>
    <w:rsid w:val="008F211F"/>
    <w:pPr>
      <w:tabs>
        <w:tab w:val="left" w:pos="567"/>
      </w:tabs>
      <w:spacing w:before="0" w:after="0"/>
      <w:ind w:left="567" w:hanging="567"/>
    </w:pPr>
    <w:rPr>
      <w:rFonts w:ascii="Times New Roman" w:hAnsi="Times New Roman"/>
      <w:i w:val="0"/>
      <w:sz w:val="22"/>
      <w:szCs w:val="22"/>
    </w:rPr>
  </w:style>
  <w:style w:type="paragraph" w:customStyle="1" w:styleId="PI-1labEMEASMCA">
    <w:name w:val="PI-1_lab EMEA_SMCA"/>
    <w:basedOn w:val="prastasis"/>
    <w:link w:val="PI-1labEMEASMCAChar"/>
    <w:autoRedefine/>
    <w:uiPriority w:val="99"/>
    <w:rsid w:val="008F211F"/>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2"/>
      <w:szCs w:val="20"/>
      <w:lang w:eastAsia="x-none"/>
    </w:rPr>
  </w:style>
  <w:style w:type="character" w:customStyle="1" w:styleId="PI-1labEMEASMCAChar">
    <w:name w:val="PI-1_lab EMEA_SMCA Char"/>
    <w:link w:val="PI-1labEMEASMCA"/>
    <w:uiPriority w:val="99"/>
    <w:locked/>
    <w:rsid w:val="008F211F"/>
    <w:rPr>
      <w:rFonts w:eastAsia="Times New Roman"/>
      <w:b/>
      <w:noProof/>
      <w:sz w:val="22"/>
      <w:lang w:val="lt-LT"/>
    </w:rPr>
  </w:style>
  <w:style w:type="paragraph" w:customStyle="1" w:styleId="PI-2EMEASMCA">
    <w:name w:val="PI-2 EMEA_SMCA"/>
    <w:basedOn w:val="Antrat3"/>
    <w:autoRedefine/>
    <w:uiPriority w:val="99"/>
    <w:rsid w:val="008F211F"/>
    <w:pPr>
      <w:keepLines/>
      <w:tabs>
        <w:tab w:val="left" w:pos="567"/>
      </w:tabs>
      <w:spacing w:before="0" w:after="0"/>
      <w:ind w:left="567" w:hanging="567"/>
    </w:pPr>
    <w:rPr>
      <w:rFonts w:ascii="Times New Roman" w:hAnsi="Times New Roman"/>
      <w:kern w:val="28"/>
      <w:sz w:val="22"/>
      <w:szCs w:val="22"/>
    </w:rPr>
  </w:style>
  <w:style w:type="paragraph" w:customStyle="1" w:styleId="BTEMEASMCA">
    <w:name w:val="BT EMEA_SMCA"/>
    <w:basedOn w:val="prastasis"/>
    <w:link w:val="BTEMEASMCAChar"/>
    <w:autoRedefine/>
    <w:uiPriority w:val="99"/>
    <w:rsid w:val="007F7D76"/>
    <w:pPr>
      <w:tabs>
        <w:tab w:val="left" w:pos="360"/>
      </w:tabs>
    </w:pPr>
    <w:rPr>
      <w:bCs/>
      <w:sz w:val="22"/>
      <w:szCs w:val="20"/>
      <w:lang w:eastAsia="x-none"/>
    </w:rPr>
  </w:style>
  <w:style w:type="paragraph" w:customStyle="1" w:styleId="TTEMEASMCA">
    <w:name w:val="TT EMEA_SMCA"/>
    <w:basedOn w:val="Antrat1"/>
    <w:link w:val="TTEMEASMCAChar"/>
    <w:autoRedefine/>
    <w:uiPriority w:val="99"/>
    <w:rsid w:val="008F211F"/>
    <w:pPr>
      <w:keepNext w:val="0"/>
      <w:tabs>
        <w:tab w:val="left" w:pos="567"/>
      </w:tabs>
      <w:spacing w:before="0" w:after="0"/>
      <w:ind w:left="567" w:hanging="567"/>
      <w:jc w:val="center"/>
    </w:pPr>
    <w:rPr>
      <w:rFonts w:ascii="Times New Roman" w:eastAsia="Times New Roman" w:hAnsi="Times New Roman"/>
      <w:caps/>
      <w:kern w:val="0"/>
      <w:sz w:val="22"/>
      <w:lang w:val="x-none"/>
    </w:rPr>
  </w:style>
  <w:style w:type="character" w:customStyle="1" w:styleId="TTEMEASMCAChar">
    <w:name w:val="TT EMEA_SMCA Char"/>
    <w:link w:val="TTEMEASMCA"/>
    <w:uiPriority w:val="99"/>
    <w:locked/>
    <w:rsid w:val="008F211F"/>
    <w:rPr>
      <w:rFonts w:eastAsia="Times New Roman"/>
      <w:b/>
      <w:caps/>
      <w:sz w:val="22"/>
    </w:rPr>
  </w:style>
  <w:style w:type="paragraph" w:customStyle="1" w:styleId="BTAnIIEMEASMCA">
    <w:name w:val="BT(AnII) EMEA_SMCA"/>
    <w:basedOn w:val="Debesliotekstas"/>
    <w:autoRedefine/>
    <w:uiPriority w:val="99"/>
    <w:rsid w:val="006A5D63"/>
    <w:pPr>
      <w:tabs>
        <w:tab w:val="left" w:pos="1701"/>
      </w:tabs>
      <w:ind w:left="1701" w:firstLine="426"/>
    </w:pPr>
    <w:rPr>
      <w:rFonts w:ascii="Times New Roman" w:hAnsi="Times New Roman"/>
      <w:b/>
      <w:sz w:val="22"/>
      <w:szCs w:val="22"/>
      <w:lang w:val="en-GB"/>
    </w:rPr>
  </w:style>
  <w:style w:type="paragraph" w:customStyle="1" w:styleId="BT-EMEASMCA">
    <w:name w:val="BT- EMEA_SMCA"/>
    <w:basedOn w:val="BTEMEASMCA"/>
    <w:autoRedefine/>
    <w:uiPriority w:val="99"/>
    <w:rsid w:val="008F211F"/>
    <w:pPr>
      <w:numPr>
        <w:numId w:val="1"/>
      </w:numPr>
      <w:tabs>
        <w:tab w:val="clear" w:pos="360"/>
      </w:tabs>
    </w:pPr>
  </w:style>
  <w:style w:type="paragraph" w:customStyle="1" w:styleId="PI-3EMEASMCA">
    <w:name w:val="PI-3 EMEA_SMCA"/>
    <w:basedOn w:val="prastasis"/>
    <w:autoRedefine/>
    <w:uiPriority w:val="99"/>
    <w:rsid w:val="008F211F"/>
    <w:pPr>
      <w:spacing w:line="220" w:lineRule="exact"/>
    </w:pPr>
    <w:rPr>
      <w:b/>
      <w:bCs/>
      <w:sz w:val="22"/>
      <w:szCs w:val="22"/>
    </w:rPr>
  </w:style>
  <w:style w:type="paragraph" w:customStyle="1" w:styleId="BTbEMEASMCA">
    <w:name w:val="BT(b) EMEA_SMCA"/>
    <w:basedOn w:val="BTEMEASMCA"/>
    <w:autoRedefine/>
    <w:uiPriority w:val="99"/>
    <w:rsid w:val="008F211F"/>
    <w:rPr>
      <w:b/>
    </w:rPr>
  </w:style>
  <w:style w:type="paragraph" w:customStyle="1" w:styleId="BTbeEMEASMCA">
    <w:name w:val="BT(be) EMEA_SMCA"/>
    <w:basedOn w:val="BTEMEASMCA"/>
    <w:autoRedefine/>
    <w:uiPriority w:val="99"/>
    <w:rsid w:val="008F211F"/>
    <w:pPr>
      <w:jc w:val="center"/>
    </w:pPr>
    <w:rPr>
      <w:b/>
    </w:rPr>
  </w:style>
  <w:style w:type="paragraph" w:customStyle="1" w:styleId="BTeEMEASMCA">
    <w:name w:val="BT(e) EMEA_SMCA"/>
    <w:basedOn w:val="BTEMEASMCA"/>
    <w:autoRedefine/>
    <w:uiPriority w:val="99"/>
    <w:rsid w:val="008F211F"/>
    <w:pPr>
      <w:jc w:val="center"/>
    </w:pPr>
  </w:style>
  <w:style w:type="paragraph" w:customStyle="1" w:styleId="BTgEMEASMCA">
    <w:name w:val="BT(g) EMEA_SMCA"/>
    <w:basedOn w:val="BTEMEASMCA"/>
    <w:link w:val="BTgEMEASMCAChar"/>
    <w:autoRedefine/>
    <w:uiPriority w:val="99"/>
    <w:rsid w:val="008F211F"/>
    <w:rPr>
      <w:b/>
      <w:bCs w:val="0"/>
      <w:i/>
      <w:color w:val="008000"/>
    </w:rPr>
  </w:style>
  <w:style w:type="character" w:customStyle="1" w:styleId="BTEMEASMCAChar">
    <w:name w:val="BT EMEA_SMCA Char"/>
    <w:link w:val="BTEMEASMCA"/>
    <w:uiPriority w:val="99"/>
    <w:locked/>
    <w:rsid w:val="007F7D76"/>
    <w:rPr>
      <w:bCs/>
      <w:sz w:val="22"/>
      <w:lang w:eastAsia="x-none"/>
    </w:rPr>
  </w:style>
  <w:style w:type="character" w:customStyle="1" w:styleId="BTgEMEASMCAChar">
    <w:name w:val="BT(g) EMEA_SMCA Char"/>
    <w:link w:val="BTgEMEASMCA"/>
    <w:uiPriority w:val="99"/>
    <w:locked/>
    <w:rsid w:val="008F211F"/>
    <w:rPr>
      <w:i/>
      <w:color w:val="008000"/>
      <w:sz w:val="22"/>
      <w:lang w:val="lt-LT" w:eastAsia="en-US"/>
    </w:rPr>
  </w:style>
  <w:style w:type="paragraph" w:customStyle="1" w:styleId="BTuEMEASMCA">
    <w:name w:val="BT(u) EMEA_SMCA"/>
    <w:basedOn w:val="BTEMEASMCA"/>
    <w:autoRedefine/>
    <w:uiPriority w:val="99"/>
    <w:rsid w:val="008F211F"/>
  </w:style>
  <w:style w:type="paragraph" w:styleId="Debesliotekstas">
    <w:name w:val="Balloon Text"/>
    <w:basedOn w:val="prastasis"/>
    <w:link w:val="DebesliotekstasDiagrama"/>
    <w:uiPriority w:val="99"/>
    <w:semiHidden/>
    <w:rsid w:val="008F211F"/>
    <w:rPr>
      <w:rFonts w:ascii="Tahoma" w:hAnsi="Tahoma"/>
      <w:sz w:val="16"/>
      <w:szCs w:val="20"/>
      <w:lang w:eastAsia="x-none"/>
    </w:rPr>
  </w:style>
  <w:style w:type="character" w:customStyle="1" w:styleId="DebesliotekstasDiagrama">
    <w:name w:val="Debesėlio tekstas Diagrama"/>
    <w:link w:val="Debesliotekstas"/>
    <w:uiPriority w:val="99"/>
    <w:semiHidden/>
    <w:locked/>
    <w:rsid w:val="008F211F"/>
    <w:rPr>
      <w:rFonts w:ascii="Tahoma" w:hAnsi="Tahoma"/>
      <w:sz w:val="16"/>
      <w:lang w:val="lt-LT"/>
    </w:rPr>
  </w:style>
  <w:style w:type="paragraph" w:styleId="Dokumentostruktra">
    <w:name w:val="Document Map"/>
    <w:basedOn w:val="prastasis"/>
    <w:link w:val="DokumentostruktraDiagrama"/>
    <w:uiPriority w:val="99"/>
    <w:semiHidden/>
    <w:rsid w:val="008F211F"/>
    <w:pPr>
      <w:shd w:val="clear" w:color="auto" w:fill="000080"/>
    </w:pPr>
    <w:rPr>
      <w:rFonts w:ascii="Tahoma" w:hAnsi="Tahoma"/>
      <w:sz w:val="20"/>
      <w:szCs w:val="20"/>
      <w:lang w:eastAsia="x-none"/>
    </w:rPr>
  </w:style>
  <w:style w:type="character" w:customStyle="1" w:styleId="DokumentostruktraDiagrama">
    <w:name w:val="Dokumento struktūra Diagrama"/>
    <w:link w:val="Dokumentostruktra"/>
    <w:uiPriority w:val="99"/>
    <w:semiHidden/>
    <w:locked/>
    <w:rsid w:val="008F211F"/>
    <w:rPr>
      <w:rFonts w:ascii="Tahoma" w:hAnsi="Tahoma"/>
      <w:sz w:val="20"/>
      <w:shd w:val="clear" w:color="auto" w:fill="000080"/>
      <w:lang w:val="lt-LT"/>
    </w:rPr>
  </w:style>
  <w:style w:type="paragraph" w:customStyle="1" w:styleId="Style">
    <w:name w:val="Style"/>
    <w:uiPriority w:val="99"/>
    <w:rsid w:val="008F211F"/>
    <w:pPr>
      <w:widowControl w:val="0"/>
      <w:autoSpaceDE w:val="0"/>
      <w:autoSpaceDN w:val="0"/>
      <w:adjustRightInd w:val="0"/>
    </w:pPr>
    <w:rPr>
      <w:rFonts w:ascii="Arial" w:eastAsia="Batang" w:hAnsi="Arial" w:cs="Arial"/>
      <w:sz w:val="24"/>
      <w:szCs w:val="24"/>
      <w:lang w:eastAsia="ko-KR"/>
    </w:rPr>
  </w:style>
  <w:style w:type="table" w:styleId="Lentelstinklelis">
    <w:name w:val="Table Grid"/>
    <w:basedOn w:val="prastojilentel"/>
    <w:uiPriority w:val="99"/>
    <w:rsid w:val="008F211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8F211F"/>
    <w:pPr>
      <w:spacing w:after="120"/>
    </w:pPr>
    <w:rPr>
      <w:rFonts w:eastAsia="Times New Roman"/>
      <w:sz w:val="20"/>
      <w:szCs w:val="20"/>
      <w:lang w:eastAsia="x-none"/>
    </w:rPr>
  </w:style>
  <w:style w:type="character" w:customStyle="1" w:styleId="PagrindinistekstasDiagrama">
    <w:name w:val="Pagrindinis tekstas Diagrama"/>
    <w:link w:val="Pagrindinistekstas"/>
    <w:uiPriority w:val="99"/>
    <w:locked/>
    <w:rsid w:val="008F211F"/>
    <w:rPr>
      <w:rFonts w:eastAsia="Times New Roman"/>
      <w:sz w:val="20"/>
      <w:lang w:val="lt-LT"/>
    </w:rPr>
  </w:style>
  <w:style w:type="character" w:styleId="Komentaronuoroda">
    <w:name w:val="annotation reference"/>
    <w:uiPriority w:val="99"/>
    <w:semiHidden/>
    <w:rsid w:val="008F211F"/>
    <w:rPr>
      <w:rFonts w:cs="Times New Roman"/>
      <w:sz w:val="16"/>
    </w:rPr>
  </w:style>
  <w:style w:type="paragraph" w:styleId="Komentarotekstas">
    <w:name w:val="annotation text"/>
    <w:basedOn w:val="prastasis"/>
    <w:link w:val="KomentarotekstasDiagrama"/>
    <w:uiPriority w:val="99"/>
    <w:rsid w:val="008F211F"/>
    <w:rPr>
      <w:rFonts w:eastAsia="Times New Roman"/>
      <w:sz w:val="20"/>
      <w:szCs w:val="20"/>
      <w:lang w:eastAsia="x-none"/>
    </w:rPr>
  </w:style>
  <w:style w:type="character" w:customStyle="1" w:styleId="KomentarotekstasDiagrama">
    <w:name w:val="Komentaro tekstas Diagrama"/>
    <w:link w:val="Komentarotekstas"/>
    <w:uiPriority w:val="99"/>
    <w:locked/>
    <w:rsid w:val="008F211F"/>
    <w:rPr>
      <w:rFonts w:eastAsia="Times New Roman"/>
      <w:sz w:val="20"/>
      <w:lang w:val="lt-LT"/>
    </w:rPr>
  </w:style>
  <w:style w:type="paragraph" w:styleId="Komentarotema">
    <w:name w:val="annotation subject"/>
    <w:basedOn w:val="Komentarotekstas"/>
    <w:next w:val="Komentarotekstas"/>
    <w:link w:val="KomentarotemaDiagrama"/>
    <w:uiPriority w:val="99"/>
    <w:semiHidden/>
    <w:rsid w:val="008F211F"/>
    <w:rPr>
      <w:b/>
    </w:rPr>
  </w:style>
  <w:style w:type="character" w:customStyle="1" w:styleId="KomentarotemaDiagrama">
    <w:name w:val="Komentaro tema Diagrama"/>
    <w:link w:val="Komentarotema"/>
    <w:uiPriority w:val="99"/>
    <w:semiHidden/>
    <w:locked/>
    <w:rsid w:val="008F211F"/>
    <w:rPr>
      <w:rFonts w:eastAsia="Times New Roman"/>
      <w:b/>
      <w:sz w:val="20"/>
      <w:lang w:val="lt-LT"/>
    </w:rPr>
  </w:style>
  <w:style w:type="paragraph" w:styleId="Pavadinimas">
    <w:name w:val="Title"/>
    <w:basedOn w:val="prastasis"/>
    <w:link w:val="PavadinimasDiagrama"/>
    <w:uiPriority w:val="99"/>
    <w:qFormat/>
    <w:rsid w:val="008F211F"/>
    <w:rPr>
      <w:rFonts w:eastAsia="Times New Roman"/>
      <w:b/>
      <w:sz w:val="20"/>
      <w:szCs w:val="20"/>
      <w:lang w:eastAsia="x-none"/>
    </w:rPr>
  </w:style>
  <w:style w:type="character" w:customStyle="1" w:styleId="PavadinimasDiagrama">
    <w:name w:val="Pavadinimas Diagrama"/>
    <w:link w:val="Pavadinimas"/>
    <w:uiPriority w:val="99"/>
    <w:locked/>
    <w:rsid w:val="008F211F"/>
    <w:rPr>
      <w:rFonts w:eastAsia="Times New Roman"/>
      <w:b/>
      <w:sz w:val="20"/>
      <w:lang w:val="lt-LT"/>
    </w:rPr>
  </w:style>
  <w:style w:type="paragraph" w:styleId="Porat">
    <w:name w:val="footer"/>
    <w:basedOn w:val="prastasis"/>
    <w:link w:val="PoratDiagrama"/>
    <w:uiPriority w:val="99"/>
    <w:rsid w:val="008F211F"/>
    <w:pPr>
      <w:tabs>
        <w:tab w:val="center" w:pos="4153"/>
        <w:tab w:val="right" w:pos="8306"/>
      </w:tabs>
    </w:pPr>
    <w:rPr>
      <w:rFonts w:eastAsia="Times New Roman"/>
      <w:sz w:val="20"/>
      <w:szCs w:val="20"/>
      <w:lang w:eastAsia="x-none"/>
    </w:rPr>
  </w:style>
  <w:style w:type="character" w:customStyle="1" w:styleId="PoratDiagrama">
    <w:name w:val="Poraštė Diagrama"/>
    <w:link w:val="Porat"/>
    <w:uiPriority w:val="99"/>
    <w:locked/>
    <w:rsid w:val="008F211F"/>
    <w:rPr>
      <w:rFonts w:eastAsia="Times New Roman"/>
      <w:sz w:val="20"/>
      <w:lang w:val="lt-LT"/>
    </w:rPr>
  </w:style>
  <w:style w:type="paragraph" w:styleId="Turinys4">
    <w:name w:val="toc 4"/>
    <w:basedOn w:val="prastasis"/>
    <w:next w:val="prastasis"/>
    <w:autoRedefine/>
    <w:uiPriority w:val="99"/>
    <w:semiHidden/>
    <w:rsid w:val="0008761E"/>
    <w:pPr>
      <w:ind w:left="720"/>
    </w:pPr>
    <w:rPr>
      <w:rFonts w:eastAsia="Times New Roman"/>
      <w:szCs w:val="20"/>
      <w:lang w:val="en-GB" w:eastAsia="cs-CZ"/>
    </w:rPr>
  </w:style>
  <w:style w:type="paragraph" w:styleId="Antrats">
    <w:name w:val="header"/>
    <w:basedOn w:val="prastasis"/>
    <w:link w:val="AntratsDiagrama"/>
    <w:uiPriority w:val="99"/>
    <w:semiHidden/>
    <w:locked/>
    <w:rsid w:val="000E1B79"/>
    <w:pPr>
      <w:tabs>
        <w:tab w:val="center" w:pos="4819"/>
        <w:tab w:val="right" w:pos="9638"/>
      </w:tabs>
    </w:pPr>
    <w:rPr>
      <w:szCs w:val="20"/>
      <w:lang w:val="x-none"/>
    </w:rPr>
  </w:style>
  <w:style w:type="character" w:customStyle="1" w:styleId="AntratsDiagrama">
    <w:name w:val="Antraštės Diagrama"/>
    <w:link w:val="Antrats"/>
    <w:uiPriority w:val="99"/>
    <w:semiHidden/>
    <w:locked/>
    <w:rsid w:val="000E1B79"/>
    <w:rPr>
      <w:sz w:val="24"/>
      <w:lang w:eastAsia="en-US"/>
    </w:rPr>
  </w:style>
  <w:style w:type="paragraph" w:customStyle="1" w:styleId="N">
    <w:name w:val="N"/>
    <w:basedOn w:val="prastasis"/>
    <w:uiPriority w:val="99"/>
    <w:rsid w:val="007546D4"/>
    <w:rPr>
      <w:sz w:val="22"/>
      <w:szCs w:val="20"/>
      <w:lang w:val="de-DE"/>
    </w:rPr>
  </w:style>
  <w:style w:type="character" w:customStyle="1" w:styleId="st">
    <w:name w:val="st"/>
    <w:uiPriority w:val="99"/>
    <w:rsid w:val="00E65478"/>
  </w:style>
  <w:style w:type="paragraph" w:styleId="Paprastasistekstas">
    <w:name w:val="Plain Text"/>
    <w:basedOn w:val="prastasis"/>
    <w:link w:val="PaprastasistekstasDiagrama"/>
    <w:uiPriority w:val="99"/>
    <w:locked/>
    <w:rsid w:val="00FF6940"/>
    <w:rPr>
      <w:rFonts w:ascii="Courier New" w:eastAsia="SimSun" w:hAnsi="Courier New"/>
      <w:sz w:val="20"/>
      <w:szCs w:val="20"/>
      <w:lang w:val="en-US"/>
    </w:rPr>
  </w:style>
  <w:style w:type="character" w:customStyle="1" w:styleId="PaprastasistekstasDiagrama">
    <w:name w:val="Paprastasis tekstas Diagrama"/>
    <w:link w:val="Paprastasistekstas"/>
    <w:uiPriority w:val="99"/>
    <w:locked/>
    <w:rsid w:val="00FF6940"/>
    <w:rPr>
      <w:rFonts w:ascii="Courier New" w:eastAsia="SimSun" w:hAnsi="Courier New"/>
      <w:lang w:val="en-US" w:eastAsia="en-US"/>
    </w:rPr>
  </w:style>
  <w:style w:type="character" w:customStyle="1" w:styleId="Antrat5Diagrama">
    <w:name w:val="Antraštė 5 Diagrama"/>
    <w:link w:val="Antrat5"/>
    <w:uiPriority w:val="9"/>
    <w:rsid w:val="008D6F80"/>
    <w:rPr>
      <w:i/>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094">
      <w:bodyDiv w:val="1"/>
      <w:marLeft w:val="0"/>
      <w:marRight w:val="0"/>
      <w:marTop w:val="0"/>
      <w:marBottom w:val="0"/>
      <w:divBdr>
        <w:top w:val="none" w:sz="0" w:space="0" w:color="auto"/>
        <w:left w:val="none" w:sz="0" w:space="0" w:color="auto"/>
        <w:bottom w:val="none" w:sz="0" w:space="0" w:color="auto"/>
        <w:right w:val="none" w:sz="0" w:space="0" w:color="auto"/>
      </w:divBdr>
    </w:div>
    <w:div w:id="885995214">
      <w:marLeft w:val="0"/>
      <w:marRight w:val="0"/>
      <w:marTop w:val="0"/>
      <w:marBottom w:val="0"/>
      <w:divBdr>
        <w:top w:val="none" w:sz="0" w:space="0" w:color="auto"/>
        <w:left w:val="none" w:sz="0" w:space="0" w:color="auto"/>
        <w:bottom w:val="none" w:sz="0" w:space="0" w:color="auto"/>
        <w:right w:val="none" w:sz="0" w:space="0" w:color="auto"/>
      </w:divBdr>
    </w:div>
    <w:div w:id="885995215">
      <w:marLeft w:val="0"/>
      <w:marRight w:val="0"/>
      <w:marTop w:val="0"/>
      <w:marBottom w:val="0"/>
      <w:divBdr>
        <w:top w:val="none" w:sz="0" w:space="0" w:color="auto"/>
        <w:left w:val="none" w:sz="0" w:space="0" w:color="auto"/>
        <w:bottom w:val="none" w:sz="0" w:space="0" w:color="auto"/>
        <w:right w:val="none" w:sz="0" w:space="0" w:color="auto"/>
      </w:divBdr>
    </w:div>
    <w:div w:id="885995216">
      <w:marLeft w:val="0"/>
      <w:marRight w:val="0"/>
      <w:marTop w:val="0"/>
      <w:marBottom w:val="0"/>
      <w:divBdr>
        <w:top w:val="none" w:sz="0" w:space="0" w:color="auto"/>
        <w:left w:val="none" w:sz="0" w:space="0" w:color="auto"/>
        <w:bottom w:val="none" w:sz="0" w:space="0" w:color="auto"/>
        <w:right w:val="none" w:sz="0" w:space="0" w:color="auto"/>
      </w:divBdr>
    </w:div>
    <w:div w:id="885995217">
      <w:marLeft w:val="0"/>
      <w:marRight w:val="0"/>
      <w:marTop w:val="0"/>
      <w:marBottom w:val="0"/>
      <w:divBdr>
        <w:top w:val="none" w:sz="0" w:space="0" w:color="auto"/>
        <w:left w:val="none" w:sz="0" w:space="0" w:color="auto"/>
        <w:bottom w:val="none" w:sz="0" w:space="0" w:color="auto"/>
        <w:right w:val="none" w:sz="0" w:space="0" w:color="auto"/>
      </w:divBdr>
    </w:div>
    <w:div w:id="885995218">
      <w:marLeft w:val="0"/>
      <w:marRight w:val="0"/>
      <w:marTop w:val="0"/>
      <w:marBottom w:val="0"/>
      <w:divBdr>
        <w:top w:val="none" w:sz="0" w:space="0" w:color="auto"/>
        <w:left w:val="none" w:sz="0" w:space="0" w:color="auto"/>
        <w:bottom w:val="none" w:sz="0" w:space="0" w:color="auto"/>
        <w:right w:val="none" w:sz="0" w:space="0" w:color="auto"/>
      </w:divBdr>
    </w:div>
    <w:div w:id="885995219">
      <w:marLeft w:val="0"/>
      <w:marRight w:val="0"/>
      <w:marTop w:val="0"/>
      <w:marBottom w:val="0"/>
      <w:divBdr>
        <w:top w:val="none" w:sz="0" w:space="0" w:color="auto"/>
        <w:left w:val="none" w:sz="0" w:space="0" w:color="auto"/>
        <w:bottom w:val="none" w:sz="0" w:space="0" w:color="auto"/>
        <w:right w:val="none" w:sz="0" w:space="0" w:color="auto"/>
      </w:divBdr>
    </w:div>
    <w:div w:id="885995220">
      <w:marLeft w:val="0"/>
      <w:marRight w:val="0"/>
      <w:marTop w:val="0"/>
      <w:marBottom w:val="0"/>
      <w:divBdr>
        <w:top w:val="none" w:sz="0" w:space="0" w:color="auto"/>
        <w:left w:val="none" w:sz="0" w:space="0" w:color="auto"/>
        <w:bottom w:val="none" w:sz="0" w:space="0" w:color="auto"/>
        <w:right w:val="none" w:sz="0" w:space="0" w:color="auto"/>
      </w:divBdr>
    </w:div>
    <w:div w:id="885995221">
      <w:marLeft w:val="0"/>
      <w:marRight w:val="0"/>
      <w:marTop w:val="0"/>
      <w:marBottom w:val="0"/>
      <w:divBdr>
        <w:top w:val="none" w:sz="0" w:space="0" w:color="auto"/>
        <w:left w:val="none" w:sz="0" w:space="0" w:color="auto"/>
        <w:bottom w:val="none" w:sz="0" w:space="0" w:color="auto"/>
        <w:right w:val="none" w:sz="0" w:space="0" w:color="auto"/>
      </w:divBdr>
    </w:div>
    <w:div w:id="885995222">
      <w:marLeft w:val="0"/>
      <w:marRight w:val="0"/>
      <w:marTop w:val="0"/>
      <w:marBottom w:val="0"/>
      <w:divBdr>
        <w:top w:val="none" w:sz="0" w:space="0" w:color="auto"/>
        <w:left w:val="none" w:sz="0" w:space="0" w:color="auto"/>
        <w:bottom w:val="none" w:sz="0" w:space="0" w:color="auto"/>
        <w:right w:val="none" w:sz="0" w:space="0" w:color="auto"/>
      </w:divBdr>
    </w:div>
    <w:div w:id="885995223">
      <w:marLeft w:val="0"/>
      <w:marRight w:val="0"/>
      <w:marTop w:val="0"/>
      <w:marBottom w:val="0"/>
      <w:divBdr>
        <w:top w:val="none" w:sz="0" w:space="0" w:color="auto"/>
        <w:left w:val="none" w:sz="0" w:space="0" w:color="auto"/>
        <w:bottom w:val="none" w:sz="0" w:space="0" w:color="auto"/>
        <w:right w:val="none" w:sz="0" w:space="0" w:color="auto"/>
      </w:divBdr>
    </w:div>
    <w:div w:id="885995224">
      <w:marLeft w:val="0"/>
      <w:marRight w:val="0"/>
      <w:marTop w:val="0"/>
      <w:marBottom w:val="0"/>
      <w:divBdr>
        <w:top w:val="none" w:sz="0" w:space="0" w:color="auto"/>
        <w:left w:val="none" w:sz="0" w:space="0" w:color="auto"/>
        <w:bottom w:val="none" w:sz="0" w:space="0" w:color="auto"/>
        <w:right w:val="none" w:sz="0" w:space="0" w:color="auto"/>
      </w:divBdr>
    </w:div>
    <w:div w:id="197960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C8E9A-62BF-405E-AD54-830B7BB7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51580</Words>
  <Characters>29402</Characters>
  <Application>Microsoft Office Word</Application>
  <DocSecurity>4</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Teva</Company>
  <LinksUpToDate>false</LinksUpToDate>
  <CharactersWithSpaces>80821</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vprialgauskiene</dc:creator>
  <cp:keywords/>
  <cp:lastModifiedBy>Albina Burkauskaitė</cp:lastModifiedBy>
  <cp:revision>2</cp:revision>
  <dcterms:created xsi:type="dcterms:W3CDTF">2023-02-10T06:17:00Z</dcterms:created>
  <dcterms:modified xsi:type="dcterms:W3CDTF">2023-02-10T06:17:00Z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0x010100222A9629837B224A824DBC05CB4238BF</vt:lpwstr>
  </property>
</Properties>
</file>