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00" w:rsidRPr="009741DB" w:rsidRDefault="00724C00" w:rsidP="00724C00">
      <w:pPr>
        <w:pStyle w:val="TTEMEASMCA"/>
        <w:rPr>
          <w:lang w:val="lt-LT"/>
        </w:rPr>
      </w:pPr>
      <w:bookmarkStart w:id="0" w:name="_Toc129243263"/>
      <w:bookmarkStart w:id="1" w:name="_Toc129243138"/>
      <w:r w:rsidRPr="009741DB">
        <w:rPr>
          <w:lang w:val="lt-LT"/>
        </w:rPr>
        <w:t>PAKUOTĖS LAPELIS: INFORMACIJA VARTOTOJUI</w:t>
      </w:r>
      <w:bookmarkEnd w:id="0"/>
      <w:bookmarkEnd w:id="1"/>
    </w:p>
    <w:p w:rsidR="00724C00" w:rsidRDefault="00724C00" w:rsidP="00724C00">
      <w:pPr>
        <w:pStyle w:val="BTEMEASMCA"/>
      </w:pPr>
    </w:p>
    <w:p w:rsidR="00724C00" w:rsidRDefault="00724C00" w:rsidP="00724C00">
      <w:pPr>
        <w:tabs>
          <w:tab w:val="left" w:pos="540"/>
        </w:tabs>
        <w:jc w:val="center"/>
        <w:rPr>
          <w:b/>
          <w:sz w:val="22"/>
          <w:szCs w:val="22"/>
        </w:rPr>
      </w:pPr>
      <w:proofErr w:type="spellStart"/>
      <w:r>
        <w:rPr>
          <w:b/>
          <w:sz w:val="22"/>
          <w:szCs w:val="22"/>
        </w:rPr>
        <w:t>Manti</w:t>
      </w:r>
      <w:proofErr w:type="spellEnd"/>
      <w:r>
        <w:rPr>
          <w:b/>
          <w:sz w:val="22"/>
          <w:szCs w:val="22"/>
        </w:rPr>
        <w:t xml:space="preserve"> mėtų skonio kramtomosios tabletės</w:t>
      </w:r>
    </w:p>
    <w:p w:rsidR="00724C00" w:rsidRDefault="00724C00" w:rsidP="00724C00">
      <w:pPr>
        <w:pStyle w:val="BTeEMEASMCA"/>
      </w:pPr>
      <w:r>
        <w:t>Aliuminio hidroksidas, magnio hidroksidas, simetikonas</w:t>
      </w:r>
    </w:p>
    <w:p w:rsidR="00724C00" w:rsidRDefault="00724C00" w:rsidP="00724C00">
      <w:pPr>
        <w:pStyle w:val="BTEMEASMCA"/>
      </w:pPr>
    </w:p>
    <w:p w:rsidR="00724C00" w:rsidRDefault="00724C00" w:rsidP="00724C00">
      <w:pPr>
        <w:pStyle w:val="BTbEMEASMCA"/>
      </w:pPr>
      <w:r>
        <w:t xml:space="preserve">Atidžiai perskaitykite visą šį lapelį, </w:t>
      </w:r>
      <w:r w:rsidRPr="00F86876">
        <w:t xml:space="preserve">prieš pradėdami vartoti vaistą, </w:t>
      </w:r>
      <w:r>
        <w:t>nes jame pateikiama Jums svarbi informacija.</w:t>
      </w:r>
    </w:p>
    <w:p w:rsidR="00724C00" w:rsidRDefault="00724C00" w:rsidP="00724C00">
      <w:pPr>
        <w:pStyle w:val="BTEMEASMCA"/>
      </w:pPr>
      <w:r w:rsidRPr="00F86876">
        <w:t>Visada vartokite šį vaistą tiksliai</w:t>
      </w:r>
      <w:r>
        <w:t>,</w:t>
      </w:r>
      <w:r w:rsidRPr="00F86876">
        <w:t xml:space="preserve"> kaip aprašyta šiame lapelyje arba kaip nurodė gydytojas arba vaistininkas</w:t>
      </w:r>
      <w:r>
        <w:t>.</w:t>
      </w:r>
    </w:p>
    <w:p w:rsidR="00724C00" w:rsidRDefault="00724C00" w:rsidP="00724C00">
      <w:pPr>
        <w:pStyle w:val="BT-EMEASMCA"/>
        <w:numPr>
          <w:ilvl w:val="0"/>
          <w:numId w:val="1"/>
        </w:numPr>
      </w:pPr>
      <w:r>
        <w:t>Neišmeskite šio lapelio, nes vėl gali prireikti jį perskaityti.</w:t>
      </w:r>
    </w:p>
    <w:p w:rsidR="00724C00" w:rsidRDefault="00724C00" w:rsidP="00724C00">
      <w:pPr>
        <w:pStyle w:val="BT-EMEASMCA"/>
        <w:numPr>
          <w:ilvl w:val="0"/>
          <w:numId w:val="1"/>
        </w:numPr>
      </w:pPr>
      <w:r>
        <w:t>Jeigu norite sužinoti daugiau arba pasitarti, kreipkitės į vaistininką.</w:t>
      </w:r>
    </w:p>
    <w:p w:rsidR="00724C00" w:rsidRDefault="00724C00" w:rsidP="00724C00">
      <w:pPr>
        <w:pStyle w:val="BT-EMEASMCA"/>
        <w:numPr>
          <w:ilvl w:val="0"/>
          <w:numId w:val="1"/>
        </w:numPr>
      </w:pPr>
      <w:r>
        <w:t>Jeigu pasireiškė šalutinis poveikis (net jeigu jis šiame lapelyje nenurodytas), kreipkitės į gydytoją arba vaistininką. Žr. 4 skyrių.</w:t>
      </w:r>
    </w:p>
    <w:p w:rsidR="00724C00" w:rsidRDefault="00724C00" w:rsidP="00724C00">
      <w:pPr>
        <w:pStyle w:val="BT-EMEASMCA"/>
        <w:numPr>
          <w:ilvl w:val="0"/>
          <w:numId w:val="1"/>
        </w:numPr>
      </w:pPr>
      <w:r>
        <w:t>Jeigu per 7 dienas Jūsų savijauta nepagerėjo arba net pablogėjo, kreipkitės į gydytoją.</w:t>
      </w:r>
    </w:p>
    <w:p w:rsidR="00724C00" w:rsidRDefault="00724C00" w:rsidP="00724C00">
      <w:pPr>
        <w:pStyle w:val="BTbEMEASMCA"/>
      </w:pPr>
    </w:p>
    <w:p w:rsidR="00724C00" w:rsidRDefault="00724C00" w:rsidP="00724C00">
      <w:pPr>
        <w:pStyle w:val="BTbEMEASMCA"/>
      </w:pPr>
      <w:r w:rsidRPr="00F86876">
        <w:t>Apie ką rašoma šiame lapelyje?</w:t>
      </w:r>
    </w:p>
    <w:p w:rsidR="00724C00" w:rsidRDefault="00724C00" w:rsidP="00724C00">
      <w:pPr>
        <w:pStyle w:val="BTEMEASMCA"/>
      </w:pPr>
      <w:r>
        <w:t>1.</w:t>
      </w:r>
      <w:r>
        <w:tab/>
        <w:t>Kas yra Manti ir kam jis vartojamas</w:t>
      </w:r>
    </w:p>
    <w:p w:rsidR="00724C00" w:rsidRDefault="00724C00" w:rsidP="00724C00">
      <w:pPr>
        <w:pStyle w:val="BTEMEASMCA"/>
      </w:pPr>
      <w:r>
        <w:t>2.</w:t>
      </w:r>
      <w:r>
        <w:tab/>
        <w:t xml:space="preserve">Kas žinotina prieš vartojant Manti </w:t>
      </w:r>
    </w:p>
    <w:p w:rsidR="00724C00" w:rsidRDefault="00724C00" w:rsidP="00724C00">
      <w:pPr>
        <w:pStyle w:val="BTEMEASMCA"/>
      </w:pPr>
      <w:r>
        <w:t>3.</w:t>
      </w:r>
      <w:r>
        <w:tab/>
        <w:t xml:space="preserve">Kaip vartoti Manti </w:t>
      </w:r>
    </w:p>
    <w:p w:rsidR="00724C00" w:rsidRDefault="00724C00" w:rsidP="00724C00">
      <w:pPr>
        <w:pStyle w:val="BTEMEASMCA"/>
      </w:pPr>
      <w:r>
        <w:t>4.</w:t>
      </w:r>
      <w:r>
        <w:tab/>
        <w:t>Galimas šalutinis poveikis</w:t>
      </w:r>
    </w:p>
    <w:p w:rsidR="00724C00" w:rsidRDefault="00724C00" w:rsidP="00724C00">
      <w:pPr>
        <w:pStyle w:val="BTEMEASMCA"/>
      </w:pPr>
      <w:r>
        <w:t>5.</w:t>
      </w:r>
      <w:r>
        <w:tab/>
        <w:t xml:space="preserve">Kaip laikyti Manti </w:t>
      </w:r>
    </w:p>
    <w:p w:rsidR="00724C00" w:rsidRDefault="00724C00" w:rsidP="00724C00">
      <w:pPr>
        <w:pStyle w:val="BTEMEASMCA"/>
      </w:pPr>
      <w:r>
        <w:t>6.</w:t>
      </w:r>
      <w:r>
        <w:tab/>
      </w:r>
      <w:r w:rsidRPr="00F86876">
        <w:t xml:space="preserve">Pakuotės turinys ir </w:t>
      </w:r>
      <w:r>
        <w:t>kita informacija</w:t>
      </w:r>
    </w:p>
    <w:p w:rsidR="00724C00" w:rsidRDefault="00724C00" w:rsidP="00724C00">
      <w:pPr>
        <w:pStyle w:val="BTEMEASMCA"/>
      </w:pPr>
    </w:p>
    <w:p w:rsidR="00724C00" w:rsidRDefault="00724C00" w:rsidP="00724C00">
      <w:pPr>
        <w:pStyle w:val="BTEMEASMCA"/>
      </w:pPr>
    </w:p>
    <w:p w:rsidR="00724C00" w:rsidRDefault="00724C00" w:rsidP="00724C00">
      <w:pPr>
        <w:pStyle w:val="PI-1EMEASMCA"/>
      </w:pPr>
      <w:bookmarkStart w:id="2" w:name="_Toc129243264"/>
      <w:bookmarkStart w:id="3" w:name="_Toc129243139"/>
      <w:r>
        <w:t>1.</w:t>
      </w:r>
      <w:r>
        <w:tab/>
        <w:t>KAS YRA MANTI IR KAM JIS VARTOJAMAS</w:t>
      </w:r>
      <w:bookmarkEnd w:id="2"/>
      <w:bookmarkEnd w:id="3"/>
    </w:p>
    <w:p w:rsidR="00724C00" w:rsidRDefault="00724C00" w:rsidP="00724C00">
      <w:pPr>
        <w:pStyle w:val="BTEMEASMCA"/>
      </w:pPr>
    </w:p>
    <w:p w:rsidR="00724C00" w:rsidRPr="008152A6" w:rsidRDefault="00724C00" w:rsidP="00724C00">
      <w:pPr>
        <w:pStyle w:val="BTEMEASMCA"/>
      </w:pPr>
      <w:r w:rsidRPr="00AC4A21">
        <w:t>Manti mėtų skonio kramtomosios tabletės yra taip vadinamas antacidinis vaistas.</w:t>
      </w:r>
      <w:r w:rsidRPr="00583628">
        <w:t xml:space="preserve"> </w:t>
      </w:r>
      <w:r>
        <w:t>Jis mažina skrandžio rūgšties kiekį</w:t>
      </w:r>
      <w:r w:rsidRPr="008152A6">
        <w:t>.</w:t>
      </w:r>
    </w:p>
    <w:p w:rsidR="00724C00" w:rsidRPr="00F954B3" w:rsidRDefault="00724C00" w:rsidP="00724C00">
      <w:pPr>
        <w:pStyle w:val="BTEMEASMCA"/>
      </w:pPr>
      <w:r w:rsidRPr="003B0A52">
        <w:t xml:space="preserve">Manti mėtų skonio </w:t>
      </w:r>
      <w:r w:rsidRPr="008152A6">
        <w:t xml:space="preserve">kramtomosios tabletės vartojamos </w:t>
      </w:r>
      <w:r w:rsidRPr="00AA5ECA">
        <w:rPr>
          <w:b/>
        </w:rPr>
        <w:t>simptominiam</w:t>
      </w:r>
      <w:r w:rsidRPr="00F954B3">
        <w:rPr>
          <w:rFonts w:eastAsiaTheme="minorHAnsi"/>
          <w:b/>
        </w:rPr>
        <w:t xml:space="preserve"> padidėjusio skrandžio rūgštingumo gydymui</w:t>
      </w:r>
      <w:r>
        <w:t>, kai yra virškinimo sutrikimas, rėmuo, skrandžio ar dvylikapirštės žarnos opa, gastroezofaginis refliuksas (</w:t>
      </w:r>
      <w:r w:rsidRPr="00FC5BCC">
        <w:t>būklė, kurios metu</w:t>
      </w:r>
      <w:r>
        <w:t xml:space="preserve"> </w:t>
      </w:r>
      <w:r w:rsidRPr="00FC5BCC">
        <w:t>skrandžio turinys patenka į</w:t>
      </w:r>
      <w:r>
        <w:t xml:space="preserve"> stemplę - vamzdelį, kuris jungia ryklę ir skrandį)</w:t>
      </w:r>
      <w:r w:rsidRPr="00FC5BCC" w:rsidDel="00FC5BCC">
        <w:t xml:space="preserve"> </w:t>
      </w:r>
      <w:r>
        <w:t xml:space="preserve">arba duodenogastrinis refliuksas (būklė, kurios metu tulžis </w:t>
      </w:r>
      <w:r w:rsidRPr="00FC5BCC">
        <w:t xml:space="preserve">iš dvylikapirštės žarnos </w:t>
      </w:r>
      <w:r>
        <w:t>patenka į skrandį ir stemplę), skrandžio uždegimas, viršutinės skrandžio  dalies išvarža.</w:t>
      </w:r>
    </w:p>
    <w:p w:rsidR="00724C00" w:rsidRDefault="00724C00" w:rsidP="00724C00">
      <w:pPr>
        <w:pStyle w:val="BTEMEASMCA"/>
      </w:pPr>
    </w:p>
    <w:p w:rsidR="00724C00" w:rsidRDefault="00724C00" w:rsidP="00724C00">
      <w:pPr>
        <w:pStyle w:val="BTEMEASMCA"/>
      </w:pPr>
    </w:p>
    <w:p w:rsidR="00724C00" w:rsidRDefault="00724C00" w:rsidP="00724C00">
      <w:pPr>
        <w:pStyle w:val="PI-1EMEASMCA"/>
      </w:pPr>
      <w:bookmarkStart w:id="4" w:name="_Toc129243265"/>
      <w:bookmarkStart w:id="5" w:name="_Toc129243140"/>
      <w:r>
        <w:t>2.</w:t>
      </w:r>
      <w:r>
        <w:tab/>
        <w:t xml:space="preserve">KAS ŽINOTINA PRIEŠ VARTOJANT MANTI </w:t>
      </w:r>
      <w:bookmarkEnd w:id="4"/>
      <w:bookmarkEnd w:id="5"/>
    </w:p>
    <w:p w:rsidR="00724C00" w:rsidRDefault="00724C00" w:rsidP="00724C00">
      <w:pPr>
        <w:pStyle w:val="BTEMEASMCA"/>
      </w:pPr>
    </w:p>
    <w:p w:rsidR="00724C00" w:rsidRDefault="00724C00" w:rsidP="00724C00">
      <w:pPr>
        <w:pStyle w:val="PI-3EMEASMCA"/>
      </w:pPr>
      <w:proofErr w:type="spellStart"/>
      <w:r>
        <w:t>Manti</w:t>
      </w:r>
      <w:proofErr w:type="spellEnd"/>
      <w:r>
        <w:t xml:space="preserve"> vartoti negalima:</w:t>
      </w:r>
    </w:p>
    <w:p w:rsidR="00724C00" w:rsidRDefault="00724C00" w:rsidP="00724C00">
      <w:pPr>
        <w:pStyle w:val="BT-EMEASMCA"/>
        <w:numPr>
          <w:ilvl w:val="0"/>
          <w:numId w:val="2"/>
        </w:numPr>
      </w:pPr>
      <w:r>
        <w:t xml:space="preserve">jeigu yra alergija aliuminio hidroksidui, magnio hidroksidui, simetikonui arba bet kuriai pagalbinei šio vaisto medžiagai </w:t>
      </w:r>
      <w:r w:rsidRPr="00B34FA1">
        <w:rPr>
          <w:szCs w:val="24"/>
        </w:rPr>
        <w:t>(jos išvardytos 6 skyriuje)</w:t>
      </w:r>
      <w:r>
        <w:t>;</w:t>
      </w:r>
    </w:p>
    <w:p w:rsidR="00724C00" w:rsidRDefault="00724C00" w:rsidP="00724C00">
      <w:pPr>
        <w:pStyle w:val="BT-EMEASMCA"/>
        <w:numPr>
          <w:ilvl w:val="0"/>
          <w:numId w:val="2"/>
        </w:numPr>
        <w:rPr>
          <w:noProof w:val="0"/>
        </w:rPr>
      </w:pPr>
      <w:r>
        <w:rPr>
          <w:noProof w:val="0"/>
        </w:rPr>
        <w:t>Jeigu yra s</w:t>
      </w:r>
      <w:r>
        <w:t>unkus inkstų sutrikimas, ypač tais atvejais, kai atliekama dializė (procesas, kurio metu iš kraujo išvalomos nereikalingos medžiagos, kurias įprastai turėtų pašalinti inkstai);</w:t>
      </w:r>
    </w:p>
    <w:p w:rsidR="00724C00" w:rsidRDefault="00724C00" w:rsidP="00724C00">
      <w:pPr>
        <w:pStyle w:val="BT-EMEASMCA"/>
        <w:numPr>
          <w:ilvl w:val="0"/>
          <w:numId w:val="2"/>
        </w:numPr>
        <w:rPr>
          <w:noProof w:val="0"/>
        </w:rPr>
      </w:pPr>
      <w:r>
        <w:t xml:space="preserve">jeigu sergate Alzheimerio liga, </w:t>
      </w:r>
    </w:p>
    <w:p w:rsidR="00724C00" w:rsidRDefault="00724C00" w:rsidP="00724C00">
      <w:pPr>
        <w:pStyle w:val="BT-EMEASMCA"/>
        <w:numPr>
          <w:ilvl w:val="0"/>
          <w:numId w:val="2"/>
        </w:numPr>
        <w:rPr>
          <w:noProof w:val="0"/>
        </w:rPr>
      </w:pPr>
      <w:r>
        <w:t xml:space="preserve">jeigu sergate paveldima liga, dėl kurios kraujyje kaupiasi medžiaga, vadinama fenilalaninu (fenilketonurija), </w:t>
      </w:r>
    </w:p>
    <w:p w:rsidR="00724C00" w:rsidRDefault="00724C00" w:rsidP="00724C00">
      <w:pPr>
        <w:pStyle w:val="BT-EMEASMCA"/>
        <w:numPr>
          <w:ilvl w:val="0"/>
          <w:numId w:val="2"/>
        </w:numPr>
        <w:rPr>
          <w:noProof w:val="0"/>
        </w:rPr>
      </w:pPr>
      <w:r>
        <w:t>jeigu yra skeleto pažeidimas;</w:t>
      </w:r>
    </w:p>
    <w:p w:rsidR="00724C00" w:rsidRDefault="00724C00" w:rsidP="00724C00">
      <w:pPr>
        <w:pStyle w:val="BT-EMEASMCA"/>
        <w:numPr>
          <w:ilvl w:val="0"/>
          <w:numId w:val="2"/>
        </w:numPr>
        <w:rPr>
          <w:noProof w:val="0"/>
        </w:rPr>
      </w:pPr>
      <w:r>
        <w:t>jeigu pacientas yra jaunesnis nei 6 metų</w:t>
      </w:r>
      <w:r w:rsidRPr="00CF18EC">
        <w:t xml:space="preserve"> </w:t>
      </w:r>
      <w:r>
        <w:t>vaikas.</w:t>
      </w:r>
    </w:p>
    <w:p w:rsidR="00724C00" w:rsidRDefault="00724C00" w:rsidP="00724C00">
      <w:pPr>
        <w:pStyle w:val="BTEMEASMCA"/>
      </w:pPr>
    </w:p>
    <w:p w:rsidR="00724C00" w:rsidRDefault="00724C00" w:rsidP="00724C00">
      <w:pPr>
        <w:pStyle w:val="PI-3EMEASMCA"/>
      </w:pPr>
      <w:r w:rsidRPr="001B3E67">
        <w:t>Įspėjimai ir atsargumo priemonės</w:t>
      </w:r>
    </w:p>
    <w:p w:rsidR="00724C00" w:rsidRDefault="00724C00" w:rsidP="00724C00">
      <w:pPr>
        <w:ind w:right="-2"/>
        <w:rPr>
          <w:noProof/>
          <w:sz w:val="22"/>
          <w:szCs w:val="22"/>
        </w:rPr>
      </w:pPr>
      <w:r w:rsidRPr="00F954B3">
        <w:rPr>
          <w:noProof/>
          <w:sz w:val="22"/>
          <w:szCs w:val="22"/>
        </w:rPr>
        <w:t>Pasitarkite su gydytoju arba vaistininku, prieš pradėdami vartoti Manti</w:t>
      </w:r>
      <w:r>
        <w:rPr>
          <w:noProof/>
          <w:sz w:val="22"/>
          <w:szCs w:val="22"/>
        </w:rPr>
        <w:t>, jei:</w:t>
      </w:r>
      <w:r w:rsidRPr="00F954B3">
        <w:rPr>
          <w:noProof/>
          <w:sz w:val="22"/>
          <w:szCs w:val="22"/>
        </w:rPr>
        <w:t xml:space="preserve"> </w:t>
      </w:r>
    </w:p>
    <w:p w:rsidR="00724C00" w:rsidRDefault="00724C00" w:rsidP="00724C00">
      <w:pPr>
        <w:pStyle w:val="BT-EMEASMCA"/>
        <w:numPr>
          <w:ilvl w:val="0"/>
          <w:numId w:val="3"/>
        </w:numPr>
        <w:tabs>
          <w:tab w:val="left" w:pos="540"/>
        </w:tabs>
      </w:pPr>
      <w:r>
        <w:t>sergate inkstų liga.</w:t>
      </w:r>
    </w:p>
    <w:p w:rsidR="00724C00" w:rsidRPr="00AC60A3" w:rsidRDefault="00724C00" w:rsidP="00724C00">
      <w:pPr>
        <w:ind w:right="-2"/>
      </w:pPr>
      <w:r>
        <w:rPr>
          <w:noProof/>
          <w:sz w:val="22"/>
          <w:szCs w:val="22"/>
        </w:rPr>
        <w:t xml:space="preserve">Jei </w:t>
      </w:r>
      <w:r w:rsidRPr="00AC60A3">
        <w:t>Jūsų inkstų veikla yra sutrikusi ir Jūs ilgai vartojate šio vaisto, organizme gali kauptis aliuminis. Dėl to gali sumažėti kaulų tankis ir susilpnėti kaulai bei išsivystyti osteoporozė, taip pat gali silpnėti raumenys, galimas poveikis smegenų veiklai ar struktūrai.</w:t>
      </w:r>
    </w:p>
    <w:p w:rsidR="00724C00" w:rsidRDefault="00724C00" w:rsidP="00724C00">
      <w:pPr>
        <w:pStyle w:val="BTEMEASMCA"/>
      </w:pPr>
    </w:p>
    <w:p w:rsidR="00724C00" w:rsidRDefault="00724C00" w:rsidP="00724C00">
      <w:pPr>
        <w:pStyle w:val="PI-3EMEASMCA"/>
      </w:pPr>
      <w:r>
        <w:t xml:space="preserve">Kiti vaistai ir </w:t>
      </w:r>
      <w:proofErr w:type="spellStart"/>
      <w:r w:rsidRPr="00CF61FC">
        <w:t>Manti</w:t>
      </w:r>
      <w:proofErr w:type="spellEnd"/>
      <w:r w:rsidRPr="00CF61FC">
        <w:t xml:space="preserve"> </w:t>
      </w:r>
    </w:p>
    <w:p w:rsidR="00724C00" w:rsidRDefault="00724C00" w:rsidP="00724C00">
      <w:pPr>
        <w:pStyle w:val="BTEMEASMCA"/>
      </w:pPr>
      <w:r>
        <w:lastRenderedPageBreak/>
        <w:t>Jeigu vartojate arba neseniai vartojote kitų vaistų arba nesate dėl to tikri, apie tai pasakykite gydytojui arba vaistininkui. Tai ypač svarbu, jeigu vartojate bet kurio iš šių vaistų:</w:t>
      </w:r>
    </w:p>
    <w:p w:rsidR="00724C00" w:rsidRDefault="00724C00" w:rsidP="00724C00">
      <w:pPr>
        <w:pStyle w:val="BTEMEASMCA"/>
        <w:rPr>
          <w:noProof w:val="0"/>
        </w:rPr>
      </w:pPr>
      <w:r>
        <w:t>-     tam tikrų antibiotikų: izoniazido (nuo tuberkuliozės), nitrofurantoino,</w:t>
      </w:r>
    </w:p>
    <w:p w:rsidR="00724C00" w:rsidRDefault="00724C00" w:rsidP="00724C00">
      <w:pPr>
        <w:pStyle w:val="BTEMEASMCA"/>
        <w:numPr>
          <w:ilvl w:val="0"/>
          <w:numId w:val="4"/>
        </w:numPr>
        <w:rPr>
          <w:noProof w:val="0"/>
        </w:rPr>
      </w:pPr>
      <w:r>
        <w:t xml:space="preserve">chinino (nuo maliarijos), </w:t>
      </w:r>
    </w:p>
    <w:p w:rsidR="00724C00" w:rsidRDefault="00724C00" w:rsidP="00724C00">
      <w:pPr>
        <w:pStyle w:val="BTEMEASMCA"/>
        <w:numPr>
          <w:ilvl w:val="0"/>
          <w:numId w:val="4"/>
        </w:numPr>
        <w:rPr>
          <w:noProof w:val="0"/>
        </w:rPr>
      </w:pPr>
      <w:r>
        <w:t xml:space="preserve">ketokonazolo (nuo grybelių sukeltų infekcijų),  </w:t>
      </w:r>
    </w:p>
    <w:p w:rsidR="00724C00" w:rsidRDefault="00724C00" w:rsidP="00724C00">
      <w:pPr>
        <w:pStyle w:val="BTEMEASMCA"/>
        <w:numPr>
          <w:ilvl w:val="0"/>
          <w:numId w:val="4"/>
        </w:numPr>
        <w:rPr>
          <w:noProof w:val="0"/>
        </w:rPr>
      </w:pPr>
      <w:r>
        <w:t xml:space="preserve">vaistų nuo širdies ligų: propranololio, atenololio, kaptoprilio,  </w:t>
      </w:r>
      <w:r w:rsidRPr="004B4546">
        <w:t>mekamilamin</w:t>
      </w:r>
      <w:r>
        <w:t>o, kt.</w:t>
      </w:r>
      <w:r w:rsidRPr="004B4546">
        <w:t xml:space="preserve"> </w:t>
      </w:r>
    </w:p>
    <w:p w:rsidR="00724C00" w:rsidRDefault="00724C00" w:rsidP="00724C00">
      <w:pPr>
        <w:pStyle w:val="BTEMEASMCA"/>
        <w:numPr>
          <w:ilvl w:val="0"/>
          <w:numId w:val="4"/>
        </w:numPr>
        <w:rPr>
          <w:noProof w:val="0"/>
        </w:rPr>
      </w:pPr>
      <w:r>
        <w:t>aspirino ar kitų vaistų, vadinamų salicilatais,</w:t>
      </w:r>
    </w:p>
    <w:p w:rsidR="00724C00" w:rsidRDefault="00724C00" w:rsidP="00724C00">
      <w:pPr>
        <w:pStyle w:val="BTEMEASMCA"/>
        <w:numPr>
          <w:ilvl w:val="0"/>
          <w:numId w:val="4"/>
        </w:numPr>
        <w:rPr>
          <w:noProof w:val="0"/>
        </w:rPr>
      </w:pPr>
      <w:r>
        <w:t xml:space="preserve">ranitidino arba famotidino (vaistų nuo skrandžio opų arba rėmens), </w:t>
      </w:r>
    </w:p>
    <w:p w:rsidR="00724C00" w:rsidRDefault="00724C00" w:rsidP="00724C00">
      <w:pPr>
        <w:pStyle w:val="BTEMEASMCA"/>
        <w:numPr>
          <w:ilvl w:val="0"/>
          <w:numId w:val="4"/>
        </w:numPr>
        <w:rPr>
          <w:noProof w:val="0"/>
        </w:rPr>
      </w:pPr>
      <w:r>
        <w:t xml:space="preserve">vaistų arba maisto papildų, kurių sudėtyje yra geležies arba fosforo, </w:t>
      </w:r>
    </w:p>
    <w:p w:rsidR="00724C00" w:rsidRDefault="00724C00" w:rsidP="00724C00">
      <w:pPr>
        <w:pStyle w:val="BTEMEASMCA"/>
        <w:numPr>
          <w:ilvl w:val="0"/>
          <w:numId w:val="4"/>
        </w:numPr>
        <w:rPr>
          <w:noProof w:val="0"/>
        </w:rPr>
      </w:pPr>
      <w:r>
        <w:t>vaistų, vartojamų pašalinti kalio perteklių iš kraujo, vadinamų natrio polistireno sulfonato dervomis,</w:t>
      </w:r>
    </w:p>
    <w:p w:rsidR="00724C00" w:rsidRDefault="00724C00" w:rsidP="00724C00">
      <w:pPr>
        <w:pStyle w:val="BT-EMEASMCA"/>
        <w:numPr>
          <w:ilvl w:val="0"/>
          <w:numId w:val="4"/>
        </w:numPr>
        <w:rPr>
          <w:noProof w:val="0"/>
        </w:rPr>
      </w:pPr>
      <w:r>
        <w:t>tam tikrų antibiotikų, priklausančių tetraciklinų arba chinolonų grupėms (pvz., tetraciklino, oksitetraciklino, ciprofloksacino, levofloksacino, kt.).</w:t>
      </w:r>
    </w:p>
    <w:p w:rsidR="00724C00" w:rsidRDefault="00724C00" w:rsidP="00724C00">
      <w:pPr>
        <w:pStyle w:val="BTEMEASMCA"/>
      </w:pPr>
    </w:p>
    <w:p w:rsidR="00724C00" w:rsidRPr="00737615" w:rsidRDefault="00724C00" w:rsidP="00724C00">
      <w:pPr>
        <w:pStyle w:val="PI-3EMEASMCA"/>
        <w:ind w:left="0" w:firstLine="0"/>
        <w:rPr>
          <w:b w:val="0"/>
        </w:rPr>
      </w:pPr>
      <w:r>
        <w:rPr>
          <w:b w:val="0"/>
        </w:rPr>
        <w:t xml:space="preserve">Nevartokite </w:t>
      </w:r>
      <w:proofErr w:type="spellStart"/>
      <w:r>
        <w:rPr>
          <w:b w:val="0"/>
        </w:rPr>
        <w:t>Manti</w:t>
      </w:r>
      <w:proofErr w:type="spellEnd"/>
      <w:r>
        <w:rPr>
          <w:b w:val="0"/>
        </w:rPr>
        <w:t xml:space="preserve"> </w:t>
      </w:r>
      <w:r w:rsidRPr="00AA5ECA">
        <w:rPr>
          <w:b w:val="0"/>
        </w:rPr>
        <w:t>2 valand</w:t>
      </w:r>
      <w:r>
        <w:rPr>
          <w:b w:val="0"/>
        </w:rPr>
        <w:t>ų laikotarpiu</w:t>
      </w:r>
      <w:r w:rsidRPr="00737615">
        <w:rPr>
          <w:b w:val="0"/>
        </w:rPr>
        <w:t xml:space="preserve"> prieš </w:t>
      </w:r>
      <w:r>
        <w:rPr>
          <w:b w:val="0"/>
        </w:rPr>
        <w:t xml:space="preserve">arba po </w:t>
      </w:r>
      <w:r w:rsidRPr="00737615">
        <w:rPr>
          <w:b w:val="0"/>
        </w:rPr>
        <w:t>kit</w:t>
      </w:r>
      <w:r>
        <w:rPr>
          <w:b w:val="0"/>
        </w:rPr>
        <w:t>ų</w:t>
      </w:r>
      <w:r w:rsidRPr="00AA5ECA">
        <w:rPr>
          <w:b w:val="0"/>
        </w:rPr>
        <w:t xml:space="preserve"> geriam</w:t>
      </w:r>
      <w:r>
        <w:rPr>
          <w:b w:val="0"/>
        </w:rPr>
        <w:t>ųjų</w:t>
      </w:r>
      <w:r w:rsidRPr="00AA5ECA">
        <w:rPr>
          <w:b w:val="0"/>
        </w:rPr>
        <w:t xml:space="preserve"> vaist</w:t>
      </w:r>
      <w:r>
        <w:rPr>
          <w:b w:val="0"/>
        </w:rPr>
        <w:t>ų pavartojimo</w:t>
      </w:r>
      <w:r w:rsidRPr="00737615">
        <w:rPr>
          <w:b w:val="0"/>
        </w:rPr>
        <w:t xml:space="preserve">. </w:t>
      </w:r>
      <w:r>
        <w:rPr>
          <w:b w:val="0"/>
        </w:rPr>
        <w:t>Tai gali pakeisti į kraują patenkančio kito vaisto kiekį.</w:t>
      </w:r>
      <w:r w:rsidRPr="00737615">
        <w:rPr>
          <w:b w:val="0"/>
        </w:rPr>
        <w:br/>
      </w:r>
    </w:p>
    <w:p w:rsidR="00724C00" w:rsidRDefault="00724C00" w:rsidP="00724C00">
      <w:pPr>
        <w:pStyle w:val="PI-3EMEASMCA"/>
      </w:pPr>
      <w:proofErr w:type="spellStart"/>
      <w:r>
        <w:t>Manti</w:t>
      </w:r>
      <w:proofErr w:type="spellEnd"/>
      <w:r>
        <w:t xml:space="preserve"> vartojimas su maistu ir gėrimais</w:t>
      </w:r>
    </w:p>
    <w:p w:rsidR="00724C00" w:rsidRDefault="00724C00" w:rsidP="00724C00">
      <w:pPr>
        <w:pStyle w:val="BT-EMEASMCA"/>
        <w:ind w:left="0"/>
      </w:pPr>
      <w:r>
        <w:t>Manti vartojimo metu venkite citrusinių vaisių ir jų sulčių. Vartojant citrusinius vaisius arba jų sultis gali padidėti aliuminio kiekis Jūsų organizme.</w:t>
      </w:r>
    </w:p>
    <w:p w:rsidR="00724C00" w:rsidRDefault="00724C00" w:rsidP="00724C00">
      <w:pPr>
        <w:pStyle w:val="BTEMEASMCA"/>
      </w:pPr>
    </w:p>
    <w:p w:rsidR="00724C00" w:rsidRDefault="00724C00" w:rsidP="00724C00">
      <w:pPr>
        <w:pStyle w:val="PI-3EMEASMCA"/>
      </w:pPr>
      <w:r>
        <w:t>Nėštumas ir žindymo laikotarpis</w:t>
      </w:r>
    </w:p>
    <w:p w:rsidR="00724C00" w:rsidRPr="008B569C" w:rsidRDefault="00724C00" w:rsidP="00724C00">
      <w:pPr>
        <w:numPr>
          <w:ilvl w:val="12"/>
          <w:numId w:val="0"/>
        </w:numPr>
      </w:pPr>
      <w:r w:rsidRPr="00AA5ECA">
        <w:rPr>
          <w:noProof/>
          <w:sz w:val="22"/>
          <w:szCs w:val="22"/>
        </w:rPr>
        <w:t>Jeigu esate nėščia, žindote kūdikį, manote, kad galbūt esate nėščia, arba planuojate pastoti, tai prieš vartodama šį</w:t>
      </w:r>
      <w:r w:rsidRPr="00F954B3">
        <w:rPr>
          <w:sz w:val="22"/>
        </w:rPr>
        <w:t xml:space="preserve"> vaistą, </w:t>
      </w:r>
      <w:r w:rsidRPr="00AA5ECA">
        <w:rPr>
          <w:noProof/>
          <w:sz w:val="22"/>
          <w:szCs w:val="22"/>
        </w:rPr>
        <w:t>pasitarkite</w:t>
      </w:r>
      <w:r w:rsidRPr="00F954B3">
        <w:rPr>
          <w:sz w:val="22"/>
        </w:rPr>
        <w:t xml:space="preserve"> su gydytoju arba vaistininku.</w:t>
      </w:r>
      <w:r w:rsidRPr="00AA5ECA">
        <w:rPr>
          <w:sz w:val="22"/>
          <w:szCs w:val="22"/>
        </w:rPr>
        <w:t xml:space="preserve"> </w:t>
      </w:r>
    </w:p>
    <w:p w:rsidR="00724C00" w:rsidRDefault="00724C00" w:rsidP="00724C00">
      <w:pPr>
        <w:pStyle w:val="BTEMEASMCA"/>
        <w:rPr>
          <w:noProof w:val="0"/>
        </w:rPr>
      </w:pPr>
      <w:r>
        <w:t>Šis vaistas yra saugus vartoti nėštumo ir žindymo laikotarpiu, tačiau reikėtų vengti didelių dozių ir nevartoti ilgai.</w:t>
      </w:r>
    </w:p>
    <w:p w:rsidR="00724C00" w:rsidRDefault="00724C00" w:rsidP="00724C00">
      <w:pPr>
        <w:pStyle w:val="BTEMEASMCA"/>
      </w:pPr>
    </w:p>
    <w:p w:rsidR="00724C00" w:rsidRDefault="00724C00" w:rsidP="00724C00">
      <w:pPr>
        <w:pStyle w:val="PI-3EMEASMCA"/>
      </w:pPr>
      <w:r>
        <w:t>Vairavimas ir mechanizmų valdymas</w:t>
      </w:r>
    </w:p>
    <w:p w:rsidR="00724C00" w:rsidRDefault="00724C00" w:rsidP="00724C00">
      <w:pPr>
        <w:pStyle w:val="BTEMEASMCA"/>
      </w:pPr>
      <w:r>
        <w:t>Manti mėtų skonio neveikia gebėjimo vairuoti ir valdyti mechanizmus.</w:t>
      </w:r>
    </w:p>
    <w:p w:rsidR="00724C00" w:rsidRDefault="00724C00" w:rsidP="00724C00">
      <w:pPr>
        <w:pStyle w:val="BTEMEASMCA"/>
      </w:pPr>
    </w:p>
    <w:p w:rsidR="00724C00" w:rsidRDefault="00724C00" w:rsidP="00724C00">
      <w:pPr>
        <w:pStyle w:val="PI-3EMEASMCA"/>
      </w:pPr>
      <w:proofErr w:type="spellStart"/>
      <w:r>
        <w:t>Manti</w:t>
      </w:r>
      <w:proofErr w:type="spellEnd"/>
      <w:r>
        <w:t xml:space="preserve"> sudėtyje yra </w:t>
      </w:r>
      <w:proofErr w:type="spellStart"/>
      <w:r>
        <w:t>aspartamo</w:t>
      </w:r>
      <w:proofErr w:type="spellEnd"/>
      <w:r>
        <w:t xml:space="preserve"> (E951), </w:t>
      </w:r>
      <w:proofErr w:type="spellStart"/>
      <w:r>
        <w:t>sorbitolio</w:t>
      </w:r>
      <w:proofErr w:type="spellEnd"/>
      <w:r>
        <w:t xml:space="preserve"> (E420) ir natrio.</w:t>
      </w:r>
    </w:p>
    <w:p w:rsidR="00724C00" w:rsidRDefault="00724C00" w:rsidP="00724C00">
      <w:pPr>
        <w:tabs>
          <w:tab w:val="left" w:pos="540"/>
        </w:tabs>
      </w:pPr>
      <w:r>
        <w:rPr>
          <w:sz w:val="22"/>
          <w:szCs w:val="22"/>
          <w:lang w:val="pt-BR"/>
        </w:rPr>
        <w:t xml:space="preserve">Kiekvienoje Manti tabletėje yra 6,3 mg aspartamo. </w:t>
      </w:r>
      <w:proofErr w:type="spellStart"/>
      <w:r>
        <w:t>Aspartamas</w:t>
      </w:r>
      <w:proofErr w:type="spellEnd"/>
      <w:r>
        <w:t xml:space="preserve"> yra </w:t>
      </w:r>
      <w:proofErr w:type="spellStart"/>
      <w:r>
        <w:t>fenilalanino</w:t>
      </w:r>
      <w:proofErr w:type="spellEnd"/>
      <w:r>
        <w:t xml:space="preserve"> šaltinis. Jis gali būti kenksmingas sergantiems </w:t>
      </w:r>
      <w:proofErr w:type="spellStart"/>
      <w:r>
        <w:t>fenilketonurija</w:t>
      </w:r>
      <w:proofErr w:type="spellEnd"/>
      <w:r>
        <w:t xml:space="preserve">, reta genetine liga, kuria sergant </w:t>
      </w:r>
      <w:proofErr w:type="spellStart"/>
      <w:r>
        <w:t>fenilaninas</w:t>
      </w:r>
      <w:proofErr w:type="spellEnd"/>
      <w:r>
        <w:t xml:space="preserve"> kaupiasi organizme, nes organizmas negali jo tinkamai pašalinti. </w:t>
      </w:r>
    </w:p>
    <w:p w:rsidR="00724C00" w:rsidRDefault="00724C00" w:rsidP="00724C00">
      <w:pPr>
        <w:tabs>
          <w:tab w:val="left" w:pos="540"/>
        </w:tabs>
      </w:pPr>
    </w:p>
    <w:p w:rsidR="00724C00" w:rsidRPr="008B0319" w:rsidRDefault="00724C00" w:rsidP="00724C00">
      <w:pPr>
        <w:tabs>
          <w:tab w:val="left" w:pos="540"/>
        </w:tabs>
        <w:rPr>
          <w:sz w:val="22"/>
          <w:szCs w:val="22"/>
        </w:rPr>
      </w:pPr>
      <w:r w:rsidRPr="0031412B">
        <w:rPr>
          <w:sz w:val="22"/>
          <w:szCs w:val="22"/>
        </w:rPr>
        <w:t xml:space="preserve">Kiekvienoje šio vaisto tabletėje yra &lt;700 mg </w:t>
      </w:r>
      <w:proofErr w:type="spellStart"/>
      <w:r w:rsidRPr="0031412B">
        <w:rPr>
          <w:sz w:val="22"/>
          <w:szCs w:val="22"/>
        </w:rPr>
        <w:t>sorbitolio</w:t>
      </w:r>
      <w:proofErr w:type="spellEnd"/>
      <w:r w:rsidRPr="0031412B">
        <w:rPr>
          <w:sz w:val="22"/>
          <w:szCs w:val="22"/>
        </w:rPr>
        <w:t>.</w:t>
      </w:r>
      <w:r>
        <w:t xml:space="preserve"> </w:t>
      </w:r>
      <w:proofErr w:type="spellStart"/>
      <w:r w:rsidRPr="008B0319">
        <w:rPr>
          <w:rFonts w:eastAsiaTheme="minorHAnsi"/>
          <w:sz w:val="22"/>
          <w:szCs w:val="22"/>
        </w:rPr>
        <w:t>Sorbitolis</w:t>
      </w:r>
      <w:proofErr w:type="spellEnd"/>
      <w:r w:rsidRPr="008B0319">
        <w:rPr>
          <w:rFonts w:eastAsiaTheme="minorHAnsi"/>
          <w:sz w:val="22"/>
          <w:szCs w:val="22"/>
        </w:rPr>
        <w:t xml:space="preserve"> yra fruktozės šaltinis. Jeigu gydytojas yra sakęs, kad Jūs (ar Jūsų vaikas) netoleruojate kokių nors angliavandenių, ar Jums nustatytas retas genetinis sutrikimas įgimtas fruktozės </w:t>
      </w:r>
      <w:proofErr w:type="spellStart"/>
      <w:r w:rsidRPr="008B0319">
        <w:rPr>
          <w:rFonts w:eastAsiaTheme="minorHAnsi"/>
          <w:sz w:val="22"/>
          <w:szCs w:val="22"/>
        </w:rPr>
        <w:t>netoleravimas</w:t>
      </w:r>
      <w:proofErr w:type="spellEnd"/>
      <w:r w:rsidRPr="008B0319">
        <w:rPr>
          <w:rFonts w:eastAsiaTheme="minorHAnsi"/>
          <w:sz w:val="22"/>
          <w:szCs w:val="22"/>
        </w:rPr>
        <w:t xml:space="preserve"> (ĮFN), kurio atveju organizmas negali suskaidyti fruktozės, prieš vartodami šio vaisto (ar prieš duodami jo Jūsų vaikui), pasakykite</w:t>
      </w:r>
      <w:r>
        <w:rPr>
          <w:rFonts w:eastAsiaTheme="minorHAnsi"/>
          <w:sz w:val="22"/>
          <w:szCs w:val="22"/>
        </w:rPr>
        <w:t xml:space="preserve"> </w:t>
      </w:r>
      <w:r w:rsidRPr="008B0319">
        <w:rPr>
          <w:rFonts w:eastAsiaTheme="minorHAnsi"/>
          <w:sz w:val="22"/>
          <w:szCs w:val="22"/>
        </w:rPr>
        <w:t>gydytojui.</w:t>
      </w:r>
    </w:p>
    <w:p w:rsidR="00724C00" w:rsidRDefault="00724C00" w:rsidP="00724C00">
      <w:pPr>
        <w:pStyle w:val="BTEMEASMCA"/>
      </w:pPr>
    </w:p>
    <w:p w:rsidR="00724C00" w:rsidRDefault="00724C00" w:rsidP="00724C00">
      <w:pPr>
        <w:pStyle w:val="BTEMEASMCA"/>
      </w:pPr>
      <w:r w:rsidRPr="0031412B">
        <w:t>Šio vaisto</w:t>
      </w:r>
      <w:r>
        <w:t xml:space="preserve"> 1 tabletėje</w:t>
      </w:r>
      <w:r w:rsidRPr="0031412B">
        <w:t xml:space="preserve"> yra</w:t>
      </w:r>
      <w:r>
        <w:t xml:space="preserve"> </w:t>
      </w:r>
      <w:r w:rsidRPr="0031412B">
        <w:t>mažiau kaip 1 mmol (23 mg) natrio, t.y. jis beveik</w:t>
      </w:r>
      <w:r>
        <w:t xml:space="preserve"> </w:t>
      </w:r>
      <w:r w:rsidRPr="0031412B">
        <w:t>neturi reikšmės.</w:t>
      </w:r>
    </w:p>
    <w:p w:rsidR="00724C00" w:rsidRDefault="00724C00" w:rsidP="00724C00">
      <w:pPr>
        <w:pStyle w:val="BTEMEASMCA"/>
      </w:pPr>
    </w:p>
    <w:p w:rsidR="00724C00" w:rsidRDefault="00724C00" w:rsidP="00724C00">
      <w:pPr>
        <w:pStyle w:val="BTEMEASMCA"/>
      </w:pPr>
    </w:p>
    <w:p w:rsidR="00724C00" w:rsidRDefault="00724C00" w:rsidP="00724C00">
      <w:pPr>
        <w:pStyle w:val="PI-1EMEASMCA"/>
      </w:pPr>
      <w:bookmarkStart w:id="6" w:name="_Toc129243266"/>
      <w:bookmarkStart w:id="7" w:name="_Toc129243141"/>
      <w:r>
        <w:t>3.</w:t>
      </w:r>
      <w:r>
        <w:tab/>
        <w:t xml:space="preserve">KAIP VARTOTI </w:t>
      </w:r>
      <w:bookmarkEnd w:id="6"/>
      <w:bookmarkEnd w:id="7"/>
      <w:r>
        <w:t xml:space="preserve">MANTI </w:t>
      </w:r>
    </w:p>
    <w:p w:rsidR="00724C00" w:rsidRDefault="00724C00" w:rsidP="00724C00">
      <w:pPr>
        <w:pStyle w:val="BTEMEASMCA"/>
      </w:pPr>
    </w:p>
    <w:p w:rsidR="00724C00" w:rsidRDefault="00724C00" w:rsidP="00724C00">
      <w:pPr>
        <w:pStyle w:val="BTEMEASMCA"/>
      </w:pPr>
      <w:r w:rsidRPr="00CF61FC">
        <w:t>Visada vartokite šį vaistą tiksliai</w:t>
      </w:r>
      <w:r>
        <w:t>,</w:t>
      </w:r>
      <w:r w:rsidRPr="00CF61FC">
        <w:t xml:space="preserve"> kaip aprašyta šiame lapelyje arba kaip nurodė gydytojas arba vaistininkas</w:t>
      </w:r>
      <w:r>
        <w:t>. Jeigu abejojate, kreipkitės į gydytoją arba vaistininką.</w:t>
      </w:r>
    </w:p>
    <w:p w:rsidR="00724C00" w:rsidRDefault="00724C00" w:rsidP="00724C00">
      <w:pPr>
        <w:pStyle w:val="BTEMEASMCA"/>
      </w:pPr>
    </w:p>
    <w:p w:rsidR="00724C00" w:rsidRDefault="00724C00" w:rsidP="00724C00">
      <w:pPr>
        <w:pStyle w:val="BTEMEASMCA"/>
        <w:rPr>
          <w:noProof w:val="0"/>
        </w:rPr>
      </w:pPr>
      <w:r w:rsidRPr="00F954B3">
        <w:rPr>
          <w:i/>
        </w:rPr>
        <w:t>Suaugusie</w:t>
      </w:r>
      <w:r>
        <w:rPr>
          <w:i/>
        </w:rPr>
        <w:t>sie</w:t>
      </w:r>
      <w:r w:rsidRPr="00F954B3">
        <w:rPr>
          <w:i/>
        </w:rPr>
        <w:t xml:space="preserve">ms ir vyresniems negu 12 </w:t>
      </w:r>
      <w:r w:rsidRPr="00D965DC">
        <w:rPr>
          <w:i/>
        </w:rPr>
        <w:t>metų</w:t>
      </w:r>
      <w:r w:rsidRPr="00F954B3">
        <w:rPr>
          <w:i/>
        </w:rPr>
        <w:t xml:space="preserve"> vaikams</w:t>
      </w:r>
      <w:r>
        <w:t xml:space="preserve">: išgerkite po 1-3 tabletes tarp valgymų, prieš miegą ar atsiradus simptomams. Nevartokite daugiau kaip 8 tablečių per dieną. Prieš nuryjant tabletes reikia gerai sukramtyti. </w:t>
      </w:r>
    </w:p>
    <w:p w:rsidR="00724C00" w:rsidRDefault="00724C00" w:rsidP="00724C00">
      <w:pPr>
        <w:pStyle w:val="BTEMEASMCA"/>
      </w:pPr>
    </w:p>
    <w:p w:rsidR="00724C00" w:rsidRDefault="00724C00" w:rsidP="00724C00">
      <w:pPr>
        <w:pStyle w:val="PI-3EMEASMCA"/>
      </w:pPr>
      <w:r>
        <w:t xml:space="preserve">Ką daryti pavartojus per didelę </w:t>
      </w:r>
      <w:proofErr w:type="spellStart"/>
      <w:r>
        <w:t>Manti</w:t>
      </w:r>
      <w:proofErr w:type="spellEnd"/>
      <w:r>
        <w:t xml:space="preserve"> dozę?</w:t>
      </w:r>
    </w:p>
    <w:p w:rsidR="00724C00" w:rsidRDefault="00724C00" w:rsidP="00724C00">
      <w:pPr>
        <w:tabs>
          <w:tab w:val="left" w:pos="540"/>
        </w:tabs>
        <w:rPr>
          <w:sz w:val="22"/>
          <w:szCs w:val="22"/>
        </w:rPr>
      </w:pPr>
      <w:r>
        <w:rPr>
          <w:sz w:val="22"/>
          <w:szCs w:val="22"/>
        </w:rPr>
        <w:t>Jeigu pavartojote per daug tablečių, Jus gali pykinti, galite vemti. Nedelsiant kreipkitės medicininės pagalbos.</w:t>
      </w:r>
    </w:p>
    <w:p w:rsidR="00724C00" w:rsidRDefault="00724C00" w:rsidP="00724C00">
      <w:pPr>
        <w:pStyle w:val="BTEMEASMCA"/>
      </w:pPr>
    </w:p>
    <w:p w:rsidR="00724C00" w:rsidRDefault="00724C00" w:rsidP="00724C00">
      <w:pPr>
        <w:pStyle w:val="PI-3EMEASMCA"/>
      </w:pPr>
      <w:r>
        <w:t xml:space="preserve">Pamiršus pavartoti </w:t>
      </w:r>
      <w:proofErr w:type="spellStart"/>
      <w:r>
        <w:t>Manti</w:t>
      </w:r>
      <w:proofErr w:type="spellEnd"/>
      <w:r>
        <w:t xml:space="preserve"> </w:t>
      </w:r>
    </w:p>
    <w:p w:rsidR="00724C00" w:rsidRDefault="00724C00" w:rsidP="00724C00">
      <w:pPr>
        <w:pStyle w:val="BTEMEASMCA"/>
      </w:pPr>
      <w:bookmarkStart w:id="8" w:name="_Section4"/>
      <w:bookmarkEnd w:id="8"/>
      <w:r>
        <w:lastRenderedPageBreak/>
        <w:t>Negalima vartoti dvigubos dozės norint kompensuoti praleistą tabletę.</w:t>
      </w:r>
    </w:p>
    <w:p w:rsidR="00724C00" w:rsidRDefault="00724C00" w:rsidP="00724C00">
      <w:pPr>
        <w:pStyle w:val="BTEMEASMCA"/>
      </w:pPr>
    </w:p>
    <w:p w:rsidR="00724C00" w:rsidRDefault="00724C00" w:rsidP="00724C00">
      <w:pPr>
        <w:pStyle w:val="BTEMEASMCA"/>
      </w:pPr>
    </w:p>
    <w:p w:rsidR="00724C00" w:rsidRDefault="00724C00" w:rsidP="00724C00">
      <w:pPr>
        <w:pStyle w:val="PI-1EMEASMCA"/>
      </w:pPr>
      <w:bookmarkStart w:id="9" w:name="_Toc129243267"/>
      <w:bookmarkStart w:id="10" w:name="_Toc129243142"/>
      <w:r>
        <w:t>4.</w:t>
      </w:r>
      <w:r>
        <w:tab/>
        <w:t>GALIMAS ŠALUTINIS POVEIKIS</w:t>
      </w:r>
      <w:bookmarkEnd w:id="9"/>
      <w:bookmarkEnd w:id="10"/>
    </w:p>
    <w:p w:rsidR="00724C00" w:rsidRDefault="00724C00" w:rsidP="00724C00">
      <w:pPr>
        <w:pStyle w:val="BTEMEASMCA"/>
      </w:pPr>
    </w:p>
    <w:p w:rsidR="00724C00" w:rsidRDefault="00724C00" w:rsidP="00724C00">
      <w:pPr>
        <w:pStyle w:val="BTEMEASMCA"/>
      </w:pPr>
      <w:r>
        <w:t>Šis vaistas, kaip ir visi kiti, gali sukelti šalutinį poveikį, nors jis pasireiškia ne visiems žmonėms.</w:t>
      </w:r>
    </w:p>
    <w:p w:rsidR="00724C00" w:rsidRDefault="00724C00" w:rsidP="00724C00">
      <w:pPr>
        <w:pStyle w:val="BTEMEASMCA"/>
      </w:pPr>
    </w:p>
    <w:p w:rsidR="00724C00" w:rsidRDefault="00724C00" w:rsidP="00724C00">
      <w:pPr>
        <w:pStyle w:val="BTEMEASMCA"/>
      </w:pPr>
      <w:r w:rsidRPr="00C01E35">
        <w:rPr>
          <w:i/>
        </w:rPr>
        <w:t>Nedažni šalutiniai poveikiai</w:t>
      </w:r>
      <w:r>
        <w:t xml:space="preserve"> (gali pasireikšti ne daugiau kaip 1 iš 100 žmonių): vidurių užkietėjimas, viduriavimas. </w:t>
      </w:r>
    </w:p>
    <w:p w:rsidR="00724C00" w:rsidRDefault="00724C00" w:rsidP="00724C00">
      <w:pPr>
        <w:pStyle w:val="BTEMEASMCA"/>
      </w:pPr>
    </w:p>
    <w:p w:rsidR="00724C00" w:rsidRDefault="00724C00" w:rsidP="00724C00">
      <w:pPr>
        <w:pStyle w:val="BTEMEASMCA"/>
      </w:pPr>
      <w:r w:rsidRPr="00C01E35">
        <w:rPr>
          <w:i/>
        </w:rPr>
        <w:t>Reti šalutiniai poveikiai</w:t>
      </w:r>
      <w:r>
        <w:t xml:space="preserve"> (gali pasireikšti ne daugiau kaip 1 iš 1000 žmonių): pernelyg didelis magnio arba aliuminio kiekis organizme. </w:t>
      </w:r>
    </w:p>
    <w:p w:rsidR="00724C00" w:rsidRDefault="00724C00" w:rsidP="00724C00">
      <w:pPr>
        <w:pStyle w:val="BTEMEASMCA"/>
      </w:pPr>
    </w:p>
    <w:p w:rsidR="00724C00" w:rsidRDefault="00724C00" w:rsidP="00724C00">
      <w:r w:rsidRPr="00F954B3">
        <w:rPr>
          <w:i/>
        </w:rPr>
        <w:t>Dažnis nežinomas (</w:t>
      </w:r>
      <w:r w:rsidRPr="00F954B3">
        <w:rPr>
          <w:i/>
          <w:sz w:val="22"/>
          <w:szCs w:val="22"/>
        </w:rPr>
        <w:t>negali būti apskaičiuotas pagal turimus duomenis)</w:t>
      </w:r>
      <w:r w:rsidRPr="00F954B3">
        <w:rPr>
          <w:i/>
        </w:rPr>
        <w:t>:</w:t>
      </w:r>
      <w:r>
        <w:t xml:space="preserve"> alerginė reakcija.</w:t>
      </w:r>
    </w:p>
    <w:p w:rsidR="00724C00" w:rsidRDefault="00724C00" w:rsidP="00724C00">
      <w:pPr>
        <w:pStyle w:val="BTEMEASMCA"/>
      </w:pPr>
    </w:p>
    <w:p w:rsidR="00724C00" w:rsidRPr="001309BC" w:rsidRDefault="00724C00" w:rsidP="00724C00">
      <w:pPr>
        <w:rPr>
          <w:b/>
          <w:sz w:val="22"/>
          <w:szCs w:val="22"/>
        </w:rPr>
      </w:pPr>
      <w:r w:rsidRPr="001309BC">
        <w:rPr>
          <w:b/>
          <w:noProof/>
          <w:sz w:val="22"/>
          <w:szCs w:val="22"/>
        </w:rPr>
        <w:t>Pranešimas apie šalutinį poveikį</w:t>
      </w:r>
    </w:p>
    <w:p w:rsidR="00724C00" w:rsidRPr="00F954B3" w:rsidRDefault="00724C00" w:rsidP="00724C00">
      <w:pPr>
        <w:ind w:right="-449"/>
        <w:rPr>
          <w:noProof/>
          <w:sz w:val="22"/>
          <w:szCs w:val="22"/>
        </w:rPr>
      </w:pPr>
      <w:r w:rsidRPr="00F954B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54B3">
        <w:rPr>
          <w:sz w:val="22"/>
          <w:szCs w:val="22"/>
          <w:lang w:eastAsia="zh-CN"/>
        </w:rPr>
        <w:t>elefonu 8 800 73568</w:t>
      </w:r>
      <w:r w:rsidRPr="00F954B3">
        <w:rPr>
          <w:sz w:val="22"/>
          <w:szCs w:val="22"/>
        </w:rPr>
        <w:t xml:space="preserve"> arba užpildyti interneto svetainėje </w:t>
      </w:r>
      <w:hyperlink r:id="rId5" w:history="1">
        <w:r w:rsidRPr="00F954B3">
          <w:rPr>
            <w:rStyle w:val="Hipersaitas"/>
            <w:rFonts w:eastAsia="SimSun"/>
            <w:sz w:val="22"/>
            <w:szCs w:val="22"/>
          </w:rPr>
          <w:t>www.vvkt.lt</w:t>
        </w:r>
      </w:hyperlink>
      <w:r w:rsidRPr="00F954B3">
        <w:rPr>
          <w:sz w:val="22"/>
          <w:szCs w:val="22"/>
        </w:rPr>
        <w:t xml:space="preserve"> esančią formą ir pateikti ją Valstybinei vaistų kontrolės tarnybai prie Lietuvos Respublikos sveikatos apsaugos ministerijos vienu iš šių būdų: raštu (adresu Žirmūnų g. 139A, LT-09120 Vilnius), </w:t>
      </w:r>
      <w:r w:rsidRPr="00F954B3">
        <w:rPr>
          <w:sz w:val="22"/>
          <w:szCs w:val="22"/>
          <w:lang w:eastAsia="zh-CN"/>
        </w:rPr>
        <w:t xml:space="preserve">nemokamu </w:t>
      </w:r>
      <w:r w:rsidRPr="00F954B3">
        <w:rPr>
          <w:sz w:val="22"/>
          <w:szCs w:val="22"/>
        </w:rPr>
        <w:t>fakso numeriu 8 800 20131</w:t>
      </w:r>
      <w:r w:rsidRPr="00F954B3">
        <w:rPr>
          <w:sz w:val="22"/>
          <w:szCs w:val="22"/>
          <w:lang w:eastAsia="zh-CN"/>
        </w:rPr>
        <w:t xml:space="preserve">, </w:t>
      </w:r>
      <w:r w:rsidRPr="00F954B3">
        <w:rPr>
          <w:sz w:val="22"/>
          <w:szCs w:val="22"/>
        </w:rPr>
        <w:t xml:space="preserve">el. paštu </w:t>
      </w:r>
      <w:hyperlink r:id="rId6" w:history="1">
        <w:r w:rsidRPr="00F954B3">
          <w:rPr>
            <w:rStyle w:val="Hipersaitas"/>
            <w:rFonts w:eastAsia="SimSun"/>
            <w:sz w:val="22"/>
            <w:szCs w:val="22"/>
          </w:rPr>
          <w:t>NepageidaujamaR@vvkt.lt</w:t>
        </w:r>
      </w:hyperlink>
      <w:r w:rsidRPr="00F954B3">
        <w:rPr>
          <w:sz w:val="22"/>
          <w:szCs w:val="22"/>
        </w:rPr>
        <w:t xml:space="preserve">, taip pat per Valstybinės vaistų kontrolės tarnybos prie Lietuvos Respublikos sveikatos apsaugos ministerijos interneto svetainę (adresu </w:t>
      </w:r>
      <w:hyperlink r:id="rId7" w:history="1">
        <w:r w:rsidRPr="00F954B3">
          <w:rPr>
            <w:rStyle w:val="Hipersaitas"/>
            <w:rFonts w:eastAsia="SimSun"/>
            <w:sz w:val="22"/>
            <w:szCs w:val="22"/>
          </w:rPr>
          <w:t>http://www.vvkt.lt</w:t>
        </w:r>
      </w:hyperlink>
      <w:r w:rsidRPr="00F954B3">
        <w:rPr>
          <w:sz w:val="22"/>
          <w:szCs w:val="22"/>
        </w:rPr>
        <w:t>). Pranešdami apie šalutinį poveikį galite mums padėti gauti daugiau informacijos apie šio vaisto saugumą.</w:t>
      </w:r>
    </w:p>
    <w:p w:rsidR="00724C00" w:rsidRDefault="00724C00" w:rsidP="00724C00">
      <w:pPr>
        <w:pStyle w:val="BTEMEASMCA"/>
      </w:pPr>
    </w:p>
    <w:p w:rsidR="00724C00" w:rsidRDefault="00724C00" w:rsidP="00724C00">
      <w:pPr>
        <w:pStyle w:val="BTEMEASMCA"/>
      </w:pPr>
    </w:p>
    <w:p w:rsidR="00724C00" w:rsidRDefault="00724C00" w:rsidP="00724C00">
      <w:pPr>
        <w:pStyle w:val="PI-1EMEASMCA"/>
      </w:pPr>
      <w:bookmarkStart w:id="11" w:name="_Toc129243268"/>
      <w:bookmarkStart w:id="12" w:name="_Toc129243143"/>
      <w:r>
        <w:t>5.</w:t>
      </w:r>
      <w:r>
        <w:tab/>
        <w:t xml:space="preserve">KAIP LAIKYTI MANTI </w:t>
      </w:r>
      <w:bookmarkEnd w:id="11"/>
      <w:bookmarkEnd w:id="12"/>
    </w:p>
    <w:p w:rsidR="00724C00" w:rsidRDefault="00724C00" w:rsidP="00724C00">
      <w:pPr>
        <w:pStyle w:val="BTEMEASMCA"/>
      </w:pPr>
    </w:p>
    <w:p w:rsidR="00724C00" w:rsidRDefault="00724C00" w:rsidP="00724C00">
      <w:pPr>
        <w:pStyle w:val="BTEMEASMCA"/>
      </w:pPr>
      <w:r>
        <w:t>Šį vaistą laikykite vaikams nepastebimoje ir nepasiekiamoje vietoje.</w:t>
      </w:r>
    </w:p>
    <w:p w:rsidR="00724C00" w:rsidRDefault="00724C00" w:rsidP="00724C00">
      <w:pPr>
        <w:pStyle w:val="BTEMEASMCA"/>
      </w:pPr>
    </w:p>
    <w:p w:rsidR="00724C00" w:rsidRDefault="00724C00" w:rsidP="00724C00">
      <w:pPr>
        <w:pStyle w:val="BTEMEASMCA"/>
      </w:pPr>
      <w:r>
        <w:t>Laikyti ne aukštesnėje kaip 25 </w:t>
      </w:r>
      <w:r>
        <w:sym w:font="Symbol" w:char="F0B0"/>
      </w:r>
      <w:r>
        <w:t xml:space="preserve">C temperatūroje. </w:t>
      </w:r>
    </w:p>
    <w:p w:rsidR="00724C00" w:rsidRDefault="00724C00" w:rsidP="00724C00">
      <w:pPr>
        <w:pStyle w:val="BTEMEASMCA"/>
      </w:pPr>
      <w:r>
        <w:t>Lizdinę plokštelę laikyti išorinėje dėžutėje, kad vaistas būtų apsaugotas nuo šviesos.</w:t>
      </w:r>
    </w:p>
    <w:p w:rsidR="00724C00" w:rsidRDefault="00724C00" w:rsidP="00724C00">
      <w:pPr>
        <w:pStyle w:val="BTEMEASMCA"/>
      </w:pPr>
    </w:p>
    <w:p w:rsidR="00724C00" w:rsidRDefault="00724C00" w:rsidP="00724C00">
      <w:pPr>
        <w:pStyle w:val="BTEMEASMCA"/>
      </w:pPr>
      <w:r>
        <w:t>Ant dėžutės ir lizdinės plokštelės po „Tinka iki/EXP“ nurodytam tinkamumo laikui pasibaigus, šio vaisto vartoti negalima. Vaistas tinkamas vartoti iki paskutinės nurodyto mėnesio dienos.</w:t>
      </w:r>
    </w:p>
    <w:p w:rsidR="00724C00" w:rsidRDefault="00724C00" w:rsidP="00724C00">
      <w:pPr>
        <w:pStyle w:val="BTEMEASMCA"/>
      </w:pPr>
      <w:bookmarkStart w:id="13" w:name="_Section5"/>
      <w:bookmarkEnd w:id="13"/>
      <w:r w:rsidRPr="00B34FA1">
        <w:t>Vaistų negalima iš</w:t>
      </w:r>
      <w:r>
        <w:t>mesti į kanalizaciją arba su buitinėmis atliekomis</w:t>
      </w:r>
      <w:r w:rsidRPr="00B34FA1">
        <w:t>. Kaip išmesti nereikalingus vaistus, klauskite vaistininko. Šios priemonės padės apsaugoti aplinką</w:t>
      </w:r>
      <w:r>
        <w:t>.</w:t>
      </w:r>
    </w:p>
    <w:p w:rsidR="00724C00" w:rsidRDefault="00724C00" w:rsidP="00724C00">
      <w:pPr>
        <w:pStyle w:val="BTEMEASMCA"/>
      </w:pPr>
    </w:p>
    <w:p w:rsidR="00724C00" w:rsidRDefault="00724C00" w:rsidP="00724C00">
      <w:pPr>
        <w:pStyle w:val="PI-1EMEASMCA"/>
      </w:pPr>
      <w:bookmarkStart w:id="14" w:name="_Toc129243269"/>
      <w:bookmarkStart w:id="15" w:name="_Toc129243144"/>
      <w:r>
        <w:t>6.</w:t>
      </w:r>
      <w:r>
        <w:tab/>
        <w:t>PAKUOTĖS TURINYS IR KITA INFORMACIJA</w:t>
      </w:r>
      <w:bookmarkEnd w:id="14"/>
      <w:bookmarkEnd w:id="15"/>
    </w:p>
    <w:p w:rsidR="00724C00" w:rsidRDefault="00724C00" w:rsidP="00724C00">
      <w:pPr>
        <w:pStyle w:val="BTEMEASMCA"/>
      </w:pPr>
    </w:p>
    <w:p w:rsidR="00724C00" w:rsidRDefault="00724C00" w:rsidP="00724C00">
      <w:pPr>
        <w:pStyle w:val="PI-3EMEASMCA"/>
      </w:pPr>
      <w:proofErr w:type="spellStart"/>
      <w:r>
        <w:t>Manti</w:t>
      </w:r>
      <w:proofErr w:type="spellEnd"/>
      <w:r>
        <w:t xml:space="preserve"> sudėtis</w:t>
      </w:r>
    </w:p>
    <w:p w:rsidR="00724C00" w:rsidRDefault="00724C00" w:rsidP="00724C00">
      <w:pPr>
        <w:pStyle w:val="BT-EMEASMCA"/>
        <w:numPr>
          <w:ilvl w:val="0"/>
          <w:numId w:val="3"/>
        </w:numPr>
      </w:pPr>
      <w:r>
        <w:t xml:space="preserve">Veikliosios medžiagos yra aliuminio hidroksidas, magnio hidroksidas, simetikonas. Vienoje tabletėje yra </w:t>
      </w:r>
      <w:r w:rsidRPr="00AC4A21">
        <w:t>200 mg aliuminio hidroksido, 200 mg magnio hidroksido, 25 mg simetikono.</w:t>
      </w:r>
    </w:p>
    <w:p w:rsidR="00724C00" w:rsidRDefault="00724C00" w:rsidP="00724C00">
      <w:pPr>
        <w:pStyle w:val="BT-EMEASMCA"/>
        <w:numPr>
          <w:ilvl w:val="0"/>
          <w:numId w:val="5"/>
        </w:numPr>
      </w:pPr>
      <w:r>
        <w:t>Pagalbinės medžiagos yra sorbitolis (E420), kroskarmeliozės natrio druska, magnio stearatas, stearino rūgštis, mėtų skonio kvapioji medžiaga, aspartamas (E951), chinolino geltonasis (E133), briliantinis mėlynasis (E104), maltodekstrinas.</w:t>
      </w:r>
    </w:p>
    <w:p w:rsidR="00724C00" w:rsidRDefault="00724C00" w:rsidP="00724C00">
      <w:pPr>
        <w:pStyle w:val="BTEMEASMCA"/>
      </w:pPr>
    </w:p>
    <w:p w:rsidR="00724C00" w:rsidRDefault="00724C00" w:rsidP="00724C00">
      <w:pPr>
        <w:pStyle w:val="PI-3EMEASMCA"/>
      </w:pPr>
      <w:proofErr w:type="spellStart"/>
      <w:r>
        <w:t>Manti</w:t>
      </w:r>
      <w:proofErr w:type="spellEnd"/>
      <w:r>
        <w:t xml:space="preserve"> išvaizda ir kiekis pakuotėje</w:t>
      </w:r>
    </w:p>
    <w:p w:rsidR="00724C00" w:rsidRDefault="00724C00" w:rsidP="00724C00">
      <w:pPr>
        <w:pStyle w:val="PI-3EMEASMCA"/>
      </w:pPr>
    </w:p>
    <w:p w:rsidR="00724C00" w:rsidRDefault="00724C00" w:rsidP="00724C00">
      <w:pPr>
        <w:pStyle w:val="BTEMEASMCA"/>
      </w:pPr>
      <w:r>
        <w:t xml:space="preserve">Tabletės yra šviesiai žalios su matomais baltais ir tamsiai žaliais taškeliais, apvalios, plokščios, silpno mėtų kvapo, vienoje tabletės pusėje yra įspaudas „MANTI“. </w:t>
      </w:r>
    </w:p>
    <w:p w:rsidR="00724C00" w:rsidRDefault="00724C00" w:rsidP="00724C00">
      <w:pPr>
        <w:pStyle w:val="BTEMEASMCA"/>
      </w:pPr>
      <w:r>
        <w:t>Kartoninėje dėžutėje yra 8, 10, 30 arba 32 kramtomosios tabletės lizdinėje PVC/Al plokštelėje.</w:t>
      </w:r>
    </w:p>
    <w:p w:rsidR="00724C00" w:rsidRDefault="00724C00" w:rsidP="00724C00">
      <w:pPr>
        <w:pStyle w:val="BTEMEASMCA"/>
      </w:pPr>
    </w:p>
    <w:p w:rsidR="00724C00" w:rsidRDefault="00724C00" w:rsidP="00724C00">
      <w:pPr>
        <w:pStyle w:val="BTEMEASMCA"/>
      </w:pPr>
      <w:r>
        <w:t>Gali būti tiekiamos ne visų dydžių pakuotės.</w:t>
      </w:r>
    </w:p>
    <w:p w:rsidR="00724C00" w:rsidRDefault="00724C00" w:rsidP="00724C00">
      <w:pPr>
        <w:pStyle w:val="BTEMEASMCA"/>
      </w:pPr>
    </w:p>
    <w:p w:rsidR="00724C00" w:rsidRDefault="00724C00" w:rsidP="00724C00">
      <w:pPr>
        <w:pStyle w:val="PI-3EMEASMCA"/>
      </w:pPr>
      <w:r>
        <w:t>Registruotojas</w:t>
      </w:r>
      <w:r w:rsidRPr="00B34FA1">
        <w:t xml:space="preserve"> </w:t>
      </w:r>
      <w:r>
        <w:t>ir gamintojas</w:t>
      </w:r>
    </w:p>
    <w:p w:rsidR="00724C00" w:rsidRDefault="00724C00" w:rsidP="00724C00">
      <w:pPr>
        <w:pStyle w:val="BTEMEASMCA"/>
      </w:pPr>
    </w:p>
    <w:p w:rsidR="00724C00" w:rsidRDefault="00724C00" w:rsidP="00724C00">
      <w:pPr>
        <w:tabs>
          <w:tab w:val="left" w:pos="540"/>
        </w:tabs>
        <w:spacing w:line="240" w:lineRule="atLeast"/>
        <w:rPr>
          <w:sz w:val="22"/>
          <w:szCs w:val="22"/>
        </w:rPr>
      </w:pPr>
      <w:r>
        <w:rPr>
          <w:sz w:val="22"/>
          <w:szCs w:val="22"/>
        </w:rPr>
        <w:t xml:space="preserve">US </w:t>
      </w:r>
      <w:proofErr w:type="spellStart"/>
      <w:r>
        <w:rPr>
          <w:sz w:val="22"/>
          <w:szCs w:val="22"/>
        </w:rPr>
        <w:t>Pharmacia</w:t>
      </w:r>
      <w:proofErr w:type="spellEnd"/>
      <w:r>
        <w:rPr>
          <w:sz w:val="22"/>
          <w:szCs w:val="22"/>
        </w:rPr>
        <w:t xml:space="preserve"> Sp. z </w:t>
      </w:r>
      <w:proofErr w:type="spellStart"/>
      <w:r>
        <w:rPr>
          <w:sz w:val="22"/>
          <w:szCs w:val="22"/>
        </w:rPr>
        <w:t>o.o</w:t>
      </w:r>
      <w:proofErr w:type="spellEnd"/>
      <w:r>
        <w:rPr>
          <w:sz w:val="22"/>
          <w:szCs w:val="22"/>
        </w:rPr>
        <w:t xml:space="preserve">. </w:t>
      </w:r>
    </w:p>
    <w:p w:rsidR="00724C00" w:rsidRDefault="00724C00" w:rsidP="00724C00">
      <w:pPr>
        <w:tabs>
          <w:tab w:val="left" w:pos="540"/>
        </w:tabs>
        <w:spacing w:line="240" w:lineRule="atLeast"/>
        <w:rPr>
          <w:sz w:val="22"/>
          <w:szCs w:val="22"/>
        </w:rPr>
      </w:pPr>
      <w:proofErr w:type="spellStart"/>
      <w:r>
        <w:rPr>
          <w:sz w:val="22"/>
          <w:szCs w:val="22"/>
        </w:rPr>
        <w:t>Ziębicka</w:t>
      </w:r>
      <w:proofErr w:type="spellEnd"/>
      <w:r>
        <w:rPr>
          <w:sz w:val="22"/>
          <w:szCs w:val="22"/>
        </w:rPr>
        <w:t xml:space="preserve"> </w:t>
      </w:r>
      <w:proofErr w:type="spellStart"/>
      <w:r>
        <w:rPr>
          <w:sz w:val="22"/>
          <w:szCs w:val="22"/>
        </w:rPr>
        <w:t>Street</w:t>
      </w:r>
      <w:proofErr w:type="spellEnd"/>
      <w:r>
        <w:rPr>
          <w:sz w:val="22"/>
          <w:szCs w:val="22"/>
        </w:rPr>
        <w:t xml:space="preserve"> 40</w:t>
      </w:r>
    </w:p>
    <w:p w:rsidR="00724C00" w:rsidRDefault="00724C00" w:rsidP="00724C00">
      <w:pPr>
        <w:pStyle w:val="Pagrindinistekstas3"/>
        <w:widowControl/>
        <w:tabs>
          <w:tab w:val="left" w:pos="540"/>
        </w:tabs>
        <w:jc w:val="left"/>
        <w:rPr>
          <w:i w:val="0"/>
          <w:szCs w:val="22"/>
          <w:lang w:val="lt-LT"/>
        </w:rPr>
      </w:pPr>
      <w:r>
        <w:rPr>
          <w:i w:val="0"/>
          <w:szCs w:val="22"/>
          <w:lang w:val="lt-LT"/>
        </w:rPr>
        <w:t xml:space="preserve">50-507 </w:t>
      </w:r>
      <w:proofErr w:type="spellStart"/>
      <w:r>
        <w:rPr>
          <w:i w:val="0"/>
          <w:szCs w:val="22"/>
          <w:lang w:val="lt-LT"/>
        </w:rPr>
        <w:t>Wrocław</w:t>
      </w:r>
      <w:proofErr w:type="spellEnd"/>
    </w:p>
    <w:p w:rsidR="00724C00" w:rsidRDefault="00724C00" w:rsidP="00724C00">
      <w:pPr>
        <w:pStyle w:val="BTEMEASMCA"/>
      </w:pPr>
      <w:r>
        <w:t xml:space="preserve">Lenkija </w:t>
      </w:r>
    </w:p>
    <w:p w:rsidR="00724C00" w:rsidRDefault="00724C00" w:rsidP="00724C00">
      <w:pPr>
        <w:pStyle w:val="BTEMEASMCA"/>
      </w:pPr>
    </w:p>
    <w:p w:rsidR="00724C00" w:rsidRDefault="00724C00" w:rsidP="00724C00">
      <w:pPr>
        <w:pStyle w:val="BTEMEASMCA"/>
      </w:pPr>
      <w:r>
        <w:t xml:space="preserve">Jeigu apie šį vaistą norite sužinoti daugiau, kreipkitės į vietinį </w:t>
      </w:r>
      <w:r>
        <w:rPr>
          <w:szCs w:val="24"/>
        </w:rPr>
        <w:t>registruotojo</w:t>
      </w:r>
      <w:r w:rsidRPr="00B34FA1">
        <w:rPr>
          <w:szCs w:val="24"/>
        </w:rPr>
        <w:t xml:space="preserve"> </w:t>
      </w:r>
      <w:r>
        <w:t>atstovą.</w:t>
      </w:r>
    </w:p>
    <w:p w:rsidR="00724C00" w:rsidRDefault="00724C00" w:rsidP="00724C00">
      <w:pPr>
        <w:tabs>
          <w:tab w:val="left" w:pos="540"/>
        </w:tabs>
        <w:rPr>
          <w:sz w:val="22"/>
          <w:szCs w:val="22"/>
        </w:rPr>
      </w:pPr>
    </w:p>
    <w:tbl>
      <w:tblPr>
        <w:tblW w:w="4680" w:type="dxa"/>
        <w:tblInd w:w="-34" w:type="dxa"/>
        <w:tblLayout w:type="fixed"/>
        <w:tblLook w:val="04A0" w:firstRow="1" w:lastRow="0" w:firstColumn="1" w:lastColumn="0" w:noHBand="0" w:noVBand="1"/>
      </w:tblPr>
      <w:tblGrid>
        <w:gridCol w:w="4680"/>
      </w:tblGrid>
      <w:tr w:rsidR="00724C00" w:rsidTr="005B4F06">
        <w:tc>
          <w:tcPr>
            <w:tcW w:w="4678" w:type="dxa"/>
          </w:tcPr>
          <w:p w:rsidR="00724C00" w:rsidRDefault="00724C00" w:rsidP="005B4F06">
            <w:pPr>
              <w:pStyle w:val="BTEMEASMCA"/>
            </w:pPr>
            <w:r>
              <w:t>UAB USP Baltics</w:t>
            </w:r>
          </w:p>
          <w:p w:rsidR="00724C00" w:rsidRDefault="00724C00" w:rsidP="005B4F06">
            <w:pPr>
              <w:rPr>
                <w:lang w:val="en-GB"/>
              </w:rPr>
            </w:pPr>
            <w:proofErr w:type="spellStart"/>
            <w:r>
              <w:rPr>
                <w:sz w:val="22"/>
                <w:szCs w:val="22"/>
                <w:lang w:val="en-GB"/>
              </w:rPr>
              <w:t>Konstitucijos</w:t>
            </w:r>
            <w:proofErr w:type="spellEnd"/>
            <w:r>
              <w:rPr>
                <w:sz w:val="22"/>
                <w:szCs w:val="22"/>
                <w:lang w:val="en-GB"/>
              </w:rPr>
              <w:t xml:space="preserve"> pr. 15-92</w:t>
            </w:r>
          </w:p>
          <w:p w:rsidR="00724C00" w:rsidRDefault="00724C00" w:rsidP="005B4F06">
            <w:pPr>
              <w:pStyle w:val="BTEMEASMCA"/>
            </w:pPr>
            <w:r>
              <w:rPr>
                <w:lang w:val="en-GB"/>
              </w:rPr>
              <w:t xml:space="preserve">LT-09319 </w:t>
            </w:r>
            <w:r>
              <w:t>Vilnius</w:t>
            </w:r>
          </w:p>
          <w:p w:rsidR="00724C00" w:rsidRDefault="00724C00" w:rsidP="005B4F06">
            <w:pPr>
              <w:pStyle w:val="BTEMEASMCA"/>
            </w:pPr>
            <w:r>
              <w:t>Tel. +370 5 2791715</w:t>
            </w:r>
          </w:p>
          <w:p w:rsidR="00724C00" w:rsidRDefault="00724C00" w:rsidP="005B4F06">
            <w:pPr>
              <w:tabs>
                <w:tab w:val="left" w:pos="540"/>
              </w:tabs>
              <w:suppressAutoHyphens/>
            </w:pPr>
          </w:p>
        </w:tc>
      </w:tr>
    </w:tbl>
    <w:p w:rsidR="00724C00" w:rsidRDefault="00724C00" w:rsidP="00724C00">
      <w:pPr>
        <w:pStyle w:val="BTEMEASMCA"/>
      </w:pPr>
    </w:p>
    <w:p w:rsidR="00724C00" w:rsidRDefault="00724C00" w:rsidP="00724C00">
      <w:pPr>
        <w:pStyle w:val="BTbEMEASMCA"/>
      </w:pPr>
      <w:r>
        <w:rPr>
          <w:bCs/>
        </w:rPr>
        <w:t>Šis pakuotės lapelis</w:t>
      </w:r>
      <w:r>
        <w:t xml:space="preserve"> paskutinį kartą peržiūrėtas 2021-06-30.</w:t>
      </w:r>
    </w:p>
    <w:p w:rsidR="00724C00" w:rsidRDefault="00724C00" w:rsidP="00724C00">
      <w:pPr>
        <w:tabs>
          <w:tab w:val="left" w:pos="540"/>
        </w:tabs>
        <w:rPr>
          <w:sz w:val="22"/>
          <w:szCs w:val="22"/>
        </w:rPr>
      </w:pPr>
    </w:p>
    <w:p w:rsidR="00724C00" w:rsidRDefault="00724C00" w:rsidP="00724C00">
      <w:pPr>
        <w:tabs>
          <w:tab w:val="left" w:pos="540"/>
        </w:tabs>
        <w:rPr>
          <w:sz w:val="22"/>
          <w:szCs w:val="22"/>
        </w:rPr>
      </w:pPr>
    </w:p>
    <w:p w:rsidR="00724C00" w:rsidRDefault="00724C00" w:rsidP="00724C00">
      <w:pPr>
        <w:pStyle w:val="BTEMEASMCA"/>
        <w:rPr>
          <w:color w:val="0000FF"/>
        </w:rPr>
      </w:pPr>
      <w:r>
        <w:t xml:space="preserve">Išsami informacija apie šį vaistą pateikiama Valstybinės vaistų kontrolės tarnybos prie Lietuvos Respublikos sveikatos apsaugos ministerijos tinklalapyje </w:t>
      </w:r>
      <w:hyperlink r:id="rId8" w:history="1">
        <w:r>
          <w:rPr>
            <w:rStyle w:val="Hipersaitas"/>
          </w:rPr>
          <w:t>http://www.vvkt.lt/</w:t>
        </w:r>
      </w:hyperlink>
    </w:p>
    <w:p w:rsidR="00724C00" w:rsidRDefault="00724C00" w:rsidP="00724C00">
      <w:pPr>
        <w:pStyle w:val="BTEMEASMCA"/>
      </w:pPr>
    </w:p>
    <w:p w:rsidR="00724C00" w:rsidRDefault="00724C00" w:rsidP="00724C00">
      <w:bookmarkStart w:id="16" w:name="_GoBack"/>
      <w:bookmarkEnd w:id="16"/>
    </w:p>
    <w:p w:rsidR="009041DB" w:rsidRDefault="009041DB"/>
    <w:sectPr w:rsidR="009041DB" w:rsidSect="00724C0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1C8E"/>
    <w:multiLevelType w:val="hybridMultilevel"/>
    <w:tmpl w:val="42840DE0"/>
    <w:lvl w:ilvl="0" w:tplc="E20A25CC">
      <w:start w:val="1"/>
      <w:numFmt w:val="bullet"/>
      <w:lvlText w:val="-"/>
      <w:lvlJc w:val="left"/>
      <w:pPr>
        <w:ind w:left="540" w:hanging="360"/>
      </w:pPr>
      <w:rPr>
        <w:rFonts w:ascii="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1" w15:restartNumberingAfterBreak="0">
    <w:nsid w:val="60F859D6"/>
    <w:multiLevelType w:val="hybridMultilevel"/>
    <w:tmpl w:val="466C2C36"/>
    <w:lvl w:ilvl="0" w:tplc="E20A25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56554B"/>
    <w:multiLevelType w:val="hybridMultilevel"/>
    <w:tmpl w:val="C48E3190"/>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794C217D"/>
    <w:multiLevelType w:val="hybridMultilevel"/>
    <w:tmpl w:val="E3BC38BC"/>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F4B4408"/>
    <w:multiLevelType w:val="hybridMultilevel"/>
    <w:tmpl w:val="5FF010F8"/>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00"/>
    <w:rsid w:val="00724C0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3A8A3-193C-488B-82EA-68FDB5B7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C0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724C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724C0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24C00"/>
    <w:rPr>
      <w:rFonts w:cs="Times New Roman"/>
      <w:color w:val="0000FF"/>
      <w:u w:val="single"/>
    </w:rPr>
  </w:style>
  <w:style w:type="paragraph" w:customStyle="1" w:styleId="PI-1EMEASMCA">
    <w:name w:val="PI-1 EMEA_SMCA"/>
    <w:basedOn w:val="Antrat2"/>
    <w:autoRedefine/>
    <w:rsid w:val="00724C00"/>
    <w:pPr>
      <w:keepLines w:val="0"/>
      <w:tabs>
        <w:tab w:val="left" w:pos="540"/>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724C00"/>
    <w:pPr>
      <w:tabs>
        <w:tab w:val="left" w:pos="540"/>
      </w:tabs>
    </w:pPr>
    <w:rPr>
      <w:noProof/>
      <w:sz w:val="22"/>
      <w:szCs w:val="22"/>
    </w:rPr>
  </w:style>
  <w:style w:type="paragraph" w:customStyle="1" w:styleId="TTEMEASMCA">
    <w:name w:val="TT EMEA_SMCA"/>
    <w:basedOn w:val="Antrat1"/>
    <w:link w:val="TTEMEASMCAChar"/>
    <w:autoRedefine/>
    <w:rsid w:val="00724C00"/>
    <w:pPr>
      <w:keepNext w:val="0"/>
      <w:keepLines w:val="0"/>
      <w:tabs>
        <w:tab w:val="left" w:pos="540"/>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724C00"/>
    <w:rPr>
      <w:rFonts w:ascii="Times New Roman" w:eastAsia="Calibri" w:hAnsi="Times New Roman" w:cs="Times New Roman"/>
      <w:b/>
      <w:caps/>
      <w:lang w:val="en-US"/>
    </w:rPr>
  </w:style>
  <w:style w:type="paragraph" w:customStyle="1" w:styleId="BT-EMEASMCA">
    <w:name w:val="BT- EMEA_SMCA"/>
    <w:basedOn w:val="BTEMEASMCA"/>
    <w:autoRedefine/>
    <w:rsid w:val="00724C00"/>
    <w:pPr>
      <w:tabs>
        <w:tab w:val="clear" w:pos="540"/>
      </w:tabs>
      <w:ind w:left="284"/>
    </w:pPr>
  </w:style>
  <w:style w:type="paragraph" w:customStyle="1" w:styleId="PI-3EMEASMCA">
    <w:name w:val="PI-3 EMEA_SMCA"/>
    <w:basedOn w:val="prastasis"/>
    <w:autoRedefine/>
    <w:rsid w:val="00724C00"/>
    <w:pPr>
      <w:tabs>
        <w:tab w:val="left" w:pos="540"/>
      </w:tabs>
      <w:spacing w:line="220" w:lineRule="exact"/>
      <w:ind w:left="180" w:hanging="183"/>
    </w:pPr>
    <w:rPr>
      <w:b/>
      <w:bCs/>
      <w:sz w:val="22"/>
      <w:szCs w:val="22"/>
    </w:rPr>
  </w:style>
  <w:style w:type="paragraph" w:customStyle="1" w:styleId="BTbEMEASMCA">
    <w:name w:val="BT(b) EMEA_SMCA"/>
    <w:basedOn w:val="BTEMEASMCA"/>
    <w:autoRedefine/>
    <w:rsid w:val="00724C00"/>
    <w:rPr>
      <w:b/>
    </w:rPr>
  </w:style>
  <w:style w:type="paragraph" w:customStyle="1" w:styleId="BTeEMEASMCA">
    <w:name w:val="BT(e) EMEA_SMCA"/>
    <w:basedOn w:val="BTEMEASMCA"/>
    <w:autoRedefine/>
    <w:rsid w:val="00724C00"/>
    <w:pPr>
      <w:jc w:val="center"/>
    </w:pPr>
  </w:style>
  <w:style w:type="character" w:customStyle="1" w:styleId="BTEMEASMCAChar">
    <w:name w:val="BT EMEA_SMCA Char"/>
    <w:basedOn w:val="Numatytasispastraiposriftas"/>
    <w:link w:val="BTEMEASMCA"/>
    <w:locked/>
    <w:rsid w:val="00724C00"/>
    <w:rPr>
      <w:rFonts w:ascii="Times New Roman" w:eastAsia="Calibri" w:hAnsi="Times New Roman" w:cs="Times New Roman"/>
      <w:noProof/>
    </w:rPr>
  </w:style>
  <w:style w:type="paragraph" w:styleId="Pagrindinistekstas3">
    <w:name w:val="Body Text 3"/>
    <w:basedOn w:val="prastasis"/>
    <w:link w:val="Pagrindinistekstas3Diagrama"/>
    <w:rsid w:val="00724C00"/>
    <w:pPr>
      <w:widowControl w:val="0"/>
      <w:jc w:val="center"/>
    </w:pPr>
    <w:rPr>
      <w:i/>
      <w:sz w:val="22"/>
      <w:szCs w:val="20"/>
      <w:lang w:val="en-GB" w:eastAsia="pl-PL"/>
    </w:rPr>
  </w:style>
  <w:style w:type="character" w:customStyle="1" w:styleId="Pagrindinistekstas3Diagrama">
    <w:name w:val="Pagrindinis tekstas 3 Diagrama"/>
    <w:basedOn w:val="Numatytasispastraiposriftas"/>
    <w:link w:val="Pagrindinistekstas3"/>
    <w:rsid w:val="00724C00"/>
    <w:rPr>
      <w:rFonts w:ascii="Times New Roman" w:eastAsia="Calibri" w:hAnsi="Times New Roman" w:cs="Times New Roman"/>
      <w:i/>
      <w:szCs w:val="20"/>
      <w:lang w:val="en-GB" w:eastAsia="pl-PL"/>
    </w:rPr>
  </w:style>
  <w:style w:type="character" w:customStyle="1" w:styleId="Antrat2Diagrama">
    <w:name w:val="Antraštė 2 Diagrama"/>
    <w:basedOn w:val="Numatytasispastraiposriftas"/>
    <w:link w:val="Antrat2"/>
    <w:uiPriority w:val="9"/>
    <w:semiHidden/>
    <w:rsid w:val="00724C0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724C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5881</Words>
  <Characters>3353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2021-07-05T12:15:00Z</dcterms:created>
  <dcterms:modified xsi:type="dcterms:W3CDTF">2021-07-05T12:16:00Z</dcterms:modified>
</cp:coreProperties>
</file>